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70C94" w14:textId="77777777" w:rsidR="00BF683A" w:rsidRDefault="00BF683A"/>
    <w:p w14:paraId="1C0A6D80" w14:textId="77777777" w:rsidR="00020441" w:rsidRDefault="00020441">
      <w:r>
        <w:tab/>
      </w:r>
      <w:r>
        <w:tab/>
      </w:r>
      <w:r>
        <w:tab/>
      </w:r>
      <w:r>
        <w:tab/>
      </w:r>
      <w:r>
        <w:tab/>
      </w:r>
      <w:r>
        <w:tab/>
      </w:r>
    </w:p>
    <w:p w14:paraId="57177D86" w14:textId="77777777" w:rsidR="00BF683A" w:rsidRDefault="00BF683A"/>
    <w:p w14:paraId="3B375618" w14:textId="77777777" w:rsidR="00020441" w:rsidRPr="001211B5" w:rsidRDefault="00000520">
      <w:r w:rsidRPr="001211B5">
        <w:rPr>
          <w:noProof/>
          <w:sz w:val="20"/>
          <w:lang w:val="es-MX" w:eastAsia="es-MX"/>
        </w:rPr>
        <w:drawing>
          <wp:anchor distT="0" distB="0" distL="114300" distR="114300" simplePos="0" relativeHeight="251658240" behindDoc="0" locked="0" layoutInCell="1" allowOverlap="1" wp14:anchorId="3FAD2A25" wp14:editId="7136A04F">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EBD72" w14:textId="77777777" w:rsidR="00020441" w:rsidRPr="001211B5" w:rsidRDefault="00020441"/>
    <w:p w14:paraId="65E69960" w14:textId="77777777" w:rsidR="00020441" w:rsidRPr="001211B5" w:rsidRDefault="00020441" w:rsidP="00721382">
      <w:pPr>
        <w:pStyle w:val="TDC1"/>
      </w:pPr>
    </w:p>
    <w:p w14:paraId="35ACAFEA" w14:textId="77777777" w:rsidR="00020441" w:rsidRPr="001211B5" w:rsidRDefault="00020441">
      <w:pPr>
        <w:rPr>
          <w:rFonts w:cs="Arial"/>
        </w:rPr>
      </w:pPr>
    </w:p>
    <w:p w14:paraId="3CE5614D" w14:textId="77777777" w:rsidR="00020441" w:rsidRPr="001211B5" w:rsidRDefault="00020441" w:rsidP="000F7E97">
      <w:pPr>
        <w:jc w:val="center"/>
        <w:rPr>
          <w:rFonts w:cs="Arial"/>
        </w:rPr>
      </w:pPr>
    </w:p>
    <w:p w14:paraId="4ABE4086" w14:textId="33AB7EA6" w:rsidR="0070084D" w:rsidRDefault="0061144D" w:rsidP="008D1D5D">
      <w:pPr>
        <w:jc w:val="center"/>
        <w:rPr>
          <w:rFonts w:cs="Arial"/>
          <w:b/>
          <w:caps/>
          <w:sz w:val="36"/>
          <w:szCs w:val="36"/>
          <w:lang w:val="es-ES"/>
        </w:rPr>
      </w:pPr>
      <w:r w:rsidRPr="00864B47">
        <w:rPr>
          <w:rFonts w:cs="Arial"/>
          <w:b/>
          <w:caps/>
          <w:sz w:val="36"/>
          <w:szCs w:val="36"/>
          <w:lang w:val="es-ES"/>
        </w:rPr>
        <w:t xml:space="preserve">reglamentaCIÓN DE aspectos comerciales del suministro del Mercado Mayorista de gas natural </w:t>
      </w:r>
    </w:p>
    <w:p w14:paraId="55266565" w14:textId="77777777" w:rsidR="00946C40" w:rsidRPr="00864B47" w:rsidRDefault="00946C40" w:rsidP="008D1D5D">
      <w:pPr>
        <w:jc w:val="center"/>
        <w:rPr>
          <w:rFonts w:cs="Arial"/>
          <w:b/>
          <w:caps/>
          <w:sz w:val="36"/>
          <w:szCs w:val="36"/>
          <w:lang w:val="es-ES"/>
        </w:rPr>
      </w:pPr>
    </w:p>
    <w:p w14:paraId="32C31BDD" w14:textId="77777777" w:rsidR="0070084D" w:rsidRPr="001211B5" w:rsidRDefault="0070084D" w:rsidP="008D1D5D">
      <w:pPr>
        <w:jc w:val="center"/>
        <w:rPr>
          <w:rFonts w:ascii="Century Gothic" w:hAnsi="Century Gothic"/>
          <w:b/>
          <w:bCs/>
          <w:sz w:val="40"/>
          <w:szCs w:val="36"/>
        </w:rPr>
      </w:pPr>
    </w:p>
    <w:p w14:paraId="5998BA35" w14:textId="27E866A8" w:rsidR="00B86317" w:rsidRPr="001211B5" w:rsidRDefault="00B86317" w:rsidP="00B86317">
      <w:pPr>
        <w:rPr>
          <w:rFonts w:cs="Arial"/>
          <w:b/>
          <w:caps/>
          <w:sz w:val="36"/>
          <w:lang w:val="es-ES"/>
        </w:rPr>
      </w:pPr>
      <w:r w:rsidRPr="001211B5">
        <w:rPr>
          <w:rFonts w:cs="Arial"/>
          <w:b/>
          <w:caps/>
          <w:sz w:val="28"/>
          <w:lang w:val="es-ES"/>
        </w:rPr>
        <w:t xml:space="preserve">DOCUMENTO </w:t>
      </w:r>
      <w:r w:rsidRPr="001211B5">
        <w:rPr>
          <w:rFonts w:cs="Arial"/>
          <w:b/>
          <w:caps/>
          <w:sz w:val="40"/>
          <w:lang w:val="es-ES"/>
        </w:rPr>
        <w:t>CREG-</w:t>
      </w:r>
      <w:r w:rsidR="00B97D41">
        <w:rPr>
          <w:rFonts w:cs="Arial"/>
          <w:b/>
          <w:caps/>
          <w:sz w:val="40"/>
          <w:lang w:val="es-ES"/>
        </w:rPr>
        <w:t>702 003</w:t>
      </w:r>
    </w:p>
    <w:p w14:paraId="532C6290" w14:textId="2B2AC6E6" w:rsidR="00B86317" w:rsidRPr="001211B5" w:rsidRDefault="002E1ED2" w:rsidP="00B86317">
      <w:pPr>
        <w:tabs>
          <w:tab w:val="left" w:pos="9142"/>
        </w:tabs>
        <w:jc w:val="left"/>
        <w:rPr>
          <w:rFonts w:cs="Arial"/>
          <w:sz w:val="28"/>
        </w:rPr>
      </w:pPr>
      <w:r>
        <w:rPr>
          <w:rFonts w:cs="Arial"/>
          <w:b/>
          <w:caps/>
          <w:sz w:val="28"/>
          <w:lang w:val="es-ES"/>
        </w:rPr>
        <w:t>21</w:t>
      </w:r>
      <w:r w:rsidR="00B97D41">
        <w:rPr>
          <w:rFonts w:cs="Arial"/>
          <w:b/>
          <w:caps/>
          <w:sz w:val="28"/>
          <w:lang w:val="es-ES"/>
        </w:rPr>
        <w:t xml:space="preserve"> DE </w:t>
      </w:r>
      <w:r>
        <w:rPr>
          <w:rFonts w:cs="Arial"/>
          <w:b/>
          <w:caps/>
          <w:sz w:val="28"/>
          <w:lang w:val="es-ES"/>
        </w:rPr>
        <w:t>ABRIL</w:t>
      </w:r>
      <w:r w:rsidR="00B97D41">
        <w:rPr>
          <w:rFonts w:cs="Arial"/>
          <w:b/>
          <w:caps/>
          <w:sz w:val="28"/>
          <w:lang w:val="es-ES"/>
        </w:rPr>
        <w:t xml:space="preserve"> DE </w:t>
      </w:r>
      <w:r w:rsidR="00B86317" w:rsidRPr="001211B5">
        <w:rPr>
          <w:rFonts w:cs="Arial"/>
          <w:b/>
          <w:caps/>
          <w:sz w:val="28"/>
          <w:lang w:val="es-ES"/>
        </w:rPr>
        <w:t>202</w:t>
      </w:r>
      <w:r w:rsidR="00946C40">
        <w:rPr>
          <w:rFonts w:cs="Arial"/>
          <w:b/>
          <w:caps/>
          <w:sz w:val="28"/>
          <w:lang w:val="es-ES"/>
        </w:rPr>
        <w:t>3</w:t>
      </w:r>
    </w:p>
    <w:p w14:paraId="28893F8C" w14:textId="77777777" w:rsidR="00020441" w:rsidRPr="001211B5" w:rsidRDefault="00020441"/>
    <w:p w14:paraId="21C51B82" w14:textId="77777777" w:rsidR="00020441" w:rsidRPr="001211B5" w:rsidRDefault="00020441" w:rsidP="00981832">
      <w:pPr>
        <w:ind w:left="4956"/>
        <w:jc w:val="right"/>
        <w:rPr>
          <w:b/>
        </w:rPr>
      </w:pPr>
    </w:p>
    <w:p w14:paraId="21BD00ED" w14:textId="453F9011" w:rsidR="00BF683A" w:rsidRDefault="00BF683A">
      <w:pPr>
        <w:ind w:left="4956"/>
        <w:jc w:val="left"/>
        <w:rPr>
          <w:b/>
        </w:rPr>
      </w:pPr>
    </w:p>
    <w:p w14:paraId="3286C082" w14:textId="77777777" w:rsidR="0070084D" w:rsidRPr="001211B5" w:rsidRDefault="0070084D">
      <w:pPr>
        <w:ind w:left="4956"/>
        <w:jc w:val="left"/>
        <w:rPr>
          <w:b/>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rsidRPr="001211B5" w14:paraId="43370785" w14:textId="77777777">
        <w:tc>
          <w:tcPr>
            <w:tcW w:w="4024" w:type="dxa"/>
          </w:tcPr>
          <w:p w14:paraId="6AD94E80" w14:textId="77777777" w:rsidR="0077100C" w:rsidRPr="001211B5" w:rsidRDefault="0077100C">
            <w:pPr>
              <w:jc w:val="left"/>
              <w:rPr>
                <w:b/>
                <w:bCs/>
              </w:rPr>
            </w:pPr>
          </w:p>
          <w:p w14:paraId="2DA56C80" w14:textId="77777777" w:rsidR="0077100C" w:rsidRPr="001211B5" w:rsidRDefault="0077100C">
            <w:pPr>
              <w:jc w:val="left"/>
              <w:rPr>
                <w:b/>
                <w:bCs/>
              </w:rPr>
            </w:pPr>
          </w:p>
          <w:p w14:paraId="3E4048D6" w14:textId="77777777" w:rsidR="00020441" w:rsidRPr="001211B5" w:rsidRDefault="00020441">
            <w:pPr>
              <w:jc w:val="left"/>
              <w:rPr>
                <w:b/>
                <w:bCs/>
              </w:rPr>
            </w:pPr>
            <w:r w:rsidRPr="001211B5">
              <w:rPr>
                <w:b/>
                <w:bCs/>
              </w:rPr>
              <w:t>CIRCULACIÓN:</w:t>
            </w:r>
          </w:p>
        </w:tc>
      </w:tr>
      <w:tr w:rsidR="00020441" w:rsidRPr="001211B5" w14:paraId="706A5576" w14:textId="77777777">
        <w:tc>
          <w:tcPr>
            <w:tcW w:w="4024" w:type="dxa"/>
          </w:tcPr>
          <w:p w14:paraId="312841A0" w14:textId="77777777" w:rsidR="00020441" w:rsidRPr="001211B5" w:rsidRDefault="00020441">
            <w:pPr>
              <w:jc w:val="left"/>
              <w:rPr>
                <w:b/>
                <w:bCs/>
              </w:rPr>
            </w:pPr>
            <w:r w:rsidRPr="001211B5">
              <w:rPr>
                <w:b/>
                <w:bCs/>
              </w:rPr>
              <w:t>MIEMBROS DE LA COMISIÓN DE</w:t>
            </w:r>
          </w:p>
        </w:tc>
      </w:tr>
      <w:tr w:rsidR="00020441" w:rsidRPr="001211B5" w14:paraId="3324CC03" w14:textId="77777777">
        <w:tc>
          <w:tcPr>
            <w:tcW w:w="4024" w:type="dxa"/>
          </w:tcPr>
          <w:p w14:paraId="3A5D94DE" w14:textId="77777777" w:rsidR="00020441" w:rsidRPr="001211B5" w:rsidRDefault="00020441" w:rsidP="008C14EF">
            <w:pPr>
              <w:tabs>
                <w:tab w:val="left" w:pos="4606"/>
                <w:tab w:val="left" w:pos="9142"/>
              </w:tabs>
              <w:jc w:val="left"/>
              <w:rPr>
                <w:b/>
                <w:bCs/>
              </w:rPr>
            </w:pPr>
            <w:r w:rsidRPr="001211B5">
              <w:rPr>
                <w:b/>
                <w:bCs/>
              </w:rPr>
              <w:t xml:space="preserve">REGULACIÓN DE ENERGÍA Y GAS </w:t>
            </w:r>
          </w:p>
        </w:tc>
      </w:tr>
    </w:tbl>
    <w:p w14:paraId="653EC364" w14:textId="7693F704" w:rsidR="00903006" w:rsidRDefault="00903006" w:rsidP="00903006">
      <w:pPr>
        <w:pStyle w:val="TtuloTDC"/>
        <w:tabs>
          <w:tab w:val="center" w:pos="4677"/>
          <w:tab w:val="right" w:pos="9355"/>
        </w:tabs>
        <w:rPr>
          <w:rFonts w:ascii="Arial" w:eastAsia="Times New Roman" w:hAnsi="Arial" w:cs="Times New Roman"/>
          <w:color w:val="auto"/>
          <w:sz w:val="24"/>
          <w:szCs w:val="20"/>
          <w:lang w:val="es-ES" w:eastAsia="es-ES"/>
        </w:rPr>
      </w:pPr>
    </w:p>
    <w:p w14:paraId="257852B6" w14:textId="77777777" w:rsidR="0070084D" w:rsidRPr="0070084D" w:rsidRDefault="0070084D" w:rsidP="0070084D">
      <w:pPr>
        <w:rPr>
          <w:lang w:val="es-ES"/>
        </w:rPr>
      </w:pPr>
    </w:p>
    <w:p w14:paraId="5CE52B70" w14:textId="587471C7" w:rsidR="00864B47" w:rsidRDefault="00864B47" w:rsidP="0070084D">
      <w:pPr>
        <w:rPr>
          <w:lang w:val="es-ES"/>
        </w:rPr>
      </w:pPr>
    </w:p>
    <w:p w14:paraId="063DC892" w14:textId="77777777" w:rsidR="00D74A97" w:rsidRDefault="00D74A97" w:rsidP="0070084D">
      <w:pPr>
        <w:rPr>
          <w:lang w:val="es-ES"/>
        </w:rPr>
      </w:pPr>
    </w:p>
    <w:p w14:paraId="14C359FF" w14:textId="3B29A7D8" w:rsidR="00864B47" w:rsidRDefault="00864B47" w:rsidP="0070084D">
      <w:pPr>
        <w:rPr>
          <w:lang w:val="es-ES"/>
        </w:rPr>
      </w:pPr>
    </w:p>
    <w:p w14:paraId="4818E495" w14:textId="77777777" w:rsidR="000C22BF" w:rsidRDefault="000C22BF" w:rsidP="0070084D">
      <w:pPr>
        <w:rPr>
          <w:lang w:val="es-ES"/>
        </w:rPr>
      </w:pPr>
    </w:p>
    <w:p w14:paraId="7A64960E" w14:textId="77777777" w:rsidR="00864B47" w:rsidRPr="0070084D" w:rsidRDefault="00864B47" w:rsidP="0070084D">
      <w:pPr>
        <w:rPr>
          <w:lang w:val="es-ES"/>
        </w:rPr>
      </w:pPr>
    </w:p>
    <w:sdt>
      <w:sdtPr>
        <w:rPr>
          <w:rFonts w:ascii="Arial" w:eastAsia="Times New Roman" w:hAnsi="Arial" w:cs="Arial"/>
          <w:color w:val="auto"/>
          <w:sz w:val="28"/>
          <w:szCs w:val="28"/>
          <w:lang w:val="es-ES" w:eastAsia="es-ES"/>
        </w:rPr>
        <w:id w:val="916057703"/>
        <w:docPartObj>
          <w:docPartGallery w:val="Table of Contents"/>
          <w:docPartUnique/>
        </w:docPartObj>
      </w:sdtPr>
      <w:sdtEndPr>
        <w:rPr>
          <w:rFonts w:cs="Times New Roman"/>
          <w:b/>
          <w:bCs/>
          <w:sz w:val="22"/>
          <w:szCs w:val="22"/>
        </w:rPr>
      </w:sdtEndPr>
      <w:sdtContent>
        <w:p w14:paraId="6A47C651" w14:textId="416F5F68" w:rsidR="00AD21C2" w:rsidRPr="000C22BF" w:rsidRDefault="00903006" w:rsidP="00903006">
          <w:pPr>
            <w:pStyle w:val="TtuloTDC"/>
            <w:tabs>
              <w:tab w:val="center" w:pos="4677"/>
              <w:tab w:val="right" w:pos="9355"/>
            </w:tabs>
            <w:rPr>
              <w:rFonts w:ascii="Arial" w:hAnsi="Arial" w:cs="Arial"/>
              <w:b/>
              <w:bCs/>
              <w:color w:val="auto"/>
              <w:sz w:val="28"/>
              <w:szCs w:val="28"/>
              <w:lang w:val="es-ES"/>
            </w:rPr>
          </w:pPr>
          <w:r w:rsidRPr="000C22BF">
            <w:rPr>
              <w:rFonts w:ascii="Arial" w:eastAsia="Times New Roman" w:hAnsi="Arial" w:cs="Arial"/>
              <w:color w:val="auto"/>
              <w:sz w:val="28"/>
              <w:szCs w:val="28"/>
              <w:lang w:val="es-ES" w:eastAsia="es-ES"/>
            </w:rPr>
            <w:tab/>
          </w:r>
          <w:r w:rsidR="00775EBA" w:rsidRPr="000C22BF">
            <w:rPr>
              <w:rFonts w:ascii="Arial" w:hAnsi="Arial" w:cs="Arial"/>
              <w:b/>
              <w:bCs/>
              <w:color w:val="auto"/>
              <w:sz w:val="28"/>
              <w:szCs w:val="28"/>
              <w:lang w:val="es-ES"/>
            </w:rPr>
            <w:t>CONTENIDO</w:t>
          </w:r>
          <w:r w:rsidRPr="000C22BF">
            <w:rPr>
              <w:rFonts w:ascii="Arial" w:hAnsi="Arial" w:cs="Arial"/>
              <w:b/>
              <w:bCs/>
              <w:color w:val="auto"/>
              <w:sz w:val="28"/>
              <w:szCs w:val="28"/>
              <w:lang w:val="es-ES"/>
            </w:rPr>
            <w:tab/>
          </w:r>
        </w:p>
        <w:p w14:paraId="283690EA" w14:textId="77777777" w:rsidR="00775EBA" w:rsidRPr="000C39B1" w:rsidRDefault="00775EBA" w:rsidP="00775EBA">
          <w:pPr>
            <w:rPr>
              <w:sz w:val="22"/>
              <w:szCs w:val="22"/>
              <w:lang w:val="es-ES" w:eastAsia="es-MX"/>
            </w:rPr>
          </w:pPr>
        </w:p>
        <w:p w14:paraId="26EAF250" w14:textId="5E067A23" w:rsidR="006128CE" w:rsidRDefault="00AD21C2">
          <w:pPr>
            <w:pStyle w:val="TDC1"/>
            <w:rPr>
              <w:rFonts w:asciiTheme="minorHAnsi" w:eastAsiaTheme="minorEastAsia" w:hAnsiTheme="minorHAnsi" w:cstheme="minorBidi"/>
              <w:kern w:val="2"/>
              <w:sz w:val="22"/>
              <w:szCs w:val="22"/>
              <w:lang w:val="es-CO" w:eastAsia="es-CO"/>
              <w14:ligatures w14:val="standardContextual"/>
            </w:rPr>
          </w:pPr>
          <w:r w:rsidRPr="000C39B1">
            <w:rPr>
              <w:sz w:val="22"/>
              <w:szCs w:val="22"/>
            </w:rPr>
            <w:fldChar w:fldCharType="begin"/>
          </w:r>
          <w:r w:rsidRPr="000C39B1">
            <w:rPr>
              <w:sz w:val="22"/>
              <w:szCs w:val="22"/>
            </w:rPr>
            <w:instrText xml:space="preserve"> TOC \o "1-3" \h \z \u </w:instrText>
          </w:r>
          <w:r w:rsidRPr="000C39B1">
            <w:rPr>
              <w:sz w:val="22"/>
              <w:szCs w:val="22"/>
            </w:rPr>
            <w:fldChar w:fldCharType="separate"/>
          </w:r>
          <w:hyperlink w:anchor="_Toc140506183" w:history="1">
            <w:r w:rsidR="006128CE" w:rsidRPr="004727B5">
              <w:rPr>
                <w:rStyle w:val="Hipervnculo"/>
                <w:rFonts w:cs="Arial"/>
              </w:rPr>
              <w:t>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Fonts w:cs="Arial"/>
              </w:rPr>
              <w:t>ANTECEDENTES E INFORMACIÓN GENERAL</w:t>
            </w:r>
            <w:r w:rsidR="006128CE">
              <w:rPr>
                <w:webHidden/>
              </w:rPr>
              <w:tab/>
            </w:r>
            <w:r w:rsidR="006128CE">
              <w:rPr>
                <w:webHidden/>
              </w:rPr>
              <w:fldChar w:fldCharType="begin"/>
            </w:r>
            <w:r w:rsidR="006128CE">
              <w:rPr>
                <w:webHidden/>
              </w:rPr>
              <w:instrText xml:space="preserve"> PAGEREF _Toc140506183 \h </w:instrText>
            </w:r>
            <w:r w:rsidR="006128CE">
              <w:rPr>
                <w:webHidden/>
              </w:rPr>
            </w:r>
            <w:r w:rsidR="006128CE">
              <w:rPr>
                <w:webHidden/>
              </w:rPr>
              <w:fldChar w:fldCharType="separate"/>
            </w:r>
            <w:r w:rsidR="006128CE">
              <w:rPr>
                <w:webHidden/>
              </w:rPr>
              <w:t>4</w:t>
            </w:r>
            <w:r w:rsidR="006128CE">
              <w:rPr>
                <w:webHidden/>
              </w:rPr>
              <w:fldChar w:fldCharType="end"/>
            </w:r>
          </w:hyperlink>
        </w:p>
        <w:p w14:paraId="1E5EBC53" w14:textId="649C5477"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185" w:history="1">
            <w:r w:rsidR="006128CE" w:rsidRPr="004727B5">
              <w:rPr>
                <w:rStyle w:val="Hipervnculo"/>
              </w:rPr>
              <w:t>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DEFINICIÓN DEL PROBLEMA</w:t>
            </w:r>
            <w:r w:rsidR="006128CE">
              <w:rPr>
                <w:webHidden/>
              </w:rPr>
              <w:tab/>
            </w:r>
            <w:r w:rsidR="006128CE">
              <w:rPr>
                <w:webHidden/>
              </w:rPr>
              <w:fldChar w:fldCharType="begin"/>
            </w:r>
            <w:r w:rsidR="006128CE">
              <w:rPr>
                <w:webHidden/>
              </w:rPr>
              <w:instrText xml:space="preserve"> PAGEREF _Toc140506185 \h </w:instrText>
            </w:r>
            <w:r w:rsidR="006128CE">
              <w:rPr>
                <w:webHidden/>
              </w:rPr>
            </w:r>
            <w:r w:rsidR="006128CE">
              <w:rPr>
                <w:webHidden/>
              </w:rPr>
              <w:fldChar w:fldCharType="separate"/>
            </w:r>
            <w:r w:rsidR="006128CE">
              <w:rPr>
                <w:webHidden/>
              </w:rPr>
              <w:t>5</w:t>
            </w:r>
            <w:r w:rsidR="006128CE">
              <w:rPr>
                <w:webHidden/>
              </w:rPr>
              <w:fldChar w:fldCharType="end"/>
            </w:r>
          </w:hyperlink>
        </w:p>
        <w:p w14:paraId="336B7B81" w14:textId="421E737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186" w:history="1">
            <w:r w:rsidR="006128CE" w:rsidRPr="004727B5">
              <w:rPr>
                <w:rStyle w:val="Hipervnculo"/>
              </w:rPr>
              <w:t>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Problemática identificada en el documento CREG-049 de 2021</w:t>
            </w:r>
            <w:r w:rsidR="006128CE">
              <w:rPr>
                <w:webHidden/>
              </w:rPr>
              <w:tab/>
            </w:r>
            <w:r w:rsidR="006128CE">
              <w:rPr>
                <w:webHidden/>
              </w:rPr>
              <w:fldChar w:fldCharType="begin"/>
            </w:r>
            <w:r w:rsidR="006128CE">
              <w:rPr>
                <w:webHidden/>
              </w:rPr>
              <w:instrText xml:space="preserve"> PAGEREF _Toc140506186 \h </w:instrText>
            </w:r>
            <w:r w:rsidR="006128CE">
              <w:rPr>
                <w:webHidden/>
              </w:rPr>
            </w:r>
            <w:r w:rsidR="006128CE">
              <w:rPr>
                <w:webHidden/>
              </w:rPr>
              <w:fldChar w:fldCharType="separate"/>
            </w:r>
            <w:r w:rsidR="006128CE">
              <w:rPr>
                <w:webHidden/>
              </w:rPr>
              <w:t>5</w:t>
            </w:r>
            <w:r w:rsidR="006128CE">
              <w:rPr>
                <w:webHidden/>
              </w:rPr>
              <w:fldChar w:fldCharType="end"/>
            </w:r>
          </w:hyperlink>
        </w:p>
        <w:p w14:paraId="3D6DE0AA" w14:textId="4626F6E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187" w:history="1">
            <w:r w:rsidR="006128CE" w:rsidRPr="004727B5">
              <w:rPr>
                <w:rStyle w:val="Hipervnculo"/>
              </w:rPr>
              <w:t>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Otros problemas identificados</w:t>
            </w:r>
            <w:r w:rsidR="006128CE">
              <w:rPr>
                <w:webHidden/>
              </w:rPr>
              <w:tab/>
            </w:r>
            <w:r w:rsidR="006128CE">
              <w:rPr>
                <w:webHidden/>
              </w:rPr>
              <w:fldChar w:fldCharType="begin"/>
            </w:r>
            <w:r w:rsidR="006128CE">
              <w:rPr>
                <w:webHidden/>
              </w:rPr>
              <w:instrText xml:space="preserve"> PAGEREF _Toc140506187 \h </w:instrText>
            </w:r>
            <w:r w:rsidR="006128CE">
              <w:rPr>
                <w:webHidden/>
              </w:rPr>
            </w:r>
            <w:r w:rsidR="006128CE">
              <w:rPr>
                <w:webHidden/>
              </w:rPr>
              <w:fldChar w:fldCharType="separate"/>
            </w:r>
            <w:r w:rsidR="006128CE">
              <w:rPr>
                <w:webHidden/>
              </w:rPr>
              <w:t>7</w:t>
            </w:r>
            <w:r w:rsidR="006128CE">
              <w:rPr>
                <w:webHidden/>
              </w:rPr>
              <w:fldChar w:fldCharType="end"/>
            </w:r>
          </w:hyperlink>
        </w:p>
        <w:p w14:paraId="3B509EF4" w14:textId="19B3339F"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188" w:history="1">
            <w:r w:rsidR="006128CE" w:rsidRPr="004727B5">
              <w:rPr>
                <w:rStyle w:val="Hipervnculo"/>
                <w:noProof/>
              </w:rPr>
              <w:t>2.2.1</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Abastecimiento futuro para la demanda nacional total de gas natural</w:t>
            </w:r>
            <w:r w:rsidR="006128CE">
              <w:rPr>
                <w:noProof/>
                <w:webHidden/>
              </w:rPr>
              <w:tab/>
            </w:r>
            <w:r w:rsidR="006128CE">
              <w:rPr>
                <w:noProof/>
                <w:webHidden/>
              </w:rPr>
              <w:fldChar w:fldCharType="begin"/>
            </w:r>
            <w:r w:rsidR="006128CE">
              <w:rPr>
                <w:noProof/>
                <w:webHidden/>
              </w:rPr>
              <w:instrText xml:space="preserve"> PAGEREF _Toc140506188 \h </w:instrText>
            </w:r>
            <w:r w:rsidR="006128CE">
              <w:rPr>
                <w:noProof/>
                <w:webHidden/>
              </w:rPr>
            </w:r>
            <w:r w:rsidR="006128CE">
              <w:rPr>
                <w:noProof/>
                <w:webHidden/>
              </w:rPr>
              <w:fldChar w:fldCharType="separate"/>
            </w:r>
            <w:r w:rsidR="006128CE">
              <w:rPr>
                <w:noProof/>
                <w:webHidden/>
              </w:rPr>
              <w:t>7</w:t>
            </w:r>
            <w:r w:rsidR="006128CE">
              <w:rPr>
                <w:noProof/>
                <w:webHidden/>
              </w:rPr>
              <w:fldChar w:fldCharType="end"/>
            </w:r>
          </w:hyperlink>
        </w:p>
        <w:p w14:paraId="1EEED9D9" w14:textId="51F55B0C"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189" w:history="1">
            <w:r w:rsidR="006128CE" w:rsidRPr="004727B5">
              <w:rPr>
                <w:rStyle w:val="Hipervnculo"/>
                <w:noProof/>
              </w:rPr>
              <w:t>2.2.2</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Información de la demanda a ser contratada de corto, mediano y largo plazo</w:t>
            </w:r>
            <w:r w:rsidR="006128CE">
              <w:rPr>
                <w:noProof/>
                <w:webHidden/>
              </w:rPr>
              <w:tab/>
            </w:r>
            <w:r w:rsidR="006128CE">
              <w:rPr>
                <w:noProof/>
                <w:webHidden/>
              </w:rPr>
              <w:fldChar w:fldCharType="begin"/>
            </w:r>
            <w:r w:rsidR="006128CE">
              <w:rPr>
                <w:noProof/>
                <w:webHidden/>
              </w:rPr>
              <w:instrText xml:space="preserve"> PAGEREF _Toc140506189 \h </w:instrText>
            </w:r>
            <w:r w:rsidR="006128CE">
              <w:rPr>
                <w:noProof/>
                <w:webHidden/>
              </w:rPr>
            </w:r>
            <w:r w:rsidR="006128CE">
              <w:rPr>
                <w:noProof/>
                <w:webHidden/>
              </w:rPr>
              <w:fldChar w:fldCharType="separate"/>
            </w:r>
            <w:r w:rsidR="006128CE">
              <w:rPr>
                <w:noProof/>
                <w:webHidden/>
              </w:rPr>
              <w:t>11</w:t>
            </w:r>
            <w:r w:rsidR="006128CE">
              <w:rPr>
                <w:noProof/>
                <w:webHidden/>
              </w:rPr>
              <w:fldChar w:fldCharType="end"/>
            </w:r>
          </w:hyperlink>
        </w:p>
        <w:p w14:paraId="4C282030" w14:textId="58E81848"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190" w:history="1">
            <w:r w:rsidR="006128CE" w:rsidRPr="004727B5">
              <w:rPr>
                <w:rStyle w:val="Hipervnculo"/>
                <w:noProof/>
              </w:rPr>
              <w:t>2.2.3</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El aseguramiento de la contratación del suministro con Respaldo Físico para atender a la Demanda Esencial</w:t>
            </w:r>
            <w:r w:rsidR="006128CE">
              <w:rPr>
                <w:noProof/>
                <w:webHidden/>
              </w:rPr>
              <w:tab/>
            </w:r>
            <w:r w:rsidR="006128CE">
              <w:rPr>
                <w:noProof/>
                <w:webHidden/>
              </w:rPr>
              <w:fldChar w:fldCharType="begin"/>
            </w:r>
            <w:r w:rsidR="006128CE">
              <w:rPr>
                <w:noProof/>
                <w:webHidden/>
              </w:rPr>
              <w:instrText xml:space="preserve"> PAGEREF _Toc140506190 \h </w:instrText>
            </w:r>
            <w:r w:rsidR="006128CE">
              <w:rPr>
                <w:noProof/>
                <w:webHidden/>
              </w:rPr>
            </w:r>
            <w:r w:rsidR="006128CE">
              <w:rPr>
                <w:noProof/>
                <w:webHidden/>
              </w:rPr>
              <w:fldChar w:fldCharType="separate"/>
            </w:r>
            <w:r w:rsidR="006128CE">
              <w:rPr>
                <w:noProof/>
                <w:webHidden/>
              </w:rPr>
              <w:t>12</w:t>
            </w:r>
            <w:r w:rsidR="006128CE">
              <w:rPr>
                <w:noProof/>
                <w:webHidden/>
              </w:rPr>
              <w:fldChar w:fldCharType="end"/>
            </w:r>
          </w:hyperlink>
        </w:p>
        <w:p w14:paraId="3A67C0C8" w14:textId="43F10F11"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191" w:history="1">
            <w:r w:rsidR="006128CE" w:rsidRPr="004727B5">
              <w:rPr>
                <w:rStyle w:val="Hipervnculo"/>
                <w:noProof/>
              </w:rPr>
              <w:t>2.2.4</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Abastecimiento futuro de fuentes de suministro con excepciones</w:t>
            </w:r>
            <w:r w:rsidR="006128CE">
              <w:rPr>
                <w:noProof/>
                <w:webHidden/>
              </w:rPr>
              <w:tab/>
            </w:r>
            <w:r w:rsidR="006128CE">
              <w:rPr>
                <w:noProof/>
                <w:webHidden/>
              </w:rPr>
              <w:fldChar w:fldCharType="begin"/>
            </w:r>
            <w:r w:rsidR="006128CE">
              <w:rPr>
                <w:noProof/>
                <w:webHidden/>
              </w:rPr>
              <w:instrText xml:space="preserve"> PAGEREF _Toc140506191 \h </w:instrText>
            </w:r>
            <w:r w:rsidR="006128CE">
              <w:rPr>
                <w:noProof/>
                <w:webHidden/>
              </w:rPr>
            </w:r>
            <w:r w:rsidR="006128CE">
              <w:rPr>
                <w:noProof/>
                <w:webHidden/>
              </w:rPr>
              <w:fldChar w:fldCharType="separate"/>
            </w:r>
            <w:r w:rsidR="006128CE">
              <w:rPr>
                <w:noProof/>
                <w:webHidden/>
              </w:rPr>
              <w:t>14</w:t>
            </w:r>
            <w:r w:rsidR="006128CE">
              <w:rPr>
                <w:noProof/>
                <w:webHidden/>
              </w:rPr>
              <w:fldChar w:fldCharType="end"/>
            </w:r>
          </w:hyperlink>
        </w:p>
        <w:p w14:paraId="395B8F59" w14:textId="484B491B"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192" w:history="1">
            <w:r w:rsidR="006128CE" w:rsidRPr="004727B5">
              <w:rPr>
                <w:rStyle w:val="Hipervnculo"/>
                <w:noProof/>
              </w:rPr>
              <w:t>2.2.5</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Acople entre comercialización del suministro y la comercialización de la capacidad de transporte de gas natural</w:t>
            </w:r>
            <w:r w:rsidR="006128CE">
              <w:rPr>
                <w:noProof/>
                <w:webHidden/>
              </w:rPr>
              <w:tab/>
            </w:r>
            <w:r w:rsidR="006128CE">
              <w:rPr>
                <w:noProof/>
                <w:webHidden/>
              </w:rPr>
              <w:fldChar w:fldCharType="begin"/>
            </w:r>
            <w:r w:rsidR="006128CE">
              <w:rPr>
                <w:noProof/>
                <w:webHidden/>
              </w:rPr>
              <w:instrText xml:space="preserve"> PAGEREF _Toc140506192 \h </w:instrText>
            </w:r>
            <w:r w:rsidR="006128CE">
              <w:rPr>
                <w:noProof/>
                <w:webHidden/>
              </w:rPr>
            </w:r>
            <w:r w:rsidR="006128CE">
              <w:rPr>
                <w:noProof/>
                <w:webHidden/>
              </w:rPr>
              <w:fldChar w:fldCharType="separate"/>
            </w:r>
            <w:r w:rsidR="006128CE">
              <w:rPr>
                <w:noProof/>
                <w:webHidden/>
              </w:rPr>
              <w:t>18</w:t>
            </w:r>
            <w:r w:rsidR="006128CE">
              <w:rPr>
                <w:noProof/>
                <w:webHidden/>
              </w:rPr>
              <w:fldChar w:fldCharType="end"/>
            </w:r>
          </w:hyperlink>
        </w:p>
        <w:p w14:paraId="0897293E" w14:textId="706B76A1"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193" w:history="1">
            <w:r w:rsidR="006128CE" w:rsidRPr="004727B5">
              <w:rPr>
                <w:rStyle w:val="Hipervnculo"/>
                <w:noProof/>
              </w:rPr>
              <w:t>2.2.6</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Comercialización de campos en pruebas extensas o sobre las cuales no se haya declarado su comercialidad</w:t>
            </w:r>
            <w:r w:rsidR="006128CE">
              <w:rPr>
                <w:noProof/>
                <w:webHidden/>
              </w:rPr>
              <w:tab/>
            </w:r>
            <w:r w:rsidR="006128CE">
              <w:rPr>
                <w:noProof/>
                <w:webHidden/>
              </w:rPr>
              <w:fldChar w:fldCharType="begin"/>
            </w:r>
            <w:r w:rsidR="006128CE">
              <w:rPr>
                <w:noProof/>
                <w:webHidden/>
              </w:rPr>
              <w:instrText xml:space="preserve"> PAGEREF _Toc140506193 \h </w:instrText>
            </w:r>
            <w:r w:rsidR="006128CE">
              <w:rPr>
                <w:noProof/>
                <w:webHidden/>
              </w:rPr>
            </w:r>
            <w:r w:rsidR="006128CE">
              <w:rPr>
                <w:noProof/>
                <w:webHidden/>
              </w:rPr>
              <w:fldChar w:fldCharType="separate"/>
            </w:r>
            <w:r w:rsidR="006128CE">
              <w:rPr>
                <w:noProof/>
                <w:webHidden/>
              </w:rPr>
              <w:t>18</w:t>
            </w:r>
            <w:r w:rsidR="006128CE">
              <w:rPr>
                <w:noProof/>
                <w:webHidden/>
              </w:rPr>
              <w:fldChar w:fldCharType="end"/>
            </w:r>
          </w:hyperlink>
        </w:p>
        <w:p w14:paraId="2A15F62F" w14:textId="0BF612C6"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194" w:history="1">
            <w:r w:rsidR="006128CE" w:rsidRPr="004727B5">
              <w:rPr>
                <w:rStyle w:val="Hipervnculo"/>
                <w:noProof/>
              </w:rPr>
              <w:t>2.2.7</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Definición de condiciones para considerar el Respaldo Físico de gas natural que se obtiene en el exterior</w:t>
            </w:r>
            <w:r w:rsidR="006128CE">
              <w:rPr>
                <w:noProof/>
                <w:webHidden/>
              </w:rPr>
              <w:tab/>
            </w:r>
            <w:r w:rsidR="006128CE">
              <w:rPr>
                <w:noProof/>
                <w:webHidden/>
              </w:rPr>
              <w:fldChar w:fldCharType="begin"/>
            </w:r>
            <w:r w:rsidR="006128CE">
              <w:rPr>
                <w:noProof/>
                <w:webHidden/>
              </w:rPr>
              <w:instrText xml:space="preserve"> PAGEREF _Toc140506194 \h </w:instrText>
            </w:r>
            <w:r w:rsidR="006128CE">
              <w:rPr>
                <w:noProof/>
                <w:webHidden/>
              </w:rPr>
            </w:r>
            <w:r w:rsidR="006128CE">
              <w:rPr>
                <w:noProof/>
                <w:webHidden/>
              </w:rPr>
              <w:fldChar w:fldCharType="separate"/>
            </w:r>
            <w:r w:rsidR="006128CE">
              <w:rPr>
                <w:noProof/>
                <w:webHidden/>
              </w:rPr>
              <w:t>19</w:t>
            </w:r>
            <w:r w:rsidR="006128CE">
              <w:rPr>
                <w:noProof/>
                <w:webHidden/>
              </w:rPr>
              <w:fldChar w:fldCharType="end"/>
            </w:r>
          </w:hyperlink>
        </w:p>
        <w:p w14:paraId="27922791" w14:textId="532912D2"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195" w:history="1">
            <w:r w:rsidR="006128CE" w:rsidRPr="004727B5">
              <w:rPr>
                <w:rStyle w:val="Hipervnculo"/>
                <w:noProof/>
              </w:rPr>
              <w:t>2.2.8</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Registro del tipo de contrato del Mercado Primario</w:t>
            </w:r>
            <w:r w:rsidR="006128CE">
              <w:rPr>
                <w:noProof/>
                <w:webHidden/>
              </w:rPr>
              <w:tab/>
            </w:r>
            <w:r w:rsidR="006128CE">
              <w:rPr>
                <w:noProof/>
                <w:webHidden/>
              </w:rPr>
              <w:fldChar w:fldCharType="begin"/>
            </w:r>
            <w:r w:rsidR="006128CE">
              <w:rPr>
                <w:noProof/>
                <w:webHidden/>
              </w:rPr>
              <w:instrText xml:space="preserve"> PAGEREF _Toc140506195 \h </w:instrText>
            </w:r>
            <w:r w:rsidR="006128CE">
              <w:rPr>
                <w:noProof/>
                <w:webHidden/>
              </w:rPr>
            </w:r>
            <w:r w:rsidR="006128CE">
              <w:rPr>
                <w:noProof/>
                <w:webHidden/>
              </w:rPr>
              <w:fldChar w:fldCharType="separate"/>
            </w:r>
            <w:r w:rsidR="006128CE">
              <w:rPr>
                <w:noProof/>
                <w:webHidden/>
              </w:rPr>
              <w:t>20</w:t>
            </w:r>
            <w:r w:rsidR="006128CE">
              <w:rPr>
                <w:noProof/>
                <w:webHidden/>
              </w:rPr>
              <w:fldChar w:fldCharType="end"/>
            </w:r>
          </w:hyperlink>
        </w:p>
        <w:p w14:paraId="2D04ABE3" w14:textId="40457B24"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197" w:history="1">
            <w:r w:rsidR="006128CE" w:rsidRPr="004727B5">
              <w:rPr>
                <w:rStyle w:val="Hipervnculo"/>
                <w:rFonts w:cs="Arial"/>
              </w:rPr>
              <w:t>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Fonts w:cs="Arial"/>
              </w:rPr>
              <w:t>OBJETIVO GENERALES y OBJETIVOS ESPECÍFICOS</w:t>
            </w:r>
            <w:r w:rsidR="006128CE">
              <w:rPr>
                <w:webHidden/>
              </w:rPr>
              <w:tab/>
            </w:r>
            <w:r w:rsidR="006128CE">
              <w:rPr>
                <w:webHidden/>
              </w:rPr>
              <w:fldChar w:fldCharType="begin"/>
            </w:r>
            <w:r w:rsidR="006128CE">
              <w:rPr>
                <w:webHidden/>
              </w:rPr>
              <w:instrText xml:space="preserve"> PAGEREF _Toc140506197 \h </w:instrText>
            </w:r>
            <w:r w:rsidR="006128CE">
              <w:rPr>
                <w:webHidden/>
              </w:rPr>
            </w:r>
            <w:r w:rsidR="006128CE">
              <w:rPr>
                <w:webHidden/>
              </w:rPr>
              <w:fldChar w:fldCharType="separate"/>
            </w:r>
            <w:r w:rsidR="006128CE">
              <w:rPr>
                <w:webHidden/>
              </w:rPr>
              <w:t>23</w:t>
            </w:r>
            <w:r w:rsidR="006128CE">
              <w:rPr>
                <w:webHidden/>
              </w:rPr>
              <w:fldChar w:fldCharType="end"/>
            </w:r>
          </w:hyperlink>
        </w:p>
        <w:p w14:paraId="2742DE83" w14:textId="41322D2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199" w:history="1">
            <w:r w:rsidR="006128CE" w:rsidRPr="004727B5">
              <w:rPr>
                <w:rStyle w:val="Hipervnculo"/>
              </w:rPr>
              <w:t>3.1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Objetivo general</w:t>
            </w:r>
            <w:r w:rsidR="006128CE">
              <w:rPr>
                <w:webHidden/>
              </w:rPr>
              <w:tab/>
            </w:r>
            <w:r w:rsidR="006128CE">
              <w:rPr>
                <w:webHidden/>
              </w:rPr>
              <w:fldChar w:fldCharType="begin"/>
            </w:r>
            <w:r w:rsidR="006128CE">
              <w:rPr>
                <w:webHidden/>
              </w:rPr>
              <w:instrText xml:space="preserve"> PAGEREF _Toc140506199 \h </w:instrText>
            </w:r>
            <w:r w:rsidR="006128CE">
              <w:rPr>
                <w:webHidden/>
              </w:rPr>
            </w:r>
            <w:r w:rsidR="006128CE">
              <w:rPr>
                <w:webHidden/>
              </w:rPr>
              <w:fldChar w:fldCharType="separate"/>
            </w:r>
            <w:r w:rsidR="006128CE">
              <w:rPr>
                <w:webHidden/>
              </w:rPr>
              <w:t>23</w:t>
            </w:r>
            <w:r w:rsidR="006128CE">
              <w:rPr>
                <w:webHidden/>
              </w:rPr>
              <w:fldChar w:fldCharType="end"/>
            </w:r>
          </w:hyperlink>
        </w:p>
        <w:p w14:paraId="4B5F0029" w14:textId="10A5111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00" w:history="1">
            <w:r w:rsidR="006128CE" w:rsidRPr="004727B5">
              <w:rPr>
                <w:rStyle w:val="Hipervnculo"/>
              </w:rPr>
              <w:t>3.2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Objetivos específicos</w:t>
            </w:r>
            <w:r w:rsidR="006128CE">
              <w:rPr>
                <w:webHidden/>
              </w:rPr>
              <w:tab/>
            </w:r>
            <w:r w:rsidR="006128CE">
              <w:rPr>
                <w:webHidden/>
              </w:rPr>
              <w:fldChar w:fldCharType="begin"/>
            </w:r>
            <w:r w:rsidR="006128CE">
              <w:rPr>
                <w:webHidden/>
              </w:rPr>
              <w:instrText xml:space="preserve"> PAGEREF _Toc140506200 \h </w:instrText>
            </w:r>
            <w:r w:rsidR="006128CE">
              <w:rPr>
                <w:webHidden/>
              </w:rPr>
            </w:r>
            <w:r w:rsidR="006128CE">
              <w:rPr>
                <w:webHidden/>
              </w:rPr>
              <w:fldChar w:fldCharType="separate"/>
            </w:r>
            <w:r w:rsidR="006128CE">
              <w:rPr>
                <w:webHidden/>
              </w:rPr>
              <w:t>23</w:t>
            </w:r>
            <w:r w:rsidR="006128CE">
              <w:rPr>
                <w:webHidden/>
              </w:rPr>
              <w:fldChar w:fldCharType="end"/>
            </w:r>
          </w:hyperlink>
        </w:p>
        <w:p w14:paraId="1696040E" w14:textId="5F740A5B"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1" w:history="1">
            <w:r w:rsidR="006128CE" w:rsidRPr="004727B5">
              <w:rPr>
                <w:rStyle w:val="Hipervnculo"/>
                <w:noProof/>
              </w:rPr>
              <w:t>3.2.1</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Flexibilidad en el proceso de contratación y los tipos de contratos</w:t>
            </w:r>
            <w:r w:rsidR="006128CE">
              <w:rPr>
                <w:noProof/>
                <w:webHidden/>
              </w:rPr>
              <w:tab/>
            </w:r>
            <w:r w:rsidR="006128CE">
              <w:rPr>
                <w:noProof/>
                <w:webHidden/>
              </w:rPr>
              <w:fldChar w:fldCharType="begin"/>
            </w:r>
            <w:r w:rsidR="006128CE">
              <w:rPr>
                <w:noProof/>
                <w:webHidden/>
              </w:rPr>
              <w:instrText xml:space="preserve"> PAGEREF _Toc140506201 \h </w:instrText>
            </w:r>
            <w:r w:rsidR="006128CE">
              <w:rPr>
                <w:noProof/>
                <w:webHidden/>
              </w:rPr>
            </w:r>
            <w:r w:rsidR="006128CE">
              <w:rPr>
                <w:noProof/>
                <w:webHidden/>
              </w:rPr>
              <w:fldChar w:fldCharType="separate"/>
            </w:r>
            <w:r w:rsidR="006128CE">
              <w:rPr>
                <w:noProof/>
                <w:webHidden/>
              </w:rPr>
              <w:t>23</w:t>
            </w:r>
            <w:r w:rsidR="006128CE">
              <w:rPr>
                <w:noProof/>
                <w:webHidden/>
              </w:rPr>
              <w:fldChar w:fldCharType="end"/>
            </w:r>
          </w:hyperlink>
        </w:p>
        <w:p w14:paraId="14265ACA" w14:textId="4DC47A8E"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2" w:history="1">
            <w:r w:rsidR="006128CE" w:rsidRPr="004727B5">
              <w:rPr>
                <w:rStyle w:val="Hipervnculo"/>
                <w:noProof/>
              </w:rPr>
              <w:t>3.2.2</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Comercialización del suministro proveniente de nuevas fuentes de suministro nacionales o externas (Costa afuera y Yacimientos no Convencionales)</w:t>
            </w:r>
            <w:r w:rsidR="006128CE">
              <w:rPr>
                <w:noProof/>
                <w:webHidden/>
              </w:rPr>
              <w:tab/>
            </w:r>
            <w:r w:rsidR="006128CE">
              <w:rPr>
                <w:noProof/>
                <w:webHidden/>
              </w:rPr>
              <w:fldChar w:fldCharType="begin"/>
            </w:r>
            <w:r w:rsidR="006128CE">
              <w:rPr>
                <w:noProof/>
                <w:webHidden/>
              </w:rPr>
              <w:instrText xml:space="preserve"> PAGEREF _Toc140506202 \h </w:instrText>
            </w:r>
            <w:r w:rsidR="006128CE">
              <w:rPr>
                <w:noProof/>
                <w:webHidden/>
              </w:rPr>
            </w:r>
            <w:r w:rsidR="006128CE">
              <w:rPr>
                <w:noProof/>
                <w:webHidden/>
              </w:rPr>
              <w:fldChar w:fldCharType="separate"/>
            </w:r>
            <w:r w:rsidR="006128CE">
              <w:rPr>
                <w:noProof/>
                <w:webHidden/>
              </w:rPr>
              <w:t>24</w:t>
            </w:r>
            <w:r w:rsidR="006128CE">
              <w:rPr>
                <w:noProof/>
                <w:webHidden/>
              </w:rPr>
              <w:fldChar w:fldCharType="end"/>
            </w:r>
          </w:hyperlink>
        </w:p>
        <w:p w14:paraId="1E75B8B9" w14:textId="69D5D74D"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3" w:history="1">
            <w:r w:rsidR="006128CE" w:rsidRPr="004727B5">
              <w:rPr>
                <w:rStyle w:val="Hipervnculo"/>
                <w:noProof/>
              </w:rPr>
              <w:t>3.2.3</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Comercialización del suministro proveniente de fuentes de suministro nacionales o externas con logísticas de suministro especiales (gas natural licuado y gas natural comprimido)</w:t>
            </w:r>
            <w:r w:rsidR="006128CE">
              <w:rPr>
                <w:noProof/>
                <w:webHidden/>
              </w:rPr>
              <w:tab/>
            </w:r>
            <w:r w:rsidR="006128CE">
              <w:rPr>
                <w:noProof/>
                <w:webHidden/>
              </w:rPr>
              <w:fldChar w:fldCharType="begin"/>
            </w:r>
            <w:r w:rsidR="006128CE">
              <w:rPr>
                <w:noProof/>
                <w:webHidden/>
              </w:rPr>
              <w:instrText xml:space="preserve"> PAGEREF _Toc140506203 \h </w:instrText>
            </w:r>
            <w:r w:rsidR="006128CE">
              <w:rPr>
                <w:noProof/>
                <w:webHidden/>
              </w:rPr>
            </w:r>
            <w:r w:rsidR="006128CE">
              <w:rPr>
                <w:noProof/>
                <w:webHidden/>
              </w:rPr>
              <w:fldChar w:fldCharType="separate"/>
            </w:r>
            <w:r w:rsidR="006128CE">
              <w:rPr>
                <w:noProof/>
                <w:webHidden/>
              </w:rPr>
              <w:t>25</w:t>
            </w:r>
            <w:r w:rsidR="006128CE">
              <w:rPr>
                <w:noProof/>
                <w:webHidden/>
              </w:rPr>
              <w:fldChar w:fldCharType="end"/>
            </w:r>
          </w:hyperlink>
        </w:p>
        <w:p w14:paraId="253C53AC" w14:textId="67A5855F"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4" w:history="1">
            <w:r w:rsidR="006128CE" w:rsidRPr="004727B5">
              <w:rPr>
                <w:rStyle w:val="Hipervnculo"/>
                <w:noProof/>
              </w:rPr>
              <w:t>3.2.4</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Comercialización de gas desde campos que se encuentren en pruebas extensas o sobre los cuales no se haya declarado su comercialidad</w:t>
            </w:r>
            <w:r w:rsidR="006128CE">
              <w:rPr>
                <w:noProof/>
                <w:webHidden/>
              </w:rPr>
              <w:tab/>
            </w:r>
            <w:r w:rsidR="006128CE">
              <w:rPr>
                <w:noProof/>
                <w:webHidden/>
              </w:rPr>
              <w:fldChar w:fldCharType="begin"/>
            </w:r>
            <w:r w:rsidR="006128CE">
              <w:rPr>
                <w:noProof/>
                <w:webHidden/>
              </w:rPr>
              <w:instrText xml:space="preserve"> PAGEREF _Toc140506204 \h </w:instrText>
            </w:r>
            <w:r w:rsidR="006128CE">
              <w:rPr>
                <w:noProof/>
                <w:webHidden/>
              </w:rPr>
            </w:r>
            <w:r w:rsidR="006128CE">
              <w:rPr>
                <w:noProof/>
                <w:webHidden/>
              </w:rPr>
              <w:fldChar w:fldCharType="separate"/>
            </w:r>
            <w:r w:rsidR="006128CE">
              <w:rPr>
                <w:noProof/>
                <w:webHidden/>
              </w:rPr>
              <w:t>26</w:t>
            </w:r>
            <w:r w:rsidR="006128CE">
              <w:rPr>
                <w:noProof/>
                <w:webHidden/>
              </w:rPr>
              <w:fldChar w:fldCharType="end"/>
            </w:r>
          </w:hyperlink>
        </w:p>
        <w:p w14:paraId="1662A562" w14:textId="30FDE35B"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5" w:history="1">
            <w:r w:rsidR="006128CE" w:rsidRPr="004727B5">
              <w:rPr>
                <w:rStyle w:val="Hipervnculo"/>
                <w:noProof/>
              </w:rPr>
              <w:t>3.2.5</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Contratación firme o con garantía de firmeza y el Respaldo Físico</w:t>
            </w:r>
            <w:r w:rsidR="006128CE">
              <w:rPr>
                <w:noProof/>
                <w:webHidden/>
              </w:rPr>
              <w:tab/>
            </w:r>
            <w:r w:rsidR="006128CE">
              <w:rPr>
                <w:noProof/>
                <w:webHidden/>
              </w:rPr>
              <w:fldChar w:fldCharType="begin"/>
            </w:r>
            <w:r w:rsidR="006128CE">
              <w:rPr>
                <w:noProof/>
                <w:webHidden/>
              </w:rPr>
              <w:instrText xml:space="preserve"> PAGEREF _Toc140506205 \h </w:instrText>
            </w:r>
            <w:r w:rsidR="006128CE">
              <w:rPr>
                <w:noProof/>
                <w:webHidden/>
              </w:rPr>
            </w:r>
            <w:r w:rsidR="006128CE">
              <w:rPr>
                <w:noProof/>
                <w:webHidden/>
              </w:rPr>
              <w:fldChar w:fldCharType="separate"/>
            </w:r>
            <w:r w:rsidR="006128CE">
              <w:rPr>
                <w:noProof/>
                <w:webHidden/>
              </w:rPr>
              <w:t>27</w:t>
            </w:r>
            <w:r w:rsidR="006128CE">
              <w:rPr>
                <w:noProof/>
                <w:webHidden/>
              </w:rPr>
              <w:fldChar w:fldCharType="end"/>
            </w:r>
          </w:hyperlink>
        </w:p>
        <w:p w14:paraId="616F6768" w14:textId="5ACDAF77"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6" w:history="1">
            <w:r w:rsidR="006128CE" w:rsidRPr="004727B5">
              <w:rPr>
                <w:rStyle w:val="Hipervnculo"/>
                <w:noProof/>
              </w:rPr>
              <w:t>3.2.6</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Aseguramiento del acceso al suministro para la atención de la Demanda Esencial</w:t>
            </w:r>
            <w:r w:rsidR="006128CE">
              <w:rPr>
                <w:noProof/>
                <w:webHidden/>
              </w:rPr>
              <w:tab/>
            </w:r>
            <w:r w:rsidR="006128CE">
              <w:rPr>
                <w:noProof/>
                <w:webHidden/>
              </w:rPr>
              <w:fldChar w:fldCharType="begin"/>
            </w:r>
            <w:r w:rsidR="006128CE">
              <w:rPr>
                <w:noProof/>
                <w:webHidden/>
              </w:rPr>
              <w:instrText xml:space="preserve"> PAGEREF _Toc140506206 \h </w:instrText>
            </w:r>
            <w:r w:rsidR="006128CE">
              <w:rPr>
                <w:noProof/>
                <w:webHidden/>
              </w:rPr>
            </w:r>
            <w:r w:rsidR="006128CE">
              <w:rPr>
                <w:noProof/>
                <w:webHidden/>
              </w:rPr>
              <w:fldChar w:fldCharType="separate"/>
            </w:r>
            <w:r w:rsidR="006128CE">
              <w:rPr>
                <w:noProof/>
                <w:webHidden/>
              </w:rPr>
              <w:t>27</w:t>
            </w:r>
            <w:r w:rsidR="006128CE">
              <w:rPr>
                <w:noProof/>
                <w:webHidden/>
              </w:rPr>
              <w:fldChar w:fldCharType="end"/>
            </w:r>
          </w:hyperlink>
        </w:p>
        <w:p w14:paraId="09DEF393" w14:textId="587F1B0B"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7" w:history="1">
            <w:r w:rsidR="006128CE" w:rsidRPr="004727B5">
              <w:rPr>
                <w:rStyle w:val="Hipervnculo"/>
                <w:noProof/>
              </w:rPr>
              <w:t>3.2.7</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Declaración de potencial de producción comercializable</w:t>
            </w:r>
            <w:r w:rsidR="006128CE">
              <w:rPr>
                <w:noProof/>
                <w:webHidden/>
              </w:rPr>
              <w:tab/>
            </w:r>
            <w:r w:rsidR="006128CE">
              <w:rPr>
                <w:noProof/>
                <w:webHidden/>
              </w:rPr>
              <w:fldChar w:fldCharType="begin"/>
            </w:r>
            <w:r w:rsidR="006128CE">
              <w:rPr>
                <w:noProof/>
                <w:webHidden/>
              </w:rPr>
              <w:instrText xml:space="preserve"> PAGEREF _Toc140506207 \h </w:instrText>
            </w:r>
            <w:r w:rsidR="006128CE">
              <w:rPr>
                <w:noProof/>
                <w:webHidden/>
              </w:rPr>
            </w:r>
            <w:r w:rsidR="006128CE">
              <w:rPr>
                <w:noProof/>
                <w:webHidden/>
              </w:rPr>
              <w:fldChar w:fldCharType="separate"/>
            </w:r>
            <w:r w:rsidR="006128CE">
              <w:rPr>
                <w:noProof/>
                <w:webHidden/>
              </w:rPr>
              <w:t>27</w:t>
            </w:r>
            <w:r w:rsidR="006128CE">
              <w:rPr>
                <w:noProof/>
                <w:webHidden/>
              </w:rPr>
              <w:fldChar w:fldCharType="end"/>
            </w:r>
          </w:hyperlink>
        </w:p>
        <w:p w14:paraId="49330C5E" w14:textId="43298002"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8" w:history="1">
            <w:r w:rsidR="006128CE" w:rsidRPr="004727B5">
              <w:rPr>
                <w:rStyle w:val="Hipervnculo"/>
                <w:noProof/>
              </w:rPr>
              <w:t>3.2.8</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Transparencia del Mercado Secundario</w:t>
            </w:r>
            <w:r w:rsidR="006128CE">
              <w:rPr>
                <w:noProof/>
                <w:webHidden/>
              </w:rPr>
              <w:tab/>
            </w:r>
            <w:r w:rsidR="006128CE">
              <w:rPr>
                <w:noProof/>
                <w:webHidden/>
              </w:rPr>
              <w:fldChar w:fldCharType="begin"/>
            </w:r>
            <w:r w:rsidR="006128CE">
              <w:rPr>
                <w:noProof/>
                <w:webHidden/>
              </w:rPr>
              <w:instrText xml:space="preserve"> PAGEREF _Toc140506208 \h </w:instrText>
            </w:r>
            <w:r w:rsidR="006128CE">
              <w:rPr>
                <w:noProof/>
                <w:webHidden/>
              </w:rPr>
            </w:r>
            <w:r w:rsidR="006128CE">
              <w:rPr>
                <w:noProof/>
                <w:webHidden/>
              </w:rPr>
              <w:fldChar w:fldCharType="separate"/>
            </w:r>
            <w:r w:rsidR="006128CE">
              <w:rPr>
                <w:noProof/>
                <w:webHidden/>
              </w:rPr>
              <w:t>28</w:t>
            </w:r>
            <w:r w:rsidR="006128CE">
              <w:rPr>
                <w:noProof/>
                <w:webHidden/>
              </w:rPr>
              <w:fldChar w:fldCharType="end"/>
            </w:r>
          </w:hyperlink>
        </w:p>
        <w:p w14:paraId="466E544E" w14:textId="0BA1903B"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09" w:history="1">
            <w:r w:rsidR="006128CE" w:rsidRPr="004727B5">
              <w:rPr>
                <w:rStyle w:val="Hipervnculo"/>
                <w:noProof/>
              </w:rPr>
              <w:t>3.2.9</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Contratos con interrupciones</w:t>
            </w:r>
            <w:r w:rsidR="006128CE">
              <w:rPr>
                <w:noProof/>
                <w:webHidden/>
              </w:rPr>
              <w:tab/>
            </w:r>
            <w:r w:rsidR="006128CE">
              <w:rPr>
                <w:noProof/>
                <w:webHidden/>
              </w:rPr>
              <w:fldChar w:fldCharType="begin"/>
            </w:r>
            <w:r w:rsidR="006128CE">
              <w:rPr>
                <w:noProof/>
                <w:webHidden/>
              </w:rPr>
              <w:instrText xml:space="preserve"> PAGEREF _Toc140506209 \h </w:instrText>
            </w:r>
            <w:r w:rsidR="006128CE">
              <w:rPr>
                <w:noProof/>
                <w:webHidden/>
              </w:rPr>
            </w:r>
            <w:r w:rsidR="006128CE">
              <w:rPr>
                <w:noProof/>
                <w:webHidden/>
              </w:rPr>
              <w:fldChar w:fldCharType="separate"/>
            </w:r>
            <w:r w:rsidR="006128CE">
              <w:rPr>
                <w:noProof/>
                <w:webHidden/>
              </w:rPr>
              <w:t>28</w:t>
            </w:r>
            <w:r w:rsidR="006128CE">
              <w:rPr>
                <w:noProof/>
                <w:webHidden/>
              </w:rPr>
              <w:fldChar w:fldCharType="end"/>
            </w:r>
          </w:hyperlink>
        </w:p>
        <w:p w14:paraId="11A50C3B" w14:textId="1F607647"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10" w:history="1">
            <w:r w:rsidR="006128CE" w:rsidRPr="004727B5">
              <w:rPr>
                <w:rStyle w:val="Hipervnculo"/>
                <w:noProof/>
              </w:rPr>
              <w:t>3.2.10</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Otros aspectos</w:t>
            </w:r>
            <w:r w:rsidR="006128CE">
              <w:rPr>
                <w:noProof/>
                <w:webHidden/>
              </w:rPr>
              <w:tab/>
            </w:r>
            <w:r w:rsidR="006128CE">
              <w:rPr>
                <w:noProof/>
                <w:webHidden/>
              </w:rPr>
              <w:fldChar w:fldCharType="begin"/>
            </w:r>
            <w:r w:rsidR="006128CE">
              <w:rPr>
                <w:noProof/>
                <w:webHidden/>
              </w:rPr>
              <w:instrText xml:space="preserve"> PAGEREF _Toc140506210 \h </w:instrText>
            </w:r>
            <w:r w:rsidR="006128CE">
              <w:rPr>
                <w:noProof/>
                <w:webHidden/>
              </w:rPr>
            </w:r>
            <w:r w:rsidR="006128CE">
              <w:rPr>
                <w:noProof/>
                <w:webHidden/>
              </w:rPr>
              <w:fldChar w:fldCharType="separate"/>
            </w:r>
            <w:r w:rsidR="006128CE">
              <w:rPr>
                <w:noProof/>
                <w:webHidden/>
              </w:rPr>
              <w:t>29</w:t>
            </w:r>
            <w:r w:rsidR="006128CE">
              <w:rPr>
                <w:noProof/>
                <w:webHidden/>
              </w:rPr>
              <w:fldChar w:fldCharType="end"/>
            </w:r>
          </w:hyperlink>
        </w:p>
        <w:p w14:paraId="03D2E963" w14:textId="0723510E"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11" w:history="1">
            <w:r w:rsidR="006128CE" w:rsidRPr="004727B5">
              <w:rPr>
                <w:rStyle w:val="Hipervnculo"/>
                <w:rFonts w:cs="Arial"/>
              </w:rPr>
              <w:t>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Fonts w:cs="Arial"/>
              </w:rPr>
              <w:t>PROPUESTA</w:t>
            </w:r>
            <w:r w:rsidR="006128CE">
              <w:rPr>
                <w:webHidden/>
              </w:rPr>
              <w:tab/>
            </w:r>
            <w:r w:rsidR="006128CE">
              <w:rPr>
                <w:webHidden/>
              </w:rPr>
              <w:fldChar w:fldCharType="begin"/>
            </w:r>
            <w:r w:rsidR="006128CE">
              <w:rPr>
                <w:webHidden/>
              </w:rPr>
              <w:instrText xml:space="preserve"> PAGEREF _Toc140506211 \h </w:instrText>
            </w:r>
            <w:r w:rsidR="006128CE">
              <w:rPr>
                <w:webHidden/>
              </w:rPr>
            </w:r>
            <w:r w:rsidR="006128CE">
              <w:rPr>
                <w:webHidden/>
              </w:rPr>
              <w:fldChar w:fldCharType="separate"/>
            </w:r>
            <w:r w:rsidR="006128CE">
              <w:rPr>
                <w:webHidden/>
              </w:rPr>
              <w:t>32</w:t>
            </w:r>
            <w:r w:rsidR="006128CE">
              <w:rPr>
                <w:webHidden/>
              </w:rPr>
              <w:fldChar w:fldCharType="end"/>
            </w:r>
          </w:hyperlink>
        </w:p>
        <w:p w14:paraId="4D50260C" w14:textId="2A3FF1F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13" w:history="1">
            <w:r w:rsidR="006128CE" w:rsidRPr="004727B5">
              <w:rPr>
                <w:rStyle w:val="Hipervnculo"/>
              </w:rPr>
              <w:t>4.1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Eliminación de las modalidades de Contratos de Suministro C1 y C2 y de las subastas anuales de dichos contratos</w:t>
            </w:r>
            <w:r w:rsidR="006128CE">
              <w:rPr>
                <w:webHidden/>
              </w:rPr>
              <w:tab/>
            </w:r>
            <w:r w:rsidR="006128CE">
              <w:rPr>
                <w:webHidden/>
              </w:rPr>
              <w:fldChar w:fldCharType="begin"/>
            </w:r>
            <w:r w:rsidR="006128CE">
              <w:rPr>
                <w:webHidden/>
              </w:rPr>
              <w:instrText xml:space="preserve"> PAGEREF _Toc140506213 \h </w:instrText>
            </w:r>
            <w:r w:rsidR="006128CE">
              <w:rPr>
                <w:webHidden/>
              </w:rPr>
            </w:r>
            <w:r w:rsidR="006128CE">
              <w:rPr>
                <w:webHidden/>
              </w:rPr>
              <w:fldChar w:fldCharType="separate"/>
            </w:r>
            <w:r w:rsidR="006128CE">
              <w:rPr>
                <w:webHidden/>
              </w:rPr>
              <w:t>32</w:t>
            </w:r>
            <w:r w:rsidR="006128CE">
              <w:rPr>
                <w:webHidden/>
              </w:rPr>
              <w:fldChar w:fldCharType="end"/>
            </w:r>
          </w:hyperlink>
        </w:p>
        <w:p w14:paraId="16D08536" w14:textId="08CDCD1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14" w:history="1">
            <w:r w:rsidR="006128CE" w:rsidRPr="004727B5">
              <w:rPr>
                <w:rStyle w:val="Hipervnculo"/>
              </w:rPr>
              <w:t>4.2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Eliminación de los contratos firmes bimestrales y de las subastas bimestrales de dichos contratos</w:t>
            </w:r>
            <w:r w:rsidR="006128CE">
              <w:rPr>
                <w:webHidden/>
              </w:rPr>
              <w:tab/>
            </w:r>
            <w:r w:rsidR="006128CE">
              <w:rPr>
                <w:webHidden/>
              </w:rPr>
              <w:fldChar w:fldCharType="begin"/>
            </w:r>
            <w:r w:rsidR="006128CE">
              <w:rPr>
                <w:webHidden/>
              </w:rPr>
              <w:instrText xml:space="preserve"> PAGEREF _Toc140506214 \h </w:instrText>
            </w:r>
            <w:r w:rsidR="006128CE">
              <w:rPr>
                <w:webHidden/>
              </w:rPr>
            </w:r>
            <w:r w:rsidR="006128CE">
              <w:rPr>
                <w:webHidden/>
              </w:rPr>
              <w:fldChar w:fldCharType="separate"/>
            </w:r>
            <w:r w:rsidR="006128CE">
              <w:rPr>
                <w:webHidden/>
              </w:rPr>
              <w:t>33</w:t>
            </w:r>
            <w:r w:rsidR="006128CE">
              <w:rPr>
                <w:webHidden/>
              </w:rPr>
              <w:fldChar w:fldCharType="end"/>
            </w:r>
          </w:hyperlink>
        </w:p>
        <w:p w14:paraId="58931CD7" w14:textId="6A7B65A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15" w:history="1">
            <w:r w:rsidR="006128CE" w:rsidRPr="004727B5">
              <w:rPr>
                <w:rStyle w:val="Hipervnculo"/>
              </w:rPr>
              <w:t>4.3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Eliminación de las subastas de contratos con interrupciones</w:t>
            </w:r>
            <w:r w:rsidR="006128CE">
              <w:rPr>
                <w:webHidden/>
              </w:rPr>
              <w:tab/>
            </w:r>
            <w:r w:rsidR="006128CE">
              <w:rPr>
                <w:webHidden/>
              </w:rPr>
              <w:fldChar w:fldCharType="begin"/>
            </w:r>
            <w:r w:rsidR="006128CE">
              <w:rPr>
                <w:webHidden/>
              </w:rPr>
              <w:instrText xml:space="preserve"> PAGEREF _Toc140506215 \h </w:instrText>
            </w:r>
            <w:r w:rsidR="006128CE">
              <w:rPr>
                <w:webHidden/>
              </w:rPr>
            </w:r>
            <w:r w:rsidR="006128CE">
              <w:rPr>
                <w:webHidden/>
              </w:rPr>
              <w:fldChar w:fldCharType="separate"/>
            </w:r>
            <w:r w:rsidR="006128CE">
              <w:rPr>
                <w:webHidden/>
              </w:rPr>
              <w:t>35</w:t>
            </w:r>
            <w:r w:rsidR="006128CE">
              <w:rPr>
                <w:webHidden/>
              </w:rPr>
              <w:fldChar w:fldCharType="end"/>
            </w:r>
          </w:hyperlink>
        </w:p>
        <w:p w14:paraId="1EC6551A" w14:textId="57C6659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16" w:history="1">
            <w:r w:rsidR="006128CE" w:rsidRPr="004727B5">
              <w:rPr>
                <w:rStyle w:val="Hipervnculo"/>
              </w:rPr>
              <w:t>4.4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Definición de Respaldo Físico.</w:t>
            </w:r>
            <w:r w:rsidR="006128CE">
              <w:rPr>
                <w:webHidden/>
              </w:rPr>
              <w:tab/>
            </w:r>
            <w:r w:rsidR="006128CE">
              <w:rPr>
                <w:webHidden/>
              </w:rPr>
              <w:fldChar w:fldCharType="begin"/>
            </w:r>
            <w:r w:rsidR="006128CE">
              <w:rPr>
                <w:webHidden/>
              </w:rPr>
              <w:instrText xml:space="preserve"> PAGEREF _Toc140506216 \h </w:instrText>
            </w:r>
            <w:r w:rsidR="006128CE">
              <w:rPr>
                <w:webHidden/>
              </w:rPr>
            </w:r>
            <w:r w:rsidR="006128CE">
              <w:rPr>
                <w:webHidden/>
              </w:rPr>
              <w:fldChar w:fldCharType="separate"/>
            </w:r>
            <w:r w:rsidR="006128CE">
              <w:rPr>
                <w:webHidden/>
              </w:rPr>
              <w:t>37</w:t>
            </w:r>
            <w:r w:rsidR="006128CE">
              <w:rPr>
                <w:webHidden/>
              </w:rPr>
              <w:fldChar w:fldCharType="end"/>
            </w:r>
          </w:hyperlink>
        </w:p>
        <w:p w14:paraId="39BB76A0" w14:textId="60F79E7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17" w:history="1">
            <w:r w:rsidR="006128CE" w:rsidRPr="004727B5">
              <w:rPr>
                <w:rStyle w:val="Hipervnculo"/>
              </w:rPr>
              <w:t>4.5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Inclusión de la modalidad de Contrato de Suministro CF80</w:t>
            </w:r>
            <w:r w:rsidR="006128CE">
              <w:rPr>
                <w:webHidden/>
              </w:rPr>
              <w:tab/>
            </w:r>
            <w:r w:rsidR="006128CE">
              <w:rPr>
                <w:webHidden/>
              </w:rPr>
              <w:fldChar w:fldCharType="begin"/>
            </w:r>
            <w:r w:rsidR="006128CE">
              <w:rPr>
                <w:webHidden/>
              </w:rPr>
              <w:instrText xml:space="preserve"> PAGEREF _Toc140506217 \h </w:instrText>
            </w:r>
            <w:r w:rsidR="006128CE">
              <w:rPr>
                <w:webHidden/>
              </w:rPr>
            </w:r>
            <w:r w:rsidR="006128CE">
              <w:rPr>
                <w:webHidden/>
              </w:rPr>
              <w:fldChar w:fldCharType="separate"/>
            </w:r>
            <w:r w:rsidR="006128CE">
              <w:rPr>
                <w:webHidden/>
              </w:rPr>
              <w:t>41</w:t>
            </w:r>
            <w:r w:rsidR="006128CE">
              <w:rPr>
                <w:webHidden/>
              </w:rPr>
              <w:fldChar w:fldCharType="end"/>
            </w:r>
          </w:hyperlink>
        </w:p>
        <w:p w14:paraId="67C2AA18" w14:textId="0BF0C7C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18" w:history="1">
            <w:r w:rsidR="006128CE" w:rsidRPr="004727B5">
              <w:rPr>
                <w:rStyle w:val="Hipervnculo"/>
              </w:rPr>
              <w:t>4.6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Inclusión de modalidades de contratos propuestas por los agentes del mercado mayorista</w:t>
            </w:r>
            <w:r w:rsidR="006128CE">
              <w:rPr>
                <w:webHidden/>
              </w:rPr>
              <w:tab/>
            </w:r>
            <w:r w:rsidR="006128CE">
              <w:rPr>
                <w:webHidden/>
              </w:rPr>
              <w:fldChar w:fldCharType="begin"/>
            </w:r>
            <w:r w:rsidR="006128CE">
              <w:rPr>
                <w:webHidden/>
              </w:rPr>
              <w:instrText xml:space="preserve"> PAGEREF _Toc140506218 \h </w:instrText>
            </w:r>
            <w:r w:rsidR="006128CE">
              <w:rPr>
                <w:webHidden/>
              </w:rPr>
            </w:r>
            <w:r w:rsidR="006128CE">
              <w:rPr>
                <w:webHidden/>
              </w:rPr>
              <w:fldChar w:fldCharType="separate"/>
            </w:r>
            <w:r w:rsidR="006128CE">
              <w:rPr>
                <w:webHidden/>
              </w:rPr>
              <w:t>42</w:t>
            </w:r>
            <w:r w:rsidR="006128CE">
              <w:rPr>
                <w:webHidden/>
              </w:rPr>
              <w:fldChar w:fldCharType="end"/>
            </w:r>
          </w:hyperlink>
        </w:p>
        <w:p w14:paraId="32044FFC" w14:textId="380D488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19" w:history="1">
            <w:r w:rsidR="006128CE" w:rsidRPr="004727B5">
              <w:rPr>
                <w:rStyle w:val="Hipervnculo"/>
              </w:rPr>
              <w:t>4.7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Flexibilización de las condiciones generales de los contratos que requieren contar con Respaldo Físico</w:t>
            </w:r>
            <w:r w:rsidR="006128CE">
              <w:rPr>
                <w:webHidden/>
              </w:rPr>
              <w:tab/>
            </w:r>
            <w:r w:rsidR="006128CE">
              <w:rPr>
                <w:webHidden/>
              </w:rPr>
              <w:fldChar w:fldCharType="begin"/>
            </w:r>
            <w:r w:rsidR="006128CE">
              <w:rPr>
                <w:webHidden/>
              </w:rPr>
              <w:instrText xml:space="preserve"> PAGEREF _Toc140506219 \h </w:instrText>
            </w:r>
            <w:r w:rsidR="006128CE">
              <w:rPr>
                <w:webHidden/>
              </w:rPr>
            </w:r>
            <w:r w:rsidR="006128CE">
              <w:rPr>
                <w:webHidden/>
              </w:rPr>
              <w:fldChar w:fldCharType="separate"/>
            </w:r>
            <w:r w:rsidR="006128CE">
              <w:rPr>
                <w:webHidden/>
              </w:rPr>
              <w:t>43</w:t>
            </w:r>
            <w:r w:rsidR="006128CE">
              <w:rPr>
                <w:webHidden/>
              </w:rPr>
              <w:fldChar w:fldCharType="end"/>
            </w:r>
          </w:hyperlink>
        </w:p>
        <w:p w14:paraId="6A7D3449" w14:textId="582667F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20" w:history="1">
            <w:r w:rsidR="006128CE" w:rsidRPr="004727B5">
              <w:rPr>
                <w:rStyle w:val="Hipervnculo"/>
              </w:rPr>
              <w:t>4.8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Inclusión de nuevo evento eximente de responsabilidad</w:t>
            </w:r>
            <w:r w:rsidR="006128CE">
              <w:rPr>
                <w:webHidden/>
              </w:rPr>
              <w:tab/>
            </w:r>
            <w:r w:rsidR="006128CE">
              <w:rPr>
                <w:webHidden/>
              </w:rPr>
              <w:fldChar w:fldCharType="begin"/>
            </w:r>
            <w:r w:rsidR="006128CE">
              <w:rPr>
                <w:webHidden/>
              </w:rPr>
              <w:instrText xml:space="preserve"> PAGEREF _Toc140506220 \h </w:instrText>
            </w:r>
            <w:r w:rsidR="006128CE">
              <w:rPr>
                <w:webHidden/>
              </w:rPr>
            </w:r>
            <w:r w:rsidR="006128CE">
              <w:rPr>
                <w:webHidden/>
              </w:rPr>
              <w:fldChar w:fldCharType="separate"/>
            </w:r>
            <w:r w:rsidR="006128CE">
              <w:rPr>
                <w:webHidden/>
              </w:rPr>
              <w:t>45</w:t>
            </w:r>
            <w:r w:rsidR="006128CE">
              <w:rPr>
                <w:webHidden/>
              </w:rPr>
              <w:fldChar w:fldCharType="end"/>
            </w:r>
          </w:hyperlink>
        </w:p>
        <w:p w14:paraId="604BC822" w14:textId="0D3AFD4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21" w:history="1">
            <w:r w:rsidR="006128CE" w:rsidRPr="004727B5">
              <w:rPr>
                <w:rStyle w:val="Hipervnculo"/>
              </w:rPr>
              <w:t>4.9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Incentivos para nuevas fuentes de suministro o nuevas logísticas de suministro en el Mercado Primario</w:t>
            </w:r>
            <w:r w:rsidR="006128CE">
              <w:rPr>
                <w:webHidden/>
              </w:rPr>
              <w:tab/>
            </w:r>
            <w:r w:rsidR="006128CE">
              <w:rPr>
                <w:webHidden/>
              </w:rPr>
              <w:fldChar w:fldCharType="begin"/>
            </w:r>
            <w:r w:rsidR="006128CE">
              <w:rPr>
                <w:webHidden/>
              </w:rPr>
              <w:instrText xml:space="preserve"> PAGEREF _Toc140506221 \h </w:instrText>
            </w:r>
            <w:r w:rsidR="006128CE">
              <w:rPr>
                <w:webHidden/>
              </w:rPr>
            </w:r>
            <w:r w:rsidR="006128CE">
              <w:rPr>
                <w:webHidden/>
              </w:rPr>
              <w:fldChar w:fldCharType="separate"/>
            </w:r>
            <w:r w:rsidR="006128CE">
              <w:rPr>
                <w:webHidden/>
              </w:rPr>
              <w:t>45</w:t>
            </w:r>
            <w:r w:rsidR="006128CE">
              <w:rPr>
                <w:webHidden/>
              </w:rPr>
              <w:fldChar w:fldCharType="end"/>
            </w:r>
          </w:hyperlink>
        </w:p>
        <w:p w14:paraId="5649A49B" w14:textId="574E328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22" w:history="1">
            <w:r w:rsidR="006128CE" w:rsidRPr="004727B5">
              <w:rPr>
                <w:rStyle w:val="Hipervnculo"/>
              </w:rPr>
              <w:t>4.10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Declaración de información de PTDVF/CIDVF de todas las fuentes de suministro</w:t>
            </w:r>
            <w:r w:rsidR="006128CE">
              <w:rPr>
                <w:webHidden/>
              </w:rPr>
              <w:tab/>
            </w:r>
            <w:r w:rsidR="006128CE">
              <w:rPr>
                <w:webHidden/>
              </w:rPr>
              <w:fldChar w:fldCharType="begin"/>
            </w:r>
            <w:r w:rsidR="006128CE">
              <w:rPr>
                <w:webHidden/>
              </w:rPr>
              <w:instrText xml:space="preserve"> PAGEREF _Toc140506222 \h </w:instrText>
            </w:r>
            <w:r w:rsidR="006128CE">
              <w:rPr>
                <w:webHidden/>
              </w:rPr>
            </w:r>
            <w:r w:rsidR="006128CE">
              <w:rPr>
                <w:webHidden/>
              </w:rPr>
              <w:fldChar w:fldCharType="separate"/>
            </w:r>
            <w:r w:rsidR="006128CE">
              <w:rPr>
                <w:webHidden/>
              </w:rPr>
              <w:t>46</w:t>
            </w:r>
            <w:r w:rsidR="006128CE">
              <w:rPr>
                <w:webHidden/>
              </w:rPr>
              <w:fldChar w:fldCharType="end"/>
            </w:r>
          </w:hyperlink>
        </w:p>
        <w:p w14:paraId="623CA97F" w14:textId="420ED14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23" w:history="1">
            <w:r w:rsidR="006128CE" w:rsidRPr="004727B5">
              <w:rPr>
                <w:rStyle w:val="Hipervnculo"/>
              </w:rPr>
              <w:t>4.11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Aseguramiento del suministro para la atención de la Demanda Esencial</w:t>
            </w:r>
            <w:r w:rsidR="006128CE">
              <w:rPr>
                <w:webHidden/>
              </w:rPr>
              <w:tab/>
            </w:r>
            <w:r w:rsidR="006128CE">
              <w:rPr>
                <w:webHidden/>
              </w:rPr>
              <w:fldChar w:fldCharType="begin"/>
            </w:r>
            <w:r w:rsidR="006128CE">
              <w:rPr>
                <w:webHidden/>
              </w:rPr>
              <w:instrText xml:space="preserve"> PAGEREF _Toc140506223 \h </w:instrText>
            </w:r>
            <w:r w:rsidR="006128CE">
              <w:rPr>
                <w:webHidden/>
              </w:rPr>
            </w:r>
            <w:r w:rsidR="006128CE">
              <w:rPr>
                <w:webHidden/>
              </w:rPr>
              <w:fldChar w:fldCharType="separate"/>
            </w:r>
            <w:r w:rsidR="006128CE">
              <w:rPr>
                <w:webHidden/>
              </w:rPr>
              <w:t>48</w:t>
            </w:r>
            <w:r w:rsidR="006128CE">
              <w:rPr>
                <w:webHidden/>
              </w:rPr>
              <w:fldChar w:fldCharType="end"/>
            </w:r>
          </w:hyperlink>
        </w:p>
        <w:p w14:paraId="4C3F4926" w14:textId="0F10C1F0"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24" w:history="1">
            <w:r w:rsidR="006128CE" w:rsidRPr="004727B5">
              <w:rPr>
                <w:rStyle w:val="Hipervnculo"/>
                <w:noProof/>
              </w:rPr>
              <w:t>4.11.1</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Balances comerciales</w:t>
            </w:r>
            <w:r w:rsidR="006128CE">
              <w:rPr>
                <w:noProof/>
                <w:webHidden/>
              </w:rPr>
              <w:tab/>
            </w:r>
            <w:r w:rsidR="006128CE">
              <w:rPr>
                <w:noProof/>
                <w:webHidden/>
              </w:rPr>
              <w:fldChar w:fldCharType="begin"/>
            </w:r>
            <w:r w:rsidR="006128CE">
              <w:rPr>
                <w:noProof/>
                <w:webHidden/>
              </w:rPr>
              <w:instrText xml:space="preserve"> PAGEREF _Toc140506224 \h </w:instrText>
            </w:r>
            <w:r w:rsidR="006128CE">
              <w:rPr>
                <w:noProof/>
                <w:webHidden/>
              </w:rPr>
            </w:r>
            <w:r w:rsidR="006128CE">
              <w:rPr>
                <w:noProof/>
                <w:webHidden/>
              </w:rPr>
              <w:fldChar w:fldCharType="separate"/>
            </w:r>
            <w:r w:rsidR="006128CE">
              <w:rPr>
                <w:noProof/>
                <w:webHidden/>
              </w:rPr>
              <w:t>49</w:t>
            </w:r>
            <w:r w:rsidR="006128CE">
              <w:rPr>
                <w:noProof/>
                <w:webHidden/>
              </w:rPr>
              <w:fldChar w:fldCharType="end"/>
            </w:r>
          </w:hyperlink>
        </w:p>
        <w:p w14:paraId="32E612BE" w14:textId="527016D2" w:rsidR="006128CE" w:rsidRDefault="0098730A">
          <w:pPr>
            <w:pStyle w:val="TDC3"/>
            <w:rPr>
              <w:rFonts w:asciiTheme="minorHAnsi" w:eastAsiaTheme="minorEastAsia" w:hAnsiTheme="minorHAnsi" w:cstheme="minorBidi"/>
              <w:noProof/>
              <w:kern w:val="2"/>
              <w:sz w:val="22"/>
              <w:szCs w:val="22"/>
              <w:lang w:val="es-CO" w:eastAsia="es-CO"/>
              <w14:ligatures w14:val="standardContextual"/>
            </w:rPr>
          </w:pPr>
          <w:hyperlink w:anchor="_Toc140506225" w:history="1">
            <w:r w:rsidR="006128CE" w:rsidRPr="004727B5">
              <w:rPr>
                <w:rStyle w:val="Hipervnculo"/>
                <w:noProof/>
              </w:rPr>
              <w:t>4.11.2</w:t>
            </w:r>
            <w:r w:rsidR="006128CE">
              <w:rPr>
                <w:rFonts w:asciiTheme="minorHAnsi" w:eastAsiaTheme="minorEastAsia" w:hAnsiTheme="minorHAnsi" w:cstheme="minorBidi"/>
                <w:noProof/>
                <w:kern w:val="2"/>
                <w:sz w:val="22"/>
                <w:szCs w:val="22"/>
                <w:lang w:val="es-CO" w:eastAsia="es-CO"/>
                <w14:ligatures w14:val="standardContextual"/>
              </w:rPr>
              <w:tab/>
            </w:r>
            <w:r w:rsidR="006128CE" w:rsidRPr="004727B5">
              <w:rPr>
                <w:rStyle w:val="Hipervnculo"/>
                <w:noProof/>
              </w:rPr>
              <w:t>Aseguramiento de la Demanda Esencial</w:t>
            </w:r>
            <w:r w:rsidR="006128CE">
              <w:rPr>
                <w:noProof/>
                <w:webHidden/>
              </w:rPr>
              <w:tab/>
            </w:r>
            <w:r w:rsidR="006128CE">
              <w:rPr>
                <w:noProof/>
                <w:webHidden/>
              </w:rPr>
              <w:fldChar w:fldCharType="begin"/>
            </w:r>
            <w:r w:rsidR="006128CE">
              <w:rPr>
                <w:noProof/>
                <w:webHidden/>
              </w:rPr>
              <w:instrText xml:space="preserve"> PAGEREF _Toc140506225 \h </w:instrText>
            </w:r>
            <w:r w:rsidR="006128CE">
              <w:rPr>
                <w:noProof/>
                <w:webHidden/>
              </w:rPr>
            </w:r>
            <w:r w:rsidR="006128CE">
              <w:rPr>
                <w:noProof/>
                <w:webHidden/>
              </w:rPr>
              <w:fldChar w:fldCharType="separate"/>
            </w:r>
            <w:r w:rsidR="006128CE">
              <w:rPr>
                <w:noProof/>
                <w:webHidden/>
              </w:rPr>
              <w:t>59</w:t>
            </w:r>
            <w:r w:rsidR="006128CE">
              <w:rPr>
                <w:noProof/>
                <w:webHidden/>
              </w:rPr>
              <w:fldChar w:fldCharType="end"/>
            </w:r>
          </w:hyperlink>
        </w:p>
        <w:p w14:paraId="3F69D7FE" w14:textId="59E6081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26" w:history="1">
            <w:r w:rsidR="006128CE" w:rsidRPr="004727B5">
              <w:rPr>
                <w:rStyle w:val="Hipervnculo"/>
              </w:rPr>
              <w:t>4.12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Negociaciones de contratos con interrupciones</w:t>
            </w:r>
            <w:r w:rsidR="006128CE">
              <w:rPr>
                <w:webHidden/>
              </w:rPr>
              <w:tab/>
            </w:r>
            <w:r w:rsidR="006128CE">
              <w:rPr>
                <w:webHidden/>
              </w:rPr>
              <w:fldChar w:fldCharType="begin"/>
            </w:r>
            <w:r w:rsidR="006128CE">
              <w:rPr>
                <w:webHidden/>
              </w:rPr>
              <w:instrText xml:space="preserve"> PAGEREF _Toc140506226 \h </w:instrText>
            </w:r>
            <w:r w:rsidR="006128CE">
              <w:rPr>
                <w:webHidden/>
              </w:rPr>
            </w:r>
            <w:r w:rsidR="006128CE">
              <w:rPr>
                <w:webHidden/>
              </w:rPr>
              <w:fldChar w:fldCharType="separate"/>
            </w:r>
            <w:r w:rsidR="006128CE">
              <w:rPr>
                <w:webHidden/>
              </w:rPr>
              <w:t>67</w:t>
            </w:r>
            <w:r w:rsidR="006128CE">
              <w:rPr>
                <w:webHidden/>
              </w:rPr>
              <w:fldChar w:fldCharType="end"/>
            </w:r>
          </w:hyperlink>
        </w:p>
        <w:p w14:paraId="5A90045D" w14:textId="47D3CA9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27" w:history="1">
            <w:r w:rsidR="006128CE" w:rsidRPr="004727B5">
              <w:rPr>
                <w:rStyle w:val="Hipervnculo"/>
              </w:rPr>
              <w:t>4.13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Declaración de contrato de consumo propio de los productores-comercializadores y mecanismos de comercialización ante eventos de fuerza mayor</w:t>
            </w:r>
            <w:r w:rsidR="006128CE">
              <w:rPr>
                <w:webHidden/>
              </w:rPr>
              <w:tab/>
            </w:r>
            <w:r w:rsidR="006128CE">
              <w:rPr>
                <w:webHidden/>
              </w:rPr>
              <w:fldChar w:fldCharType="begin"/>
            </w:r>
            <w:r w:rsidR="006128CE">
              <w:rPr>
                <w:webHidden/>
              </w:rPr>
              <w:instrText xml:space="preserve"> PAGEREF _Toc140506227 \h </w:instrText>
            </w:r>
            <w:r w:rsidR="006128CE">
              <w:rPr>
                <w:webHidden/>
              </w:rPr>
            </w:r>
            <w:r w:rsidR="006128CE">
              <w:rPr>
                <w:webHidden/>
              </w:rPr>
              <w:fldChar w:fldCharType="separate"/>
            </w:r>
            <w:r w:rsidR="006128CE">
              <w:rPr>
                <w:webHidden/>
              </w:rPr>
              <w:t>70</w:t>
            </w:r>
            <w:r w:rsidR="006128CE">
              <w:rPr>
                <w:webHidden/>
              </w:rPr>
              <w:fldChar w:fldCharType="end"/>
            </w:r>
          </w:hyperlink>
        </w:p>
        <w:p w14:paraId="62043C80" w14:textId="13C0F3A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28" w:history="1">
            <w:r w:rsidR="006128CE" w:rsidRPr="004727B5">
              <w:rPr>
                <w:rStyle w:val="Hipervnculo"/>
              </w:rPr>
              <w:t>4.14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Información sobre las nominaciones diarias de suministro de gas natural</w:t>
            </w:r>
            <w:r w:rsidR="006128CE">
              <w:rPr>
                <w:webHidden/>
              </w:rPr>
              <w:tab/>
            </w:r>
            <w:r w:rsidR="006128CE">
              <w:rPr>
                <w:webHidden/>
              </w:rPr>
              <w:fldChar w:fldCharType="begin"/>
            </w:r>
            <w:r w:rsidR="006128CE">
              <w:rPr>
                <w:webHidden/>
              </w:rPr>
              <w:instrText xml:space="preserve"> PAGEREF _Toc140506228 \h </w:instrText>
            </w:r>
            <w:r w:rsidR="006128CE">
              <w:rPr>
                <w:webHidden/>
              </w:rPr>
            </w:r>
            <w:r w:rsidR="006128CE">
              <w:rPr>
                <w:webHidden/>
              </w:rPr>
              <w:fldChar w:fldCharType="separate"/>
            </w:r>
            <w:r w:rsidR="006128CE">
              <w:rPr>
                <w:webHidden/>
              </w:rPr>
              <w:t>70</w:t>
            </w:r>
            <w:r w:rsidR="006128CE">
              <w:rPr>
                <w:webHidden/>
              </w:rPr>
              <w:fldChar w:fldCharType="end"/>
            </w:r>
          </w:hyperlink>
        </w:p>
        <w:p w14:paraId="5791D6BC" w14:textId="2F9530A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29" w:history="1">
            <w:r w:rsidR="006128CE" w:rsidRPr="004727B5">
              <w:rPr>
                <w:rStyle w:val="Hipervnculo"/>
              </w:rPr>
              <w:t>4.15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Información sobre nominaciones de suministro de gas:</w:t>
            </w:r>
            <w:r w:rsidR="006128CE">
              <w:rPr>
                <w:webHidden/>
              </w:rPr>
              <w:tab/>
            </w:r>
            <w:r w:rsidR="006128CE">
              <w:rPr>
                <w:webHidden/>
              </w:rPr>
              <w:fldChar w:fldCharType="begin"/>
            </w:r>
            <w:r w:rsidR="006128CE">
              <w:rPr>
                <w:webHidden/>
              </w:rPr>
              <w:instrText xml:space="preserve"> PAGEREF _Toc140506229 \h </w:instrText>
            </w:r>
            <w:r w:rsidR="006128CE">
              <w:rPr>
                <w:webHidden/>
              </w:rPr>
            </w:r>
            <w:r w:rsidR="006128CE">
              <w:rPr>
                <w:webHidden/>
              </w:rPr>
              <w:fldChar w:fldCharType="separate"/>
            </w:r>
            <w:r w:rsidR="006128CE">
              <w:rPr>
                <w:webHidden/>
              </w:rPr>
              <w:t>71</w:t>
            </w:r>
            <w:r w:rsidR="006128CE">
              <w:rPr>
                <w:webHidden/>
              </w:rPr>
              <w:fldChar w:fldCharType="end"/>
            </w:r>
          </w:hyperlink>
        </w:p>
        <w:p w14:paraId="10E7DB24" w14:textId="4AE8193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30" w:history="1">
            <w:r w:rsidR="006128CE" w:rsidRPr="004727B5">
              <w:rPr>
                <w:rStyle w:val="Hipervnculo"/>
              </w:rPr>
              <w:t>4.16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Información sobre renominaciones de suministro de gas</w:t>
            </w:r>
            <w:r w:rsidR="006128CE">
              <w:rPr>
                <w:webHidden/>
              </w:rPr>
              <w:tab/>
            </w:r>
            <w:r w:rsidR="006128CE">
              <w:rPr>
                <w:webHidden/>
              </w:rPr>
              <w:fldChar w:fldCharType="begin"/>
            </w:r>
            <w:r w:rsidR="006128CE">
              <w:rPr>
                <w:webHidden/>
              </w:rPr>
              <w:instrText xml:space="preserve"> PAGEREF _Toc140506230 \h </w:instrText>
            </w:r>
            <w:r w:rsidR="006128CE">
              <w:rPr>
                <w:webHidden/>
              </w:rPr>
            </w:r>
            <w:r w:rsidR="006128CE">
              <w:rPr>
                <w:webHidden/>
              </w:rPr>
              <w:fldChar w:fldCharType="separate"/>
            </w:r>
            <w:r w:rsidR="006128CE">
              <w:rPr>
                <w:webHidden/>
              </w:rPr>
              <w:t>71</w:t>
            </w:r>
            <w:r w:rsidR="006128CE">
              <w:rPr>
                <w:webHidden/>
              </w:rPr>
              <w:fldChar w:fldCharType="end"/>
            </w:r>
          </w:hyperlink>
        </w:p>
        <w:p w14:paraId="29CEBCAF" w14:textId="45628F4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31" w:history="1">
            <w:r w:rsidR="006128CE" w:rsidRPr="004727B5">
              <w:rPr>
                <w:rStyle w:val="Hipervnculo"/>
              </w:rPr>
              <w:t>4.17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Requisitos de contratos de suministro para plantas térmicas con OEFs y con combustible principal gas natural</w:t>
            </w:r>
            <w:r w:rsidR="006128CE">
              <w:rPr>
                <w:webHidden/>
              </w:rPr>
              <w:tab/>
            </w:r>
            <w:r w:rsidR="006128CE">
              <w:rPr>
                <w:webHidden/>
              </w:rPr>
              <w:fldChar w:fldCharType="begin"/>
            </w:r>
            <w:r w:rsidR="006128CE">
              <w:rPr>
                <w:webHidden/>
              </w:rPr>
              <w:instrText xml:space="preserve"> PAGEREF _Toc140506231 \h </w:instrText>
            </w:r>
            <w:r w:rsidR="006128CE">
              <w:rPr>
                <w:webHidden/>
              </w:rPr>
            </w:r>
            <w:r w:rsidR="006128CE">
              <w:rPr>
                <w:webHidden/>
              </w:rPr>
              <w:fldChar w:fldCharType="separate"/>
            </w:r>
            <w:r w:rsidR="006128CE">
              <w:rPr>
                <w:webHidden/>
              </w:rPr>
              <w:t>71</w:t>
            </w:r>
            <w:r w:rsidR="006128CE">
              <w:rPr>
                <w:webHidden/>
              </w:rPr>
              <w:fldChar w:fldCharType="end"/>
            </w:r>
          </w:hyperlink>
        </w:p>
        <w:p w14:paraId="7B295FC9" w14:textId="33A116C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32" w:history="1">
            <w:r w:rsidR="006128CE" w:rsidRPr="004727B5">
              <w:rPr>
                <w:rStyle w:val="Hipervnculo"/>
              </w:rPr>
              <w:t>4.18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Registro de contratos sin necesidad de haber usado el MADE</w:t>
            </w:r>
            <w:r w:rsidR="006128CE">
              <w:rPr>
                <w:webHidden/>
              </w:rPr>
              <w:tab/>
            </w:r>
            <w:r w:rsidR="006128CE">
              <w:rPr>
                <w:webHidden/>
              </w:rPr>
              <w:fldChar w:fldCharType="begin"/>
            </w:r>
            <w:r w:rsidR="006128CE">
              <w:rPr>
                <w:webHidden/>
              </w:rPr>
              <w:instrText xml:space="preserve"> PAGEREF _Toc140506232 \h </w:instrText>
            </w:r>
            <w:r w:rsidR="006128CE">
              <w:rPr>
                <w:webHidden/>
              </w:rPr>
            </w:r>
            <w:r w:rsidR="006128CE">
              <w:rPr>
                <w:webHidden/>
              </w:rPr>
              <w:fldChar w:fldCharType="separate"/>
            </w:r>
            <w:r w:rsidR="006128CE">
              <w:rPr>
                <w:webHidden/>
              </w:rPr>
              <w:t>71</w:t>
            </w:r>
            <w:r w:rsidR="006128CE">
              <w:rPr>
                <w:webHidden/>
              </w:rPr>
              <w:fldChar w:fldCharType="end"/>
            </w:r>
          </w:hyperlink>
        </w:p>
        <w:p w14:paraId="7D4C9688" w14:textId="6BE5FAD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33" w:history="1">
            <w:r w:rsidR="006128CE" w:rsidRPr="004727B5">
              <w:rPr>
                <w:rStyle w:val="Hipervnculo"/>
              </w:rPr>
              <w:t>4.19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Ecuaciones de actualización periódica de los precios iniciales</w:t>
            </w:r>
            <w:r w:rsidR="006128CE">
              <w:rPr>
                <w:webHidden/>
              </w:rPr>
              <w:tab/>
            </w:r>
            <w:r w:rsidR="006128CE">
              <w:rPr>
                <w:webHidden/>
              </w:rPr>
              <w:fldChar w:fldCharType="begin"/>
            </w:r>
            <w:r w:rsidR="006128CE">
              <w:rPr>
                <w:webHidden/>
              </w:rPr>
              <w:instrText xml:space="preserve"> PAGEREF _Toc140506233 \h </w:instrText>
            </w:r>
            <w:r w:rsidR="006128CE">
              <w:rPr>
                <w:webHidden/>
              </w:rPr>
            </w:r>
            <w:r w:rsidR="006128CE">
              <w:rPr>
                <w:webHidden/>
              </w:rPr>
              <w:fldChar w:fldCharType="separate"/>
            </w:r>
            <w:r w:rsidR="006128CE">
              <w:rPr>
                <w:webHidden/>
              </w:rPr>
              <w:t>72</w:t>
            </w:r>
            <w:r w:rsidR="006128CE">
              <w:rPr>
                <w:webHidden/>
              </w:rPr>
              <w:fldChar w:fldCharType="end"/>
            </w:r>
          </w:hyperlink>
        </w:p>
        <w:p w14:paraId="7E37CAA0" w14:textId="3A6C26B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34" w:history="1">
            <w:r w:rsidR="006128CE" w:rsidRPr="004727B5">
              <w:rPr>
                <w:rStyle w:val="Hipervnculo"/>
              </w:rPr>
              <w:t>4.20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Reglamento de la subasta de cantidades para trimestres deficitarios</w:t>
            </w:r>
            <w:r w:rsidR="006128CE">
              <w:rPr>
                <w:webHidden/>
              </w:rPr>
              <w:tab/>
            </w:r>
            <w:r w:rsidR="006128CE">
              <w:rPr>
                <w:webHidden/>
              </w:rPr>
              <w:fldChar w:fldCharType="begin"/>
            </w:r>
            <w:r w:rsidR="006128CE">
              <w:rPr>
                <w:webHidden/>
              </w:rPr>
              <w:instrText xml:space="preserve"> PAGEREF _Toc140506234 \h </w:instrText>
            </w:r>
            <w:r w:rsidR="006128CE">
              <w:rPr>
                <w:webHidden/>
              </w:rPr>
            </w:r>
            <w:r w:rsidR="006128CE">
              <w:rPr>
                <w:webHidden/>
              </w:rPr>
              <w:fldChar w:fldCharType="separate"/>
            </w:r>
            <w:r w:rsidR="006128CE">
              <w:rPr>
                <w:webHidden/>
              </w:rPr>
              <w:t>77</w:t>
            </w:r>
            <w:r w:rsidR="006128CE">
              <w:rPr>
                <w:webHidden/>
              </w:rPr>
              <w:fldChar w:fldCharType="end"/>
            </w:r>
          </w:hyperlink>
        </w:p>
        <w:p w14:paraId="3D6559A1" w14:textId="3B61400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35" w:history="1">
            <w:r w:rsidR="006128CE" w:rsidRPr="004727B5">
              <w:rPr>
                <w:rStyle w:val="Hipervnculo"/>
              </w:rPr>
              <w:t>4.21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Información de oferta y demanda para negociaciones directas en el Mercado Secundario</w:t>
            </w:r>
            <w:r w:rsidR="006128CE">
              <w:rPr>
                <w:webHidden/>
              </w:rPr>
              <w:tab/>
            </w:r>
            <w:r w:rsidR="006128CE">
              <w:rPr>
                <w:webHidden/>
              </w:rPr>
              <w:fldChar w:fldCharType="begin"/>
            </w:r>
            <w:r w:rsidR="006128CE">
              <w:rPr>
                <w:webHidden/>
              </w:rPr>
              <w:instrText xml:space="preserve"> PAGEREF _Toc140506235 \h </w:instrText>
            </w:r>
            <w:r w:rsidR="006128CE">
              <w:rPr>
                <w:webHidden/>
              </w:rPr>
            </w:r>
            <w:r w:rsidR="006128CE">
              <w:rPr>
                <w:webHidden/>
              </w:rPr>
              <w:fldChar w:fldCharType="separate"/>
            </w:r>
            <w:r w:rsidR="006128CE">
              <w:rPr>
                <w:webHidden/>
              </w:rPr>
              <w:t>78</w:t>
            </w:r>
            <w:r w:rsidR="006128CE">
              <w:rPr>
                <w:webHidden/>
              </w:rPr>
              <w:fldChar w:fldCharType="end"/>
            </w:r>
          </w:hyperlink>
        </w:p>
        <w:p w14:paraId="742C58EA" w14:textId="0366ED2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36" w:history="1">
            <w:r w:rsidR="006128CE" w:rsidRPr="004727B5">
              <w:rPr>
                <w:rStyle w:val="Hipervnculo"/>
              </w:rPr>
              <w:t>4.22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Otros aspectos de la propuesta</w:t>
            </w:r>
            <w:r w:rsidR="006128CE">
              <w:rPr>
                <w:webHidden/>
              </w:rPr>
              <w:tab/>
            </w:r>
            <w:r w:rsidR="006128CE">
              <w:rPr>
                <w:webHidden/>
              </w:rPr>
              <w:fldChar w:fldCharType="begin"/>
            </w:r>
            <w:r w:rsidR="006128CE">
              <w:rPr>
                <w:webHidden/>
              </w:rPr>
              <w:instrText xml:space="preserve"> PAGEREF _Toc140506236 \h </w:instrText>
            </w:r>
            <w:r w:rsidR="006128CE">
              <w:rPr>
                <w:webHidden/>
              </w:rPr>
            </w:r>
            <w:r w:rsidR="006128CE">
              <w:rPr>
                <w:webHidden/>
              </w:rPr>
              <w:fldChar w:fldCharType="separate"/>
            </w:r>
            <w:r w:rsidR="006128CE">
              <w:rPr>
                <w:webHidden/>
              </w:rPr>
              <w:t>78</w:t>
            </w:r>
            <w:r w:rsidR="006128CE">
              <w:rPr>
                <w:webHidden/>
              </w:rPr>
              <w:fldChar w:fldCharType="end"/>
            </w:r>
          </w:hyperlink>
        </w:p>
        <w:p w14:paraId="645C0AA2" w14:textId="2C5A56C9"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37" w:history="1">
            <w:r w:rsidR="006128CE" w:rsidRPr="004727B5">
              <w:rPr>
                <w:rStyle w:val="Hipervnculo"/>
              </w:rPr>
              <w:t>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ANÁLISIS DE IMPACTOS</w:t>
            </w:r>
            <w:r w:rsidR="006128CE">
              <w:rPr>
                <w:webHidden/>
              </w:rPr>
              <w:tab/>
            </w:r>
            <w:r w:rsidR="006128CE">
              <w:rPr>
                <w:webHidden/>
              </w:rPr>
              <w:fldChar w:fldCharType="begin"/>
            </w:r>
            <w:r w:rsidR="006128CE">
              <w:rPr>
                <w:webHidden/>
              </w:rPr>
              <w:instrText xml:space="preserve"> PAGEREF _Toc140506237 \h </w:instrText>
            </w:r>
            <w:r w:rsidR="006128CE">
              <w:rPr>
                <w:webHidden/>
              </w:rPr>
            </w:r>
            <w:r w:rsidR="006128CE">
              <w:rPr>
                <w:webHidden/>
              </w:rPr>
              <w:fldChar w:fldCharType="separate"/>
            </w:r>
            <w:r w:rsidR="006128CE">
              <w:rPr>
                <w:webHidden/>
              </w:rPr>
              <w:t>79</w:t>
            </w:r>
            <w:r w:rsidR="006128CE">
              <w:rPr>
                <w:webHidden/>
              </w:rPr>
              <w:fldChar w:fldCharType="end"/>
            </w:r>
          </w:hyperlink>
        </w:p>
        <w:p w14:paraId="3A10CBFB" w14:textId="39A12E92"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38" w:history="1">
            <w:r w:rsidR="006128CE" w:rsidRPr="004727B5">
              <w:rPr>
                <w:rStyle w:val="Hipervnculo"/>
                <w:rFonts w:cs="Arial"/>
              </w:rPr>
              <w:t xml:space="preserve">ANEXO 1. </w:t>
            </w:r>
            <w:r w:rsidR="006128CE" w:rsidRPr="004727B5">
              <w:rPr>
                <w:rStyle w:val="Hipervnculo"/>
              </w:rPr>
              <w:t>ANÁLISIS DE COMENTARIOS RECIBIDOS</w:t>
            </w:r>
            <w:r w:rsidR="006128CE">
              <w:rPr>
                <w:webHidden/>
              </w:rPr>
              <w:tab/>
            </w:r>
            <w:r w:rsidR="006128CE">
              <w:rPr>
                <w:webHidden/>
              </w:rPr>
              <w:fldChar w:fldCharType="begin"/>
            </w:r>
            <w:r w:rsidR="006128CE">
              <w:rPr>
                <w:webHidden/>
              </w:rPr>
              <w:instrText xml:space="preserve"> PAGEREF _Toc140506238 \h </w:instrText>
            </w:r>
            <w:r w:rsidR="006128CE">
              <w:rPr>
                <w:webHidden/>
              </w:rPr>
            </w:r>
            <w:r w:rsidR="006128CE">
              <w:rPr>
                <w:webHidden/>
              </w:rPr>
              <w:fldChar w:fldCharType="separate"/>
            </w:r>
            <w:r w:rsidR="006128CE">
              <w:rPr>
                <w:webHidden/>
              </w:rPr>
              <w:t>4</w:t>
            </w:r>
            <w:r w:rsidR="006128CE">
              <w:rPr>
                <w:webHidden/>
              </w:rPr>
              <w:fldChar w:fldCharType="end"/>
            </w:r>
          </w:hyperlink>
        </w:p>
        <w:p w14:paraId="316E41F0" w14:textId="193D6C67"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39" w:history="1">
            <w:r w:rsidR="006128CE" w:rsidRPr="004727B5">
              <w:rPr>
                <w:rStyle w:val="Hipervnculo"/>
              </w:rPr>
              <w:t>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COMENTARIOS GENERALES</w:t>
            </w:r>
            <w:r w:rsidR="006128CE">
              <w:rPr>
                <w:webHidden/>
              </w:rPr>
              <w:tab/>
            </w:r>
            <w:r w:rsidR="006128CE">
              <w:rPr>
                <w:webHidden/>
              </w:rPr>
              <w:fldChar w:fldCharType="begin"/>
            </w:r>
            <w:r w:rsidR="006128CE">
              <w:rPr>
                <w:webHidden/>
              </w:rPr>
              <w:instrText xml:space="preserve"> PAGEREF _Toc140506239 \h </w:instrText>
            </w:r>
            <w:r w:rsidR="006128CE">
              <w:rPr>
                <w:webHidden/>
              </w:rPr>
            </w:r>
            <w:r w:rsidR="006128CE">
              <w:rPr>
                <w:webHidden/>
              </w:rPr>
              <w:fldChar w:fldCharType="separate"/>
            </w:r>
            <w:r w:rsidR="006128CE">
              <w:rPr>
                <w:webHidden/>
              </w:rPr>
              <w:t>6</w:t>
            </w:r>
            <w:r w:rsidR="006128CE">
              <w:rPr>
                <w:webHidden/>
              </w:rPr>
              <w:fldChar w:fldCharType="end"/>
            </w:r>
          </w:hyperlink>
        </w:p>
        <w:p w14:paraId="6DE46149" w14:textId="72CAB37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0" w:history="1">
            <w:r w:rsidR="006128CE" w:rsidRPr="004727B5">
              <w:rPr>
                <w:rStyle w:val="Hipervnculo"/>
              </w:rPr>
              <w:t>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ACOLGÉN</w:t>
            </w:r>
            <w:r w:rsidR="006128CE">
              <w:rPr>
                <w:webHidden/>
              </w:rPr>
              <w:tab/>
            </w:r>
            <w:r w:rsidR="006128CE">
              <w:rPr>
                <w:webHidden/>
              </w:rPr>
              <w:fldChar w:fldCharType="begin"/>
            </w:r>
            <w:r w:rsidR="006128CE">
              <w:rPr>
                <w:webHidden/>
              </w:rPr>
              <w:instrText xml:space="preserve"> PAGEREF _Toc140506240 \h </w:instrText>
            </w:r>
            <w:r w:rsidR="006128CE">
              <w:rPr>
                <w:webHidden/>
              </w:rPr>
            </w:r>
            <w:r w:rsidR="006128CE">
              <w:rPr>
                <w:webHidden/>
              </w:rPr>
              <w:fldChar w:fldCharType="separate"/>
            </w:r>
            <w:r w:rsidR="006128CE">
              <w:rPr>
                <w:webHidden/>
              </w:rPr>
              <w:t>6</w:t>
            </w:r>
            <w:r w:rsidR="006128CE">
              <w:rPr>
                <w:webHidden/>
              </w:rPr>
              <w:fldChar w:fldCharType="end"/>
            </w:r>
          </w:hyperlink>
        </w:p>
        <w:p w14:paraId="6D752A33" w14:textId="1635C08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1" w:history="1">
            <w:r w:rsidR="006128CE" w:rsidRPr="004727B5">
              <w:rPr>
                <w:rStyle w:val="Hipervnculo"/>
              </w:rPr>
              <w:t>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ANDEG</w:t>
            </w:r>
            <w:r w:rsidR="006128CE">
              <w:rPr>
                <w:webHidden/>
              </w:rPr>
              <w:tab/>
            </w:r>
            <w:r w:rsidR="006128CE">
              <w:rPr>
                <w:webHidden/>
              </w:rPr>
              <w:fldChar w:fldCharType="begin"/>
            </w:r>
            <w:r w:rsidR="006128CE">
              <w:rPr>
                <w:webHidden/>
              </w:rPr>
              <w:instrText xml:space="preserve"> PAGEREF _Toc140506241 \h </w:instrText>
            </w:r>
            <w:r w:rsidR="006128CE">
              <w:rPr>
                <w:webHidden/>
              </w:rPr>
            </w:r>
            <w:r w:rsidR="006128CE">
              <w:rPr>
                <w:webHidden/>
              </w:rPr>
              <w:fldChar w:fldCharType="separate"/>
            </w:r>
            <w:r w:rsidR="006128CE">
              <w:rPr>
                <w:webHidden/>
              </w:rPr>
              <w:t>7</w:t>
            </w:r>
            <w:r w:rsidR="006128CE">
              <w:rPr>
                <w:webHidden/>
              </w:rPr>
              <w:fldChar w:fldCharType="end"/>
            </w:r>
          </w:hyperlink>
        </w:p>
        <w:p w14:paraId="42E0C9F5" w14:textId="7738AC4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2" w:history="1">
            <w:r w:rsidR="006128CE" w:rsidRPr="004727B5">
              <w:rPr>
                <w:rStyle w:val="Hipervnculo"/>
              </w:rPr>
              <w:t>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ANDESCO</w:t>
            </w:r>
            <w:r w:rsidR="006128CE">
              <w:rPr>
                <w:webHidden/>
              </w:rPr>
              <w:tab/>
            </w:r>
            <w:r w:rsidR="006128CE">
              <w:rPr>
                <w:webHidden/>
              </w:rPr>
              <w:fldChar w:fldCharType="begin"/>
            </w:r>
            <w:r w:rsidR="006128CE">
              <w:rPr>
                <w:webHidden/>
              </w:rPr>
              <w:instrText xml:space="preserve"> PAGEREF _Toc140506242 \h </w:instrText>
            </w:r>
            <w:r w:rsidR="006128CE">
              <w:rPr>
                <w:webHidden/>
              </w:rPr>
            </w:r>
            <w:r w:rsidR="006128CE">
              <w:rPr>
                <w:webHidden/>
              </w:rPr>
              <w:fldChar w:fldCharType="separate"/>
            </w:r>
            <w:r w:rsidR="006128CE">
              <w:rPr>
                <w:webHidden/>
              </w:rPr>
              <w:t>19</w:t>
            </w:r>
            <w:r w:rsidR="006128CE">
              <w:rPr>
                <w:webHidden/>
              </w:rPr>
              <w:fldChar w:fldCharType="end"/>
            </w:r>
          </w:hyperlink>
        </w:p>
        <w:p w14:paraId="44B09757" w14:textId="1308417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3" w:history="1">
            <w:r w:rsidR="006128CE" w:rsidRPr="004727B5">
              <w:rPr>
                <w:rStyle w:val="Hipervnculo"/>
              </w:rPr>
              <w:t>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EFIGÁS</w:t>
            </w:r>
            <w:r w:rsidR="006128CE">
              <w:rPr>
                <w:webHidden/>
              </w:rPr>
              <w:tab/>
            </w:r>
            <w:r w:rsidR="006128CE">
              <w:rPr>
                <w:webHidden/>
              </w:rPr>
              <w:fldChar w:fldCharType="begin"/>
            </w:r>
            <w:r w:rsidR="006128CE">
              <w:rPr>
                <w:webHidden/>
              </w:rPr>
              <w:instrText xml:space="preserve"> PAGEREF _Toc140506243 \h </w:instrText>
            </w:r>
            <w:r w:rsidR="006128CE">
              <w:rPr>
                <w:webHidden/>
              </w:rPr>
            </w:r>
            <w:r w:rsidR="006128CE">
              <w:rPr>
                <w:webHidden/>
              </w:rPr>
              <w:fldChar w:fldCharType="separate"/>
            </w:r>
            <w:r w:rsidR="006128CE">
              <w:rPr>
                <w:webHidden/>
              </w:rPr>
              <w:t>20</w:t>
            </w:r>
            <w:r w:rsidR="006128CE">
              <w:rPr>
                <w:webHidden/>
              </w:rPr>
              <w:fldChar w:fldCharType="end"/>
            </w:r>
          </w:hyperlink>
        </w:p>
        <w:p w14:paraId="45AACE8E" w14:textId="5121AF8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4" w:history="1">
            <w:r w:rsidR="006128CE" w:rsidRPr="004727B5">
              <w:rPr>
                <w:rStyle w:val="Hipervnculo"/>
              </w:rPr>
              <w:t>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_Toc140506244 \h </w:instrText>
            </w:r>
            <w:r w:rsidR="006128CE">
              <w:rPr>
                <w:webHidden/>
              </w:rPr>
            </w:r>
            <w:r w:rsidR="006128CE">
              <w:rPr>
                <w:webHidden/>
              </w:rPr>
              <w:fldChar w:fldCharType="separate"/>
            </w:r>
            <w:r w:rsidR="006128CE">
              <w:rPr>
                <w:webHidden/>
              </w:rPr>
              <w:t>22</w:t>
            </w:r>
            <w:r w:rsidR="006128CE">
              <w:rPr>
                <w:webHidden/>
              </w:rPr>
              <w:fldChar w:fldCharType="end"/>
            </w:r>
          </w:hyperlink>
        </w:p>
        <w:p w14:paraId="44C2F148" w14:textId="2881F54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5" w:history="1">
            <w:r w:rsidR="006128CE" w:rsidRPr="004727B5">
              <w:rPr>
                <w:rStyle w:val="Hipervnculo"/>
              </w:rPr>
              <w:t>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_Toc140506245 \h </w:instrText>
            </w:r>
            <w:r w:rsidR="006128CE">
              <w:rPr>
                <w:webHidden/>
              </w:rPr>
            </w:r>
            <w:r w:rsidR="006128CE">
              <w:rPr>
                <w:webHidden/>
              </w:rPr>
              <w:fldChar w:fldCharType="separate"/>
            </w:r>
            <w:r w:rsidR="006128CE">
              <w:rPr>
                <w:webHidden/>
              </w:rPr>
              <w:t>26</w:t>
            </w:r>
            <w:r w:rsidR="006128CE">
              <w:rPr>
                <w:webHidden/>
              </w:rPr>
              <w:fldChar w:fldCharType="end"/>
            </w:r>
          </w:hyperlink>
        </w:p>
        <w:p w14:paraId="05AF2CE1" w14:textId="4F0E440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6" w:history="1">
            <w:r w:rsidR="006128CE" w:rsidRPr="004727B5">
              <w:rPr>
                <w:rStyle w:val="Hipervnculo"/>
              </w:rPr>
              <w:t>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MADIGÁS</w:t>
            </w:r>
            <w:r w:rsidR="006128CE">
              <w:rPr>
                <w:webHidden/>
              </w:rPr>
              <w:tab/>
            </w:r>
            <w:r w:rsidR="006128CE">
              <w:rPr>
                <w:webHidden/>
              </w:rPr>
              <w:fldChar w:fldCharType="begin"/>
            </w:r>
            <w:r w:rsidR="006128CE">
              <w:rPr>
                <w:webHidden/>
              </w:rPr>
              <w:instrText xml:space="preserve"> PAGEREF _Toc140506246 \h </w:instrText>
            </w:r>
            <w:r w:rsidR="006128CE">
              <w:rPr>
                <w:webHidden/>
              </w:rPr>
            </w:r>
            <w:r w:rsidR="006128CE">
              <w:rPr>
                <w:webHidden/>
              </w:rPr>
              <w:fldChar w:fldCharType="separate"/>
            </w:r>
            <w:r w:rsidR="006128CE">
              <w:rPr>
                <w:webHidden/>
              </w:rPr>
              <w:t>28</w:t>
            </w:r>
            <w:r w:rsidR="006128CE">
              <w:rPr>
                <w:webHidden/>
              </w:rPr>
              <w:fldChar w:fldCharType="end"/>
            </w:r>
          </w:hyperlink>
        </w:p>
        <w:p w14:paraId="2C595F6C" w14:textId="42C3FCD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7" w:history="1">
            <w:r w:rsidR="006128CE" w:rsidRPr="004727B5">
              <w:rPr>
                <w:rStyle w:val="Hipervnculo"/>
              </w:rPr>
              <w:t>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PRIME ENERGÍA</w:t>
            </w:r>
            <w:r w:rsidR="006128CE">
              <w:rPr>
                <w:webHidden/>
              </w:rPr>
              <w:tab/>
            </w:r>
            <w:r w:rsidR="006128CE">
              <w:rPr>
                <w:webHidden/>
              </w:rPr>
              <w:fldChar w:fldCharType="begin"/>
            </w:r>
            <w:r w:rsidR="006128CE">
              <w:rPr>
                <w:webHidden/>
              </w:rPr>
              <w:instrText xml:space="preserve"> PAGEREF _Toc140506247 \h </w:instrText>
            </w:r>
            <w:r w:rsidR="006128CE">
              <w:rPr>
                <w:webHidden/>
              </w:rPr>
            </w:r>
            <w:r w:rsidR="006128CE">
              <w:rPr>
                <w:webHidden/>
              </w:rPr>
              <w:fldChar w:fldCharType="separate"/>
            </w:r>
            <w:r w:rsidR="006128CE">
              <w:rPr>
                <w:webHidden/>
              </w:rPr>
              <w:t>28</w:t>
            </w:r>
            <w:r w:rsidR="006128CE">
              <w:rPr>
                <w:webHidden/>
              </w:rPr>
              <w:fldChar w:fldCharType="end"/>
            </w:r>
          </w:hyperlink>
        </w:p>
        <w:p w14:paraId="7BAE8819" w14:textId="232F18B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8" w:history="1">
            <w:r w:rsidR="006128CE" w:rsidRPr="004727B5">
              <w:rPr>
                <w:rStyle w:val="Hipervnculo"/>
              </w:rPr>
              <w:t>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_Toc140506248 \h </w:instrText>
            </w:r>
            <w:r w:rsidR="006128CE">
              <w:rPr>
                <w:webHidden/>
              </w:rPr>
            </w:r>
            <w:r w:rsidR="006128CE">
              <w:rPr>
                <w:webHidden/>
              </w:rPr>
              <w:fldChar w:fldCharType="separate"/>
            </w:r>
            <w:r w:rsidR="006128CE">
              <w:rPr>
                <w:webHidden/>
              </w:rPr>
              <w:t>29</w:t>
            </w:r>
            <w:r w:rsidR="006128CE">
              <w:rPr>
                <w:webHidden/>
              </w:rPr>
              <w:fldChar w:fldCharType="end"/>
            </w:r>
          </w:hyperlink>
        </w:p>
        <w:p w14:paraId="71A82D6D" w14:textId="39AD228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49" w:history="1">
            <w:r w:rsidR="006128CE" w:rsidRPr="004727B5">
              <w:rPr>
                <w:rStyle w:val="Hipervnculo"/>
              </w:rPr>
              <w:t>1.10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SPEC</w:t>
            </w:r>
            <w:r w:rsidR="006128CE">
              <w:rPr>
                <w:webHidden/>
              </w:rPr>
              <w:tab/>
            </w:r>
            <w:r w:rsidR="006128CE">
              <w:rPr>
                <w:webHidden/>
              </w:rPr>
              <w:fldChar w:fldCharType="begin"/>
            </w:r>
            <w:r w:rsidR="006128CE">
              <w:rPr>
                <w:webHidden/>
              </w:rPr>
              <w:instrText xml:space="preserve"> PAGEREF _Toc140506249 \h </w:instrText>
            </w:r>
            <w:r w:rsidR="006128CE">
              <w:rPr>
                <w:webHidden/>
              </w:rPr>
            </w:r>
            <w:r w:rsidR="006128CE">
              <w:rPr>
                <w:webHidden/>
              </w:rPr>
              <w:fldChar w:fldCharType="separate"/>
            </w:r>
            <w:r w:rsidR="006128CE">
              <w:rPr>
                <w:webHidden/>
              </w:rPr>
              <w:t>32</w:t>
            </w:r>
            <w:r w:rsidR="006128CE">
              <w:rPr>
                <w:webHidden/>
              </w:rPr>
              <w:fldChar w:fldCharType="end"/>
            </w:r>
          </w:hyperlink>
        </w:p>
        <w:p w14:paraId="5BE3A2A9" w14:textId="468AC3E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50" w:history="1">
            <w:r w:rsidR="006128CE" w:rsidRPr="004727B5">
              <w:rPr>
                <w:rStyle w:val="Hipervnculo"/>
              </w:rPr>
              <w:t>1.11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SURTIGÁS</w:t>
            </w:r>
            <w:r w:rsidR="006128CE">
              <w:rPr>
                <w:webHidden/>
              </w:rPr>
              <w:tab/>
            </w:r>
            <w:r w:rsidR="006128CE">
              <w:rPr>
                <w:webHidden/>
              </w:rPr>
              <w:fldChar w:fldCharType="begin"/>
            </w:r>
            <w:r w:rsidR="006128CE">
              <w:rPr>
                <w:webHidden/>
              </w:rPr>
              <w:instrText xml:space="preserve"> PAGEREF _Toc140506250 \h </w:instrText>
            </w:r>
            <w:r w:rsidR="006128CE">
              <w:rPr>
                <w:webHidden/>
              </w:rPr>
            </w:r>
            <w:r w:rsidR="006128CE">
              <w:rPr>
                <w:webHidden/>
              </w:rPr>
              <w:fldChar w:fldCharType="separate"/>
            </w:r>
            <w:r w:rsidR="006128CE">
              <w:rPr>
                <w:webHidden/>
              </w:rPr>
              <w:t>34</w:t>
            </w:r>
            <w:r w:rsidR="006128CE">
              <w:rPr>
                <w:webHidden/>
              </w:rPr>
              <w:fldChar w:fldCharType="end"/>
            </w:r>
          </w:hyperlink>
        </w:p>
        <w:p w14:paraId="46E4152C" w14:textId="4F68BBB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51" w:history="1">
            <w:r w:rsidR="006128CE" w:rsidRPr="004727B5">
              <w:rPr>
                <w:rStyle w:val="Hipervnculo"/>
              </w:rPr>
              <w:t>1.12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_Toc140506251 \h </w:instrText>
            </w:r>
            <w:r w:rsidR="006128CE">
              <w:rPr>
                <w:webHidden/>
              </w:rPr>
            </w:r>
            <w:r w:rsidR="006128CE">
              <w:rPr>
                <w:webHidden/>
              </w:rPr>
              <w:fldChar w:fldCharType="separate"/>
            </w:r>
            <w:r w:rsidR="006128CE">
              <w:rPr>
                <w:webHidden/>
              </w:rPr>
              <w:t>36</w:t>
            </w:r>
            <w:r w:rsidR="006128CE">
              <w:rPr>
                <w:webHidden/>
              </w:rPr>
              <w:fldChar w:fldCharType="end"/>
            </w:r>
          </w:hyperlink>
        </w:p>
        <w:p w14:paraId="370D026A" w14:textId="0806C7D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52" w:history="1">
            <w:r w:rsidR="006128CE" w:rsidRPr="004727B5">
              <w:rPr>
                <w:rStyle w:val="Hipervnculo"/>
              </w:rPr>
              <w:t>1.13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TGI</w:t>
            </w:r>
            <w:r w:rsidR="006128CE">
              <w:rPr>
                <w:webHidden/>
              </w:rPr>
              <w:tab/>
            </w:r>
            <w:r w:rsidR="006128CE">
              <w:rPr>
                <w:webHidden/>
              </w:rPr>
              <w:fldChar w:fldCharType="begin"/>
            </w:r>
            <w:r w:rsidR="006128CE">
              <w:rPr>
                <w:webHidden/>
              </w:rPr>
              <w:instrText xml:space="preserve"> PAGEREF _Toc140506252 \h </w:instrText>
            </w:r>
            <w:r w:rsidR="006128CE">
              <w:rPr>
                <w:webHidden/>
              </w:rPr>
            </w:r>
            <w:r w:rsidR="006128CE">
              <w:rPr>
                <w:webHidden/>
              </w:rPr>
              <w:fldChar w:fldCharType="separate"/>
            </w:r>
            <w:r w:rsidR="006128CE">
              <w:rPr>
                <w:webHidden/>
              </w:rPr>
              <w:t>38</w:t>
            </w:r>
            <w:r w:rsidR="006128CE">
              <w:rPr>
                <w:webHidden/>
              </w:rPr>
              <w:fldChar w:fldCharType="end"/>
            </w:r>
          </w:hyperlink>
        </w:p>
        <w:p w14:paraId="092276A6" w14:textId="6B0C677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53" w:history="1">
            <w:r w:rsidR="006128CE" w:rsidRPr="004727B5">
              <w:rPr>
                <w:rStyle w:val="Hipervnculo"/>
              </w:rPr>
              <w:t>1.14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_Toc140506253 \h </w:instrText>
            </w:r>
            <w:r w:rsidR="006128CE">
              <w:rPr>
                <w:webHidden/>
              </w:rPr>
            </w:r>
            <w:r w:rsidR="006128CE">
              <w:rPr>
                <w:webHidden/>
              </w:rPr>
              <w:fldChar w:fldCharType="separate"/>
            </w:r>
            <w:r w:rsidR="006128CE">
              <w:rPr>
                <w:webHidden/>
              </w:rPr>
              <w:t>40</w:t>
            </w:r>
            <w:r w:rsidR="006128CE">
              <w:rPr>
                <w:webHidden/>
              </w:rPr>
              <w:fldChar w:fldCharType="end"/>
            </w:r>
          </w:hyperlink>
        </w:p>
        <w:p w14:paraId="0A2E857D" w14:textId="55CA5B2C"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54" w:history="1">
            <w:r w:rsidR="006128CE" w:rsidRPr="004727B5">
              <w:rPr>
                <w:rStyle w:val="Hipervnculo"/>
              </w:rPr>
              <w:t>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ARTÍCULO 1. OBJETO</w:t>
            </w:r>
            <w:r w:rsidR="006128CE">
              <w:rPr>
                <w:webHidden/>
              </w:rPr>
              <w:tab/>
            </w:r>
            <w:r w:rsidR="006128CE">
              <w:rPr>
                <w:webHidden/>
              </w:rPr>
              <w:fldChar w:fldCharType="begin"/>
            </w:r>
            <w:r w:rsidR="006128CE">
              <w:rPr>
                <w:webHidden/>
              </w:rPr>
              <w:instrText xml:space="preserve"> PAGEREF _Toc140506254 \h </w:instrText>
            </w:r>
            <w:r w:rsidR="006128CE">
              <w:rPr>
                <w:webHidden/>
              </w:rPr>
            </w:r>
            <w:r w:rsidR="006128CE">
              <w:rPr>
                <w:webHidden/>
              </w:rPr>
              <w:fldChar w:fldCharType="separate"/>
            </w:r>
            <w:r w:rsidR="006128CE">
              <w:rPr>
                <w:webHidden/>
              </w:rPr>
              <w:t>41</w:t>
            </w:r>
            <w:r w:rsidR="006128CE">
              <w:rPr>
                <w:webHidden/>
              </w:rPr>
              <w:fldChar w:fldCharType="end"/>
            </w:r>
          </w:hyperlink>
        </w:p>
        <w:p w14:paraId="35C3D551" w14:textId="1E022F0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55" w:history="1">
            <w:r w:rsidR="006128CE" w:rsidRPr="004727B5">
              <w:rPr>
                <w:rStyle w:val="Hipervnculo"/>
              </w:rPr>
              <w:t>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_Toc140506255 \h </w:instrText>
            </w:r>
            <w:r w:rsidR="006128CE">
              <w:rPr>
                <w:webHidden/>
              </w:rPr>
            </w:r>
            <w:r w:rsidR="006128CE">
              <w:rPr>
                <w:webHidden/>
              </w:rPr>
              <w:fldChar w:fldCharType="separate"/>
            </w:r>
            <w:r w:rsidR="006128CE">
              <w:rPr>
                <w:webHidden/>
              </w:rPr>
              <w:t>41</w:t>
            </w:r>
            <w:r w:rsidR="006128CE">
              <w:rPr>
                <w:webHidden/>
              </w:rPr>
              <w:fldChar w:fldCharType="end"/>
            </w:r>
          </w:hyperlink>
        </w:p>
        <w:p w14:paraId="34DB5427" w14:textId="4CAFAD4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56" w:history="1">
            <w:r w:rsidR="006128CE" w:rsidRPr="004727B5">
              <w:rPr>
                <w:rStyle w:val="Hipervnculo"/>
              </w:rPr>
              <w:t>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OILGAS ENERGY</w:t>
            </w:r>
            <w:r w:rsidR="006128CE">
              <w:rPr>
                <w:webHidden/>
              </w:rPr>
              <w:tab/>
            </w:r>
            <w:r w:rsidR="006128CE">
              <w:rPr>
                <w:webHidden/>
              </w:rPr>
              <w:fldChar w:fldCharType="begin"/>
            </w:r>
            <w:r w:rsidR="006128CE">
              <w:rPr>
                <w:webHidden/>
              </w:rPr>
              <w:instrText xml:space="preserve"> PAGEREF _Toc140506256 \h </w:instrText>
            </w:r>
            <w:r w:rsidR="006128CE">
              <w:rPr>
                <w:webHidden/>
              </w:rPr>
            </w:r>
            <w:r w:rsidR="006128CE">
              <w:rPr>
                <w:webHidden/>
              </w:rPr>
              <w:fldChar w:fldCharType="separate"/>
            </w:r>
            <w:r w:rsidR="006128CE">
              <w:rPr>
                <w:webHidden/>
              </w:rPr>
              <w:t>41</w:t>
            </w:r>
            <w:r w:rsidR="006128CE">
              <w:rPr>
                <w:webHidden/>
              </w:rPr>
              <w:fldChar w:fldCharType="end"/>
            </w:r>
          </w:hyperlink>
        </w:p>
        <w:p w14:paraId="5D3819D5" w14:textId="1ABD40A0"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57" w:history="1">
            <w:r w:rsidR="006128CE" w:rsidRPr="004727B5">
              <w:rPr>
                <w:rStyle w:val="Hipervnculo"/>
              </w:rPr>
              <w:t>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ARTÍCULO 2. ÁMBITO DE APLICACIÓN</w:t>
            </w:r>
            <w:r w:rsidR="006128CE">
              <w:rPr>
                <w:webHidden/>
              </w:rPr>
              <w:tab/>
            </w:r>
            <w:r w:rsidR="006128CE">
              <w:rPr>
                <w:webHidden/>
              </w:rPr>
              <w:fldChar w:fldCharType="begin"/>
            </w:r>
            <w:r w:rsidR="006128CE">
              <w:rPr>
                <w:webHidden/>
              </w:rPr>
              <w:instrText xml:space="preserve"> PAGEREF _Toc140506257 \h </w:instrText>
            </w:r>
            <w:r w:rsidR="006128CE">
              <w:rPr>
                <w:webHidden/>
              </w:rPr>
            </w:r>
            <w:r w:rsidR="006128CE">
              <w:rPr>
                <w:webHidden/>
              </w:rPr>
              <w:fldChar w:fldCharType="separate"/>
            </w:r>
            <w:r w:rsidR="006128CE">
              <w:rPr>
                <w:webHidden/>
              </w:rPr>
              <w:t>42</w:t>
            </w:r>
            <w:r w:rsidR="006128CE">
              <w:rPr>
                <w:webHidden/>
              </w:rPr>
              <w:fldChar w:fldCharType="end"/>
            </w:r>
          </w:hyperlink>
        </w:p>
        <w:p w14:paraId="4C43ED06" w14:textId="47B14F1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58" w:history="1">
            <w:r w:rsidR="006128CE" w:rsidRPr="004727B5">
              <w:rPr>
                <w:rStyle w:val="Hipervnculo"/>
              </w:rPr>
              <w:t>3.1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_Toc140506258 \h </w:instrText>
            </w:r>
            <w:r w:rsidR="006128CE">
              <w:rPr>
                <w:webHidden/>
              </w:rPr>
            </w:r>
            <w:r w:rsidR="006128CE">
              <w:rPr>
                <w:webHidden/>
              </w:rPr>
              <w:fldChar w:fldCharType="separate"/>
            </w:r>
            <w:r w:rsidR="006128CE">
              <w:rPr>
                <w:webHidden/>
              </w:rPr>
              <w:t>42</w:t>
            </w:r>
            <w:r w:rsidR="006128CE">
              <w:rPr>
                <w:webHidden/>
              </w:rPr>
              <w:fldChar w:fldCharType="end"/>
            </w:r>
          </w:hyperlink>
        </w:p>
        <w:p w14:paraId="64E8E78E" w14:textId="5BBA9BC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59" w:history="1">
            <w:r w:rsidR="006128CE" w:rsidRPr="004727B5">
              <w:rPr>
                <w:rStyle w:val="Hipervnculo"/>
              </w:rPr>
              <w:t>3.2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OILGAS ENERGY</w:t>
            </w:r>
            <w:r w:rsidR="006128CE">
              <w:rPr>
                <w:webHidden/>
              </w:rPr>
              <w:tab/>
            </w:r>
            <w:r w:rsidR="006128CE">
              <w:rPr>
                <w:webHidden/>
              </w:rPr>
              <w:fldChar w:fldCharType="begin"/>
            </w:r>
            <w:r w:rsidR="006128CE">
              <w:rPr>
                <w:webHidden/>
              </w:rPr>
              <w:instrText xml:space="preserve"> PAGEREF _Toc140506259 \h </w:instrText>
            </w:r>
            <w:r w:rsidR="006128CE">
              <w:rPr>
                <w:webHidden/>
              </w:rPr>
            </w:r>
            <w:r w:rsidR="006128CE">
              <w:rPr>
                <w:webHidden/>
              </w:rPr>
              <w:fldChar w:fldCharType="separate"/>
            </w:r>
            <w:r w:rsidR="006128CE">
              <w:rPr>
                <w:webHidden/>
              </w:rPr>
              <w:t>43</w:t>
            </w:r>
            <w:r w:rsidR="006128CE">
              <w:rPr>
                <w:webHidden/>
              </w:rPr>
              <w:fldChar w:fldCharType="end"/>
            </w:r>
          </w:hyperlink>
        </w:p>
        <w:p w14:paraId="56080D66" w14:textId="15B31FF8"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60" w:history="1">
            <w:r w:rsidR="006128CE" w:rsidRPr="004727B5">
              <w:rPr>
                <w:rStyle w:val="Hipervnculo"/>
              </w:rPr>
              <w:t>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3. </w:t>
            </w:r>
            <w:r w:rsidR="006128CE" w:rsidRPr="004727B5">
              <w:rPr>
                <w:rStyle w:val="Hipervnculo"/>
                <w:caps/>
              </w:rPr>
              <w:t>Definiciones</w:t>
            </w:r>
            <w:r w:rsidR="006128CE">
              <w:rPr>
                <w:webHidden/>
              </w:rPr>
              <w:tab/>
            </w:r>
            <w:r w:rsidR="006128CE">
              <w:rPr>
                <w:webHidden/>
              </w:rPr>
              <w:fldChar w:fldCharType="begin"/>
            </w:r>
            <w:r w:rsidR="006128CE">
              <w:rPr>
                <w:webHidden/>
              </w:rPr>
              <w:instrText xml:space="preserve"> PAGEREF _Toc140506260 \h </w:instrText>
            </w:r>
            <w:r w:rsidR="006128CE">
              <w:rPr>
                <w:webHidden/>
              </w:rPr>
            </w:r>
            <w:r w:rsidR="006128CE">
              <w:rPr>
                <w:webHidden/>
              </w:rPr>
              <w:fldChar w:fldCharType="separate"/>
            </w:r>
            <w:r w:rsidR="006128CE">
              <w:rPr>
                <w:webHidden/>
              </w:rPr>
              <w:t>43</w:t>
            </w:r>
            <w:r w:rsidR="006128CE">
              <w:rPr>
                <w:webHidden/>
              </w:rPr>
              <w:fldChar w:fldCharType="end"/>
            </w:r>
          </w:hyperlink>
        </w:p>
        <w:p w14:paraId="0DF6E197" w14:textId="53043D4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1" w:history="1">
            <w:r w:rsidR="006128CE" w:rsidRPr="004727B5">
              <w:rPr>
                <w:rStyle w:val="Hipervnculo"/>
              </w:rPr>
              <w:t>4.1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_Toc140506261 \h </w:instrText>
            </w:r>
            <w:r w:rsidR="006128CE">
              <w:rPr>
                <w:webHidden/>
              </w:rPr>
            </w:r>
            <w:r w:rsidR="006128CE">
              <w:rPr>
                <w:webHidden/>
              </w:rPr>
              <w:fldChar w:fldCharType="separate"/>
            </w:r>
            <w:r w:rsidR="006128CE">
              <w:rPr>
                <w:webHidden/>
              </w:rPr>
              <w:t>43</w:t>
            </w:r>
            <w:r w:rsidR="006128CE">
              <w:rPr>
                <w:webHidden/>
              </w:rPr>
              <w:fldChar w:fldCharType="end"/>
            </w:r>
          </w:hyperlink>
        </w:p>
        <w:p w14:paraId="53392809" w14:textId="43E499B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2" w:history="1">
            <w:r w:rsidR="006128CE" w:rsidRPr="004727B5">
              <w:rPr>
                <w:rStyle w:val="Hipervnculo"/>
              </w:rPr>
              <w:t>4.2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ANDESCO</w:t>
            </w:r>
            <w:r w:rsidR="006128CE">
              <w:rPr>
                <w:webHidden/>
              </w:rPr>
              <w:tab/>
            </w:r>
            <w:r w:rsidR="006128CE">
              <w:rPr>
                <w:webHidden/>
              </w:rPr>
              <w:fldChar w:fldCharType="begin"/>
            </w:r>
            <w:r w:rsidR="006128CE">
              <w:rPr>
                <w:webHidden/>
              </w:rPr>
              <w:instrText xml:space="preserve"> PAGEREF _Toc140506262 \h </w:instrText>
            </w:r>
            <w:r w:rsidR="006128CE">
              <w:rPr>
                <w:webHidden/>
              </w:rPr>
            </w:r>
            <w:r w:rsidR="006128CE">
              <w:rPr>
                <w:webHidden/>
              </w:rPr>
              <w:fldChar w:fldCharType="separate"/>
            </w:r>
            <w:r w:rsidR="006128CE">
              <w:rPr>
                <w:webHidden/>
              </w:rPr>
              <w:t>44</w:t>
            </w:r>
            <w:r w:rsidR="006128CE">
              <w:rPr>
                <w:webHidden/>
              </w:rPr>
              <w:fldChar w:fldCharType="end"/>
            </w:r>
          </w:hyperlink>
        </w:p>
        <w:p w14:paraId="52C1B45D" w14:textId="019EF99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3" w:history="1">
            <w:r w:rsidR="006128CE" w:rsidRPr="004727B5">
              <w:rPr>
                <w:rStyle w:val="Hipervnculo"/>
              </w:rPr>
              <w:t>4.3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_Toc140506263 \h </w:instrText>
            </w:r>
            <w:r w:rsidR="006128CE">
              <w:rPr>
                <w:webHidden/>
              </w:rPr>
            </w:r>
            <w:r w:rsidR="006128CE">
              <w:rPr>
                <w:webHidden/>
              </w:rPr>
              <w:fldChar w:fldCharType="separate"/>
            </w:r>
            <w:r w:rsidR="006128CE">
              <w:rPr>
                <w:webHidden/>
              </w:rPr>
              <w:t>44</w:t>
            </w:r>
            <w:r w:rsidR="006128CE">
              <w:rPr>
                <w:webHidden/>
              </w:rPr>
              <w:fldChar w:fldCharType="end"/>
            </w:r>
          </w:hyperlink>
        </w:p>
        <w:p w14:paraId="6C313E7B" w14:textId="6B6ADD7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4" w:history="1">
            <w:r w:rsidR="006128CE" w:rsidRPr="004727B5">
              <w:rPr>
                <w:rStyle w:val="Hipervnculo"/>
              </w:rPr>
              <w:t>4.4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CANACOL</w:t>
            </w:r>
            <w:r w:rsidR="006128CE">
              <w:rPr>
                <w:webHidden/>
              </w:rPr>
              <w:tab/>
            </w:r>
            <w:r w:rsidR="006128CE">
              <w:rPr>
                <w:webHidden/>
              </w:rPr>
              <w:fldChar w:fldCharType="begin"/>
            </w:r>
            <w:r w:rsidR="006128CE">
              <w:rPr>
                <w:webHidden/>
              </w:rPr>
              <w:instrText xml:space="preserve"> PAGEREF _Toc140506264 \h </w:instrText>
            </w:r>
            <w:r w:rsidR="006128CE">
              <w:rPr>
                <w:webHidden/>
              </w:rPr>
            </w:r>
            <w:r w:rsidR="006128CE">
              <w:rPr>
                <w:webHidden/>
              </w:rPr>
              <w:fldChar w:fldCharType="separate"/>
            </w:r>
            <w:r w:rsidR="006128CE">
              <w:rPr>
                <w:webHidden/>
              </w:rPr>
              <w:t>47</w:t>
            </w:r>
            <w:r w:rsidR="006128CE">
              <w:rPr>
                <w:webHidden/>
              </w:rPr>
              <w:fldChar w:fldCharType="end"/>
            </w:r>
          </w:hyperlink>
        </w:p>
        <w:p w14:paraId="3836E7B3" w14:textId="3FEB772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5" w:history="1">
            <w:r w:rsidR="006128CE" w:rsidRPr="004727B5">
              <w:rPr>
                <w:rStyle w:val="Hipervnculo"/>
              </w:rPr>
              <w:t>4.5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_Toc140506265 \h </w:instrText>
            </w:r>
            <w:r w:rsidR="006128CE">
              <w:rPr>
                <w:webHidden/>
              </w:rPr>
            </w:r>
            <w:r w:rsidR="006128CE">
              <w:rPr>
                <w:webHidden/>
              </w:rPr>
              <w:fldChar w:fldCharType="separate"/>
            </w:r>
            <w:r w:rsidR="006128CE">
              <w:rPr>
                <w:webHidden/>
              </w:rPr>
              <w:t>48</w:t>
            </w:r>
            <w:r w:rsidR="006128CE">
              <w:rPr>
                <w:webHidden/>
              </w:rPr>
              <w:fldChar w:fldCharType="end"/>
            </w:r>
          </w:hyperlink>
        </w:p>
        <w:p w14:paraId="2D6390F9" w14:textId="06B1CAE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6" w:history="1">
            <w:r w:rsidR="006128CE" w:rsidRPr="004727B5">
              <w:rPr>
                <w:rStyle w:val="Hipervnculo"/>
              </w:rPr>
              <w:t>4.6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ENEL COLOMBIA S.A. E.S.P</w:t>
            </w:r>
            <w:r w:rsidR="006128CE">
              <w:rPr>
                <w:webHidden/>
              </w:rPr>
              <w:tab/>
            </w:r>
            <w:r w:rsidR="006128CE">
              <w:rPr>
                <w:webHidden/>
              </w:rPr>
              <w:fldChar w:fldCharType="begin"/>
            </w:r>
            <w:r w:rsidR="006128CE">
              <w:rPr>
                <w:webHidden/>
              </w:rPr>
              <w:instrText xml:space="preserve"> PAGEREF _Toc140506266 \h </w:instrText>
            </w:r>
            <w:r w:rsidR="006128CE">
              <w:rPr>
                <w:webHidden/>
              </w:rPr>
            </w:r>
            <w:r w:rsidR="006128CE">
              <w:rPr>
                <w:webHidden/>
              </w:rPr>
              <w:fldChar w:fldCharType="separate"/>
            </w:r>
            <w:r w:rsidR="006128CE">
              <w:rPr>
                <w:webHidden/>
              </w:rPr>
              <w:t>49</w:t>
            </w:r>
            <w:r w:rsidR="006128CE">
              <w:rPr>
                <w:webHidden/>
              </w:rPr>
              <w:fldChar w:fldCharType="end"/>
            </w:r>
          </w:hyperlink>
        </w:p>
        <w:p w14:paraId="5FBD7D37" w14:textId="74AC9AF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7" w:history="1">
            <w:r w:rsidR="006128CE" w:rsidRPr="004727B5">
              <w:rPr>
                <w:rStyle w:val="Hipervnculo"/>
              </w:rPr>
              <w:t>4.7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_Toc140506267 \h </w:instrText>
            </w:r>
            <w:r w:rsidR="006128CE">
              <w:rPr>
                <w:webHidden/>
              </w:rPr>
            </w:r>
            <w:r w:rsidR="006128CE">
              <w:rPr>
                <w:webHidden/>
              </w:rPr>
              <w:fldChar w:fldCharType="separate"/>
            </w:r>
            <w:r w:rsidR="006128CE">
              <w:rPr>
                <w:webHidden/>
              </w:rPr>
              <w:t>50</w:t>
            </w:r>
            <w:r w:rsidR="006128CE">
              <w:rPr>
                <w:webHidden/>
              </w:rPr>
              <w:fldChar w:fldCharType="end"/>
            </w:r>
          </w:hyperlink>
        </w:p>
        <w:p w14:paraId="0379A23E" w14:textId="066F532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8" w:history="1">
            <w:r w:rsidR="006128CE" w:rsidRPr="004727B5">
              <w:rPr>
                <w:rStyle w:val="Hipervnculo"/>
              </w:rPr>
              <w:t>4.8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_Toc140506268 \h </w:instrText>
            </w:r>
            <w:r w:rsidR="006128CE">
              <w:rPr>
                <w:webHidden/>
              </w:rPr>
            </w:r>
            <w:r w:rsidR="006128CE">
              <w:rPr>
                <w:webHidden/>
              </w:rPr>
              <w:fldChar w:fldCharType="separate"/>
            </w:r>
            <w:r w:rsidR="006128CE">
              <w:rPr>
                <w:webHidden/>
              </w:rPr>
              <w:t>52</w:t>
            </w:r>
            <w:r w:rsidR="006128CE">
              <w:rPr>
                <w:webHidden/>
              </w:rPr>
              <w:fldChar w:fldCharType="end"/>
            </w:r>
          </w:hyperlink>
        </w:p>
        <w:p w14:paraId="6C51D047" w14:textId="385864E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69" w:history="1">
            <w:r w:rsidR="006128CE" w:rsidRPr="004727B5">
              <w:rPr>
                <w:rStyle w:val="Hipervnculo"/>
              </w:rPr>
              <w:t>4.9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_Toc140506269 \h </w:instrText>
            </w:r>
            <w:r w:rsidR="006128CE">
              <w:rPr>
                <w:webHidden/>
              </w:rPr>
            </w:r>
            <w:r w:rsidR="006128CE">
              <w:rPr>
                <w:webHidden/>
              </w:rPr>
              <w:fldChar w:fldCharType="separate"/>
            </w:r>
            <w:r w:rsidR="006128CE">
              <w:rPr>
                <w:webHidden/>
              </w:rPr>
              <w:t>52</w:t>
            </w:r>
            <w:r w:rsidR="006128CE">
              <w:rPr>
                <w:webHidden/>
              </w:rPr>
              <w:fldChar w:fldCharType="end"/>
            </w:r>
          </w:hyperlink>
        </w:p>
        <w:p w14:paraId="19B036FF" w14:textId="2FFE456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0" w:history="1">
            <w:r w:rsidR="006128CE" w:rsidRPr="004727B5">
              <w:rPr>
                <w:rStyle w:val="Hipervnculo"/>
              </w:rPr>
              <w:t>4.10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_Toc140506270 \h </w:instrText>
            </w:r>
            <w:r w:rsidR="006128CE">
              <w:rPr>
                <w:webHidden/>
              </w:rPr>
            </w:r>
            <w:r w:rsidR="006128CE">
              <w:rPr>
                <w:webHidden/>
              </w:rPr>
              <w:fldChar w:fldCharType="separate"/>
            </w:r>
            <w:r w:rsidR="006128CE">
              <w:rPr>
                <w:webHidden/>
              </w:rPr>
              <w:t>54</w:t>
            </w:r>
            <w:r w:rsidR="006128CE">
              <w:rPr>
                <w:webHidden/>
              </w:rPr>
              <w:fldChar w:fldCharType="end"/>
            </w:r>
          </w:hyperlink>
        </w:p>
        <w:p w14:paraId="183A8A37" w14:textId="6A958F8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1" w:history="1">
            <w:r w:rsidR="006128CE" w:rsidRPr="004727B5">
              <w:rPr>
                <w:rStyle w:val="Hipervnculo"/>
              </w:rPr>
              <w:t>4.11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GIGAS ENERGY</w:t>
            </w:r>
            <w:r w:rsidR="006128CE">
              <w:rPr>
                <w:webHidden/>
              </w:rPr>
              <w:tab/>
            </w:r>
            <w:r w:rsidR="006128CE">
              <w:rPr>
                <w:webHidden/>
              </w:rPr>
              <w:fldChar w:fldCharType="begin"/>
            </w:r>
            <w:r w:rsidR="006128CE">
              <w:rPr>
                <w:webHidden/>
              </w:rPr>
              <w:instrText xml:space="preserve"> PAGEREF _Toc140506271 \h </w:instrText>
            </w:r>
            <w:r w:rsidR="006128CE">
              <w:rPr>
                <w:webHidden/>
              </w:rPr>
            </w:r>
            <w:r w:rsidR="006128CE">
              <w:rPr>
                <w:webHidden/>
              </w:rPr>
              <w:fldChar w:fldCharType="separate"/>
            </w:r>
            <w:r w:rsidR="006128CE">
              <w:rPr>
                <w:webHidden/>
              </w:rPr>
              <w:t>54</w:t>
            </w:r>
            <w:r w:rsidR="006128CE">
              <w:rPr>
                <w:webHidden/>
              </w:rPr>
              <w:fldChar w:fldCharType="end"/>
            </w:r>
          </w:hyperlink>
        </w:p>
        <w:p w14:paraId="18D50E97" w14:textId="5E6FA86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2" w:history="1">
            <w:r w:rsidR="006128CE" w:rsidRPr="004727B5">
              <w:rPr>
                <w:rStyle w:val="Hipervnculo"/>
              </w:rPr>
              <w:t>4.12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_Toc140506272 \h </w:instrText>
            </w:r>
            <w:r w:rsidR="006128CE">
              <w:rPr>
                <w:webHidden/>
              </w:rPr>
            </w:r>
            <w:r w:rsidR="006128CE">
              <w:rPr>
                <w:webHidden/>
              </w:rPr>
              <w:fldChar w:fldCharType="separate"/>
            </w:r>
            <w:r w:rsidR="006128CE">
              <w:rPr>
                <w:webHidden/>
              </w:rPr>
              <w:t>54</w:t>
            </w:r>
            <w:r w:rsidR="006128CE">
              <w:rPr>
                <w:webHidden/>
              </w:rPr>
              <w:fldChar w:fldCharType="end"/>
            </w:r>
          </w:hyperlink>
        </w:p>
        <w:p w14:paraId="409D6995" w14:textId="02E303B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3" w:history="1">
            <w:r w:rsidR="006128CE" w:rsidRPr="004727B5">
              <w:rPr>
                <w:rStyle w:val="Hipervnculo"/>
              </w:rPr>
              <w:t>4.13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_Toc140506273 \h </w:instrText>
            </w:r>
            <w:r w:rsidR="006128CE">
              <w:rPr>
                <w:webHidden/>
              </w:rPr>
            </w:r>
            <w:r w:rsidR="006128CE">
              <w:rPr>
                <w:webHidden/>
              </w:rPr>
              <w:fldChar w:fldCharType="separate"/>
            </w:r>
            <w:r w:rsidR="006128CE">
              <w:rPr>
                <w:webHidden/>
              </w:rPr>
              <w:t>55</w:t>
            </w:r>
            <w:r w:rsidR="006128CE">
              <w:rPr>
                <w:webHidden/>
              </w:rPr>
              <w:fldChar w:fldCharType="end"/>
            </w:r>
          </w:hyperlink>
        </w:p>
        <w:p w14:paraId="71E851D7" w14:textId="4D9F5E3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4" w:history="1">
            <w:r w:rsidR="006128CE" w:rsidRPr="004727B5">
              <w:rPr>
                <w:rStyle w:val="Hipervnculo"/>
              </w:rPr>
              <w:t>4.14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LEWIS ENERGY</w:t>
            </w:r>
            <w:r w:rsidR="006128CE">
              <w:rPr>
                <w:webHidden/>
              </w:rPr>
              <w:tab/>
            </w:r>
            <w:r w:rsidR="006128CE">
              <w:rPr>
                <w:webHidden/>
              </w:rPr>
              <w:fldChar w:fldCharType="begin"/>
            </w:r>
            <w:r w:rsidR="006128CE">
              <w:rPr>
                <w:webHidden/>
              </w:rPr>
              <w:instrText xml:space="preserve"> PAGEREF _Toc140506274 \h </w:instrText>
            </w:r>
            <w:r w:rsidR="006128CE">
              <w:rPr>
                <w:webHidden/>
              </w:rPr>
            </w:r>
            <w:r w:rsidR="006128CE">
              <w:rPr>
                <w:webHidden/>
              </w:rPr>
              <w:fldChar w:fldCharType="separate"/>
            </w:r>
            <w:r w:rsidR="006128CE">
              <w:rPr>
                <w:webHidden/>
              </w:rPr>
              <w:t>56</w:t>
            </w:r>
            <w:r w:rsidR="006128CE">
              <w:rPr>
                <w:webHidden/>
              </w:rPr>
              <w:fldChar w:fldCharType="end"/>
            </w:r>
          </w:hyperlink>
        </w:p>
        <w:p w14:paraId="7898A7B4" w14:textId="77DDCE8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5" w:history="1">
            <w:r w:rsidR="006128CE" w:rsidRPr="004727B5">
              <w:rPr>
                <w:rStyle w:val="Hipervnculo"/>
              </w:rPr>
              <w:t>4.15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_Toc140506275 \h </w:instrText>
            </w:r>
            <w:r w:rsidR="006128CE">
              <w:rPr>
                <w:webHidden/>
              </w:rPr>
            </w:r>
            <w:r w:rsidR="006128CE">
              <w:rPr>
                <w:webHidden/>
              </w:rPr>
              <w:fldChar w:fldCharType="separate"/>
            </w:r>
            <w:r w:rsidR="006128CE">
              <w:rPr>
                <w:webHidden/>
              </w:rPr>
              <w:t>56</w:t>
            </w:r>
            <w:r w:rsidR="006128CE">
              <w:rPr>
                <w:webHidden/>
              </w:rPr>
              <w:fldChar w:fldCharType="end"/>
            </w:r>
          </w:hyperlink>
        </w:p>
        <w:p w14:paraId="13669550" w14:textId="629F61B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6" w:history="1">
            <w:r w:rsidR="006128CE" w:rsidRPr="004727B5">
              <w:rPr>
                <w:rStyle w:val="Hipervnculo"/>
              </w:rPr>
              <w:t>4.16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OILGAS ENERGY</w:t>
            </w:r>
            <w:r w:rsidR="006128CE">
              <w:rPr>
                <w:webHidden/>
              </w:rPr>
              <w:tab/>
            </w:r>
            <w:r w:rsidR="006128CE">
              <w:rPr>
                <w:webHidden/>
              </w:rPr>
              <w:fldChar w:fldCharType="begin"/>
            </w:r>
            <w:r w:rsidR="006128CE">
              <w:rPr>
                <w:webHidden/>
              </w:rPr>
              <w:instrText xml:space="preserve"> PAGEREF _Toc140506276 \h </w:instrText>
            </w:r>
            <w:r w:rsidR="006128CE">
              <w:rPr>
                <w:webHidden/>
              </w:rPr>
            </w:r>
            <w:r w:rsidR="006128CE">
              <w:rPr>
                <w:webHidden/>
              </w:rPr>
              <w:fldChar w:fldCharType="separate"/>
            </w:r>
            <w:r w:rsidR="006128CE">
              <w:rPr>
                <w:webHidden/>
              </w:rPr>
              <w:t>57</w:t>
            </w:r>
            <w:r w:rsidR="006128CE">
              <w:rPr>
                <w:webHidden/>
              </w:rPr>
              <w:fldChar w:fldCharType="end"/>
            </w:r>
          </w:hyperlink>
        </w:p>
        <w:p w14:paraId="617AC759" w14:textId="69C99A8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7" w:history="1">
            <w:r w:rsidR="006128CE" w:rsidRPr="004727B5">
              <w:rPr>
                <w:rStyle w:val="Hipervnculo"/>
              </w:rPr>
              <w:t>4.17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PRIME ENERGIA</w:t>
            </w:r>
            <w:r w:rsidR="006128CE">
              <w:rPr>
                <w:webHidden/>
              </w:rPr>
              <w:tab/>
            </w:r>
            <w:r w:rsidR="006128CE">
              <w:rPr>
                <w:webHidden/>
              </w:rPr>
              <w:fldChar w:fldCharType="begin"/>
            </w:r>
            <w:r w:rsidR="006128CE">
              <w:rPr>
                <w:webHidden/>
              </w:rPr>
              <w:instrText xml:space="preserve"> PAGEREF _Toc140506277 \h </w:instrText>
            </w:r>
            <w:r w:rsidR="006128CE">
              <w:rPr>
                <w:webHidden/>
              </w:rPr>
            </w:r>
            <w:r w:rsidR="006128CE">
              <w:rPr>
                <w:webHidden/>
              </w:rPr>
              <w:fldChar w:fldCharType="separate"/>
            </w:r>
            <w:r w:rsidR="006128CE">
              <w:rPr>
                <w:webHidden/>
              </w:rPr>
              <w:t>59</w:t>
            </w:r>
            <w:r w:rsidR="006128CE">
              <w:rPr>
                <w:webHidden/>
              </w:rPr>
              <w:fldChar w:fldCharType="end"/>
            </w:r>
          </w:hyperlink>
        </w:p>
        <w:p w14:paraId="3E3E7E65" w14:textId="61B3FC7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8" w:history="1">
            <w:r w:rsidR="006128CE" w:rsidRPr="004727B5">
              <w:rPr>
                <w:rStyle w:val="Hipervnculo"/>
              </w:rPr>
              <w:t>4.18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_Toc140506278 \h </w:instrText>
            </w:r>
            <w:r w:rsidR="006128CE">
              <w:rPr>
                <w:webHidden/>
              </w:rPr>
            </w:r>
            <w:r w:rsidR="006128CE">
              <w:rPr>
                <w:webHidden/>
              </w:rPr>
              <w:fldChar w:fldCharType="separate"/>
            </w:r>
            <w:r w:rsidR="006128CE">
              <w:rPr>
                <w:webHidden/>
              </w:rPr>
              <w:t>59</w:t>
            </w:r>
            <w:r w:rsidR="006128CE">
              <w:rPr>
                <w:webHidden/>
              </w:rPr>
              <w:fldChar w:fldCharType="end"/>
            </w:r>
          </w:hyperlink>
        </w:p>
        <w:p w14:paraId="7E83B317" w14:textId="3B2E386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79" w:history="1">
            <w:r w:rsidR="006128CE" w:rsidRPr="004727B5">
              <w:rPr>
                <w:rStyle w:val="Hipervnculo"/>
              </w:rPr>
              <w:t>4.19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SPEC</w:t>
            </w:r>
            <w:r w:rsidR="006128CE">
              <w:rPr>
                <w:webHidden/>
              </w:rPr>
              <w:tab/>
            </w:r>
            <w:r w:rsidR="006128CE">
              <w:rPr>
                <w:webHidden/>
              </w:rPr>
              <w:fldChar w:fldCharType="begin"/>
            </w:r>
            <w:r w:rsidR="006128CE">
              <w:rPr>
                <w:webHidden/>
              </w:rPr>
              <w:instrText xml:space="preserve"> PAGEREF _Toc140506279 \h </w:instrText>
            </w:r>
            <w:r w:rsidR="006128CE">
              <w:rPr>
                <w:webHidden/>
              </w:rPr>
            </w:r>
            <w:r w:rsidR="006128CE">
              <w:rPr>
                <w:webHidden/>
              </w:rPr>
              <w:fldChar w:fldCharType="separate"/>
            </w:r>
            <w:r w:rsidR="006128CE">
              <w:rPr>
                <w:webHidden/>
              </w:rPr>
              <w:t>61</w:t>
            </w:r>
            <w:r w:rsidR="006128CE">
              <w:rPr>
                <w:webHidden/>
              </w:rPr>
              <w:fldChar w:fldCharType="end"/>
            </w:r>
          </w:hyperlink>
        </w:p>
        <w:p w14:paraId="1D7A87B9" w14:textId="1FA4405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0" w:history="1">
            <w:r w:rsidR="006128CE" w:rsidRPr="004727B5">
              <w:rPr>
                <w:rStyle w:val="Hipervnculo"/>
              </w:rPr>
              <w:t>4.20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SURTIGAS</w:t>
            </w:r>
            <w:r w:rsidR="006128CE">
              <w:rPr>
                <w:webHidden/>
              </w:rPr>
              <w:tab/>
            </w:r>
            <w:r w:rsidR="006128CE">
              <w:rPr>
                <w:webHidden/>
              </w:rPr>
              <w:fldChar w:fldCharType="begin"/>
            </w:r>
            <w:r w:rsidR="006128CE">
              <w:rPr>
                <w:webHidden/>
              </w:rPr>
              <w:instrText xml:space="preserve"> PAGEREF _Toc140506280 \h </w:instrText>
            </w:r>
            <w:r w:rsidR="006128CE">
              <w:rPr>
                <w:webHidden/>
              </w:rPr>
            </w:r>
            <w:r w:rsidR="006128CE">
              <w:rPr>
                <w:webHidden/>
              </w:rPr>
              <w:fldChar w:fldCharType="separate"/>
            </w:r>
            <w:r w:rsidR="006128CE">
              <w:rPr>
                <w:webHidden/>
              </w:rPr>
              <w:t>61</w:t>
            </w:r>
            <w:r w:rsidR="006128CE">
              <w:rPr>
                <w:webHidden/>
              </w:rPr>
              <w:fldChar w:fldCharType="end"/>
            </w:r>
          </w:hyperlink>
        </w:p>
        <w:p w14:paraId="00B57C2F" w14:textId="3391746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1" w:history="1">
            <w:r w:rsidR="006128CE" w:rsidRPr="004727B5">
              <w:rPr>
                <w:rStyle w:val="Hipervnculo"/>
              </w:rPr>
              <w:t>4.21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_Toc140506281 \h </w:instrText>
            </w:r>
            <w:r w:rsidR="006128CE">
              <w:rPr>
                <w:webHidden/>
              </w:rPr>
            </w:r>
            <w:r w:rsidR="006128CE">
              <w:rPr>
                <w:webHidden/>
              </w:rPr>
              <w:fldChar w:fldCharType="separate"/>
            </w:r>
            <w:r w:rsidR="006128CE">
              <w:rPr>
                <w:webHidden/>
              </w:rPr>
              <w:t>62</w:t>
            </w:r>
            <w:r w:rsidR="006128CE">
              <w:rPr>
                <w:webHidden/>
              </w:rPr>
              <w:fldChar w:fldCharType="end"/>
            </w:r>
          </w:hyperlink>
        </w:p>
        <w:p w14:paraId="4D69BE7C" w14:textId="697E468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2" w:history="1">
            <w:r w:rsidR="006128CE" w:rsidRPr="004727B5">
              <w:rPr>
                <w:rStyle w:val="Hipervnculo"/>
              </w:rPr>
              <w:t>4.22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TERMOYOPAL</w:t>
            </w:r>
            <w:r w:rsidR="006128CE">
              <w:rPr>
                <w:webHidden/>
              </w:rPr>
              <w:tab/>
            </w:r>
            <w:r w:rsidR="006128CE">
              <w:rPr>
                <w:webHidden/>
              </w:rPr>
              <w:fldChar w:fldCharType="begin"/>
            </w:r>
            <w:r w:rsidR="006128CE">
              <w:rPr>
                <w:webHidden/>
              </w:rPr>
              <w:instrText xml:space="preserve"> PAGEREF _Toc140506282 \h </w:instrText>
            </w:r>
            <w:r w:rsidR="006128CE">
              <w:rPr>
                <w:webHidden/>
              </w:rPr>
            </w:r>
            <w:r w:rsidR="006128CE">
              <w:rPr>
                <w:webHidden/>
              </w:rPr>
              <w:fldChar w:fldCharType="separate"/>
            </w:r>
            <w:r w:rsidR="006128CE">
              <w:rPr>
                <w:webHidden/>
              </w:rPr>
              <w:t>65</w:t>
            </w:r>
            <w:r w:rsidR="006128CE">
              <w:rPr>
                <w:webHidden/>
              </w:rPr>
              <w:fldChar w:fldCharType="end"/>
            </w:r>
          </w:hyperlink>
        </w:p>
        <w:p w14:paraId="6CBD89B7" w14:textId="66E626E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3" w:history="1">
            <w:r w:rsidR="006128CE" w:rsidRPr="004727B5">
              <w:rPr>
                <w:rStyle w:val="Hipervnculo"/>
              </w:rPr>
              <w:t>4.23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_Toc140506283 \h </w:instrText>
            </w:r>
            <w:r w:rsidR="006128CE">
              <w:rPr>
                <w:webHidden/>
              </w:rPr>
            </w:r>
            <w:r w:rsidR="006128CE">
              <w:rPr>
                <w:webHidden/>
              </w:rPr>
              <w:fldChar w:fldCharType="separate"/>
            </w:r>
            <w:r w:rsidR="006128CE">
              <w:rPr>
                <w:webHidden/>
              </w:rPr>
              <w:t>66</w:t>
            </w:r>
            <w:r w:rsidR="006128CE">
              <w:rPr>
                <w:webHidden/>
              </w:rPr>
              <w:fldChar w:fldCharType="end"/>
            </w:r>
          </w:hyperlink>
        </w:p>
        <w:p w14:paraId="3E5921A6" w14:textId="4920D642"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84" w:history="1">
            <w:r w:rsidR="006128CE" w:rsidRPr="004727B5">
              <w:rPr>
                <w:rStyle w:val="Hipervnculo"/>
                <w:caps/>
              </w:rPr>
              <w:t>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5. </w:t>
            </w:r>
            <w:r w:rsidR="006128CE" w:rsidRPr="004727B5">
              <w:rPr>
                <w:rStyle w:val="Hipervnculo"/>
                <w:caps/>
              </w:rPr>
              <w:t>Servicios a cargo del Gestor del Mercado</w:t>
            </w:r>
            <w:r w:rsidR="006128CE">
              <w:rPr>
                <w:webHidden/>
              </w:rPr>
              <w:tab/>
            </w:r>
            <w:r w:rsidR="006128CE">
              <w:rPr>
                <w:webHidden/>
              </w:rPr>
              <w:fldChar w:fldCharType="begin"/>
            </w:r>
            <w:r w:rsidR="006128CE">
              <w:rPr>
                <w:webHidden/>
              </w:rPr>
              <w:instrText xml:space="preserve"> PAGEREF _Toc140506284 \h </w:instrText>
            </w:r>
            <w:r w:rsidR="006128CE">
              <w:rPr>
                <w:webHidden/>
              </w:rPr>
            </w:r>
            <w:r w:rsidR="006128CE">
              <w:rPr>
                <w:webHidden/>
              </w:rPr>
              <w:fldChar w:fldCharType="separate"/>
            </w:r>
            <w:r w:rsidR="006128CE">
              <w:rPr>
                <w:webHidden/>
              </w:rPr>
              <w:t>67</w:t>
            </w:r>
            <w:r w:rsidR="006128CE">
              <w:rPr>
                <w:webHidden/>
              </w:rPr>
              <w:fldChar w:fldCharType="end"/>
            </w:r>
          </w:hyperlink>
        </w:p>
        <w:p w14:paraId="7C6CB3FE" w14:textId="6E28E5E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5" w:history="1">
            <w:r w:rsidR="006128CE" w:rsidRPr="004727B5">
              <w:rPr>
                <w:rStyle w:val="Hipervnculo"/>
              </w:rPr>
              <w:t>5.1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_Toc140506285 \h </w:instrText>
            </w:r>
            <w:r w:rsidR="006128CE">
              <w:rPr>
                <w:webHidden/>
              </w:rPr>
            </w:r>
            <w:r w:rsidR="006128CE">
              <w:rPr>
                <w:webHidden/>
              </w:rPr>
              <w:fldChar w:fldCharType="separate"/>
            </w:r>
            <w:r w:rsidR="006128CE">
              <w:rPr>
                <w:webHidden/>
              </w:rPr>
              <w:t>67</w:t>
            </w:r>
            <w:r w:rsidR="006128CE">
              <w:rPr>
                <w:webHidden/>
              </w:rPr>
              <w:fldChar w:fldCharType="end"/>
            </w:r>
          </w:hyperlink>
        </w:p>
        <w:p w14:paraId="71421D8B" w14:textId="172BE2E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6" w:history="1">
            <w:r w:rsidR="006128CE" w:rsidRPr="004727B5">
              <w:rPr>
                <w:rStyle w:val="Hipervnculo"/>
              </w:rPr>
              <w:t>5.2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_Toc140506286 \h </w:instrText>
            </w:r>
            <w:r w:rsidR="006128CE">
              <w:rPr>
                <w:webHidden/>
              </w:rPr>
            </w:r>
            <w:r w:rsidR="006128CE">
              <w:rPr>
                <w:webHidden/>
              </w:rPr>
              <w:fldChar w:fldCharType="separate"/>
            </w:r>
            <w:r w:rsidR="006128CE">
              <w:rPr>
                <w:webHidden/>
              </w:rPr>
              <w:t>68</w:t>
            </w:r>
            <w:r w:rsidR="006128CE">
              <w:rPr>
                <w:webHidden/>
              </w:rPr>
              <w:fldChar w:fldCharType="end"/>
            </w:r>
          </w:hyperlink>
        </w:p>
        <w:p w14:paraId="10744A85" w14:textId="4F1695B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7" w:history="1">
            <w:r w:rsidR="006128CE" w:rsidRPr="004727B5">
              <w:rPr>
                <w:rStyle w:val="Hipervnculo"/>
              </w:rPr>
              <w:t>5.3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_Toc140506287 \h </w:instrText>
            </w:r>
            <w:r w:rsidR="006128CE">
              <w:rPr>
                <w:webHidden/>
              </w:rPr>
            </w:r>
            <w:r w:rsidR="006128CE">
              <w:rPr>
                <w:webHidden/>
              </w:rPr>
              <w:fldChar w:fldCharType="separate"/>
            </w:r>
            <w:r w:rsidR="006128CE">
              <w:rPr>
                <w:webHidden/>
              </w:rPr>
              <w:t>68</w:t>
            </w:r>
            <w:r w:rsidR="006128CE">
              <w:rPr>
                <w:webHidden/>
              </w:rPr>
              <w:fldChar w:fldCharType="end"/>
            </w:r>
          </w:hyperlink>
        </w:p>
        <w:p w14:paraId="585B8EE1" w14:textId="69EB84E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8" w:history="1">
            <w:r w:rsidR="006128CE" w:rsidRPr="004727B5">
              <w:rPr>
                <w:rStyle w:val="Hipervnculo"/>
              </w:rPr>
              <w:t>5.4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_Toc140506288 \h </w:instrText>
            </w:r>
            <w:r w:rsidR="006128CE">
              <w:rPr>
                <w:webHidden/>
              </w:rPr>
            </w:r>
            <w:r w:rsidR="006128CE">
              <w:rPr>
                <w:webHidden/>
              </w:rPr>
              <w:fldChar w:fldCharType="separate"/>
            </w:r>
            <w:r w:rsidR="006128CE">
              <w:rPr>
                <w:webHidden/>
              </w:rPr>
              <w:t>68</w:t>
            </w:r>
            <w:r w:rsidR="006128CE">
              <w:rPr>
                <w:webHidden/>
              </w:rPr>
              <w:fldChar w:fldCharType="end"/>
            </w:r>
          </w:hyperlink>
        </w:p>
        <w:p w14:paraId="4B854147" w14:textId="4E9E070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89" w:history="1">
            <w:r w:rsidR="006128CE" w:rsidRPr="004727B5">
              <w:rPr>
                <w:rStyle w:val="Hipervnculo"/>
              </w:rPr>
              <w:t>5.5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_Toc140506289 \h </w:instrText>
            </w:r>
            <w:r w:rsidR="006128CE">
              <w:rPr>
                <w:webHidden/>
              </w:rPr>
            </w:r>
            <w:r w:rsidR="006128CE">
              <w:rPr>
                <w:webHidden/>
              </w:rPr>
              <w:fldChar w:fldCharType="separate"/>
            </w:r>
            <w:r w:rsidR="006128CE">
              <w:rPr>
                <w:webHidden/>
              </w:rPr>
              <w:t>69</w:t>
            </w:r>
            <w:r w:rsidR="006128CE">
              <w:rPr>
                <w:webHidden/>
              </w:rPr>
              <w:fldChar w:fldCharType="end"/>
            </w:r>
          </w:hyperlink>
        </w:p>
        <w:p w14:paraId="52261E14" w14:textId="634ADFB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90" w:history="1">
            <w:r w:rsidR="006128CE" w:rsidRPr="004727B5">
              <w:rPr>
                <w:rStyle w:val="Hipervnculo"/>
              </w:rPr>
              <w:t>5.6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_Toc140506290 \h </w:instrText>
            </w:r>
            <w:r w:rsidR="006128CE">
              <w:rPr>
                <w:webHidden/>
              </w:rPr>
            </w:r>
            <w:r w:rsidR="006128CE">
              <w:rPr>
                <w:webHidden/>
              </w:rPr>
              <w:fldChar w:fldCharType="separate"/>
            </w:r>
            <w:r w:rsidR="006128CE">
              <w:rPr>
                <w:webHidden/>
              </w:rPr>
              <w:t>70</w:t>
            </w:r>
            <w:r w:rsidR="006128CE">
              <w:rPr>
                <w:webHidden/>
              </w:rPr>
              <w:fldChar w:fldCharType="end"/>
            </w:r>
          </w:hyperlink>
        </w:p>
        <w:p w14:paraId="1B5CC494" w14:textId="6418418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91" w:history="1">
            <w:r w:rsidR="006128CE" w:rsidRPr="004727B5">
              <w:rPr>
                <w:rStyle w:val="Hipervnculo"/>
              </w:rPr>
              <w:t>5.7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LEWIS ENERGY</w:t>
            </w:r>
            <w:r w:rsidR="006128CE">
              <w:rPr>
                <w:webHidden/>
              </w:rPr>
              <w:tab/>
            </w:r>
            <w:r w:rsidR="006128CE">
              <w:rPr>
                <w:webHidden/>
              </w:rPr>
              <w:fldChar w:fldCharType="begin"/>
            </w:r>
            <w:r w:rsidR="006128CE">
              <w:rPr>
                <w:webHidden/>
              </w:rPr>
              <w:instrText xml:space="preserve"> PAGEREF _Toc140506291 \h </w:instrText>
            </w:r>
            <w:r w:rsidR="006128CE">
              <w:rPr>
                <w:webHidden/>
              </w:rPr>
            </w:r>
            <w:r w:rsidR="006128CE">
              <w:rPr>
                <w:webHidden/>
              </w:rPr>
              <w:fldChar w:fldCharType="separate"/>
            </w:r>
            <w:r w:rsidR="006128CE">
              <w:rPr>
                <w:webHidden/>
              </w:rPr>
              <w:t>70</w:t>
            </w:r>
            <w:r w:rsidR="006128CE">
              <w:rPr>
                <w:webHidden/>
              </w:rPr>
              <w:fldChar w:fldCharType="end"/>
            </w:r>
          </w:hyperlink>
        </w:p>
        <w:p w14:paraId="50EE170A" w14:textId="01A70AA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92" w:history="1">
            <w:r w:rsidR="006128CE" w:rsidRPr="004727B5">
              <w:rPr>
                <w:rStyle w:val="Hipervnculo"/>
              </w:rPr>
              <w:t>5.8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OILGAS ENERGY</w:t>
            </w:r>
            <w:r w:rsidR="006128CE">
              <w:rPr>
                <w:webHidden/>
              </w:rPr>
              <w:tab/>
            </w:r>
            <w:r w:rsidR="006128CE">
              <w:rPr>
                <w:webHidden/>
              </w:rPr>
              <w:fldChar w:fldCharType="begin"/>
            </w:r>
            <w:r w:rsidR="006128CE">
              <w:rPr>
                <w:webHidden/>
              </w:rPr>
              <w:instrText xml:space="preserve"> PAGEREF _Toc140506292 \h </w:instrText>
            </w:r>
            <w:r w:rsidR="006128CE">
              <w:rPr>
                <w:webHidden/>
              </w:rPr>
            </w:r>
            <w:r w:rsidR="006128CE">
              <w:rPr>
                <w:webHidden/>
              </w:rPr>
              <w:fldChar w:fldCharType="separate"/>
            </w:r>
            <w:r w:rsidR="006128CE">
              <w:rPr>
                <w:webHidden/>
              </w:rPr>
              <w:t>71</w:t>
            </w:r>
            <w:r w:rsidR="006128CE">
              <w:rPr>
                <w:webHidden/>
              </w:rPr>
              <w:fldChar w:fldCharType="end"/>
            </w:r>
          </w:hyperlink>
        </w:p>
        <w:p w14:paraId="58F6BA17" w14:textId="623F036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93" w:history="1">
            <w:r w:rsidR="006128CE" w:rsidRPr="004727B5">
              <w:rPr>
                <w:rStyle w:val="Hipervnculo"/>
              </w:rPr>
              <w:t>5.9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_Toc140506293 \h </w:instrText>
            </w:r>
            <w:r w:rsidR="006128CE">
              <w:rPr>
                <w:webHidden/>
              </w:rPr>
            </w:r>
            <w:r w:rsidR="006128CE">
              <w:rPr>
                <w:webHidden/>
              </w:rPr>
              <w:fldChar w:fldCharType="separate"/>
            </w:r>
            <w:r w:rsidR="006128CE">
              <w:rPr>
                <w:webHidden/>
              </w:rPr>
              <w:t>72</w:t>
            </w:r>
            <w:r w:rsidR="006128CE">
              <w:rPr>
                <w:webHidden/>
              </w:rPr>
              <w:fldChar w:fldCharType="end"/>
            </w:r>
          </w:hyperlink>
        </w:p>
        <w:p w14:paraId="0C4DEDEF" w14:textId="4501C08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94" w:history="1">
            <w:r w:rsidR="006128CE" w:rsidRPr="004727B5">
              <w:rPr>
                <w:rStyle w:val="Hipervnculo"/>
              </w:rPr>
              <w:t>5.10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_Toc140506294 \h </w:instrText>
            </w:r>
            <w:r w:rsidR="006128CE">
              <w:rPr>
                <w:webHidden/>
              </w:rPr>
            </w:r>
            <w:r w:rsidR="006128CE">
              <w:rPr>
                <w:webHidden/>
              </w:rPr>
              <w:fldChar w:fldCharType="separate"/>
            </w:r>
            <w:r w:rsidR="006128CE">
              <w:rPr>
                <w:webHidden/>
              </w:rPr>
              <w:t>74</w:t>
            </w:r>
            <w:r w:rsidR="006128CE">
              <w:rPr>
                <w:webHidden/>
              </w:rPr>
              <w:fldChar w:fldCharType="end"/>
            </w:r>
          </w:hyperlink>
        </w:p>
        <w:p w14:paraId="24AD9AAE" w14:textId="18D0C46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95" w:history="1">
            <w:r w:rsidR="006128CE" w:rsidRPr="004727B5">
              <w:rPr>
                <w:rStyle w:val="Hipervnculo"/>
              </w:rPr>
              <w:t>5.11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_Toc140506295 \h </w:instrText>
            </w:r>
            <w:r w:rsidR="006128CE">
              <w:rPr>
                <w:webHidden/>
              </w:rPr>
            </w:r>
            <w:r w:rsidR="006128CE">
              <w:rPr>
                <w:webHidden/>
              </w:rPr>
              <w:fldChar w:fldCharType="separate"/>
            </w:r>
            <w:r w:rsidR="006128CE">
              <w:rPr>
                <w:webHidden/>
              </w:rPr>
              <w:t>74</w:t>
            </w:r>
            <w:r w:rsidR="006128CE">
              <w:rPr>
                <w:webHidden/>
              </w:rPr>
              <w:fldChar w:fldCharType="end"/>
            </w:r>
          </w:hyperlink>
        </w:p>
        <w:p w14:paraId="3313C92C" w14:textId="5BCA61CE"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96" w:history="1">
            <w:r w:rsidR="006128CE" w:rsidRPr="004727B5">
              <w:rPr>
                <w:rStyle w:val="Hipervnculo"/>
                <w:caps/>
              </w:rPr>
              <w:t>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6. </w:t>
            </w:r>
            <w:r w:rsidR="006128CE" w:rsidRPr="004727B5">
              <w:rPr>
                <w:rStyle w:val="Hipervnculo"/>
                <w:caps/>
              </w:rPr>
              <w:t>Selección del Gestor del Mercado</w:t>
            </w:r>
            <w:r w:rsidR="006128CE">
              <w:rPr>
                <w:webHidden/>
              </w:rPr>
              <w:tab/>
            </w:r>
            <w:r w:rsidR="006128CE">
              <w:rPr>
                <w:webHidden/>
              </w:rPr>
              <w:fldChar w:fldCharType="begin"/>
            </w:r>
            <w:r w:rsidR="006128CE">
              <w:rPr>
                <w:webHidden/>
              </w:rPr>
              <w:instrText xml:space="preserve"> PAGEREF _Toc140506296 \h </w:instrText>
            </w:r>
            <w:r w:rsidR="006128CE">
              <w:rPr>
                <w:webHidden/>
              </w:rPr>
            </w:r>
            <w:r w:rsidR="006128CE">
              <w:rPr>
                <w:webHidden/>
              </w:rPr>
              <w:fldChar w:fldCharType="separate"/>
            </w:r>
            <w:r w:rsidR="006128CE">
              <w:rPr>
                <w:webHidden/>
              </w:rPr>
              <w:t>74</w:t>
            </w:r>
            <w:r w:rsidR="006128CE">
              <w:rPr>
                <w:webHidden/>
              </w:rPr>
              <w:fldChar w:fldCharType="end"/>
            </w:r>
          </w:hyperlink>
        </w:p>
        <w:p w14:paraId="19196D29" w14:textId="2F2A980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97" w:history="1">
            <w:r w:rsidR="006128CE" w:rsidRPr="004727B5">
              <w:rPr>
                <w:rStyle w:val="Hipervnculo"/>
              </w:rPr>
              <w:t>6.1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ALCANOS</w:t>
            </w:r>
            <w:r w:rsidR="006128CE">
              <w:rPr>
                <w:webHidden/>
              </w:rPr>
              <w:tab/>
            </w:r>
            <w:r w:rsidR="006128CE">
              <w:rPr>
                <w:webHidden/>
              </w:rPr>
              <w:fldChar w:fldCharType="begin"/>
            </w:r>
            <w:r w:rsidR="006128CE">
              <w:rPr>
                <w:webHidden/>
              </w:rPr>
              <w:instrText xml:space="preserve"> PAGEREF _Toc140506297 \h </w:instrText>
            </w:r>
            <w:r w:rsidR="006128CE">
              <w:rPr>
                <w:webHidden/>
              </w:rPr>
            </w:r>
            <w:r w:rsidR="006128CE">
              <w:rPr>
                <w:webHidden/>
              </w:rPr>
              <w:fldChar w:fldCharType="separate"/>
            </w:r>
            <w:r w:rsidR="006128CE">
              <w:rPr>
                <w:webHidden/>
              </w:rPr>
              <w:t>74</w:t>
            </w:r>
            <w:r w:rsidR="006128CE">
              <w:rPr>
                <w:webHidden/>
              </w:rPr>
              <w:fldChar w:fldCharType="end"/>
            </w:r>
          </w:hyperlink>
        </w:p>
        <w:p w14:paraId="7F7D7F01" w14:textId="432577A1"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298" w:history="1">
            <w:r w:rsidR="006128CE" w:rsidRPr="004727B5">
              <w:rPr>
                <w:rStyle w:val="Hipervnculo"/>
                <w:caps/>
              </w:rPr>
              <w:t>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7. </w:t>
            </w:r>
            <w:r w:rsidR="006128CE" w:rsidRPr="004727B5">
              <w:rPr>
                <w:rStyle w:val="Hipervnculo"/>
                <w:caps/>
              </w:rPr>
              <w:t>Remuneración del Gestor del Mercado</w:t>
            </w:r>
            <w:r w:rsidR="006128CE">
              <w:rPr>
                <w:webHidden/>
              </w:rPr>
              <w:tab/>
            </w:r>
            <w:r w:rsidR="006128CE">
              <w:rPr>
                <w:webHidden/>
              </w:rPr>
              <w:fldChar w:fldCharType="begin"/>
            </w:r>
            <w:r w:rsidR="006128CE">
              <w:rPr>
                <w:webHidden/>
              </w:rPr>
              <w:instrText xml:space="preserve"> PAGEREF _Toc140506298 \h </w:instrText>
            </w:r>
            <w:r w:rsidR="006128CE">
              <w:rPr>
                <w:webHidden/>
              </w:rPr>
            </w:r>
            <w:r w:rsidR="006128CE">
              <w:rPr>
                <w:webHidden/>
              </w:rPr>
              <w:fldChar w:fldCharType="separate"/>
            </w:r>
            <w:r w:rsidR="006128CE">
              <w:rPr>
                <w:webHidden/>
              </w:rPr>
              <w:t>75</w:t>
            </w:r>
            <w:r w:rsidR="006128CE">
              <w:rPr>
                <w:webHidden/>
              </w:rPr>
              <w:fldChar w:fldCharType="end"/>
            </w:r>
          </w:hyperlink>
        </w:p>
        <w:p w14:paraId="0C7E43A6" w14:textId="368A872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299" w:history="1">
            <w:r w:rsidR="006128CE" w:rsidRPr="004727B5">
              <w:rPr>
                <w:rStyle w:val="Hipervnculo"/>
              </w:rPr>
              <w:t>7.1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ACOLGEN</w:t>
            </w:r>
            <w:r w:rsidR="006128CE">
              <w:rPr>
                <w:webHidden/>
              </w:rPr>
              <w:tab/>
            </w:r>
            <w:r w:rsidR="006128CE">
              <w:rPr>
                <w:webHidden/>
              </w:rPr>
              <w:fldChar w:fldCharType="begin"/>
            </w:r>
            <w:r w:rsidR="006128CE">
              <w:rPr>
                <w:webHidden/>
              </w:rPr>
              <w:instrText xml:space="preserve"> PAGEREF _Toc140506299 \h </w:instrText>
            </w:r>
            <w:r w:rsidR="006128CE">
              <w:rPr>
                <w:webHidden/>
              </w:rPr>
            </w:r>
            <w:r w:rsidR="006128CE">
              <w:rPr>
                <w:webHidden/>
              </w:rPr>
              <w:fldChar w:fldCharType="separate"/>
            </w:r>
            <w:r w:rsidR="006128CE">
              <w:rPr>
                <w:webHidden/>
              </w:rPr>
              <w:t>75</w:t>
            </w:r>
            <w:r w:rsidR="006128CE">
              <w:rPr>
                <w:webHidden/>
              </w:rPr>
              <w:fldChar w:fldCharType="end"/>
            </w:r>
          </w:hyperlink>
        </w:p>
        <w:p w14:paraId="62F5FB90" w14:textId="59F16CF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0" w:history="1">
            <w:r w:rsidR="006128CE" w:rsidRPr="004727B5">
              <w:rPr>
                <w:rStyle w:val="Hipervnculo"/>
              </w:rPr>
              <w:t>7.2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_Toc140506300 \h </w:instrText>
            </w:r>
            <w:r w:rsidR="006128CE">
              <w:rPr>
                <w:webHidden/>
              </w:rPr>
            </w:r>
            <w:r w:rsidR="006128CE">
              <w:rPr>
                <w:webHidden/>
              </w:rPr>
              <w:fldChar w:fldCharType="separate"/>
            </w:r>
            <w:r w:rsidR="006128CE">
              <w:rPr>
                <w:webHidden/>
              </w:rPr>
              <w:t>75</w:t>
            </w:r>
            <w:r w:rsidR="006128CE">
              <w:rPr>
                <w:webHidden/>
              </w:rPr>
              <w:fldChar w:fldCharType="end"/>
            </w:r>
          </w:hyperlink>
        </w:p>
        <w:p w14:paraId="11C0AF5D" w14:textId="6A6F3CA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1" w:history="1">
            <w:r w:rsidR="006128CE" w:rsidRPr="004727B5">
              <w:rPr>
                <w:rStyle w:val="Hipervnculo"/>
              </w:rPr>
              <w:t>7.3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_Toc140506301 \h </w:instrText>
            </w:r>
            <w:r w:rsidR="006128CE">
              <w:rPr>
                <w:webHidden/>
              </w:rPr>
            </w:r>
            <w:r w:rsidR="006128CE">
              <w:rPr>
                <w:webHidden/>
              </w:rPr>
              <w:fldChar w:fldCharType="separate"/>
            </w:r>
            <w:r w:rsidR="006128CE">
              <w:rPr>
                <w:webHidden/>
              </w:rPr>
              <w:t>76</w:t>
            </w:r>
            <w:r w:rsidR="006128CE">
              <w:rPr>
                <w:webHidden/>
              </w:rPr>
              <w:fldChar w:fldCharType="end"/>
            </w:r>
          </w:hyperlink>
        </w:p>
        <w:p w14:paraId="2814336A" w14:textId="02510F2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2" w:history="1">
            <w:r w:rsidR="006128CE" w:rsidRPr="004727B5">
              <w:rPr>
                <w:rStyle w:val="Hipervnculo"/>
              </w:rPr>
              <w:t>7.4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_Toc140506302 \h </w:instrText>
            </w:r>
            <w:r w:rsidR="006128CE">
              <w:rPr>
                <w:webHidden/>
              </w:rPr>
            </w:r>
            <w:r w:rsidR="006128CE">
              <w:rPr>
                <w:webHidden/>
              </w:rPr>
              <w:fldChar w:fldCharType="separate"/>
            </w:r>
            <w:r w:rsidR="006128CE">
              <w:rPr>
                <w:webHidden/>
              </w:rPr>
              <w:t>76</w:t>
            </w:r>
            <w:r w:rsidR="006128CE">
              <w:rPr>
                <w:webHidden/>
              </w:rPr>
              <w:fldChar w:fldCharType="end"/>
            </w:r>
          </w:hyperlink>
        </w:p>
        <w:p w14:paraId="2A053EED" w14:textId="400CB66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3" w:history="1">
            <w:r w:rsidR="006128CE" w:rsidRPr="004727B5">
              <w:rPr>
                <w:rStyle w:val="Hipervnculo"/>
              </w:rPr>
              <w:t>7.5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_Toc140506303 \h </w:instrText>
            </w:r>
            <w:r w:rsidR="006128CE">
              <w:rPr>
                <w:webHidden/>
              </w:rPr>
            </w:r>
            <w:r w:rsidR="006128CE">
              <w:rPr>
                <w:webHidden/>
              </w:rPr>
              <w:fldChar w:fldCharType="separate"/>
            </w:r>
            <w:r w:rsidR="006128CE">
              <w:rPr>
                <w:webHidden/>
              </w:rPr>
              <w:t>76</w:t>
            </w:r>
            <w:r w:rsidR="006128CE">
              <w:rPr>
                <w:webHidden/>
              </w:rPr>
              <w:fldChar w:fldCharType="end"/>
            </w:r>
          </w:hyperlink>
        </w:p>
        <w:p w14:paraId="264BE6A3" w14:textId="3F66BB7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4" w:history="1">
            <w:r w:rsidR="006128CE" w:rsidRPr="004727B5">
              <w:rPr>
                <w:rStyle w:val="Hipervnculo"/>
              </w:rPr>
              <w:t>7.6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_Toc140506304 \h </w:instrText>
            </w:r>
            <w:r w:rsidR="006128CE">
              <w:rPr>
                <w:webHidden/>
              </w:rPr>
            </w:r>
            <w:r w:rsidR="006128CE">
              <w:rPr>
                <w:webHidden/>
              </w:rPr>
              <w:fldChar w:fldCharType="separate"/>
            </w:r>
            <w:r w:rsidR="006128CE">
              <w:rPr>
                <w:webHidden/>
              </w:rPr>
              <w:t>77</w:t>
            </w:r>
            <w:r w:rsidR="006128CE">
              <w:rPr>
                <w:webHidden/>
              </w:rPr>
              <w:fldChar w:fldCharType="end"/>
            </w:r>
          </w:hyperlink>
        </w:p>
        <w:p w14:paraId="48DBBB34" w14:textId="65EDD69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5" w:history="1">
            <w:r w:rsidR="006128CE" w:rsidRPr="004727B5">
              <w:rPr>
                <w:rStyle w:val="Hipervnculo"/>
              </w:rPr>
              <w:t>7.7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_Toc140506305 \h </w:instrText>
            </w:r>
            <w:r w:rsidR="006128CE">
              <w:rPr>
                <w:webHidden/>
              </w:rPr>
            </w:r>
            <w:r w:rsidR="006128CE">
              <w:rPr>
                <w:webHidden/>
              </w:rPr>
              <w:fldChar w:fldCharType="separate"/>
            </w:r>
            <w:r w:rsidR="006128CE">
              <w:rPr>
                <w:webHidden/>
              </w:rPr>
              <w:t>77</w:t>
            </w:r>
            <w:r w:rsidR="006128CE">
              <w:rPr>
                <w:webHidden/>
              </w:rPr>
              <w:fldChar w:fldCharType="end"/>
            </w:r>
          </w:hyperlink>
        </w:p>
        <w:p w14:paraId="30A99860" w14:textId="6D0D082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6" w:history="1">
            <w:r w:rsidR="006128CE" w:rsidRPr="004727B5">
              <w:rPr>
                <w:rStyle w:val="Hipervnculo"/>
              </w:rPr>
              <w:t>7.8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SURTIGAS</w:t>
            </w:r>
            <w:r w:rsidR="006128CE">
              <w:rPr>
                <w:webHidden/>
              </w:rPr>
              <w:tab/>
            </w:r>
            <w:r w:rsidR="006128CE">
              <w:rPr>
                <w:webHidden/>
              </w:rPr>
              <w:fldChar w:fldCharType="begin"/>
            </w:r>
            <w:r w:rsidR="006128CE">
              <w:rPr>
                <w:webHidden/>
              </w:rPr>
              <w:instrText xml:space="preserve"> PAGEREF _Toc140506306 \h </w:instrText>
            </w:r>
            <w:r w:rsidR="006128CE">
              <w:rPr>
                <w:webHidden/>
              </w:rPr>
            </w:r>
            <w:r w:rsidR="006128CE">
              <w:rPr>
                <w:webHidden/>
              </w:rPr>
              <w:fldChar w:fldCharType="separate"/>
            </w:r>
            <w:r w:rsidR="006128CE">
              <w:rPr>
                <w:webHidden/>
              </w:rPr>
              <w:t>78</w:t>
            </w:r>
            <w:r w:rsidR="006128CE">
              <w:rPr>
                <w:webHidden/>
              </w:rPr>
              <w:fldChar w:fldCharType="end"/>
            </w:r>
          </w:hyperlink>
        </w:p>
        <w:p w14:paraId="75477696" w14:textId="2A46308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7" w:history="1">
            <w:r w:rsidR="006128CE" w:rsidRPr="004727B5">
              <w:rPr>
                <w:rStyle w:val="Hipervnculo"/>
              </w:rPr>
              <w:t>7.9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_Toc140506307 \h </w:instrText>
            </w:r>
            <w:r w:rsidR="006128CE">
              <w:rPr>
                <w:webHidden/>
              </w:rPr>
            </w:r>
            <w:r w:rsidR="006128CE">
              <w:rPr>
                <w:webHidden/>
              </w:rPr>
              <w:fldChar w:fldCharType="separate"/>
            </w:r>
            <w:r w:rsidR="006128CE">
              <w:rPr>
                <w:webHidden/>
              </w:rPr>
              <w:t>78</w:t>
            </w:r>
            <w:r w:rsidR="006128CE">
              <w:rPr>
                <w:webHidden/>
              </w:rPr>
              <w:fldChar w:fldCharType="end"/>
            </w:r>
          </w:hyperlink>
        </w:p>
        <w:p w14:paraId="519D3EEB" w14:textId="2BCC773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08" w:history="1">
            <w:r w:rsidR="006128CE" w:rsidRPr="004727B5">
              <w:rPr>
                <w:rStyle w:val="Hipervnculo"/>
              </w:rPr>
              <w:t>7.10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_Toc140506308 \h </w:instrText>
            </w:r>
            <w:r w:rsidR="006128CE">
              <w:rPr>
                <w:webHidden/>
              </w:rPr>
            </w:r>
            <w:r w:rsidR="006128CE">
              <w:rPr>
                <w:webHidden/>
              </w:rPr>
              <w:fldChar w:fldCharType="separate"/>
            </w:r>
            <w:r w:rsidR="006128CE">
              <w:rPr>
                <w:webHidden/>
              </w:rPr>
              <w:t>78</w:t>
            </w:r>
            <w:r w:rsidR="006128CE">
              <w:rPr>
                <w:webHidden/>
              </w:rPr>
              <w:fldChar w:fldCharType="end"/>
            </w:r>
          </w:hyperlink>
        </w:p>
        <w:p w14:paraId="1883A2E7" w14:textId="71EB91E2"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09" w:history="1">
            <w:r w:rsidR="006128CE" w:rsidRPr="004727B5">
              <w:rPr>
                <w:rStyle w:val="Hipervnculo"/>
                <w:caps/>
              </w:rPr>
              <w:t>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8. </w:t>
            </w:r>
            <w:r w:rsidR="006128CE" w:rsidRPr="004727B5">
              <w:rPr>
                <w:rStyle w:val="Hipervnculo"/>
                <w:caps/>
              </w:rPr>
              <w:t>Modalidades de contratos de suministro permitidos</w:t>
            </w:r>
            <w:r w:rsidR="006128CE">
              <w:rPr>
                <w:webHidden/>
              </w:rPr>
              <w:tab/>
            </w:r>
            <w:r w:rsidR="006128CE">
              <w:rPr>
                <w:webHidden/>
              </w:rPr>
              <w:fldChar w:fldCharType="begin"/>
            </w:r>
            <w:r w:rsidR="006128CE">
              <w:rPr>
                <w:webHidden/>
              </w:rPr>
              <w:instrText xml:space="preserve"> PAGEREF _Toc140506309 \h </w:instrText>
            </w:r>
            <w:r w:rsidR="006128CE">
              <w:rPr>
                <w:webHidden/>
              </w:rPr>
            </w:r>
            <w:r w:rsidR="006128CE">
              <w:rPr>
                <w:webHidden/>
              </w:rPr>
              <w:fldChar w:fldCharType="separate"/>
            </w:r>
            <w:r w:rsidR="006128CE">
              <w:rPr>
                <w:webHidden/>
              </w:rPr>
              <w:t>79</w:t>
            </w:r>
            <w:r w:rsidR="006128CE">
              <w:rPr>
                <w:webHidden/>
              </w:rPr>
              <w:fldChar w:fldCharType="end"/>
            </w:r>
          </w:hyperlink>
        </w:p>
        <w:p w14:paraId="0D0D301E" w14:textId="5646E25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0" w:history="1">
            <w:r w:rsidR="006128CE" w:rsidRPr="004727B5">
              <w:rPr>
                <w:rStyle w:val="Hipervnculo"/>
              </w:rPr>
              <w:t>8.1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_Toc140506310 \h </w:instrText>
            </w:r>
            <w:r w:rsidR="006128CE">
              <w:rPr>
                <w:webHidden/>
              </w:rPr>
            </w:r>
            <w:r w:rsidR="006128CE">
              <w:rPr>
                <w:webHidden/>
              </w:rPr>
              <w:fldChar w:fldCharType="separate"/>
            </w:r>
            <w:r w:rsidR="006128CE">
              <w:rPr>
                <w:webHidden/>
              </w:rPr>
              <w:t>79</w:t>
            </w:r>
            <w:r w:rsidR="006128CE">
              <w:rPr>
                <w:webHidden/>
              </w:rPr>
              <w:fldChar w:fldCharType="end"/>
            </w:r>
          </w:hyperlink>
        </w:p>
        <w:p w14:paraId="4DFBAB37" w14:textId="0679376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1" w:history="1">
            <w:r w:rsidR="006128CE" w:rsidRPr="004727B5">
              <w:rPr>
                <w:rStyle w:val="Hipervnculo"/>
              </w:rPr>
              <w:t>8.2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ALCANOS</w:t>
            </w:r>
            <w:r w:rsidR="006128CE">
              <w:rPr>
                <w:webHidden/>
              </w:rPr>
              <w:tab/>
            </w:r>
            <w:r w:rsidR="006128CE">
              <w:rPr>
                <w:webHidden/>
              </w:rPr>
              <w:fldChar w:fldCharType="begin"/>
            </w:r>
            <w:r w:rsidR="006128CE">
              <w:rPr>
                <w:webHidden/>
              </w:rPr>
              <w:instrText xml:space="preserve"> PAGEREF _Toc140506311 \h </w:instrText>
            </w:r>
            <w:r w:rsidR="006128CE">
              <w:rPr>
                <w:webHidden/>
              </w:rPr>
            </w:r>
            <w:r w:rsidR="006128CE">
              <w:rPr>
                <w:webHidden/>
              </w:rPr>
              <w:fldChar w:fldCharType="separate"/>
            </w:r>
            <w:r w:rsidR="006128CE">
              <w:rPr>
                <w:webHidden/>
              </w:rPr>
              <w:t>79</w:t>
            </w:r>
            <w:r w:rsidR="006128CE">
              <w:rPr>
                <w:webHidden/>
              </w:rPr>
              <w:fldChar w:fldCharType="end"/>
            </w:r>
          </w:hyperlink>
        </w:p>
        <w:p w14:paraId="4AE43F49" w14:textId="69CD827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2" w:history="1">
            <w:r w:rsidR="006128CE" w:rsidRPr="004727B5">
              <w:rPr>
                <w:rStyle w:val="Hipervnculo"/>
              </w:rPr>
              <w:t>8.3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_Toc140506312 \h </w:instrText>
            </w:r>
            <w:r w:rsidR="006128CE">
              <w:rPr>
                <w:webHidden/>
              </w:rPr>
            </w:r>
            <w:r w:rsidR="006128CE">
              <w:rPr>
                <w:webHidden/>
              </w:rPr>
              <w:fldChar w:fldCharType="separate"/>
            </w:r>
            <w:r w:rsidR="006128CE">
              <w:rPr>
                <w:webHidden/>
              </w:rPr>
              <w:t>79</w:t>
            </w:r>
            <w:r w:rsidR="006128CE">
              <w:rPr>
                <w:webHidden/>
              </w:rPr>
              <w:fldChar w:fldCharType="end"/>
            </w:r>
          </w:hyperlink>
        </w:p>
        <w:p w14:paraId="315CB959" w14:textId="09A9B34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3" w:history="1">
            <w:r w:rsidR="006128CE" w:rsidRPr="004727B5">
              <w:rPr>
                <w:rStyle w:val="Hipervnculo"/>
              </w:rPr>
              <w:t>8.4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_Toc140506313 \h </w:instrText>
            </w:r>
            <w:r w:rsidR="006128CE">
              <w:rPr>
                <w:webHidden/>
              </w:rPr>
            </w:r>
            <w:r w:rsidR="006128CE">
              <w:rPr>
                <w:webHidden/>
              </w:rPr>
              <w:fldChar w:fldCharType="separate"/>
            </w:r>
            <w:r w:rsidR="006128CE">
              <w:rPr>
                <w:webHidden/>
              </w:rPr>
              <w:t>80</w:t>
            </w:r>
            <w:r w:rsidR="006128CE">
              <w:rPr>
                <w:webHidden/>
              </w:rPr>
              <w:fldChar w:fldCharType="end"/>
            </w:r>
          </w:hyperlink>
        </w:p>
        <w:p w14:paraId="4D3F5F67" w14:textId="2D168A9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4" w:history="1">
            <w:r w:rsidR="006128CE" w:rsidRPr="004727B5">
              <w:rPr>
                <w:rStyle w:val="Hipervnculo"/>
              </w:rPr>
              <w:t>8.5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CANACOL</w:t>
            </w:r>
            <w:r w:rsidR="006128CE">
              <w:rPr>
                <w:webHidden/>
              </w:rPr>
              <w:tab/>
            </w:r>
            <w:r w:rsidR="006128CE">
              <w:rPr>
                <w:webHidden/>
              </w:rPr>
              <w:fldChar w:fldCharType="begin"/>
            </w:r>
            <w:r w:rsidR="006128CE">
              <w:rPr>
                <w:webHidden/>
              </w:rPr>
              <w:instrText xml:space="preserve"> PAGEREF _Toc140506314 \h </w:instrText>
            </w:r>
            <w:r w:rsidR="006128CE">
              <w:rPr>
                <w:webHidden/>
              </w:rPr>
            </w:r>
            <w:r w:rsidR="006128CE">
              <w:rPr>
                <w:webHidden/>
              </w:rPr>
              <w:fldChar w:fldCharType="separate"/>
            </w:r>
            <w:r w:rsidR="006128CE">
              <w:rPr>
                <w:webHidden/>
              </w:rPr>
              <w:t>81</w:t>
            </w:r>
            <w:r w:rsidR="006128CE">
              <w:rPr>
                <w:webHidden/>
              </w:rPr>
              <w:fldChar w:fldCharType="end"/>
            </w:r>
          </w:hyperlink>
        </w:p>
        <w:p w14:paraId="133BC49E" w14:textId="55C725B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5" w:history="1">
            <w:r w:rsidR="006128CE" w:rsidRPr="004727B5">
              <w:rPr>
                <w:rStyle w:val="Hipervnculo"/>
              </w:rPr>
              <w:t>8.6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_Toc140506315 \h </w:instrText>
            </w:r>
            <w:r w:rsidR="006128CE">
              <w:rPr>
                <w:webHidden/>
              </w:rPr>
            </w:r>
            <w:r w:rsidR="006128CE">
              <w:rPr>
                <w:webHidden/>
              </w:rPr>
              <w:fldChar w:fldCharType="separate"/>
            </w:r>
            <w:r w:rsidR="006128CE">
              <w:rPr>
                <w:webHidden/>
              </w:rPr>
              <w:t>82</w:t>
            </w:r>
            <w:r w:rsidR="006128CE">
              <w:rPr>
                <w:webHidden/>
              </w:rPr>
              <w:fldChar w:fldCharType="end"/>
            </w:r>
          </w:hyperlink>
        </w:p>
        <w:p w14:paraId="76F29ED6" w14:textId="0834847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6" w:history="1">
            <w:r w:rsidR="006128CE" w:rsidRPr="004727B5">
              <w:rPr>
                <w:rStyle w:val="Hipervnculo"/>
              </w:rPr>
              <w:t>8.7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_Toc140506316 \h </w:instrText>
            </w:r>
            <w:r w:rsidR="006128CE">
              <w:rPr>
                <w:webHidden/>
              </w:rPr>
            </w:r>
            <w:r w:rsidR="006128CE">
              <w:rPr>
                <w:webHidden/>
              </w:rPr>
              <w:fldChar w:fldCharType="separate"/>
            </w:r>
            <w:r w:rsidR="006128CE">
              <w:rPr>
                <w:webHidden/>
              </w:rPr>
              <w:t>83</w:t>
            </w:r>
            <w:r w:rsidR="006128CE">
              <w:rPr>
                <w:webHidden/>
              </w:rPr>
              <w:fldChar w:fldCharType="end"/>
            </w:r>
          </w:hyperlink>
        </w:p>
        <w:p w14:paraId="54C475D8" w14:textId="50BEB18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7" w:history="1">
            <w:r w:rsidR="006128CE" w:rsidRPr="004727B5">
              <w:rPr>
                <w:rStyle w:val="Hipervnculo"/>
              </w:rPr>
              <w:t>8.8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_Toc140506317 \h </w:instrText>
            </w:r>
            <w:r w:rsidR="006128CE">
              <w:rPr>
                <w:webHidden/>
              </w:rPr>
            </w:r>
            <w:r w:rsidR="006128CE">
              <w:rPr>
                <w:webHidden/>
              </w:rPr>
              <w:fldChar w:fldCharType="separate"/>
            </w:r>
            <w:r w:rsidR="006128CE">
              <w:rPr>
                <w:webHidden/>
              </w:rPr>
              <w:t>83</w:t>
            </w:r>
            <w:r w:rsidR="006128CE">
              <w:rPr>
                <w:webHidden/>
              </w:rPr>
              <w:fldChar w:fldCharType="end"/>
            </w:r>
          </w:hyperlink>
        </w:p>
        <w:p w14:paraId="0FE9D449" w14:textId="5E0853A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8" w:history="1">
            <w:r w:rsidR="006128CE" w:rsidRPr="004727B5">
              <w:rPr>
                <w:rStyle w:val="Hipervnculo"/>
              </w:rPr>
              <w:t>8.9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_Toc140506318 \h </w:instrText>
            </w:r>
            <w:r w:rsidR="006128CE">
              <w:rPr>
                <w:webHidden/>
              </w:rPr>
            </w:r>
            <w:r w:rsidR="006128CE">
              <w:rPr>
                <w:webHidden/>
              </w:rPr>
              <w:fldChar w:fldCharType="separate"/>
            </w:r>
            <w:r w:rsidR="006128CE">
              <w:rPr>
                <w:webHidden/>
              </w:rPr>
              <w:t>83</w:t>
            </w:r>
            <w:r w:rsidR="006128CE">
              <w:rPr>
                <w:webHidden/>
              </w:rPr>
              <w:fldChar w:fldCharType="end"/>
            </w:r>
          </w:hyperlink>
        </w:p>
        <w:p w14:paraId="1881AED1" w14:textId="69D1B6D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19" w:history="1">
            <w:r w:rsidR="006128CE" w:rsidRPr="004727B5">
              <w:rPr>
                <w:rStyle w:val="Hipervnculo"/>
              </w:rPr>
              <w:t>8.10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LEWIS ENERGY</w:t>
            </w:r>
            <w:r w:rsidR="006128CE">
              <w:rPr>
                <w:webHidden/>
              </w:rPr>
              <w:tab/>
            </w:r>
            <w:r w:rsidR="006128CE">
              <w:rPr>
                <w:webHidden/>
              </w:rPr>
              <w:fldChar w:fldCharType="begin"/>
            </w:r>
            <w:r w:rsidR="006128CE">
              <w:rPr>
                <w:webHidden/>
              </w:rPr>
              <w:instrText xml:space="preserve"> PAGEREF _Toc140506319 \h </w:instrText>
            </w:r>
            <w:r w:rsidR="006128CE">
              <w:rPr>
                <w:webHidden/>
              </w:rPr>
            </w:r>
            <w:r w:rsidR="006128CE">
              <w:rPr>
                <w:webHidden/>
              </w:rPr>
              <w:fldChar w:fldCharType="separate"/>
            </w:r>
            <w:r w:rsidR="006128CE">
              <w:rPr>
                <w:webHidden/>
              </w:rPr>
              <w:t>84</w:t>
            </w:r>
            <w:r w:rsidR="006128CE">
              <w:rPr>
                <w:webHidden/>
              </w:rPr>
              <w:fldChar w:fldCharType="end"/>
            </w:r>
          </w:hyperlink>
        </w:p>
        <w:p w14:paraId="421C478A" w14:textId="7E98974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0" w:history="1">
            <w:r w:rsidR="006128CE" w:rsidRPr="004727B5">
              <w:rPr>
                <w:rStyle w:val="Hipervnculo"/>
              </w:rPr>
              <w:t>8.11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OILGAS ENERGY</w:t>
            </w:r>
            <w:r w:rsidR="006128CE">
              <w:rPr>
                <w:webHidden/>
              </w:rPr>
              <w:tab/>
            </w:r>
            <w:r w:rsidR="006128CE">
              <w:rPr>
                <w:webHidden/>
              </w:rPr>
              <w:fldChar w:fldCharType="begin"/>
            </w:r>
            <w:r w:rsidR="006128CE">
              <w:rPr>
                <w:webHidden/>
              </w:rPr>
              <w:instrText xml:space="preserve"> PAGEREF _Toc140506320 \h </w:instrText>
            </w:r>
            <w:r w:rsidR="006128CE">
              <w:rPr>
                <w:webHidden/>
              </w:rPr>
            </w:r>
            <w:r w:rsidR="006128CE">
              <w:rPr>
                <w:webHidden/>
              </w:rPr>
              <w:fldChar w:fldCharType="separate"/>
            </w:r>
            <w:r w:rsidR="006128CE">
              <w:rPr>
                <w:webHidden/>
              </w:rPr>
              <w:t>84</w:t>
            </w:r>
            <w:r w:rsidR="006128CE">
              <w:rPr>
                <w:webHidden/>
              </w:rPr>
              <w:fldChar w:fldCharType="end"/>
            </w:r>
          </w:hyperlink>
        </w:p>
        <w:p w14:paraId="51F15B23" w14:textId="1176E0D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1" w:history="1">
            <w:r w:rsidR="006128CE" w:rsidRPr="004727B5">
              <w:rPr>
                <w:rStyle w:val="Hipervnculo"/>
              </w:rPr>
              <w:t>8.12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PRIME ENERGIA</w:t>
            </w:r>
            <w:r w:rsidR="006128CE">
              <w:rPr>
                <w:webHidden/>
              </w:rPr>
              <w:tab/>
            </w:r>
            <w:r w:rsidR="006128CE">
              <w:rPr>
                <w:webHidden/>
              </w:rPr>
              <w:fldChar w:fldCharType="begin"/>
            </w:r>
            <w:r w:rsidR="006128CE">
              <w:rPr>
                <w:webHidden/>
              </w:rPr>
              <w:instrText xml:space="preserve"> PAGEREF _Toc140506321 \h </w:instrText>
            </w:r>
            <w:r w:rsidR="006128CE">
              <w:rPr>
                <w:webHidden/>
              </w:rPr>
            </w:r>
            <w:r w:rsidR="006128CE">
              <w:rPr>
                <w:webHidden/>
              </w:rPr>
              <w:fldChar w:fldCharType="separate"/>
            </w:r>
            <w:r w:rsidR="006128CE">
              <w:rPr>
                <w:webHidden/>
              </w:rPr>
              <w:t>85</w:t>
            </w:r>
            <w:r w:rsidR="006128CE">
              <w:rPr>
                <w:webHidden/>
              </w:rPr>
              <w:fldChar w:fldCharType="end"/>
            </w:r>
          </w:hyperlink>
        </w:p>
        <w:p w14:paraId="33423E09" w14:textId="6695E81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2" w:history="1">
            <w:r w:rsidR="006128CE" w:rsidRPr="004727B5">
              <w:rPr>
                <w:rStyle w:val="Hipervnculo"/>
              </w:rPr>
              <w:t>8.13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_Toc140506322 \h </w:instrText>
            </w:r>
            <w:r w:rsidR="006128CE">
              <w:rPr>
                <w:webHidden/>
              </w:rPr>
            </w:r>
            <w:r w:rsidR="006128CE">
              <w:rPr>
                <w:webHidden/>
              </w:rPr>
              <w:fldChar w:fldCharType="separate"/>
            </w:r>
            <w:r w:rsidR="006128CE">
              <w:rPr>
                <w:webHidden/>
              </w:rPr>
              <w:t>85</w:t>
            </w:r>
            <w:r w:rsidR="006128CE">
              <w:rPr>
                <w:webHidden/>
              </w:rPr>
              <w:fldChar w:fldCharType="end"/>
            </w:r>
          </w:hyperlink>
        </w:p>
        <w:p w14:paraId="0F529D77" w14:textId="2A6D303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3" w:history="1">
            <w:r w:rsidR="006128CE" w:rsidRPr="004727B5">
              <w:rPr>
                <w:rStyle w:val="Hipervnculo"/>
              </w:rPr>
              <w:t>8.14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SHELL</w:t>
            </w:r>
            <w:r w:rsidR="006128CE">
              <w:rPr>
                <w:webHidden/>
              </w:rPr>
              <w:tab/>
            </w:r>
            <w:r w:rsidR="006128CE">
              <w:rPr>
                <w:webHidden/>
              </w:rPr>
              <w:fldChar w:fldCharType="begin"/>
            </w:r>
            <w:r w:rsidR="006128CE">
              <w:rPr>
                <w:webHidden/>
              </w:rPr>
              <w:instrText xml:space="preserve"> PAGEREF _Toc140506323 \h </w:instrText>
            </w:r>
            <w:r w:rsidR="006128CE">
              <w:rPr>
                <w:webHidden/>
              </w:rPr>
            </w:r>
            <w:r w:rsidR="006128CE">
              <w:rPr>
                <w:webHidden/>
              </w:rPr>
              <w:fldChar w:fldCharType="separate"/>
            </w:r>
            <w:r w:rsidR="006128CE">
              <w:rPr>
                <w:webHidden/>
              </w:rPr>
              <w:t>85</w:t>
            </w:r>
            <w:r w:rsidR="006128CE">
              <w:rPr>
                <w:webHidden/>
              </w:rPr>
              <w:fldChar w:fldCharType="end"/>
            </w:r>
          </w:hyperlink>
        </w:p>
        <w:p w14:paraId="6F6F8890" w14:textId="7487EBE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4" w:history="1">
            <w:r w:rsidR="006128CE" w:rsidRPr="004727B5">
              <w:rPr>
                <w:rStyle w:val="Hipervnculo"/>
              </w:rPr>
              <w:t>8.15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SURTIGAS</w:t>
            </w:r>
            <w:r w:rsidR="006128CE">
              <w:rPr>
                <w:webHidden/>
              </w:rPr>
              <w:tab/>
            </w:r>
            <w:r w:rsidR="006128CE">
              <w:rPr>
                <w:webHidden/>
              </w:rPr>
              <w:fldChar w:fldCharType="begin"/>
            </w:r>
            <w:r w:rsidR="006128CE">
              <w:rPr>
                <w:webHidden/>
              </w:rPr>
              <w:instrText xml:space="preserve"> PAGEREF _Toc140506324 \h </w:instrText>
            </w:r>
            <w:r w:rsidR="006128CE">
              <w:rPr>
                <w:webHidden/>
              </w:rPr>
            </w:r>
            <w:r w:rsidR="006128CE">
              <w:rPr>
                <w:webHidden/>
              </w:rPr>
              <w:fldChar w:fldCharType="separate"/>
            </w:r>
            <w:r w:rsidR="006128CE">
              <w:rPr>
                <w:webHidden/>
              </w:rPr>
              <w:t>86</w:t>
            </w:r>
            <w:r w:rsidR="006128CE">
              <w:rPr>
                <w:webHidden/>
              </w:rPr>
              <w:fldChar w:fldCharType="end"/>
            </w:r>
          </w:hyperlink>
        </w:p>
        <w:p w14:paraId="24D6EE35" w14:textId="612D561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5" w:history="1">
            <w:r w:rsidR="006128CE" w:rsidRPr="004727B5">
              <w:rPr>
                <w:rStyle w:val="Hipervnculo"/>
              </w:rPr>
              <w:t>8.16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_Toc140506325 \h </w:instrText>
            </w:r>
            <w:r w:rsidR="006128CE">
              <w:rPr>
                <w:webHidden/>
              </w:rPr>
            </w:r>
            <w:r w:rsidR="006128CE">
              <w:rPr>
                <w:webHidden/>
              </w:rPr>
              <w:fldChar w:fldCharType="separate"/>
            </w:r>
            <w:r w:rsidR="006128CE">
              <w:rPr>
                <w:webHidden/>
              </w:rPr>
              <w:t>86</w:t>
            </w:r>
            <w:r w:rsidR="006128CE">
              <w:rPr>
                <w:webHidden/>
              </w:rPr>
              <w:fldChar w:fldCharType="end"/>
            </w:r>
          </w:hyperlink>
        </w:p>
        <w:p w14:paraId="647D1E53" w14:textId="2227C78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6" w:history="1">
            <w:r w:rsidR="006128CE" w:rsidRPr="004727B5">
              <w:rPr>
                <w:rStyle w:val="Hipervnculo"/>
              </w:rPr>
              <w:t>8.17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_Toc140506326 \h </w:instrText>
            </w:r>
            <w:r w:rsidR="006128CE">
              <w:rPr>
                <w:webHidden/>
              </w:rPr>
            </w:r>
            <w:r w:rsidR="006128CE">
              <w:rPr>
                <w:webHidden/>
              </w:rPr>
              <w:fldChar w:fldCharType="separate"/>
            </w:r>
            <w:r w:rsidR="006128CE">
              <w:rPr>
                <w:webHidden/>
              </w:rPr>
              <w:t>86</w:t>
            </w:r>
            <w:r w:rsidR="006128CE">
              <w:rPr>
                <w:webHidden/>
              </w:rPr>
              <w:fldChar w:fldCharType="end"/>
            </w:r>
          </w:hyperlink>
        </w:p>
        <w:p w14:paraId="2F014366" w14:textId="286BF73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7" w:history="1">
            <w:r w:rsidR="006128CE" w:rsidRPr="004727B5">
              <w:rPr>
                <w:rStyle w:val="Hipervnculo"/>
              </w:rPr>
              <w:t>8.18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_Toc140506327 \h </w:instrText>
            </w:r>
            <w:r w:rsidR="006128CE">
              <w:rPr>
                <w:webHidden/>
              </w:rPr>
            </w:r>
            <w:r w:rsidR="006128CE">
              <w:rPr>
                <w:webHidden/>
              </w:rPr>
              <w:fldChar w:fldCharType="separate"/>
            </w:r>
            <w:r w:rsidR="006128CE">
              <w:rPr>
                <w:webHidden/>
              </w:rPr>
              <w:t>87</w:t>
            </w:r>
            <w:r w:rsidR="006128CE">
              <w:rPr>
                <w:webHidden/>
              </w:rPr>
              <w:fldChar w:fldCharType="end"/>
            </w:r>
          </w:hyperlink>
        </w:p>
        <w:p w14:paraId="5E837373" w14:textId="5E1CB09A"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28" w:history="1">
            <w:r w:rsidR="006128CE" w:rsidRPr="004727B5">
              <w:rPr>
                <w:rStyle w:val="Hipervnculo"/>
                <w:caps/>
              </w:rPr>
              <w:t>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9. </w:t>
            </w:r>
            <w:r w:rsidR="006128CE" w:rsidRPr="004727B5">
              <w:rPr>
                <w:rStyle w:val="Hipervnculo"/>
                <w:caps/>
              </w:rPr>
              <w:t>Requisitos Mínimos de los Contratos de Suministro</w:t>
            </w:r>
            <w:r w:rsidR="006128CE">
              <w:rPr>
                <w:webHidden/>
              </w:rPr>
              <w:tab/>
            </w:r>
            <w:r w:rsidR="006128CE">
              <w:rPr>
                <w:webHidden/>
              </w:rPr>
              <w:fldChar w:fldCharType="begin"/>
            </w:r>
            <w:r w:rsidR="006128CE">
              <w:rPr>
                <w:webHidden/>
              </w:rPr>
              <w:instrText xml:space="preserve"> PAGEREF _Toc140506328 \h </w:instrText>
            </w:r>
            <w:r w:rsidR="006128CE">
              <w:rPr>
                <w:webHidden/>
              </w:rPr>
            </w:r>
            <w:r w:rsidR="006128CE">
              <w:rPr>
                <w:webHidden/>
              </w:rPr>
              <w:fldChar w:fldCharType="separate"/>
            </w:r>
            <w:r w:rsidR="006128CE">
              <w:rPr>
                <w:webHidden/>
              </w:rPr>
              <w:t>87</w:t>
            </w:r>
            <w:r w:rsidR="006128CE">
              <w:rPr>
                <w:webHidden/>
              </w:rPr>
              <w:fldChar w:fldCharType="end"/>
            </w:r>
          </w:hyperlink>
        </w:p>
        <w:p w14:paraId="73F0E2FC" w14:textId="1FA388F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29" w:history="1">
            <w:r w:rsidR="006128CE" w:rsidRPr="004727B5">
              <w:rPr>
                <w:rStyle w:val="Hipervnculo"/>
              </w:rPr>
              <w:t>9.1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ENERGY FOR THE CARIBBEAN</w:t>
            </w:r>
            <w:r w:rsidR="006128CE">
              <w:rPr>
                <w:webHidden/>
              </w:rPr>
              <w:tab/>
            </w:r>
            <w:r w:rsidR="006128CE">
              <w:rPr>
                <w:webHidden/>
              </w:rPr>
              <w:fldChar w:fldCharType="begin"/>
            </w:r>
            <w:r w:rsidR="006128CE">
              <w:rPr>
                <w:webHidden/>
              </w:rPr>
              <w:instrText xml:space="preserve"> PAGEREF _Toc140506329 \h </w:instrText>
            </w:r>
            <w:r w:rsidR="006128CE">
              <w:rPr>
                <w:webHidden/>
              </w:rPr>
            </w:r>
            <w:r w:rsidR="006128CE">
              <w:rPr>
                <w:webHidden/>
              </w:rPr>
              <w:fldChar w:fldCharType="separate"/>
            </w:r>
            <w:r w:rsidR="006128CE">
              <w:rPr>
                <w:webHidden/>
              </w:rPr>
              <w:t>87</w:t>
            </w:r>
            <w:r w:rsidR="006128CE">
              <w:rPr>
                <w:webHidden/>
              </w:rPr>
              <w:fldChar w:fldCharType="end"/>
            </w:r>
          </w:hyperlink>
        </w:p>
        <w:p w14:paraId="7B40C013" w14:textId="17726EAA"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30" w:history="1">
            <w:r w:rsidR="006128CE" w:rsidRPr="004727B5">
              <w:rPr>
                <w:rStyle w:val="Hipervnculo"/>
                <w:caps/>
              </w:rPr>
              <w:t>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10. </w:t>
            </w:r>
            <w:r w:rsidR="006128CE" w:rsidRPr="004727B5">
              <w:rPr>
                <w:rStyle w:val="Hipervnculo"/>
                <w:caps/>
              </w:rPr>
              <w:t>Eventos de fuerza mayor, caso fortuito o causa extraña</w:t>
            </w:r>
            <w:r w:rsidR="006128CE">
              <w:rPr>
                <w:webHidden/>
              </w:rPr>
              <w:tab/>
            </w:r>
            <w:r w:rsidR="006128CE">
              <w:rPr>
                <w:webHidden/>
              </w:rPr>
              <w:fldChar w:fldCharType="begin"/>
            </w:r>
            <w:r w:rsidR="006128CE">
              <w:rPr>
                <w:webHidden/>
              </w:rPr>
              <w:instrText xml:space="preserve"> PAGEREF _Toc140506330 \h </w:instrText>
            </w:r>
            <w:r w:rsidR="006128CE">
              <w:rPr>
                <w:webHidden/>
              </w:rPr>
            </w:r>
            <w:r w:rsidR="006128CE">
              <w:rPr>
                <w:webHidden/>
              </w:rPr>
              <w:fldChar w:fldCharType="separate"/>
            </w:r>
            <w:r w:rsidR="006128CE">
              <w:rPr>
                <w:webHidden/>
              </w:rPr>
              <w:t>88</w:t>
            </w:r>
            <w:r w:rsidR="006128CE">
              <w:rPr>
                <w:webHidden/>
              </w:rPr>
              <w:fldChar w:fldCharType="end"/>
            </w:r>
          </w:hyperlink>
        </w:p>
        <w:p w14:paraId="7E1593B5" w14:textId="6FCEE6F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31" w:history="1">
            <w:r w:rsidR="006128CE" w:rsidRPr="004727B5">
              <w:rPr>
                <w:rStyle w:val="Hipervnculo"/>
              </w:rPr>
              <w:t>10.1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_Toc140506331 \h </w:instrText>
            </w:r>
            <w:r w:rsidR="006128CE">
              <w:rPr>
                <w:webHidden/>
              </w:rPr>
            </w:r>
            <w:r w:rsidR="006128CE">
              <w:rPr>
                <w:webHidden/>
              </w:rPr>
              <w:fldChar w:fldCharType="separate"/>
            </w:r>
            <w:r w:rsidR="006128CE">
              <w:rPr>
                <w:webHidden/>
              </w:rPr>
              <w:t>88</w:t>
            </w:r>
            <w:r w:rsidR="006128CE">
              <w:rPr>
                <w:webHidden/>
              </w:rPr>
              <w:fldChar w:fldCharType="end"/>
            </w:r>
          </w:hyperlink>
        </w:p>
        <w:p w14:paraId="1CD07BDF" w14:textId="6F7A0B1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32" w:history="1">
            <w:r w:rsidR="006128CE" w:rsidRPr="004727B5">
              <w:rPr>
                <w:rStyle w:val="Hipervnculo"/>
              </w:rPr>
              <w:t>10.2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OILGAS ENERGY</w:t>
            </w:r>
            <w:r w:rsidR="006128CE">
              <w:rPr>
                <w:webHidden/>
              </w:rPr>
              <w:tab/>
            </w:r>
            <w:r w:rsidR="006128CE">
              <w:rPr>
                <w:webHidden/>
              </w:rPr>
              <w:fldChar w:fldCharType="begin"/>
            </w:r>
            <w:r w:rsidR="006128CE">
              <w:rPr>
                <w:webHidden/>
              </w:rPr>
              <w:instrText xml:space="preserve"> PAGEREF _Toc140506332 \h </w:instrText>
            </w:r>
            <w:r w:rsidR="006128CE">
              <w:rPr>
                <w:webHidden/>
              </w:rPr>
            </w:r>
            <w:r w:rsidR="006128CE">
              <w:rPr>
                <w:webHidden/>
              </w:rPr>
              <w:fldChar w:fldCharType="separate"/>
            </w:r>
            <w:r w:rsidR="006128CE">
              <w:rPr>
                <w:webHidden/>
              </w:rPr>
              <w:t>88</w:t>
            </w:r>
            <w:r w:rsidR="006128CE">
              <w:rPr>
                <w:webHidden/>
              </w:rPr>
              <w:fldChar w:fldCharType="end"/>
            </w:r>
          </w:hyperlink>
        </w:p>
        <w:p w14:paraId="052CC9E5" w14:textId="38A7D5D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33" w:history="1">
            <w:r w:rsidR="006128CE" w:rsidRPr="004727B5">
              <w:rPr>
                <w:rStyle w:val="Hipervnculo"/>
              </w:rPr>
              <w:t>10.3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_Toc140506333 \h </w:instrText>
            </w:r>
            <w:r w:rsidR="006128CE">
              <w:rPr>
                <w:webHidden/>
              </w:rPr>
            </w:r>
            <w:r w:rsidR="006128CE">
              <w:rPr>
                <w:webHidden/>
              </w:rPr>
              <w:fldChar w:fldCharType="separate"/>
            </w:r>
            <w:r w:rsidR="006128CE">
              <w:rPr>
                <w:webHidden/>
              </w:rPr>
              <w:t>88</w:t>
            </w:r>
            <w:r w:rsidR="006128CE">
              <w:rPr>
                <w:webHidden/>
              </w:rPr>
              <w:fldChar w:fldCharType="end"/>
            </w:r>
          </w:hyperlink>
        </w:p>
        <w:p w14:paraId="224A0C4B" w14:textId="7C9929E1"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34" w:history="1">
            <w:r w:rsidR="006128CE" w:rsidRPr="004727B5">
              <w:rPr>
                <w:rStyle w:val="Hipervnculo"/>
                <w:caps/>
              </w:rPr>
              <w:t>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11. </w:t>
            </w:r>
            <w:r w:rsidR="006128CE" w:rsidRPr="004727B5">
              <w:rPr>
                <w:rStyle w:val="Hipervnculo"/>
                <w:caps/>
              </w:rPr>
              <w:t>Eventos eximentes de responsabilidad</w:t>
            </w:r>
            <w:r w:rsidR="006128CE">
              <w:rPr>
                <w:webHidden/>
              </w:rPr>
              <w:tab/>
            </w:r>
            <w:r w:rsidR="006128CE">
              <w:rPr>
                <w:webHidden/>
              </w:rPr>
              <w:fldChar w:fldCharType="begin"/>
            </w:r>
            <w:r w:rsidR="006128CE">
              <w:rPr>
                <w:webHidden/>
              </w:rPr>
              <w:instrText xml:space="preserve"> PAGEREF _Toc140506334 \h </w:instrText>
            </w:r>
            <w:r w:rsidR="006128CE">
              <w:rPr>
                <w:webHidden/>
              </w:rPr>
            </w:r>
            <w:r w:rsidR="006128CE">
              <w:rPr>
                <w:webHidden/>
              </w:rPr>
              <w:fldChar w:fldCharType="separate"/>
            </w:r>
            <w:r w:rsidR="006128CE">
              <w:rPr>
                <w:webHidden/>
              </w:rPr>
              <w:t>89</w:t>
            </w:r>
            <w:r w:rsidR="006128CE">
              <w:rPr>
                <w:webHidden/>
              </w:rPr>
              <w:fldChar w:fldCharType="end"/>
            </w:r>
          </w:hyperlink>
        </w:p>
        <w:p w14:paraId="0DC65245" w14:textId="0AD12D0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35" w:history="1">
            <w:r w:rsidR="006128CE" w:rsidRPr="004727B5">
              <w:rPr>
                <w:rStyle w:val="Hipervnculo"/>
              </w:rPr>
              <w:t>11.1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ACOLGEN</w:t>
            </w:r>
            <w:r w:rsidR="006128CE">
              <w:rPr>
                <w:webHidden/>
              </w:rPr>
              <w:tab/>
            </w:r>
            <w:r w:rsidR="006128CE">
              <w:rPr>
                <w:webHidden/>
              </w:rPr>
              <w:fldChar w:fldCharType="begin"/>
            </w:r>
            <w:r w:rsidR="006128CE">
              <w:rPr>
                <w:webHidden/>
              </w:rPr>
              <w:instrText xml:space="preserve"> PAGEREF _Toc140506335 \h </w:instrText>
            </w:r>
            <w:r w:rsidR="006128CE">
              <w:rPr>
                <w:webHidden/>
              </w:rPr>
            </w:r>
            <w:r w:rsidR="006128CE">
              <w:rPr>
                <w:webHidden/>
              </w:rPr>
              <w:fldChar w:fldCharType="separate"/>
            </w:r>
            <w:r w:rsidR="006128CE">
              <w:rPr>
                <w:webHidden/>
              </w:rPr>
              <w:t>89</w:t>
            </w:r>
            <w:r w:rsidR="006128CE">
              <w:rPr>
                <w:webHidden/>
              </w:rPr>
              <w:fldChar w:fldCharType="end"/>
            </w:r>
          </w:hyperlink>
        </w:p>
        <w:p w14:paraId="0C4EDD50" w14:textId="3FFA0BB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36" w:history="1">
            <w:r w:rsidR="006128CE" w:rsidRPr="004727B5">
              <w:rPr>
                <w:rStyle w:val="Hipervnculo"/>
              </w:rPr>
              <w:t>11.2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_Toc140506336 \h </w:instrText>
            </w:r>
            <w:r w:rsidR="006128CE">
              <w:rPr>
                <w:webHidden/>
              </w:rPr>
            </w:r>
            <w:r w:rsidR="006128CE">
              <w:rPr>
                <w:webHidden/>
              </w:rPr>
              <w:fldChar w:fldCharType="separate"/>
            </w:r>
            <w:r w:rsidR="006128CE">
              <w:rPr>
                <w:webHidden/>
              </w:rPr>
              <w:t>89</w:t>
            </w:r>
            <w:r w:rsidR="006128CE">
              <w:rPr>
                <w:webHidden/>
              </w:rPr>
              <w:fldChar w:fldCharType="end"/>
            </w:r>
          </w:hyperlink>
        </w:p>
        <w:p w14:paraId="488CFB09" w14:textId="72B762F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37" w:history="1">
            <w:r w:rsidR="006128CE" w:rsidRPr="004727B5">
              <w:rPr>
                <w:rStyle w:val="Hipervnculo"/>
              </w:rPr>
              <w:t>11.3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ANDEG</w:t>
            </w:r>
            <w:r w:rsidR="006128CE">
              <w:rPr>
                <w:webHidden/>
              </w:rPr>
              <w:tab/>
            </w:r>
            <w:r w:rsidR="006128CE">
              <w:rPr>
                <w:webHidden/>
              </w:rPr>
              <w:fldChar w:fldCharType="begin"/>
            </w:r>
            <w:r w:rsidR="006128CE">
              <w:rPr>
                <w:webHidden/>
              </w:rPr>
              <w:instrText xml:space="preserve"> PAGEREF _Toc140506337 \h </w:instrText>
            </w:r>
            <w:r w:rsidR="006128CE">
              <w:rPr>
                <w:webHidden/>
              </w:rPr>
            </w:r>
            <w:r w:rsidR="006128CE">
              <w:rPr>
                <w:webHidden/>
              </w:rPr>
              <w:fldChar w:fldCharType="separate"/>
            </w:r>
            <w:r w:rsidR="006128CE">
              <w:rPr>
                <w:webHidden/>
              </w:rPr>
              <w:t>90</w:t>
            </w:r>
            <w:r w:rsidR="006128CE">
              <w:rPr>
                <w:webHidden/>
              </w:rPr>
              <w:fldChar w:fldCharType="end"/>
            </w:r>
          </w:hyperlink>
        </w:p>
        <w:p w14:paraId="63877237" w14:textId="3537469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38" w:history="1">
            <w:r w:rsidR="006128CE" w:rsidRPr="004727B5">
              <w:rPr>
                <w:rStyle w:val="Hipervnculo"/>
              </w:rPr>
              <w:t>11.4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ANDI</w:t>
            </w:r>
            <w:r w:rsidR="006128CE">
              <w:rPr>
                <w:webHidden/>
              </w:rPr>
              <w:tab/>
            </w:r>
            <w:r w:rsidR="006128CE">
              <w:rPr>
                <w:webHidden/>
              </w:rPr>
              <w:fldChar w:fldCharType="begin"/>
            </w:r>
            <w:r w:rsidR="006128CE">
              <w:rPr>
                <w:webHidden/>
              </w:rPr>
              <w:instrText xml:space="preserve"> PAGEREF _Toc140506338 \h </w:instrText>
            </w:r>
            <w:r w:rsidR="006128CE">
              <w:rPr>
                <w:webHidden/>
              </w:rPr>
            </w:r>
            <w:r w:rsidR="006128CE">
              <w:rPr>
                <w:webHidden/>
              </w:rPr>
              <w:fldChar w:fldCharType="separate"/>
            </w:r>
            <w:r w:rsidR="006128CE">
              <w:rPr>
                <w:webHidden/>
              </w:rPr>
              <w:t>90</w:t>
            </w:r>
            <w:r w:rsidR="006128CE">
              <w:rPr>
                <w:webHidden/>
              </w:rPr>
              <w:fldChar w:fldCharType="end"/>
            </w:r>
          </w:hyperlink>
        </w:p>
        <w:p w14:paraId="5E35A20A" w14:textId="70160DD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39" w:history="1">
            <w:r w:rsidR="006128CE" w:rsidRPr="004727B5">
              <w:rPr>
                <w:rStyle w:val="Hipervnculo"/>
              </w:rPr>
              <w:t>11.5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_Toc140506339 \h </w:instrText>
            </w:r>
            <w:r w:rsidR="006128CE">
              <w:rPr>
                <w:webHidden/>
              </w:rPr>
            </w:r>
            <w:r w:rsidR="006128CE">
              <w:rPr>
                <w:webHidden/>
              </w:rPr>
              <w:fldChar w:fldCharType="separate"/>
            </w:r>
            <w:r w:rsidR="006128CE">
              <w:rPr>
                <w:webHidden/>
              </w:rPr>
              <w:t>90</w:t>
            </w:r>
            <w:r w:rsidR="006128CE">
              <w:rPr>
                <w:webHidden/>
              </w:rPr>
              <w:fldChar w:fldCharType="end"/>
            </w:r>
          </w:hyperlink>
        </w:p>
        <w:p w14:paraId="4A962F5A" w14:textId="3FDB214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0" w:history="1">
            <w:r w:rsidR="006128CE" w:rsidRPr="004727B5">
              <w:rPr>
                <w:rStyle w:val="Hipervnculo"/>
              </w:rPr>
              <w:t>11.6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EPM</w:t>
            </w:r>
            <w:r w:rsidR="006128CE">
              <w:rPr>
                <w:webHidden/>
              </w:rPr>
              <w:tab/>
            </w:r>
            <w:r w:rsidR="006128CE">
              <w:rPr>
                <w:webHidden/>
              </w:rPr>
              <w:fldChar w:fldCharType="begin"/>
            </w:r>
            <w:r w:rsidR="006128CE">
              <w:rPr>
                <w:webHidden/>
              </w:rPr>
              <w:instrText xml:space="preserve"> PAGEREF _Toc140506340 \h </w:instrText>
            </w:r>
            <w:r w:rsidR="006128CE">
              <w:rPr>
                <w:webHidden/>
              </w:rPr>
            </w:r>
            <w:r w:rsidR="006128CE">
              <w:rPr>
                <w:webHidden/>
              </w:rPr>
              <w:fldChar w:fldCharType="separate"/>
            </w:r>
            <w:r w:rsidR="006128CE">
              <w:rPr>
                <w:webHidden/>
              </w:rPr>
              <w:t>92</w:t>
            </w:r>
            <w:r w:rsidR="006128CE">
              <w:rPr>
                <w:webHidden/>
              </w:rPr>
              <w:fldChar w:fldCharType="end"/>
            </w:r>
          </w:hyperlink>
        </w:p>
        <w:p w14:paraId="7EA361BD" w14:textId="4B9068C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1" w:history="1">
            <w:r w:rsidR="006128CE" w:rsidRPr="004727B5">
              <w:rPr>
                <w:rStyle w:val="Hipervnculo"/>
              </w:rPr>
              <w:t>11.7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GEAM</w:t>
            </w:r>
            <w:r w:rsidR="006128CE">
              <w:rPr>
                <w:webHidden/>
              </w:rPr>
              <w:tab/>
            </w:r>
            <w:r w:rsidR="006128CE">
              <w:rPr>
                <w:webHidden/>
              </w:rPr>
              <w:fldChar w:fldCharType="begin"/>
            </w:r>
            <w:r w:rsidR="006128CE">
              <w:rPr>
                <w:webHidden/>
              </w:rPr>
              <w:instrText xml:space="preserve"> PAGEREF _Toc140506341 \h </w:instrText>
            </w:r>
            <w:r w:rsidR="006128CE">
              <w:rPr>
                <w:webHidden/>
              </w:rPr>
            </w:r>
            <w:r w:rsidR="006128CE">
              <w:rPr>
                <w:webHidden/>
              </w:rPr>
              <w:fldChar w:fldCharType="separate"/>
            </w:r>
            <w:r w:rsidR="006128CE">
              <w:rPr>
                <w:webHidden/>
              </w:rPr>
              <w:t>94</w:t>
            </w:r>
            <w:r w:rsidR="006128CE">
              <w:rPr>
                <w:webHidden/>
              </w:rPr>
              <w:fldChar w:fldCharType="end"/>
            </w:r>
          </w:hyperlink>
        </w:p>
        <w:p w14:paraId="5CE98BE4" w14:textId="729D29B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2" w:history="1">
            <w:r w:rsidR="006128CE" w:rsidRPr="004727B5">
              <w:rPr>
                <w:rStyle w:val="Hipervnculo"/>
              </w:rPr>
              <w:t>11.8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_Toc140506342 \h </w:instrText>
            </w:r>
            <w:r w:rsidR="006128CE">
              <w:rPr>
                <w:webHidden/>
              </w:rPr>
            </w:r>
            <w:r w:rsidR="006128CE">
              <w:rPr>
                <w:webHidden/>
              </w:rPr>
              <w:fldChar w:fldCharType="separate"/>
            </w:r>
            <w:r w:rsidR="006128CE">
              <w:rPr>
                <w:webHidden/>
              </w:rPr>
              <w:t>94</w:t>
            </w:r>
            <w:r w:rsidR="006128CE">
              <w:rPr>
                <w:webHidden/>
              </w:rPr>
              <w:fldChar w:fldCharType="end"/>
            </w:r>
          </w:hyperlink>
        </w:p>
        <w:p w14:paraId="06A889F7" w14:textId="0CD2187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3" w:history="1">
            <w:r w:rsidR="006128CE" w:rsidRPr="004727B5">
              <w:rPr>
                <w:rStyle w:val="Hipervnculo"/>
              </w:rPr>
              <w:t>11.9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GIGAS ENERGY</w:t>
            </w:r>
            <w:r w:rsidR="006128CE">
              <w:rPr>
                <w:webHidden/>
              </w:rPr>
              <w:tab/>
            </w:r>
            <w:r w:rsidR="006128CE">
              <w:rPr>
                <w:webHidden/>
              </w:rPr>
              <w:fldChar w:fldCharType="begin"/>
            </w:r>
            <w:r w:rsidR="006128CE">
              <w:rPr>
                <w:webHidden/>
              </w:rPr>
              <w:instrText xml:space="preserve"> PAGEREF _Toc140506343 \h </w:instrText>
            </w:r>
            <w:r w:rsidR="006128CE">
              <w:rPr>
                <w:webHidden/>
              </w:rPr>
            </w:r>
            <w:r w:rsidR="006128CE">
              <w:rPr>
                <w:webHidden/>
              </w:rPr>
              <w:fldChar w:fldCharType="separate"/>
            </w:r>
            <w:r w:rsidR="006128CE">
              <w:rPr>
                <w:webHidden/>
              </w:rPr>
              <w:t>96</w:t>
            </w:r>
            <w:r w:rsidR="006128CE">
              <w:rPr>
                <w:webHidden/>
              </w:rPr>
              <w:fldChar w:fldCharType="end"/>
            </w:r>
          </w:hyperlink>
        </w:p>
        <w:p w14:paraId="0AC17DEF" w14:textId="02EC482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4" w:history="1">
            <w:r w:rsidR="006128CE" w:rsidRPr="004727B5">
              <w:rPr>
                <w:rStyle w:val="Hipervnculo"/>
              </w:rPr>
              <w:t>11.10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_Toc140506344 \h </w:instrText>
            </w:r>
            <w:r w:rsidR="006128CE">
              <w:rPr>
                <w:webHidden/>
              </w:rPr>
            </w:r>
            <w:r w:rsidR="006128CE">
              <w:rPr>
                <w:webHidden/>
              </w:rPr>
              <w:fldChar w:fldCharType="separate"/>
            </w:r>
            <w:r w:rsidR="006128CE">
              <w:rPr>
                <w:webHidden/>
              </w:rPr>
              <w:t>96</w:t>
            </w:r>
            <w:r w:rsidR="006128CE">
              <w:rPr>
                <w:webHidden/>
              </w:rPr>
              <w:fldChar w:fldCharType="end"/>
            </w:r>
          </w:hyperlink>
        </w:p>
        <w:p w14:paraId="3C08EBF4" w14:textId="79FF186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5" w:history="1">
            <w:r w:rsidR="006128CE" w:rsidRPr="004727B5">
              <w:rPr>
                <w:rStyle w:val="Hipervnculo"/>
              </w:rPr>
              <w:t>11.11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LEWIS ENERGY</w:t>
            </w:r>
            <w:r w:rsidR="006128CE">
              <w:rPr>
                <w:webHidden/>
              </w:rPr>
              <w:tab/>
            </w:r>
            <w:r w:rsidR="006128CE">
              <w:rPr>
                <w:webHidden/>
              </w:rPr>
              <w:fldChar w:fldCharType="begin"/>
            </w:r>
            <w:r w:rsidR="006128CE">
              <w:rPr>
                <w:webHidden/>
              </w:rPr>
              <w:instrText xml:space="preserve"> PAGEREF _Toc140506345 \h </w:instrText>
            </w:r>
            <w:r w:rsidR="006128CE">
              <w:rPr>
                <w:webHidden/>
              </w:rPr>
            </w:r>
            <w:r w:rsidR="006128CE">
              <w:rPr>
                <w:webHidden/>
              </w:rPr>
              <w:fldChar w:fldCharType="separate"/>
            </w:r>
            <w:r w:rsidR="006128CE">
              <w:rPr>
                <w:webHidden/>
              </w:rPr>
              <w:t>97</w:t>
            </w:r>
            <w:r w:rsidR="006128CE">
              <w:rPr>
                <w:webHidden/>
              </w:rPr>
              <w:fldChar w:fldCharType="end"/>
            </w:r>
          </w:hyperlink>
        </w:p>
        <w:p w14:paraId="3D50B6F9" w14:textId="231CAF3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6" w:history="1">
            <w:r w:rsidR="006128CE" w:rsidRPr="004727B5">
              <w:rPr>
                <w:rStyle w:val="Hipervnculo"/>
              </w:rPr>
              <w:t>11.12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_Toc140506346 \h </w:instrText>
            </w:r>
            <w:r w:rsidR="006128CE">
              <w:rPr>
                <w:webHidden/>
              </w:rPr>
            </w:r>
            <w:r w:rsidR="006128CE">
              <w:rPr>
                <w:webHidden/>
              </w:rPr>
              <w:fldChar w:fldCharType="separate"/>
            </w:r>
            <w:r w:rsidR="006128CE">
              <w:rPr>
                <w:webHidden/>
              </w:rPr>
              <w:t>97</w:t>
            </w:r>
            <w:r w:rsidR="006128CE">
              <w:rPr>
                <w:webHidden/>
              </w:rPr>
              <w:fldChar w:fldCharType="end"/>
            </w:r>
          </w:hyperlink>
        </w:p>
        <w:p w14:paraId="5C88454C" w14:textId="4538E2B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7" w:history="1">
            <w:r w:rsidR="006128CE" w:rsidRPr="004727B5">
              <w:rPr>
                <w:rStyle w:val="Hipervnculo"/>
              </w:rPr>
              <w:t>11.13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_Toc140506347 \h </w:instrText>
            </w:r>
            <w:r w:rsidR="006128CE">
              <w:rPr>
                <w:webHidden/>
              </w:rPr>
            </w:r>
            <w:r w:rsidR="006128CE">
              <w:rPr>
                <w:webHidden/>
              </w:rPr>
              <w:fldChar w:fldCharType="separate"/>
            </w:r>
            <w:r w:rsidR="006128CE">
              <w:rPr>
                <w:webHidden/>
              </w:rPr>
              <w:t>101</w:t>
            </w:r>
            <w:r w:rsidR="006128CE">
              <w:rPr>
                <w:webHidden/>
              </w:rPr>
              <w:fldChar w:fldCharType="end"/>
            </w:r>
          </w:hyperlink>
        </w:p>
        <w:p w14:paraId="72D76274" w14:textId="77F8D3C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8" w:history="1">
            <w:r w:rsidR="006128CE" w:rsidRPr="004727B5">
              <w:rPr>
                <w:rStyle w:val="Hipervnculo"/>
              </w:rPr>
              <w:t>11.14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_Toc140506348 \h </w:instrText>
            </w:r>
            <w:r w:rsidR="006128CE">
              <w:rPr>
                <w:webHidden/>
              </w:rPr>
            </w:r>
            <w:r w:rsidR="006128CE">
              <w:rPr>
                <w:webHidden/>
              </w:rPr>
              <w:fldChar w:fldCharType="separate"/>
            </w:r>
            <w:r w:rsidR="006128CE">
              <w:rPr>
                <w:webHidden/>
              </w:rPr>
              <w:t>101</w:t>
            </w:r>
            <w:r w:rsidR="006128CE">
              <w:rPr>
                <w:webHidden/>
              </w:rPr>
              <w:fldChar w:fldCharType="end"/>
            </w:r>
          </w:hyperlink>
        </w:p>
        <w:p w14:paraId="4BE8E0EB" w14:textId="1BEFB57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49" w:history="1">
            <w:r w:rsidR="006128CE" w:rsidRPr="004727B5">
              <w:rPr>
                <w:rStyle w:val="Hipervnculo"/>
              </w:rPr>
              <w:t>11.15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TERMOYOPAL</w:t>
            </w:r>
            <w:r w:rsidR="006128CE">
              <w:rPr>
                <w:webHidden/>
              </w:rPr>
              <w:tab/>
            </w:r>
            <w:r w:rsidR="006128CE">
              <w:rPr>
                <w:webHidden/>
              </w:rPr>
              <w:fldChar w:fldCharType="begin"/>
            </w:r>
            <w:r w:rsidR="006128CE">
              <w:rPr>
                <w:webHidden/>
              </w:rPr>
              <w:instrText xml:space="preserve"> PAGEREF _Toc140506349 \h </w:instrText>
            </w:r>
            <w:r w:rsidR="006128CE">
              <w:rPr>
                <w:webHidden/>
              </w:rPr>
            </w:r>
            <w:r w:rsidR="006128CE">
              <w:rPr>
                <w:webHidden/>
              </w:rPr>
              <w:fldChar w:fldCharType="separate"/>
            </w:r>
            <w:r w:rsidR="006128CE">
              <w:rPr>
                <w:webHidden/>
              </w:rPr>
              <w:t>101</w:t>
            </w:r>
            <w:r w:rsidR="006128CE">
              <w:rPr>
                <w:webHidden/>
              </w:rPr>
              <w:fldChar w:fldCharType="end"/>
            </w:r>
          </w:hyperlink>
        </w:p>
        <w:p w14:paraId="40097D0D" w14:textId="4C63554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50" w:history="1">
            <w:r w:rsidR="006128CE" w:rsidRPr="004727B5">
              <w:rPr>
                <w:rStyle w:val="Hipervnculo"/>
              </w:rPr>
              <w:t>11.16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_Toc140506350 \h </w:instrText>
            </w:r>
            <w:r w:rsidR="006128CE">
              <w:rPr>
                <w:webHidden/>
              </w:rPr>
            </w:r>
            <w:r w:rsidR="006128CE">
              <w:rPr>
                <w:webHidden/>
              </w:rPr>
              <w:fldChar w:fldCharType="separate"/>
            </w:r>
            <w:r w:rsidR="006128CE">
              <w:rPr>
                <w:webHidden/>
              </w:rPr>
              <w:t>102</w:t>
            </w:r>
            <w:r w:rsidR="006128CE">
              <w:rPr>
                <w:webHidden/>
              </w:rPr>
              <w:fldChar w:fldCharType="end"/>
            </w:r>
          </w:hyperlink>
        </w:p>
        <w:p w14:paraId="470F21DB" w14:textId="0AD99A3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51" w:history="1">
            <w:r w:rsidR="006128CE" w:rsidRPr="004727B5">
              <w:rPr>
                <w:rStyle w:val="Hipervnculo"/>
              </w:rPr>
              <w:t>11.17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_Toc140506351 \h </w:instrText>
            </w:r>
            <w:r w:rsidR="006128CE">
              <w:rPr>
                <w:webHidden/>
              </w:rPr>
            </w:r>
            <w:r w:rsidR="006128CE">
              <w:rPr>
                <w:webHidden/>
              </w:rPr>
              <w:fldChar w:fldCharType="separate"/>
            </w:r>
            <w:r w:rsidR="006128CE">
              <w:rPr>
                <w:webHidden/>
              </w:rPr>
              <w:t>102</w:t>
            </w:r>
            <w:r w:rsidR="006128CE">
              <w:rPr>
                <w:webHidden/>
              </w:rPr>
              <w:fldChar w:fldCharType="end"/>
            </w:r>
          </w:hyperlink>
        </w:p>
        <w:p w14:paraId="2A92A900" w14:textId="7E6B2315"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52" w:history="1">
            <w:r w:rsidR="006128CE" w:rsidRPr="004727B5">
              <w:rPr>
                <w:rStyle w:val="Hipervnculo"/>
                <w:caps/>
              </w:rPr>
              <w:t>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12. </w:t>
            </w:r>
            <w:r w:rsidR="006128CE" w:rsidRPr="004727B5">
              <w:rPr>
                <w:rStyle w:val="Hipervnculo"/>
                <w:caps/>
              </w:rPr>
              <w:t>Duración permisible para suspensiones del servicio</w:t>
            </w:r>
            <w:r w:rsidR="006128CE">
              <w:rPr>
                <w:webHidden/>
              </w:rPr>
              <w:tab/>
            </w:r>
            <w:r w:rsidR="006128CE">
              <w:rPr>
                <w:webHidden/>
              </w:rPr>
              <w:fldChar w:fldCharType="begin"/>
            </w:r>
            <w:r w:rsidR="006128CE">
              <w:rPr>
                <w:webHidden/>
              </w:rPr>
              <w:instrText xml:space="preserve"> PAGEREF _Toc140506352 \h </w:instrText>
            </w:r>
            <w:r w:rsidR="006128CE">
              <w:rPr>
                <w:webHidden/>
              </w:rPr>
            </w:r>
            <w:r w:rsidR="006128CE">
              <w:rPr>
                <w:webHidden/>
              </w:rPr>
              <w:fldChar w:fldCharType="separate"/>
            </w:r>
            <w:r w:rsidR="006128CE">
              <w:rPr>
                <w:webHidden/>
              </w:rPr>
              <w:t>102</w:t>
            </w:r>
            <w:r w:rsidR="006128CE">
              <w:rPr>
                <w:webHidden/>
              </w:rPr>
              <w:fldChar w:fldCharType="end"/>
            </w:r>
          </w:hyperlink>
        </w:p>
        <w:p w14:paraId="576A21B1" w14:textId="437400C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53" w:history="1">
            <w:r w:rsidR="006128CE" w:rsidRPr="004727B5">
              <w:rPr>
                <w:rStyle w:val="Hipervnculo"/>
              </w:rPr>
              <w:t>12.1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GEAM</w:t>
            </w:r>
            <w:r w:rsidR="006128CE">
              <w:rPr>
                <w:webHidden/>
              </w:rPr>
              <w:tab/>
            </w:r>
            <w:r w:rsidR="006128CE">
              <w:rPr>
                <w:webHidden/>
              </w:rPr>
              <w:fldChar w:fldCharType="begin"/>
            </w:r>
            <w:r w:rsidR="006128CE">
              <w:rPr>
                <w:webHidden/>
              </w:rPr>
              <w:instrText xml:space="preserve"> PAGEREF _Toc140506353 \h </w:instrText>
            </w:r>
            <w:r w:rsidR="006128CE">
              <w:rPr>
                <w:webHidden/>
              </w:rPr>
            </w:r>
            <w:r w:rsidR="006128CE">
              <w:rPr>
                <w:webHidden/>
              </w:rPr>
              <w:fldChar w:fldCharType="separate"/>
            </w:r>
            <w:r w:rsidR="006128CE">
              <w:rPr>
                <w:webHidden/>
              </w:rPr>
              <w:t>102</w:t>
            </w:r>
            <w:r w:rsidR="006128CE">
              <w:rPr>
                <w:webHidden/>
              </w:rPr>
              <w:fldChar w:fldCharType="end"/>
            </w:r>
          </w:hyperlink>
        </w:p>
        <w:p w14:paraId="1D9B6216" w14:textId="131C16F4"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54" w:history="1">
            <w:r w:rsidR="006128CE" w:rsidRPr="004727B5">
              <w:rPr>
                <w:rStyle w:val="Hipervnculo"/>
                <w:caps/>
              </w:rPr>
              <w:t>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13. </w:t>
            </w:r>
            <w:r w:rsidR="006128CE" w:rsidRPr="004727B5">
              <w:rPr>
                <w:rStyle w:val="Hipervnculo"/>
                <w:caps/>
              </w:rPr>
              <w:t>Incumplimiento</w:t>
            </w:r>
            <w:r w:rsidR="006128CE">
              <w:rPr>
                <w:webHidden/>
              </w:rPr>
              <w:tab/>
            </w:r>
            <w:r w:rsidR="006128CE">
              <w:rPr>
                <w:webHidden/>
              </w:rPr>
              <w:fldChar w:fldCharType="begin"/>
            </w:r>
            <w:r w:rsidR="006128CE">
              <w:rPr>
                <w:webHidden/>
              </w:rPr>
              <w:instrText xml:space="preserve"> PAGEREF _Toc140506354 \h </w:instrText>
            </w:r>
            <w:r w:rsidR="006128CE">
              <w:rPr>
                <w:webHidden/>
              </w:rPr>
            </w:r>
            <w:r w:rsidR="006128CE">
              <w:rPr>
                <w:webHidden/>
              </w:rPr>
              <w:fldChar w:fldCharType="separate"/>
            </w:r>
            <w:r w:rsidR="006128CE">
              <w:rPr>
                <w:webHidden/>
              </w:rPr>
              <w:t>103</w:t>
            </w:r>
            <w:r w:rsidR="006128CE">
              <w:rPr>
                <w:webHidden/>
              </w:rPr>
              <w:fldChar w:fldCharType="end"/>
            </w:r>
          </w:hyperlink>
        </w:p>
        <w:p w14:paraId="6D0EB736" w14:textId="2711465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55" w:history="1">
            <w:r w:rsidR="006128CE" w:rsidRPr="004727B5">
              <w:rPr>
                <w:rStyle w:val="Hipervnculo"/>
              </w:rPr>
              <w:t>13.1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_Toc140506355 \h </w:instrText>
            </w:r>
            <w:r w:rsidR="006128CE">
              <w:rPr>
                <w:webHidden/>
              </w:rPr>
            </w:r>
            <w:r w:rsidR="006128CE">
              <w:rPr>
                <w:webHidden/>
              </w:rPr>
              <w:fldChar w:fldCharType="separate"/>
            </w:r>
            <w:r w:rsidR="006128CE">
              <w:rPr>
                <w:webHidden/>
              </w:rPr>
              <w:t>103</w:t>
            </w:r>
            <w:r w:rsidR="006128CE">
              <w:rPr>
                <w:webHidden/>
              </w:rPr>
              <w:fldChar w:fldCharType="end"/>
            </w:r>
          </w:hyperlink>
        </w:p>
        <w:p w14:paraId="68978EEC" w14:textId="68B47FB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56" w:history="1">
            <w:r w:rsidR="006128CE" w:rsidRPr="004727B5">
              <w:rPr>
                <w:rStyle w:val="Hipervnculo"/>
              </w:rPr>
              <w:t>13.2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_Toc140506356 \h </w:instrText>
            </w:r>
            <w:r w:rsidR="006128CE">
              <w:rPr>
                <w:webHidden/>
              </w:rPr>
            </w:r>
            <w:r w:rsidR="006128CE">
              <w:rPr>
                <w:webHidden/>
              </w:rPr>
              <w:fldChar w:fldCharType="separate"/>
            </w:r>
            <w:r w:rsidR="006128CE">
              <w:rPr>
                <w:webHidden/>
              </w:rPr>
              <w:t>103</w:t>
            </w:r>
            <w:r w:rsidR="006128CE">
              <w:rPr>
                <w:webHidden/>
              </w:rPr>
              <w:fldChar w:fldCharType="end"/>
            </w:r>
          </w:hyperlink>
        </w:p>
        <w:p w14:paraId="1952DAC3" w14:textId="0282733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57" w:history="1">
            <w:r w:rsidR="006128CE" w:rsidRPr="004727B5">
              <w:rPr>
                <w:rStyle w:val="Hipervnculo"/>
              </w:rPr>
              <w:t>13.3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_Toc140506357 \h </w:instrText>
            </w:r>
            <w:r w:rsidR="006128CE">
              <w:rPr>
                <w:webHidden/>
              </w:rPr>
            </w:r>
            <w:r w:rsidR="006128CE">
              <w:rPr>
                <w:webHidden/>
              </w:rPr>
              <w:fldChar w:fldCharType="separate"/>
            </w:r>
            <w:r w:rsidR="006128CE">
              <w:rPr>
                <w:webHidden/>
              </w:rPr>
              <w:t>104</w:t>
            </w:r>
            <w:r w:rsidR="006128CE">
              <w:rPr>
                <w:webHidden/>
              </w:rPr>
              <w:fldChar w:fldCharType="end"/>
            </w:r>
          </w:hyperlink>
        </w:p>
        <w:p w14:paraId="1A9F3B51" w14:textId="7880618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58" w:history="1">
            <w:r w:rsidR="006128CE" w:rsidRPr="004727B5">
              <w:rPr>
                <w:rStyle w:val="Hipervnculo"/>
              </w:rPr>
              <w:t>13.4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_Toc140506358 \h </w:instrText>
            </w:r>
            <w:r w:rsidR="006128CE">
              <w:rPr>
                <w:webHidden/>
              </w:rPr>
            </w:r>
            <w:r w:rsidR="006128CE">
              <w:rPr>
                <w:webHidden/>
              </w:rPr>
              <w:fldChar w:fldCharType="separate"/>
            </w:r>
            <w:r w:rsidR="006128CE">
              <w:rPr>
                <w:webHidden/>
              </w:rPr>
              <w:t>104</w:t>
            </w:r>
            <w:r w:rsidR="006128CE">
              <w:rPr>
                <w:webHidden/>
              </w:rPr>
              <w:fldChar w:fldCharType="end"/>
            </w:r>
          </w:hyperlink>
        </w:p>
        <w:p w14:paraId="69B3490C" w14:textId="2B05E48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59" w:history="1">
            <w:r w:rsidR="006128CE" w:rsidRPr="004727B5">
              <w:rPr>
                <w:rStyle w:val="Hipervnculo"/>
              </w:rPr>
              <w:t>13.5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_Toc140506359 \h </w:instrText>
            </w:r>
            <w:r w:rsidR="006128CE">
              <w:rPr>
                <w:webHidden/>
              </w:rPr>
            </w:r>
            <w:r w:rsidR="006128CE">
              <w:rPr>
                <w:webHidden/>
              </w:rPr>
              <w:fldChar w:fldCharType="separate"/>
            </w:r>
            <w:r w:rsidR="006128CE">
              <w:rPr>
                <w:webHidden/>
              </w:rPr>
              <w:t>105</w:t>
            </w:r>
            <w:r w:rsidR="006128CE">
              <w:rPr>
                <w:webHidden/>
              </w:rPr>
              <w:fldChar w:fldCharType="end"/>
            </w:r>
          </w:hyperlink>
        </w:p>
        <w:p w14:paraId="1E063B29" w14:textId="1C8915D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0" w:history="1">
            <w:r w:rsidR="006128CE" w:rsidRPr="004727B5">
              <w:rPr>
                <w:rStyle w:val="Hipervnculo"/>
              </w:rPr>
              <w:t>13.6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_Toc140506360 \h </w:instrText>
            </w:r>
            <w:r w:rsidR="006128CE">
              <w:rPr>
                <w:webHidden/>
              </w:rPr>
            </w:r>
            <w:r w:rsidR="006128CE">
              <w:rPr>
                <w:webHidden/>
              </w:rPr>
              <w:fldChar w:fldCharType="separate"/>
            </w:r>
            <w:r w:rsidR="006128CE">
              <w:rPr>
                <w:webHidden/>
              </w:rPr>
              <w:t>105</w:t>
            </w:r>
            <w:r w:rsidR="006128CE">
              <w:rPr>
                <w:webHidden/>
              </w:rPr>
              <w:fldChar w:fldCharType="end"/>
            </w:r>
          </w:hyperlink>
        </w:p>
        <w:p w14:paraId="701859A6" w14:textId="7C9BF5E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1" w:history="1">
            <w:r w:rsidR="006128CE" w:rsidRPr="004727B5">
              <w:rPr>
                <w:rStyle w:val="Hipervnculo"/>
              </w:rPr>
              <w:t>13.7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_Toc140506361 \h </w:instrText>
            </w:r>
            <w:r w:rsidR="006128CE">
              <w:rPr>
                <w:webHidden/>
              </w:rPr>
            </w:r>
            <w:r w:rsidR="006128CE">
              <w:rPr>
                <w:webHidden/>
              </w:rPr>
              <w:fldChar w:fldCharType="separate"/>
            </w:r>
            <w:r w:rsidR="006128CE">
              <w:rPr>
                <w:webHidden/>
              </w:rPr>
              <w:t>105</w:t>
            </w:r>
            <w:r w:rsidR="006128CE">
              <w:rPr>
                <w:webHidden/>
              </w:rPr>
              <w:fldChar w:fldCharType="end"/>
            </w:r>
          </w:hyperlink>
        </w:p>
        <w:p w14:paraId="713439A0" w14:textId="580C00F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2" w:history="1">
            <w:r w:rsidR="006128CE" w:rsidRPr="004727B5">
              <w:rPr>
                <w:rStyle w:val="Hipervnculo"/>
              </w:rPr>
              <w:t>13.8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_Toc140506362 \h </w:instrText>
            </w:r>
            <w:r w:rsidR="006128CE">
              <w:rPr>
                <w:webHidden/>
              </w:rPr>
            </w:r>
            <w:r w:rsidR="006128CE">
              <w:rPr>
                <w:webHidden/>
              </w:rPr>
              <w:fldChar w:fldCharType="separate"/>
            </w:r>
            <w:r w:rsidR="006128CE">
              <w:rPr>
                <w:webHidden/>
              </w:rPr>
              <w:t>106</w:t>
            </w:r>
            <w:r w:rsidR="006128CE">
              <w:rPr>
                <w:webHidden/>
              </w:rPr>
              <w:fldChar w:fldCharType="end"/>
            </w:r>
          </w:hyperlink>
        </w:p>
        <w:p w14:paraId="7B93A6EF" w14:textId="0E7D333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3" w:history="1">
            <w:r w:rsidR="006128CE" w:rsidRPr="004727B5">
              <w:rPr>
                <w:rStyle w:val="Hipervnculo"/>
              </w:rPr>
              <w:t>13.9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_Toc140506363 \h </w:instrText>
            </w:r>
            <w:r w:rsidR="006128CE">
              <w:rPr>
                <w:webHidden/>
              </w:rPr>
            </w:r>
            <w:r w:rsidR="006128CE">
              <w:rPr>
                <w:webHidden/>
              </w:rPr>
              <w:fldChar w:fldCharType="separate"/>
            </w:r>
            <w:r w:rsidR="006128CE">
              <w:rPr>
                <w:webHidden/>
              </w:rPr>
              <w:t>106</w:t>
            </w:r>
            <w:r w:rsidR="006128CE">
              <w:rPr>
                <w:webHidden/>
              </w:rPr>
              <w:fldChar w:fldCharType="end"/>
            </w:r>
          </w:hyperlink>
        </w:p>
        <w:p w14:paraId="6A7809BF" w14:textId="3D74BCD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4" w:history="1">
            <w:r w:rsidR="006128CE" w:rsidRPr="004727B5">
              <w:rPr>
                <w:rStyle w:val="Hipervnculo"/>
              </w:rPr>
              <w:t>13.10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_Toc140506364 \h </w:instrText>
            </w:r>
            <w:r w:rsidR="006128CE">
              <w:rPr>
                <w:webHidden/>
              </w:rPr>
            </w:r>
            <w:r w:rsidR="006128CE">
              <w:rPr>
                <w:webHidden/>
              </w:rPr>
              <w:fldChar w:fldCharType="separate"/>
            </w:r>
            <w:r w:rsidR="006128CE">
              <w:rPr>
                <w:webHidden/>
              </w:rPr>
              <w:t>107</w:t>
            </w:r>
            <w:r w:rsidR="006128CE">
              <w:rPr>
                <w:webHidden/>
              </w:rPr>
              <w:fldChar w:fldCharType="end"/>
            </w:r>
          </w:hyperlink>
        </w:p>
        <w:p w14:paraId="1A1AC605" w14:textId="0F998DC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5" w:history="1">
            <w:r w:rsidR="006128CE" w:rsidRPr="004727B5">
              <w:rPr>
                <w:rStyle w:val="Hipervnculo"/>
              </w:rPr>
              <w:t>13.11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SURTIGAS</w:t>
            </w:r>
            <w:r w:rsidR="006128CE">
              <w:rPr>
                <w:webHidden/>
              </w:rPr>
              <w:tab/>
            </w:r>
            <w:r w:rsidR="006128CE">
              <w:rPr>
                <w:webHidden/>
              </w:rPr>
              <w:fldChar w:fldCharType="begin"/>
            </w:r>
            <w:r w:rsidR="006128CE">
              <w:rPr>
                <w:webHidden/>
              </w:rPr>
              <w:instrText xml:space="preserve"> PAGEREF _Toc140506365 \h </w:instrText>
            </w:r>
            <w:r w:rsidR="006128CE">
              <w:rPr>
                <w:webHidden/>
              </w:rPr>
            </w:r>
            <w:r w:rsidR="006128CE">
              <w:rPr>
                <w:webHidden/>
              </w:rPr>
              <w:fldChar w:fldCharType="separate"/>
            </w:r>
            <w:r w:rsidR="006128CE">
              <w:rPr>
                <w:webHidden/>
              </w:rPr>
              <w:t>107</w:t>
            </w:r>
            <w:r w:rsidR="006128CE">
              <w:rPr>
                <w:webHidden/>
              </w:rPr>
              <w:fldChar w:fldCharType="end"/>
            </w:r>
          </w:hyperlink>
        </w:p>
        <w:p w14:paraId="102B7B4C" w14:textId="59D16C5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6" w:history="1">
            <w:r w:rsidR="006128CE" w:rsidRPr="004727B5">
              <w:rPr>
                <w:rStyle w:val="Hipervnculo"/>
              </w:rPr>
              <w:t>13.12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_Toc140506366 \h </w:instrText>
            </w:r>
            <w:r w:rsidR="006128CE">
              <w:rPr>
                <w:webHidden/>
              </w:rPr>
            </w:r>
            <w:r w:rsidR="006128CE">
              <w:rPr>
                <w:webHidden/>
              </w:rPr>
              <w:fldChar w:fldCharType="separate"/>
            </w:r>
            <w:r w:rsidR="006128CE">
              <w:rPr>
                <w:webHidden/>
              </w:rPr>
              <w:t>107</w:t>
            </w:r>
            <w:r w:rsidR="006128CE">
              <w:rPr>
                <w:webHidden/>
              </w:rPr>
              <w:fldChar w:fldCharType="end"/>
            </w:r>
          </w:hyperlink>
        </w:p>
        <w:p w14:paraId="6F25BF0A" w14:textId="744A56E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7" w:history="1">
            <w:r w:rsidR="006128CE" w:rsidRPr="004727B5">
              <w:rPr>
                <w:rStyle w:val="Hipervnculo"/>
              </w:rPr>
              <w:t>13.13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_Toc140506367 \h </w:instrText>
            </w:r>
            <w:r w:rsidR="006128CE">
              <w:rPr>
                <w:webHidden/>
              </w:rPr>
            </w:r>
            <w:r w:rsidR="006128CE">
              <w:rPr>
                <w:webHidden/>
              </w:rPr>
              <w:fldChar w:fldCharType="separate"/>
            </w:r>
            <w:r w:rsidR="006128CE">
              <w:rPr>
                <w:webHidden/>
              </w:rPr>
              <w:t>107</w:t>
            </w:r>
            <w:r w:rsidR="006128CE">
              <w:rPr>
                <w:webHidden/>
              </w:rPr>
              <w:fldChar w:fldCharType="end"/>
            </w:r>
          </w:hyperlink>
        </w:p>
        <w:p w14:paraId="161ED7D3" w14:textId="4C01A422"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68" w:history="1">
            <w:r w:rsidR="006128CE" w:rsidRPr="004727B5">
              <w:rPr>
                <w:rStyle w:val="Hipervnculo"/>
                <w:caps/>
              </w:rPr>
              <w:t>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14. </w:t>
            </w:r>
            <w:r w:rsidR="006128CE" w:rsidRPr="004727B5">
              <w:rPr>
                <w:rStyle w:val="Hipervnculo"/>
                <w:caps/>
              </w:rPr>
              <w:t>Compensaciones</w:t>
            </w:r>
            <w:r w:rsidR="006128CE">
              <w:rPr>
                <w:webHidden/>
              </w:rPr>
              <w:tab/>
            </w:r>
            <w:r w:rsidR="006128CE">
              <w:rPr>
                <w:webHidden/>
              </w:rPr>
              <w:fldChar w:fldCharType="begin"/>
            </w:r>
            <w:r w:rsidR="006128CE">
              <w:rPr>
                <w:webHidden/>
              </w:rPr>
              <w:instrText xml:space="preserve"> PAGEREF _Toc140506368 \h </w:instrText>
            </w:r>
            <w:r w:rsidR="006128CE">
              <w:rPr>
                <w:webHidden/>
              </w:rPr>
            </w:r>
            <w:r w:rsidR="006128CE">
              <w:rPr>
                <w:webHidden/>
              </w:rPr>
              <w:fldChar w:fldCharType="separate"/>
            </w:r>
            <w:r w:rsidR="006128CE">
              <w:rPr>
                <w:webHidden/>
              </w:rPr>
              <w:t>108</w:t>
            </w:r>
            <w:r w:rsidR="006128CE">
              <w:rPr>
                <w:webHidden/>
              </w:rPr>
              <w:fldChar w:fldCharType="end"/>
            </w:r>
          </w:hyperlink>
        </w:p>
        <w:p w14:paraId="384A706D" w14:textId="197FD2D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69" w:history="1">
            <w:r w:rsidR="006128CE" w:rsidRPr="004727B5">
              <w:rPr>
                <w:rStyle w:val="Hipervnculo"/>
              </w:rPr>
              <w:t>14.1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_Toc140506369 \h </w:instrText>
            </w:r>
            <w:r w:rsidR="006128CE">
              <w:rPr>
                <w:webHidden/>
              </w:rPr>
            </w:r>
            <w:r w:rsidR="006128CE">
              <w:rPr>
                <w:webHidden/>
              </w:rPr>
              <w:fldChar w:fldCharType="separate"/>
            </w:r>
            <w:r w:rsidR="006128CE">
              <w:rPr>
                <w:webHidden/>
              </w:rPr>
              <w:t>108</w:t>
            </w:r>
            <w:r w:rsidR="006128CE">
              <w:rPr>
                <w:webHidden/>
              </w:rPr>
              <w:fldChar w:fldCharType="end"/>
            </w:r>
          </w:hyperlink>
        </w:p>
        <w:p w14:paraId="1AC7D6F9" w14:textId="4745491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0" w:history="1">
            <w:r w:rsidR="006128CE" w:rsidRPr="004727B5">
              <w:rPr>
                <w:rStyle w:val="Hipervnculo"/>
              </w:rPr>
              <w:t>14.2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_Toc140506370 \h </w:instrText>
            </w:r>
            <w:r w:rsidR="006128CE">
              <w:rPr>
                <w:webHidden/>
              </w:rPr>
            </w:r>
            <w:r w:rsidR="006128CE">
              <w:rPr>
                <w:webHidden/>
              </w:rPr>
              <w:fldChar w:fldCharType="separate"/>
            </w:r>
            <w:r w:rsidR="006128CE">
              <w:rPr>
                <w:webHidden/>
              </w:rPr>
              <w:t>108</w:t>
            </w:r>
            <w:r w:rsidR="006128CE">
              <w:rPr>
                <w:webHidden/>
              </w:rPr>
              <w:fldChar w:fldCharType="end"/>
            </w:r>
          </w:hyperlink>
        </w:p>
        <w:p w14:paraId="7F8ECBF8" w14:textId="606AF88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1" w:history="1">
            <w:r w:rsidR="006128CE" w:rsidRPr="004727B5">
              <w:rPr>
                <w:rStyle w:val="Hipervnculo"/>
              </w:rPr>
              <w:t>14.3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_Toc140506371 \h </w:instrText>
            </w:r>
            <w:r w:rsidR="006128CE">
              <w:rPr>
                <w:webHidden/>
              </w:rPr>
            </w:r>
            <w:r w:rsidR="006128CE">
              <w:rPr>
                <w:webHidden/>
              </w:rPr>
              <w:fldChar w:fldCharType="separate"/>
            </w:r>
            <w:r w:rsidR="006128CE">
              <w:rPr>
                <w:webHidden/>
              </w:rPr>
              <w:t>110</w:t>
            </w:r>
            <w:r w:rsidR="006128CE">
              <w:rPr>
                <w:webHidden/>
              </w:rPr>
              <w:fldChar w:fldCharType="end"/>
            </w:r>
          </w:hyperlink>
        </w:p>
        <w:p w14:paraId="2433EE2B" w14:textId="6C63667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2" w:history="1">
            <w:r w:rsidR="006128CE" w:rsidRPr="004727B5">
              <w:rPr>
                <w:rStyle w:val="Hipervnculo"/>
              </w:rPr>
              <w:t>14.4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_Toc140506372 \h </w:instrText>
            </w:r>
            <w:r w:rsidR="006128CE">
              <w:rPr>
                <w:webHidden/>
              </w:rPr>
            </w:r>
            <w:r w:rsidR="006128CE">
              <w:rPr>
                <w:webHidden/>
              </w:rPr>
              <w:fldChar w:fldCharType="separate"/>
            </w:r>
            <w:r w:rsidR="006128CE">
              <w:rPr>
                <w:webHidden/>
              </w:rPr>
              <w:t>110</w:t>
            </w:r>
            <w:r w:rsidR="006128CE">
              <w:rPr>
                <w:webHidden/>
              </w:rPr>
              <w:fldChar w:fldCharType="end"/>
            </w:r>
          </w:hyperlink>
        </w:p>
        <w:p w14:paraId="7744B1DF" w14:textId="12C32C33"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73" w:history="1">
            <w:r w:rsidR="006128CE" w:rsidRPr="004727B5">
              <w:rPr>
                <w:rStyle w:val="Hipervnculo"/>
                <w:caps/>
              </w:rPr>
              <w:t>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15. </w:t>
            </w:r>
            <w:r w:rsidR="006128CE" w:rsidRPr="004727B5">
              <w:rPr>
                <w:rStyle w:val="Hipervnculo"/>
                <w:caps/>
              </w:rPr>
              <w:t>Actualización de precios</w:t>
            </w:r>
            <w:r w:rsidR="006128CE">
              <w:rPr>
                <w:webHidden/>
              </w:rPr>
              <w:tab/>
            </w:r>
            <w:r w:rsidR="006128CE">
              <w:rPr>
                <w:webHidden/>
              </w:rPr>
              <w:fldChar w:fldCharType="begin"/>
            </w:r>
            <w:r w:rsidR="006128CE">
              <w:rPr>
                <w:webHidden/>
              </w:rPr>
              <w:instrText xml:space="preserve"> PAGEREF _Toc140506373 \h </w:instrText>
            </w:r>
            <w:r w:rsidR="006128CE">
              <w:rPr>
                <w:webHidden/>
              </w:rPr>
            </w:r>
            <w:r w:rsidR="006128CE">
              <w:rPr>
                <w:webHidden/>
              </w:rPr>
              <w:fldChar w:fldCharType="separate"/>
            </w:r>
            <w:r w:rsidR="006128CE">
              <w:rPr>
                <w:webHidden/>
              </w:rPr>
              <w:t>111</w:t>
            </w:r>
            <w:r w:rsidR="006128CE">
              <w:rPr>
                <w:webHidden/>
              </w:rPr>
              <w:fldChar w:fldCharType="end"/>
            </w:r>
          </w:hyperlink>
        </w:p>
        <w:p w14:paraId="2168B871" w14:textId="2090AC0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4" w:history="1">
            <w:r w:rsidR="006128CE" w:rsidRPr="004727B5">
              <w:rPr>
                <w:rStyle w:val="Hipervnculo"/>
              </w:rPr>
              <w:t>15.1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_Toc140506374 \h </w:instrText>
            </w:r>
            <w:r w:rsidR="006128CE">
              <w:rPr>
                <w:webHidden/>
              </w:rPr>
            </w:r>
            <w:r w:rsidR="006128CE">
              <w:rPr>
                <w:webHidden/>
              </w:rPr>
              <w:fldChar w:fldCharType="separate"/>
            </w:r>
            <w:r w:rsidR="006128CE">
              <w:rPr>
                <w:webHidden/>
              </w:rPr>
              <w:t>111</w:t>
            </w:r>
            <w:r w:rsidR="006128CE">
              <w:rPr>
                <w:webHidden/>
              </w:rPr>
              <w:fldChar w:fldCharType="end"/>
            </w:r>
          </w:hyperlink>
        </w:p>
        <w:p w14:paraId="4978876A" w14:textId="1BD67B6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5" w:history="1">
            <w:r w:rsidR="006128CE" w:rsidRPr="004727B5">
              <w:rPr>
                <w:rStyle w:val="Hipervnculo"/>
              </w:rPr>
              <w:t>15.2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ALCANOS</w:t>
            </w:r>
            <w:r w:rsidR="006128CE">
              <w:rPr>
                <w:webHidden/>
              </w:rPr>
              <w:tab/>
            </w:r>
            <w:r w:rsidR="006128CE">
              <w:rPr>
                <w:webHidden/>
              </w:rPr>
              <w:fldChar w:fldCharType="begin"/>
            </w:r>
            <w:r w:rsidR="006128CE">
              <w:rPr>
                <w:webHidden/>
              </w:rPr>
              <w:instrText xml:space="preserve"> PAGEREF _Toc140506375 \h </w:instrText>
            </w:r>
            <w:r w:rsidR="006128CE">
              <w:rPr>
                <w:webHidden/>
              </w:rPr>
            </w:r>
            <w:r w:rsidR="006128CE">
              <w:rPr>
                <w:webHidden/>
              </w:rPr>
              <w:fldChar w:fldCharType="separate"/>
            </w:r>
            <w:r w:rsidR="006128CE">
              <w:rPr>
                <w:webHidden/>
              </w:rPr>
              <w:t>111</w:t>
            </w:r>
            <w:r w:rsidR="006128CE">
              <w:rPr>
                <w:webHidden/>
              </w:rPr>
              <w:fldChar w:fldCharType="end"/>
            </w:r>
          </w:hyperlink>
        </w:p>
        <w:p w14:paraId="2FEFC879" w14:textId="077CB9F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6" w:history="1">
            <w:r w:rsidR="006128CE" w:rsidRPr="004727B5">
              <w:rPr>
                <w:rStyle w:val="Hipervnculo"/>
              </w:rPr>
              <w:t>15.3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_Toc140506376 \h </w:instrText>
            </w:r>
            <w:r w:rsidR="006128CE">
              <w:rPr>
                <w:webHidden/>
              </w:rPr>
            </w:r>
            <w:r w:rsidR="006128CE">
              <w:rPr>
                <w:webHidden/>
              </w:rPr>
              <w:fldChar w:fldCharType="separate"/>
            </w:r>
            <w:r w:rsidR="006128CE">
              <w:rPr>
                <w:webHidden/>
              </w:rPr>
              <w:t>112</w:t>
            </w:r>
            <w:r w:rsidR="006128CE">
              <w:rPr>
                <w:webHidden/>
              </w:rPr>
              <w:fldChar w:fldCharType="end"/>
            </w:r>
          </w:hyperlink>
        </w:p>
        <w:p w14:paraId="1CEA9111" w14:textId="7B1E0B0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7" w:history="1">
            <w:r w:rsidR="006128CE" w:rsidRPr="004727B5">
              <w:rPr>
                <w:rStyle w:val="Hipervnculo"/>
              </w:rPr>
              <w:t>15.4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_Toc140506377 \h </w:instrText>
            </w:r>
            <w:r w:rsidR="006128CE">
              <w:rPr>
                <w:webHidden/>
              </w:rPr>
            </w:r>
            <w:r w:rsidR="006128CE">
              <w:rPr>
                <w:webHidden/>
              </w:rPr>
              <w:fldChar w:fldCharType="separate"/>
            </w:r>
            <w:r w:rsidR="006128CE">
              <w:rPr>
                <w:webHidden/>
              </w:rPr>
              <w:t>112</w:t>
            </w:r>
            <w:r w:rsidR="006128CE">
              <w:rPr>
                <w:webHidden/>
              </w:rPr>
              <w:fldChar w:fldCharType="end"/>
            </w:r>
          </w:hyperlink>
        </w:p>
        <w:p w14:paraId="6DCBFB1C" w14:textId="01F6992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8" w:history="1">
            <w:r w:rsidR="006128CE" w:rsidRPr="004727B5">
              <w:rPr>
                <w:rStyle w:val="Hipervnculo"/>
              </w:rPr>
              <w:t>15.5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_Toc140506378 \h </w:instrText>
            </w:r>
            <w:r w:rsidR="006128CE">
              <w:rPr>
                <w:webHidden/>
              </w:rPr>
            </w:r>
            <w:r w:rsidR="006128CE">
              <w:rPr>
                <w:webHidden/>
              </w:rPr>
              <w:fldChar w:fldCharType="separate"/>
            </w:r>
            <w:r w:rsidR="006128CE">
              <w:rPr>
                <w:webHidden/>
              </w:rPr>
              <w:t>112</w:t>
            </w:r>
            <w:r w:rsidR="006128CE">
              <w:rPr>
                <w:webHidden/>
              </w:rPr>
              <w:fldChar w:fldCharType="end"/>
            </w:r>
          </w:hyperlink>
        </w:p>
        <w:p w14:paraId="456D5B61" w14:textId="1C03AC0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79" w:history="1">
            <w:r w:rsidR="006128CE" w:rsidRPr="004727B5">
              <w:rPr>
                <w:rStyle w:val="Hipervnculo"/>
              </w:rPr>
              <w:t>15.6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_Toc140506379 \h </w:instrText>
            </w:r>
            <w:r w:rsidR="006128CE">
              <w:rPr>
                <w:webHidden/>
              </w:rPr>
            </w:r>
            <w:r w:rsidR="006128CE">
              <w:rPr>
                <w:webHidden/>
              </w:rPr>
              <w:fldChar w:fldCharType="separate"/>
            </w:r>
            <w:r w:rsidR="006128CE">
              <w:rPr>
                <w:webHidden/>
              </w:rPr>
              <w:t>113</w:t>
            </w:r>
            <w:r w:rsidR="006128CE">
              <w:rPr>
                <w:webHidden/>
              </w:rPr>
              <w:fldChar w:fldCharType="end"/>
            </w:r>
          </w:hyperlink>
        </w:p>
        <w:p w14:paraId="0F577BF9" w14:textId="61EEB00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80" w:history="1">
            <w:r w:rsidR="006128CE" w:rsidRPr="004727B5">
              <w:rPr>
                <w:rStyle w:val="Hipervnculo"/>
              </w:rPr>
              <w:t>15.7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SHELL</w:t>
            </w:r>
            <w:r w:rsidR="006128CE">
              <w:rPr>
                <w:webHidden/>
              </w:rPr>
              <w:tab/>
            </w:r>
            <w:r w:rsidR="006128CE">
              <w:rPr>
                <w:webHidden/>
              </w:rPr>
              <w:fldChar w:fldCharType="begin"/>
            </w:r>
            <w:r w:rsidR="006128CE">
              <w:rPr>
                <w:webHidden/>
              </w:rPr>
              <w:instrText xml:space="preserve"> PAGEREF _Toc140506380 \h </w:instrText>
            </w:r>
            <w:r w:rsidR="006128CE">
              <w:rPr>
                <w:webHidden/>
              </w:rPr>
            </w:r>
            <w:r w:rsidR="006128CE">
              <w:rPr>
                <w:webHidden/>
              </w:rPr>
              <w:fldChar w:fldCharType="separate"/>
            </w:r>
            <w:r w:rsidR="006128CE">
              <w:rPr>
                <w:webHidden/>
              </w:rPr>
              <w:t>113</w:t>
            </w:r>
            <w:r w:rsidR="006128CE">
              <w:rPr>
                <w:webHidden/>
              </w:rPr>
              <w:fldChar w:fldCharType="end"/>
            </w:r>
          </w:hyperlink>
        </w:p>
        <w:p w14:paraId="2A3BA9DE" w14:textId="4619875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81" w:history="1">
            <w:r w:rsidR="006128CE" w:rsidRPr="004727B5">
              <w:rPr>
                <w:rStyle w:val="Hipervnculo"/>
              </w:rPr>
              <w:t>15.8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_Toc140506381 \h </w:instrText>
            </w:r>
            <w:r w:rsidR="006128CE">
              <w:rPr>
                <w:webHidden/>
              </w:rPr>
            </w:r>
            <w:r w:rsidR="006128CE">
              <w:rPr>
                <w:webHidden/>
              </w:rPr>
              <w:fldChar w:fldCharType="separate"/>
            </w:r>
            <w:r w:rsidR="006128CE">
              <w:rPr>
                <w:webHidden/>
              </w:rPr>
              <w:t>114</w:t>
            </w:r>
            <w:r w:rsidR="006128CE">
              <w:rPr>
                <w:webHidden/>
              </w:rPr>
              <w:fldChar w:fldCharType="end"/>
            </w:r>
          </w:hyperlink>
        </w:p>
        <w:p w14:paraId="4DF07C25" w14:textId="225DADB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82" w:history="1">
            <w:r w:rsidR="006128CE" w:rsidRPr="004727B5">
              <w:rPr>
                <w:rStyle w:val="Hipervnculo"/>
              </w:rPr>
              <w:t>15.9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_Toc140506382 \h </w:instrText>
            </w:r>
            <w:r w:rsidR="006128CE">
              <w:rPr>
                <w:webHidden/>
              </w:rPr>
            </w:r>
            <w:r w:rsidR="006128CE">
              <w:rPr>
                <w:webHidden/>
              </w:rPr>
              <w:fldChar w:fldCharType="separate"/>
            </w:r>
            <w:r w:rsidR="006128CE">
              <w:rPr>
                <w:webHidden/>
              </w:rPr>
              <w:t>114</w:t>
            </w:r>
            <w:r w:rsidR="006128CE">
              <w:rPr>
                <w:webHidden/>
              </w:rPr>
              <w:fldChar w:fldCharType="end"/>
            </w:r>
          </w:hyperlink>
        </w:p>
        <w:p w14:paraId="1DD770C2" w14:textId="668FC58D"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83" w:history="1">
            <w:r w:rsidR="006128CE" w:rsidRPr="004727B5">
              <w:rPr>
                <w:rStyle w:val="Hipervnculo"/>
                <w:caps/>
              </w:rPr>
              <w:t>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17. </w:t>
            </w:r>
            <w:r w:rsidR="006128CE" w:rsidRPr="004727B5">
              <w:rPr>
                <w:rStyle w:val="Hipervnculo"/>
                <w:caps/>
              </w:rPr>
              <w:t>Compradores de gas natural en el Mercado Primario</w:t>
            </w:r>
            <w:r w:rsidR="006128CE">
              <w:rPr>
                <w:webHidden/>
              </w:rPr>
              <w:tab/>
            </w:r>
            <w:r w:rsidR="006128CE">
              <w:rPr>
                <w:webHidden/>
              </w:rPr>
              <w:fldChar w:fldCharType="begin"/>
            </w:r>
            <w:r w:rsidR="006128CE">
              <w:rPr>
                <w:webHidden/>
              </w:rPr>
              <w:instrText xml:space="preserve"> PAGEREF _Toc140506383 \h </w:instrText>
            </w:r>
            <w:r w:rsidR="006128CE">
              <w:rPr>
                <w:webHidden/>
              </w:rPr>
            </w:r>
            <w:r w:rsidR="006128CE">
              <w:rPr>
                <w:webHidden/>
              </w:rPr>
              <w:fldChar w:fldCharType="separate"/>
            </w:r>
            <w:r w:rsidR="006128CE">
              <w:rPr>
                <w:webHidden/>
              </w:rPr>
              <w:t>114</w:t>
            </w:r>
            <w:r w:rsidR="006128CE">
              <w:rPr>
                <w:webHidden/>
              </w:rPr>
              <w:fldChar w:fldCharType="end"/>
            </w:r>
          </w:hyperlink>
        </w:p>
        <w:p w14:paraId="6D0D89BB" w14:textId="220BB3A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84" w:history="1">
            <w:r w:rsidR="006128CE" w:rsidRPr="004727B5">
              <w:rPr>
                <w:rStyle w:val="Hipervnculo"/>
              </w:rPr>
              <w:t>16.1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_Toc140506384 \h </w:instrText>
            </w:r>
            <w:r w:rsidR="006128CE">
              <w:rPr>
                <w:webHidden/>
              </w:rPr>
            </w:r>
            <w:r w:rsidR="006128CE">
              <w:rPr>
                <w:webHidden/>
              </w:rPr>
              <w:fldChar w:fldCharType="separate"/>
            </w:r>
            <w:r w:rsidR="006128CE">
              <w:rPr>
                <w:webHidden/>
              </w:rPr>
              <w:t>114</w:t>
            </w:r>
            <w:r w:rsidR="006128CE">
              <w:rPr>
                <w:webHidden/>
              </w:rPr>
              <w:fldChar w:fldCharType="end"/>
            </w:r>
          </w:hyperlink>
        </w:p>
        <w:p w14:paraId="3B69C12C" w14:textId="6687EE2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85" w:history="1">
            <w:r w:rsidR="006128CE" w:rsidRPr="004727B5">
              <w:rPr>
                <w:rStyle w:val="Hipervnculo"/>
              </w:rPr>
              <w:t>16.2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_Toc140506385 \h </w:instrText>
            </w:r>
            <w:r w:rsidR="006128CE">
              <w:rPr>
                <w:webHidden/>
              </w:rPr>
            </w:r>
            <w:r w:rsidR="006128CE">
              <w:rPr>
                <w:webHidden/>
              </w:rPr>
              <w:fldChar w:fldCharType="separate"/>
            </w:r>
            <w:r w:rsidR="006128CE">
              <w:rPr>
                <w:webHidden/>
              </w:rPr>
              <w:t>115</w:t>
            </w:r>
            <w:r w:rsidR="006128CE">
              <w:rPr>
                <w:webHidden/>
              </w:rPr>
              <w:fldChar w:fldCharType="end"/>
            </w:r>
          </w:hyperlink>
        </w:p>
        <w:p w14:paraId="632480BC" w14:textId="4CBE1622"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386" w:history="1">
            <w:r w:rsidR="006128CE" w:rsidRPr="004727B5">
              <w:rPr>
                <w:rStyle w:val="Hipervnculo"/>
                <w:caps/>
              </w:rPr>
              <w:t>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19. </w:t>
            </w:r>
            <w:r w:rsidR="006128CE" w:rsidRPr="004727B5">
              <w:rPr>
                <w:rStyle w:val="Hipervnculo"/>
                <w:caps/>
              </w:rPr>
              <w:t>Negociación directa en cualquier momento del año</w:t>
            </w:r>
            <w:r w:rsidR="006128CE">
              <w:rPr>
                <w:webHidden/>
              </w:rPr>
              <w:tab/>
            </w:r>
            <w:r w:rsidR="006128CE">
              <w:rPr>
                <w:webHidden/>
              </w:rPr>
              <w:fldChar w:fldCharType="begin"/>
            </w:r>
            <w:r w:rsidR="006128CE">
              <w:rPr>
                <w:webHidden/>
              </w:rPr>
              <w:instrText xml:space="preserve"> PAGEREF _Toc140506386 \h </w:instrText>
            </w:r>
            <w:r w:rsidR="006128CE">
              <w:rPr>
                <w:webHidden/>
              </w:rPr>
            </w:r>
            <w:r w:rsidR="006128CE">
              <w:rPr>
                <w:webHidden/>
              </w:rPr>
              <w:fldChar w:fldCharType="separate"/>
            </w:r>
            <w:r w:rsidR="006128CE">
              <w:rPr>
                <w:webHidden/>
              </w:rPr>
              <w:t>116</w:t>
            </w:r>
            <w:r w:rsidR="006128CE">
              <w:rPr>
                <w:webHidden/>
              </w:rPr>
              <w:fldChar w:fldCharType="end"/>
            </w:r>
          </w:hyperlink>
        </w:p>
        <w:p w14:paraId="0A6B9EA4" w14:textId="6E088F3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87" w:history="1">
            <w:r w:rsidR="006128CE" w:rsidRPr="004727B5">
              <w:rPr>
                <w:rStyle w:val="Hipervnculo"/>
              </w:rPr>
              <w:t>17.1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_Toc140506387 \h </w:instrText>
            </w:r>
            <w:r w:rsidR="006128CE">
              <w:rPr>
                <w:webHidden/>
              </w:rPr>
            </w:r>
            <w:r w:rsidR="006128CE">
              <w:rPr>
                <w:webHidden/>
              </w:rPr>
              <w:fldChar w:fldCharType="separate"/>
            </w:r>
            <w:r w:rsidR="006128CE">
              <w:rPr>
                <w:webHidden/>
              </w:rPr>
              <w:t>116</w:t>
            </w:r>
            <w:r w:rsidR="006128CE">
              <w:rPr>
                <w:webHidden/>
              </w:rPr>
              <w:fldChar w:fldCharType="end"/>
            </w:r>
          </w:hyperlink>
        </w:p>
        <w:p w14:paraId="5DB1B418" w14:textId="2D36428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88" w:history="1">
            <w:r w:rsidR="006128CE" w:rsidRPr="004727B5">
              <w:rPr>
                <w:rStyle w:val="Hipervnculo"/>
              </w:rPr>
              <w:t>17.2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ANDESCO</w:t>
            </w:r>
            <w:r w:rsidR="006128CE">
              <w:rPr>
                <w:webHidden/>
              </w:rPr>
              <w:tab/>
            </w:r>
            <w:r w:rsidR="006128CE">
              <w:rPr>
                <w:webHidden/>
              </w:rPr>
              <w:fldChar w:fldCharType="begin"/>
            </w:r>
            <w:r w:rsidR="006128CE">
              <w:rPr>
                <w:webHidden/>
              </w:rPr>
              <w:instrText xml:space="preserve"> PAGEREF _Toc140506388 \h </w:instrText>
            </w:r>
            <w:r w:rsidR="006128CE">
              <w:rPr>
                <w:webHidden/>
              </w:rPr>
            </w:r>
            <w:r w:rsidR="006128CE">
              <w:rPr>
                <w:webHidden/>
              </w:rPr>
              <w:fldChar w:fldCharType="separate"/>
            </w:r>
            <w:r w:rsidR="006128CE">
              <w:rPr>
                <w:webHidden/>
              </w:rPr>
              <w:t>119</w:t>
            </w:r>
            <w:r w:rsidR="006128CE">
              <w:rPr>
                <w:webHidden/>
              </w:rPr>
              <w:fldChar w:fldCharType="end"/>
            </w:r>
          </w:hyperlink>
        </w:p>
        <w:p w14:paraId="0556F79B" w14:textId="1669833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89" w:history="1">
            <w:r w:rsidR="006128CE" w:rsidRPr="004727B5">
              <w:rPr>
                <w:rStyle w:val="Hipervnculo"/>
              </w:rPr>
              <w:t>17.3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ANDI</w:t>
            </w:r>
            <w:r w:rsidR="006128CE">
              <w:rPr>
                <w:webHidden/>
              </w:rPr>
              <w:tab/>
            </w:r>
            <w:r w:rsidR="006128CE">
              <w:rPr>
                <w:webHidden/>
              </w:rPr>
              <w:fldChar w:fldCharType="begin"/>
            </w:r>
            <w:r w:rsidR="006128CE">
              <w:rPr>
                <w:webHidden/>
              </w:rPr>
              <w:instrText xml:space="preserve"> PAGEREF _Toc140506389 \h </w:instrText>
            </w:r>
            <w:r w:rsidR="006128CE">
              <w:rPr>
                <w:webHidden/>
              </w:rPr>
            </w:r>
            <w:r w:rsidR="006128CE">
              <w:rPr>
                <w:webHidden/>
              </w:rPr>
              <w:fldChar w:fldCharType="separate"/>
            </w:r>
            <w:r w:rsidR="006128CE">
              <w:rPr>
                <w:webHidden/>
              </w:rPr>
              <w:t>120</w:t>
            </w:r>
            <w:r w:rsidR="006128CE">
              <w:rPr>
                <w:webHidden/>
              </w:rPr>
              <w:fldChar w:fldCharType="end"/>
            </w:r>
          </w:hyperlink>
        </w:p>
        <w:p w14:paraId="7465A496" w14:textId="486DB50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0" w:history="1">
            <w:r w:rsidR="006128CE" w:rsidRPr="004727B5">
              <w:rPr>
                <w:rStyle w:val="Hipervnculo"/>
              </w:rPr>
              <w:t>17.4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_Toc140506390 \h </w:instrText>
            </w:r>
            <w:r w:rsidR="006128CE">
              <w:rPr>
                <w:webHidden/>
              </w:rPr>
            </w:r>
            <w:r w:rsidR="006128CE">
              <w:rPr>
                <w:webHidden/>
              </w:rPr>
              <w:fldChar w:fldCharType="separate"/>
            </w:r>
            <w:r w:rsidR="006128CE">
              <w:rPr>
                <w:webHidden/>
              </w:rPr>
              <w:t>120</w:t>
            </w:r>
            <w:r w:rsidR="006128CE">
              <w:rPr>
                <w:webHidden/>
              </w:rPr>
              <w:fldChar w:fldCharType="end"/>
            </w:r>
          </w:hyperlink>
        </w:p>
        <w:p w14:paraId="7A67FFEE" w14:textId="6803F5A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1" w:history="1">
            <w:r w:rsidR="006128CE" w:rsidRPr="004727B5">
              <w:rPr>
                <w:rStyle w:val="Hipervnculo"/>
              </w:rPr>
              <w:t>17.5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_Toc140506391 \h </w:instrText>
            </w:r>
            <w:r w:rsidR="006128CE">
              <w:rPr>
                <w:webHidden/>
              </w:rPr>
            </w:r>
            <w:r w:rsidR="006128CE">
              <w:rPr>
                <w:webHidden/>
              </w:rPr>
              <w:fldChar w:fldCharType="separate"/>
            </w:r>
            <w:r w:rsidR="006128CE">
              <w:rPr>
                <w:webHidden/>
              </w:rPr>
              <w:t>121</w:t>
            </w:r>
            <w:r w:rsidR="006128CE">
              <w:rPr>
                <w:webHidden/>
              </w:rPr>
              <w:fldChar w:fldCharType="end"/>
            </w:r>
          </w:hyperlink>
        </w:p>
        <w:p w14:paraId="02D24DF8" w14:textId="6BE428C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2" w:history="1">
            <w:r w:rsidR="006128CE" w:rsidRPr="004727B5">
              <w:rPr>
                <w:rStyle w:val="Hipervnculo"/>
              </w:rPr>
              <w:t>17.6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CANACOL</w:t>
            </w:r>
            <w:r w:rsidR="006128CE">
              <w:rPr>
                <w:webHidden/>
              </w:rPr>
              <w:tab/>
            </w:r>
            <w:r w:rsidR="006128CE">
              <w:rPr>
                <w:webHidden/>
              </w:rPr>
              <w:fldChar w:fldCharType="begin"/>
            </w:r>
            <w:r w:rsidR="006128CE">
              <w:rPr>
                <w:webHidden/>
              </w:rPr>
              <w:instrText xml:space="preserve"> PAGEREF _Toc140506392 \h </w:instrText>
            </w:r>
            <w:r w:rsidR="006128CE">
              <w:rPr>
                <w:webHidden/>
              </w:rPr>
            </w:r>
            <w:r w:rsidR="006128CE">
              <w:rPr>
                <w:webHidden/>
              </w:rPr>
              <w:fldChar w:fldCharType="separate"/>
            </w:r>
            <w:r w:rsidR="006128CE">
              <w:rPr>
                <w:webHidden/>
              </w:rPr>
              <w:t>123</w:t>
            </w:r>
            <w:r w:rsidR="006128CE">
              <w:rPr>
                <w:webHidden/>
              </w:rPr>
              <w:fldChar w:fldCharType="end"/>
            </w:r>
          </w:hyperlink>
        </w:p>
        <w:p w14:paraId="5905C3FC" w14:textId="3C5778F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3" w:history="1">
            <w:r w:rsidR="006128CE" w:rsidRPr="004727B5">
              <w:rPr>
                <w:rStyle w:val="Hipervnculo"/>
              </w:rPr>
              <w:t>17.7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_Toc140506393 \h </w:instrText>
            </w:r>
            <w:r w:rsidR="006128CE">
              <w:rPr>
                <w:webHidden/>
              </w:rPr>
            </w:r>
            <w:r w:rsidR="006128CE">
              <w:rPr>
                <w:webHidden/>
              </w:rPr>
              <w:fldChar w:fldCharType="separate"/>
            </w:r>
            <w:r w:rsidR="006128CE">
              <w:rPr>
                <w:webHidden/>
              </w:rPr>
              <w:t>123</w:t>
            </w:r>
            <w:r w:rsidR="006128CE">
              <w:rPr>
                <w:webHidden/>
              </w:rPr>
              <w:fldChar w:fldCharType="end"/>
            </w:r>
          </w:hyperlink>
        </w:p>
        <w:p w14:paraId="4D3C90C9" w14:textId="7CABF6A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4" w:history="1">
            <w:r w:rsidR="006128CE" w:rsidRPr="004727B5">
              <w:rPr>
                <w:rStyle w:val="Hipervnculo"/>
              </w:rPr>
              <w:t>17.8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_Toc140506394 \h </w:instrText>
            </w:r>
            <w:r w:rsidR="006128CE">
              <w:rPr>
                <w:webHidden/>
              </w:rPr>
            </w:r>
            <w:r w:rsidR="006128CE">
              <w:rPr>
                <w:webHidden/>
              </w:rPr>
              <w:fldChar w:fldCharType="separate"/>
            </w:r>
            <w:r w:rsidR="006128CE">
              <w:rPr>
                <w:webHidden/>
              </w:rPr>
              <w:t>130</w:t>
            </w:r>
            <w:r w:rsidR="006128CE">
              <w:rPr>
                <w:webHidden/>
              </w:rPr>
              <w:fldChar w:fldCharType="end"/>
            </w:r>
          </w:hyperlink>
        </w:p>
        <w:p w14:paraId="278B51A1" w14:textId="696CE9E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5" w:history="1">
            <w:r w:rsidR="006128CE" w:rsidRPr="004727B5">
              <w:rPr>
                <w:rStyle w:val="Hipervnculo"/>
              </w:rPr>
              <w:t>17.9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_Toc140506395 \h </w:instrText>
            </w:r>
            <w:r w:rsidR="006128CE">
              <w:rPr>
                <w:webHidden/>
              </w:rPr>
            </w:r>
            <w:r w:rsidR="006128CE">
              <w:rPr>
                <w:webHidden/>
              </w:rPr>
              <w:fldChar w:fldCharType="separate"/>
            </w:r>
            <w:r w:rsidR="006128CE">
              <w:rPr>
                <w:webHidden/>
              </w:rPr>
              <w:t>131</w:t>
            </w:r>
            <w:r w:rsidR="006128CE">
              <w:rPr>
                <w:webHidden/>
              </w:rPr>
              <w:fldChar w:fldCharType="end"/>
            </w:r>
          </w:hyperlink>
        </w:p>
        <w:p w14:paraId="26C74277" w14:textId="7C0FC83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6" w:history="1">
            <w:r w:rsidR="006128CE" w:rsidRPr="004727B5">
              <w:rPr>
                <w:rStyle w:val="Hipervnculo"/>
              </w:rPr>
              <w:t>17.10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_Toc140506396 \h </w:instrText>
            </w:r>
            <w:r w:rsidR="006128CE">
              <w:rPr>
                <w:webHidden/>
              </w:rPr>
            </w:r>
            <w:r w:rsidR="006128CE">
              <w:rPr>
                <w:webHidden/>
              </w:rPr>
              <w:fldChar w:fldCharType="separate"/>
            </w:r>
            <w:r w:rsidR="006128CE">
              <w:rPr>
                <w:webHidden/>
              </w:rPr>
              <w:t>131</w:t>
            </w:r>
            <w:r w:rsidR="006128CE">
              <w:rPr>
                <w:webHidden/>
              </w:rPr>
              <w:fldChar w:fldCharType="end"/>
            </w:r>
          </w:hyperlink>
        </w:p>
        <w:p w14:paraId="454D92D1" w14:textId="7D168F8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7" w:history="1">
            <w:r w:rsidR="006128CE" w:rsidRPr="004727B5">
              <w:rPr>
                <w:rStyle w:val="Hipervnculo"/>
              </w:rPr>
              <w:t>17.11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ORIENTE</w:t>
            </w:r>
            <w:r w:rsidR="006128CE">
              <w:rPr>
                <w:webHidden/>
              </w:rPr>
              <w:tab/>
            </w:r>
            <w:r w:rsidR="006128CE">
              <w:rPr>
                <w:webHidden/>
              </w:rPr>
              <w:fldChar w:fldCharType="begin"/>
            </w:r>
            <w:r w:rsidR="006128CE">
              <w:rPr>
                <w:webHidden/>
              </w:rPr>
              <w:instrText xml:space="preserve"> PAGEREF _Toc140506397 \h </w:instrText>
            </w:r>
            <w:r w:rsidR="006128CE">
              <w:rPr>
                <w:webHidden/>
              </w:rPr>
            </w:r>
            <w:r w:rsidR="006128CE">
              <w:rPr>
                <w:webHidden/>
              </w:rPr>
              <w:fldChar w:fldCharType="separate"/>
            </w:r>
            <w:r w:rsidR="006128CE">
              <w:rPr>
                <w:webHidden/>
              </w:rPr>
              <w:t>132</w:t>
            </w:r>
            <w:r w:rsidR="006128CE">
              <w:rPr>
                <w:webHidden/>
              </w:rPr>
              <w:fldChar w:fldCharType="end"/>
            </w:r>
          </w:hyperlink>
        </w:p>
        <w:p w14:paraId="4C062F9F" w14:textId="04E7AE2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8" w:history="1">
            <w:r w:rsidR="006128CE" w:rsidRPr="004727B5">
              <w:rPr>
                <w:rStyle w:val="Hipervnculo"/>
              </w:rPr>
              <w:t>17.12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_Toc140506398 \h </w:instrText>
            </w:r>
            <w:r w:rsidR="006128CE">
              <w:rPr>
                <w:webHidden/>
              </w:rPr>
            </w:r>
            <w:r w:rsidR="006128CE">
              <w:rPr>
                <w:webHidden/>
              </w:rPr>
              <w:fldChar w:fldCharType="separate"/>
            </w:r>
            <w:r w:rsidR="006128CE">
              <w:rPr>
                <w:webHidden/>
              </w:rPr>
              <w:t>132</w:t>
            </w:r>
            <w:r w:rsidR="006128CE">
              <w:rPr>
                <w:webHidden/>
              </w:rPr>
              <w:fldChar w:fldCharType="end"/>
            </w:r>
          </w:hyperlink>
        </w:p>
        <w:p w14:paraId="245DBC7B" w14:textId="1029B56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399" w:history="1">
            <w:r w:rsidR="006128CE" w:rsidRPr="004727B5">
              <w:rPr>
                <w:rStyle w:val="Hipervnculo"/>
              </w:rPr>
              <w:t>17.13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GIGAS ENERGY</w:t>
            </w:r>
            <w:r w:rsidR="006128CE">
              <w:rPr>
                <w:webHidden/>
              </w:rPr>
              <w:tab/>
            </w:r>
            <w:r w:rsidR="006128CE">
              <w:rPr>
                <w:webHidden/>
              </w:rPr>
              <w:fldChar w:fldCharType="begin"/>
            </w:r>
            <w:r w:rsidR="006128CE">
              <w:rPr>
                <w:webHidden/>
              </w:rPr>
              <w:instrText xml:space="preserve"> PAGEREF _Toc140506399 \h </w:instrText>
            </w:r>
            <w:r w:rsidR="006128CE">
              <w:rPr>
                <w:webHidden/>
              </w:rPr>
            </w:r>
            <w:r w:rsidR="006128CE">
              <w:rPr>
                <w:webHidden/>
              </w:rPr>
              <w:fldChar w:fldCharType="separate"/>
            </w:r>
            <w:r w:rsidR="006128CE">
              <w:rPr>
                <w:webHidden/>
              </w:rPr>
              <w:t>133</w:t>
            </w:r>
            <w:r w:rsidR="006128CE">
              <w:rPr>
                <w:webHidden/>
              </w:rPr>
              <w:fldChar w:fldCharType="end"/>
            </w:r>
          </w:hyperlink>
        </w:p>
        <w:p w14:paraId="3B148CBB" w14:textId="4411A8E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0" w:history="1">
            <w:r w:rsidR="006128CE" w:rsidRPr="004727B5">
              <w:rPr>
                <w:rStyle w:val="Hipervnculo"/>
              </w:rPr>
              <w:t>17.14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_Toc140506400 \h </w:instrText>
            </w:r>
            <w:r w:rsidR="006128CE">
              <w:rPr>
                <w:webHidden/>
              </w:rPr>
            </w:r>
            <w:r w:rsidR="006128CE">
              <w:rPr>
                <w:webHidden/>
              </w:rPr>
              <w:fldChar w:fldCharType="separate"/>
            </w:r>
            <w:r w:rsidR="006128CE">
              <w:rPr>
                <w:webHidden/>
              </w:rPr>
              <w:t>133</w:t>
            </w:r>
            <w:r w:rsidR="006128CE">
              <w:rPr>
                <w:webHidden/>
              </w:rPr>
              <w:fldChar w:fldCharType="end"/>
            </w:r>
          </w:hyperlink>
        </w:p>
        <w:p w14:paraId="1E67B7CE" w14:textId="18F215E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1" w:history="1">
            <w:r w:rsidR="006128CE" w:rsidRPr="004727B5">
              <w:rPr>
                <w:rStyle w:val="Hipervnculo"/>
              </w:rPr>
              <w:t>17.15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_Toc140506401 \h </w:instrText>
            </w:r>
            <w:r w:rsidR="006128CE">
              <w:rPr>
                <w:webHidden/>
              </w:rPr>
            </w:r>
            <w:r w:rsidR="006128CE">
              <w:rPr>
                <w:webHidden/>
              </w:rPr>
              <w:fldChar w:fldCharType="separate"/>
            </w:r>
            <w:r w:rsidR="006128CE">
              <w:rPr>
                <w:webHidden/>
              </w:rPr>
              <w:t>139</w:t>
            </w:r>
            <w:r w:rsidR="006128CE">
              <w:rPr>
                <w:webHidden/>
              </w:rPr>
              <w:fldChar w:fldCharType="end"/>
            </w:r>
          </w:hyperlink>
        </w:p>
        <w:p w14:paraId="0C031376" w14:textId="0640B93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2" w:history="1">
            <w:r w:rsidR="006128CE" w:rsidRPr="004727B5">
              <w:rPr>
                <w:rStyle w:val="Hipervnculo"/>
              </w:rPr>
              <w:t>17.16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LEWIS ENERGY</w:t>
            </w:r>
            <w:r w:rsidR="006128CE">
              <w:rPr>
                <w:webHidden/>
              </w:rPr>
              <w:tab/>
            </w:r>
            <w:r w:rsidR="006128CE">
              <w:rPr>
                <w:webHidden/>
              </w:rPr>
              <w:fldChar w:fldCharType="begin"/>
            </w:r>
            <w:r w:rsidR="006128CE">
              <w:rPr>
                <w:webHidden/>
              </w:rPr>
              <w:instrText xml:space="preserve"> PAGEREF _Toc140506402 \h </w:instrText>
            </w:r>
            <w:r w:rsidR="006128CE">
              <w:rPr>
                <w:webHidden/>
              </w:rPr>
            </w:r>
            <w:r w:rsidR="006128CE">
              <w:rPr>
                <w:webHidden/>
              </w:rPr>
              <w:fldChar w:fldCharType="separate"/>
            </w:r>
            <w:r w:rsidR="006128CE">
              <w:rPr>
                <w:webHidden/>
              </w:rPr>
              <w:t>140</w:t>
            </w:r>
            <w:r w:rsidR="006128CE">
              <w:rPr>
                <w:webHidden/>
              </w:rPr>
              <w:fldChar w:fldCharType="end"/>
            </w:r>
          </w:hyperlink>
        </w:p>
        <w:p w14:paraId="6D0E3D21" w14:textId="61FD6CE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3" w:history="1">
            <w:r w:rsidR="006128CE" w:rsidRPr="004727B5">
              <w:rPr>
                <w:rStyle w:val="Hipervnculo"/>
              </w:rPr>
              <w:t>17.17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_Toc140506403 \h </w:instrText>
            </w:r>
            <w:r w:rsidR="006128CE">
              <w:rPr>
                <w:webHidden/>
              </w:rPr>
            </w:r>
            <w:r w:rsidR="006128CE">
              <w:rPr>
                <w:webHidden/>
              </w:rPr>
              <w:fldChar w:fldCharType="separate"/>
            </w:r>
            <w:r w:rsidR="006128CE">
              <w:rPr>
                <w:webHidden/>
              </w:rPr>
              <w:t>141</w:t>
            </w:r>
            <w:r w:rsidR="006128CE">
              <w:rPr>
                <w:webHidden/>
              </w:rPr>
              <w:fldChar w:fldCharType="end"/>
            </w:r>
          </w:hyperlink>
        </w:p>
        <w:p w14:paraId="564BFBB8" w14:textId="59ABD79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4" w:history="1">
            <w:r w:rsidR="006128CE" w:rsidRPr="004727B5">
              <w:rPr>
                <w:rStyle w:val="Hipervnculo"/>
              </w:rPr>
              <w:t>17.18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NATURGAS</w:t>
            </w:r>
            <w:r w:rsidR="006128CE">
              <w:rPr>
                <w:webHidden/>
              </w:rPr>
              <w:tab/>
            </w:r>
            <w:r w:rsidR="006128CE">
              <w:rPr>
                <w:webHidden/>
              </w:rPr>
              <w:fldChar w:fldCharType="begin"/>
            </w:r>
            <w:r w:rsidR="006128CE">
              <w:rPr>
                <w:webHidden/>
              </w:rPr>
              <w:instrText xml:space="preserve"> PAGEREF _Toc140506404 \h </w:instrText>
            </w:r>
            <w:r w:rsidR="006128CE">
              <w:rPr>
                <w:webHidden/>
              </w:rPr>
            </w:r>
            <w:r w:rsidR="006128CE">
              <w:rPr>
                <w:webHidden/>
              </w:rPr>
              <w:fldChar w:fldCharType="separate"/>
            </w:r>
            <w:r w:rsidR="006128CE">
              <w:rPr>
                <w:webHidden/>
              </w:rPr>
              <w:t>143</w:t>
            </w:r>
            <w:r w:rsidR="006128CE">
              <w:rPr>
                <w:webHidden/>
              </w:rPr>
              <w:fldChar w:fldCharType="end"/>
            </w:r>
          </w:hyperlink>
        </w:p>
        <w:p w14:paraId="3C04AEDD" w14:textId="33509DF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5" w:history="1">
            <w:r w:rsidR="006128CE" w:rsidRPr="004727B5">
              <w:rPr>
                <w:rStyle w:val="Hipervnculo"/>
              </w:rPr>
              <w:t>17.19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caps/>
              </w:rPr>
              <w:t>Parex Resources Colombia</w:t>
            </w:r>
            <w:r w:rsidR="006128CE" w:rsidRPr="004727B5">
              <w:rPr>
                <w:rStyle w:val="Hipervnculo"/>
              </w:rPr>
              <w:t xml:space="preserve"> LTD.</w:t>
            </w:r>
            <w:r w:rsidR="006128CE">
              <w:rPr>
                <w:webHidden/>
              </w:rPr>
              <w:tab/>
            </w:r>
            <w:r w:rsidR="006128CE">
              <w:rPr>
                <w:webHidden/>
              </w:rPr>
              <w:fldChar w:fldCharType="begin"/>
            </w:r>
            <w:r w:rsidR="006128CE">
              <w:rPr>
                <w:webHidden/>
              </w:rPr>
              <w:instrText xml:space="preserve"> PAGEREF _Toc140506405 \h </w:instrText>
            </w:r>
            <w:r w:rsidR="006128CE">
              <w:rPr>
                <w:webHidden/>
              </w:rPr>
            </w:r>
            <w:r w:rsidR="006128CE">
              <w:rPr>
                <w:webHidden/>
              </w:rPr>
              <w:fldChar w:fldCharType="separate"/>
            </w:r>
            <w:r w:rsidR="006128CE">
              <w:rPr>
                <w:webHidden/>
              </w:rPr>
              <w:t>143</w:t>
            </w:r>
            <w:r w:rsidR="006128CE">
              <w:rPr>
                <w:webHidden/>
              </w:rPr>
              <w:fldChar w:fldCharType="end"/>
            </w:r>
          </w:hyperlink>
        </w:p>
        <w:p w14:paraId="1AB53924" w14:textId="0220911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6" w:history="1">
            <w:r w:rsidR="006128CE" w:rsidRPr="004727B5">
              <w:rPr>
                <w:rStyle w:val="Hipervnculo"/>
              </w:rPr>
              <w:t>17.20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PRIME ENERGIA</w:t>
            </w:r>
            <w:r w:rsidR="006128CE">
              <w:rPr>
                <w:webHidden/>
              </w:rPr>
              <w:tab/>
            </w:r>
            <w:r w:rsidR="006128CE">
              <w:rPr>
                <w:webHidden/>
              </w:rPr>
              <w:fldChar w:fldCharType="begin"/>
            </w:r>
            <w:r w:rsidR="006128CE">
              <w:rPr>
                <w:webHidden/>
              </w:rPr>
              <w:instrText xml:space="preserve"> PAGEREF _Toc140506406 \h </w:instrText>
            </w:r>
            <w:r w:rsidR="006128CE">
              <w:rPr>
                <w:webHidden/>
              </w:rPr>
            </w:r>
            <w:r w:rsidR="006128CE">
              <w:rPr>
                <w:webHidden/>
              </w:rPr>
              <w:fldChar w:fldCharType="separate"/>
            </w:r>
            <w:r w:rsidR="006128CE">
              <w:rPr>
                <w:webHidden/>
              </w:rPr>
              <w:t>144</w:t>
            </w:r>
            <w:r w:rsidR="006128CE">
              <w:rPr>
                <w:webHidden/>
              </w:rPr>
              <w:fldChar w:fldCharType="end"/>
            </w:r>
          </w:hyperlink>
        </w:p>
        <w:p w14:paraId="355DE049" w14:textId="6A33E93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7" w:history="1">
            <w:r w:rsidR="006128CE" w:rsidRPr="004727B5">
              <w:rPr>
                <w:rStyle w:val="Hipervnculo"/>
              </w:rPr>
              <w:t>17.21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_Toc140506407 \h </w:instrText>
            </w:r>
            <w:r w:rsidR="006128CE">
              <w:rPr>
                <w:webHidden/>
              </w:rPr>
            </w:r>
            <w:r w:rsidR="006128CE">
              <w:rPr>
                <w:webHidden/>
              </w:rPr>
              <w:fldChar w:fldCharType="separate"/>
            </w:r>
            <w:r w:rsidR="006128CE">
              <w:rPr>
                <w:webHidden/>
              </w:rPr>
              <w:t>145</w:t>
            </w:r>
            <w:r w:rsidR="006128CE">
              <w:rPr>
                <w:webHidden/>
              </w:rPr>
              <w:fldChar w:fldCharType="end"/>
            </w:r>
          </w:hyperlink>
        </w:p>
        <w:p w14:paraId="6D7231ED" w14:textId="37616E1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8" w:history="1">
            <w:r w:rsidR="006128CE" w:rsidRPr="004727B5">
              <w:rPr>
                <w:rStyle w:val="Hipervnculo"/>
              </w:rPr>
              <w:t>17.22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SHELL</w:t>
            </w:r>
            <w:r w:rsidR="006128CE">
              <w:rPr>
                <w:webHidden/>
              </w:rPr>
              <w:tab/>
            </w:r>
            <w:r w:rsidR="006128CE">
              <w:rPr>
                <w:webHidden/>
              </w:rPr>
              <w:fldChar w:fldCharType="begin"/>
            </w:r>
            <w:r w:rsidR="006128CE">
              <w:rPr>
                <w:webHidden/>
              </w:rPr>
              <w:instrText xml:space="preserve"> PAGEREF _Toc140506408 \h </w:instrText>
            </w:r>
            <w:r w:rsidR="006128CE">
              <w:rPr>
                <w:webHidden/>
              </w:rPr>
            </w:r>
            <w:r w:rsidR="006128CE">
              <w:rPr>
                <w:webHidden/>
              </w:rPr>
              <w:fldChar w:fldCharType="separate"/>
            </w:r>
            <w:r w:rsidR="006128CE">
              <w:rPr>
                <w:webHidden/>
              </w:rPr>
              <w:t>146</w:t>
            </w:r>
            <w:r w:rsidR="006128CE">
              <w:rPr>
                <w:webHidden/>
              </w:rPr>
              <w:fldChar w:fldCharType="end"/>
            </w:r>
          </w:hyperlink>
        </w:p>
        <w:p w14:paraId="50F23008" w14:textId="6192BAD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09" w:history="1">
            <w:r w:rsidR="006128CE" w:rsidRPr="004727B5">
              <w:rPr>
                <w:rStyle w:val="Hipervnculo"/>
              </w:rPr>
              <w:t>17.23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SPEC</w:t>
            </w:r>
            <w:r w:rsidR="006128CE">
              <w:rPr>
                <w:webHidden/>
              </w:rPr>
              <w:tab/>
            </w:r>
            <w:r w:rsidR="006128CE">
              <w:rPr>
                <w:webHidden/>
              </w:rPr>
              <w:fldChar w:fldCharType="begin"/>
            </w:r>
            <w:r w:rsidR="006128CE">
              <w:rPr>
                <w:webHidden/>
              </w:rPr>
              <w:instrText xml:space="preserve"> PAGEREF _Toc140506409 \h </w:instrText>
            </w:r>
            <w:r w:rsidR="006128CE">
              <w:rPr>
                <w:webHidden/>
              </w:rPr>
            </w:r>
            <w:r w:rsidR="006128CE">
              <w:rPr>
                <w:webHidden/>
              </w:rPr>
              <w:fldChar w:fldCharType="separate"/>
            </w:r>
            <w:r w:rsidR="006128CE">
              <w:rPr>
                <w:webHidden/>
              </w:rPr>
              <w:t>146</w:t>
            </w:r>
            <w:r w:rsidR="006128CE">
              <w:rPr>
                <w:webHidden/>
              </w:rPr>
              <w:fldChar w:fldCharType="end"/>
            </w:r>
          </w:hyperlink>
        </w:p>
        <w:p w14:paraId="76298223" w14:textId="1167E09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0" w:history="1">
            <w:r w:rsidR="006128CE" w:rsidRPr="004727B5">
              <w:rPr>
                <w:rStyle w:val="Hipervnculo"/>
              </w:rPr>
              <w:t>17.24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_Toc140506410 \h </w:instrText>
            </w:r>
            <w:r w:rsidR="006128CE">
              <w:rPr>
                <w:webHidden/>
              </w:rPr>
            </w:r>
            <w:r w:rsidR="006128CE">
              <w:rPr>
                <w:webHidden/>
              </w:rPr>
              <w:fldChar w:fldCharType="separate"/>
            </w:r>
            <w:r w:rsidR="006128CE">
              <w:rPr>
                <w:webHidden/>
              </w:rPr>
              <w:t>147</w:t>
            </w:r>
            <w:r w:rsidR="006128CE">
              <w:rPr>
                <w:webHidden/>
              </w:rPr>
              <w:fldChar w:fldCharType="end"/>
            </w:r>
          </w:hyperlink>
        </w:p>
        <w:p w14:paraId="317273C0" w14:textId="7AAD7B3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1" w:history="1">
            <w:r w:rsidR="006128CE" w:rsidRPr="004727B5">
              <w:rPr>
                <w:rStyle w:val="Hipervnculo"/>
              </w:rPr>
              <w:t>17.25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SURTIGAS</w:t>
            </w:r>
            <w:r w:rsidR="006128CE">
              <w:rPr>
                <w:webHidden/>
              </w:rPr>
              <w:tab/>
            </w:r>
            <w:r w:rsidR="006128CE">
              <w:rPr>
                <w:webHidden/>
              </w:rPr>
              <w:fldChar w:fldCharType="begin"/>
            </w:r>
            <w:r w:rsidR="006128CE">
              <w:rPr>
                <w:webHidden/>
              </w:rPr>
              <w:instrText xml:space="preserve"> PAGEREF _Toc140506411 \h </w:instrText>
            </w:r>
            <w:r w:rsidR="006128CE">
              <w:rPr>
                <w:webHidden/>
              </w:rPr>
            </w:r>
            <w:r w:rsidR="006128CE">
              <w:rPr>
                <w:webHidden/>
              </w:rPr>
              <w:fldChar w:fldCharType="separate"/>
            </w:r>
            <w:r w:rsidR="006128CE">
              <w:rPr>
                <w:webHidden/>
              </w:rPr>
              <w:t>149</w:t>
            </w:r>
            <w:r w:rsidR="006128CE">
              <w:rPr>
                <w:webHidden/>
              </w:rPr>
              <w:fldChar w:fldCharType="end"/>
            </w:r>
          </w:hyperlink>
        </w:p>
        <w:p w14:paraId="0ECF4A1F" w14:textId="2967B4B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2" w:history="1">
            <w:r w:rsidR="006128CE" w:rsidRPr="004727B5">
              <w:rPr>
                <w:rStyle w:val="Hipervnculo"/>
              </w:rPr>
              <w:t>17.26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_Toc140506412 \h </w:instrText>
            </w:r>
            <w:r w:rsidR="006128CE">
              <w:rPr>
                <w:webHidden/>
              </w:rPr>
            </w:r>
            <w:r w:rsidR="006128CE">
              <w:rPr>
                <w:webHidden/>
              </w:rPr>
              <w:fldChar w:fldCharType="separate"/>
            </w:r>
            <w:r w:rsidR="006128CE">
              <w:rPr>
                <w:webHidden/>
              </w:rPr>
              <w:t>149</w:t>
            </w:r>
            <w:r w:rsidR="006128CE">
              <w:rPr>
                <w:webHidden/>
              </w:rPr>
              <w:fldChar w:fldCharType="end"/>
            </w:r>
          </w:hyperlink>
        </w:p>
        <w:p w14:paraId="415B31AC" w14:textId="1B323CA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3" w:history="1">
            <w:r w:rsidR="006128CE" w:rsidRPr="004727B5">
              <w:rPr>
                <w:rStyle w:val="Hipervnculo"/>
              </w:rPr>
              <w:t>17.27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_Toc140506413 \h </w:instrText>
            </w:r>
            <w:r w:rsidR="006128CE">
              <w:rPr>
                <w:webHidden/>
              </w:rPr>
            </w:r>
            <w:r w:rsidR="006128CE">
              <w:rPr>
                <w:webHidden/>
              </w:rPr>
              <w:fldChar w:fldCharType="separate"/>
            </w:r>
            <w:r w:rsidR="006128CE">
              <w:rPr>
                <w:webHidden/>
              </w:rPr>
              <w:t>150</w:t>
            </w:r>
            <w:r w:rsidR="006128CE">
              <w:rPr>
                <w:webHidden/>
              </w:rPr>
              <w:fldChar w:fldCharType="end"/>
            </w:r>
          </w:hyperlink>
        </w:p>
        <w:p w14:paraId="628D65FB" w14:textId="2BD76CA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4" w:history="1">
            <w:r w:rsidR="006128CE" w:rsidRPr="004727B5">
              <w:rPr>
                <w:rStyle w:val="Hipervnculo"/>
              </w:rPr>
              <w:t>17.28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_Toc140506414 \h </w:instrText>
            </w:r>
            <w:r w:rsidR="006128CE">
              <w:rPr>
                <w:webHidden/>
              </w:rPr>
            </w:r>
            <w:r w:rsidR="006128CE">
              <w:rPr>
                <w:webHidden/>
              </w:rPr>
              <w:fldChar w:fldCharType="separate"/>
            </w:r>
            <w:r w:rsidR="006128CE">
              <w:rPr>
                <w:webHidden/>
              </w:rPr>
              <w:t>152</w:t>
            </w:r>
            <w:r w:rsidR="006128CE">
              <w:rPr>
                <w:webHidden/>
              </w:rPr>
              <w:fldChar w:fldCharType="end"/>
            </w:r>
          </w:hyperlink>
        </w:p>
        <w:p w14:paraId="658E277F" w14:textId="7A6B2EA6"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415" w:history="1">
            <w:r w:rsidR="006128CE" w:rsidRPr="004727B5">
              <w:rPr>
                <w:rStyle w:val="Hipervnculo"/>
                <w:caps/>
              </w:rPr>
              <w:t>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20. </w:t>
            </w:r>
            <w:r w:rsidR="006128CE" w:rsidRPr="004727B5">
              <w:rPr>
                <w:rStyle w:val="Hipervnculo"/>
                <w:caps/>
              </w:rPr>
              <w:t>Contratos objeto de las negociaciones directas en cualquier momento del año</w:t>
            </w:r>
            <w:r w:rsidR="006128CE">
              <w:rPr>
                <w:webHidden/>
              </w:rPr>
              <w:tab/>
            </w:r>
            <w:r w:rsidR="006128CE">
              <w:rPr>
                <w:webHidden/>
              </w:rPr>
              <w:fldChar w:fldCharType="begin"/>
            </w:r>
            <w:r w:rsidR="006128CE">
              <w:rPr>
                <w:webHidden/>
              </w:rPr>
              <w:instrText xml:space="preserve"> PAGEREF _Toc140506415 \h </w:instrText>
            </w:r>
            <w:r w:rsidR="006128CE">
              <w:rPr>
                <w:webHidden/>
              </w:rPr>
            </w:r>
            <w:r w:rsidR="006128CE">
              <w:rPr>
                <w:webHidden/>
              </w:rPr>
              <w:fldChar w:fldCharType="separate"/>
            </w:r>
            <w:r w:rsidR="006128CE">
              <w:rPr>
                <w:webHidden/>
              </w:rPr>
              <w:t>153</w:t>
            </w:r>
            <w:r w:rsidR="006128CE">
              <w:rPr>
                <w:webHidden/>
              </w:rPr>
              <w:fldChar w:fldCharType="end"/>
            </w:r>
          </w:hyperlink>
        </w:p>
        <w:p w14:paraId="198E20C2" w14:textId="2CA5E6B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6" w:history="1">
            <w:r w:rsidR="006128CE" w:rsidRPr="004727B5">
              <w:rPr>
                <w:rStyle w:val="Hipervnculo"/>
              </w:rPr>
              <w:t>18.1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_Toc140506416 \h </w:instrText>
            </w:r>
            <w:r w:rsidR="006128CE">
              <w:rPr>
                <w:webHidden/>
              </w:rPr>
            </w:r>
            <w:r w:rsidR="006128CE">
              <w:rPr>
                <w:webHidden/>
              </w:rPr>
              <w:fldChar w:fldCharType="separate"/>
            </w:r>
            <w:r w:rsidR="006128CE">
              <w:rPr>
                <w:webHidden/>
              </w:rPr>
              <w:t>153</w:t>
            </w:r>
            <w:r w:rsidR="006128CE">
              <w:rPr>
                <w:webHidden/>
              </w:rPr>
              <w:fldChar w:fldCharType="end"/>
            </w:r>
          </w:hyperlink>
        </w:p>
        <w:p w14:paraId="7C8B8259" w14:textId="5948B11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7" w:history="1">
            <w:r w:rsidR="006128CE" w:rsidRPr="004727B5">
              <w:rPr>
                <w:rStyle w:val="Hipervnculo"/>
              </w:rPr>
              <w:t>18.2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CANACOL</w:t>
            </w:r>
            <w:r w:rsidR="006128CE">
              <w:rPr>
                <w:webHidden/>
              </w:rPr>
              <w:tab/>
            </w:r>
            <w:r w:rsidR="006128CE">
              <w:rPr>
                <w:webHidden/>
              </w:rPr>
              <w:fldChar w:fldCharType="begin"/>
            </w:r>
            <w:r w:rsidR="006128CE">
              <w:rPr>
                <w:webHidden/>
              </w:rPr>
              <w:instrText xml:space="preserve"> PAGEREF _Toc140506417 \h </w:instrText>
            </w:r>
            <w:r w:rsidR="006128CE">
              <w:rPr>
                <w:webHidden/>
              </w:rPr>
            </w:r>
            <w:r w:rsidR="006128CE">
              <w:rPr>
                <w:webHidden/>
              </w:rPr>
              <w:fldChar w:fldCharType="separate"/>
            </w:r>
            <w:r w:rsidR="006128CE">
              <w:rPr>
                <w:webHidden/>
              </w:rPr>
              <w:t>154</w:t>
            </w:r>
            <w:r w:rsidR="006128CE">
              <w:rPr>
                <w:webHidden/>
              </w:rPr>
              <w:fldChar w:fldCharType="end"/>
            </w:r>
          </w:hyperlink>
        </w:p>
        <w:p w14:paraId="0F14824D" w14:textId="15A8513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8" w:history="1">
            <w:r w:rsidR="006128CE" w:rsidRPr="004727B5">
              <w:rPr>
                <w:rStyle w:val="Hipervnculo"/>
              </w:rPr>
              <w:t>18.3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_Toc140506418 \h </w:instrText>
            </w:r>
            <w:r w:rsidR="006128CE">
              <w:rPr>
                <w:webHidden/>
              </w:rPr>
            </w:r>
            <w:r w:rsidR="006128CE">
              <w:rPr>
                <w:webHidden/>
              </w:rPr>
              <w:fldChar w:fldCharType="separate"/>
            </w:r>
            <w:r w:rsidR="006128CE">
              <w:rPr>
                <w:webHidden/>
              </w:rPr>
              <w:t>154</w:t>
            </w:r>
            <w:r w:rsidR="006128CE">
              <w:rPr>
                <w:webHidden/>
              </w:rPr>
              <w:fldChar w:fldCharType="end"/>
            </w:r>
          </w:hyperlink>
        </w:p>
        <w:p w14:paraId="20D78217" w14:textId="1D75F47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19" w:history="1">
            <w:r w:rsidR="006128CE" w:rsidRPr="004727B5">
              <w:rPr>
                <w:rStyle w:val="Hipervnculo"/>
              </w:rPr>
              <w:t>18.4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ENERGY FOR THE CARIBBEAN</w:t>
            </w:r>
            <w:r w:rsidR="006128CE">
              <w:rPr>
                <w:webHidden/>
              </w:rPr>
              <w:tab/>
            </w:r>
            <w:r w:rsidR="006128CE">
              <w:rPr>
                <w:webHidden/>
              </w:rPr>
              <w:fldChar w:fldCharType="begin"/>
            </w:r>
            <w:r w:rsidR="006128CE">
              <w:rPr>
                <w:webHidden/>
              </w:rPr>
              <w:instrText xml:space="preserve"> PAGEREF _Toc140506419 \h </w:instrText>
            </w:r>
            <w:r w:rsidR="006128CE">
              <w:rPr>
                <w:webHidden/>
              </w:rPr>
            </w:r>
            <w:r w:rsidR="006128CE">
              <w:rPr>
                <w:webHidden/>
              </w:rPr>
              <w:fldChar w:fldCharType="separate"/>
            </w:r>
            <w:r w:rsidR="006128CE">
              <w:rPr>
                <w:webHidden/>
              </w:rPr>
              <w:t>154</w:t>
            </w:r>
            <w:r w:rsidR="006128CE">
              <w:rPr>
                <w:webHidden/>
              </w:rPr>
              <w:fldChar w:fldCharType="end"/>
            </w:r>
          </w:hyperlink>
        </w:p>
        <w:p w14:paraId="06A67617" w14:textId="6C65A2E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0" w:history="1">
            <w:r w:rsidR="006128CE" w:rsidRPr="004727B5">
              <w:rPr>
                <w:rStyle w:val="Hipervnculo"/>
              </w:rPr>
              <w:t>18.5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LEWIS ENERGY</w:t>
            </w:r>
            <w:r w:rsidR="006128CE">
              <w:rPr>
                <w:webHidden/>
              </w:rPr>
              <w:tab/>
            </w:r>
            <w:r w:rsidR="006128CE">
              <w:rPr>
                <w:webHidden/>
              </w:rPr>
              <w:fldChar w:fldCharType="begin"/>
            </w:r>
            <w:r w:rsidR="006128CE">
              <w:rPr>
                <w:webHidden/>
              </w:rPr>
              <w:instrText xml:space="preserve"> PAGEREF _Toc140506420 \h </w:instrText>
            </w:r>
            <w:r w:rsidR="006128CE">
              <w:rPr>
                <w:webHidden/>
              </w:rPr>
            </w:r>
            <w:r w:rsidR="006128CE">
              <w:rPr>
                <w:webHidden/>
              </w:rPr>
              <w:fldChar w:fldCharType="separate"/>
            </w:r>
            <w:r w:rsidR="006128CE">
              <w:rPr>
                <w:webHidden/>
              </w:rPr>
              <w:t>155</w:t>
            </w:r>
            <w:r w:rsidR="006128CE">
              <w:rPr>
                <w:webHidden/>
              </w:rPr>
              <w:fldChar w:fldCharType="end"/>
            </w:r>
          </w:hyperlink>
        </w:p>
        <w:p w14:paraId="3B0CF9A4" w14:textId="05C2A4A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1" w:history="1">
            <w:r w:rsidR="006128CE" w:rsidRPr="004727B5">
              <w:rPr>
                <w:rStyle w:val="Hipervnculo"/>
              </w:rPr>
              <w:t>18.6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caps/>
              </w:rPr>
              <w:t>Parex Resources Colombia</w:t>
            </w:r>
            <w:r w:rsidR="006128CE" w:rsidRPr="004727B5">
              <w:rPr>
                <w:rStyle w:val="Hipervnculo"/>
              </w:rPr>
              <w:t xml:space="preserve"> LTD.</w:t>
            </w:r>
            <w:r w:rsidR="006128CE">
              <w:rPr>
                <w:webHidden/>
              </w:rPr>
              <w:tab/>
            </w:r>
            <w:r w:rsidR="006128CE">
              <w:rPr>
                <w:webHidden/>
              </w:rPr>
              <w:fldChar w:fldCharType="begin"/>
            </w:r>
            <w:r w:rsidR="006128CE">
              <w:rPr>
                <w:webHidden/>
              </w:rPr>
              <w:instrText xml:space="preserve"> PAGEREF _Toc140506421 \h </w:instrText>
            </w:r>
            <w:r w:rsidR="006128CE">
              <w:rPr>
                <w:webHidden/>
              </w:rPr>
            </w:r>
            <w:r w:rsidR="006128CE">
              <w:rPr>
                <w:webHidden/>
              </w:rPr>
              <w:fldChar w:fldCharType="separate"/>
            </w:r>
            <w:r w:rsidR="006128CE">
              <w:rPr>
                <w:webHidden/>
              </w:rPr>
              <w:t>155</w:t>
            </w:r>
            <w:r w:rsidR="006128CE">
              <w:rPr>
                <w:webHidden/>
              </w:rPr>
              <w:fldChar w:fldCharType="end"/>
            </w:r>
          </w:hyperlink>
        </w:p>
        <w:p w14:paraId="7BD1E5A3" w14:textId="543C72C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2" w:history="1">
            <w:r w:rsidR="006128CE" w:rsidRPr="004727B5">
              <w:rPr>
                <w:rStyle w:val="Hipervnculo"/>
              </w:rPr>
              <w:t>18.7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SHELL</w:t>
            </w:r>
            <w:r w:rsidR="006128CE">
              <w:rPr>
                <w:webHidden/>
              </w:rPr>
              <w:tab/>
            </w:r>
            <w:r w:rsidR="006128CE">
              <w:rPr>
                <w:webHidden/>
              </w:rPr>
              <w:fldChar w:fldCharType="begin"/>
            </w:r>
            <w:r w:rsidR="006128CE">
              <w:rPr>
                <w:webHidden/>
              </w:rPr>
              <w:instrText xml:space="preserve"> PAGEREF _Toc140506422 \h </w:instrText>
            </w:r>
            <w:r w:rsidR="006128CE">
              <w:rPr>
                <w:webHidden/>
              </w:rPr>
            </w:r>
            <w:r w:rsidR="006128CE">
              <w:rPr>
                <w:webHidden/>
              </w:rPr>
              <w:fldChar w:fldCharType="separate"/>
            </w:r>
            <w:r w:rsidR="006128CE">
              <w:rPr>
                <w:webHidden/>
              </w:rPr>
              <w:t>157</w:t>
            </w:r>
            <w:r w:rsidR="006128CE">
              <w:rPr>
                <w:webHidden/>
              </w:rPr>
              <w:fldChar w:fldCharType="end"/>
            </w:r>
          </w:hyperlink>
        </w:p>
        <w:p w14:paraId="3E638EFB" w14:textId="4AA0FB5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3" w:history="1">
            <w:r w:rsidR="006128CE" w:rsidRPr="004727B5">
              <w:rPr>
                <w:rStyle w:val="Hipervnculo"/>
              </w:rPr>
              <w:t>18.8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_Toc140506423 \h </w:instrText>
            </w:r>
            <w:r w:rsidR="006128CE">
              <w:rPr>
                <w:webHidden/>
              </w:rPr>
            </w:r>
            <w:r w:rsidR="006128CE">
              <w:rPr>
                <w:webHidden/>
              </w:rPr>
              <w:fldChar w:fldCharType="separate"/>
            </w:r>
            <w:r w:rsidR="006128CE">
              <w:rPr>
                <w:webHidden/>
              </w:rPr>
              <w:t>158</w:t>
            </w:r>
            <w:r w:rsidR="006128CE">
              <w:rPr>
                <w:webHidden/>
              </w:rPr>
              <w:fldChar w:fldCharType="end"/>
            </w:r>
          </w:hyperlink>
        </w:p>
        <w:p w14:paraId="0C711B43" w14:textId="24C4D0A2"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424" w:history="1">
            <w:r w:rsidR="006128CE" w:rsidRPr="004727B5">
              <w:rPr>
                <w:rStyle w:val="Hipervnculo"/>
                <w:caps/>
              </w:rPr>
              <w:t>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21. </w:t>
            </w:r>
            <w:r w:rsidR="006128CE" w:rsidRPr="004727B5">
              <w:rPr>
                <w:rStyle w:val="Hipervnculo"/>
                <w:caps/>
              </w:rPr>
              <w:t>Mecanismo de Aseguramiento de la Demanda Esencial, MADE</w:t>
            </w:r>
            <w:r w:rsidR="006128CE">
              <w:rPr>
                <w:webHidden/>
              </w:rPr>
              <w:tab/>
            </w:r>
            <w:r w:rsidR="006128CE">
              <w:rPr>
                <w:webHidden/>
              </w:rPr>
              <w:fldChar w:fldCharType="begin"/>
            </w:r>
            <w:r w:rsidR="006128CE">
              <w:rPr>
                <w:webHidden/>
              </w:rPr>
              <w:instrText xml:space="preserve"> PAGEREF _Toc140506424 \h </w:instrText>
            </w:r>
            <w:r w:rsidR="006128CE">
              <w:rPr>
                <w:webHidden/>
              </w:rPr>
            </w:r>
            <w:r w:rsidR="006128CE">
              <w:rPr>
                <w:webHidden/>
              </w:rPr>
              <w:fldChar w:fldCharType="separate"/>
            </w:r>
            <w:r w:rsidR="006128CE">
              <w:rPr>
                <w:webHidden/>
              </w:rPr>
              <w:t>158</w:t>
            </w:r>
            <w:r w:rsidR="006128CE">
              <w:rPr>
                <w:webHidden/>
              </w:rPr>
              <w:fldChar w:fldCharType="end"/>
            </w:r>
          </w:hyperlink>
        </w:p>
        <w:p w14:paraId="6A2F9847" w14:textId="0756675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5" w:history="1">
            <w:r w:rsidR="006128CE" w:rsidRPr="004727B5">
              <w:rPr>
                <w:rStyle w:val="Hipervnculo"/>
              </w:rPr>
              <w:t>19.1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ACOLGEN</w:t>
            </w:r>
            <w:r w:rsidR="006128CE">
              <w:rPr>
                <w:webHidden/>
              </w:rPr>
              <w:tab/>
            </w:r>
            <w:r w:rsidR="006128CE">
              <w:rPr>
                <w:webHidden/>
              </w:rPr>
              <w:fldChar w:fldCharType="begin"/>
            </w:r>
            <w:r w:rsidR="006128CE">
              <w:rPr>
                <w:webHidden/>
              </w:rPr>
              <w:instrText xml:space="preserve"> PAGEREF _Toc140506425 \h </w:instrText>
            </w:r>
            <w:r w:rsidR="006128CE">
              <w:rPr>
                <w:webHidden/>
              </w:rPr>
            </w:r>
            <w:r w:rsidR="006128CE">
              <w:rPr>
                <w:webHidden/>
              </w:rPr>
              <w:fldChar w:fldCharType="separate"/>
            </w:r>
            <w:r w:rsidR="006128CE">
              <w:rPr>
                <w:webHidden/>
              </w:rPr>
              <w:t>158</w:t>
            </w:r>
            <w:r w:rsidR="006128CE">
              <w:rPr>
                <w:webHidden/>
              </w:rPr>
              <w:fldChar w:fldCharType="end"/>
            </w:r>
          </w:hyperlink>
        </w:p>
        <w:p w14:paraId="3EF1CBD0" w14:textId="3930312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6" w:history="1">
            <w:r w:rsidR="006128CE" w:rsidRPr="004727B5">
              <w:rPr>
                <w:rStyle w:val="Hipervnculo"/>
              </w:rPr>
              <w:t>19.2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_Toc140506426 \h </w:instrText>
            </w:r>
            <w:r w:rsidR="006128CE">
              <w:rPr>
                <w:webHidden/>
              </w:rPr>
            </w:r>
            <w:r w:rsidR="006128CE">
              <w:rPr>
                <w:webHidden/>
              </w:rPr>
              <w:fldChar w:fldCharType="separate"/>
            </w:r>
            <w:r w:rsidR="006128CE">
              <w:rPr>
                <w:webHidden/>
              </w:rPr>
              <w:t>160</w:t>
            </w:r>
            <w:r w:rsidR="006128CE">
              <w:rPr>
                <w:webHidden/>
              </w:rPr>
              <w:fldChar w:fldCharType="end"/>
            </w:r>
          </w:hyperlink>
        </w:p>
        <w:p w14:paraId="5D24B33E" w14:textId="40B1484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7" w:history="1">
            <w:r w:rsidR="006128CE" w:rsidRPr="004727B5">
              <w:rPr>
                <w:rStyle w:val="Hipervnculo"/>
              </w:rPr>
              <w:t>19.3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ALCANOS</w:t>
            </w:r>
            <w:r w:rsidR="006128CE">
              <w:rPr>
                <w:webHidden/>
              </w:rPr>
              <w:tab/>
            </w:r>
            <w:r w:rsidR="006128CE">
              <w:rPr>
                <w:webHidden/>
              </w:rPr>
              <w:fldChar w:fldCharType="begin"/>
            </w:r>
            <w:r w:rsidR="006128CE">
              <w:rPr>
                <w:webHidden/>
              </w:rPr>
              <w:instrText xml:space="preserve"> PAGEREF _Toc140506427 \h </w:instrText>
            </w:r>
            <w:r w:rsidR="006128CE">
              <w:rPr>
                <w:webHidden/>
              </w:rPr>
            </w:r>
            <w:r w:rsidR="006128CE">
              <w:rPr>
                <w:webHidden/>
              </w:rPr>
              <w:fldChar w:fldCharType="separate"/>
            </w:r>
            <w:r w:rsidR="006128CE">
              <w:rPr>
                <w:webHidden/>
              </w:rPr>
              <w:t>163</w:t>
            </w:r>
            <w:r w:rsidR="006128CE">
              <w:rPr>
                <w:webHidden/>
              </w:rPr>
              <w:fldChar w:fldCharType="end"/>
            </w:r>
          </w:hyperlink>
        </w:p>
        <w:p w14:paraId="63FD32B4" w14:textId="50769A1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8" w:history="1">
            <w:r w:rsidR="006128CE" w:rsidRPr="004727B5">
              <w:rPr>
                <w:rStyle w:val="Hipervnculo"/>
              </w:rPr>
              <w:t>19.4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ANDEG</w:t>
            </w:r>
            <w:r w:rsidR="006128CE">
              <w:rPr>
                <w:webHidden/>
              </w:rPr>
              <w:tab/>
            </w:r>
            <w:r w:rsidR="006128CE">
              <w:rPr>
                <w:webHidden/>
              </w:rPr>
              <w:fldChar w:fldCharType="begin"/>
            </w:r>
            <w:r w:rsidR="006128CE">
              <w:rPr>
                <w:webHidden/>
              </w:rPr>
              <w:instrText xml:space="preserve"> PAGEREF _Toc140506428 \h </w:instrText>
            </w:r>
            <w:r w:rsidR="006128CE">
              <w:rPr>
                <w:webHidden/>
              </w:rPr>
            </w:r>
            <w:r w:rsidR="006128CE">
              <w:rPr>
                <w:webHidden/>
              </w:rPr>
              <w:fldChar w:fldCharType="separate"/>
            </w:r>
            <w:r w:rsidR="006128CE">
              <w:rPr>
                <w:webHidden/>
              </w:rPr>
              <w:t>163</w:t>
            </w:r>
            <w:r w:rsidR="006128CE">
              <w:rPr>
                <w:webHidden/>
              </w:rPr>
              <w:fldChar w:fldCharType="end"/>
            </w:r>
          </w:hyperlink>
        </w:p>
        <w:p w14:paraId="038F13C9" w14:textId="041EE32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29" w:history="1">
            <w:r w:rsidR="006128CE" w:rsidRPr="004727B5">
              <w:rPr>
                <w:rStyle w:val="Hipervnculo"/>
              </w:rPr>
              <w:t>19.5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ANDESCO</w:t>
            </w:r>
            <w:r w:rsidR="006128CE">
              <w:rPr>
                <w:webHidden/>
              </w:rPr>
              <w:tab/>
            </w:r>
            <w:r w:rsidR="006128CE">
              <w:rPr>
                <w:webHidden/>
              </w:rPr>
              <w:fldChar w:fldCharType="begin"/>
            </w:r>
            <w:r w:rsidR="006128CE">
              <w:rPr>
                <w:webHidden/>
              </w:rPr>
              <w:instrText xml:space="preserve"> PAGEREF _Toc140506429 \h </w:instrText>
            </w:r>
            <w:r w:rsidR="006128CE">
              <w:rPr>
                <w:webHidden/>
              </w:rPr>
            </w:r>
            <w:r w:rsidR="006128CE">
              <w:rPr>
                <w:webHidden/>
              </w:rPr>
              <w:fldChar w:fldCharType="separate"/>
            </w:r>
            <w:r w:rsidR="006128CE">
              <w:rPr>
                <w:webHidden/>
              </w:rPr>
              <w:t>165</w:t>
            </w:r>
            <w:r w:rsidR="006128CE">
              <w:rPr>
                <w:webHidden/>
              </w:rPr>
              <w:fldChar w:fldCharType="end"/>
            </w:r>
          </w:hyperlink>
        </w:p>
        <w:p w14:paraId="22F6CB2E" w14:textId="3583E73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0" w:history="1">
            <w:r w:rsidR="006128CE" w:rsidRPr="004727B5">
              <w:rPr>
                <w:rStyle w:val="Hipervnculo"/>
              </w:rPr>
              <w:t>19.6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ANDI</w:t>
            </w:r>
            <w:r w:rsidR="006128CE">
              <w:rPr>
                <w:webHidden/>
              </w:rPr>
              <w:tab/>
            </w:r>
            <w:r w:rsidR="006128CE">
              <w:rPr>
                <w:webHidden/>
              </w:rPr>
              <w:fldChar w:fldCharType="begin"/>
            </w:r>
            <w:r w:rsidR="006128CE">
              <w:rPr>
                <w:webHidden/>
              </w:rPr>
              <w:instrText xml:space="preserve"> PAGEREF _Toc140506430 \h </w:instrText>
            </w:r>
            <w:r w:rsidR="006128CE">
              <w:rPr>
                <w:webHidden/>
              </w:rPr>
            </w:r>
            <w:r w:rsidR="006128CE">
              <w:rPr>
                <w:webHidden/>
              </w:rPr>
              <w:fldChar w:fldCharType="separate"/>
            </w:r>
            <w:r w:rsidR="006128CE">
              <w:rPr>
                <w:webHidden/>
              </w:rPr>
              <w:t>165</w:t>
            </w:r>
            <w:r w:rsidR="006128CE">
              <w:rPr>
                <w:webHidden/>
              </w:rPr>
              <w:fldChar w:fldCharType="end"/>
            </w:r>
          </w:hyperlink>
        </w:p>
        <w:p w14:paraId="70DD7049" w14:textId="66988D8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1" w:history="1">
            <w:r w:rsidR="006128CE" w:rsidRPr="004727B5">
              <w:rPr>
                <w:rStyle w:val="Hipervnculo"/>
              </w:rPr>
              <w:t>19.7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_Toc140506431 \h </w:instrText>
            </w:r>
            <w:r w:rsidR="006128CE">
              <w:rPr>
                <w:webHidden/>
              </w:rPr>
            </w:r>
            <w:r w:rsidR="006128CE">
              <w:rPr>
                <w:webHidden/>
              </w:rPr>
              <w:fldChar w:fldCharType="separate"/>
            </w:r>
            <w:r w:rsidR="006128CE">
              <w:rPr>
                <w:webHidden/>
              </w:rPr>
              <w:t>166</w:t>
            </w:r>
            <w:r w:rsidR="006128CE">
              <w:rPr>
                <w:webHidden/>
              </w:rPr>
              <w:fldChar w:fldCharType="end"/>
            </w:r>
          </w:hyperlink>
        </w:p>
        <w:p w14:paraId="7A2992C8" w14:textId="2C61C80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2" w:history="1">
            <w:r w:rsidR="006128CE" w:rsidRPr="004727B5">
              <w:rPr>
                <w:rStyle w:val="Hipervnculo"/>
              </w:rPr>
              <w:t>19.8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_Toc140506432 \h </w:instrText>
            </w:r>
            <w:r w:rsidR="006128CE">
              <w:rPr>
                <w:webHidden/>
              </w:rPr>
            </w:r>
            <w:r w:rsidR="006128CE">
              <w:rPr>
                <w:webHidden/>
              </w:rPr>
              <w:fldChar w:fldCharType="separate"/>
            </w:r>
            <w:r w:rsidR="006128CE">
              <w:rPr>
                <w:webHidden/>
              </w:rPr>
              <w:t>172</w:t>
            </w:r>
            <w:r w:rsidR="006128CE">
              <w:rPr>
                <w:webHidden/>
              </w:rPr>
              <w:fldChar w:fldCharType="end"/>
            </w:r>
          </w:hyperlink>
        </w:p>
        <w:p w14:paraId="27F10303" w14:textId="3972721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3" w:history="1">
            <w:r w:rsidR="006128CE" w:rsidRPr="004727B5">
              <w:rPr>
                <w:rStyle w:val="Hipervnculo"/>
              </w:rPr>
              <w:t>19.9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_Toc140506433 \h </w:instrText>
            </w:r>
            <w:r w:rsidR="006128CE">
              <w:rPr>
                <w:webHidden/>
              </w:rPr>
            </w:r>
            <w:r w:rsidR="006128CE">
              <w:rPr>
                <w:webHidden/>
              </w:rPr>
              <w:fldChar w:fldCharType="separate"/>
            </w:r>
            <w:r w:rsidR="006128CE">
              <w:rPr>
                <w:webHidden/>
              </w:rPr>
              <w:t>178</w:t>
            </w:r>
            <w:r w:rsidR="006128CE">
              <w:rPr>
                <w:webHidden/>
              </w:rPr>
              <w:fldChar w:fldCharType="end"/>
            </w:r>
          </w:hyperlink>
        </w:p>
        <w:p w14:paraId="640D4368" w14:textId="1F8D800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4" w:history="1">
            <w:r w:rsidR="006128CE" w:rsidRPr="004727B5">
              <w:rPr>
                <w:rStyle w:val="Hipervnculo"/>
              </w:rPr>
              <w:t>19.10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ENERGY FOR THE CARIBBEAN</w:t>
            </w:r>
            <w:r w:rsidR="006128CE">
              <w:rPr>
                <w:webHidden/>
              </w:rPr>
              <w:tab/>
            </w:r>
            <w:r w:rsidR="006128CE">
              <w:rPr>
                <w:webHidden/>
              </w:rPr>
              <w:fldChar w:fldCharType="begin"/>
            </w:r>
            <w:r w:rsidR="006128CE">
              <w:rPr>
                <w:webHidden/>
              </w:rPr>
              <w:instrText xml:space="preserve"> PAGEREF _Toc140506434 \h </w:instrText>
            </w:r>
            <w:r w:rsidR="006128CE">
              <w:rPr>
                <w:webHidden/>
              </w:rPr>
            </w:r>
            <w:r w:rsidR="006128CE">
              <w:rPr>
                <w:webHidden/>
              </w:rPr>
              <w:fldChar w:fldCharType="separate"/>
            </w:r>
            <w:r w:rsidR="006128CE">
              <w:rPr>
                <w:webHidden/>
              </w:rPr>
              <w:t>181</w:t>
            </w:r>
            <w:r w:rsidR="006128CE">
              <w:rPr>
                <w:webHidden/>
              </w:rPr>
              <w:fldChar w:fldCharType="end"/>
            </w:r>
          </w:hyperlink>
        </w:p>
        <w:p w14:paraId="6BDFEB42" w14:textId="6ECF5F5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5" w:history="1">
            <w:r w:rsidR="006128CE" w:rsidRPr="004727B5">
              <w:rPr>
                <w:rStyle w:val="Hipervnculo"/>
              </w:rPr>
              <w:t>19.11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EPM</w:t>
            </w:r>
            <w:r w:rsidR="006128CE">
              <w:rPr>
                <w:webHidden/>
              </w:rPr>
              <w:tab/>
            </w:r>
            <w:r w:rsidR="006128CE">
              <w:rPr>
                <w:webHidden/>
              </w:rPr>
              <w:fldChar w:fldCharType="begin"/>
            </w:r>
            <w:r w:rsidR="006128CE">
              <w:rPr>
                <w:webHidden/>
              </w:rPr>
              <w:instrText xml:space="preserve"> PAGEREF _Toc140506435 \h </w:instrText>
            </w:r>
            <w:r w:rsidR="006128CE">
              <w:rPr>
                <w:webHidden/>
              </w:rPr>
            </w:r>
            <w:r w:rsidR="006128CE">
              <w:rPr>
                <w:webHidden/>
              </w:rPr>
              <w:fldChar w:fldCharType="separate"/>
            </w:r>
            <w:r w:rsidR="006128CE">
              <w:rPr>
                <w:webHidden/>
              </w:rPr>
              <w:t>181</w:t>
            </w:r>
            <w:r w:rsidR="006128CE">
              <w:rPr>
                <w:webHidden/>
              </w:rPr>
              <w:fldChar w:fldCharType="end"/>
            </w:r>
          </w:hyperlink>
        </w:p>
        <w:p w14:paraId="08513432" w14:textId="26340C9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6" w:history="1">
            <w:r w:rsidR="006128CE" w:rsidRPr="004727B5">
              <w:rPr>
                <w:rStyle w:val="Hipervnculo"/>
              </w:rPr>
              <w:t>19.12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_Toc140506436 \h </w:instrText>
            </w:r>
            <w:r w:rsidR="006128CE">
              <w:rPr>
                <w:webHidden/>
              </w:rPr>
            </w:r>
            <w:r w:rsidR="006128CE">
              <w:rPr>
                <w:webHidden/>
              </w:rPr>
              <w:fldChar w:fldCharType="separate"/>
            </w:r>
            <w:r w:rsidR="006128CE">
              <w:rPr>
                <w:webHidden/>
              </w:rPr>
              <w:t>182</w:t>
            </w:r>
            <w:r w:rsidR="006128CE">
              <w:rPr>
                <w:webHidden/>
              </w:rPr>
              <w:fldChar w:fldCharType="end"/>
            </w:r>
          </w:hyperlink>
        </w:p>
        <w:p w14:paraId="2E4C2753" w14:textId="52DA5A9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7" w:history="1">
            <w:r w:rsidR="006128CE" w:rsidRPr="004727B5">
              <w:rPr>
                <w:rStyle w:val="Hipervnculo"/>
              </w:rPr>
              <w:t>19.13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_Toc140506437 \h </w:instrText>
            </w:r>
            <w:r w:rsidR="006128CE">
              <w:rPr>
                <w:webHidden/>
              </w:rPr>
            </w:r>
            <w:r w:rsidR="006128CE">
              <w:rPr>
                <w:webHidden/>
              </w:rPr>
              <w:fldChar w:fldCharType="separate"/>
            </w:r>
            <w:r w:rsidR="006128CE">
              <w:rPr>
                <w:webHidden/>
              </w:rPr>
              <w:t>191</w:t>
            </w:r>
            <w:r w:rsidR="006128CE">
              <w:rPr>
                <w:webHidden/>
              </w:rPr>
              <w:fldChar w:fldCharType="end"/>
            </w:r>
          </w:hyperlink>
        </w:p>
        <w:p w14:paraId="3A8D67BB" w14:textId="2FBB9C4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8" w:history="1">
            <w:r w:rsidR="006128CE" w:rsidRPr="004727B5">
              <w:rPr>
                <w:rStyle w:val="Hipervnculo"/>
              </w:rPr>
              <w:t>19.14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_Toc140506438 \h </w:instrText>
            </w:r>
            <w:r w:rsidR="006128CE">
              <w:rPr>
                <w:webHidden/>
              </w:rPr>
            </w:r>
            <w:r w:rsidR="006128CE">
              <w:rPr>
                <w:webHidden/>
              </w:rPr>
              <w:fldChar w:fldCharType="separate"/>
            </w:r>
            <w:r w:rsidR="006128CE">
              <w:rPr>
                <w:webHidden/>
              </w:rPr>
              <w:t>201</w:t>
            </w:r>
            <w:r w:rsidR="006128CE">
              <w:rPr>
                <w:webHidden/>
              </w:rPr>
              <w:fldChar w:fldCharType="end"/>
            </w:r>
          </w:hyperlink>
        </w:p>
        <w:p w14:paraId="5DD13CD6" w14:textId="019E494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39" w:history="1">
            <w:r w:rsidR="006128CE" w:rsidRPr="004727B5">
              <w:rPr>
                <w:rStyle w:val="Hipervnculo"/>
              </w:rPr>
              <w:t>19.15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_Toc140506439 \h </w:instrText>
            </w:r>
            <w:r w:rsidR="006128CE">
              <w:rPr>
                <w:webHidden/>
              </w:rPr>
            </w:r>
            <w:r w:rsidR="006128CE">
              <w:rPr>
                <w:webHidden/>
              </w:rPr>
              <w:fldChar w:fldCharType="separate"/>
            </w:r>
            <w:r w:rsidR="006128CE">
              <w:rPr>
                <w:webHidden/>
              </w:rPr>
              <w:t>207</w:t>
            </w:r>
            <w:r w:rsidR="006128CE">
              <w:rPr>
                <w:webHidden/>
              </w:rPr>
              <w:fldChar w:fldCharType="end"/>
            </w:r>
          </w:hyperlink>
        </w:p>
        <w:p w14:paraId="3F17B7A8" w14:textId="0A8F6CC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0" w:history="1">
            <w:r w:rsidR="006128CE" w:rsidRPr="004727B5">
              <w:rPr>
                <w:rStyle w:val="Hipervnculo"/>
              </w:rPr>
              <w:t>19.16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GIGAS ENERGY</w:t>
            </w:r>
            <w:r w:rsidR="006128CE">
              <w:rPr>
                <w:webHidden/>
              </w:rPr>
              <w:tab/>
            </w:r>
            <w:r w:rsidR="006128CE">
              <w:rPr>
                <w:webHidden/>
              </w:rPr>
              <w:fldChar w:fldCharType="begin"/>
            </w:r>
            <w:r w:rsidR="006128CE">
              <w:rPr>
                <w:webHidden/>
              </w:rPr>
              <w:instrText xml:space="preserve"> PAGEREF _Toc140506440 \h </w:instrText>
            </w:r>
            <w:r w:rsidR="006128CE">
              <w:rPr>
                <w:webHidden/>
              </w:rPr>
            </w:r>
            <w:r w:rsidR="006128CE">
              <w:rPr>
                <w:webHidden/>
              </w:rPr>
              <w:fldChar w:fldCharType="separate"/>
            </w:r>
            <w:r w:rsidR="006128CE">
              <w:rPr>
                <w:webHidden/>
              </w:rPr>
              <w:t>208</w:t>
            </w:r>
            <w:r w:rsidR="006128CE">
              <w:rPr>
                <w:webHidden/>
              </w:rPr>
              <w:fldChar w:fldCharType="end"/>
            </w:r>
          </w:hyperlink>
        </w:p>
        <w:p w14:paraId="0BED80AD" w14:textId="18720FE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1" w:history="1">
            <w:r w:rsidR="006128CE" w:rsidRPr="004727B5">
              <w:rPr>
                <w:rStyle w:val="Hipervnculo"/>
              </w:rPr>
              <w:t>19.17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_Toc140506441 \h </w:instrText>
            </w:r>
            <w:r w:rsidR="006128CE">
              <w:rPr>
                <w:webHidden/>
              </w:rPr>
            </w:r>
            <w:r w:rsidR="006128CE">
              <w:rPr>
                <w:webHidden/>
              </w:rPr>
              <w:fldChar w:fldCharType="separate"/>
            </w:r>
            <w:r w:rsidR="006128CE">
              <w:rPr>
                <w:webHidden/>
              </w:rPr>
              <w:t>210</w:t>
            </w:r>
            <w:r w:rsidR="006128CE">
              <w:rPr>
                <w:webHidden/>
              </w:rPr>
              <w:fldChar w:fldCharType="end"/>
            </w:r>
          </w:hyperlink>
        </w:p>
        <w:p w14:paraId="316E1BC1" w14:textId="5EB08B1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2" w:history="1">
            <w:r w:rsidR="006128CE" w:rsidRPr="004727B5">
              <w:rPr>
                <w:rStyle w:val="Hipervnculo"/>
              </w:rPr>
              <w:t>19.18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_Toc140506442 \h </w:instrText>
            </w:r>
            <w:r w:rsidR="006128CE">
              <w:rPr>
                <w:webHidden/>
              </w:rPr>
            </w:r>
            <w:r w:rsidR="006128CE">
              <w:rPr>
                <w:webHidden/>
              </w:rPr>
              <w:fldChar w:fldCharType="separate"/>
            </w:r>
            <w:r w:rsidR="006128CE">
              <w:rPr>
                <w:webHidden/>
              </w:rPr>
              <w:t>215</w:t>
            </w:r>
            <w:r w:rsidR="006128CE">
              <w:rPr>
                <w:webHidden/>
              </w:rPr>
              <w:fldChar w:fldCharType="end"/>
            </w:r>
          </w:hyperlink>
        </w:p>
        <w:p w14:paraId="682B89B6" w14:textId="2544F52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3" w:history="1">
            <w:r w:rsidR="006128CE" w:rsidRPr="004727B5">
              <w:rPr>
                <w:rStyle w:val="Hipervnculo"/>
              </w:rPr>
              <w:t>19.19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_Toc140506443 \h </w:instrText>
            </w:r>
            <w:r w:rsidR="006128CE">
              <w:rPr>
                <w:webHidden/>
              </w:rPr>
            </w:r>
            <w:r w:rsidR="006128CE">
              <w:rPr>
                <w:webHidden/>
              </w:rPr>
              <w:fldChar w:fldCharType="separate"/>
            </w:r>
            <w:r w:rsidR="006128CE">
              <w:rPr>
                <w:webHidden/>
              </w:rPr>
              <w:t>216</w:t>
            </w:r>
            <w:r w:rsidR="006128CE">
              <w:rPr>
                <w:webHidden/>
              </w:rPr>
              <w:fldChar w:fldCharType="end"/>
            </w:r>
          </w:hyperlink>
        </w:p>
        <w:p w14:paraId="694EF9B6" w14:textId="4804B35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4" w:history="1">
            <w:r w:rsidR="006128CE" w:rsidRPr="004727B5">
              <w:rPr>
                <w:rStyle w:val="Hipervnculo"/>
              </w:rPr>
              <w:t>19.20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NATURGAS</w:t>
            </w:r>
            <w:r w:rsidR="006128CE">
              <w:rPr>
                <w:webHidden/>
              </w:rPr>
              <w:tab/>
            </w:r>
            <w:r w:rsidR="006128CE">
              <w:rPr>
                <w:webHidden/>
              </w:rPr>
              <w:fldChar w:fldCharType="begin"/>
            </w:r>
            <w:r w:rsidR="006128CE">
              <w:rPr>
                <w:webHidden/>
              </w:rPr>
              <w:instrText xml:space="preserve"> PAGEREF _Toc140506444 \h </w:instrText>
            </w:r>
            <w:r w:rsidR="006128CE">
              <w:rPr>
                <w:webHidden/>
              </w:rPr>
            </w:r>
            <w:r w:rsidR="006128CE">
              <w:rPr>
                <w:webHidden/>
              </w:rPr>
              <w:fldChar w:fldCharType="separate"/>
            </w:r>
            <w:r w:rsidR="006128CE">
              <w:rPr>
                <w:webHidden/>
              </w:rPr>
              <w:t>220</w:t>
            </w:r>
            <w:r w:rsidR="006128CE">
              <w:rPr>
                <w:webHidden/>
              </w:rPr>
              <w:fldChar w:fldCharType="end"/>
            </w:r>
          </w:hyperlink>
        </w:p>
        <w:p w14:paraId="15CE98DB" w14:textId="7547E49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5" w:history="1">
            <w:r w:rsidR="006128CE" w:rsidRPr="004727B5">
              <w:rPr>
                <w:rStyle w:val="Hipervnculo"/>
              </w:rPr>
              <w:t>19.21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PETROMIL</w:t>
            </w:r>
            <w:r w:rsidR="006128CE">
              <w:rPr>
                <w:webHidden/>
              </w:rPr>
              <w:tab/>
            </w:r>
            <w:r w:rsidR="006128CE">
              <w:rPr>
                <w:webHidden/>
              </w:rPr>
              <w:fldChar w:fldCharType="begin"/>
            </w:r>
            <w:r w:rsidR="006128CE">
              <w:rPr>
                <w:webHidden/>
              </w:rPr>
              <w:instrText xml:space="preserve"> PAGEREF _Toc140506445 \h </w:instrText>
            </w:r>
            <w:r w:rsidR="006128CE">
              <w:rPr>
                <w:webHidden/>
              </w:rPr>
            </w:r>
            <w:r w:rsidR="006128CE">
              <w:rPr>
                <w:webHidden/>
              </w:rPr>
              <w:fldChar w:fldCharType="separate"/>
            </w:r>
            <w:r w:rsidR="006128CE">
              <w:rPr>
                <w:webHidden/>
              </w:rPr>
              <w:t>221</w:t>
            </w:r>
            <w:r w:rsidR="006128CE">
              <w:rPr>
                <w:webHidden/>
              </w:rPr>
              <w:fldChar w:fldCharType="end"/>
            </w:r>
          </w:hyperlink>
        </w:p>
        <w:p w14:paraId="31CAC5F4" w14:textId="6F18772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6" w:history="1">
            <w:r w:rsidR="006128CE" w:rsidRPr="004727B5">
              <w:rPr>
                <w:rStyle w:val="Hipervnculo"/>
              </w:rPr>
              <w:t>19.22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PRIME ENERGIA</w:t>
            </w:r>
            <w:r w:rsidR="006128CE">
              <w:rPr>
                <w:webHidden/>
              </w:rPr>
              <w:tab/>
            </w:r>
            <w:r w:rsidR="006128CE">
              <w:rPr>
                <w:webHidden/>
              </w:rPr>
              <w:fldChar w:fldCharType="begin"/>
            </w:r>
            <w:r w:rsidR="006128CE">
              <w:rPr>
                <w:webHidden/>
              </w:rPr>
              <w:instrText xml:space="preserve"> PAGEREF _Toc140506446 \h </w:instrText>
            </w:r>
            <w:r w:rsidR="006128CE">
              <w:rPr>
                <w:webHidden/>
              </w:rPr>
            </w:r>
            <w:r w:rsidR="006128CE">
              <w:rPr>
                <w:webHidden/>
              </w:rPr>
              <w:fldChar w:fldCharType="separate"/>
            </w:r>
            <w:r w:rsidR="006128CE">
              <w:rPr>
                <w:webHidden/>
              </w:rPr>
              <w:t>222</w:t>
            </w:r>
            <w:r w:rsidR="006128CE">
              <w:rPr>
                <w:webHidden/>
              </w:rPr>
              <w:fldChar w:fldCharType="end"/>
            </w:r>
          </w:hyperlink>
        </w:p>
        <w:p w14:paraId="4B18E48D" w14:textId="7506A21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7" w:history="1">
            <w:r w:rsidR="006128CE" w:rsidRPr="004727B5">
              <w:rPr>
                <w:rStyle w:val="Hipervnculo"/>
              </w:rPr>
              <w:t>19.23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_Toc140506447 \h </w:instrText>
            </w:r>
            <w:r w:rsidR="006128CE">
              <w:rPr>
                <w:webHidden/>
              </w:rPr>
            </w:r>
            <w:r w:rsidR="006128CE">
              <w:rPr>
                <w:webHidden/>
              </w:rPr>
              <w:fldChar w:fldCharType="separate"/>
            </w:r>
            <w:r w:rsidR="006128CE">
              <w:rPr>
                <w:webHidden/>
              </w:rPr>
              <w:t>223</w:t>
            </w:r>
            <w:r w:rsidR="006128CE">
              <w:rPr>
                <w:webHidden/>
              </w:rPr>
              <w:fldChar w:fldCharType="end"/>
            </w:r>
          </w:hyperlink>
        </w:p>
        <w:p w14:paraId="1504D6EF" w14:textId="0347BEA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8" w:history="1">
            <w:r w:rsidR="006128CE" w:rsidRPr="004727B5">
              <w:rPr>
                <w:rStyle w:val="Hipervnculo"/>
              </w:rPr>
              <w:t>19.24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_Toc140506448 \h </w:instrText>
            </w:r>
            <w:r w:rsidR="006128CE">
              <w:rPr>
                <w:webHidden/>
              </w:rPr>
            </w:r>
            <w:r w:rsidR="006128CE">
              <w:rPr>
                <w:webHidden/>
              </w:rPr>
              <w:fldChar w:fldCharType="separate"/>
            </w:r>
            <w:r w:rsidR="006128CE">
              <w:rPr>
                <w:webHidden/>
              </w:rPr>
              <w:t>229</w:t>
            </w:r>
            <w:r w:rsidR="006128CE">
              <w:rPr>
                <w:webHidden/>
              </w:rPr>
              <w:fldChar w:fldCharType="end"/>
            </w:r>
          </w:hyperlink>
        </w:p>
        <w:p w14:paraId="75B63CE7" w14:textId="3526A1B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49" w:history="1">
            <w:r w:rsidR="006128CE" w:rsidRPr="004727B5">
              <w:rPr>
                <w:rStyle w:val="Hipervnculo"/>
              </w:rPr>
              <w:t>19.25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SURTIGAS</w:t>
            </w:r>
            <w:r w:rsidR="006128CE">
              <w:rPr>
                <w:webHidden/>
              </w:rPr>
              <w:tab/>
            </w:r>
            <w:r w:rsidR="006128CE">
              <w:rPr>
                <w:webHidden/>
              </w:rPr>
              <w:fldChar w:fldCharType="begin"/>
            </w:r>
            <w:r w:rsidR="006128CE">
              <w:rPr>
                <w:webHidden/>
              </w:rPr>
              <w:instrText xml:space="preserve"> PAGEREF _Toc140506449 \h </w:instrText>
            </w:r>
            <w:r w:rsidR="006128CE">
              <w:rPr>
                <w:webHidden/>
              </w:rPr>
            </w:r>
            <w:r w:rsidR="006128CE">
              <w:rPr>
                <w:webHidden/>
              </w:rPr>
              <w:fldChar w:fldCharType="separate"/>
            </w:r>
            <w:r w:rsidR="006128CE">
              <w:rPr>
                <w:webHidden/>
              </w:rPr>
              <w:t>231</w:t>
            </w:r>
            <w:r w:rsidR="006128CE">
              <w:rPr>
                <w:webHidden/>
              </w:rPr>
              <w:fldChar w:fldCharType="end"/>
            </w:r>
          </w:hyperlink>
        </w:p>
        <w:p w14:paraId="6B4B5EF4" w14:textId="60C6DF1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0" w:history="1">
            <w:r w:rsidR="006128CE" w:rsidRPr="004727B5">
              <w:rPr>
                <w:rStyle w:val="Hipervnculo"/>
              </w:rPr>
              <w:t>19.26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_Toc140506450 \h </w:instrText>
            </w:r>
            <w:r w:rsidR="006128CE">
              <w:rPr>
                <w:webHidden/>
              </w:rPr>
            </w:r>
            <w:r w:rsidR="006128CE">
              <w:rPr>
                <w:webHidden/>
              </w:rPr>
              <w:fldChar w:fldCharType="separate"/>
            </w:r>
            <w:r w:rsidR="006128CE">
              <w:rPr>
                <w:webHidden/>
              </w:rPr>
              <w:t>237</w:t>
            </w:r>
            <w:r w:rsidR="006128CE">
              <w:rPr>
                <w:webHidden/>
              </w:rPr>
              <w:fldChar w:fldCharType="end"/>
            </w:r>
          </w:hyperlink>
        </w:p>
        <w:p w14:paraId="4586AC5A" w14:textId="6625A0A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1" w:history="1">
            <w:r w:rsidR="006128CE" w:rsidRPr="004727B5">
              <w:rPr>
                <w:rStyle w:val="Hipervnculo"/>
              </w:rPr>
              <w:t>19.27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_Toc140506451 \h </w:instrText>
            </w:r>
            <w:r w:rsidR="006128CE">
              <w:rPr>
                <w:webHidden/>
              </w:rPr>
            </w:r>
            <w:r w:rsidR="006128CE">
              <w:rPr>
                <w:webHidden/>
              </w:rPr>
              <w:fldChar w:fldCharType="separate"/>
            </w:r>
            <w:r w:rsidR="006128CE">
              <w:rPr>
                <w:webHidden/>
              </w:rPr>
              <w:t>239</w:t>
            </w:r>
            <w:r w:rsidR="006128CE">
              <w:rPr>
                <w:webHidden/>
              </w:rPr>
              <w:fldChar w:fldCharType="end"/>
            </w:r>
          </w:hyperlink>
        </w:p>
        <w:p w14:paraId="5A8EE052" w14:textId="3541CA1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2" w:history="1">
            <w:r w:rsidR="006128CE" w:rsidRPr="004727B5">
              <w:rPr>
                <w:rStyle w:val="Hipervnculo"/>
              </w:rPr>
              <w:t>19.28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_Toc140506452 \h </w:instrText>
            </w:r>
            <w:r w:rsidR="006128CE">
              <w:rPr>
                <w:webHidden/>
              </w:rPr>
            </w:r>
            <w:r w:rsidR="006128CE">
              <w:rPr>
                <w:webHidden/>
              </w:rPr>
              <w:fldChar w:fldCharType="separate"/>
            </w:r>
            <w:r w:rsidR="006128CE">
              <w:rPr>
                <w:webHidden/>
              </w:rPr>
              <w:t>241</w:t>
            </w:r>
            <w:r w:rsidR="006128CE">
              <w:rPr>
                <w:webHidden/>
              </w:rPr>
              <w:fldChar w:fldCharType="end"/>
            </w:r>
          </w:hyperlink>
        </w:p>
        <w:p w14:paraId="36408BA5" w14:textId="271E3B9D"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453" w:history="1">
            <w:r w:rsidR="006128CE" w:rsidRPr="004727B5">
              <w:rPr>
                <w:rStyle w:val="Hipervnculo"/>
                <w:caps/>
              </w:rPr>
              <w:t>20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22. </w:t>
            </w:r>
            <w:r w:rsidR="006128CE" w:rsidRPr="004727B5">
              <w:rPr>
                <w:rStyle w:val="Hipervnculo"/>
                <w:caps/>
              </w:rPr>
              <w:t>Condiciones de negociación de los contratos de suministro de gas que requieren Respaldo Físico</w:t>
            </w:r>
            <w:r w:rsidR="006128CE">
              <w:rPr>
                <w:webHidden/>
              </w:rPr>
              <w:tab/>
            </w:r>
            <w:r w:rsidR="006128CE">
              <w:rPr>
                <w:webHidden/>
              </w:rPr>
              <w:fldChar w:fldCharType="begin"/>
            </w:r>
            <w:r w:rsidR="006128CE">
              <w:rPr>
                <w:webHidden/>
              </w:rPr>
              <w:instrText xml:space="preserve"> PAGEREF _Toc140506453 \h </w:instrText>
            </w:r>
            <w:r w:rsidR="006128CE">
              <w:rPr>
                <w:webHidden/>
              </w:rPr>
            </w:r>
            <w:r w:rsidR="006128CE">
              <w:rPr>
                <w:webHidden/>
              </w:rPr>
              <w:fldChar w:fldCharType="separate"/>
            </w:r>
            <w:r w:rsidR="006128CE">
              <w:rPr>
                <w:webHidden/>
              </w:rPr>
              <w:t>254</w:t>
            </w:r>
            <w:r w:rsidR="006128CE">
              <w:rPr>
                <w:webHidden/>
              </w:rPr>
              <w:fldChar w:fldCharType="end"/>
            </w:r>
          </w:hyperlink>
        </w:p>
        <w:p w14:paraId="653A1B52" w14:textId="0DF38C9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4" w:history="1">
            <w:r w:rsidR="006128CE" w:rsidRPr="004727B5">
              <w:rPr>
                <w:rStyle w:val="Hipervnculo"/>
              </w:rPr>
              <w:t>20.1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_Toc140506454 \h </w:instrText>
            </w:r>
            <w:r w:rsidR="006128CE">
              <w:rPr>
                <w:webHidden/>
              </w:rPr>
            </w:r>
            <w:r w:rsidR="006128CE">
              <w:rPr>
                <w:webHidden/>
              </w:rPr>
              <w:fldChar w:fldCharType="separate"/>
            </w:r>
            <w:r w:rsidR="006128CE">
              <w:rPr>
                <w:webHidden/>
              </w:rPr>
              <w:t>254</w:t>
            </w:r>
            <w:r w:rsidR="006128CE">
              <w:rPr>
                <w:webHidden/>
              </w:rPr>
              <w:fldChar w:fldCharType="end"/>
            </w:r>
          </w:hyperlink>
        </w:p>
        <w:p w14:paraId="01370597" w14:textId="028ABFB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5" w:history="1">
            <w:r w:rsidR="006128CE" w:rsidRPr="004727B5">
              <w:rPr>
                <w:rStyle w:val="Hipervnculo"/>
              </w:rPr>
              <w:t>20.2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ALCANOS</w:t>
            </w:r>
            <w:r w:rsidR="006128CE">
              <w:rPr>
                <w:webHidden/>
              </w:rPr>
              <w:tab/>
            </w:r>
            <w:r w:rsidR="006128CE">
              <w:rPr>
                <w:webHidden/>
              </w:rPr>
              <w:fldChar w:fldCharType="begin"/>
            </w:r>
            <w:r w:rsidR="006128CE">
              <w:rPr>
                <w:webHidden/>
              </w:rPr>
              <w:instrText xml:space="preserve"> PAGEREF _Toc140506455 \h </w:instrText>
            </w:r>
            <w:r w:rsidR="006128CE">
              <w:rPr>
                <w:webHidden/>
              </w:rPr>
            </w:r>
            <w:r w:rsidR="006128CE">
              <w:rPr>
                <w:webHidden/>
              </w:rPr>
              <w:fldChar w:fldCharType="separate"/>
            </w:r>
            <w:r w:rsidR="006128CE">
              <w:rPr>
                <w:webHidden/>
              </w:rPr>
              <w:t>256</w:t>
            </w:r>
            <w:r w:rsidR="006128CE">
              <w:rPr>
                <w:webHidden/>
              </w:rPr>
              <w:fldChar w:fldCharType="end"/>
            </w:r>
          </w:hyperlink>
        </w:p>
        <w:p w14:paraId="36DE1B71" w14:textId="508B8E3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6" w:history="1">
            <w:r w:rsidR="006128CE" w:rsidRPr="004727B5">
              <w:rPr>
                <w:rStyle w:val="Hipervnculo"/>
              </w:rPr>
              <w:t>20.3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ANDEG</w:t>
            </w:r>
            <w:r w:rsidR="006128CE">
              <w:rPr>
                <w:webHidden/>
              </w:rPr>
              <w:tab/>
            </w:r>
            <w:r w:rsidR="006128CE">
              <w:rPr>
                <w:webHidden/>
              </w:rPr>
              <w:fldChar w:fldCharType="begin"/>
            </w:r>
            <w:r w:rsidR="006128CE">
              <w:rPr>
                <w:webHidden/>
              </w:rPr>
              <w:instrText xml:space="preserve"> PAGEREF _Toc140506456 \h </w:instrText>
            </w:r>
            <w:r w:rsidR="006128CE">
              <w:rPr>
                <w:webHidden/>
              </w:rPr>
            </w:r>
            <w:r w:rsidR="006128CE">
              <w:rPr>
                <w:webHidden/>
              </w:rPr>
              <w:fldChar w:fldCharType="separate"/>
            </w:r>
            <w:r w:rsidR="006128CE">
              <w:rPr>
                <w:webHidden/>
              </w:rPr>
              <w:t>256</w:t>
            </w:r>
            <w:r w:rsidR="006128CE">
              <w:rPr>
                <w:webHidden/>
              </w:rPr>
              <w:fldChar w:fldCharType="end"/>
            </w:r>
          </w:hyperlink>
        </w:p>
        <w:p w14:paraId="01CF90A1" w14:textId="69F6F0E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7" w:history="1">
            <w:r w:rsidR="006128CE" w:rsidRPr="004727B5">
              <w:rPr>
                <w:rStyle w:val="Hipervnculo"/>
              </w:rPr>
              <w:t>20.4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ANDI</w:t>
            </w:r>
            <w:r w:rsidR="006128CE">
              <w:rPr>
                <w:webHidden/>
              </w:rPr>
              <w:tab/>
            </w:r>
            <w:r w:rsidR="006128CE">
              <w:rPr>
                <w:webHidden/>
              </w:rPr>
              <w:fldChar w:fldCharType="begin"/>
            </w:r>
            <w:r w:rsidR="006128CE">
              <w:rPr>
                <w:webHidden/>
              </w:rPr>
              <w:instrText xml:space="preserve"> PAGEREF _Toc140506457 \h </w:instrText>
            </w:r>
            <w:r w:rsidR="006128CE">
              <w:rPr>
                <w:webHidden/>
              </w:rPr>
            </w:r>
            <w:r w:rsidR="006128CE">
              <w:rPr>
                <w:webHidden/>
              </w:rPr>
              <w:fldChar w:fldCharType="separate"/>
            </w:r>
            <w:r w:rsidR="006128CE">
              <w:rPr>
                <w:webHidden/>
              </w:rPr>
              <w:t>256</w:t>
            </w:r>
            <w:r w:rsidR="006128CE">
              <w:rPr>
                <w:webHidden/>
              </w:rPr>
              <w:fldChar w:fldCharType="end"/>
            </w:r>
          </w:hyperlink>
        </w:p>
        <w:p w14:paraId="12EC0F83" w14:textId="6580DA5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8" w:history="1">
            <w:r w:rsidR="006128CE" w:rsidRPr="004727B5">
              <w:rPr>
                <w:rStyle w:val="Hipervnculo"/>
              </w:rPr>
              <w:t>20.5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_Toc140506458 \h </w:instrText>
            </w:r>
            <w:r w:rsidR="006128CE">
              <w:rPr>
                <w:webHidden/>
              </w:rPr>
            </w:r>
            <w:r w:rsidR="006128CE">
              <w:rPr>
                <w:webHidden/>
              </w:rPr>
              <w:fldChar w:fldCharType="separate"/>
            </w:r>
            <w:r w:rsidR="006128CE">
              <w:rPr>
                <w:webHidden/>
              </w:rPr>
              <w:t>257</w:t>
            </w:r>
            <w:r w:rsidR="006128CE">
              <w:rPr>
                <w:webHidden/>
              </w:rPr>
              <w:fldChar w:fldCharType="end"/>
            </w:r>
          </w:hyperlink>
        </w:p>
        <w:p w14:paraId="051BCFB7" w14:textId="1C59F57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59" w:history="1">
            <w:r w:rsidR="006128CE" w:rsidRPr="004727B5">
              <w:rPr>
                <w:rStyle w:val="Hipervnculo"/>
              </w:rPr>
              <w:t>20.6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_Toc140506459 \h </w:instrText>
            </w:r>
            <w:r w:rsidR="006128CE">
              <w:rPr>
                <w:webHidden/>
              </w:rPr>
            </w:r>
            <w:r w:rsidR="006128CE">
              <w:rPr>
                <w:webHidden/>
              </w:rPr>
              <w:fldChar w:fldCharType="separate"/>
            </w:r>
            <w:r w:rsidR="006128CE">
              <w:rPr>
                <w:webHidden/>
              </w:rPr>
              <w:t>258</w:t>
            </w:r>
            <w:r w:rsidR="006128CE">
              <w:rPr>
                <w:webHidden/>
              </w:rPr>
              <w:fldChar w:fldCharType="end"/>
            </w:r>
          </w:hyperlink>
        </w:p>
        <w:p w14:paraId="16FC4FAA" w14:textId="781A57B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0" w:history="1">
            <w:r w:rsidR="006128CE" w:rsidRPr="004727B5">
              <w:rPr>
                <w:rStyle w:val="Hipervnculo"/>
              </w:rPr>
              <w:t>20.7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CANACOL</w:t>
            </w:r>
            <w:r w:rsidR="006128CE">
              <w:rPr>
                <w:webHidden/>
              </w:rPr>
              <w:tab/>
            </w:r>
            <w:r w:rsidR="006128CE">
              <w:rPr>
                <w:webHidden/>
              </w:rPr>
              <w:fldChar w:fldCharType="begin"/>
            </w:r>
            <w:r w:rsidR="006128CE">
              <w:rPr>
                <w:webHidden/>
              </w:rPr>
              <w:instrText xml:space="preserve"> PAGEREF _Toc140506460 \h </w:instrText>
            </w:r>
            <w:r w:rsidR="006128CE">
              <w:rPr>
                <w:webHidden/>
              </w:rPr>
            </w:r>
            <w:r w:rsidR="006128CE">
              <w:rPr>
                <w:webHidden/>
              </w:rPr>
              <w:fldChar w:fldCharType="separate"/>
            </w:r>
            <w:r w:rsidR="006128CE">
              <w:rPr>
                <w:webHidden/>
              </w:rPr>
              <w:t>259</w:t>
            </w:r>
            <w:r w:rsidR="006128CE">
              <w:rPr>
                <w:webHidden/>
              </w:rPr>
              <w:fldChar w:fldCharType="end"/>
            </w:r>
          </w:hyperlink>
        </w:p>
        <w:p w14:paraId="6888D85D" w14:textId="3A1F093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1" w:history="1">
            <w:r w:rsidR="006128CE" w:rsidRPr="004727B5">
              <w:rPr>
                <w:rStyle w:val="Hipervnculo"/>
              </w:rPr>
              <w:t>20.8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_Toc140506461 \h </w:instrText>
            </w:r>
            <w:r w:rsidR="006128CE">
              <w:rPr>
                <w:webHidden/>
              </w:rPr>
            </w:r>
            <w:r w:rsidR="006128CE">
              <w:rPr>
                <w:webHidden/>
              </w:rPr>
              <w:fldChar w:fldCharType="separate"/>
            </w:r>
            <w:r w:rsidR="006128CE">
              <w:rPr>
                <w:webHidden/>
              </w:rPr>
              <w:t>259</w:t>
            </w:r>
            <w:r w:rsidR="006128CE">
              <w:rPr>
                <w:webHidden/>
              </w:rPr>
              <w:fldChar w:fldCharType="end"/>
            </w:r>
          </w:hyperlink>
        </w:p>
        <w:p w14:paraId="64E15D0C" w14:textId="2A7DB74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2" w:history="1">
            <w:r w:rsidR="006128CE" w:rsidRPr="004727B5">
              <w:rPr>
                <w:rStyle w:val="Hipervnculo"/>
              </w:rPr>
              <w:t>20.9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EPM</w:t>
            </w:r>
            <w:r w:rsidR="006128CE">
              <w:rPr>
                <w:webHidden/>
              </w:rPr>
              <w:tab/>
            </w:r>
            <w:r w:rsidR="006128CE">
              <w:rPr>
                <w:webHidden/>
              </w:rPr>
              <w:fldChar w:fldCharType="begin"/>
            </w:r>
            <w:r w:rsidR="006128CE">
              <w:rPr>
                <w:webHidden/>
              </w:rPr>
              <w:instrText xml:space="preserve"> PAGEREF _Toc140506462 \h </w:instrText>
            </w:r>
            <w:r w:rsidR="006128CE">
              <w:rPr>
                <w:webHidden/>
              </w:rPr>
            </w:r>
            <w:r w:rsidR="006128CE">
              <w:rPr>
                <w:webHidden/>
              </w:rPr>
              <w:fldChar w:fldCharType="separate"/>
            </w:r>
            <w:r w:rsidR="006128CE">
              <w:rPr>
                <w:webHidden/>
              </w:rPr>
              <w:t>262</w:t>
            </w:r>
            <w:r w:rsidR="006128CE">
              <w:rPr>
                <w:webHidden/>
              </w:rPr>
              <w:fldChar w:fldCharType="end"/>
            </w:r>
          </w:hyperlink>
        </w:p>
        <w:p w14:paraId="34BB7977" w14:textId="509ED76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3" w:history="1">
            <w:r w:rsidR="006128CE" w:rsidRPr="004727B5">
              <w:rPr>
                <w:rStyle w:val="Hipervnculo"/>
              </w:rPr>
              <w:t>20.10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_Toc140506463 \h </w:instrText>
            </w:r>
            <w:r w:rsidR="006128CE">
              <w:rPr>
                <w:webHidden/>
              </w:rPr>
            </w:r>
            <w:r w:rsidR="006128CE">
              <w:rPr>
                <w:webHidden/>
              </w:rPr>
              <w:fldChar w:fldCharType="separate"/>
            </w:r>
            <w:r w:rsidR="006128CE">
              <w:rPr>
                <w:webHidden/>
              </w:rPr>
              <w:t>264</w:t>
            </w:r>
            <w:r w:rsidR="006128CE">
              <w:rPr>
                <w:webHidden/>
              </w:rPr>
              <w:fldChar w:fldCharType="end"/>
            </w:r>
          </w:hyperlink>
        </w:p>
        <w:p w14:paraId="172F977C" w14:textId="42A2B81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4" w:history="1">
            <w:r w:rsidR="006128CE" w:rsidRPr="004727B5">
              <w:rPr>
                <w:rStyle w:val="Hipervnculo"/>
              </w:rPr>
              <w:t>20.11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_Toc140506464 \h </w:instrText>
            </w:r>
            <w:r w:rsidR="006128CE">
              <w:rPr>
                <w:webHidden/>
              </w:rPr>
            </w:r>
            <w:r w:rsidR="006128CE">
              <w:rPr>
                <w:webHidden/>
              </w:rPr>
              <w:fldChar w:fldCharType="separate"/>
            </w:r>
            <w:r w:rsidR="006128CE">
              <w:rPr>
                <w:webHidden/>
              </w:rPr>
              <w:t>266</w:t>
            </w:r>
            <w:r w:rsidR="006128CE">
              <w:rPr>
                <w:webHidden/>
              </w:rPr>
              <w:fldChar w:fldCharType="end"/>
            </w:r>
          </w:hyperlink>
        </w:p>
        <w:p w14:paraId="17D32DF1" w14:textId="7EFC1A8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5" w:history="1">
            <w:r w:rsidR="006128CE" w:rsidRPr="004727B5">
              <w:rPr>
                <w:rStyle w:val="Hipervnculo"/>
              </w:rPr>
              <w:t>20.12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_Toc140506465 \h </w:instrText>
            </w:r>
            <w:r w:rsidR="006128CE">
              <w:rPr>
                <w:webHidden/>
              </w:rPr>
            </w:r>
            <w:r w:rsidR="006128CE">
              <w:rPr>
                <w:webHidden/>
              </w:rPr>
              <w:fldChar w:fldCharType="separate"/>
            </w:r>
            <w:r w:rsidR="006128CE">
              <w:rPr>
                <w:webHidden/>
              </w:rPr>
              <w:t>267</w:t>
            </w:r>
            <w:r w:rsidR="006128CE">
              <w:rPr>
                <w:webHidden/>
              </w:rPr>
              <w:fldChar w:fldCharType="end"/>
            </w:r>
          </w:hyperlink>
        </w:p>
        <w:p w14:paraId="1B962B61" w14:textId="782E925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6" w:history="1">
            <w:r w:rsidR="006128CE" w:rsidRPr="004727B5">
              <w:rPr>
                <w:rStyle w:val="Hipervnculo"/>
              </w:rPr>
              <w:t>20.13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_Toc140506466 \h </w:instrText>
            </w:r>
            <w:r w:rsidR="006128CE">
              <w:rPr>
                <w:webHidden/>
              </w:rPr>
            </w:r>
            <w:r w:rsidR="006128CE">
              <w:rPr>
                <w:webHidden/>
              </w:rPr>
              <w:fldChar w:fldCharType="separate"/>
            </w:r>
            <w:r w:rsidR="006128CE">
              <w:rPr>
                <w:webHidden/>
              </w:rPr>
              <w:t>268</w:t>
            </w:r>
            <w:r w:rsidR="006128CE">
              <w:rPr>
                <w:webHidden/>
              </w:rPr>
              <w:fldChar w:fldCharType="end"/>
            </w:r>
          </w:hyperlink>
        </w:p>
        <w:p w14:paraId="6B0ADDE2" w14:textId="59F2F41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7" w:history="1">
            <w:r w:rsidR="006128CE" w:rsidRPr="004727B5">
              <w:rPr>
                <w:rStyle w:val="Hipervnculo"/>
              </w:rPr>
              <w:t>20.14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LEWIS ENERGY</w:t>
            </w:r>
            <w:r w:rsidR="006128CE">
              <w:rPr>
                <w:webHidden/>
              </w:rPr>
              <w:tab/>
            </w:r>
            <w:r w:rsidR="006128CE">
              <w:rPr>
                <w:webHidden/>
              </w:rPr>
              <w:fldChar w:fldCharType="begin"/>
            </w:r>
            <w:r w:rsidR="006128CE">
              <w:rPr>
                <w:webHidden/>
              </w:rPr>
              <w:instrText xml:space="preserve"> PAGEREF _Toc140506467 \h </w:instrText>
            </w:r>
            <w:r w:rsidR="006128CE">
              <w:rPr>
                <w:webHidden/>
              </w:rPr>
            </w:r>
            <w:r w:rsidR="006128CE">
              <w:rPr>
                <w:webHidden/>
              </w:rPr>
              <w:fldChar w:fldCharType="separate"/>
            </w:r>
            <w:r w:rsidR="006128CE">
              <w:rPr>
                <w:webHidden/>
              </w:rPr>
              <w:t>268</w:t>
            </w:r>
            <w:r w:rsidR="006128CE">
              <w:rPr>
                <w:webHidden/>
              </w:rPr>
              <w:fldChar w:fldCharType="end"/>
            </w:r>
          </w:hyperlink>
        </w:p>
        <w:p w14:paraId="1AEF2968" w14:textId="55276AC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8" w:history="1">
            <w:r w:rsidR="006128CE" w:rsidRPr="004727B5">
              <w:rPr>
                <w:rStyle w:val="Hipervnculo"/>
              </w:rPr>
              <w:t>20.15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METROGAS ESP</w:t>
            </w:r>
            <w:r w:rsidR="006128CE">
              <w:rPr>
                <w:webHidden/>
              </w:rPr>
              <w:tab/>
            </w:r>
            <w:r w:rsidR="006128CE">
              <w:rPr>
                <w:webHidden/>
              </w:rPr>
              <w:fldChar w:fldCharType="begin"/>
            </w:r>
            <w:r w:rsidR="006128CE">
              <w:rPr>
                <w:webHidden/>
              </w:rPr>
              <w:instrText xml:space="preserve"> PAGEREF _Toc140506468 \h </w:instrText>
            </w:r>
            <w:r w:rsidR="006128CE">
              <w:rPr>
                <w:webHidden/>
              </w:rPr>
            </w:r>
            <w:r w:rsidR="006128CE">
              <w:rPr>
                <w:webHidden/>
              </w:rPr>
              <w:fldChar w:fldCharType="separate"/>
            </w:r>
            <w:r w:rsidR="006128CE">
              <w:rPr>
                <w:webHidden/>
              </w:rPr>
              <w:t>268</w:t>
            </w:r>
            <w:r w:rsidR="006128CE">
              <w:rPr>
                <w:webHidden/>
              </w:rPr>
              <w:fldChar w:fldCharType="end"/>
            </w:r>
          </w:hyperlink>
        </w:p>
        <w:p w14:paraId="64142976" w14:textId="47A1932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69" w:history="1">
            <w:r w:rsidR="006128CE" w:rsidRPr="004727B5">
              <w:rPr>
                <w:rStyle w:val="Hipervnculo"/>
              </w:rPr>
              <w:t>20.16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NATURGAS</w:t>
            </w:r>
            <w:r w:rsidR="006128CE">
              <w:rPr>
                <w:webHidden/>
              </w:rPr>
              <w:tab/>
            </w:r>
            <w:r w:rsidR="006128CE">
              <w:rPr>
                <w:webHidden/>
              </w:rPr>
              <w:fldChar w:fldCharType="begin"/>
            </w:r>
            <w:r w:rsidR="006128CE">
              <w:rPr>
                <w:webHidden/>
              </w:rPr>
              <w:instrText xml:space="preserve"> PAGEREF _Toc140506469 \h </w:instrText>
            </w:r>
            <w:r w:rsidR="006128CE">
              <w:rPr>
                <w:webHidden/>
              </w:rPr>
            </w:r>
            <w:r w:rsidR="006128CE">
              <w:rPr>
                <w:webHidden/>
              </w:rPr>
              <w:fldChar w:fldCharType="separate"/>
            </w:r>
            <w:r w:rsidR="006128CE">
              <w:rPr>
                <w:webHidden/>
              </w:rPr>
              <w:t>269</w:t>
            </w:r>
            <w:r w:rsidR="006128CE">
              <w:rPr>
                <w:webHidden/>
              </w:rPr>
              <w:fldChar w:fldCharType="end"/>
            </w:r>
          </w:hyperlink>
        </w:p>
        <w:p w14:paraId="748773EC" w14:textId="32D3E6B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70" w:history="1">
            <w:r w:rsidR="006128CE" w:rsidRPr="004727B5">
              <w:rPr>
                <w:rStyle w:val="Hipervnculo"/>
              </w:rPr>
              <w:t>20.17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PETROMIL</w:t>
            </w:r>
            <w:r w:rsidR="006128CE">
              <w:rPr>
                <w:webHidden/>
              </w:rPr>
              <w:tab/>
            </w:r>
            <w:r w:rsidR="006128CE">
              <w:rPr>
                <w:webHidden/>
              </w:rPr>
              <w:fldChar w:fldCharType="begin"/>
            </w:r>
            <w:r w:rsidR="006128CE">
              <w:rPr>
                <w:webHidden/>
              </w:rPr>
              <w:instrText xml:space="preserve"> PAGEREF _Toc140506470 \h </w:instrText>
            </w:r>
            <w:r w:rsidR="006128CE">
              <w:rPr>
                <w:webHidden/>
              </w:rPr>
            </w:r>
            <w:r w:rsidR="006128CE">
              <w:rPr>
                <w:webHidden/>
              </w:rPr>
              <w:fldChar w:fldCharType="separate"/>
            </w:r>
            <w:r w:rsidR="006128CE">
              <w:rPr>
                <w:webHidden/>
              </w:rPr>
              <w:t>269</w:t>
            </w:r>
            <w:r w:rsidR="006128CE">
              <w:rPr>
                <w:webHidden/>
              </w:rPr>
              <w:fldChar w:fldCharType="end"/>
            </w:r>
          </w:hyperlink>
        </w:p>
        <w:p w14:paraId="0B771FB2" w14:textId="2D54D87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71" w:history="1">
            <w:r w:rsidR="006128CE" w:rsidRPr="004727B5">
              <w:rPr>
                <w:rStyle w:val="Hipervnculo"/>
              </w:rPr>
              <w:t>20.18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_Toc140506471 \h </w:instrText>
            </w:r>
            <w:r w:rsidR="006128CE">
              <w:rPr>
                <w:webHidden/>
              </w:rPr>
            </w:r>
            <w:r w:rsidR="006128CE">
              <w:rPr>
                <w:webHidden/>
              </w:rPr>
              <w:fldChar w:fldCharType="separate"/>
            </w:r>
            <w:r w:rsidR="006128CE">
              <w:rPr>
                <w:webHidden/>
              </w:rPr>
              <w:t>270</w:t>
            </w:r>
            <w:r w:rsidR="006128CE">
              <w:rPr>
                <w:webHidden/>
              </w:rPr>
              <w:fldChar w:fldCharType="end"/>
            </w:r>
          </w:hyperlink>
        </w:p>
        <w:p w14:paraId="7407A5FC" w14:textId="2DCA40B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72" w:history="1">
            <w:r w:rsidR="006128CE" w:rsidRPr="004727B5">
              <w:rPr>
                <w:rStyle w:val="Hipervnculo"/>
              </w:rPr>
              <w:t>20.19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_Toc140506472 \h </w:instrText>
            </w:r>
            <w:r w:rsidR="006128CE">
              <w:rPr>
                <w:webHidden/>
              </w:rPr>
            </w:r>
            <w:r w:rsidR="006128CE">
              <w:rPr>
                <w:webHidden/>
              </w:rPr>
              <w:fldChar w:fldCharType="separate"/>
            </w:r>
            <w:r w:rsidR="006128CE">
              <w:rPr>
                <w:webHidden/>
              </w:rPr>
              <w:t>272</w:t>
            </w:r>
            <w:r w:rsidR="006128CE">
              <w:rPr>
                <w:webHidden/>
              </w:rPr>
              <w:fldChar w:fldCharType="end"/>
            </w:r>
          </w:hyperlink>
        </w:p>
        <w:p w14:paraId="6477A8D5" w14:textId="5177572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73" w:history="1">
            <w:r w:rsidR="006128CE" w:rsidRPr="004727B5">
              <w:rPr>
                <w:rStyle w:val="Hipervnculo"/>
              </w:rPr>
              <w:t>20.20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SURTIGAS</w:t>
            </w:r>
            <w:r w:rsidR="006128CE">
              <w:rPr>
                <w:webHidden/>
              </w:rPr>
              <w:tab/>
            </w:r>
            <w:r w:rsidR="006128CE">
              <w:rPr>
                <w:webHidden/>
              </w:rPr>
              <w:fldChar w:fldCharType="begin"/>
            </w:r>
            <w:r w:rsidR="006128CE">
              <w:rPr>
                <w:webHidden/>
              </w:rPr>
              <w:instrText xml:space="preserve"> PAGEREF _Toc140506473 \h </w:instrText>
            </w:r>
            <w:r w:rsidR="006128CE">
              <w:rPr>
                <w:webHidden/>
              </w:rPr>
            </w:r>
            <w:r w:rsidR="006128CE">
              <w:rPr>
                <w:webHidden/>
              </w:rPr>
              <w:fldChar w:fldCharType="separate"/>
            </w:r>
            <w:r w:rsidR="006128CE">
              <w:rPr>
                <w:webHidden/>
              </w:rPr>
              <w:t>274</w:t>
            </w:r>
            <w:r w:rsidR="006128CE">
              <w:rPr>
                <w:webHidden/>
              </w:rPr>
              <w:fldChar w:fldCharType="end"/>
            </w:r>
          </w:hyperlink>
        </w:p>
        <w:p w14:paraId="5D94EFFC" w14:textId="642C29C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74" w:history="1">
            <w:r w:rsidR="006128CE" w:rsidRPr="004727B5">
              <w:rPr>
                <w:rStyle w:val="Hipervnculo"/>
              </w:rPr>
              <w:t>20.21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_Toc140506474 \h </w:instrText>
            </w:r>
            <w:r w:rsidR="006128CE">
              <w:rPr>
                <w:webHidden/>
              </w:rPr>
            </w:r>
            <w:r w:rsidR="006128CE">
              <w:rPr>
                <w:webHidden/>
              </w:rPr>
              <w:fldChar w:fldCharType="separate"/>
            </w:r>
            <w:r w:rsidR="006128CE">
              <w:rPr>
                <w:webHidden/>
              </w:rPr>
              <w:t>276</w:t>
            </w:r>
            <w:r w:rsidR="006128CE">
              <w:rPr>
                <w:webHidden/>
              </w:rPr>
              <w:fldChar w:fldCharType="end"/>
            </w:r>
          </w:hyperlink>
        </w:p>
        <w:p w14:paraId="35C77302" w14:textId="4362D26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75" w:history="1">
            <w:r w:rsidR="006128CE" w:rsidRPr="004727B5">
              <w:rPr>
                <w:rStyle w:val="Hipervnculo"/>
              </w:rPr>
              <w:t>20.22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_Toc140506475 \h </w:instrText>
            </w:r>
            <w:r w:rsidR="006128CE">
              <w:rPr>
                <w:webHidden/>
              </w:rPr>
            </w:r>
            <w:r w:rsidR="006128CE">
              <w:rPr>
                <w:webHidden/>
              </w:rPr>
              <w:fldChar w:fldCharType="separate"/>
            </w:r>
            <w:r w:rsidR="006128CE">
              <w:rPr>
                <w:webHidden/>
              </w:rPr>
              <w:t>276</w:t>
            </w:r>
            <w:r w:rsidR="006128CE">
              <w:rPr>
                <w:webHidden/>
              </w:rPr>
              <w:fldChar w:fldCharType="end"/>
            </w:r>
          </w:hyperlink>
        </w:p>
        <w:p w14:paraId="3F93F31C" w14:textId="4D20F7A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76" w:history="1">
            <w:r w:rsidR="006128CE" w:rsidRPr="004727B5">
              <w:rPr>
                <w:rStyle w:val="Hipervnculo"/>
              </w:rPr>
              <w:t>20.23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_Toc140506476 \h </w:instrText>
            </w:r>
            <w:r w:rsidR="006128CE">
              <w:rPr>
                <w:webHidden/>
              </w:rPr>
            </w:r>
            <w:r w:rsidR="006128CE">
              <w:rPr>
                <w:webHidden/>
              </w:rPr>
              <w:fldChar w:fldCharType="separate"/>
            </w:r>
            <w:r w:rsidR="006128CE">
              <w:rPr>
                <w:webHidden/>
              </w:rPr>
              <w:t>277</w:t>
            </w:r>
            <w:r w:rsidR="006128CE">
              <w:rPr>
                <w:webHidden/>
              </w:rPr>
              <w:fldChar w:fldCharType="end"/>
            </w:r>
          </w:hyperlink>
        </w:p>
        <w:p w14:paraId="29E25BC7" w14:textId="358C94E3"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477" w:history="1">
            <w:r w:rsidR="006128CE" w:rsidRPr="004727B5">
              <w:rPr>
                <w:rStyle w:val="Hipervnculo"/>
                <w:caps/>
              </w:rPr>
              <w:t>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23. </w:t>
            </w:r>
            <w:r w:rsidR="006128CE" w:rsidRPr="004727B5">
              <w:rPr>
                <w:rStyle w:val="Hipervnculo"/>
                <w:caps/>
              </w:rPr>
              <w:t>Comercialización conjunta de la producción de Fuentes de Suministro costa afuera</w:t>
            </w:r>
            <w:r w:rsidR="006128CE">
              <w:rPr>
                <w:webHidden/>
              </w:rPr>
              <w:tab/>
            </w:r>
            <w:r w:rsidR="006128CE">
              <w:rPr>
                <w:webHidden/>
              </w:rPr>
              <w:fldChar w:fldCharType="begin"/>
            </w:r>
            <w:r w:rsidR="006128CE">
              <w:rPr>
                <w:webHidden/>
              </w:rPr>
              <w:instrText xml:space="preserve"> PAGEREF _Toc140506477 \h </w:instrText>
            </w:r>
            <w:r w:rsidR="006128CE">
              <w:rPr>
                <w:webHidden/>
              </w:rPr>
            </w:r>
            <w:r w:rsidR="006128CE">
              <w:rPr>
                <w:webHidden/>
              </w:rPr>
              <w:fldChar w:fldCharType="separate"/>
            </w:r>
            <w:r w:rsidR="006128CE">
              <w:rPr>
                <w:webHidden/>
              </w:rPr>
              <w:t>279</w:t>
            </w:r>
            <w:r w:rsidR="006128CE">
              <w:rPr>
                <w:webHidden/>
              </w:rPr>
              <w:fldChar w:fldCharType="end"/>
            </w:r>
          </w:hyperlink>
        </w:p>
        <w:p w14:paraId="6BE7BCA1" w14:textId="73D6364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78" w:history="1">
            <w:r w:rsidR="006128CE" w:rsidRPr="004727B5">
              <w:rPr>
                <w:rStyle w:val="Hipervnculo"/>
              </w:rPr>
              <w:t>21.1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FRONTERA</w:t>
            </w:r>
            <w:r w:rsidR="006128CE">
              <w:rPr>
                <w:webHidden/>
              </w:rPr>
              <w:tab/>
            </w:r>
            <w:r w:rsidR="006128CE">
              <w:rPr>
                <w:webHidden/>
              </w:rPr>
              <w:fldChar w:fldCharType="begin"/>
            </w:r>
            <w:r w:rsidR="006128CE">
              <w:rPr>
                <w:webHidden/>
              </w:rPr>
              <w:instrText xml:space="preserve"> PAGEREF _Toc140506478 \h </w:instrText>
            </w:r>
            <w:r w:rsidR="006128CE">
              <w:rPr>
                <w:webHidden/>
              </w:rPr>
            </w:r>
            <w:r w:rsidR="006128CE">
              <w:rPr>
                <w:webHidden/>
              </w:rPr>
              <w:fldChar w:fldCharType="separate"/>
            </w:r>
            <w:r w:rsidR="006128CE">
              <w:rPr>
                <w:webHidden/>
              </w:rPr>
              <w:t>279</w:t>
            </w:r>
            <w:r w:rsidR="006128CE">
              <w:rPr>
                <w:webHidden/>
              </w:rPr>
              <w:fldChar w:fldCharType="end"/>
            </w:r>
          </w:hyperlink>
        </w:p>
        <w:p w14:paraId="343C5670" w14:textId="38C41890"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479" w:history="1">
            <w:r w:rsidR="006128CE" w:rsidRPr="004727B5">
              <w:rPr>
                <w:rStyle w:val="Hipervnculo"/>
                <w:caps/>
              </w:rPr>
              <w:t>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24. </w:t>
            </w:r>
            <w:r w:rsidR="006128CE" w:rsidRPr="004727B5">
              <w:rPr>
                <w:rStyle w:val="Hipervnculo"/>
                <w:caps/>
              </w:rPr>
              <w:t>Condición de precio</w:t>
            </w:r>
            <w:r w:rsidR="006128CE">
              <w:rPr>
                <w:webHidden/>
              </w:rPr>
              <w:tab/>
            </w:r>
            <w:r w:rsidR="006128CE">
              <w:rPr>
                <w:webHidden/>
              </w:rPr>
              <w:fldChar w:fldCharType="begin"/>
            </w:r>
            <w:r w:rsidR="006128CE">
              <w:rPr>
                <w:webHidden/>
              </w:rPr>
              <w:instrText xml:space="preserve"> PAGEREF _Toc140506479 \h </w:instrText>
            </w:r>
            <w:r w:rsidR="006128CE">
              <w:rPr>
                <w:webHidden/>
              </w:rPr>
            </w:r>
            <w:r w:rsidR="006128CE">
              <w:rPr>
                <w:webHidden/>
              </w:rPr>
              <w:fldChar w:fldCharType="separate"/>
            </w:r>
            <w:r w:rsidR="006128CE">
              <w:rPr>
                <w:webHidden/>
              </w:rPr>
              <w:t>279</w:t>
            </w:r>
            <w:r w:rsidR="006128CE">
              <w:rPr>
                <w:webHidden/>
              </w:rPr>
              <w:fldChar w:fldCharType="end"/>
            </w:r>
          </w:hyperlink>
        </w:p>
        <w:p w14:paraId="09CCDA89" w14:textId="6C9055C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0" w:history="1">
            <w:r w:rsidR="006128CE" w:rsidRPr="004727B5">
              <w:rPr>
                <w:rStyle w:val="Hipervnculo"/>
              </w:rPr>
              <w:t>22.1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_Toc140506480 \h </w:instrText>
            </w:r>
            <w:r w:rsidR="006128CE">
              <w:rPr>
                <w:webHidden/>
              </w:rPr>
            </w:r>
            <w:r w:rsidR="006128CE">
              <w:rPr>
                <w:webHidden/>
              </w:rPr>
              <w:fldChar w:fldCharType="separate"/>
            </w:r>
            <w:r w:rsidR="006128CE">
              <w:rPr>
                <w:webHidden/>
              </w:rPr>
              <w:t>279</w:t>
            </w:r>
            <w:r w:rsidR="006128CE">
              <w:rPr>
                <w:webHidden/>
              </w:rPr>
              <w:fldChar w:fldCharType="end"/>
            </w:r>
          </w:hyperlink>
        </w:p>
        <w:p w14:paraId="12E87710" w14:textId="7C7DC84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1" w:history="1">
            <w:r w:rsidR="006128CE" w:rsidRPr="004727B5">
              <w:rPr>
                <w:rStyle w:val="Hipervnculo"/>
              </w:rPr>
              <w:t>22.2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_Toc140506481 \h </w:instrText>
            </w:r>
            <w:r w:rsidR="006128CE">
              <w:rPr>
                <w:webHidden/>
              </w:rPr>
            </w:r>
            <w:r w:rsidR="006128CE">
              <w:rPr>
                <w:webHidden/>
              </w:rPr>
              <w:fldChar w:fldCharType="separate"/>
            </w:r>
            <w:r w:rsidR="006128CE">
              <w:rPr>
                <w:webHidden/>
              </w:rPr>
              <w:t>280</w:t>
            </w:r>
            <w:r w:rsidR="006128CE">
              <w:rPr>
                <w:webHidden/>
              </w:rPr>
              <w:fldChar w:fldCharType="end"/>
            </w:r>
          </w:hyperlink>
        </w:p>
        <w:p w14:paraId="7B2C6A9D" w14:textId="1D28F55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2" w:history="1">
            <w:r w:rsidR="006128CE" w:rsidRPr="004727B5">
              <w:rPr>
                <w:rStyle w:val="Hipervnculo"/>
              </w:rPr>
              <w:t>22.3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EPM</w:t>
            </w:r>
            <w:r w:rsidR="006128CE">
              <w:rPr>
                <w:webHidden/>
              </w:rPr>
              <w:tab/>
            </w:r>
            <w:r w:rsidR="006128CE">
              <w:rPr>
                <w:webHidden/>
              </w:rPr>
              <w:fldChar w:fldCharType="begin"/>
            </w:r>
            <w:r w:rsidR="006128CE">
              <w:rPr>
                <w:webHidden/>
              </w:rPr>
              <w:instrText xml:space="preserve"> PAGEREF _Toc140506482 \h </w:instrText>
            </w:r>
            <w:r w:rsidR="006128CE">
              <w:rPr>
                <w:webHidden/>
              </w:rPr>
            </w:r>
            <w:r w:rsidR="006128CE">
              <w:rPr>
                <w:webHidden/>
              </w:rPr>
              <w:fldChar w:fldCharType="separate"/>
            </w:r>
            <w:r w:rsidR="006128CE">
              <w:rPr>
                <w:webHidden/>
              </w:rPr>
              <w:t>281</w:t>
            </w:r>
            <w:r w:rsidR="006128CE">
              <w:rPr>
                <w:webHidden/>
              </w:rPr>
              <w:fldChar w:fldCharType="end"/>
            </w:r>
          </w:hyperlink>
        </w:p>
        <w:p w14:paraId="72030603" w14:textId="4DEB1E3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3" w:history="1">
            <w:r w:rsidR="006128CE" w:rsidRPr="004727B5">
              <w:rPr>
                <w:rStyle w:val="Hipervnculo"/>
              </w:rPr>
              <w:t>22.4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_Toc140506483 \h </w:instrText>
            </w:r>
            <w:r w:rsidR="006128CE">
              <w:rPr>
                <w:webHidden/>
              </w:rPr>
            </w:r>
            <w:r w:rsidR="006128CE">
              <w:rPr>
                <w:webHidden/>
              </w:rPr>
              <w:fldChar w:fldCharType="separate"/>
            </w:r>
            <w:r w:rsidR="006128CE">
              <w:rPr>
                <w:webHidden/>
              </w:rPr>
              <w:t>282</w:t>
            </w:r>
            <w:r w:rsidR="006128CE">
              <w:rPr>
                <w:webHidden/>
              </w:rPr>
              <w:fldChar w:fldCharType="end"/>
            </w:r>
          </w:hyperlink>
        </w:p>
        <w:p w14:paraId="790AA064" w14:textId="564D0D7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4" w:history="1">
            <w:r w:rsidR="006128CE" w:rsidRPr="004727B5">
              <w:rPr>
                <w:rStyle w:val="Hipervnculo"/>
              </w:rPr>
              <w:t>22.5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_Toc140506484 \h </w:instrText>
            </w:r>
            <w:r w:rsidR="006128CE">
              <w:rPr>
                <w:webHidden/>
              </w:rPr>
            </w:r>
            <w:r w:rsidR="006128CE">
              <w:rPr>
                <w:webHidden/>
              </w:rPr>
              <w:fldChar w:fldCharType="separate"/>
            </w:r>
            <w:r w:rsidR="006128CE">
              <w:rPr>
                <w:webHidden/>
              </w:rPr>
              <w:t>283</w:t>
            </w:r>
            <w:r w:rsidR="006128CE">
              <w:rPr>
                <w:webHidden/>
              </w:rPr>
              <w:fldChar w:fldCharType="end"/>
            </w:r>
          </w:hyperlink>
        </w:p>
        <w:p w14:paraId="27B80D8C" w14:textId="04A3075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5" w:history="1">
            <w:r w:rsidR="006128CE" w:rsidRPr="004727B5">
              <w:rPr>
                <w:rStyle w:val="Hipervnculo"/>
              </w:rPr>
              <w:t>22.6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_Toc140506485 \h </w:instrText>
            </w:r>
            <w:r w:rsidR="006128CE">
              <w:rPr>
                <w:webHidden/>
              </w:rPr>
            </w:r>
            <w:r w:rsidR="006128CE">
              <w:rPr>
                <w:webHidden/>
              </w:rPr>
              <w:fldChar w:fldCharType="separate"/>
            </w:r>
            <w:r w:rsidR="006128CE">
              <w:rPr>
                <w:webHidden/>
              </w:rPr>
              <w:t>284</w:t>
            </w:r>
            <w:r w:rsidR="006128CE">
              <w:rPr>
                <w:webHidden/>
              </w:rPr>
              <w:fldChar w:fldCharType="end"/>
            </w:r>
          </w:hyperlink>
        </w:p>
        <w:p w14:paraId="5AEC7904" w14:textId="32C98C1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6" w:history="1">
            <w:r w:rsidR="006128CE" w:rsidRPr="004727B5">
              <w:rPr>
                <w:rStyle w:val="Hipervnculo"/>
              </w:rPr>
              <w:t>22.7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GIGAS ENERGY</w:t>
            </w:r>
            <w:r w:rsidR="006128CE">
              <w:rPr>
                <w:webHidden/>
              </w:rPr>
              <w:tab/>
            </w:r>
            <w:r w:rsidR="006128CE">
              <w:rPr>
                <w:webHidden/>
              </w:rPr>
              <w:fldChar w:fldCharType="begin"/>
            </w:r>
            <w:r w:rsidR="006128CE">
              <w:rPr>
                <w:webHidden/>
              </w:rPr>
              <w:instrText xml:space="preserve"> PAGEREF _Toc140506486 \h </w:instrText>
            </w:r>
            <w:r w:rsidR="006128CE">
              <w:rPr>
                <w:webHidden/>
              </w:rPr>
            </w:r>
            <w:r w:rsidR="006128CE">
              <w:rPr>
                <w:webHidden/>
              </w:rPr>
              <w:fldChar w:fldCharType="separate"/>
            </w:r>
            <w:r w:rsidR="006128CE">
              <w:rPr>
                <w:webHidden/>
              </w:rPr>
              <w:t>284</w:t>
            </w:r>
            <w:r w:rsidR="006128CE">
              <w:rPr>
                <w:webHidden/>
              </w:rPr>
              <w:fldChar w:fldCharType="end"/>
            </w:r>
          </w:hyperlink>
        </w:p>
        <w:p w14:paraId="3CEB8165" w14:textId="6E3FAF8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7" w:history="1">
            <w:r w:rsidR="006128CE" w:rsidRPr="004727B5">
              <w:rPr>
                <w:rStyle w:val="Hipervnculo"/>
              </w:rPr>
              <w:t>22.8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_Toc140506487 \h </w:instrText>
            </w:r>
            <w:r w:rsidR="006128CE">
              <w:rPr>
                <w:webHidden/>
              </w:rPr>
            </w:r>
            <w:r w:rsidR="006128CE">
              <w:rPr>
                <w:webHidden/>
              </w:rPr>
              <w:fldChar w:fldCharType="separate"/>
            </w:r>
            <w:r w:rsidR="006128CE">
              <w:rPr>
                <w:webHidden/>
              </w:rPr>
              <w:t>285</w:t>
            </w:r>
            <w:r w:rsidR="006128CE">
              <w:rPr>
                <w:webHidden/>
              </w:rPr>
              <w:fldChar w:fldCharType="end"/>
            </w:r>
          </w:hyperlink>
        </w:p>
        <w:p w14:paraId="31CFCB98" w14:textId="043300D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8" w:history="1">
            <w:r w:rsidR="006128CE" w:rsidRPr="004727B5">
              <w:rPr>
                <w:rStyle w:val="Hipervnculo"/>
              </w:rPr>
              <w:t>22.9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_Toc140506488 \h </w:instrText>
            </w:r>
            <w:r w:rsidR="006128CE">
              <w:rPr>
                <w:webHidden/>
              </w:rPr>
            </w:r>
            <w:r w:rsidR="006128CE">
              <w:rPr>
                <w:webHidden/>
              </w:rPr>
              <w:fldChar w:fldCharType="separate"/>
            </w:r>
            <w:r w:rsidR="006128CE">
              <w:rPr>
                <w:webHidden/>
              </w:rPr>
              <w:t>286</w:t>
            </w:r>
            <w:r w:rsidR="006128CE">
              <w:rPr>
                <w:webHidden/>
              </w:rPr>
              <w:fldChar w:fldCharType="end"/>
            </w:r>
          </w:hyperlink>
        </w:p>
        <w:p w14:paraId="0BC26023" w14:textId="12AAC93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89" w:history="1">
            <w:r w:rsidR="006128CE" w:rsidRPr="004727B5">
              <w:rPr>
                <w:rStyle w:val="Hipervnculo"/>
              </w:rPr>
              <w:t>22.10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_Toc140506489 \h </w:instrText>
            </w:r>
            <w:r w:rsidR="006128CE">
              <w:rPr>
                <w:webHidden/>
              </w:rPr>
            </w:r>
            <w:r w:rsidR="006128CE">
              <w:rPr>
                <w:webHidden/>
              </w:rPr>
              <w:fldChar w:fldCharType="separate"/>
            </w:r>
            <w:r w:rsidR="006128CE">
              <w:rPr>
                <w:webHidden/>
              </w:rPr>
              <w:t>286</w:t>
            </w:r>
            <w:r w:rsidR="006128CE">
              <w:rPr>
                <w:webHidden/>
              </w:rPr>
              <w:fldChar w:fldCharType="end"/>
            </w:r>
          </w:hyperlink>
        </w:p>
        <w:p w14:paraId="3AEED0FE" w14:textId="4F1FDB7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0" w:history="1">
            <w:r w:rsidR="006128CE" w:rsidRPr="004727B5">
              <w:rPr>
                <w:rStyle w:val="Hipervnculo"/>
              </w:rPr>
              <w:t>22.11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_Toc140506490 \h </w:instrText>
            </w:r>
            <w:r w:rsidR="006128CE">
              <w:rPr>
                <w:webHidden/>
              </w:rPr>
            </w:r>
            <w:r w:rsidR="006128CE">
              <w:rPr>
                <w:webHidden/>
              </w:rPr>
              <w:fldChar w:fldCharType="separate"/>
            </w:r>
            <w:r w:rsidR="006128CE">
              <w:rPr>
                <w:webHidden/>
              </w:rPr>
              <w:t>286</w:t>
            </w:r>
            <w:r w:rsidR="006128CE">
              <w:rPr>
                <w:webHidden/>
              </w:rPr>
              <w:fldChar w:fldCharType="end"/>
            </w:r>
          </w:hyperlink>
        </w:p>
        <w:p w14:paraId="76D4758A" w14:textId="7EBDA067"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491" w:history="1">
            <w:r w:rsidR="006128CE" w:rsidRPr="004727B5">
              <w:rPr>
                <w:rStyle w:val="Hipervnculo"/>
                <w:caps/>
              </w:rPr>
              <w:t>23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25. </w:t>
            </w:r>
            <w:r w:rsidR="006128CE" w:rsidRPr="004727B5">
              <w:rPr>
                <w:rStyle w:val="Hipervnculo"/>
                <w:caps/>
              </w:rPr>
              <w:t>Modalidades de contratos permitidos en el mercado secundario</w:t>
            </w:r>
            <w:r w:rsidR="006128CE">
              <w:rPr>
                <w:webHidden/>
              </w:rPr>
              <w:tab/>
            </w:r>
            <w:r w:rsidR="006128CE">
              <w:rPr>
                <w:webHidden/>
              </w:rPr>
              <w:fldChar w:fldCharType="begin"/>
            </w:r>
            <w:r w:rsidR="006128CE">
              <w:rPr>
                <w:webHidden/>
              </w:rPr>
              <w:instrText xml:space="preserve"> PAGEREF _Toc140506491 \h </w:instrText>
            </w:r>
            <w:r w:rsidR="006128CE">
              <w:rPr>
                <w:webHidden/>
              </w:rPr>
            </w:r>
            <w:r w:rsidR="006128CE">
              <w:rPr>
                <w:webHidden/>
              </w:rPr>
              <w:fldChar w:fldCharType="separate"/>
            </w:r>
            <w:r w:rsidR="006128CE">
              <w:rPr>
                <w:webHidden/>
              </w:rPr>
              <w:t>287</w:t>
            </w:r>
            <w:r w:rsidR="006128CE">
              <w:rPr>
                <w:webHidden/>
              </w:rPr>
              <w:fldChar w:fldCharType="end"/>
            </w:r>
          </w:hyperlink>
        </w:p>
        <w:p w14:paraId="4FAE2418" w14:textId="282CA93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2" w:history="1">
            <w:r w:rsidR="006128CE" w:rsidRPr="004727B5">
              <w:rPr>
                <w:rStyle w:val="Hipervnculo"/>
              </w:rPr>
              <w:t>23.1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_Toc140506492 \h </w:instrText>
            </w:r>
            <w:r w:rsidR="006128CE">
              <w:rPr>
                <w:webHidden/>
              </w:rPr>
            </w:r>
            <w:r w:rsidR="006128CE">
              <w:rPr>
                <w:webHidden/>
              </w:rPr>
              <w:fldChar w:fldCharType="separate"/>
            </w:r>
            <w:r w:rsidR="006128CE">
              <w:rPr>
                <w:webHidden/>
              </w:rPr>
              <w:t>287</w:t>
            </w:r>
            <w:r w:rsidR="006128CE">
              <w:rPr>
                <w:webHidden/>
              </w:rPr>
              <w:fldChar w:fldCharType="end"/>
            </w:r>
          </w:hyperlink>
        </w:p>
        <w:p w14:paraId="66AB9B63" w14:textId="409F665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3" w:history="1">
            <w:r w:rsidR="006128CE" w:rsidRPr="004727B5">
              <w:rPr>
                <w:rStyle w:val="Hipervnculo"/>
              </w:rPr>
              <w:t>23.2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ALCANOS</w:t>
            </w:r>
            <w:r w:rsidR="006128CE">
              <w:rPr>
                <w:webHidden/>
              </w:rPr>
              <w:tab/>
            </w:r>
            <w:r w:rsidR="006128CE">
              <w:rPr>
                <w:webHidden/>
              </w:rPr>
              <w:fldChar w:fldCharType="begin"/>
            </w:r>
            <w:r w:rsidR="006128CE">
              <w:rPr>
                <w:webHidden/>
              </w:rPr>
              <w:instrText xml:space="preserve"> PAGEREF _Toc140506493 \h </w:instrText>
            </w:r>
            <w:r w:rsidR="006128CE">
              <w:rPr>
                <w:webHidden/>
              </w:rPr>
            </w:r>
            <w:r w:rsidR="006128CE">
              <w:rPr>
                <w:webHidden/>
              </w:rPr>
              <w:fldChar w:fldCharType="separate"/>
            </w:r>
            <w:r w:rsidR="006128CE">
              <w:rPr>
                <w:webHidden/>
              </w:rPr>
              <w:t>287</w:t>
            </w:r>
            <w:r w:rsidR="006128CE">
              <w:rPr>
                <w:webHidden/>
              </w:rPr>
              <w:fldChar w:fldCharType="end"/>
            </w:r>
          </w:hyperlink>
        </w:p>
        <w:p w14:paraId="607509AB" w14:textId="48DA0D2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4" w:history="1">
            <w:r w:rsidR="006128CE" w:rsidRPr="004727B5">
              <w:rPr>
                <w:rStyle w:val="Hipervnculo"/>
              </w:rPr>
              <w:t>23.3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_Toc140506494 \h </w:instrText>
            </w:r>
            <w:r w:rsidR="006128CE">
              <w:rPr>
                <w:webHidden/>
              </w:rPr>
            </w:r>
            <w:r w:rsidR="006128CE">
              <w:rPr>
                <w:webHidden/>
              </w:rPr>
              <w:fldChar w:fldCharType="separate"/>
            </w:r>
            <w:r w:rsidR="006128CE">
              <w:rPr>
                <w:webHidden/>
              </w:rPr>
              <w:t>288</w:t>
            </w:r>
            <w:r w:rsidR="006128CE">
              <w:rPr>
                <w:webHidden/>
              </w:rPr>
              <w:fldChar w:fldCharType="end"/>
            </w:r>
          </w:hyperlink>
        </w:p>
        <w:p w14:paraId="0500C3C2" w14:textId="46E3B87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5" w:history="1">
            <w:r w:rsidR="006128CE" w:rsidRPr="004727B5">
              <w:rPr>
                <w:rStyle w:val="Hipervnculo"/>
              </w:rPr>
              <w:t>23.4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EPM</w:t>
            </w:r>
            <w:r w:rsidR="006128CE">
              <w:rPr>
                <w:webHidden/>
              </w:rPr>
              <w:tab/>
            </w:r>
            <w:r w:rsidR="006128CE">
              <w:rPr>
                <w:webHidden/>
              </w:rPr>
              <w:fldChar w:fldCharType="begin"/>
            </w:r>
            <w:r w:rsidR="006128CE">
              <w:rPr>
                <w:webHidden/>
              </w:rPr>
              <w:instrText xml:space="preserve"> PAGEREF _Toc140506495 \h </w:instrText>
            </w:r>
            <w:r w:rsidR="006128CE">
              <w:rPr>
                <w:webHidden/>
              </w:rPr>
            </w:r>
            <w:r w:rsidR="006128CE">
              <w:rPr>
                <w:webHidden/>
              </w:rPr>
              <w:fldChar w:fldCharType="separate"/>
            </w:r>
            <w:r w:rsidR="006128CE">
              <w:rPr>
                <w:webHidden/>
              </w:rPr>
              <w:t>288</w:t>
            </w:r>
            <w:r w:rsidR="006128CE">
              <w:rPr>
                <w:webHidden/>
              </w:rPr>
              <w:fldChar w:fldCharType="end"/>
            </w:r>
          </w:hyperlink>
        </w:p>
        <w:p w14:paraId="0962ACC4" w14:textId="5A2B49A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6" w:history="1">
            <w:r w:rsidR="006128CE" w:rsidRPr="004727B5">
              <w:rPr>
                <w:rStyle w:val="Hipervnculo"/>
              </w:rPr>
              <w:t>23.5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_Toc140506496 \h </w:instrText>
            </w:r>
            <w:r w:rsidR="006128CE">
              <w:rPr>
                <w:webHidden/>
              </w:rPr>
            </w:r>
            <w:r w:rsidR="006128CE">
              <w:rPr>
                <w:webHidden/>
              </w:rPr>
              <w:fldChar w:fldCharType="separate"/>
            </w:r>
            <w:r w:rsidR="006128CE">
              <w:rPr>
                <w:webHidden/>
              </w:rPr>
              <w:t>289</w:t>
            </w:r>
            <w:r w:rsidR="006128CE">
              <w:rPr>
                <w:webHidden/>
              </w:rPr>
              <w:fldChar w:fldCharType="end"/>
            </w:r>
          </w:hyperlink>
        </w:p>
        <w:p w14:paraId="298A9307" w14:textId="0CCA304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7" w:history="1">
            <w:r w:rsidR="006128CE" w:rsidRPr="004727B5">
              <w:rPr>
                <w:rStyle w:val="Hipervnculo"/>
              </w:rPr>
              <w:t>23.6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_Toc140506497 \h </w:instrText>
            </w:r>
            <w:r w:rsidR="006128CE">
              <w:rPr>
                <w:webHidden/>
              </w:rPr>
            </w:r>
            <w:r w:rsidR="006128CE">
              <w:rPr>
                <w:webHidden/>
              </w:rPr>
              <w:fldChar w:fldCharType="separate"/>
            </w:r>
            <w:r w:rsidR="006128CE">
              <w:rPr>
                <w:webHidden/>
              </w:rPr>
              <w:t>290</w:t>
            </w:r>
            <w:r w:rsidR="006128CE">
              <w:rPr>
                <w:webHidden/>
              </w:rPr>
              <w:fldChar w:fldCharType="end"/>
            </w:r>
          </w:hyperlink>
        </w:p>
        <w:p w14:paraId="44373362" w14:textId="235CA64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8" w:history="1">
            <w:r w:rsidR="006128CE" w:rsidRPr="004727B5">
              <w:rPr>
                <w:rStyle w:val="Hipervnculo"/>
              </w:rPr>
              <w:t>23.7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GIGAS ENERGY</w:t>
            </w:r>
            <w:r w:rsidR="006128CE">
              <w:rPr>
                <w:webHidden/>
              </w:rPr>
              <w:tab/>
            </w:r>
            <w:r w:rsidR="006128CE">
              <w:rPr>
                <w:webHidden/>
              </w:rPr>
              <w:fldChar w:fldCharType="begin"/>
            </w:r>
            <w:r w:rsidR="006128CE">
              <w:rPr>
                <w:webHidden/>
              </w:rPr>
              <w:instrText xml:space="preserve"> PAGEREF _Toc140506498 \h </w:instrText>
            </w:r>
            <w:r w:rsidR="006128CE">
              <w:rPr>
                <w:webHidden/>
              </w:rPr>
            </w:r>
            <w:r w:rsidR="006128CE">
              <w:rPr>
                <w:webHidden/>
              </w:rPr>
              <w:fldChar w:fldCharType="separate"/>
            </w:r>
            <w:r w:rsidR="006128CE">
              <w:rPr>
                <w:webHidden/>
              </w:rPr>
              <w:t>290</w:t>
            </w:r>
            <w:r w:rsidR="006128CE">
              <w:rPr>
                <w:webHidden/>
              </w:rPr>
              <w:fldChar w:fldCharType="end"/>
            </w:r>
          </w:hyperlink>
        </w:p>
        <w:p w14:paraId="14BB0727" w14:textId="3855DC0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499" w:history="1">
            <w:r w:rsidR="006128CE" w:rsidRPr="004727B5">
              <w:rPr>
                <w:rStyle w:val="Hipervnculo"/>
              </w:rPr>
              <w:t>23.8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_Toc140506499 \h </w:instrText>
            </w:r>
            <w:r w:rsidR="006128CE">
              <w:rPr>
                <w:webHidden/>
              </w:rPr>
            </w:r>
            <w:r w:rsidR="006128CE">
              <w:rPr>
                <w:webHidden/>
              </w:rPr>
              <w:fldChar w:fldCharType="separate"/>
            </w:r>
            <w:r w:rsidR="006128CE">
              <w:rPr>
                <w:webHidden/>
              </w:rPr>
              <w:t>290</w:t>
            </w:r>
            <w:r w:rsidR="006128CE">
              <w:rPr>
                <w:webHidden/>
              </w:rPr>
              <w:fldChar w:fldCharType="end"/>
            </w:r>
          </w:hyperlink>
        </w:p>
        <w:p w14:paraId="660E20C2" w14:textId="6E9E102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00" w:history="1">
            <w:r w:rsidR="006128CE" w:rsidRPr="004727B5">
              <w:rPr>
                <w:rStyle w:val="Hipervnculo"/>
              </w:rPr>
              <w:t>23.9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_Toc140506500 \h </w:instrText>
            </w:r>
            <w:r w:rsidR="006128CE">
              <w:rPr>
                <w:webHidden/>
              </w:rPr>
            </w:r>
            <w:r w:rsidR="006128CE">
              <w:rPr>
                <w:webHidden/>
              </w:rPr>
              <w:fldChar w:fldCharType="separate"/>
            </w:r>
            <w:r w:rsidR="006128CE">
              <w:rPr>
                <w:webHidden/>
              </w:rPr>
              <w:t>291</w:t>
            </w:r>
            <w:r w:rsidR="006128CE">
              <w:rPr>
                <w:webHidden/>
              </w:rPr>
              <w:fldChar w:fldCharType="end"/>
            </w:r>
          </w:hyperlink>
        </w:p>
        <w:p w14:paraId="470B9827" w14:textId="50A3422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01" w:history="1">
            <w:r w:rsidR="006128CE" w:rsidRPr="004727B5">
              <w:rPr>
                <w:rStyle w:val="Hipervnculo"/>
              </w:rPr>
              <w:t>23.10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_Toc140506501 \h </w:instrText>
            </w:r>
            <w:r w:rsidR="006128CE">
              <w:rPr>
                <w:webHidden/>
              </w:rPr>
            </w:r>
            <w:r w:rsidR="006128CE">
              <w:rPr>
                <w:webHidden/>
              </w:rPr>
              <w:fldChar w:fldCharType="separate"/>
            </w:r>
            <w:r w:rsidR="006128CE">
              <w:rPr>
                <w:webHidden/>
              </w:rPr>
              <w:t>292</w:t>
            </w:r>
            <w:r w:rsidR="006128CE">
              <w:rPr>
                <w:webHidden/>
              </w:rPr>
              <w:fldChar w:fldCharType="end"/>
            </w:r>
          </w:hyperlink>
        </w:p>
        <w:p w14:paraId="22D8FCAB" w14:textId="48EBAE4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02" w:history="1">
            <w:r w:rsidR="006128CE" w:rsidRPr="004727B5">
              <w:rPr>
                <w:rStyle w:val="Hipervnculo"/>
              </w:rPr>
              <w:t>23.11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_Toc140506502 \h </w:instrText>
            </w:r>
            <w:r w:rsidR="006128CE">
              <w:rPr>
                <w:webHidden/>
              </w:rPr>
            </w:r>
            <w:r w:rsidR="006128CE">
              <w:rPr>
                <w:webHidden/>
              </w:rPr>
              <w:fldChar w:fldCharType="separate"/>
            </w:r>
            <w:r w:rsidR="006128CE">
              <w:rPr>
                <w:webHidden/>
              </w:rPr>
              <w:t>293</w:t>
            </w:r>
            <w:r w:rsidR="006128CE">
              <w:rPr>
                <w:webHidden/>
              </w:rPr>
              <w:fldChar w:fldCharType="end"/>
            </w:r>
          </w:hyperlink>
        </w:p>
        <w:p w14:paraId="7961E031" w14:textId="34A4AD6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03" w:history="1">
            <w:r w:rsidR="006128CE" w:rsidRPr="004727B5">
              <w:rPr>
                <w:rStyle w:val="Hipervnculo"/>
              </w:rPr>
              <w:t>23.12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_Toc140506503 \h </w:instrText>
            </w:r>
            <w:r w:rsidR="006128CE">
              <w:rPr>
                <w:webHidden/>
              </w:rPr>
            </w:r>
            <w:r w:rsidR="006128CE">
              <w:rPr>
                <w:webHidden/>
              </w:rPr>
              <w:fldChar w:fldCharType="separate"/>
            </w:r>
            <w:r w:rsidR="006128CE">
              <w:rPr>
                <w:webHidden/>
              </w:rPr>
              <w:t>293</w:t>
            </w:r>
            <w:r w:rsidR="006128CE">
              <w:rPr>
                <w:webHidden/>
              </w:rPr>
              <w:fldChar w:fldCharType="end"/>
            </w:r>
          </w:hyperlink>
        </w:p>
        <w:p w14:paraId="3AE2C138" w14:textId="6152B562"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04" w:history="1">
            <w:r w:rsidR="006128CE" w:rsidRPr="004727B5">
              <w:rPr>
                <w:rStyle w:val="Hipervnculo"/>
                <w:caps/>
              </w:rPr>
              <w:t>24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26. </w:t>
            </w:r>
            <w:r w:rsidR="006128CE" w:rsidRPr="004727B5">
              <w:rPr>
                <w:rStyle w:val="Hipervnculo"/>
                <w:caps/>
              </w:rPr>
              <w:t>Duración de los contratos</w:t>
            </w:r>
            <w:r w:rsidR="006128CE">
              <w:rPr>
                <w:webHidden/>
              </w:rPr>
              <w:tab/>
            </w:r>
            <w:r w:rsidR="006128CE">
              <w:rPr>
                <w:webHidden/>
              </w:rPr>
              <w:fldChar w:fldCharType="begin"/>
            </w:r>
            <w:r w:rsidR="006128CE">
              <w:rPr>
                <w:webHidden/>
              </w:rPr>
              <w:instrText xml:space="preserve"> PAGEREF _Toc140506504 \h </w:instrText>
            </w:r>
            <w:r w:rsidR="006128CE">
              <w:rPr>
                <w:webHidden/>
              </w:rPr>
            </w:r>
            <w:r w:rsidR="006128CE">
              <w:rPr>
                <w:webHidden/>
              </w:rPr>
              <w:fldChar w:fldCharType="separate"/>
            </w:r>
            <w:r w:rsidR="006128CE">
              <w:rPr>
                <w:webHidden/>
              </w:rPr>
              <w:t>294</w:t>
            </w:r>
            <w:r w:rsidR="006128CE">
              <w:rPr>
                <w:webHidden/>
              </w:rPr>
              <w:fldChar w:fldCharType="end"/>
            </w:r>
          </w:hyperlink>
        </w:p>
        <w:p w14:paraId="281B6048" w14:textId="38AF3A8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05" w:history="1">
            <w:r w:rsidR="006128CE" w:rsidRPr="004727B5">
              <w:rPr>
                <w:rStyle w:val="Hipervnculo"/>
              </w:rPr>
              <w:t>24.1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_Toc140506505 \h </w:instrText>
            </w:r>
            <w:r w:rsidR="006128CE">
              <w:rPr>
                <w:webHidden/>
              </w:rPr>
            </w:r>
            <w:r w:rsidR="006128CE">
              <w:rPr>
                <w:webHidden/>
              </w:rPr>
              <w:fldChar w:fldCharType="separate"/>
            </w:r>
            <w:r w:rsidR="006128CE">
              <w:rPr>
                <w:webHidden/>
              </w:rPr>
              <w:t>294</w:t>
            </w:r>
            <w:r w:rsidR="006128CE">
              <w:rPr>
                <w:webHidden/>
              </w:rPr>
              <w:fldChar w:fldCharType="end"/>
            </w:r>
          </w:hyperlink>
        </w:p>
        <w:p w14:paraId="3D4962F4" w14:textId="1A7346D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06" w:history="1">
            <w:r w:rsidR="006128CE" w:rsidRPr="004727B5">
              <w:rPr>
                <w:rStyle w:val="Hipervnculo"/>
              </w:rPr>
              <w:t>24.2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EPM</w:t>
            </w:r>
            <w:r w:rsidR="006128CE">
              <w:rPr>
                <w:webHidden/>
              </w:rPr>
              <w:tab/>
            </w:r>
            <w:r w:rsidR="006128CE">
              <w:rPr>
                <w:webHidden/>
              </w:rPr>
              <w:fldChar w:fldCharType="begin"/>
            </w:r>
            <w:r w:rsidR="006128CE">
              <w:rPr>
                <w:webHidden/>
              </w:rPr>
              <w:instrText xml:space="preserve"> PAGEREF _Toc140506506 \h </w:instrText>
            </w:r>
            <w:r w:rsidR="006128CE">
              <w:rPr>
                <w:webHidden/>
              </w:rPr>
            </w:r>
            <w:r w:rsidR="006128CE">
              <w:rPr>
                <w:webHidden/>
              </w:rPr>
              <w:fldChar w:fldCharType="separate"/>
            </w:r>
            <w:r w:rsidR="006128CE">
              <w:rPr>
                <w:webHidden/>
              </w:rPr>
              <w:t>294</w:t>
            </w:r>
            <w:r w:rsidR="006128CE">
              <w:rPr>
                <w:webHidden/>
              </w:rPr>
              <w:fldChar w:fldCharType="end"/>
            </w:r>
          </w:hyperlink>
        </w:p>
        <w:p w14:paraId="4365F857" w14:textId="41154BA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07" w:history="1">
            <w:r w:rsidR="006128CE" w:rsidRPr="004727B5">
              <w:rPr>
                <w:rStyle w:val="Hipervnculo"/>
              </w:rPr>
              <w:t>24.3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_Toc140506507 \h </w:instrText>
            </w:r>
            <w:r w:rsidR="006128CE">
              <w:rPr>
                <w:webHidden/>
              </w:rPr>
            </w:r>
            <w:r w:rsidR="006128CE">
              <w:rPr>
                <w:webHidden/>
              </w:rPr>
              <w:fldChar w:fldCharType="separate"/>
            </w:r>
            <w:r w:rsidR="006128CE">
              <w:rPr>
                <w:webHidden/>
              </w:rPr>
              <w:t>295</w:t>
            </w:r>
            <w:r w:rsidR="006128CE">
              <w:rPr>
                <w:webHidden/>
              </w:rPr>
              <w:fldChar w:fldCharType="end"/>
            </w:r>
          </w:hyperlink>
        </w:p>
        <w:p w14:paraId="39F5094F" w14:textId="45509D3A"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08" w:history="1">
            <w:r w:rsidR="006128CE" w:rsidRPr="004727B5">
              <w:rPr>
                <w:rStyle w:val="Hipervnculo"/>
                <w:caps/>
              </w:rPr>
              <w:t>25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27. </w:t>
            </w:r>
            <w:r w:rsidR="006128CE" w:rsidRPr="004727B5">
              <w:rPr>
                <w:rStyle w:val="Hipervnculo"/>
                <w:caps/>
              </w:rPr>
              <w:t>Puntos Estándar de entrega e indicadores de formación de precios</w:t>
            </w:r>
            <w:r w:rsidR="006128CE">
              <w:rPr>
                <w:webHidden/>
              </w:rPr>
              <w:tab/>
            </w:r>
            <w:r w:rsidR="006128CE">
              <w:rPr>
                <w:webHidden/>
              </w:rPr>
              <w:fldChar w:fldCharType="begin"/>
            </w:r>
            <w:r w:rsidR="006128CE">
              <w:rPr>
                <w:webHidden/>
              </w:rPr>
              <w:instrText xml:space="preserve"> PAGEREF _Toc140506508 \h </w:instrText>
            </w:r>
            <w:r w:rsidR="006128CE">
              <w:rPr>
                <w:webHidden/>
              </w:rPr>
            </w:r>
            <w:r w:rsidR="006128CE">
              <w:rPr>
                <w:webHidden/>
              </w:rPr>
              <w:fldChar w:fldCharType="separate"/>
            </w:r>
            <w:r w:rsidR="006128CE">
              <w:rPr>
                <w:webHidden/>
              </w:rPr>
              <w:t>295</w:t>
            </w:r>
            <w:r w:rsidR="006128CE">
              <w:rPr>
                <w:webHidden/>
              </w:rPr>
              <w:fldChar w:fldCharType="end"/>
            </w:r>
          </w:hyperlink>
        </w:p>
        <w:p w14:paraId="0872DE2A" w14:textId="03C6F4F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09" w:history="1">
            <w:r w:rsidR="006128CE" w:rsidRPr="004727B5">
              <w:rPr>
                <w:rStyle w:val="Hipervnculo"/>
              </w:rPr>
              <w:t>25.1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_Toc140506509 \h </w:instrText>
            </w:r>
            <w:r w:rsidR="006128CE">
              <w:rPr>
                <w:webHidden/>
              </w:rPr>
            </w:r>
            <w:r w:rsidR="006128CE">
              <w:rPr>
                <w:webHidden/>
              </w:rPr>
              <w:fldChar w:fldCharType="separate"/>
            </w:r>
            <w:r w:rsidR="006128CE">
              <w:rPr>
                <w:webHidden/>
              </w:rPr>
              <w:t>295</w:t>
            </w:r>
            <w:r w:rsidR="006128CE">
              <w:rPr>
                <w:webHidden/>
              </w:rPr>
              <w:fldChar w:fldCharType="end"/>
            </w:r>
          </w:hyperlink>
        </w:p>
        <w:p w14:paraId="39C1A928" w14:textId="21718AF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10" w:history="1">
            <w:r w:rsidR="006128CE" w:rsidRPr="004727B5">
              <w:rPr>
                <w:rStyle w:val="Hipervnculo"/>
              </w:rPr>
              <w:t>25.2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_Toc140506510 \h </w:instrText>
            </w:r>
            <w:r w:rsidR="006128CE">
              <w:rPr>
                <w:webHidden/>
              </w:rPr>
            </w:r>
            <w:r w:rsidR="006128CE">
              <w:rPr>
                <w:webHidden/>
              </w:rPr>
              <w:fldChar w:fldCharType="separate"/>
            </w:r>
            <w:r w:rsidR="006128CE">
              <w:rPr>
                <w:webHidden/>
              </w:rPr>
              <w:t>295</w:t>
            </w:r>
            <w:r w:rsidR="006128CE">
              <w:rPr>
                <w:webHidden/>
              </w:rPr>
              <w:fldChar w:fldCharType="end"/>
            </w:r>
          </w:hyperlink>
        </w:p>
        <w:p w14:paraId="55832A56" w14:textId="0A2C72E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11" w:history="1">
            <w:r w:rsidR="006128CE" w:rsidRPr="004727B5">
              <w:rPr>
                <w:rStyle w:val="Hipervnculo"/>
              </w:rPr>
              <w:t>25.3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_Toc140506511 \h </w:instrText>
            </w:r>
            <w:r w:rsidR="006128CE">
              <w:rPr>
                <w:webHidden/>
              </w:rPr>
            </w:r>
            <w:r w:rsidR="006128CE">
              <w:rPr>
                <w:webHidden/>
              </w:rPr>
              <w:fldChar w:fldCharType="separate"/>
            </w:r>
            <w:r w:rsidR="006128CE">
              <w:rPr>
                <w:webHidden/>
              </w:rPr>
              <w:t>296</w:t>
            </w:r>
            <w:r w:rsidR="006128CE">
              <w:rPr>
                <w:webHidden/>
              </w:rPr>
              <w:fldChar w:fldCharType="end"/>
            </w:r>
          </w:hyperlink>
        </w:p>
        <w:p w14:paraId="23FC1809" w14:textId="34815E7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12" w:history="1">
            <w:r w:rsidR="006128CE" w:rsidRPr="004727B5">
              <w:rPr>
                <w:rStyle w:val="Hipervnculo"/>
              </w:rPr>
              <w:t>25.4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_Toc140506512 \h </w:instrText>
            </w:r>
            <w:r w:rsidR="006128CE">
              <w:rPr>
                <w:webHidden/>
              </w:rPr>
            </w:r>
            <w:r w:rsidR="006128CE">
              <w:rPr>
                <w:webHidden/>
              </w:rPr>
              <w:fldChar w:fldCharType="separate"/>
            </w:r>
            <w:r w:rsidR="006128CE">
              <w:rPr>
                <w:webHidden/>
              </w:rPr>
              <w:t>296</w:t>
            </w:r>
            <w:r w:rsidR="006128CE">
              <w:rPr>
                <w:webHidden/>
              </w:rPr>
              <w:fldChar w:fldCharType="end"/>
            </w:r>
          </w:hyperlink>
        </w:p>
        <w:p w14:paraId="1932CF3D" w14:textId="7F010C4D"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13" w:history="1">
            <w:r w:rsidR="006128CE" w:rsidRPr="004727B5">
              <w:rPr>
                <w:rStyle w:val="Hipervnculo"/>
                <w:caps/>
              </w:rPr>
              <w:t>26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28. </w:t>
            </w:r>
            <w:r w:rsidR="006128CE" w:rsidRPr="004727B5">
              <w:rPr>
                <w:rStyle w:val="Hipervnculo"/>
                <w:caps/>
              </w:rPr>
              <w:t>Vendedores de gas natural del Mercado Secundario</w:t>
            </w:r>
            <w:r w:rsidR="006128CE">
              <w:rPr>
                <w:webHidden/>
              </w:rPr>
              <w:tab/>
            </w:r>
            <w:r w:rsidR="006128CE">
              <w:rPr>
                <w:webHidden/>
              </w:rPr>
              <w:fldChar w:fldCharType="begin"/>
            </w:r>
            <w:r w:rsidR="006128CE">
              <w:rPr>
                <w:webHidden/>
              </w:rPr>
              <w:instrText xml:space="preserve"> PAGEREF _Toc140506513 \h </w:instrText>
            </w:r>
            <w:r w:rsidR="006128CE">
              <w:rPr>
                <w:webHidden/>
              </w:rPr>
            </w:r>
            <w:r w:rsidR="006128CE">
              <w:rPr>
                <w:webHidden/>
              </w:rPr>
              <w:fldChar w:fldCharType="separate"/>
            </w:r>
            <w:r w:rsidR="006128CE">
              <w:rPr>
                <w:webHidden/>
              </w:rPr>
              <w:t>297</w:t>
            </w:r>
            <w:r w:rsidR="006128CE">
              <w:rPr>
                <w:webHidden/>
              </w:rPr>
              <w:fldChar w:fldCharType="end"/>
            </w:r>
          </w:hyperlink>
        </w:p>
        <w:p w14:paraId="4D4512F4" w14:textId="49E155D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14" w:history="1">
            <w:r w:rsidR="006128CE" w:rsidRPr="004727B5">
              <w:rPr>
                <w:rStyle w:val="Hipervnculo"/>
              </w:rPr>
              <w:t>26.1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_Toc140506514 \h </w:instrText>
            </w:r>
            <w:r w:rsidR="006128CE">
              <w:rPr>
                <w:webHidden/>
              </w:rPr>
            </w:r>
            <w:r w:rsidR="006128CE">
              <w:rPr>
                <w:webHidden/>
              </w:rPr>
              <w:fldChar w:fldCharType="separate"/>
            </w:r>
            <w:r w:rsidR="006128CE">
              <w:rPr>
                <w:webHidden/>
              </w:rPr>
              <w:t>297</w:t>
            </w:r>
            <w:r w:rsidR="006128CE">
              <w:rPr>
                <w:webHidden/>
              </w:rPr>
              <w:fldChar w:fldCharType="end"/>
            </w:r>
          </w:hyperlink>
        </w:p>
        <w:p w14:paraId="6DF4F287" w14:textId="0087938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15" w:history="1">
            <w:r w:rsidR="006128CE" w:rsidRPr="004727B5">
              <w:rPr>
                <w:rStyle w:val="Hipervnculo"/>
              </w:rPr>
              <w:t>26.2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_Toc140506515 \h </w:instrText>
            </w:r>
            <w:r w:rsidR="006128CE">
              <w:rPr>
                <w:webHidden/>
              </w:rPr>
            </w:r>
            <w:r w:rsidR="006128CE">
              <w:rPr>
                <w:webHidden/>
              </w:rPr>
              <w:fldChar w:fldCharType="separate"/>
            </w:r>
            <w:r w:rsidR="006128CE">
              <w:rPr>
                <w:webHidden/>
              </w:rPr>
              <w:t>297</w:t>
            </w:r>
            <w:r w:rsidR="006128CE">
              <w:rPr>
                <w:webHidden/>
              </w:rPr>
              <w:fldChar w:fldCharType="end"/>
            </w:r>
          </w:hyperlink>
        </w:p>
        <w:p w14:paraId="690927B7" w14:textId="4FEC815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16" w:history="1">
            <w:r w:rsidR="006128CE" w:rsidRPr="004727B5">
              <w:rPr>
                <w:rStyle w:val="Hipervnculo"/>
              </w:rPr>
              <w:t>26.3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_Toc140506516 \h </w:instrText>
            </w:r>
            <w:r w:rsidR="006128CE">
              <w:rPr>
                <w:webHidden/>
              </w:rPr>
            </w:r>
            <w:r w:rsidR="006128CE">
              <w:rPr>
                <w:webHidden/>
              </w:rPr>
              <w:fldChar w:fldCharType="separate"/>
            </w:r>
            <w:r w:rsidR="006128CE">
              <w:rPr>
                <w:webHidden/>
              </w:rPr>
              <w:t>297</w:t>
            </w:r>
            <w:r w:rsidR="006128CE">
              <w:rPr>
                <w:webHidden/>
              </w:rPr>
              <w:fldChar w:fldCharType="end"/>
            </w:r>
          </w:hyperlink>
        </w:p>
        <w:p w14:paraId="1F458F4B" w14:textId="385F754C"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17" w:history="1">
            <w:r w:rsidR="006128CE" w:rsidRPr="004727B5">
              <w:rPr>
                <w:rStyle w:val="Hipervnculo"/>
                <w:caps/>
              </w:rPr>
              <w:t>27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29. </w:t>
            </w:r>
            <w:r w:rsidR="006128CE" w:rsidRPr="004727B5">
              <w:rPr>
                <w:rStyle w:val="Hipervnculo"/>
                <w:caps/>
              </w:rPr>
              <w:t>Compradores de gas natural del Mercado Secundario</w:t>
            </w:r>
            <w:r w:rsidR="006128CE">
              <w:rPr>
                <w:webHidden/>
              </w:rPr>
              <w:tab/>
            </w:r>
            <w:r w:rsidR="006128CE">
              <w:rPr>
                <w:webHidden/>
              </w:rPr>
              <w:fldChar w:fldCharType="begin"/>
            </w:r>
            <w:r w:rsidR="006128CE">
              <w:rPr>
                <w:webHidden/>
              </w:rPr>
              <w:instrText xml:space="preserve"> PAGEREF _Toc140506517 \h </w:instrText>
            </w:r>
            <w:r w:rsidR="006128CE">
              <w:rPr>
                <w:webHidden/>
              </w:rPr>
            </w:r>
            <w:r w:rsidR="006128CE">
              <w:rPr>
                <w:webHidden/>
              </w:rPr>
              <w:fldChar w:fldCharType="separate"/>
            </w:r>
            <w:r w:rsidR="006128CE">
              <w:rPr>
                <w:webHidden/>
              </w:rPr>
              <w:t>298</w:t>
            </w:r>
            <w:r w:rsidR="006128CE">
              <w:rPr>
                <w:webHidden/>
              </w:rPr>
              <w:fldChar w:fldCharType="end"/>
            </w:r>
          </w:hyperlink>
        </w:p>
        <w:p w14:paraId="4A96F4BB" w14:textId="3B01A85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18" w:history="1">
            <w:r w:rsidR="006128CE" w:rsidRPr="004727B5">
              <w:rPr>
                <w:rStyle w:val="Hipervnculo"/>
              </w:rPr>
              <w:t>27.1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ALCANOS</w:t>
            </w:r>
            <w:r w:rsidR="006128CE">
              <w:rPr>
                <w:webHidden/>
              </w:rPr>
              <w:tab/>
            </w:r>
            <w:r w:rsidR="006128CE">
              <w:rPr>
                <w:webHidden/>
              </w:rPr>
              <w:fldChar w:fldCharType="begin"/>
            </w:r>
            <w:r w:rsidR="006128CE">
              <w:rPr>
                <w:webHidden/>
              </w:rPr>
              <w:instrText xml:space="preserve"> PAGEREF _Toc140506518 \h </w:instrText>
            </w:r>
            <w:r w:rsidR="006128CE">
              <w:rPr>
                <w:webHidden/>
              </w:rPr>
            </w:r>
            <w:r w:rsidR="006128CE">
              <w:rPr>
                <w:webHidden/>
              </w:rPr>
              <w:fldChar w:fldCharType="separate"/>
            </w:r>
            <w:r w:rsidR="006128CE">
              <w:rPr>
                <w:webHidden/>
              </w:rPr>
              <w:t>298</w:t>
            </w:r>
            <w:r w:rsidR="006128CE">
              <w:rPr>
                <w:webHidden/>
              </w:rPr>
              <w:fldChar w:fldCharType="end"/>
            </w:r>
          </w:hyperlink>
        </w:p>
        <w:p w14:paraId="1C378486" w14:textId="1B9DF35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19" w:history="1">
            <w:r w:rsidR="006128CE" w:rsidRPr="004727B5">
              <w:rPr>
                <w:rStyle w:val="Hipervnculo"/>
              </w:rPr>
              <w:t>27.2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_Toc140506519 \h </w:instrText>
            </w:r>
            <w:r w:rsidR="006128CE">
              <w:rPr>
                <w:webHidden/>
              </w:rPr>
            </w:r>
            <w:r w:rsidR="006128CE">
              <w:rPr>
                <w:webHidden/>
              </w:rPr>
              <w:fldChar w:fldCharType="separate"/>
            </w:r>
            <w:r w:rsidR="006128CE">
              <w:rPr>
                <w:webHidden/>
              </w:rPr>
              <w:t>298</w:t>
            </w:r>
            <w:r w:rsidR="006128CE">
              <w:rPr>
                <w:webHidden/>
              </w:rPr>
              <w:fldChar w:fldCharType="end"/>
            </w:r>
          </w:hyperlink>
        </w:p>
        <w:p w14:paraId="18E3D350" w14:textId="786284E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20" w:history="1">
            <w:r w:rsidR="006128CE" w:rsidRPr="004727B5">
              <w:rPr>
                <w:rStyle w:val="Hipervnculo"/>
              </w:rPr>
              <w:t>27.3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_Toc140506520 \h </w:instrText>
            </w:r>
            <w:r w:rsidR="006128CE">
              <w:rPr>
                <w:webHidden/>
              </w:rPr>
            </w:r>
            <w:r w:rsidR="006128CE">
              <w:rPr>
                <w:webHidden/>
              </w:rPr>
              <w:fldChar w:fldCharType="separate"/>
            </w:r>
            <w:r w:rsidR="006128CE">
              <w:rPr>
                <w:webHidden/>
              </w:rPr>
              <w:t>298</w:t>
            </w:r>
            <w:r w:rsidR="006128CE">
              <w:rPr>
                <w:webHidden/>
              </w:rPr>
              <w:fldChar w:fldCharType="end"/>
            </w:r>
          </w:hyperlink>
        </w:p>
        <w:p w14:paraId="772E543D" w14:textId="4055C10E"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21" w:history="1">
            <w:r w:rsidR="006128CE" w:rsidRPr="004727B5">
              <w:rPr>
                <w:rStyle w:val="Hipervnculo"/>
                <w:caps/>
              </w:rPr>
              <w:t>28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30. </w:t>
            </w:r>
            <w:r w:rsidR="006128CE" w:rsidRPr="004727B5">
              <w:rPr>
                <w:rStyle w:val="Hipervnculo"/>
                <w:caps/>
              </w:rPr>
              <w:t>Negociaciones directas de derechos de suministro de gas natural del Mercado Secundario</w:t>
            </w:r>
            <w:r w:rsidR="006128CE">
              <w:rPr>
                <w:webHidden/>
              </w:rPr>
              <w:tab/>
            </w:r>
            <w:r w:rsidR="006128CE">
              <w:rPr>
                <w:webHidden/>
              </w:rPr>
              <w:fldChar w:fldCharType="begin"/>
            </w:r>
            <w:r w:rsidR="006128CE">
              <w:rPr>
                <w:webHidden/>
              </w:rPr>
              <w:instrText xml:space="preserve"> PAGEREF _Toc140506521 \h </w:instrText>
            </w:r>
            <w:r w:rsidR="006128CE">
              <w:rPr>
                <w:webHidden/>
              </w:rPr>
            </w:r>
            <w:r w:rsidR="006128CE">
              <w:rPr>
                <w:webHidden/>
              </w:rPr>
              <w:fldChar w:fldCharType="separate"/>
            </w:r>
            <w:r w:rsidR="006128CE">
              <w:rPr>
                <w:webHidden/>
              </w:rPr>
              <w:t>299</w:t>
            </w:r>
            <w:r w:rsidR="006128CE">
              <w:rPr>
                <w:webHidden/>
              </w:rPr>
              <w:fldChar w:fldCharType="end"/>
            </w:r>
          </w:hyperlink>
        </w:p>
        <w:p w14:paraId="4762A07F" w14:textId="578244A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22" w:history="1">
            <w:r w:rsidR="006128CE" w:rsidRPr="004727B5">
              <w:rPr>
                <w:rStyle w:val="Hipervnculo"/>
              </w:rPr>
              <w:t>28.1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_Toc140506522 \h </w:instrText>
            </w:r>
            <w:r w:rsidR="006128CE">
              <w:rPr>
                <w:webHidden/>
              </w:rPr>
            </w:r>
            <w:r w:rsidR="006128CE">
              <w:rPr>
                <w:webHidden/>
              </w:rPr>
              <w:fldChar w:fldCharType="separate"/>
            </w:r>
            <w:r w:rsidR="006128CE">
              <w:rPr>
                <w:webHidden/>
              </w:rPr>
              <w:t>299</w:t>
            </w:r>
            <w:r w:rsidR="006128CE">
              <w:rPr>
                <w:webHidden/>
              </w:rPr>
              <w:fldChar w:fldCharType="end"/>
            </w:r>
          </w:hyperlink>
        </w:p>
        <w:p w14:paraId="2DB3F730" w14:textId="0A3008B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23" w:history="1">
            <w:r w:rsidR="006128CE" w:rsidRPr="004727B5">
              <w:rPr>
                <w:rStyle w:val="Hipervnculo"/>
              </w:rPr>
              <w:t>28.2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METROGAS ESP</w:t>
            </w:r>
            <w:r w:rsidR="006128CE">
              <w:rPr>
                <w:webHidden/>
              </w:rPr>
              <w:tab/>
            </w:r>
            <w:r w:rsidR="006128CE">
              <w:rPr>
                <w:webHidden/>
              </w:rPr>
              <w:fldChar w:fldCharType="begin"/>
            </w:r>
            <w:r w:rsidR="006128CE">
              <w:rPr>
                <w:webHidden/>
              </w:rPr>
              <w:instrText xml:space="preserve"> PAGEREF _Toc140506523 \h </w:instrText>
            </w:r>
            <w:r w:rsidR="006128CE">
              <w:rPr>
                <w:webHidden/>
              </w:rPr>
            </w:r>
            <w:r w:rsidR="006128CE">
              <w:rPr>
                <w:webHidden/>
              </w:rPr>
              <w:fldChar w:fldCharType="separate"/>
            </w:r>
            <w:r w:rsidR="006128CE">
              <w:rPr>
                <w:webHidden/>
              </w:rPr>
              <w:t>299</w:t>
            </w:r>
            <w:r w:rsidR="006128CE">
              <w:rPr>
                <w:webHidden/>
              </w:rPr>
              <w:fldChar w:fldCharType="end"/>
            </w:r>
          </w:hyperlink>
        </w:p>
        <w:p w14:paraId="6C1EB81D" w14:textId="6F86F66B"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24" w:history="1">
            <w:r w:rsidR="006128CE" w:rsidRPr="004727B5">
              <w:rPr>
                <w:rStyle w:val="Hipervnculo"/>
                <w:caps/>
              </w:rPr>
              <w:t>29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32. </w:t>
            </w:r>
            <w:r w:rsidR="006128CE" w:rsidRPr="004727B5">
              <w:rPr>
                <w:rStyle w:val="Hipervnculo"/>
                <w:caps/>
              </w:rPr>
              <w:t>Negociaciones directas a través del BEC</w:t>
            </w:r>
            <w:r w:rsidR="006128CE">
              <w:rPr>
                <w:webHidden/>
              </w:rPr>
              <w:tab/>
            </w:r>
            <w:r w:rsidR="006128CE">
              <w:rPr>
                <w:webHidden/>
              </w:rPr>
              <w:fldChar w:fldCharType="begin"/>
            </w:r>
            <w:r w:rsidR="006128CE">
              <w:rPr>
                <w:webHidden/>
              </w:rPr>
              <w:instrText xml:space="preserve"> PAGEREF _Toc140506524 \h </w:instrText>
            </w:r>
            <w:r w:rsidR="006128CE">
              <w:rPr>
                <w:webHidden/>
              </w:rPr>
            </w:r>
            <w:r w:rsidR="006128CE">
              <w:rPr>
                <w:webHidden/>
              </w:rPr>
              <w:fldChar w:fldCharType="separate"/>
            </w:r>
            <w:r w:rsidR="006128CE">
              <w:rPr>
                <w:webHidden/>
              </w:rPr>
              <w:t>299</w:t>
            </w:r>
            <w:r w:rsidR="006128CE">
              <w:rPr>
                <w:webHidden/>
              </w:rPr>
              <w:fldChar w:fldCharType="end"/>
            </w:r>
          </w:hyperlink>
        </w:p>
        <w:p w14:paraId="718A1BE8" w14:textId="03C4C9B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25" w:history="1">
            <w:r w:rsidR="006128CE" w:rsidRPr="004727B5">
              <w:rPr>
                <w:rStyle w:val="Hipervnculo"/>
              </w:rPr>
              <w:t>29.1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OILGAS ENERGY</w:t>
            </w:r>
            <w:r w:rsidR="006128CE">
              <w:rPr>
                <w:webHidden/>
              </w:rPr>
              <w:tab/>
            </w:r>
            <w:r w:rsidR="006128CE">
              <w:rPr>
                <w:webHidden/>
              </w:rPr>
              <w:fldChar w:fldCharType="begin"/>
            </w:r>
            <w:r w:rsidR="006128CE">
              <w:rPr>
                <w:webHidden/>
              </w:rPr>
              <w:instrText xml:space="preserve"> PAGEREF _Toc140506525 \h </w:instrText>
            </w:r>
            <w:r w:rsidR="006128CE">
              <w:rPr>
                <w:webHidden/>
              </w:rPr>
            </w:r>
            <w:r w:rsidR="006128CE">
              <w:rPr>
                <w:webHidden/>
              </w:rPr>
              <w:fldChar w:fldCharType="separate"/>
            </w:r>
            <w:r w:rsidR="006128CE">
              <w:rPr>
                <w:webHidden/>
              </w:rPr>
              <w:t>299</w:t>
            </w:r>
            <w:r w:rsidR="006128CE">
              <w:rPr>
                <w:webHidden/>
              </w:rPr>
              <w:fldChar w:fldCharType="end"/>
            </w:r>
          </w:hyperlink>
        </w:p>
        <w:p w14:paraId="5A5D785C" w14:textId="63B3C42D"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26" w:history="1">
            <w:r w:rsidR="006128CE" w:rsidRPr="004727B5">
              <w:rPr>
                <w:rStyle w:val="Hipervnculo"/>
                <w:caps/>
              </w:rPr>
              <w:t>30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33. </w:t>
            </w:r>
            <w:r w:rsidR="006128CE" w:rsidRPr="004727B5">
              <w:rPr>
                <w:rStyle w:val="Hipervnculo"/>
                <w:caps/>
              </w:rPr>
              <w:t>Negociaciones directas a través de otras plataformas</w:t>
            </w:r>
            <w:r w:rsidR="006128CE">
              <w:rPr>
                <w:webHidden/>
              </w:rPr>
              <w:tab/>
            </w:r>
            <w:r w:rsidR="006128CE">
              <w:rPr>
                <w:webHidden/>
              </w:rPr>
              <w:fldChar w:fldCharType="begin"/>
            </w:r>
            <w:r w:rsidR="006128CE">
              <w:rPr>
                <w:webHidden/>
              </w:rPr>
              <w:instrText xml:space="preserve"> PAGEREF _Toc140506526 \h </w:instrText>
            </w:r>
            <w:r w:rsidR="006128CE">
              <w:rPr>
                <w:webHidden/>
              </w:rPr>
            </w:r>
            <w:r w:rsidR="006128CE">
              <w:rPr>
                <w:webHidden/>
              </w:rPr>
              <w:fldChar w:fldCharType="separate"/>
            </w:r>
            <w:r w:rsidR="006128CE">
              <w:rPr>
                <w:webHidden/>
              </w:rPr>
              <w:t>300</w:t>
            </w:r>
            <w:r w:rsidR="006128CE">
              <w:rPr>
                <w:webHidden/>
              </w:rPr>
              <w:fldChar w:fldCharType="end"/>
            </w:r>
          </w:hyperlink>
        </w:p>
        <w:p w14:paraId="4EDF3C9C" w14:textId="654DD4B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27" w:history="1">
            <w:r w:rsidR="006128CE" w:rsidRPr="004727B5">
              <w:rPr>
                <w:rStyle w:val="Hipervnculo"/>
              </w:rPr>
              <w:t>30.1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_Toc140506527 \h </w:instrText>
            </w:r>
            <w:r w:rsidR="006128CE">
              <w:rPr>
                <w:webHidden/>
              </w:rPr>
            </w:r>
            <w:r w:rsidR="006128CE">
              <w:rPr>
                <w:webHidden/>
              </w:rPr>
              <w:fldChar w:fldCharType="separate"/>
            </w:r>
            <w:r w:rsidR="006128CE">
              <w:rPr>
                <w:webHidden/>
              </w:rPr>
              <w:t>300</w:t>
            </w:r>
            <w:r w:rsidR="006128CE">
              <w:rPr>
                <w:webHidden/>
              </w:rPr>
              <w:fldChar w:fldCharType="end"/>
            </w:r>
          </w:hyperlink>
        </w:p>
        <w:p w14:paraId="652508AF" w14:textId="4C67BB5C"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28" w:history="1">
            <w:r w:rsidR="006128CE" w:rsidRPr="004727B5">
              <w:rPr>
                <w:rStyle w:val="Hipervnculo"/>
                <w:caps/>
              </w:rPr>
              <w:t>31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35. </w:t>
            </w:r>
            <w:r w:rsidR="006128CE" w:rsidRPr="004727B5">
              <w:rPr>
                <w:rStyle w:val="Hipervnculo"/>
                <w:caps/>
              </w:rPr>
              <w:t>Proceso úselo o véndalo de corto plazo para gas natural</w:t>
            </w:r>
            <w:r w:rsidR="006128CE">
              <w:rPr>
                <w:webHidden/>
              </w:rPr>
              <w:tab/>
            </w:r>
            <w:r w:rsidR="006128CE">
              <w:rPr>
                <w:webHidden/>
              </w:rPr>
              <w:fldChar w:fldCharType="begin"/>
            </w:r>
            <w:r w:rsidR="006128CE">
              <w:rPr>
                <w:webHidden/>
              </w:rPr>
              <w:instrText xml:space="preserve"> PAGEREF _Toc140506528 \h </w:instrText>
            </w:r>
            <w:r w:rsidR="006128CE">
              <w:rPr>
                <w:webHidden/>
              </w:rPr>
            </w:r>
            <w:r w:rsidR="006128CE">
              <w:rPr>
                <w:webHidden/>
              </w:rPr>
              <w:fldChar w:fldCharType="separate"/>
            </w:r>
            <w:r w:rsidR="006128CE">
              <w:rPr>
                <w:webHidden/>
              </w:rPr>
              <w:t>301</w:t>
            </w:r>
            <w:r w:rsidR="006128CE">
              <w:rPr>
                <w:webHidden/>
              </w:rPr>
              <w:fldChar w:fldCharType="end"/>
            </w:r>
          </w:hyperlink>
        </w:p>
        <w:p w14:paraId="58CAFD83" w14:textId="06ED7E7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29" w:history="1">
            <w:r w:rsidR="006128CE" w:rsidRPr="004727B5">
              <w:rPr>
                <w:rStyle w:val="Hipervnculo"/>
              </w:rPr>
              <w:t>31.1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_Toc140506529 \h </w:instrText>
            </w:r>
            <w:r w:rsidR="006128CE">
              <w:rPr>
                <w:webHidden/>
              </w:rPr>
            </w:r>
            <w:r w:rsidR="006128CE">
              <w:rPr>
                <w:webHidden/>
              </w:rPr>
              <w:fldChar w:fldCharType="separate"/>
            </w:r>
            <w:r w:rsidR="006128CE">
              <w:rPr>
                <w:webHidden/>
              </w:rPr>
              <w:t>301</w:t>
            </w:r>
            <w:r w:rsidR="006128CE">
              <w:rPr>
                <w:webHidden/>
              </w:rPr>
              <w:fldChar w:fldCharType="end"/>
            </w:r>
          </w:hyperlink>
        </w:p>
        <w:p w14:paraId="7E6C5F8E" w14:textId="5C32F53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0" w:history="1">
            <w:r w:rsidR="006128CE" w:rsidRPr="004727B5">
              <w:rPr>
                <w:rStyle w:val="Hipervnculo"/>
              </w:rPr>
              <w:t>31.2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_Toc140506530 \h </w:instrText>
            </w:r>
            <w:r w:rsidR="006128CE">
              <w:rPr>
                <w:webHidden/>
              </w:rPr>
            </w:r>
            <w:r w:rsidR="006128CE">
              <w:rPr>
                <w:webHidden/>
              </w:rPr>
              <w:fldChar w:fldCharType="separate"/>
            </w:r>
            <w:r w:rsidR="006128CE">
              <w:rPr>
                <w:webHidden/>
              </w:rPr>
              <w:t>301</w:t>
            </w:r>
            <w:r w:rsidR="006128CE">
              <w:rPr>
                <w:webHidden/>
              </w:rPr>
              <w:fldChar w:fldCharType="end"/>
            </w:r>
          </w:hyperlink>
        </w:p>
        <w:p w14:paraId="1E9ACA0B" w14:textId="3B3200F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1" w:history="1">
            <w:r w:rsidR="006128CE" w:rsidRPr="004727B5">
              <w:rPr>
                <w:rStyle w:val="Hipervnculo"/>
              </w:rPr>
              <w:t>31.3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LA GUAJIRA</w:t>
            </w:r>
            <w:r w:rsidR="006128CE">
              <w:rPr>
                <w:webHidden/>
              </w:rPr>
              <w:tab/>
            </w:r>
            <w:r w:rsidR="006128CE">
              <w:rPr>
                <w:webHidden/>
              </w:rPr>
              <w:fldChar w:fldCharType="begin"/>
            </w:r>
            <w:r w:rsidR="006128CE">
              <w:rPr>
                <w:webHidden/>
              </w:rPr>
              <w:instrText xml:space="preserve"> PAGEREF _Toc140506531 \h </w:instrText>
            </w:r>
            <w:r w:rsidR="006128CE">
              <w:rPr>
                <w:webHidden/>
              </w:rPr>
            </w:r>
            <w:r w:rsidR="006128CE">
              <w:rPr>
                <w:webHidden/>
              </w:rPr>
              <w:fldChar w:fldCharType="separate"/>
            </w:r>
            <w:r w:rsidR="006128CE">
              <w:rPr>
                <w:webHidden/>
              </w:rPr>
              <w:t>302</w:t>
            </w:r>
            <w:r w:rsidR="006128CE">
              <w:rPr>
                <w:webHidden/>
              </w:rPr>
              <w:fldChar w:fldCharType="end"/>
            </w:r>
          </w:hyperlink>
        </w:p>
        <w:p w14:paraId="3345BA6D" w14:textId="1261EB6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2" w:history="1">
            <w:r w:rsidR="006128CE" w:rsidRPr="004727B5">
              <w:rPr>
                <w:rStyle w:val="Hipervnculo"/>
              </w:rPr>
              <w:t>31.4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DEL CARIBE</w:t>
            </w:r>
            <w:r w:rsidR="006128CE">
              <w:rPr>
                <w:webHidden/>
              </w:rPr>
              <w:tab/>
            </w:r>
            <w:r w:rsidR="006128CE">
              <w:rPr>
                <w:webHidden/>
              </w:rPr>
              <w:fldChar w:fldCharType="begin"/>
            </w:r>
            <w:r w:rsidR="006128CE">
              <w:rPr>
                <w:webHidden/>
              </w:rPr>
              <w:instrText xml:space="preserve"> PAGEREF _Toc140506532 \h </w:instrText>
            </w:r>
            <w:r w:rsidR="006128CE">
              <w:rPr>
                <w:webHidden/>
              </w:rPr>
            </w:r>
            <w:r w:rsidR="006128CE">
              <w:rPr>
                <w:webHidden/>
              </w:rPr>
              <w:fldChar w:fldCharType="separate"/>
            </w:r>
            <w:r w:rsidR="006128CE">
              <w:rPr>
                <w:webHidden/>
              </w:rPr>
              <w:t>302</w:t>
            </w:r>
            <w:r w:rsidR="006128CE">
              <w:rPr>
                <w:webHidden/>
              </w:rPr>
              <w:fldChar w:fldCharType="end"/>
            </w:r>
          </w:hyperlink>
        </w:p>
        <w:p w14:paraId="150DA471" w14:textId="1DF98E3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3" w:history="1">
            <w:r w:rsidR="006128CE" w:rsidRPr="004727B5">
              <w:rPr>
                <w:rStyle w:val="Hipervnculo"/>
              </w:rPr>
              <w:t>31.5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_Toc140506533 \h </w:instrText>
            </w:r>
            <w:r w:rsidR="006128CE">
              <w:rPr>
                <w:webHidden/>
              </w:rPr>
            </w:r>
            <w:r w:rsidR="006128CE">
              <w:rPr>
                <w:webHidden/>
              </w:rPr>
              <w:fldChar w:fldCharType="separate"/>
            </w:r>
            <w:r w:rsidR="006128CE">
              <w:rPr>
                <w:webHidden/>
              </w:rPr>
              <w:t>303</w:t>
            </w:r>
            <w:r w:rsidR="006128CE">
              <w:rPr>
                <w:webHidden/>
              </w:rPr>
              <w:fldChar w:fldCharType="end"/>
            </w:r>
          </w:hyperlink>
        </w:p>
        <w:p w14:paraId="476A4969" w14:textId="005B24B8"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4" w:history="1">
            <w:r w:rsidR="006128CE" w:rsidRPr="004727B5">
              <w:rPr>
                <w:rStyle w:val="Hipervnculo"/>
              </w:rPr>
              <w:t>31.6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_Toc140506534 \h </w:instrText>
            </w:r>
            <w:r w:rsidR="006128CE">
              <w:rPr>
                <w:webHidden/>
              </w:rPr>
            </w:r>
            <w:r w:rsidR="006128CE">
              <w:rPr>
                <w:webHidden/>
              </w:rPr>
              <w:fldChar w:fldCharType="separate"/>
            </w:r>
            <w:r w:rsidR="006128CE">
              <w:rPr>
                <w:webHidden/>
              </w:rPr>
              <w:t>303</w:t>
            </w:r>
            <w:r w:rsidR="006128CE">
              <w:rPr>
                <w:webHidden/>
              </w:rPr>
              <w:fldChar w:fldCharType="end"/>
            </w:r>
          </w:hyperlink>
        </w:p>
        <w:p w14:paraId="538F0A20" w14:textId="420BCE8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5" w:history="1">
            <w:r w:rsidR="006128CE" w:rsidRPr="004727B5">
              <w:rPr>
                <w:rStyle w:val="Hipervnculo"/>
              </w:rPr>
              <w:t>31.7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_Toc140506535 \h </w:instrText>
            </w:r>
            <w:r w:rsidR="006128CE">
              <w:rPr>
                <w:webHidden/>
              </w:rPr>
            </w:r>
            <w:r w:rsidR="006128CE">
              <w:rPr>
                <w:webHidden/>
              </w:rPr>
              <w:fldChar w:fldCharType="separate"/>
            </w:r>
            <w:r w:rsidR="006128CE">
              <w:rPr>
                <w:webHidden/>
              </w:rPr>
              <w:t>304</w:t>
            </w:r>
            <w:r w:rsidR="006128CE">
              <w:rPr>
                <w:webHidden/>
              </w:rPr>
              <w:fldChar w:fldCharType="end"/>
            </w:r>
          </w:hyperlink>
        </w:p>
        <w:p w14:paraId="31844451" w14:textId="0014669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6" w:history="1">
            <w:r w:rsidR="006128CE" w:rsidRPr="004727B5">
              <w:rPr>
                <w:rStyle w:val="Hipervnculo"/>
              </w:rPr>
              <w:t>31.8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_Toc140506536 \h </w:instrText>
            </w:r>
            <w:r w:rsidR="006128CE">
              <w:rPr>
                <w:webHidden/>
              </w:rPr>
            </w:r>
            <w:r w:rsidR="006128CE">
              <w:rPr>
                <w:webHidden/>
              </w:rPr>
              <w:fldChar w:fldCharType="separate"/>
            </w:r>
            <w:r w:rsidR="006128CE">
              <w:rPr>
                <w:webHidden/>
              </w:rPr>
              <w:t>304</w:t>
            </w:r>
            <w:r w:rsidR="006128CE">
              <w:rPr>
                <w:webHidden/>
              </w:rPr>
              <w:fldChar w:fldCharType="end"/>
            </w:r>
          </w:hyperlink>
        </w:p>
        <w:p w14:paraId="3A3DB756" w14:textId="124CD8C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7" w:history="1">
            <w:r w:rsidR="006128CE" w:rsidRPr="004727B5">
              <w:rPr>
                <w:rStyle w:val="Hipervnculo"/>
              </w:rPr>
              <w:t>31.9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_Toc140506537 \h </w:instrText>
            </w:r>
            <w:r w:rsidR="006128CE">
              <w:rPr>
                <w:webHidden/>
              </w:rPr>
            </w:r>
            <w:r w:rsidR="006128CE">
              <w:rPr>
                <w:webHidden/>
              </w:rPr>
              <w:fldChar w:fldCharType="separate"/>
            </w:r>
            <w:r w:rsidR="006128CE">
              <w:rPr>
                <w:webHidden/>
              </w:rPr>
              <w:t>305</w:t>
            </w:r>
            <w:r w:rsidR="006128CE">
              <w:rPr>
                <w:webHidden/>
              </w:rPr>
              <w:fldChar w:fldCharType="end"/>
            </w:r>
          </w:hyperlink>
        </w:p>
        <w:p w14:paraId="6CAF24E6" w14:textId="7A8C043C"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38" w:history="1">
            <w:r w:rsidR="006128CE" w:rsidRPr="004727B5">
              <w:rPr>
                <w:rStyle w:val="Hipervnculo"/>
                <w:caps/>
              </w:rPr>
              <w:t>32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36. </w:t>
            </w:r>
            <w:r w:rsidR="006128CE" w:rsidRPr="004727B5">
              <w:rPr>
                <w:rStyle w:val="Hipervnculo"/>
                <w:caps/>
              </w:rPr>
              <w:t>Negociación de contratos con interrupciones a través de negociaciones directas</w:t>
            </w:r>
            <w:r w:rsidR="006128CE">
              <w:rPr>
                <w:webHidden/>
              </w:rPr>
              <w:tab/>
            </w:r>
            <w:r w:rsidR="006128CE">
              <w:rPr>
                <w:webHidden/>
              </w:rPr>
              <w:fldChar w:fldCharType="begin"/>
            </w:r>
            <w:r w:rsidR="006128CE">
              <w:rPr>
                <w:webHidden/>
              </w:rPr>
              <w:instrText xml:space="preserve"> PAGEREF _Toc140506538 \h </w:instrText>
            </w:r>
            <w:r w:rsidR="006128CE">
              <w:rPr>
                <w:webHidden/>
              </w:rPr>
            </w:r>
            <w:r w:rsidR="006128CE">
              <w:rPr>
                <w:webHidden/>
              </w:rPr>
              <w:fldChar w:fldCharType="separate"/>
            </w:r>
            <w:r w:rsidR="006128CE">
              <w:rPr>
                <w:webHidden/>
              </w:rPr>
              <w:t>305</w:t>
            </w:r>
            <w:r w:rsidR="006128CE">
              <w:rPr>
                <w:webHidden/>
              </w:rPr>
              <w:fldChar w:fldCharType="end"/>
            </w:r>
          </w:hyperlink>
        </w:p>
        <w:p w14:paraId="16277069" w14:textId="47A052E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39" w:history="1">
            <w:r w:rsidR="006128CE" w:rsidRPr="004727B5">
              <w:rPr>
                <w:rStyle w:val="Hipervnculo"/>
              </w:rPr>
              <w:t>32.1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_Toc140506539 \h </w:instrText>
            </w:r>
            <w:r w:rsidR="006128CE">
              <w:rPr>
                <w:webHidden/>
              </w:rPr>
            </w:r>
            <w:r w:rsidR="006128CE">
              <w:rPr>
                <w:webHidden/>
              </w:rPr>
              <w:fldChar w:fldCharType="separate"/>
            </w:r>
            <w:r w:rsidR="006128CE">
              <w:rPr>
                <w:webHidden/>
              </w:rPr>
              <w:t>305</w:t>
            </w:r>
            <w:r w:rsidR="006128CE">
              <w:rPr>
                <w:webHidden/>
              </w:rPr>
              <w:fldChar w:fldCharType="end"/>
            </w:r>
          </w:hyperlink>
        </w:p>
        <w:p w14:paraId="02103282" w14:textId="6B5C800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0" w:history="1">
            <w:r w:rsidR="006128CE" w:rsidRPr="004727B5">
              <w:rPr>
                <w:rStyle w:val="Hipervnculo"/>
              </w:rPr>
              <w:t>32.2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ANDESCO</w:t>
            </w:r>
            <w:r w:rsidR="006128CE">
              <w:rPr>
                <w:webHidden/>
              </w:rPr>
              <w:tab/>
            </w:r>
            <w:r w:rsidR="006128CE">
              <w:rPr>
                <w:webHidden/>
              </w:rPr>
              <w:fldChar w:fldCharType="begin"/>
            </w:r>
            <w:r w:rsidR="006128CE">
              <w:rPr>
                <w:webHidden/>
              </w:rPr>
              <w:instrText xml:space="preserve"> PAGEREF _Toc140506540 \h </w:instrText>
            </w:r>
            <w:r w:rsidR="006128CE">
              <w:rPr>
                <w:webHidden/>
              </w:rPr>
            </w:r>
            <w:r w:rsidR="006128CE">
              <w:rPr>
                <w:webHidden/>
              </w:rPr>
              <w:fldChar w:fldCharType="separate"/>
            </w:r>
            <w:r w:rsidR="006128CE">
              <w:rPr>
                <w:webHidden/>
              </w:rPr>
              <w:t>308</w:t>
            </w:r>
            <w:r w:rsidR="006128CE">
              <w:rPr>
                <w:webHidden/>
              </w:rPr>
              <w:fldChar w:fldCharType="end"/>
            </w:r>
          </w:hyperlink>
        </w:p>
        <w:p w14:paraId="426E47D8" w14:textId="4EEB9AE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1" w:history="1">
            <w:r w:rsidR="006128CE" w:rsidRPr="004727B5">
              <w:rPr>
                <w:rStyle w:val="Hipervnculo"/>
              </w:rPr>
              <w:t>32.3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ANDI</w:t>
            </w:r>
            <w:r w:rsidR="006128CE">
              <w:rPr>
                <w:webHidden/>
              </w:rPr>
              <w:tab/>
            </w:r>
            <w:r w:rsidR="006128CE">
              <w:rPr>
                <w:webHidden/>
              </w:rPr>
              <w:fldChar w:fldCharType="begin"/>
            </w:r>
            <w:r w:rsidR="006128CE">
              <w:rPr>
                <w:webHidden/>
              </w:rPr>
              <w:instrText xml:space="preserve"> PAGEREF _Toc140506541 \h </w:instrText>
            </w:r>
            <w:r w:rsidR="006128CE">
              <w:rPr>
                <w:webHidden/>
              </w:rPr>
            </w:r>
            <w:r w:rsidR="006128CE">
              <w:rPr>
                <w:webHidden/>
              </w:rPr>
              <w:fldChar w:fldCharType="separate"/>
            </w:r>
            <w:r w:rsidR="006128CE">
              <w:rPr>
                <w:webHidden/>
              </w:rPr>
              <w:t>308</w:t>
            </w:r>
            <w:r w:rsidR="006128CE">
              <w:rPr>
                <w:webHidden/>
              </w:rPr>
              <w:fldChar w:fldCharType="end"/>
            </w:r>
          </w:hyperlink>
        </w:p>
        <w:p w14:paraId="1BC7002A" w14:textId="0621F22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2" w:history="1">
            <w:r w:rsidR="006128CE" w:rsidRPr="004727B5">
              <w:rPr>
                <w:rStyle w:val="Hipervnculo"/>
              </w:rPr>
              <w:t>32.4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_Toc140506542 \h </w:instrText>
            </w:r>
            <w:r w:rsidR="006128CE">
              <w:rPr>
                <w:webHidden/>
              </w:rPr>
            </w:r>
            <w:r w:rsidR="006128CE">
              <w:rPr>
                <w:webHidden/>
              </w:rPr>
              <w:fldChar w:fldCharType="separate"/>
            </w:r>
            <w:r w:rsidR="006128CE">
              <w:rPr>
                <w:webHidden/>
              </w:rPr>
              <w:t>309</w:t>
            </w:r>
            <w:r w:rsidR="006128CE">
              <w:rPr>
                <w:webHidden/>
              </w:rPr>
              <w:fldChar w:fldCharType="end"/>
            </w:r>
          </w:hyperlink>
        </w:p>
        <w:p w14:paraId="3C5E1BCE" w14:textId="73D0F65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3" w:history="1">
            <w:r w:rsidR="006128CE" w:rsidRPr="004727B5">
              <w:rPr>
                <w:rStyle w:val="Hipervnculo"/>
              </w:rPr>
              <w:t>32.5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CANACOL</w:t>
            </w:r>
            <w:r w:rsidR="006128CE">
              <w:rPr>
                <w:webHidden/>
              </w:rPr>
              <w:tab/>
            </w:r>
            <w:r w:rsidR="006128CE">
              <w:rPr>
                <w:webHidden/>
              </w:rPr>
              <w:fldChar w:fldCharType="begin"/>
            </w:r>
            <w:r w:rsidR="006128CE">
              <w:rPr>
                <w:webHidden/>
              </w:rPr>
              <w:instrText xml:space="preserve"> PAGEREF _Toc140506543 \h </w:instrText>
            </w:r>
            <w:r w:rsidR="006128CE">
              <w:rPr>
                <w:webHidden/>
              </w:rPr>
            </w:r>
            <w:r w:rsidR="006128CE">
              <w:rPr>
                <w:webHidden/>
              </w:rPr>
              <w:fldChar w:fldCharType="separate"/>
            </w:r>
            <w:r w:rsidR="006128CE">
              <w:rPr>
                <w:webHidden/>
              </w:rPr>
              <w:t>310</w:t>
            </w:r>
            <w:r w:rsidR="006128CE">
              <w:rPr>
                <w:webHidden/>
              </w:rPr>
              <w:fldChar w:fldCharType="end"/>
            </w:r>
          </w:hyperlink>
        </w:p>
        <w:p w14:paraId="015D91CB" w14:textId="63A357A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4" w:history="1">
            <w:r w:rsidR="006128CE" w:rsidRPr="004727B5">
              <w:rPr>
                <w:rStyle w:val="Hipervnculo"/>
              </w:rPr>
              <w:t>32.6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ENEL COLOMBIA S.A. E.S.P</w:t>
            </w:r>
            <w:r w:rsidR="006128CE">
              <w:rPr>
                <w:webHidden/>
              </w:rPr>
              <w:tab/>
            </w:r>
            <w:r w:rsidR="006128CE">
              <w:rPr>
                <w:webHidden/>
              </w:rPr>
              <w:fldChar w:fldCharType="begin"/>
            </w:r>
            <w:r w:rsidR="006128CE">
              <w:rPr>
                <w:webHidden/>
              </w:rPr>
              <w:instrText xml:space="preserve"> PAGEREF _Toc140506544 \h </w:instrText>
            </w:r>
            <w:r w:rsidR="006128CE">
              <w:rPr>
                <w:webHidden/>
              </w:rPr>
            </w:r>
            <w:r w:rsidR="006128CE">
              <w:rPr>
                <w:webHidden/>
              </w:rPr>
              <w:fldChar w:fldCharType="separate"/>
            </w:r>
            <w:r w:rsidR="006128CE">
              <w:rPr>
                <w:webHidden/>
              </w:rPr>
              <w:t>311</w:t>
            </w:r>
            <w:r w:rsidR="006128CE">
              <w:rPr>
                <w:webHidden/>
              </w:rPr>
              <w:fldChar w:fldCharType="end"/>
            </w:r>
          </w:hyperlink>
        </w:p>
        <w:p w14:paraId="7DAED80F" w14:textId="2804442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5" w:history="1">
            <w:r w:rsidR="006128CE" w:rsidRPr="004727B5">
              <w:rPr>
                <w:rStyle w:val="Hipervnculo"/>
              </w:rPr>
              <w:t>32.7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GASES DE OCCIDENTE</w:t>
            </w:r>
            <w:r w:rsidR="006128CE">
              <w:rPr>
                <w:webHidden/>
              </w:rPr>
              <w:tab/>
            </w:r>
            <w:r w:rsidR="006128CE">
              <w:rPr>
                <w:webHidden/>
              </w:rPr>
              <w:fldChar w:fldCharType="begin"/>
            </w:r>
            <w:r w:rsidR="006128CE">
              <w:rPr>
                <w:webHidden/>
              </w:rPr>
              <w:instrText xml:space="preserve"> PAGEREF _Toc140506545 \h </w:instrText>
            </w:r>
            <w:r w:rsidR="006128CE">
              <w:rPr>
                <w:webHidden/>
              </w:rPr>
            </w:r>
            <w:r w:rsidR="006128CE">
              <w:rPr>
                <w:webHidden/>
              </w:rPr>
              <w:fldChar w:fldCharType="separate"/>
            </w:r>
            <w:r w:rsidR="006128CE">
              <w:rPr>
                <w:webHidden/>
              </w:rPr>
              <w:t>312</w:t>
            </w:r>
            <w:r w:rsidR="006128CE">
              <w:rPr>
                <w:webHidden/>
              </w:rPr>
              <w:fldChar w:fldCharType="end"/>
            </w:r>
          </w:hyperlink>
        </w:p>
        <w:p w14:paraId="37A3A3F3" w14:textId="2C0FEEE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6" w:history="1">
            <w:r w:rsidR="006128CE" w:rsidRPr="004727B5">
              <w:rPr>
                <w:rStyle w:val="Hipervnculo"/>
              </w:rPr>
              <w:t>32.8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_Toc140506546 \h </w:instrText>
            </w:r>
            <w:r w:rsidR="006128CE">
              <w:rPr>
                <w:webHidden/>
              </w:rPr>
            </w:r>
            <w:r w:rsidR="006128CE">
              <w:rPr>
                <w:webHidden/>
              </w:rPr>
              <w:fldChar w:fldCharType="separate"/>
            </w:r>
            <w:r w:rsidR="006128CE">
              <w:rPr>
                <w:webHidden/>
              </w:rPr>
              <w:t>314</w:t>
            </w:r>
            <w:r w:rsidR="006128CE">
              <w:rPr>
                <w:webHidden/>
              </w:rPr>
              <w:fldChar w:fldCharType="end"/>
            </w:r>
          </w:hyperlink>
        </w:p>
        <w:p w14:paraId="1BD560E5" w14:textId="03FEF5C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7" w:history="1">
            <w:r w:rsidR="006128CE" w:rsidRPr="004727B5">
              <w:rPr>
                <w:rStyle w:val="Hipervnculo"/>
              </w:rPr>
              <w:t>32.9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GIGAS ENERGY</w:t>
            </w:r>
            <w:r w:rsidR="006128CE">
              <w:rPr>
                <w:webHidden/>
              </w:rPr>
              <w:tab/>
            </w:r>
            <w:r w:rsidR="006128CE">
              <w:rPr>
                <w:webHidden/>
              </w:rPr>
              <w:fldChar w:fldCharType="begin"/>
            </w:r>
            <w:r w:rsidR="006128CE">
              <w:rPr>
                <w:webHidden/>
              </w:rPr>
              <w:instrText xml:space="preserve"> PAGEREF _Toc140506547 \h </w:instrText>
            </w:r>
            <w:r w:rsidR="006128CE">
              <w:rPr>
                <w:webHidden/>
              </w:rPr>
            </w:r>
            <w:r w:rsidR="006128CE">
              <w:rPr>
                <w:webHidden/>
              </w:rPr>
              <w:fldChar w:fldCharType="separate"/>
            </w:r>
            <w:r w:rsidR="006128CE">
              <w:rPr>
                <w:webHidden/>
              </w:rPr>
              <w:t>314</w:t>
            </w:r>
            <w:r w:rsidR="006128CE">
              <w:rPr>
                <w:webHidden/>
              </w:rPr>
              <w:fldChar w:fldCharType="end"/>
            </w:r>
          </w:hyperlink>
        </w:p>
        <w:p w14:paraId="63F2ECD5" w14:textId="2A80B7D2"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8" w:history="1">
            <w:r w:rsidR="006128CE" w:rsidRPr="004727B5">
              <w:rPr>
                <w:rStyle w:val="Hipervnculo"/>
              </w:rPr>
              <w:t>32.10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_Toc140506548 \h </w:instrText>
            </w:r>
            <w:r w:rsidR="006128CE">
              <w:rPr>
                <w:webHidden/>
              </w:rPr>
            </w:r>
            <w:r w:rsidR="006128CE">
              <w:rPr>
                <w:webHidden/>
              </w:rPr>
              <w:fldChar w:fldCharType="separate"/>
            </w:r>
            <w:r w:rsidR="006128CE">
              <w:rPr>
                <w:webHidden/>
              </w:rPr>
              <w:t>314</w:t>
            </w:r>
            <w:r w:rsidR="006128CE">
              <w:rPr>
                <w:webHidden/>
              </w:rPr>
              <w:fldChar w:fldCharType="end"/>
            </w:r>
          </w:hyperlink>
        </w:p>
        <w:p w14:paraId="797497B1" w14:textId="4DD9E19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49" w:history="1">
            <w:r w:rsidR="006128CE" w:rsidRPr="004727B5">
              <w:rPr>
                <w:rStyle w:val="Hipervnculo"/>
              </w:rPr>
              <w:t>32.11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_Toc140506549 \h </w:instrText>
            </w:r>
            <w:r w:rsidR="006128CE">
              <w:rPr>
                <w:webHidden/>
              </w:rPr>
            </w:r>
            <w:r w:rsidR="006128CE">
              <w:rPr>
                <w:webHidden/>
              </w:rPr>
              <w:fldChar w:fldCharType="separate"/>
            </w:r>
            <w:r w:rsidR="006128CE">
              <w:rPr>
                <w:webHidden/>
              </w:rPr>
              <w:t>316</w:t>
            </w:r>
            <w:r w:rsidR="006128CE">
              <w:rPr>
                <w:webHidden/>
              </w:rPr>
              <w:fldChar w:fldCharType="end"/>
            </w:r>
          </w:hyperlink>
        </w:p>
        <w:p w14:paraId="08EC6C39" w14:textId="29D41A8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0" w:history="1">
            <w:r w:rsidR="006128CE" w:rsidRPr="004727B5">
              <w:rPr>
                <w:rStyle w:val="Hipervnculo"/>
              </w:rPr>
              <w:t>32.12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PROMIGAS</w:t>
            </w:r>
            <w:r w:rsidR="006128CE">
              <w:rPr>
                <w:webHidden/>
              </w:rPr>
              <w:tab/>
            </w:r>
            <w:r w:rsidR="006128CE">
              <w:rPr>
                <w:webHidden/>
              </w:rPr>
              <w:fldChar w:fldCharType="begin"/>
            </w:r>
            <w:r w:rsidR="006128CE">
              <w:rPr>
                <w:webHidden/>
              </w:rPr>
              <w:instrText xml:space="preserve"> PAGEREF _Toc140506550 \h </w:instrText>
            </w:r>
            <w:r w:rsidR="006128CE">
              <w:rPr>
                <w:webHidden/>
              </w:rPr>
            </w:r>
            <w:r w:rsidR="006128CE">
              <w:rPr>
                <w:webHidden/>
              </w:rPr>
              <w:fldChar w:fldCharType="separate"/>
            </w:r>
            <w:r w:rsidR="006128CE">
              <w:rPr>
                <w:webHidden/>
              </w:rPr>
              <w:t>317</w:t>
            </w:r>
            <w:r w:rsidR="006128CE">
              <w:rPr>
                <w:webHidden/>
              </w:rPr>
              <w:fldChar w:fldCharType="end"/>
            </w:r>
          </w:hyperlink>
        </w:p>
        <w:p w14:paraId="71007130" w14:textId="7CB995B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1" w:history="1">
            <w:r w:rsidR="006128CE" w:rsidRPr="004727B5">
              <w:rPr>
                <w:rStyle w:val="Hipervnculo"/>
              </w:rPr>
              <w:t>32.13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_Toc140506551 \h </w:instrText>
            </w:r>
            <w:r w:rsidR="006128CE">
              <w:rPr>
                <w:webHidden/>
              </w:rPr>
            </w:r>
            <w:r w:rsidR="006128CE">
              <w:rPr>
                <w:webHidden/>
              </w:rPr>
              <w:fldChar w:fldCharType="separate"/>
            </w:r>
            <w:r w:rsidR="006128CE">
              <w:rPr>
                <w:webHidden/>
              </w:rPr>
              <w:t>318</w:t>
            </w:r>
            <w:r w:rsidR="006128CE">
              <w:rPr>
                <w:webHidden/>
              </w:rPr>
              <w:fldChar w:fldCharType="end"/>
            </w:r>
          </w:hyperlink>
        </w:p>
        <w:p w14:paraId="39033E44" w14:textId="7C2356A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2" w:history="1">
            <w:r w:rsidR="006128CE" w:rsidRPr="004727B5">
              <w:rPr>
                <w:rStyle w:val="Hipervnculo"/>
              </w:rPr>
              <w:t>32.14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SURTIGAS</w:t>
            </w:r>
            <w:r w:rsidR="006128CE">
              <w:rPr>
                <w:webHidden/>
              </w:rPr>
              <w:tab/>
            </w:r>
            <w:r w:rsidR="006128CE">
              <w:rPr>
                <w:webHidden/>
              </w:rPr>
              <w:fldChar w:fldCharType="begin"/>
            </w:r>
            <w:r w:rsidR="006128CE">
              <w:rPr>
                <w:webHidden/>
              </w:rPr>
              <w:instrText xml:space="preserve"> PAGEREF _Toc140506552 \h </w:instrText>
            </w:r>
            <w:r w:rsidR="006128CE">
              <w:rPr>
                <w:webHidden/>
              </w:rPr>
            </w:r>
            <w:r w:rsidR="006128CE">
              <w:rPr>
                <w:webHidden/>
              </w:rPr>
              <w:fldChar w:fldCharType="separate"/>
            </w:r>
            <w:r w:rsidR="006128CE">
              <w:rPr>
                <w:webHidden/>
              </w:rPr>
              <w:t>319</w:t>
            </w:r>
            <w:r w:rsidR="006128CE">
              <w:rPr>
                <w:webHidden/>
              </w:rPr>
              <w:fldChar w:fldCharType="end"/>
            </w:r>
          </w:hyperlink>
        </w:p>
        <w:p w14:paraId="4C788C0C" w14:textId="320D3F9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3" w:history="1">
            <w:r w:rsidR="006128CE" w:rsidRPr="004727B5">
              <w:rPr>
                <w:rStyle w:val="Hipervnculo"/>
              </w:rPr>
              <w:t>32.15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_Toc140506553 \h </w:instrText>
            </w:r>
            <w:r w:rsidR="006128CE">
              <w:rPr>
                <w:webHidden/>
              </w:rPr>
            </w:r>
            <w:r w:rsidR="006128CE">
              <w:rPr>
                <w:webHidden/>
              </w:rPr>
              <w:fldChar w:fldCharType="separate"/>
            </w:r>
            <w:r w:rsidR="006128CE">
              <w:rPr>
                <w:webHidden/>
              </w:rPr>
              <w:t>320</w:t>
            </w:r>
            <w:r w:rsidR="006128CE">
              <w:rPr>
                <w:webHidden/>
              </w:rPr>
              <w:fldChar w:fldCharType="end"/>
            </w:r>
          </w:hyperlink>
        </w:p>
        <w:p w14:paraId="47A17DED" w14:textId="10A0A3A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4" w:history="1">
            <w:r w:rsidR="006128CE" w:rsidRPr="004727B5">
              <w:rPr>
                <w:rStyle w:val="Hipervnculo"/>
              </w:rPr>
              <w:t>32.16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_Toc140506554 \h </w:instrText>
            </w:r>
            <w:r w:rsidR="006128CE">
              <w:rPr>
                <w:webHidden/>
              </w:rPr>
            </w:r>
            <w:r w:rsidR="006128CE">
              <w:rPr>
                <w:webHidden/>
              </w:rPr>
              <w:fldChar w:fldCharType="separate"/>
            </w:r>
            <w:r w:rsidR="006128CE">
              <w:rPr>
                <w:webHidden/>
              </w:rPr>
              <w:t>322</w:t>
            </w:r>
            <w:r w:rsidR="006128CE">
              <w:rPr>
                <w:webHidden/>
              </w:rPr>
              <w:fldChar w:fldCharType="end"/>
            </w:r>
          </w:hyperlink>
        </w:p>
        <w:p w14:paraId="1968D793" w14:textId="65A2036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5" w:history="1">
            <w:r w:rsidR="006128CE" w:rsidRPr="004727B5">
              <w:rPr>
                <w:rStyle w:val="Hipervnculo"/>
              </w:rPr>
              <w:t>32.17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_Toc140506555 \h </w:instrText>
            </w:r>
            <w:r w:rsidR="006128CE">
              <w:rPr>
                <w:webHidden/>
              </w:rPr>
            </w:r>
            <w:r w:rsidR="006128CE">
              <w:rPr>
                <w:webHidden/>
              </w:rPr>
              <w:fldChar w:fldCharType="separate"/>
            </w:r>
            <w:r w:rsidR="006128CE">
              <w:rPr>
                <w:webHidden/>
              </w:rPr>
              <w:t>324</w:t>
            </w:r>
            <w:r w:rsidR="006128CE">
              <w:rPr>
                <w:webHidden/>
              </w:rPr>
              <w:fldChar w:fldCharType="end"/>
            </w:r>
          </w:hyperlink>
        </w:p>
        <w:p w14:paraId="6622DA26" w14:textId="0C7A53B3"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56" w:history="1">
            <w:r w:rsidR="006128CE" w:rsidRPr="004727B5">
              <w:rPr>
                <w:rStyle w:val="Hipervnculo"/>
                <w:caps/>
              </w:rPr>
              <w:t>33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37. </w:t>
            </w:r>
            <w:r w:rsidR="006128CE" w:rsidRPr="004727B5">
              <w:rPr>
                <w:rStyle w:val="Hipervnculo"/>
                <w:caps/>
              </w:rPr>
              <w:t>Consideraciones operativas relacionadas con renominaciones</w:t>
            </w:r>
            <w:r w:rsidR="006128CE">
              <w:rPr>
                <w:webHidden/>
              </w:rPr>
              <w:tab/>
            </w:r>
            <w:r w:rsidR="006128CE">
              <w:rPr>
                <w:webHidden/>
              </w:rPr>
              <w:fldChar w:fldCharType="begin"/>
            </w:r>
            <w:r w:rsidR="006128CE">
              <w:rPr>
                <w:webHidden/>
              </w:rPr>
              <w:instrText xml:space="preserve"> PAGEREF _Toc140506556 \h </w:instrText>
            </w:r>
            <w:r w:rsidR="006128CE">
              <w:rPr>
                <w:webHidden/>
              </w:rPr>
            </w:r>
            <w:r w:rsidR="006128CE">
              <w:rPr>
                <w:webHidden/>
              </w:rPr>
              <w:fldChar w:fldCharType="separate"/>
            </w:r>
            <w:r w:rsidR="006128CE">
              <w:rPr>
                <w:webHidden/>
              </w:rPr>
              <w:t>325</w:t>
            </w:r>
            <w:r w:rsidR="006128CE">
              <w:rPr>
                <w:webHidden/>
              </w:rPr>
              <w:fldChar w:fldCharType="end"/>
            </w:r>
          </w:hyperlink>
        </w:p>
        <w:p w14:paraId="6217C309" w14:textId="0107441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7" w:history="1">
            <w:r w:rsidR="006128CE" w:rsidRPr="004727B5">
              <w:rPr>
                <w:rStyle w:val="Hipervnculo"/>
              </w:rPr>
              <w:t>33.1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ACOLGEN</w:t>
            </w:r>
            <w:r w:rsidR="006128CE">
              <w:rPr>
                <w:webHidden/>
              </w:rPr>
              <w:tab/>
            </w:r>
            <w:r w:rsidR="006128CE">
              <w:rPr>
                <w:webHidden/>
              </w:rPr>
              <w:fldChar w:fldCharType="begin"/>
            </w:r>
            <w:r w:rsidR="006128CE">
              <w:rPr>
                <w:webHidden/>
              </w:rPr>
              <w:instrText xml:space="preserve"> PAGEREF _Toc140506557 \h </w:instrText>
            </w:r>
            <w:r w:rsidR="006128CE">
              <w:rPr>
                <w:webHidden/>
              </w:rPr>
            </w:r>
            <w:r w:rsidR="006128CE">
              <w:rPr>
                <w:webHidden/>
              </w:rPr>
              <w:fldChar w:fldCharType="separate"/>
            </w:r>
            <w:r w:rsidR="006128CE">
              <w:rPr>
                <w:webHidden/>
              </w:rPr>
              <w:t>325</w:t>
            </w:r>
            <w:r w:rsidR="006128CE">
              <w:rPr>
                <w:webHidden/>
              </w:rPr>
              <w:fldChar w:fldCharType="end"/>
            </w:r>
          </w:hyperlink>
        </w:p>
        <w:p w14:paraId="44A22B4D" w14:textId="18B37C7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8" w:history="1">
            <w:r w:rsidR="006128CE" w:rsidRPr="004727B5">
              <w:rPr>
                <w:rStyle w:val="Hipervnculo"/>
              </w:rPr>
              <w:t>33.2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_Toc140506558 \h </w:instrText>
            </w:r>
            <w:r w:rsidR="006128CE">
              <w:rPr>
                <w:webHidden/>
              </w:rPr>
            </w:r>
            <w:r w:rsidR="006128CE">
              <w:rPr>
                <w:webHidden/>
              </w:rPr>
              <w:fldChar w:fldCharType="separate"/>
            </w:r>
            <w:r w:rsidR="006128CE">
              <w:rPr>
                <w:webHidden/>
              </w:rPr>
              <w:t>325</w:t>
            </w:r>
            <w:r w:rsidR="006128CE">
              <w:rPr>
                <w:webHidden/>
              </w:rPr>
              <w:fldChar w:fldCharType="end"/>
            </w:r>
          </w:hyperlink>
        </w:p>
        <w:p w14:paraId="1C640C8E" w14:textId="5ACA8D2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59" w:history="1">
            <w:r w:rsidR="006128CE" w:rsidRPr="004727B5">
              <w:rPr>
                <w:rStyle w:val="Hipervnculo"/>
              </w:rPr>
              <w:t>33.3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ALCANOS</w:t>
            </w:r>
            <w:r w:rsidR="006128CE">
              <w:rPr>
                <w:webHidden/>
              </w:rPr>
              <w:tab/>
            </w:r>
            <w:r w:rsidR="006128CE">
              <w:rPr>
                <w:webHidden/>
              </w:rPr>
              <w:fldChar w:fldCharType="begin"/>
            </w:r>
            <w:r w:rsidR="006128CE">
              <w:rPr>
                <w:webHidden/>
              </w:rPr>
              <w:instrText xml:space="preserve"> PAGEREF _Toc140506559 \h </w:instrText>
            </w:r>
            <w:r w:rsidR="006128CE">
              <w:rPr>
                <w:webHidden/>
              </w:rPr>
            </w:r>
            <w:r w:rsidR="006128CE">
              <w:rPr>
                <w:webHidden/>
              </w:rPr>
              <w:fldChar w:fldCharType="separate"/>
            </w:r>
            <w:r w:rsidR="006128CE">
              <w:rPr>
                <w:webHidden/>
              </w:rPr>
              <w:t>325</w:t>
            </w:r>
            <w:r w:rsidR="006128CE">
              <w:rPr>
                <w:webHidden/>
              </w:rPr>
              <w:fldChar w:fldCharType="end"/>
            </w:r>
          </w:hyperlink>
        </w:p>
        <w:p w14:paraId="4542666C" w14:textId="5354AF6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60" w:history="1">
            <w:r w:rsidR="006128CE" w:rsidRPr="004727B5">
              <w:rPr>
                <w:rStyle w:val="Hipervnculo"/>
              </w:rPr>
              <w:t>33.4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_Toc140506560 \h </w:instrText>
            </w:r>
            <w:r w:rsidR="006128CE">
              <w:rPr>
                <w:webHidden/>
              </w:rPr>
            </w:r>
            <w:r w:rsidR="006128CE">
              <w:rPr>
                <w:webHidden/>
              </w:rPr>
              <w:fldChar w:fldCharType="separate"/>
            </w:r>
            <w:r w:rsidR="006128CE">
              <w:rPr>
                <w:webHidden/>
              </w:rPr>
              <w:t>326</w:t>
            </w:r>
            <w:r w:rsidR="006128CE">
              <w:rPr>
                <w:webHidden/>
              </w:rPr>
              <w:fldChar w:fldCharType="end"/>
            </w:r>
          </w:hyperlink>
        </w:p>
        <w:p w14:paraId="1F6017FA" w14:textId="6944057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61" w:history="1">
            <w:r w:rsidR="006128CE" w:rsidRPr="004727B5">
              <w:rPr>
                <w:rStyle w:val="Hipervnculo"/>
              </w:rPr>
              <w:t>33.5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_Toc140506561 \h </w:instrText>
            </w:r>
            <w:r w:rsidR="006128CE">
              <w:rPr>
                <w:webHidden/>
              </w:rPr>
            </w:r>
            <w:r w:rsidR="006128CE">
              <w:rPr>
                <w:webHidden/>
              </w:rPr>
              <w:fldChar w:fldCharType="separate"/>
            </w:r>
            <w:r w:rsidR="006128CE">
              <w:rPr>
                <w:webHidden/>
              </w:rPr>
              <w:t>327</w:t>
            </w:r>
            <w:r w:rsidR="006128CE">
              <w:rPr>
                <w:webHidden/>
              </w:rPr>
              <w:fldChar w:fldCharType="end"/>
            </w:r>
          </w:hyperlink>
        </w:p>
        <w:p w14:paraId="44848406" w14:textId="541529A4"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62" w:history="1">
            <w:r w:rsidR="006128CE" w:rsidRPr="004727B5">
              <w:rPr>
                <w:rStyle w:val="Hipervnculo"/>
              </w:rPr>
              <w:t>33.6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_Toc140506562 \h </w:instrText>
            </w:r>
            <w:r w:rsidR="006128CE">
              <w:rPr>
                <w:webHidden/>
              </w:rPr>
            </w:r>
            <w:r w:rsidR="006128CE">
              <w:rPr>
                <w:webHidden/>
              </w:rPr>
              <w:fldChar w:fldCharType="separate"/>
            </w:r>
            <w:r w:rsidR="006128CE">
              <w:rPr>
                <w:webHidden/>
              </w:rPr>
              <w:t>327</w:t>
            </w:r>
            <w:r w:rsidR="006128CE">
              <w:rPr>
                <w:webHidden/>
              </w:rPr>
              <w:fldChar w:fldCharType="end"/>
            </w:r>
          </w:hyperlink>
        </w:p>
        <w:p w14:paraId="2AC9A87B" w14:textId="68F71B69"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63" w:history="1">
            <w:r w:rsidR="006128CE" w:rsidRPr="004727B5">
              <w:rPr>
                <w:rStyle w:val="Hipervnculo"/>
                <w:caps/>
              </w:rPr>
              <w:t>34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38. </w:t>
            </w:r>
            <w:r w:rsidR="006128CE" w:rsidRPr="004727B5">
              <w:rPr>
                <w:rStyle w:val="Hipervnculo"/>
                <w:caps/>
              </w:rPr>
              <w:t>Registro de contratos de consumo propio en refinerías</w:t>
            </w:r>
            <w:r w:rsidR="006128CE">
              <w:rPr>
                <w:webHidden/>
              </w:rPr>
              <w:tab/>
            </w:r>
            <w:r w:rsidR="006128CE">
              <w:rPr>
                <w:webHidden/>
              </w:rPr>
              <w:fldChar w:fldCharType="begin"/>
            </w:r>
            <w:r w:rsidR="006128CE">
              <w:rPr>
                <w:webHidden/>
              </w:rPr>
              <w:instrText xml:space="preserve"> PAGEREF _Toc140506563 \h </w:instrText>
            </w:r>
            <w:r w:rsidR="006128CE">
              <w:rPr>
                <w:webHidden/>
              </w:rPr>
            </w:r>
            <w:r w:rsidR="006128CE">
              <w:rPr>
                <w:webHidden/>
              </w:rPr>
              <w:fldChar w:fldCharType="separate"/>
            </w:r>
            <w:r w:rsidR="006128CE">
              <w:rPr>
                <w:webHidden/>
              </w:rPr>
              <w:t>328</w:t>
            </w:r>
            <w:r w:rsidR="006128CE">
              <w:rPr>
                <w:webHidden/>
              </w:rPr>
              <w:fldChar w:fldCharType="end"/>
            </w:r>
          </w:hyperlink>
        </w:p>
        <w:p w14:paraId="15514968" w14:textId="381B754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64" w:history="1">
            <w:r w:rsidR="006128CE" w:rsidRPr="004727B5">
              <w:rPr>
                <w:rStyle w:val="Hipervnculo"/>
              </w:rPr>
              <w:t>34.1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ASOENERGIA</w:t>
            </w:r>
            <w:r w:rsidR="006128CE">
              <w:rPr>
                <w:webHidden/>
              </w:rPr>
              <w:tab/>
            </w:r>
            <w:r w:rsidR="006128CE">
              <w:rPr>
                <w:webHidden/>
              </w:rPr>
              <w:fldChar w:fldCharType="begin"/>
            </w:r>
            <w:r w:rsidR="006128CE">
              <w:rPr>
                <w:webHidden/>
              </w:rPr>
              <w:instrText xml:space="preserve"> PAGEREF _Toc140506564 \h </w:instrText>
            </w:r>
            <w:r w:rsidR="006128CE">
              <w:rPr>
                <w:webHidden/>
              </w:rPr>
            </w:r>
            <w:r w:rsidR="006128CE">
              <w:rPr>
                <w:webHidden/>
              </w:rPr>
              <w:fldChar w:fldCharType="separate"/>
            </w:r>
            <w:r w:rsidR="006128CE">
              <w:rPr>
                <w:webHidden/>
              </w:rPr>
              <w:t>328</w:t>
            </w:r>
            <w:r w:rsidR="006128CE">
              <w:rPr>
                <w:webHidden/>
              </w:rPr>
              <w:fldChar w:fldCharType="end"/>
            </w:r>
          </w:hyperlink>
        </w:p>
        <w:p w14:paraId="6A79E2A3" w14:textId="798D7BA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65" w:history="1">
            <w:r w:rsidR="006128CE" w:rsidRPr="004727B5">
              <w:rPr>
                <w:rStyle w:val="Hipervnculo"/>
              </w:rPr>
              <w:t>34.2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_Toc140506565 \h </w:instrText>
            </w:r>
            <w:r w:rsidR="006128CE">
              <w:rPr>
                <w:webHidden/>
              </w:rPr>
            </w:r>
            <w:r w:rsidR="006128CE">
              <w:rPr>
                <w:webHidden/>
              </w:rPr>
              <w:fldChar w:fldCharType="separate"/>
            </w:r>
            <w:r w:rsidR="006128CE">
              <w:rPr>
                <w:webHidden/>
              </w:rPr>
              <w:t>328</w:t>
            </w:r>
            <w:r w:rsidR="006128CE">
              <w:rPr>
                <w:webHidden/>
              </w:rPr>
              <w:fldChar w:fldCharType="end"/>
            </w:r>
          </w:hyperlink>
        </w:p>
        <w:p w14:paraId="60F86878" w14:textId="42EB74E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66" w:history="1">
            <w:r w:rsidR="006128CE" w:rsidRPr="004727B5">
              <w:rPr>
                <w:rStyle w:val="Hipervnculo"/>
              </w:rPr>
              <w:t>34.3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ECOPETROL</w:t>
            </w:r>
            <w:r w:rsidR="006128CE">
              <w:rPr>
                <w:webHidden/>
              </w:rPr>
              <w:tab/>
            </w:r>
            <w:r w:rsidR="006128CE">
              <w:rPr>
                <w:webHidden/>
              </w:rPr>
              <w:fldChar w:fldCharType="begin"/>
            </w:r>
            <w:r w:rsidR="006128CE">
              <w:rPr>
                <w:webHidden/>
              </w:rPr>
              <w:instrText xml:space="preserve"> PAGEREF _Toc140506566 \h </w:instrText>
            </w:r>
            <w:r w:rsidR="006128CE">
              <w:rPr>
                <w:webHidden/>
              </w:rPr>
            </w:r>
            <w:r w:rsidR="006128CE">
              <w:rPr>
                <w:webHidden/>
              </w:rPr>
              <w:fldChar w:fldCharType="separate"/>
            </w:r>
            <w:r w:rsidR="006128CE">
              <w:rPr>
                <w:webHidden/>
              </w:rPr>
              <w:t>328</w:t>
            </w:r>
            <w:r w:rsidR="006128CE">
              <w:rPr>
                <w:webHidden/>
              </w:rPr>
              <w:fldChar w:fldCharType="end"/>
            </w:r>
          </w:hyperlink>
        </w:p>
        <w:p w14:paraId="34CCBAF5" w14:textId="4337EA3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67" w:history="1">
            <w:r w:rsidR="006128CE" w:rsidRPr="004727B5">
              <w:rPr>
                <w:rStyle w:val="Hipervnculo"/>
              </w:rPr>
              <w:t>34.4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OILGAS ENERGY</w:t>
            </w:r>
            <w:r w:rsidR="006128CE">
              <w:rPr>
                <w:webHidden/>
              </w:rPr>
              <w:tab/>
            </w:r>
            <w:r w:rsidR="006128CE">
              <w:rPr>
                <w:webHidden/>
              </w:rPr>
              <w:fldChar w:fldCharType="begin"/>
            </w:r>
            <w:r w:rsidR="006128CE">
              <w:rPr>
                <w:webHidden/>
              </w:rPr>
              <w:instrText xml:space="preserve"> PAGEREF _Toc140506567 \h </w:instrText>
            </w:r>
            <w:r w:rsidR="006128CE">
              <w:rPr>
                <w:webHidden/>
              </w:rPr>
            </w:r>
            <w:r w:rsidR="006128CE">
              <w:rPr>
                <w:webHidden/>
              </w:rPr>
              <w:fldChar w:fldCharType="separate"/>
            </w:r>
            <w:r w:rsidR="006128CE">
              <w:rPr>
                <w:webHidden/>
              </w:rPr>
              <w:t>329</w:t>
            </w:r>
            <w:r w:rsidR="006128CE">
              <w:rPr>
                <w:webHidden/>
              </w:rPr>
              <w:fldChar w:fldCharType="end"/>
            </w:r>
          </w:hyperlink>
        </w:p>
        <w:p w14:paraId="2D2D0A0B" w14:textId="28DCCF9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68" w:history="1">
            <w:r w:rsidR="006128CE" w:rsidRPr="004727B5">
              <w:rPr>
                <w:rStyle w:val="Hipervnculo"/>
              </w:rPr>
              <w:t>34.5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_Toc140506568 \h </w:instrText>
            </w:r>
            <w:r w:rsidR="006128CE">
              <w:rPr>
                <w:webHidden/>
              </w:rPr>
            </w:r>
            <w:r w:rsidR="006128CE">
              <w:rPr>
                <w:webHidden/>
              </w:rPr>
              <w:fldChar w:fldCharType="separate"/>
            </w:r>
            <w:r w:rsidR="006128CE">
              <w:rPr>
                <w:webHidden/>
              </w:rPr>
              <w:t>329</w:t>
            </w:r>
            <w:r w:rsidR="006128CE">
              <w:rPr>
                <w:webHidden/>
              </w:rPr>
              <w:fldChar w:fldCharType="end"/>
            </w:r>
          </w:hyperlink>
        </w:p>
        <w:p w14:paraId="33E714F3" w14:textId="4F87F0A8"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69" w:history="1">
            <w:r w:rsidR="006128CE" w:rsidRPr="004727B5">
              <w:rPr>
                <w:rStyle w:val="Hipervnculo"/>
                <w:caps/>
              </w:rPr>
              <w:t>35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 xml:space="preserve">ARTÍCULO 42. </w:t>
            </w:r>
            <w:r w:rsidR="006128CE" w:rsidRPr="004727B5">
              <w:rPr>
                <w:rStyle w:val="Hipervnculo"/>
                <w:caps/>
              </w:rPr>
              <w:t>Derogatorias</w:t>
            </w:r>
            <w:r w:rsidR="006128CE">
              <w:rPr>
                <w:webHidden/>
              </w:rPr>
              <w:tab/>
            </w:r>
            <w:r w:rsidR="006128CE">
              <w:rPr>
                <w:webHidden/>
              </w:rPr>
              <w:fldChar w:fldCharType="begin"/>
            </w:r>
            <w:r w:rsidR="006128CE">
              <w:rPr>
                <w:webHidden/>
              </w:rPr>
              <w:instrText xml:space="preserve"> PAGEREF _Toc140506569 \h </w:instrText>
            </w:r>
            <w:r w:rsidR="006128CE">
              <w:rPr>
                <w:webHidden/>
              </w:rPr>
            </w:r>
            <w:r w:rsidR="006128CE">
              <w:rPr>
                <w:webHidden/>
              </w:rPr>
              <w:fldChar w:fldCharType="separate"/>
            </w:r>
            <w:r w:rsidR="006128CE">
              <w:rPr>
                <w:webHidden/>
              </w:rPr>
              <w:t>330</w:t>
            </w:r>
            <w:r w:rsidR="006128CE">
              <w:rPr>
                <w:webHidden/>
              </w:rPr>
              <w:fldChar w:fldCharType="end"/>
            </w:r>
          </w:hyperlink>
        </w:p>
        <w:p w14:paraId="431B76A9" w14:textId="1694F49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0" w:history="1">
            <w:r w:rsidR="006128CE" w:rsidRPr="004727B5">
              <w:rPr>
                <w:rStyle w:val="Hipervnculo"/>
              </w:rPr>
              <w:t>35.1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GECELCA</w:t>
            </w:r>
            <w:r w:rsidR="006128CE">
              <w:rPr>
                <w:webHidden/>
              </w:rPr>
              <w:tab/>
            </w:r>
            <w:r w:rsidR="006128CE">
              <w:rPr>
                <w:webHidden/>
              </w:rPr>
              <w:fldChar w:fldCharType="begin"/>
            </w:r>
            <w:r w:rsidR="006128CE">
              <w:rPr>
                <w:webHidden/>
              </w:rPr>
              <w:instrText xml:space="preserve"> PAGEREF _Toc140506570 \h </w:instrText>
            </w:r>
            <w:r w:rsidR="006128CE">
              <w:rPr>
                <w:webHidden/>
              </w:rPr>
            </w:r>
            <w:r w:rsidR="006128CE">
              <w:rPr>
                <w:webHidden/>
              </w:rPr>
              <w:fldChar w:fldCharType="separate"/>
            </w:r>
            <w:r w:rsidR="006128CE">
              <w:rPr>
                <w:webHidden/>
              </w:rPr>
              <w:t>330</w:t>
            </w:r>
            <w:r w:rsidR="006128CE">
              <w:rPr>
                <w:webHidden/>
              </w:rPr>
              <w:fldChar w:fldCharType="end"/>
            </w:r>
          </w:hyperlink>
        </w:p>
        <w:p w14:paraId="0FA3F6B5" w14:textId="234655D7"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1" w:history="1">
            <w:r w:rsidR="006128CE" w:rsidRPr="004727B5">
              <w:rPr>
                <w:rStyle w:val="Hipervnculo"/>
              </w:rPr>
              <w:t>35.2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HOCOL</w:t>
            </w:r>
            <w:r w:rsidR="006128CE">
              <w:rPr>
                <w:webHidden/>
              </w:rPr>
              <w:tab/>
            </w:r>
            <w:r w:rsidR="006128CE">
              <w:rPr>
                <w:webHidden/>
              </w:rPr>
              <w:fldChar w:fldCharType="begin"/>
            </w:r>
            <w:r w:rsidR="006128CE">
              <w:rPr>
                <w:webHidden/>
              </w:rPr>
              <w:instrText xml:space="preserve"> PAGEREF _Toc140506571 \h </w:instrText>
            </w:r>
            <w:r w:rsidR="006128CE">
              <w:rPr>
                <w:webHidden/>
              </w:rPr>
            </w:r>
            <w:r w:rsidR="006128CE">
              <w:rPr>
                <w:webHidden/>
              </w:rPr>
              <w:fldChar w:fldCharType="separate"/>
            </w:r>
            <w:r w:rsidR="006128CE">
              <w:rPr>
                <w:webHidden/>
              </w:rPr>
              <w:t>330</w:t>
            </w:r>
            <w:r w:rsidR="006128CE">
              <w:rPr>
                <w:webHidden/>
              </w:rPr>
              <w:fldChar w:fldCharType="end"/>
            </w:r>
          </w:hyperlink>
        </w:p>
        <w:p w14:paraId="203C31E8" w14:textId="5E01EA2A"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2" w:history="1">
            <w:r w:rsidR="006128CE" w:rsidRPr="004727B5">
              <w:rPr>
                <w:rStyle w:val="Hipervnculo"/>
              </w:rPr>
              <w:t>35.3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_Toc140506572 \h </w:instrText>
            </w:r>
            <w:r w:rsidR="006128CE">
              <w:rPr>
                <w:webHidden/>
              </w:rPr>
            </w:r>
            <w:r w:rsidR="006128CE">
              <w:rPr>
                <w:webHidden/>
              </w:rPr>
              <w:fldChar w:fldCharType="separate"/>
            </w:r>
            <w:r w:rsidR="006128CE">
              <w:rPr>
                <w:webHidden/>
              </w:rPr>
              <w:t>330</w:t>
            </w:r>
            <w:r w:rsidR="006128CE">
              <w:rPr>
                <w:webHidden/>
              </w:rPr>
              <w:fldChar w:fldCharType="end"/>
            </w:r>
          </w:hyperlink>
        </w:p>
        <w:p w14:paraId="405354F1" w14:textId="137677F3"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73" w:history="1">
            <w:r w:rsidR="006128CE" w:rsidRPr="004727B5">
              <w:rPr>
                <w:rStyle w:val="Hipervnculo"/>
                <w:caps/>
              </w:rPr>
              <w:t>36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ANEXO 1</w:t>
            </w:r>
            <w:r w:rsidR="006128CE">
              <w:rPr>
                <w:webHidden/>
              </w:rPr>
              <w:tab/>
            </w:r>
            <w:r w:rsidR="006128CE">
              <w:rPr>
                <w:webHidden/>
              </w:rPr>
              <w:fldChar w:fldCharType="begin"/>
            </w:r>
            <w:r w:rsidR="006128CE">
              <w:rPr>
                <w:webHidden/>
              </w:rPr>
              <w:instrText xml:space="preserve"> PAGEREF _Toc140506573 \h </w:instrText>
            </w:r>
            <w:r w:rsidR="006128CE">
              <w:rPr>
                <w:webHidden/>
              </w:rPr>
            </w:r>
            <w:r w:rsidR="006128CE">
              <w:rPr>
                <w:webHidden/>
              </w:rPr>
              <w:fldChar w:fldCharType="separate"/>
            </w:r>
            <w:r w:rsidR="006128CE">
              <w:rPr>
                <w:webHidden/>
              </w:rPr>
              <w:t>331</w:t>
            </w:r>
            <w:r w:rsidR="006128CE">
              <w:rPr>
                <w:webHidden/>
              </w:rPr>
              <w:fldChar w:fldCharType="end"/>
            </w:r>
          </w:hyperlink>
        </w:p>
        <w:p w14:paraId="57EE7C36" w14:textId="06BAA59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4" w:history="1">
            <w:r w:rsidR="006128CE" w:rsidRPr="004727B5">
              <w:rPr>
                <w:rStyle w:val="Hipervnculo"/>
              </w:rPr>
              <w:t>36.1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ACP</w:t>
            </w:r>
            <w:r w:rsidR="006128CE">
              <w:rPr>
                <w:webHidden/>
              </w:rPr>
              <w:tab/>
            </w:r>
            <w:r w:rsidR="006128CE">
              <w:rPr>
                <w:webHidden/>
              </w:rPr>
              <w:fldChar w:fldCharType="begin"/>
            </w:r>
            <w:r w:rsidR="006128CE">
              <w:rPr>
                <w:webHidden/>
              </w:rPr>
              <w:instrText xml:space="preserve"> PAGEREF _Toc140506574 \h </w:instrText>
            </w:r>
            <w:r w:rsidR="006128CE">
              <w:rPr>
                <w:webHidden/>
              </w:rPr>
            </w:r>
            <w:r w:rsidR="006128CE">
              <w:rPr>
                <w:webHidden/>
              </w:rPr>
              <w:fldChar w:fldCharType="separate"/>
            </w:r>
            <w:r w:rsidR="006128CE">
              <w:rPr>
                <w:webHidden/>
              </w:rPr>
              <w:t>331</w:t>
            </w:r>
            <w:r w:rsidR="006128CE">
              <w:rPr>
                <w:webHidden/>
              </w:rPr>
              <w:fldChar w:fldCharType="end"/>
            </w:r>
          </w:hyperlink>
        </w:p>
        <w:p w14:paraId="73201B93" w14:textId="052B3525"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5" w:history="1">
            <w:r w:rsidR="006128CE" w:rsidRPr="004727B5">
              <w:rPr>
                <w:rStyle w:val="Hipervnculo"/>
              </w:rPr>
              <w:t>36.2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_Toc140506575 \h </w:instrText>
            </w:r>
            <w:r w:rsidR="006128CE">
              <w:rPr>
                <w:webHidden/>
              </w:rPr>
            </w:r>
            <w:r w:rsidR="006128CE">
              <w:rPr>
                <w:webHidden/>
              </w:rPr>
              <w:fldChar w:fldCharType="separate"/>
            </w:r>
            <w:r w:rsidR="006128CE">
              <w:rPr>
                <w:webHidden/>
              </w:rPr>
              <w:t>332</w:t>
            </w:r>
            <w:r w:rsidR="006128CE">
              <w:rPr>
                <w:webHidden/>
              </w:rPr>
              <w:fldChar w:fldCharType="end"/>
            </w:r>
          </w:hyperlink>
        </w:p>
        <w:p w14:paraId="31CECF30" w14:textId="5FB37C9C"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6" w:history="1">
            <w:r w:rsidR="006128CE" w:rsidRPr="004727B5">
              <w:rPr>
                <w:rStyle w:val="Hipervnculo"/>
              </w:rPr>
              <w:t>36.3</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GIGAS ENERGY</w:t>
            </w:r>
            <w:r w:rsidR="006128CE">
              <w:rPr>
                <w:webHidden/>
              </w:rPr>
              <w:tab/>
            </w:r>
            <w:r w:rsidR="006128CE">
              <w:rPr>
                <w:webHidden/>
              </w:rPr>
              <w:fldChar w:fldCharType="begin"/>
            </w:r>
            <w:r w:rsidR="006128CE">
              <w:rPr>
                <w:webHidden/>
              </w:rPr>
              <w:instrText xml:space="preserve"> PAGEREF _Toc140506576 \h </w:instrText>
            </w:r>
            <w:r w:rsidR="006128CE">
              <w:rPr>
                <w:webHidden/>
              </w:rPr>
            </w:r>
            <w:r w:rsidR="006128CE">
              <w:rPr>
                <w:webHidden/>
              </w:rPr>
              <w:fldChar w:fldCharType="separate"/>
            </w:r>
            <w:r w:rsidR="006128CE">
              <w:rPr>
                <w:webHidden/>
              </w:rPr>
              <w:t>342</w:t>
            </w:r>
            <w:r w:rsidR="006128CE">
              <w:rPr>
                <w:webHidden/>
              </w:rPr>
              <w:fldChar w:fldCharType="end"/>
            </w:r>
          </w:hyperlink>
        </w:p>
        <w:p w14:paraId="65EF36C8" w14:textId="7BFFE1DB"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7" w:history="1">
            <w:r w:rsidR="006128CE" w:rsidRPr="004727B5">
              <w:rPr>
                <w:rStyle w:val="Hipervnculo"/>
              </w:rPr>
              <w:t>36.4</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ISAGEN</w:t>
            </w:r>
            <w:r w:rsidR="006128CE">
              <w:rPr>
                <w:webHidden/>
              </w:rPr>
              <w:tab/>
            </w:r>
            <w:r w:rsidR="006128CE">
              <w:rPr>
                <w:webHidden/>
              </w:rPr>
              <w:fldChar w:fldCharType="begin"/>
            </w:r>
            <w:r w:rsidR="006128CE">
              <w:rPr>
                <w:webHidden/>
              </w:rPr>
              <w:instrText xml:space="preserve"> PAGEREF _Toc140506577 \h </w:instrText>
            </w:r>
            <w:r w:rsidR="006128CE">
              <w:rPr>
                <w:webHidden/>
              </w:rPr>
            </w:r>
            <w:r w:rsidR="006128CE">
              <w:rPr>
                <w:webHidden/>
              </w:rPr>
              <w:fldChar w:fldCharType="separate"/>
            </w:r>
            <w:r w:rsidR="006128CE">
              <w:rPr>
                <w:webHidden/>
              </w:rPr>
              <w:t>342</w:t>
            </w:r>
            <w:r w:rsidR="006128CE">
              <w:rPr>
                <w:webHidden/>
              </w:rPr>
              <w:fldChar w:fldCharType="end"/>
            </w:r>
          </w:hyperlink>
        </w:p>
        <w:p w14:paraId="25158866" w14:textId="3082FB8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8" w:history="1">
            <w:r w:rsidR="006128CE" w:rsidRPr="004727B5">
              <w:rPr>
                <w:rStyle w:val="Hipervnculo"/>
              </w:rPr>
              <w:t>36.5</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MC2 S.A. E.S.P.</w:t>
            </w:r>
            <w:r w:rsidR="006128CE">
              <w:rPr>
                <w:webHidden/>
              </w:rPr>
              <w:tab/>
            </w:r>
            <w:r w:rsidR="006128CE">
              <w:rPr>
                <w:webHidden/>
              </w:rPr>
              <w:fldChar w:fldCharType="begin"/>
            </w:r>
            <w:r w:rsidR="006128CE">
              <w:rPr>
                <w:webHidden/>
              </w:rPr>
              <w:instrText xml:space="preserve"> PAGEREF _Toc140506578 \h </w:instrText>
            </w:r>
            <w:r w:rsidR="006128CE">
              <w:rPr>
                <w:webHidden/>
              </w:rPr>
            </w:r>
            <w:r w:rsidR="006128CE">
              <w:rPr>
                <w:webHidden/>
              </w:rPr>
              <w:fldChar w:fldCharType="separate"/>
            </w:r>
            <w:r w:rsidR="006128CE">
              <w:rPr>
                <w:webHidden/>
              </w:rPr>
              <w:t>344</w:t>
            </w:r>
            <w:r w:rsidR="006128CE">
              <w:rPr>
                <w:webHidden/>
              </w:rPr>
              <w:fldChar w:fldCharType="end"/>
            </w:r>
          </w:hyperlink>
        </w:p>
        <w:p w14:paraId="461E808E" w14:textId="33E78D19"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79" w:history="1">
            <w:r w:rsidR="006128CE" w:rsidRPr="004727B5">
              <w:rPr>
                <w:rStyle w:val="Hipervnculo"/>
              </w:rPr>
              <w:t>36.6</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PRIME ENERGIA</w:t>
            </w:r>
            <w:r w:rsidR="006128CE">
              <w:rPr>
                <w:webHidden/>
              </w:rPr>
              <w:tab/>
            </w:r>
            <w:r w:rsidR="006128CE">
              <w:rPr>
                <w:webHidden/>
              </w:rPr>
              <w:fldChar w:fldCharType="begin"/>
            </w:r>
            <w:r w:rsidR="006128CE">
              <w:rPr>
                <w:webHidden/>
              </w:rPr>
              <w:instrText xml:space="preserve"> PAGEREF _Toc140506579 \h </w:instrText>
            </w:r>
            <w:r w:rsidR="006128CE">
              <w:rPr>
                <w:webHidden/>
              </w:rPr>
            </w:r>
            <w:r w:rsidR="006128CE">
              <w:rPr>
                <w:webHidden/>
              </w:rPr>
              <w:fldChar w:fldCharType="separate"/>
            </w:r>
            <w:r w:rsidR="006128CE">
              <w:rPr>
                <w:webHidden/>
              </w:rPr>
              <w:t>345</w:t>
            </w:r>
            <w:r w:rsidR="006128CE">
              <w:rPr>
                <w:webHidden/>
              </w:rPr>
              <w:fldChar w:fldCharType="end"/>
            </w:r>
          </w:hyperlink>
        </w:p>
        <w:p w14:paraId="1B3696B6" w14:textId="6AB0463E"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80" w:history="1">
            <w:r w:rsidR="006128CE" w:rsidRPr="004727B5">
              <w:rPr>
                <w:rStyle w:val="Hipervnculo"/>
              </w:rPr>
              <w:t>36.7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SSPD</w:t>
            </w:r>
            <w:r w:rsidR="006128CE">
              <w:rPr>
                <w:webHidden/>
              </w:rPr>
              <w:tab/>
            </w:r>
            <w:r w:rsidR="006128CE">
              <w:rPr>
                <w:webHidden/>
              </w:rPr>
              <w:fldChar w:fldCharType="begin"/>
            </w:r>
            <w:r w:rsidR="006128CE">
              <w:rPr>
                <w:webHidden/>
              </w:rPr>
              <w:instrText xml:space="preserve"> PAGEREF _Toc140506580 \h </w:instrText>
            </w:r>
            <w:r w:rsidR="006128CE">
              <w:rPr>
                <w:webHidden/>
              </w:rPr>
            </w:r>
            <w:r w:rsidR="006128CE">
              <w:rPr>
                <w:webHidden/>
              </w:rPr>
              <w:fldChar w:fldCharType="separate"/>
            </w:r>
            <w:r w:rsidR="006128CE">
              <w:rPr>
                <w:webHidden/>
              </w:rPr>
              <w:t>345</w:t>
            </w:r>
            <w:r w:rsidR="006128CE">
              <w:rPr>
                <w:webHidden/>
              </w:rPr>
              <w:fldChar w:fldCharType="end"/>
            </w:r>
          </w:hyperlink>
        </w:p>
        <w:p w14:paraId="184096C4" w14:textId="7473EB40"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81" w:history="1">
            <w:r w:rsidR="006128CE" w:rsidRPr="004727B5">
              <w:rPr>
                <w:rStyle w:val="Hipervnculo"/>
              </w:rPr>
              <w:t>36.8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_Toc140506581 \h </w:instrText>
            </w:r>
            <w:r w:rsidR="006128CE">
              <w:rPr>
                <w:webHidden/>
              </w:rPr>
            </w:r>
            <w:r w:rsidR="006128CE">
              <w:rPr>
                <w:webHidden/>
              </w:rPr>
              <w:fldChar w:fldCharType="separate"/>
            </w:r>
            <w:r w:rsidR="006128CE">
              <w:rPr>
                <w:webHidden/>
              </w:rPr>
              <w:t>347</w:t>
            </w:r>
            <w:r w:rsidR="006128CE">
              <w:rPr>
                <w:webHidden/>
              </w:rPr>
              <w:fldChar w:fldCharType="end"/>
            </w:r>
          </w:hyperlink>
        </w:p>
        <w:p w14:paraId="00E49E18" w14:textId="6F3D285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82" w:history="1">
            <w:r w:rsidR="006128CE" w:rsidRPr="004727B5">
              <w:rPr>
                <w:rStyle w:val="Hipervnculo"/>
              </w:rPr>
              <w:t>36.9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TERPEL</w:t>
            </w:r>
            <w:r w:rsidR="006128CE">
              <w:rPr>
                <w:webHidden/>
              </w:rPr>
              <w:tab/>
            </w:r>
            <w:r w:rsidR="006128CE">
              <w:rPr>
                <w:webHidden/>
              </w:rPr>
              <w:fldChar w:fldCharType="begin"/>
            </w:r>
            <w:r w:rsidR="006128CE">
              <w:rPr>
                <w:webHidden/>
              </w:rPr>
              <w:instrText xml:space="preserve"> PAGEREF _Toc140506582 \h </w:instrText>
            </w:r>
            <w:r w:rsidR="006128CE">
              <w:rPr>
                <w:webHidden/>
              </w:rPr>
            </w:r>
            <w:r w:rsidR="006128CE">
              <w:rPr>
                <w:webHidden/>
              </w:rPr>
              <w:fldChar w:fldCharType="separate"/>
            </w:r>
            <w:r w:rsidR="006128CE">
              <w:rPr>
                <w:webHidden/>
              </w:rPr>
              <w:t>348</w:t>
            </w:r>
            <w:r w:rsidR="006128CE">
              <w:rPr>
                <w:webHidden/>
              </w:rPr>
              <w:fldChar w:fldCharType="end"/>
            </w:r>
          </w:hyperlink>
        </w:p>
        <w:p w14:paraId="5D91BDBB" w14:textId="12A15FB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83" w:history="1">
            <w:r w:rsidR="006128CE" w:rsidRPr="004727B5">
              <w:rPr>
                <w:rStyle w:val="Hipervnculo"/>
              </w:rPr>
              <w:t>36.10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VANTI</w:t>
            </w:r>
            <w:r w:rsidR="006128CE">
              <w:rPr>
                <w:webHidden/>
              </w:rPr>
              <w:tab/>
            </w:r>
            <w:r w:rsidR="006128CE">
              <w:rPr>
                <w:webHidden/>
              </w:rPr>
              <w:fldChar w:fldCharType="begin"/>
            </w:r>
            <w:r w:rsidR="006128CE">
              <w:rPr>
                <w:webHidden/>
              </w:rPr>
              <w:instrText xml:space="preserve"> PAGEREF _Toc140506583 \h </w:instrText>
            </w:r>
            <w:r w:rsidR="006128CE">
              <w:rPr>
                <w:webHidden/>
              </w:rPr>
            </w:r>
            <w:r w:rsidR="006128CE">
              <w:rPr>
                <w:webHidden/>
              </w:rPr>
              <w:fldChar w:fldCharType="separate"/>
            </w:r>
            <w:r w:rsidR="006128CE">
              <w:rPr>
                <w:webHidden/>
              </w:rPr>
              <w:t>349</w:t>
            </w:r>
            <w:r w:rsidR="006128CE">
              <w:rPr>
                <w:webHidden/>
              </w:rPr>
              <w:fldChar w:fldCharType="end"/>
            </w:r>
          </w:hyperlink>
        </w:p>
        <w:p w14:paraId="3B28A5EC" w14:textId="408FF90C"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84" w:history="1">
            <w:r w:rsidR="006128CE" w:rsidRPr="004727B5">
              <w:rPr>
                <w:rStyle w:val="Hipervnculo"/>
                <w:caps/>
              </w:rPr>
              <w:t>37</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ANEXO 3</w:t>
            </w:r>
            <w:r w:rsidR="006128CE">
              <w:rPr>
                <w:webHidden/>
              </w:rPr>
              <w:tab/>
            </w:r>
            <w:r w:rsidR="006128CE">
              <w:rPr>
                <w:webHidden/>
              </w:rPr>
              <w:fldChar w:fldCharType="begin"/>
            </w:r>
            <w:r w:rsidR="006128CE">
              <w:rPr>
                <w:webHidden/>
              </w:rPr>
              <w:instrText xml:space="preserve"> PAGEREF _Toc140506584 \h </w:instrText>
            </w:r>
            <w:r w:rsidR="006128CE">
              <w:rPr>
                <w:webHidden/>
              </w:rPr>
            </w:r>
            <w:r w:rsidR="006128CE">
              <w:rPr>
                <w:webHidden/>
              </w:rPr>
              <w:fldChar w:fldCharType="separate"/>
            </w:r>
            <w:r w:rsidR="006128CE">
              <w:rPr>
                <w:webHidden/>
              </w:rPr>
              <w:t>351</w:t>
            </w:r>
            <w:r w:rsidR="006128CE">
              <w:rPr>
                <w:webHidden/>
              </w:rPr>
              <w:fldChar w:fldCharType="end"/>
            </w:r>
          </w:hyperlink>
        </w:p>
        <w:p w14:paraId="21721EC3" w14:textId="13813563"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85" w:history="1">
            <w:r w:rsidR="006128CE" w:rsidRPr="004727B5">
              <w:rPr>
                <w:rStyle w:val="Hipervnculo"/>
              </w:rPr>
              <w:t>37.1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CANACOL</w:t>
            </w:r>
            <w:r w:rsidR="006128CE">
              <w:rPr>
                <w:webHidden/>
              </w:rPr>
              <w:tab/>
            </w:r>
            <w:r w:rsidR="006128CE">
              <w:rPr>
                <w:webHidden/>
              </w:rPr>
              <w:fldChar w:fldCharType="begin"/>
            </w:r>
            <w:r w:rsidR="006128CE">
              <w:rPr>
                <w:webHidden/>
              </w:rPr>
              <w:instrText xml:space="preserve"> PAGEREF _Toc140506585 \h </w:instrText>
            </w:r>
            <w:r w:rsidR="006128CE">
              <w:rPr>
                <w:webHidden/>
              </w:rPr>
            </w:r>
            <w:r w:rsidR="006128CE">
              <w:rPr>
                <w:webHidden/>
              </w:rPr>
              <w:fldChar w:fldCharType="separate"/>
            </w:r>
            <w:r w:rsidR="006128CE">
              <w:rPr>
                <w:webHidden/>
              </w:rPr>
              <w:t>351</w:t>
            </w:r>
            <w:r w:rsidR="006128CE">
              <w:rPr>
                <w:webHidden/>
              </w:rPr>
              <w:fldChar w:fldCharType="end"/>
            </w:r>
          </w:hyperlink>
        </w:p>
        <w:p w14:paraId="3212D204" w14:textId="137D8756"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86" w:history="1">
            <w:r w:rsidR="006128CE" w:rsidRPr="004727B5">
              <w:rPr>
                <w:rStyle w:val="Hipervnculo"/>
              </w:rPr>
              <w:t>37.2</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TERMOYOPAL</w:t>
            </w:r>
            <w:r w:rsidR="006128CE">
              <w:rPr>
                <w:webHidden/>
              </w:rPr>
              <w:tab/>
            </w:r>
            <w:r w:rsidR="006128CE">
              <w:rPr>
                <w:webHidden/>
              </w:rPr>
              <w:fldChar w:fldCharType="begin"/>
            </w:r>
            <w:r w:rsidR="006128CE">
              <w:rPr>
                <w:webHidden/>
              </w:rPr>
              <w:instrText xml:space="preserve"> PAGEREF _Toc140506586 \h </w:instrText>
            </w:r>
            <w:r w:rsidR="006128CE">
              <w:rPr>
                <w:webHidden/>
              </w:rPr>
            </w:r>
            <w:r w:rsidR="006128CE">
              <w:rPr>
                <w:webHidden/>
              </w:rPr>
              <w:fldChar w:fldCharType="separate"/>
            </w:r>
            <w:r w:rsidR="006128CE">
              <w:rPr>
                <w:webHidden/>
              </w:rPr>
              <w:t>351</w:t>
            </w:r>
            <w:r w:rsidR="006128CE">
              <w:rPr>
                <w:webHidden/>
              </w:rPr>
              <w:fldChar w:fldCharType="end"/>
            </w:r>
          </w:hyperlink>
        </w:p>
        <w:p w14:paraId="170FBF9E" w14:textId="576A46FB"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87" w:history="1">
            <w:r w:rsidR="006128CE" w:rsidRPr="004727B5">
              <w:rPr>
                <w:rStyle w:val="Hipervnculo"/>
                <w:caps/>
              </w:rPr>
              <w:t>38</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ANEXO 4</w:t>
            </w:r>
            <w:r w:rsidR="006128CE">
              <w:rPr>
                <w:webHidden/>
              </w:rPr>
              <w:tab/>
            </w:r>
            <w:r w:rsidR="006128CE">
              <w:rPr>
                <w:webHidden/>
              </w:rPr>
              <w:fldChar w:fldCharType="begin"/>
            </w:r>
            <w:r w:rsidR="006128CE">
              <w:rPr>
                <w:webHidden/>
              </w:rPr>
              <w:instrText xml:space="preserve"> PAGEREF _Toc140506587 \h </w:instrText>
            </w:r>
            <w:r w:rsidR="006128CE">
              <w:rPr>
                <w:webHidden/>
              </w:rPr>
            </w:r>
            <w:r w:rsidR="006128CE">
              <w:rPr>
                <w:webHidden/>
              </w:rPr>
              <w:fldChar w:fldCharType="separate"/>
            </w:r>
            <w:r w:rsidR="006128CE">
              <w:rPr>
                <w:webHidden/>
              </w:rPr>
              <w:t>351</w:t>
            </w:r>
            <w:r w:rsidR="006128CE">
              <w:rPr>
                <w:webHidden/>
              </w:rPr>
              <w:fldChar w:fldCharType="end"/>
            </w:r>
          </w:hyperlink>
        </w:p>
        <w:p w14:paraId="5236D3E8" w14:textId="2DD24C8F"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88" w:history="1">
            <w:r w:rsidR="006128CE" w:rsidRPr="004727B5">
              <w:rPr>
                <w:rStyle w:val="Hipervnculo"/>
              </w:rPr>
              <w:t>38.1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_Toc140506588 \h </w:instrText>
            </w:r>
            <w:r w:rsidR="006128CE">
              <w:rPr>
                <w:webHidden/>
              </w:rPr>
            </w:r>
            <w:r w:rsidR="006128CE">
              <w:rPr>
                <w:webHidden/>
              </w:rPr>
              <w:fldChar w:fldCharType="separate"/>
            </w:r>
            <w:r w:rsidR="006128CE">
              <w:rPr>
                <w:webHidden/>
              </w:rPr>
              <w:t>351</w:t>
            </w:r>
            <w:r w:rsidR="006128CE">
              <w:rPr>
                <w:webHidden/>
              </w:rPr>
              <w:fldChar w:fldCharType="end"/>
            </w:r>
          </w:hyperlink>
        </w:p>
        <w:p w14:paraId="1C6C5E60" w14:textId="62C22357"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89" w:history="1">
            <w:r w:rsidR="006128CE" w:rsidRPr="004727B5">
              <w:rPr>
                <w:rStyle w:val="Hipervnculo"/>
                <w:caps/>
              </w:rPr>
              <w:t>39</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ANEXO 5</w:t>
            </w:r>
            <w:r w:rsidR="006128CE">
              <w:rPr>
                <w:webHidden/>
              </w:rPr>
              <w:tab/>
            </w:r>
            <w:r w:rsidR="006128CE">
              <w:rPr>
                <w:webHidden/>
              </w:rPr>
              <w:fldChar w:fldCharType="begin"/>
            </w:r>
            <w:r w:rsidR="006128CE">
              <w:rPr>
                <w:webHidden/>
              </w:rPr>
              <w:instrText xml:space="preserve"> PAGEREF _Toc140506589 \h </w:instrText>
            </w:r>
            <w:r w:rsidR="006128CE">
              <w:rPr>
                <w:webHidden/>
              </w:rPr>
            </w:r>
            <w:r w:rsidR="006128CE">
              <w:rPr>
                <w:webHidden/>
              </w:rPr>
              <w:fldChar w:fldCharType="separate"/>
            </w:r>
            <w:r w:rsidR="006128CE">
              <w:rPr>
                <w:webHidden/>
              </w:rPr>
              <w:t>352</w:t>
            </w:r>
            <w:r w:rsidR="006128CE">
              <w:rPr>
                <w:webHidden/>
              </w:rPr>
              <w:fldChar w:fldCharType="end"/>
            </w:r>
          </w:hyperlink>
        </w:p>
        <w:p w14:paraId="046D3C5B" w14:textId="6C3C550D"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90" w:history="1">
            <w:r w:rsidR="006128CE" w:rsidRPr="004727B5">
              <w:rPr>
                <w:rStyle w:val="Hipervnculo"/>
              </w:rPr>
              <w:t>39.1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BOLSA MERCANTIL DE COLOMBIA</w:t>
            </w:r>
            <w:r w:rsidR="006128CE">
              <w:rPr>
                <w:webHidden/>
              </w:rPr>
              <w:tab/>
            </w:r>
            <w:r w:rsidR="006128CE">
              <w:rPr>
                <w:webHidden/>
              </w:rPr>
              <w:fldChar w:fldCharType="begin"/>
            </w:r>
            <w:r w:rsidR="006128CE">
              <w:rPr>
                <w:webHidden/>
              </w:rPr>
              <w:instrText xml:space="preserve"> PAGEREF _Toc140506590 \h </w:instrText>
            </w:r>
            <w:r w:rsidR="006128CE">
              <w:rPr>
                <w:webHidden/>
              </w:rPr>
            </w:r>
            <w:r w:rsidR="006128CE">
              <w:rPr>
                <w:webHidden/>
              </w:rPr>
              <w:fldChar w:fldCharType="separate"/>
            </w:r>
            <w:r w:rsidR="006128CE">
              <w:rPr>
                <w:webHidden/>
              </w:rPr>
              <w:t>352</w:t>
            </w:r>
            <w:r w:rsidR="006128CE">
              <w:rPr>
                <w:webHidden/>
              </w:rPr>
              <w:fldChar w:fldCharType="end"/>
            </w:r>
          </w:hyperlink>
        </w:p>
        <w:p w14:paraId="6DB11A5D" w14:textId="784132EB"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91" w:history="1">
            <w:r w:rsidR="006128CE" w:rsidRPr="004727B5">
              <w:rPr>
                <w:rStyle w:val="Hipervnculo"/>
                <w:caps/>
              </w:rPr>
              <w:t>40</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DOCUMENTO DE SOPORTE CREG 188 DE 2021</w:t>
            </w:r>
            <w:r w:rsidR="006128CE">
              <w:rPr>
                <w:webHidden/>
              </w:rPr>
              <w:tab/>
            </w:r>
            <w:r w:rsidR="006128CE">
              <w:rPr>
                <w:webHidden/>
              </w:rPr>
              <w:fldChar w:fldCharType="begin"/>
            </w:r>
            <w:r w:rsidR="006128CE">
              <w:rPr>
                <w:webHidden/>
              </w:rPr>
              <w:instrText xml:space="preserve"> PAGEREF _Toc140506591 \h </w:instrText>
            </w:r>
            <w:r w:rsidR="006128CE">
              <w:rPr>
                <w:webHidden/>
              </w:rPr>
            </w:r>
            <w:r w:rsidR="006128CE">
              <w:rPr>
                <w:webHidden/>
              </w:rPr>
              <w:fldChar w:fldCharType="separate"/>
            </w:r>
            <w:r w:rsidR="006128CE">
              <w:rPr>
                <w:webHidden/>
              </w:rPr>
              <w:t>353</w:t>
            </w:r>
            <w:r w:rsidR="006128CE">
              <w:rPr>
                <w:webHidden/>
              </w:rPr>
              <w:fldChar w:fldCharType="end"/>
            </w:r>
          </w:hyperlink>
        </w:p>
        <w:p w14:paraId="3E4D618A" w14:textId="76DFF461" w:rsidR="006128CE" w:rsidRDefault="0098730A">
          <w:pPr>
            <w:pStyle w:val="TDC2"/>
            <w:rPr>
              <w:rFonts w:asciiTheme="minorHAnsi" w:eastAsiaTheme="minorEastAsia" w:hAnsiTheme="minorHAnsi" w:cstheme="minorBidi"/>
              <w:kern w:val="2"/>
              <w:sz w:val="22"/>
              <w:szCs w:val="22"/>
              <w:lang w:val="es-CO" w:eastAsia="es-CO"/>
              <w14:ligatures w14:val="standardContextual"/>
            </w:rPr>
          </w:pPr>
          <w:hyperlink w:anchor="_Toc140506592" w:history="1">
            <w:r w:rsidR="006128CE" w:rsidRPr="004727B5">
              <w:rPr>
                <w:rStyle w:val="Hipervnculo"/>
              </w:rPr>
              <w:t>40.1</w:t>
            </w:r>
            <w:r w:rsidR="006128CE">
              <w:rPr>
                <w:rFonts w:asciiTheme="minorHAnsi" w:eastAsiaTheme="minorEastAsia" w:hAnsiTheme="minorHAnsi" w:cstheme="minorBidi"/>
                <w:kern w:val="2"/>
                <w:sz w:val="22"/>
                <w:szCs w:val="22"/>
                <w:lang w:val="es-CO" w:eastAsia="es-CO"/>
                <w14:ligatures w14:val="standardContextual"/>
              </w:rPr>
              <w:tab/>
            </w:r>
            <w:r w:rsidR="006128CE" w:rsidRPr="004727B5">
              <w:rPr>
                <w:rStyle w:val="Hipervnculo"/>
              </w:rPr>
              <w:t>TEBSA</w:t>
            </w:r>
            <w:r w:rsidR="006128CE">
              <w:rPr>
                <w:webHidden/>
              </w:rPr>
              <w:tab/>
            </w:r>
            <w:r w:rsidR="006128CE">
              <w:rPr>
                <w:webHidden/>
              </w:rPr>
              <w:fldChar w:fldCharType="begin"/>
            </w:r>
            <w:r w:rsidR="006128CE">
              <w:rPr>
                <w:webHidden/>
              </w:rPr>
              <w:instrText xml:space="preserve"> PAGEREF _Toc140506592 \h </w:instrText>
            </w:r>
            <w:r w:rsidR="006128CE">
              <w:rPr>
                <w:webHidden/>
              </w:rPr>
            </w:r>
            <w:r w:rsidR="006128CE">
              <w:rPr>
                <w:webHidden/>
              </w:rPr>
              <w:fldChar w:fldCharType="separate"/>
            </w:r>
            <w:r w:rsidR="006128CE">
              <w:rPr>
                <w:webHidden/>
              </w:rPr>
              <w:t>353</w:t>
            </w:r>
            <w:r w:rsidR="006128CE">
              <w:rPr>
                <w:webHidden/>
              </w:rPr>
              <w:fldChar w:fldCharType="end"/>
            </w:r>
          </w:hyperlink>
        </w:p>
        <w:p w14:paraId="39A3B96F" w14:textId="0E7CD8F0" w:rsidR="006128CE" w:rsidRDefault="0098730A">
          <w:pPr>
            <w:pStyle w:val="TDC1"/>
            <w:rPr>
              <w:rFonts w:asciiTheme="minorHAnsi" w:eastAsiaTheme="minorEastAsia" w:hAnsiTheme="minorHAnsi" w:cstheme="minorBidi"/>
              <w:kern w:val="2"/>
              <w:sz w:val="22"/>
              <w:szCs w:val="22"/>
              <w:lang w:val="es-CO" w:eastAsia="es-CO"/>
              <w14:ligatures w14:val="standardContextual"/>
            </w:rPr>
          </w:pPr>
          <w:hyperlink w:anchor="_Toc140506593" w:history="1">
            <w:r w:rsidR="006128CE" w:rsidRPr="004727B5">
              <w:rPr>
                <w:rStyle w:val="Hipervnculo"/>
              </w:rPr>
              <w:t>ANEXO 2. Resumen de las flexibilidades en los mecanismos y procesos de comercialización y en las modalidades contractuales propuestos</w:t>
            </w:r>
            <w:r w:rsidR="006128CE">
              <w:rPr>
                <w:webHidden/>
              </w:rPr>
              <w:tab/>
            </w:r>
            <w:r w:rsidR="006128CE">
              <w:rPr>
                <w:webHidden/>
              </w:rPr>
              <w:fldChar w:fldCharType="begin"/>
            </w:r>
            <w:r w:rsidR="006128CE">
              <w:rPr>
                <w:webHidden/>
              </w:rPr>
              <w:instrText xml:space="preserve"> PAGEREF _Toc140506593 \h </w:instrText>
            </w:r>
            <w:r w:rsidR="006128CE">
              <w:rPr>
                <w:webHidden/>
              </w:rPr>
            </w:r>
            <w:r w:rsidR="006128CE">
              <w:rPr>
                <w:webHidden/>
              </w:rPr>
              <w:fldChar w:fldCharType="separate"/>
            </w:r>
            <w:r w:rsidR="006128CE">
              <w:rPr>
                <w:webHidden/>
              </w:rPr>
              <w:t>4</w:t>
            </w:r>
            <w:r w:rsidR="006128CE">
              <w:rPr>
                <w:webHidden/>
              </w:rPr>
              <w:fldChar w:fldCharType="end"/>
            </w:r>
          </w:hyperlink>
        </w:p>
        <w:p w14:paraId="5E901064" w14:textId="590DAA0B" w:rsidR="00AD21C2" w:rsidRPr="000C39B1" w:rsidRDefault="00AD21C2">
          <w:pPr>
            <w:rPr>
              <w:sz w:val="22"/>
              <w:szCs w:val="22"/>
            </w:rPr>
          </w:pPr>
          <w:r w:rsidRPr="000C39B1">
            <w:rPr>
              <w:b/>
              <w:bCs/>
              <w:sz w:val="22"/>
              <w:szCs w:val="22"/>
              <w:lang w:val="es-ES"/>
            </w:rPr>
            <w:fldChar w:fldCharType="end"/>
          </w:r>
        </w:p>
      </w:sdtContent>
    </w:sdt>
    <w:p w14:paraId="24C7B027" w14:textId="47898F7B" w:rsidR="00A4535B" w:rsidRPr="000C39B1" w:rsidRDefault="00A4535B" w:rsidP="008D1D5D">
      <w:pPr>
        <w:rPr>
          <w:rFonts w:cs="Arial"/>
          <w:b/>
          <w:bCs/>
          <w:sz w:val="22"/>
          <w:szCs w:val="22"/>
        </w:rPr>
      </w:pPr>
      <w:bookmarkStart w:id="0" w:name="_Toc417034533"/>
      <w:bookmarkStart w:id="1" w:name="_Toc429486657"/>
    </w:p>
    <w:p w14:paraId="120B15AF" w14:textId="775CEB86" w:rsidR="000031CC" w:rsidRPr="000C39B1" w:rsidRDefault="000031CC" w:rsidP="008D1D5D">
      <w:pPr>
        <w:rPr>
          <w:rFonts w:cs="Arial"/>
          <w:b/>
          <w:bCs/>
          <w:caps/>
          <w:sz w:val="22"/>
          <w:szCs w:val="22"/>
        </w:rPr>
      </w:pPr>
      <w:r w:rsidRPr="000C39B1">
        <w:rPr>
          <w:rFonts w:cs="Arial"/>
          <w:b/>
          <w:bCs/>
          <w:caps/>
          <w:sz w:val="22"/>
          <w:szCs w:val="22"/>
        </w:rPr>
        <w:t>Listado de figuras</w:t>
      </w:r>
    </w:p>
    <w:p w14:paraId="45E29FE2" w14:textId="77777777" w:rsidR="000031CC" w:rsidRPr="000C39B1" w:rsidRDefault="000031CC" w:rsidP="008D1D5D">
      <w:pPr>
        <w:rPr>
          <w:rFonts w:cs="Arial"/>
          <w:b/>
          <w:bCs/>
          <w:sz w:val="22"/>
          <w:szCs w:val="22"/>
        </w:rPr>
      </w:pPr>
    </w:p>
    <w:p w14:paraId="05B8011E" w14:textId="339C356D" w:rsidR="006128CE" w:rsidRDefault="000031CC">
      <w:pPr>
        <w:pStyle w:val="Tabladeilustraciones"/>
        <w:rPr>
          <w:rFonts w:asciiTheme="minorHAnsi" w:eastAsiaTheme="minorEastAsia" w:hAnsiTheme="minorHAnsi" w:cstheme="minorBidi"/>
          <w:kern w:val="2"/>
          <w:szCs w:val="22"/>
          <w:lang w:val="es-CO" w:eastAsia="es-CO"/>
          <w14:ligatures w14:val="standardContextual"/>
        </w:rPr>
      </w:pPr>
      <w:r w:rsidRPr="000C39B1">
        <w:rPr>
          <w:rFonts w:cs="Arial"/>
          <w:b/>
          <w:bCs/>
          <w:szCs w:val="22"/>
        </w:rPr>
        <w:fldChar w:fldCharType="begin"/>
      </w:r>
      <w:r w:rsidRPr="000C39B1">
        <w:rPr>
          <w:rFonts w:cs="Arial"/>
          <w:b/>
          <w:bCs/>
          <w:szCs w:val="22"/>
        </w:rPr>
        <w:instrText xml:space="preserve"> TOC \h \z \c "Figura" </w:instrText>
      </w:r>
      <w:r w:rsidRPr="000C39B1">
        <w:rPr>
          <w:rFonts w:cs="Arial"/>
          <w:b/>
          <w:bCs/>
          <w:szCs w:val="22"/>
        </w:rPr>
        <w:fldChar w:fldCharType="separate"/>
      </w:r>
      <w:hyperlink w:anchor="_Toc140506594" w:history="1">
        <w:r w:rsidR="006128CE" w:rsidRPr="0007509D">
          <w:rPr>
            <w:rStyle w:val="Hipervnculo"/>
          </w:rPr>
          <w:t>Figura 1 Resumen de la problemática en documento CREG 049/2021</w:t>
        </w:r>
        <w:r w:rsidR="006128CE">
          <w:rPr>
            <w:webHidden/>
          </w:rPr>
          <w:tab/>
        </w:r>
        <w:r w:rsidR="006128CE">
          <w:rPr>
            <w:webHidden/>
          </w:rPr>
          <w:fldChar w:fldCharType="begin"/>
        </w:r>
        <w:r w:rsidR="006128CE">
          <w:rPr>
            <w:webHidden/>
          </w:rPr>
          <w:instrText xml:space="preserve"> PAGEREF _Toc140506594 \h </w:instrText>
        </w:r>
        <w:r w:rsidR="006128CE">
          <w:rPr>
            <w:webHidden/>
          </w:rPr>
        </w:r>
        <w:r w:rsidR="006128CE">
          <w:rPr>
            <w:webHidden/>
          </w:rPr>
          <w:fldChar w:fldCharType="separate"/>
        </w:r>
        <w:r w:rsidR="006128CE">
          <w:rPr>
            <w:webHidden/>
          </w:rPr>
          <w:t>6</w:t>
        </w:r>
        <w:r w:rsidR="006128CE">
          <w:rPr>
            <w:webHidden/>
          </w:rPr>
          <w:fldChar w:fldCharType="end"/>
        </w:r>
      </w:hyperlink>
    </w:p>
    <w:p w14:paraId="7F0F9451" w14:textId="131192DD"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595" w:history="1">
        <w:r w:rsidR="006128CE" w:rsidRPr="0007509D">
          <w:rPr>
            <w:rStyle w:val="Hipervnculo"/>
          </w:rPr>
          <w:t>Figura 2 Balance Oferta comercial de gas natural versus demanda proyectada de gas natural</w:t>
        </w:r>
        <w:r w:rsidR="006128CE">
          <w:rPr>
            <w:webHidden/>
          </w:rPr>
          <w:tab/>
        </w:r>
        <w:r w:rsidR="006128CE">
          <w:rPr>
            <w:webHidden/>
          </w:rPr>
          <w:fldChar w:fldCharType="begin"/>
        </w:r>
        <w:r w:rsidR="006128CE">
          <w:rPr>
            <w:webHidden/>
          </w:rPr>
          <w:instrText xml:space="preserve"> PAGEREF _Toc140506595 \h </w:instrText>
        </w:r>
        <w:r w:rsidR="006128CE">
          <w:rPr>
            <w:webHidden/>
          </w:rPr>
        </w:r>
        <w:r w:rsidR="006128CE">
          <w:rPr>
            <w:webHidden/>
          </w:rPr>
          <w:fldChar w:fldCharType="separate"/>
        </w:r>
        <w:r w:rsidR="006128CE">
          <w:rPr>
            <w:webHidden/>
          </w:rPr>
          <w:t>9</w:t>
        </w:r>
        <w:r w:rsidR="006128CE">
          <w:rPr>
            <w:webHidden/>
          </w:rPr>
          <w:fldChar w:fldCharType="end"/>
        </w:r>
      </w:hyperlink>
    </w:p>
    <w:p w14:paraId="13B9DF04" w14:textId="27A55941"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596" w:history="1">
        <w:r w:rsidR="006128CE" w:rsidRPr="0007509D">
          <w:rPr>
            <w:rStyle w:val="Hipervnculo"/>
          </w:rPr>
          <w:t>Figura 3 Cantidades contratadas en firme vs cantidades estimadas de demanda UPME</w:t>
        </w:r>
        <w:r w:rsidR="006128CE">
          <w:rPr>
            <w:webHidden/>
          </w:rPr>
          <w:tab/>
        </w:r>
        <w:r w:rsidR="006128CE">
          <w:rPr>
            <w:webHidden/>
          </w:rPr>
          <w:fldChar w:fldCharType="begin"/>
        </w:r>
        <w:r w:rsidR="006128CE">
          <w:rPr>
            <w:webHidden/>
          </w:rPr>
          <w:instrText xml:space="preserve"> PAGEREF _Toc140506596 \h </w:instrText>
        </w:r>
        <w:r w:rsidR="006128CE">
          <w:rPr>
            <w:webHidden/>
          </w:rPr>
        </w:r>
        <w:r w:rsidR="006128CE">
          <w:rPr>
            <w:webHidden/>
          </w:rPr>
          <w:fldChar w:fldCharType="separate"/>
        </w:r>
        <w:r w:rsidR="006128CE">
          <w:rPr>
            <w:webHidden/>
          </w:rPr>
          <w:t>10</w:t>
        </w:r>
        <w:r w:rsidR="006128CE">
          <w:rPr>
            <w:webHidden/>
          </w:rPr>
          <w:fldChar w:fldCharType="end"/>
        </w:r>
      </w:hyperlink>
    </w:p>
    <w:p w14:paraId="5CAD4C08" w14:textId="04D19939"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597" w:history="1">
        <w:r w:rsidR="006128CE" w:rsidRPr="0007509D">
          <w:rPr>
            <w:rStyle w:val="Hipervnculo"/>
          </w:rPr>
          <w:t>Figura 4 Declaración de PTDV a final del año 2022</w:t>
        </w:r>
        <w:r w:rsidR="006128CE">
          <w:rPr>
            <w:webHidden/>
          </w:rPr>
          <w:tab/>
        </w:r>
        <w:r w:rsidR="006128CE">
          <w:rPr>
            <w:webHidden/>
          </w:rPr>
          <w:fldChar w:fldCharType="begin"/>
        </w:r>
        <w:r w:rsidR="006128CE">
          <w:rPr>
            <w:webHidden/>
          </w:rPr>
          <w:instrText xml:space="preserve"> PAGEREF _Toc140506597 \h </w:instrText>
        </w:r>
        <w:r w:rsidR="006128CE">
          <w:rPr>
            <w:webHidden/>
          </w:rPr>
        </w:r>
        <w:r w:rsidR="006128CE">
          <w:rPr>
            <w:webHidden/>
          </w:rPr>
          <w:fldChar w:fldCharType="separate"/>
        </w:r>
        <w:r w:rsidR="006128CE">
          <w:rPr>
            <w:webHidden/>
          </w:rPr>
          <w:t>15</w:t>
        </w:r>
        <w:r w:rsidR="006128CE">
          <w:rPr>
            <w:webHidden/>
          </w:rPr>
          <w:fldChar w:fldCharType="end"/>
        </w:r>
      </w:hyperlink>
    </w:p>
    <w:p w14:paraId="7F4AB5DB" w14:textId="4C6CD934"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598" w:history="1">
        <w:r w:rsidR="006128CE" w:rsidRPr="0007509D">
          <w:rPr>
            <w:rStyle w:val="Hipervnculo"/>
          </w:rPr>
          <w:t>Figura 5 Declaraciones de producción de campos sin excepciones a mecanismos de comercialización CREG</w:t>
        </w:r>
        <w:r w:rsidR="006128CE">
          <w:rPr>
            <w:webHidden/>
          </w:rPr>
          <w:tab/>
        </w:r>
        <w:r w:rsidR="006128CE">
          <w:rPr>
            <w:webHidden/>
          </w:rPr>
          <w:fldChar w:fldCharType="begin"/>
        </w:r>
        <w:r w:rsidR="006128CE">
          <w:rPr>
            <w:webHidden/>
          </w:rPr>
          <w:instrText xml:space="preserve"> PAGEREF _Toc140506598 \h </w:instrText>
        </w:r>
        <w:r w:rsidR="006128CE">
          <w:rPr>
            <w:webHidden/>
          </w:rPr>
        </w:r>
        <w:r w:rsidR="006128CE">
          <w:rPr>
            <w:webHidden/>
          </w:rPr>
          <w:fldChar w:fldCharType="separate"/>
        </w:r>
        <w:r w:rsidR="006128CE">
          <w:rPr>
            <w:webHidden/>
          </w:rPr>
          <w:t>15</w:t>
        </w:r>
        <w:r w:rsidR="006128CE">
          <w:rPr>
            <w:webHidden/>
          </w:rPr>
          <w:fldChar w:fldCharType="end"/>
        </w:r>
      </w:hyperlink>
    </w:p>
    <w:p w14:paraId="702F826D" w14:textId="73030947"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599" w:history="1">
        <w:r w:rsidR="006128CE" w:rsidRPr="0007509D">
          <w:rPr>
            <w:rStyle w:val="Hipervnculo"/>
          </w:rPr>
          <w:t>Figura 6 Declaraciones de producción de campos con excepciones a mecanismos de comercialización CREG</w:t>
        </w:r>
        <w:r w:rsidR="006128CE">
          <w:rPr>
            <w:webHidden/>
          </w:rPr>
          <w:tab/>
        </w:r>
        <w:r w:rsidR="006128CE">
          <w:rPr>
            <w:webHidden/>
          </w:rPr>
          <w:fldChar w:fldCharType="begin"/>
        </w:r>
        <w:r w:rsidR="006128CE">
          <w:rPr>
            <w:webHidden/>
          </w:rPr>
          <w:instrText xml:space="preserve"> PAGEREF _Toc140506599 \h </w:instrText>
        </w:r>
        <w:r w:rsidR="006128CE">
          <w:rPr>
            <w:webHidden/>
          </w:rPr>
        </w:r>
        <w:r w:rsidR="006128CE">
          <w:rPr>
            <w:webHidden/>
          </w:rPr>
          <w:fldChar w:fldCharType="separate"/>
        </w:r>
        <w:r w:rsidR="006128CE">
          <w:rPr>
            <w:webHidden/>
          </w:rPr>
          <w:t>16</w:t>
        </w:r>
        <w:r w:rsidR="006128CE">
          <w:rPr>
            <w:webHidden/>
          </w:rPr>
          <w:fldChar w:fldCharType="end"/>
        </w:r>
      </w:hyperlink>
    </w:p>
    <w:p w14:paraId="69AB70C7" w14:textId="7541FACA"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0" w:history="1">
        <w:r w:rsidR="006128CE" w:rsidRPr="0007509D">
          <w:rPr>
            <w:rStyle w:val="Hipervnculo"/>
          </w:rPr>
          <w:t>Figura 7 Cantidades contratadas por año de inicio de ejecución del contrato registradas bajo la modalidad “Otras”</w:t>
        </w:r>
        <w:r w:rsidR="006128CE">
          <w:rPr>
            <w:webHidden/>
          </w:rPr>
          <w:tab/>
        </w:r>
        <w:r w:rsidR="006128CE">
          <w:rPr>
            <w:webHidden/>
          </w:rPr>
          <w:fldChar w:fldCharType="begin"/>
        </w:r>
        <w:r w:rsidR="006128CE">
          <w:rPr>
            <w:webHidden/>
          </w:rPr>
          <w:instrText xml:space="preserve"> PAGEREF _Toc140506600 \h </w:instrText>
        </w:r>
        <w:r w:rsidR="006128CE">
          <w:rPr>
            <w:webHidden/>
          </w:rPr>
        </w:r>
        <w:r w:rsidR="006128CE">
          <w:rPr>
            <w:webHidden/>
          </w:rPr>
          <w:fldChar w:fldCharType="separate"/>
        </w:r>
        <w:r w:rsidR="006128CE">
          <w:rPr>
            <w:webHidden/>
          </w:rPr>
          <w:t>21</w:t>
        </w:r>
        <w:r w:rsidR="006128CE">
          <w:rPr>
            <w:webHidden/>
          </w:rPr>
          <w:fldChar w:fldCharType="end"/>
        </w:r>
      </w:hyperlink>
    </w:p>
    <w:p w14:paraId="711272C2" w14:textId="2A99F0C7"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1" w:history="1">
        <w:r w:rsidR="006128CE" w:rsidRPr="0007509D">
          <w:rPr>
            <w:rStyle w:val="Hipervnculo"/>
          </w:rPr>
          <w:t>Figura 8 Cantidades contratadas por año de inicio de ejecución del contrato registradas bajo la modalidad “Firme”</w:t>
        </w:r>
        <w:r w:rsidR="006128CE">
          <w:rPr>
            <w:webHidden/>
          </w:rPr>
          <w:tab/>
        </w:r>
        <w:r w:rsidR="006128CE">
          <w:rPr>
            <w:webHidden/>
          </w:rPr>
          <w:fldChar w:fldCharType="begin"/>
        </w:r>
        <w:r w:rsidR="006128CE">
          <w:rPr>
            <w:webHidden/>
          </w:rPr>
          <w:instrText xml:space="preserve"> PAGEREF _Toc140506601 \h </w:instrText>
        </w:r>
        <w:r w:rsidR="006128CE">
          <w:rPr>
            <w:webHidden/>
          </w:rPr>
        </w:r>
        <w:r w:rsidR="006128CE">
          <w:rPr>
            <w:webHidden/>
          </w:rPr>
          <w:fldChar w:fldCharType="separate"/>
        </w:r>
        <w:r w:rsidR="006128CE">
          <w:rPr>
            <w:webHidden/>
          </w:rPr>
          <w:t>22</w:t>
        </w:r>
        <w:r w:rsidR="006128CE">
          <w:rPr>
            <w:webHidden/>
          </w:rPr>
          <w:fldChar w:fldCharType="end"/>
        </w:r>
      </w:hyperlink>
    </w:p>
    <w:p w14:paraId="6BC96EF7" w14:textId="666A2660"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2" w:history="1">
        <w:r w:rsidR="006128CE" w:rsidRPr="0007509D">
          <w:rPr>
            <w:rStyle w:val="Hipervnculo"/>
          </w:rPr>
          <w:t>Figura 9 Cantidades contratadas por año de inicio de ejecución del contrato registradas bajo la modalidad “CF95”</w:t>
        </w:r>
        <w:r w:rsidR="006128CE">
          <w:rPr>
            <w:webHidden/>
          </w:rPr>
          <w:tab/>
        </w:r>
        <w:r w:rsidR="006128CE">
          <w:rPr>
            <w:webHidden/>
          </w:rPr>
          <w:fldChar w:fldCharType="begin"/>
        </w:r>
        <w:r w:rsidR="006128CE">
          <w:rPr>
            <w:webHidden/>
          </w:rPr>
          <w:instrText xml:space="preserve"> PAGEREF _Toc140506602 \h </w:instrText>
        </w:r>
        <w:r w:rsidR="006128CE">
          <w:rPr>
            <w:webHidden/>
          </w:rPr>
        </w:r>
        <w:r w:rsidR="006128CE">
          <w:rPr>
            <w:webHidden/>
          </w:rPr>
          <w:fldChar w:fldCharType="separate"/>
        </w:r>
        <w:r w:rsidR="006128CE">
          <w:rPr>
            <w:webHidden/>
          </w:rPr>
          <w:t>22</w:t>
        </w:r>
        <w:r w:rsidR="006128CE">
          <w:rPr>
            <w:webHidden/>
          </w:rPr>
          <w:fldChar w:fldCharType="end"/>
        </w:r>
      </w:hyperlink>
    </w:p>
    <w:p w14:paraId="29B2E88D" w14:textId="4700E9EA"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3" w:history="1">
        <w:r w:rsidR="006128CE" w:rsidRPr="0007509D">
          <w:rPr>
            <w:rStyle w:val="Hipervnculo"/>
          </w:rPr>
          <w:t>Figura 10 Potenciales de Producción PP declarados al MME</w:t>
        </w:r>
        <w:r w:rsidR="006128CE">
          <w:rPr>
            <w:webHidden/>
          </w:rPr>
          <w:tab/>
        </w:r>
        <w:r w:rsidR="006128CE">
          <w:rPr>
            <w:webHidden/>
          </w:rPr>
          <w:fldChar w:fldCharType="begin"/>
        </w:r>
        <w:r w:rsidR="006128CE">
          <w:rPr>
            <w:webHidden/>
          </w:rPr>
          <w:instrText xml:space="preserve"> PAGEREF _Toc140506603 \h </w:instrText>
        </w:r>
        <w:r w:rsidR="006128CE">
          <w:rPr>
            <w:webHidden/>
          </w:rPr>
        </w:r>
        <w:r w:rsidR="006128CE">
          <w:rPr>
            <w:webHidden/>
          </w:rPr>
          <w:fldChar w:fldCharType="separate"/>
        </w:r>
        <w:r w:rsidR="006128CE">
          <w:rPr>
            <w:webHidden/>
          </w:rPr>
          <w:t>31</w:t>
        </w:r>
        <w:r w:rsidR="006128CE">
          <w:rPr>
            <w:webHidden/>
          </w:rPr>
          <w:fldChar w:fldCharType="end"/>
        </w:r>
      </w:hyperlink>
    </w:p>
    <w:p w14:paraId="4F903593" w14:textId="610277EC"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4" w:history="1">
        <w:r w:rsidR="006128CE" w:rsidRPr="0007509D">
          <w:rPr>
            <w:rStyle w:val="Hipervnculo"/>
          </w:rPr>
          <w:t>Figura 11 Potencial de Producción declarados al MME por campo de producción X</w:t>
        </w:r>
        <w:r w:rsidR="006128CE">
          <w:rPr>
            <w:webHidden/>
          </w:rPr>
          <w:tab/>
        </w:r>
        <w:r w:rsidR="006128CE">
          <w:rPr>
            <w:webHidden/>
          </w:rPr>
          <w:fldChar w:fldCharType="begin"/>
        </w:r>
        <w:r w:rsidR="006128CE">
          <w:rPr>
            <w:webHidden/>
          </w:rPr>
          <w:instrText xml:space="preserve"> PAGEREF _Toc140506604 \h </w:instrText>
        </w:r>
        <w:r w:rsidR="006128CE">
          <w:rPr>
            <w:webHidden/>
          </w:rPr>
        </w:r>
        <w:r w:rsidR="006128CE">
          <w:rPr>
            <w:webHidden/>
          </w:rPr>
          <w:fldChar w:fldCharType="separate"/>
        </w:r>
        <w:r w:rsidR="006128CE">
          <w:rPr>
            <w:webHidden/>
          </w:rPr>
          <w:t>32</w:t>
        </w:r>
        <w:r w:rsidR="006128CE">
          <w:rPr>
            <w:webHidden/>
          </w:rPr>
          <w:fldChar w:fldCharType="end"/>
        </w:r>
      </w:hyperlink>
    </w:p>
    <w:p w14:paraId="6A6425C3" w14:textId="6AB68B9B"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5" w:history="1">
        <w:r w:rsidR="006128CE" w:rsidRPr="0007509D">
          <w:rPr>
            <w:rStyle w:val="Hipervnculo"/>
          </w:rPr>
          <w:t>Figura 12 Resumen de resultados de las subastas C1 a 2021</w:t>
        </w:r>
        <w:r w:rsidR="006128CE">
          <w:rPr>
            <w:webHidden/>
          </w:rPr>
          <w:tab/>
        </w:r>
        <w:r w:rsidR="006128CE">
          <w:rPr>
            <w:webHidden/>
          </w:rPr>
          <w:fldChar w:fldCharType="begin"/>
        </w:r>
        <w:r w:rsidR="006128CE">
          <w:rPr>
            <w:webHidden/>
          </w:rPr>
          <w:instrText xml:space="preserve"> PAGEREF _Toc140506605 \h </w:instrText>
        </w:r>
        <w:r w:rsidR="006128CE">
          <w:rPr>
            <w:webHidden/>
          </w:rPr>
        </w:r>
        <w:r w:rsidR="006128CE">
          <w:rPr>
            <w:webHidden/>
          </w:rPr>
          <w:fldChar w:fldCharType="separate"/>
        </w:r>
        <w:r w:rsidR="006128CE">
          <w:rPr>
            <w:webHidden/>
          </w:rPr>
          <w:t>33</w:t>
        </w:r>
        <w:r w:rsidR="006128CE">
          <w:rPr>
            <w:webHidden/>
          </w:rPr>
          <w:fldChar w:fldCharType="end"/>
        </w:r>
      </w:hyperlink>
    </w:p>
    <w:p w14:paraId="1F09901F" w14:textId="0C6C924F"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6" w:history="1">
        <w:r w:rsidR="006128CE" w:rsidRPr="0007509D">
          <w:rPr>
            <w:rStyle w:val="Hipervnculo"/>
          </w:rPr>
          <w:t>Figura 13 Resumen de resultados de las subastas C2 a 2021</w:t>
        </w:r>
        <w:r w:rsidR="006128CE">
          <w:rPr>
            <w:webHidden/>
          </w:rPr>
          <w:tab/>
        </w:r>
        <w:r w:rsidR="006128CE">
          <w:rPr>
            <w:webHidden/>
          </w:rPr>
          <w:fldChar w:fldCharType="begin"/>
        </w:r>
        <w:r w:rsidR="006128CE">
          <w:rPr>
            <w:webHidden/>
          </w:rPr>
          <w:instrText xml:space="preserve"> PAGEREF _Toc140506606 \h </w:instrText>
        </w:r>
        <w:r w:rsidR="006128CE">
          <w:rPr>
            <w:webHidden/>
          </w:rPr>
        </w:r>
        <w:r w:rsidR="006128CE">
          <w:rPr>
            <w:webHidden/>
          </w:rPr>
          <w:fldChar w:fldCharType="separate"/>
        </w:r>
        <w:r w:rsidR="006128CE">
          <w:rPr>
            <w:webHidden/>
          </w:rPr>
          <w:t>33</w:t>
        </w:r>
        <w:r w:rsidR="006128CE">
          <w:rPr>
            <w:webHidden/>
          </w:rPr>
          <w:fldChar w:fldCharType="end"/>
        </w:r>
      </w:hyperlink>
    </w:p>
    <w:p w14:paraId="4CEAA66A" w14:textId="7D63D88F"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7" w:history="1">
        <w:r w:rsidR="006128CE" w:rsidRPr="0007509D">
          <w:rPr>
            <w:rStyle w:val="Hipervnculo"/>
          </w:rPr>
          <w:t>Figura 14 Resultados de las subastas para contratos bimestrales</w:t>
        </w:r>
        <w:r w:rsidR="006128CE">
          <w:rPr>
            <w:webHidden/>
          </w:rPr>
          <w:tab/>
        </w:r>
        <w:r w:rsidR="006128CE">
          <w:rPr>
            <w:webHidden/>
          </w:rPr>
          <w:fldChar w:fldCharType="begin"/>
        </w:r>
        <w:r w:rsidR="006128CE">
          <w:rPr>
            <w:webHidden/>
          </w:rPr>
          <w:instrText xml:space="preserve"> PAGEREF _Toc140506607 \h </w:instrText>
        </w:r>
        <w:r w:rsidR="006128CE">
          <w:rPr>
            <w:webHidden/>
          </w:rPr>
        </w:r>
        <w:r w:rsidR="006128CE">
          <w:rPr>
            <w:webHidden/>
          </w:rPr>
          <w:fldChar w:fldCharType="separate"/>
        </w:r>
        <w:r w:rsidR="006128CE">
          <w:rPr>
            <w:webHidden/>
          </w:rPr>
          <w:t>34</w:t>
        </w:r>
        <w:r w:rsidR="006128CE">
          <w:rPr>
            <w:webHidden/>
          </w:rPr>
          <w:fldChar w:fldCharType="end"/>
        </w:r>
      </w:hyperlink>
    </w:p>
    <w:p w14:paraId="60FF1057" w14:textId="3BCD4032"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8" w:history="1">
        <w:r w:rsidR="006128CE" w:rsidRPr="0007509D">
          <w:rPr>
            <w:rStyle w:val="Hipervnculo"/>
          </w:rPr>
          <w:t>Figura 15 Cantidades registradas en contratos con interrupciones a enero 2022</w:t>
        </w:r>
        <w:r w:rsidR="006128CE">
          <w:rPr>
            <w:webHidden/>
          </w:rPr>
          <w:tab/>
        </w:r>
        <w:r w:rsidR="006128CE">
          <w:rPr>
            <w:webHidden/>
          </w:rPr>
          <w:fldChar w:fldCharType="begin"/>
        </w:r>
        <w:r w:rsidR="006128CE">
          <w:rPr>
            <w:webHidden/>
          </w:rPr>
          <w:instrText xml:space="preserve"> PAGEREF _Toc140506608 \h </w:instrText>
        </w:r>
        <w:r w:rsidR="006128CE">
          <w:rPr>
            <w:webHidden/>
          </w:rPr>
        </w:r>
        <w:r w:rsidR="006128CE">
          <w:rPr>
            <w:webHidden/>
          </w:rPr>
          <w:fldChar w:fldCharType="separate"/>
        </w:r>
        <w:r w:rsidR="006128CE">
          <w:rPr>
            <w:webHidden/>
          </w:rPr>
          <w:t>36</w:t>
        </w:r>
        <w:r w:rsidR="006128CE">
          <w:rPr>
            <w:webHidden/>
          </w:rPr>
          <w:fldChar w:fldCharType="end"/>
        </w:r>
      </w:hyperlink>
    </w:p>
    <w:p w14:paraId="3422BFA9" w14:textId="578D1834"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09" w:history="1">
        <w:r w:rsidR="006128CE" w:rsidRPr="0007509D">
          <w:rPr>
            <w:rStyle w:val="Hipervnculo"/>
          </w:rPr>
          <w:t>Figura 16 Ejemplo de Caso a): gas obtenido en el exterior con Respaldo Físico</w:t>
        </w:r>
        <w:r w:rsidR="006128CE">
          <w:rPr>
            <w:webHidden/>
          </w:rPr>
          <w:tab/>
        </w:r>
        <w:r w:rsidR="006128CE">
          <w:rPr>
            <w:webHidden/>
          </w:rPr>
          <w:fldChar w:fldCharType="begin"/>
        </w:r>
        <w:r w:rsidR="006128CE">
          <w:rPr>
            <w:webHidden/>
          </w:rPr>
          <w:instrText xml:space="preserve"> PAGEREF _Toc140506609 \h </w:instrText>
        </w:r>
        <w:r w:rsidR="006128CE">
          <w:rPr>
            <w:webHidden/>
          </w:rPr>
        </w:r>
        <w:r w:rsidR="006128CE">
          <w:rPr>
            <w:webHidden/>
          </w:rPr>
          <w:fldChar w:fldCharType="separate"/>
        </w:r>
        <w:r w:rsidR="006128CE">
          <w:rPr>
            <w:webHidden/>
          </w:rPr>
          <w:t>39</w:t>
        </w:r>
        <w:r w:rsidR="006128CE">
          <w:rPr>
            <w:webHidden/>
          </w:rPr>
          <w:fldChar w:fldCharType="end"/>
        </w:r>
      </w:hyperlink>
    </w:p>
    <w:p w14:paraId="341F7902" w14:textId="48FB6163"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0" w:history="1">
        <w:r w:rsidR="006128CE" w:rsidRPr="0007509D">
          <w:rPr>
            <w:rStyle w:val="Hipervnculo"/>
          </w:rPr>
          <w:t>Figura 17 Ejemplo de Caso a): cantidades máximas a declarar con Respaldo Físico CIDVF</w:t>
        </w:r>
        <w:r w:rsidR="006128CE">
          <w:rPr>
            <w:webHidden/>
          </w:rPr>
          <w:tab/>
        </w:r>
        <w:r w:rsidR="006128CE">
          <w:rPr>
            <w:webHidden/>
          </w:rPr>
          <w:fldChar w:fldCharType="begin"/>
        </w:r>
        <w:r w:rsidR="006128CE">
          <w:rPr>
            <w:webHidden/>
          </w:rPr>
          <w:instrText xml:space="preserve"> PAGEREF _Toc140506610 \h </w:instrText>
        </w:r>
        <w:r w:rsidR="006128CE">
          <w:rPr>
            <w:webHidden/>
          </w:rPr>
        </w:r>
        <w:r w:rsidR="006128CE">
          <w:rPr>
            <w:webHidden/>
          </w:rPr>
          <w:fldChar w:fldCharType="separate"/>
        </w:r>
        <w:r w:rsidR="006128CE">
          <w:rPr>
            <w:webHidden/>
          </w:rPr>
          <w:t>39</w:t>
        </w:r>
        <w:r w:rsidR="006128CE">
          <w:rPr>
            <w:webHidden/>
          </w:rPr>
          <w:fldChar w:fldCharType="end"/>
        </w:r>
      </w:hyperlink>
    </w:p>
    <w:p w14:paraId="36720790" w14:textId="179E4515"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1" w:history="1">
        <w:r w:rsidR="006128CE" w:rsidRPr="0007509D">
          <w:rPr>
            <w:rStyle w:val="Hipervnculo"/>
          </w:rPr>
          <w:t>Figura 18 Ejemplo de Caso a): cantidades máximas a contratar por trimestre estándar</w:t>
        </w:r>
        <w:r w:rsidR="006128CE">
          <w:rPr>
            <w:webHidden/>
          </w:rPr>
          <w:tab/>
        </w:r>
        <w:r w:rsidR="006128CE">
          <w:rPr>
            <w:webHidden/>
          </w:rPr>
          <w:fldChar w:fldCharType="begin"/>
        </w:r>
        <w:r w:rsidR="006128CE">
          <w:rPr>
            <w:webHidden/>
          </w:rPr>
          <w:instrText xml:space="preserve"> PAGEREF _Toc140506611 \h </w:instrText>
        </w:r>
        <w:r w:rsidR="006128CE">
          <w:rPr>
            <w:webHidden/>
          </w:rPr>
        </w:r>
        <w:r w:rsidR="006128CE">
          <w:rPr>
            <w:webHidden/>
          </w:rPr>
          <w:fldChar w:fldCharType="separate"/>
        </w:r>
        <w:r w:rsidR="006128CE">
          <w:rPr>
            <w:webHidden/>
          </w:rPr>
          <w:t>40</w:t>
        </w:r>
        <w:r w:rsidR="006128CE">
          <w:rPr>
            <w:webHidden/>
          </w:rPr>
          <w:fldChar w:fldCharType="end"/>
        </w:r>
      </w:hyperlink>
    </w:p>
    <w:p w14:paraId="4F98DDE1" w14:textId="00D2F3D0"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2" w:history="1">
        <w:r w:rsidR="006128CE" w:rsidRPr="0007509D">
          <w:rPr>
            <w:rStyle w:val="Hipervnculo"/>
          </w:rPr>
          <w:t>Figura 19 Ejemplo de Caso b): cantidades máximas a declarar con Respaldo Físico CIDVF</w:t>
        </w:r>
        <w:r w:rsidR="006128CE">
          <w:rPr>
            <w:webHidden/>
          </w:rPr>
          <w:tab/>
        </w:r>
        <w:r w:rsidR="006128CE">
          <w:rPr>
            <w:webHidden/>
          </w:rPr>
          <w:fldChar w:fldCharType="begin"/>
        </w:r>
        <w:r w:rsidR="006128CE">
          <w:rPr>
            <w:webHidden/>
          </w:rPr>
          <w:instrText xml:space="preserve"> PAGEREF _Toc140506612 \h </w:instrText>
        </w:r>
        <w:r w:rsidR="006128CE">
          <w:rPr>
            <w:webHidden/>
          </w:rPr>
        </w:r>
        <w:r w:rsidR="006128CE">
          <w:rPr>
            <w:webHidden/>
          </w:rPr>
          <w:fldChar w:fldCharType="separate"/>
        </w:r>
        <w:r w:rsidR="006128CE">
          <w:rPr>
            <w:webHidden/>
          </w:rPr>
          <w:t>40</w:t>
        </w:r>
        <w:r w:rsidR="006128CE">
          <w:rPr>
            <w:webHidden/>
          </w:rPr>
          <w:fldChar w:fldCharType="end"/>
        </w:r>
      </w:hyperlink>
    </w:p>
    <w:p w14:paraId="3684CDEA" w14:textId="275A06CE"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3" w:history="1">
        <w:r w:rsidR="006128CE" w:rsidRPr="0007509D">
          <w:rPr>
            <w:rStyle w:val="Hipervnculo"/>
          </w:rPr>
          <w:t>Figura 20 Esquema general del mecanismo de aseguramiento de la Demanda Esencial</w:t>
        </w:r>
        <w:r w:rsidR="006128CE">
          <w:rPr>
            <w:webHidden/>
          </w:rPr>
          <w:tab/>
        </w:r>
        <w:r w:rsidR="006128CE">
          <w:rPr>
            <w:webHidden/>
          </w:rPr>
          <w:fldChar w:fldCharType="begin"/>
        </w:r>
        <w:r w:rsidR="006128CE">
          <w:rPr>
            <w:webHidden/>
          </w:rPr>
          <w:instrText xml:space="preserve"> PAGEREF _Toc140506613 \h </w:instrText>
        </w:r>
        <w:r w:rsidR="006128CE">
          <w:rPr>
            <w:webHidden/>
          </w:rPr>
        </w:r>
        <w:r w:rsidR="006128CE">
          <w:rPr>
            <w:webHidden/>
          </w:rPr>
          <w:fldChar w:fldCharType="separate"/>
        </w:r>
        <w:r w:rsidR="006128CE">
          <w:rPr>
            <w:webHidden/>
          </w:rPr>
          <w:t>49</w:t>
        </w:r>
        <w:r w:rsidR="006128CE">
          <w:rPr>
            <w:webHidden/>
          </w:rPr>
          <w:fldChar w:fldCharType="end"/>
        </w:r>
      </w:hyperlink>
    </w:p>
    <w:p w14:paraId="1FDC674C" w14:textId="615D457B"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4" w:history="1">
        <w:r w:rsidR="006128CE" w:rsidRPr="0007509D">
          <w:rPr>
            <w:rStyle w:val="Hipervnculo"/>
          </w:rPr>
          <w:t>Figura 21 Punto de Referencia Caso 1</w:t>
        </w:r>
        <w:r w:rsidR="006128CE">
          <w:rPr>
            <w:webHidden/>
          </w:rPr>
          <w:tab/>
        </w:r>
        <w:r w:rsidR="006128CE">
          <w:rPr>
            <w:webHidden/>
          </w:rPr>
          <w:fldChar w:fldCharType="begin"/>
        </w:r>
        <w:r w:rsidR="006128CE">
          <w:rPr>
            <w:webHidden/>
          </w:rPr>
          <w:instrText xml:space="preserve"> PAGEREF _Toc140506614 \h </w:instrText>
        </w:r>
        <w:r w:rsidR="006128CE">
          <w:rPr>
            <w:webHidden/>
          </w:rPr>
        </w:r>
        <w:r w:rsidR="006128CE">
          <w:rPr>
            <w:webHidden/>
          </w:rPr>
          <w:fldChar w:fldCharType="separate"/>
        </w:r>
        <w:r w:rsidR="006128CE">
          <w:rPr>
            <w:webHidden/>
          </w:rPr>
          <w:t>50</w:t>
        </w:r>
        <w:r w:rsidR="006128CE">
          <w:rPr>
            <w:webHidden/>
          </w:rPr>
          <w:fldChar w:fldCharType="end"/>
        </w:r>
      </w:hyperlink>
    </w:p>
    <w:p w14:paraId="6573878E" w14:textId="0B60A0F5"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5" w:history="1">
        <w:r w:rsidR="006128CE" w:rsidRPr="0007509D">
          <w:rPr>
            <w:rStyle w:val="Hipervnculo"/>
          </w:rPr>
          <w:t>Figura 22 Punto de Referencia Caso 2</w:t>
        </w:r>
        <w:r w:rsidR="006128CE">
          <w:rPr>
            <w:webHidden/>
          </w:rPr>
          <w:tab/>
        </w:r>
        <w:r w:rsidR="006128CE">
          <w:rPr>
            <w:webHidden/>
          </w:rPr>
          <w:fldChar w:fldCharType="begin"/>
        </w:r>
        <w:r w:rsidR="006128CE">
          <w:rPr>
            <w:webHidden/>
          </w:rPr>
          <w:instrText xml:space="preserve"> PAGEREF _Toc140506615 \h </w:instrText>
        </w:r>
        <w:r w:rsidR="006128CE">
          <w:rPr>
            <w:webHidden/>
          </w:rPr>
        </w:r>
        <w:r w:rsidR="006128CE">
          <w:rPr>
            <w:webHidden/>
          </w:rPr>
          <w:fldChar w:fldCharType="separate"/>
        </w:r>
        <w:r w:rsidR="006128CE">
          <w:rPr>
            <w:webHidden/>
          </w:rPr>
          <w:t>51</w:t>
        </w:r>
        <w:r w:rsidR="006128CE">
          <w:rPr>
            <w:webHidden/>
          </w:rPr>
          <w:fldChar w:fldCharType="end"/>
        </w:r>
      </w:hyperlink>
    </w:p>
    <w:p w14:paraId="1C242E3A" w14:textId="7E4CB4B2"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6" w:history="1">
        <w:r w:rsidR="006128CE" w:rsidRPr="0007509D">
          <w:rPr>
            <w:rStyle w:val="Hipervnculo"/>
          </w:rPr>
          <w:t>Figura 23 Punto de Referencia Caso 3</w:t>
        </w:r>
        <w:r w:rsidR="006128CE">
          <w:rPr>
            <w:webHidden/>
          </w:rPr>
          <w:tab/>
        </w:r>
        <w:r w:rsidR="006128CE">
          <w:rPr>
            <w:webHidden/>
          </w:rPr>
          <w:fldChar w:fldCharType="begin"/>
        </w:r>
        <w:r w:rsidR="006128CE">
          <w:rPr>
            <w:webHidden/>
          </w:rPr>
          <w:instrText xml:space="preserve"> PAGEREF _Toc140506616 \h </w:instrText>
        </w:r>
        <w:r w:rsidR="006128CE">
          <w:rPr>
            <w:webHidden/>
          </w:rPr>
        </w:r>
        <w:r w:rsidR="006128CE">
          <w:rPr>
            <w:webHidden/>
          </w:rPr>
          <w:fldChar w:fldCharType="separate"/>
        </w:r>
        <w:r w:rsidR="006128CE">
          <w:rPr>
            <w:webHidden/>
          </w:rPr>
          <w:t>52</w:t>
        </w:r>
        <w:r w:rsidR="006128CE">
          <w:rPr>
            <w:webHidden/>
          </w:rPr>
          <w:fldChar w:fldCharType="end"/>
        </w:r>
      </w:hyperlink>
    </w:p>
    <w:p w14:paraId="330E202B" w14:textId="2204F524"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7" w:history="1">
        <w:r w:rsidR="006128CE" w:rsidRPr="0007509D">
          <w:rPr>
            <w:rStyle w:val="Hipervnculo"/>
          </w:rPr>
          <w:t>Figura 24 Punto de Referencia Caso 4</w:t>
        </w:r>
        <w:r w:rsidR="006128CE">
          <w:rPr>
            <w:webHidden/>
          </w:rPr>
          <w:tab/>
        </w:r>
        <w:r w:rsidR="006128CE">
          <w:rPr>
            <w:webHidden/>
          </w:rPr>
          <w:fldChar w:fldCharType="begin"/>
        </w:r>
        <w:r w:rsidR="006128CE">
          <w:rPr>
            <w:webHidden/>
          </w:rPr>
          <w:instrText xml:space="preserve"> PAGEREF _Toc140506617 \h </w:instrText>
        </w:r>
        <w:r w:rsidR="006128CE">
          <w:rPr>
            <w:webHidden/>
          </w:rPr>
        </w:r>
        <w:r w:rsidR="006128CE">
          <w:rPr>
            <w:webHidden/>
          </w:rPr>
          <w:fldChar w:fldCharType="separate"/>
        </w:r>
        <w:r w:rsidR="006128CE">
          <w:rPr>
            <w:webHidden/>
          </w:rPr>
          <w:t>53</w:t>
        </w:r>
        <w:r w:rsidR="006128CE">
          <w:rPr>
            <w:webHidden/>
          </w:rPr>
          <w:fldChar w:fldCharType="end"/>
        </w:r>
      </w:hyperlink>
    </w:p>
    <w:p w14:paraId="3FF4D4D5" w14:textId="45BD1AD2"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8" w:history="1">
        <w:r w:rsidR="006128CE" w:rsidRPr="0007509D">
          <w:rPr>
            <w:rStyle w:val="Hipervnculo"/>
          </w:rPr>
          <w:t>Figura 25 Ejemplo de Declaración al Gestor del Mercado</w:t>
        </w:r>
        <w:r w:rsidR="006128CE">
          <w:rPr>
            <w:webHidden/>
          </w:rPr>
          <w:tab/>
        </w:r>
        <w:r w:rsidR="006128CE">
          <w:rPr>
            <w:webHidden/>
          </w:rPr>
          <w:fldChar w:fldCharType="begin"/>
        </w:r>
        <w:r w:rsidR="006128CE">
          <w:rPr>
            <w:webHidden/>
          </w:rPr>
          <w:instrText xml:space="preserve"> PAGEREF _Toc140506618 \h </w:instrText>
        </w:r>
        <w:r w:rsidR="006128CE">
          <w:rPr>
            <w:webHidden/>
          </w:rPr>
        </w:r>
        <w:r w:rsidR="006128CE">
          <w:rPr>
            <w:webHidden/>
          </w:rPr>
          <w:fldChar w:fldCharType="separate"/>
        </w:r>
        <w:r w:rsidR="006128CE">
          <w:rPr>
            <w:webHidden/>
          </w:rPr>
          <w:t>56</w:t>
        </w:r>
        <w:r w:rsidR="006128CE">
          <w:rPr>
            <w:webHidden/>
          </w:rPr>
          <w:fldChar w:fldCharType="end"/>
        </w:r>
      </w:hyperlink>
    </w:p>
    <w:p w14:paraId="2E95C699" w14:textId="2990EFEE"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19" w:history="1">
        <w:r w:rsidR="006128CE" w:rsidRPr="0007509D">
          <w:rPr>
            <w:rStyle w:val="Hipervnculo"/>
          </w:rPr>
          <w:t>Figura 26 Resultados de contratación en una sola etapa de negociación directa</w:t>
        </w:r>
        <w:r w:rsidR="006128CE">
          <w:rPr>
            <w:webHidden/>
          </w:rPr>
          <w:tab/>
        </w:r>
        <w:r w:rsidR="006128CE">
          <w:rPr>
            <w:webHidden/>
          </w:rPr>
          <w:fldChar w:fldCharType="begin"/>
        </w:r>
        <w:r w:rsidR="006128CE">
          <w:rPr>
            <w:webHidden/>
          </w:rPr>
          <w:instrText xml:space="preserve"> PAGEREF _Toc140506619 \h </w:instrText>
        </w:r>
        <w:r w:rsidR="006128CE">
          <w:rPr>
            <w:webHidden/>
          </w:rPr>
        </w:r>
        <w:r w:rsidR="006128CE">
          <w:rPr>
            <w:webHidden/>
          </w:rPr>
          <w:fldChar w:fldCharType="separate"/>
        </w:r>
        <w:r w:rsidR="006128CE">
          <w:rPr>
            <w:webHidden/>
          </w:rPr>
          <w:t>57</w:t>
        </w:r>
        <w:r w:rsidR="006128CE">
          <w:rPr>
            <w:webHidden/>
          </w:rPr>
          <w:fldChar w:fldCharType="end"/>
        </w:r>
      </w:hyperlink>
    </w:p>
    <w:p w14:paraId="42F09F8B" w14:textId="48F53166"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0" w:history="1">
        <w:r w:rsidR="006128CE" w:rsidRPr="0007509D">
          <w:rPr>
            <w:rStyle w:val="Hipervnculo"/>
          </w:rPr>
          <w:t>Figura 27 Resultados de contratación en dos etapas de negociación directa</w:t>
        </w:r>
        <w:r w:rsidR="006128CE">
          <w:rPr>
            <w:webHidden/>
          </w:rPr>
          <w:tab/>
        </w:r>
        <w:r w:rsidR="006128CE">
          <w:rPr>
            <w:webHidden/>
          </w:rPr>
          <w:fldChar w:fldCharType="begin"/>
        </w:r>
        <w:r w:rsidR="006128CE">
          <w:rPr>
            <w:webHidden/>
          </w:rPr>
          <w:instrText xml:space="preserve"> PAGEREF _Toc140506620 \h </w:instrText>
        </w:r>
        <w:r w:rsidR="006128CE">
          <w:rPr>
            <w:webHidden/>
          </w:rPr>
        </w:r>
        <w:r w:rsidR="006128CE">
          <w:rPr>
            <w:webHidden/>
          </w:rPr>
          <w:fldChar w:fldCharType="separate"/>
        </w:r>
        <w:r w:rsidR="006128CE">
          <w:rPr>
            <w:webHidden/>
          </w:rPr>
          <w:t>57</w:t>
        </w:r>
        <w:r w:rsidR="006128CE">
          <w:rPr>
            <w:webHidden/>
          </w:rPr>
          <w:fldChar w:fldCharType="end"/>
        </w:r>
      </w:hyperlink>
    </w:p>
    <w:p w14:paraId="242567AC" w14:textId="5A427405"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1" w:history="1">
        <w:r w:rsidR="006128CE" w:rsidRPr="0007509D">
          <w:rPr>
            <w:rStyle w:val="Hipervnculo"/>
          </w:rPr>
          <w:t>Figura 28 Ejemplo de asignación ante oferta comercial deficitaria – Escenario 1</w:t>
        </w:r>
        <w:r w:rsidR="006128CE">
          <w:rPr>
            <w:webHidden/>
          </w:rPr>
          <w:tab/>
        </w:r>
        <w:r w:rsidR="006128CE">
          <w:rPr>
            <w:webHidden/>
          </w:rPr>
          <w:fldChar w:fldCharType="begin"/>
        </w:r>
        <w:r w:rsidR="006128CE">
          <w:rPr>
            <w:webHidden/>
          </w:rPr>
          <w:instrText xml:space="preserve"> PAGEREF _Toc140506621 \h </w:instrText>
        </w:r>
        <w:r w:rsidR="006128CE">
          <w:rPr>
            <w:webHidden/>
          </w:rPr>
        </w:r>
        <w:r w:rsidR="006128CE">
          <w:rPr>
            <w:webHidden/>
          </w:rPr>
          <w:fldChar w:fldCharType="separate"/>
        </w:r>
        <w:r w:rsidR="006128CE">
          <w:rPr>
            <w:webHidden/>
          </w:rPr>
          <w:t>62</w:t>
        </w:r>
        <w:r w:rsidR="006128CE">
          <w:rPr>
            <w:webHidden/>
          </w:rPr>
          <w:fldChar w:fldCharType="end"/>
        </w:r>
      </w:hyperlink>
    </w:p>
    <w:p w14:paraId="4A06F299" w14:textId="4077E680"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2" w:history="1">
        <w:r w:rsidR="006128CE" w:rsidRPr="0007509D">
          <w:rPr>
            <w:rStyle w:val="Hipervnculo"/>
          </w:rPr>
          <w:t>Figura 29 Ejemplo de asignación ante oferta comercial deficitaria – Escenario 2</w:t>
        </w:r>
        <w:r w:rsidR="006128CE">
          <w:rPr>
            <w:webHidden/>
          </w:rPr>
          <w:tab/>
        </w:r>
        <w:r w:rsidR="006128CE">
          <w:rPr>
            <w:webHidden/>
          </w:rPr>
          <w:fldChar w:fldCharType="begin"/>
        </w:r>
        <w:r w:rsidR="006128CE">
          <w:rPr>
            <w:webHidden/>
          </w:rPr>
          <w:instrText xml:space="preserve"> PAGEREF _Toc140506622 \h </w:instrText>
        </w:r>
        <w:r w:rsidR="006128CE">
          <w:rPr>
            <w:webHidden/>
          </w:rPr>
        </w:r>
        <w:r w:rsidR="006128CE">
          <w:rPr>
            <w:webHidden/>
          </w:rPr>
          <w:fldChar w:fldCharType="separate"/>
        </w:r>
        <w:r w:rsidR="006128CE">
          <w:rPr>
            <w:webHidden/>
          </w:rPr>
          <w:t>63</w:t>
        </w:r>
        <w:r w:rsidR="006128CE">
          <w:rPr>
            <w:webHidden/>
          </w:rPr>
          <w:fldChar w:fldCharType="end"/>
        </w:r>
      </w:hyperlink>
    </w:p>
    <w:p w14:paraId="0795AB81" w14:textId="7AFA2A9E"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3" w:history="1">
        <w:r w:rsidR="006128CE" w:rsidRPr="0007509D">
          <w:rPr>
            <w:rStyle w:val="Hipervnculo"/>
          </w:rPr>
          <w:t>Figura 30 Comparación de incrementos porcentuales de índices de precios</w:t>
        </w:r>
        <w:r w:rsidR="006128CE">
          <w:rPr>
            <w:webHidden/>
          </w:rPr>
          <w:tab/>
        </w:r>
        <w:r w:rsidR="006128CE">
          <w:rPr>
            <w:webHidden/>
          </w:rPr>
          <w:fldChar w:fldCharType="begin"/>
        </w:r>
        <w:r w:rsidR="006128CE">
          <w:rPr>
            <w:webHidden/>
          </w:rPr>
          <w:instrText xml:space="preserve"> PAGEREF _Toc140506623 \h </w:instrText>
        </w:r>
        <w:r w:rsidR="006128CE">
          <w:rPr>
            <w:webHidden/>
          </w:rPr>
        </w:r>
        <w:r w:rsidR="006128CE">
          <w:rPr>
            <w:webHidden/>
          </w:rPr>
          <w:fldChar w:fldCharType="separate"/>
        </w:r>
        <w:r w:rsidR="006128CE">
          <w:rPr>
            <w:webHidden/>
          </w:rPr>
          <w:t>73</w:t>
        </w:r>
        <w:r w:rsidR="006128CE">
          <w:rPr>
            <w:webHidden/>
          </w:rPr>
          <w:fldChar w:fldCharType="end"/>
        </w:r>
      </w:hyperlink>
    </w:p>
    <w:p w14:paraId="13E13820" w14:textId="438B45AF"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4" w:history="1">
        <w:r w:rsidR="006128CE" w:rsidRPr="0007509D">
          <w:rPr>
            <w:rStyle w:val="Hipervnculo"/>
          </w:rPr>
          <w:t>Figura 31 Comparación de variaciones de precios con aplicación de diferentes índices</w:t>
        </w:r>
        <w:r w:rsidR="006128CE">
          <w:rPr>
            <w:webHidden/>
          </w:rPr>
          <w:tab/>
        </w:r>
        <w:r w:rsidR="006128CE">
          <w:rPr>
            <w:webHidden/>
          </w:rPr>
          <w:fldChar w:fldCharType="begin"/>
        </w:r>
        <w:r w:rsidR="006128CE">
          <w:rPr>
            <w:webHidden/>
          </w:rPr>
          <w:instrText xml:space="preserve"> PAGEREF _Toc140506624 \h </w:instrText>
        </w:r>
        <w:r w:rsidR="006128CE">
          <w:rPr>
            <w:webHidden/>
          </w:rPr>
        </w:r>
        <w:r w:rsidR="006128CE">
          <w:rPr>
            <w:webHidden/>
          </w:rPr>
          <w:fldChar w:fldCharType="separate"/>
        </w:r>
        <w:r w:rsidR="006128CE">
          <w:rPr>
            <w:webHidden/>
          </w:rPr>
          <w:t>74</w:t>
        </w:r>
        <w:r w:rsidR="006128CE">
          <w:rPr>
            <w:webHidden/>
          </w:rPr>
          <w:fldChar w:fldCharType="end"/>
        </w:r>
      </w:hyperlink>
    </w:p>
    <w:p w14:paraId="4232E94F" w14:textId="6E273C39"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5" w:history="1">
        <w:r w:rsidR="006128CE" w:rsidRPr="0007509D">
          <w:rPr>
            <w:rStyle w:val="Hipervnculo"/>
          </w:rPr>
          <w:t>Figura 32 Ejemplo de actualización de precios – negociaciones directas</w:t>
        </w:r>
        <w:r w:rsidR="006128CE">
          <w:rPr>
            <w:webHidden/>
          </w:rPr>
          <w:tab/>
        </w:r>
        <w:r w:rsidR="006128CE">
          <w:rPr>
            <w:webHidden/>
          </w:rPr>
          <w:fldChar w:fldCharType="begin"/>
        </w:r>
        <w:r w:rsidR="006128CE">
          <w:rPr>
            <w:webHidden/>
          </w:rPr>
          <w:instrText xml:space="preserve"> PAGEREF _Toc140506625 \h </w:instrText>
        </w:r>
        <w:r w:rsidR="006128CE">
          <w:rPr>
            <w:webHidden/>
          </w:rPr>
        </w:r>
        <w:r w:rsidR="006128CE">
          <w:rPr>
            <w:webHidden/>
          </w:rPr>
          <w:fldChar w:fldCharType="separate"/>
        </w:r>
        <w:r w:rsidR="006128CE">
          <w:rPr>
            <w:webHidden/>
          </w:rPr>
          <w:t>75</w:t>
        </w:r>
        <w:r w:rsidR="006128CE">
          <w:rPr>
            <w:webHidden/>
          </w:rPr>
          <w:fldChar w:fldCharType="end"/>
        </w:r>
      </w:hyperlink>
    </w:p>
    <w:p w14:paraId="362D52B1" w14:textId="1221E074"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6" w:history="1">
        <w:r w:rsidR="006128CE" w:rsidRPr="0007509D">
          <w:rPr>
            <w:rStyle w:val="Hipervnculo"/>
          </w:rPr>
          <w:t>Figura 33 Ejemplo de actualización de precios – negociaciones directas</w:t>
        </w:r>
        <w:r w:rsidR="006128CE">
          <w:rPr>
            <w:webHidden/>
          </w:rPr>
          <w:tab/>
        </w:r>
        <w:r w:rsidR="006128CE">
          <w:rPr>
            <w:webHidden/>
          </w:rPr>
          <w:fldChar w:fldCharType="begin"/>
        </w:r>
        <w:r w:rsidR="006128CE">
          <w:rPr>
            <w:webHidden/>
          </w:rPr>
          <w:instrText xml:space="preserve"> PAGEREF _Toc140506626 \h </w:instrText>
        </w:r>
        <w:r w:rsidR="006128CE">
          <w:rPr>
            <w:webHidden/>
          </w:rPr>
        </w:r>
        <w:r w:rsidR="006128CE">
          <w:rPr>
            <w:webHidden/>
          </w:rPr>
          <w:fldChar w:fldCharType="separate"/>
        </w:r>
        <w:r w:rsidR="006128CE">
          <w:rPr>
            <w:webHidden/>
          </w:rPr>
          <w:t>76</w:t>
        </w:r>
        <w:r w:rsidR="006128CE">
          <w:rPr>
            <w:webHidden/>
          </w:rPr>
          <w:fldChar w:fldCharType="end"/>
        </w:r>
      </w:hyperlink>
    </w:p>
    <w:p w14:paraId="03CA25B9" w14:textId="21CC269D"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7" w:history="1">
        <w:r w:rsidR="006128CE" w:rsidRPr="0007509D">
          <w:rPr>
            <w:rStyle w:val="Hipervnculo"/>
          </w:rPr>
          <w:t>Figura 34 Ejemplo de actualización de precios – negociaciones directas y subasta</w:t>
        </w:r>
        <w:r w:rsidR="006128CE">
          <w:rPr>
            <w:webHidden/>
          </w:rPr>
          <w:tab/>
        </w:r>
        <w:r w:rsidR="006128CE">
          <w:rPr>
            <w:webHidden/>
          </w:rPr>
          <w:fldChar w:fldCharType="begin"/>
        </w:r>
        <w:r w:rsidR="006128CE">
          <w:rPr>
            <w:webHidden/>
          </w:rPr>
          <w:instrText xml:space="preserve"> PAGEREF _Toc140506627 \h </w:instrText>
        </w:r>
        <w:r w:rsidR="006128CE">
          <w:rPr>
            <w:webHidden/>
          </w:rPr>
        </w:r>
        <w:r w:rsidR="006128CE">
          <w:rPr>
            <w:webHidden/>
          </w:rPr>
          <w:fldChar w:fldCharType="separate"/>
        </w:r>
        <w:r w:rsidR="006128CE">
          <w:rPr>
            <w:webHidden/>
          </w:rPr>
          <w:t>77</w:t>
        </w:r>
        <w:r w:rsidR="006128CE">
          <w:rPr>
            <w:webHidden/>
          </w:rPr>
          <w:fldChar w:fldCharType="end"/>
        </w:r>
      </w:hyperlink>
    </w:p>
    <w:p w14:paraId="7D15E060" w14:textId="63CF4B0E"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8" w:history="1">
        <w:r w:rsidR="006128CE" w:rsidRPr="0007509D">
          <w:rPr>
            <w:rStyle w:val="Hipervnculo"/>
          </w:rPr>
          <w:t>Figura 35 Cantidad de comentarios recibidos por artículo propuesto</w:t>
        </w:r>
        <w:r w:rsidR="006128CE">
          <w:rPr>
            <w:webHidden/>
          </w:rPr>
          <w:tab/>
        </w:r>
        <w:r w:rsidR="006128CE">
          <w:rPr>
            <w:webHidden/>
          </w:rPr>
          <w:fldChar w:fldCharType="begin"/>
        </w:r>
        <w:r w:rsidR="006128CE">
          <w:rPr>
            <w:webHidden/>
          </w:rPr>
          <w:instrText xml:space="preserve"> PAGEREF _Toc140506628 \h </w:instrText>
        </w:r>
        <w:r w:rsidR="006128CE">
          <w:rPr>
            <w:webHidden/>
          </w:rPr>
        </w:r>
        <w:r w:rsidR="006128CE">
          <w:rPr>
            <w:webHidden/>
          </w:rPr>
          <w:fldChar w:fldCharType="separate"/>
        </w:r>
        <w:r w:rsidR="006128CE">
          <w:rPr>
            <w:webHidden/>
          </w:rPr>
          <w:t>4</w:t>
        </w:r>
        <w:r w:rsidR="006128CE">
          <w:rPr>
            <w:webHidden/>
          </w:rPr>
          <w:fldChar w:fldCharType="end"/>
        </w:r>
      </w:hyperlink>
    </w:p>
    <w:p w14:paraId="4B4DCF97" w14:textId="47286761"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29" w:history="1">
        <w:r w:rsidR="006128CE" w:rsidRPr="0007509D">
          <w:rPr>
            <w:rStyle w:val="Hipervnculo"/>
          </w:rPr>
          <w:t>Figura 36 Participación en contratación del Mercado Primario a diciembre 2022 del sector térmico</w:t>
        </w:r>
        <w:r w:rsidR="006128CE">
          <w:rPr>
            <w:webHidden/>
          </w:rPr>
          <w:tab/>
        </w:r>
        <w:r w:rsidR="006128CE">
          <w:rPr>
            <w:webHidden/>
          </w:rPr>
          <w:fldChar w:fldCharType="begin"/>
        </w:r>
        <w:r w:rsidR="006128CE">
          <w:rPr>
            <w:webHidden/>
          </w:rPr>
          <w:instrText xml:space="preserve"> PAGEREF _Toc140506629 \h </w:instrText>
        </w:r>
        <w:r w:rsidR="006128CE">
          <w:rPr>
            <w:webHidden/>
          </w:rPr>
        </w:r>
        <w:r w:rsidR="006128CE">
          <w:rPr>
            <w:webHidden/>
          </w:rPr>
          <w:fldChar w:fldCharType="separate"/>
        </w:r>
        <w:r w:rsidR="006128CE">
          <w:rPr>
            <w:webHidden/>
          </w:rPr>
          <w:t>13</w:t>
        </w:r>
        <w:r w:rsidR="006128CE">
          <w:rPr>
            <w:webHidden/>
          </w:rPr>
          <w:fldChar w:fldCharType="end"/>
        </w:r>
      </w:hyperlink>
    </w:p>
    <w:p w14:paraId="0321B27E" w14:textId="659949A5" w:rsidR="006128CE" w:rsidRDefault="0098730A">
      <w:pPr>
        <w:pStyle w:val="Tabladeilustraciones"/>
        <w:rPr>
          <w:rFonts w:asciiTheme="minorHAnsi" w:eastAsiaTheme="minorEastAsia" w:hAnsiTheme="minorHAnsi" w:cstheme="minorBidi"/>
          <w:kern w:val="2"/>
          <w:szCs w:val="22"/>
          <w:lang w:val="es-CO" w:eastAsia="es-CO"/>
          <w14:ligatures w14:val="standardContextual"/>
        </w:rPr>
      </w:pPr>
      <w:hyperlink w:anchor="_Toc140506630" w:history="1">
        <w:r w:rsidR="006128CE" w:rsidRPr="0007509D">
          <w:rPr>
            <w:rStyle w:val="Hipervnculo"/>
          </w:rPr>
          <w:t>Figura 37 Cantidades contratadas en el Mercado Primario a diciembre 2022 del sector térmico</w:t>
        </w:r>
        <w:r w:rsidR="006128CE">
          <w:rPr>
            <w:webHidden/>
          </w:rPr>
          <w:tab/>
        </w:r>
        <w:r w:rsidR="006128CE">
          <w:rPr>
            <w:webHidden/>
          </w:rPr>
          <w:fldChar w:fldCharType="begin"/>
        </w:r>
        <w:r w:rsidR="006128CE">
          <w:rPr>
            <w:webHidden/>
          </w:rPr>
          <w:instrText xml:space="preserve"> PAGEREF _Toc140506630 \h </w:instrText>
        </w:r>
        <w:r w:rsidR="006128CE">
          <w:rPr>
            <w:webHidden/>
          </w:rPr>
        </w:r>
        <w:r w:rsidR="006128CE">
          <w:rPr>
            <w:webHidden/>
          </w:rPr>
          <w:fldChar w:fldCharType="separate"/>
        </w:r>
        <w:r w:rsidR="006128CE">
          <w:rPr>
            <w:webHidden/>
          </w:rPr>
          <w:t>14</w:t>
        </w:r>
        <w:r w:rsidR="006128CE">
          <w:rPr>
            <w:webHidden/>
          </w:rPr>
          <w:fldChar w:fldCharType="end"/>
        </w:r>
      </w:hyperlink>
    </w:p>
    <w:p w14:paraId="5229FD71" w14:textId="3EC94F0F" w:rsidR="000031CC" w:rsidRPr="001211B5" w:rsidRDefault="000031CC" w:rsidP="008D1D5D">
      <w:pPr>
        <w:rPr>
          <w:rFonts w:cs="Arial"/>
          <w:b/>
          <w:bCs/>
          <w:szCs w:val="24"/>
        </w:rPr>
        <w:sectPr w:rsidR="000031CC" w:rsidRPr="001211B5" w:rsidSect="00903006">
          <w:headerReference w:type="default" r:id="rId12"/>
          <w:footerReference w:type="default" r:id="rId13"/>
          <w:headerReference w:type="first" r:id="rId14"/>
          <w:footerReference w:type="first" r:id="rId15"/>
          <w:pgSz w:w="12242" w:h="15842" w:code="1"/>
          <w:pgMar w:top="1418" w:right="1469" w:bottom="1418" w:left="1418" w:header="851" w:footer="567" w:gutter="0"/>
          <w:pgNumType w:start="12"/>
          <w:cols w:space="720"/>
          <w:docGrid w:linePitch="326"/>
        </w:sectPr>
      </w:pPr>
      <w:r w:rsidRPr="000C39B1">
        <w:rPr>
          <w:rFonts w:cs="Arial"/>
          <w:b/>
          <w:bCs/>
          <w:sz w:val="22"/>
          <w:szCs w:val="22"/>
        </w:rPr>
        <w:fldChar w:fldCharType="end"/>
      </w:r>
    </w:p>
    <w:p w14:paraId="775142AF" w14:textId="01BC71DB" w:rsidR="0070084D" w:rsidRPr="000E63CD" w:rsidRDefault="00EF6CA6" w:rsidP="00EF6CA6">
      <w:pPr>
        <w:jc w:val="center"/>
        <w:rPr>
          <w:rFonts w:cs="Arial"/>
          <w:b/>
          <w:bCs/>
          <w:caps/>
          <w:sz w:val="22"/>
          <w:szCs w:val="22"/>
        </w:rPr>
      </w:pPr>
      <w:r w:rsidRPr="000E63CD">
        <w:rPr>
          <w:rFonts w:cs="Arial"/>
          <w:b/>
          <w:bCs/>
          <w:caps/>
          <w:sz w:val="22"/>
          <w:szCs w:val="22"/>
        </w:rPr>
        <w:t xml:space="preserve">Modificaciones en relación con la comercialización de gas natural </w:t>
      </w:r>
      <w:r w:rsidR="000F74EE">
        <w:rPr>
          <w:rFonts w:cs="Arial"/>
          <w:b/>
          <w:bCs/>
          <w:caps/>
          <w:sz w:val="22"/>
          <w:szCs w:val="22"/>
        </w:rPr>
        <w:t>EN EL MERCADO MAYORISTA</w:t>
      </w:r>
      <w:r w:rsidRPr="000E63CD">
        <w:rPr>
          <w:rFonts w:cs="Arial"/>
          <w:b/>
          <w:bCs/>
          <w:caps/>
          <w:sz w:val="22"/>
          <w:szCs w:val="22"/>
        </w:rPr>
        <w:t xml:space="preserve"> y reglas de acceso a la contratación con Respaldo Físico para la atención de la </w:t>
      </w:r>
      <w:r w:rsidR="00E8014D" w:rsidRPr="000E63CD">
        <w:rPr>
          <w:rFonts w:cs="Arial"/>
          <w:b/>
          <w:bCs/>
          <w:caps/>
          <w:sz w:val="22"/>
          <w:szCs w:val="22"/>
        </w:rPr>
        <w:t>Demanda Esencial</w:t>
      </w:r>
    </w:p>
    <w:p w14:paraId="468DC3B3" w14:textId="5F1B7C62" w:rsidR="00EF6CA6" w:rsidRPr="000E63CD" w:rsidRDefault="00EF6CA6" w:rsidP="00EF6CA6">
      <w:pPr>
        <w:jc w:val="center"/>
        <w:rPr>
          <w:rFonts w:cs="Arial"/>
          <w:caps/>
          <w:sz w:val="22"/>
          <w:szCs w:val="22"/>
        </w:rPr>
      </w:pPr>
    </w:p>
    <w:p w14:paraId="1F03DF70" w14:textId="40E15885" w:rsidR="0093236A" w:rsidRPr="000E63CD" w:rsidRDefault="00AD21C2" w:rsidP="007403C3">
      <w:pPr>
        <w:pStyle w:val="Ttulo1"/>
        <w:keepLines/>
        <w:numPr>
          <w:ilvl w:val="0"/>
          <w:numId w:val="3"/>
        </w:numPr>
        <w:suppressAutoHyphens w:val="0"/>
        <w:spacing w:before="240" w:after="0" w:line="259" w:lineRule="auto"/>
        <w:rPr>
          <w:rFonts w:cs="Arial"/>
          <w:sz w:val="22"/>
          <w:szCs w:val="22"/>
        </w:rPr>
      </w:pPr>
      <w:bookmarkStart w:id="2" w:name="_Ref133143259"/>
      <w:bookmarkStart w:id="3" w:name="_Ref133143275"/>
      <w:bookmarkStart w:id="4" w:name="_Toc140506183"/>
      <w:r w:rsidRPr="000E63CD">
        <w:rPr>
          <w:rFonts w:cs="Arial"/>
          <w:sz w:val="22"/>
          <w:szCs w:val="22"/>
        </w:rPr>
        <w:t>ANTECEDENTES</w:t>
      </w:r>
      <w:r w:rsidR="00FC575D">
        <w:rPr>
          <w:rFonts w:cs="Arial"/>
          <w:sz w:val="22"/>
          <w:szCs w:val="22"/>
        </w:rPr>
        <w:t xml:space="preserve"> E INFORMACIÓN GENERAL</w:t>
      </w:r>
      <w:bookmarkEnd w:id="2"/>
      <w:bookmarkEnd w:id="3"/>
      <w:bookmarkEnd w:id="4"/>
    </w:p>
    <w:p w14:paraId="682D5DF4" w14:textId="7C3A62C5" w:rsidR="00DB62B6" w:rsidRPr="000E63CD" w:rsidRDefault="00DB62B6" w:rsidP="006F03C1">
      <w:pPr>
        <w:rPr>
          <w:sz w:val="22"/>
          <w:szCs w:val="22"/>
        </w:rPr>
      </w:pPr>
    </w:p>
    <w:p w14:paraId="52A4C36E" w14:textId="085FC8D6" w:rsidR="009670F5" w:rsidRPr="000E63CD" w:rsidRDefault="002A28A5" w:rsidP="00D606C4">
      <w:pPr>
        <w:shd w:val="clear" w:color="auto" w:fill="FFFFFF" w:themeFill="background1"/>
        <w:rPr>
          <w:sz w:val="22"/>
          <w:szCs w:val="22"/>
          <w:lang w:val="es-CO"/>
        </w:rPr>
      </w:pPr>
      <w:r w:rsidRPr="000E63CD">
        <w:rPr>
          <w:sz w:val="22"/>
          <w:szCs w:val="22"/>
          <w:lang w:val="es-CO"/>
        </w:rPr>
        <w:t xml:space="preserve">La Comisión de Regulación de Energía y Gas </w:t>
      </w:r>
      <w:r w:rsidR="008F3A7B" w:rsidRPr="000E63CD">
        <w:rPr>
          <w:sz w:val="22"/>
          <w:szCs w:val="22"/>
          <w:lang w:val="es-CO"/>
        </w:rPr>
        <w:t>estableció</w:t>
      </w:r>
      <w:r w:rsidRPr="000E63CD">
        <w:rPr>
          <w:sz w:val="22"/>
          <w:szCs w:val="22"/>
          <w:lang w:val="es-CO"/>
        </w:rPr>
        <w:t xml:space="preserve"> </w:t>
      </w:r>
      <w:r w:rsidR="00C75BC4" w:rsidRPr="000E63CD">
        <w:rPr>
          <w:sz w:val="22"/>
          <w:szCs w:val="22"/>
          <w:lang w:val="es-CO"/>
        </w:rPr>
        <w:t>a partir de</w:t>
      </w:r>
      <w:r w:rsidRPr="000E63CD">
        <w:rPr>
          <w:sz w:val="22"/>
          <w:szCs w:val="22"/>
          <w:lang w:val="es-CO"/>
        </w:rPr>
        <w:t xml:space="preserve"> la Resolución CREG </w:t>
      </w:r>
      <w:r w:rsidR="00C75BC4" w:rsidRPr="000E63CD">
        <w:rPr>
          <w:sz w:val="22"/>
          <w:szCs w:val="22"/>
          <w:lang w:val="es-CO"/>
        </w:rPr>
        <w:t>089 de 2013</w:t>
      </w:r>
      <w:r w:rsidR="008F3A7B" w:rsidRPr="000E63CD">
        <w:rPr>
          <w:sz w:val="22"/>
          <w:szCs w:val="22"/>
          <w:lang w:val="es-CO"/>
        </w:rPr>
        <w:t xml:space="preserve">, </w:t>
      </w:r>
      <w:r w:rsidRPr="000E63CD">
        <w:rPr>
          <w:sz w:val="22"/>
          <w:szCs w:val="22"/>
          <w:lang w:val="es-CO"/>
        </w:rPr>
        <w:t xml:space="preserve">las reglas de comercialización </w:t>
      </w:r>
      <w:r w:rsidR="00713554" w:rsidRPr="000E63CD">
        <w:rPr>
          <w:sz w:val="22"/>
          <w:szCs w:val="22"/>
          <w:lang w:val="es-CO"/>
        </w:rPr>
        <w:t xml:space="preserve">del suministro </w:t>
      </w:r>
      <w:r w:rsidRPr="000E63CD">
        <w:rPr>
          <w:sz w:val="22"/>
          <w:szCs w:val="22"/>
          <w:lang w:val="es-CO"/>
        </w:rPr>
        <w:t>del gas natural cuyo uso está destinado a la atención del servicio público de gas combustible</w:t>
      </w:r>
      <w:r w:rsidR="003E2E4B">
        <w:rPr>
          <w:sz w:val="22"/>
          <w:szCs w:val="22"/>
          <w:lang w:val="es-CO"/>
        </w:rPr>
        <w:t xml:space="preserve"> </w:t>
      </w:r>
      <w:r w:rsidR="003E2E4B" w:rsidRPr="000E63CD">
        <w:rPr>
          <w:sz w:val="22"/>
          <w:szCs w:val="22"/>
          <w:lang w:val="es-CO"/>
        </w:rPr>
        <w:t>en Colombia</w:t>
      </w:r>
      <w:r w:rsidRPr="000E63CD">
        <w:rPr>
          <w:sz w:val="22"/>
          <w:szCs w:val="22"/>
          <w:lang w:val="es-CO"/>
        </w:rPr>
        <w:t>.</w:t>
      </w:r>
    </w:p>
    <w:p w14:paraId="310F3E72" w14:textId="47724CF9" w:rsidR="002A28A5" w:rsidRPr="000E63CD" w:rsidRDefault="002A28A5" w:rsidP="00D606C4">
      <w:pPr>
        <w:shd w:val="clear" w:color="auto" w:fill="FFFFFF" w:themeFill="background1"/>
        <w:rPr>
          <w:sz w:val="22"/>
          <w:szCs w:val="22"/>
          <w:lang w:val="es-CO"/>
        </w:rPr>
      </w:pPr>
    </w:p>
    <w:p w14:paraId="37673C6D" w14:textId="2859CD66" w:rsidR="00713554" w:rsidRPr="000E63CD" w:rsidRDefault="00713554" w:rsidP="00D606C4">
      <w:pPr>
        <w:shd w:val="clear" w:color="auto" w:fill="FFFFFF" w:themeFill="background1"/>
        <w:rPr>
          <w:sz w:val="22"/>
          <w:szCs w:val="22"/>
          <w:lang w:val="es-CO"/>
        </w:rPr>
      </w:pPr>
      <w:r w:rsidRPr="006C2940">
        <w:rPr>
          <w:sz w:val="22"/>
          <w:szCs w:val="22"/>
          <w:lang w:val="es-CO"/>
        </w:rPr>
        <w:t>La Comisión</w:t>
      </w:r>
      <w:r w:rsidR="00971835" w:rsidRPr="006C2940">
        <w:rPr>
          <w:sz w:val="22"/>
          <w:szCs w:val="22"/>
          <w:lang w:val="es-CO"/>
        </w:rPr>
        <w:t xml:space="preserve"> ha realizado modificaciones </w:t>
      </w:r>
      <w:r w:rsidR="002E518F" w:rsidRPr="006C2940">
        <w:rPr>
          <w:sz w:val="22"/>
          <w:szCs w:val="22"/>
          <w:lang w:val="es-CO"/>
        </w:rPr>
        <w:t>a</w:t>
      </w:r>
      <w:r w:rsidRPr="006C2940">
        <w:rPr>
          <w:sz w:val="22"/>
          <w:szCs w:val="22"/>
          <w:lang w:val="es-CO"/>
        </w:rPr>
        <w:t xml:space="preserve"> la Resolución </w:t>
      </w:r>
      <w:r w:rsidR="00971835" w:rsidRPr="006C2940">
        <w:rPr>
          <w:sz w:val="22"/>
          <w:szCs w:val="22"/>
          <w:lang w:val="es-CO"/>
        </w:rPr>
        <w:t xml:space="preserve">antes </w:t>
      </w:r>
      <w:r w:rsidRPr="006C2940">
        <w:rPr>
          <w:sz w:val="22"/>
          <w:szCs w:val="22"/>
          <w:lang w:val="es-CO"/>
        </w:rPr>
        <w:t>citada</w:t>
      </w:r>
      <w:r w:rsidR="00971835" w:rsidRPr="006C2940">
        <w:rPr>
          <w:sz w:val="22"/>
          <w:szCs w:val="22"/>
          <w:lang w:val="es-CO"/>
        </w:rPr>
        <w:t>,</w:t>
      </w:r>
      <w:r w:rsidRPr="006C2940">
        <w:rPr>
          <w:sz w:val="22"/>
          <w:szCs w:val="22"/>
          <w:lang w:val="es-CO"/>
        </w:rPr>
        <w:t xml:space="preserve"> </w:t>
      </w:r>
      <w:r w:rsidR="002E518F" w:rsidRPr="006C2940">
        <w:rPr>
          <w:sz w:val="22"/>
          <w:szCs w:val="22"/>
          <w:lang w:val="es-CO"/>
        </w:rPr>
        <w:t xml:space="preserve">con el fin de adaptarse a </w:t>
      </w:r>
      <w:r w:rsidR="00971835" w:rsidRPr="006C2940">
        <w:rPr>
          <w:sz w:val="22"/>
          <w:szCs w:val="22"/>
          <w:lang w:val="es-CO"/>
        </w:rPr>
        <w:t xml:space="preserve">las </w:t>
      </w:r>
      <w:r w:rsidR="002E518F" w:rsidRPr="006C2940">
        <w:rPr>
          <w:sz w:val="22"/>
          <w:szCs w:val="22"/>
          <w:lang w:val="es-CO"/>
        </w:rPr>
        <w:t xml:space="preserve">nuevas circunstancias del mercado y realizar ajustes para </w:t>
      </w:r>
      <w:r w:rsidR="00965459" w:rsidRPr="006C2940">
        <w:rPr>
          <w:sz w:val="22"/>
          <w:szCs w:val="22"/>
          <w:lang w:val="es-CO"/>
        </w:rPr>
        <w:t xml:space="preserve">una mayor efectividad en el alcance de los objetivos propuestos </w:t>
      </w:r>
      <w:r w:rsidR="0092113D" w:rsidRPr="006C2940">
        <w:rPr>
          <w:sz w:val="22"/>
          <w:szCs w:val="22"/>
          <w:lang w:val="es-CO"/>
        </w:rPr>
        <w:t xml:space="preserve">principalmente a través de las resoluciones CREG </w:t>
      </w:r>
      <w:r w:rsidR="00E6021B" w:rsidRPr="006C2940">
        <w:rPr>
          <w:sz w:val="22"/>
          <w:szCs w:val="22"/>
          <w:lang w:val="es-CO"/>
        </w:rPr>
        <w:t>114 de 2017, 021 de 2019 y 186 de 2020,</w:t>
      </w:r>
      <w:r w:rsidR="008B330E" w:rsidRPr="006C2940">
        <w:rPr>
          <w:sz w:val="22"/>
          <w:szCs w:val="22"/>
          <w:lang w:val="es-CO"/>
        </w:rPr>
        <w:t xml:space="preserve"> </w:t>
      </w:r>
      <w:r w:rsidR="00807256" w:rsidRPr="006C2940">
        <w:rPr>
          <w:sz w:val="22"/>
          <w:szCs w:val="22"/>
          <w:lang w:val="es-CO"/>
        </w:rPr>
        <w:t xml:space="preserve">en donde se establecen </w:t>
      </w:r>
      <w:r w:rsidRPr="000E63CD">
        <w:rPr>
          <w:sz w:val="22"/>
          <w:szCs w:val="22"/>
          <w:lang w:val="es-CO"/>
        </w:rPr>
        <w:t xml:space="preserve">los mecanismos </w:t>
      </w:r>
      <w:r w:rsidR="006360BF" w:rsidRPr="000E63CD">
        <w:rPr>
          <w:sz w:val="22"/>
          <w:szCs w:val="22"/>
          <w:lang w:val="es-CO"/>
        </w:rPr>
        <w:t xml:space="preserve">y procedimientos </w:t>
      </w:r>
      <w:r w:rsidRPr="000E63CD">
        <w:rPr>
          <w:sz w:val="22"/>
          <w:szCs w:val="22"/>
          <w:lang w:val="es-CO"/>
        </w:rPr>
        <w:t>de comercialización</w:t>
      </w:r>
      <w:r w:rsidR="001B4A7D" w:rsidRPr="000E63CD">
        <w:rPr>
          <w:sz w:val="22"/>
          <w:szCs w:val="22"/>
          <w:lang w:val="es-CO"/>
        </w:rPr>
        <w:t xml:space="preserve"> del suministro de gas natural</w:t>
      </w:r>
      <w:r w:rsidRPr="000E63CD">
        <w:rPr>
          <w:sz w:val="22"/>
          <w:szCs w:val="22"/>
          <w:lang w:val="es-CO"/>
        </w:rPr>
        <w:t xml:space="preserve">, las modalidades </w:t>
      </w:r>
      <w:r w:rsidR="001B4A7D" w:rsidRPr="000E63CD">
        <w:rPr>
          <w:sz w:val="22"/>
          <w:szCs w:val="22"/>
          <w:lang w:val="es-CO"/>
        </w:rPr>
        <w:t xml:space="preserve">permitidas </w:t>
      </w:r>
      <w:r w:rsidR="004D3A75" w:rsidRPr="000E63CD">
        <w:rPr>
          <w:sz w:val="22"/>
          <w:szCs w:val="22"/>
          <w:lang w:val="es-CO"/>
        </w:rPr>
        <w:t>de los contratos</w:t>
      </w:r>
      <w:r w:rsidRPr="000E63CD">
        <w:rPr>
          <w:sz w:val="22"/>
          <w:szCs w:val="22"/>
          <w:lang w:val="es-CO"/>
        </w:rPr>
        <w:t>, así como las condiciones</w:t>
      </w:r>
      <w:r w:rsidR="00997CC3" w:rsidRPr="000E63CD">
        <w:rPr>
          <w:sz w:val="22"/>
          <w:szCs w:val="22"/>
          <w:lang w:val="es-CO"/>
        </w:rPr>
        <w:t xml:space="preserve"> o requisitos </w:t>
      </w:r>
      <w:r w:rsidRPr="000E63CD">
        <w:rPr>
          <w:sz w:val="22"/>
          <w:szCs w:val="22"/>
          <w:lang w:val="es-CO"/>
        </w:rPr>
        <w:t>mínim</w:t>
      </w:r>
      <w:r w:rsidR="00997CC3" w:rsidRPr="000E63CD">
        <w:rPr>
          <w:sz w:val="22"/>
          <w:szCs w:val="22"/>
          <w:lang w:val="es-CO"/>
        </w:rPr>
        <w:t>o</w:t>
      </w:r>
      <w:r w:rsidRPr="000E63CD">
        <w:rPr>
          <w:sz w:val="22"/>
          <w:szCs w:val="22"/>
          <w:lang w:val="es-CO"/>
        </w:rPr>
        <w:t>s que debe contener cada una de las modalidades contractuales</w:t>
      </w:r>
      <w:r w:rsidR="003E2E4B">
        <w:rPr>
          <w:sz w:val="22"/>
          <w:szCs w:val="22"/>
          <w:lang w:val="es-CO"/>
        </w:rPr>
        <w:t>,</w:t>
      </w:r>
      <w:r w:rsidR="008F3A7B" w:rsidRPr="000E63CD">
        <w:rPr>
          <w:sz w:val="22"/>
          <w:szCs w:val="22"/>
          <w:lang w:val="es-CO"/>
        </w:rPr>
        <w:t xml:space="preserve"> </w:t>
      </w:r>
      <w:r w:rsidRPr="000E63CD">
        <w:rPr>
          <w:sz w:val="22"/>
          <w:szCs w:val="22"/>
          <w:lang w:val="es-CO"/>
        </w:rPr>
        <w:t xml:space="preserve">entre ellas: la duración de los contratos, los eventos de fuerza mayor y </w:t>
      </w:r>
      <w:r w:rsidR="008F3A7B" w:rsidRPr="000E63CD">
        <w:rPr>
          <w:sz w:val="22"/>
          <w:szCs w:val="22"/>
          <w:lang w:val="es-CO"/>
        </w:rPr>
        <w:t xml:space="preserve">eventos </w:t>
      </w:r>
      <w:r w:rsidRPr="000E63CD">
        <w:rPr>
          <w:sz w:val="22"/>
          <w:szCs w:val="22"/>
          <w:lang w:val="es-CO"/>
        </w:rPr>
        <w:t>eximentes, los incumplimientos, las compensaciones por incumplimiento, las horas máximas de mantenimiento permitidas</w:t>
      </w:r>
      <w:r w:rsidR="008F3A7B" w:rsidRPr="000E63CD">
        <w:rPr>
          <w:sz w:val="22"/>
          <w:szCs w:val="22"/>
          <w:lang w:val="es-CO"/>
        </w:rPr>
        <w:t xml:space="preserve"> y</w:t>
      </w:r>
      <w:r w:rsidRPr="000E63CD">
        <w:rPr>
          <w:sz w:val="22"/>
          <w:szCs w:val="22"/>
          <w:lang w:val="es-CO"/>
        </w:rPr>
        <w:t xml:space="preserve"> la</w:t>
      </w:r>
      <w:r w:rsidR="008F3A7B" w:rsidRPr="000E63CD">
        <w:rPr>
          <w:sz w:val="22"/>
          <w:szCs w:val="22"/>
          <w:lang w:val="es-CO"/>
        </w:rPr>
        <w:t>s ecuaciones de</w:t>
      </w:r>
      <w:r w:rsidRPr="000E63CD">
        <w:rPr>
          <w:sz w:val="22"/>
          <w:szCs w:val="22"/>
          <w:lang w:val="es-CO"/>
        </w:rPr>
        <w:t xml:space="preserve"> actualización anual de los precios </w:t>
      </w:r>
      <w:r w:rsidR="003E2E4B">
        <w:rPr>
          <w:sz w:val="22"/>
          <w:szCs w:val="22"/>
          <w:lang w:val="es-CO"/>
        </w:rPr>
        <w:t>de contratos multianuales</w:t>
      </w:r>
      <w:r w:rsidRPr="000E63CD">
        <w:rPr>
          <w:sz w:val="22"/>
          <w:szCs w:val="22"/>
          <w:lang w:val="es-CO"/>
        </w:rPr>
        <w:t xml:space="preserve">. </w:t>
      </w:r>
    </w:p>
    <w:p w14:paraId="4C37140A" w14:textId="7808AC74" w:rsidR="00713554" w:rsidRPr="000E63CD" w:rsidRDefault="00713554" w:rsidP="00D606C4">
      <w:pPr>
        <w:shd w:val="clear" w:color="auto" w:fill="FFFFFF" w:themeFill="background1"/>
        <w:rPr>
          <w:sz w:val="22"/>
          <w:szCs w:val="22"/>
          <w:lang w:val="es-CO"/>
        </w:rPr>
      </w:pPr>
    </w:p>
    <w:p w14:paraId="7FCCE2C3" w14:textId="26E6D5F1" w:rsidR="00713554" w:rsidRPr="000E63CD" w:rsidRDefault="00713554" w:rsidP="00D606C4">
      <w:pPr>
        <w:shd w:val="clear" w:color="auto" w:fill="FFFFFF" w:themeFill="background1"/>
        <w:rPr>
          <w:sz w:val="22"/>
          <w:szCs w:val="22"/>
          <w:lang w:val="es-CO"/>
        </w:rPr>
      </w:pPr>
      <w:r w:rsidRPr="000E63CD">
        <w:rPr>
          <w:sz w:val="22"/>
          <w:szCs w:val="22"/>
          <w:lang w:val="es-CO"/>
        </w:rPr>
        <w:t xml:space="preserve">Dentro de las modalidades contractuales </w:t>
      </w:r>
      <w:r w:rsidR="00B44A3F" w:rsidRPr="000E63CD">
        <w:rPr>
          <w:sz w:val="22"/>
          <w:szCs w:val="22"/>
          <w:lang w:val="es-CO"/>
        </w:rPr>
        <w:t xml:space="preserve">permitidas </w:t>
      </w:r>
      <w:r w:rsidRPr="000E63CD">
        <w:rPr>
          <w:sz w:val="22"/>
          <w:szCs w:val="22"/>
          <w:lang w:val="es-CO"/>
        </w:rPr>
        <w:t>de suministro de gas</w:t>
      </w:r>
      <w:r w:rsidR="008F3A7B" w:rsidRPr="000E63CD">
        <w:rPr>
          <w:sz w:val="22"/>
          <w:szCs w:val="22"/>
          <w:lang w:val="es-CO"/>
        </w:rPr>
        <w:t xml:space="preserve"> en el </w:t>
      </w:r>
      <w:r w:rsidR="00AC32B5">
        <w:rPr>
          <w:sz w:val="22"/>
          <w:szCs w:val="22"/>
          <w:lang w:val="es-CO"/>
        </w:rPr>
        <w:t>Mercado Primario</w:t>
      </w:r>
      <w:r w:rsidRPr="000E63CD">
        <w:rPr>
          <w:sz w:val="22"/>
          <w:szCs w:val="22"/>
          <w:lang w:val="es-CO"/>
        </w:rPr>
        <w:t xml:space="preserve">, </w:t>
      </w:r>
      <w:r w:rsidR="00385191" w:rsidRPr="000E63CD">
        <w:rPr>
          <w:sz w:val="22"/>
          <w:szCs w:val="22"/>
          <w:lang w:val="es-CO"/>
        </w:rPr>
        <w:t xml:space="preserve">actualmente se encuentran establecidas </w:t>
      </w:r>
      <w:r w:rsidRPr="000E63CD">
        <w:rPr>
          <w:sz w:val="22"/>
          <w:szCs w:val="22"/>
          <w:lang w:val="es-CO"/>
        </w:rPr>
        <w:t>las siguientes:</w:t>
      </w:r>
    </w:p>
    <w:p w14:paraId="4B9BAAB1" w14:textId="2DF012A2" w:rsidR="00713554" w:rsidRPr="000E63CD" w:rsidRDefault="00713554" w:rsidP="00D606C4">
      <w:pPr>
        <w:shd w:val="clear" w:color="auto" w:fill="FFFFFF" w:themeFill="background1"/>
        <w:rPr>
          <w:sz w:val="22"/>
          <w:szCs w:val="22"/>
          <w:lang w:val="es-CO"/>
        </w:rPr>
      </w:pPr>
    </w:p>
    <w:p w14:paraId="42F41949" w14:textId="6347B946" w:rsidR="00713554" w:rsidRPr="000E63CD" w:rsidRDefault="00713554" w:rsidP="00352218">
      <w:pPr>
        <w:pStyle w:val="Prrafodelista"/>
        <w:numPr>
          <w:ilvl w:val="0"/>
          <w:numId w:val="6"/>
        </w:numPr>
        <w:shd w:val="clear" w:color="auto" w:fill="FFFFFF" w:themeFill="background1"/>
        <w:rPr>
          <w:sz w:val="22"/>
          <w:szCs w:val="22"/>
          <w:lang w:val="es-CO"/>
        </w:rPr>
      </w:pPr>
      <w:r w:rsidRPr="000E63CD">
        <w:rPr>
          <w:sz w:val="22"/>
          <w:szCs w:val="22"/>
          <w:lang w:val="es-CO"/>
        </w:rPr>
        <w:t>Contrato de suministro Firme al 95%, CF95.</w:t>
      </w:r>
    </w:p>
    <w:p w14:paraId="6992A132" w14:textId="24C97528" w:rsidR="00713554" w:rsidRPr="000E63CD" w:rsidRDefault="00713554" w:rsidP="00352218">
      <w:pPr>
        <w:pStyle w:val="Prrafodelista"/>
        <w:numPr>
          <w:ilvl w:val="0"/>
          <w:numId w:val="6"/>
        </w:numPr>
        <w:shd w:val="clear" w:color="auto" w:fill="FFFFFF" w:themeFill="background1"/>
        <w:rPr>
          <w:sz w:val="22"/>
          <w:szCs w:val="22"/>
          <w:lang w:val="es-CO"/>
        </w:rPr>
      </w:pPr>
      <w:r w:rsidRPr="000E63CD">
        <w:rPr>
          <w:sz w:val="22"/>
          <w:szCs w:val="22"/>
          <w:lang w:val="es-CO"/>
        </w:rPr>
        <w:t>Contrato de suministro C1.</w:t>
      </w:r>
    </w:p>
    <w:p w14:paraId="3DBFF388" w14:textId="6B123A24" w:rsidR="00713554" w:rsidRPr="000E63CD" w:rsidRDefault="00713554" w:rsidP="00352218">
      <w:pPr>
        <w:pStyle w:val="Prrafodelista"/>
        <w:numPr>
          <w:ilvl w:val="0"/>
          <w:numId w:val="6"/>
        </w:numPr>
        <w:shd w:val="clear" w:color="auto" w:fill="FFFFFF" w:themeFill="background1"/>
        <w:rPr>
          <w:sz w:val="22"/>
          <w:szCs w:val="22"/>
          <w:lang w:val="es-CO"/>
        </w:rPr>
      </w:pPr>
      <w:r w:rsidRPr="000E63CD">
        <w:rPr>
          <w:sz w:val="22"/>
          <w:szCs w:val="22"/>
          <w:lang w:val="es-CO"/>
        </w:rPr>
        <w:t>Contrato de suministro C2.</w:t>
      </w:r>
    </w:p>
    <w:p w14:paraId="300D9009" w14:textId="264C9CE6" w:rsidR="00713554" w:rsidRPr="000E63CD" w:rsidRDefault="00713554" w:rsidP="00352218">
      <w:pPr>
        <w:pStyle w:val="Prrafodelista"/>
        <w:numPr>
          <w:ilvl w:val="0"/>
          <w:numId w:val="6"/>
        </w:numPr>
        <w:shd w:val="clear" w:color="auto" w:fill="FFFFFF" w:themeFill="background1"/>
        <w:rPr>
          <w:sz w:val="22"/>
          <w:szCs w:val="22"/>
          <w:lang w:val="es-CO"/>
        </w:rPr>
      </w:pPr>
      <w:r w:rsidRPr="000E63CD">
        <w:rPr>
          <w:sz w:val="22"/>
          <w:szCs w:val="22"/>
          <w:lang w:val="es-CO"/>
        </w:rPr>
        <w:t>Contrato de opción de compra de gas contra exportaciones.</w:t>
      </w:r>
    </w:p>
    <w:p w14:paraId="2194B4CF" w14:textId="37108D99" w:rsidR="00713554" w:rsidRPr="000E63CD" w:rsidRDefault="00713554" w:rsidP="00352218">
      <w:pPr>
        <w:pStyle w:val="Prrafodelista"/>
        <w:numPr>
          <w:ilvl w:val="0"/>
          <w:numId w:val="6"/>
        </w:numPr>
        <w:shd w:val="clear" w:color="auto" w:fill="FFFFFF" w:themeFill="background1"/>
        <w:rPr>
          <w:sz w:val="22"/>
          <w:szCs w:val="22"/>
          <w:lang w:val="es-CO"/>
        </w:rPr>
      </w:pPr>
      <w:r w:rsidRPr="000E63CD">
        <w:rPr>
          <w:sz w:val="22"/>
          <w:szCs w:val="22"/>
          <w:lang w:val="es-CO"/>
        </w:rPr>
        <w:t>Contrato de suministro de contingencia.</w:t>
      </w:r>
    </w:p>
    <w:p w14:paraId="6B56DB00" w14:textId="4D569277" w:rsidR="00713554" w:rsidRPr="000E63CD" w:rsidRDefault="00713554" w:rsidP="00352218">
      <w:pPr>
        <w:pStyle w:val="Prrafodelista"/>
        <w:numPr>
          <w:ilvl w:val="0"/>
          <w:numId w:val="6"/>
        </w:numPr>
        <w:shd w:val="clear" w:color="auto" w:fill="FFFFFF" w:themeFill="background1"/>
        <w:rPr>
          <w:sz w:val="22"/>
          <w:szCs w:val="22"/>
          <w:lang w:val="es-CO"/>
        </w:rPr>
      </w:pPr>
      <w:r w:rsidRPr="000E63CD">
        <w:rPr>
          <w:sz w:val="22"/>
          <w:szCs w:val="22"/>
          <w:lang w:val="es-CO"/>
        </w:rPr>
        <w:t>Contrato con interrupciones.</w:t>
      </w:r>
    </w:p>
    <w:p w14:paraId="237E8B63" w14:textId="2CAA47CB" w:rsidR="00713554" w:rsidRPr="000E63CD" w:rsidRDefault="00713554" w:rsidP="00352218">
      <w:pPr>
        <w:pStyle w:val="Prrafodelista"/>
        <w:numPr>
          <w:ilvl w:val="0"/>
          <w:numId w:val="6"/>
        </w:numPr>
        <w:shd w:val="clear" w:color="auto" w:fill="FFFFFF" w:themeFill="background1"/>
        <w:rPr>
          <w:sz w:val="22"/>
          <w:szCs w:val="22"/>
          <w:lang w:val="es-CO"/>
        </w:rPr>
      </w:pPr>
      <w:r w:rsidRPr="000E63CD">
        <w:rPr>
          <w:sz w:val="22"/>
          <w:szCs w:val="22"/>
          <w:lang w:val="es-CO"/>
        </w:rPr>
        <w:t>Contrato de suministro con firmeza condicionada.</w:t>
      </w:r>
    </w:p>
    <w:p w14:paraId="6E078B85" w14:textId="2241F31F" w:rsidR="00713554" w:rsidRPr="000E63CD" w:rsidRDefault="00713554" w:rsidP="00352218">
      <w:pPr>
        <w:pStyle w:val="Prrafodelista"/>
        <w:numPr>
          <w:ilvl w:val="0"/>
          <w:numId w:val="6"/>
        </w:numPr>
        <w:shd w:val="clear" w:color="auto" w:fill="FFFFFF" w:themeFill="background1"/>
        <w:rPr>
          <w:sz w:val="22"/>
          <w:szCs w:val="22"/>
          <w:lang w:val="es-CO"/>
        </w:rPr>
      </w:pPr>
      <w:r w:rsidRPr="000E63CD">
        <w:rPr>
          <w:sz w:val="22"/>
          <w:szCs w:val="22"/>
          <w:lang w:val="es-CO"/>
        </w:rPr>
        <w:t>Contrato de opción de compra de gas.</w:t>
      </w:r>
    </w:p>
    <w:p w14:paraId="6B584C10" w14:textId="14DD7924" w:rsidR="00713554" w:rsidRPr="000E63CD" w:rsidRDefault="00713554" w:rsidP="00713554">
      <w:pPr>
        <w:shd w:val="clear" w:color="auto" w:fill="FFFFFF" w:themeFill="background1"/>
        <w:rPr>
          <w:sz w:val="22"/>
          <w:szCs w:val="22"/>
          <w:lang w:val="es-CO"/>
        </w:rPr>
      </w:pPr>
    </w:p>
    <w:p w14:paraId="4B781076" w14:textId="59B578AD" w:rsidR="00385191" w:rsidRPr="000E63CD" w:rsidRDefault="00385191" w:rsidP="00713554">
      <w:pPr>
        <w:shd w:val="clear" w:color="auto" w:fill="FFFFFF" w:themeFill="background1"/>
        <w:rPr>
          <w:sz w:val="22"/>
          <w:szCs w:val="22"/>
          <w:lang w:val="es-CO"/>
        </w:rPr>
      </w:pPr>
      <w:r w:rsidRPr="000E63CD">
        <w:rPr>
          <w:sz w:val="22"/>
          <w:szCs w:val="22"/>
          <w:lang w:val="es-CO"/>
        </w:rPr>
        <w:t xml:space="preserve">Asimismo, se encuentran incluidos los mecanismos y procedimientos de comercialización del suministro de gas natural, entre los que se destacan en su orden, la negociación directa de suministro de largo plazo, la reserva anual de cantidades para la demanda regulada no negociada directamente y las subastas de suministro anual </w:t>
      </w:r>
      <w:r w:rsidR="0020721F" w:rsidRPr="000E63CD">
        <w:rPr>
          <w:sz w:val="22"/>
          <w:szCs w:val="22"/>
          <w:lang w:val="es-CO"/>
        </w:rPr>
        <w:t>para los</w:t>
      </w:r>
      <w:r w:rsidRPr="000E63CD">
        <w:rPr>
          <w:sz w:val="22"/>
          <w:szCs w:val="22"/>
          <w:lang w:val="es-CO"/>
        </w:rPr>
        <w:t xml:space="preserve"> contratos C1 y C2. </w:t>
      </w:r>
      <w:r w:rsidR="0020721F" w:rsidRPr="000E63CD">
        <w:rPr>
          <w:sz w:val="22"/>
          <w:szCs w:val="22"/>
          <w:lang w:val="es-CO"/>
        </w:rPr>
        <w:t>Actualmente e</w:t>
      </w:r>
      <w:r w:rsidRPr="000E63CD">
        <w:rPr>
          <w:sz w:val="22"/>
          <w:szCs w:val="22"/>
          <w:lang w:val="es-CO"/>
        </w:rPr>
        <w:t xml:space="preserve">stos mecanismos </w:t>
      </w:r>
      <w:r w:rsidR="006275C7" w:rsidRPr="000E63CD">
        <w:rPr>
          <w:sz w:val="22"/>
          <w:szCs w:val="22"/>
          <w:lang w:val="es-CO"/>
        </w:rPr>
        <w:t>no son aplicables</w:t>
      </w:r>
      <w:r w:rsidR="0020721F" w:rsidRPr="000E63CD">
        <w:rPr>
          <w:sz w:val="22"/>
          <w:szCs w:val="22"/>
          <w:lang w:val="es-CO"/>
        </w:rPr>
        <w:t xml:space="preserve"> en forma obligatoria</w:t>
      </w:r>
      <w:r w:rsidR="006275C7" w:rsidRPr="000E63CD">
        <w:rPr>
          <w:sz w:val="22"/>
          <w:szCs w:val="22"/>
          <w:lang w:val="es-CO"/>
        </w:rPr>
        <w:t xml:space="preserve"> a ciertos tipos de fuentes de suministro y ciertas modalidades contractuales</w:t>
      </w:r>
      <w:r w:rsidR="0020721F" w:rsidRPr="000E63CD">
        <w:rPr>
          <w:sz w:val="22"/>
          <w:szCs w:val="22"/>
          <w:lang w:val="es-CO"/>
        </w:rPr>
        <w:t xml:space="preserve"> especificadas en la Re</w:t>
      </w:r>
      <w:r w:rsidR="008E6639">
        <w:rPr>
          <w:sz w:val="22"/>
          <w:szCs w:val="22"/>
          <w:lang w:val="es-CO"/>
        </w:rPr>
        <w:t>gulación</w:t>
      </w:r>
      <w:r w:rsidR="008B7D3E">
        <w:rPr>
          <w:sz w:val="22"/>
          <w:szCs w:val="22"/>
          <w:lang w:val="es-CO"/>
        </w:rPr>
        <w:t>.</w:t>
      </w:r>
      <w:r w:rsidR="00B575ED">
        <w:rPr>
          <w:sz w:val="22"/>
          <w:szCs w:val="22"/>
          <w:lang w:val="es-CO"/>
        </w:rPr>
        <w:t xml:space="preserve"> </w:t>
      </w:r>
    </w:p>
    <w:p w14:paraId="5281098E" w14:textId="77777777" w:rsidR="00385191" w:rsidRPr="000E63CD" w:rsidRDefault="00385191" w:rsidP="00713554">
      <w:pPr>
        <w:shd w:val="clear" w:color="auto" w:fill="FFFFFF" w:themeFill="background1"/>
        <w:rPr>
          <w:sz w:val="22"/>
          <w:szCs w:val="22"/>
          <w:lang w:val="es-CO"/>
        </w:rPr>
      </w:pPr>
    </w:p>
    <w:p w14:paraId="0F7D1101" w14:textId="01CBB185" w:rsidR="008F3A7B" w:rsidRPr="000E63CD" w:rsidRDefault="006F43CA" w:rsidP="00713554">
      <w:pPr>
        <w:shd w:val="clear" w:color="auto" w:fill="FFFFFF" w:themeFill="background1"/>
        <w:rPr>
          <w:sz w:val="22"/>
          <w:szCs w:val="22"/>
        </w:rPr>
      </w:pPr>
      <w:r w:rsidRPr="000E63CD">
        <w:rPr>
          <w:sz w:val="22"/>
          <w:szCs w:val="22"/>
          <w:lang w:val="es-CO"/>
        </w:rPr>
        <w:t>Por otra parte, d</w:t>
      </w:r>
      <w:r w:rsidR="008F3A7B" w:rsidRPr="000E63CD">
        <w:rPr>
          <w:sz w:val="22"/>
          <w:szCs w:val="22"/>
          <w:lang w:val="es-CO"/>
        </w:rPr>
        <w:t xml:space="preserve">urante </w:t>
      </w:r>
      <w:r w:rsidR="008B3083" w:rsidRPr="000E63CD">
        <w:rPr>
          <w:sz w:val="22"/>
          <w:szCs w:val="22"/>
          <w:lang w:val="es-CO"/>
        </w:rPr>
        <w:t>los</w:t>
      </w:r>
      <w:r w:rsidR="008F3A7B" w:rsidRPr="000E63CD">
        <w:rPr>
          <w:sz w:val="22"/>
          <w:szCs w:val="22"/>
          <w:lang w:val="es-CO"/>
        </w:rPr>
        <w:t xml:space="preserve"> año</w:t>
      </w:r>
      <w:r w:rsidR="008B3083" w:rsidRPr="000E63CD">
        <w:rPr>
          <w:sz w:val="22"/>
          <w:szCs w:val="22"/>
          <w:lang w:val="es-CO"/>
        </w:rPr>
        <w:t>s</w:t>
      </w:r>
      <w:r w:rsidR="008F3A7B" w:rsidRPr="000E63CD">
        <w:rPr>
          <w:sz w:val="22"/>
          <w:szCs w:val="22"/>
          <w:lang w:val="es-CO"/>
        </w:rPr>
        <w:t xml:space="preserve"> 2020</w:t>
      </w:r>
      <w:r w:rsidR="008B3083" w:rsidRPr="000E63CD">
        <w:rPr>
          <w:sz w:val="22"/>
          <w:szCs w:val="22"/>
          <w:lang w:val="es-CO"/>
        </w:rPr>
        <w:t xml:space="preserve"> y 2021</w:t>
      </w:r>
      <w:r w:rsidR="008F3A7B" w:rsidRPr="000E63CD">
        <w:rPr>
          <w:sz w:val="22"/>
          <w:szCs w:val="22"/>
          <w:lang w:val="es-CO"/>
        </w:rPr>
        <w:t xml:space="preserve"> </w:t>
      </w:r>
      <w:r w:rsidR="008F3A7B" w:rsidRPr="000E63CD">
        <w:rPr>
          <w:sz w:val="22"/>
          <w:szCs w:val="22"/>
        </w:rPr>
        <w:t xml:space="preserve">se </w:t>
      </w:r>
      <w:r w:rsidR="009A0A9D">
        <w:rPr>
          <w:sz w:val="22"/>
          <w:szCs w:val="22"/>
        </w:rPr>
        <w:t xml:space="preserve">presentaron </w:t>
      </w:r>
      <w:r w:rsidR="008F3A7B" w:rsidRPr="000E63CD">
        <w:rPr>
          <w:sz w:val="22"/>
          <w:szCs w:val="22"/>
        </w:rPr>
        <w:t>circunstancias extraordinarias relacionadas con la declaración de estado de emergencia sanitaria por cuenta de la pandemia ocasionada por el covid-19</w:t>
      </w:r>
      <w:r w:rsidR="00CA0555" w:rsidRPr="000E63CD">
        <w:rPr>
          <w:sz w:val="22"/>
          <w:szCs w:val="22"/>
        </w:rPr>
        <w:t>,</w:t>
      </w:r>
      <w:r w:rsidR="008F3A7B" w:rsidRPr="000E63CD">
        <w:rPr>
          <w:sz w:val="22"/>
          <w:szCs w:val="22"/>
        </w:rPr>
        <w:t xml:space="preserve"> que llevó al Gobierno Nacional a ordenar el a</w:t>
      </w:r>
      <w:r w:rsidR="00D47E34" w:rsidRPr="000E63CD">
        <w:rPr>
          <w:sz w:val="22"/>
          <w:szCs w:val="22"/>
        </w:rPr>
        <w:t>is</w:t>
      </w:r>
      <w:r w:rsidR="008F3A7B" w:rsidRPr="000E63CD">
        <w:rPr>
          <w:sz w:val="22"/>
          <w:szCs w:val="22"/>
        </w:rPr>
        <w:t>lamiento preventivo y obligatorio a todas las personas habitante</w:t>
      </w:r>
      <w:r w:rsidR="00CA0555" w:rsidRPr="000E63CD">
        <w:rPr>
          <w:sz w:val="22"/>
          <w:szCs w:val="22"/>
        </w:rPr>
        <w:t>s</w:t>
      </w:r>
      <w:r w:rsidR="008F3A7B" w:rsidRPr="000E63CD">
        <w:rPr>
          <w:sz w:val="22"/>
          <w:szCs w:val="22"/>
        </w:rPr>
        <w:t xml:space="preserve"> de la República de Colombia. Como parte de los efectos de esta</w:t>
      </w:r>
      <w:r w:rsidR="00AA4113" w:rsidRPr="000E63CD">
        <w:rPr>
          <w:sz w:val="22"/>
          <w:szCs w:val="22"/>
        </w:rPr>
        <w:t xml:space="preserve"> situación</w:t>
      </w:r>
      <w:r w:rsidR="008F3A7B" w:rsidRPr="000E63CD">
        <w:rPr>
          <w:sz w:val="22"/>
          <w:szCs w:val="22"/>
        </w:rPr>
        <w:t xml:space="preserve"> se presentó una desaceleración de la actividad económica y</w:t>
      </w:r>
      <w:r w:rsidR="00AC062A">
        <w:rPr>
          <w:sz w:val="22"/>
          <w:szCs w:val="22"/>
        </w:rPr>
        <w:t>,</w:t>
      </w:r>
      <w:r w:rsidR="008F3A7B" w:rsidRPr="000E63CD">
        <w:rPr>
          <w:sz w:val="22"/>
          <w:szCs w:val="22"/>
        </w:rPr>
        <w:t xml:space="preserve"> por tanto, un</w:t>
      </w:r>
      <w:r w:rsidR="00D47E34" w:rsidRPr="000E63CD">
        <w:rPr>
          <w:sz w:val="22"/>
          <w:szCs w:val="22"/>
        </w:rPr>
        <w:t xml:space="preserve">a reducción </w:t>
      </w:r>
      <w:r w:rsidR="008F3A7B" w:rsidRPr="000E63CD">
        <w:rPr>
          <w:sz w:val="22"/>
          <w:szCs w:val="22"/>
        </w:rPr>
        <w:t xml:space="preserve">en los niveles de consumo de gas natural de </w:t>
      </w:r>
      <w:r w:rsidR="00D47E34" w:rsidRPr="000E63CD">
        <w:rPr>
          <w:sz w:val="22"/>
          <w:szCs w:val="22"/>
        </w:rPr>
        <w:t>la mayoría de</w:t>
      </w:r>
      <w:r w:rsidR="008F3A7B" w:rsidRPr="000E63CD">
        <w:rPr>
          <w:sz w:val="22"/>
          <w:szCs w:val="22"/>
        </w:rPr>
        <w:t xml:space="preserve"> los sectores </w:t>
      </w:r>
      <w:r w:rsidR="00D47E34" w:rsidRPr="000E63CD">
        <w:rPr>
          <w:sz w:val="22"/>
          <w:szCs w:val="22"/>
        </w:rPr>
        <w:t xml:space="preserve">que hacen uso de este combustible. </w:t>
      </w:r>
    </w:p>
    <w:p w14:paraId="108735CF" w14:textId="2E28036B" w:rsidR="00D47E34" w:rsidRPr="000E63CD" w:rsidRDefault="00D47E34" w:rsidP="00713554">
      <w:pPr>
        <w:shd w:val="clear" w:color="auto" w:fill="FFFFFF" w:themeFill="background1"/>
        <w:rPr>
          <w:sz w:val="22"/>
          <w:szCs w:val="22"/>
        </w:rPr>
      </w:pPr>
    </w:p>
    <w:p w14:paraId="5017E2B5" w14:textId="1D973451" w:rsidR="00D47E34" w:rsidRPr="000E63CD" w:rsidRDefault="00D47E34" w:rsidP="00713554">
      <w:pPr>
        <w:shd w:val="clear" w:color="auto" w:fill="FFFFFF" w:themeFill="background1"/>
        <w:rPr>
          <w:sz w:val="22"/>
          <w:szCs w:val="22"/>
        </w:rPr>
      </w:pPr>
      <w:r w:rsidRPr="000E63CD">
        <w:rPr>
          <w:sz w:val="22"/>
          <w:szCs w:val="22"/>
        </w:rPr>
        <w:t xml:space="preserve">Ante dicha situación la Comisión tomó medidas </w:t>
      </w:r>
      <w:r w:rsidR="00FC575D">
        <w:rPr>
          <w:sz w:val="22"/>
          <w:szCs w:val="22"/>
        </w:rPr>
        <w:t xml:space="preserve">transitorias </w:t>
      </w:r>
      <w:r w:rsidRPr="000E63CD">
        <w:rPr>
          <w:sz w:val="22"/>
          <w:szCs w:val="22"/>
        </w:rPr>
        <w:t>de corto plazo con el fin de</w:t>
      </w:r>
      <w:r w:rsidR="00DF6157">
        <w:rPr>
          <w:sz w:val="22"/>
          <w:szCs w:val="22"/>
        </w:rPr>
        <w:t xml:space="preserve"> dar mayor</w:t>
      </w:r>
      <w:r w:rsidRPr="000E63CD">
        <w:rPr>
          <w:sz w:val="22"/>
          <w:szCs w:val="22"/>
        </w:rPr>
        <w:t xml:space="preserve"> flexibili</w:t>
      </w:r>
      <w:r w:rsidR="00DF6157">
        <w:rPr>
          <w:sz w:val="22"/>
          <w:szCs w:val="22"/>
        </w:rPr>
        <w:t>d</w:t>
      </w:r>
      <w:r w:rsidRPr="000E63CD">
        <w:rPr>
          <w:sz w:val="22"/>
          <w:szCs w:val="22"/>
        </w:rPr>
        <w:t>a</w:t>
      </w:r>
      <w:r w:rsidR="00DF6157">
        <w:rPr>
          <w:sz w:val="22"/>
          <w:szCs w:val="22"/>
        </w:rPr>
        <w:t>d a</w:t>
      </w:r>
      <w:r w:rsidRPr="000E63CD">
        <w:rPr>
          <w:sz w:val="22"/>
          <w:szCs w:val="22"/>
        </w:rPr>
        <w:t xml:space="preserve"> la comercialización del </w:t>
      </w:r>
      <w:r w:rsidR="00DF6157">
        <w:rPr>
          <w:sz w:val="22"/>
          <w:szCs w:val="22"/>
        </w:rPr>
        <w:t xml:space="preserve">suministro de </w:t>
      </w:r>
      <w:r w:rsidRPr="000E63CD">
        <w:rPr>
          <w:sz w:val="22"/>
          <w:szCs w:val="22"/>
        </w:rPr>
        <w:t>gas natural y facilitar así los ajustes comerciales entre los agentes del mercado mayorista</w:t>
      </w:r>
      <w:r w:rsidR="002E55AB" w:rsidRPr="000E63CD">
        <w:rPr>
          <w:sz w:val="22"/>
          <w:szCs w:val="22"/>
        </w:rPr>
        <w:t xml:space="preserve"> para adaptarse a las circunstancias</w:t>
      </w:r>
      <w:r w:rsidRPr="000E63CD">
        <w:rPr>
          <w:sz w:val="22"/>
          <w:szCs w:val="22"/>
        </w:rPr>
        <w:t xml:space="preserve">. Entre las medidas tomadas se encuentran las implementadas en la Resolución CREG 138 de 2020 para la comercialización del suministro de gas con entregas hasta el 30 de noviembre de 2020 y para la comercialización durante el período 2020 – 2021. </w:t>
      </w:r>
      <w:r w:rsidR="009F5F2E" w:rsidRPr="000E63CD">
        <w:rPr>
          <w:sz w:val="22"/>
          <w:szCs w:val="22"/>
        </w:rPr>
        <w:t xml:space="preserve">Asimismo, </w:t>
      </w:r>
      <w:r w:rsidR="00717566" w:rsidRPr="000E63CD">
        <w:rPr>
          <w:sz w:val="22"/>
          <w:szCs w:val="22"/>
        </w:rPr>
        <w:t xml:space="preserve">se </w:t>
      </w:r>
      <w:r w:rsidR="003E2E4B">
        <w:rPr>
          <w:sz w:val="22"/>
          <w:szCs w:val="22"/>
        </w:rPr>
        <w:t>implementaron</w:t>
      </w:r>
      <w:r w:rsidR="0052795B" w:rsidRPr="000E63CD">
        <w:rPr>
          <w:sz w:val="22"/>
          <w:szCs w:val="22"/>
        </w:rPr>
        <w:t xml:space="preserve"> en la Resolución CREG </w:t>
      </w:r>
      <w:r w:rsidR="00AE658E" w:rsidRPr="000E63CD">
        <w:rPr>
          <w:sz w:val="22"/>
          <w:szCs w:val="22"/>
        </w:rPr>
        <w:t xml:space="preserve">084 de 2021 </w:t>
      </w:r>
      <w:r w:rsidR="00E11860" w:rsidRPr="000E63CD">
        <w:rPr>
          <w:sz w:val="22"/>
          <w:szCs w:val="22"/>
        </w:rPr>
        <w:t xml:space="preserve">para la comercialización del período 2021 </w:t>
      </w:r>
      <w:r w:rsidR="00F904B4" w:rsidRPr="000E63CD">
        <w:rPr>
          <w:sz w:val="22"/>
          <w:szCs w:val="22"/>
        </w:rPr>
        <w:t>–</w:t>
      </w:r>
      <w:r w:rsidR="00E11860" w:rsidRPr="000E63CD">
        <w:rPr>
          <w:sz w:val="22"/>
          <w:szCs w:val="22"/>
        </w:rPr>
        <w:t xml:space="preserve"> 2022</w:t>
      </w:r>
      <w:r w:rsidR="003E2E4B">
        <w:rPr>
          <w:sz w:val="22"/>
          <w:szCs w:val="22"/>
        </w:rPr>
        <w:t xml:space="preserve"> y en la Resolución CREG 102 007 de 2022 </w:t>
      </w:r>
      <w:r w:rsidR="003E2E4B" w:rsidRPr="000E63CD">
        <w:rPr>
          <w:sz w:val="22"/>
          <w:szCs w:val="22"/>
        </w:rPr>
        <w:t>para la comercialización del período 202</w:t>
      </w:r>
      <w:r w:rsidR="003E2E4B">
        <w:rPr>
          <w:sz w:val="22"/>
          <w:szCs w:val="22"/>
        </w:rPr>
        <w:t>2</w:t>
      </w:r>
      <w:r w:rsidR="003E2E4B" w:rsidRPr="000E63CD">
        <w:rPr>
          <w:sz w:val="22"/>
          <w:szCs w:val="22"/>
        </w:rPr>
        <w:t xml:space="preserve"> – 202</w:t>
      </w:r>
      <w:r w:rsidR="003E2E4B">
        <w:rPr>
          <w:sz w:val="22"/>
          <w:szCs w:val="22"/>
        </w:rPr>
        <w:t>3</w:t>
      </w:r>
      <w:r w:rsidR="00F904B4" w:rsidRPr="000E63CD">
        <w:rPr>
          <w:sz w:val="22"/>
          <w:szCs w:val="22"/>
        </w:rPr>
        <w:t xml:space="preserve">. </w:t>
      </w:r>
    </w:p>
    <w:p w14:paraId="45F5B6A6" w14:textId="77777777" w:rsidR="006378D7" w:rsidRPr="000E63CD" w:rsidRDefault="006378D7" w:rsidP="00713554">
      <w:pPr>
        <w:shd w:val="clear" w:color="auto" w:fill="FFFFFF" w:themeFill="background1"/>
        <w:rPr>
          <w:sz w:val="22"/>
          <w:szCs w:val="22"/>
        </w:rPr>
      </w:pPr>
    </w:p>
    <w:p w14:paraId="55D2218B" w14:textId="1817C356" w:rsidR="00726739" w:rsidRPr="000E63CD" w:rsidRDefault="00DF6157" w:rsidP="00812BCD">
      <w:pPr>
        <w:shd w:val="clear" w:color="auto" w:fill="FFFFFF" w:themeFill="background1"/>
        <w:rPr>
          <w:sz w:val="22"/>
          <w:szCs w:val="22"/>
        </w:rPr>
      </w:pPr>
      <w:r>
        <w:rPr>
          <w:sz w:val="22"/>
          <w:szCs w:val="22"/>
        </w:rPr>
        <w:t xml:space="preserve">Asimismo, </w:t>
      </w:r>
      <w:r w:rsidR="006378D7" w:rsidRPr="000E63CD">
        <w:rPr>
          <w:sz w:val="22"/>
          <w:szCs w:val="22"/>
        </w:rPr>
        <w:t>la anterior Resolución CREG 114 de 2017</w:t>
      </w:r>
      <w:r w:rsidR="00905FDD" w:rsidRPr="000E63CD">
        <w:rPr>
          <w:sz w:val="22"/>
          <w:szCs w:val="22"/>
        </w:rPr>
        <w:t>, modificada por l</w:t>
      </w:r>
      <w:r w:rsidR="004143DA" w:rsidRPr="000E63CD">
        <w:rPr>
          <w:sz w:val="22"/>
          <w:szCs w:val="22"/>
        </w:rPr>
        <w:t xml:space="preserve">a </w:t>
      </w:r>
      <w:r w:rsidR="00905FDD" w:rsidRPr="000E63CD">
        <w:rPr>
          <w:sz w:val="22"/>
          <w:szCs w:val="22"/>
        </w:rPr>
        <w:t>Resolución CREG 021 de 2019,</w:t>
      </w:r>
      <w:r w:rsidR="006378D7" w:rsidRPr="000E63CD">
        <w:rPr>
          <w:sz w:val="22"/>
          <w:szCs w:val="22"/>
        </w:rPr>
        <w:t xml:space="preserve"> que contenía las reglas del mercado mayorista aplicables a las actividades de suministro y de transporte de gas natural</w:t>
      </w:r>
      <w:r w:rsidR="004143DA" w:rsidRPr="000E63CD">
        <w:rPr>
          <w:sz w:val="22"/>
          <w:szCs w:val="22"/>
        </w:rPr>
        <w:t>,</w:t>
      </w:r>
      <w:r w:rsidR="00D536B6" w:rsidRPr="000E63CD">
        <w:rPr>
          <w:sz w:val="22"/>
          <w:szCs w:val="22"/>
        </w:rPr>
        <w:t xml:space="preserve"> fue separada </w:t>
      </w:r>
      <w:r>
        <w:rPr>
          <w:sz w:val="22"/>
          <w:szCs w:val="22"/>
        </w:rPr>
        <w:t>mediante</w:t>
      </w:r>
      <w:r w:rsidR="00D536B6" w:rsidRPr="000E63CD">
        <w:rPr>
          <w:sz w:val="22"/>
          <w:szCs w:val="22"/>
        </w:rPr>
        <w:t xml:space="preserve"> </w:t>
      </w:r>
      <w:r w:rsidR="00726739" w:rsidRPr="000E63CD">
        <w:rPr>
          <w:sz w:val="22"/>
          <w:szCs w:val="22"/>
        </w:rPr>
        <w:t xml:space="preserve">las </w:t>
      </w:r>
      <w:r w:rsidR="00D536B6" w:rsidRPr="000E63CD">
        <w:rPr>
          <w:sz w:val="22"/>
          <w:szCs w:val="22"/>
        </w:rPr>
        <w:t>dos resoluciones</w:t>
      </w:r>
      <w:r w:rsidR="00726739" w:rsidRPr="000E63CD">
        <w:rPr>
          <w:sz w:val="22"/>
          <w:szCs w:val="22"/>
        </w:rPr>
        <w:t xml:space="preserve"> siguientes</w:t>
      </w:r>
      <w:r w:rsidR="00D536B6" w:rsidRPr="000E63CD">
        <w:rPr>
          <w:sz w:val="22"/>
          <w:szCs w:val="22"/>
        </w:rPr>
        <w:t xml:space="preserve">: </w:t>
      </w:r>
    </w:p>
    <w:p w14:paraId="1AF2C35D" w14:textId="77777777" w:rsidR="00726739" w:rsidRPr="000E63CD" w:rsidRDefault="00726739" w:rsidP="00812BCD">
      <w:pPr>
        <w:shd w:val="clear" w:color="auto" w:fill="FFFFFF" w:themeFill="background1"/>
        <w:rPr>
          <w:sz w:val="22"/>
          <w:szCs w:val="22"/>
        </w:rPr>
      </w:pPr>
    </w:p>
    <w:p w14:paraId="6B73CEC4" w14:textId="68F1E014" w:rsidR="00726739" w:rsidRPr="000E63CD" w:rsidRDefault="00D536B6" w:rsidP="00352218">
      <w:pPr>
        <w:pStyle w:val="Prrafodelista"/>
        <w:numPr>
          <w:ilvl w:val="0"/>
          <w:numId w:val="4"/>
        </w:numPr>
        <w:shd w:val="clear" w:color="auto" w:fill="FFFFFF" w:themeFill="background1"/>
        <w:ind w:left="720"/>
        <w:rPr>
          <w:sz w:val="22"/>
          <w:szCs w:val="22"/>
        </w:rPr>
      </w:pPr>
      <w:r w:rsidRPr="007942C7">
        <w:rPr>
          <w:sz w:val="22"/>
          <w:szCs w:val="22"/>
        </w:rPr>
        <w:t>La Resolución CREG 185 de 2020</w:t>
      </w:r>
      <w:r w:rsidR="00BF5D74" w:rsidRPr="007942C7">
        <w:rPr>
          <w:sz w:val="22"/>
          <w:szCs w:val="22"/>
        </w:rPr>
        <w:t xml:space="preserve">, </w:t>
      </w:r>
      <w:r w:rsidR="00727BCA" w:rsidRPr="007942C7">
        <w:rPr>
          <w:sz w:val="22"/>
          <w:szCs w:val="22"/>
        </w:rPr>
        <w:t>modificada por la Resolución CREG 126 de 2021,</w:t>
      </w:r>
      <w:r w:rsidR="00727BCA">
        <w:rPr>
          <w:sz w:val="22"/>
          <w:szCs w:val="22"/>
        </w:rPr>
        <w:t xml:space="preserve"> </w:t>
      </w:r>
      <w:r w:rsidR="001B46A9" w:rsidRPr="000E63CD">
        <w:rPr>
          <w:sz w:val="22"/>
          <w:szCs w:val="22"/>
        </w:rPr>
        <w:t xml:space="preserve">mediante la que </w:t>
      </w:r>
      <w:r w:rsidR="00812BCD" w:rsidRPr="000E63CD">
        <w:rPr>
          <w:sz w:val="22"/>
          <w:szCs w:val="22"/>
        </w:rPr>
        <w:t>se regulan aspectos comerciales del mercado mayorista de gas natural, como parte del reglamento de operación de gas natural, relacionados con la comercialización de capacidad de transporte de gas natural</w:t>
      </w:r>
      <w:r w:rsidR="001B46A9" w:rsidRPr="000E63CD">
        <w:rPr>
          <w:sz w:val="22"/>
          <w:szCs w:val="22"/>
        </w:rPr>
        <w:t xml:space="preserve"> y </w:t>
      </w:r>
      <w:r w:rsidR="00812BCD" w:rsidRPr="000E63CD">
        <w:rPr>
          <w:sz w:val="22"/>
          <w:szCs w:val="22"/>
        </w:rPr>
        <w:t xml:space="preserve">contiene el conjunto de disposiciones aplicables a las negociaciones de capacidad de transporte de gas natural que se realicen en el </w:t>
      </w:r>
      <w:r w:rsidR="00AC32B5">
        <w:rPr>
          <w:sz w:val="22"/>
          <w:szCs w:val="22"/>
        </w:rPr>
        <w:t>Mercado Primario</w:t>
      </w:r>
      <w:r w:rsidR="00812BCD" w:rsidRPr="000E63CD">
        <w:rPr>
          <w:sz w:val="22"/>
          <w:szCs w:val="22"/>
        </w:rPr>
        <w:t xml:space="preserve"> y en el </w:t>
      </w:r>
      <w:r w:rsidR="00AC32B5">
        <w:rPr>
          <w:sz w:val="22"/>
          <w:szCs w:val="22"/>
        </w:rPr>
        <w:t>Mercado Secundario</w:t>
      </w:r>
      <w:r w:rsidR="00812BCD" w:rsidRPr="000E63CD">
        <w:rPr>
          <w:sz w:val="22"/>
          <w:szCs w:val="22"/>
        </w:rPr>
        <w:t>.</w:t>
      </w:r>
      <w:r w:rsidR="00726739" w:rsidRPr="000E63CD">
        <w:rPr>
          <w:sz w:val="22"/>
          <w:szCs w:val="22"/>
        </w:rPr>
        <w:t xml:space="preserve"> </w:t>
      </w:r>
    </w:p>
    <w:p w14:paraId="5321E294" w14:textId="77777777" w:rsidR="00726739" w:rsidRPr="000E63CD" w:rsidRDefault="00726739" w:rsidP="00465565">
      <w:pPr>
        <w:pStyle w:val="Prrafodelista"/>
        <w:shd w:val="clear" w:color="auto" w:fill="FFFFFF" w:themeFill="background1"/>
        <w:ind w:left="720"/>
        <w:rPr>
          <w:sz w:val="22"/>
          <w:szCs w:val="22"/>
        </w:rPr>
      </w:pPr>
    </w:p>
    <w:p w14:paraId="772326FA" w14:textId="734B2C70" w:rsidR="008408A5" w:rsidRDefault="00726739" w:rsidP="00945271">
      <w:pPr>
        <w:shd w:val="clear" w:color="auto" w:fill="FFFFFF" w:themeFill="background1"/>
        <w:ind w:left="720"/>
        <w:rPr>
          <w:sz w:val="22"/>
          <w:szCs w:val="22"/>
        </w:rPr>
      </w:pPr>
      <w:r w:rsidRPr="000E63CD">
        <w:rPr>
          <w:sz w:val="22"/>
          <w:szCs w:val="22"/>
        </w:rPr>
        <w:t xml:space="preserve">Cabe anotar que en esta Resolución </w:t>
      </w:r>
      <w:r w:rsidR="00021482" w:rsidRPr="000E63CD">
        <w:rPr>
          <w:sz w:val="22"/>
          <w:szCs w:val="22"/>
        </w:rPr>
        <w:t>se introduj</w:t>
      </w:r>
      <w:r w:rsidR="001018E7" w:rsidRPr="000E63CD">
        <w:rPr>
          <w:sz w:val="22"/>
          <w:szCs w:val="22"/>
        </w:rPr>
        <w:t>eron</w:t>
      </w:r>
      <w:r w:rsidR="00251057" w:rsidRPr="000E63CD">
        <w:rPr>
          <w:sz w:val="22"/>
          <w:szCs w:val="22"/>
        </w:rPr>
        <w:t xml:space="preserve"> procedimiento</w:t>
      </w:r>
      <w:r w:rsidR="001018E7" w:rsidRPr="000E63CD">
        <w:rPr>
          <w:sz w:val="22"/>
          <w:szCs w:val="22"/>
        </w:rPr>
        <w:t>s</w:t>
      </w:r>
      <w:r w:rsidR="00251057" w:rsidRPr="000E63CD">
        <w:rPr>
          <w:sz w:val="22"/>
          <w:szCs w:val="22"/>
        </w:rPr>
        <w:t xml:space="preserve"> para comercializar la capacidad disponible primari</w:t>
      </w:r>
      <w:r w:rsidR="0081108F" w:rsidRPr="000E63CD">
        <w:rPr>
          <w:sz w:val="22"/>
          <w:szCs w:val="22"/>
        </w:rPr>
        <w:t>a</w:t>
      </w:r>
      <w:r w:rsidR="00251057" w:rsidRPr="000E63CD">
        <w:rPr>
          <w:sz w:val="22"/>
          <w:szCs w:val="22"/>
        </w:rPr>
        <w:t xml:space="preserve"> </w:t>
      </w:r>
      <w:r w:rsidR="001018E7" w:rsidRPr="000E63CD">
        <w:rPr>
          <w:sz w:val="22"/>
          <w:szCs w:val="22"/>
        </w:rPr>
        <w:t>asociada tanto a los transportadores incumbentes, como a los proyectos del Plan de Abastecimiento de Gas Natural,</w:t>
      </w:r>
      <w:r w:rsidR="00D81F83" w:rsidRPr="000E63CD">
        <w:rPr>
          <w:sz w:val="22"/>
          <w:szCs w:val="22"/>
        </w:rPr>
        <w:t xml:space="preserve"> que en la Resolución CREG 114 de 2017 no existía</w:t>
      </w:r>
      <w:r w:rsidR="001018E7" w:rsidRPr="000E63CD">
        <w:rPr>
          <w:sz w:val="22"/>
          <w:szCs w:val="22"/>
        </w:rPr>
        <w:t>n</w:t>
      </w:r>
      <w:r w:rsidR="0015045B" w:rsidRPr="000E63CD">
        <w:rPr>
          <w:sz w:val="22"/>
          <w:szCs w:val="22"/>
        </w:rPr>
        <w:t>.</w:t>
      </w:r>
      <w:r w:rsidR="00727BCA">
        <w:rPr>
          <w:sz w:val="22"/>
          <w:szCs w:val="22"/>
        </w:rPr>
        <w:t xml:space="preserve"> Asimismo, mediante la Resolución CREG 001 de 2021, </w:t>
      </w:r>
      <w:r w:rsidR="00945271" w:rsidRPr="00945271">
        <w:rPr>
          <w:sz w:val="22"/>
          <w:szCs w:val="22"/>
        </w:rPr>
        <w:t>se regul</w:t>
      </w:r>
      <w:r w:rsidR="00945271">
        <w:rPr>
          <w:sz w:val="22"/>
          <w:szCs w:val="22"/>
        </w:rPr>
        <w:t>ó</w:t>
      </w:r>
      <w:r w:rsidR="00945271" w:rsidRPr="00945271">
        <w:rPr>
          <w:sz w:val="22"/>
          <w:szCs w:val="22"/>
        </w:rPr>
        <w:t xml:space="preserve"> el mecanismo de asignación de la capacidad de transporte de gas natural cuando en el mercado primario se presente en un trimestre estándar congestión contractual, conforme a lo previsto en la Resolución CREG 185 de 2020</w:t>
      </w:r>
      <w:r w:rsidR="00945271">
        <w:rPr>
          <w:sz w:val="22"/>
          <w:szCs w:val="22"/>
        </w:rPr>
        <w:t>.</w:t>
      </w:r>
    </w:p>
    <w:p w14:paraId="1621E8F7" w14:textId="77777777" w:rsidR="00945271" w:rsidRPr="000E63CD" w:rsidRDefault="00945271" w:rsidP="00945271">
      <w:pPr>
        <w:shd w:val="clear" w:color="auto" w:fill="FFFFFF" w:themeFill="background1"/>
        <w:ind w:left="720"/>
        <w:rPr>
          <w:sz w:val="22"/>
          <w:szCs w:val="22"/>
        </w:rPr>
      </w:pPr>
    </w:p>
    <w:p w14:paraId="48EC9DFA" w14:textId="0066EC06" w:rsidR="00726739" w:rsidRPr="00771A16" w:rsidRDefault="006010A1" w:rsidP="00352218">
      <w:pPr>
        <w:pStyle w:val="Prrafodelista"/>
        <w:numPr>
          <w:ilvl w:val="0"/>
          <w:numId w:val="4"/>
        </w:numPr>
        <w:shd w:val="clear" w:color="auto" w:fill="FFFFFF" w:themeFill="background1"/>
        <w:ind w:left="720"/>
        <w:rPr>
          <w:sz w:val="22"/>
          <w:szCs w:val="22"/>
        </w:rPr>
      </w:pPr>
      <w:r w:rsidRPr="007942C7">
        <w:rPr>
          <w:sz w:val="22"/>
          <w:szCs w:val="22"/>
        </w:rPr>
        <w:t>La Resolución CREG 186 de 2020</w:t>
      </w:r>
      <w:r w:rsidR="004A6A68" w:rsidRPr="007942C7">
        <w:rPr>
          <w:sz w:val="22"/>
          <w:szCs w:val="22"/>
        </w:rPr>
        <w:t xml:space="preserve">, </w:t>
      </w:r>
      <w:r w:rsidR="007A2F6B" w:rsidRPr="007942C7">
        <w:rPr>
          <w:sz w:val="22"/>
          <w:szCs w:val="22"/>
        </w:rPr>
        <w:t>que</w:t>
      </w:r>
      <w:r w:rsidR="008408A5" w:rsidRPr="007942C7">
        <w:rPr>
          <w:sz w:val="22"/>
          <w:szCs w:val="22"/>
        </w:rPr>
        <w:t xml:space="preserve"> regula </w:t>
      </w:r>
      <w:r w:rsidR="007A2F6B" w:rsidRPr="007942C7">
        <w:rPr>
          <w:sz w:val="22"/>
          <w:szCs w:val="22"/>
        </w:rPr>
        <w:t xml:space="preserve">los </w:t>
      </w:r>
      <w:r w:rsidR="008408A5" w:rsidRPr="007942C7">
        <w:rPr>
          <w:sz w:val="22"/>
          <w:szCs w:val="22"/>
        </w:rPr>
        <w:t>aspectos comerciales del mercado</w:t>
      </w:r>
      <w:r w:rsidR="008408A5" w:rsidRPr="000E63CD">
        <w:rPr>
          <w:sz w:val="22"/>
          <w:szCs w:val="22"/>
        </w:rPr>
        <w:t xml:space="preserve"> mayorista de suministro de gas natural, como parte del reglamento de operación de gas natural y contiene el conjunto de disposiciones aplicables a las negociaciones del suministro de gas natural utilizado efectivamente como combustible que se realicen en el </w:t>
      </w:r>
      <w:r w:rsidR="00AC32B5">
        <w:rPr>
          <w:sz w:val="22"/>
          <w:szCs w:val="22"/>
        </w:rPr>
        <w:t>Mercado Primario</w:t>
      </w:r>
      <w:r w:rsidR="008408A5" w:rsidRPr="000E63CD">
        <w:rPr>
          <w:sz w:val="22"/>
          <w:szCs w:val="22"/>
        </w:rPr>
        <w:t xml:space="preserve"> y en el </w:t>
      </w:r>
      <w:r w:rsidR="00AC32B5">
        <w:rPr>
          <w:sz w:val="22"/>
          <w:szCs w:val="22"/>
        </w:rPr>
        <w:t>Mercado Secundario</w:t>
      </w:r>
      <w:r w:rsidR="008408A5" w:rsidRPr="000E63CD">
        <w:rPr>
          <w:sz w:val="22"/>
          <w:szCs w:val="22"/>
        </w:rPr>
        <w:t>. Es necesario tener en cuenta que esta Resolución</w:t>
      </w:r>
      <w:r w:rsidR="00F94202">
        <w:rPr>
          <w:sz w:val="22"/>
          <w:szCs w:val="22"/>
        </w:rPr>
        <w:t xml:space="preserve"> CREG 186 de 2020</w:t>
      </w:r>
      <w:r w:rsidR="008408A5" w:rsidRPr="000E63CD">
        <w:rPr>
          <w:sz w:val="22"/>
          <w:szCs w:val="22"/>
        </w:rPr>
        <w:t xml:space="preserve"> </w:t>
      </w:r>
      <w:r w:rsidR="00F546BC">
        <w:rPr>
          <w:sz w:val="22"/>
          <w:szCs w:val="22"/>
        </w:rPr>
        <w:t>es compilatoria de</w:t>
      </w:r>
      <w:r w:rsidR="008408A5" w:rsidRPr="00771A16">
        <w:rPr>
          <w:sz w:val="22"/>
          <w:szCs w:val="22"/>
        </w:rPr>
        <w:t xml:space="preserve"> la Resolución CREG 1</w:t>
      </w:r>
      <w:r w:rsidR="00ED4D23" w:rsidRPr="00771A16">
        <w:rPr>
          <w:sz w:val="22"/>
          <w:szCs w:val="22"/>
        </w:rPr>
        <w:t>1</w:t>
      </w:r>
      <w:r w:rsidR="008408A5" w:rsidRPr="00771A16">
        <w:rPr>
          <w:sz w:val="22"/>
          <w:szCs w:val="22"/>
        </w:rPr>
        <w:t xml:space="preserve">4 de 2017, modificada por la </w:t>
      </w:r>
      <w:r w:rsidR="00A854CB">
        <w:rPr>
          <w:sz w:val="22"/>
          <w:szCs w:val="22"/>
        </w:rPr>
        <w:t>R</w:t>
      </w:r>
      <w:r w:rsidR="008408A5" w:rsidRPr="00771A16">
        <w:rPr>
          <w:sz w:val="22"/>
          <w:szCs w:val="22"/>
        </w:rPr>
        <w:t>esolución CREG 021 de 2019</w:t>
      </w:r>
      <w:r w:rsidR="003E2E4B">
        <w:rPr>
          <w:sz w:val="22"/>
          <w:szCs w:val="22"/>
        </w:rPr>
        <w:t>,</w:t>
      </w:r>
      <w:r w:rsidR="00041712">
        <w:rPr>
          <w:sz w:val="22"/>
          <w:szCs w:val="22"/>
        </w:rPr>
        <w:t xml:space="preserve"> </w:t>
      </w:r>
      <w:r w:rsidR="00F546BC">
        <w:rPr>
          <w:sz w:val="22"/>
          <w:szCs w:val="22"/>
        </w:rPr>
        <w:t>excluyendo</w:t>
      </w:r>
      <w:r w:rsidR="00ED4D23" w:rsidRPr="00771A16">
        <w:rPr>
          <w:sz w:val="22"/>
          <w:szCs w:val="22"/>
        </w:rPr>
        <w:t xml:space="preserve"> los aspectos de capacidad de transporte, que como se menci</w:t>
      </w:r>
      <w:r w:rsidR="00782A6C" w:rsidRPr="00771A16">
        <w:rPr>
          <w:sz w:val="22"/>
          <w:szCs w:val="22"/>
        </w:rPr>
        <w:t>onó</w:t>
      </w:r>
      <w:r w:rsidR="00ED4D23" w:rsidRPr="00771A16">
        <w:rPr>
          <w:sz w:val="22"/>
          <w:szCs w:val="22"/>
        </w:rPr>
        <w:t xml:space="preserve"> anteriormente, quedaron establecidos en la Resolución CREG 185 de 2020</w:t>
      </w:r>
      <w:r w:rsidR="00945271" w:rsidRPr="00771A16">
        <w:rPr>
          <w:sz w:val="22"/>
          <w:szCs w:val="22"/>
        </w:rPr>
        <w:t>, modificada por la Resolución CREG 126 de 2021</w:t>
      </w:r>
      <w:r w:rsidR="00ED4D23" w:rsidRPr="00771A16">
        <w:rPr>
          <w:sz w:val="22"/>
          <w:szCs w:val="22"/>
        </w:rPr>
        <w:t>.</w:t>
      </w:r>
    </w:p>
    <w:p w14:paraId="7F3B4ED5" w14:textId="77777777" w:rsidR="00DF6157" w:rsidRPr="00771A16" w:rsidRDefault="00DF6157" w:rsidP="00DF6157">
      <w:pPr>
        <w:pStyle w:val="Prrafodelista"/>
        <w:shd w:val="clear" w:color="auto" w:fill="FFFFFF" w:themeFill="background1"/>
        <w:ind w:left="720"/>
        <w:rPr>
          <w:sz w:val="22"/>
          <w:szCs w:val="22"/>
        </w:rPr>
      </w:pPr>
    </w:p>
    <w:p w14:paraId="00D17B80" w14:textId="760BAAC5" w:rsidR="00812BCD" w:rsidRPr="00771A16" w:rsidRDefault="00812BCD" w:rsidP="00812BCD">
      <w:pPr>
        <w:shd w:val="clear" w:color="auto" w:fill="FFFFFF" w:themeFill="background1"/>
        <w:rPr>
          <w:sz w:val="22"/>
          <w:szCs w:val="22"/>
        </w:rPr>
      </w:pPr>
    </w:p>
    <w:p w14:paraId="776B0A92" w14:textId="77777777" w:rsidR="007817E6" w:rsidRPr="00771A16" w:rsidRDefault="007817E6" w:rsidP="007817E6">
      <w:pPr>
        <w:pStyle w:val="Prrafodelista"/>
        <w:keepNext/>
        <w:numPr>
          <w:ilvl w:val="0"/>
          <w:numId w:val="1"/>
        </w:numPr>
        <w:suppressAutoHyphens/>
        <w:spacing w:after="240"/>
        <w:outlineLvl w:val="0"/>
        <w:rPr>
          <w:b/>
          <w:vanish/>
          <w:sz w:val="22"/>
          <w:szCs w:val="22"/>
        </w:rPr>
      </w:pPr>
      <w:bookmarkStart w:id="5" w:name="_Toc97817412"/>
      <w:bookmarkStart w:id="6" w:name="_Toc97817459"/>
      <w:bookmarkStart w:id="7" w:name="_Toc97817513"/>
      <w:bookmarkStart w:id="8" w:name="_Toc97884156"/>
      <w:bookmarkStart w:id="9" w:name="_Toc97884202"/>
      <w:bookmarkStart w:id="10" w:name="_Toc97884249"/>
      <w:bookmarkStart w:id="11" w:name="_Toc97884294"/>
      <w:bookmarkStart w:id="12" w:name="_Toc99556338"/>
      <w:bookmarkStart w:id="13" w:name="_Toc99574066"/>
      <w:bookmarkStart w:id="14" w:name="_Toc126922333"/>
      <w:bookmarkStart w:id="15" w:name="_Toc126933395"/>
      <w:bookmarkStart w:id="16" w:name="_Toc126937553"/>
      <w:bookmarkStart w:id="17" w:name="_Toc127175011"/>
      <w:bookmarkStart w:id="18" w:name="_Toc127181231"/>
      <w:bookmarkStart w:id="19" w:name="_Toc128727006"/>
      <w:bookmarkStart w:id="20" w:name="_Toc128727068"/>
      <w:bookmarkStart w:id="21" w:name="_Toc128992824"/>
      <w:bookmarkStart w:id="22" w:name="_Toc128994648"/>
      <w:bookmarkStart w:id="23" w:name="_Toc129000622"/>
      <w:bookmarkStart w:id="24" w:name="_Toc129000843"/>
      <w:bookmarkStart w:id="25" w:name="_Toc129006149"/>
      <w:bookmarkStart w:id="26" w:name="_Toc129008502"/>
      <w:bookmarkStart w:id="27" w:name="_Toc129010991"/>
      <w:bookmarkStart w:id="28" w:name="_Toc129011323"/>
      <w:bookmarkStart w:id="29" w:name="_Toc129069991"/>
      <w:bookmarkStart w:id="30" w:name="_Toc129075625"/>
      <w:bookmarkStart w:id="31" w:name="_Toc129076948"/>
      <w:bookmarkStart w:id="32" w:name="_Toc129080740"/>
      <w:bookmarkStart w:id="33" w:name="_Toc129081345"/>
      <w:bookmarkStart w:id="34" w:name="_Toc129081765"/>
      <w:bookmarkStart w:id="35" w:name="_Toc129935830"/>
      <w:bookmarkStart w:id="36" w:name="_Toc130364023"/>
      <w:bookmarkStart w:id="37" w:name="_Toc130721583"/>
      <w:bookmarkStart w:id="38" w:name="_Toc130721993"/>
      <w:bookmarkStart w:id="39" w:name="_Toc130972445"/>
      <w:bookmarkStart w:id="40" w:name="_Toc132030862"/>
      <w:bookmarkStart w:id="41" w:name="_Toc132193062"/>
      <w:bookmarkStart w:id="42" w:name="_Toc132261403"/>
      <w:bookmarkStart w:id="43" w:name="_Toc132606493"/>
      <w:bookmarkStart w:id="44" w:name="_Toc132623582"/>
      <w:bookmarkStart w:id="45" w:name="_Toc132720883"/>
      <w:bookmarkStart w:id="46" w:name="_Toc133392884"/>
      <w:bookmarkStart w:id="47" w:name="_Toc133488101"/>
      <w:bookmarkStart w:id="48" w:name="_Toc135829719"/>
      <w:bookmarkStart w:id="49" w:name="_Toc135901957"/>
      <w:bookmarkStart w:id="50" w:name="_Toc14050618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A86B02B" w14:textId="66236874" w:rsidR="00DF6157" w:rsidRPr="00236B13" w:rsidRDefault="00DF6157">
      <w:pPr>
        <w:pStyle w:val="Ttulo1"/>
        <w:numPr>
          <w:ilvl w:val="0"/>
          <w:numId w:val="33"/>
        </w:numPr>
        <w:rPr>
          <w:sz w:val="22"/>
          <w:szCs w:val="22"/>
        </w:rPr>
      </w:pPr>
      <w:bookmarkStart w:id="51" w:name="_Toc140506185"/>
      <w:r w:rsidRPr="00236B13">
        <w:rPr>
          <w:sz w:val="22"/>
          <w:szCs w:val="22"/>
        </w:rPr>
        <w:t>DEFINICIÓN DEL PROBLEMA</w:t>
      </w:r>
      <w:bookmarkEnd w:id="51"/>
    </w:p>
    <w:p w14:paraId="7D776C5A" w14:textId="4F522974" w:rsidR="00DF6157" w:rsidRPr="00771A16" w:rsidRDefault="00DF6157" w:rsidP="007817E6">
      <w:pPr>
        <w:rPr>
          <w:b/>
          <w:bCs/>
          <w:sz w:val="22"/>
          <w:szCs w:val="22"/>
        </w:rPr>
      </w:pPr>
      <w:r w:rsidRPr="00771A16">
        <w:rPr>
          <w:sz w:val="22"/>
          <w:szCs w:val="22"/>
        </w:rPr>
        <w:t xml:space="preserve">Se han </w:t>
      </w:r>
      <w:r w:rsidR="00F33CE4">
        <w:rPr>
          <w:sz w:val="22"/>
          <w:szCs w:val="22"/>
        </w:rPr>
        <w:t>identificado</w:t>
      </w:r>
      <w:r w:rsidR="00F33CE4" w:rsidRPr="00771A16">
        <w:rPr>
          <w:sz w:val="22"/>
          <w:szCs w:val="22"/>
        </w:rPr>
        <w:t xml:space="preserve"> </w:t>
      </w:r>
      <w:r w:rsidR="007817E6" w:rsidRPr="00771A16">
        <w:rPr>
          <w:sz w:val="22"/>
          <w:szCs w:val="22"/>
        </w:rPr>
        <w:t xml:space="preserve">los siguientes problemas como resultado de los análisis </w:t>
      </w:r>
      <w:r w:rsidR="006F2174" w:rsidRPr="00771A16">
        <w:rPr>
          <w:sz w:val="22"/>
          <w:szCs w:val="22"/>
        </w:rPr>
        <w:t xml:space="preserve">y mecanismos de participación </w:t>
      </w:r>
      <w:r w:rsidR="007817E6" w:rsidRPr="00771A16">
        <w:rPr>
          <w:sz w:val="22"/>
          <w:szCs w:val="22"/>
        </w:rPr>
        <w:t xml:space="preserve">realizados </w:t>
      </w:r>
      <w:r w:rsidR="006F2174" w:rsidRPr="00771A16">
        <w:rPr>
          <w:sz w:val="22"/>
          <w:szCs w:val="22"/>
        </w:rPr>
        <w:t>sobre e</w:t>
      </w:r>
      <w:r w:rsidR="007817E6" w:rsidRPr="00771A16">
        <w:rPr>
          <w:sz w:val="22"/>
          <w:szCs w:val="22"/>
        </w:rPr>
        <w:t xml:space="preserve">l funcionamiento actual del mercado mayorista de suministro de gas natural, que </w:t>
      </w:r>
      <w:r w:rsidR="006F2174" w:rsidRPr="00771A16">
        <w:rPr>
          <w:sz w:val="22"/>
          <w:szCs w:val="22"/>
        </w:rPr>
        <w:t>se diferencian con base en las causas principales que los originan</w:t>
      </w:r>
      <w:r w:rsidR="007817E6" w:rsidRPr="00771A16">
        <w:rPr>
          <w:sz w:val="22"/>
          <w:szCs w:val="22"/>
        </w:rPr>
        <w:t>:</w:t>
      </w:r>
    </w:p>
    <w:p w14:paraId="24AA763C" w14:textId="77777777" w:rsidR="00DF6157" w:rsidRPr="00771A16" w:rsidRDefault="00DF6157" w:rsidP="00796ED7">
      <w:pPr>
        <w:shd w:val="clear" w:color="auto" w:fill="FFFFFF" w:themeFill="background1"/>
        <w:rPr>
          <w:b/>
          <w:bCs/>
          <w:sz w:val="22"/>
          <w:szCs w:val="22"/>
        </w:rPr>
      </w:pPr>
    </w:p>
    <w:p w14:paraId="127A5B5D" w14:textId="2B971745" w:rsidR="00641D49" w:rsidRPr="00771A16" w:rsidRDefault="007817E6" w:rsidP="004D7395">
      <w:pPr>
        <w:pStyle w:val="Ttulo2"/>
        <w:rPr>
          <w:sz w:val="22"/>
          <w:szCs w:val="22"/>
        </w:rPr>
      </w:pPr>
      <w:bookmarkStart w:id="52" w:name="_Toc140506186"/>
      <w:r w:rsidRPr="00771A16">
        <w:rPr>
          <w:sz w:val="22"/>
          <w:szCs w:val="22"/>
        </w:rPr>
        <w:t>Problemática identificada en el documento CREG</w:t>
      </w:r>
      <w:r w:rsidR="006F2174" w:rsidRPr="00771A16">
        <w:rPr>
          <w:sz w:val="22"/>
          <w:szCs w:val="22"/>
        </w:rPr>
        <w:t>-</w:t>
      </w:r>
      <w:r w:rsidRPr="00771A16">
        <w:rPr>
          <w:sz w:val="22"/>
          <w:szCs w:val="22"/>
        </w:rPr>
        <w:t>049 de 2021</w:t>
      </w:r>
      <w:bookmarkEnd w:id="52"/>
    </w:p>
    <w:p w14:paraId="325C9744" w14:textId="07795DFA" w:rsidR="00427776" w:rsidRPr="00771A16" w:rsidRDefault="00EF6CA6" w:rsidP="006C2940">
      <w:pPr>
        <w:rPr>
          <w:sz w:val="22"/>
          <w:szCs w:val="22"/>
        </w:rPr>
      </w:pPr>
      <w:r w:rsidRPr="00771A16">
        <w:rPr>
          <w:sz w:val="22"/>
          <w:szCs w:val="22"/>
        </w:rPr>
        <w:t>Mediante el documento CREG</w:t>
      </w:r>
      <w:r w:rsidR="006F2174" w:rsidRPr="00771A16">
        <w:rPr>
          <w:sz w:val="22"/>
          <w:szCs w:val="22"/>
        </w:rPr>
        <w:t>-</w:t>
      </w:r>
      <w:r w:rsidRPr="00771A16">
        <w:rPr>
          <w:sz w:val="22"/>
          <w:szCs w:val="22"/>
        </w:rPr>
        <w:t>049</w:t>
      </w:r>
      <w:r w:rsidR="006F2174" w:rsidRPr="00771A16">
        <w:rPr>
          <w:sz w:val="22"/>
          <w:szCs w:val="22"/>
        </w:rPr>
        <w:t xml:space="preserve"> de </w:t>
      </w:r>
      <w:r w:rsidRPr="00771A16">
        <w:rPr>
          <w:sz w:val="22"/>
          <w:szCs w:val="22"/>
        </w:rPr>
        <w:t>2021</w:t>
      </w:r>
      <w:r w:rsidR="006F2174" w:rsidRPr="00771A16">
        <w:rPr>
          <w:sz w:val="22"/>
          <w:szCs w:val="22"/>
        </w:rPr>
        <w:t>,</w:t>
      </w:r>
      <w:r w:rsidRPr="00771A16">
        <w:rPr>
          <w:sz w:val="22"/>
          <w:szCs w:val="22"/>
        </w:rPr>
        <w:t xml:space="preserve"> </w:t>
      </w:r>
      <w:r w:rsidR="006275C7" w:rsidRPr="00771A16">
        <w:rPr>
          <w:sz w:val="22"/>
          <w:szCs w:val="22"/>
        </w:rPr>
        <w:t>publicado con la circular CREG 031 de mayo de 2021</w:t>
      </w:r>
      <w:r w:rsidR="001F385F" w:rsidRPr="00771A16">
        <w:rPr>
          <w:sz w:val="22"/>
          <w:szCs w:val="22"/>
        </w:rPr>
        <w:t xml:space="preserve"> para conocimiento de los agentes, entidades de vigilancia y control y de los usuarios en general</w:t>
      </w:r>
      <w:r w:rsidR="006275C7" w:rsidRPr="00771A16">
        <w:rPr>
          <w:sz w:val="22"/>
          <w:szCs w:val="22"/>
        </w:rPr>
        <w:t xml:space="preserve">, </w:t>
      </w:r>
      <w:r w:rsidRPr="00771A16">
        <w:rPr>
          <w:sz w:val="22"/>
          <w:szCs w:val="22"/>
        </w:rPr>
        <w:t xml:space="preserve">se </w:t>
      </w:r>
      <w:r w:rsidR="007C29CC" w:rsidRPr="00771A16">
        <w:rPr>
          <w:sz w:val="22"/>
          <w:szCs w:val="22"/>
        </w:rPr>
        <w:t>present</w:t>
      </w:r>
      <w:r w:rsidR="001F385F" w:rsidRPr="00771A16">
        <w:rPr>
          <w:sz w:val="22"/>
          <w:szCs w:val="22"/>
        </w:rPr>
        <w:t>ó</w:t>
      </w:r>
      <w:r w:rsidRPr="00771A16">
        <w:rPr>
          <w:sz w:val="22"/>
          <w:szCs w:val="22"/>
        </w:rPr>
        <w:t xml:space="preserve"> un </w:t>
      </w:r>
      <w:r w:rsidR="006275C7" w:rsidRPr="00771A16">
        <w:rPr>
          <w:sz w:val="22"/>
          <w:szCs w:val="22"/>
        </w:rPr>
        <w:t xml:space="preserve">análisis detallado </w:t>
      </w:r>
      <w:r w:rsidR="00617C00" w:rsidRPr="00771A16">
        <w:rPr>
          <w:sz w:val="22"/>
          <w:szCs w:val="22"/>
        </w:rPr>
        <w:t xml:space="preserve">y </w:t>
      </w:r>
      <w:r w:rsidR="006A00A0" w:rsidRPr="00771A16">
        <w:rPr>
          <w:sz w:val="22"/>
          <w:szCs w:val="22"/>
        </w:rPr>
        <w:t xml:space="preserve">de </w:t>
      </w:r>
      <w:r w:rsidR="00617C00" w:rsidRPr="00771A16">
        <w:rPr>
          <w:sz w:val="22"/>
          <w:szCs w:val="22"/>
        </w:rPr>
        <w:t xml:space="preserve">perspectivas de mejora </w:t>
      </w:r>
      <w:r w:rsidR="006275C7" w:rsidRPr="00771A16">
        <w:rPr>
          <w:sz w:val="22"/>
          <w:szCs w:val="22"/>
        </w:rPr>
        <w:t>de la comercialización mayorista de gas natural desde la expedición de la Resolución CREG 089 de 2013 a la fecha</w:t>
      </w:r>
      <w:r w:rsidR="006F2174" w:rsidRPr="00771A16">
        <w:rPr>
          <w:sz w:val="22"/>
          <w:szCs w:val="22"/>
        </w:rPr>
        <w:t xml:space="preserve"> de su publicación</w:t>
      </w:r>
      <w:r w:rsidR="006275C7" w:rsidRPr="00771A16">
        <w:rPr>
          <w:sz w:val="22"/>
          <w:szCs w:val="22"/>
        </w:rPr>
        <w:t xml:space="preserve">. Dicho documento no solo desarrolla </w:t>
      </w:r>
      <w:r w:rsidR="001F385F" w:rsidRPr="00771A16">
        <w:rPr>
          <w:sz w:val="22"/>
          <w:szCs w:val="22"/>
        </w:rPr>
        <w:t>u</w:t>
      </w:r>
      <w:r w:rsidR="006275C7" w:rsidRPr="00771A16">
        <w:rPr>
          <w:sz w:val="22"/>
          <w:szCs w:val="22"/>
        </w:rPr>
        <w:t>n análisis del funcionamiento del mercado mayorista</w:t>
      </w:r>
      <w:r w:rsidR="001F385F" w:rsidRPr="00771A16">
        <w:rPr>
          <w:sz w:val="22"/>
          <w:szCs w:val="22"/>
        </w:rPr>
        <w:t xml:space="preserve">, su evolución detallada y conclusiones de la problemática observada en el mercado mayorista, </w:t>
      </w:r>
      <w:r w:rsidR="00AE1BAE" w:rsidRPr="00771A16">
        <w:rPr>
          <w:sz w:val="22"/>
          <w:szCs w:val="22"/>
        </w:rPr>
        <w:t>s</w:t>
      </w:r>
      <w:r w:rsidR="006C0AB0" w:rsidRPr="00771A16">
        <w:rPr>
          <w:sz w:val="22"/>
          <w:szCs w:val="22"/>
        </w:rPr>
        <w:t xml:space="preserve">ino que </w:t>
      </w:r>
      <w:r w:rsidR="00427776" w:rsidRPr="00771A16">
        <w:rPr>
          <w:sz w:val="22"/>
          <w:szCs w:val="22"/>
        </w:rPr>
        <w:t xml:space="preserve">presenta posibles acciones de mejora regulatoria tendientes a  </w:t>
      </w:r>
      <w:r w:rsidR="00B05157" w:rsidRPr="00771A16">
        <w:rPr>
          <w:sz w:val="22"/>
          <w:szCs w:val="22"/>
        </w:rPr>
        <w:t>promover una mayor</w:t>
      </w:r>
      <w:r w:rsidR="00427776" w:rsidRPr="00771A16">
        <w:rPr>
          <w:sz w:val="22"/>
          <w:szCs w:val="22"/>
        </w:rPr>
        <w:t xml:space="preserve"> eficacia de los mecanismos de comercialización y de las modalidades contractuales que son utilizados en el Mercado Mayorista de gas natural en Colombia, tanto para el gas producido localmente como para el gas importado</w:t>
      </w:r>
      <w:r w:rsidR="00B05157" w:rsidRPr="00771A16">
        <w:rPr>
          <w:sz w:val="22"/>
          <w:szCs w:val="22"/>
        </w:rPr>
        <w:t xml:space="preserve"> que se comercializa</w:t>
      </w:r>
      <w:r w:rsidR="00BC3827">
        <w:rPr>
          <w:sz w:val="22"/>
          <w:szCs w:val="22"/>
        </w:rPr>
        <w:t>. Se incluyó también en dicho documento</w:t>
      </w:r>
      <w:r w:rsidR="00427776" w:rsidRPr="00771A16">
        <w:rPr>
          <w:sz w:val="22"/>
          <w:szCs w:val="22"/>
        </w:rPr>
        <w:t xml:space="preserve"> un plan de trabajo, todo con el fin de obtener retroalimentación a través de los comentarios, sugerencias y observaciones de las empresas comercializadoras, de los usuarios, de las autoridades y demás interesados en el citado mercado.</w:t>
      </w:r>
    </w:p>
    <w:p w14:paraId="5DDCB98A" w14:textId="77777777" w:rsidR="00427776" w:rsidRPr="00771A16" w:rsidRDefault="00427776" w:rsidP="00D606C4">
      <w:pPr>
        <w:shd w:val="clear" w:color="auto" w:fill="FFFFFF" w:themeFill="background1"/>
        <w:rPr>
          <w:sz w:val="22"/>
          <w:szCs w:val="22"/>
          <w:lang w:val="es-CO"/>
        </w:rPr>
      </w:pPr>
    </w:p>
    <w:p w14:paraId="0ACFE26F" w14:textId="56CFC5E5" w:rsidR="008412D0" w:rsidRDefault="008412D0" w:rsidP="008412D0">
      <w:pPr>
        <w:rPr>
          <w:sz w:val="22"/>
          <w:szCs w:val="22"/>
        </w:rPr>
      </w:pPr>
      <w:r w:rsidRPr="00771A16">
        <w:rPr>
          <w:sz w:val="22"/>
          <w:szCs w:val="22"/>
        </w:rPr>
        <w:t>En el Capítulo IV del documento CREG 049-2021 “</w:t>
      </w:r>
      <w:r w:rsidRPr="00771A16">
        <w:rPr>
          <w:i/>
          <w:iCs/>
          <w:sz w:val="22"/>
          <w:szCs w:val="22"/>
        </w:rPr>
        <w:t>RESUMEN DE LA PROBLEMÁTICA</w:t>
      </w:r>
      <w:r w:rsidRPr="00771A16">
        <w:rPr>
          <w:sz w:val="22"/>
          <w:szCs w:val="22"/>
        </w:rPr>
        <w:t>” se concretan las problemáticas identificadas en 19 puntos, los cuales se clasificaron en temas del: (i) Mercado Primario, (</w:t>
      </w:r>
      <w:proofErr w:type="spellStart"/>
      <w:r w:rsidRPr="00771A16">
        <w:rPr>
          <w:sz w:val="22"/>
          <w:szCs w:val="22"/>
        </w:rPr>
        <w:t>ii</w:t>
      </w:r>
      <w:proofErr w:type="spellEnd"/>
      <w:r w:rsidRPr="00771A16">
        <w:rPr>
          <w:sz w:val="22"/>
          <w:szCs w:val="22"/>
        </w:rPr>
        <w:t>) transporte de gas, (</w:t>
      </w:r>
      <w:proofErr w:type="spellStart"/>
      <w:r w:rsidRPr="00771A16">
        <w:rPr>
          <w:sz w:val="22"/>
          <w:szCs w:val="22"/>
        </w:rPr>
        <w:t>iii</w:t>
      </w:r>
      <w:proofErr w:type="spellEnd"/>
      <w:r w:rsidRPr="00771A16">
        <w:rPr>
          <w:sz w:val="22"/>
          <w:szCs w:val="22"/>
        </w:rPr>
        <w:t>) Mercado Secundario y (</w:t>
      </w:r>
      <w:proofErr w:type="spellStart"/>
      <w:r w:rsidRPr="00771A16">
        <w:rPr>
          <w:sz w:val="22"/>
          <w:szCs w:val="22"/>
        </w:rPr>
        <w:t>iv</w:t>
      </w:r>
      <w:proofErr w:type="spellEnd"/>
      <w:r w:rsidRPr="00771A16">
        <w:rPr>
          <w:sz w:val="22"/>
          <w:szCs w:val="22"/>
        </w:rPr>
        <w:t>) temas transversales, operativos y otros. La siguiente</w:t>
      </w:r>
      <w:r w:rsidR="00B35E7C">
        <w:rPr>
          <w:sz w:val="22"/>
          <w:szCs w:val="22"/>
        </w:rPr>
        <w:t xml:space="preserve"> </w:t>
      </w:r>
      <w:r w:rsidR="001504B5">
        <w:rPr>
          <w:sz w:val="22"/>
          <w:szCs w:val="22"/>
        </w:rPr>
        <w:fldChar w:fldCharType="begin"/>
      </w:r>
      <w:r w:rsidR="001504B5">
        <w:rPr>
          <w:sz w:val="22"/>
          <w:szCs w:val="22"/>
        </w:rPr>
        <w:instrText xml:space="preserve"> REF _Ref129433575 \h </w:instrText>
      </w:r>
      <w:r w:rsidR="001504B5">
        <w:rPr>
          <w:sz w:val="22"/>
          <w:szCs w:val="22"/>
        </w:rPr>
      </w:r>
      <w:r w:rsidR="001504B5">
        <w:rPr>
          <w:sz w:val="22"/>
          <w:szCs w:val="22"/>
        </w:rPr>
        <w:fldChar w:fldCharType="separate"/>
      </w:r>
      <w:r w:rsidR="006B7344" w:rsidRPr="001504B5">
        <w:rPr>
          <w:sz w:val="22"/>
          <w:szCs w:val="22"/>
        </w:rPr>
        <w:t xml:space="preserve">Figura </w:t>
      </w:r>
      <w:r w:rsidR="006B7344">
        <w:rPr>
          <w:i/>
          <w:iCs/>
          <w:noProof/>
          <w:sz w:val="22"/>
          <w:szCs w:val="22"/>
        </w:rPr>
        <w:t>1</w:t>
      </w:r>
      <w:r w:rsidR="001504B5">
        <w:rPr>
          <w:sz w:val="22"/>
          <w:szCs w:val="22"/>
        </w:rPr>
        <w:fldChar w:fldCharType="end"/>
      </w:r>
      <w:r w:rsidR="00154D5E">
        <w:rPr>
          <w:sz w:val="22"/>
          <w:szCs w:val="22"/>
        </w:rPr>
        <w:t xml:space="preserve">, </w:t>
      </w:r>
      <w:r w:rsidRPr="00771A16">
        <w:rPr>
          <w:sz w:val="22"/>
          <w:szCs w:val="22"/>
        </w:rPr>
        <w:t xml:space="preserve">tomada del documento en mención, presenta el resumen de la problemática definida en la comercialización mayorista de gas: </w:t>
      </w:r>
    </w:p>
    <w:p w14:paraId="5EF97FE6" w14:textId="24AC76F1" w:rsidR="00326EB2" w:rsidRDefault="00326EB2" w:rsidP="008412D0">
      <w:pPr>
        <w:rPr>
          <w:sz w:val="22"/>
          <w:szCs w:val="22"/>
        </w:rPr>
      </w:pPr>
    </w:p>
    <w:p w14:paraId="642E81EE" w14:textId="77777777" w:rsidR="008412D0" w:rsidRPr="00771A16" w:rsidRDefault="008412D0" w:rsidP="008412D0">
      <w:pPr>
        <w:rPr>
          <w:sz w:val="22"/>
          <w:szCs w:val="22"/>
        </w:rPr>
      </w:pPr>
    </w:p>
    <w:p w14:paraId="71C2397F" w14:textId="48BF3D0E" w:rsidR="001504B5" w:rsidRPr="00B35E7C" w:rsidRDefault="001504B5" w:rsidP="001504B5">
      <w:pPr>
        <w:pStyle w:val="Descripcin"/>
        <w:keepNext/>
        <w:jc w:val="center"/>
        <w:rPr>
          <w:i w:val="0"/>
          <w:iCs w:val="0"/>
          <w:sz w:val="22"/>
          <w:szCs w:val="22"/>
        </w:rPr>
      </w:pPr>
      <w:bookmarkStart w:id="53" w:name="_Ref129433575"/>
      <w:bookmarkStart w:id="54" w:name="_Toc140506594"/>
      <w:r w:rsidRPr="001504B5">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w:t>
      </w:r>
      <w:r w:rsidR="006B6B6C">
        <w:rPr>
          <w:i w:val="0"/>
          <w:iCs w:val="0"/>
          <w:sz w:val="22"/>
          <w:szCs w:val="22"/>
        </w:rPr>
        <w:fldChar w:fldCharType="end"/>
      </w:r>
      <w:bookmarkEnd w:id="53"/>
      <w:r w:rsidRPr="001504B5">
        <w:rPr>
          <w:i w:val="0"/>
          <w:iCs w:val="0"/>
          <w:sz w:val="22"/>
          <w:szCs w:val="22"/>
        </w:rPr>
        <w:t xml:space="preserve"> </w:t>
      </w:r>
      <w:r w:rsidRPr="00B35E7C">
        <w:rPr>
          <w:i w:val="0"/>
          <w:iCs w:val="0"/>
          <w:sz w:val="22"/>
          <w:szCs w:val="22"/>
        </w:rPr>
        <w:t>Resumen de la problemática en documento CREG 049/2021</w:t>
      </w:r>
      <w:bookmarkEnd w:id="54"/>
    </w:p>
    <w:p w14:paraId="673B7DD8" w14:textId="77777777" w:rsidR="008412D0" w:rsidRPr="00771A16" w:rsidRDefault="008412D0" w:rsidP="008412D0">
      <w:pPr>
        <w:jc w:val="center"/>
        <w:rPr>
          <w:sz w:val="22"/>
          <w:szCs w:val="22"/>
        </w:rPr>
      </w:pPr>
      <w:r w:rsidRPr="00771A16">
        <w:rPr>
          <w:noProof/>
          <w:sz w:val="22"/>
          <w:szCs w:val="22"/>
        </w:rPr>
        <w:drawing>
          <wp:inline distT="0" distB="0" distL="0" distR="0" wp14:anchorId="7564A781" wp14:editId="317B00F7">
            <wp:extent cx="5935672" cy="3176617"/>
            <wp:effectExtent l="0" t="0" r="825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6313" cy="3182312"/>
                    </a:xfrm>
                    <a:prstGeom prst="rect">
                      <a:avLst/>
                    </a:prstGeom>
                    <a:noFill/>
                    <a:ln>
                      <a:noFill/>
                    </a:ln>
                  </pic:spPr>
                </pic:pic>
              </a:graphicData>
            </a:graphic>
          </wp:inline>
        </w:drawing>
      </w:r>
    </w:p>
    <w:p w14:paraId="535CAF9B" w14:textId="77777777" w:rsidR="00525B9F" w:rsidRPr="00771A16" w:rsidRDefault="00525B9F" w:rsidP="006C2940">
      <w:pPr>
        <w:rPr>
          <w:sz w:val="22"/>
          <w:szCs w:val="22"/>
        </w:rPr>
      </w:pPr>
    </w:p>
    <w:p w14:paraId="6DCBBB91" w14:textId="768B5612" w:rsidR="00CB4E74" w:rsidRPr="00771A16" w:rsidRDefault="00AA43B8" w:rsidP="006C2940">
      <w:pPr>
        <w:rPr>
          <w:sz w:val="22"/>
          <w:szCs w:val="22"/>
        </w:rPr>
      </w:pPr>
      <w:r w:rsidRPr="00771A16">
        <w:rPr>
          <w:sz w:val="22"/>
          <w:szCs w:val="22"/>
        </w:rPr>
        <w:t xml:space="preserve">En el </w:t>
      </w:r>
      <w:r w:rsidR="00CE7DBF" w:rsidRPr="00771A16">
        <w:rPr>
          <w:sz w:val="22"/>
          <w:szCs w:val="22"/>
        </w:rPr>
        <w:t xml:space="preserve">numeral </w:t>
      </w:r>
      <w:r w:rsidR="00E07588" w:rsidRPr="00771A16">
        <w:rPr>
          <w:sz w:val="22"/>
          <w:szCs w:val="22"/>
        </w:rPr>
        <w:t>2.1</w:t>
      </w:r>
      <w:r w:rsidR="00CE7DBF" w:rsidRPr="00771A16">
        <w:rPr>
          <w:sz w:val="22"/>
          <w:szCs w:val="22"/>
        </w:rPr>
        <w:t xml:space="preserve"> del </w:t>
      </w:r>
      <w:r w:rsidRPr="00771A16">
        <w:rPr>
          <w:sz w:val="22"/>
          <w:szCs w:val="22"/>
        </w:rPr>
        <w:t xml:space="preserve">Capítulo </w:t>
      </w:r>
      <w:r w:rsidR="00BC3827">
        <w:rPr>
          <w:sz w:val="22"/>
          <w:szCs w:val="22"/>
        </w:rPr>
        <w:t>II</w:t>
      </w:r>
      <w:r w:rsidRPr="00771A16">
        <w:rPr>
          <w:sz w:val="22"/>
          <w:szCs w:val="22"/>
        </w:rPr>
        <w:t xml:space="preserve"> “</w:t>
      </w:r>
      <w:r w:rsidRPr="00771A16">
        <w:rPr>
          <w:i/>
          <w:iCs/>
          <w:sz w:val="22"/>
          <w:szCs w:val="22"/>
        </w:rPr>
        <w:t>ANÁLISIS SOBRE EL FUNCIONAMIENTO DEL MERCADO”</w:t>
      </w:r>
      <w:r w:rsidR="00BC3827">
        <w:rPr>
          <w:i/>
          <w:iCs/>
          <w:sz w:val="22"/>
          <w:szCs w:val="22"/>
        </w:rPr>
        <w:t xml:space="preserve"> </w:t>
      </w:r>
      <w:r w:rsidR="00BC3827" w:rsidRPr="00771A16">
        <w:rPr>
          <w:sz w:val="22"/>
          <w:szCs w:val="22"/>
        </w:rPr>
        <w:t>del documento CREG 049-2021</w:t>
      </w:r>
      <w:r w:rsidR="00CE7DBF" w:rsidRPr="00771A16">
        <w:rPr>
          <w:sz w:val="22"/>
          <w:szCs w:val="22"/>
        </w:rPr>
        <w:t xml:space="preserve">, se </w:t>
      </w:r>
      <w:r w:rsidR="004C0B8D" w:rsidRPr="00771A16">
        <w:rPr>
          <w:sz w:val="22"/>
          <w:szCs w:val="22"/>
        </w:rPr>
        <w:t>presentan</w:t>
      </w:r>
      <w:r w:rsidR="00CE7DBF" w:rsidRPr="00771A16">
        <w:rPr>
          <w:sz w:val="22"/>
          <w:szCs w:val="22"/>
        </w:rPr>
        <w:t xml:space="preserve"> los</w:t>
      </w:r>
      <w:r w:rsidR="00BC3827">
        <w:rPr>
          <w:sz w:val="22"/>
          <w:szCs w:val="22"/>
        </w:rPr>
        <w:t xml:space="preserve"> tipos de</w:t>
      </w:r>
      <w:r w:rsidR="00CE7DBF" w:rsidRPr="00771A16">
        <w:rPr>
          <w:sz w:val="22"/>
          <w:szCs w:val="22"/>
        </w:rPr>
        <w:t xml:space="preserve"> agentes que participaron en el proceso de consulta organizado por esta Comisión </w:t>
      </w:r>
      <w:r w:rsidR="00B37E52" w:rsidRPr="00771A16">
        <w:rPr>
          <w:sz w:val="22"/>
          <w:szCs w:val="22"/>
        </w:rPr>
        <w:t>sobre</w:t>
      </w:r>
      <w:r w:rsidR="005E3645" w:rsidRPr="00771A16">
        <w:rPr>
          <w:sz w:val="22"/>
          <w:szCs w:val="22"/>
        </w:rPr>
        <w:t xml:space="preserve"> </w:t>
      </w:r>
      <w:r w:rsidR="003E2A06" w:rsidRPr="00771A16">
        <w:rPr>
          <w:sz w:val="22"/>
          <w:szCs w:val="22"/>
        </w:rPr>
        <w:t>los temas que, a su juicio, requ</w:t>
      </w:r>
      <w:r w:rsidR="00F740A9" w:rsidRPr="00771A16">
        <w:rPr>
          <w:sz w:val="22"/>
          <w:szCs w:val="22"/>
        </w:rPr>
        <w:t>ieren</w:t>
      </w:r>
      <w:r w:rsidR="003E2A06" w:rsidRPr="00771A16">
        <w:rPr>
          <w:sz w:val="22"/>
          <w:szCs w:val="22"/>
        </w:rPr>
        <w:t xml:space="preserve"> ser mejorados, ajustados, modificados o incluidos en la revisión de la Resolución </w:t>
      </w:r>
      <w:r w:rsidR="00116BF2" w:rsidRPr="00771A16">
        <w:rPr>
          <w:sz w:val="22"/>
          <w:szCs w:val="22"/>
        </w:rPr>
        <w:t>vigente de funcionamiento del mercado mayorista</w:t>
      </w:r>
      <w:r w:rsidR="00BF4749" w:rsidRPr="00771A16">
        <w:rPr>
          <w:sz w:val="22"/>
          <w:szCs w:val="22"/>
        </w:rPr>
        <w:t xml:space="preserve"> de sum</w:t>
      </w:r>
      <w:r w:rsidR="002C08F3" w:rsidRPr="00771A16">
        <w:rPr>
          <w:sz w:val="22"/>
          <w:szCs w:val="22"/>
        </w:rPr>
        <w:t>i</w:t>
      </w:r>
      <w:r w:rsidR="00BF4749" w:rsidRPr="00771A16">
        <w:rPr>
          <w:sz w:val="22"/>
          <w:szCs w:val="22"/>
        </w:rPr>
        <w:t>nistro</w:t>
      </w:r>
      <w:r w:rsidR="003E2A06" w:rsidRPr="00771A16">
        <w:rPr>
          <w:sz w:val="22"/>
          <w:szCs w:val="22"/>
        </w:rPr>
        <w:t xml:space="preserve"> y sus complementarias</w:t>
      </w:r>
      <w:r w:rsidR="00B37E52" w:rsidRPr="00771A16">
        <w:rPr>
          <w:sz w:val="22"/>
          <w:szCs w:val="22"/>
        </w:rPr>
        <w:t xml:space="preserve">. </w:t>
      </w:r>
      <w:r w:rsidR="00B813AA" w:rsidRPr="00771A16">
        <w:rPr>
          <w:sz w:val="22"/>
          <w:szCs w:val="22"/>
        </w:rPr>
        <w:t xml:space="preserve">En ese </w:t>
      </w:r>
      <w:r w:rsidR="00116BF2" w:rsidRPr="00771A16">
        <w:rPr>
          <w:sz w:val="22"/>
          <w:szCs w:val="22"/>
        </w:rPr>
        <w:t>numeral</w:t>
      </w:r>
      <w:r w:rsidR="00B813AA" w:rsidRPr="00771A16">
        <w:rPr>
          <w:sz w:val="22"/>
          <w:szCs w:val="22"/>
        </w:rPr>
        <w:t xml:space="preserve"> se plasman las percepciones </w:t>
      </w:r>
      <w:r w:rsidR="002F5280" w:rsidRPr="00771A16">
        <w:rPr>
          <w:sz w:val="22"/>
          <w:szCs w:val="22"/>
        </w:rPr>
        <w:t xml:space="preserve">por tipo de participante en el mercado (productor-comercializador, </w:t>
      </w:r>
      <w:r w:rsidR="00393D56" w:rsidRPr="00771A16">
        <w:rPr>
          <w:sz w:val="22"/>
          <w:szCs w:val="22"/>
        </w:rPr>
        <w:t>comercializadores de gas importado,</w:t>
      </w:r>
      <w:r w:rsidR="009C72DA" w:rsidRPr="00771A16">
        <w:rPr>
          <w:sz w:val="22"/>
          <w:szCs w:val="22"/>
        </w:rPr>
        <w:t xml:space="preserve"> </w:t>
      </w:r>
      <w:r w:rsidR="00393D56" w:rsidRPr="00771A16">
        <w:rPr>
          <w:sz w:val="22"/>
          <w:szCs w:val="22"/>
        </w:rPr>
        <w:t>comercializ</w:t>
      </w:r>
      <w:r w:rsidR="007A22BC" w:rsidRPr="00771A16">
        <w:rPr>
          <w:sz w:val="22"/>
          <w:szCs w:val="22"/>
        </w:rPr>
        <w:t>a</w:t>
      </w:r>
      <w:r w:rsidR="00393D56" w:rsidRPr="00771A16">
        <w:rPr>
          <w:sz w:val="22"/>
          <w:szCs w:val="22"/>
        </w:rPr>
        <w:t>dores que son distribuido</w:t>
      </w:r>
      <w:r w:rsidR="007A22BC" w:rsidRPr="00771A16">
        <w:rPr>
          <w:sz w:val="22"/>
          <w:szCs w:val="22"/>
        </w:rPr>
        <w:t>r</w:t>
      </w:r>
      <w:r w:rsidR="00393D56" w:rsidRPr="00771A16">
        <w:rPr>
          <w:sz w:val="22"/>
          <w:szCs w:val="22"/>
        </w:rPr>
        <w:t xml:space="preserve">es, </w:t>
      </w:r>
      <w:r w:rsidR="007A22BC" w:rsidRPr="00771A16">
        <w:rPr>
          <w:sz w:val="22"/>
          <w:szCs w:val="22"/>
        </w:rPr>
        <w:t>comercializadores puros</w:t>
      </w:r>
      <w:r w:rsidR="00BF4749" w:rsidRPr="00771A16">
        <w:rPr>
          <w:sz w:val="22"/>
          <w:szCs w:val="22"/>
        </w:rPr>
        <w:t>,</w:t>
      </w:r>
      <w:r w:rsidR="007A22BC" w:rsidRPr="00771A16">
        <w:rPr>
          <w:sz w:val="22"/>
          <w:szCs w:val="22"/>
        </w:rPr>
        <w:t xml:space="preserve"> gremios</w:t>
      </w:r>
      <w:r w:rsidR="00BF4749" w:rsidRPr="00771A16">
        <w:rPr>
          <w:sz w:val="22"/>
          <w:szCs w:val="22"/>
        </w:rPr>
        <w:t xml:space="preserve"> y </w:t>
      </w:r>
      <w:r w:rsidR="007A22BC" w:rsidRPr="00771A16">
        <w:rPr>
          <w:sz w:val="22"/>
          <w:szCs w:val="22"/>
        </w:rPr>
        <w:t>asocia</w:t>
      </w:r>
      <w:r w:rsidR="00844583" w:rsidRPr="00771A16">
        <w:rPr>
          <w:sz w:val="22"/>
          <w:szCs w:val="22"/>
        </w:rPr>
        <w:t>ci</w:t>
      </w:r>
      <w:r w:rsidR="007A22BC" w:rsidRPr="00771A16">
        <w:rPr>
          <w:sz w:val="22"/>
          <w:szCs w:val="22"/>
        </w:rPr>
        <w:t>ones</w:t>
      </w:r>
      <w:r w:rsidR="00555C73">
        <w:rPr>
          <w:sz w:val="22"/>
          <w:szCs w:val="22"/>
        </w:rPr>
        <w:t>)</w:t>
      </w:r>
      <w:r w:rsidR="00844583" w:rsidRPr="00771A16">
        <w:rPr>
          <w:sz w:val="22"/>
          <w:szCs w:val="22"/>
        </w:rPr>
        <w:t xml:space="preserve"> </w:t>
      </w:r>
      <w:r w:rsidR="00B813AA" w:rsidRPr="00771A16">
        <w:rPr>
          <w:sz w:val="22"/>
          <w:szCs w:val="22"/>
        </w:rPr>
        <w:t>sobre el funcionamiento del mercado mayorista de gas y con base en el análisis de estos, posteriormente se identifican las principales problemáticas y sus posibles alternativas de solución</w:t>
      </w:r>
      <w:r w:rsidR="00CE7DBF" w:rsidRPr="00771A16">
        <w:rPr>
          <w:sz w:val="22"/>
          <w:szCs w:val="22"/>
        </w:rPr>
        <w:t>.</w:t>
      </w:r>
    </w:p>
    <w:p w14:paraId="20240150" w14:textId="205320B9" w:rsidR="002D416F" w:rsidRPr="00771A16" w:rsidRDefault="002D416F" w:rsidP="006C2940">
      <w:pPr>
        <w:rPr>
          <w:sz w:val="22"/>
          <w:szCs w:val="22"/>
        </w:rPr>
      </w:pPr>
    </w:p>
    <w:p w14:paraId="3D43B1B3" w14:textId="61B3C549" w:rsidR="005941BD" w:rsidRPr="00771A16" w:rsidRDefault="002D416F" w:rsidP="006C2940">
      <w:pPr>
        <w:rPr>
          <w:sz w:val="22"/>
          <w:szCs w:val="22"/>
        </w:rPr>
      </w:pPr>
      <w:r w:rsidRPr="00771A16">
        <w:rPr>
          <w:sz w:val="22"/>
          <w:szCs w:val="22"/>
        </w:rPr>
        <w:t xml:space="preserve">Es pertinente precisar que </w:t>
      </w:r>
      <w:r w:rsidR="00641AFD" w:rsidRPr="00771A16">
        <w:rPr>
          <w:sz w:val="22"/>
          <w:szCs w:val="22"/>
        </w:rPr>
        <w:t xml:space="preserve">en </w:t>
      </w:r>
      <w:r w:rsidRPr="00771A16">
        <w:rPr>
          <w:sz w:val="22"/>
          <w:szCs w:val="22"/>
        </w:rPr>
        <w:t>el documento CREG-049 de 2021 referenciado</w:t>
      </w:r>
      <w:r w:rsidR="00641AFD" w:rsidRPr="00771A16">
        <w:rPr>
          <w:sz w:val="22"/>
          <w:szCs w:val="22"/>
        </w:rPr>
        <w:t>,</w:t>
      </w:r>
      <w:r w:rsidRPr="00771A16">
        <w:rPr>
          <w:sz w:val="22"/>
          <w:szCs w:val="22"/>
        </w:rPr>
        <w:t xml:space="preserve"> se incluyeron </w:t>
      </w:r>
      <w:r w:rsidR="00641AFD" w:rsidRPr="00771A16">
        <w:rPr>
          <w:sz w:val="22"/>
          <w:szCs w:val="22"/>
        </w:rPr>
        <w:t>posibles alternativas y propuestas en el Capítulo IV “</w:t>
      </w:r>
      <w:r w:rsidR="00641AFD" w:rsidRPr="00771A16">
        <w:rPr>
          <w:i/>
          <w:iCs/>
          <w:sz w:val="22"/>
          <w:szCs w:val="22"/>
        </w:rPr>
        <w:t>ATENCIÓN O FORMULACIÓN DE ALTERNATIVAS PARA AFRONTAR LAS PROBLEMÁTICAS</w:t>
      </w:r>
      <w:r w:rsidR="00641AFD" w:rsidRPr="00771A16">
        <w:rPr>
          <w:sz w:val="22"/>
          <w:szCs w:val="22"/>
        </w:rPr>
        <w:t xml:space="preserve">”, para abordar algunas de las problemáticas identificadas anteriormente, indicando que hay </w:t>
      </w:r>
      <w:r w:rsidR="00A17395">
        <w:rPr>
          <w:sz w:val="22"/>
          <w:szCs w:val="22"/>
        </w:rPr>
        <w:t>otra</w:t>
      </w:r>
      <w:r w:rsidR="00641AFD" w:rsidRPr="00771A16">
        <w:rPr>
          <w:sz w:val="22"/>
          <w:szCs w:val="22"/>
        </w:rPr>
        <w:t xml:space="preserve">s sobre las que aún no se han </w:t>
      </w:r>
      <w:r w:rsidR="00A17395">
        <w:rPr>
          <w:sz w:val="22"/>
          <w:szCs w:val="22"/>
        </w:rPr>
        <w:t>publicado</w:t>
      </w:r>
      <w:r w:rsidR="00641AFD" w:rsidRPr="00771A16">
        <w:rPr>
          <w:sz w:val="22"/>
          <w:szCs w:val="22"/>
        </w:rPr>
        <w:t xml:space="preserve"> </w:t>
      </w:r>
      <w:r w:rsidR="00A17395">
        <w:rPr>
          <w:sz w:val="22"/>
          <w:szCs w:val="22"/>
        </w:rPr>
        <w:t>alternativas de</w:t>
      </w:r>
      <w:r w:rsidR="00641AFD" w:rsidRPr="00771A16">
        <w:rPr>
          <w:sz w:val="22"/>
          <w:szCs w:val="22"/>
        </w:rPr>
        <w:t xml:space="preserve"> soluci</w:t>
      </w:r>
      <w:r w:rsidR="00A17395">
        <w:rPr>
          <w:sz w:val="22"/>
          <w:szCs w:val="22"/>
        </w:rPr>
        <w:t>ón</w:t>
      </w:r>
      <w:r w:rsidR="00641AFD" w:rsidRPr="00771A16">
        <w:rPr>
          <w:sz w:val="22"/>
          <w:szCs w:val="22"/>
        </w:rPr>
        <w:t xml:space="preserve">, pero que serán objeto de análisis posteriores. </w:t>
      </w:r>
      <w:r w:rsidR="00B9094E" w:rsidRPr="00771A16">
        <w:rPr>
          <w:sz w:val="22"/>
          <w:szCs w:val="22"/>
        </w:rPr>
        <w:t xml:space="preserve">Posteriormente, </w:t>
      </w:r>
      <w:r w:rsidR="005941BD" w:rsidRPr="00771A16">
        <w:rPr>
          <w:sz w:val="22"/>
          <w:szCs w:val="22"/>
        </w:rPr>
        <w:t xml:space="preserve">se recibieron comentarios al respecto de las posibles soluciones </w:t>
      </w:r>
      <w:r w:rsidR="00B9094E" w:rsidRPr="00771A16">
        <w:rPr>
          <w:sz w:val="22"/>
          <w:szCs w:val="22"/>
        </w:rPr>
        <w:t xml:space="preserve">publicadas en el documento en mención, </w:t>
      </w:r>
      <w:r w:rsidR="005941BD" w:rsidRPr="00771A16">
        <w:rPr>
          <w:sz w:val="22"/>
          <w:szCs w:val="22"/>
        </w:rPr>
        <w:t>que han servido de base para las propuestas definitivas específicas que se presentan más adelante en el capítulo</w:t>
      </w:r>
      <w:r w:rsidR="00B9094E" w:rsidRPr="00771A16">
        <w:rPr>
          <w:sz w:val="22"/>
          <w:szCs w:val="22"/>
        </w:rPr>
        <w:t xml:space="preserve"> 5 </w:t>
      </w:r>
      <w:r w:rsidR="005941BD" w:rsidRPr="00771A16">
        <w:rPr>
          <w:sz w:val="22"/>
          <w:szCs w:val="22"/>
        </w:rPr>
        <w:t>del presente documento.</w:t>
      </w:r>
      <w:r w:rsidR="003D76B5">
        <w:rPr>
          <w:sz w:val="22"/>
          <w:szCs w:val="22"/>
        </w:rPr>
        <w:t xml:space="preserve"> Particularmente en dicho documento se propusieron alternativas de solución para las problemáticas identificadas en los numerales</w:t>
      </w:r>
      <w:r w:rsidR="006C7A86">
        <w:rPr>
          <w:sz w:val="22"/>
          <w:szCs w:val="22"/>
        </w:rPr>
        <w:t xml:space="preserve"> 1, 3, 4, 5, 6, 7, 10</w:t>
      </w:r>
      <w:r w:rsidR="00166120">
        <w:rPr>
          <w:sz w:val="22"/>
          <w:szCs w:val="22"/>
        </w:rPr>
        <w:t xml:space="preserve">, 14, 15 y 18 </w:t>
      </w:r>
      <w:r w:rsidR="006C7A86">
        <w:rPr>
          <w:sz w:val="22"/>
          <w:szCs w:val="22"/>
        </w:rPr>
        <w:t>del gráfico anterior.</w:t>
      </w:r>
      <w:r w:rsidR="003D76B5">
        <w:rPr>
          <w:sz w:val="22"/>
          <w:szCs w:val="22"/>
        </w:rPr>
        <w:t xml:space="preserve"> </w:t>
      </w:r>
    </w:p>
    <w:p w14:paraId="7EFE0ACD" w14:textId="77777777" w:rsidR="005941BD" w:rsidRPr="00771A16" w:rsidRDefault="005941BD" w:rsidP="006C2940">
      <w:pPr>
        <w:rPr>
          <w:sz w:val="22"/>
          <w:szCs w:val="22"/>
        </w:rPr>
      </w:pPr>
    </w:p>
    <w:p w14:paraId="301B17B3" w14:textId="58A040D9" w:rsidR="002D416F" w:rsidRPr="00771A16" w:rsidRDefault="00C31DF1" w:rsidP="006C2940">
      <w:pPr>
        <w:rPr>
          <w:sz w:val="22"/>
          <w:szCs w:val="22"/>
        </w:rPr>
      </w:pPr>
      <w:r>
        <w:rPr>
          <w:sz w:val="22"/>
          <w:szCs w:val="22"/>
        </w:rPr>
        <w:t>Vale</w:t>
      </w:r>
      <w:r w:rsidR="00641AFD" w:rsidRPr="00771A16">
        <w:rPr>
          <w:sz w:val="22"/>
          <w:szCs w:val="22"/>
        </w:rPr>
        <w:t xml:space="preserve"> la pena mencionar que para la problemática identificada por los agentes en relación con la actividad de transporte se han tomado medidas a partir de la expedición de las Resoluciones CREG 185 de 2020</w:t>
      </w:r>
      <w:r w:rsidR="00945271" w:rsidRPr="00771A16">
        <w:rPr>
          <w:sz w:val="22"/>
          <w:szCs w:val="22"/>
        </w:rPr>
        <w:t xml:space="preserve"> modificada por la Resolución CREG 126 de 2021</w:t>
      </w:r>
      <w:r w:rsidR="00641AFD" w:rsidRPr="00771A16">
        <w:rPr>
          <w:sz w:val="22"/>
          <w:szCs w:val="22"/>
        </w:rPr>
        <w:t xml:space="preserve">, </w:t>
      </w:r>
      <w:r w:rsidR="00945271" w:rsidRPr="00771A16">
        <w:rPr>
          <w:sz w:val="22"/>
          <w:szCs w:val="22"/>
        </w:rPr>
        <w:t xml:space="preserve">la Resolución CREG </w:t>
      </w:r>
      <w:r w:rsidR="00641AFD" w:rsidRPr="00771A16">
        <w:rPr>
          <w:sz w:val="22"/>
          <w:szCs w:val="22"/>
        </w:rPr>
        <w:t xml:space="preserve">001 de 2021 y </w:t>
      </w:r>
      <w:r w:rsidR="00945271" w:rsidRPr="00771A16">
        <w:rPr>
          <w:sz w:val="22"/>
          <w:szCs w:val="22"/>
        </w:rPr>
        <w:t xml:space="preserve">la Resolución CREG </w:t>
      </w:r>
      <w:r w:rsidR="00641AFD" w:rsidRPr="00771A16">
        <w:rPr>
          <w:sz w:val="22"/>
          <w:szCs w:val="22"/>
        </w:rPr>
        <w:t xml:space="preserve">175 de 2021 con las cuales se expidieron </w:t>
      </w:r>
      <w:r w:rsidR="00A17395">
        <w:rPr>
          <w:sz w:val="22"/>
          <w:szCs w:val="22"/>
        </w:rPr>
        <w:t xml:space="preserve">respectivamente </w:t>
      </w:r>
      <w:r w:rsidR="00641AFD" w:rsidRPr="00771A16">
        <w:rPr>
          <w:sz w:val="22"/>
          <w:szCs w:val="22"/>
        </w:rPr>
        <w:t>las nuevas reglas de comercialización de capacidad de transporte, las cuales tienen como propósito evitar el acaparamiento de la capacidad</w:t>
      </w:r>
      <w:r w:rsidR="00945271" w:rsidRPr="00771A16">
        <w:rPr>
          <w:sz w:val="22"/>
          <w:szCs w:val="22"/>
        </w:rPr>
        <w:t xml:space="preserve">, </w:t>
      </w:r>
      <w:r w:rsidR="00E93AC8" w:rsidRPr="00771A16">
        <w:rPr>
          <w:sz w:val="22"/>
          <w:szCs w:val="22"/>
        </w:rPr>
        <w:t>y la nueva</w:t>
      </w:r>
      <w:r w:rsidR="00641AFD" w:rsidRPr="00771A16">
        <w:rPr>
          <w:sz w:val="22"/>
          <w:szCs w:val="22"/>
        </w:rPr>
        <w:t xml:space="preserve"> la metodología de remuneración de esta actividad.</w:t>
      </w:r>
    </w:p>
    <w:p w14:paraId="6F1EECED" w14:textId="2F908B40" w:rsidR="00D31A84" w:rsidRPr="00771A16" w:rsidRDefault="00D31A84" w:rsidP="006C2940">
      <w:pPr>
        <w:rPr>
          <w:sz w:val="22"/>
          <w:szCs w:val="22"/>
        </w:rPr>
      </w:pPr>
    </w:p>
    <w:p w14:paraId="531386EA" w14:textId="342DCD53" w:rsidR="00D31A84" w:rsidRPr="00771A16" w:rsidRDefault="00D31A84" w:rsidP="006C2940">
      <w:pPr>
        <w:rPr>
          <w:sz w:val="22"/>
          <w:szCs w:val="22"/>
        </w:rPr>
      </w:pPr>
      <w:r w:rsidRPr="00771A16">
        <w:rPr>
          <w:sz w:val="22"/>
          <w:szCs w:val="22"/>
        </w:rPr>
        <w:t>Adicional a l</w:t>
      </w:r>
      <w:r w:rsidR="00E93AC8" w:rsidRPr="00771A16">
        <w:rPr>
          <w:sz w:val="22"/>
          <w:szCs w:val="22"/>
        </w:rPr>
        <w:t>a</w:t>
      </w:r>
      <w:r w:rsidR="008E7CEA">
        <w:rPr>
          <w:sz w:val="22"/>
          <w:szCs w:val="22"/>
        </w:rPr>
        <w:t>s</w:t>
      </w:r>
      <w:r w:rsidRPr="00771A16">
        <w:rPr>
          <w:sz w:val="22"/>
          <w:szCs w:val="22"/>
        </w:rPr>
        <w:t xml:space="preserve"> anterior</w:t>
      </w:r>
      <w:r w:rsidR="008E7CEA">
        <w:rPr>
          <w:sz w:val="22"/>
          <w:szCs w:val="22"/>
        </w:rPr>
        <w:t>es</w:t>
      </w:r>
      <w:r w:rsidR="00E93AC8" w:rsidRPr="00771A16">
        <w:rPr>
          <w:sz w:val="22"/>
          <w:szCs w:val="22"/>
        </w:rPr>
        <w:t xml:space="preserve"> problemática</w:t>
      </w:r>
      <w:r w:rsidR="008E7CEA">
        <w:rPr>
          <w:sz w:val="22"/>
          <w:szCs w:val="22"/>
        </w:rPr>
        <w:t>s</w:t>
      </w:r>
      <w:r w:rsidRPr="00771A16">
        <w:rPr>
          <w:sz w:val="22"/>
          <w:szCs w:val="22"/>
        </w:rPr>
        <w:t xml:space="preserve">, se presentan </w:t>
      </w:r>
      <w:r w:rsidR="00165CB5" w:rsidRPr="00771A16">
        <w:rPr>
          <w:sz w:val="22"/>
          <w:szCs w:val="22"/>
        </w:rPr>
        <w:t xml:space="preserve">a continuación </w:t>
      </w:r>
      <w:r w:rsidRPr="00771A16">
        <w:rPr>
          <w:sz w:val="22"/>
          <w:szCs w:val="22"/>
        </w:rPr>
        <w:t>otr</w:t>
      </w:r>
      <w:r w:rsidR="0066705F" w:rsidRPr="00771A16">
        <w:rPr>
          <w:sz w:val="22"/>
          <w:szCs w:val="22"/>
        </w:rPr>
        <w:t xml:space="preserve">os problemas identificados </w:t>
      </w:r>
      <w:r w:rsidRPr="00771A16">
        <w:rPr>
          <w:sz w:val="22"/>
          <w:szCs w:val="22"/>
        </w:rPr>
        <w:t>que se han hecho</w:t>
      </w:r>
      <w:r w:rsidR="00023A99">
        <w:rPr>
          <w:sz w:val="22"/>
          <w:szCs w:val="22"/>
        </w:rPr>
        <w:t xml:space="preserve"> más</w:t>
      </w:r>
      <w:r w:rsidRPr="00771A16">
        <w:rPr>
          <w:sz w:val="22"/>
          <w:szCs w:val="22"/>
        </w:rPr>
        <w:t xml:space="preserve"> evidentes </w:t>
      </w:r>
      <w:r w:rsidR="00A743DB" w:rsidRPr="00771A16">
        <w:rPr>
          <w:sz w:val="22"/>
          <w:szCs w:val="22"/>
        </w:rPr>
        <w:t>o sobre los que se considera necesario establecer propuestas al respecto</w:t>
      </w:r>
      <w:r w:rsidRPr="00771A16">
        <w:rPr>
          <w:sz w:val="22"/>
          <w:szCs w:val="22"/>
        </w:rPr>
        <w:t>.</w:t>
      </w:r>
    </w:p>
    <w:p w14:paraId="5F5C3ABF" w14:textId="2FD1C768" w:rsidR="002D264F" w:rsidRDefault="002D264F" w:rsidP="002D264F">
      <w:pPr>
        <w:rPr>
          <w:sz w:val="22"/>
          <w:szCs w:val="22"/>
        </w:rPr>
      </w:pPr>
    </w:p>
    <w:p w14:paraId="1DDB9F33" w14:textId="77777777" w:rsidR="00166120" w:rsidRDefault="00166120" w:rsidP="002D264F">
      <w:pPr>
        <w:rPr>
          <w:sz w:val="22"/>
          <w:szCs w:val="22"/>
        </w:rPr>
      </w:pPr>
    </w:p>
    <w:p w14:paraId="4A0E716E" w14:textId="2AE53CE6" w:rsidR="00023A99" w:rsidRPr="00166120" w:rsidRDefault="00023A99" w:rsidP="00166120">
      <w:pPr>
        <w:pStyle w:val="Ttulo2"/>
      </w:pPr>
      <w:bookmarkStart w:id="55" w:name="_Toc140506187"/>
      <w:r w:rsidRPr="00166120">
        <w:t>O</w:t>
      </w:r>
      <w:r w:rsidR="00166120">
        <w:t>tr</w:t>
      </w:r>
      <w:r w:rsidR="005E3F26">
        <w:t>o</w:t>
      </w:r>
      <w:r w:rsidR="00166120">
        <w:t>s problem</w:t>
      </w:r>
      <w:r w:rsidR="00A17395">
        <w:t xml:space="preserve">as </w:t>
      </w:r>
      <w:r w:rsidR="00166120">
        <w:t>identificad</w:t>
      </w:r>
      <w:r w:rsidR="00A17395">
        <w:t>o</w:t>
      </w:r>
      <w:r w:rsidR="00166120">
        <w:t>s</w:t>
      </w:r>
      <w:bookmarkEnd w:id="55"/>
    </w:p>
    <w:p w14:paraId="79F5FB54" w14:textId="3F8CC66D" w:rsidR="00270291" w:rsidRPr="00166120" w:rsidRDefault="00272C01" w:rsidP="00166120">
      <w:pPr>
        <w:pStyle w:val="Ttulo3"/>
      </w:pPr>
      <w:bookmarkStart w:id="56" w:name="_Ref130303703"/>
      <w:bookmarkStart w:id="57" w:name="_Ref130303721"/>
      <w:bookmarkStart w:id="58" w:name="_Toc140506188"/>
      <w:r w:rsidRPr="00166120">
        <w:t>A</w:t>
      </w:r>
      <w:r w:rsidR="00E55F68" w:rsidRPr="00166120">
        <w:t xml:space="preserve">bastecimiento </w:t>
      </w:r>
      <w:r w:rsidR="007B3D86" w:rsidRPr="00166120">
        <w:t xml:space="preserve">futuro para la demanda </w:t>
      </w:r>
      <w:r w:rsidR="0063354F" w:rsidRPr="00166120">
        <w:t xml:space="preserve">nacional </w:t>
      </w:r>
      <w:r w:rsidR="007B3D86" w:rsidRPr="00166120">
        <w:t>total de gas natural</w:t>
      </w:r>
      <w:bookmarkEnd w:id="56"/>
      <w:bookmarkEnd w:id="57"/>
      <w:bookmarkEnd w:id="58"/>
      <w:r w:rsidR="007B3D86" w:rsidRPr="00166120">
        <w:t xml:space="preserve"> </w:t>
      </w:r>
    </w:p>
    <w:p w14:paraId="6BA5D7D0" w14:textId="77777777" w:rsidR="001A3351" w:rsidRDefault="0063354F" w:rsidP="006C2940">
      <w:pPr>
        <w:rPr>
          <w:sz w:val="22"/>
          <w:szCs w:val="22"/>
        </w:rPr>
      </w:pPr>
      <w:r w:rsidRPr="00771A16">
        <w:rPr>
          <w:sz w:val="22"/>
          <w:szCs w:val="22"/>
        </w:rPr>
        <w:t>D</w:t>
      </w:r>
      <w:r w:rsidR="00FC2C67" w:rsidRPr="00771A16">
        <w:rPr>
          <w:sz w:val="22"/>
          <w:szCs w:val="22"/>
        </w:rPr>
        <w:t xml:space="preserve">e acuerdo con </w:t>
      </w:r>
      <w:r w:rsidR="00BA078D" w:rsidRPr="00771A16">
        <w:rPr>
          <w:sz w:val="22"/>
          <w:szCs w:val="22"/>
        </w:rPr>
        <w:t xml:space="preserve">los balances </w:t>
      </w:r>
      <w:r w:rsidR="00844B35" w:rsidRPr="00771A16">
        <w:rPr>
          <w:sz w:val="22"/>
          <w:szCs w:val="22"/>
        </w:rPr>
        <w:t xml:space="preserve">de la oferta y la demanda de gas natural </w:t>
      </w:r>
      <w:r w:rsidR="00BA078D" w:rsidRPr="00771A16">
        <w:rPr>
          <w:sz w:val="22"/>
          <w:szCs w:val="22"/>
        </w:rPr>
        <w:t xml:space="preserve">realizados en </w:t>
      </w:r>
      <w:r w:rsidR="00FC2C67" w:rsidRPr="00771A16">
        <w:rPr>
          <w:sz w:val="22"/>
          <w:szCs w:val="22"/>
        </w:rPr>
        <w:t xml:space="preserve">el </w:t>
      </w:r>
      <w:r w:rsidR="00D209CA" w:rsidRPr="00771A16">
        <w:rPr>
          <w:sz w:val="22"/>
          <w:szCs w:val="22"/>
        </w:rPr>
        <w:t>“</w:t>
      </w:r>
      <w:r w:rsidR="00FC2C67" w:rsidRPr="00771A16">
        <w:rPr>
          <w:i/>
          <w:iCs/>
          <w:sz w:val="22"/>
          <w:szCs w:val="22"/>
        </w:rPr>
        <w:t xml:space="preserve">Estudio Técnico </w:t>
      </w:r>
      <w:r w:rsidR="00D209CA" w:rsidRPr="00771A16">
        <w:rPr>
          <w:i/>
          <w:iCs/>
          <w:sz w:val="22"/>
          <w:szCs w:val="22"/>
        </w:rPr>
        <w:t xml:space="preserve">para </w:t>
      </w:r>
      <w:r w:rsidR="00FC2C67" w:rsidRPr="00771A16">
        <w:rPr>
          <w:i/>
          <w:iCs/>
          <w:sz w:val="22"/>
          <w:szCs w:val="22"/>
        </w:rPr>
        <w:t xml:space="preserve">el Plan de Abastecimiento </w:t>
      </w:r>
      <w:r w:rsidR="00D209CA" w:rsidRPr="00771A16">
        <w:rPr>
          <w:i/>
          <w:iCs/>
          <w:sz w:val="22"/>
          <w:szCs w:val="22"/>
        </w:rPr>
        <w:t>de Gas Natural</w:t>
      </w:r>
      <w:r w:rsidR="00FC2C67" w:rsidRPr="00771A16">
        <w:rPr>
          <w:i/>
          <w:iCs/>
          <w:sz w:val="22"/>
          <w:szCs w:val="22"/>
        </w:rPr>
        <w:t xml:space="preserve"> </w:t>
      </w:r>
      <w:r w:rsidR="00371754" w:rsidRPr="00771A16">
        <w:rPr>
          <w:i/>
          <w:iCs/>
          <w:sz w:val="22"/>
          <w:szCs w:val="22"/>
        </w:rPr>
        <w:t>2019–202</w:t>
      </w:r>
      <w:r w:rsidR="00D209CA" w:rsidRPr="00771A16">
        <w:rPr>
          <w:i/>
          <w:iCs/>
          <w:sz w:val="22"/>
          <w:szCs w:val="22"/>
        </w:rPr>
        <w:t>8</w:t>
      </w:r>
      <w:r w:rsidR="00D209CA" w:rsidRPr="00771A16">
        <w:rPr>
          <w:sz w:val="22"/>
          <w:szCs w:val="22"/>
        </w:rPr>
        <w:t>”</w:t>
      </w:r>
      <w:r w:rsidR="00371754" w:rsidRPr="00771A16">
        <w:rPr>
          <w:sz w:val="22"/>
          <w:szCs w:val="22"/>
        </w:rPr>
        <w:t xml:space="preserve"> </w:t>
      </w:r>
      <w:r w:rsidR="00FC2C67" w:rsidRPr="00771A16">
        <w:rPr>
          <w:sz w:val="22"/>
          <w:szCs w:val="22"/>
        </w:rPr>
        <w:t xml:space="preserve">publicado por la Unidad de Planeación </w:t>
      </w:r>
      <w:proofErr w:type="gramStart"/>
      <w:r w:rsidR="00FC2C67" w:rsidRPr="00771A16">
        <w:rPr>
          <w:sz w:val="22"/>
          <w:szCs w:val="22"/>
        </w:rPr>
        <w:t>Minero Energética</w:t>
      </w:r>
      <w:proofErr w:type="gramEnd"/>
      <w:r w:rsidR="00FC2C67" w:rsidRPr="00771A16">
        <w:rPr>
          <w:sz w:val="22"/>
          <w:szCs w:val="22"/>
        </w:rPr>
        <w:t xml:space="preserve"> – UPME en octubre de 2020</w:t>
      </w:r>
      <w:r w:rsidR="00BA078D" w:rsidRPr="00771A16">
        <w:rPr>
          <w:sz w:val="22"/>
          <w:szCs w:val="22"/>
        </w:rPr>
        <w:t>,</w:t>
      </w:r>
      <w:r w:rsidR="00FC2C67" w:rsidRPr="00771A16">
        <w:rPr>
          <w:sz w:val="22"/>
          <w:szCs w:val="22"/>
        </w:rPr>
        <w:t xml:space="preserve"> </w:t>
      </w:r>
      <w:r w:rsidR="00BA078D" w:rsidRPr="00771A16">
        <w:rPr>
          <w:sz w:val="22"/>
          <w:szCs w:val="22"/>
        </w:rPr>
        <w:t>s</w:t>
      </w:r>
      <w:r w:rsidR="00FC2C67" w:rsidRPr="00771A16">
        <w:rPr>
          <w:sz w:val="22"/>
          <w:szCs w:val="22"/>
        </w:rPr>
        <w:t>e prev</w:t>
      </w:r>
      <w:r w:rsidR="00624246" w:rsidRPr="00771A16">
        <w:rPr>
          <w:sz w:val="22"/>
          <w:szCs w:val="22"/>
        </w:rPr>
        <w:t>é</w:t>
      </w:r>
      <w:r w:rsidR="00FC2C67" w:rsidRPr="00771A16">
        <w:rPr>
          <w:sz w:val="22"/>
          <w:szCs w:val="22"/>
        </w:rPr>
        <w:t xml:space="preserve"> para el mediano plazo </w:t>
      </w:r>
      <w:r w:rsidR="00BA078D" w:rsidRPr="00771A16">
        <w:rPr>
          <w:sz w:val="22"/>
          <w:szCs w:val="22"/>
        </w:rPr>
        <w:t xml:space="preserve">restricciones </w:t>
      </w:r>
      <w:r w:rsidR="00844B35" w:rsidRPr="00771A16">
        <w:rPr>
          <w:sz w:val="22"/>
          <w:szCs w:val="22"/>
        </w:rPr>
        <w:t xml:space="preserve">en la oferta </w:t>
      </w:r>
      <w:r w:rsidR="004E6691" w:rsidRPr="00771A16">
        <w:rPr>
          <w:sz w:val="22"/>
          <w:szCs w:val="22"/>
        </w:rPr>
        <w:t xml:space="preserve">física </w:t>
      </w:r>
      <w:r w:rsidR="00844B35" w:rsidRPr="00771A16">
        <w:rPr>
          <w:sz w:val="22"/>
          <w:szCs w:val="22"/>
        </w:rPr>
        <w:t xml:space="preserve">de gas natural </w:t>
      </w:r>
      <w:r w:rsidR="00BA078D" w:rsidRPr="00771A16">
        <w:rPr>
          <w:sz w:val="22"/>
          <w:szCs w:val="22"/>
        </w:rPr>
        <w:t xml:space="preserve">para atender la totalidad de la demanda </w:t>
      </w:r>
      <w:r w:rsidR="00844B35" w:rsidRPr="00771A16">
        <w:rPr>
          <w:sz w:val="22"/>
          <w:szCs w:val="22"/>
        </w:rPr>
        <w:t xml:space="preserve">nacional </w:t>
      </w:r>
      <w:r w:rsidR="005D68F8" w:rsidRPr="00771A16">
        <w:rPr>
          <w:sz w:val="22"/>
          <w:szCs w:val="22"/>
        </w:rPr>
        <w:t xml:space="preserve">proyectada </w:t>
      </w:r>
      <w:r w:rsidR="00AC793E" w:rsidRPr="00771A16">
        <w:rPr>
          <w:sz w:val="22"/>
          <w:szCs w:val="22"/>
        </w:rPr>
        <w:t>para el servicio público de gas combustible</w:t>
      </w:r>
      <w:r w:rsidR="00A17395">
        <w:rPr>
          <w:sz w:val="22"/>
          <w:szCs w:val="22"/>
        </w:rPr>
        <w:t xml:space="preserve"> con gas natural</w:t>
      </w:r>
      <w:r w:rsidR="005D68F8" w:rsidRPr="00771A16">
        <w:rPr>
          <w:sz w:val="22"/>
          <w:szCs w:val="22"/>
        </w:rPr>
        <w:t xml:space="preserve">. </w:t>
      </w:r>
      <w:r w:rsidRPr="00771A16">
        <w:rPr>
          <w:sz w:val="22"/>
          <w:szCs w:val="22"/>
        </w:rPr>
        <w:t>Es importa</w:t>
      </w:r>
    </w:p>
    <w:p w14:paraId="13B91490" w14:textId="79C73E16" w:rsidR="00AC793E" w:rsidRPr="00771A16" w:rsidRDefault="0063354F" w:rsidP="006C2940">
      <w:pPr>
        <w:rPr>
          <w:sz w:val="22"/>
          <w:szCs w:val="22"/>
        </w:rPr>
      </w:pPr>
      <w:proofErr w:type="spellStart"/>
      <w:r w:rsidRPr="00771A16">
        <w:rPr>
          <w:sz w:val="22"/>
          <w:szCs w:val="22"/>
        </w:rPr>
        <w:t>nte</w:t>
      </w:r>
      <w:proofErr w:type="spellEnd"/>
      <w:r w:rsidRPr="00771A16">
        <w:rPr>
          <w:sz w:val="22"/>
          <w:szCs w:val="22"/>
        </w:rPr>
        <w:t xml:space="preserve"> </w:t>
      </w:r>
      <w:proofErr w:type="gramStart"/>
      <w:r w:rsidRPr="00771A16">
        <w:rPr>
          <w:sz w:val="22"/>
          <w:szCs w:val="22"/>
        </w:rPr>
        <w:t>considerar</w:t>
      </w:r>
      <w:proofErr w:type="gramEnd"/>
      <w:r w:rsidRPr="00771A16">
        <w:rPr>
          <w:sz w:val="22"/>
          <w:szCs w:val="22"/>
        </w:rPr>
        <w:t xml:space="preserve"> que d</w:t>
      </w:r>
      <w:r w:rsidR="00EB0138" w:rsidRPr="00771A16">
        <w:rPr>
          <w:sz w:val="22"/>
          <w:szCs w:val="22"/>
        </w:rPr>
        <w:t>icho Estudio Técnico</w:t>
      </w:r>
      <w:r w:rsidR="00FB6499" w:rsidRPr="00771A16">
        <w:rPr>
          <w:sz w:val="22"/>
          <w:szCs w:val="22"/>
        </w:rPr>
        <w:t xml:space="preserve"> de la UPME se </w:t>
      </w:r>
      <w:r w:rsidR="001B166E" w:rsidRPr="00771A16">
        <w:rPr>
          <w:sz w:val="22"/>
          <w:szCs w:val="22"/>
        </w:rPr>
        <w:t xml:space="preserve">plantea </w:t>
      </w:r>
      <w:r w:rsidR="00EB0138" w:rsidRPr="00771A16">
        <w:rPr>
          <w:sz w:val="22"/>
          <w:szCs w:val="22"/>
        </w:rPr>
        <w:t>con el objeto de identificar los proyectos de infraestructura necesarios para garantizar la seguridad de abastecimiento y la confiabilidad del servicio público</w:t>
      </w:r>
      <w:r w:rsidRPr="00771A16">
        <w:rPr>
          <w:sz w:val="22"/>
          <w:szCs w:val="22"/>
        </w:rPr>
        <w:t xml:space="preserve"> de gas combustible</w:t>
      </w:r>
      <w:r w:rsidR="00EB0138" w:rsidRPr="00771A16">
        <w:rPr>
          <w:sz w:val="22"/>
          <w:szCs w:val="22"/>
        </w:rPr>
        <w:t xml:space="preserve">, </w:t>
      </w:r>
      <w:r w:rsidRPr="00771A16">
        <w:rPr>
          <w:sz w:val="22"/>
          <w:szCs w:val="22"/>
        </w:rPr>
        <w:t>que sirve de</w:t>
      </w:r>
      <w:r w:rsidR="001C16A7" w:rsidRPr="00771A16">
        <w:rPr>
          <w:sz w:val="22"/>
          <w:szCs w:val="22"/>
        </w:rPr>
        <w:t xml:space="preserve"> insumo </w:t>
      </w:r>
      <w:r w:rsidRPr="00771A16">
        <w:rPr>
          <w:sz w:val="22"/>
          <w:szCs w:val="22"/>
        </w:rPr>
        <w:t>a</w:t>
      </w:r>
      <w:r w:rsidR="001C16A7" w:rsidRPr="00771A16">
        <w:rPr>
          <w:sz w:val="22"/>
          <w:szCs w:val="22"/>
        </w:rPr>
        <w:t>l Ministerio de Minas y Energía para la adopción del Plan de Abastecimiento de Gas Natural</w:t>
      </w:r>
      <w:r w:rsidR="00F11A5F" w:rsidRPr="00771A16">
        <w:rPr>
          <w:sz w:val="22"/>
          <w:szCs w:val="22"/>
        </w:rPr>
        <w:t>.</w:t>
      </w:r>
    </w:p>
    <w:p w14:paraId="333E0D0E" w14:textId="77777777" w:rsidR="003C7F06" w:rsidRPr="00771A16" w:rsidRDefault="003C7F06" w:rsidP="006C2940">
      <w:pPr>
        <w:pStyle w:val="Prrafodelista"/>
        <w:ind w:left="0"/>
        <w:rPr>
          <w:sz w:val="22"/>
          <w:szCs w:val="22"/>
        </w:rPr>
      </w:pPr>
    </w:p>
    <w:p w14:paraId="75D10947" w14:textId="302D798C" w:rsidR="005E6F3F" w:rsidRPr="00771A16" w:rsidRDefault="00BB4437" w:rsidP="003C7F06">
      <w:pPr>
        <w:rPr>
          <w:sz w:val="22"/>
          <w:szCs w:val="22"/>
        </w:rPr>
      </w:pPr>
      <w:r w:rsidRPr="00771A16">
        <w:rPr>
          <w:noProof/>
          <w:sz w:val="22"/>
          <w:szCs w:val="22"/>
        </w:rPr>
        <w:t>P</w:t>
      </w:r>
      <w:r w:rsidR="0063354F" w:rsidRPr="00771A16">
        <w:rPr>
          <w:noProof/>
          <w:sz w:val="22"/>
          <w:szCs w:val="22"/>
        </w:rPr>
        <w:t>ara la identificación de la problemática</w:t>
      </w:r>
      <w:r w:rsidR="00DE6AEE" w:rsidRPr="00771A16">
        <w:rPr>
          <w:noProof/>
          <w:sz w:val="22"/>
          <w:szCs w:val="22"/>
        </w:rPr>
        <w:t xml:space="preserve"> que actualmente se </w:t>
      </w:r>
      <w:r w:rsidR="007A489B">
        <w:rPr>
          <w:noProof/>
          <w:sz w:val="22"/>
          <w:szCs w:val="22"/>
        </w:rPr>
        <w:t xml:space="preserve">puede </w:t>
      </w:r>
      <w:r w:rsidR="00DE6AEE" w:rsidRPr="00771A16">
        <w:rPr>
          <w:noProof/>
          <w:sz w:val="22"/>
          <w:szCs w:val="22"/>
        </w:rPr>
        <w:t>presenta</w:t>
      </w:r>
      <w:r w:rsidR="007A489B">
        <w:rPr>
          <w:noProof/>
          <w:sz w:val="22"/>
          <w:szCs w:val="22"/>
        </w:rPr>
        <w:t>r</w:t>
      </w:r>
      <w:r w:rsidR="0063354F" w:rsidRPr="00771A16">
        <w:rPr>
          <w:noProof/>
          <w:sz w:val="22"/>
          <w:szCs w:val="22"/>
        </w:rPr>
        <w:t xml:space="preserve"> d</w:t>
      </w:r>
      <w:r w:rsidR="00C857A7" w:rsidRPr="00771A16">
        <w:rPr>
          <w:noProof/>
          <w:sz w:val="22"/>
          <w:szCs w:val="22"/>
        </w:rPr>
        <w:t xml:space="preserve">esde el punto de vista </w:t>
      </w:r>
      <w:r w:rsidRPr="00771A16">
        <w:rPr>
          <w:noProof/>
          <w:sz w:val="22"/>
          <w:szCs w:val="22"/>
        </w:rPr>
        <w:t>contractual y</w:t>
      </w:r>
      <w:r w:rsidR="0063354F" w:rsidRPr="00771A16">
        <w:rPr>
          <w:noProof/>
          <w:sz w:val="22"/>
          <w:szCs w:val="22"/>
        </w:rPr>
        <w:t xml:space="preserve"> considerando</w:t>
      </w:r>
      <w:r w:rsidR="00C857A7" w:rsidRPr="00771A16">
        <w:rPr>
          <w:noProof/>
          <w:sz w:val="22"/>
          <w:szCs w:val="22"/>
        </w:rPr>
        <w:t xml:space="preserve"> las reglas de la comercialización del suministro de gas natural en el mercado mayorista</w:t>
      </w:r>
      <w:r w:rsidR="00D93196">
        <w:rPr>
          <w:noProof/>
          <w:sz w:val="22"/>
          <w:szCs w:val="22"/>
        </w:rPr>
        <w:t>,</w:t>
      </w:r>
      <w:r w:rsidRPr="00771A16">
        <w:rPr>
          <w:noProof/>
          <w:sz w:val="22"/>
          <w:szCs w:val="22"/>
        </w:rPr>
        <w:t xml:space="preserve"> así como</w:t>
      </w:r>
      <w:r w:rsidR="00C857A7" w:rsidRPr="00771A16">
        <w:rPr>
          <w:noProof/>
          <w:sz w:val="22"/>
          <w:szCs w:val="22"/>
        </w:rPr>
        <w:t xml:space="preserve"> los lineamientos de política energética en ese sentido</w:t>
      </w:r>
      <w:r w:rsidR="00D61F39" w:rsidRPr="00771A16">
        <w:rPr>
          <w:noProof/>
          <w:sz w:val="22"/>
          <w:szCs w:val="22"/>
        </w:rPr>
        <w:t>,</w:t>
      </w:r>
      <w:r w:rsidR="00C857A7" w:rsidRPr="00771A16">
        <w:rPr>
          <w:noProof/>
          <w:sz w:val="22"/>
          <w:szCs w:val="22"/>
        </w:rPr>
        <w:t xml:space="preserve"> </w:t>
      </w:r>
      <w:r w:rsidR="00D61F39" w:rsidRPr="00771A16">
        <w:rPr>
          <w:noProof/>
          <w:sz w:val="22"/>
          <w:szCs w:val="22"/>
        </w:rPr>
        <w:t>se rea</w:t>
      </w:r>
      <w:r w:rsidR="00270FD4" w:rsidRPr="00771A16">
        <w:rPr>
          <w:noProof/>
          <w:sz w:val="22"/>
          <w:szCs w:val="22"/>
        </w:rPr>
        <w:t>liza</w:t>
      </w:r>
      <w:r w:rsidR="00D61F39" w:rsidRPr="00771A16">
        <w:rPr>
          <w:noProof/>
          <w:sz w:val="22"/>
          <w:szCs w:val="22"/>
        </w:rPr>
        <w:t xml:space="preserve"> </w:t>
      </w:r>
      <w:r w:rsidR="00DD38A6" w:rsidRPr="00771A16">
        <w:rPr>
          <w:noProof/>
          <w:sz w:val="22"/>
          <w:szCs w:val="22"/>
        </w:rPr>
        <w:t xml:space="preserve">a continuación </w:t>
      </w:r>
      <w:r w:rsidR="00270FD4" w:rsidRPr="00771A16">
        <w:rPr>
          <w:noProof/>
          <w:sz w:val="22"/>
          <w:szCs w:val="22"/>
        </w:rPr>
        <w:t xml:space="preserve">un </w:t>
      </w:r>
      <w:r w:rsidR="00DE6AEE" w:rsidRPr="00771A16">
        <w:rPr>
          <w:noProof/>
          <w:sz w:val="22"/>
          <w:szCs w:val="22"/>
        </w:rPr>
        <w:t>ejer</w:t>
      </w:r>
      <w:r w:rsidR="00D93196">
        <w:rPr>
          <w:noProof/>
          <w:sz w:val="22"/>
          <w:szCs w:val="22"/>
        </w:rPr>
        <w:t>c</w:t>
      </w:r>
      <w:r w:rsidR="00DE6AEE" w:rsidRPr="00771A16">
        <w:rPr>
          <w:noProof/>
          <w:sz w:val="22"/>
          <w:szCs w:val="22"/>
        </w:rPr>
        <w:t xml:space="preserve">icio de </w:t>
      </w:r>
      <w:r w:rsidR="003B43C0" w:rsidRPr="00771A16">
        <w:rPr>
          <w:noProof/>
          <w:sz w:val="22"/>
          <w:szCs w:val="22"/>
        </w:rPr>
        <w:t>análisis</w:t>
      </w:r>
      <w:r w:rsidR="00030F5D" w:rsidRPr="00771A16">
        <w:rPr>
          <w:noProof/>
          <w:sz w:val="22"/>
          <w:szCs w:val="22"/>
        </w:rPr>
        <w:t xml:space="preserve"> de oferta comercial </w:t>
      </w:r>
      <w:r w:rsidR="00F2786A">
        <w:rPr>
          <w:noProof/>
          <w:sz w:val="22"/>
          <w:szCs w:val="22"/>
        </w:rPr>
        <w:t>v</w:t>
      </w:r>
      <w:r w:rsidR="00A17395">
        <w:rPr>
          <w:noProof/>
          <w:sz w:val="22"/>
          <w:szCs w:val="22"/>
        </w:rPr>
        <w:t>ersu</w:t>
      </w:r>
      <w:r w:rsidR="00F2786A">
        <w:rPr>
          <w:noProof/>
          <w:sz w:val="22"/>
          <w:szCs w:val="22"/>
        </w:rPr>
        <w:t>s</w:t>
      </w:r>
      <w:r w:rsidR="00A17395">
        <w:rPr>
          <w:noProof/>
          <w:sz w:val="22"/>
          <w:szCs w:val="22"/>
        </w:rPr>
        <w:t xml:space="preserve"> </w:t>
      </w:r>
      <w:r w:rsidR="00030F5D" w:rsidRPr="00771A16">
        <w:rPr>
          <w:noProof/>
          <w:sz w:val="22"/>
          <w:szCs w:val="22"/>
        </w:rPr>
        <w:t>demanda de gas natural,</w:t>
      </w:r>
      <w:r w:rsidR="003B43C0" w:rsidRPr="00771A16">
        <w:rPr>
          <w:noProof/>
          <w:sz w:val="22"/>
          <w:szCs w:val="22"/>
        </w:rPr>
        <w:t xml:space="preserve"> </w:t>
      </w:r>
      <w:r w:rsidR="00DD38A6" w:rsidRPr="00771A16">
        <w:rPr>
          <w:noProof/>
          <w:sz w:val="22"/>
          <w:szCs w:val="22"/>
        </w:rPr>
        <w:t xml:space="preserve">a partir de la información que es </w:t>
      </w:r>
      <w:r w:rsidRPr="00771A16">
        <w:rPr>
          <w:noProof/>
          <w:sz w:val="22"/>
          <w:szCs w:val="22"/>
        </w:rPr>
        <w:t>declarada</w:t>
      </w:r>
      <w:r w:rsidR="00DD38A6" w:rsidRPr="00771A16">
        <w:rPr>
          <w:noProof/>
          <w:sz w:val="22"/>
          <w:szCs w:val="22"/>
        </w:rPr>
        <w:t xml:space="preserve"> </w:t>
      </w:r>
      <w:r w:rsidR="00672ECA">
        <w:rPr>
          <w:noProof/>
          <w:sz w:val="22"/>
          <w:szCs w:val="22"/>
        </w:rPr>
        <w:t xml:space="preserve">por los participantes del mercado </w:t>
      </w:r>
      <w:r w:rsidR="007A4901" w:rsidRPr="00771A16">
        <w:rPr>
          <w:noProof/>
          <w:sz w:val="22"/>
          <w:szCs w:val="22"/>
        </w:rPr>
        <w:t>en cumplimiento</w:t>
      </w:r>
      <w:r w:rsidR="002D6A8E" w:rsidRPr="00771A16">
        <w:rPr>
          <w:noProof/>
          <w:sz w:val="22"/>
          <w:szCs w:val="22"/>
        </w:rPr>
        <w:t xml:space="preserve"> de </w:t>
      </w:r>
      <w:r w:rsidR="007A4901" w:rsidRPr="00771A16">
        <w:rPr>
          <w:noProof/>
          <w:sz w:val="22"/>
          <w:szCs w:val="22"/>
        </w:rPr>
        <w:t xml:space="preserve">dichas </w:t>
      </w:r>
      <w:r w:rsidR="002D6A8E" w:rsidRPr="00771A16">
        <w:rPr>
          <w:noProof/>
          <w:sz w:val="22"/>
          <w:szCs w:val="22"/>
        </w:rPr>
        <w:t>reglas</w:t>
      </w:r>
      <w:r w:rsidR="00A17395">
        <w:rPr>
          <w:noProof/>
          <w:sz w:val="22"/>
          <w:szCs w:val="22"/>
        </w:rPr>
        <w:t xml:space="preserve">. </w:t>
      </w:r>
      <w:r w:rsidR="00DE6AEE" w:rsidRPr="00771A16">
        <w:rPr>
          <w:sz w:val="22"/>
          <w:szCs w:val="22"/>
        </w:rPr>
        <w:t xml:space="preserve">Es importante </w:t>
      </w:r>
      <w:r w:rsidR="00693EE8">
        <w:rPr>
          <w:sz w:val="22"/>
          <w:szCs w:val="22"/>
        </w:rPr>
        <w:t>precisar</w:t>
      </w:r>
      <w:r w:rsidR="00DE6AEE" w:rsidRPr="00771A16">
        <w:rPr>
          <w:sz w:val="22"/>
          <w:szCs w:val="22"/>
        </w:rPr>
        <w:t xml:space="preserve"> que n</w:t>
      </w:r>
      <w:r w:rsidR="00030F5D" w:rsidRPr="00771A16">
        <w:rPr>
          <w:sz w:val="22"/>
          <w:szCs w:val="22"/>
        </w:rPr>
        <w:t xml:space="preserve">o se trata de un ejercicio </w:t>
      </w:r>
      <w:r w:rsidR="004C63AC">
        <w:rPr>
          <w:sz w:val="22"/>
          <w:szCs w:val="22"/>
        </w:rPr>
        <w:t xml:space="preserve">de planeación </w:t>
      </w:r>
      <w:r w:rsidR="00813240">
        <w:rPr>
          <w:sz w:val="22"/>
          <w:szCs w:val="22"/>
        </w:rPr>
        <w:t xml:space="preserve">y/o abastecimiento </w:t>
      </w:r>
      <w:r w:rsidR="00030F5D" w:rsidRPr="00771A16">
        <w:rPr>
          <w:sz w:val="22"/>
          <w:szCs w:val="22"/>
        </w:rPr>
        <w:t xml:space="preserve">para </w:t>
      </w:r>
      <w:r w:rsidR="00DE6AEE" w:rsidRPr="00771A16">
        <w:rPr>
          <w:sz w:val="22"/>
          <w:szCs w:val="22"/>
        </w:rPr>
        <w:t>especific</w:t>
      </w:r>
      <w:r w:rsidR="00030F5D" w:rsidRPr="00771A16">
        <w:rPr>
          <w:sz w:val="22"/>
          <w:szCs w:val="22"/>
        </w:rPr>
        <w:t xml:space="preserve">ar un rango posible de fechas en que eventualmente se presente </w:t>
      </w:r>
      <w:r w:rsidR="00D93196">
        <w:rPr>
          <w:sz w:val="22"/>
          <w:szCs w:val="22"/>
        </w:rPr>
        <w:t xml:space="preserve">en un futuro </w:t>
      </w:r>
      <w:r w:rsidR="00030F5D" w:rsidRPr="00771A16">
        <w:rPr>
          <w:sz w:val="22"/>
          <w:szCs w:val="22"/>
        </w:rPr>
        <w:t xml:space="preserve">una insuficiencia de suministro </w:t>
      </w:r>
      <w:r w:rsidR="00DE6AEE" w:rsidRPr="00771A16">
        <w:rPr>
          <w:sz w:val="22"/>
          <w:szCs w:val="22"/>
        </w:rPr>
        <w:t xml:space="preserve">de oferta </w:t>
      </w:r>
      <w:r w:rsidR="00030F5D" w:rsidRPr="00771A16">
        <w:rPr>
          <w:sz w:val="22"/>
          <w:szCs w:val="22"/>
        </w:rPr>
        <w:t xml:space="preserve">comercial, </w:t>
      </w:r>
      <w:r w:rsidR="007A489B">
        <w:rPr>
          <w:sz w:val="22"/>
          <w:szCs w:val="22"/>
        </w:rPr>
        <w:t xml:space="preserve">ni de un ejercicio de planeación sectorial ni mucho menos pues no le corresponde a la CREG dicha función, </w:t>
      </w:r>
      <w:r w:rsidR="00030F5D" w:rsidRPr="00771A16">
        <w:rPr>
          <w:sz w:val="22"/>
          <w:szCs w:val="22"/>
        </w:rPr>
        <w:t xml:space="preserve">sino que se trata de estimar si dicha insuficiencia </w:t>
      </w:r>
      <w:r w:rsidR="007A489B">
        <w:rPr>
          <w:sz w:val="22"/>
          <w:szCs w:val="22"/>
        </w:rPr>
        <w:t xml:space="preserve">contractual </w:t>
      </w:r>
      <w:r w:rsidR="00030F5D" w:rsidRPr="00771A16">
        <w:rPr>
          <w:sz w:val="22"/>
          <w:szCs w:val="22"/>
        </w:rPr>
        <w:t>puede surgir o no en el mediano plazo</w:t>
      </w:r>
      <w:r w:rsidR="00DE6AEE" w:rsidRPr="00771A16">
        <w:rPr>
          <w:sz w:val="22"/>
          <w:szCs w:val="22"/>
        </w:rPr>
        <w:t xml:space="preserve"> como problemática a</w:t>
      </w:r>
      <w:r w:rsidR="00BF60E8">
        <w:rPr>
          <w:sz w:val="22"/>
          <w:szCs w:val="22"/>
        </w:rPr>
        <w:t xml:space="preserve"> ser</w:t>
      </w:r>
      <w:r w:rsidR="00DE6AEE" w:rsidRPr="00771A16">
        <w:rPr>
          <w:sz w:val="22"/>
          <w:szCs w:val="22"/>
        </w:rPr>
        <w:t xml:space="preserve"> </w:t>
      </w:r>
      <w:r w:rsidR="00A17395">
        <w:rPr>
          <w:sz w:val="22"/>
          <w:szCs w:val="22"/>
        </w:rPr>
        <w:t>tenid</w:t>
      </w:r>
      <w:r w:rsidR="00BF60E8">
        <w:rPr>
          <w:sz w:val="22"/>
          <w:szCs w:val="22"/>
        </w:rPr>
        <w:t>a</w:t>
      </w:r>
      <w:r w:rsidR="00A17395">
        <w:rPr>
          <w:sz w:val="22"/>
          <w:szCs w:val="22"/>
        </w:rPr>
        <w:t xml:space="preserve"> en cuenta</w:t>
      </w:r>
      <w:r w:rsidR="00BF60E8">
        <w:rPr>
          <w:sz w:val="22"/>
          <w:szCs w:val="22"/>
        </w:rPr>
        <w:t xml:space="preserve"> por la Comisión</w:t>
      </w:r>
      <w:r w:rsidR="00A17395">
        <w:rPr>
          <w:sz w:val="22"/>
          <w:szCs w:val="22"/>
        </w:rPr>
        <w:t xml:space="preserve"> para los ajustes a realizar en el Mercado Mayorista</w:t>
      </w:r>
      <w:r w:rsidR="00525F2F">
        <w:rPr>
          <w:sz w:val="22"/>
          <w:szCs w:val="22"/>
        </w:rPr>
        <w:t>.</w:t>
      </w:r>
      <w:r w:rsidR="00030F5D" w:rsidRPr="00771A16">
        <w:rPr>
          <w:sz w:val="22"/>
          <w:szCs w:val="22"/>
        </w:rPr>
        <w:t xml:space="preserve"> </w:t>
      </w:r>
    </w:p>
    <w:p w14:paraId="21734FED" w14:textId="2854836B" w:rsidR="005E6F3F" w:rsidRPr="00771A16" w:rsidRDefault="005E6F3F" w:rsidP="003C7F06">
      <w:pPr>
        <w:rPr>
          <w:noProof/>
          <w:sz w:val="22"/>
          <w:szCs w:val="22"/>
        </w:rPr>
      </w:pPr>
    </w:p>
    <w:p w14:paraId="0BCA2B73" w14:textId="1F762003" w:rsidR="004C263F" w:rsidRPr="00771A16" w:rsidRDefault="00737E66" w:rsidP="006C2940">
      <w:pPr>
        <w:rPr>
          <w:sz w:val="22"/>
          <w:szCs w:val="22"/>
        </w:rPr>
      </w:pPr>
      <w:r w:rsidRPr="00771A16">
        <w:rPr>
          <w:noProof/>
          <w:sz w:val="22"/>
          <w:szCs w:val="22"/>
        </w:rPr>
        <w:t>Para el ejercicio s</w:t>
      </w:r>
      <w:r w:rsidR="00030F5D" w:rsidRPr="00771A16">
        <w:rPr>
          <w:noProof/>
          <w:sz w:val="22"/>
          <w:szCs w:val="22"/>
        </w:rPr>
        <w:t>e</w:t>
      </w:r>
      <w:r w:rsidR="00030F5D" w:rsidRPr="00771A16">
        <w:rPr>
          <w:sz w:val="22"/>
          <w:szCs w:val="22"/>
        </w:rPr>
        <w:t xml:space="preserve"> </w:t>
      </w:r>
      <w:r w:rsidR="00421993" w:rsidRPr="00771A16">
        <w:rPr>
          <w:sz w:val="22"/>
          <w:szCs w:val="22"/>
        </w:rPr>
        <w:t>utiliza</w:t>
      </w:r>
      <w:r w:rsidR="00030F5D" w:rsidRPr="00771A16">
        <w:rPr>
          <w:sz w:val="22"/>
          <w:szCs w:val="22"/>
        </w:rPr>
        <w:t xml:space="preserve"> </w:t>
      </w:r>
      <w:r w:rsidR="00421993" w:rsidRPr="00771A16">
        <w:rPr>
          <w:sz w:val="22"/>
          <w:szCs w:val="22"/>
        </w:rPr>
        <w:t>lo siguiente:</w:t>
      </w:r>
      <w:r w:rsidR="004048A4" w:rsidRPr="00771A16">
        <w:rPr>
          <w:sz w:val="22"/>
          <w:szCs w:val="22"/>
        </w:rPr>
        <w:t xml:space="preserve"> </w:t>
      </w:r>
    </w:p>
    <w:p w14:paraId="7D307933" w14:textId="77777777" w:rsidR="004C263F" w:rsidRPr="00771A16" w:rsidRDefault="004C263F" w:rsidP="00270FD4">
      <w:pPr>
        <w:ind w:left="360"/>
        <w:rPr>
          <w:sz w:val="22"/>
          <w:szCs w:val="22"/>
        </w:rPr>
      </w:pPr>
    </w:p>
    <w:p w14:paraId="0C35F326" w14:textId="2CDB1EA8" w:rsidR="00F76D79" w:rsidRDefault="004C263F" w:rsidP="00F76D79">
      <w:pPr>
        <w:pStyle w:val="Prrafodelista"/>
        <w:numPr>
          <w:ilvl w:val="0"/>
          <w:numId w:val="14"/>
        </w:numPr>
        <w:ind w:left="567" w:hanging="567"/>
        <w:rPr>
          <w:noProof/>
          <w:sz w:val="22"/>
          <w:szCs w:val="22"/>
        </w:rPr>
      </w:pPr>
      <w:r w:rsidRPr="00C23839">
        <w:rPr>
          <w:sz w:val="22"/>
          <w:szCs w:val="22"/>
        </w:rPr>
        <w:t>En</w:t>
      </w:r>
      <w:r w:rsidR="004048A4" w:rsidRPr="00C23839">
        <w:rPr>
          <w:sz w:val="22"/>
          <w:szCs w:val="22"/>
        </w:rPr>
        <w:t xml:space="preserve"> cuanto a la oferta</w:t>
      </w:r>
      <w:r w:rsidRPr="00C23839">
        <w:rPr>
          <w:sz w:val="22"/>
          <w:szCs w:val="22"/>
        </w:rPr>
        <w:t xml:space="preserve"> de gas natural</w:t>
      </w:r>
      <w:r w:rsidR="00D93196" w:rsidRPr="00C23839">
        <w:rPr>
          <w:sz w:val="22"/>
          <w:szCs w:val="22"/>
        </w:rPr>
        <w:t xml:space="preserve"> potencialmente contratable en firme</w:t>
      </w:r>
      <w:r w:rsidR="004048A4" w:rsidRPr="00C23839">
        <w:rPr>
          <w:sz w:val="22"/>
          <w:szCs w:val="22"/>
        </w:rPr>
        <w:t xml:space="preserve">, se </w:t>
      </w:r>
      <w:r w:rsidR="002E5A0C" w:rsidRPr="00C23839">
        <w:rPr>
          <w:sz w:val="22"/>
          <w:szCs w:val="22"/>
        </w:rPr>
        <w:t xml:space="preserve">utilizó </w:t>
      </w:r>
      <w:r w:rsidR="004048A4" w:rsidRPr="00C23839">
        <w:rPr>
          <w:sz w:val="22"/>
          <w:szCs w:val="22"/>
        </w:rPr>
        <w:t xml:space="preserve">la información de las cantidades </w:t>
      </w:r>
      <w:r w:rsidR="00D93196" w:rsidRPr="00C23839">
        <w:rPr>
          <w:sz w:val="22"/>
          <w:szCs w:val="22"/>
        </w:rPr>
        <w:t xml:space="preserve">declaradas como Potencial de Producción de gas natural – PP al Ministerio de Minas y Energía </w:t>
      </w:r>
      <w:r w:rsidR="00C23839" w:rsidRPr="00C23839">
        <w:rPr>
          <w:sz w:val="22"/>
          <w:szCs w:val="22"/>
        </w:rPr>
        <w:t xml:space="preserve">– MME </w:t>
      </w:r>
      <w:r w:rsidR="00D93196" w:rsidRPr="00C23839">
        <w:rPr>
          <w:sz w:val="22"/>
          <w:szCs w:val="22"/>
        </w:rPr>
        <w:t xml:space="preserve">en el año 2022, considerando todas las resoluciones de ajuste publicadas en dicho año. </w:t>
      </w:r>
      <w:r w:rsidR="00C23839" w:rsidRPr="00C23839">
        <w:rPr>
          <w:sz w:val="22"/>
          <w:szCs w:val="22"/>
        </w:rPr>
        <w:t>Según las definiciones del MME</w:t>
      </w:r>
      <w:r w:rsidR="00F76D79">
        <w:rPr>
          <w:sz w:val="22"/>
          <w:szCs w:val="22"/>
        </w:rPr>
        <w:t>,</w:t>
      </w:r>
      <w:r w:rsidR="00C23839" w:rsidRPr="00C23839">
        <w:rPr>
          <w:sz w:val="22"/>
          <w:szCs w:val="22"/>
        </w:rPr>
        <w:t xml:space="preserve"> el PP de un campo</w:t>
      </w:r>
      <w:r w:rsidR="00C23839">
        <w:rPr>
          <w:sz w:val="22"/>
          <w:szCs w:val="22"/>
        </w:rPr>
        <w:t xml:space="preserve"> </w:t>
      </w:r>
      <w:r w:rsidR="00C23839" w:rsidRPr="00C23839">
        <w:rPr>
          <w:sz w:val="22"/>
          <w:szCs w:val="22"/>
        </w:rPr>
        <w:t>corresponde a la suma de la PC</w:t>
      </w:r>
      <w:r w:rsidR="00C23839">
        <w:rPr>
          <w:sz w:val="22"/>
          <w:szCs w:val="22"/>
        </w:rPr>
        <w:t xml:space="preserve"> (producción comprometida en contratos firmes o que garanticen firmeza</w:t>
      </w:r>
      <w:r w:rsidR="00F76D79">
        <w:rPr>
          <w:sz w:val="22"/>
          <w:szCs w:val="22"/>
        </w:rPr>
        <w:t xml:space="preserve"> y autoconsumo en refinerías</w:t>
      </w:r>
      <w:r w:rsidR="00C23839">
        <w:rPr>
          <w:sz w:val="22"/>
          <w:szCs w:val="22"/>
        </w:rPr>
        <w:t>)</w:t>
      </w:r>
      <w:r w:rsidR="00C23839" w:rsidRPr="00C23839">
        <w:rPr>
          <w:sz w:val="22"/>
          <w:szCs w:val="22"/>
        </w:rPr>
        <w:t xml:space="preserve">, la PTDV </w:t>
      </w:r>
      <w:r w:rsidR="00C23839">
        <w:rPr>
          <w:sz w:val="22"/>
          <w:szCs w:val="22"/>
        </w:rPr>
        <w:t xml:space="preserve">(potencial total disponible para la venta) </w:t>
      </w:r>
      <w:r w:rsidR="00C23839" w:rsidRPr="00C23839">
        <w:rPr>
          <w:sz w:val="22"/>
          <w:szCs w:val="22"/>
        </w:rPr>
        <w:t>y el Gas Natural de Propiedad del Estado</w:t>
      </w:r>
      <w:r w:rsidR="00C23839">
        <w:rPr>
          <w:sz w:val="22"/>
          <w:szCs w:val="22"/>
        </w:rPr>
        <w:t xml:space="preserve">, con corte </w:t>
      </w:r>
      <w:r w:rsidR="00C23839" w:rsidRPr="00C23839">
        <w:rPr>
          <w:sz w:val="22"/>
          <w:szCs w:val="22"/>
        </w:rPr>
        <w:t>a la fecha de declaración</w:t>
      </w:r>
      <w:r w:rsidR="00F76D79">
        <w:rPr>
          <w:sz w:val="22"/>
          <w:szCs w:val="22"/>
        </w:rPr>
        <w:t xml:space="preserve">. </w:t>
      </w:r>
      <w:r w:rsidR="007A489B">
        <w:rPr>
          <w:sz w:val="22"/>
          <w:szCs w:val="22"/>
        </w:rPr>
        <w:t xml:space="preserve">En las declaraciones de potencial de producción se debe tener en cuenta que también se reportan </w:t>
      </w:r>
      <w:r w:rsidR="007A489B" w:rsidRPr="007A489B">
        <w:rPr>
          <w:sz w:val="22"/>
          <w:szCs w:val="22"/>
        </w:rPr>
        <w:t xml:space="preserve">Cantidades Importadas Disponibles para la Venta </w:t>
      </w:r>
      <w:r w:rsidR="007A489B">
        <w:rPr>
          <w:sz w:val="22"/>
          <w:szCs w:val="22"/>
        </w:rPr>
        <w:t>–</w:t>
      </w:r>
      <w:r w:rsidR="007A489B" w:rsidRPr="007A489B">
        <w:rPr>
          <w:sz w:val="22"/>
          <w:szCs w:val="22"/>
        </w:rPr>
        <w:t xml:space="preserve"> CIDV</w:t>
      </w:r>
      <w:r w:rsidR="007A489B">
        <w:rPr>
          <w:rStyle w:val="Refdenotaalpie"/>
          <w:sz w:val="22"/>
          <w:szCs w:val="22"/>
        </w:rPr>
        <w:footnoteReference w:id="2"/>
      </w:r>
      <w:r w:rsidR="007A489B">
        <w:rPr>
          <w:sz w:val="22"/>
          <w:szCs w:val="22"/>
        </w:rPr>
        <w:t>.</w:t>
      </w:r>
    </w:p>
    <w:p w14:paraId="614271F3" w14:textId="7EC5761A" w:rsidR="00F76D79" w:rsidRDefault="00F76D79" w:rsidP="00F76D79">
      <w:pPr>
        <w:pStyle w:val="Prrafodelista"/>
        <w:ind w:left="709"/>
        <w:rPr>
          <w:noProof/>
          <w:sz w:val="22"/>
          <w:szCs w:val="22"/>
        </w:rPr>
      </w:pPr>
    </w:p>
    <w:p w14:paraId="780BF06C" w14:textId="44EAE242" w:rsidR="00D93196" w:rsidRPr="00F76D79" w:rsidRDefault="00F76D79" w:rsidP="00F76D79">
      <w:pPr>
        <w:pStyle w:val="Prrafodelista"/>
        <w:ind w:left="567"/>
        <w:rPr>
          <w:noProof/>
          <w:sz w:val="22"/>
          <w:szCs w:val="22"/>
        </w:rPr>
      </w:pPr>
      <w:r>
        <w:rPr>
          <w:noProof/>
          <w:sz w:val="22"/>
          <w:szCs w:val="22"/>
        </w:rPr>
        <w:t xml:space="preserve">Se asumió que la PTDV es igual a la PTDVF, lo cual es conservador porque se encuentran campos en que la PTDV es superior a la PTDVF. </w:t>
      </w:r>
      <w:r w:rsidRPr="00F76D79">
        <w:rPr>
          <w:sz w:val="22"/>
          <w:szCs w:val="22"/>
        </w:rPr>
        <w:t xml:space="preserve">No se utilizó la información de PC </w:t>
      </w:r>
      <w:r w:rsidR="007248E6">
        <w:rPr>
          <w:sz w:val="22"/>
          <w:szCs w:val="22"/>
        </w:rPr>
        <w:t xml:space="preserve">diferente a autoconsumos en refinerías, </w:t>
      </w:r>
      <w:r w:rsidRPr="00F76D79">
        <w:rPr>
          <w:sz w:val="22"/>
          <w:szCs w:val="22"/>
        </w:rPr>
        <w:t xml:space="preserve">ni de PTDVF porque se encontraron inconsistencias importantes entre los datos de PC y los datos de contratos registrados ante el </w:t>
      </w:r>
      <w:r w:rsidR="005114C6">
        <w:rPr>
          <w:sz w:val="22"/>
          <w:szCs w:val="22"/>
        </w:rPr>
        <w:t>Gestor del Mercado</w:t>
      </w:r>
      <w:r w:rsidRPr="00F76D79">
        <w:rPr>
          <w:sz w:val="22"/>
          <w:szCs w:val="22"/>
        </w:rPr>
        <w:t>, y entre los datos actualizados de PTDVF y contratos con garantía de firmeza, que no dan confianza para su uso en esta estimación.</w:t>
      </w:r>
      <w:r w:rsidR="00C23839" w:rsidRPr="00F76D79">
        <w:rPr>
          <w:sz w:val="22"/>
          <w:szCs w:val="22"/>
        </w:rPr>
        <w:t xml:space="preserve"> </w:t>
      </w:r>
    </w:p>
    <w:p w14:paraId="2BEA2D0E" w14:textId="77777777" w:rsidR="00C23839" w:rsidRDefault="00C23839" w:rsidP="00F76D79">
      <w:pPr>
        <w:pStyle w:val="Prrafodelista"/>
        <w:ind w:left="567"/>
        <w:rPr>
          <w:noProof/>
          <w:sz w:val="22"/>
          <w:szCs w:val="22"/>
        </w:rPr>
      </w:pPr>
    </w:p>
    <w:p w14:paraId="38931744" w14:textId="5279ED92" w:rsidR="00614759" w:rsidRPr="00771A16" w:rsidRDefault="004048A4">
      <w:pPr>
        <w:pStyle w:val="Prrafodelista"/>
        <w:numPr>
          <w:ilvl w:val="0"/>
          <w:numId w:val="14"/>
        </w:numPr>
        <w:ind w:left="567" w:hanging="567"/>
        <w:rPr>
          <w:sz w:val="22"/>
          <w:szCs w:val="22"/>
        </w:rPr>
      </w:pPr>
      <w:r w:rsidRPr="00771A16">
        <w:rPr>
          <w:sz w:val="22"/>
          <w:szCs w:val="22"/>
        </w:rPr>
        <w:t xml:space="preserve">En cuanto a la demanda de gas natural </w:t>
      </w:r>
      <w:r w:rsidR="00737E66" w:rsidRPr="00771A16">
        <w:rPr>
          <w:sz w:val="22"/>
          <w:szCs w:val="22"/>
        </w:rPr>
        <w:t xml:space="preserve">a </w:t>
      </w:r>
      <w:r w:rsidR="00B31A6C" w:rsidRPr="00771A16">
        <w:rPr>
          <w:sz w:val="22"/>
          <w:szCs w:val="22"/>
        </w:rPr>
        <w:t>contrata</w:t>
      </w:r>
      <w:r w:rsidR="00737E66" w:rsidRPr="00771A16">
        <w:rPr>
          <w:sz w:val="22"/>
          <w:szCs w:val="22"/>
        </w:rPr>
        <w:t>r</w:t>
      </w:r>
      <w:r w:rsidR="00B31A6C" w:rsidRPr="00771A16">
        <w:rPr>
          <w:sz w:val="22"/>
          <w:szCs w:val="22"/>
        </w:rPr>
        <w:t xml:space="preserve"> </w:t>
      </w:r>
      <w:r w:rsidR="002F3910" w:rsidRPr="00771A16">
        <w:rPr>
          <w:sz w:val="22"/>
          <w:szCs w:val="22"/>
        </w:rPr>
        <w:t xml:space="preserve">es importante destacar que no se cuenta con información directa </w:t>
      </w:r>
      <w:r w:rsidR="00F33227" w:rsidRPr="00771A16">
        <w:rPr>
          <w:sz w:val="22"/>
          <w:szCs w:val="22"/>
        </w:rPr>
        <w:t>declarada por</w:t>
      </w:r>
      <w:r w:rsidR="002F3910" w:rsidRPr="00771A16">
        <w:rPr>
          <w:sz w:val="22"/>
          <w:szCs w:val="22"/>
        </w:rPr>
        <w:t xml:space="preserve"> parte de los comercializadores de gas, respecto de las expectativas de demanda a atender en el corto, mediano y largo plazo. Es por ello que </w:t>
      </w:r>
      <w:r w:rsidRPr="00771A16">
        <w:rPr>
          <w:sz w:val="22"/>
          <w:szCs w:val="22"/>
        </w:rPr>
        <w:t xml:space="preserve">se tomó la información </w:t>
      </w:r>
      <w:r w:rsidR="00F33227" w:rsidRPr="00771A16">
        <w:rPr>
          <w:sz w:val="22"/>
          <w:szCs w:val="22"/>
        </w:rPr>
        <w:t xml:space="preserve">en archivos Excel </w:t>
      </w:r>
      <w:r w:rsidRPr="00771A16">
        <w:rPr>
          <w:sz w:val="22"/>
          <w:szCs w:val="22"/>
        </w:rPr>
        <w:t xml:space="preserve">publicada en junio de 2021 por la UPME </w:t>
      </w:r>
      <w:r w:rsidR="00F33227" w:rsidRPr="00771A16">
        <w:rPr>
          <w:sz w:val="22"/>
          <w:szCs w:val="22"/>
        </w:rPr>
        <w:t xml:space="preserve">como </w:t>
      </w:r>
      <w:r w:rsidR="00F33227" w:rsidRPr="007248E6">
        <w:rPr>
          <w:sz w:val="22"/>
          <w:szCs w:val="22"/>
        </w:rPr>
        <w:t>anexo a</w:t>
      </w:r>
      <w:r w:rsidRPr="007248E6">
        <w:rPr>
          <w:sz w:val="22"/>
          <w:szCs w:val="22"/>
        </w:rPr>
        <w:t>l documento “</w:t>
      </w:r>
      <w:r w:rsidRPr="007248E6">
        <w:rPr>
          <w:i/>
          <w:iCs/>
          <w:sz w:val="22"/>
          <w:szCs w:val="22"/>
        </w:rPr>
        <w:t xml:space="preserve">Proyección </w:t>
      </w:r>
      <w:r w:rsidR="007248E6" w:rsidRPr="007248E6">
        <w:rPr>
          <w:i/>
          <w:iCs/>
          <w:sz w:val="22"/>
          <w:szCs w:val="22"/>
        </w:rPr>
        <w:t xml:space="preserve">de </w:t>
      </w:r>
      <w:r w:rsidRPr="007248E6">
        <w:rPr>
          <w:i/>
          <w:iCs/>
          <w:sz w:val="22"/>
          <w:szCs w:val="22"/>
        </w:rPr>
        <w:t xml:space="preserve">Demanda </w:t>
      </w:r>
      <w:r w:rsidR="007248E6" w:rsidRPr="007248E6">
        <w:rPr>
          <w:i/>
          <w:iCs/>
          <w:sz w:val="22"/>
          <w:szCs w:val="22"/>
        </w:rPr>
        <w:t>de Energéticos</w:t>
      </w:r>
      <w:r w:rsidRPr="007248E6">
        <w:rPr>
          <w:i/>
          <w:iCs/>
          <w:sz w:val="22"/>
          <w:szCs w:val="22"/>
        </w:rPr>
        <w:t xml:space="preserve"> 202</w:t>
      </w:r>
      <w:r w:rsidR="007248E6" w:rsidRPr="007248E6">
        <w:rPr>
          <w:i/>
          <w:iCs/>
          <w:sz w:val="22"/>
          <w:szCs w:val="22"/>
        </w:rPr>
        <w:t>2</w:t>
      </w:r>
      <w:r w:rsidRPr="007248E6">
        <w:rPr>
          <w:i/>
          <w:iCs/>
          <w:sz w:val="22"/>
          <w:szCs w:val="22"/>
        </w:rPr>
        <w:t xml:space="preserve"> – </w:t>
      </w:r>
      <w:proofErr w:type="gramStart"/>
      <w:r w:rsidRPr="007248E6">
        <w:rPr>
          <w:i/>
          <w:iCs/>
          <w:sz w:val="22"/>
          <w:szCs w:val="22"/>
        </w:rPr>
        <w:t>203</w:t>
      </w:r>
      <w:r w:rsidR="007248E6" w:rsidRPr="007248E6">
        <w:rPr>
          <w:i/>
          <w:iCs/>
          <w:sz w:val="22"/>
          <w:szCs w:val="22"/>
        </w:rPr>
        <w:t>6</w:t>
      </w:r>
      <w:r w:rsidRPr="007248E6">
        <w:rPr>
          <w:sz w:val="22"/>
          <w:szCs w:val="22"/>
        </w:rPr>
        <w:t>”  (</w:t>
      </w:r>
      <w:proofErr w:type="gramEnd"/>
      <w:r w:rsidR="007248E6" w:rsidRPr="007248E6">
        <w:rPr>
          <w:sz w:val="22"/>
          <w:szCs w:val="22"/>
        </w:rPr>
        <w:t>https://www1.upme.gov.co/DemandayEficiencia/Documents/Presentacion_Proyeccion_demanda_energeticos_2022.pdf</w:t>
      </w:r>
      <w:r w:rsidRPr="007248E6">
        <w:rPr>
          <w:sz w:val="22"/>
          <w:szCs w:val="22"/>
        </w:rPr>
        <w:t>),</w:t>
      </w:r>
      <w:r w:rsidRPr="00771A16">
        <w:rPr>
          <w:sz w:val="22"/>
          <w:szCs w:val="22"/>
        </w:rPr>
        <w:t xml:space="preserve"> para estimar las necesidades de</w:t>
      </w:r>
      <w:r w:rsidR="00B31A6C" w:rsidRPr="00771A16">
        <w:rPr>
          <w:sz w:val="22"/>
          <w:szCs w:val="22"/>
        </w:rPr>
        <w:t xml:space="preserve"> contratación de</w:t>
      </w:r>
      <w:r w:rsidRPr="00771A16">
        <w:rPr>
          <w:sz w:val="22"/>
          <w:szCs w:val="22"/>
        </w:rPr>
        <w:t xml:space="preserve"> la demanda en el escenario medio de gas natural.</w:t>
      </w:r>
      <w:r w:rsidR="007F1A15" w:rsidRPr="00771A16">
        <w:rPr>
          <w:sz w:val="22"/>
          <w:szCs w:val="22"/>
        </w:rPr>
        <w:t xml:space="preserve"> </w:t>
      </w:r>
    </w:p>
    <w:p w14:paraId="327DCF6B" w14:textId="77777777" w:rsidR="00614759" w:rsidRPr="00771A16" w:rsidRDefault="00614759" w:rsidP="00A17395">
      <w:pPr>
        <w:pStyle w:val="Prrafodelista"/>
        <w:ind w:left="567" w:hanging="567"/>
        <w:rPr>
          <w:sz w:val="22"/>
          <w:szCs w:val="22"/>
        </w:rPr>
      </w:pPr>
    </w:p>
    <w:p w14:paraId="533EED9F" w14:textId="2B0EBED9" w:rsidR="005915DF" w:rsidRPr="00771A16" w:rsidRDefault="001C34D6" w:rsidP="00A17395">
      <w:pPr>
        <w:pStyle w:val="Prrafodelista"/>
        <w:ind w:left="567"/>
        <w:rPr>
          <w:sz w:val="22"/>
          <w:szCs w:val="22"/>
        </w:rPr>
      </w:pPr>
      <w:r w:rsidRPr="00771A16">
        <w:rPr>
          <w:sz w:val="22"/>
          <w:szCs w:val="22"/>
        </w:rPr>
        <w:t xml:space="preserve">A pesar </w:t>
      </w:r>
      <w:r w:rsidR="005915DF" w:rsidRPr="00771A16">
        <w:rPr>
          <w:sz w:val="22"/>
          <w:szCs w:val="22"/>
        </w:rPr>
        <w:t xml:space="preserve">de </w:t>
      </w:r>
      <w:r w:rsidRPr="00771A16">
        <w:rPr>
          <w:sz w:val="22"/>
          <w:szCs w:val="22"/>
        </w:rPr>
        <w:t xml:space="preserve">que se encuentran publicadas en </w:t>
      </w:r>
      <w:r w:rsidR="005915DF" w:rsidRPr="00771A16">
        <w:rPr>
          <w:sz w:val="22"/>
          <w:szCs w:val="22"/>
        </w:rPr>
        <w:t>l</w:t>
      </w:r>
      <w:r w:rsidRPr="00771A16">
        <w:rPr>
          <w:sz w:val="22"/>
          <w:szCs w:val="22"/>
        </w:rPr>
        <w:t>os anexos</w:t>
      </w:r>
      <w:r w:rsidR="005915DF" w:rsidRPr="00771A16">
        <w:rPr>
          <w:sz w:val="22"/>
          <w:szCs w:val="22"/>
        </w:rPr>
        <w:t xml:space="preserve"> de la UPME</w:t>
      </w:r>
      <w:r w:rsidRPr="00771A16">
        <w:rPr>
          <w:sz w:val="22"/>
          <w:szCs w:val="22"/>
        </w:rPr>
        <w:t>, n</w:t>
      </w:r>
      <w:r w:rsidR="007F1A15" w:rsidRPr="00771A16">
        <w:rPr>
          <w:sz w:val="22"/>
          <w:szCs w:val="22"/>
        </w:rPr>
        <w:t xml:space="preserve">o se incluyeron </w:t>
      </w:r>
      <w:r w:rsidRPr="00771A16">
        <w:rPr>
          <w:sz w:val="22"/>
          <w:szCs w:val="22"/>
        </w:rPr>
        <w:t xml:space="preserve">para el presente ejercicio </w:t>
      </w:r>
      <w:r w:rsidR="007F1A15" w:rsidRPr="00771A16">
        <w:rPr>
          <w:sz w:val="22"/>
          <w:szCs w:val="22"/>
        </w:rPr>
        <w:t>l</w:t>
      </w:r>
      <w:r w:rsidR="00614759" w:rsidRPr="00771A16">
        <w:rPr>
          <w:sz w:val="22"/>
          <w:szCs w:val="22"/>
        </w:rPr>
        <w:t xml:space="preserve">as cantidades de </w:t>
      </w:r>
      <w:r w:rsidR="004048A4" w:rsidRPr="00771A16">
        <w:rPr>
          <w:sz w:val="22"/>
          <w:szCs w:val="22"/>
        </w:rPr>
        <w:t xml:space="preserve">las </w:t>
      </w:r>
      <w:r w:rsidR="007F1A15" w:rsidRPr="00771A16">
        <w:rPr>
          <w:sz w:val="22"/>
          <w:szCs w:val="22"/>
        </w:rPr>
        <w:t>demandas</w:t>
      </w:r>
      <w:r w:rsidR="004048A4" w:rsidRPr="00771A16">
        <w:rPr>
          <w:sz w:val="22"/>
          <w:szCs w:val="22"/>
        </w:rPr>
        <w:t xml:space="preserve"> proyectadas </w:t>
      </w:r>
      <w:r w:rsidR="007F1A15" w:rsidRPr="00771A16">
        <w:rPr>
          <w:sz w:val="22"/>
          <w:szCs w:val="22"/>
        </w:rPr>
        <w:t>para</w:t>
      </w:r>
      <w:r w:rsidR="004048A4" w:rsidRPr="00771A16">
        <w:rPr>
          <w:sz w:val="22"/>
          <w:szCs w:val="22"/>
        </w:rPr>
        <w:t xml:space="preserve"> </w:t>
      </w:r>
      <w:r w:rsidR="007248E6">
        <w:rPr>
          <w:sz w:val="22"/>
          <w:szCs w:val="22"/>
        </w:rPr>
        <w:t>el sector petrolero</w:t>
      </w:r>
      <w:r w:rsidR="005915DF" w:rsidRPr="00771A16">
        <w:rPr>
          <w:sz w:val="22"/>
          <w:szCs w:val="22"/>
        </w:rPr>
        <w:t>. Lo anterior</w:t>
      </w:r>
      <w:r w:rsidR="007248E6">
        <w:rPr>
          <w:sz w:val="22"/>
          <w:szCs w:val="22"/>
        </w:rPr>
        <w:t xml:space="preserve"> </w:t>
      </w:r>
      <w:r w:rsidRPr="00771A16">
        <w:rPr>
          <w:sz w:val="22"/>
          <w:szCs w:val="22"/>
        </w:rPr>
        <w:t xml:space="preserve">asumiendo que las </w:t>
      </w:r>
      <w:r w:rsidR="007248E6">
        <w:rPr>
          <w:sz w:val="22"/>
          <w:szCs w:val="22"/>
        </w:rPr>
        <w:t>cantidades del sector petrolero</w:t>
      </w:r>
      <w:r w:rsidRPr="00771A16">
        <w:rPr>
          <w:sz w:val="22"/>
          <w:szCs w:val="22"/>
        </w:rPr>
        <w:t xml:space="preserve"> no son adquiridas en el mercado </w:t>
      </w:r>
      <w:proofErr w:type="gramStart"/>
      <w:r w:rsidRPr="00771A16">
        <w:rPr>
          <w:sz w:val="22"/>
          <w:szCs w:val="22"/>
        </w:rPr>
        <w:t>mayorista</w:t>
      </w:r>
      <w:proofErr w:type="gramEnd"/>
      <w:r w:rsidRPr="00771A16">
        <w:rPr>
          <w:sz w:val="22"/>
          <w:szCs w:val="22"/>
        </w:rPr>
        <w:t xml:space="preserve"> sino que son descontadas por los productores del potencial de producción para determinar las cantidades disponibles para la venta, ya sea para uso en campos de producción o para uso en refinerías de su propiedad.</w:t>
      </w:r>
      <w:r w:rsidR="00E3420A" w:rsidRPr="00771A16">
        <w:rPr>
          <w:sz w:val="22"/>
          <w:szCs w:val="22"/>
        </w:rPr>
        <w:t xml:space="preserve"> </w:t>
      </w:r>
      <w:r w:rsidR="007248E6">
        <w:rPr>
          <w:sz w:val="22"/>
          <w:szCs w:val="22"/>
        </w:rPr>
        <w:t>Como se mencionó anteriormente en el numeral i.), al potencial de producción se le restaron las cantidades PC de refinerías para hacer comprables los datos.</w:t>
      </w:r>
    </w:p>
    <w:p w14:paraId="0F715D81" w14:textId="77777777" w:rsidR="005915DF" w:rsidRPr="00771A16" w:rsidRDefault="005915DF" w:rsidP="00A17395">
      <w:pPr>
        <w:pStyle w:val="Prrafodelista"/>
        <w:ind w:left="567" w:hanging="567"/>
        <w:rPr>
          <w:sz w:val="22"/>
          <w:szCs w:val="22"/>
        </w:rPr>
      </w:pPr>
    </w:p>
    <w:p w14:paraId="08580802" w14:textId="18A3EF9C" w:rsidR="00943362" w:rsidRDefault="004048A4">
      <w:pPr>
        <w:pStyle w:val="Prrafodelista"/>
        <w:numPr>
          <w:ilvl w:val="0"/>
          <w:numId w:val="14"/>
        </w:numPr>
        <w:ind w:left="567" w:hanging="567"/>
        <w:rPr>
          <w:sz w:val="22"/>
          <w:szCs w:val="22"/>
        </w:rPr>
      </w:pPr>
      <w:r w:rsidRPr="00771A16">
        <w:rPr>
          <w:sz w:val="22"/>
          <w:szCs w:val="22"/>
        </w:rPr>
        <w:t xml:space="preserve">Se asume </w:t>
      </w:r>
      <w:r w:rsidR="002F3910" w:rsidRPr="00771A16">
        <w:rPr>
          <w:sz w:val="22"/>
          <w:szCs w:val="22"/>
        </w:rPr>
        <w:t xml:space="preserve">para este ejercicio </w:t>
      </w:r>
      <w:r w:rsidRPr="00771A16">
        <w:rPr>
          <w:sz w:val="22"/>
          <w:szCs w:val="22"/>
        </w:rPr>
        <w:t xml:space="preserve">que las cantidades de la demanda proyectada </w:t>
      </w:r>
      <w:r w:rsidR="007248E6">
        <w:rPr>
          <w:sz w:val="22"/>
          <w:szCs w:val="22"/>
        </w:rPr>
        <w:t xml:space="preserve">por la UPME </w:t>
      </w:r>
      <w:r w:rsidRPr="00771A16">
        <w:rPr>
          <w:sz w:val="22"/>
          <w:szCs w:val="22"/>
        </w:rPr>
        <w:t>será contratada en su totalidad con garantía de firmeza, lo cual es conservador en el sentido de que</w:t>
      </w:r>
      <w:r w:rsidR="007248E6">
        <w:rPr>
          <w:sz w:val="22"/>
          <w:szCs w:val="22"/>
        </w:rPr>
        <w:t>, como se muestra más adelante, los agentes no contratan sobre la base de un promedio de consumo mensual, sino sobre la base de un valor pico o cercano al pico diario</w:t>
      </w:r>
      <w:r w:rsidR="00610FDE" w:rsidRPr="00771A16">
        <w:rPr>
          <w:sz w:val="22"/>
          <w:szCs w:val="22"/>
        </w:rPr>
        <w:t>.</w:t>
      </w:r>
      <w:r w:rsidR="007248E6">
        <w:rPr>
          <w:sz w:val="22"/>
          <w:szCs w:val="22"/>
        </w:rPr>
        <w:t xml:space="preserve"> Esto implica que cuando se observe la contratación del sector lo normal es que la misma sea superior a la demanda proyectada por la UPME.</w:t>
      </w:r>
      <w:r w:rsidR="00610FDE" w:rsidRPr="00771A16">
        <w:rPr>
          <w:sz w:val="22"/>
          <w:szCs w:val="22"/>
        </w:rPr>
        <w:t xml:space="preserve"> </w:t>
      </w:r>
    </w:p>
    <w:p w14:paraId="642BE6D9" w14:textId="77777777" w:rsidR="006D452A" w:rsidRDefault="006D452A" w:rsidP="006D452A">
      <w:pPr>
        <w:pStyle w:val="Prrafodelista"/>
        <w:ind w:left="567"/>
        <w:rPr>
          <w:sz w:val="22"/>
          <w:szCs w:val="22"/>
        </w:rPr>
      </w:pPr>
    </w:p>
    <w:p w14:paraId="347A2C71" w14:textId="37B636AC" w:rsidR="006D452A" w:rsidRPr="00771A16" w:rsidRDefault="006D452A">
      <w:pPr>
        <w:pStyle w:val="Prrafodelista"/>
        <w:numPr>
          <w:ilvl w:val="0"/>
          <w:numId w:val="14"/>
        </w:numPr>
        <w:ind w:left="567" w:hanging="567"/>
        <w:rPr>
          <w:sz w:val="22"/>
          <w:szCs w:val="22"/>
        </w:rPr>
      </w:pPr>
      <w:r>
        <w:rPr>
          <w:sz w:val="22"/>
          <w:szCs w:val="22"/>
        </w:rPr>
        <w:t>No se tienen en cuenta capacidades de proyectos de infraestructura de importación de gas natural, sean estas existentes operativas, construidas no operativas o proyectos del Plan de Abastecimiento de Gas Natural, ni se presumen cantidades de gas natural obtenido en el exterior.</w:t>
      </w:r>
    </w:p>
    <w:p w14:paraId="5F300BEF" w14:textId="77777777" w:rsidR="00943362" w:rsidRPr="00771A16" w:rsidRDefault="00943362" w:rsidP="004048A4">
      <w:pPr>
        <w:ind w:left="360"/>
        <w:rPr>
          <w:sz w:val="22"/>
          <w:szCs w:val="22"/>
        </w:rPr>
      </w:pPr>
    </w:p>
    <w:p w14:paraId="6A2824AE" w14:textId="1E4EF3A3" w:rsidR="005915DF" w:rsidRPr="00771A16" w:rsidRDefault="005915DF" w:rsidP="005915DF">
      <w:pPr>
        <w:rPr>
          <w:sz w:val="22"/>
          <w:szCs w:val="22"/>
        </w:rPr>
      </w:pPr>
      <w:r w:rsidRPr="00771A16">
        <w:rPr>
          <w:sz w:val="22"/>
          <w:szCs w:val="22"/>
        </w:rPr>
        <w:t xml:space="preserve">Como se mencionó antes, con </w:t>
      </w:r>
      <w:r w:rsidR="00506A41">
        <w:rPr>
          <w:sz w:val="22"/>
          <w:szCs w:val="22"/>
        </w:rPr>
        <w:t>estos</w:t>
      </w:r>
      <w:r w:rsidRPr="00771A16">
        <w:rPr>
          <w:sz w:val="22"/>
          <w:szCs w:val="22"/>
        </w:rPr>
        <w:t xml:space="preserve"> </w:t>
      </w:r>
      <w:r w:rsidR="00373539">
        <w:rPr>
          <w:sz w:val="22"/>
          <w:szCs w:val="22"/>
        </w:rPr>
        <w:t>supuestos</w:t>
      </w:r>
      <w:r w:rsidRPr="00771A16">
        <w:rPr>
          <w:sz w:val="22"/>
          <w:szCs w:val="22"/>
        </w:rPr>
        <w:t xml:space="preserve"> se busca determinar si </w:t>
      </w:r>
      <w:r w:rsidR="009C5253" w:rsidRPr="00771A16">
        <w:rPr>
          <w:sz w:val="22"/>
          <w:szCs w:val="22"/>
        </w:rPr>
        <w:t>se podría presentar una</w:t>
      </w:r>
      <w:r w:rsidRPr="00771A16">
        <w:rPr>
          <w:sz w:val="22"/>
          <w:szCs w:val="22"/>
        </w:rPr>
        <w:t xml:space="preserve"> insuficiencia </w:t>
      </w:r>
      <w:r w:rsidR="009C5253" w:rsidRPr="00771A16">
        <w:rPr>
          <w:sz w:val="22"/>
          <w:szCs w:val="22"/>
        </w:rPr>
        <w:t>de oferta comercial</w:t>
      </w:r>
      <w:r w:rsidR="007248E6">
        <w:rPr>
          <w:sz w:val="22"/>
          <w:szCs w:val="22"/>
        </w:rPr>
        <w:t xml:space="preserve"> (no física)</w:t>
      </w:r>
      <w:r w:rsidR="00E5451B" w:rsidRPr="00771A16">
        <w:rPr>
          <w:sz w:val="22"/>
          <w:szCs w:val="22"/>
        </w:rPr>
        <w:t>,</w:t>
      </w:r>
      <w:r w:rsidR="009C5253" w:rsidRPr="00771A16">
        <w:rPr>
          <w:sz w:val="22"/>
          <w:szCs w:val="22"/>
        </w:rPr>
        <w:t xml:space="preserve"> para atender la demanda nacional total </w:t>
      </w:r>
      <w:r w:rsidRPr="00771A16">
        <w:rPr>
          <w:sz w:val="22"/>
          <w:szCs w:val="22"/>
        </w:rPr>
        <w:t xml:space="preserve">en el mediano plazo y no pretende </w:t>
      </w:r>
      <w:r w:rsidR="009C5253" w:rsidRPr="00771A16">
        <w:rPr>
          <w:sz w:val="22"/>
          <w:szCs w:val="22"/>
        </w:rPr>
        <w:t>determinar un rango específico de fechas en que dicha insuficiencia se podría presentar</w:t>
      </w:r>
      <w:r w:rsidRPr="00771A16">
        <w:rPr>
          <w:sz w:val="22"/>
          <w:szCs w:val="22"/>
        </w:rPr>
        <w:t xml:space="preserve">. </w:t>
      </w:r>
      <w:r w:rsidR="009C5253" w:rsidRPr="00771A16">
        <w:rPr>
          <w:sz w:val="22"/>
          <w:szCs w:val="22"/>
        </w:rPr>
        <w:t xml:space="preserve">Si </w:t>
      </w:r>
      <w:r w:rsidR="007248E6">
        <w:rPr>
          <w:sz w:val="22"/>
          <w:szCs w:val="22"/>
        </w:rPr>
        <w:t>el sector</w:t>
      </w:r>
      <w:r w:rsidR="009C5253" w:rsidRPr="00771A16">
        <w:rPr>
          <w:sz w:val="22"/>
          <w:szCs w:val="22"/>
        </w:rPr>
        <w:t xml:space="preserve"> petrolero adquiere finalmente el gas natural </w:t>
      </w:r>
      <w:r w:rsidR="00E5451B" w:rsidRPr="00771A16">
        <w:rPr>
          <w:sz w:val="22"/>
          <w:szCs w:val="22"/>
        </w:rPr>
        <w:t xml:space="preserve">mediante contratos de suministro firme </w:t>
      </w:r>
      <w:r w:rsidR="009C5253" w:rsidRPr="00771A16">
        <w:rPr>
          <w:sz w:val="22"/>
          <w:szCs w:val="22"/>
        </w:rPr>
        <w:t xml:space="preserve">en el mercado mayorista, lo que puede evidenciarse es que no solamente podría presentarse una insuficiencia comercial de oferta de gas en el mediano plazo, sino que ella podría presentarse antes de lo que </w:t>
      </w:r>
      <w:r w:rsidR="00D47632">
        <w:rPr>
          <w:sz w:val="22"/>
          <w:szCs w:val="22"/>
        </w:rPr>
        <w:t>se identifica en el análisis que se presenta a continuación</w:t>
      </w:r>
      <w:r w:rsidR="00B35E7C">
        <w:rPr>
          <w:sz w:val="22"/>
          <w:szCs w:val="22"/>
        </w:rPr>
        <w:t xml:space="preserve"> en la siguiente </w:t>
      </w:r>
      <w:r w:rsidR="000031CC">
        <w:rPr>
          <w:sz w:val="22"/>
          <w:szCs w:val="22"/>
        </w:rPr>
        <w:fldChar w:fldCharType="begin"/>
      </w:r>
      <w:r w:rsidR="000031CC">
        <w:rPr>
          <w:sz w:val="22"/>
          <w:szCs w:val="22"/>
        </w:rPr>
        <w:instrText xml:space="preserve"> REF _Ref129697196 \h </w:instrText>
      </w:r>
      <w:r w:rsidR="000031CC">
        <w:rPr>
          <w:sz w:val="22"/>
          <w:szCs w:val="22"/>
        </w:rPr>
      </w:r>
      <w:r w:rsidR="000031CC">
        <w:rPr>
          <w:sz w:val="22"/>
          <w:szCs w:val="22"/>
        </w:rPr>
        <w:fldChar w:fldCharType="separate"/>
      </w:r>
      <w:r w:rsidR="006B7344" w:rsidRPr="000031CC">
        <w:rPr>
          <w:sz w:val="22"/>
          <w:szCs w:val="22"/>
        </w:rPr>
        <w:t xml:space="preserve">Figura </w:t>
      </w:r>
      <w:r w:rsidR="006B7344">
        <w:rPr>
          <w:i/>
          <w:iCs/>
          <w:noProof/>
          <w:sz w:val="22"/>
          <w:szCs w:val="22"/>
        </w:rPr>
        <w:t>2</w:t>
      </w:r>
      <w:r w:rsidR="000031CC">
        <w:rPr>
          <w:sz w:val="22"/>
          <w:szCs w:val="22"/>
        </w:rPr>
        <w:fldChar w:fldCharType="end"/>
      </w:r>
      <w:r w:rsidR="00B35E7C">
        <w:rPr>
          <w:sz w:val="22"/>
          <w:szCs w:val="22"/>
        </w:rPr>
        <w:t>.</w:t>
      </w:r>
    </w:p>
    <w:p w14:paraId="010239E4" w14:textId="77777777" w:rsidR="005915DF" w:rsidRPr="00771A16" w:rsidRDefault="005915DF" w:rsidP="005915DF">
      <w:pPr>
        <w:rPr>
          <w:sz w:val="22"/>
          <w:szCs w:val="22"/>
        </w:rPr>
      </w:pPr>
    </w:p>
    <w:p w14:paraId="365910E7" w14:textId="026751A1" w:rsidR="000031CC" w:rsidRPr="000031CC" w:rsidRDefault="000031CC" w:rsidP="000031CC">
      <w:pPr>
        <w:pStyle w:val="Descripcin"/>
        <w:keepNext/>
        <w:jc w:val="center"/>
        <w:rPr>
          <w:i w:val="0"/>
          <w:iCs w:val="0"/>
          <w:sz w:val="22"/>
          <w:szCs w:val="22"/>
        </w:rPr>
      </w:pPr>
      <w:bookmarkStart w:id="59" w:name="_Ref129697196"/>
      <w:bookmarkStart w:id="60" w:name="_Toc140506595"/>
      <w:r w:rsidRPr="000031CC">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2</w:t>
      </w:r>
      <w:r w:rsidR="006B6B6C">
        <w:rPr>
          <w:i w:val="0"/>
          <w:iCs w:val="0"/>
          <w:sz w:val="22"/>
          <w:szCs w:val="22"/>
        </w:rPr>
        <w:fldChar w:fldCharType="end"/>
      </w:r>
      <w:bookmarkEnd w:id="59"/>
      <w:r w:rsidRPr="000031CC">
        <w:rPr>
          <w:i w:val="0"/>
          <w:iCs w:val="0"/>
          <w:sz w:val="22"/>
          <w:szCs w:val="22"/>
        </w:rPr>
        <w:t xml:space="preserve"> Balance Oferta comercial de gas natural versus demanda proyectada de gas natural</w:t>
      </w:r>
      <w:bookmarkEnd w:id="60"/>
    </w:p>
    <w:p w14:paraId="0D7A2AFE" w14:textId="7D958A19" w:rsidR="006019D9" w:rsidRPr="006019D9" w:rsidRDefault="006019D9" w:rsidP="006019D9">
      <w:pPr>
        <w:jc w:val="center"/>
      </w:pPr>
      <w:r w:rsidRPr="006019D9">
        <w:rPr>
          <w:noProof/>
        </w:rPr>
        <w:drawing>
          <wp:inline distT="0" distB="0" distL="0" distR="0" wp14:anchorId="6CDFDA9D" wp14:editId="5FBF1D31">
            <wp:extent cx="5114286" cy="4819048"/>
            <wp:effectExtent l="0" t="0" r="0" b="635"/>
            <wp:docPr id="19" name="Imagen 1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líneas&#10;&#10;Descripción generada automáticamente"/>
                    <pic:cNvPicPr/>
                  </pic:nvPicPr>
                  <pic:blipFill>
                    <a:blip r:embed="rId17"/>
                    <a:stretch>
                      <a:fillRect/>
                    </a:stretch>
                  </pic:blipFill>
                  <pic:spPr>
                    <a:xfrm>
                      <a:off x="0" y="0"/>
                      <a:ext cx="5114286" cy="4819048"/>
                    </a:xfrm>
                    <a:prstGeom prst="rect">
                      <a:avLst/>
                    </a:prstGeom>
                  </pic:spPr>
                </pic:pic>
              </a:graphicData>
            </a:graphic>
          </wp:inline>
        </w:drawing>
      </w:r>
    </w:p>
    <w:p w14:paraId="628E5B2A" w14:textId="77777777" w:rsidR="004048A4" w:rsidRPr="00771A16" w:rsidRDefault="004048A4" w:rsidP="004048A4">
      <w:pPr>
        <w:ind w:left="720"/>
        <w:jc w:val="center"/>
        <w:rPr>
          <w:sz w:val="22"/>
          <w:szCs w:val="22"/>
        </w:rPr>
      </w:pPr>
    </w:p>
    <w:p w14:paraId="0A4C554B" w14:textId="720AE6EB" w:rsidR="004048A4" w:rsidRDefault="00C60753" w:rsidP="006C2940">
      <w:pPr>
        <w:rPr>
          <w:sz w:val="22"/>
          <w:szCs w:val="22"/>
        </w:rPr>
      </w:pPr>
      <w:r w:rsidRPr="00771A16">
        <w:rPr>
          <w:sz w:val="22"/>
          <w:szCs w:val="22"/>
        </w:rPr>
        <w:t xml:space="preserve">De </w:t>
      </w:r>
      <w:r w:rsidR="00397A64" w:rsidRPr="00771A16">
        <w:rPr>
          <w:sz w:val="22"/>
          <w:szCs w:val="22"/>
        </w:rPr>
        <w:t>los resultados obtenidos según se muestra en</w:t>
      </w:r>
      <w:r w:rsidRPr="00771A16">
        <w:rPr>
          <w:sz w:val="22"/>
          <w:szCs w:val="22"/>
        </w:rPr>
        <w:t xml:space="preserve"> la </w:t>
      </w:r>
      <w:r w:rsidR="000031CC">
        <w:rPr>
          <w:sz w:val="22"/>
          <w:szCs w:val="22"/>
        </w:rPr>
        <w:fldChar w:fldCharType="begin"/>
      </w:r>
      <w:r w:rsidR="000031CC">
        <w:rPr>
          <w:sz w:val="22"/>
          <w:szCs w:val="22"/>
        </w:rPr>
        <w:instrText xml:space="preserve"> REF _Ref129697196 \h </w:instrText>
      </w:r>
      <w:r w:rsidR="000031CC">
        <w:rPr>
          <w:sz w:val="22"/>
          <w:szCs w:val="22"/>
        </w:rPr>
      </w:r>
      <w:r w:rsidR="000031CC">
        <w:rPr>
          <w:sz w:val="22"/>
          <w:szCs w:val="22"/>
        </w:rPr>
        <w:fldChar w:fldCharType="separate"/>
      </w:r>
      <w:r w:rsidR="006B7344" w:rsidRPr="000031CC">
        <w:rPr>
          <w:sz w:val="22"/>
          <w:szCs w:val="22"/>
        </w:rPr>
        <w:t xml:space="preserve">Figura </w:t>
      </w:r>
      <w:r w:rsidR="006B7344">
        <w:rPr>
          <w:i/>
          <w:iCs/>
          <w:noProof/>
          <w:sz w:val="22"/>
          <w:szCs w:val="22"/>
        </w:rPr>
        <w:t>2</w:t>
      </w:r>
      <w:r w:rsidR="000031CC">
        <w:rPr>
          <w:sz w:val="22"/>
          <w:szCs w:val="22"/>
        </w:rPr>
        <w:fldChar w:fldCharType="end"/>
      </w:r>
      <w:r w:rsidR="000031CC">
        <w:rPr>
          <w:sz w:val="22"/>
          <w:szCs w:val="22"/>
        </w:rPr>
        <w:t xml:space="preserve"> </w:t>
      </w:r>
      <w:r w:rsidR="00C620F6">
        <w:rPr>
          <w:sz w:val="22"/>
          <w:szCs w:val="22"/>
        </w:rPr>
        <w:t xml:space="preserve">anterior, </w:t>
      </w:r>
      <w:r w:rsidRPr="00771A16">
        <w:rPr>
          <w:sz w:val="22"/>
          <w:szCs w:val="22"/>
        </w:rPr>
        <w:t xml:space="preserve">se </w:t>
      </w:r>
      <w:r w:rsidR="007248E6">
        <w:rPr>
          <w:sz w:val="22"/>
          <w:szCs w:val="22"/>
        </w:rPr>
        <w:t>observa</w:t>
      </w:r>
      <w:r w:rsidR="004048A4" w:rsidRPr="00771A16">
        <w:rPr>
          <w:sz w:val="22"/>
          <w:szCs w:val="22"/>
        </w:rPr>
        <w:t xml:space="preserve"> que, hacia abril de 2026 en el escenario conservador planteado, </w:t>
      </w:r>
      <w:r w:rsidR="00397A64" w:rsidRPr="00771A16">
        <w:rPr>
          <w:sz w:val="22"/>
          <w:szCs w:val="22"/>
        </w:rPr>
        <w:t>se iniciaría un</w:t>
      </w:r>
      <w:r w:rsidR="004048A4" w:rsidRPr="00771A16">
        <w:rPr>
          <w:sz w:val="22"/>
          <w:szCs w:val="22"/>
        </w:rPr>
        <w:t xml:space="preserve"> déficit </w:t>
      </w:r>
      <w:r w:rsidRPr="00771A16">
        <w:rPr>
          <w:sz w:val="22"/>
          <w:szCs w:val="22"/>
        </w:rPr>
        <w:t xml:space="preserve">continuo </w:t>
      </w:r>
      <w:r w:rsidR="004048A4" w:rsidRPr="00771A16">
        <w:rPr>
          <w:sz w:val="22"/>
          <w:szCs w:val="22"/>
        </w:rPr>
        <w:t xml:space="preserve">de oferta </w:t>
      </w:r>
      <w:r w:rsidRPr="00771A16">
        <w:rPr>
          <w:sz w:val="22"/>
          <w:szCs w:val="22"/>
        </w:rPr>
        <w:t xml:space="preserve">comercial </w:t>
      </w:r>
      <w:r w:rsidR="004048A4" w:rsidRPr="00771A16">
        <w:rPr>
          <w:sz w:val="22"/>
          <w:szCs w:val="22"/>
        </w:rPr>
        <w:t>de gas natural</w:t>
      </w:r>
      <w:r w:rsidRPr="00771A16">
        <w:rPr>
          <w:sz w:val="22"/>
          <w:szCs w:val="22"/>
        </w:rPr>
        <w:t xml:space="preserve"> en firme</w:t>
      </w:r>
      <w:r w:rsidR="00BA5BF5">
        <w:rPr>
          <w:sz w:val="22"/>
          <w:szCs w:val="22"/>
        </w:rPr>
        <w:t xml:space="preserve"> para poder cubrir la totalidad de la demanda del servicio público</w:t>
      </w:r>
      <w:r w:rsidR="004048A4" w:rsidRPr="00771A16">
        <w:rPr>
          <w:sz w:val="22"/>
          <w:szCs w:val="22"/>
        </w:rPr>
        <w:t xml:space="preserve">. Esto </w:t>
      </w:r>
      <w:r w:rsidR="00BA5BF5">
        <w:rPr>
          <w:sz w:val="22"/>
          <w:szCs w:val="22"/>
        </w:rPr>
        <w:t>conduce</w:t>
      </w:r>
      <w:r w:rsidR="004048A4" w:rsidRPr="00771A16">
        <w:rPr>
          <w:sz w:val="22"/>
          <w:szCs w:val="22"/>
        </w:rPr>
        <w:t xml:space="preserve"> a que se haga necesario para la CREG establecer </w:t>
      </w:r>
      <w:r w:rsidR="004F45DD">
        <w:rPr>
          <w:sz w:val="22"/>
          <w:szCs w:val="22"/>
        </w:rPr>
        <w:t xml:space="preserve">no solamente condiciones que permitan colocar en el Mercado oferta de suministro de gas en firme de fuentes de suministro que hoy en día tiene limitaciones por sus propias particularidades, sino también  </w:t>
      </w:r>
      <w:r w:rsidR="004048A4" w:rsidRPr="00771A16">
        <w:rPr>
          <w:sz w:val="22"/>
          <w:szCs w:val="22"/>
        </w:rPr>
        <w:t>un mecanismo</w:t>
      </w:r>
      <w:r w:rsidR="007248E6">
        <w:rPr>
          <w:sz w:val="22"/>
          <w:szCs w:val="22"/>
        </w:rPr>
        <w:t xml:space="preserve"> de acceso, </w:t>
      </w:r>
      <w:r w:rsidR="004048A4" w:rsidRPr="00771A16">
        <w:rPr>
          <w:sz w:val="22"/>
          <w:szCs w:val="22"/>
        </w:rPr>
        <w:t xml:space="preserve">de </w:t>
      </w:r>
      <w:r w:rsidR="00877F73">
        <w:rPr>
          <w:sz w:val="22"/>
          <w:szCs w:val="22"/>
        </w:rPr>
        <w:t xml:space="preserve">mayor </w:t>
      </w:r>
      <w:r w:rsidR="004048A4" w:rsidRPr="00771A16">
        <w:rPr>
          <w:sz w:val="22"/>
          <w:szCs w:val="22"/>
        </w:rPr>
        <w:t>aseguramiento</w:t>
      </w:r>
      <w:r w:rsidR="00C93277">
        <w:rPr>
          <w:sz w:val="22"/>
          <w:szCs w:val="22"/>
        </w:rPr>
        <w:t xml:space="preserve"> al previsto actualmente en la regulación, </w:t>
      </w:r>
      <w:r w:rsidR="00995821">
        <w:rPr>
          <w:sz w:val="22"/>
          <w:szCs w:val="22"/>
        </w:rPr>
        <w:t xml:space="preserve">para </w:t>
      </w:r>
      <w:r w:rsidR="00C93277">
        <w:rPr>
          <w:sz w:val="22"/>
          <w:szCs w:val="22"/>
        </w:rPr>
        <w:t>la contratación del suministro de</w:t>
      </w:r>
      <w:r w:rsidR="004048A4" w:rsidRPr="00771A16">
        <w:rPr>
          <w:sz w:val="22"/>
          <w:szCs w:val="22"/>
        </w:rPr>
        <w:t xml:space="preserve"> la </w:t>
      </w:r>
      <w:r w:rsidR="00E8014D" w:rsidRPr="00771A16">
        <w:rPr>
          <w:sz w:val="22"/>
          <w:szCs w:val="22"/>
        </w:rPr>
        <w:t xml:space="preserve">Demanda </w:t>
      </w:r>
      <w:r w:rsidR="00C1382D" w:rsidRPr="00771A16">
        <w:rPr>
          <w:sz w:val="22"/>
          <w:szCs w:val="22"/>
        </w:rPr>
        <w:t>Esencial,</w:t>
      </w:r>
      <w:r w:rsidR="00C1382D">
        <w:rPr>
          <w:sz w:val="22"/>
          <w:szCs w:val="22"/>
        </w:rPr>
        <w:t xml:space="preserve"> y</w:t>
      </w:r>
      <w:r w:rsidR="00877F73">
        <w:rPr>
          <w:sz w:val="22"/>
          <w:szCs w:val="22"/>
        </w:rPr>
        <w:t xml:space="preserve"> que la disponibilidad física y comercial de gas </w:t>
      </w:r>
      <w:r w:rsidR="00417D61">
        <w:rPr>
          <w:sz w:val="22"/>
          <w:szCs w:val="22"/>
        </w:rPr>
        <w:t xml:space="preserve">natural </w:t>
      </w:r>
      <w:r w:rsidR="00877F73">
        <w:rPr>
          <w:sz w:val="22"/>
          <w:szCs w:val="22"/>
        </w:rPr>
        <w:t xml:space="preserve">se asigne prioritariamente a </w:t>
      </w:r>
      <w:r w:rsidR="00E25980">
        <w:rPr>
          <w:sz w:val="22"/>
          <w:szCs w:val="22"/>
        </w:rPr>
        <w:t>estos usuario</w:t>
      </w:r>
      <w:r w:rsidR="00C1382D">
        <w:rPr>
          <w:sz w:val="22"/>
          <w:szCs w:val="22"/>
        </w:rPr>
        <w:t xml:space="preserve">s, </w:t>
      </w:r>
      <w:r w:rsidR="004D489B" w:rsidRPr="00771A16">
        <w:rPr>
          <w:sz w:val="22"/>
          <w:szCs w:val="22"/>
        </w:rPr>
        <w:t xml:space="preserve">lo que se tratará más adelante en </w:t>
      </w:r>
      <w:r w:rsidR="00CC4848" w:rsidRPr="00771A16">
        <w:rPr>
          <w:sz w:val="22"/>
          <w:szCs w:val="22"/>
        </w:rPr>
        <w:t>el</w:t>
      </w:r>
      <w:r w:rsidR="004D489B" w:rsidRPr="00771A16">
        <w:rPr>
          <w:sz w:val="22"/>
          <w:szCs w:val="22"/>
        </w:rPr>
        <w:t xml:space="preserve"> capítulo</w:t>
      </w:r>
      <w:r w:rsidR="00CC4848" w:rsidRPr="00771A16">
        <w:rPr>
          <w:sz w:val="22"/>
          <w:szCs w:val="22"/>
        </w:rPr>
        <w:t xml:space="preserve"> de las propuestas</w:t>
      </w:r>
      <w:r w:rsidR="004048A4" w:rsidRPr="00771A16">
        <w:rPr>
          <w:sz w:val="22"/>
          <w:szCs w:val="22"/>
        </w:rPr>
        <w:t>.</w:t>
      </w:r>
    </w:p>
    <w:p w14:paraId="020ADFFD" w14:textId="63E02C25" w:rsidR="00D92ECD" w:rsidRDefault="00D92ECD" w:rsidP="006C2940">
      <w:pPr>
        <w:rPr>
          <w:sz w:val="22"/>
          <w:szCs w:val="22"/>
        </w:rPr>
      </w:pPr>
    </w:p>
    <w:p w14:paraId="2A0A75F6" w14:textId="0368788D" w:rsidR="00D92ECD" w:rsidRDefault="007248E6" w:rsidP="006C2940">
      <w:pPr>
        <w:rPr>
          <w:sz w:val="22"/>
          <w:szCs w:val="22"/>
        </w:rPr>
      </w:pPr>
      <w:r>
        <w:rPr>
          <w:sz w:val="22"/>
          <w:szCs w:val="22"/>
        </w:rPr>
        <w:t>Como se advirtió, e</w:t>
      </w:r>
      <w:r w:rsidR="00D92ECD">
        <w:rPr>
          <w:sz w:val="22"/>
          <w:szCs w:val="22"/>
        </w:rPr>
        <w:t xml:space="preserve">s necesario tener en cuenta que la estimación </w:t>
      </w:r>
      <w:r w:rsidR="00E00860">
        <w:rPr>
          <w:sz w:val="22"/>
          <w:szCs w:val="22"/>
        </w:rPr>
        <w:t xml:space="preserve">o proyección </w:t>
      </w:r>
      <w:r w:rsidR="00D92ECD">
        <w:rPr>
          <w:sz w:val="22"/>
          <w:szCs w:val="22"/>
        </w:rPr>
        <w:t>de la demanda de un sector económico por parte de la UPME parte de lo que se espera que ese sector consuma, no de lo que se espera que el mismo sector contrate en firme o con garantía de firmeza. Esta diferencia hace que el cálculo de las cantidades a contratar parta de c</w:t>
      </w:r>
      <w:r>
        <w:rPr>
          <w:sz w:val="22"/>
          <w:szCs w:val="22"/>
        </w:rPr>
        <w:t>riterios</w:t>
      </w:r>
      <w:r w:rsidR="00D92ECD">
        <w:rPr>
          <w:sz w:val="22"/>
          <w:szCs w:val="22"/>
        </w:rPr>
        <w:t xml:space="preserve"> más particulares que establece cada agente, en el caso de usuarios no regulados, o a partir de criterios establecidos en la regulación de la demanda regulada, que no siguen un patrón de consumo promedio sino de consumo pico, por ejemplo. Se muestra como ejemplo, la siguiente </w:t>
      </w:r>
      <w:r w:rsidR="000031CC">
        <w:rPr>
          <w:sz w:val="22"/>
          <w:szCs w:val="22"/>
        </w:rPr>
        <w:fldChar w:fldCharType="begin"/>
      </w:r>
      <w:r w:rsidR="000031CC">
        <w:rPr>
          <w:sz w:val="22"/>
          <w:szCs w:val="22"/>
        </w:rPr>
        <w:instrText xml:space="preserve"> REF _Ref129697293 \h </w:instrText>
      </w:r>
      <w:r w:rsidR="000031CC">
        <w:rPr>
          <w:sz w:val="22"/>
          <w:szCs w:val="22"/>
        </w:rPr>
      </w:r>
      <w:r w:rsidR="000031CC">
        <w:rPr>
          <w:sz w:val="22"/>
          <w:szCs w:val="22"/>
        </w:rPr>
        <w:fldChar w:fldCharType="separate"/>
      </w:r>
      <w:r w:rsidR="006B7344" w:rsidRPr="000031CC">
        <w:rPr>
          <w:sz w:val="22"/>
          <w:szCs w:val="22"/>
        </w:rPr>
        <w:t xml:space="preserve">Figura </w:t>
      </w:r>
      <w:r w:rsidR="006B7344">
        <w:rPr>
          <w:i/>
          <w:iCs/>
          <w:noProof/>
          <w:sz w:val="22"/>
          <w:szCs w:val="22"/>
        </w:rPr>
        <w:t>3</w:t>
      </w:r>
      <w:r w:rsidR="000031CC">
        <w:rPr>
          <w:sz w:val="22"/>
          <w:szCs w:val="22"/>
        </w:rPr>
        <w:fldChar w:fldCharType="end"/>
      </w:r>
      <w:r w:rsidR="000031CC">
        <w:rPr>
          <w:sz w:val="22"/>
          <w:szCs w:val="22"/>
        </w:rPr>
        <w:t xml:space="preserve"> </w:t>
      </w:r>
      <w:r w:rsidR="00D92ECD">
        <w:rPr>
          <w:sz w:val="22"/>
          <w:szCs w:val="22"/>
        </w:rPr>
        <w:t>que muestra el efecto de esa diferencia</w:t>
      </w:r>
      <w:r>
        <w:rPr>
          <w:sz w:val="22"/>
          <w:szCs w:val="22"/>
        </w:rPr>
        <w:t>.</w:t>
      </w:r>
    </w:p>
    <w:p w14:paraId="7A8F8499" w14:textId="77777777" w:rsidR="007408A7" w:rsidRDefault="007408A7" w:rsidP="006C2940">
      <w:pPr>
        <w:rPr>
          <w:sz w:val="22"/>
          <w:szCs w:val="22"/>
        </w:rPr>
      </w:pPr>
    </w:p>
    <w:p w14:paraId="53539D0C" w14:textId="6C6AA56B" w:rsidR="000031CC" w:rsidRPr="000031CC" w:rsidRDefault="000031CC" w:rsidP="000031CC">
      <w:pPr>
        <w:pStyle w:val="Descripcin"/>
        <w:keepNext/>
        <w:rPr>
          <w:i w:val="0"/>
          <w:iCs w:val="0"/>
          <w:sz w:val="22"/>
          <w:szCs w:val="22"/>
        </w:rPr>
      </w:pPr>
      <w:bookmarkStart w:id="61" w:name="_Ref129697293"/>
      <w:bookmarkStart w:id="62" w:name="_Toc140506596"/>
      <w:r w:rsidRPr="000031CC">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3</w:t>
      </w:r>
      <w:r w:rsidR="006B6B6C">
        <w:rPr>
          <w:i w:val="0"/>
          <w:iCs w:val="0"/>
          <w:sz w:val="22"/>
          <w:szCs w:val="22"/>
        </w:rPr>
        <w:fldChar w:fldCharType="end"/>
      </w:r>
      <w:bookmarkEnd w:id="61"/>
      <w:r w:rsidRPr="000031CC">
        <w:rPr>
          <w:i w:val="0"/>
          <w:iCs w:val="0"/>
          <w:sz w:val="22"/>
          <w:szCs w:val="22"/>
        </w:rPr>
        <w:t xml:space="preserve"> Cantidades contratadas en firme vs cantidades estimadas de demanda UPME</w:t>
      </w:r>
      <w:bookmarkEnd w:id="62"/>
    </w:p>
    <w:p w14:paraId="099729FC" w14:textId="71181F1D" w:rsidR="00C60753" w:rsidRDefault="00B12B73" w:rsidP="006C2940">
      <w:pPr>
        <w:rPr>
          <w:sz w:val="22"/>
          <w:szCs w:val="22"/>
        </w:rPr>
      </w:pPr>
      <w:r w:rsidRPr="00B12B73">
        <w:rPr>
          <w:noProof/>
        </w:rPr>
        <w:drawing>
          <wp:inline distT="0" distB="0" distL="0" distR="0" wp14:anchorId="721AA784" wp14:editId="12696A1A">
            <wp:extent cx="5940425" cy="4291965"/>
            <wp:effectExtent l="0" t="0" r="3175" b="0"/>
            <wp:docPr id="18" name="Imagen 1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líneas&#10;&#10;Descripción generada automáticamente"/>
                    <pic:cNvPicPr/>
                  </pic:nvPicPr>
                  <pic:blipFill>
                    <a:blip r:embed="rId18"/>
                    <a:stretch>
                      <a:fillRect/>
                    </a:stretch>
                  </pic:blipFill>
                  <pic:spPr>
                    <a:xfrm>
                      <a:off x="0" y="0"/>
                      <a:ext cx="5940425" cy="4291965"/>
                    </a:xfrm>
                    <a:prstGeom prst="rect">
                      <a:avLst/>
                    </a:prstGeom>
                  </pic:spPr>
                </pic:pic>
              </a:graphicData>
            </a:graphic>
          </wp:inline>
        </w:drawing>
      </w:r>
    </w:p>
    <w:p w14:paraId="456E9A2A" w14:textId="6B132DD0" w:rsidR="00B12B73" w:rsidRDefault="00B12B73" w:rsidP="006C2940">
      <w:pPr>
        <w:rPr>
          <w:sz w:val="22"/>
          <w:szCs w:val="22"/>
        </w:rPr>
      </w:pPr>
    </w:p>
    <w:p w14:paraId="057CCBF2" w14:textId="5B9CC0A1" w:rsidR="00E00860" w:rsidRDefault="00E00860" w:rsidP="006C2940">
      <w:pPr>
        <w:rPr>
          <w:sz w:val="22"/>
          <w:szCs w:val="22"/>
        </w:rPr>
      </w:pPr>
      <w:r>
        <w:rPr>
          <w:sz w:val="22"/>
          <w:szCs w:val="22"/>
        </w:rPr>
        <w:t xml:space="preserve">Se observa </w:t>
      </w:r>
      <w:r w:rsidR="007248E6">
        <w:rPr>
          <w:sz w:val="22"/>
          <w:szCs w:val="22"/>
        </w:rPr>
        <w:t xml:space="preserve">en la </w:t>
      </w:r>
      <w:r w:rsidR="000031CC">
        <w:rPr>
          <w:sz w:val="22"/>
          <w:szCs w:val="22"/>
        </w:rPr>
        <w:fldChar w:fldCharType="begin"/>
      </w:r>
      <w:r w:rsidR="000031CC">
        <w:rPr>
          <w:sz w:val="22"/>
          <w:szCs w:val="22"/>
        </w:rPr>
        <w:instrText xml:space="preserve"> REF _Ref129697293 \h </w:instrText>
      </w:r>
      <w:r w:rsidR="000031CC">
        <w:rPr>
          <w:sz w:val="22"/>
          <w:szCs w:val="22"/>
        </w:rPr>
      </w:r>
      <w:r w:rsidR="000031CC">
        <w:rPr>
          <w:sz w:val="22"/>
          <w:szCs w:val="22"/>
        </w:rPr>
        <w:fldChar w:fldCharType="separate"/>
      </w:r>
      <w:r w:rsidR="006B7344" w:rsidRPr="000031CC">
        <w:rPr>
          <w:sz w:val="22"/>
          <w:szCs w:val="22"/>
        </w:rPr>
        <w:t xml:space="preserve">Figura </w:t>
      </w:r>
      <w:r w:rsidR="006B7344">
        <w:rPr>
          <w:i/>
          <w:iCs/>
          <w:noProof/>
          <w:sz w:val="22"/>
          <w:szCs w:val="22"/>
        </w:rPr>
        <w:t>3</w:t>
      </w:r>
      <w:r w:rsidR="000031CC">
        <w:rPr>
          <w:sz w:val="22"/>
          <w:szCs w:val="22"/>
        </w:rPr>
        <w:fldChar w:fldCharType="end"/>
      </w:r>
      <w:r w:rsidR="007248E6">
        <w:rPr>
          <w:sz w:val="22"/>
          <w:szCs w:val="22"/>
        </w:rPr>
        <w:t xml:space="preserve"> anterior </w:t>
      </w:r>
      <w:r>
        <w:rPr>
          <w:sz w:val="22"/>
          <w:szCs w:val="22"/>
        </w:rPr>
        <w:t>que</w:t>
      </w:r>
      <w:r w:rsidR="007248E6">
        <w:rPr>
          <w:sz w:val="22"/>
          <w:szCs w:val="22"/>
        </w:rPr>
        <w:t>,</w:t>
      </w:r>
      <w:r>
        <w:rPr>
          <w:sz w:val="22"/>
          <w:szCs w:val="22"/>
        </w:rPr>
        <w:t xml:space="preserve"> para el corto plazo</w:t>
      </w:r>
      <w:r w:rsidR="007248E6">
        <w:rPr>
          <w:sz w:val="22"/>
          <w:szCs w:val="22"/>
        </w:rPr>
        <w:t>,</w:t>
      </w:r>
      <w:r>
        <w:rPr>
          <w:sz w:val="22"/>
          <w:szCs w:val="22"/>
        </w:rPr>
        <w:t xml:space="preserve"> la contratación del sector residencial</w:t>
      </w:r>
      <w:r w:rsidR="006E49C6">
        <w:rPr>
          <w:sz w:val="22"/>
          <w:szCs w:val="22"/>
        </w:rPr>
        <w:t xml:space="preserve"> es mayor a la cantidad de demanda estimada por UPME. Lo mismo ocurre con la contratación del sector industrial. A mayor plazo la tendencia </w:t>
      </w:r>
      <w:r w:rsidR="007248E6">
        <w:rPr>
          <w:sz w:val="22"/>
          <w:szCs w:val="22"/>
        </w:rPr>
        <w:t xml:space="preserve">inicial </w:t>
      </w:r>
      <w:r w:rsidR="006E49C6">
        <w:rPr>
          <w:sz w:val="22"/>
          <w:szCs w:val="22"/>
        </w:rPr>
        <w:t>cambia, básicamente porque los agentes compradores se contratan de corto plazo con duraciones de contratos de 3 o más años</w:t>
      </w:r>
      <w:r w:rsidR="007248E6">
        <w:rPr>
          <w:sz w:val="22"/>
          <w:szCs w:val="22"/>
        </w:rPr>
        <w:t xml:space="preserve"> y se generan ciclos de contratación</w:t>
      </w:r>
      <w:r w:rsidR="006E49C6">
        <w:rPr>
          <w:sz w:val="22"/>
          <w:szCs w:val="22"/>
        </w:rPr>
        <w:t>.</w:t>
      </w:r>
      <w:r w:rsidR="00EB0548">
        <w:rPr>
          <w:sz w:val="22"/>
          <w:szCs w:val="22"/>
        </w:rPr>
        <w:t xml:space="preserve"> Pero en el largo plazo la tendencia de que las cantidades contratas superan necesariamente las cantidades de demanda final </w:t>
      </w:r>
      <w:proofErr w:type="gramStart"/>
      <w:r w:rsidR="00EB0548">
        <w:rPr>
          <w:sz w:val="22"/>
          <w:szCs w:val="22"/>
        </w:rPr>
        <w:t>real,</w:t>
      </w:r>
      <w:proofErr w:type="gramEnd"/>
      <w:r w:rsidR="00EB0548">
        <w:rPr>
          <w:sz w:val="22"/>
          <w:szCs w:val="22"/>
        </w:rPr>
        <w:t xml:space="preserve"> se mantendrá en el tiempo.</w:t>
      </w:r>
      <w:r>
        <w:rPr>
          <w:sz w:val="22"/>
          <w:szCs w:val="22"/>
        </w:rPr>
        <w:t xml:space="preserve"> </w:t>
      </w:r>
    </w:p>
    <w:p w14:paraId="3426B5E5" w14:textId="4C1CE86F" w:rsidR="00E00860" w:rsidRDefault="00E00860" w:rsidP="006C2940">
      <w:pPr>
        <w:rPr>
          <w:sz w:val="22"/>
          <w:szCs w:val="22"/>
        </w:rPr>
      </w:pPr>
    </w:p>
    <w:p w14:paraId="29274C72" w14:textId="632FB2EA" w:rsidR="00E00860" w:rsidRDefault="00E00860" w:rsidP="006C2940">
      <w:pPr>
        <w:rPr>
          <w:sz w:val="22"/>
          <w:szCs w:val="22"/>
        </w:rPr>
      </w:pPr>
      <w:r>
        <w:rPr>
          <w:sz w:val="22"/>
          <w:szCs w:val="22"/>
        </w:rPr>
        <w:t xml:space="preserve">En el mercado secundario se espera que se vendan los derechos de suministro de las cantidades no nominadas del contrato, de modo que aquellos que no contrataron el suministro en el mercado primario, lo puedan hacer en el mercado secundario, asumiendo </w:t>
      </w:r>
      <w:r w:rsidR="007248E6">
        <w:rPr>
          <w:sz w:val="22"/>
          <w:szCs w:val="22"/>
        </w:rPr>
        <w:t xml:space="preserve">eso sí </w:t>
      </w:r>
      <w:r>
        <w:rPr>
          <w:sz w:val="22"/>
          <w:szCs w:val="22"/>
        </w:rPr>
        <w:t xml:space="preserve">un </w:t>
      </w:r>
      <w:r w:rsidR="007248E6">
        <w:rPr>
          <w:sz w:val="22"/>
          <w:szCs w:val="22"/>
        </w:rPr>
        <w:t>mayor</w:t>
      </w:r>
      <w:r>
        <w:rPr>
          <w:sz w:val="22"/>
          <w:szCs w:val="22"/>
        </w:rPr>
        <w:t xml:space="preserve"> riesgo de continuidad en dicho suministro</w:t>
      </w:r>
      <w:r w:rsidR="007248E6">
        <w:rPr>
          <w:sz w:val="22"/>
          <w:szCs w:val="22"/>
        </w:rPr>
        <w:t>.</w:t>
      </w:r>
    </w:p>
    <w:p w14:paraId="37EFA4F5" w14:textId="77777777" w:rsidR="007248E6" w:rsidRDefault="007248E6" w:rsidP="006C2940">
      <w:pPr>
        <w:rPr>
          <w:sz w:val="22"/>
          <w:szCs w:val="22"/>
        </w:rPr>
      </w:pPr>
    </w:p>
    <w:p w14:paraId="59D174A7" w14:textId="2796D959" w:rsidR="00B12B73" w:rsidRDefault="00B12B73" w:rsidP="006C2940">
      <w:pPr>
        <w:rPr>
          <w:sz w:val="22"/>
          <w:szCs w:val="22"/>
        </w:rPr>
      </w:pPr>
      <w:r>
        <w:rPr>
          <w:sz w:val="22"/>
          <w:szCs w:val="22"/>
        </w:rPr>
        <w:t>Es de tener en cuenta que para la preparación de la</w:t>
      </w:r>
      <w:r w:rsidR="00C620F6">
        <w:rPr>
          <w:sz w:val="22"/>
          <w:szCs w:val="22"/>
        </w:rPr>
        <w:t>s</w:t>
      </w:r>
      <w:r>
        <w:rPr>
          <w:sz w:val="22"/>
          <w:szCs w:val="22"/>
        </w:rPr>
        <w:t xml:space="preserve"> </w:t>
      </w:r>
      <w:r w:rsidR="000031CC">
        <w:rPr>
          <w:sz w:val="22"/>
          <w:szCs w:val="22"/>
        </w:rPr>
        <w:t>figura</w:t>
      </w:r>
      <w:r w:rsidR="00C620F6">
        <w:rPr>
          <w:sz w:val="22"/>
          <w:szCs w:val="22"/>
        </w:rPr>
        <w:t>s</w:t>
      </w:r>
      <w:r>
        <w:rPr>
          <w:sz w:val="22"/>
          <w:szCs w:val="22"/>
        </w:rPr>
        <w:t xml:space="preserve"> se asumió que los contratos que aparecen registrados en el Gestor de Mercado como modalidad “Otros”, reflejan cantidades del tipo firme o que garantiza firmeza, pero </w:t>
      </w:r>
      <w:r w:rsidR="007248E6">
        <w:rPr>
          <w:sz w:val="22"/>
          <w:szCs w:val="22"/>
        </w:rPr>
        <w:t xml:space="preserve">la realidad es que </w:t>
      </w:r>
      <w:r>
        <w:rPr>
          <w:sz w:val="22"/>
          <w:szCs w:val="22"/>
        </w:rPr>
        <w:t>dichos contratos pueden incluir cantidades con interrupciones. Precisamente una de las razones de establecer que cuando se registra un contrato debe informarse el tipo de contrato (firme, con interrupciones o mixto) y las cantidades para cada tipo de suministro</w:t>
      </w:r>
      <w:r w:rsidR="007248E6">
        <w:rPr>
          <w:sz w:val="22"/>
          <w:szCs w:val="22"/>
        </w:rPr>
        <w:t>,</w:t>
      </w:r>
      <w:r>
        <w:rPr>
          <w:sz w:val="22"/>
          <w:szCs w:val="22"/>
        </w:rPr>
        <w:t xml:space="preserve"> surge porque ante esta clasificación queda poco posible identificar si corresponde o no a un tipo de contrato firme, que requiere PTDVF </w:t>
      </w:r>
      <w:r w:rsidR="008A10BC">
        <w:rPr>
          <w:sz w:val="22"/>
          <w:szCs w:val="22"/>
        </w:rPr>
        <w:t xml:space="preserve">previamente declarada al </w:t>
      </w:r>
      <w:r w:rsidR="005114C6">
        <w:rPr>
          <w:sz w:val="22"/>
          <w:szCs w:val="22"/>
        </w:rPr>
        <w:t>Gestor del Mercado</w:t>
      </w:r>
      <w:r w:rsidR="008A10BC">
        <w:rPr>
          <w:sz w:val="22"/>
          <w:szCs w:val="22"/>
        </w:rPr>
        <w:t xml:space="preserve"> </w:t>
      </w:r>
      <w:r>
        <w:rPr>
          <w:sz w:val="22"/>
          <w:szCs w:val="22"/>
        </w:rPr>
        <w:t>para realizar su registro.</w:t>
      </w:r>
    </w:p>
    <w:p w14:paraId="03A612ED" w14:textId="1530BC7B" w:rsidR="00B12B73" w:rsidRDefault="00B12B73" w:rsidP="006C2940">
      <w:pPr>
        <w:rPr>
          <w:sz w:val="22"/>
          <w:szCs w:val="22"/>
        </w:rPr>
      </w:pPr>
    </w:p>
    <w:p w14:paraId="2D70DB77" w14:textId="77777777" w:rsidR="004048A4" w:rsidRPr="00771A16" w:rsidRDefault="004048A4" w:rsidP="004048A4">
      <w:pPr>
        <w:ind w:left="720"/>
        <w:rPr>
          <w:sz w:val="22"/>
          <w:szCs w:val="22"/>
        </w:rPr>
      </w:pPr>
    </w:p>
    <w:p w14:paraId="37A584AF" w14:textId="4A677ABD" w:rsidR="003318AD" w:rsidRPr="00771A16" w:rsidRDefault="0066540E" w:rsidP="007651EA">
      <w:pPr>
        <w:pStyle w:val="Ttulo3"/>
      </w:pPr>
      <w:bookmarkStart w:id="63" w:name="_Ref132284805"/>
      <w:bookmarkStart w:id="64" w:name="_Toc140506189"/>
      <w:r w:rsidRPr="00771A16">
        <w:t xml:space="preserve">Información de </w:t>
      </w:r>
      <w:r w:rsidR="00B21FD2">
        <w:t xml:space="preserve">la demanda a </w:t>
      </w:r>
      <w:r w:rsidR="003318AD" w:rsidRPr="00771A16">
        <w:t>ser contratad</w:t>
      </w:r>
      <w:r w:rsidR="00B21FD2">
        <w:t>a de corto, mediano y largo plazo</w:t>
      </w:r>
      <w:bookmarkEnd w:id="63"/>
      <w:bookmarkEnd w:id="64"/>
      <w:r w:rsidR="00B21FD2">
        <w:t xml:space="preserve"> </w:t>
      </w:r>
    </w:p>
    <w:p w14:paraId="50C1940B" w14:textId="7EDC7CEC" w:rsidR="00C64838" w:rsidRPr="00771A16" w:rsidRDefault="005809F1" w:rsidP="006C2940">
      <w:pPr>
        <w:rPr>
          <w:sz w:val="22"/>
          <w:szCs w:val="22"/>
        </w:rPr>
      </w:pPr>
      <w:r w:rsidRPr="00771A16">
        <w:rPr>
          <w:sz w:val="22"/>
          <w:szCs w:val="22"/>
        </w:rPr>
        <w:t>S</w:t>
      </w:r>
      <w:r w:rsidR="00C64838" w:rsidRPr="00771A16">
        <w:rPr>
          <w:sz w:val="22"/>
          <w:szCs w:val="22"/>
        </w:rPr>
        <w:t xml:space="preserve">e identifica el problema de no contar </w:t>
      </w:r>
      <w:r w:rsidR="008068D1">
        <w:rPr>
          <w:sz w:val="22"/>
          <w:szCs w:val="22"/>
        </w:rPr>
        <w:t xml:space="preserve">actualmente </w:t>
      </w:r>
      <w:r w:rsidR="00C64838" w:rsidRPr="00771A16">
        <w:rPr>
          <w:sz w:val="22"/>
          <w:szCs w:val="22"/>
        </w:rPr>
        <w:t xml:space="preserve">con </w:t>
      </w:r>
      <w:r w:rsidR="001A050D">
        <w:rPr>
          <w:sz w:val="22"/>
          <w:szCs w:val="22"/>
        </w:rPr>
        <w:t xml:space="preserve">la totalidad de la </w:t>
      </w:r>
      <w:r w:rsidR="00C64838" w:rsidRPr="00771A16">
        <w:rPr>
          <w:sz w:val="22"/>
          <w:szCs w:val="22"/>
        </w:rPr>
        <w:t>información</w:t>
      </w:r>
      <w:r w:rsidR="0088012D" w:rsidRPr="00771A16">
        <w:rPr>
          <w:sz w:val="22"/>
          <w:szCs w:val="22"/>
        </w:rPr>
        <w:t>, oportuna y verificable</w:t>
      </w:r>
      <w:r w:rsidR="00B21FD2">
        <w:rPr>
          <w:sz w:val="22"/>
          <w:szCs w:val="22"/>
        </w:rPr>
        <w:t>,</w:t>
      </w:r>
      <w:r w:rsidR="00C64838" w:rsidRPr="00771A16">
        <w:rPr>
          <w:sz w:val="22"/>
          <w:szCs w:val="22"/>
        </w:rPr>
        <w:t xml:space="preserve"> </w:t>
      </w:r>
      <w:r w:rsidR="00015A1F" w:rsidRPr="00771A16">
        <w:rPr>
          <w:sz w:val="22"/>
          <w:szCs w:val="22"/>
        </w:rPr>
        <w:t xml:space="preserve">que se haga </w:t>
      </w:r>
      <w:r w:rsidR="00CE496A" w:rsidRPr="00771A16">
        <w:rPr>
          <w:sz w:val="22"/>
          <w:szCs w:val="22"/>
        </w:rPr>
        <w:t>pública</w:t>
      </w:r>
      <w:r w:rsidR="007D0B4F" w:rsidRPr="00771A16">
        <w:rPr>
          <w:sz w:val="22"/>
          <w:szCs w:val="22"/>
        </w:rPr>
        <w:t>,</w:t>
      </w:r>
      <w:r w:rsidR="00CE496A" w:rsidRPr="00771A16">
        <w:rPr>
          <w:sz w:val="22"/>
          <w:szCs w:val="22"/>
        </w:rPr>
        <w:t xml:space="preserve"> </w:t>
      </w:r>
      <w:r w:rsidR="00C64838" w:rsidRPr="00771A16">
        <w:rPr>
          <w:sz w:val="22"/>
          <w:szCs w:val="22"/>
        </w:rPr>
        <w:t xml:space="preserve">de </w:t>
      </w:r>
      <w:r w:rsidR="00015A1F" w:rsidRPr="00771A16">
        <w:rPr>
          <w:sz w:val="22"/>
          <w:szCs w:val="22"/>
        </w:rPr>
        <w:t xml:space="preserve">parte de </w:t>
      </w:r>
      <w:r w:rsidR="00C64838" w:rsidRPr="00771A16">
        <w:rPr>
          <w:sz w:val="22"/>
          <w:szCs w:val="22"/>
        </w:rPr>
        <w:t xml:space="preserve">los </w:t>
      </w:r>
      <w:r w:rsidR="00AC32B5" w:rsidRPr="00771A16">
        <w:rPr>
          <w:sz w:val="22"/>
          <w:szCs w:val="22"/>
        </w:rPr>
        <w:t>Compradores</w:t>
      </w:r>
      <w:r w:rsidR="00C64838" w:rsidRPr="00771A16">
        <w:rPr>
          <w:sz w:val="22"/>
          <w:szCs w:val="22"/>
        </w:rPr>
        <w:t xml:space="preserve"> del </w:t>
      </w:r>
      <w:r w:rsidR="00AC32B5" w:rsidRPr="00771A16">
        <w:rPr>
          <w:sz w:val="22"/>
          <w:szCs w:val="22"/>
        </w:rPr>
        <w:t>Mercado Primario</w:t>
      </w:r>
      <w:r w:rsidR="00486DC8" w:rsidRPr="00771A16">
        <w:rPr>
          <w:sz w:val="22"/>
          <w:szCs w:val="22"/>
        </w:rPr>
        <w:t xml:space="preserve"> (los comercializadores y usuarios no regulados)</w:t>
      </w:r>
      <w:r w:rsidR="00C64838" w:rsidRPr="00771A16">
        <w:rPr>
          <w:sz w:val="22"/>
          <w:szCs w:val="22"/>
        </w:rPr>
        <w:t>, en cuanto</w:t>
      </w:r>
      <w:r w:rsidR="00CE496A" w:rsidRPr="00771A16">
        <w:rPr>
          <w:sz w:val="22"/>
          <w:szCs w:val="22"/>
        </w:rPr>
        <w:t xml:space="preserve"> a sus necesidades</w:t>
      </w:r>
      <w:r w:rsidR="00740893">
        <w:rPr>
          <w:sz w:val="22"/>
          <w:szCs w:val="22"/>
        </w:rPr>
        <w:t xml:space="preserve"> contractuales </w:t>
      </w:r>
      <w:r w:rsidR="00CE496A" w:rsidRPr="00771A16">
        <w:rPr>
          <w:sz w:val="22"/>
          <w:szCs w:val="22"/>
        </w:rPr>
        <w:t xml:space="preserve">de suministro </w:t>
      </w:r>
      <w:r w:rsidR="00015A1F" w:rsidRPr="00771A16">
        <w:rPr>
          <w:sz w:val="22"/>
          <w:szCs w:val="22"/>
        </w:rPr>
        <w:t xml:space="preserve">de gas natural </w:t>
      </w:r>
      <w:r w:rsidR="00CE496A" w:rsidRPr="00771A16">
        <w:rPr>
          <w:sz w:val="22"/>
          <w:szCs w:val="22"/>
        </w:rPr>
        <w:t xml:space="preserve">de corto, mediano y largo plazo, siendo dichos </w:t>
      </w:r>
      <w:r w:rsidR="00486DC8" w:rsidRPr="00771A16">
        <w:rPr>
          <w:sz w:val="22"/>
          <w:szCs w:val="22"/>
        </w:rPr>
        <w:t>a</w:t>
      </w:r>
      <w:r w:rsidR="00CE496A" w:rsidRPr="00771A16">
        <w:rPr>
          <w:sz w:val="22"/>
          <w:szCs w:val="22"/>
        </w:rPr>
        <w:t>gentes los mejores conocedores de</w:t>
      </w:r>
      <w:r w:rsidR="00486DC8" w:rsidRPr="00771A16">
        <w:rPr>
          <w:sz w:val="22"/>
          <w:szCs w:val="22"/>
        </w:rPr>
        <w:t xml:space="preserve"> la evolución </w:t>
      </w:r>
      <w:r w:rsidRPr="00771A16">
        <w:rPr>
          <w:sz w:val="22"/>
          <w:szCs w:val="22"/>
        </w:rPr>
        <w:t xml:space="preserve">futura </w:t>
      </w:r>
      <w:r w:rsidR="00486DC8" w:rsidRPr="00771A16">
        <w:rPr>
          <w:sz w:val="22"/>
          <w:szCs w:val="22"/>
        </w:rPr>
        <w:t xml:space="preserve">que se </w:t>
      </w:r>
      <w:r w:rsidRPr="00771A16">
        <w:rPr>
          <w:sz w:val="22"/>
          <w:szCs w:val="22"/>
        </w:rPr>
        <w:t>proyecta</w:t>
      </w:r>
      <w:r w:rsidR="00486DC8" w:rsidRPr="00771A16">
        <w:rPr>
          <w:sz w:val="22"/>
          <w:szCs w:val="22"/>
        </w:rPr>
        <w:t xml:space="preserve"> </w:t>
      </w:r>
      <w:r w:rsidRPr="00771A16">
        <w:rPr>
          <w:sz w:val="22"/>
          <w:szCs w:val="22"/>
        </w:rPr>
        <w:t>de</w:t>
      </w:r>
      <w:r w:rsidR="00486DC8" w:rsidRPr="00771A16">
        <w:rPr>
          <w:sz w:val="22"/>
          <w:szCs w:val="22"/>
        </w:rPr>
        <w:t xml:space="preserve"> la demanda nacional de gas.</w:t>
      </w:r>
      <w:r w:rsidR="00CE496A" w:rsidRPr="00771A16">
        <w:rPr>
          <w:sz w:val="22"/>
          <w:szCs w:val="22"/>
        </w:rPr>
        <w:t xml:space="preserve"> </w:t>
      </w:r>
      <w:r w:rsidR="00C64838" w:rsidRPr="00771A16">
        <w:rPr>
          <w:sz w:val="22"/>
          <w:szCs w:val="22"/>
        </w:rPr>
        <w:t xml:space="preserve">  </w:t>
      </w:r>
    </w:p>
    <w:p w14:paraId="1071CB07" w14:textId="77777777" w:rsidR="004048A4" w:rsidRPr="00771A16" w:rsidRDefault="004048A4" w:rsidP="004048A4">
      <w:pPr>
        <w:pStyle w:val="Prrafodelista"/>
        <w:ind w:left="360"/>
        <w:rPr>
          <w:sz w:val="22"/>
          <w:szCs w:val="22"/>
        </w:rPr>
      </w:pPr>
    </w:p>
    <w:p w14:paraId="5C54B435" w14:textId="77777777" w:rsidR="00B21FD2" w:rsidRDefault="005809F1" w:rsidP="006C2940">
      <w:pPr>
        <w:rPr>
          <w:sz w:val="22"/>
          <w:szCs w:val="22"/>
        </w:rPr>
      </w:pPr>
      <w:r w:rsidRPr="00771A16">
        <w:rPr>
          <w:sz w:val="22"/>
          <w:szCs w:val="22"/>
        </w:rPr>
        <w:t>Adicionalmente</w:t>
      </w:r>
      <w:r w:rsidR="00407EFC" w:rsidRPr="00771A16">
        <w:rPr>
          <w:sz w:val="22"/>
          <w:szCs w:val="22"/>
        </w:rPr>
        <w:t xml:space="preserve">, </w:t>
      </w:r>
      <w:r w:rsidR="005D68F8" w:rsidRPr="00771A16">
        <w:rPr>
          <w:sz w:val="22"/>
          <w:szCs w:val="22"/>
        </w:rPr>
        <w:t>no existe</w:t>
      </w:r>
      <w:r w:rsidR="00844B35" w:rsidRPr="00771A16">
        <w:rPr>
          <w:sz w:val="22"/>
          <w:szCs w:val="22"/>
        </w:rPr>
        <w:t xml:space="preserve"> </w:t>
      </w:r>
      <w:r w:rsidR="008068D1">
        <w:rPr>
          <w:sz w:val="22"/>
          <w:szCs w:val="22"/>
        </w:rPr>
        <w:t xml:space="preserve">en la actualidad </w:t>
      </w:r>
      <w:r w:rsidR="00844B35" w:rsidRPr="00771A16">
        <w:rPr>
          <w:sz w:val="22"/>
          <w:szCs w:val="22"/>
        </w:rPr>
        <w:t xml:space="preserve">la realización </w:t>
      </w:r>
      <w:r w:rsidR="00407EFC" w:rsidRPr="00771A16">
        <w:rPr>
          <w:sz w:val="22"/>
          <w:szCs w:val="22"/>
        </w:rPr>
        <w:t xml:space="preserve">periódica </w:t>
      </w:r>
      <w:r w:rsidR="00844B35" w:rsidRPr="00771A16">
        <w:rPr>
          <w:sz w:val="22"/>
          <w:szCs w:val="22"/>
        </w:rPr>
        <w:t xml:space="preserve">de un balance comercial </w:t>
      </w:r>
      <w:r w:rsidR="008068D1">
        <w:rPr>
          <w:sz w:val="22"/>
          <w:szCs w:val="22"/>
        </w:rPr>
        <w:t>basado en contra</w:t>
      </w:r>
      <w:r w:rsidR="00B21FD2">
        <w:rPr>
          <w:sz w:val="22"/>
          <w:szCs w:val="22"/>
        </w:rPr>
        <w:t>t</w:t>
      </w:r>
      <w:r w:rsidR="008068D1">
        <w:rPr>
          <w:sz w:val="22"/>
          <w:szCs w:val="22"/>
        </w:rPr>
        <w:t>os y declaraciones de los agentes vendedores de</w:t>
      </w:r>
      <w:r w:rsidRPr="00771A16">
        <w:rPr>
          <w:sz w:val="22"/>
          <w:szCs w:val="22"/>
        </w:rPr>
        <w:t xml:space="preserve"> </w:t>
      </w:r>
      <w:r w:rsidR="008068D1">
        <w:rPr>
          <w:sz w:val="22"/>
          <w:szCs w:val="22"/>
        </w:rPr>
        <w:t xml:space="preserve">ofertas de cantidades </w:t>
      </w:r>
      <w:r w:rsidRPr="00771A16">
        <w:rPr>
          <w:sz w:val="22"/>
          <w:szCs w:val="22"/>
        </w:rPr>
        <w:t>PTDVF/CIDVF</w:t>
      </w:r>
      <w:r w:rsidR="008068D1">
        <w:rPr>
          <w:sz w:val="22"/>
          <w:szCs w:val="22"/>
        </w:rPr>
        <w:t xml:space="preserve"> y de los agentes compradores de las cantidades demandadas,</w:t>
      </w:r>
      <w:r w:rsidRPr="00771A16">
        <w:rPr>
          <w:sz w:val="22"/>
          <w:szCs w:val="22"/>
        </w:rPr>
        <w:t xml:space="preserve"> </w:t>
      </w:r>
      <w:r w:rsidR="00917265" w:rsidRPr="00771A16">
        <w:rPr>
          <w:sz w:val="22"/>
          <w:szCs w:val="22"/>
        </w:rPr>
        <w:t xml:space="preserve">que permita evidenciar </w:t>
      </w:r>
      <w:r w:rsidR="00407EFC" w:rsidRPr="00771A16">
        <w:rPr>
          <w:sz w:val="22"/>
          <w:szCs w:val="22"/>
        </w:rPr>
        <w:t>si</w:t>
      </w:r>
      <w:r w:rsidR="00917265" w:rsidRPr="00771A16">
        <w:rPr>
          <w:sz w:val="22"/>
          <w:szCs w:val="22"/>
        </w:rPr>
        <w:t xml:space="preserve"> la totalidad de las necesidades de</w:t>
      </w:r>
      <w:r w:rsidR="00130BE9" w:rsidRPr="00771A16">
        <w:rPr>
          <w:sz w:val="22"/>
          <w:szCs w:val="22"/>
        </w:rPr>
        <w:t xml:space="preserve"> contratación</w:t>
      </w:r>
      <w:r w:rsidR="00917265" w:rsidRPr="00771A16">
        <w:rPr>
          <w:sz w:val="22"/>
          <w:szCs w:val="22"/>
        </w:rPr>
        <w:t xml:space="preserve"> </w:t>
      </w:r>
      <w:r w:rsidR="008068D1">
        <w:rPr>
          <w:sz w:val="22"/>
          <w:szCs w:val="22"/>
        </w:rPr>
        <w:t xml:space="preserve">de </w:t>
      </w:r>
      <w:r w:rsidR="00917265" w:rsidRPr="00771A16">
        <w:rPr>
          <w:sz w:val="22"/>
          <w:szCs w:val="22"/>
        </w:rPr>
        <w:t>la demanda futura</w:t>
      </w:r>
      <w:r w:rsidR="00E9084B" w:rsidRPr="00771A16">
        <w:rPr>
          <w:sz w:val="22"/>
          <w:szCs w:val="22"/>
        </w:rPr>
        <w:t xml:space="preserve"> de gas natural</w:t>
      </w:r>
      <w:r w:rsidR="00917265" w:rsidRPr="00771A16">
        <w:rPr>
          <w:sz w:val="22"/>
          <w:szCs w:val="22"/>
        </w:rPr>
        <w:t xml:space="preserve"> </w:t>
      </w:r>
      <w:r w:rsidRPr="00771A16">
        <w:rPr>
          <w:sz w:val="22"/>
          <w:szCs w:val="22"/>
        </w:rPr>
        <w:t xml:space="preserve">en el corto, mediano y largo plazo </w:t>
      </w:r>
      <w:r w:rsidR="008C13DD" w:rsidRPr="00771A16">
        <w:rPr>
          <w:sz w:val="22"/>
          <w:szCs w:val="22"/>
        </w:rPr>
        <w:t>serán</w:t>
      </w:r>
      <w:r w:rsidR="00917265" w:rsidRPr="00771A16">
        <w:rPr>
          <w:sz w:val="22"/>
          <w:szCs w:val="22"/>
        </w:rPr>
        <w:t xml:space="preserve"> </w:t>
      </w:r>
      <w:r w:rsidR="001F7BAF" w:rsidRPr="00771A16">
        <w:rPr>
          <w:sz w:val="22"/>
          <w:szCs w:val="22"/>
        </w:rPr>
        <w:t xml:space="preserve">o no </w:t>
      </w:r>
      <w:r w:rsidR="00917265" w:rsidRPr="00771A16">
        <w:rPr>
          <w:sz w:val="22"/>
          <w:szCs w:val="22"/>
        </w:rPr>
        <w:t xml:space="preserve">cubiertas por la oferta </w:t>
      </w:r>
      <w:r w:rsidR="00130BE9" w:rsidRPr="00771A16">
        <w:rPr>
          <w:sz w:val="22"/>
          <w:szCs w:val="22"/>
        </w:rPr>
        <w:t xml:space="preserve">total disponible para la venta </w:t>
      </w:r>
      <w:r w:rsidR="00E9084B" w:rsidRPr="00771A16">
        <w:rPr>
          <w:sz w:val="22"/>
          <w:szCs w:val="22"/>
        </w:rPr>
        <w:t xml:space="preserve">de gas natural que </w:t>
      </w:r>
      <w:r w:rsidR="00917265" w:rsidRPr="00771A16">
        <w:rPr>
          <w:sz w:val="22"/>
          <w:szCs w:val="22"/>
        </w:rPr>
        <w:t>actual</w:t>
      </w:r>
      <w:r w:rsidR="00E9084B" w:rsidRPr="00771A16">
        <w:rPr>
          <w:sz w:val="22"/>
          <w:szCs w:val="22"/>
        </w:rPr>
        <w:t>mente se proyecta a futuro</w:t>
      </w:r>
      <w:r w:rsidR="008C13DD" w:rsidRPr="00771A16">
        <w:rPr>
          <w:sz w:val="22"/>
          <w:szCs w:val="22"/>
        </w:rPr>
        <w:t>,</w:t>
      </w:r>
      <w:r w:rsidR="001F7BAF" w:rsidRPr="00771A16">
        <w:rPr>
          <w:sz w:val="22"/>
          <w:szCs w:val="22"/>
        </w:rPr>
        <w:t xml:space="preserve"> con </w:t>
      </w:r>
      <w:r w:rsidR="00F44A98" w:rsidRPr="00771A16">
        <w:rPr>
          <w:sz w:val="22"/>
          <w:szCs w:val="22"/>
        </w:rPr>
        <w:t xml:space="preserve">la suficiente </w:t>
      </w:r>
      <w:r w:rsidR="00130BE9" w:rsidRPr="00771A16">
        <w:rPr>
          <w:sz w:val="22"/>
          <w:szCs w:val="22"/>
        </w:rPr>
        <w:t>firmeza</w:t>
      </w:r>
      <w:r w:rsidR="00821E78" w:rsidRPr="00771A16">
        <w:rPr>
          <w:sz w:val="22"/>
          <w:szCs w:val="22"/>
        </w:rPr>
        <w:t xml:space="preserve"> para </w:t>
      </w:r>
      <w:r w:rsidR="00BA235E" w:rsidRPr="00771A16">
        <w:rPr>
          <w:sz w:val="22"/>
          <w:szCs w:val="22"/>
        </w:rPr>
        <w:t xml:space="preserve">asegurar </w:t>
      </w:r>
      <w:r w:rsidR="00821E78" w:rsidRPr="00771A16">
        <w:rPr>
          <w:sz w:val="22"/>
          <w:szCs w:val="22"/>
        </w:rPr>
        <w:t>la continuidad</w:t>
      </w:r>
      <w:r w:rsidR="008A6744">
        <w:rPr>
          <w:sz w:val="22"/>
          <w:szCs w:val="22"/>
        </w:rPr>
        <w:t xml:space="preserve"> del suministro</w:t>
      </w:r>
      <w:r w:rsidR="00821E78" w:rsidRPr="00771A16">
        <w:rPr>
          <w:sz w:val="22"/>
          <w:szCs w:val="22"/>
        </w:rPr>
        <w:t xml:space="preserve"> de</w:t>
      </w:r>
      <w:r w:rsidR="00BA235E" w:rsidRPr="00771A16">
        <w:rPr>
          <w:sz w:val="22"/>
          <w:szCs w:val="22"/>
        </w:rPr>
        <w:t>l</w:t>
      </w:r>
      <w:r w:rsidR="00821E78" w:rsidRPr="00771A16">
        <w:rPr>
          <w:sz w:val="22"/>
          <w:szCs w:val="22"/>
        </w:rPr>
        <w:t xml:space="preserve"> servicio</w:t>
      </w:r>
      <w:r w:rsidR="00BA235E" w:rsidRPr="00771A16">
        <w:rPr>
          <w:sz w:val="22"/>
          <w:szCs w:val="22"/>
        </w:rPr>
        <w:t xml:space="preserve"> a los usuarios finales</w:t>
      </w:r>
      <w:r w:rsidR="00130BE9" w:rsidRPr="00771A16">
        <w:rPr>
          <w:sz w:val="22"/>
          <w:szCs w:val="22"/>
        </w:rPr>
        <w:t xml:space="preserve">, especialmente aquellos </w:t>
      </w:r>
      <w:r w:rsidR="00E30325">
        <w:rPr>
          <w:sz w:val="22"/>
          <w:szCs w:val="22"/>
        </w:rPr>
        <w:t xml:space="preserve">incluidos </w:t>
      </w:r>
      <w:r w:rsidR="00130BE9" w:rsidRPr="00771A16">
        <w:rPr>
          <w:sz w:val="22"/>
          <w:szCs w:val="22"/>
        </w:rPr>
        <w:t>como</w:t>
      </w:r>
      <w:r w:rsidR="00E30325">
        <w:rPr>
          <w:sz w:val="22"/>
          <w:szCs w:val="22"/>
        </w:rPr>
        <w:t xml:space="preserve"> parte de la</w:t>
      </w:r>
      <w:r w:rsidR="00130BE9" w:rsidRPr="00771A16">
        <w:rPr>
          <w:sz w:val="22"/>
          <w:szCs w:val="22"/>
        </w:rPr>
        <w:t xml:space="preserve"> Demanda Esencial</w:t>
      </w:r>
      <w:r w:rsidR="0097199C" w:rsidRPr="00771A16">
        <w:rPr>
          <w:sz w:val="22"/>
          <w:szCs w:val="22"/>
        </w:rPr>
        <w:t>.</w:t>
      </w:r>
      <w:r w:rsidR="00917265" w:rsidRPr="00771A16">
        <w:rPr>
          <w:sz w:val="22"/>
          <w:szCs w:val="22"/>
        </w:rPr>
        <w:t xml:space="preserve"> </w:t>
      </w:r>
    </w:p>
    <w:p w14:paraId="5FDCC712" w14:textId="77777777" w:rsidR="00B21FD2" w:rsidRDefault="00B21FD2" w:rsidP="006C2940">
      <w:pPr>
        <w:rPr>
          <w:sz w:val="22"/>
          <w:szCs w:val="22"/>
        </w:rPr>
      </w:pPr>
    </w:p>
    <w:p w14:paraId="059A90B2" w14:textId="2157A3AE" w:rsidR="00821E78" w:rsidRPr="00771A16" w:rsidRDefault="00433721" w:rsidP="00E62C5A">
      <w:pPr>
        <w:rPr>
          <w:sz w:val="22"/>
          <w:szCs w:val="22"/>
        </w:rPr>
      </w:pPr>
      <w:r w:rsidRPr="00771A16">
        <w:rPr>
          <w:sz w:val="22"/>
          <w:szCs w:val="22"/>
        </w:rPr>
        <w:t xml:space="preserve">A falta de dicho balance comercial se pueden presentar situaciones futuras en las que los agentes que atienden </w:t>
      </w:r>
      <w:r w:rsidR="00A10AD2" w:rsidRPr="00771A16">
        <w:rPr>
          <w:sz w:val="22"/>
          <w:szCs w:val="22"/>
        </w:rPr>
        <w:t xml:space="preserve">demanda diferente a la </w:t>
      </w:r>
      <w:r w:rsidR="00E8014D" w:rsidRPr="00771A16">
        <w:rPr>
          <w:sz w:val="22"/>
          <w:szCs w:val="22"/>
        </w:rPr>
        <w:t>Demanda Esencial</w:t>
      </w:r>
      <w:r w:rsidRPr="00771A16">
        <w:rPr>
          <w:sz w:val="22"/>
          <w:szCs w:val="22"/>
        </w:rPr>
        <w:t xml:space="preserve"> </w:t>
      </w:r>
      <w:r w:rsidR="00A10AD2" w:rsidRPr="00771A16">
        <w:rPr>
          <w:sz w:val="22"/>
          <w:szCs w:val="22"/>
        </w:rPr>
        <w:t xml:space="preserve">obtengan la contratación </w:t>
      </w:r>
      <w:r w:rsidR="009D37CC" w:rsidRPr="00771A16">
        <w:rPr>
          <w:sz w:val="22"/>
          <w:szCs w:val="22"/>
        </w:rPr>
        <w:t xml:space="preserve">total </w:t>
      </w:r>
      <w:r w:rsidR="00A10AD2" w:rsidRPr="00771A16">
        <w:rPr>
          <w:sz w:val="22"/>
          <w:szCs w:val="22"/>
        </w:rPr>
        <w:t xml:space="preserve">de </w:t>
      </w:r>
      <w:r w:rsidR="009D37CC" w:rsidRPr="00771A16">
        <w:rPr>
          <w:sz w:val="22"/>
          <w:szCs w:val="22"/>
        </w:rPr>
        <w:t xml:space="preserve">las </w:t>
      </w:r>
      <w:r w:rsidR="00A10AD2" w:rsidRPr="00771A16">
        <w:rPr>
          <w:sz w:val="22"/>
          <w:szCs w:val="22"/>
        </w:rPr>
        <w:t xml:space="preserve">cantidades de gas </w:t>
      </w:r>
      <w:r w:rsidR="008A7BA4">
        <w:rPr>
          <w:sz w:val="22"/>
          <w:szCs w:val="22"/>
        </w:rPr>
        <w:t>mediante contratos del tipo firme o con garantía de firmeza</w:t>
      </w:r>
      <w:r w:rsidR="00882DA3" w:rsidRPr="00771A16">
        <w:rPr>
          <w:sz w:val="22"/>
          <w:szCs w:val="22"/>
        </w:rPr>
        <w:t>, aún a pesar de que hay</w:t>
      </w:r>
      <w:r w:rsidR="00B25CFE" w:rsidRPr="00771A16">
        <w:rPr>
          <w:sz w:val="22"/>
          <w:szCs w:val="22"/>
        </w:rPr>
        <w:t>a</w:t>
      </w:r>
      <w:r w:rsidR="00882DA3" w:rsidRPr="00771A16">
        <w:rPr>
          <w:sz w:val="22"/>
          <w:szCs w:val="22"/>
        </w:rPr>
        <w:t xml:space="preserve"> agentes que atienden </w:t>
      </w:r>
      <w:r w:rsidR="00E8014D" w:rsidRPr="00771A16">
        <w:rPr>
          <w:sz w:val="22"/>
          <w:szCs w:val="22"/>
        </w:rPr>
        <w:t>Demanda Esencial</w:t>
      </w:r>
      <w:r w:rsidR="00882DA3" w:rsidRPr="00771A16">
        <w:rPr>
          <w:sz w:val="22"/>
          <w:szCs w:val="22"/>
        </w:rPr>
        <w:t xml:space="preserve"> que no han logrado contratar </w:t>
      </w:r>
      <w:r w:rsidR="00B25CFE" w:rsidRPr="00771A16">
        <w:rPr>
          <w:sz w:val="22"/>
          <w:szCs w:val="22"/>
        </w:rPr>
        <w:t xml:space="preserve">la totalidad de </w:t>
      </w:r>
      <w:r w:rsidR="00882DA3" w:rsidRPr="00771A16">
        <w:rPr>
          <w:sz w:val="22"/>
          <w:szCs w:val="22"/>
        </w:rPr>
        <w:t>las cantidades suficientes</w:t>
      </w:r>
      <w:r w:rsidR="008068D1">
        <w:rPr>
          <w:sz w:val="22"/>
          <w:szCs w:val="22"/>
        </w:rPr>
        <w:t xml:space="preserve"> o requeridas</w:t>
      </w:r>
      <w:r w:rsidR="00882DA3" w:rsidRPr="00771A16">
        <w:rPr>
          <w:sz w:val="22"/>
          <w:szCs w:val="22"/>
        </w:rPr>
        <w:t xml:space="preserve"> para atender</w:t>
      </w:r>
      <w:r w:rsidR="00775D6F" w:rsidRPr="00771A16">
        <w:rPr>
          <w:sz w:val="22"/>
          <w:szCs w:val="22"/>
        </w:rPr>
        <w:t xml:space="preserve"> dicho tipo de demanda</w:t>
      </w:r>
      <w:r w:rsidR="00882DA3" w:rsidRPr="00771A16">
        <w:rPr>
          <w:sz w:val="22"/>
          <w:szCs w:val="22"/>
        </w:rPr>
        <w:t>.</w:t>
      </w:r>
      <w:r w:rsidR="00A10AD2" w:rsidRPr="00771A16">
        <w:rPr>
          <w:sz w:val="22"/>
          <w:szCs w:val="22"/>
        </w:rPr>
        <w:t xml:space="preserve"> </w:t>
      </w:r>
      <w:r w:rsidRPr="00771A16">
        <w:rPr>
          <w:sz w:val="22"/>
          <w:szCs w:val="22"/>
        </w:rPr>
        <w:t xml:space="preserve"> </w:t>
      </w:r>
    </w:p>
    <w:p w14:paraId="2B0B2750" w14:textId="45FBBB43" w:rsidR="00622A6B" w:rsidRPr="00771A16" w:rsidRDefault="009C466A" w:rsidP="007651EA">
      <w:pPr>
        <w:pStyle w:val="Ttulo3"/>
      </w:pPr>
      <w:bookmarkStart w:id="65" w:name="_Ref130286441"/>
      <w:bookmarkStart w:id="66" w:name="_Ref130306142"/>
      <w:bookmarkStart w:id="67" w:name="_Toc140506190"/>
      <w:r w:rsidRPr="00771A16">
        <w:t>E</w:t>
      </w:r>
      <w:r w:rsidR="00622A6B" w:rsidRPr="00771A16">
        <w:t xml:space="preserve">l </w:t>
      </w:r>
      <w:r w:rsidR="00DE294D" w:rsidRPr="00771A16">
        <w:t>a</w:t>
      </w:r>
      <w:r w:rsidR="00622A6B" w:rsidRPr="00771A16">
        <w:t>seguramiento de la contratación d</w:t>
      </w:r>
      <w:r w:rsidR="00272C01" w:rsidRPr="00771A16">
        <w:t xml:space="preserve">el </w:t>
      </w:r>
      <w:r w:rsidR="00795EDC" w:rsidRPr="00771A16">
        <w:t>suministro con Respaldo Físico</w:t>
      </w:r>
      <w:r w:rsidR="00CA1CF8">
        <w:rPr>
          <w:rStyle w:val="Refdenotaalpie"/>
          <w:sz w:val="22"/>
          <w:szCs w:val="22"/>
        </w:rPr>
        <w:footnoteReference w:id="3"/>
      </w:r>
      <w:r w:rsidR="00795EDC" w:rsidRPr="00771A16">
        <w:t xml:space="preserve"> </w:t>
      </w:r>
      <w:r w:rsidR="00622A6B" w:rsidRPr="00771A16">
        <w:t xml:space="preserve">para atender </w:t>
      </w:r>
      <w:r w:rsidR="00795EDC" w:rsidRPr="00771A16">
        <w:t xml:space="preserve">a la </w:t>
      </w:r>
      <w:r w:rsidR="00E8014D" w:rsidRPr="00771A16">
        <w:t>Demanda Esencial</w:t>
      </w:r>
      <w:bookmarkEnd w:id="65"/>
      <w:bookmarkEnd w:id="66"/>
      <w:bookmarkEnd w:id="67"/>
      <w:r w:rsidR="00795EDC" w:rsidRPr="00771A16">
        <w:t xml:space="preserve"> </w:t>
      </w:r>
    </w:p>
    <w:p w14:paraId="5B2C3313" w14:textId="0F3FA6A4" w:rsidR="004726EA" w:rsidRPr="00771A16" w:rsidRDefault="004726EA" w:rsidP="006C2940">
      <w:pPr>
        <w:rPr>
          <w:sz w:val="22"/>
          <w:szCs w:val="22"/>
        </w:rPr>
      </w:pPr>
      <w:r w:rsidRPr="00771A16">
        <w:rPr>
          <w:sz w:val="22"/>
          <w:szCs w:val="22"/>
        </w:rPr>
        <w:t xml:space="preserve">El Decreto 1073 de 2015 Sector Administrativo de Minas y Energía establece varios lineamientos de política energética que le imponen a la Comisión funciones específicas </w:t>
      </w:r>
      <w:proofErr w:type="gramStart"/>
      <w:r w:rsidRPr="00771A16">
        <w:rPr>
          <w:sz w:val="22"/>
          <w:szCs w:val="22"/>
        </w:rPr>
        <w:t>a</w:t>
      </w:r>
      <w:proofErr w:type="gramEnd"/>
      <w:r w:rsidRPr="00771A16">
        <w:rPr>
          <w:sz w:val="22"/>
          <w:szCs w:val="22"/>
        </w:rPr>
        <w:t xml:space="preserve"> tener en cuenta en </w:t>
      </w:r>
      <w:r w:rsidR="008068D1">
        <w:rPr>
          <w:sz w:val="22"/>
          <w:szCs w:val="22"/>
        </w:rPr>
        <w:t xml:space="preserve">la determinación de </w:t>
      </w:r>
      <w:r w:rsidRPr="00771A16">
        <w:rPr>
          <w:sz w:val="22"/>
          <w:szCs w:val="22"/>
        </w:rPr>
        <w:t>las reglas de funcionamiento del Mercado Mayorista de Gas Natural. Particularmente hay varias disposiciones respecto de ciertos usuarios del servicio público de gas</w:t>
      </w:r>
      <w:r w:rsidR="008068D1">
        <w:rPr>
          <w:sz w:val="22"/>
          <w:szCs w:val="22"/>
        </w:rPr>
        <w:t xml:space="preserve">, que se clasifican </w:t>
      </w:r>
      <w:r w:rsidR="009C632F">
        <w:rPr>
          <w:sz w:val="22"/>
          <w:szCs w:val="22"/>
        </w:rPr>
        <w:t>como</w:t>
      </w:r>
      <w:r w:rsidRPr="00771A16">
        <w:rPr>
          <w:sz w:val="22"/>
          <w:szCs w:val="22"/>
        </w:rPr>
        <w:t xml:space="preserve"> </w:t>
      </w:r>
      <w:r w:rsidR="00E8014D" w:rsidRPr="00771A16">
        <w:rPr>
          <w:sz w:val="22"/>
          <w:szCs w:val="22"/>
        </w:rPr>
        <w:t>Demanda Esencial</w:t>
      </w:r>
      <w:r w:rsidRPr="00771A16">
        <w:rPr>
          <w:sz w:val="22"/>
          <w:szCs w:val="22"/>
        </w:rPr>
        <w:t xml:space="preserve">. Por otra parte, se encuentran en el mismo Decreto, otras disposiciones de diversos aspectos operativos y comerciales que también se relacionan directamente con la </w:t>
      </w:r>
      <w:r w:rsidR="00E8014D" w:rsidRPr="00771A16">
        <w:rPr>
          <w:sz w:val="22"/>
          <w:szCs w:val="22"/>
        </w:rPr>
        <w:t>Demanda Esencial</w:t>
      </w:r>
      <w:r w:rsidRPr="00771A16">
        <w:rPr>
          <w:sz w:val="22"/>
          <w:szCs w:val="22"/>
        </w:rPr>
        <w:t>.</w:t>
      </w:r>
    </w:p>
    <w:p w14:paraId="52BD4C26" w14:textId="431F3E92" w:rsidR="00393B57" w:rsidRPr="00771A16" w:rsidRDefault="00393B57" w:rsidP="006C2940">
      <w:pPr>
        <w:rPr>
          <w:sz w:val="22"/>
          <w:szCs w:val="22"/>
        </w:rPr>
      </w:pPr>
    </w:p>
    <w:p w14:paraId="20B04F0B" w14:textId="64480899" w:rsidR="00393B57" w:rsidRPr="00771A16" w:rsidRDefault="00393B57" w:rsidP="006C2940">
      <w:pPr>
        <w:rPr>
          <w:sz w:val="22"/>
          <w:szCs w:val="22"/>
        </w:rPr>
      </w:pPr>
      <w:r w:rsidRPr="00771A16">
        <w:rPr>
          <w:sz w:val="22"/>
          <w:szCs w:val="22"/>
        </w:rPr>
        <w:t>Estas disposiciones son las siguientes:</w:t>
      </w:r>
    </w:p>
    <w:p w14:paraId="3A7EBABC" w14:textId="2ACEA061" w:rsidR="00393B57" w:rsidRPr="00771A16" w:rsidRDefault="00393B57" w:rsidP="006C2940">
      <w:pPr>
        <w:rPr>
          <w:sz w:val="22"/>
          <w:szCs w:val="22"/>
        </w:rPr>
      </w:pPr>
    </w:p>
    <w:p w14:paraId="4E479E80" w14:textId="776A9046" w:rsidR="00CA1CF8" w:rsidRDefault="00CA1CF8">
      <w:pPr>
        <w:pStyle w:val="Prrafodelista"/>
        <w:numPr>
          <w:ilvl w:val="0"/>
          <w:numId w:val="15"/>
        </w:numPr>
        <w:rPr>
          <w:sz w:val="22"/>
          <w:szCs w:val="22"/>
        </w:rPr>
      </w:pPr>
      <w:r>
        <w:rPr>
          <w:sz w:val="22"/>
          <w:szCs w:val="22"/>
        </w:rPr>
        <w:t>Artículo 2.2.2.1.4 “</w:t>
      </w:r>
      <w:r w:rsidRPr="00CA1CF8">
        <w:rPr>
          <w:i/>
          <w:iCs/>
          <w:sz w:val="22"/>
          <w:szCs w:val="22"/>
        </w:rPr>
        <w:t>Definiciones</w:t>
      </w:r>
      <w:r>
        <w:rPr>
          <w:sz w:val="22"/>
          <w:szCs w:val="22"/>
        </w:rPr>
        <w:t>” de Respaldo Físico, Reservas de Gas Natural</w:t>
      </w:r>
      <w:r>
        <w:rPr>
          <w:rStyle w:val="Refdenotaalpie"/>
          <w:sz w:val="22"/>
          <w:szCs w:val="22"/>
        </w:rPr>
        <w:footnoteReference w:id="4"/>
      </w:r>
      <w:r>
        <w:rPr>
          <w:sz w:val="22"/>
          <w:szCs w:val="22"/>
        </w:rPr>
        <w:t xml:space="preserve"> y Contratos firmes o que garantizan firmeza</w:t>
      </w:r>
      <w:r>
        <w:rPr>
          <w:rStyle w:val="Refdenotaalpie"/>
          <w:sz w:val="22"/>
          <w:szCs w:val="22"/>
        </w:rPr>
        <w:footnoteReference w:id="5"/>
      </w:r>
    </w:p>
    <w:p w14:paraId="58821C12" w14:textId="2C98844B" w:rsidR="00393B57" w:rsidRPr="00771A16" w:rsidRDefault="00393B57">
      <w:pPr>
        <w:pStyle w:val="Prrafodelista"/>
        <w:numPr>
          <w:ilvl w:val="0"/>
          <w:numId w:val="15"/>
        </w:numPr>
        <w:rPr>
          <w:sz w:val="22"/>
          <w:szCs w:val="22"/>
        </w:rPr>
      </w:pPr>
      <w:r w:rsidRPr="00771A16">
        <w:rPr>
          <w:sz w:val="22"/>
          <w:szCs w:val="22"/>
        </w:rPr>
        <w:t>Artículo 2.2.2.2.1 “</w:t>
      </w:r>
      <w:r w:rsidRPr="00771A16">
        <w:rPr>
          <w:i/>
          <w:iCs/>
          <w:sz w:val="22"/>
          <w:szCs w:val="22"/>
        </w:rPr>
        <w:t>Prioridad en el abastecimiento de gas natural</w:t>
      </w:r>
      <w:r w:rsidRPr="00771A16">
        <w:rPr>
          <w:sz w:val="22"/>
          <w:szCs w:val="22"/>
        </w:rPr>
        <w:t xml:space="preserve">”, </w:t>
      </w:r>
    </w:p>
    <w:p w14:paraId="51214D2E" w14:textId="77777777" w:rsidR="00393B57" w:rsidRPr="00771A16" w:rsidRDefault="00393B57">
      <w:pPr>
        <w:pStyle w:val="Prrafodelista"/>
        <w:numPr>
          <w:ilvl w:val="0"/>
          <w:numId w:val="15"/>
        </w:numPr>
        <w:rPr>
          <w:sz w:val="22"/>
          <w:szCs w:val="22"/>
        </w:rPr>
      </w:pPr>
      <w:r w:rsidRPr="00771A16">
        <w:rPr>
          <w:sz w:val="22"/>
          <w:szCs w:val="22"/>
        </w:rPr>
        <w:t>Artículo 2.2.2.2.4 “</w:t>
      </w:r>
      <w:r w:rsidRPr="00771A16">
        <w:rPr>
          <w:i/>
          <w:iCs/>
          <w:sz w:val="22"/>
          <w:szCs w:val="22"/>
        </w:rPr>
        <w:t>Orden de atención de la demanda de gas natural entre los agentes tratándose de Racionamiento programado</w:t>
      </w:r>
      <w:r w:rsidRPr="00771A16">
        <w:rPr>
          <w:sz w:val="22"/>
          <w:szCs w:val="22"/>
        </w:rPr>
        <w:t xml:space="preserve">”, </w:t>
      </w:r>
    </w:p>
    <w:p w14:paraId="77C0F377" w14:textId="77777777" w:rsidR="00393B57" w:rsidRPr="00771A16" w:rsidRDefault="00393B57">
      <w:pPr>
        <w:pStyle w:val="Prrafodelista"/>
        <w:numPr>
          <w:ilvl w:val="0"/>
          <w:numId w:val="15"/>
        </w:numPr>
        <w:rPr>
          <w:sz w:val="22"/>
          <w:szCs w:val="22"/>
        </w:rPr>
      </w:pPr>
      <w:r w:rsidRPr="00771A16">
        <w:rPr>
          <w:sz w:val="22"/>
          <w:szCs w:val="22"/>
        </w:rPr>
        <w:t>Artículo 2.2.2.2.6 “</w:t>
      </w:r>
      <w:r w:rsidRPr="00771A16">
        <w:rPr>
          <w:i/>
          <w:iCs/>
          <w:sz w:val="22"/>
          <w:szCs w:val="22"/>
        </w:rPr>
        <w:t>Declaración ante el Ministerio de Minas y Energía de los contratos de suministro y/o capacidad de transporte entre Distribuidores- Comercializadores y Productor-Comercializador y/o Transportador de gas natural</w:t>
      </w:r>
      <w:r w:rsidRPr="00771A16">
        <w:rPr>
          <w:sz w:val="22"/>
          <w:szCs w:val="22"/>
        </w:rPr>
        <w:t xml:space="preserve">”,  </w:t>
      </w:r>
    </w:p>
    <w:p w14:paraId="57377187" w14:textId="77777777" w:rsidR="00393B57" w:rsidRPr="00771A16" w:rsidRDefault="00393B57">
      <w:pPr>
        <w:pStyle w:val="Prrafodelista"/>
        <w:numPr>
          <w:ilvl w:val="0"/>
          <w:numId w:val="15"/>
        </w:numPr>
        <w:rPr>
          <w:sz w:val="22"/>
          <w:szCs w:val="22"/>
        </w:rPr>
      </w:pPr>
      <w:r w:rsidRPr="00771A16">
        <w:rPr>
          <w:sz w:val="22"/>
          <w:szCs w:val="22"/>
        </w:rPr>
        <w:t>Artículo 2.2.2.2.7 “</w:t>
      </w:r>
      <w:r w:rsidRPr="00771A16">
        <w:rPr>
          <w:i/>
          <w:iCs/>
          <w:sz w:val="22"/>
          <w:szCs w:val="22"/>
        </w:rPr>
        <w:t>Declaración ante el Ministerio de Minas de los contratos de suministro de gas natural entre Comercializadores y Productores-Comercializadores</w:t>
      </w:r>
      <w:r w:rsidRPr="00771A16">
        <w:rPr>
          <w:sz w:val="22"/>
          <w:szCs w:val="22"/>
        </w:rPr>
        <w:t xml:space="preserve">”, </w:t>
      </w:r>
    </w:p>
    <w:p w14:paraId="01DA6C2D" w14:textId="77777777" w:rsidR="00393B57" w:rsidRPr="00771A16" w:rsidRDefault="00393B57">
      <w:pPr>
        <w:pStyle w:val="Prrafodelista"/>
        <w:numPr>
          <w:ilvl w:val="0"/>
          <w:numId w:val="15"/>
        </w:numPr>
        <w:rPr>
          <w:sz w:val="22"/>
          <w:szCs w:val="22"/>
        </w:rPr>
      </w:pPr>
      <w:r w:rsidRPr="00771A16">
        <w:rPr>
          <w:sz w:val="22"/>
          <w:szCs w:val="22"/>
        </w:rPr>
        <w:t>Artículo 2.2.2.2.16 “</w:t>
      </w:r>
      <w:r w:rsidRPr="00771A16">
        <w:rPr>
          <w:i/>
          <w:iCs/>
          <w:sz w:val="22"/>
          <w:szCs w:val="22"/>
        </w:rPr>
        <w:t>Demanda Esencial</w:t>
      </w:r>
      <w:r w:rsidRPr="00771A16">
        <w:rPr>
          <w:sz w:val="22"/>
          <w:szCs w:val="22"/>
        </w:rPr>
        <w:t xml:space="preserve">”, </w:t>
      </w:r>
    </w:p>
    <w:p w14:paraId="138404AF" w14:textId="21E24E16" w:rsidR="00393B57" w:rsidRPr="00771A16" w:rsidRDefault="00393B57">
      <w:pPr>
        <w:pStyle w:val="Prrafodelista"/>
        <w:numPr>
          <w:ilvl w:val="0"/>
          <w:numId w:val="15"/>
        </w:numPr>
        <w:rPr>
          <w:sz w:val="22"/>
          <w:szCs w:val="22"/>
        </w:rPr>
      </w:pPr>
      <w:r w:rsidRPr="00771A16">
        <w:rPr>
          <w:sz w:val="22"/>
          <w:szCs w:val="22"/>
        </w:rPr>
        <w:t xml:space="preserve">Artículo 2.2.2.2.24 “Excepciones a los mecanismos y procedimientos de Comercialización de la PTDV” y </w:t>
      </w:r>
    </w:p>
    <w:p w14:paraId="53EB7A29" w14:textId="48C991D8" w:rsidR="00393B57" w:rsidRPr="00771A16" w:rsidRDefault="00393B57">
      <w:pPr>
        <w:pStyle w:val="Prrafodelista"/>
        <w:numPr>
          <w:ilvl w:val="0"/>
          <w:numId w:val="15"/>
        </w:numPr>
        <w:rPr>
          <w:sz w:val="22"/>
          <w:szCs w:val="22"/>
        </w:rPr>
      </w:pPr>
      <w:r w:rsidRPr="00771A16">
        <w:rPr>
          <w:sz w:val="22"/>
          <w:szCs w:val="22"/>
        </w:rPr>
        <w:t>Artículo 2.2.2.2.25 “</w:t>
      </w:r>
      <w:r w:rsidRPr="00771A16">
        <w:rPr>
          <w:i/>
          <w:iCs/>
          <w:sz w:val="22"/>
          <w:szCs w:val="22"/>
        </w:rPr>
        <w:t>Lineamientos para la expedición de los mecanismos y procedimientos de comercialización</w:t>
      </w:r>
      <w:r w:rsidRPr="00771A16">
        <w:rPr>
          <w:sz w:val="22"/>
          <w:szCs w:val="22"/>
        </w:rPr>
        <w:t>”</w:t>
      </w:r>
    </w:p>
    <w:p w14:paraId="49B04BF3" w14:textId="77777777" w:rsidR="004726EA" w:rsidRPr="00771A16" w:rsidRDefault="004726EA" w:rsidP="004726EA">
      <w:pPr>
        <w:ind w:left="360"/>
        <w:rPr>
          <w:sz w:val="22"/>
          <w:szCs w:val="22"/>
        </w:rPr>
      </w:pPr>
    </w:p>
    <w:p w14:paraId="0B5E8046" w14:textId="611D04A5" w:rsidR="004726EA" w:rsidRDefault="004902E2" w:rsidP="003F21E8">
      <w:pPr>
        <w:rPr>
          <w:sz w:val="22"/>
          <w:szCs w:val="22"/>
        </w:rPr>
      </w:pPr>
      <w:r>
        <w:rPr>
          <w:sz w:val="22"/>
          <w:szCs w:val="22"/>
        </w:rPr>
        <w:t>De u</w:t>
      </w:r>
      <w:r w:rsidR="00553D3F">
        <w:rPr>
          <w:sz w:val="22"/>
          <w:szCs w:val="22"/>
        </w:rPr>
        <w:t>na interpretación conco</w:t>
      </w:r>
      <w:r>
        <w:rPr>
          <w:sz w:val="22"/>
          <w:szCs w:val="22"/>
        </w:rPr>
        <w:t>rdante y sistemática</w:t>
      </w:r>
      <w:r w:rsidR="008068D1">
        <w:rPr>
          <w:sz w:val="22"/>
          <w:szCs w:val="22"/>
        </w:rPr>
        <w:t xml:space="preserve"> de</w:t>
      </w:r>
      <w:r w:rsidR="004726EA" w:rsidRPr="00771A16">
        <w:rPr>
          <w:sz w:val="22"/>
          <w:szCs w:val="22"/>
        </w:rPr>
        <w:t xml:space="preserve"> la</w:t>
      </w:r>
      <w:r w:rsidR="009C466A" w:rsidRPr="00771A16">
        <w:rPr>
          <w:sz w:val="22"/>
          <w:szCs w:val="22"/>
        </w:rPr>
        <w:t xml:space="preserve">s disposiciones </w:t>
      </w:r>
      <w:r w:rsidR="004726EA" w:rsidRPr="00771A16">
        <w:rPr>
          <w:sz w:val="22"/>
          <w:szCs w:val="22"/>
        </w:rPr>
        <w:t xml:space="preserve">del Decreto 1073 de 2015, se puede concluir que a la CREG se le requiere que: i.) Establezca </w:t>
      </w:r>
      <w:r w:rsidR="004726EA" w:rsidRPr="003F21E8">
        <w:rPr>
          <w:b/>
          <w:bCs/>
          <w:sz w:val="22"/>
          <w:szCs w:val="22"/>
          <w:u w:val="single"/>
        </w:rPr>
        <w:t>mecanismos para asegurar el acceso</w:t>
      </w:r>
      <w:r w:rsidR="004726EA" w:rsidRPr="00771A16">
        <w:rPr>
          <w:sz w:val="22"/>
          <w:szCs w:val="22"/>
        </w:rPr>
        <w:t xml:space="preserve"> a los contratos de suministro con agentes que cuenten con Respaldo Físico, por parte de los agentes que atienden la </w:t>
      </w:r>
      <w:r w:rsidR="00E8014D" w:rsidRPr="00771A16">
        <w:rPr>
          <w:sz w:val="22"/>
          <w:szCs w:val="22"/>
        </w:rPr>
        <w:t>Demanda Esencial</w:t>
      </w:r>
      <w:r w:rsidR="004726EA" w:rsidRPr="00771A16">
        <w:rPr>
          <w:sz w:val="22"/>
          <w:szCs w:val="22"/>
        </w:rPr>
        <w:t xml:space="preserve">; y, </w:t>
      </w:r>
      <w:proofErr w:type="spellStart"/>
      <w:r w:rsidR="004726EA" w:rsidRPr="00771A16">
        <w:rPr>
          <w:sz w:val="22"/>
          <w:szCs w:val="22"/>
        </w:rPr>
        <w:t>ii</w:t>
      </w:r>
      <w:proofErr w:type="spellEnd"/>
      <w:r w:rsidR="004726EA" w:rsidRPr="00771A16">
        <w:rPr>
          <w:sz w:val="22"/>
          <w:szCs w:val="22"/>
        </w:rPr>
        <w:t xml:space="preserve">.) Establezca </w:t>
      </w:r>
      <w:r w:rsidR="004726EA" w:rsidRPr="003F21E8">
        <w:rPr>
          <w:b/>
          <w:bCs/>
          <w:sz w:val="22"/>
          <w:szCs w:val="22"/>
          <w:u w:val="single"/>
        </w:rPr>
        <w:t>mecanismos y procedimientos para la comercialización</w:t>
      </w:r>
      <w:r w:rsidR="004726EA" w:rsidRPr="00771A16">
        <w:rPr>
          <w:sz w:val="22"/>
          <w:szCs w:val="22"/>
        </w:rPr>
        <w:t xml:space="preserve"> de gas natural, con Respaldo Físico.</w:t>
      </w:r>
      <w:r w:rsidR="003F21E8">
        <w:rPr>
          <w:sz w:val="22"/>
          <w:szCs w:val="22"/>
        </w:rPr>
        <w:t xml:space="preserve"> Lo anterior en armonía con la prioridad operativa en el abastecimiento de gas que en el Decreto se le otorga a dicha Demanda Esencial, cuando se presentan “(…) </w:t>
      </w:r>
      <w:r w:rsidR="003F21E8" w:rsidRPr="003F21E8">
        <w:rPr>
          <w:i/>
          <w:iCs/>
          <w:sz w:val="22"/>
          <w:szCs w:val="22"/>
        </w:rPr>
        <w:t>insalvables restricciones en la oferta de gas natural o situaciones de grave emergencia, no transitorias, originadas en la infraestructura de suministro o de transporte, que impidan la prestación continúa del servicio</w:t>
      </w:r>
      <w:r w:rsidR="003F21E8">
        <w:rPr>
          <w:sz w:val="22"/>
          <w:szCs w:val="22"/>
        </w:rPr>
        <w:t xml:space="preserve"> (…).</w:t>
      </w:r>
    </w:p>
    <w:p w14:paraId="238F0A78" w14:textId="41916DC4" w:rsidR="003F21E8" w:rsidRDefault="003F21E8" w:rsidP="003F21E8">
      <w:pPr>
        <w:rPr>
          <w:sz w:val="22"/>
          <w:szCs w:val="22"/>
        </w:rPr>
      </w:pPr>
    </w:p>
    <w:p w14:paraId="436BAC7C" w14:textId="3CAD2CC4" w:rsidR="004726EA" w:rsidRDefault="003F21E8" w:rsidP="003F21E8">
      <w:pPr>
        <w:rPr>
          <w:sz w:val="22"/>
          <w:szCs w:val="22"/>
        </w:rPr>
      </w:pPr>
      <w:r>
        <w:rPr>
          <w:sz w:val="22"/>
          <w:szCs w:val="22"/>
        </w:rPr>
        <w:t xml:space="preserve">Dicha prioridad operativa </w:t>
      </w:r>
      <w:r w:rsidR="0080795C">
        <w:rPr>
          <w:sz w:val="22"/>
          <w:szCs w:val="22"/>
        </w:rPr>
        <w:t xml:space="preserve">ante situación de restricciones en la </w:t>
      </w:r>
      <w:proofErr w:type="gramStart"/>
      <w:r w:rsidR="0080795C">
        <w:rPr>
          <w:sz w:val="22"/>
          <w:szCs w:val="22"/>
        </w:rPr>
        <w:t>oferta,</w:t>
      </w:r>
      <w:proofErr w:type="gramEnd"/>
      <w:r w:rsidR="0080795C">
        <w:rPr>
          <w:sz w:val="22"/>
          <w:szCs w:val="22"/>
        </w:rPr>
        <w:t xml:space="preserve"> </w:t>
      </w:r>
      <w:r>
        <w:rPr>
          <w:sz w:val="22"/>
          <w:szCs w:val="22"/>
        </w:rPr>
        <w:t xml:space="preserve">puede llevar a que </w:t>
      </w:r>
      <w:r w:rsidR="0080795C">
        <w:rPr>
          <w:sz w:val="22"/>
          <w:szCs w:val="22"/>
        </w:rPr>
        <w:t>compradores</w:t>
      </w:r>
      <w:r>
        <w:rPr>
          <w:sz w:val="22"/>
          <w:szCs w:val="22"/>
        </w:rPr>
        <w:t xml:space="preserve"> que tiene</w:t>
      </w:r>
      <w:r w:rsidR="0080795C">
        <w:rPr>
          <w:sz w:val="22"/>
          <w:szCs w:val="22"/>
        </w:rPr>
        <w:t>n</w:t>
      </w:r>
      <w:r>
        <w:rPr>
          <w:sz w:val="22"/>
          <w:szCs w:val="22"/>
        </w:rPr>
        <w:t xml:space="preserve"> suscritos contratos firmes o que garantizan firmeza</w:t>
      </w:r>
      <w:r w:rsidR="0080795C">
        <w:rPr>
          <w:sz w:val="22"/>
          <w:szCs w:val="22"/>
        </w:rPr>
        <w:t xml:space="preserve"> en el Mercado Primario</w:t>
      </w:r>
      <w:r>
        <w:rPr>
          <w:sz w:val="22"/>
          <w:szCs w:val="22"/>
        </w:rPr>
        <w:t xml:space="preserve">, no se les pueda cumplir con el suministro de acuerdo con el contrato suscrito, recibiendo </w:t>
      </w:r>
      <w:r w:rsidR="0080795C">
        <w:rPr>
          <w:sz w:val="22"/>
          <w:szCs w:val="22"/>
        </w:rPr>
        <w:t xml:space="preserve">finalmente </w:t>
      </w:r>
      <w:r>
        <w:rPr>
          <w:sz w:val="22"/>
          <w:szCs w:val="22"/>
        </w:rPr>
        <w:t>parte de ese gas</w:t>
      </w:r>
      <w:r w:rsidR="0080795C">
        <w:rPr>
          <w:sz w:val="22"/>
          <w:szCs w:val="22"/>
        </w:rPr>
        <w:t xml:space="preserve"> contratado, los </w:t>
      </w:r>
      <w:r>
        <w:rPr>
          <w:sz w:val="22"/>
          <w:szCs w:val="22"/>
        </w:rPr>
        <w:t>agentes que atienden Demanda Esencial que posiblemente no tengan un contrato firme o que garantiza firmeza</w:t>
      </w:r>
      <w:r w:rsidR="0080795C">
        <w:rPr>
          <w:sz w:val="22"/>
          <w:szCs w:val="22"/>
        </w:rPr>
        <w:t xml:space="preserve"> en cantidades suficientes</w:t>
      </w:r>
      <w:r>
        <w:rPr>
          <w:sz w:val="22"/>
          <w:szCs w:val="22"/>
        </w:rPr>
        <w:t xml:space="preserve">. En esas situaciones el Decreto prevé que “(…) </w:t>
      </w:r>
      <w:r w:rsidRPr="003F21E8">
        <w:rPr>
          <w:i/>
          <w:iCs/>
          <w:sz w:val="22"/>
          <w:szCs w:val="22"/>
        </w:rPr>
        <w:t>los Agentes que atiendan la Demanda Esencial no cuenten con los contratos Firmes o que Garanticen Firmeza asumirán directamente tos costos en que incurran los Agentes que por ello resulten afectados. Lo anterior, sin perjuicio de las acciones administrativas y sanciones que puedan derivarse de este incumplimiento</w:t>
      </w:r>
      <w:r>
        <w:rPr>
          <w:sz w:val="22"/>
          <w:szCs w:val="22"/>
        </w:rPr>
        <w:t xml:space="preserve">”. </w:t>
      </w:r>
    </w:p>
    <w:p w14:paraId="23845817" w14:textId="2734252D" w:rsidR="003F21E8" w:rsidRDefault="003F21E8" w:rsidP="003F21E8">
      <w:pPr>
        <w:rPr>
          <w:sz w:val="22"/>
          <w:szCs w:val="22"/>
        </w:rPr>
      </w:pPr>
    </w:p>
    <w:p w14:paraId="33B0565F" w14:textId="36563330" w:rsidR="0080795C" w:rsidRDefault="0080795C" w:rsidP="003F21E8">
      <w:pPr>
        <w:rPr>
          <w:sz w:val="22"/>
          <w:szCs w:val="22"/>
        </w:rPr>
      </w:pPr>
      <w:r>
        <w:rPr>
          <w:sz w:val="22"/>
          <w:szCs w:val="22"/>
        </w:rPr>
        <w:t xml:space="preserve">Es por ello </w:t>
      </w:r>
      <w:proofErr w:type="gramStart"/>
      <w:r>
        <w:rPr>
          <w:sz w:val="22"/>
          <w:szCs w:val="22"/>
        </w:rPr>
        <w:t>que</w:t>
      </w:r>
      <w:proofErr w:type="gramEnd"/>
      <w:r>
        <w:rPr>
          <w:sz w:val="22"/>
          <w:szCs w:val="22"/>
        </w:rPr>
        <w:t xml:space="preserve"> </w:t>
      </w:r>
      <w:r w:rsidR="00EC196D">
        <w:rPr>
          <w:sz w:val="22"/>
          <w:szCs w:val="22"/>
        </w:rPr>
        <w:t>a partir de esto</w:t>
      </w:r>
      <w:r>
        <w:rPr>
          <w:sz w:val="22"/>
          <w:szCs w:val="22"/>
        </w:rPr>
        <w:t xml:space="preserve"> el Parágrafo 2 del Artículo </w:t>
      </w:r>
      <w:r w:rsidR="00937B41" w:rsidRPr="00937B41">
        <w:rPr>
          <w:sz w:val="22"/>
          <w:szCs w:val="22"/>
        </w:rPr>
        <w:t>2.2.2.2.16</w:t>
      </w:r>
      <w:r w:rsidR="00937B41">
        <w:rPr>
          <w:sz w:val="22"/>
          <w:szCs w:val="22"/>
        </w:rPr>
        <w:t xml:space="preserve"> del </w:t>
      </w:r>
      <w:r>
        <w:rPr>
          <w:sz w:val="22"/>
          <w:szCs w:val="22"/>
        </w:rPr>
        <w:t>Decreto 1073 de 2015 establece que:</w:t>
      </w:r>
    </w:p>
    <w:p w14:paraId="650A9630" w14:textId="77777777" w:rsidR="0080795C" w:rsidRDefault="0080795C" w:rsidP="003F21E8">
      <w:pPr>
        <w:rPr>
          <w:sz w:val="22"/>
          <w:szCs w:val="22"/>
        </w:rPr>
      </w:pPr>
    </w:p>
    <w:p w14:paraId="7CE8B2B6" w14:textId="4F97D5A6" w:rsidR="0080795C" w:rsidRDefault="0080795C" w:rsidP="0080795C">
      <w:pPr>
        <w:ind w:left="708"/>
        <w:rPr>
          <w:sz w:val="22"/>
          <w:szCs w:val="22"/>
        </w:rPr>
      </w:pPr>
      <w:r>
        <w:rPr>
          <w:sz w:val="22"/>
          <w:szCs w:val="22"/>
        </w:rPr>
        <w:t>“</w:t>
      </w:r>
      <w:r w:rsidRPr="0080795C">
        <w:rPr>
          <w:i/>
          <w:iCs/>
          <w:sz w:val="22"/>
          <w:szCs w:val="22"/>
        </w:rPr>
        <w:t>La CREG, siguiendo los lineamientos establecidos en el artículo 2.2.2.2.26</w:t>
      </w:r>
      <w:r>
        <w:rPr>
          <w:i/>
          <w:iCs/>
          <w:sz w:val="22"/>
          <w:szCs w:val="22"/>
        </w:rPr>
        <w:t>,</w:t>
      </w:r>
      <w:r w:rsidRPr="0080795C">
        <w:rPr>
          <w:i/>
          <w:iCs/>
          <w:sz w:val="22"/>
          <w:szCs w:val="22"/>
        </w:rPr>
        <w:t xml:space="preserve"> de este Decreto, </w:t>
      </w:r>
      <w:r w:rsidRPr="0080795C">
        <w:rPr>
          <w:b/>
          <w:bCs/>
          <w:i/>
          <w:iCs/>
          <w:sz w:val="22"/>
          <w:szCs w:val="22"/>
          <w:u w:val="single"/>
        </w:rPr>
        <w:t>definirá los mecanismos que permitan a los Agentes que atiendan a la Demanda Esencial tener acceso a los contratos</w:t>
      </w:r>
      <w:r w:rsidRPr="0080795C">
        <w:rPr>
          <w:i/>
          <w:iCs/>
          <w:sz w:val="22"/>
          <w:szCs w:val="22"/>
        </w:rPr>
        <w:t xml:space="preserve"> de suministro y/o transporte de gas natural a que se refiere este artículo</w:t>
      </w:r>
      <w:r w:rsidRPr="0080795C">
        <w:rPr>
          <w:sz w:val="22"/>
          <w:szCs w:val="22"/>
        </w:rPr>
        <w:t>.</w:t>
      </w:r>
      <w:r>
        <w:rPr>
          <w:sz w:val="22"/>
          <w:szCs w:val="22"/>
        </w:rPr>
        <w:t>” (subrayado con resaltado por fuera de texto)</w:t>
      </w:r>
    </w:p>
    <w:p w14:paraId="75E5007A" w14:textId="664CBBB8" w:rsidR="0080795C" w:rsidRDefault="0080795C" w:rsidP="0080795C">
      <w:pPr>
        <w:rPr>
          <w:sz w:val="22"/>
          <w:szCs w:val="22"/>
        </w:rPr>
      </w:pPr>
    </w:p>
    <w:p w14:paraId="2579A0A0" w14:textId="35BCE16E" w:rsidR="00102276" w:rsidRDefault="0080795C" w:rsidP="009D6CE9">
      <w:pPr>
        <w:rPr>
          <w:sz w:val="22"/>
          <w:szCs w:val="22"/>
        </w:rPr>
      </w:pPr>
      <w:r>
        <w:rPr>
          <w:sz w:val="22"/>
          <w:szCs w:val="22"/>
        </w:rPr>
        <w:t xml:space="preserve">Se observa </w:t>
      </w:r>
      <w:r w:rsidR="00BB7736">
        <w:rPr>
          <w:sz w:val="22"/>
          <w:szCs w:val="22"/>
        </w:rPr>
        <w:t xml:space="preserve">del texto transcrito </w:t>
      </w:r>
      <w:r>
        <w:rPr>
          <w:sz w:val="22"/>
          <w:szCs w:val="22"/>
        </w:rPr>
        <w:t>que</w:t>
      </w:r>
      <w:r w:rsidR="00A04D87">
        <w:rPr>
          <w:sz w:val="22"/>
          <w:szCs w:val="22"/>
        </w:rPr>
        <w:t xml:space="preserve"> allí</w:t>
      </w:r>
      <w:r>
        <w:rPr>
          <w:sz w:val="22"/>
          <w:szCs w:val="22"/>
        </w:rPr>
        <w:t xml:space="preserve"> no se establecen excepciones para la definición de dichos mecanismos de acceso a los contratos, y que los lineamientos</w:t>
      </w:r>
      <w:r w:rsidR="00BB7736">
        <w:rPr>
          <w:sz w:val="22"/>
          <w:szCs w:val="22"/>
        </w:rPr>
        <w:t xml:space="preserve"> (</w:t>
      </w:r>
      <w:r w:rsidR="0052624A">
        <w:rPr>
          <w:sz w:val="22"/>
          <w:szCs w:val="22"/>
        </w:rPr>
        <w:t>que en realidad aparecen en el Artículo 2.2.2.2.25</w:t>
      </w:r>
      <w:r w:rsidR="00BB7736">
        <w:rPr>
          <w:sz w:val="22"/>
          <w:szCs w:val="22"/>
        </w:rPr>
        <w:t>)</w:t>
      </w:r>
      <w:r w:rsidR="009D6CE9">
        <w:rPr>
          <w:sz w:val="22"/>
          <w:szCs w:val="22"/>
        </w:rPr>
        <w:t>,</w:t>
      </w:r>
      <w:r w:rsidR="0052624A">
        <w:rPr>
          <w:sz w:val="22"/>
          <w:szCs w:val="22"/>
        </w:rPr>
        <w:t xml:space="preserve"> corresponden a</w:t>
      </w:r>
      <w:r w:rsidR="009D6CE9">
        <w:rPr>
          <w:sz w:val="22"/>
          <w:szCs w:val="22"/>
        </w:rPr>
        <w:t xml:space="preserve"> “(…) </w:t>
      </w:r>
      <w:r w:rsidR="009D6CE9" w:rsidRPr="009D6CE9">
        <w:rPr>
          <w:i/>
          <w:iCs/>
          <w:sz w:val="22"/>
          <w:szCs w:val="22"/>
        </w:rPr>
        <w:t>deberá promover la competencia, propiciar la formación de precios eficientes a través de procesos que reflejen el costo de oportunidad del recurso, considerando las diferentes variables que inciden en su formación, así como mitigar los efectos de la concentración del mercado y generar información oportuna y suficiente para los Agentes</w:t>
      </w:r>
      <w:r w:rsidR="009D6CE9" w:rsidRPr="009D6CE9">
        <w:rPr>
          <w:sz w:val="22"/>
          <w:szCs w:val="22"/>
        </w:rPr>
        <w:t>.</w:t>
      </w:r>
      <w:r w:rsidR="009D6CE9">
        <w:rPr>
          <w:sz w:val="22"/>
          <w:szCs w:val="22"/>
        </w:rPr>
        <w:t>”</w:t>
      </w:r>
      <w:r w:rsidR="00102276">
        <w:rPr>
          <w:sz w:val="22"/>
          <w:szCs w:val="22"/>
        </w:rPr>
        <w:t xml:space="preserve"> Del mismo modo anterior, en la priorización del suministro cuando se presentan insalvables restricciones de oferta o infraestructura, en el Decreto 1073 de 2015</w:t>
      </w:r>
      <w:r w:rsidR="00D74898">
        <w:rPr>
          <w:sz w:val="22"/>
          <w:szCs w:val="22"/>
        </w:rPr>
        <w:t>,</w:t>
      </w:r>
      <w:r w:rsidR="00102276">
        <w:rPr>
          <w:sz w:val="22"/>
          <w:szCs w:val="22"/>
        </w:rPr>
        <w:t xml:space="preserve"> no se hace excepción de ningún tipo a alguna fuente de suministro en particular.</w:t>
      </w:r>
    </w:p>
    <w:p w14:paraId="044CD5E2" w14:textId="77777777" w:rsidR="00102276" w:rsidRDefault="00102276" w:rsidP="009D6CE9">
      <w:pPr>
        <w:rPr>
          <w:sz w:val="22"/>
          <w:szCs w:val="22"/>
        </w:rPr>
      </w:pPr>
    </w:p>
    <w:p w14:paraId="28CA6F64" w14:textId="43345809" w:rsidR="0080795C" w:rsidRDefault="007E0A27" w:rsidP="009D6CE9">
      <w:pPr>
        <w:rPr>
          <w:sz w:val="22"/>
          <w:szCs w:val="22"/>
        </w:rPr>
      </w:pPr>
      <w:r>
        <w:rPr>
          <w:sz w:val="22"/>
          <w:szCs w:val="22"/>
        </w:rPr>
        <w:t>En este sentido</w:t>
      </w:r>
      <w:r w:rsidR="005626C3">
        <w:rPr>
          <w:sz w:val="22"/>
          <w:szCs w:val="22"/>
        </w:rPr>
        <w:t>, se debe tener en cuenta que l</w:t>
      </w:r>
      <w:r w:rsidR="009D6CE9">
        <w:rPr>
          <w:sz w:val="22"/>
          <w:szCs w:val="22"/>
        </w:rPr>
        <w:t>os mecanismos de acceso</w:t>
      </w:r>
      <w:r w:rsidR="00563B9C">
        <w:rPr>
          <w:sz w:val="22"/>
          <w:szCs w:val="22"/>
        </w:rPr>
        <w:t xml:space="preserve"> a la Demanda Esencial</w:t>
      </w:r>
      <w:r w:rsidR="00FB41A1">
        <w:rPr>
          <w:sz w:val="22"/>
          <w:szCs w:val="22"/>
        </w:rPr>
        <w:t xml:space="preserve"> a que hace referencia el </w:t>
      </w:r>
      <w:r>
        <w:rPr>
          <w:sz w:val="22"/>
          <w:szCs w:val="22"/>
        </w:rPr>
        <w:t>P</w:t>
      </w:r>
      <w:r w:rsidR="00FB41A1">
        <w:rPr>
          <w:sz w:val="22"/>
          <w:szCs w:val="22"/>
        </w:rPr>
        <w:t>arágrafo 2o</w:t>
      </w:r>
      <w:r w:rsidR="009D6CE9">
        <w:rPr>
          <w:sz w:val="22"/>
          <w:szCs w:val="22"/>
        </w:rPr>
        <w:t xml:space="preserve">, como ya se ha dicho, no deben confundirse </w:t>
      </w:r>
      <w:r w:rsidR="0017013C">
        <w:rPr>
          <w:sz w:val="22"/>
          <w:szCs w:val="22"/>
        </w:rPr>
        <w:t>y se distinguen de</w:t>
      </w:r>
      <w:r w:rsidR="009D6CE9">
        <w:rPr>
          <w:sz w:val="22"/>
          <w:szCs w:val="22"/>
        </w:rPr>
        <w:t xml:space="preserve"> los mecanismos de comercialización que </w:t>
      </w:r>
      <w:r w:rsidR="00267738">
        <w:rPr>
          <w:sz w:val="22"/>
          <w:szCs w:val="22"/>
        </w:rPr>
        <w:t xml:space="preserve">también </w:t>
      </w:r>
      <w:r w:rsidR="009D6CE9">
        <w:rPr>
          <w:sz w:val="22"/>
          <w:szCs w:val="22"/>
        </w:rPr>
        <w:t>debe establecer la CREG</w:t>
      </w:r>
      <w:r w:rsidR="005626C3">
        <w:rPr>
          <w:sz w:val="22"/>
          <w:szCs w:val="22"/>
        </w:rPr>
        <w:t xml:space="preserve"> de acuerdo con el </w:t>
      </w:r>
      <w:r>
        <w:rPr>
          <w:sz w:val="22"/>
          <w:szCs w:val="22"/>
        </w:rPr>
        <w:t xml:space="preserve">Artículo </w:t>
      </w:r>
      <w:r w:rsidRPr="007E0A27">
        <w:rPr>
          <w:sz w:val="22"/>
          <w:szCs w:val="22"/>
        </w:rPr>
        <w:t>2.2.2.2.23</w:t>
      </w:r>
      <w:r>
        <w:rPr>
          <w:sz w:val="22"/>
          <w:szCs w:val="22"/>
        </w:rPr>
        <w:t xml:space="preserve"> del Decreto 1073 de 2015</w:t>
      </w:r>
      <w:r w:rsidR="009D6CE9">
        <w:rPr>
          <w:sz w:val="22"/>
          <w:szCs w:val="22"/>
        </w:rPr>
        <w:t>.</w:t>
      </w:r>
    </w:p>
    <w:p w14:paraId="6929B266" w14:textId="7FADF101" w:rsidR="0052624A" w:rsidRDefault="0052624A" w:rsidP="0080795C">
      <w:pPr>
        <w:rPr>
          <w:sz w:val="22"/>
          <w:szCs w:val="22"/>
        </w:rPr>
      </w:pPr>
    </w:p>
    <w:p w14:paraId="14C4ED96" w14:textId="343A8B3B" w:rsidR="004726EA" w:rsidRPr="00771A16" w:rsidRDefault="004726EA" w:rsidP="00D31A84">
      <w:pPr>
        <w:rPr>
          <w:sz w:val="22"/>
          <w:szCs w:val="22"/>
        </w:rPr>
      </w:pPr>
      <w:r w:rsidRPr="00771A16">
        <w:rPr>
          <w:sz w:val="22"/>
          <w:szCs w:val="22"/>
        </w:rPr>
        <w:t xml:space="preserve">Por otra parte, en el Artículo 2.2.2.2.24 </w:t>
      </w:r>
      <w:r w:rsidR="00761402" w:rsidRPr="00771A16">
        <w:rPr>
          <w:sz w:val="22"/>
          <w:szCs w:val="22"/>
        </w:rPr>
        <w:t>del mencionado Decreto,</w:t>
      </w:r>
      <w:r w:rsidRPr="00771A16">
        <w:rPr>
          <w:sz w:val="22"/>
          <w:szCs w:val="22"/>
        </w:rPr>
        <w:t xml:space="preserve"> se establecen excepciones a los mecanismos y procedimientos de comercialización de la PTDV</w:t>
      </w:r>
      <w:r w:rsidRPr="00771A16">
        <w:rPr>
          <w:rStyle w:val="Refdenotaalpie"/>
          <w:sz w:val="22"/>
          <w:szCs w:val="22"/>
        </w:rPr>
        <w:footnoteReference w:id="6"/>
      </w:r>
      <w:r w:rsidRPr="00771A16">
        <w:rPr>
          <w:sz w:val="22"/>
          <w:szCs w:val="22"/>
        </w:rPr>
        <w:t xml:space="preserve"> y de las CIDV</w:t>
      </w:r>
      <w:r w:rsidRPr="00771A16">
        <w:rPr>
          <w:rStyle w:val="Refdenotaalpie"/>
          <w:sz w:val="22"/>
          <w:szCs w:val="22"/>
        </w:rPr>
        <w:footnoteReference w:id="7"/>
      </w:r>
      <w:r w:rsidRPr="00771A16">
        <w:rPr>
          <w:sz w:val="22"/>
          <w:szCs w:val="22"/>
        </w:rPr>
        <w:t xml:space="preserve"> a algunas actividades que se relacionan en dicho artículo, como son: 1. La comercialización de gas en Campos Menores; 2. La comercialización de gas en campos de hidrocarburos que se encuentren en pruebas extensas o sobre los cuales no se haya declarado su comercialidad; y, 3. La comercialización de gas en yacimientos no convencionales. </w:t>
      </w:r>
    </w:p>
    <w:p w14:paraId="61DB537B" w14:textId="77777777" w:rsidR="004726EA" w:rsidRPr="00771A16" w:rsidRDefault="004726EA" w:rsidP="00D31A84">
      <w:pPr>
        <w:ind w:left="360"/>
        <w:rPr>
          <w:sz w:val="22"/>
          <w:szCs w:val="22"/>
        </w:rPr>
      </w:pPr>
    </w:p>
    <w:p w14:paraId="361E742B" w14:textId="3E023C81" w:rsidR="004726EA" w:rsidRPr="00771A16" w:rsidRDefault="006524AC" w:rsidP="00D31A84">
      <w:pPr>
        <w:rPr>
          <w:sz w:val="22"/>
          <w:szCs w:val="22"/>
        </w:rPr>
      </w:pPr>
      <w:r w:rsidRPr="00771A16">
        <w:rPr>
          <w:sz w:val="22"/>
          <w:szCs w:val="22"/>
        </w:rPr>
        <w:t>Es parte de la problemática</w:t>
      </w:r>
      <w:r w:rsidR="004726EA" w:rsidRPr="00771A16">
        <w:rPr>
          <w:sz w:val="22"/>
          <w:szCs w:val="22"/>
        </w:rPr>
        <w:t xml:space="preserve">, por tanto, </w:t>
      </w:r>
      <w:r w:rsidRPr="00771A16">
        <w:rPr>
          <w:sz w:val="22"/>
          <w:szCs w:val="22"/>
        </w:rPr>
        <w:t xml:space="preserve">determinar </w:t>
      </w:r>
      <w:r w:rsidR="009A1BCB" w:rsidRPr="00771A16">
        <w:rPr>
          <w:sz w:val="22"/>
          <w:szCs w:val="22"/>
        </w:rPr>
        <w:t xml:space="preserve">con base en los lineamientos anteriores, </w:t>
      </w:r>
      <w:r w:rsidR="004726EA" w:rsidRPr="00771A16">
        <w:rPr>
          <w:sz w:val="22"/>
          <w:szCs w:val="22"/>
        </w:rPr>
        <w:t>la</w:t>
      </w:r>
      <w:r w:rsidR="00406F0F">
        <w:rPr>
          <w:sz w:val="22"/>
          <w:szCs w:val="22"/>
        </w:rPr>
        <w:t xml:space="preserve"> debida y correcta aplicación de las normas citadas</w:t>
      </w:r>
      <w:r w:rsidR="001171A7">
        <w:rPr>
          <w:sz w:val="22"/>
          <w:szCs w:val="22"/>
        </w:rPr>
        <w:t xml:space="preserve"> que, atendiendo </w:t>
      </w:r>
      <w:r w:rsidR="006931C1">
        <w:rPr>
          <w:sz w:val="22"/>
          <w:szCs w:val="22"/>
        </w:rPr>
        <w:t>a una interpretación sistemática</w:t>
      </w:r>
      <w:r w:rsidR="00AA6A13">
        <w:rPr>
          <w:rStyle w:val="Refdenotaalpie"/>
          <w:sz w:val="22"/>
          <w:szCs w:val="22"/>
        </w:rPr>
        <w:footnoteReference w:id="8"/>
      </w:r>
      <w:r w:rsidR="006931C1">
        <w:rPr>
          <w:sz w:val="22"/>
          <w:szCs w:val="22"/>
        </w:rPr>
        <w:t xml:space="preserve"> de las mismas,</w:t>
      </w:r>
      <w:r w:rsidR="001171A7">
        <w:rPr>
          <w:sz w:val="22"/>
          <w:szCs w:val="22"/>
        </w:rPr>
        <w:t xml:space="preserve"> conlleven en el marco de la presente propuesta </w:t>
      </w:r>
      <w:r w:rsidR="003244A3">
        <w:rPr>
          <w:sz w:val="22"/>
          <w:szCs w:val="22"/>
        </w:rPr>
        <w:t xml:space="preserve">regulatoria </w:t>
      </w:r>
      <w:r w:rsidR="001171A7">
        <w:rPr>
          <w:sz w:val="22"/>
          <w:szCs w:val="22"/>
        </w:rPr>
        <w:t>a una</w:t>
      </w:r>
      <w:r w:rsidR="004726EA" w:rsidRPr="00771A16">
        <w:rPr>
          <w:sz w:val="22"/>
          <w:szCs w:val="22"/>
        </w:rPr>
        <w:t xml:space="preserve"> combinación </w:t>
      </w:r>
      <w:r w:rsidR="00BB7736">
        <w:rPr>
          <w:sz w:val="22"/>
          <w:szCs w:val="22"/>
        </w:rPr>
        <w:t xml:space="preserve">adecuada y eficaz </w:t>
      </w:r>
      <w:r w:rsidR="004726EA" w:rsidRPr="00771A16">
        <w:rPr>
          <w:sz w:val="22"/>
          <w:szCs w:val="22"/>
        </w:rPr>
        <w:t>de</w:t>
      </w:r>
      <w:r w:rsidR="00BB7736">
        <w:rPr>
          <w:sz w:val="22"/>
          <w:szCs w:val="22"/>
        </w:rPr>
        <w:t xml:space="preserve">l </w:t>
      </w:r>
      <w:r w:rsidR="004726EA" w:rsidRPr="00771A16">
        <w:rPr>
          <w:sz w:val="22"/>
          <w:szCs w:val="22"/>
        </w:rPr>
        <w:t xml:space="preserve">mecanismo </w:t>
      </w:r>
      <w:r w:rsidR="00D64EE3">
        <w:rPr>
          <w:sz w:val="22"/>
          <w:szCs w:val="22"/>
        </w:rPr>
        <w:t>de acceso a la Demanda Esencial y de</w:t>
      </w:r>
      <w:r w:rsidR="00BB7736">
        <w:rPr>
          <w:sz w:val="22"/>
          <w:szCs w:val="22"/>
        </w:rPr>
        <w:t xml:space="preserve"> los mecanismos de</w:t>
      </w:r>
      <w:r w:rsidR="00D64EE3">
        <w:rPr>
          <w:sz w:val="22"/>
          <w:szCs w:val="22"/>
        </w:rPr>
        <w:t xml:space="preserve"> comercialización de las fuentes de suministro </w:t>
      </w:r>
      <w:r w:rsidR="004726EA" w:rsidRPr="00771A16">
        <w:rPr>
          <w:sz w:val="22"/>
          <w:szCs w:val="22"/>
        </w:rPr>
        <w:t>que la CREG está obligada a establecer</w:t>
      </w:r>
      <w:r w:rsidR="00160185" w:rsidRPr="00771A16">
        <w:rPr>
          <w:sz w:val="22"/>
          <w:szCs w:val="22"/>
        </w:rPr>
        <w:t xml:space="preserve"> para </w:t>
      </w:r>
      <w:r w:rsidR="00D64EE3">
        <w:rPr>
          <w:sz w:val="22"/>
          <w:szCs w:val="22"/>
        </w:rPr>
        <w:t>logra</w:t>
      </w:r>
      <w:r w:rsidR="001171A7">
        <w:rPr>
          <w:sz w:val="22"/>
          <w:szCs w:val="22"/>
        </w:rPr>
        <w:t>r</w:t>
      </w:r>
      <w:r w:rsidR="00D64EE3">
        <w:rPr>
          <w:sz w:val="22"/>
          <w:szCs w:val="22"/>
        </w:rPr>
        <w:t xml:space="preserve"> e</w:t>
      </w:r>
      <w:r w:rsidR="00160185" w:rsidRPr="00771A16">
        <w:rPr>
          <w:sz w:val="22"/>
          <w:szCs w:val="22"/>
        </w:rPr>
        <w:t xml:space="preserve">l </w:t>
      </w:r>
      <w:r w:rsidR="008068D1">
        <w:rPr>
          <w:sz w:val="22"/>
          <w:szCs w:val="22"/>
        </w:rPr>
        <w:t xml:space="preserve">acceso a la contratación </w:t>
      </w:r>
      <w:r w:rsidR="008A7BA4">
        <w:rPr>
          <w:sz w:val="22"/>
          <w:szCs w:val="22"/>
        </w:rPr>
        <w:t>de tipo firme o con garantía de firmeza</w:t>
      </w:r>
      <w:r w:rsidR="00160185" w:rsidRPr="00771A16">
        <w:rPr>
          <w:sz w:val="22"/>
          <w:szCs w:val="22"/>
        </w:rPr>
        <w:t xml:space="preserve"> </w:t>
      </w:r>
      <w:r w:rsidR="008068D1">
        <w:rPr>
          <w:sz w:val="22"/>
          <w:szCs w:val="22"/>
        </w:rPr>
        <w:t xml:space="preserve">destinada a </w:t>
      </w:r>
      <w:r w:rsidR="00160185" w:rsidRPr="00771A16">
        <w:rPr>
          <w:sz w:val="22"/>
          <w:szCs w:val="22"/>
        </w:rPr>
        <w:t>la atención de la demanda esencial</w:t>
      </w:r>
      <w:r w:rsidR="004726EA" w:rsidRPr="00771A16">
        <w:rPr>
          <w:sz w:val="22"/>
          <w:szCs w:val="22"/>
        </w:rPr>
        <w:t xml:space="preserve">. </w:t>
      </w:r>
    </w:p>
    <w:p w14:paraId="495B7155" w14:textId="77777777" w:rsidR="004726EA" w:rsidRPr="00771A16" w:rsidRDefault="004726EA" w:rsidP="00D31A84">
      <w:pPr>
        <w:rPr>
          <w:sz w:val="22"/>
          <w:szCs w:val="22"/>
        </w:rPr>
      </w:pPr>
    </w:p>
    <w:p w14:paraId="45E7D031" w14:textId="770801F3" w:rsidR="00E90C08" w:rsidRPr="00771A16" w:rsidRDefault="00892B43" w:rsidP="00790CE0">
      <w:pPr>
        <w:pStyle w:val="Prrafodelista"/>
        <w:ind w:left="0"/>
        <w:rPr>
          <w:sz w:val="22"/>
          <w:szCs w:val="22"/>
        </w:rPr>
      </w:pPr>
      <w:r w:rsidRPr="00771A16">
        <w:rPr>
          <w:sz w:val="22"/>
          <w:szCs w:val="22"/>
        </w:rPr>
        <w:t>A</w:t>
      </w:r>
      <w:r w:rsidR="00BB7736">
        <w:rPr>
          <w:sz w:val="22"/>
          <w:szCs w:val="22"/>
        </w:rPr>
        <w:t>ctualmente</w:t>
      </w:r>
      <w:r w:rsidR="00790CE0">
        <w:rPr>
          <w:sz w:val="22"/>
          <w:szCs w:val="22"/>
        </w:rPr>
        <w:t>,</w:t>
      </w:r>
      <w:r w:rsidR="008C13DD" w:rsidRPr="00771A16">
        <w:rPr>
          <w:sz w:val="22"/>
          <w:szCs w:val="22"/>
        </w:rPr>
        <w:t xml:space="preserve"> </w:t>
      </w:r>
      <w:r w:rsidR="00D31A84" w:rsidRPr="00771A16">
        <w:rPr>
          <w:sz w:val="22"/>
          <w:szCs w:val="22"/>
        </w:rPr>
        <w:t xml:space="preserve">lo establecido en la regulación vigente contiene condiciones que buscan garantizar a la demanda regulada acceso prioritario a </w:t>
      </w:r>
      <w:r w:rsidR="0038608C" w:rsidRPr="00771A16">
        <w:rPr>
          <w:sz w:val="22"/>
          <w:szCs w:val="22"/>
        </w:rPr>
        <w:t xml:space="preserve">contratos con garantía de firmeza con Respaldo </w:t>
      </w:r>
      <w:r w:rsidR="008068D1">
        <w:rPr>
          <w:sz w:val="22"/>
          <w:szCs w:val="22"/>
        </w:rPr>
        <w:t>F</w:t>
      </w:r>
      <w:r w:rsidR="0038608C" w:rsidRPr="00771A16">
        <w:rPr>
          <w:sz w:val="22"/>
          <w:szCs w:val="22"/>
        </w:rPr>
        <w:t>ísico</w:t>
      </w:r>
      <w:r w:rsidR="00BB7736">
        <w:rPr>
          <w:sz w:val="22"/>
          <w:szCs w:val="22"/>
        </w:rPr>
        <w:t>. S</w:t>
      </w:r>
      <w:r w:rsidR="00D64EE3">
        <w:rPr>
          <w:sz w:val="22"/>
          <w:szCs w:val="22"/>
        </w:rPr>
        <w:t xml:space="preserve">in embargo, dicho mecanismo de acceso </w:t>
      </w:r>
      <w:r w:rsidR="003244A3">
        <w:rPr>
          <w:sz w:val="22"/>
          <w:szCs w:val="22"/>
        </w:rPr>
        <w:t xml:space="preserve">y su funcionamiento </w:t>
      </w:r>
      <w:r w:rsidR="00D64EE3">
        <w:rPr>
          <w:sz w:val="22"/>
          <w:szCs w:val="22"/>
        </w:rPr>
        <w:t>puede presentar serias dificultades cuando las cantidades ofertadas son insuficientes para atender la totalidad de la demanda que desea contratarse en firme o con garantía de firmeza</w:t>
      </w:r>
      <w:r w:rsidR="0038608C" w:rsidRPr="00771A16">
        <w:rPr>
          <w:sz w:val="22"/>
          <w:szCs w:val="22"/>
        </w:rPr>
        <w:t>.</w:t>
      </w:r>
      <w:r w:rsidR="00790CE0">
        <w:rPr>
          <w:sz w:val="22"/>
          <w:szCs w:val="22"/>
        </w:rPr>
        <w:t xml:space="preserve"> </w:t>
      </w:r>
      <w:r w:rsidR="00D64EE3">
        <w:rPr>
          <w:sz w:val="22"/>
          <w:szCs w:val="22"/>
        </w:rPr>
        <w:t>Esto es así porque e</w:t>
      </w:r>
      <w:r w:rsidR="00271BD1" w:rsidRPr="00771A16">
        <w:rPr>
          <w:sz w:val="22"/>
          <w:szCs w:val="22"/>
        </w:rPr>
        <w:t xml:space="preserve">l mecanismo actualmente </w:t>
      </w:r>
      <w:r w:rsidR="00F13335" w:rsidRPr="00771A16">
        <w:rPr>
          <w:sz w:val="22"/>
          <w:szCs w:val="22"/>
        </w:rPr>
        <w:t>estableci</w:t>
      </w:r>
      <w:r w:rsidR="00271BD1" w:rsidRPr="00771A16">
        <w:rPr>
          <w:sz w:val="22"/>
          <w:szCs w:val="22"/>
        </w:rPr>
        <w:t xml:space="preserve">do para tal fin </w:t>
      </w:r>
      <w:r w:rsidR="0038608C" w:rsidRPr="00771A16">
        <w:rPr>
          <w:sz w:val="22"/>
          <w:szCs w:val="22"/>
        </w:rPr>
        <w:t>permite</w:t>
      </w:r>
      <w:r w:rsidR="00271BD1" w:rsidRPr="00771A16">
        <w:rPr>
          <w:sz w:val="22"/>
          <w:szCs w:val="22"/>
        </w:rPr>
        <w:t xml:space="preserve"> garantiza</w:t>
      </w:r>
      <w:r w:rsidR="0038608C" w:rsidRPr="00771A16">
        <w:rPr>
          <w:sz w:val="22"/>
          <w:szCs w:val="22"/>
        </w:rPr>
        <w:t>r</w:t>
      </w:r>
      <w:r w:rsidR="00271BD1" w:rsidRPr="00771A16">
        <w:rPr>
          <w:sz w:val="22"/>
          <w:szCs w:val="22"/>
        </w:rPr>
        <w:t xml:space="preserve"> </w:t>
      </w:r>
      <w:r w:rsidR="00F13335" w:rsidRPr="00771A16">
        <w:rPr>
          <w:sz w:val="22"/>
          <w:szCs w:val="22"/>
        </w:rPr>
        <w:t xml:space="preserve">el </w:t>
      </w:r>
      <w:r w:rsidR="00271BD1" w:rsidRPr="00771A16">
        <w:rPr>
          <w:sz w:val="22"/>
          <w:szCs w:val="22"/>
        </w:rPr>
        <w:t xml:space="preserve">acceso </w:t>
      </w:r>
      <w:r w:rsidR="0038608C" w:rsidRPr="00771A16">
        <w:rPr>
          <w:sz w:val="22"/>
          <w:szCs w:val="22"/>
        </w:rPr>
        <w:t>a la demanda regulada aunque de manera residual</w:t>
      </w:r>
      <w:r w:rsidR="0031703D" w:rsidRPr="00771A16">
        <w:rPr>
          <w:sz w:val="22"/>
          <w:szCs w:val="22"/>
        </w:rPr>
        <w:t xml:space="preserve">, </w:t>
      </w:r>
      <w:r w:rsidR="00271BD1" w:rsidRPr="00771A16">
        <w:rPr>
          <w:sz w:val="22"/>
          <w:szCs w:val="22"/>
        </w:rPr>
        <w:t xml:space="preserve">por cuanto </w:t>
      </w:r>
      <w:r w:rsidR="0031703D" w:rsidRPr="00771A16">
        <w:rPr>
          <w:sz w:val="22"/>
          <w:szCs w:val="22"/>
        </w:rPr>
        <w:t xml:space="preserve">en el cronograma </w:t>
      </w:r>
      <w:r w:rsidR="0038608C" w:rsidRPr="00771A16">
        <w:rPr>
          <w:sz w:val="22"/>
          <w:szCs w:val="22"/>
        </w:rPr>
        <w:t>que se debe establecer anualmente,</w:t>
      </w:r>
      <w:r w:rsidR="0031703D" w:rsidRPr="00771A16">
        <w:rPr>
          <w:sz w:val="22"/>
          <w:szCs w:val="22"/>
        </w:rPr>
        <w:t xml:space="preserve"> </w:t>
      </w:r>
      <w:r w:rsidR="00271BD1" w:rsidRPr="00771A16">
        <w:rPr>
          <w:sz w:val="22"/>
          <w:szCs w:val="22"/>
        </w:rPr>
        <w:t xml:space="preserve">primero se </w:t>
      </w:r>
      <w:r w:rsidR="00BB7736">
        <w:rPr>
          <w:sz w:val="22"/>
          <w:szCs w:val="22"/>
        </w:rPr>
        <w:t>realiz</w:t>
      </w:r>
      <w:r w:rsidR="00271BD1" w:rsidRPr="00771A16">
        <w:rPr>
          <w:sz w:val="22"/>
          <w:szCs w:val="22"/>
        </w:rPr>
        <w:t>an las negociaciones directas de los contratos de suministro</w:t>
      </w:r>
      <w:r w:rsidR="0038608C" w:rsidRPr="00771A16">
        <w:rPr>
          <w:sz w:val="22"/>
          <w:szCs w:val="22"/>
        </w:rPr>
        <w:t xml:space="preserve"> </w:t>
      </w:r>
      <w:r w:rsidR="00D64EE3">
        <w:rPr>
          <w:sz w:val="22"/>
          <w:szCs w:val="22"/>
        </w:rPr>
        <w:t>para</w:t>
      </w:r>
      <w:r w:rsidR="0038608C" w:rsidRPr="00771A16">
        <w:rPr>
          <w:sz w:val="22"/>
          <w:szCs w:val="22"/>
        </w:rPr>
        <w:t xml:space="preserve"> todos los tipos de demanda</w:t>
      </w:r>
      <w:r w:rsidR="00271BD1" w:rsidRPr="00771A16">
        <w:rPr>
          <w:sz w:val="22"/>
          <w:szCs w:val="22"/>
        </w:rPr>
        <w:t>, y posteriormente</w:t>
      </w:r>
      <w:r w:rsidR="00D64EE3">
        <w:rPr>
          <w:sz w:val="22"/>
          <w:szCs w:val="22"/>
        </w:rPr>
        <w:t>,</w:t>
      </w:r>
      <w:r w:rsidR="00271BD1" w:rsidRPr="00771A16">
        <w:rPr>
          <w:sz w:val="22"/>
          <w:szCs w:val="22"/>
        </w:rPr>
        <w:t xml:space="preserve"> una vez terminadas las negociaciones directas, se </w:t>
      </w:r>
      <w:r w:rsidR="00917A52" w:rsidRPr="00771A16">
        <w:rPr>
          <w:sz w:val="22"/>
          <w:szCs w:val="22"/>
        </w:rPr>
        <w:t>lleva un proceso en el que los agentes que atienden demanda regulada</w:t>
      </w:r>
      <w:r w:rsidR="00B96C17" w:rsidRPr="00771A16">
        <w:rPr>
          <w:sz w:val="22"/>
          <w:szCs w:val="22"/>
        </w:rPr>
        <w:t xml:space="preserve">, que </w:t>
      </w:r>
      <w:r w:rsidR="00511D4B" w:rsidRPr="00771A16">
        <w:rPr>
          <w:sz w:val="22"/>
          <w:szCs w:val="22"/>
        </w:rPr>
        <w:t>incluye los usuarios residenciales y pequeños usuarios comerciales inmersos en la red</w:t>
      </w:r>
      <w:r w:rsidR="00F0372F" w:rsidRPr="00771A16">
        <w:rPr>
          <w:sz w:val="22"/>
          <w:szCs w:val="22"/>
        </w:rPr>
        <w:t xml:space="preserve">, </w:t>
      </w:r>
      <w:r w:rsidR="006A7980">
        <w:rPr>
          <w:sz w:val="22"/>
          <w:szCs w:val="22"/>
        </w:rPr>
        <w:t xml:space="preserve">y que </w:t>
      </w:r>
      <w:r w:rsidR="00F0372F" w:rsidRPr="00771A16">
        <w:rPr>
          <w:sz w:val="22"/>
          <w:szCs w:val="22"/>
        </w:rPr>
        <w:t>son</w:t>
      </w:r>
      <w:r w:rsidR="00B96C17" w:rsidRPr="00771A16">
        <w:rPr>
          <w:sz w:val="22"/>
          <w:szCs w:val="22"/>
        </w:rPr>
        <w:t xml:space="preserve"> parte de la </w:t>
      </w:r>
      <w:r w:rsidR="00E8014D" w:rsidRPr="00771A16">
        <w:rPr>
          <w:sz w:val="22"/>
          <w:szCs w:val="22"/>
        </w:rPr>
        <w:t>Demanda Esencial</w:t>
      </w:r>
      <w:r w:rsidR="00B96C17" w:rsidRPr="00771A16">
        <w:rPr>
          <w:sz w:val="22"/>
          <w:szCs w:val="22"/>
        </w:rPr>
        <w:t>,</w:t>
      </w:r>
      <w:r w:rsidR="00917A52" w:rsidRPr="00771A16">
        <w:rPr>
          <w:sz w:val="22"/>
          <w:szCs w:val="22"/>
        </w:rPr>
        <w:t xml:space="preserve"> separan cantidades</w:t>
      </w:r>
      <w:r w:rsidR="00371889" w:rsidRPr="00771A16">
        <w:rPr>
          <w:sz w:val="22"/>
          <w:szCs w:val="22"/>
        </w:rPr>
        <w:t xml:space="preserve"> de gas</w:t>
      </w:r>
      <w:r w:rsidR="0031703D" w:rsidRPr="00771A16">
        <w:rPr>
          <w:sz w:val="22"/>
          <w:szCs w:val="22"/>
        </w:rPr>
        <w:t xml:space="preserve"> en el caso de que exista aún gas remanente sin contratar</w:t>
      </w:r>
      <w:r w:rsidR="008068D1">
        <w:rPr>
          <w:sz w:val="22"/>
          <w:szCs w:val="22"/>
        </w:rPr>
        <w:t xml:space="preserve"> después de las negociaciones directas</w:t>
      </w:r>
      <w:r w:rsidR="00371889" w:rsidRPr="00771A16">
        <w:rPr>
          <w:sz w:val="22"/>
          <w:szCs w:val="22"/>
        </w:rPr>
        <w:t xml:space="preserve">. Si no existe </w:t>
      </w:r>
      <w:r w:rsidR="0062616F">
        <w:rPr>
          <w:sz w:val="22"/>
          <w:szCs w:val="22"/>
        </w:rPr>
        <w:t xml:space="preserve">una oferta de </w:t>
      </w:r>
      <w:r w:rsidR="00371889" w:rsidRPr="00771A16">
        <w:rPr>
          <w:sz w:val="22"/>
          <w:szCs w:val="22"/>
        </w:rPr>
        <w:t xml:space="preserve">gas remanente </w:t>
      </w:r>
      <w:r w:rsidR="007A48B1" w:rsidRPr="00771A16">
        <w:rPr>
          <w:sz w:val="22"/>
          <w:szCs w:val="22"/>
        </w:rPr>
        <w:t xml:space="preserve">dichos agentes </w:t>
      </w:r>
      <w:r w:rsidR="00EB22E2" w:rsidRPr="00771A16">
        <w:rPr>
          <w:sz w:val="22"/>
          <w:szCs w:val="22"/>
        </w:rPr>
        <w:t xml:space="preserve">no podrán contratar </w:t>
      </w:r>
      <w:r w:rsidR="001A7B7B" w:rsidRPr="00771A16">
        <w:rPr>
          <w:sz w:val="22"/>
          <w:szCs w:val="22"/>
        </w:rPr>
        <w:t xml:space="preserve">finalmente </w:t>
      </w:r>
      <w:r w:rsidR="00EB22E2" w:rsidRPr="00771A16">
        <w:rPr>
          <w:sz w:val="22"/>
          <w:szCs w:val="22"/>
        </w:rPr>
        <w:t xml:space="preserve">el gas suficiente para la </w:t>
      </w:r>
      <w:r w:rsidR="00E8014D" w:rsidRPr="00771A16">
        <w:rPr>
          <w:sz w:val="22"/>
          <w:szCs w:val="22"/>
        </w:rPr>
        <w:t>Demanda</w:t>
      </w:r>
      <w:r w:rsidR="00790CE0">
        <w:rPr>
          <w:sz w:val="22"/>
          <w:szCs w:val="22"/>
        </w:rPr>
        <w:t xml:space="preserve"> Esencial</w:t>
      </w:r>
      <w:r w:rsidR="00E8014D" w:rsidRPr="00771A16">
        <w:rPr>
          <w:sz w:val="22"/>
          <w:szCs w:val="22"/>
        </w:rPr>
        <w:t xml:space="preserve"> </w:t>
      </w:r>
      <w:r w:rsidR="00EB22E2" w:rsidRPr="00771A16">
        <w:rPr>
          <w:sz w:val="22"/>
          <w:szCs w:val="22"/>
        </w:rPr>
        <w:t>que atienden</w:t>
      </w:r>
      <w:r w:rsidR="00790CE0">
        <w:rPr>
          <w:sz w:val="22"/>
          <w:szCs w:val="22"/>
        </w:rPr>
        <w:t xml:space="preserve"> de usuarios regulados</w:t>
      </w:r>
      <w:r w:rsidR="00EB22E2" w:rsidRPr="00771A16">
        <w:rPr>
          <w:sz w:val="22"/>
          <w:szCs w:val="22"/>
        </w:rPr>
        <w:t>.</w:t>
      </w:r>
      <w:r w:rsidR="002C4D4C" w:rsidRPr="00771A16">
        <w:rPr>
          <w:sz w:val="22"/>
          <w:szCs w:val="22"/>
        </w:rPr>
        <w:t xml:space="preserve"> </w:t>
      </w:r>
    </w:p>
    <w:p w14:paraId="07632AB5" w14:textId="026A0859" w:rsidR="0038608C" w:rsidRPr="00771A16" w:rsidRDefault="0038608C" w:rsidP="00D31A84">
      <w:pPr>
        <w:rPr>
          <w:sz w:val="22"/>
          <w:szCs w:val="22"/>
        </w:rPr>
      </w:pPr>
    </w:p>
    <w:p w14:paraId="38CEE05A" w14:textId="4C5F4A50" w:rsidR="0038608C" w:rsidRPr="00771A16" w:rsidRDefault="0038608C" w:rsidP="00D31A84">
      <w:pPr>
        <w:rPr>
          <w:sz w:val="22"/>
          <w:szCs w:val="22"/>
        </w:rPr>
      </w:pPr>
      <w:r w:rsidRPr="00771A16">
        <w:rPr>
          <w:sz w:val="22"/>
          <w:szCs w:val="22"/>
        </w:rPr>
        <w:t>Adicionalmente</w:t>
      </w:r>
      <w:r w:rsidR="00A248BF">
        <w:rPr>
          <w:sz w:val="22"/>
          <w:szCs w:val="22"/>
        </w:rPr>
        <w:t>,</w:t>
      </w:r>
      <w:r w:rsidRPr="00771A16">
        <w:rPr>
          <w:sz w:val="22"/>
          <w:szCs w:val="22"/>
        </w:rPr>
        <w:t xml:space="preserve"> </w:t>
      </w:r>
      <w:r w:rsidR="008068D1">
        <w:rPr>
          <w:sz w:val="22"/>
          <w:szCs w:val="22"/>
        </w:rPr>
        <w:t xml:space="preserve">otra </w:t>
      </w:r>
      <w:r w:rsidRPr="00771A16">
        <w:rPr>
          <w:sz w:val="22"/>
          <w:szCs w:val="22"/>
        </w:rPr>
        <w:t>parte de la problemática radica en que hay usuarios regulados y no regulados que hacen parte de la Demanda Esencial, dándose el caso que en estos últimos usuarios la disposición a pagar, que no se debe confundir con la capacidad a pagar por el gas natural, puede ser menor que la de los usuarios regulados</w:t>
      </w:r>
      <w:r w:rsidR="008068D1">
        <w:rPr>
          <w:sz w:val="22"/>
          <w:szCs w:val="22"/>
        </w:rPr>
        <w:t>,</w:t>
      </w:r>
      <w:r w:rsidRPr="00771A16">
        <w:rPr>
          <w:sz w:val="22"/>
          <w:szCs w:val="22"/>
        </w:rPr>
        <w:t xml:space="preserve"> al contar con</w:t>
      </w:r>
      <w:r w:rsidR="00393B57" w:rsidRPr="00771A16">
        <w:rPr>
          <w:sz w:val="22"/>
          <w:szCs w:val="22"/>
        </w:rPr>
        <w:t xml:space="preserve"> acceso a </w:t>
      </w:r>
      <w:r w:rsidR="00A248BF">
        <w:rPr>
          <w:sz w:val="22"/>
          <w:szCs w:val="22"/>
        </w:rPr>
        <w:t>energéticos</w:t>
      </w:r>
      <w:r w:rsidR="00FF0DC9" w:rsidRPr="00771A16">
        <w:rPr>
          <w:sz w:val="22"/>
          <w:szCs w:val="22"/>
        </w:rPr>
        <w:t xml:space="preserve"> </w:t>
      </w:r>
      <w:r w:rsidRPr="00771A16">
        <w:rPr>
          <w:sz w:val="22"/>
          <w:szCs w:val="22"/>
        </w:rPr>
        <w:t>sustitutos que les dan mayor elasticidad en el consumo</w:t>
      </w:r>
      <w:r w:rsidR="00D64EE3">
        <w:rPr>
          <w:sz w:val="22"/>
          <w:szCs w:val="22"/>
        </w:rPr>
        <w:t>,</w:t>
      </w:r>
      <w:r w:rsidR="008068D1">
        <w:rPr>
          <w:sz w:val="22"/>
          <w:szCs w:val="22"/>
        </w:rPr>
        <w:t xml:space="preserve"> dependiendo del precio de </w:t>
      </w:r>
      <w:proofErr w:type="gramStart"/>
      <w:r w:rsidR="008068D1">
        <w:rPr>
          <w:sz w:val="22"/>
          <w:szCs w:val="22"/>
        </w:rPr>
        <w:t>los mismos</w:t>
      </w:r>
      <w:proofErr w:type="gramEnd"/>
      <w:r w:rsidRPr="00771A16">
        <w:rPr>
          <w:sz w:val="22"/>
          <w:szCs w:val="22"/>
        </w:rPr>
        <w:t>.</w:t>
      </w:r>
      <w:r w:rsidR="004B3230">
        <w:rPr>
          <w:sz w:val="22"/>
          <w:szCs w:val="22"/>
        </w:rPr>
        <w:t xml:space="preserve"> </w:t>
      </w:r>
      <w:r w:rsidR="00D64EE3">
        <w:rPr>
          <w:sz w:val="22"/>
          <w:szCs w:val="22"/>
        </w:rPr>
        <w:t>E</w:t>
      </w:r>
      <w:r w:rsidR="004B3230">
        <w:rPr>
          <w:sz w:val="22"/>
          <w:szCs w:val="22"/>
        </w:rPr>
        <w:t xml:space="preserve">s de entender que si todos estos usuarios no regulados acudiesen a sustitutos energéticos </w:t>
      </w:r>
      <w:r w:rsidR="00BB7736">
        <w:rPr>
          <w:sz w:val="22"/>
          <w:szCs w:val="22"/>
        </w:rPr>
        <w:t xml:space="preserve">simultáneamente </w:t>
      </w:r>
      <w:r w:rsidR="004B3230">
        <w:rPr>
          <w:sz w:val="22"/>
          <w:szCs w:val="22"/>
        </w:rPr>
        <w:t xml:space="preserve">es muy posible que las cantidades disponibles </w:t>
      </w:r>
      <w:r w:rsidR="00D64EE3">
        <w:rPr>
          <w:sz w:val="22"/>
          <w:szCs w:val="22"/>
        </w:rPr>
        <w:t xml:space="preserve">de esos energéticos sustitutos </w:t>
      </w:r>
      <w:r w:rsidR="00BB7736">
        <w:rPr>
          <w:sz w:val="22"/>
          <w:szCs w:val="22"/>
        </w:rPr>
        <w:t>tampoco</w:t>
      </w:r>
      <w:r w:rsidR="004B3230">
        <w:rPr>
          <w:sz w:val="22"/>
          <w:szCs w:val="22"/>
        </w:rPr>
        <w:t xml:space="preserve"> sean suficientes para remplazar el consumo de gas natural, situación que llevaría a un reequilibrio posterior ante el incremento resultante del precio de los sustitutos.</w:t>
      </w:r>
      <w:r w:rsidR="00393B57" w:rsidRPr="00771A16">
        <w:rPr>
          <w:sz w:val="22"/>
          <w:szCs w:val="22"/>
        </w:rPr>
        <w:t xml:space="preserve"> </w:t>
      </w:r>
    </w:p>
    <w:p w14:paraId="3E1726AD" w14:textId="467158E4" w:rsidR="004726EA" w:rsidRPr="00771A16" w:rsidRDefault="004726EA" w:rsidP="00892B43">
      <w:pPr>
        <w:ind w:left="360"/>
        <w:rPr>
          <w:sz w:val="22"/>
          <w:szCs w:val="22"/>
        </w:rPr>
      </w:pPr>
    </w:p>
    <w:p w14:paraId="056BF1CE" w14:textId="77777777" w:rsidR="00503862" w:rsidRPr="00771A16" w:rsidRDefault="00503862" w:rsidP="00892B43">
      <w:pPr>
        <w:ind w:left="360"/>
        <w:rPr>
          <w:sz w:val="22"/>
          <w:szCs w:val="22"/>
        </w:rPr>
      </w:pPr>
    </w:p>
    <w:p w14:paraId="13C3CAC4" w14:textId="47ABE2B0" w:rsidR="00A209F3" w:rsidRPr="00771A16" w:rsidRDefault="002F6F67" w:rsidP="007651EA">
      <w:pPr>
        <w:pStyle w:val="Ttulo3"/>
      </w:pPr>
      <w:bookmarkStart w:id="68" w:name="_Ref130286448"/>
      <w:bookmarkStart w:id="69" w:name="_Toc140506191"/>
      <w:r w:rsidRPr="00771A16">
        <w:t>Abastecimiento futuro de fuentes de suministro con excepciones</w:t>
      </w:r>
      <w:bookmarkEnd w:id="68"/>
      <w:bookmarkEnd w:id="69"/>
      <w:r w:rsidRPr="00771A16">
        <w:t xml:space="preserve"> </w:t>
      </w:r>
    </w:p>
    <w:p w14:paraId="0566ECF4" w14:textId="5B5F1F00" w:rsidR="005E3F26" w:rsidRDefault="005E3F26" w:rsidP="004B3230">
      <w:pPr>
        <w:rPr>
          <w:sz w:val="22"/>
          <w:szCs w:val="22"/>
        </w:rPr>
      </w:pPr>
      <w:r>
        <w:rPr>
          <w:sz w:val="22"/>
          <w:szCs w:val="22"/>
        </w:rPr>
        <w:t>E</w:t>
      </w:r>
      <w:r w:rsidR="002F6F67" w:rsidRPr="00771A16">
        <w:rPr>
          <w:sz w:val="22"/>
          <w:szCs w:val="22"/>
        </w:rPr>
        <w:t xml:space="preserve">s importante considerar qué tipo de fuentes de suministro están aportando la PTDV declarada </w:t>
      </w:r>
      <w:r w:rsidR="002F6F67" w:rsidRPr="005E3F26">
        <w:rPr>
          <w:sz w:val="22"/>
          <w:szCs w:val="22"/>
        </w:rPr>
        <w:t xml:space="preserve">en </w:t>
      </w:r>
      <w:r w:rsidR="000529D6" w:rsidRPr="005E3F26">
        <w:rPr>
          <w:sz w:val="22"/>
          <w:szCs w:val="22"/>
        </w:rPr>
        <w:t xml:space="preserve">el año </w:t>
      </w:r>
      <w:r w:rsidR="002F6F67" w:rsidRPr="005E3F26">
        <w:rPr>
          <w:sz w:val="22"/>
          <w:szCs w:val="22"/>
        </w:rPr>
        <w:t>202</w:t>
      </w:r>
      <w:r w:rsidR="009B4E5F" w:rsidRPr="005E3F26">
        <w:rPr>
          <w:sz w:val="22"/>
          <w:szCs w:val="22"/>
        </w:rPr>
        <w:t>2</w:t>
      </w:r>
      <w:r w:rsidR="00D87C3C" w:rsidRPr="005E3F26">
        <w:rPr>
          <w:sz w:val="22"/>
          <w:szCs w:val="22"/>
        </w:rPr>
        <w:t xml:space="preserve"> para el período 202</w:t>
      </w:r>
      <w:r w:rsidR="009B4E5F" w:rsidRPr="005E3F26">
        <w:rPr>
          <w:sz w:val="22"/>
          <w:szCs w:val="22"/>
        </w:rPr>
        <w:t>2</w:t>
      </w:r>
      <w:r w:rsidR="00D87C3C" w:rsidRPr="005E3F26">
        <w:rPr>
          <w:sz w:val="22"/>
          <w:szCs w:val="22"/>
        </w:rPr>
        <w:t>- 203</w:t>
      </w:r>
      <w:r w:rsidR="009B4E5F" w:rsidRPr="005E3F26">
        <w:rPr>
          <w:sz w:val="22"/>
          <w:szCs w:val="22"/>
        </w:rPr>
        <w:t>1</w:t>
      </w:r>
      <w:r w:rsidRPr="005E3F26">
        <w:rPr>
          <w:sz w:val="22"/>
          <w:szCs w:val="22"/>
        </w:rPr>
        <w:t xml:space="preserve"> que es el más reciente</w:t>
      </w:r>
      <w:r w:rsidR="002F6F67" w:rsidRPr="005E3F26">
        <w:rPr>
          <w:sz w:val="22"/>
          <w:szCs w:val="22"/>
        </w:rPr>
        <w:t>. E</w:t>
      </w:r>
      <w:r w:rsidR="004B3230" w:rsidRPr="005E3F26">
        <w:rPr>
          <w:sz w:val="22"/>
          <w:szCs w:val="22"/>
        </w:rPr>
        <w:t>n la</w:t>
      </w:r>
      <w:r w:rsidRPr="005E3F26">
        <w:rPr>
          <w:sz w:val="22"/>
          <w:szCs w:val="22"/>
        </w:rPr>
        <w:t xml:space="preserve"> </w:t>
      </w:r>
      <w:r w:rsidR="00913051">
        <w:rPr>
          <w:sz w:val="22"/>
          <w:szCs w:val="22"/>
        </w:rPr>
        <w:fldChar w:fldCharType="begin"/>
      </w:r>
      <w:r w:rsidR="00913051">
        <w:rPr>
          <w:sz w:val="22"/>
          <w:szCs w:val="22"/>
        </w:rPr>
        <w:instrText xml:space="preserve"> REF _Ref129848646 \h </w:instrText>
      </w:r>
      <w:r w:rsidR="00913051">
        <w:rPr>
          <w:sz w:val="22"/>
          <w:szCs w:val="22"/>
        </w:rPr>
      </w:r>
      <w:r w:rsidR="00913051">
        <w:rPr>
          <w:sz w:val="22"/>
          <w:szCs w:val="22"/>
        </w:rPr>
        <w:fldChar w:fldCharType="separate"/>
      </w:r>
      <w:r w:rsidR="006B7344" w:rsidRPr="00913051">
        <w:rPr>
          <w:sz w:val="22"/>
          <w:szCs w:val="22"/>
        </w:rPr>
        <w:t xml:space="preserve">Figura </w:t>
      </w:r>
      <w:r w:rsidR="006B7344">
        <w:rPr>
          <w:i/>
          <w:iCs/>
          <w:noProof/>
          <w:sz w:val="22"/>
          <w:szCs w:val="22"/>
        </w:rPr>
        <w:t>4</w:t>
      </w:r>
      <w:r w:rsidR="00913051">
        <w:rPr>
          <w:sz w:val="22"/>
          <w:szCs w:val="22"/>
        </w:rPr>
        <w:fldChar w:fldCharType="end"/>
      </w:r>
      <w:r w:rsidRPr="005E3F26">
        <w:rPr>
          <w:sz w:val="22"/>
          <w:szCs w:val="22"/>
        </w:rPr>
        <w:t xml:space="preserve"> </w:t>
      </w:r>
      <w:r w:rsidR="004B3230" w:rsidRPr="005E3F26">
        <w:rPr>
          <w:sz w:val="22"/>
          <w:szCs w:val="22"/>
        </w:rPr>
        <w:t>se</w:t>
      </w:r>
      <w:r w:rsidR="002F6F67" w:rsidRPr="005E3F26">
        <w:rPr>
          <w:sz w:val="22"/>
          <w:szCs w:val="22"/>
        </w:rPr>
        <w:t xml:space="preserve"> muestra</w:t>
      </w:r>
      <w:r w:rsidR="004B3230" w:rsidRPr="005E3F26">
        <w:rPr>
          <w:sz w:val="22"/>
          <w:szCs w:val="22"/>
        </w:rPr>
        <w:t>n</w:t>
      </w:r>
      <w:r w:rsidR="002F6F67" w:rsidRPr="00771A16">
        <w:rPr>
          <w:sz w:val="22"/>
          <w:szCs w:val="22"/>
        </w:rPr>
        <w:t xml:space="preserve"> </w:t>
      </w:r>
      <w:r w:rsidR="002F6F67" w:rsidRPr="005E3F26">
        <w:rPr>
          <w:sz w:val="22"/>
          <w:szCs w:val="22"/>
        </w:rPr>
        <w:t xml:space="preserve">las cantidades de PTDV de campos </w:t>
      </w:r>
      <w:r w:rsidRPr="005E3F26">
        <w:rPr>
          <w:sz w:val="22"/>
          <w:szCs w:val="22"/>
        </w:rPr>
        <w:t xml:space="preserve">obligados a utilizar los mecanismos de comercialización establecidos por la CREG y las cantidades de PTDV de campos no obligados a utilizar los mecanismos de comercialización establecidos por la CREG, </w:t>
      </w:r>
      <w:r w:rsidR="002F6F67" w:rsidRPr="005E3F26">
        <w:rPr>
          <w:sz w:val="22"/>
          <w:szCs w:val="22"/>
        </w:rPr>
        <w:t>que pueden realizar negociación directa en cualquier momento del año</w:t>
      </w:r>
      <w:r w:rsidR="009B4E5F" w:rsidRPr="005E3F26">
        <w:rPr>
          <w:sz w:val="22"/>
          <w:szCs w:val="22"/>
        </w:rPr>
        <w:t xml:space="preserve"> y registrar el contrato también en cualquier</w:t>
      </w:r>
      <w:r w:rsidR="009B4E5F">
        <w:rPr>
          <w:sz w:val="22"/>
          <w:szCs w:val="22"/>
        </w:rPr>
        <w:t xml:space="preserve"> momento del año</w:t>
      </w:r>
      <w:r>
        <w:rPr>
          <w:sz w:val="22"/>
          <w:szCs w:val="22"/>
        </w:rPr>
        <w:t>. S</w:t>
      </w:r>
      <w:r w:rsidR="004B3230" w:rsidRPr="00771A16">
        <w:rPr>
          <w:sz w:val="22"/>
          <w:szCs w:val="22"/>
        </w:rPr>
        <w:t xml:space="preserve">e observa que las cantidades de PTDV declaradas por las fuentes de suministro </w:t>
      </w:r>
      <w:r>
        <w:rPr>
          <w:sz w:val="22"/>
          <w:szCs w:val="22"/>
        </w:rPr>
        <w:t xml:space="preserve">que no están obligadas a los mecanismos </w:t>
      </w:r>
      <w:r w:rsidR="007C2DDA">
        <w:rPr>
          <w:sz w:val="22"/>
          <w:szCs w:val="22"/>
        </w:rPr>
        <w:t xml:space="preserve">de </w:t>
      </w:r>
      <w:r w:rsidR="004D10E5">
        <w:rPr>
          <w:sz w:val="22"/>
          <w:szCs w:val="22"/>
        </w:rPr>
        <w:t>comercialización</w:t>
      </w:r>
      <w:r w:rsidR="007C2DDA">
        <w:rPr>
          <w:sz w:val="22"/>
          <w:szCs w:val="22"/>
        </w:rPr>
        <w:t xml:space="preserve"> definidos por la </w:t>
      </w:r>
      <w:r>
        <w:rPr>
          <w:sz w:val="22"/>
          <w:szCs w:val="22"/>
        </w:rPr>
        <w:t>CREG</w:t>
      </w:r>
      <w:r w:rsidR="004B3230" w:rsidRPr="00771A16">
        <w:rPr>
          <w:sz w:val="22"/>
          <w:szCs w:val="22"/>
        </w:rPr>
        <w:t xml:space="preserve">, </w:t>
      </w:r>
      <w:r w:rsidR="003E55B5">
        <w:rPr>
          <w:sz w:val="22"/>
          <w:szCs w:val="22"/>
        </w:rPr>
        <w:t xml:space="preserve">son superiores incluso a las cantidades </w:t>
      </w:r>
      <w:r w:rsidR="004B3230" w:rsidRPr="00771A16">
        <w:rPr>
          <w:sz w:val="22"/>
          <w:szCs w:val="22"/>
        </w:rPr>
        <w:t>de las fuentes de suministro que deben seguir los mecanismos de comercialización establecidos por la CREG actualmente</w:t>
      </w:r>
      <w:r w:rsidR="003E55B5">
        <w:rPr>
          <w:sz w:val="22"/>
          <w:szCs w:val="22"/>
        </w:rPr>
        <w:t>, hasta el año 2025; posteriormente se invierte la tendencia, pero siguen siendo de magnitudes similares</w:t>
      </w:r>
      <w:r w:rsidR="004B3230" w:rsidRPr="00771A16">
        <w:rPr>
          <w:sz w:val="22"/>
          <w:szCs w:val="22"/>
        </w:rPr>
        <w:t>.</w:t>
      </w:r>
      <w:r w:rsidR="006E0899">
        <w:rPr>
          <w:sz w:val="22"/>
          <w:szCs w:val="22"/>
        </w:rPr>
        <w:t xml:space="preserve"> </w:t>
      </w:r>
    </w:p>
    <w:p w14:paraId="75F6F563" w14:textId="1E30CBA1" w:rsidR="003E55B5" w:rsidRDefault="003E55B5" w:rsidP="004B3230">
      <w:pPr>
        <w:rPr>
          <w:sz w:val="22"/>
          <w:szCs w:val="22"/>
        </w:rPr>
      </w:pPr>
    </w:p>
    <w:p w14:paraId="6DEB33A9" w14:textId="272EA3EB" w:rsidR="003E55B5" w:rsidRPr="00913051" w:rsidRDefault="003E55B5" w:rsidP="003E55B5">
      <w:pPr>
        <w:pStyle w:val="Descripcin"/>
        <w:keepNext/>
        <w:jc w:val="center"/>
        <w:rPr>
          <w:i w:val="0"/>
          <w:iCs w:val="0"/>
          <w:sz w:val="22"/>
          <w:szCs w:val="22"/>
        </w:rPr>
      </w:pPr>
      <w:bookmarkStart w:id="70" w:name="_Ref129848646"/>
      <w:bookmarkStart w:id="71" w:name="_Toc140506597"/>
      <w:r w:rsidRPr="00913051">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4</w:t>
      </w:r>
      <w:r w:rsidR="006B6B6C">
        <w:rPr>
          <w:i w:val="0"/>
          <w:iCs w:val="0"/>
          <w:sz w:val="22"/>
          <w:szCs w:val="22"/>
        </w:rPr>
        <w:fldChar w:fldCharType="end"/>
      </w:r>
      <w:bookmarkEnd w:id="70"/>
      <w:r w:rsidRPr="00913051">
        <w:rPr>
          <w:i w:val="0"/>
          <w:iCs w:val="0"/>
          <w:sz w:val="22"/>
          <w:szCs w:val="22"/>
        </w:rPr>
        <w:t xml:space="preserve"> Declaración de PTDV a final del año 2022</w:t>
      </w:r>
      <w:bookmarkEnd w:id="71"/>
    </w:p>
    <w:p w14:paraId="7329C637" w14:textId="77777777" w:rsidR="003E55B5" w:rsidRPr="00771A16" w:rsidRDefault="003E55B5" w:rsidP="003E55B5">
      <w:pPr>
        <w:jc w:val="center"/>
        <w:rPr>
          <w:sz w:val="22"/>
          <w:szCs w:val="22"/>
        </w:rPr>
      </w:pPr>
      <w:r w:rsidRPr="00913051">
        <w:rPr>
          <w:noProof/>
        </w:rPr>
        <w:drawing>
          <wp:inline distT="0" distB="0" distL="0" distR="0" wp14:anchorId="24A61482" wp14:editId="64045055">
            <wp:extent cx="5408745" cy="3238500"/>
            <wp:effectExtent l="0" t="0" r="1905" b="0"/>
            <wp:docPr id="27" name="Imagen 2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de líneas&#10;&#10;Descripción generada automáticamente"/>
                    <pic:cNvPicPr/>
                  </pic:nvPicPr>
                  <pic:blipFill>
                    <a:blip r:embed="rId19"/>
                    <a:stretch>
                      <a:fillRect/>
                    </a:stretch>
                  </pic:blipFill>
                  <pic:spPr>
                    <a:xfrm>
                      <a:off x="0" y="0"/>
                      <a:ext cx="5447121" cy="3261478"/>
                    </a:xfrm>
                    <a:prstGeom prst="rect">
                      <a:avLst/>
                    </a:prstGeom>
                  </pic:spPr>
                </pic:pic>
              </a:graphicData>
            </a:graphic>
          </wp:inline>
        </w:drawing>
      </w:r>
    </w:p>
    <w:p w14:paraId="5100B249" w14:textId="77777777" w:rsidR="003E55B5" w:rsidRDefault="003E55B5" w:rsidP="004B3230">
      <w:pPr>
        <w:rPr>
          <w:sz w:val="22"/>
          <w:szCs w:val="22"/>
        </w:rPr>
      </w:pPr>
    </w:p>
    <w:p w14:paraId="19DDFEC9" w14:textId="77777777" w:rsidR="005E3F26" w:rsidRDefault="005E3F26" w:rsidP="004B3230">
      <w:pPr>
        <w:rPr>
          <w:sz w:val="22"/>
          <w:szCs w:val="22"/>
        </w:rPr>
      </w:pPr>
    </w:p>
    <w:p w14:paraId="4C648B37" w14:textId="2039F7ED" w:rsidR="004B3230" w:rsidRPr="00771A16" w:rsidRDefault="003E55B5" w:rsidP="004B3230">
      <w:pPr>
        <w:rPr>
          <w:sz w:val="22"/>
          <w:szCs w:val="22"/>
        </w:rPr>
      </w:pPr>
      <w:r>
        <w:rPr>
          <w:sz w:val="22"/>
          <w:szCs w:val="22"/>
        </w:rPr>
        <w:t xml:space="preserve">Sin embargo, si se comparan con la </w:t>
      </w:r>
      <w:r>
        <w:rPr>
          <w:sz w:val="22"/>
          <w:szCs w:val="22"/>
        </w:rPr>
        <w:fldChar w:fldCharType="begin"/>
      </w:r>
      <w:r>
        <w:rPr>
          <w:sz w:val="22"/>
          <w:szCs w:val="22"/>
        </w:rPr>
        <w:instrText xml:space="preserve"> REF _Ref129849276 \h </w:instrText>
      </w:r>
      <w:r>
        <w:rPr>
          <w:sz w:val="22"/>
          <w:szCs w:val="22"/>
        </w:rPr>
      </w:r>
      <w:r>
        <w:rPr>
          <w:sz w:val="22"/>
          <w:szCs w:val="22"/>
        </w:rPr>
        <w:fldChar w:fldCharType="separate"/>
      </w:r>
      <w:r w:rsidR="006B7344" w:rsidRPr="000031CC">
        <w:rPr>
          <w:sz w:val="22"/>
          <w:szCs w:val="22"/>
        </w:rPr>
        <w:t xml:space="preserve">Figura </w:t>
      </w:r>
      <w:r w:rsidR="006B7344">
        <w:rPr>
          <w:i/>
          <w:iCs/>
          <w:noProof/>
          <w:sz w:val="22"/>
          <w:szCs w:val="22"/>
        </w:rPr>
        <w:t>5</w:t>
      </w:r>
      <w:r>
        <w:rPr>
          <w:sz w:val="22"/>
          <w:szCs w:val="22"/>
        </w:rPr>
        <w:fldChar w:fldCharType="end"/>
      </w:r>
      <w:r>
        <w:rPr>
          <w:sz w:val="22"/>
          <w:szCs w:val="22"/>
        </w:rPr>
        <w:t xml:space="preserve"> y la </w:t>
      </w:r>
      <w:r>
        <w:rPr>
          <w:sz w:val="22"/>
          <w:szCs w:val="22"/>
        </w:rPr>
        <w:fldChar w:fldCharType="begin"/>
      </w:r>
      <w:r>
        <w:rPr>
          <w:sz w:val="22"/>
          <w:szCs w:val="22"/>
        </w:rPr>
        <w:instrText xml:space="preserve"> REF _Ref129849287 \h </w:instrText>
      </w:r>
      <w:r>
        <w:rPr>
          <w:sz w:val="22"/>
          <w:szCs w:val="22"/>
        </w:rPr>
      </w:r>
      <w:r>
        <w:rPr>
          <w:sz w:val="22"/>
          <w:szCs w:val="22"/>
        </w:rPr>
        <w:fldChar w:fldCharType="separate"/>
      </w:r>
      <w:r w:rsidR="006B7344" w:rsidRPr="000031CC">
        <w:rPr>
          <w:sz w:val="22"/>
          <w:szCs w:val="22"/>
        </w:rPr>
        <w:t xml:space="preserve">Figura </w:t>
      </w:r>
      <w:r w:rsidR="006B7344">
        <w:rPr>
          <w:i/>
          <w:iCs/>
          <w:noProof/>
          <w:sz w:val="22"/>
          <w:szCs w:val="22"/>
        </w:rPr>
        <w:t>6</w:t>
      </w:r>
      <w:r>
        <w:rPr>
          <w:sz w:val="22"/>
          <w:szCs w:val="22"/>
        </w:rPr>
        <w:fldChar w:fldCharType="end"/>
      </w:r>
      <w:r>
        <w:rPr>
          <w:sz w:val="22"/>
          <w:szCs w:val="22"/>
        </w:rPr>
        <w:t xml:space="preserve"> los potenciales de producción de ambos tipos de fuentes, declarados en cada año desde 2015 hasta 2022, se observa </w:t>
      </w:r>
      <w:r w:rsidR="00AC7E6E">
        <w:rPr>
          <w:sz w:val="22"/>
          <w:szCs w:val="22"/>
        </w:rPr>
        <w:t xml:space="preserve">la tendencia de </w:t>
      </w:r>
      <w:r>
        <w:rPr>
          <w:sz w:val="22"/>
          <w:szCs w:val="22"/>
        </w:rPr>
        <w:t>crecimiento mayor año a año</w:t>
      </w:r>
      <w:r w:rsidR="00AC7E6E">
        <w:rPr>
          <w:sz w:val="22"/>
          <w:szCs w:val="22"/>
        </w:rPr>
        <w:t>,</w:t>
      </w:r>
      <w:r>
        <w:rPr>
          <w:sz w:val="22"/>
          <w:szCs w:val="22"/>
        </w:rPr>
        <w:t xml:space="preserve"> de las fuentes exceptuadas de la aplicación obligatoria de los mecanismos de comercialización CREG versus las que sí están obligadas a ello. </w:t>
      </w:r>
    </w:p>
    <w:p w14:paraId="0CD116CE" w14:textId="7BDA68F9" w:rsidR="004B3230" w:rsidRDefault="004B3230" w:rsidP="006C2940">
      <w:pPr>
        <w:rPr>
          <w:sz w:val="22"/>
          <w:szCs w:val="22"/>
        </w:rPr>
      </w:pPr>
    </w:p>
    <w:p w14:paraId="7810834A" w14:textId="7D36D0BA" w:rsidR="003E55B5" w:rsidRDefault="003E55B5" w:rsidP="003E55B5">
      <w:pPr>
        <w:pStyle w:val="Descripcin"/>
        <w:keepNext/>
        <w:jc w:val="center"/>
        <w:rPr>
          <w:i w:val="0"/>
          <w:iCs w:val="0"/>
          <w:sz w:val="22"/>
          <w:szCs w:val="22"/>
        </w:rPr>
      </w:pPr>
      <w:bookmarkStart w:id="72" w:name="_Ref129849276"/>
      <w:bookmarkStart w:id="73" w:name="_Toc140506598"/>
      <w:r w:rsidRPr="000031CC">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5</w:t>
      </w:r>
      <w:r w:rsidR="006B6B6C">
        <w:rPr>
          <w:i w:val="0"/>
          <w:iCs w:val="0"/>
          <w:sz w:val="22"/>
          <w:szCs w:val="22"/>
        </w:rPr>
        <w:fldChar w:fldCharType="end"/>
      </w:r>
      <w:bookmarkEnd w:id="72"/>
      <w:r w:rsidRPr="000031CC">
        <w:rPr>
          <w:i w:val="0"/>
          <w:iCs w:val="0"/>
          <w:sz w:val="22"/>
          <w:szCs w:val="22"/>
        </w:rPr>
        <w:t xml:space="preserve"> </w:t>
      </w:r>
      <w:r>
        <w:rPr>
          <w:i w:val="0"/>
          <w:iCs w:val="0"/>
          <w:sz w:val="22"/>
          <w:szCs w:val="22"/>
        </w:rPr>
        <w:t>Declaraciones de producción de campos sin excepciones a mecanismos de comercialización CREG</w:t>
      </w:r>
      <w:bookmarkEnd w:id="73"/>
    </w:p>
    <w:p w14:paraId="2C89962F" w14:textId="77777777" w:rsidR="003E55B5" w:rsidRDefault="003E55B5" w:rsidP="003E55B5">
      <w:pPr>
        <w:jc w:val="left"/>
        <w:rPr>
          <w:sz w:val="18"/>
          <w:szCs w:val="18"/>
        </w:rPr>
      </w:pPr>
    </w:p>
    <w:p w14:paraId="35535CEC" w14:textId="77777777" w:rsidR="003E55B5" w:rsidRDefault="003E55B5" w:rsidP="003E55B5">
      <w:pPr>
        <w:jc w:val="center"/>
        <w:rPr>
          <w:sz w:val="18"/>
          <w:szCs w:val="18"/>
        </w:rPr>
      </w:pPr>
      <w:r>
        <w:rPr>
          <w:noProof/>
          <w:sz w:val="18"/>
          <w:szCs w:val="18"/>
        </w:rPr>
        <w:drawing>
          <wp:inline distT="0" distB="0" distL="0" distR="0" wp14:anchorId="729C560C" wp14:editId="06D3839D">
            <wp:extent cx="4756995" cy="265199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5566" cy="2656768"/>
                    </a:xfrm>
                    <a:prstGeom prst="rect">
                      <a:avLst/>
                    </a:prstGeom>
                    <a:noFill/>
                    <a:ln>
                      <a:noFill/>
                    </a:ln>
                  </pic:spPr>
                </pic:pic>
              </a:graphicData>
            </a:graphic>
          </wp:inline>
        </w:drawing>
      </w:r>
    </w:p>
    <w:p w14:paraId="5A208706" w14:textId="77777777" w:rsidR="003E55B5" w:rsidRDefault="003E55B5" w:rsidP="003E55B5">
      <w:pPr>
        <w:jc w:val="left"/>
        <w:rPr>
          <w:sz w:val="18"/>
          <w:szCs w:val="18"/>
        </w:rPr>
      </w:pPr>
    </w:p>
    <w:p w14:paraId="2CE8E159" w14:textId="77777777" w:rsidR="003E55B5" w:rsidRDefault="003E55B5" w:rsidP="003E55B5">
      <w:pPr>
        <w:jc w:val="left"/>
        <w:rPr>
          <w:sz w:val="18"/>
          <w:szCs w:val="18"/>
        </w:rPr>
      </w:pPr>
    </w:p>
    <w:p w14:paraId="7D19E9F2" w14:textId="77777777" w:rsidR="003E55B5" w:rsidRDefault="003E55B5" w:rsidP="003E55B5">
      <w:pPr>
        <w:jc w:val="left"/>
        <w:rPr>
          <w:sz w:val="18"/>
          <w:szCs w:val="18"/>
        </w:rPr>
      </w:pPr>
    </w:p>
    <w:p w14:paraId="6630E837" w14:textId="4BD24D48" w:rsidR="003E55B5" w:rsidRDefault="003E55B5" w:rsidP="003E55B5">
      <w:pPr>
        <w:pStyle w:val="Descripcin"/>
        <w:keepNext/>
        <w:jc w:val="center"/>
      </w:pPr>
      <w:bookmarkStart w:id="74" w:name="_Ref129849287"/>
      <w:bookmarkStart w:id="75" w:name="_Toc140506599"/>
      <w:r w:rsidRPr="000031CC">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6</w:t>
      </w:r>
      <w:r w:rsidR="006B6B6C">
        <w:rPr>
          <w:i w:val="0"/>
          <w:iCs w:val="0"/>
          <w:sz w:val="22"/>
          <w:szCs w:val="22"/>
        </w:rPr>
        <w:fldChar w:fldCharType="end"/>
      </w:r>
      <w:bookmarkEnd w:id="74"/>
      <w:r w:rsidRPr="000031CC">
        <w:rPr>
          <w:i w:val="0"/>
          <w:iCs w:val="0"/>
          <w:sz w:val="22"/>
          <w:szCs w:val="22"/>
        </w:rPr>
        <w:t xml:space="preserve"> </w:t>
      </w:r>
      <w:r>
        <w:rPr>
          <w:i w:val="0"/>
          <w:iCs w:val="0"/>
          <w:sz w:val="22"/>
          <w:szCs w:val="22"/>
        </w:rPr>
        <w:t>Declaraciones de producción de campos con excepciones a mecanismos de comercialización CREG</w:t>
      </w:r>
      <w:bookmarkEnd w:id="75"/>
    </w:p>
    <w:p w14:paraId="7D497732" w14:textId="77777777" w:rsidR="003E55B5" w:rsidRDefault="003E55B5" w:rsidP="003E55B5">
      <w:pPr>
        <w:jc w:val="left"/>
        <w:rPr>
          <w:sz w:val="18"/>
          <w:szCs w:val="18"/>
        </w:rPr>
      </w:pPr>
    </w:p>
    <w:p w14:paraId="066EA49D" w14:textId="77777777" w:rsidR="003E55B5" w:rsidRDefault="003E55B5" w:rsidP="003E55B5">
      <w:pPr>
        <w:jc w:val="left"/>
        <w:rPr>
          <w:sz w:val="18"/>
          <w:szCs w:val="18"/>
        </w:rPr>
      </w:pPr>
    </w:p>
    <w:p w14:paraId="5DADE0CB" w14:textId="01564CC2" w:rsidR="003E55B5" w:rsidRDefault="00F250B9" w:rsidP="003E55B5">
      <w:pPr>
        <w:jc w:val="center"/>
        <w:rPr>
          <w:noProof/>
          <w:sz w:val="18"/>
          <w:szCs w:val="18"/>
        </w:rPr>
      </w:pPr>
      <w:r>
        <w:rPr>
          <w:noProof/>
          <w:sz w:val="18"/>
          <w:szCs w:val="18"/>
        </w:rPr>
        <w:drawing>
          <wp:inline distT="0" distB="0" distL="0" distR="0" wp14:anchorId="66CB4D6C" wp14:editId="20661120">
            <wp:extent cx="4788708" cy="26753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3942" cy="2678229"/>
                    </a:xfrm>
                    <a:prstGeom prst="rect">
                      <a:avLst/>
                    </a:prstGeom>
                    <a:noFill/>
                    <a:ln>
                      <a:noFill/>
                    </a:ln>
                  </pic:spPr>
                </pic:pic>
              </a:graphicData>
            </a:graphic>
          </wp:inline>
        </w:drawing>
      </w:r>
    </w:p>
    <w:p w14:paraId="4161D022" w14:textId="31C8DFC7" w:rsidR="00A96E9D" w:rsidRDefault="00A96E9D" w:rsidP="003E55B5">
      <w:pPr>
        <w:jc w:val="center"/>
        <w:rPr>
          <w:noProof/>
          <w:sz w:val="18"/>
          <w:szCs w:val="18"/>
        </w:rPr>
      </w:pPr>
    </w:p>
    <w:p w14:paraId="023DA6D2" w14:textId="12356B62" w:rsidR="00A96E9D" w:rsidRDefault="00A96E9D" w:rsidP="003E55B5">
      <w:pPr>
        <w:jc w:val="center"/>
        <w:rPr>
          <w:noProof/>
          <w:sz w:val="18"/>
          <w:szCs w:val="18"/>
        </w:rPr>
      </w:pPr>
    </w:p>
    <w:p w14:paraId="26653EB6" w14:textId="152387C3" w:rsidR="00A96E9D" w:rsidRDefault="00A96E9D" w:rsidP="003E55B5">
      <w:pPr>
        <w:jc w:val="center"/>
        <w:rPr>
          <w:noProof/>
          <w:sz w:val="18"/>
          <w:szCs w:val="18"/>
        </w:rPr>
      </w:pPr>
    </w:p>
    <w:p w14:paraId="0F1C0DCC" w14:textId="424A094D" w:rsidR="00A96E9D" w:rsidRDefault="00A96E9D" w:rsidP="003E55B5">
      <w:pPr>
        <w:jc w:val="center"/>
        <w:rPr>
          <w:noProof/>
          <w:sz w:val="18"/>
          <w:szCs w:val="18"/>
        </w:rPr>
      </w:pPr>
    </w:p>
    <w:p w14:paraId="343BA9FF" w14:textId="7647FD5B" w:rsidR="00FB52F4" w:rsidRDefault="002A5EDA" w:rsidP="002A5EDA">
      <w:pPr>
        <w:rPr>
          <w:sz w:val="22"/>
          <w:szCs w:val="22"/>
        </w:rPr>
      </w:pPr>
      <w:r w:rsidRPr="00771A16">
        <w:rPr>
          <w:sz w:val="22"/>
          <w:szCs w:val="22"/>
        </w:rPr>
        <w:t>A partir de lo anterior</w:t>
      </w:r>
      <w:r>
        <w:rPr>
          <w:sz w:val="22"/>
          <w:szCs w:val="22"/>
        </w:rPr>
        <w:t xml:space="preserve"> </w:t>
      </w:r>
      <w:r w:rsidRPr="00771A16">
        <w:rPr>
          <w:sz w:val="22"/>
          <w:szCs w:val="22"/>
        </w:rPr>
        <w:t>es evidente que, si el mecanismo</w:t>
      </w:r>
      <w:r>
        <w:rPr>
          <w:sz w:val="22"/>
          <w:szCs w:val="22"/>
        </w:rPr>
        <w:t xml:space="preserve"> </w:t>
      </w:r>
      <w:r w:rsidRPr="00771A16">
        <w:rPr>
          <w:sz w:val="22"/>
          <w:szCs w:val="22"/>
        </w:rPr>
        <w:t xml:space="preserve">que debe establecer la CREG para garantizar el acceso a los contratos </w:t>
      </w:r>
      <w:r>
        <w:rPr>
          <w:sz w:val="22"/>
          <w:szCs w:val="22"/>
        </w:rPr>
        <w:t xml:space="preserve">de suministro </w:t>
      </w:r>
      <w:r w:rsidR="008A7BA4">
        <w:rPr>
          <w:sz w:val="22"/>
          <w:szCs w:val="22"/>
        </w:rPr>
        <w:t>de tipo firme o con garantía de firmeza</w:t>
      </w:r>
      <w:r w:rsidRPr="00771A16">
        <w:rPr>
          <w:sz w:val="22"/>
          <w:szCs w:val="22"/>
        </w:rPr>
        <w:t xml:space="preserve"> para atender la Demanda Esencial</w:t>
      </w:r>
      <w:r>
        <w:rPr>
          <w:sz w:val="22"/>
          <w:szCs w:val="22"/>
        </w:rPr>
        <w:t xml:space="preserve">, </w:t>
      </w:r>
      <w:r w:rsidRPr="00771A16">
        <w:rPr>
          <w:sz w:val="22"/>
          <w:szCs w:val="22"/>
        </w:rPr>
        <w:t xml:space="preserve">no incorpora todas las fuentes de suministro, </w:t>
      </w:r>
      <w:r w:rsidR="003A3D60">
        <w:rPr>
          <w:sz w:val="22"/>
          <w:szCs w:val="22"/>
        </w:rPr>
        <w:t xml:space="preserve">incluyendo las </w:t>
      </w:r>
      <w:r w:rsidRPr="00771A16">
        <w:rPr>
          <w:sz w:val="22"/>
          <w:szCs w:val="22"/>
        </w:rPr>
        <w:t>que actualmente aparecen descritas en el Artículo 19 de la Resolución CREG 186 de 2020, el mecanismo podría ser ineficaz y adicionalmente podría ocasionar obligaciones a los productores-comercializador</w:t>
      </w:r>
      <w:r>
        <w:rPr>
          <w:sz w:val="22"/>
          <w:szCs w:val="22"/>
        </w:rPr>
        <w:t>e</w:t>
      </w:r>
      <w:r w:rsidRPr="00771A16">
        <w:rPr>
          <w:sz w:val="22"/>
          <w:szCs w:val="22"/>
        </w:rPr>
        <w:t>s de solamente algunas de las fuentes de suministro y no de todas, un efecto que para el aseguramiento de</w:t>
      </w:r>
      <w:r>
        <w:rPr>
          <w:sz w:val="22"/>
          <w:szCs w:val="22"/>
        </w:rPr>
        <w:t>l suministro para</w:t>
      </w:r>
      <w:r w:rsidRPr="00771A16">
        <w:rPr>
          <w:sz w:val="22"/>
          <w:szCs w:val="22"/>
        </w:rPr>
        <w:t xml:space="preserve"> la Demanda Esencial, no está planteado como directriz de política en el Decreto 1073 de 2015. Esto es, en el </w:t>
      </w:r>
      <w:r>
        <w:rPr>
          <w:sz w:val="22"/>
          <w:szCs w:val="22"/>
        </w:rPr>
        <w:t xml:space="preserve">citado Decreto </w:t>
      </w:r>
      <w:r w:rsidRPr="00771A16">
        <w:rPr>
          <w:sz w:val="22"/>
          <w:szCs w:val="22"/>
        </w:rPr>
        <w:t xml:space="preserve">no se encuentra establecido que las fuentes no obligadas a utilizar los mecanismos de comercialización regulados por la CREG estén exceptuadas </w:t>
      </w:r>
      <w:r w:rsidR="00FD435A">
        <w:rPr>
          <w:sz w:val="22"/>
          <w:szCs w:val="22"/>
        </w:rPr>
        <w:t xml:space="preserve">de lo dispuesto en </w:t>
      </w:r>
      <w:r w:rsidR="00FD435A" w:rsidRPr="00FD435A">
        <w:rPr>
          <w:sz w:val="22"/>
          <w:szCs w:val="22"/>
        </w:rPr>
        <w:t xml:space="preserve">el Parágrafo 2 del Artículo 2.2.2.2.16 </w:t>
      </w:r>
      <w:r w:rsidR="00FD435A">
        <w:rPr>
          <w:sz w:val="22"/>
          <w:szCs w:val="22"/>
        </w:rPr>
        <w:t xml:space="preserve">del mencionado Decreto y </w:t>
      </w:r>
      <w:r w:rsidRPr="00771A16">
        <w:rPr>
          <w:sz w:val="22"/>
          <w:szCs w:val="22"/>
        </w:rPr>
        <w:t xml:space="preserve"> que se les aplique el mecanismo </w:t>
      </w:r>
      <w:r w:rsidR="003A3D60">
        <w:rPr>
          <w:sz w:val="22"/>
          <w:szCs w:val="22"/>
        </w:rPr>
        <w:t xml:space="preserve">de acceso </w:t>
      </w:r>
      <w:r>
        <w:rPr>
          <w:sz w:val="22"/>
          <w:szCs w:val="22"/>
        </w:rPr>
        <w:t xml:space="preserve">que la </w:t>
      </w:r>
      <w:r w:rsidRPr="00771A16">
        <w:rPr>
          <w:sz w:val="22"/>
          <w:szCs w:val="22"/>
        </w:rPr>
        <w:t xml:space="preserve">CREG </w:t>
      </w:r>
      <w:r>
        <w:rPr>
          <w:sz w:val="22"/>
          <w:szCs w:val="22"/>
        </w:rPr>
        <w:t xml:space="preserve">determine </w:t>
      </w:r>
      <w:r w:rsidRPr="00771A16">
        <w:rPr>
          <w:sz w:val="22"/>
          <w:szCs w:val="22"/>
        </w:rPr>
        <w:t xml:space="preserve">para </w:t>
      </w:r>
      <w:r>
        <w:rPr>
          <w:sz w:val="22"/>
          <w:szCs w:val="22"/>
        </w:rPr>
        <w:t xml:space="preserve">que los participantes del mercado que sean o atiendan </w:t>
      </w:r>
      <w:r w:rsidR="003A3D60">
        <w:rPr>
          <w:sz w:val="22"/>
          <w:szCs w:val="22"/>
        </w:rPr>
        <w:t>D</w:t>
      </w:r>
      <w:r>
        <w:rPr>
          <w:sz w:val="22"/>
          <w:szCs w:val="22"/>
        </w:rPr>
        <w:t xml:space="preserve">emanda </w:t>
      </w:r>
      <w:r w:rsidR="003A3D60">
        <w:rPr>
          <w:sz w:val="22"/>
          <w:szCs w:val="22"/>
        </w:rPr>
        <w:t>E</w:t>
      </w:r>
      <w:r>
        <w:rPr>
          <w:sz w:val="22"/>
          <w:szCs w:val="22"/>
        </w:rPr>
        <w:t xml:space="preserve">sencial tengan </w:t>
      </w:r>
      <w:r w:rsidRPr="00771A16">
        <w:rPr>
          <w:sz w:val="22"/>
          <w:szCs w:val="22"/>
        </w:rPr>
        <w:t xml:space="preserve">el acceso a contratos </w:t>
      </w:r>
      <w:r w:rsidR="008A7BA4">
        <w:rPr>
          <w:sz w:val="22"/>
          <w:szCs w:val="22"/>
        </w:rPr>
        <w:t>de tipo firme o con garantía de firmeza</w:t>
      </w:r>
      <w:r w:rsidR="00FD435A">
        <w:rPr>
          <w:sz w:val="22"/>
          <w:szCs w:val="22"/>
        </w:rPr>
        <w:t>.</w:t>
      </w:r>
      <w:r w:rsidR="00630A5B">
        <w:rPr>
          <w:sz w:val="22"/>
          <w:szCs w:val="22"/>
        </w:rPr>
        <w:t xml:space="preserve"> </w:t>
      </w:r>
      <w:r w:rsidR="006D50C6">
        <w:rPr>
          <w:sz w:val="22"/>
          <w:szCs w:val="22"/>
        </w:rPr>
        <w:t xml:space="preserve">Es por esto que un entendimiento contrario a </w:t>
      </w:r>
      <w:proofErr w:type="gramStart"/>
      <w:r w:rsidR="006D50C6">
        <w:rPr>
          <w:sz w:val="22"/>
          <w:szCs w:val="22"/>
        </w:rPr>
        <w:t>esto</w:t>
      </w:r>
      <w:r w:rsidR="00F827B9" w:rsidRPr="00ED4442">
        <w:rPr>
          <w:sz w:val="22"/>
          <w:szCs w:val="22"/>
        </w:rPr>
        <w:t>,</w:t>
      </w:r>
      <w:proofErr w:type="gramEnd"/>
      <w:r w:rsidR="00630A5B" w:rsidRPr="00ED4442">
        <w:rPr>
          <w:sz w:val="22"/>
          <w:szCs w:val="22"/>
        </w:rPr>
        <w:t xml:space="preserve"> </w:t>
      </w:r>
      <w:r w:rsidR="00716655" w:rsidRPr="00ED4442">
        <w:rPr>
          <w:sz w:val="22"/>
          <w:szCs w:val="22"/>
        </w:rPr>
        <w:t>limitaría la aplicación</w:t>
      </w:r>
      <w:r w:rsidR="00453B8E" w:rsidRPr="00ED4442">
        <w:rPr>
          <w:sz w:val="22"/>
          <w:szCs w:val="22"/>
        </w:rPr>
        <w:t xml:space="preserve"> </w:t>
      </w:r>
      <w:r w:rsidR="005C5BD1">
        <w:rPr>
          <w:sz w:val="22"/>
          <w:szCs w:val="22"/>
        </w:rPr>
        <w:t>de dicha norma</w:t>
      </w:r>
      <w:r w:rsidR="00256C00" w:rsidRPr="00ED4442">
        <w:rPr>
          <w:sz w:val="22"/>
          <w:szCs w:val="22"/>
        </w:rPr>
        <w:t xml:space="preserve"> </w:t>
      </w:r>
      <w:r w:rsidR="00D01F7E">
        <w:rPr>
          <w:sz w:val="22"/>
          <w:szCs w:val="22"/>
        </w:rPr>
        <w:t xml:space="preserve">y las finalidades previstas en el </w:t>
      </w:r>
      <w:r w:rsidR="00FB52F4">
        <w:rPr>
          <w:sz w:val="22"/>
          <w:szCs w:val="22"/>
        </w:rPr>
        <w:t>D</w:t>
      </w:r>
      <w:r w:rsidR="00D01F7E">
        <w:rPr>
          <w:sz w:val="22"/>
          <w:szCs w:val="22"/>
        </w:rPr>
        <w:t xml:space="preserve">ecreto en relación con la promoción </w:t>
      </w:r>
      <w:r w:rsidR="00D01F7E" w:rsidRPr="007E19E7">
        <w:rPr>
          <w:sz w:val="22"/>
          <w:szCs w:val="22"/>
        </w:rPr>
        <w:t>del abastecimiento nacional de gas natura</w:t>
      </w:r>
      <w:r w:rsidR="00786EB1">
        <w:rPr>
          <w:sz w:val="22"/>
          <w:szCs w:val="22"/>
        </w:rPr>
        <w:t>l</w:t>
      </w:r>
      <w:r w:rsidR="006D50C6">
        <w:rPr>
          <w:sz w:val="22"/>
          <w:szCs w:val="22"/>
        </w:rPr>
        <w:t>.</w:t>
      </w:r>
    </w:p>
    <w:p w14:paraId="46D69EC9" w14:textId="32967231" w:rsidR="005E3F26" w:rsidRDefault="005E3F26" w:rsidP="002A5EDA">
      <w:pPr>
        <w:rPr>
          <w:sz w:val="22"/>
          <w:szCs w:val="22"/>
        </w:rPr>
      </w:pPr>
    </w:p>
    <w:p w14:paraId="3707A44E" w14:textId="2F64A993" w:rsidR="005E3F26" w:rsidRPr="00771A16" w:rsidRDefault="005E3F26" w:rsidP="005E3F26">
      <w:pPr>
        <w:rPr>
          <w:sz w:val="22"/>
          <w:szCs w:val="22"/>
        </w:rPr>
      </w:pPr>
      <w:r>
        <w:rPr>
          <w:sz w:val="22"/>
          <w:szCs w:val="22"/>
        </w:rPr>
        <w:t xml:space="preserve">Por otro lado, si a pesar que se entiende de </w:t>
      </w:r>
      <w:r w:rsidR="00D02669">
        <w:rPr>
          <w:sz w:val="22"/>
          <w:szCs w:val="22"/>
        </w:rPr>
        <w:t>una interpretación sistemática</w:t>
      </w:r>
      <w:r>
        <w:rPr>
          <w:sz w:val="22"/>
          <w:szCs w:val="22"/>
        </w:rPr>
        <w:t xml:space="preserve"> de las directrices del Decreto, que el mecanismo </w:t>
      </w:r>
      <w:r w:rsidR="00D02669">
        <w:rPr>
          <w:sz w:val="22"/>
          <w:szCs w:val="22"/>
        </w:rPr>
        <w:t xml:space="preserve">de acceso </w:t>
      </w:r>
      <w:r>
        <w:rPr>
          <w:sz w:val="22"/>
          <w:szCs w:val="22"/>
        </w:rPr>
        <w:t xml:space="preserve">que debe definir la CREG para asegurar la atención de la Demanda Esencial mediante contratos </w:t>
      </w:r>
      <w:r w:rsidR="008A7BA4">
        <w:rPr>
          <w:sz w:val="22"/>
          <w:szCs w:val="22"/>
        </w:rPr>
        <w:t>de tipo firme o con garantía de firmeza</w:t>
      </w:r>
      <w:r w:rsidR="008A7BA4" w:rsidRPr="00771A16">
        <w:rPr>
          <w:sz w:val="22"/>
          <w:szCs w:val="22"/>
        </w:rPr>
        <w:t xml:space="preserve"> </w:t>
      </w:r>
      <w:r>
        <w:rPr>
          <w:sz w:val="22"/>
          <w:szCs w:val="22"/>
        </w:rPr>
        <w:t>no tiene excepciones en su aplicación a la totalidad de las fuentes de suministro,</w:t>
      </w:r>
      <w:r w:rsidRPr="00771A16">
        <w:rPr>
          <w:sz w:val="22"/>
          <w:szCs w:val="22"/>
        </w:rPr>
        <w:t xml:space="preserve"> </w:t>
      </w:r>
      <w:r>
        <w:rPr>
          <w:sz w:val="22"/>
          <w:szCs w:val="22"/>
        </w:rPr>
        <w:t xml:space="preserve">y </w:t>
      </w:r>
      <w:r w:rsidRPr="00771A16">
        <w:rPr>
          <w:sz w:val="22"/>
          <w:szCs w:val="22"/>
        </w:rPr>
        <w:t>la Comisión defin</w:t>
      </w:r>
      <w:r>
        <w:rPr>
          <w:sz w:val="22"/>
          <w:szCs w:val="22"/>
        </w:rPr>
        <w:t>ies</w:t>
      </w:r>
      <w:r w:rsidRPr="00771A16">
        <w:rPr>
          <w:sz w:val="22"/>
          <w:szCs w:val="22"/>
        </w:rPr>
        <w:t xml:space="preserve">e un mecanismo que aplica solamente a algunas fuentes de suministro como las señaladas en el Artículo 19 de la CREG 186 de 2020, </w:t>
      </w:r>
      <w:r>
        <w:rPr>
          <w:sz w:val="22"/>
          <w:szCs w:val="22"/>
        </w:rPr>
        <w:t xml:space="preserve">se </w:t>
      </w:r>
      <w:r w:rsidRPr="00771A16">
        <w:rPr>
          <w:sz w:val="22"/>
          <w:szCs w:val="22"/>
        </w:rPr>
        <w:t xml:space="preserve">estaría dejando por fuera </w:t>
      </w:r>
      <w:r>
        <w:rPr>
          <w:sz w:val="22"/>
          <w:szCs w:val="22"/>
        </w:rPr>
        <w:t xml:space="preserve">del balance </w:t>
      </w:r>
      <w:r w:rsidRPr="00771A16">
        <w:rPr>
          <w:sz w:val="22"/>
          <w:szCs w:val="22"/>
        </w:rPr>
        <w:t xml:space="preserve">fuentes de suministro que cuentan con cantidades de PTDVF, </w:t>
      </w:r>
      <w:r>
        <w:rPr>
          <w:sz w:val="22"/>
          <w:szCs w:val="22"/>
        </w:rPr>
        <w:t xml:space="preserve">que </w:t>
      </w:r>
      <w:r w:rsidRPr="00771A16">
        <w:rPr>
          <w:sz w:val="22"/>
          <w:szCs w:val="22"/>
        </w:rPr>
        <w:t>por lo tanto, no se estaría</w:t>
      </w:r>
      <w:r>
        <w:rPr>
          <w:sz w:val="22"/>
          <w:szCs w:val="22"/>
        </w:rPr>
        <w:t>n</w:t>
      </w:r>
      <w:r w:rsidRPr="00771A16">
        <w:rPr>
          <w:sz w:val="22"/>
          <w:szCs w:val="22"/>
        </w:rPr>
        <w:t xml:space="preserve"> ofertando, como se observa en la </w:t>
      </w:r>
      <w:r w:rsidR="006A75C4">
        <w:rPr>
          <w:sz w:val="22"/>
          <w:szCs w:val="22"/>
        </w:rPr>
        <w:fldChar w:fldCharType="begin"/>
      </w:r>
      <w:r w:rsidR="006A75C4">
        <w:rPr>
          <w:sz w:val="22"/>
          <w:szCs w:val="22"/>
        </w:rPr>
        <w:instrText xml:space="preserve"> REF _Ref129848646 \h </w:instrText>
      </w:r>
      <w:r w:rsidR="006A75C4">
        <w:rPr>
          <w:sz w:val="22"/>
          <w:szCs w:val="22"/>
        </w:rPr>
      </w:r>
      <w:r w:rsidR="006A75C4">
        <w:rPr>
          <w:sz w:val="22"/>
          <w:szCs w:val="22"/>
        </w:rPr>
        <w:fldChar w:fldCharType="separate"/>
      </w:r>
      <w:r w:rsidR="006B7344" w:rsidRPr="00913051">
        <w:rPr>
          <w:sz w:val="22"/>
          <w:szCs w:val="22"/>
        </w:rPr>
        <w:t xml:space="preserve">Figura </w:t>
      </w:r>
      <w:r w:rsidR="006B7344">
        <w:rPr>
          <w:i/>
          <w:iCs/>
          <w:noProof/>
          <w:sz w:val="22"/>
          <w:szCs w:val="22"/>
        </w:rPr>
        <w:t>4</w:t>
      </w:r>
      <w:r w:rsidR="006A75C4">
        <w:rPr>
          <w:sz w:val="22"/>
          <w:szCs w:val="22"/>
        </w:rPr>
        <w:fldChar w:fldCharType="end"/>
      </w:r>
      <w:r w:rsidRPr="00771A16">
        <w:rPr>
          <w:sz w:val="22"/>
          <w:szCs w:val="22"/>
        </w:rPr>
        <w:t xml:space="preserve"> mostrada anteriormente, para el período 2021 a 2027</w:t>
      </w:r>
      <w:r w:rsidR="00FA3759">
        <w:rPr>
          <w:sz w:val="22"/>
          <w:szCs w:val="22"/>
        </w:rPr>
        <w:t>, en perjuicio de la debida y eficiente prestación del servicio público domiciliario</w:t>
      </w:r>
      <w:r w:rsidRPr="00771A16">
        <w:rPr>
          <w:sz w:val="22"/>
          <w:szCs w:val="22"/>
        </w:rPr>
        <w:t>. Así, la posibilidad de que haya</w:t>
      </w:r>
      <w:r>
        <w:rPr>
          <w:sz w:val="22"/>
          <w:szCs w:val="22"/>
        </w:rPr>
        <w:t xml:space="preserve"> balances comerciales </w:t>
      </w:r>
      <w:r w:rsidRPr="00771A16">
        <w:rPr>
          <w:sz w:val="22"/>
          <w:szCs w:val="22"/>
        </w:rPr>
        <w:t>deficitari</w:t>
      </w:r>
      <w:r>
        <w:rPr>
          <w:sz w:val="22"/>
          <w:szCs w:val="22"/>
        </w:rPr>
        <w:t>os calculados sin considerar las fuentes exceptuadas en mención,</w:t>
      </w:r>
      <w:r w:rsidRPr="00771A16">
        <w:rPr>
          <w:sz w:val="22"/>
          <w:szCs w:val="22"/>
        </w:rPr>
        <w:t xml:space="preserve"> es mucho mayor, a pesar de que </w:t>
      </w:r>
      <w:r>
        <w:rPr>
          <w:sz w:val="22"/>
          <w:szCs w:val="22"/>
        </w:rPr>
        <w:t>para</w:t>
      </w:r>
      <w:r w:rsidRPr="00771A16">
        <w:rPr>
          <w:sz w:val="22"/>
          <w:szCs w:val="22"/>
        </w:rPr>
        <w:t xml:space="preserve"> la realidad </w:t>
      </w:r>
      <w:r>
        <w:rPr>
          <w:sz w:val="22"/>
          <w:szCs w:val="22"/>
        </w:rPr>
        <w:t xml:space="preserve">contractual </w:t>
      </w:r>
      <w:r w:rsidRPr="00771A16">
        <w:rPr>
          <w:sz w:val="22"/>
          <w:szCs w:val="22"/>
        </w:rPr>
        <w:t>no existiría tal déficit</w:t>
      </w:r>
      <w:r>
        <w:rPr>
          <w:sz w:val="22"/>
          <w:szCs w:val="22"/>
        </w:rPr>
        <w:t>,</w:t>
      </w:r>
      <w:r w:rsidRPr="00771A16">
        <w:rPr>
          <w:sz w:val="22"/>
          <w:szCs w:val="22"/>
        </w:rPr>
        <w:t xml:space="preserve"> si se incluye</w:t>
      </w:r>
      <w:r>
        <w:rPr>
          <w:sz w:val="22"/>
          <w:szCs w:val="22"/>
        </w:rPr>
        <w:t>ran</w:t>
      </w:r>
      <w:r w:rsidRPr="00771A16">
        <w:rPr>
          <w:sz w:val="22"/>
          <w:szCs w:val="22"/>
        </w:rPr>
        <w:t xml:space="preserve"> todas las fuentes de suministro</w:t>
      </w:r>
      <w:r w:rsidR="00DC5DD2">
        <w:rPr>
          <w:sz w:val="22"/>
          <w:szCs w:val="22"/>
        </w:rPr>
        <w:t>;</w:t>
      </w:r>
      <w:r w:rsidRPr="00771A16">
        <w:rPr>
          <w:sz w:val="22"/>
          <w:szCs w:val="22"/>
        </w:rPr>
        <w:t xml:space="preserve"> </w:t>
      </w:r>
      <w:r w:rsidR="00DC5DD2">
        <w:rPr>
          <w:sz w:val="22"/>
          <w:szCs w:val="22"/>
        </w:rPr>
        <w:t>y</w:t>
      </w:r>
      <w:r w:rsidRPr="00771A16">
        <w:rPr>
          <w:sz w:val="22"/>
          <w:szCs w:val="22"/>
        </w:rPr>
        <w:t xml:space="preserve"> derivado de ello, la posibilidad de que los agentes que atienden la Demanda Esencial tengan acceso solamente a las fuentes de suministro no incluidas en el Artículo 19 en mención, reduce las opciones de pactar el suministro en las cantidades totales requeridas por </w:t>
      </w:r>
      <w:r>
        <w:rPr>
          <w:sz w:val="22"/>
          <w:szCs w:val="22"/>
        </w:rPr>
        <w:t>dicha demanda</w:t>
      </w:r>
      <w:r w:rsidRPr="00771A16">
        <w:rPr>
          <w:sz w:val="22"/>
          <w:szCs w:val="22"/>
        </w:rPr>
        <w:t xml:space="preserve">. </w:t>
      </w:r>
    </w:p>
    <w:p w14:paraId="381EC2A4" w14:textId="0F1DD5D0" w:rsidR="005E3F26" w:rsidRDefault="005E3F26" w:rsidP="00AB74C9">
      <w:pPr>
        <w:jc w:val="left"/>
        <w:rPr>
          <w:sz w:val="18"/>
          <w:szCs w:val="18"/>
        </w:rPr>
      </w:pPr>
    </w:p>
    <w:p w14:paraId="4E5346F9" w14:textId="79FE46DC" w:rsidR="002F6F67" w:rsidRPr="00771A16" w:rsidRDefault="002F6F67" w:rsidP="00040A2D">
      <w:pPr>
        <w:rPr>
          <w:sz w:val="22"/>
          <w:szCs w:val="22"/>
        </w:rPr>
      </w:pPr>
      <w:r w:rsidRPr="002859E0">
        <w:rPr>
          <w:sz w:val="22"/>
          <w:szCs w:val="22"/>
        </w:rPr>
        <w:t>A</w:t>
      </w:r>
      <w:r w:rsidR="006A75C4">
        <w:rPr>
          <w:sz w:val="22"/>
          <w:szCs w:val="22"/>
        </w:rPr>
        <w:t>dicionalmente</w:t>
      </w:r>
      <w:r w:rsidRPr="002859E0">
        <w:rPr>
          <w:sz w:val="22"/>
          <w:szCs w:val="22"/>
        </w:rPr>
        <w:t xml:space="preserve">, como ya se </w:t>
      </w:r>
      <w:r w:rsidR="00D61918" w:rsidRPr="002859E0">
        <w:rPr>
          <w:sz w:val="22"/>
          <w:szCs w:val="22"/>
        </w:rPr>
        <w:t>explicó</w:t>
      </w:r>
      <w:r w:rsidRPr="002859E0">
        <w:rPr>
          <w:sz w:val="22"/>
          <w:szCs w:val="22"/>
        </w:rPr>
        <w:t xml:space="preserve">, se aumenta la posibilidad de que </w:t>
      </w:r>
      <w:r w:rsidR="00E72ADF" w:rsidRPr="002859E0">
        <w:rPr>
          <w:sz w:val="22"/>
          <w:szCs w:val="22"/>
        </w:rPr>
        <w:t>l</w:t>
      </w:r>
      <w:r w:rsidRPr="002859E0">
        <w:rPr>
          <w:sz w:val="22"/>
          <w:szCs w:val="22"/>
        </w:rPr>
        <w:t xml:space="preserve">as fuentes de suministro </w:t>
      </w:r>
      <w:r w:rsidR="00D61918" w:rsidRPr="002859E0">
        <w:rPr>
          <w:sz w:val="22"/>
          <w:szCs w:val="22"/>
        </w:rPr>
        <w:t>a las que se les aplica</w:t>
      </w:r>
      <w:r w:rsidR="004B3230">
        <w:rPr>
          <w:sz w:val="22"/>
          <w:szCs w:val="22"/>
        </w:rPr>
        <w:t>se</w:t>
      </w:r>
      <w:r w:rsidR="00D61918" w:rsidRPr="002859E0">
        <w:rPr>
          <w:sz w:val="22"/>
          <w:szCs w:val="22"/>
        </w:rPr>
        <w:t xml:space="preserve"> obligatoriamente los mecanismos de comercialización establecidos por la CREG,</w:t>
      </w:r>
      <w:r w:rsidRPr="002859E0">
        <w:rPr>
          <w:sz w:val="22"/>
          <w:szCs w:val="22"/>
        </w:rPr>
        <w:t xml:space="preserve"> sean las únicas que asumen la atención de la </w:t>
      </w:r>
      <w:r w:rsidR="00E8014D" w:rsidRPr="002859E0">
        <w:rPr>
          <w:sz w:val="22"/>
          <w:szCs w:val="22"/>
        </w:rPr>
        <w:t>Demanda Esencial</w:t>
      </w:r>
      <w:r w:rsidRPr="002859E0">
        <w:rPr>
          <w:sz w:val="22"/>
          <w:szCs w:val="22"/>
        </w:rPr>
        <w:t xml:space="preserve">, quedando </w:t>
      </w:r>
      <w:r w:rsidR="00D61918" w:rsidRPr="002859E0">
        <w:rPr>
          <w:sz w:val="22"/>
          <w:szCs w:val="22"/>
        </w:rPr>
        <w:t>las fuentes contempladas actualmente en el Artículo 19 de la Resolución CREG 186 de 2020</w:t>
      </w:r>
      <w:r w:rsidRPr="002859E0">
        <w:rPr>
          <w:sz w:val="22"/>
          <w:szCs w:val="22"/>
        </w:rPr>
        <w:t xml:space="preserve"> </w:t>
      </w:r>
      <w:r w:rsidR="004F1253" w:rsidRPr="002859E0">
        <w:rPr>
          <w:sz w:val="22"/>
          <w:szCs w:val="22"/>
        </w:rPr>
        <w:t xml:space="preserve">con </w:t>
      </w:r>
      <w:r w:rsidR="00BB75E2" w:rsidRPr="002859E0">
        <w:rPr>
          <w:sz w:val="22"/>
          <w:szCs w:val="22"/>
        </w:rPr>
        <w:t xml:space="preserve">la posibilidad de </w:t>
      </w:r>
      <w:r w:rsidR="004F1253" w:rsidRPr="002859E0">
        <w:rPr>
          <w:sz w:val="22"/>
          <w:szCs w:val="22"/>
        </w:rPr>
        <w:t>adelantar</w:t>
      </w:r>
      <w:r w:rsidR="00BB75E2" w:rsidRPr="002859E0">
        <w:rPr>
          <w:sz w:val="22"/>
          <w:szCs w:val="22"/>
        </w:rPr>
        <w:t xml:space="preserve"> </w:t>
      </w:r>
      <w:r w:rsidRPr="002859E0">
        <w:rPr>
          <w:sz w:val="22"/>
          <w:szCs w:val="22"/>
        </w:rPr>
        <w:t xml:space="preserve"> negociaciones directas</w:t>
      </w:r>
      <w:r w:rsidRPr="000E73AA">
        <w:rPr>
          <w:sz w:val="22"/>
          <w:szCs w:val="22"/>
        </w:rPr>
        <w:t>, a la</w:t>
      </w:r>
      <w:r w:rsidR="00D61918" w:rsidRPr="00880C3A">
        <w:rPr>
          <w:sz w:val="22"/>
          <w:szCs w:val="22"/>
        </w:rPr>
        <w:t>s</w:t>
      </w:r>
      <w:r w:rsidRPr="00D62F8B">
        <w:rPr>
          <w:sz w:val="22"/>
          <w:szCs w:val="22"/>
        </w:rPr>
        <w:t xml:space="preserve"> que acudirían los usuarios no regulados y</w:t>
      </w:r>
      <w:r w:rsidRPr="00771A16">
        <w:rPr>
          <w:sz w:val="22"/>
          <w:szCs w:val="22"/>
        </w:rPr>
        <w:t xml:space="preserve"> el resto de la demanda diferente a la </w:t>
      </w:r>
      <w:r w:rsidR="00E8014D" w:rsidRPr="00771A16">
        <w:rPr>
          <w:sz w:val="22"/>
          <w:szCs w:val="22"/>
        </w:rPr>
        <w:t>Demanda Esencial</w:t>
      </w:r>
      <w:r w:rsidRPr="00771A16">
        <w:rPr>
          <w:sz w:val="22"/>
          <w:szCs w:val="22"/>
        </w:rPr>
        <w:t xml:space="preserve">, sin </w:t>
      </w:r>
      <w:r w:rsidR="00D61918" w:rsidRPr="00771A16">
        <w:rPr>
          <w:sz w:val="22"/>
          <w:szCs w:val="22"/>
        </w:rPr>
        <w:t xml:space="preserve">la obligación de </w:t>
      </w:r>
      <w:r w:rsidRPr="00771A16">
        <w:rPr>
          <w:sz w:val="22"/>
          <w:szCs w:val="22"/>
        </w:rPr>
        <w:t xml:space="preserve">aplicar </w:t>
      </w:r>
      <w:r w:rsidR="00D61918" w:rsidRPr="00771A16">
        <w:rPr>
          <w:sz w:val="22"/>
          <w:szCs w:val="22"/>
        </w:rPr>
        <w:t>alg</w:t>
      </w:r>
      <w:r w:rsidRPr="00771A16">
        <w:rPr>
          <w:sz w:val="22"/>
          <w:szCs w:val="22"/>
        </w:rPr>
        <w:t>ún mecanismo de mercado, que sea eficiente para resolver el precio para dicha demanda</w:t>
      </w:r>
      <w:r w:rsidR="00FC6CB0" w:rsidRPr="00771A16">
        <w:rPr>
          <w:sz w:val="22"/>
          <w:szCs w:val="22"/>
        </w:rPr>
        <w:t xml:space="preserve"> ante insuficiencia de cantidades</w:t>
      </w:r>
      <w:r w:rsidRPr="00771A16">
        <w:rPr>
          <w:sz w:val="22"/>
          <w:szCs w:val="22"/>
        </w:rPr>
        <w:t xml:space="preserve">. </w:t>
      </w:r>
    </w:p>
    <w:p w14:paraId="33E771E6" w14:textId="77777777" w:rsidR="00C05364" w:rsidRPr="00771A16" w:rsidRDefault="00C05364" w:rsidP="00040A2D">
      <w:pPr>
        <w:rPr>
          <w:sz w:val="22"/>
          <w:szCs w:val="22"/>
        </w:rPr>
      </w:pPr>
    </w:p>
    <w:p w14:paraId="03BB5645" w14:textId="22C4D6F4" w:rsidR="001811FC" w:rsidRDefault="006A75C4" w:rsidP="00040A2D">
      <w:pPr>
        <w:rPr>
          <w:sz w:val="22"/>
          <w:szCs w:val="22"/>
        </w:rPr>
      </w:pPr>
      <w:r>
        <w:rPr>
          <w:sz w:val="22"/>
          <w:szCs w:val="22"/>
        </w:rPr>
        <w:t xml:space="preserve">De todo lo anterior, </w:t>
      </w:r>
      <w:r w:rsidR="005C0CDE">
        <w:rPr>
          <w:sz w:val="22"/>
          <w:szCs w:val="22"/>
        </w:rPr>
        <w:t xml:space="preserve">la propuesta regulatoria debe formularse de manera tal que permita dar cumplimiento en debida forma a </w:t>
      </w:r>
      <w:r>
        <w:rPr>
          <w:sz w:val="22"/>
          <w:szCs w:val="22"/>
        </w:rPr>
        <w:t>las</w:t>
      </w:r>
      <w:r w:rsidR="005C0CDE">
        <w:rPr>
          <w:sz w:val="22"/>
          <w:szCs w:val="22"/>
        </w:rPr>
        <w:t xml:space="preserve"> disposiciones en materia de política</w:t>
      </w:r>
      <w:r w:rsidR="002B3CB3">
        <w:rPr>
          <w:sz w:val="22"/>
          <w:szCs w:val="22"/>
        </w:rPr>
        <w:t xml:space="preserve"> que formulan</w:t>
      </w:r>
      <w:r>
        <w:rPr>
          <w:sz w:val="22"/>
          <w:szCs w:val="22"/>
        </w:rPr>
        <w:t xml:space="preserve"> directrices en torno al mecanismo de acceso a contratos con Respaldo Físico (que son contratos firmes o que garantizan firmeza) para la Demanda Esencial y para que también se cumpla la directriz de las excepciones a los mecanismos de comercialización de establezca la CREG a cierto tipo de fuentes de suministro</w:t>
      </w:r>
      <w:r w:rsidR="002B3CB3">
        <w:rPr>
          <w:sz w:val="22"/>
          <w:szCs w:val="22"/>
        </w:rPr>
        <w:t>,</w:t>
      </w:r>
      <w:r w:rsidR="00BA6314">
        <w:rPr>
          <w:sz w:val="22"/>
          <w:szCs w:val="22"/>
        </w:rPr>
        <w:t xml:space="preserve"> en el marco del ejercicio de sus facultades regulatorias de la Ley 142 de 1994, las cuales están dirigidas a</w:t>
      </w:r>
      <w:r w:rsidR="00BA6314" w:rsidRPr="00BA6314">
        <w:rPr>
          <w:sz w:val="22"/>
          <w:szCs w:val="22"/>
        </w:rPr>
        <w:t xml:space="preserve"> garantizar la prestación eficiente de</w:t>
      </w:r>
      <w:r w:rsidR="008B6FA0">
        <w:rPr>
          <w:sz w:val="22"/>
          <w:szCs w:val="22"/>
        </w:rPr>
        <w:t xml:space="preserve">l servicio, </w:t>
      </w:r>
      <w:r w:rsidR="00BA6314" w:rsidRPr="00BA6314">
        <w:rPr>
          <w:sz w:val="22"/>
          <w:szCs w:val="22"/>
        </w:rPr>
        <w:t xml:space="preserve">el adecuado funcionamiento del mercado, corrigiendo los errores de un mercado imperfecto, delimitando el ejercicio de la libertad de empresa, promoviendo y preservando la sana y transparente competencia, protegiendo los derechos de los usuarios, </w:t>
      </w:r>
      <w:r w:rsidR="008B6FA0">
        <w:rPr>
          <w:sz w:val="22"/>
          <w:szCs w:val="22"/>
        </w:rPr>
        <w:t>evitando</w:t>
      </w:r>
      <w:r w:rsidR="00BA6314" w:rsidRPr="00BA6314">
        <w:rPr>
          <w:sz w:val="22"/>
          <w:szCs w:val="22"/>
        </w:rPr>
        <w:t xml:space="preserve"> </w:t>
      </w:r>
      <w:r w:rsidR="008B6FA0">
        <w:rPr>
          <w:sz w:val="22"/>
          <w:szCs w:val="22"/>
        </w:rPr>
        <w:t xml:space="preserve">el abuso </w:t>
      </w:r>
      <w:r w:rsidR="00BA6314" w:rsidRPr="00BA6314">
        <w:rPr>
          <w:sz w:val="22"/>
          <w:szCs w:val="22"/>
        </w:rPr>
        <w:t>de la posición dominante, entre otras</w:t>
      </w:r>
      <w:r w:rsidR="00FB52F4">
        <w:rPr>
          <w:sz w:val="22"/>
          <w:szCs w:val="22"/>
        </w:rPr>
        <w:t>.</w:t>
      </w:r>
    </w:p>
    <w:p w14:paraId="4124D64C" w14:textId="4E6C2449" w:rsidR="00656AA1" w:rsidRPr="00771A16" w:rsidRDefault="00656AA1" w:rsidP="00CC5B15">
      <w:pPr>
        <w:rPr>
          <w:sz w:val="22"/>
          <w:szCs w:val="22"/>
        </w:rPr>
      </w:pPr>
    </w:p>
    <w:p w14:paraId="6F875B0B" w14:textId="0FBA5380" w:rsidR="001F6286" w:rsidRPr="003B4C75" w:rsidRDefault="00795EDC" w:rsidP="007651EA">
      <w:pPr>
        <w:pStyle w:val="Ttulo3"/>
      </w:pPr>
      <w:bookmarkStart w:id="76" w:name="_Ref130286474"/>
      <w:bookmarkStart w:id="77" w:name="_Toc140506192"/>
      <w:r w:rsidRPr="00771A16">
        <w:t xml:space="preserve">Acople entre </w:t>
      </w:r>
      <w:r w:rsidR="007D49C9" w:rsidRPr="00771A16">
        <w:t xml:space="preserve">comercialización del suministro y la comercialización de la capacidad de transporte de gas </w:t>
      </w:r>
      <w:r w:rsidR="007D49C9" w:rsidRPr="003B4C75">
        <w:t>natural</w:t>
      </w:r>
      <w:bookmarkEnd w:id="76"/>
      <w:bookmarkEnd w:id="77"/>
      <w:r w:rsidR="007D49C9" w:rsidRPr="006C2940">
        <w:t xml:space="preserve"> </w:t>
      </w:r>
    </w:p>
    <w:p w14:paraId="394B4CE1" w14:textId="0FBE96A6" w:rsidR="009C2D2E" w:rsidRPr="006C2940" w:rsidRDefault="008477BE" w:rsidP="006C2940">
      <w:pPr>
        <w:rPr>
          <w:sz w:val="22"/>
          <w:szCs w:val="22"/>
        </w:rPr>
      </w:pPr>
      <w:r>
        <w:rPr>
          <w:sz w:val="22"/>
          <w:szCs w:val="22"/>
        </w:rPr>
        <w:t>L</w:t>
      </w:r>
      <w:r w:rsidR="006C3633" w:rsidRPr="006C2940">
        <w:rPr>
          <w:sz w:val="22"/>
          <w:szCs w:val="22"/>
        </w:rPr>
        <w:t>a regulación de los mercado</w:t>
      </w:r>
      <w:r w:rsidR="00FC6056" w:rsidRPr="006C2940">
        <w:rPr>
          <w:sz w:val="22"/>
          <w:szCs w:val="22"/>
        </w:rPr>
        <w:t>s</w:t>
      </w:r>
      <w:r w:rsidR="006C3633" w:rsidRPr="006C2940">
        <w:rPr>
          <w:sz w:val="22"/>
          <w:szCs w:val="22"/>
        </w:rPr>
        <w:t xml:space="preserve"> may</w:t>
      </w:r>
      <w:r w:rsidR="00FC6056" w:rsidRPr="006C2940">
        <w:rPr>
          <w:sz w:val="22"/>
          <w:szCs w:val="22"/>
        </w:rPr>
        <w:t>oristas</w:t>
      </w:r>
      <w:r w:rsidR="006C3633" w:rsidRPr="006C2940">
        <w:rPr>
          <w:sz w:val="22"/>
          <w:szCs w:val="22"/>
        </w:rPr>
        <w:t xml:space="preserve"> </w:t>
      </w:r>
      <w:r w:rsidR="00FC6056" w:rsidRPr="006C2940">
        <w:rPr>
          <w:sz w:val="22"/>
          <w:szCs w:val="22"/>
        </w:rPr>
        <w:t xml:space="preserve">para la comercialización </w:t>
      </w:r>
      <w:r w:rsidR="006C3633" w:rsidRPr="006C2940">
        <w:rPr>
          <w:sz w:val="22"/>
          <w:szCs w:val="22"/>
        </w:rPr>
        <w:t>de</w:t>
      </w:r>
      <w:r w:rsidR="00FC6056" w:rsidRPr="006C2940">
        <w:rPr>
          <w:sz w:val="22"/>
          <w:szCs w:val="22"/>
        </w:rPr>
        <w:t xml:space="preserve"> la capacidad de transporte del Sistema Nacional de Transporte de gas natural</w:t>
      </w:r>
      <w:r w:rsidR="006C3633" w:rsidRPr="006C2940">
        <w:rPr>
          <w:sz w:val="22"/>
          <w:szCs w:val="22"/>
        </w:rPr>
        <w:t xml:space="preserve"> </w:t>
      </w:r>
      <w:r w:rsidR="00615ABF" w:rsidRPr="006C2940">
        <w:rPr>
          <w:sz w:val="22"/>
          <w:szCs w:val="22"/>
        </w:rPr>
        <w:t xml:space="preserve">y </w:t>
      </w:r>
      <w:r w:rsidR="003B4C75">
        <w:rPr>
          <w:sz w:val="22"/>
          <w:szCs w:val="22"/>
        </w:rPr>
        <w:t xml:space="preserve">de </w:t>
      </w:r>
      <w:r w:rsidR="00615ABF" w:rsidRPr="006C2940">
        <w:rPr>
          <w:sz w:val="22"/>
          <w:szCs w:val="22"/>
        </w:rPr>
        <w:t xml:space="preserve">la comercialización del suministro de gas natural </w:t>
      </w:r>
      <w:r w:rsidR="00FC6056" w:rsidRPr="006C2940">
        <w:rPr>
          <w:sz w:val="22"/>
          <w:szCs w:val="22"/>
        </w:rPr>
        <w:t>se separó mediante la</w:t>
      </w:r>
      <w:r w:rsidR="00962D64" w:rsidRPr="006C2940">
        <w:rPr>
          <w:sz w:val="22"/>
          <w:szCs w:val="22"/>
        </w:rPr>
        <w:t xml:space="preserve"> expedición de las</w:t>
      </w:r>
      <w:r w:rsidR="00FC6056" w:rsidRPr="006C2940">
        <w:rPr>
          <w:sz w:val="22"/>
          <w:szCs w:val="22"/>
        </w:rPr>
        <w:t xml:space="preserve"> resoluciones CREG 185 de 2020</w:t>
      </w:r>
      <w:r w:rsidR="00945271">
        <w:rPr>
          <w:sz w:val="22"/>
          <w:szCs w:val="22"/>
        </w:rPr>
        <w:t>, modificada por la Resolución CREG 126 de 2021</w:t>
      </w:r>
      <w:r w:rsidR="003B4C75">
        <w:rPr>
          <w:sz w:val="22"/>
          <w:szCs w:val="22"/>
        </w:rPr>
        <w:t>,</w:t>
      </w:r>
      <w:r w:rsidR="00FC6056" w:rsidRPr="006C2940">
        <w:rPr>
          <w:sz w:val="22"/>
          <w:szCs w:val="22"/>
        </w:rPr>
        <w:t xml:space="preserve"> y </w:t>
      </w:r>
      <w:r w:rsidR="003B4C75">
        <w:rPr>
          <w:sz w:val="22"/>
          <w:szCs w:val="22"/>
        </w:rPr>
        <w:t xml:space="preserve">la Resolución CREG </w:t>
      </w:r>
      <w:r w:rsidR="00FC6056" w:rsidRPr="006C2940">
        <w:rPr>
          <w:sz w:val="22"/>
          <w:szCs w:val="22"/>
        </w:rPr>
        <w:t>186 de 2020</w:t>
      </w:r>
      <w:r w:rsidR="00615ABF" w:rsidRPr="006C2940">
        <w:rPr>
          <w:sz w:val="22"/>
          <w:szCs w:val="22"/>
        </w:rPr>
        <w:t>, respectivamente</w:t>
      </w:r>
      <w:r w:rsidR="001F2CBB" w:rsidRPr="006C2940">
        <w:rPr>
          <w:sz w:val="22"/>
          <w:szCs w:val="22"/>
        </w:rPr>
        <w:t xml:space="preserve">. </w:t>
      </w:r>
    </w:p>
    <w:p w14:paraId="4FF27A00" w14:textId="77777777" w:rsidR="009C2D2E" w:rsidRDefault="009C2D2E" w:rsidP="009C2D2E">
      <w:pPr>
        <w:pStyle w:val="Prrafodelista"/>
        <w:ind w:left="360"/>
        <w:rPr>
          <w:b/>
          <w:bCs/>
          <w:sz w:val="22"/>
          <w:szCs w:val="22"/>
        </w:rPr>
      </w:pPr>
    </w:p>
    <w:p w14:paraId="4298A5AD" w14:textId="208FCD12" w:rsidR="00656AA1" w:rsidRDefault="008E0452" w:rsidP="009E616A">
      <w:pPr>
        <w:rPr>
          <w:sz w:val="22"/>
          <w:szCs w:val="22"/>
        </w:rPr>
      </w:pPr>
      <w:r w:rsidRPr="006C2940">
        <w:rPr>
          <w:sz w:val="22"/>
          <w:szCs w:val="22"/>
        </w:rPr>
        <w:t xml:space="preserve">Lo anterior porque esta Comisión concluyó que era necesario, para </w:t>
      </w:r>
      <w:r w:rsidR="00021FE9">
        <w:rPr>
          <w:sz w:val="22"/>
          <w:szCs w:val="22"/>
        </w:rPr>
        <w:t xml:space="preserve">dar la mayor </w:t>
      </w:r>
      <w:r w:rsidRPr="006C2940">
        <w:rPr>
          <w:sz w:val="22"/>
          <w:szCs w:val="22"/>
        </w:rPr>
        <w:t>claridad</w:t>
      </w:r>
      <w:r w:rsidR="00021FE9">
        <w:rPr>
          <w:sz w:val="22"/>
          <w:szCs w:val="22"/>
        </w:rPr>
        <w:t xml:space="preserve"> a los agentes </w:t>
      </w:r>
      <w:r w:rsidRPr="006C2940">
        <w:rPr>
          <w:sz w:val="22"/>
          <w:szCs w:val="22"/>
        </w:rPr>
        <w:t xml:space="preserve">del mercado, dividir </w:t>
      </w:r>
      <w:r w:rsidR="008477BE" w:rsidRPr="006C2940">
        <w:rPr>
          <w:sz w:val="22"/>
          <w:szCs w:val="22"/>
        </w:rPr>
        <w:t xml:space="preserve">en dos </w:t>
      </w:r>
      <w:r w:rsidR="008477BE">
        <w:rPr>
          <w:sz w:val="22"/>
          <w:szCs w:val="22"/>
        </w:rPr>
        <w:t>resoluciones diferentes</w:t>
      </w:r>
      <w:r w:rsidR="008477BE" w:rsidRPr="006C2940">
        <w:rPr>
          <w:sz w:val="22"/>
          <w:szCs w:val="22"/>
        </w:rPr>
        <w:t xml:space="preserve"> </w:t>
      </w:r>
      <w:r w:rsidRPr="006C2940">
        <w:rPr>
          <w:sz w:val="22"/>
          <w:szCs w:val="22"/>
        </w:rPr>
        <w:t xml:space="preserve">las </w:t>
      </w:r>
      <w:r w:rsidR="009E616A">
        <w:rPr>
          <w:sz w:val="22"/>
          <w:szCs w:val="22"/>
        </w:rPr>
        <w:t>reglas</w:t>
      </w:r>
      <w:r w:rsidR="009E616A" w:rsidRPr="006C2940">
        <w:rPr>
          <w:sz w:val="22"/>
          <w:szCs w:val="22"/>
        </w:rPr>
        <w:t xml:space="preserve"> </w:t>
      </w:r>
      <w:r w:rsidRPr="006C2940">
        <w:rPr>
          <w:sz w:val="22"/>
          <w:szCs w:val="22"/>
        </w:rPr>
        <w:t>aplicables a cada una</w:t>
      </w:r>
      <w:r w:rsidR="00021FE9">
        <w:rPr>
          <w:sz w:val="22"/>
          <w:szCs w:val="22"/>
        </w:rPr>
        <w:t xml:space="preserve"> de estas dos actividades de la cadena de suministro</w:t>
      </w:r>
      <w:r w:rsidRPr="006C2940">
        <w:rPr>
          <w:sz w:val="22"/>
          <w:szCs w:val="22"/>
        </w:rPr>
        <w:t xml:space="preserve">, tomando como referencia las disposiciones hasta </w:t>
      </w:r>
      <w:r w:rsidR="00415DA8" w:rsidRPr="006C2940">
        <w:rPr>
          <w:sz w:val="22"/>
          <w:szCs w:val="22"/>
        </w:rPr>
        <w:t>ese momento vigentes</w:t>
      </w:r>
      <w:r w:rsidRPr="006C2940">
        <w:rPr>
          <w:sz w:val="22"/>
          <w:szCs w:val="22"/>
        </w:rPr>
        <w:t xml:space="preserve"> de la Resolución CREG 114 de 2017</w:t>
      </w:r>
      <w:r w:rsidR="00415DA8" w:rsidRPr="006C2940">
        <w:rPr>
          <w:sz w:val="22"/>
          <w:szCs w:val="22"/>
        </w:rPr>
        <w:t xml:space="preserve">. </w:t>
      </w:r>
      <w:r w:rsidR="00DC1A30" w:rsidRPr="006C2940">
        <w:rPr>
          <w:sz w:val="22"/>
          <w:szCs w:val="22"/>
        </w:rPr>
        <w:t xml:space="preserve">Fue así como en la Resolución CREG 185 de 2020, </w:t>
      </w:r>
      <w:r w:rsidR="00945271">
        <w:rPr>
          <w:sz w:val="22"/>
          <w:szCs w:val="22"/>
        </w:rPr>
        <w:t xml:space="preserve">modificada por la Resolución CREG 126 de 2021, </w:t>
      </w:r>
      <w:r w:rsidR="001F2CBB" w:rsidRPr="006C2940">
        <w:rPr>
          <w:sz w:val="22"/>
          <w:szCs w:val="22"/>
        </w:rPr>
        <w:t xml:space="preserve">se incluyeron nuevos mecanismos de comercialización de la capacidad de transporte, que </w:t>
      </w:r>
      <w:r w:rsidR="00930854" w:rsidRPr="006C2940">
        <w:rPr>
          <w:sz w:val="22"/>
          <w:szCs w:val="22"/>
        </w:rPr>
        <w:t xml:space="preserve">hacen necesario realizar ajustes a la comercialización del suministro con el fin de que los </w:t>
      </w:r>
      <w:r w:rsidR="008B24C1">
        <w:rPr>
          <w:sz w:val="22"/>
          <w:szCs w:val="22"/>
        </w:rPr>
        <w:t xml:space="preserve">participantes del </w:t>
      </w:r>
      <w:proofErr w:type="gramStart"/>
      <w:r w:rsidR="001811FC">
        <w:rPr>
          <w:sz w:val="22"/>
          <w:szCs w:val="22"/>
        </w:rPr>
        <w:t>M</w:t>
      </w:r>
      <w:r w:rsidR="008B24C1">
        <w:rPr>
          <w:sz w:val="22"/>
          <w:szCs w:val="22"/>
        </w:rPr>
        <w:t>ercado</w:t>
      </w:r>
      <w:r w:rsidR="00930854" w:rsidRPr="006C2940">
        <w:rPr>
          <w:sz w:val="22"/>
          <w:szCs w:val="22"/>
        </w:rPr>
        <w:t>,</w:t>
      </w:r>
      <w:proofErr w:type="gramEnd"/>
      <w:r w:rsidR="00930854" w:rsidRPr="006C2940">
        <w:rPr>
          <w:sz w:val="22"/>
          <w:szCs w:val="22"/>
        </w:rPr>
        <w:t xml:space="preserve"> logren un acople más efectivo entre </w:t>
      </w:r>
      <w:r w:rsidR="004C5150" w:rsidRPr="006C2940">
        <w:rPr>
          <w:sz w:val="22"/>
          <w:szCs w:val="22"/>
        </w:rPr>
        <w:t>la contratación d</w:t>
      </w:r>
      <w:r w:rsidR="00930854" w:rsidRPr="006C2940">
        <w:rPr>
          <w:sz w:val="22"/>
          <w:szCs w:val="22"/>
        </w:rPr>
        <w:t xml:space="preserve">el suministro y </w:t>
      </w:r>
      <w:r w:rsidR="003B4C75">
        <w:rPr>
          <w:sz w:val="22"/>
          <w:szCs w:val="22"/>
        </w:rPr>
        <w:t xml:space="preserve">la contratación </w:t>
      </w:r>
      <w:r w:rsidR="004C5150" w:rsidRPr="006C2940">
        <w:rPr>
          <w:sz w:val="22"/>
          <w:szCs w:val="22"/>
        </w:rPr>
        <w:t>d</w:t>
      </w:r>
      <w:r w:rsidR="00930854" w:rsidRPr="006C2940">
        <w:rPr>
          <w:sz w:val="22"/>
          <w:szCs w:val="22"/>
        </w:rPr>
        <w:t xml:space="preserve">el transporte </w:t>
      </w:r>
      <w:r w:rsidR="004C5150" w:rsidRPr="006C2940">
        <w:rPr>
          <w:sz w:val="22"/>
          <w:szCs w:val="22"/>
        </w:rPr>
        <w:t>del gas natural</w:t>
      </w:r>
      <w:r w:rsidR="003B4C75">
        <w:rPr>
          <w:sz w:val="22"/>
          <w:szCs w:val="22"/>
        </w:rPr>
        <w:t xml:space="preserve"> que ya cuenta con nuevas reglas de comercialización</w:t>
      </w:r>
      <w:r w:rsidR="004C5150" w:rsidRPr="006C2940">
        <w:rPr>
          <w:sz w:val="22"/>
          <w:szCs w:val="22"/>
        </w:rPr>
        <w:t>.</w:t>
      </w:r>
      <w:r w:rsidR="00615ABF" w:rsidRPr="006C2940">
        <w:rPr>
          <w:sz w:val="22"/>
          <w:szCs w:val="22"/>
        </w:rPr>
        <w:t xml:space="preserve"> </w:t>
      </w:r>
    </w:p>
    <w:p w14:paraId="1B056414" w14:textId="77777777" w:rsidR="003B4C75" w:rsidRDefault="003B4C75" w:rsidP="009E616A">
      <w:pPr>
        <w:rPr>
          <w:sz w:val="22"/>
          <w:szCs w:val="22"/>
        </w:rPr>
      </w:pPr>
    </w:p>
    <w:p w14:paraId="295134C7" w14:textId="47BAFC50" w:rsidR="00F560E2" w:rsidRDefault="00F560E2" w:rsidP="009E616A">
      <w:pPr>
        <w:rPr>
          <w:sz w:val="22"/>
          <w:szCs w:val="22"/>
        </w:rPr>
      </w:pPr>
      <w:r>
        <w:rPr>
          <w:sz w:val="22"/>
          <w:szCs w:val="22"/>
        </w:rPr>
        <w:t xml:space="preserve">Por ello </w:t>
      </w:r>
      <w:r w:rsidR="0044744D">
        <w:rPr>
          <w:sz w:val="22"/>
          <w:szCs w:val="22"/>
        </w:rPr>
        <w:t>surge</w:t>
      </w:r>
      <w:r w:rsidR="003B4C75">
        <w:rPr>
          <w:sz w:val="22"/>
          <w:szCs w:val="22"/>
        </w:rPr>
        <w:t xml:space="preserve"> la problemática de </w:t>
      </w:r>
      <w:r>
        <w:rPr>
          <w:sz w:val="22"/>
          <w:szCs w:val="22"/>
        </w:rPr>
        <w:t xml:space="preserve">ajustar no solo los </w:t>
      </w:r>
      <w:r w:rsidR="00B215C1">
        <w:rPr>
          <w:sz w:val="22"/>
          <w:szCs w:val="22"/>
        </w:rPr>
        <w:t>plazo</w:t>
      </w:r>
      <w:r>
        <w:rPr>
          <w:sz w:val="22"/>
          <w:szCs w:val="22"/>
        </w:rPr>
        <w:t>s contractuales de sum</w:t>
      </w:r>
      <w:r w:rsidR="00F64121">
        <w:rPr>
          <w:sz w:val="22"/>
          <w:szCs w:val="22"/>
        </w:rPr>
        <w:t>i</w:t>
      </w:r>
      <w:r>
        <w:rPr>
          <w:sz w:val="22"/>
          <w:szCs w:val="22"/>
        </w:rPr>
        <w:t xml:space="preserve">nistro </w:t>
      </w:r>
      <w:r w:rsidR="00B215C1">
        <w:rPr>
          <w:sz w:val="22"/>
          <w:szCs w:val="22"/>
        </w:rPr>
        <w:t>con</w:t>
      </w:r>
      <w:r>
        <w:rPr>
          <w:sz w:val="22"/>
          <w:szCs w:val="22"/>
        </w:rPr>
        <w:t xml:space="preserve"> los </w:t>
      </w:r>
      <w:r w:rsidR="00B215C1">
        <w:rPr>
          <w:sz w:val="22"/>
          <w:szCs w:val="22"/>
        </w:rPr>
        <w:t xml:space="preserve">nuevos plazos contractuales </w:t>
      </w:r>
      <w:r>
        <w:rPr>
          <w:sz w:val="22"/>
          <w:szCs w:val="22"/>
        </w:rPr>
        <w:t>de transporte</w:t>
      </w:r>
      <w:r w:rsidR="006E3710">
        <w:rPr>
          <w:sz w:val="22"/>
          <w:szCs w:val="22"/>
        </w:rPr>
        <w:t>, sino</w:t>
      </w:r>
      <w:r w:rsidR="003B4C75">
        <w:rPr>
          <w:sz w:val="22"/>
          <w:szCs w:val="22"/>
        </w:rPr>
        <w:t xml:space="preserve"> </w:t>
      </w:r>
      <w:r w:rsidR="00B215C1">
        <w:rPr>
          <w:sz w:val="22"/>
          <w:szCs w:val="22"/>
        </w:rPr>
        <w:t>la de establecer un mecanismo que permita a</w:t>
      </w:r>
      <w:r w:rsidR="006E3710">
        <w:rPr>
          <w:sz w:val="22"/>
          <w:szCs w:val="22"/>
        </w:rPr>
        <w:t xml:space="preserve"> los agentes compradores del mercado primario y </w:t>
      </w:r>
      <w:r w:rsidR="00B215C1">
        <w:rPr>
          <w:sz w:val="22"/>
          <w:szCs w:val="22"/>
        </w:rPr>
        <w:t>que representan</w:t>
      </w:r>
      <w:r w:rsidR="003B4C75">
        <w:rPr>
          <w:sz w:val="22"/>
          <w:szCs w:val="22"/>
        </w:rPr>
        <w:t xml:space="preserve"> la Demanda Esencial, </w:t>
      </w:r>
      <w:r w:rsidR="00B215C1">
        <w:rPr>
          <w:sz w:val="22"/>
          <w:szCs w:val="22"/>
        </w:rPr>
        <w:t>negociar</w:t>
      </w:r>
      <w:r w:rsidR="006E3710">
        <w:rPr>
          <w:sz w:val="22"/>
          <w:szCs w:val="22"/>
        </w:rPr>
        <w:t xml:space="preserve"> </w:t>
      </w:r>
      <w:r w:rsidR="00B215C1">
        <w:rPr>
          <w:sz w:val="22"/>
          <w:szCs w:val="22"/>
        </w:rPr>
        <w:t>simultáneamente ambas</w:t>
      </w:r>
      <w:r w:rsidR="006E3710">
        <w:rPr>
          <w:sz w:val="22"/>
          <w:szCs w:val="22"/>
        </w:rPr>
        <w:t xml:space="preserve"> contrataciones </w:t>
      </w:r>
      <w:r w:rsidR="00B215C1">
        <w:rPr>
          <w:sz w:val="22"/>
          <w:szCs w:val="22"/>
        </w:rPr>
        <w:t xml:space="preserve">(de suministro y de transporte) </w:t>
      </w:r>
      <w:r w:rsidR="006E3710">
        <w:rPr>
          <w:sz w:val="22"/>
          <w:szCs w:val="22"/>
        </w:rPr>
        <w:t>en las cantidades que requier</w:t>
      </w:r>
      <w:r w:rsidR="00A00C8C">
        <w:rPr>
          <w:sz w:val="22"/>
          <w:szCs w:val="22"/>
        </w:rPr>
        <w:t>a</w:t>
      </w:r>
      <w:r w:rsidR="006E3710">
        <w:rPr>
          <w:sz w:val="22"/>
          <w:szCs w:val="22"/>
        </w:rPr>
        <w:t>n</w:t>
      </w:r>
      <w:r w:rsidR="00FF1DF5">
        <w:rPr>
          <w:sz w:val="22"/>
          <w:szCs w:val="22"/>
        </w:rPr>
        <w:t xml:space="preserve"> con Respaldo </w:t>
      </w:r>
      <w:r w:rsidR="003B4C75">
        <w:rPr>
          <w:sz w:val="22"/>
          <w:szCs w:val="22"/>
        </w:rPr>
        <w:t>F</w:t>
      </w:r>
      <w:r w:rsidR="00FF1DF5">
        <w:rPr>
          <w:sz w:val="22"/>
          <w:szCs w:val="22"/>
        </w:rPr>
        <w:t>ísico</w:t>
      </w:r>
      <w:r w:rsidR="001811FC">
        <w:rPr>
          <w:sz w:val="22"/>
          <w:szCs w:val="22"/>
        </w:rPr>
        <w:t>,</w:t>
      </w:r>
      <w:r w:rsidR="00B215C1">
        <w:rPr>
          <w:sz w:val="22"/>
          <w:szCs w:val="22"/>
        </w:rPr>
        <w:t xml:space="preserve"> lo más ajustadas a </w:t>
      </w:r>
      <w:r w:rsidR="0064713C">
        <w:rPr>
          <w:sz w:val="22"/>
          <w:szCs w:val="22"/>
        </w:rPr>
        <w:t>las necesidades de los mercados de comercialización que atiendan</w:t>
      </w:r>
      <w:r w:rsidR="00BA4C4E">
        <w:rPr>
          <w:sz w:val="22"/>
          <w:szCs w:val="22"/>
        </w:rPr>
        <w:t>.</w:t>
      </w:r>
    </w:p>
    <w:p w14:paraId="2334D43B" w14:textId="77777777" w:rsidR="00C230D2" w:rsidRDefault="00C230D2" w:rsidP="009E616A">
      <w:pPr>
        <w:rPr>
          <w:sz w:val="22"/>
          <w:szCs w:val="22"/>
        </w:rPr>
      </w:pPr>
    </w:p>
    <w:p w14:paraId="40A1C0E3" w14:textId="751F9673" w:rsidR="00BA4C4E" w:rsidRDefault="00BA4C4E" w:rsidP="009E616A">
      <w:pPr>
        <w:rPr>
          <w:sz w:val="22"/>
          <w:szCs w:val="22"/>
        </w:rPr>
      </w:pPr>
    </w:p>
    <w:p w14:paraId="20C02349" w14:textId="7AE8583F" w:rsidR="00C230D2" w:rsidRPr="003B4C75" w:rsidRDefault="008477BE" w:rsidP="007651EA">
      <w:pPr>
        <w:pStyle w:val="Ttulo3"/>
      </w:pPr>
      <w:bookmarkStart w:id="78" w:name="_Ref131512116"/>
      <w:bookmarkStart w:id="79" w:name="_Ref132004811"/>
      <w:bookmarkStart w:id="80" w:name="_Ref132005039"/>
      <w:bookmarkStart w:id="81" w:name="_Ref132005432"/>
      <w:bookmarkStart w:id="82" w:name="_Toc140506193"/>
      <w:r>
        <w:t>Comercialización de campos en pruebas extensas o sobre las cuales no se haya declarado su comercialidad</w:t>
      </w:r>
      <w:bookmarkEnd w:id="78"/>
      <w:bookmarkEnd w:id="79"/>
      <w:bookmarkEnd w:id="80"/>
      <w:bookmarkEnd w:id="81"/>
      <w:bookmarkEnd w:id="82"/>
    </w:p>
    <w:p w14:paraId="57DBA7C5" w14:textId="7CBE3B3D" w:rsidR="00C230D2" w:rsidRDefault="008477BE" w:rsidP="009E616A">
      <w:pPr>
        <w:rPr>
          <w:sz w:val="22"/>
          <w:szCs w:val="22"/>
        </w:rPr>
      </w:pPr>
      <w:r>
        <w:rPr>
          <w:sz w:val="22"/>
          <w:szCs w:val="22"/>
        </w:rPr>
        <w:t xml:space="preserve">Las reglas para la contratación de los volúmenes de gas que eventualmente podrían provenir del desarrollo de la explotación de campos </w:t>
      </w:r>
      <w:r w:rsidR="005D071F">
        <w:rPr>
          <w:sz w:val="22"/>
          <w:szCs w:val="22"/>
        </w:rPr>
        <w:t xml:space="preserve">que se encuentran </w:t>
      </w:r>
      <w:r>
        <w:rPr>
          <w:sz w:val="22"/>
          <w:szCs w:val="22"/>
        </w:rPr>
        <w:t>en exploración</w:t>
      </w:r>
      <w:r w:rsidR="005D071F">
        <w:rPr>
          <w:sz w:val="22"/>
          <w:szCs w:val="22"/>
        </w:rPr>
        <w:t xml:space="preserve"> o en evaluación</w:t>
      </w:r>
      <w:r>
        <w:rPr>
          <w:sz w:val="22"/>
          <w:szCs w:val="22"/>
        </w:rPr>
        <w:t xml:space="preserve">, requieren un desarrollo particular ante las </w:t>
      </w:r>
      <w:r w:rsidR="005D071F">
        <w:rPr>
          <w:sz w:val="22"/>
          <w:szCs w:val="22"/>
        </w:rPr>
        <w:t>condiciones</w:t>
      </w:r>
      <w:r>
        <w:rPr>
          <w:sz w:val="22"/>
          <w:szCs w:val="22"/>
        </w:rPr>
        <w:t xml:space="preserve"> que la política energética ha trazado al respecto de los contratos firmes o que garantizan firmeza. En este sentido se </w:t>
      </w:r>
      <w:r w:rsidR="005D071F">
        <w:rPr>
          <w:sz w:val="22"/>
          <w:szCs w:val="22"/>
        </w:rPr>
        <w:t>debe considerar</w:t>
      </w:r>
      <w:r>
        <w:rPr>
          <w:sz w:val="22"/>
          <w:szCs w:val="22"/>
        </w:rPr>
        <w:t xml:space="preserve"> que</w:t>
      </w:r>
      <w:r w:rsidR="005D071F">
        <w:rPr>
          <w:sz w:val="22"/>
          <w:szCs w:val="22"/>
        </w:rPr>
        <w:t>, de acuerdo con las definiciones establecidas en el Decreto 1073 de 2015</w:t>
      </w:r>
      <w:r>
        <w:rPr>
          <w:sz w:val="22"/>
          <w:szCs w:val="22"/>
        </w:rPr>
        <w:t>:</w:t>
      </w:r>
    </w:p>
    <w:p w14:paraId="206EEDF2" w14:textId="5AAB2D3C" w:rsidR="008477BE" w:rsidRDefault="008477BE" w:rsidP="009E616A">
      <w:pPr>
        <w:rPr>
          <w:sz w:val="22"/>
          <w:szCs w:val="22"/>
        </w:rPr>
      </w:pPr>
    </w:p>
    <w:p w14:paraId="73F34C35" w14:textId="185808C8" w:rsidR="008477BE" w:rsidRDefault="008477BE">
      <w:pPr>
        <w:pStyle w:val="Prrafodelista"/>
        <w:numPr>
          <w:ilvl w:val="0"/>
          <w:numId w:val="15"/>
        </w:numPr>
        <w:rPr>
          <w:sz w:val="22"/>
          <w:szCs w:val="22"/>
        </w:rPr>
      </w:pPr>
      <w:r>
        <w:rPr>
          <w:sz w:val="22"/>
          <w:szCs w:val="22"/>
        </w:rPr>
        <w:t>Los contratos firmes o que garantizan firmeza, requieren contar con Respaldo Físico</w:t>
      </w:r>
      <w:r w:rsidR="00B356AE">
        <w:rPr>
          <w:sz w:val="22"/>
          <w:szCs w:val="22"/>
        </w:rPr>
        <w:t>.</w:t>
      </w:r>
    </w:p>
    <w:p w14:paraId="23A865B0" w14:textId="62E4253A" w:rsidR="005D071F" w:rsidRDefault="005D071F">
      <w:pPr>
        <w:pStyle w:val="Prrafodelista"/>
        <w:numPr>
          <w:ilvl w:val="0"/>
          <w:numId w:val="15"/>
        </w:numPr>
        <w:rPr>
          <w:sz w:val="22"/>
          <w:szCs w:val="22"/>
        </w:rPr>
      </w:pPr>
      <w:r>
        <w:rPr>
          <w:sz w:val="22"/>
          <w:szCs w:val="22"/>
        </w:rPr>
        <w:t xml:space="preserve">El Respaldo Físico en el caso de un productor de gas </w:t>
      </w:r>
      <w:r w:rsidR="00B356AE">
        <w:rPr>
          <w:sz w:val="22"/>
          <w:szCs w:val="22"/>
        </w:rPr>
        <w:t>es la garantía de que cuenta con Reservas de Gas Natural.</w:t>
      </w:r>
    </w:p>
    <w:p w14:paraId="5AC5A341" w14:textId="547A197B" w:rsidR="00B356AE" w:rsidRDefault="00B356AE">
      <w:pPr>
        <w:pStyle w:val="Prrafodelista"/>
        <w:numPr>
          <w:ilvl w:val="0"/>
          <w:numId w:val="15"/>
        </w:numPr>
        <w:rPr>
          <w:sz w:val="22"/>
          <w:szCs w:val="22"/>
        </w:rPr>
      </w:pPr>
      <w:r>
        <w:rPr>
          <w:sz w:val="22"/>
          <w:szCs w:val="22"/>
        </w:rPr>
        <w:t>Las Reservas de Gas Natural son las reservas probadas y probables de gas certificadas a la ANH.</w:t>
      </w:r>
    </w:p>
    <w:p w14:paraId="1C221C07" w14:textId="23EC0E4F" w:rsidR="008477BE" w:rsidRDefault="008477BE" w:rsidP="00B356AE">
      <w:pPr>
        <w:rPr>
          <w:sz w:val="22"/>
          <w:szCs w:val="22"/>
        </w:rPr>
      </w:pPr>
    </w:p>
    <w:p w14:paraId="60367D09" w14:textId="3E4CC313" w:rsidR="008477BE" w:rsidRDefault="00B356AE" w:rsidP="009E616A">
      <w:pPr>
        <w:rPr>
          <w:sz w:val="22"/>
          <w:szCs w:val="22"/>
        </w:rPr>
      </w:pPr>
      <w:r>
        <w:rPr>
          <w:sz w:val="22"/>
          <w:szCs w:val="22"/>
        </w:rPr>
        <w:t xml:space="preserve">Dichas condiciones se entiende que no son accidentales </w:t>
      </w:r>
      <w:r w:rsidR="00236C31">
        <w:rPr>
          <w:sz w:val="22"/>
          <w:szCs w:val="22"/>
        </w:rPr>
        <w:t xml:space="preserve">ni establecidas caprichosamente, </w:t>
      </w:r>
      <w:r>
        <w:rPr>
          <w:sz w:val="22"/>
          <w:szCs w:val="22"/>
        </w:rPr>
        <w:t xml:space="preserve">sino </w:t>
      </w:r>
      <w:r w:rsidR="00236C31">
        <w:rPr>
          <w:sz w:val="22"/>
          <w:szCs w:val="22"/>
        </w:rPr>
        <w:t xml:space="preserve">que están </w:t>
      </w:r>
      <w:r>
        <w:rPr>
          <w:sz w:val="22"/>
          <w:szCs w:val="22"/>
        </w:rPr>
        <w:t xml:space="preserve">basadas en que un contrato firme debe contar con un soporte de suministro realizado y evidenciado (reservas 2P) de manera neutral y transparente al momento de la firma del contrato de suministro, </w:t>
      </w:r>
      <w:r w:rsidR="00236C31">
        <w:rPr>
          <w:sz w:val="22"/>
          <w:szCs w:val="22"/>
        </w:rPr>
        <w:t>que se complementa con</w:t>
      </w:r>
      <w:r>
        <w:rPr>
          <w:sz w:val="22"/>
          <w:szCs w:val="22"/>
        </w:rPr>
        <w:t xml:space="preserve"> la declaración de producción </w:t>
      </w:r>
      <w:r w:rsidR="00236C31">
        <w:rPr>
          <w:sz w:val="22"/>
          <w:szCs w:val="22"/>
        </w:rPr>
        <w:t>que realiza el productor al Ministerio de Minas y Energía, todo lo cual</w:t>
      </w:r>
      <w:r>
        <w:rPr>
          <w:sz w:val="22"/>
          <w:szCs w:val="22"/>
        </w:rPr>
        <w:t xml:space="preserve"> permite comprobar que no solamente se cuentan con las reservas</w:t>
      </w:r>
      <w:r w:rsidR="00236C31">
        <w:rPr>
          <w:sz w:val="22"/>
          <w:szCs w:val="22"/>
        </w:rPr>
        <w:t xml:space="preserve"> de gas</w:t>
      </w:r>
      <w:r>
        <w:rPr>
          <w:sz w:val="22"/>
          <w:szCs w:val="22"/>
        </w:rPr>
        <w:t xml:space="preserve">, sino que </w:t>
      </w:r>
      <w:r w:rsidR="00236C31">
        <w:rPr>
          <w:sz w:val="22"/>
          <w:szCs w:val="22"/>
        </w:rPr>
        <w:t>s</w:t>
      </w:r>
      <w:r>
        <w:rPr>
          <w:sz w:val="22"/>
          <w:szCs w:val="22"/>
        </w:rPr>
        <w:t>e cuenta con la disponibilidad de la infraestructura necesaria para extraer el gas, procesarlo y llevarlo a un punto de entrega al comprador</w:t>
      </w:r>
      <w:r w:rsidR="001811FC">
        <w:rPr>
          <w:sz w:val="22"/>
          <w:szCs w:val="22"/>
        </w:rPr>
        <w:t xml:space="preserve">, </w:t>
      </w:r>
      <w:r w:rsidR="00236C31">
        <w:rPr>
          <w:sz w:val="22"/>
          <w:szCs w:val="22"/>
        </w:rPr>
        <w:t>de manera confiable y continua.</w:t>
      </w:r>
    </w:p>
    <w:p w14:paraId="282D84C0" w14:textId="59F2071C" w:rsidR="00236C31" w:rsidRDefault="00236C31" w:rsidP="009E616A">
      <w:pPr>
        <w:rPr>
          <w:sz w:val="22"/>
          <w:szCs w:val="22"/>
        </w:rPr>
      </w:pPr>
    </w:p>
    <w:p w14:paraId="3507B2E3" w14:textId="22D219A7" w:rsidR="00236C31" w:rsidRDefault="00236C31" w:rsidP="009E616A">
      <w:pPr>
        <w:rPr>
          <w:sz w:val="22"/>
          <w:szCs w:val="22"/>
        </w:rPr>
      </w:pPr>
      <w:r>
        <w:rPr>
          <w:sz w:val="22"/>
          <w:szCs w:val="22"/>
        </w:rPr>
        <w:t>La declaración de reservas se da cuando se realiza la Declaración de Comercialidad del productor a la ANH. Por tanto, antes de la declaración de comercialidad no hay reservas declaradas por lo general</w:t>
      </w:r>
      <w:r w:rsidR="007066B3">
        <w:rPr>
          <w:sz w:val="22"/>
          <w:szCs w:val="22"/>
        </w:rPr>
        <w:t>, a menos que la ANH establezca condiciones especiales para que ello pudiese ocurrir, es decir, que haya reconocimiento de reservas aún antes de la declaración de comercialidad de un campo en exploración</w:t>
      </w:r>
      <w:r>
        <w:rPr>
          <w:sz w:val="22"/>
          <w:szCs w:val="22"/>
        </w:rPr>
        <w:t xml:space="preserve">. La ANH </w:t>
      </w:r>
      <w:r w:rsidR="007066B3">
        <w:rPr>
          <w:sz w:val="22"/>
          <w:szCs w:val="22"/>
        </w:rPr>
        <w:t xml:space="preserve">expidió la Resolución 77 de 2019, y estableció unas condiciones especiales para áreas en evaluación, en el Parágrafo 2 del Artículo 2. </w:t>
      </w:r>
      <w:r>
        <w:rPr>
          <w:sz w:val="22"/>
          <w:szCs w:val="22"/>
        </w:rPr>
        <w:t xml:space="preserve"> </w:t>
      </w:r>
    </w:p>
    <w:p w14:paraId="712EE5B2" w14:textId="2F2EC930" w:rsidR="000D3AF6" w:rsidRDefault="000D3AF6" w:rsidP="009E616A">
      <w:pPr>
        <w:rPr>
          <w:sz w:val="22"/>
          <w:szCs w:val="22"/>
        </w:rPr>
      </w:pPr>
    </w:p>
    <w:p w14:paraId="01580423" w14:textId="21E48027" w:rsidR="000D3AF6" w:rsidRDefault="000D3AF6" w:rsidP="009E616A">
      <w:pPr>
        <w:rPr>
          <w:sz w:val="22"/>
          <w:szCs w:val="22"/>
        </w:rPr>
      </w:pPr>
      <w:r>
        <w:rPr>
          <w:sz w:val="22"/>
          <w:szCs w:val="22"/>
        </w:rPr>
        <w:t>Asimismo, en el Decreto 1073 de 2015 se incluyó en el Artículo 2.2.2.2.21 “</w:t>
      </w:r>
      <w:r w:rsidRPr="000D3AF6">
        <w:rPr>
          <w:i/>
          <w:iCs/>
          <w:sz w:val="22"/>
          <w:szCs w:val="22"/>
        </w:rPr>
        <w:t>Declaración de producción</w:t>
      </w:r>
      <w:r>
        <w:rPr>
          <w:sz w:val="22"/>
          <w:szCs w:val="22"/>
        </w:rPr>
        <w:t>” el siguiente texto del parágrafo 2:</w:t>
      </w:r>
    </w:p>
    <w:p w14:paraId="21716202" w14:textId="77777777" w:rsidR="000D3AF6" w:rsidRDefault="000D3AF6" w:rsidP="009E616A">
      <w:pPr>
        <w:rPr>
          <w:sz w:val="22"/>
          <w:szCs w:val="22"/>
        </w:rPr>
      </w:pPr>
    </w:p>
    <w:p w14:paraId="30E90317" w14:textId="242326C8" w:rsidR="000D3AF6" w:rsidRDefault="000D3AF6" w:rsidP="000D3AF6">
      <w:pPr>
        <w:ind w:left="360"/>
        <w:rPr>
          <w:sz w:val="22"/>
          <w:szCs w:val="22"/>
        </w:rPr>
      </w:pPr>
      <w:r>
        <w:rPr>
          <w:sz w:val="22"/>
          <w:szCs w:val="22"/>
        </w:rPr>
        <w:t>“</w:t>
      </w:r>
      <w:r w:rsidRPr="000D3AF6">
        <w:rPr>
          <w:i/>
          <w:iCs/>
          <w:sz w:val="22"/>
          <w:szCs w:val="22"/>
        </w:rPr>
        <w:t>PARÁGRAFO 2. La declaración de producción respecto de los campos que se encuentren en pruebas extensas o sobre los cuales no se haya declarado su comercialidad versará respecto de la PTDV para el período sobre el cual se cuente con información disponible</w:t>
      </w:r>
      <w:r w:rsidRPr="000D3AF6">
        <w:rPr>
          <w:sz w:val="22"/>
          <w:szCs w:val="22"/>
        </w:rPr>
        <w:t>.</w:t>
      </w:r>
      <w:r>
        <w:rPr>
          <w:sz w:val="22"/>
          <w:szCs w:val="22"/>
        </w:rPr>
        <w:t>”</w:t>
      </w:r>
    </w:p>
    <w:p w14:paraId="73937C3A" w14:textId="7C11B866" w:rsidR="000D3AF6" w:rsidRDefault="000D3AF6" w:rsidP="000D3AF6">
      <w:pPr>
        <w:ind w:left="360"/>
        <w:rPr>
          <w:sz w:val="22"/>
          <w:szCs w:val="22"/>
        </w:rPr>
      </w:pPr>
    </w:p>
    <w:p w14:paraId="4EDC20A8" w14:textId="49F1219E" w:rsidR="000D3AF6" w:rsidRDefault="000D3AF6" w:rsidP="000D3AF6">
      <w:pPr>
        <w:rPr>
          <w:sz w:val="22"/>
          <w:szCs w:val="22"/>
        </w:rPr>
      </w:pPr>
      <w:r>
        <w:rPr>
          <w:sz w:val="22"/>
          <w:szCs w:val="22"/>
        </w:rPr>
        <w:t>De lo anterior se entiende que los campos que se encuentran en pruebas extensas o sobre los cuales no se haya declarado comercialidad</w:t>
      </w:r>
      <w:r w:rsidR="00872FEB">
        <w:rPr>
          <w:sz w:val="22"/>
          <w:szCs w:val="22"/>
        </w:rPr>
        <w:t>,</w:t>
      </w:r>
      <w:r>
        <w:rPr>
          <w:sz w:val="22"/>
          <w:szCs w:val="22"/>
        </w:rPr>
        <w:t xml:space="preserve"> pueden declarar PTDV, aún a pesar de no contar con reservas de gas natural, para el período sobre el cual se cuente con información disponible. Y es entonces a partir de esta declaración de PTDV que se puede comercializar el suministro de gas del campo que se encuentra en las circunstancias establecidas</w:t>
      </w:r>
      <w:r w:rsidR="001811FC">
        <w:rPr>
          <w:sz w:val="22"/>
          <w:szCs w:val="22"/>
        </w:rPr>
        <w:t>, por lo menos para la atención del servicio público</w:t>
      </w:r>
      <w:r>
        <w:rPr>
          <w:sz w:val="22"/>
          <w:szCs w:val="22"/>
        </w:rPr>
        <w:t>.</w:t>
      </w:r>
    </w:p>
    <w:p w14:paraId="341CE68F" w14:textId="53C5DDCE" w:rsidR="000D3AF6" w:rsidRDefault="000D3AF6" w:rsidP="000D3AF6">
      <w:pPr>
        <w:rPr>
          <w:sz w:val="22"/>
          <w:szCs w:val="22"/>
        </w:rPr>
      </w:pPr>
    </w:p>
    <w:p w14:paraId="68DB0A37" w14:textId="747704A9" w:rsidR="000D3AF6" w:rsidRDefault="000D3AF6" w:rsidP="000D3AF6">
      <w:pPr>
        <w:rPr>
          <w:sz w:val="22"/>
          <w:szCs w:val="22"/>
        </w:rPr>
      </w:pPr>
      <w:r>
        <w:rPr>
          <w:sz w:val="22"/>
          <w:szCs w:val="22"/>
        </w:rPr>
        <w:t xml:space="preserve">Ahora bien, a pesar </w:t>
      </w:r>
      <w:r w:rsidR="00BE05F0">
        <w:rPr>
          <w:sz w:val="22"/>
          <w:szCs w:val="22"/>
        </w:rPr>
        <w:t xml:space="preserve">de </w:t>
      </w:r>
      <w:r>
        <w:rPr>
          <w:sz w:val="22"/>
          <w:szCs w:val="22"/>
        </w:rPr>
        <w:t xml:space="preserve">que sí se puede comercializar el gas de campos que se encuentran en pruebas extensas o </w:t>
      </w:r>
      <w:r w:rsidR="00BE05F0">
        <w:rPr>
          <w:sz w:val="22"/>
          <w:szCs w:val="22"/>
        </w:rPr>
        <w:t>q</w:t>
      </w:r>
      <w:r>
        <w:rPr>
          <w:sz w:val="22"/>
          <w:szCs w:val="22"/>
        </w:rPr>
        <w:t xml:space="preserve">ue no han declarado comercialidad, no se podría </w:t>
      </w:r>
      <w:r w:rsidR="001811FC">
        <w:rPr>
          <w:sz w:val="22"/>
          <w:szCs w:val="22"/>
        </w:rPr>
        <w:t xml:space="preserve">hacer </w:t>
      </w:r>
      <w:r>
        <w:rPr>
          <w:sz w:val="22"/>
          <w:szCs w:val="22"/>
        </w:rPr>
        <w:t>med</w:t>
      </w:r>
      <w:r w:rsidR="00BE05F0">
        <w:rPr>
          <w:sz w:val="22"/>
          <w:szCs w:val="22"/>
        </w:rPr>
        <w:t>i</w:t>
      </w:r>
      <w:r>
        <w:rPr>
          <w:sz w:val="22"/>
          <w:szCs w:val="22"/>
        </w:rPr>
        <w:t xml:space="preserve">ante contratos firmes o que garantizan firmeza, a menos </w:t>
      </w:r>
      <w:r w:rsidR="00BE05F0">
        <w:rPr>
          <w:sz w:val="22"/>
          <w:szCs w:val="22"/>
        </w:rPr>
        <w:t>q</w:t>
      </w:r>
      <w:r>
        <w:rPr>
          <w:sz w:val="22"/>
          <w:szCs w:val="22"/>
        </w:rPr>
        <w:t>ue la ANH les haya reconocido reservas</w:t>
      </w:r>
      <w:r w:rsidR="001811FC">
        <w:rPr>
          <w:sz w:val="22"/>
          <w:szCs w:val="22"/>
        </w:rPr>
        <w:t xml:space="preserve"> a las fuentes de suministro a acordar en el contrato</w:t>
      </w:r>
      <w:r>
        <w:rPr>
          <w:sz w:val="22"/>
          <w:szCs w:val="22"/>
        </w:rPr>
        <w:t>.</w:t>
      </w:r>
      <w:r w:rsidR="00BE05F0">
        <w:rPr>
          <w:sz w:val="22"/>
          <w:szCs w:val="22"/>
        </w:rPr>
        <w:t xml:space="preserve"> Y es en este punto donde al parecer hay una situación en que no hay un activador o punto de partida, pues por un lado, para suscribir contratos que garanticen firmeza se requiere contar con reservas 2P, declaración de PTDV al MME y </w:t>
      </w:r>
      <w:r w:rsidR="00872FEB">
        <w:rPr>
          <w:sz w:val="22"/>
          <w:szCs w:val="22"/>
        </w:rPr>
        <w:t xml:space="preserve">declaración de </w:t>
      </w:r>
      <w:r w:rsidR="00BE05F0">
        <w:rPr>
          <w:sz w:val="22"/>
          <w:szCs w:val="22"/>
        </w:rPr>
        <w:t xml:space="preserve">PTDVF al </w:t>
      </w:r>
      <w:r w:rsidR="005114C6">
        <w:rPr>
          <w:sz w:val="22"/>
          <w:szCs w:val="22"/>
        </w:rPr>
        <w:t>Gestor del Mercado</w:t>
      </w:r>
      <w:r w:rsidR="00BE05F0">
        <w:rPr>
          <w:sz w:val="22"/>
          <w:szCs w:val="22"/>
        </w:rPr>
        <w:t>, y por otro lado, para contar con reservas 2P y declaración de comercialidad se requiere tener algún nivel de contratos</w:t>
      </w:r>
      <w:r w:rsidR="00872FEB">
        <w:rPr>
          <w:sz w:val="22"/>
          <w:szCs w:val="22"/>
        </w:rPr>
        <w:t xml:space="preserve"> suscritos </w:t>
      </w:r>
      <w:r w:rsidR="00BE05F0">
        <w:rPr>
          <w:sz w:val="22"/>
          <w:szCs w:val="22"/>
        </w:rPr>
        <w:t xml:space="preserve">firmes o </w:t>
      </w:r>
      <w:r w:rsidR="0017298A">
        <w:rPr>
          <w:sz w:val="22"/>
          <w:szCs w:val="22"/>
        </w:rPr>
        <w:t>q</w:t>
      </w:r>
      <w:r w:rsidR="00BE05F0">
        <w:rPr>
          <w:sz w:val="22"/>
          <w:szCs w:val="22"/>
        </w:rPr>
        <w:t>ue garanti</w:t>
      </w:r>
      <w:r w:rsidR="0017298A">
        <w:rPr>
          <w:sz w:val="22"/>
          <w:szCs w:val="22"/>
        </w:rPr>
        <w:t>za</w:t>
      </w:r>
      <w:r w:rsidR="00BE05F0">
        <w:rPr>
          <w:sz w:val="22"/>
          <w:szCs w:val="22"/>
        </w:rPr>
        <w:t>n firmeza</w:t>
      </w:r>
      <w:r w:rsidR="00872FEB">
        <w:rPr>
          <w:sz w:val="22"/>
          <w:szCs w:val="22"/>
        </w:rPr>
        <w:t>, o contratos que de algún modo son firmes pero sujetos a condición de declaración de comercialidad</w:t>
      </w:r>
      <w:r w:rsidR="0017298A">
        <w:rPr>
          <w:sz w:val="22"/>
          <w:szCs w:val="22"/>
        </w:rPr>
        <w:t>, según han manifestado a la CREG algunos productores-comercializadores.</w:t>
      </w:r>
      <w:r>
        <w:rPr>
          <w:sz w:val="22"/>
          <w:szCs w:val="22"/>
        </w:rPr>
        <w:t xml:space="preserve"> </w:t>
      </w:r>
      <w:r w:rsidR="0017298A">
        <w:rPr>
          <w:sz w:val="22"/>
          <w:szCs w:val="22"/>
        </w:rPr>
        <w:t xml:space="preserve">En la presente propuesta se incluye una </w:t>
      </w:r>
      <w:r w:rsidR="00327E33">
        <w:rPr>
          <w:sz w:val="22"/>
          <w:szCs w:val="22"/>
        </w:rPr>
        <w:t xml:space="preserve">propuesta </w:t>
      </w:r>
      <w:r w:rsidR="00872FEB">
        <w:rPr>
          <w:sz w:val="22"/>
          <w:szCs w:val="22"/>
        </w:rPr>
        <w:t>buscando</w:t>
      </w:r>
      <w:r w:rsidR="00327E33">
        <w:rPr>
          <w:sz w:val="22"/>
          <w:szCs w:val="22"/>
        </w:rPr>
        <w:t xml:space="preserve"> </w:t>
      </w:r>
      <w:r w:rsidR="0017298A">
        <w:rPr>
          <w:sz w:val="22"/>
          <w:szCs w:val="22"/>
        </w:rPr>
        <w:t xml:space="preserve">solución </w:t>
      </w:r>
      <w:r w:rsidR="00872FEB">
        <w:rPr>
          <w:sz w:val="22"/>
          <w:szCs w:val="22"/>
        </w:rPr>
        <w:t xml:space="preserve">adecuada </w:t>
      </w:r>
      <w:r w:rsidR="0017298A">
        <w:rPr>
          <w:sz w:val="22"/>
          <w:szCs w:val="22"/>
        </w:rPr>
        <w:t>a dicha situación, si todo lo demás se mantiene invariable.</w:t>
      </w:r>
    </w:p>
    <w:p w14:paraId="7770F3F6" w14:textId="08FBC2B8" w:rsidR="008477BE" w:rsidRDefault="008477BE" w:rsidP="009E616A">
      <w:pPr>
        <w:rPr>
          <w:sz w:val="22"/>
          <w:szCs w:val="22"/>
        </w:rPr>
      </w:pPr>
    </w:p>
    <w:p w14:paraId="3D69C318" w14:textId="77777777" w:rsidR="003D377B" w:rsidRDefault="003D377B" w:rsidP="009E616A">
      <w:pPr>
        <w:rPr>
          <w:sz w:val="22"/>
          <w:szCs w:val="22"/>
        </w:rPr>
      </w:pPr>
    </w:p>
    <w:p w14:paraId="4F79A6AB" w14:textId="43DAD806" w:rsidR="003D377B" w:rsidRPr="003B4C75" w:rsidRDefault="003D377B" w:rsidP="007651EA">
      <w:pPr>
        <w:pStyle w:val="Ttulo3"/>
      </w:pPr>
      <w:bookmarkStart w:id="83" w:name="_Ref130286465"/>
      <w:bookmarkStart w:id="84" w:name="_Toc140506194"/>
      <w:r>
        <w:t xml:space="preserve">Definición de condiciones para considerar el Respaldo Físico </w:t>
      </w:r>
      <w:r w:rsidR="00AB4CC7">
        <w:t>de</w:t>
      </w:r>
      <w:r>
        <w:t xml:space="preserve"> gas </w:t>
      </w:r>
      <w:r w:rsidR="00AB4CC7">
        <w:t xml:space="preserve">natural </w:t>
      </w:r>
      <w:r>
        <w:t>que se obtiene en el exterior</w:t>
      </w:r>
      <w:bookmarkEnd w:id="83"/>
      <w:bookmarkEnd w:id="84"/>
    </w:p>
    <w:p w14:paraId="7FC31FF2" w14:textId="14FAC62D" w:rsidR="00F451C6" w:rsidRDefault="003D377B" w:rsidP="00AB4CC7">
      <w:pPr>
        <w:rPr>
          <w:sz w:val="22"/>
          <w:szCs w:val="22"/>
        </w:rPr>
      </w:pPr>
      <w:r>
        <w:rPr>
          <w:sz w:val="22"/>
          <w:szCs w:val="22"/>
        </w:rPr>
        <w:t xml:space="preserve">El Ministerio de Minas y Energía ha definido el Respaldo Físico como un elemento esencial que debe poseer un productor, un comercializador o un transportador para que </w:t>
      </w:r>
      <w:r w:rsidR="00AB4CC7">
        <w:rPr>
          <w:sz w:val="22"/>
          <w:szCs w:val="22"/>
        </w:rPr>
        <w:t>pueda</w:t>
      </w:r>
      <w:r w:rsidR="00AB4CC7" w:rsidRPr="00AB4CC7">
        <w:rPr>
          <w:sz w:val="22"/>
          <w:szCs w:val="22"/>
        </w:rPr>
        <w:t xml:space="preserve"> asumir y cumplir compromisos contractuales Firmes</w:t>
      </w:r>
      <w:r w:rsidR="00AB4CC7">
        <w:rPr>
          <w:sz w:val="22"/>
          <w:szCs w:val="22"/>
        </w:rPr>
        <w:t xml:space="preserve"> </w:t>
      </w:r>
      <w:r w:rsidR="00AB4CC7" w:rsidRPr="00AB4CC7">
        <w:rPr>
          <w:sz w:val="22"/>
          <w:szCs w:val="22"/>
        </w:rPr>
        <w:t>o que Garantizan Firmeza</w:t>
      </w:r>
      <w:r w:rsidR="003E3015">
        <w:rPr>
          <w:sz w:val="22"/>
          <w:szCs w:val="22"/>
        </w:rPr>
        <w:t>,</w:t>
      </w:r>
      <w:r w:rsidR="00AB4CC7" w:rsidRPr="00AB4CC7">
        <w:rPr>
          <w:sz w:val="22"/>
          <w:szCs w:val="22"/>
        </w:rPr>
        <w:t xml:space="preserve"> desde el momento en que se inicien las entregas </w:t>
      </w:r>
      <w:r w:rsidR="0015457D">
        <w:rPr>
          <w:sz w:val="22"/>
          <w:szCs w:val="22"/>
        </w:rPr>
        <w:t xml:space="preserve">de gas natural </w:t>
      </w:r>
      <w:r w:rsidR="00AB4CC7" w:rsidRPr="00AB4CC7">
        <w:rPr>
          <w:sz w:val="22"/>
          <w:szCs w:val="22"/>
        </w:rPr>
        <w:t xml:space="preserve">hasta el cese de </w:t>
      </w:r>
      <w:proofErr w:type="gramStart"/>
      <w:r w:rsidR="00AB4CC7" w:rsidRPr="00AB4CC7">
        <w:rPr>
          <w:sz w:val="22"/>
          <w:szCs w:val="22"/>
        </w:rPr>
        <w:t>las mismas</w:t>
      </w:r>
      <w:proofErr w:type="gramEnd"/>
      <w:r w:rsidR="00743690">
        <w:rPr>
          <w:sz w:val="22"/>
          <w:szCs w:val="22"/>
        </w:rPr>
        <w:t xml:space="preserve">. </w:t>
      </w:r>
      <w:r w:rsidR="00AB4CC7">
        <w:rPr>
          <w:sz w:val="22"/>
          <w:szCs w:val="22"/>
        </w:rPr>
        <w:t xml:space="preserve">En esta definición no se especifica el origen del gas, si es nacional o </w:t>
      </w:r>
      <w:r w:rsidR="003E3015">
        <w:rPr>
          <w:sz w:val="22"/>
          <w:szCs w:val="22"/>
        </w:rPr>
        <w:t xml:space="preserve">si </w:t>
      </w:r>
      <w:r w:rsidR="00AB4CC7">
        <w:rPr>
          <w:sz w:val="22"/>
          <w:szCs w:val="22"/>
        </w:rPr>
        <w:t xml:space="preserve">es obtenido en el exterior. En el caso del productor de gas nacional la forma de verificar que posee Reservas de Gas Natural </w:t>
      </w:r>
      <w:r w:rsidR="0015457D">
        <w:rPr>
          <w:sz w:val="22"/>
          <w:szCs w:val="22"/>
        </w:rPr>
        <w:t xml:space="preserve">y demás condiciones comerciales, </w:t>
      </w:r>
      <w:r w:rsidR="00AB4CC7">
        <w:rPr>
          <w:sz w:val="22"/>
          <w:szCs w:val="22"/>
        </w:rPr>
        <w:t>parte de un</w:t>
      </w:r>
      <w:r w:rsidR="00743690">
        <w:rPr>
          <w:sz w:val="22"/>
          <w:szCs w:val="22"/>
        </w:rPr>
        <w:t xml:space="preserve">a interacción </w:t>
      </w:r>
      <w:r w:rsidR="00AB4CC7">
        <w:rPr>
          <w:sz w:val="22"/>
          <w:szCs w:val="22"/>
        </w:rPr>
        <w:t>institucional en el que forman parte diferentes entidades del sector, como son la ANH, como entidad a la que los productores le certifican reservas</w:t>
      </w:r>
      <w:r w:rsidR="003E3015">
        <w:rPr>
          <w:sz w:val="22"/>
          <w:szCs w:val="22"/>
        </w:rPr>
        <w:t xml:space="preserve"> y con quien tiene suscritos contratos de exploración y explotación</w:t>
      </w:r>
      <w:r w:rsidR="00AB4CC7">
        <w:rPr>
          <w:sz w:val="22"/>
          <w:szCs w:val="22"/>
        </w:rPr>
        <w:t xml:space="preserve">, el Ministerio de Minas y Energía como entidad a la que los productores le declaran </w:t>
      </w:r>
      <w:r w:rsidR="0015457D">
        <w:rPr>
          <w:sz w:val="22"/>
          <w:szCs w:val="22"/>
        </w:rPr>
        <w:t xml:space="preserve">para cada campo de producción nacional </w:t>
      </w:r>
      <w:r w:rsidR="003E3015">
        <w:rPr>
          <w:sz w:val="22"/>
          <w:szCs w:val="22"/>
        </w:rPr>
        <w:t xml:space="preserve">entre otros aspectos </w:t>
      </w:r>
      <w:r w:rsidR="00AB4CC7">
        <w:rPr>
          <w:sz w:val="22"/>
          <w:szCs w:val="22"/>
        </w:rPr>
        <w:t>los potenciales de producción en promedio mensual diario y los potenciales de venta de gas</w:t>
      </w:r>
      <w:r w:rsidR="0015457D">
        <w:rPr>
          <w:sz w:val="22"/>
          <w:szCs w:val="22"/>
        </w:rPr>
        <w:t xml:space="preserve"> - PTDV</w:t>
      </w:r>
      <w:r w:rsidR="00AB4CC7">
        <w:rPr>
          <w:sz w:val="22"/>
          <w:szCs w:val="22"/>
        </w:rPr>
        <w:t xml:space="preserve">, y el </w:t>
      </w:r>
      <w:r w:rsidR="005114C6">
        <w:rPr>
          <w:sz w:val="22"/>
          <w:szCs w:val="22"/>
        </w:rPr>
        <w:t>Gestor del Mercado</w:t>
      </w:r>
      <w:r w:rsidR="00AB4CC7">
        <w:rPr>
          <w:sz w:val="22"/>
          <w:szCs w:val="22"/>
        </w:rPr>
        <w:t>, a quien los productores-comercializadores le declaran el potencial disponible de gas para la venta en firme – PTDVF</w:t>
      </w:r>
      <w:r w:rsidR="00743690">
        <w:rPr>
          <w:sz w:val="22"/>
          <w:szCs w:val="22"/>
        </w:rPr>
        <w:t xml:space="preserve"> y a quien posteriormente se le registran los contratos suscritos para el Mercado Primario</w:t>
      </w:r>
      <w:r w:rsidR="00AB4CC7">
        <w:rPr>
          <w:sz w:val="22"/>
          <w:szCs w:val="22"/>
        </w:rPr>
        <w:t>.</w:t>
      </w:r>
      <w:r w:rsidR="00F451C6">
        <w:rPr>
          <w:sz w:val="22"/>
          <w:szCs w:val="22"/>
        </w:rPr>
        <w:t xml:space="preserve"> El </w:t>
      </w:r>
      <w:r w:rsidR="005114C6">
        <w:rPr>
          <w:sz w:val="22"/>
          <w:szCs w:val="22"/>
        </w:rPr>
        <w:t>Gestor del Mercado</w:t>
      </w:r>
      <w:r w:rsidR="00F451C6">
        <w:rPr>
          <w:sz w:val="22"/>
          <w:szCs w:val="22"/>
        </w:rPr>
        <w:t xml:space="preserve"> puede entonces verificar que se cumplan condiciones exigidas para al registro de contratos </w:t>
      </w:r>
      <w:r w:rsidR="0015457D">
        <w:rPr>
          <w:sz w:val="22"/>
          <w:szCs w:val="22"/>
        </w:rPr>
        <w:t>firmes o que garantizan firmeza</w:t>
      </w:r>
      <w:r w:rsidR="003E3015">
        <w:rPr>
          <w:sz w:val="22"/>
          <w:szCs w:val="22"/>
        </w:rPr>
        <w:t xml:space="preserve"> del mercado primario</w:t>
      </w:r>
      <w:r w:rsidR="00F451C6">
        <w:rPr>
          <w:sz w:val="22"/>
          <w:szCs w:val="22"/>
        </w:rPr>
        <w:t>, y con base en ello, posteriormente p</w:t>
      </w:r>
      <w:r w:rsidR="0015457D">
        <w:rPr>
          <w:sz w:val="22"/>
          <w:szCs w:val="22"/>
        </w:rPr>
        <w:t>uede realizar</w:t>
      </w:r>
      <w:r w:rsidR="00F451C6">
        <w:rPr>
          <w:sz w:val="22"/>
          <w:szCs w:val="22"/>
        </w:rPr>
        <w:t xml:space="preserve"> la verificación del registro de contratos firmes o que garantizan firmeza del mercado secundario</w:t>
      </w:r>
      <w:r w:rsidR="0015457D">
        <w:rPr>
          <w:sz w:val="22"/>
          <w:szCs w:val="22"/>
        </w:rPr>
        <w:t>, que se derivan de los contratos del Mercado Primario</w:t>
      </w:r>
      <w:r w:rsidR="00F451C6">
        <w:rPr>
          <w:sz w:val="22"/>
          <w:szCs w:val="22"/>
        </w:rPr>
        <w:t>.</w:t>
      </w:r>
      <w:r w:rsidR="00AB4CC7">
        <w:rPr>
          <w:sz w:val="22"/>
          <w:szCs w:val="22"/>
        </w:rPr>
        <w:t xml:space="preserve"> </w:t>
      </w:r>
    </w:p>
    <w:p w14:paraId="4AAF8106" w14:textId="77777777" w:rsidR="00F451C6" w:rsidRDefault="00F451C6" w:rsidP="00AB4CC7">
      <w:pPr>
        <w:rPr>
          <w:sz w:val="22"/>
          <w:szCs w:val="22"/>
        </w:rPr>
      </w:pPr>
    </w:p>
    <w:p w14:paraId="4F3ABBD8" w14:textId="73916CB5" w:rsidR="00F451C6" w:rsidRDefault="00AB4CC7" w:rsidP="00AB4CC7">
      <w:pPr>
        <w:rPr>
          <w:sz w:val="22"/>
          <w:szCs w:val="22"/>
        </w:rPr>
      </w:pPr>
      <w:r>
        <w:rPr>
          <w:sz w:val="22"/>
          <w:szCs w:val="22"/>
        </w:rPr>
        <w:t xml:space="preserve">En este sentido, las entidades de vigilancia y control </w:t>
      </w:r>
      <w:r w:rsidR="003E3015">
        <w:rPr>
          <w:sz w:val="22"/>
          <w:szCs w:val="22"/>
        </w:rPr>
        <w:t xml:space="preserve">del sector </w:t>
      </w:r>
      <w:r w:rsidR="00764D24">
        <w:rPr>
          <w:sz w:val="22"/>
          <w:szCs w:val="22"/>
        </w:rPr>
        <w:t>pueden</w:t>
      </w:r>
      <w:r w:rsidR="00FB52F4">
        <w:rPr>
          <w:sz w:val="22"/>
          <w:szCs w:val="22"/>
        </w:rPr>
        <w:t>,</w:t>
      </w:r>
      <w:r w:rsidR="00764D24">
        <w:rPr>
          <w:sz w:val="22"/>
          <w:szCs w:val="22"/>
        </w:rPr>
        <w:t xml:space="preserve"> </w:t>
      </w:r>
      <w:r w:rsidR="00C33DDF">
        <w:rPr>
          <w:sz w:val="22"/>
          <w:szCs w:val="22"/>
        </w:rPr>
        <w:t>en el ejercicio de sus funciones</w:t>
      </w:r>
      <w:r w:rsidR="00FB52F4">
        <w:rPr>
          <w:sz w:val="22"/>
          <w:szCs w:val="22"/>
        </w:rPr>
        <w:t>,</w:t>
      </w:r>
      <w:r w:rsidR="00C33DDF">
        <w:rPr>
          <w:sz w:val="22"/>
          <w:szCs w:val="22"/>
        </w:rPr>
        <w:t xml:space="preserve"> </w:t>
      </w:r>
      <w:r>
        <w:rPr>
          <w:sz w:val="22"/>
          <w:szCs w:val="22"/>
        </w:rPr>
        <w:t xml:space="preserve">tener acceso a esa información </w:t>
      </w:r>
      <w:r w:rsidR="003E3015">
        <w:rPr>
          <w:sz w:val="22"/>
          <w:szCs w:val="22"/>
        </w:rPr>
        <w:t>comercial e institucional</w:t>
      </w:r>
      <w:r>
        <w:rPr>
          <w:sz w:val="22"/>
          <w:szCs w:val="22"/>
        </w:rPr>
        <w:t xml:space="preserve"> para verificar eventualmente comportamientos irregulares o que </w:t>
      </w:r>
      <w:r w:rsidR="001B05EB">
        <w:rPr>
          <w:sz w:val="22"/>
          <w:szCs w:val="22"/>
        </w:rPr>
        <w:t xml:space="preserve">podrían </w:t>
      </w:r>
      <w:r w:rsidR="003E3015">
        <w:rPr>
          <w:sz w:val="22"/>
          <w:szCs w:val="22"/>
        </w:rPr>
        <w:t>permitir encontrar</w:t>
      </w:r>
      <w:r w:rsidR="001B05EB">
        <w:rPr>
          <w:sz w:val="22"/>
          <w:szCs w:val="22"/>
        </w:rPr>
        <w:t xml:space="preserve"> que </w:t>
      </w:r>
      <w:r>
        <w:rPr>
          <w:sz w:val="22"/>
          <w:szCs w:val="22"/>
        </w:rPr>
        <w:t>no cumplen con la regulación</w:t>
      </w:r>
      <w:r w:rsidR="00F451C6">
        <w:rPr>
          <w:sz w:val="22"/>
          <w:szCs w:val="22"/>
        </w:rPr>
        <w:t xml:space="preserve"> de parte de los agentes</w:t>
      </w:r>
      <w:r>
        <w:rPr>
          <w:sz w:val="22"/>
          <w:szCs w:val="22"/>
        </w:rPr>
        <w:t>.</w:t>
      </w:r>
    </w:p>
    <w:p w14:paraId="4ABF084E" w14:textId="77777777" w:rsidR="00F451C6" w:rsidRDefault="00F451C6" w:rsidP="00AB4CC7">
      <w:pPr>
        <w:rPr>
          <w:sz w:val="22"/>
          <w:szCs w:val="22"/>
        </w:rPr>
      </w:pPr>
    </w:p>
    <w:p w14:paraId="212F368F" w14:textId="2D045D15" w:rsidR="003D377B" w:rsidRDefault="00F451C6" w:rsidP="00AB4CC7">
      <w:pPr>
        <w:rPr>
          <w:sz w:val="22"/>
          <w:szCs w:val="22"/>
        </w:rPr>
      </w:pPr>
      <w:r>
        <w:rPr>
          <w:sz w:val="22"/>
          <w:szCs w:val="22"/>
        </w:rPr>
        <w:t>Sin embargo, dicho esquema no es del todo replicable pa</w:t>
      </w:r>
      <w:r w:rsidR="00C33DDF">
        <w:rPr>
          <w:sz w:val="22"/>
          <w:szCs w:val="22"/>
        </w:rPr>
        <w:t>r</w:t>
      </w:r>
      <w:r>
        <w:rPr>
          <w:sz w:val="22"/>
          <w:szCs w:val="22"/>
        </w:rPr>
        <w:t xml:space="preserve">a el gas obtenido en el exterior, no solo porque no existe </w:t>
      </w:r>
      <w:r w:rsidR="001B05EB">
        <w:rPr>
          <w:sz w:val="22"/>
          <w:szCs w:val="22"/>
        </w:rPr>
        <w:t>la interacción</w:t>
      </w:r>
      <w:r>
        <w:rPr>
          <w:sz w:val="22"/>
          <w:szCs w:val="22"/>
        </w:rPr>
        <w:t xml:space="preserve"> institucional mencionad</w:t>
      </w:r>
      <w:r w:rsidR="001B05EB">
        <w:rPr>
          <w:sz w:val="22"/>
          <w:szCs w:val="22"/>
        </w:rPr>
        <w:t>a</w:t>
      </w:r>
      <w:r>
        <w:rPr>
          <w:sz w:val="22"/>
          <w:szCs w:val="22"/>
        </w:rPr>
        <w:t xml:space="preserve">, sino porque el agente que puede importar el gas obtenido en el exterior para atender el servicio público de gas combustible no necesariamente </w:t>
      </w:r>
      <w:r w:rsidR="00DC73FD">
        <w:rPr>
          <w:sz w:val="22"/>
          <w:szCs w:val="22"/>
        </w:rPr>
        <w:t>debe ser</w:t>
      </w:r>
      <w:r>
        <w:rPr>
          <w:sz w:val="22"/>
          <w:szCs w:val="22"/>
        </w:rPr>
        <w:t xml:space="preserve"> un productor de gas en el exterior</w:t>
      </w:r>
      <w:r w:rsidR="002627CD">
        <w:rPr>
          <w:sz w:val="22"/>
          <w:szCs w:val="22"/>
        </w:rPr>
        <w:t xml:space="preserve">, </w:t>
      </w:r>
      <w:r w:rsidR="0061136B">
        <w:rPr>
          <w:sz w:val="22"/>
          <w:szCs w:val="22"/>
        </w:rPr>
        <w:t xml:space="preserve">siendo diferente el ejercicio de importación </w:t>
      </w:r>
      <w:r w:rsidR="00FB52F4">
        <w:rPr>
          <w:sz w:val="22"/>
          <w:szCs w:val="22"/>
        </w:rPr>
        <w:t xml:space="preserve">al </w:t>
      </w:r>
      <w:r w:rsidR="0061136B">
        <w:rPr>
          <w:sz w:val="22"/>
          <w:szCs w:val="22"/>
        </w:rPr>
        <w:t>de</w:t>
      </w:r>
      <w:r w:rsidR="002627CD">
        <w:rPr>
          <w:sz w:val="22"/>
          <w:szCs w:val="22"/>
        </w:rPr>
        <w:t xml:space="preserve"> la comercialización </w:t>
      </w:r>
      <w:r w:rsidR="00241207">
        <w:rPr>
          <w:sz w:val="22"/>
          <w:szCs w:val="22"/>
        </w:rPr>
        <w:t>del gas</w:t>
      </w:r>
      <w:r w:rsidR="00D31A48">
        <w:rPr>
          <w:sz w:val="22"/>
          <w:szCs w:val="22"/>
        </w:rPr>
        <w:t>, donde estas actividades pueden llevarse a cabo por diferentes agentes</w:t>
      </w:r>
      <w:r>
        <w:rPr>
          <w:sz w:val="22"/>
          <w:szCs w:val="22"/>
        </w:rPr>
        <w:t>. Por ello</w:t>
      </w:r>
      <w:r w:rsidR="00DC73FD">
        <w:rPr>
          <w:sz w:val="22"/>
          <w:szCs w:val="22"/>
        </w:rPr>
        <w:t>,</w:t>
      </w:r>
      <w:r>
        <w:rPr>
          <w:sz w:val="22"/>
          <w:szCs w:val="22"/>
        </w:rPr>
        <w:t xml:space="preserve"> existe el </w:t>
      </w:r>
      <w:r w:rsidR="00DC73FD">
        <w:rPr>
          <w:sz w:val="22"/>
          <w:szCs w:val="22"/>
        </w:rPr>
        <w:t>a</w:t>
      </w:r>
      <w:r>
        <w:rPr>
          <w:sz w:val="22"/>
          <w:szCs w:val="22"/>
        </w:rPr>
        <w:t>gente de</w:t>
      </w:r>
      <w:r w:rsidR="0015457D">
        <w:rPr>
          <w:sz w:val="22"/>
          <w:szCs w:val="22"/>
        </w:rPr>
        <w:t>finido</w:t>
      </w:r>
      <w:r>
        <w:rPr>
          <w:sz w:val="22"/>
          <w:szCs w:val="22"/>
        </w:rPr>
        <w:t xml:space="preserve"> </w:t>
      </w:r>
      <w:r w:rsidR="0015457D">
        <w:rPr>
          <w:sz w:val="22"/>
          <w:szCs w:val="22"/>
        </w:rPr>
        <w:t xml:space="preserve">por la CREG </w:t>
      </w:r>
      <w:r>
        <w:rPr>
          <w:sz w:val="22"/>
          <w:szCs w:val="22"/>
        </w:rPr>
        <w:t xml:space="preserve">como Comercializador de Gas </w:t>
      </w:r>
      <w:r w:rsidR="00DC73FD">
        <w:rPr>
          <w:sz w:val="22"/>
          <w:szCs w:val="22"/>
        </w:rPr>
        <w:t>I</w:t>
      </w:r>
      <w:r>
        <w:rPr>
          <w:sz w:val="22"/>
          <w:szCs w:val="22"/>
        </w:rPr>
        <w:t xml:space="preserve">mportado, </w:t>
      </w:r>
      <w:r w:rsidR="001B05EB">
        <w:rPr>
          <w:sz w:val="22"/>
          <w:szCs w:val="22"/>
        </w:rPr>
        <w:t xml:space="preserve">a partir de la definición de Agente Importador </w:t>
      </w:r>
      <w:r w:rsidR="003E3015">
        <w:rPr>
          <w:sz w:val="22"/>
          <w:szCs w:val="22"/>
        </w:rPr>
        <w:t xml:space="preserve">que se encuentra en </w:t>
      </w:r>
      <w:r w:rsidR="001B05EB">
        <w:rPr>
          <w:sz w:val="22"/>
          <w:szCs w:val="22"/>
        </w:rPr>
        <w:t>el Artículo 2.2.2.1.4 del Decreto 1073 de 2015</w:t>
      </w:r>
      <w:r w:rsidR="001B05EB">
        <w:rPr>
          <w:rStyle w:val="Refdenotaalpie"/>
          <w:sz w:val="22"/>
          <w:szCs w:val="22"/>
        </w:rPr>
        <w:footnoteReference w:id="9"/>
      </w:r>
      <w:r w:rsidR="001B05EB">
        <w:rPr>
          <w:sz w:val="22"/>
          <w:szCs w:val="22"/>
        </w:rPr>
        <w:t xml:space="preserve">, </w:t>
      </w:r>
      <w:r>
        <w:rPr>
          <w:sz w:val="22"/>
          <w:szCs w:val="22"/>
        </w:rPr>
        <w:t>qu</w:t>
      </w:r>
      <w:r w:rsidR="001B05EB">
        <w:rPr>
          <w:sz w:val="22"/>
          <w:szCs w:val="22"/>
        </w:rPr>
        <w:t>ien</w:t>
      </w:r>
      <w:r>
        <w:rPr>
          <w:sz w:val="22"/>
          <w:szCs w:val="22"/>
        </w:rPr>
        <w:t xml:space="preserve"> puede participar como vendedor en el </w:t>
      </w:r>
      <w:r w:rsidR="0015457D">
        <w:rPr>
          <w:sz w:val="22"/>
          <w:szCs w:val="22"/>
        </w:rPr>
        <w:t>M</w:t>
      </w:r>
      <w:r>
        <w:rPr>
          <w:sz w:val="22"/>
          <w:szCs w:val="22"/>
        </w:rPr>
        <w:t>ercado Primario y como comprador en el Mercado Secundario</w:t>
      </w:r>
      <w:r w:rsidR="0015457D">
        <w:rPr>
          <w:sz w:val="22"/>
          <w:szCs w:val="22"/>
        </w:rPr>
        <w:t xml:space="preserve"> y </w:t>
      </w:r>
      <w:proofErr w:type="gramStart"/>
      <w:r w:rsidR="0015457D">
        <w:rPr>
          <w:sz w:val="22"/>
          <w:szCs w:val="22"/>
        </w:rPr>
        <w:t>que</w:t>
      </w:r>
      <w:proofErr w:type="gramEnd"/>
      <w:r w:rsidR="0015457D">
        <w:rPr>
          <w:sz w:val="22"/>
          <w:szCs w:val="22"/>
        </w:rPr>
        <w:t xml:space="preserve"> por dicha situación</w:t>
      </w:r>
      <w:r w:rsidR="003E3015">
        <w:rPr>
          <w:sz w:val="22"/>
          <w:szCs w:val="22"/>
        </w:rPr>
        <w:t>,</w:t>
      </w:r>
      <w:r w:rsidR="0015457D">
        <w:rPr>
          <w:sz w:val="22"/>
          <w:szCs w:val="22"/>
        </w:rPr>
        <w:t xml:space="preserve"> no puede ser un </w:t>
      </w:r>
      <w:r w:rsidR="002736B1">
        <w:rPr>
          <w:sz w:val="22"/>
          <w:szCs w:val="22"/>
        </w:rPr>
        <w:t>C</w:t>
      </w:r>
      <w:r w:rsidR="0015457D">
        <w:rPr>
          <w:sz w:val="22"/>
          <w:szCs w:val="22"/>
        </w:rPr>
        <w:t>omercializador</w:t>
      </w:r>
      <w:r w:rsidR="002736B1">
        <w:rPr>
          <w:sz w:val="22"/>
          <w:szCs w:val="22"/>
        </w:rPr>
        <w:t xml:space="preserve"> que es un agente diferente del Comercializador de Gas Importado</w:t>
      </w:r>
      <w:r w:rsidR="00DC73FD">
        <w:rPr>
          <w:sz w:val="22"/>
          <w:szCs w:val="22"/>
        </w:rPr>
        <w:t>.</w:t>
      </w:r>
    </w:p>
    <w:p w14:paraId="344AD3EA" w14:textId="35B0858F" w:rsidR="00DC73FD" w:rsidRDefault="00DC73FD" w:rsidP="00AB4CC7">
      <w:pPr>
        <w:rPr>
          <w:sz w:val="22"/>
          <w:szCs w:val="22"/>
        </w:rPr>
      </w:pPr>
    </w:p>
    <w:p w14:paraId="500098B6" w14:textId="282372E4" w:rsidR="00DC73FD" w:rsidRDefault="00DC73FD" w:rsidP="00AB4CC7">
      <w:pPr>
        <w:rPr>
          <w:sz w:val="22"/>
          <w:szCs w:val="22"/>
        </w:rPr>
      </w:pPr>
      <w:r>
        <w:rPr>
          <w:sz w:val="22"/>
          <w:szCs w:val="22"/>
        </w:rPr>
        <w:t xml:space="preserve">La falta de una definición </w:t>
      </w:r>
      <w:r w:rsidR="00332618">
        <w:rPr>
          <w:sz w:val="22"/>
          <w:szCs w:val="22"/>
        </w:rPr>
        <w:t>eficaz</w:t>
      </w:r>
      <w:r>
        <w:rPr>
          <w:sz w:val="22"/>
          <w:szCs w:val="22"/>
        </w:rPr>
        <w:t xml:space="preserve"> </w:t>
      </w:r>
      <w:r w:rsidR="0015457D">
        <w:rPr>
          <w:sz w:val="22"/>
          <w:szCs w:val="22"/>
        </w:rPr>
        <w:t>que permita evidenciar que el gas que se obtiene en el exterior y que se pretende ofrecer en el Mercado Primario</w:t>
      </w:r>
      <w:r w:rsidR="00332618">
        <w:rPr>
          <w:sz w:val="22"/>
          <w:szCs w:val="22"/>
        </w:rPr>
        <w:t>,</w:t>
      </w:r>
      <w:r w:rsidR="0015457D">
        <w:rPr>
          <w:sz w:val="22"/>
          <w:szCs w:val="22"/>
        </w:rPr>
        <w:t xml:space="preserve"> cuenta con Respaldo Físico</w:t>
      </w:r>
      <w:r w:rsidR="00332618">
        <w:rPr>
          <w:sz w:val="22"/>
          <w:szCs w:val="22"/>
        </w:rPr>
        <w:t xml:space="preserve"> par</w:t>
      </w:r>
      <w:r>
        <w:rPr>
          <w:sz w:val="22"/>
          <w:szCs w:val="22"/>
        </w:rPr>
        <w:t xml:space="preserve">a los propósitos de la política energética, y por tanto, </w:t>
      </w:r>
      <w:r w:rsidR="00332618">
        <w:rPr>
          <w:sz w:val="22"/>
          <w:szCs w:val="22"/>
        </w:rPr>
        <w:t>par</w:t>
      </w:r>
      <w:r>
        <w:rPr>
          <w:sz w:val="22"/>
          <w:szCs w:val="22"/>
        </w:rPr>
        <w:t xml:space="preserve">a la regulación del </w:t>
      </w:r>
      <w:r w:rsidR="00332618">
        <w:rPr>
          <w:sz w:val="22"/>
          <w:szCs w:val="22"/>
        </w:rPr>
        <w:t>M</w:t>
      </w:r>
      <w:r>
        <w:rPr>
          <w:sz w:val="22"/>
          <w:szCs w:val="22"/>
        </w:rPr>
        <w:t xml:space="preserve">ercado </w:t>
      </w:r>
      <w:r w:rsidR="00332618">
        <w:rPr>
          <w:sz w:val="22"/>
          <w:szCs w:val="22"/>
        </w:rPr>
        <w:t>M</w:t>
      </w:r>
      <w:r>
        <w:rPr>
          <w:sz w:val="22"/>
          <w:szCs w:val="22"/>
        </w:rPr>
        <w:t xml:space="preserve">ayorista, puede llevar a </w:t>
      </w:r>
      <w:r w:rsidR="0015457D">
        <w:rPr>
          <w:sz w:val="22"/>
          <w:szCs w:val="22"/>
        </w:rPr>
        <w:t>una innecesaria</w:t>
      </w:r>
      <w:r>
        <w:rPr>
          <w:sz w:val="22"/>
          <w:szCs w:val="22"/>
        </w:rPr>
        <w:t xml:space="preserve"> percepción de riesgo de parte de los agentes en general, </w:t>
      </w:r>
      <w:r w:rsidR="002736B1">
        <w:rPr>
          <w:sz w:val="22"/>
          <w:szCs w:val="22"/>
        </w:rPr>
        <w:t xml:space="preserve">respecto </w:t>
      </w:r>
      <w:r>
        <w:rPr>
          <w:sz w:val="22"/>
          <w:szCs w:val="22"/>
        </w:rPr>
        <w:t>de la validez de los contratos que se consideran con Respaldo Físico cuando se acuerdan cumplir con gas obtenido en el exterior, y de la viabilidad de la comercialización mediante contratos firme</w:t>
      </w:r>
      <w:r w:rsidR="002736B1">
        <w:rPr>
          <w:sz w:val="22"/>
          <w:szCs w:val="22"/>
        </w:rPr>
        <w:t>s</w:t>
      </w:r>
      <w:r>
        <w:rPr>
          <w:sz w:val="22"/>
          <w:szCs w:val="22"/>
        </w:rPr>
        <w:t xml:space="preserve"> o que garantizan firmeza en el Mercado Secundario </w:t>
      </w:r>
      <w:r w:rsidR="00BA5C51">
        <w:rPr>
          <w:sz w:val="22"/>
          <w:szCs w:val="22"/>
        </w:rPr>
        <w:t>de este gas así obtenido</w:t>
      </w:r>
      <w:r>
        <w:rPr>
          <w:sz w:val="22"/>
          <w:szCs w:val="22"/>
        </w:rPr>
        <w:t>.</w:t>
      </w:r>
    </w:p>
    <w:p w14:paraId="1A3829D2" w14:textId="77777777" w:rsidR="007651EA" w:rsidRDefault="007651EA" w:rsidP="00AB4CC7">
      <w:pPr>
        <w:rPr>
          <w:sz w:val="22"/>
          <w:szCs w:val="22"/>
        </w:rPr>
      </w:pPr>
    </w:p>
    <w:p w14:paraId="29889091" w14:textId="1D71EFEF" w:rsidR="009A6F85" w:rsidRDefault="009A6F85" w:rsidP="009E616A">
      <w:pPr>
        <w:rPr>
          <w:sz w:val="22"/>
          <w:szCs w:val="22"/>
        </w:rPr>
      </w:pPr>
    </w:p>
    <w:p w14:paraId="40B5C2EA" w14:textId="701CDB99" w:rsidR="00FC4C2E" w:rsidRDefault="00FC4C2E" w:rsidP="007651EA">
      <w:pPr>
        <w:pStyle w:val="Ttulo3"/>
      </w:pPr>
      <w:bookmarkStart w:id="85" w:name="_Ref130565711"/>
      <w:bookmarkStart w:id="86" w:name="_Toc140506195"/>
      <w:r>
        <w:t>Registro del tipo de contrato del Mercado Primario</w:t>
      </w:r>
      <w:bookmarkEnd w:id="85"/>
      <w:bookmarkEnd w:id="86"/>
    </w:p>
    <w:p w14:paraId="1E217991" w14:textId="254F507D" w:rsidR="00FC4C2E" w:rsidRDefault="00FC4C2E" w:rsidP="00FC4C2E">
      <w:pPr>
        <w:rPr>
          <w:sz w:val="22"/>
          <w:szCs w:val="22"/>
        </w:rPr>
      </w:pPr>
      <w:r w:rsidRPr="00FC4C2E">
        <w:rPr>
          <w:sz w:val="22"/>
          <w:szCs w:val="22"/>
        </w:rPr>
        <w:t xml:space="preserve">En la Resolución </w:t>
      </w:r>
      <w:r>
        <w:rPr>
          <w:sz w:val="22"/>
          <w:szCs w:val="22"/>
        </w:rPr>
        <w:t>CREG 089 de 2013 se previó en el Parágrafo del Artículo 23 “</w:t>
      </w:r>
      <w:r w:rsidRPr="00FC4C2E">
        <w:rPr>
          <w:i/>
          <w:iCs/>
          <w:sz w:val="22"/>
          <w:szCs w:val="22"/>
        </w:rPr>
        <w:t>Contratos objeto de las negociaciones directas en cualquier momento del año</w:t>
      </w:r>
      <w:r>
        <w:rPr>
          <w:i/>
          <w:iCs/>
          <w:sz w:val="22"/>
          <w:szCs w:val="22"/>
        </w:rPr>
        <w:t xml:space="preserve">” </w:t>
      </w:r>
      <w:r w:rsidRPr="00FC4C2E">
        <w:rPr>
          <w:sz w:val="22"/>
          <w:szCs w:val="22"/>
        </w:rPr>
        <w:t>que</w:t>
      </w:r>
      <w:r>
        <w:rPr>
          <w:sz w:val="22"/>
          <w:szCs w:val="22"/>
        </w:rPr>
        <w:t xml:space="preserve"> los c</w:t>
      </w:r>
      <w:r w:rsidRPr="00FC4C2E">
        <w:rPr>
          <w:sz w:val="22"/>
          <w:szCs w:val="22"/>
        </w:rPr>
        <w:t>ampos que se encuentren en pruebas extensas o sobre los cuales no se haya declarado su comercialidad</w:t>
      </w:r>
      <w:r>
        <w:rPr>
          <w:sz w:val="22"/>
          <w:szCs w:val="22"/>
        </w:rPr>
        <w:t xml:space="preserve">, los campos aislados y en los casos en que se los comercializadores de gas importado destinen el gas a la atención de la demanda del sector térmico en los términos </w:t>
      </w:r>
      <w:r w:rsidRPr="00FC4C2E">
        <w:rPr>
          <w:sz w:val="22"/>
          <w:szCs w:val="22"/>
        </w:rPr>
        <w:t>señalados en la Resolución CREG 062 de 2013, o aquellas que la modifiquen o sustituyan</w:t>
      </w:r>
      <w:r>
        <w:rPr>
          <w:sz w:val="22"/>
          <w:szCs w:val="22"/>
        </w:rPr>
        <w:t>, estaban exceptuados de la aplicación de las modalidades contractuales de suministro establecidas por la CREG en el Capítulo I del Título III y de los requisitos mínimos de los contratos de suministro establecidos por la CREG en el Capítulo II del Título III así como de la obligación de que los contratos tuviesen como fecha de terminación el 30 de noviembre del año que las partes acuerden.</w:t>
      </w:r>
    </w:p>
    <w:p w14:paraId="6ECF9CC8" w14:textId="2DBE888A" w:rsidR="00FC4C2E" w:rsidRDefault="00FC4C2E" w:rsidP="00FC4C2E">
      <w:pPr>
        <w:rPr>
          <w:sz w:val="22"/>
          <w:szCs w:val="22"/>
        </w:rPr>
      </w:pPr>
    </w:p>
    <w:p w14:paraId="0188CE8F" w14:textId="617AD0FD" w:rsidR="00FC4C2E" w:rsidRDefault="00FC4C2E" w:rsidP="00FC4C2E">
      <w:pPr>
        <w:rPr>
          <w:sz w:val="22"/>
          <w:szCs w:val="22"/>
        </w:rPr>
      </w:pPr>
      <w:r>
        <w:rPr>
          <w:sz w:val="22"/>
          <w:szCs w:val="22"/>
        </w:rPr>
        <w:t xml:space="preserve">La disposición anterior se mantuvo posteriormente en el Parágrafo del Artículo 23 de la Resolución CREG 114 de 2017 y en el </w:t>
      </w:r>
      <w:r w:rsidR="00BC4EE0">
        <w:rPr>
          <w:sz w:val="22"/>
          <w:szCs w:val="22"/>
        </w:rPr>
        <w:t xml:space="preserve">Parágrafo del Artículo 20 de la Resolución CREG 186 de 2020 actualmente vigente. </w:t>
      </w:r>
    </w:p>
    <w:p w14:paraId="3FB057B9" w14:textId="6B221791" w:rsidR="00BC4EE0" w:rsidRDefault="00BC4EE0" w:rsidP="00FC4C2E">
      <w:pPr>
        <w:rPr>
          <w:sz w:val="22"/>
          <w:szCs w:val="22"/>
        </w:rPr>
      </w:pPr>
    </w:p>
    <w:p w14:paraId="15EEFAD5" w14:textId="1B73B5E3" w:rsidR="00BC4EE0" w:rsidRDefault="00BC4EE0" w:rsidP="00FC4C2E">
      <w:pPr>
        <w:rPr>
          <w:sz w:val="22"/>
          <w:szCs w:val="22"/>
        </w:rPr>
      </w:pPr>
      <w:r>
        <w:rPr>
          <w:sz w:val="22"/>
          <w:szCs w:val="22"/>
        </w:rPr>
        <w:t xml:space="preserve">Los contratos suscritos con base en esta disposición fueron clasificados por el </w:t>
      </w:r>
      <w:r w:rsidR="005114C6">
        <w:rPr>
          <w:sz w:val="22"/>
          <w:szCs w:val="22"/>
        </w:rPr>
        <w:t>Gestor del Mercado</w:t>
      </w:r>
      <w:r>
        <w:rPr>
          <w:sz w:val="22"/>
          <w:szCs w:val="22"/>
        </w:rPr>
        <w:t xml:space="preserve"> para efectos del numeral </w:t>
      </w:r>
      <w:proofErr w:type="spellStart"/>
      <w:r>
        <w:rPr>
          <w:sz w:val="22"/>
          <w:szCs w:val="22"/>
        </w:rPr>
        <w:t>iv</w:t>
      </w:r>
      <w:proofErr w:type="spellEnd"/>
      <w:r>
        <w:rPr>
          <w:sz w:val="22"/>
          <w:szCs w:val="22"/>
        </w:rPr>
        <w:t>. del numeral 1 del Anexo 1 “</w:t>
      </w:r>
      <w:r w:rsidRPr="00BC4EE0">
        <w:rPr>
          <w:i/>
          <w:iCs/>
          <w:sz w:val="22"/>
          <w:szCs w:val="22"/>
        </w:rPr>
        <w:t>Información transaccional y operativa</w:t>
      </w:r>
      <w:r>
        <w:rPr>
          <w:sz w:val="22"/>
          <w:szCs w:val="22"/>
        </w:rPr>
        <w:t xml:space="preserve">” bajo un concepto de modalidad contractual que denominó “Otros” y que los agentes utilizaron. En la </w:t>
      </w:r>
      <w:r>
        <w:rPr>
          <w:sz w:val="22"/>
          <w:szCs w:val="22"/>
        </w:rPr>
        <w:fldChar w:fldCharType="begin"/>
      </w:r>
      <w:r>
        <w:rPr>
          <w:sz w:val="22"/>
          <w:szCs w:val="22"/>
        </w:rPr>
        <w:instrText xml:space="preserve"> REF _Ref130362191 \h </w:instrText>
      </w:r>
      <w:r>
        <w:rPr>
          <w:sz w:val="22"/>
          <w:szCs w:val="22"/>
        </w:rPr>
      </w:r>
      <w:r>
        <w:rPr>
          <w:sz w:val="22"/>
          <w:szCs w:val="22"/>
        </w:rPr>
        <w:fldChar w:fldCharType="separate"/>
      </w:r>
      <w:r w:rsidR="006B7344" w:rsidRPr="00BC4EE0">
        <w:rPr>
          <w:i/>
          <w:iCs/>
          <w:sz w:val="22"/>
          <w:szCs w:val="22"/>
        </w:rPr>
        <w:t xml:space="preserve">Figura </w:t>
      </w:r>
      <w:r w:rsidR="006B7344">
        <w:rPr>
          <w:i/>
          <w:iCs/>
          <w:noProof/>
          <w:sz w:val="22"/>
          <w:szCs w:val="22"/>
        </w:rPr>
        <w:t>7</w:t>
      </w:r>
      <w:r>
        <w:rPr>
          <w:sz w:val="22"/>
          <w:szCs w:val="22"/>
        </w:rPr>
        <w:fldChar w:fldCharType="end"/>
      </w:r>
      <w:r>
        <w:rPr>
          <w:sz w:val="22"/>
          <w:szCs w:val="22"/>
        </w:rPr>
        <w:t xml:space="preserve"> se puede observar las cantidades pactadas bajo dicha clasificación.</w:t>
      </w:r>
    </w:p>
    <w:p w14:paraId="28D09143" w14:textId="6461815E" w:rsidR="00BC4EE0" w:rsidRDefault="00BC4EE0" w:rsidP="00FC4C2E">
      <w:pPr>
        <w:rPr>
          <w:sz w:val="22"/>
          <w:szCs w:val="22"/>
        </w:rPr>
      </w:pPr>
    </w:p>
    <w:p w14:paraId="47C9BA10" w14:textId="6F9C19AA" w:rsidR="00BC4EE0" w:rsidRPr="00BC4EE0" w:rsidRDefault="00BC4EE0" w:rsidP="00BC4EE0">
      <w:pPr>
        <w:pStyle w:val="Descripcin"/>
        <w:keepNext/>
        <w:jc w:val="center"/>
        <w:rPr>
          <w:i w:val="0"/>
          <w:iCs w:val="0"/>
          <w:sz w:val="22"/>
          <w:szCs w:val="22"/>
        </w:rPr>
      </w:pPr>
      <w:bookmarkStart w:id="87" w:name="_Ref130362191"/>
      <w:bookmarkStart w:id="88" w:name="_Toc140506600"/>
      <w:r w:rsidRPr="00BC4EE0">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7</w:t>
      </w:r>
      <w:r w:rsidR="006B6B6C">
        <w:rPr>
          <w:i w:val="0"/>
          <w:iCs w:val="0"/>
          <w:sz w:val="22"/>
          <w:szCs w:val="22"/>
        </w:rPr>
        <w:fldChar w:fldCharType="end"/>
      </w:r>
      <w:bookmarkEnd w:id="87"/>
      <w:r w:rsidRPr="00BC4EE0">
        <w:rPr>
          <w:i w:val="0"/>
          <w:iCs w:val="0"/>
          <w:sz w:val="22"/>
          <w:szCs w:val="22"/>
        </w:rPr>
        <w:t xml:space="preserve"> Cantidades contratadas por año de inicio de </w:t>
      </w:r>
      <w:r>
        <w:rPr>
          <w:i w:val="0"/>
          <w:iCs w:val="0"/>
          <w:sz w:val="22"/>
          <w:szCs w:val="22"/>
        </w:rPr>
        <w:t xml:space="preserve">ejecución del </w:t>
      </w:r>
      <w:r w:rsidRPr="00BC4EE0">
        <w:rPr>
          <w:i w:val="0"/>
          <w:iCs w:val="0"/>
          <w:sz w:val="22"/>
          <w:szCs w:val="22"/>
        </w:rPr>
        <w:t>contrato registradas bajo la modalidad “Otras”</w:t>
      </w:r>
      <w:bookmarkEnd w:id="88"/>
    </w:p>
    <w:p w14:paraId="0BACDEAD" w14:textId="59CBCEAE" w:rsidR="00BC4EE0" w:rsidRDefault="00BC4EE0" w:rsidP="00A44E94">
      <w:pPr>
        <w:jc w:val="center"/>
        <w:rPr>
          <w:sz w:val="22"/>
          <w:szCs w:val="22"/>
        </w:rPr>
      </w:pPr>
      <w:r>
        <w:rPr>
          <w:noProof/>
          <w:sz w:val="22"/>
          <w:szCs w:val="22"/>
        </w:rPr>
        <w:drawing>
          <wp:inline distT="0" distB="0" distL="0" distR="0" wp14:anchorId="7CF7EF46" wp14:editId="55F51F34">
            <wp:extent cx="5444836" cy="3041554"/>
            <wp:effectExtent l="0" t="0" r="381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4836" cy="3041554"/>
                    </a:xfrm>
                    <a:prstGeom prst="rect">
                      <a:avLst/>
                    </a:prstGeom>
                    <a:noFill/>
                    <a:ln>
                      <a:noFill/>
                    </a:ln>
                  </pic:spPr>
                </pic:pic>
              </a:graphicData>
            </a:graphic>
          </wp:inline>
        </w:drawing>
      </w:r>
    </w:p>
    <w:p w14:paraId="3F977FEE" w14:textId="32139BD6" w:rsidR="00FC4C2E" w:rsidRDefault="00FC4C2E" w:rsidP="00FC4C2E">
      <w:pPr>
        <w:rPr>
          <w:sz w:val="22"/>
          <w:szCs w:val="22"/>
        </w:rPr>
      </w:pPr>
    </w:p>
    <w:p w14:paraId="354E3A6F" w14:textId="2831B41A" w:rsidR="00FC4C2E" w:rsidRDefault="00BC4EE0" w:rsidP="00FC4C2E">
      <w:pPr>
        <w:rPr>
          <w:sz w:val="22"/>
          <w:szCs w:val="22"/>
        </w:rPr>
      </w:pPr>
      <w:r>
        <w:rPr>
          <w:sz w:val="22"/>
          <w:szCs w:val="22"/>
        </w:rPr>
        <w:t xml:space="preserve">Como se observa, es a partir del año 2020 donde se encuentra el inicio de ejecución de varios de los contratos registrados bajo la modalidad “Otras” establecida por el </w:t>
      </w:r>
      <w:r w:rsidR="005114C6">
        <w:rPr>
          <w:sz w:val="22"/>
          <w:szCs w:val="22"/>
        </w:rPr>
        <w:t>Gestor del Mercado</w:t>
      </w:r>
      <w:r>
        <w:rPr>
          <w:sz w:val="22"/>
          <w:szCs w:val="22"/>
        </w:rPr>
        <w:t xml:space="preserve">, en cantidades de escalas comparables a los contratos firmes mostradas en la </w:t>
      </w:r>
      <w:r>
        <w:rPr>
          <w:sz w:val="22"/>
          <w:szCs w:val="22"/>
        </w:rPr>
        <w:fldChar w:fldCharType="begin"/>
      </w:r>
      <w:r>
        <w:rPr>
          <w:sz w:val="22"/>
          <w:szCs w:val="22"/>
        </w:rPr>
        <w:instrText xml:space="preserve"> REF _Ref130362437 \h </w:instrText>
      </w:r>
      <w:r>
        <w:rPr>
          <w:sz w:val="22"/>
          <w:szCs w:val="22"/>
        </w:rPr>
      </w:r>
      <w:r>
        <w:rPr>
          <w:sz w:val="22"/>
          <w:szCs w:val="22"/>
        </w:rPr>
        <w:fldChar w:fldCharType="separate"/>
      </w:r>
      <w:r w:rsidR="006B7344" w:rsidRPr="00BC4EE0">
        <w:rPr>
          <w:i/>
          <w:iCs/>
          <w:sz w:val="22"/>
          <w:szCs w:val="22"/>
        </w:rPr>
        <w:t xml:space="preserve">Figura </w:t>
      </w:r>
      <w:r w:rsidR="006B7344">
        <w:rPr>
          <w:i/>
          <w:iCs/>
          <w:noProof/>
          <w:sz w:val="22"/>
          <w:szCs w:val="22"/>
        </w:rPr>
        <w:t>8</w:t>
      </w:r>
      <w:r>
        <w:rPr>
          <w:sz w:val="22"/>
          <w:szCs w:val="22"/>
        </w:rPr>
        <w:fldChar w:fldCharType="end"/>
      </w:r>
      <w:r>
        <w:rPr>
          <w:sz w:val="22"/>
          <w:szCs w:val="22"/>
        </w:rPr>
        <w:t xml:space="preserve"> y a los contratos CF95 que se muestran en la </w:t>
      </w:r>
      <w:r w:rsidR="00A67E51">
        <w:rPr>
          <w:sz w:val="22"/>
          <w:szCs w:val="22"/>
        </w:rPr>
        <w:fldChar w:fldCharType="begin"/>
      </w:r>
      <w:r w:rsidR="00A67E51">
        <w:rPr>
          <w:sz w:val="22"/>
          <w:szCs w:val="22"/>
        </w:rPr>
        <w:instrText xml:space="preserve"> REF _Ref130362558 \h </w:instrText>
      </w:r>
      <w:r w:rsidR="00A67E51">
        <w:rPr>
          <w:sz w:val="22"/>
          <w:szCs w:val="22"/>
        </w:rPr>
      </w:r>
      <w:r w:rsidR="00A67E51">
        <w:rPr>
          <w:sz w:val="22"/>
          <w:szCs w:val="22"/>
        </w:rPr>
        <w:fldChar w:fldCharType="separate"/>
      </w:r>
      <w:r w:rsidR="006B7344" w:rsidRPr="00A67E51">
        <w:rPr>
          <w:i/>
          <w:iCs/>
          <w:sz w:val="22"/>
          <w:szCs w:val="22"/>
        </w:rPr>
        <w:t xml:space="preserve">Figura </w:t>
      </w:r>
      <w:r w:rsidR="006B7344">
        <w:rPr>
          <w:i/>
          <w:iCs/>
          <w:noProof/>
          <w:sz w:val="22"/>
          <w:szCs w:val="22"/>
        </w:rPr>
        <w:t>9</w:t>
      </w:r>
      <w:r w:rsidR="00A67E51">
        <w:rPr>
          <w:sz w:val="22"/>
          <w:szCs w:val="22"/>
        </w:rPr>
        <w:fldChar w:fldCharType="end"/>
      </w:r>
    </w:p>
    <w:p w14:paraId="6B36AA96" w14:textId="2B3B3401" w:rsidR="00BC4EE0" w:rsidRDefault="00BC4EE0" w:rsidP="00FC4C2E">
      <w:pPr>
        <w:rPr>
          <w:sz w:val="22"/>
          <w:szCs w:val="22"/>
        </w:rPr>
      </w:pPr>
    </w:p>
    <w:p w14:paraId="2A914517" w14:textId="06DB6939" w:rsidR="00BC4EE0" w:rsidRDefault="00BC4EE0" w:rsidP="00BC4EE0">
      <w:pPr>
        <w:pStyle w:val="Descripcin"/>
        <w:keepNext/>
        <w:jc w:val="center"/>
      </w:pPr>
      <w:bookmarkStart w:id="89" w:name="_Ref130362437"/>
      <w:bookmarkStart w:id="90" w:name="_Toc140506601"/>
      <w:r w:rsidRPr="00BC4EE0">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8</w:t>
      </w:r>
      <w:r w:rsidR="006B6B6C">
        <w:rPr>
          <w:i w:val="0"/>
          <w:iCs w:val="0"/>
          <w:sz w:val="22"/>
          <w:szCs w:val="22"/>
        </w:rPr>
        <w:fldChar w:fldCharType="end"/>
      </w:r>
      <w:bookmarkEnd w:id="89"/>
      <w:r w:rsidRPr="00BC4EE0">
        <w:rPr>
          <w:i w:val="0"/>
          <w:iCs w:val="0"/>
          <w:sz w:val="22"/>
          <w:szCs w:val="22"/>
        </w:rPr>
        <w:t xml:space="preserve"> Cantidades contratadas por año de inicio de ejecución del contrato registradas bajo la modalidad “</w:t>
      </w:r>
      <w:r>
        <w:rPr>
          <w:i w:val="0"/>
          <w:iCs w:val="0"/>
          <w:sz w:val="22"/>
          <w:szCs w:val="22"/>
        </w:rPr>
        <w:t>Firme</w:t>
      </w:r>
      <w:r w:rsidRPr="00BC4EE0">
        <w:rPr>
          <w:i w:val="0"/>
          <w:iCs w:val="0"/>
          <w:sz w:val="22"/>
          <w:szCs w:val="22"/>
        </w:rPr>
        <w:t>”</w:t>
      </w:r>
      <w:bookmarkEnd w:id="90"/>
    </w:p>
    <w:p w14:paraId="1946D96A" w14:textId="17D2CD46" w:rsidR="00BC4EE0" w:rsidRPr="00FC4C2E" w:rsidRDefault="00BC4EE0" w:rsidP="00A67E51">
      <w:pPr>
        <w:jc w:val="center"/>
        <w:rPr>
          <w:sz w:val="22"/>
          <w:szCs w:val="22"/>
        </w:rPr>
      </w:pPr>
      <w:r>
        <w:rPr>
          <w:noProof/>
          <w:sz w:val="22"/>
          <w:szCs w:val="22"/>
        </w:rPr>
        <w:drawing>
          <wp:inline distT="0" distB="0" distL="0" distR="0" wp14:anchorId="41E77FA9" wp14:editId="27627EA0">
            <wp:extent cx="5153891" cy="2865477"/>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9338" cy="2868505"/>
                    </a:xfrm>
                    <a:prstGeom prst="rect">
                      <a:avLst/>
                    </a:prstGeom>
                    <a:noFill/>
                    <a:ln>
                      <a:noFill/>
                    </a:ln>
                  </pic:spPr>
                </pic:pic>
              </a:graphicData>
            </a:graphic>
          </wp:inline>
        </w:drawing>
      </w:r>
    </w:p>
    <w:p w14:paraId="38632264" w14:textId="77777777" w:rsidR="00FC4C2E" w:rsidRPr="00FC4C2E" w:rsidRDefault="00FC4C2E" w:rsidP="00FC4C2E"/>
    <w:p w14:paraId="370E7546" w14:textId="4138E633" w:rsidR="00FC4C2E" w:rsidRDefault="00FC4C2E" w:rsidP="009E616A">
      <w:pPr>
        <w:rPr>
          <w:sz w:val="22"/>
          <w:szCs w:val="22"/>
        </w:rPr>
      </w:pPr>
    </w:p>
    <w:p w14:paraId="206424E0" w14:textId="4DC54A5B" w:rsidR="00A67E51" w:rsidRPr="00A67E51" w:rsidRDefault="00A67E51" w:rsidP="00A67E51">
      <w:pPr>
        <w:pStyle w:val="Descripcin"/>
        <w:keepNext/>
        <w:jc w:val="center"/>
        <w:rPr>
          <w:i w:val="0"/>
          <w:iCs w:val="0"/>
          <w:sz w:val="22"/>
          <w:szCs w:val="22"/>
        </w:rPr>
      </w:pPr>
      <w:bookmarkStart w:id="91" w:name="_Ref130362558"/>
      <w:bookmarkStart w:id="92" w:name="_Toc140506602"/>
      <w:r w:rsidRPr="00A67E51">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9</w:t>
      </w:r>
      <w:r w:rsidR="006B6B6C">
        <w:rPr>
          <w:i w:val="0"/>
          <w:iCs w:val="0"/>
          <w:sz w:val="22"/>
          <w:szCs w:val="22"/>
        </w:rPr>
        <w:fldChar w:fldCharType="end"/>
      </w:r>
      <w:bookmarkEnd w:id="91"/>
      <w:r w:rsidRPr="00A67E51">
        <w:rPr>
          <w:i w:val="0"/>
          <w:iCs w:val="0"/>
          <w:sz w:val="22"/>
          <w:szCs w:val="22"/>
        </w:rPr>
        <w:t xml:space="preserve"> Cantidades contratadas por año de inicio de ejecución del contrato registradas bajo la modalidad “CF95”</w:t>
      </w:r>
      <w:bookmarkEnd w:id="92"/>
    </w:p>
    <w:p w14:paraId="3EE40925" w14:textId="2524F9D2" w:rsidR="00BC4EE0" w:rsidRDefault="00A67E51" w:rsidP="00A67E51">
      <w:pPr>
        <w:jc w:val="center"/>
        <w:rPr>
          <w:sz w:val="22"/>
          <w:szCs w:val="22"/>
        </w:rPr>
      </w:pPr>
      <w:r>
        <w:rPr>
          <w:noProof/>
          <w:sz w:val="22"/>
          <w:szCs w:val="22"/>
        </w:rPr>
        <w:drawing>
          <wp:inline distT="0" distB="0" distL="0" distR="0" wp14:anchorId="774D981C" wp14:editId="05C6B821">
            <wp:extent cx="5474524" cy="3008908"/>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1633" cy="3012815"/>
                    </a:xfrm>
                    <a:prstGeom prst="rect">
                      <a:avLst/>
                    </a:prstGeom>
                    <a:noFill/>
                    <a:ln>
                      <a:noFill/>
                    </a:ln>
                  </pic:spPr>
                </pic:pic>
              </a:graphicData>
            </a:graphic>
          </wp:inline>
        </w:drawing>
      </w:r>
    </w:p>
    <w:p w14:paraId="44ED5460" w14:textId="5FCACFC6" w:rsidR="00FC4C2E" w:rsidRDefault="00FC4C2E" w:rsidP="009E616A">
      <w:pPr>
        <w:rPr>
          <w:sz w:val="22"/>
          <w:szCs w:val="22"/>
        </w:rPr>
      </w:pPr>
    </w:p>
    <w:p w14:paraId="3F3A92F6" w14:textId="41159557" w:rsidR="00370B5E" w:rsidRDefault="00370B5E" w:rsidP="009E616A">
      <w:pPr>
        <w:rPr>
          <w:sz w:val="22"/>
          <w:szCs w:val="22"/>
        </w:rPr>
      </w:pPr>
      <w:r>
        <w:rPr>
          <w:sz w:val="22"/>
          <w:szCs w:val="22"/>
        </w:rPr>
        <w:t>Sin embargo, hay contratos suscritos bajo las condiciones de flexibilidad dadas en los Parágrafos en mención, que en su momento han sido registrados inicialmente por algunos agentes como contratos firmes o CF95, incluso como contratos OCG o CFC, por lo que no es claro los efectos de la aplicación de dicho parágrafo, más aún cuando precisamente la flexibilidad de da por cuanto en las fuentes mencionadas no hay firmeza de suministro.</w:t>
      </w:r>
      <w:r w:rsidR="004D0345">
        <w:rPr>
          <w:sz w:val="22"/>
          <w:szCs w:val="22"/>
        </w:rPr>
        <w:t xml:space="preserve"> Al final las cantidades contratadas son del tipo firme o del tipo interrumpible en general, e incluso un mismo contrato bajo la flexibilidad que da el Parágrafo</w:t>
      </w:r>
      <w:r w:rsidR="001B3FBF">
        <w:rPr>
          <w:sz w:val="22"/>
          <w:szCs w:val="22"/>
        </w:rPr>
        <w:t>,</w:t>
      </w:r>
      <w:r w:rsidR="004D0345">
        <w:rPr>
          <w:sz w:val="22"/>
          <w:szCs w:val="22"/>
        </w:rPr>
        <w:t xml:space="preserve"> puede ser del tipo mixto, es decir, que contiene el uso de cantidades del tipo firme y de cantidades del tipo interrumpible en un mismo contrato, algo prohibido para los contratos que debe acoger las modalidades establecidas por la CREG.</w:t>
      </w:r>
    </w:p>
    <w:p w14:paraId="3034277C" w14:textId="77777777" w:rsidR="00370B5E" w:rsidRDefault="00370B5E" w:rsidP="009E616A">
      <w:pPr>
        <w:rPr>
          <w:sz w:val="22"/>
          <w:szCs w:val="22"/>
        </w:rPr>
      </w:pPr>
    </w:p>
    <w:p w14:paraId="12B26F8E" w14:textId="6543DB60" w:rsidR="00370B5E" w:rsidRDefault="00370B5E" w:rsidP="009E616A">
      <w:pPr>
        <w:rPr>
          <w:sz w:val="22"/>
          <w:szCs w:val="22"/>
        </w:rPr>
      </w:pPr>
      <w:r>
        <w:rPr>
          <w:sz w:val="22"/>
          <w:szCs w:val="22"/>
        </w:rPr>
        <w:t xml:space="preserve">En ese sentido </w:t>
      </w:r>
      <w:r w:rsidR="00A27CD9">
        <w:rPr>
          <w:sz w:val="22"/>
          <w:szCs w:val="22"/>
        </w:rPr>
        <w:t>es</w:t>
      </w:r>
      <w:r>
        <w:rPr>
          <w:sz w:val="22"/>
          <w:szCs w:val="22"/>
        </w:rPr>
        <w:t xml:space="preserve"> necesario </w:t>
      </w:r>
      <w:r w:rsidR="00A27CD9">
        <w:rPr>
          <w:sz w:val="22"/>
          <w:szCs w:val="22"/>
        </w:rPr>
        <w:t>contar con</w:t>
      </w:r>
      <w:r>
        <w:rPr>
          <w:sz w:val="22"/>
          <w:szCs w:val="22"/>
        </w:rPr>
        <w:t xml:space="preserve"> reglas </w:t>
      </w:r>
      <w:r w:rsidR="00A27CD9">
        <w:rPr>
          <w:sz w:val="22"/>
          <w:szCs w:val="22"/>
        </w:rPr>
        <w:t xml:space="preserve">claras </w:t>
      </w:r>
      <w:r>
        <w:rPr>
          <w:sz w:val="22"/>
          <w:szCs w:val="22"/>
        </w:rPr>
        <w:t>respecto de la modalidad con la que se deben registrar los contratos</w:t>
      </w:r>
      <w:r w:rsidR="001B3FBF">
        <w:rPr>
          <w:sz w:val="22"/>
          <w:szCs w:val="22"/>
        </w:rPr>
        <w:t xml:space="preserve"> acordados</w:t>
      </w:r>
      <w:r>
        <w:rPr>
          <w:sz w:val="22"/>
          <w:szCs w:val="22"/>
        </w:rPr>
        <w:t xml:space="preserve"> bajo el amparo del Parágrafo </w:t>
      </w:r>
      <w:r w:rsidR="001B3FBF">
        <w:rPr>
          <w:sz w:val="22"/>
          <w:szCs w:val="22"/>
        </w:rPr>
        <w:t>que establece</w:t>
      </w:r>
      <w:r>
        <w:rPr>
          <w:sz w:val="22"/>
          <w:szCs w:val="22"/>
        </w:rPr>
        <w:t xml:space="preserve"> la</w:t>
      </w:r>
      <w:r w:rsidR="001B3FBF">
        <w:rPr>
          <w:sz w:val="22"/>
          <w:szCs w:val="22"/>
        </w:rPr>
        <w:t>s</w:t>
      </w:r>
      <w:r>
        <w:rPr>
          <w:sz w:val="22"/>
          <w:szCs w:val="22"/>
        </w:rPr>
        <w:t xml:space="preserve"> flexibilidad</w:t>
      </w:r>
      <w:r w:rsidR="001B3FBF">
        <w:rPr>
          <w:sz w:val="22"/>
          <w:szCs w:val="22"/>
        </w:rPr>
        <w:t>es</w:t>
      </w:r>
      <w:r>
        <w:rPr>
          <w:sz w:val="22"/>
          <w:szCs w:val="22"/>
        </w:rPr>
        <w:t xml:space="preserve"> mencionada</w:t>
      </w:r>
      <w:r w:rsidR="001B3FBF">
        <w:rPr>
          <w:sz w:val="22"/>
          <w:szCs w:val="22"/>
        </w:rPr>
        <w:t>s.</w:t>
      </w:r>
      <w:r>
        <w:rPr>
          <w:sz w:val="22"/>
          <w:szCs w:val="22"/>
        </w:rPr>
        <w:t xml:space="preserve"> </w:t>
      </w:r>
    </w:p>
    <w:p w14:paraId="0291C429" w14:textId="626E618B" w:rsidR="00FC4C2E" w:rsidRDefault="00370B5E" w:rsidP="009E616A">
      <w:pPr>
        <w:rPr>
          <w:sz w:val="22"/>
          <w:szCs w:val="22"/>
        </w:rPr>
      </w:pPr>
      <w:r>
        <w:rPr>
          <w:sz w:val="22"/>
          <w:szCs w:val="22"/>
        </w:rPr>
        <w:t xml:space="preserve"> </w:t>
      </w:r>
      <w:bookmarkStart w:id="93" w:name="_Toc97817420"/>
      <w:bookmarkStart w:id="94" w:name="_Toc97817467"/>
      <w:bookmarkStart w:id="95" w:name="_Toc97817521"/>
      <w:bookmarkStart w:id="96" w:name="_Toc97884164"/>
      <w:bookmarkStart w:id="97" w:name="_Toc97884210"/>
      <w:bookmarkStart w:id="98" w:name="_Toc97884257"/>
      <w:bookmarkStart w:id="99" w:name="_Toc97884302"/>
      <w:bookmarkStart w:id="100" w:name="_Toc99556347"/>
      <w:bookmarkStart w:id="101" w:name="_Toc99574075"/>
      <w:bookmarkStart w:id="102" w:name="_Toc126922343"/>
      <w:bookmarkStart w:id="103" w:name="_Toc126933406"/>
      <w:bookmarkStart w:id="104" w:name="_Toc126937564"/>
      <w:bookmarkStart w:id="105" w:name="_Toc127175022"/>
      <w:bookmarkStart w:id="106" w:name="_Toc127181242"/>
      <w:bookmarkStart w:id="107" w:name="_Toc128727017"/>
      <w:bookmarkStart w:id="108" w:name="_Toc128727079"/>
      <w:bookmarkStart w:id="109" w:name="_Toc128992835"/>
      <w:bookmarkStart w:id="110" w:name="_Toc128994659"/>
      <w:bookmarkStart w:id="111" w:name="_Toc129000633"/>
      <w:bookmarkStart w:id="112" w:name="_Toc129000854"/>
      <w:bookmarkStart w:id="113" w:name="_Toc129006160"/>
      <w:bookmarkStart w:id="114" w:name="_Toc129008513"/>
      <w:bookmarkStart w:id="115" w:name="_Toc129011002"/>
      <w:bookmarkStart w:id="116" w:name="_Toc129011334"/>
      <w:bookmarkStart w:id="117" w:name="_Toc129070002"/>
      <w:bookmarkStart w:id="118" w:name="_Toc129075636"/>
      <w:bookmarkStart w:id="119" w:name="_Toc129076959"/>
      <w:bookmarkStart w:id="120" w:name="_Toc129080751"/>
      <w:bookmarkStart w:id="121" w:name="_Toc129081356"/>
      <w:bookmarkStart w:id="122" w:name="_Toc129081776"/>
      <w:bookmarkStart w:id="123" w:name="_Toc12993584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30DBB38" w14:textId="77777777" w:rsidR="007817E6" w:rsidRPr="007817E6" w:rsidRDefault="007817E6" w:rsidP="00E6525A">
      <w:pPr>
        <w:pStyle w:val="Prrafodelista"/>
        <w:keepNext/>
        <w:keepLines/>
        <w:numPr>
          <w:ilvl w:val="0"/>
          <w:numId w:val="3"/>
        </w:numPr>
        <w:spacing w:before="240" w:line="259" w:lineRule="auto"/>
        <w:outlineLvl w:val="0"/>
        <w:rPr>
          <w:rFonts w:cs="Arial"/>
          <w:b/>
          <w:vanish/>
          <w:sz w:val="22"/>
          <w:szCs w:val="22"/>
        </w:rPr>
      </w:pPr>
      <w:bookmarkStart w:id="124" w:name="_Toc130364035"/>
      <w:bookmarkStart w:id="125" w:name="_Toc130721595"/>
      <w:bookmarkStart w:id="126" w:name="_Toc130722005"/>
      <w:bookmarkStart w:id="127" w:name="_Toc130972457"/>
      <w:bookmarkStart w:id="128" w:name="_Toc132030874"/>
      <w:bookmarkStart w:id="129" w:name="_Toc132193074"/>
      <w:bookmarkStart w:id="130" w:name="_Toc132261415"/>
      <w:bookmarkStart w:id="131" w:name="_Toc132606505"/>
      <w:bookmarkStart w:id="132" w:name="_Toc132623594"/>
      <w:bookmarkStart w:id="133" w:name="_Toc132720895"/>
      <w:bookmarkStart w:id="134" w:name="_Toc133392896"/>
      <w:bookmarkStart w:id="135" w:name="_Toc133488113"/>
      <w:bookmarkStart w:id="136" w:name="_Toc135829731"/>
      <w:bookmarkStart w:id="137" w:name="_Toc135901969"/>
      <w:bookmarkStart w:id="138" w:name="_Toc140506196"/>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297106DF" w14:textId="757B1086" w:rsidR="00E6525A" w:rsidRPr="00771A16" w:rsidRDefault="00E6525A" w:rsidP="00E6525A">
      <w:pPr>
        <w:pStyle w:val="Ttulo1"/>
        <w:keepLines/>
        <w:numPr>
          <w:ilvl w:val="0"/>
          <w:numId w:val="3"/>
        </w:numPr>
        <w:suppressAutoHyphens w:val="0"/>
        <w:spacing w:before="240" w:after="0" w:line="259" w:lineRule="auto"/>
        <w:rPr>
          <w:rFonts w:cs="Arial"/>
          <w:sz w:val="22"/>
          <w:szCs w:val="22"/>
        </w:rPr>
      </w:pPr>
      <w:bookmarkStart w:id="139" w:name="_Toc140506197"/>
      <w:r w:rsidRPr="00771A16">
        <w:rPr>
          <w:rFonts w:cs="Arial"/>
          <w:sz w:val="22"/>
          <w:szCs w:val="22"/>
        </w:rPr>
        <w:t>OBJETIVO</w:t>
      </w:r>
      <w:r w:rsidR="001E3FC7" w:rsidRPr="00771A16">
        <w:rPr>
          <w:rFonts w:cs="Arial"/>
          <w:sz w:val="22"/>
          <w:szCs w:val="22"/>
        </w:rPr>
        <w:t xml:space="preserve"> GENERALES</w:t>
      </w:r>
      <w:r w:rsidRPr="00771A16">
        <w:rPr>
          <w:rFonts w:cs="Arial"/>
          <w:sz w:val="22"/>
          <w:szCs w:val="22"/>
        </w:rPr>
        <w:t xml:space="preserve"> </w:t>
      </w:r>
      <w:r w:rsidR="00E70091" w:rsidRPr="00771A16">
        <w:rPr>
          <w:rFonts w:cs="Arial"/>
          <w:sz w:val="22"/>
          <w:szCs w:val="22"/>
        </w:rPr>
        <w:t xml:space="preserve">y </w:t>
      </w:r>
      <w:r w:rsidR="00A00C8C" w:rsidRPr="00771A16">
        <w:rPr>
          <w:rFonts w:cs="Arial"/>
          <w:sz w:val="22"/>
          <w:szCs w:val="22"/>
        </w:rPr>
        <w:t xml:space="preserve">OBJETIVOS </w:t>
      </w:r>
      <w:r w:rsidR="00E70091" w:rsidRPr="00771A16">
        <w:rPr>
          <w:rFonts w:cs="Arial"/>
          <w:sz w:val="22"/>
          <w:szCs w:val="22"/>
        </w:rPr>
        <w:t>ESPECÍFICOS</w:t>
      </w:r>
      <w:bookmarkEnd w:id="139"/>
    </w:p>
    <w:p w14:paraId="3DECC1DC" w14:textId="7FE3359A" w:rsidR="00A00C8C" w:rsidRPr="00771A16" w:rsidRDefault="00510C23" w:rsidP="00510C23">
      <w:pPr>
        <w:rPr>
          <w:rFonts w:cs="Arial"/>
          <w:sz w:val="22"/>
          <w:szCs w:val="22"/>
        </w:rPr>
      </w:pPr>
      <w:r w:rsidRPr="00771A16">
        <w:rPr>
          <w:sz w:val="22"/>
          <w:szCs w:val="22"/>
        </w:rPr>
        <w:t xml:space="preserve"> </w:t>
      </w:r>
    </w:p>
    <w:p w14:paraId="24F37012" w14:textId="77777777" w:rsidR="00A00C8C" w:rsidRPr="00771A16" w:rsidRDefault="00A00C8C" w:rsidP="00A00C8C">
      <w:pPr>
        <w:pStyle w:val="Prrafodelista"/>
        <w:keepNext/>
        <w:numPr>
          <w:ilvl w:val="0"/>
          <w:numId w:val="1"/>
        </w:numPr>
        <w:suppressAutoHyphens/>
        <w:spacing w:after="240"/>
        <w:outlineLvl w:val="0"/>
        <w:rPr>
          <w:b/>
          <w:vanish/>
          <w:sz w:val="22"/>
          <w:szCs w:val="22"/>
        </w:rPr>
      </w:pPr>
      <w:bookmarkStart w:id="140" w:name="_Toc97884166"/>
      <w:bookmarkStart w:id="141" w:name="_Toc97884212"/>
      <w:bookmarkStart w:id="142" w:name="_Toc97884259"/>
      <w:bookmarkStart w:id="143" w:name="_Toc97884304"/>
      <w:bookmarkStart w:id="144" w:name="_Toc99556349"/>
      <w:bookmarkStart w:id="145" w:name="_Toc99574077"/>
      <w:bookmarkStart w:id="146" w:name="_Toc126922345"/>
      <w:bookmarkStart w:id="147" w:name="_Toc126933408"/>
      <w:bookmarkStart w:id="148" w:name="_Toc126937566"/>
      <w:bookmarkStart w:id="149" w:name="_Toc127175024"/>
      <w:bookmarkStart w:id="150" w:name="_Toc127181244"/>
      <w:bookmarkStart w:id="151" w:name="_Toc128727019"/>
      <w:bookmarkStart w:id="152" w:name="_Toc128727081"/>
      <w:bookmarkStart w:id="153" w:name="_Toc128992837"/>
      <w:bookmarkStart w:id="154" w:name="_Toc128994661"/>
      <w:bookmarkStart w:id="155" w:name="_Toc129000635"/>
      <w:bookmarkStart w:id="156" w:name="_Toc129000856"/>
      <w:bookmarkStart w:id="157" w:name="_Toc129006162"/>
      <w:bookmarkStart w:id="158" w:name="_Toc129008515"/>
      <w:bookmarkStart w:id="159" w:name="_Toc129011004"/>
      <w:bookmarkStart w:id="160" w:name="_Toc129011336"/>
      <w:bookmarkStart w:id="161" w:name="_Toc129070004"/>
      <w:bookmarkStart w:id="162" w:name="_Toc129075638"/>
      <w:bookmarkStart w:id="163" w:name="_Toc129076961"/>
      <w:bookmarkStart w:id="164" w:name="_Toc129080753"/>
      <w:bookmarkStart w:id="165" w:name="_Toc129081358"/>
      <w:bookmarkStart w:id="166" w:name="_Toc129081778"/>
      <w:bookmarkStart w:id="167" w:name="_Toc129935843"/>
      <w:bookmarkStart w:id="168" w:name="_Toc130364037"/>
      <w:bookmarkStart w:id="169" w:name="_Toc130721597"/>
      <w:bookmarkStart w:id="170" w:name="_Toc130722007"/>
      <w:bookmarkStart w:id="171" w:name="_Toc130972459"/>
      <w:bookmarkStart w:id="172" w:name="_Toc132030876"/>
      <w:bookmarkStart w:id="173" w:name="_Toc132193076"/>
      <w:bookmarkStart w:id="174" w:name="_Toc132261417"/>
      <w:bookmarkStart w:id="175" w:name="_Toc132606507"/>
      <w:bookmarkStart w:id="176" w:name="_Toc132623596"/>
      <w:bookmarkStart w:id="177" w:name="_Toc132720897"/>
      <w:bookmarkStart w:id="178" w:name="_Toc133392898"/>
      <w:bookmarkStart w:id="179" w:name="_Toc133488115"/>
      <w:bookmarkStart w:id="180" w:name="_Toc135829733"/>
      <w:bookmarkStart w:id="181" w:name="_Toc135901971"/>
      <w:bookmarkStart w:id="182" w:name="_Toc14050619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9FB9C2B" w14:textId="69BD79B8" w:rsidR="00A00C8C" w:rsidRPr="00771A16" w:rsidRDefault="00A00C8C" w:rsidP="00A00C8C">
      <w:pPr>
        <w:pStyle w:val="Ttulo2"/>
        <w:rPr>
          <w:sz w:val="22"/>
          <w:szCs w:val="22"/>
        </w:rPr>
      </w:pPr>
      <w:bookmarkStart w:id="183" w:name="_Toc140506199"/>
      <w:r w:rsidRPr="00771A16">
        <w:rPr>
          <w:sz w:val="22"/>
          <w:szCs w:val="22"/>
        </w:rPr>
        <w:t>Objetivo general</w:t>
      </w:r>
      <w:bookmarkEnd w:id="183"/>
    </w:p>
    <w:p w14:paraId="346C345B" w14:textId="1353F5B1" w:rsidR="00693071" w:rsidRPr="00771A16" w:rsidRDefault="007A2A15" w:rsidP="00660603">
      <w:pPr>
        <w:rPr>
          <w:sz w:val="22"/>
          <w:szCs w:val="22"/>
        </w:rPr>
      </w:pPr>
      <w:r w:rsidRPr="00771A16">
        <w:rPr>
          <w:sz w:val="22"/>
          <w:szCs w:val="22"/>
        </w:rPr>
        <w:t xml:space="preserve">Se </w:t>
      </w:r>
      <w:r w:rsidR="002E6294" w:rsidRPr="00771A16">
        <w:rPr>
          <w:sz w:val="22"/>
          <w:szCs w:val="22"/>
        </w:rPr>
        <w:t>proponen</w:t>
      </w:r>
      <w:r w:rsidR="006F0355" w:rsidRPr="00771A16">
        <w:rPr>
          <w:sz w:val="22"/>
          <w:szCs w:val="22"/>
        </w:rPr>
        <w:t xml:space="preserve"> ajustes a las reglas </w:t>
      </w:r>
      <w:r w:rsidR="00E70FBB" w:rsidRPr="00771A16">
        <w:rPr>
          <w:sz w:val="22"/>
          <w:szCs w:val="22"/>
        </w:rPr>
        <w:t xml:space="preserve">vigentes </w:t>
      </w:r>
      <w:r w:rsidR="006F0355" w:rsidRPr="00771A16">
        <w:rPr>
          <w:sz w:val="22"/>
          <w:szCs w:val="22"/>
        </w:rPr>
        <w:t xml:space="preserve">de </w:t>
      </w:r>
      <w:r w:rsidR="00E70FBB" w:rsidRPr="00771A16">
        <w:rPr>
          <w:sz w:val="22"/>
          <w:szCs w:val="22"/>
        </w:rPr>
        <w:t xml:space="preserve">la </w:t>
      </w:r>
      <w:r w:rsidR="006F0355" w:rsidRPr="00771A16">
        <w:rPr>
          <w:sz w:val="22"/>
          <w:szCs w:val="22"/>
        </w:rPr>
        <w:t xml:space="preserve">comercialización mayorista del suministro de gas </w:t>
      </w:r>
      <w:r w:rsidR="002512EA" w:rsidRPr="00771A16">
        <w:rPr>
          <w:sz w:val="22"/>
          <w:szCs w:val="22"/>
        </w:rPr>
        <w:t>natural</w:t>
      </w:r>
      <w:r w:rsidR="00A00C8C" w:rsidRPr="00771A16">
        <w:rPr>
          <w:sz w:val="22"/>
          <w:szCs w:val="22"/>
        </w:rPr>
        <w:t>,</w:t>
      </w:r>
      <w:r w:rsidR="00035311" w:rsidRPr="00771A16">
        <w:rPr>
          <w:sz w:val="22"/>
          <w:szCs w:val="22"/>
        </w:rPr>
        <w:t xml:space="preserve"> </w:t>
      </w:r>
      <w:r w:rsidR="00EA79A5" w:rsidRPr="00771A16">
        <w:rPr>
          <w:sz w:val="22"/>
          <w:szCs w:val="22"/>
        </w:rPr>
        <w:t>con mayor</w:t>
      </w:r>
      <w:r w:rsidR="00127310">
        <w:rPr>
          <w:sz w:val="22"/>
          <w:szCs w:val="22"/>
        </w:rPr>
        <w:t xml:space="preserve">es ajustes </w:t>
      </w:r>
      <w:r w:rsidR="00035311" w:rsidRPr="00771A16">
        <w:rPr>
          <w:sz w:val="22"/>
          <w:szCs w:val="22"/>
        </w:rPr>
        <w:t xml:space="preserve">en el </w:t>
      </w:r>
      <w:r w:rsidR="00AC32B5" w:rsidRPr="00771A16">
        <w:rPr>
          <w:sz w:val="22"/>
          <w:szCs w:val="22"/>
        </w:rPr>
        <w:t>Mercado Primario</w:t>
      </w:r>
      <w:r w:rsidR="00127310">
        <w:rPr>
          <w:sz w:val="22"/>
          <w:szCs w:val="22"/>
        </w:rPr>
        <w:t xml:space="preserve"> y menores ajustes en el Mercado Secundario</w:t>
      </w:r>
      <w:r w:rsidR="00035311" w:rsidRPr="00771A16">
        <w:rPr>
          <w:sz w:val="22"/>
          <w:szCs w:val="22"/>
        </w:rPr>
        <w:t xml:space="preserve">, </w:t>
      </w:r>
      <w:r w:rsidR="00F01C85" w:rsidRPr="00771A16">
        <w:rPr>
          <w:sz w:val="22"/>
          <w:szCs w:val="22"/>
        </w:rPr>
        <w:t xml:space="preserve">que permitan cumplir </w:t>
      </w:r>
      <w:r w:rsidR="00A00C8C" w:rsidRPr="00771A16">
        <w:rPr>
          <w:sz w:val="22"/>
          <w:szCs w:val="22"/>
        </w:rPr>
        <w:t>de una manera más efectiva</w:t>
      </w:r>
      <w:r w:rsidR="00F01C85" w:rsidRPr="00771A16">
        <w:rPr>
          <w:sz w:val="22"/>
          <w:szCs w:val="22"/>
        </w:rPr>
        <w:t xml:space="preserve"> los objetivos trazados por la Comisión para </w:t>
      </w:r>
      <w:r w:rsidR="00A274D5" w:rsidRPr="00771A16">
        <w:rPr>
          <w:sz w:val="22"/>
          <w:szCs w:val="22"/>
        </w:rPr>
        <w:t>el funcionamiento del mercado mayorista</w:t>
      </w:r>
      <w:r w:rsidR="002512EA" w:rsidRPr="00771A16">
        <w:rPr>
          <w:sz w:val="22"/>
          <w:szCs w:val="22"/>
        </w:rPr>
        <w:t>, a partir de la Resolución CREG 089 de 2013</w:t>
      </w:r>
      <w:r w:rsidR="00E70FBB" w:rsidRPr="00771A16">
        <w:rPr>
          <w:sz w:val="22"/>
          <w:szCs w:val="22"/>
        </w:rPr>
        <w:t>,</w:t>
      </w:r>
      <w:r w:rsidR="002B025F" w:rsidRPr="00771A16">
        <w:rPr>
          <w:sz w:val="22"/>
          <w:szCs w:val="22"/>
        </w:rPr>
        <w:t xml:space="preserve"> con sus </w:t>
      </w:r>
      <w:r w:rsidR="00A00C8C" w:rsidRPr="00771A16">
        <w:rPr>
          <w:sz w:val="22"/>
          <w:szCs w:val="22"/>
        </w:rPr>
        <w:t xml:space="preserve">posteriores </w:t>
      </w:r>
      <w:r w:rsidR="002B025F" w:rsidRPr="00771A16">
        <w:rPr>
          <w:sz w:val="22"/>
          <w:szCs w:val="22"/>
        </w:rPr>
        <w:t xml:space="preserve">modificaciones y </w:t>
      </w:r>
      <w:r w:rsidR="001B59AB" w:rsidRPr="00771A16">
        <w:rPr>
          <w:sz w:val="22"/>
          <w:szCs w:val="22"/>
        </w:rPr>
        <w:t>compilaciones</w:t>
      </w:r>
      <w:r w:rsidR="00F11FB6" w:rsidRPr="00771A16">
        <w:rPr>
          <w:sz w:val="22"/>
          <w:szCs w:val="22"/>
        </w:rPr>
        <w:t>.</w:t>
      </w:r>
      <w:r w:rsidR="00D7162E" w:rsidRPr="00771A16">
        <w:rPr>
          <w:sz w:val="22"/>
          <w:szCs w:val="22"/>
        </w:rPr>
        <w:t xml:space="preserve"> Estos objetivos </w:t>
      </w:r>
      <w:r w:rsidR="00693071" w:rsidRPr="00771A16">
        <w:rPr>
          <w:sz w:val="22"/>
          <w:szCs w:val="22"/>
        </w:rPr>
        <w:t>parten d</w:t>
      </w:r>
      <w:r w:rsidR="00771324" w:rsidRPr="00771A16">
        <w:rPr>
          <w:sz w:val="22"/>
          <w:szCs w:val="22"/>
        </w:rPr>
        <w:t>e</w:t>
      </w:r>
      <w:r w:rsidR="00A00C8C" w:rsidRPr="00771A16">
        <w:rPr>
          <w:sz w:val="22"/>
          <w:szCs w:val="22"/>
        </w:rPr>
        <w:t xml:space="preserve"> </w:t>
      </w:r>
      <w:r w:rsidR="00771324" w:rsidRPr="00771A16">
        <w:rPr>
          <w:sz w:val="22"/>
          <w:szCs w:val="22"/>
        </w:rPr>
        <w:t>l</w:t>
      </w:r>
      <w:r w:rsidR="00A00C8C" w:rsidRPr="00771A16">
        <w:rPr>
          <w:sz w:val="22"/>
          <w:szCs w:val="22"/>
        </w:rPr>
        <w:t>os</w:t>
      </w:r>
      <w:r w:rsidR="00771324" w:rsidRPr="00771A16">
        <w:rPr>
          <w:sz w:val="22"/>
          <w:szCs w:val="22"/>
        </w:rPr>
        <w:t xml:space="preserve"> </w:t>
      </w:r>
      <w:r w:rsidR="001C4073" w:rsidRPr="00771A16">
        <w:rPr>
          <w:sz w:val="22"/>
          <w:szCs w:val="22"/>
        </w:rPr>
        <w:t>lineamiento</w:t>
      </w:r>
      <w:r w:rsidR="00A00C8C" w:rsidRPr="00771A16">
        <w:rPr>
          <w:sz w:val="22"/>
          <w:szCs w:val="22"/>
        </w:rPr>
        <w:t>s</w:t>
      </w:r>
      <w:r w:rsidR="001C4073" w:rsidRPr="00771A16">
        <w:rPr>
          <w:sz w:val="22"/>
          <w:szCs w:val="22"/>
        </w:rPr>
        <w:t xml:space="preserve"> </w:t>
      </w:r>
      <w:r w:rsidR="00FF752B" w:rsidRPr="00771A16">
        <w:rPr>
          <w:sz w:val="22"/>
          <w:szCs w:val="22"/>
        </w:rPr>
        <w:t>establecido</w:t>
      </w:r>
      <w:r w:rsidR="00A00C8C" w:rsidRPr="00771A16">
        <w:rPr>
          <w:sz w:val="22"/>
          <w:szCs w:val="22"/>
        </w:rPr>
        <w:t>s</w:t>
      </w:r>
      <w:r w:rsidR="00FF752B" w:rsidRPr="00771A16">
        <w:rPr>
          <w:sz w:val="22"/>
          <w:szCs w:val="22"/>
        </w:rPr>
        <w:t xml:space="preserve"> en</w:t>
      </w:r>
      <w:r w:rsidR="001C4073" w:rsidRPr="00771A16">
        <w:rPr>
          <w:sz w:val="22"/>
          <w:szCs w:val="22"/>
        </w:rPr>
        <w:t xml:space="preserve"> la política energética</w:t>
      </w:r>
      <w:r w:rsidR="00FF752B" w:rsidRPr="00771A16">
        <w:rPr>
          <w:sz w:val="22"/>
          <w:szCs w:val="22"/>
        </w:rPr>
        <w:t xml:space="preserve"> mediante el Decreto 1073 de 2015, en cuanto a</w:t>
      </w:r>
      <w:r w:rsidR="001C4073" w:rsidRPr="00771A16">
        <w:rPr>
          <w:sz w:val="22"/>
          <w:szCs w:val="22"/>
        </w:rPr>
        <w:t xml:space="preserve">l </w:t>
      </w:r>
      <w:r w:rsidR="00693071" w:rsidRPr="00771A16">
        <w:rPr>
          <w:sz w:val="22"/>
          <w:szCs w:val="22"/>
        </w:rPr>
        <w:t>deber de</w:t>
      </w:r>
      <w:r w:rsidR="00D7162E" w:rsidRPr="00771A16">
        <w:rPr>
          <w:sz w:val="22"/>
          <w:szCs w:val="22"/>
        </w:rPr>
        <w:t xml:space="preserve"> </w:t>
      </w:r>
      <w:r w:rsidR="00AC7414" w:rsidRPr="00771A16">
        <w:rPr>
          <w:sz w:val="22"/>
          <w:szCs w:val="22"/>
        </w:rPr>
        <w:t>promover la competencia, propiciar la formación de precios eficientes a través de procesos que reflejen el costo de oportunidad del recurso, considerando las diferentes variables que inciden en su formación, así como mitigar los efectos de la concentración del mercado y generar información oportuna y suficiente para los Agentes</w:t>
      </w:r>
      <w:r w:rsidR="00693071" w:rsidRPr="00771A16">
        <w:rPr>
          <w:sz w:val="22"/>
          <w:szCs w:val="22"/>
        </w:rPr>
        <w:t xml:space="preserve">. </w:t>
      </w:r>
    </w:p>
    <w:p w14:paraId="3A751EE2" w14:textId="61E51FD5" w:rsidR="00693071" w:rsidRPr="00771A16" w:rsidRDefault="00693071" w:rsidP="00660603">
      <w:pPr>
        <w:rPr>
          <w:sz w:val="22"/>
          <w:szCs w:val="22"/>
        </w:rPr>
      </w:pPr>
    </w:p>
    <w:p w14:paraId="480266B3" w14:textId="212076EB" w:rsidR="00A00C8C" w:rsidRPr="00771A16" w:rsidRDefault="00622343" w:rsidP="00660603">
      <w:pPr>
        <w:rPr>
          <w:sz w:val="22"/>
          <w:szCs w:val="22"/>
        </w:rPr>
      </w:pPr>
      <w:r>
        <w:rPr>
          <w:sz w:val="22"/>
          <w:szCs w:val="22"/>
        </w:rPr>
        <w:t xml:space="preserve">De manera específica la Comisión busca </w:t>
      </w:r>
      <w:r w:rsidR="00127310">
        <w:rPr>
          <w:sz w:val="22"/>
          <w:szCs w:val="22"/>
        </w:rPr>
        <w:t xml:space="preserve">lograr </w:t>
      </w:r>
      <w:r w:rsidR="00781134">
        <w:rPr>
          <w:sz w:val="22"/>
          <w:szCs w:val="22"/>
        </w:rPr>
        <w:t>los siguientes objetivos:</w:t>
      </w:r>
    </w:p>
    <w:p w14:paraId="42CBC54A" w14:textId="77777777" w:rsidR="00A00C8C" w:rsidRPr="00771A16" w:rsidRDefault="00A00C8C" w:rsidP="00660603">
      <w:pPr>
        <w:rPr>
          <w:sz w:val="22"/>
          <w:szCs w:val="22"/>
        </w:rPr>
      </w:pPr>
    </w:p>
    <w:p w14:paraId="0A38793F" w14:textId="27B96C43" w:rsidR="00A00C8C" w:rsidRPr="00771A16" w:rsidRDefault="00A00C8C" w:rsidP="004D7395">
      <w:pPr>
        <w:pStyle w:val="Ttulo2"/>
        <w:rPr>
          <w:sz w:val="22"/>
          <w:szCs w:val="22"/>
        </w:rPr>
      </w:pPr>
      <w:bookmarkStart w:id="184" w:name="_Toc140506200"/>
      <w:r w:rsidRPr="00771A16">
        <w:rPr>
          <w:sz w:val="22"/>
          <w:szCs w:val="22"/>
        </w:rPr>
        <w:t>Objetivos específicos</w:t>
      </w:r>
      <w:bookmarkEnd w:id="184"/>
    </w:p>
    <w:p w14:paraId="0F7AFE51" w14:textId="41F416DA" w:rsidR="00A00C8C" w:rsidRPr="00771A16" w:rsidRDefault="00A00C8C" w:rsidP="00A00C8C">
      <w:pPr>
        <w:pStyle w:val="Ttulo3"/>
        <w:rPr>
          <w:sz w:val="22"/>
          <w:szCs w:val="22"/>
        </w:rPr>
      </w:pPr>
      <w:bookmarkStart w:id="185" w:name="_Toc140506201"/>
      <w:r w:rsidRPr="00771A16">
        <w:rPr>
          <w:sz w:val="22"/>
          <w:szCs w:val="22"/>
        </w:rPr>
        <w:t>Flexibilidad en el proceso de contratación y los tipos de contratos</w:t>
      </w:r>
      <w:bookmarkEnd w:id="185"/>
    </w:p>
    <w:p w14:paraId="1B95655C" w14:textId="7743D587" w:rsidR="00A00C8C" w:rsidRPr="00771A16" w:rsidRDefault="00A00C8C" w:rsidP="00A00C8C">
      <w:pPr>
        <w:rPr>
          <w:sz w:val="22"/>
          <w:szCs w:val="22"/>
        </w:rPr>
      </w:pPr>
      <w:r w:rsidRPr="00771A16">
        <w:rPr>
          <w:sz w:val="22"/>
          <w:szCs w:val="22"/>
        </w:rPr>
        <w:t xml:space="preserve">Se busca desmontar aquellos mecanismos de comercialización, modalidades y condiciones contractuales que no han sido efectivas o que no han logrado cumplir el objetivo propuesto con ellas, y que además han resultado en inflexibilidades para que los participantes del Mercado Primario, tanto vendedores como compradores, optimicen sus objetivos de cantidad y precio del gas a contratar. </w:t>
      </w:r>
      <w:r w:rsidR="00D53BD0" w:rsidRPr="00771A16">
        <w:rPr>
          <w:sz w:val="22"/>
          <w:szCs w:val="22"/>
        </w:rPr>
        <w:t>A</w:t>
      </w:r>
      <w:r w:rsidR="00D53BD0">
        <w:rPr>
          <w:sz w:val="22"/>
          <w:szCs w:val="22"/>
        </w:rPr>
        <w:t>sí mismo, se buscará una mayor flexibilidad en el proceso de contratación que refleje la realidad operativa de las fuentes de suministro, así como también la incorporación de nueva demanda asociada a nuevos proyectos de inversión de usuarios para consumir gas</w:t>
      </w:r>
      <w:r w:rsidR="002D35C0">
        <w:rPr>
          <w:sz w:val="22"/>
          <w:szCs w:val="22"/>
        </w:rPr>
        <w:t>, así como implementar nuev</w:t>
      </w:r>
      <w:r w:rsidR="00BF4E12">
        <w:rPr>
          <w:sz w:val="22"/>
          <w:szCs w:val="22"/>
        </w:rPr>
        <w:t>o</w:t>
      </w:r>
      <w:r w:rsidR="002D35C0">
        <w:rPr>
          <w:sz w:val="22"/>
          <w:szCs w:val="22"/>
        </w:rPr>
        <w:t xml:space="preserve">s </w:t>
      </w:r>
      <w:r w:rsidR="00BF4E12">
        <w:rPr>
          <w:sz w:val="22"/>
          <w:szCs w:val="22"/>
        </w:rPr>
        <w:t xml:space="preserve">mecanismos y </w:t>
      </w:r>
      <w:r w:rsidR="002D35C0">
        <w:rPr>
          <w:sz w:val="22"/>
          <w:szCs w:val="22"/>
        </w:rPr>
        <w:t>modalidades de contratos en reemplazo de</w:t>
      </w:r>
      <w:r w:rsidR="00BF4E12">
        <w:rPr>
          <w:sz w:val="22"/>
          <w:szCs w:val="22"/>
        </w:rPr>
        <w:t xml:space="preserve"> aquellos que se están desmontando</w:t>
      </w:r>
      <w:r w:rsidR="00D53BD0">
        <w:rPr>
          <w:sz w:val="22"/>
          <w:szCs w:val="22"/>
        </w:rPr>
        <w:t>.</w:t>
      </w:r>
    </w:p>
    <w:p w14:paraId="310822BF" w14:textId="77777777" w:rsidR="00A00C8C" w:rsidRPr="00771A16" w:rsidRDefault="00A00C8C" w:rsidP="00A00C8C">
      <w:pPr>
        <w:rPr>
          <w:sz w:val="22"/>
          <w:szCs w:val="22"/>
        </w:rPr>
      </w:pPr>
    </w:p>
    <w:p w14:paraId="06FF4D91" w14:textId="464E038B" w:rsidR="00A00C8C" w:rsidRPr="00771A16" w:rsidRDefault="00A00C8C" w:rsidP="00A00C8C">
      <w:pPr>
        <w:rPr>
          <w:sz w:val="22"/>
          <w:szCs w:val="22"/>
        </w:rPr>
      </w:pPr>
      <w:r w:rsidRPr="00771A16">
        <w:rPr>
          <w:sz w:val="22"/>
          <w:szCs w:val="22"/>
        </w:rPr>
        <w:t>En este sentido más adelante en el documento se especifican y sustentan las siguientes propuestas:</w:t>
      </w:r>
    </w:p>
    <w:p w14:paraId="7E88C81B" w14:textId="77777777" w:rsidR="00A00C8C" w:rsidRPr="00771A16" w:rsidRDefault="00A00C8C" w:rsidP="00A00C8C">
      <w:pPr>
        <w:rPr>
          <w:sz w:val="22"/>
          <w:szCs w:val="22"/>
        </w:rPr>
      </w:pPr>
    </w:p>
    <w:p w14:paraId="0CCE8CBC" w14:textId="6EAFA584" w:rsidR="00A00C8C" w:rsidRPr="00771A16" w:rsidRDefault="00A00C8C">
      <w:pPr>
        <w:pStyle w:val="Prrafodelista"/>
        <w:numPr>
          <w:ilvl w:val="0"/>
          <w:numId w:val="16"/>
        </w:numPr>
        <w:ind w:left="360"/>
        <w:rPr>
          <w:sz w:val="22"/>
          <w:szCs w:val="22"/>
          <w:lang w:val="es-ES"/>
        </w:rPr>
      </w:pPr>
      <w:r w:rsidRPr="00771A16">
        <w:rPr>
          <w:sz w:val="22"/>
          <w:szCs w:val="22"/>
          <w:lang w:val="es-ES"/>
        </w:rPr>
        <w:t>Eliminación del C1 y C2 por poca efectividad en el mercado.</w:t>
      </w:r>
      <w:r w:rsidR="00FD7D12" w:rsidRPr="00771A16">
        <w:rPr>
          <w:sz w:val="22"/>
          <w:szCs w:val="22"/>
          <w:lang w:val="es-ES"/>
        </w:rPr>
        <w:t xml:space="preserve"> Se incluyen productos de duración trimestral, mensual, con nueva modalidad CF80 y aplicación a todas las modalidades vigentes (CF95, OCG, CFC y demás).</w:t>
      </w:r>
    </w:p>
    <w:p w14:paraId="6AF9B22E" w14:textId="77777777" w:rsidR="00A00C8C" w:rsidRPr="00A00C8C" w:rsidRDefault="00A00C8C" w:rsidP="00FD7D12">
      <w:pPr>
        <w:rPr>
          <w:sz w:val="22"/>
          <w:szCs w:val="22"/>
          <w:lang w:val="es-ES"/>
        </w:rPr>
      </w:pPr>
    </w:p>
    <w:p w14:paraId="08357D29" w14:textId="2A49CFA8" w:rsidR="00A00C8C" w:rsidRPr="00771A16" w:rsidRDefault="00A00C8C">
      <w:pPr>
        <w:pStyle w:val="Prrafodelista"/>
        <w:numPr>
          <w:ilvl w:val="0"/>
          <w:numId w:val="16"/>
        </w:numPr>
        <w:ind w:left="360"/>
        <w:rPr>
          <w:sz w:val="22"/>
          <w:szCs w:val="22"/>
          <w:lang w:val="es-ES"/>
        </w:rPr>
      </w:pPr>
      <w:r w:rsidRPr="00771A16">
        <w:rPr>
          <w:sz w:val="22"/>
          <w:szCs w:val="22"/>
          <w:lang w:val="es-ES"/>
        </w:rPr>
        <w:t xml:space="preserve">Eliminación de las subastas bimestrales por inclusión de productos </w:t>
      </w:r>
      <w:r w:rsidR="00FD7D12" w:rsidRPr="00771A16">
        <w:rPr>
          <w:sz w:val="22"/>
          <w:szCs w:val="22"/>
          <w:lang w:val="es-ES"/>
        </w:rPr>
        <w:t>de duración trimestral y mensual, con negociaciones en el trimestre estándar anterior</w:t>
      </w:r>
      <w:r w:rsidRPr="00771A16">
        <w:rPr>
          <w:sz w:val="22"/>
          <w:szCs w:val="22"/>
          <w:lang w:val="es-ES"/>
        </w:rPr>
        <w:t>.</w:t>
      </w:r>
    </w:p>
    <w:p w14:paraId="070F377C" w14:textId="77777777" w:rsidR="00A00C8C" w:rsidRPr="00A00C8C" w:rsidRDefault="00A00C8C" w:rsidP="00FD7D12">
      <w:pPr>
        <w:rPr>
          <w:sz w:val="22"/>
          <w:szCs w:val="22"/>
          <w:lang w:val="es-ES"/>
        </w:rPr>
      </w:pPr>
    </w:p>
    <w:p w14:paraId="6DD03C41" w14:textId="156BA2CC" w:rsidR="00A00C8C" w:rsidRPr="00771A16" w:rsidRDefault="00A00C8C">
      <w:pPr>
        <w:pStyle w:val="Prrafodelista"/>
        <w:numPr>
          <w:ilvl w:val="0"/>
          <w:numId w:val="16"/>
        </w:numPr>
        <w:ind w:left="360"/>
        <w:rPr>
          <w:sz w:val="22"/>
          <w:szCs w:val="22"/>
          <w:lang w:val="es-ES"/>
        </w:rPr>
      </w:pPr>
      <w:r w:rsidRPr="00771A16">
        <w:rPr>
          <w:sz w:val="22"/>
          <w:szCs w:val="22"/>
          <w:lang w:val="es-ES"/>
        </w:rPr>
        <w:t xml:space="preserve">Eliminación del esquema del cronograma anual vigente, mediante circular de la CREG, de un solo momento de negociación en el año. Se pasa a negociación cada trimestre estándar, acoplado a la comercialización de la capacidad de transporte. </w:t>
      </w:r>
    </w:p>
    <w:p w14:paraId="68A469E5" w14:textId="77777777" w:rsidR="00A00C8C" w:rsidRPr="00A00C8C" w:rsidRDefault="00A00C8C" w:rsidP="00FD7D12">
      <w:pPr>
        <w:rPr>
          <w:sz w:val="22"/>
          <w:szCs w:val="22"/>
          <w:lang w:val="es-ES"/>
        </w:rPr>
      </w:pPr>
    </w:p>
    <w:p w14:paraId="24DA460E" w14:textId="77777777" w:rsidR="003D0F4D" w:rsidRDefault="00A00C8C">
      <w:pPr>
        <w:pStyle w:val="Prrafodelista"/>
        <w:numPr>
          <w:ilvl w:val="0"/>
          <w:numId w:val="16"/>
        </w:numPr>
        <w:ind w:left="360"/>
        <w:rPr>
          <w:sz w:val="22"/>
          <w:szCs w:val="22"/>
          <w:lang w:val="es-ES"/>
        </w:rPr>
      </w:pPr>
      <w:r w:rsidRPr="00771A16">
        <w:rPr>
          <w:sz w:val="22"/>
          <w:szCs w:val="22"/>
          <w:u w:val="single"/>
          <w:lang w:val="es-ES"/>
        </w:rPr>
        <w:t>S</w:t>
      </w:r>
      <w:r w:rsidRPr="00771A16">
        <w:rPr>
          <w:sz w:val="22"/>
          <w:szCs w:val="22"/>
          <w:lang w:val="es-ES"/>
        </w:rPr>
        <w:t>e podrán suscribir contratos de suministro en el Mercado Primario, como mínimo de duración de un trimestre estándar y hasta de 10 años (Se ajusta a trimestre estándar como en transporte para alinear estas dos contrataciones). Se incluyen los contratos mensuales de manera residual solo para el primer trimestre de ejecución siguiente. Lo anterior, acoplado a la comercialización de la capacidad de transport</w:t>
      </w:r>
      <w:r w:rsidR="003D0F4D">
        <w:rPr>
          <w:sz w:val="22"/>
          <w:szCs w:val="22"/>
          <w:lang w:val="es-ES"/>
        </w:rPr>
        <w:t xml:space="preserve">e. </w:t>
      </w:r>
    </w:p>
    <w:p w14:paraId="64BE53F6" w14:textId="77777777" w:rsidR="003D0F4D" w:rsidRPr="003D0F4D" w:rsidRDefault="003D0F4D" w:rsidP="003D0F4D">
      <w:pPr>
        <w:pStyle w:val="Prrafodelista"/>
        <w:rPr>
          <w:sz w:val="22"/>
          <w:szCs w:val="22"/>
          <w:lang w:val="es-ES"/>
        </w:rPr>
      </w:pPr>
    </w:p>
    <w:p w14:paraId="067F5FC5" w14:textId="762F6082" w:rsidR="00A00C8C" w:rsidRPr="00771A16" w:rsidRDefault="003D0F4D">
      <w:pPr>
        <w:pStyle w:val="Prrafodelista"/>
        <w:numPr>
          <w:ilvl w:val="0"/>
          <w:numId w:val="16"/>
        </w:numPr>
        <w:ind w:left="360"/>
        <w:rPr>
          <w:sz w:val="22"/>
          <w:szCs w:val="22"/>
          <w:lang w:val="es-ES"/>
        </w:rPr>
      </w:pPr>
      <w:r>
        <w:rPr>
          <w:sz w:val="22"/>
          <w:szCs w:val="22"/>
          <w:lang w:val="es-ES"/>
        </w:rPr>
        <w:t xml:space="preserve">En los contratos de duración mensual y semanal no serán eventos eximentes </w:t>
      </w:r>
      <w:r w:rsidRPr="003D0F4D">
        <w:rPr>
          <w:sz w:val="22"/>
          <w:szCs w:val="22"/>
          <w:lang w:val="es-ES"/>
        </w:rPr>
        <w:t>las suspensiones por labores programadas para reparaciones técnicas o mantenimientos</w:t>
      </w:r>
      <w:r>
        <w:rPr>
          <w:sz w:val="22"/>
          <w:szCs w:val="22"/>
          <w:lang w:val="es-ES"/>
        </w:rPr>
        <w:t>.</w:t>
      </w:r>
    </w:p>
    <w:p w14:paraId="5F89B96B" w14:textId="77777777" w:rsidR="00A00C8C" w:rsidRPr="00A00C8C" w:rsidRDefault="00A00C8C" w:rsidP="00FD7D12">
      <w:pPr>
        <w:rPr>
          <w:sz w:val="22"/>
          <w:szCs w:val="22"/>
          <w:lang w:val="es-ES"/>
        </w:rPr>
      </w:pPr>
    </w:p>
    <w:p w14:paraId="419B2832" w14:textId="7BE30435" w:rsidR="00A00C8C" w:rsidRPr="00771A16" w:rsidRDefault="00A00C8C">
      <w:pPr>
        <w:pStyle w:val="Prrafodelista"/>
        <w:numPr>
          <w:ilvl w:val="0"/>
          <w:numId w:val="16"/>
        </w:numPr>
        <w:ind w:left="360"/>
        <w:rPr>
          <w:sz w:val="22"/>
          <w:szCs w:val="22"/>
          <w:lang w:val="es-ES"/>
        </w:rPr>
      </w:pPr>
      <w:proofErr w:type="gramStart"/>
      <w:r w:rsidRPr="00771A16">
        <w:rPr>
          <w:sz w:val="22"/>
          <w:szCs w:val="22"/>
          <w:lang w:val="es-ES"/>
        </w:rPr>
        <w:t>Las cantidades a ser comprometidas</w:t>
      </w:r>
      <w:proofErr w:type="gramEnd"/>
      <w:r w:rsidRPr="00771A16">
        <w:rPr>
          <w:sz w:val="22"/>
          <w:szCs w:val="22"/>
          <w:lang w:val="es-ES"/>
        </w:rPr>
        <w:t xml:space="preserve"> en contratos </w:t>
      </w:r>
      <w:r w:rsidR="003D0F4D">
        <w:rPr>
          <w:sz w:val="22"/>
          <w:szCs w:val="22"/>
          <w:lang w:val="es-ES"/>
        </w:rPr>
        <w:t xml:space="preserve">de tipo firme o que garantizan firmeza </w:t>
      </w:r>
      <w:r w:rsidRPr="00771A16">
        <w:rPr>
          <w:sz w:val="22"/>
          <w:szCs w:val="22"/>
          <w:lang w:val="es-ES"/>
        </w:rPr>
        <w:t>podrán ser variables entre diferentes trimestres</w:t>
      </w:r>
      <w:r w:rsidR="00FD7D12" w:rsidRPr="00771A16">
        <w:rPr>
          <w:sz w:val="22"/>
          <w:szCs w:val="22"/>
          <w:lang w:val="es-ES"/>
        </w:rPr>
        <w:t xml:space="preserve"> estándar</w:t>
      </w:r>
      <w:r w:rsidRPr="00771A16">
        <w:rPr>
          <w:sz w:val="22"/>
          <w:szCs w:val="22"/>
          <w:lang w:val="es-ES"/>
        </w:rPr>
        <w:t>, pero fijas dentro del trimestre para ajustar el comportamiento de campos de producción y los requerimientos de la demanda (existente y nueva, cogeneración, autogeneración, Sistemas de transporte masivo). Lo anterior, acoplado a la comercialización de la capacidad de transporte.</w:t>
      </w:r>
    </w:p>
    <w:p w14:paraId="373A7825" w14:textId="77777777" w:rsidR="00A00C8C" w:rsidRPr="00771A16" w:rsidRDefault="00A00C8C" w:rsidP="00FD7D12">
      <w:pPr>
        <w:pStyle w:val="Prrafodelista"/>
        <w:ind w:left="348"/>
        <w:rPr>
          <w:sz w:val="22"/>
          <w:szCs w:val="22"/>
          <w:lang w:val="es-ES"/>
        </w:rPr>
      </w:pPr>
    </w:p>
    <w:p w14:paraId="7D413BE6" w14:textId="3A9C7BE6" w:rsidR="00A00C8C" w:rsidRPr="00771A16" w:rsidRDefault="00A00C8C">
      <w:pPr>
        <w:pStyle w:val="Prrafodelista"/>
        <w:numPr>
          <w:ilvl w:val="0"/>
          <w:numId w:val="16"/>
        </w:numPr>
        <w:ind w:left="360"/>
        <w:rPr>
          <w:sz w:val="22"/>
          <w:szCs w:val="22"/>
          <w:lang w:val="es-ES"/>
        </w:rPr>
      </w:pPr>
      <w:r w:rsidRPr="00771A16">
        <w:rPr>
          <w:sz w:val="22"/>
          <w:szCs w:val="22"/>
          <w:lang w:val="es-ES"/>
        </w:rPr>
        <w:t>Flexibilización del plazo de inicio de ejecución los contratos, en cualquier trimestre estándar de los 3 primeros años después del registro del contrato</w:t>
      </w:r>
      <w:r w:rsidR="00C91353" w:rsidRPr="00771A16">
        <w:rPr>
          <w:sz w:val="22"/>
          <w:szCs w:val="22"/>
          <w:lang w:val="es-ES"/>
        </w:rPr>
        <w:t xml:space="preserve">: </w:t>
      </w:r>
      <w:r w:rsidRPr="00771A16">
        <w:rPr>
          <w:sz w:val="22"/>
          <w:szCs w:val="22"/>
          <w:lang w:val="es-ES"/>
        </w:rPr>
        <w:t xml:space="preserve">plazo para desarrollar Inversiones en facilidades de producción y/o comercialización, infraestructura </w:t>
      </w:r>
      <w:r w:rsidR="00C91353" w:rsidRPr="00771A16">
        <w:rPr>
          <w:sz w:val="22"/>
          <w:szCs w:val="22"/>
          <w:lang w:val="es-ES"/>
        </w:rPr>
        <w:t xml:space="preserve">de </w:t>
      </w:r>
      <w:r w:rsidRPr="00771A16">
        <w:rPr>
          <w:sz w:val="22"/>
          <w:szCs w:val="22"/>
          <w:lang w:val="es-ES"/>
        </w:rPr>
        <w:t xml:space="preserve">sistemas de transporte masivos) o conversión de industrias, por ejemplo. </w:t>
      </w:r>
    </w:p>
    <w:p w14:paraId="4AA3EEA0" w14:textId="77777777" w:rsidR="00A00C8C" w:rsidRPr="00A00C8C" w:rsidRDefault="00A00C8C" w:rsidP="00FD7D12">
      <w:pPr>
        <w:rPr>
          <w:sz w:val="22"/>
          <w:szCs w:val="22"/>
          <w:lang w:val="es-ES"/>
        </w:rPr>
      </w:pPr>
    </w:p>
    <w:p w14:paraId="0E064493" w14:textId="79E7E3C3" w:rsidR="00A00C8C" w:rsidRPr="00771A16" w:rsidRDefault="00A00C8C">
      <w:pPr>
        <w:pStyle w:val="Prrafodelista"/>
        <w:numPr>
          <w:ilvl w:val="0"/>
          <w:numId w:val="16"/>
        </w:numPr>
        <w:ind w:left="360"/>
        <w:rPr>
          <w:sz w:val="22"/>
          <w:szCs w:val="22"/>
          <w:lang w:val="es-ES"/>
        </w:rPr>
      </w:pPr>
      <w:r w:rsidRPr="00771A16">
        <w:rPr>
          <w:sz w:val="22"/>
          <w:szCs w:val="22"/>
          <w:lang w:val="es-ES"/>
        </w:rPr>
        <w:t>Los contratos de suministro no tienen que terminar el 30 de noviembre, sino el último día calendario del trimestre estándar. Lo anterior, acoplado a la comercialización de la capacidad de transporte.</w:t>
      </w:r>
    </w:p>
    <w:p w14:paraId="218163B7" w14:textId="77777777" w:rsidR="00A00C8C" w:rsidRPr="00A00C8C" w:rsidRDefault="00A00C8C" w:rsidP="00FD7D12">
      <w:pPr>
        <w:rPr>
          <w:sz w:val="22"/>
          <w:szCs w:val="22"/>
          <w:lang w:val="es-ES"/>
        </w:rPr>
      </w:pPr>
    </w:p>
    <w:p w14:paraId="7BDB32AD" w14:textId="2049ECB1" w:rsidR="00A00C8C" w:rsidRPr="00771A16" w:rsidRDefault="00A00C8C">
      <w:pPr>
        <w:pStyle w:val="Prrafodelista"/>
        <w:numPr>
          <w:ilvl w:val="0"/>
          <w:numId w:val="16"/>
        </w:numPr>
        <w:ind w:left="360"/>
        <w:rPr>
          <w:sz w:val="22"/>
          <w:szCs w:val="22"/>
          <w:lang w:val="es-ES"/>
        </w:rPr>
      </w:pPr>
      <w:r w:rsidRPr="00771A16">
        <w:rPr>
          <w:sz w:val="22"/>
          <w:szCs w:val="22"/>
          <w:lang w:val="es-ES"/>
        </w:rPr>
        <w:t>Se incluye una nueva modalidad de contrato de suministro, el CF80, para la atención de mercados de comercialización, para ser usado de manera residual. Lo anterior, acoplado a la comercialización de la capacidad de transporte.</w:t>
      </w:r>
    </w:p>
    <w:p w14:paraId="233416D4" w14:textId="77777777" w:rsidR="00A00C8C" w:rsidRPr="00A00C8C" w:rsidRDefault="00A00C8C" w:rsidP="00FD7D12">
      <w:pPr>
        <w:rPr>
          <w:sz w:val="22"/>
          <w:szCs w:val="22"/>
          <w:lang w:val="es-ES"/>
        </w:rPr>
      </w:pPr>
    </w:p>
    <w:p w14:paraId="205C7FC9" w14:textId="77777777" w:rsidR="00A00C8C" w:rsidRPr="00771A16" w:rsidRDefault="00A00C8C">
      <w:pPr>
        <w:pStyle w:val="Prrafodelista"/>
        <w:numPr>
          <w:ilvl w:val="0"/>
          <w:numId w:val="16"/>
        </w:numPr>
        <w:ind w:left="360"/>
        <w:rPr>
          <w:sz w:val="22"/>
          <w:szCs w:val="22"/>
          <w:lang w:val="es-ES"/>
        </w:rPr>
      </w:pPr>
      <w:r w:rsidRPr="00771A16">
        <w:rPr>
          <w:sz w:val="22"/>
          <w:szCs w:val="22"/>
          <w:lang w:val="es-ES"/>
        </w:rPr>
        <w:t>Los participantes del mercado podrán solicitar la inclusión de nuevas modalidades de contratos de suministro que se requieran y justifiquen a la Comisión y seguirán el procedimiento CREG de aprobación.</w:t>
      </w:r>
    </w:p>
    <w:p w14:paraId="445620F0" w14:textId="77777777" w:rsidR="00A00C8C" w:rsidRPr="00A00C8C" w:rsidRDefault="00A00C8C" w:rsidP="00A00C8C">
      <w:pPr>
        <w:rPr>
          <w:sz w:val="22"/>
          <w:szCs w:val="22"/>
          <w:lang w:val="es-ES"/>
        </w:rPr>
      </w:pPr>
    </w:p>
    <w:p w14:paraId="1841D06A" w14:textId="6A7E851C" w:rsidR="00A00C8C" w:rsidRPr="00771A16" w:rsidRDefault="00A00C8C" w:rsidP="00A00C8C">
      <w:pPr>
        <w:rPr>
          <w:sz w:val="22"/>
          <w:szCs w:val="22"/>
        </w:rPr>
      </w:pPr>
    </w:p>
    <w:p w14:paraId="12C57F42" w14:textId="4F09F660" w:rsidR="00FD7A6C" w:rsidRPr="00771A16" w:rsidRDefault="00013149" w:rsidP="00FD7A6C">
      <w:pPr>
        <w:pStyle w:val="Ttulo3"/>
        <w:rPr>
          <w:sz w:val="22"/>
          <w:szCs w:val="22"/>
        </w:rPr>
      </w:pPr>
      <w:bookmarkStart w:id="186" w:name="_Ref133213202"/>
      <w:bookmarkStart w:id="187" w:name="_Toc140506202"/>
      <w:r w:rsidRPr="00771A16">
        <w:rPr>
          <w:sz w:val="22"/>
          <w:szCs w:val="22"/>
        </w:rPr>
        <w:t>Comercialización del suministro proveniente de nuevas fuentes de suministro nacionales o externas (Costa afuera y Yacimientos no Convencionales)</w:t>
      </w:r>
      <w:bookmarkEnd w:id="186"/>
      <w:bookmarkEnd w:id="187"/>
    </w:p>
    <w:p w14:paraId="4C3DA3EE" w14:textId="15CECC75" w:rsidR="00C91353" w:rsidRPr="00771A16" w:rsidRDefault="00C91353" w:rsidP="00C91353">
      <w:pPr>
        <w:rPr>
          <w:sz w:val="22"/>
          <w:szCs w:val="22"/>
          <w:lang w:val="es-ES"/>
        </w:rPr>
      </w:pPr>
      <w:r w:rsidRPr="00771A16">
        <w:rPr>
          <w:sz w:val="22"/>
          <w:szCs w:val="22"/>
          <w:lang w:val="es-ES"/>
        </w:rPr>
        <w:t>Se busca promover la contratación futura del suministro a partir de fuentes de suministro ubicadas costa afuera</w:t>
      </w:r>
      <w:r w:rsidR="00034522">
        <w:rPr>
          <w:sz w:val="22"/>
          <w:szCs w:val="22"/>
          <w:lang w:val="es-ES"/>
        </w:rPr>
        <w:t>,</w:t>
      </w:r>
      <w:r w:rsidRPr="00771A16">
        <w:rPr>
          <w:sz w:val="22"/>
          <w:szCs w:val="22"/>
          <w:lang w:val="es-ES"/>
        </w:rPr>
        <w:t xml:space="preserve"> </w:t>
      </w:r>
      <w:r w:rsidR="00034522">
        <w:rPr>
          <w:sz w:val="22"/>
          <w:szCs w:val="22"/>
          <w:lang w:val="es-ES"/>
        </w:rPr>
        <w:t>de</w:t>
      </w:r>
      <w:r w:rsidRPr="00771A16">
        <w:rPr>
          <w:sz w:val="22"/>
          <w:szCs w:val="22"/>
          <w:lang w:val="es-ES"/>
        </w:rPr>
        <w:t xml:space="preserve"> yacimientos no convencionales</w:t>
      </w:r>
      <w:r w:rsidR="00034522">
        <w:rPr>
          <w:sz w:val="22"/>
          <w:szCs w:val="22"/>
          <w:lang w:val="es-ES"/>
        </w:rPr>
        <w:t xml:space="preserve"> y fuentes de suministro ubicadas en el exterior</w:t>
      </w:r>
      <w:r w:rsidRPr="00771A16">
        <w:rPr>
          <w:sz w:val="22"/>
          <w:szCs w:val="22"/>
          <w:lang w:val="es-ES"/>
        </w:rPr>
        <w:t>, dando flexibilidades particulares por cuanto el uso de dichas fuentes no se ha presentado hasta ahora (excepto en el caso particular de las fuentes de producción de la Guajira que iniciaron con esquema de precio regulados) y es posible que los mecanismos actuales no sean los más adecuados para su comercialización</w:t>
      </w:r>
      <w:r w:rsidR="009B6F8A">
        <w:rPr>
          <w:sz w:val="22"/>
          <w:szCs w:val="22"/>
          <w:lang w:val="es-ES"/>
        </w:rPr>
        <w:t xml:space="preserve"> considerando las particularidades </w:t>
      </w:r>
      <w:r w:rsidR="0056081A">
        <w:rPr>
          <w:sz w:val="22"/>
          <w:szCs w:val="22"/>
          <w:lang w:val="es-ES"/>
        </w:rPr>
        <w:t xml:space="preserve">que tienen para alcanzar </w:t>
      </w:r>
      <w:r w:rsidR="00F4420E">
        <w:rPr>
          <w:sz w:val="22"/>
          <w:szCs w:val="22"/>
          <w:lang w:val="es-ES"/>
        </w:rPr>
        <w:t xml:space="preserve">la etapa de desarrollo </w:t>
      </w:r>
      <w:r w:rsidR="00C81C01">
        <w:rPr>
          <w:sz w:val="22"/>
          <w:szCs w:val="22"/>
          <w:lang w:val="es-ES"/>
        </w:rPr>
        <w:t xml:space="preserve">pactada en los </w:t>
      </w:r>
      <w:r w:rsidR="007C1196">
        <w:rPr>
          <w:sz w:val="22"/>
          <w:szCs w:val="22"/>
          <w:lang w:val="es-ES"/>
        </w:rPr>
        <w:t>contratos de producción.</w:t>
      </w:r>
      <w:r w:rsidRPr="00771A16">
        <w:rPr>
          <w:sz w:val="22"/>
          <w:szCs w:val="22"/>
          <w:lang w:val="es-ES"/>
        </w:rPr>
        <w:t xml:space="preserve">  </w:t>
      </w:r>
    </w:p>
    <w:p w14:paraId="5BE09E44" w14:textId="53248239" w:rsidR="00C91353" w:rsidRPr="00771A16" w:rsidRDefault="00C91353" w:rsidP="00C91353">
      <w:pPr>
        <w:rPr>
          <w:sz w:val="22"/>
          <w:szCs w:val="22"/>
          <w:lang w:val="es-ES"/>
        </w:rPr>
      </w:pPr>
    </w:p>
    <w:p w14:paraId="5C262735" w14:textId="77777777" w:rsidR="00C91353" w:rsidRPr="00771A16" w:rsidRDefault="00C91353" w:rsidP="00C91353">
      <w:pPr>
        <w:rPr>
          <w:sz w:val="22"/>
          <w:szCs w:val="22"/>
        </w:rPr>
      </w:pPr>
      <w:r w:rsidRPr="00771A16">
        <w:rPr>
          <w:sz w:val="22"/>
          <w:szCs w:val="22"/>
        </w:rPr>
        <w:t>En este sentido más adelante en el documento se especifican y sustentan las siguientes propuestas:</w:t>
      </w:r>
    </w:p>
    <w:p w14:paraId="3AA4B7A6" w14:textId="77777777" w:rsidR="00C91353" w:rsidRPr="00771A16" w:rsidRDefault="00C91353" w:rsidP="00C91353">
      <w:pPr>
        <w:rPr>
          <w:sz w:val="22"/>
          <w:szCs w:val="22"/>
          <w:lang w:val="es-ES"/>
        </w:rPr>
      </w:pPr>
    </w:p>
    <w:p w14:paraId="69F3D80F" w14:textId="58608ED3" w:rsidR="00442131" w:rsidRDefault="00442131">
      <w:pPr>
        <w:pStyle w:val="Prrafodelista"/>
        <w:numPr>
          <w:ilvl w:val="0"/>
          <w:numId w:val="17"/>
        </w:numPr>
        <w:rPr>
          <w:sz w:val="22"/>
          <w:szCs w:val="22"/>
          <w:lang w:val="es-ES"/>
        </w:rPr>
      </w:pPr>
      <w:r>
        <w:rPr>
          <w:sz w:val="22"/>
          <w:szCs w:val="22"/>
          <w:lang w:val="es-ES"/>
        </w:rPr>
        <w:t>Definición de las condiciones requeridas para atender con gas obtenido en el exterior, contratos firmes o que garantizan firmeza. Es decir, determinación del Respaldo Físico del gas obtenido en el exterior.</w:t>
      </w:r>
    </w:p>
    <w:p w14:paraId="66F2CEF9" w14:textId="77777777" w:rsidR="00442131" w:rsidRDefault="00442131" w:rsidP="00442131">
      <w:pPr>
        <w:pStyle w:val="Prrafodelista"/>
        <w:ind w:left="360"/>
        <w:rPr>
          <w:sz w:val="22"/>
          <w:szCs w:val="22"/>
          <w:lang w:val="es-ES"/>
        </w:rPr>
      </w:pPr>
    </w:p>
    <w:p w14:paraId="604FF66D" w14:textId="7E211B27" w:rsidR="00013149" w:rsidRPr="00771A16" w:rsidRDefault="00013149">
      <w:pPr>
        <w:pStyle w:val="Prrafodelista"/>
        <w:numPr>
          <w:ilvl w:val="0"/>
          <w:numId w:val="17"/>
        </w:numPr>
        <w:rPr>
          <w:sz w:val="22"/>
          <w:szCs w:val="22"/>
          <w:lang w:val="es-ES"/>
        </w:rPr>
      </w:pPr>
      <w:r w:rsidRPr="00771A16">
        <w:rPr>
          <w:sz w:val="22"/>
          <w:szCs w:val="22"/>
          <w:lang w:val="es-ES"/>
        </w:rPr>
        <w:t>La comercialización de gas se podrá realizar en cualquier momento del año, mediante</w:t>
      </w:r>
      <w:r w:rsidR="005F4984">
        <w:rPr>
          <w:sz w:val="22"/>
          <w:szCs w:val="22"/>
          <w:lang w:val="es-ES"/>
        </w:rPr>
        <w:t xml:space="preserve"> mecanismos de comercialización de</w:t>
      </w:r>
      <w:r w:rsidRPr="00771A16">
        <w:rPr>
          <w:sz w:val="22"/>
          <w:szCs w:val="22"/>
          <w:lang w:val="es-ES"/>
        </w:rPr>
        <w:t xml:space="preserve"> negociación directa y sin someterse a las modalidades de contrato de suministro establecidas en la regulación. </w:t>
      </w:r>
    </w:p>
    <w:p w14:paraId="76ADA7BC" w14:textId="77777777" w:rsidR="00013149" w:rsidRPr="00013149" w:rsidRDefault="00013149" w:rsidP="00013149">
      <w:pPr>
        <w:rPr>
          <w:sz w:val="22"/>
          <w:szCs w:val="22"/>
          <w:lang w:val="es-ES"/>
        </w:rPr>
      </w:pPr>
    </w:p>
    <w:p w14:paraId="170555E8" w14:textId="347B3887" w:rsidR="00013149" w:rsidRPr="00013149" w:rsidRDefault="00013149">
      <w:pPr>
        <w:pStyle w:val="Prrafodelista"/>
        <w:numPr>
          <w:ilvl w:val="0"/>
          <w:numId w:val="17"/>
        </w:numPr>
        <w:rPr>
          <w:sz w:val="22"/>
          <w:szCs w:val="22"/>
          <w:lang w:val="es-ES"/>
        </w:rPr>
      </w:pPr>
      <w:r w:rsidRPr="00771A16">
        <w:rPr>
          <w:sz w:val="22"/>
          <w:szCs w:val="22"/>
          <w:lang w:val="es-ES"/>
        </w:rPr>
        <w:t>Se permitirá la comercialización conjunta de la producción, porque:</w:t>
      </w:r>
      <w:r w:rsidR="00C91353" w:rsidRPr="00771A16">
        <w:rPr>
          <w:sz w:val="22"/>
          <w:szCs w:val="22"/>
          <w:lang w:val="es-ES"/>
        </w:rPr>
        <w:t xml:space="preserve"> i). L</w:t>
      </w:r>
      <w:r w:rsidRPr="00013149">
        <w:rPr>
          <w:sz w:val="22"/>
          <w:szCs w:val="22"/>
          <w:lang w:val="es-ES"/>
        </w:rPr>
        <w:t>a producción de gas natural</w:t>
      </w:r>
      <w:r w:rsidR="0049208A">
        <w:rPr>
          <w:sz w:val="22"/>
          <w:szCs w:val="22"/>
          <w:lang w:val="es-ES"/>
        </w:rPr>
        <w:t xml:space="preserve"> de las fuentes de suministro señaladas</w:t>
      </w:r>
      <w:r w:rsidRPr="00013149">
        <w:rPr>
          <w:sz w:val="22"/>
          <w:szCs w:val="22"/>
          <w:lang w:val="es-ES"/>
        </w:rPr>
        <w:t>, en conjunto con las reservas probadas, es necesaria para garantizar la seguridad en el suministro</w:t>
      </w:r>
      <w:r w:rsidR="0049208A">
        <w:rPr>
          <w:sz w:val="22"/>
          <w:szCs w:val="22"/>
          <w:lang w:val="es-ES"/>
        </w:rPr>
        <w:t xml:space="preserve"> en el futuro</w:t>
      </w:r>
      <w:r w:rsidR="00C91353" w:rsidRPr="00771A16">
        <w:rPr>
          <w:sz w:val="22"/>
          <w:szCs w:val="22"/>
          <w:lang w:val="es-ES"/>
        </w:rPr>
        <w:t xml:space="preserve">; y, </w:t>
      </w:r>
      <w:proofErr w:type="spellStart"/>
      <w:r w:rsidR="00C91353" w:rsidRPr="00771A16">
        <w:rPr>
          <w:sz w:val="22"/>
          <w:szCs w:val="22"/>
          <w:lang w:val="es-ES"/>
        </w:rPr>
        <w:t>ii</w:t>
      </w:r>
      <w:proofErr w:type="spellEnd"/>
      <w:r w:rsidR="00C91353" w:rsidRPr="00771A16">
        <w:rPr>
          <w:sz w:val="22"/>
          <w:szCs w:val="22"/>
          <w:lang w:val="es-ES"/>
        </w:rPr>
        <w:t xml:space="preserve">.) </w:t>
      </w:r>
      <w:r w:rsidRPr="00013149">
        <w:rPr>
          <w:sz w:val="22"/>
          <w:szCs w:val="22"/>
          <w:lang w:val="es-ES"/>
        </w:rPr>
        <w:t>La Comercialización Independiente de la producción de gas natural en estos proyectos, no hace factible la ejecución de las inversiones requeridas para desarrollar las reservas.</w:t>
      </w:r>
      <w:r w:rsidR="0049208A">
        <w:rPr>
          <w:sz w:val="22"/>
          <w:szCs w:val="22"/>
          <w:lang w:val="es-ES"/>
        </w:rPr>
        <w:t xml:space="preserve"> Lo anterior son condiciones establecidas en el Artículo 3 de la Resolución CREG 093 de 2006 para que la CREG expida la autorización de comercialización conjunta.</w:t>
      </w:r>
    </w:p>
    <w:p w14:paraId="42BD6B6A" w14:textId="77777777" w:rsidR="00013149" w:rsidRPr="00013149" w:rsidRDefault="00013149" w:rsidP="00013149">
      <w:pPr>
        <w:rPr>
          <w:sz w:val="22"/>
          <w:szCs w:val="22"/>
          <w:lang w:val="es-ES"/>
        </w:rPr>
      </w:pPr>
    </w:p>
    <w:p w14:paraId="77CE9BF1" w14:textId="319579AA" w:rsidR="00013149" w:rsidRDefault="00013149">
      <w:pPr>
        <w:pStyle w:val="Prrafodelista"/>
        <w:numPr>
          <w:ilvl w:val="0"/>
          <w:numId w:val="17"/>
        </w:numPr>
        <w:rPr>
          <w:i/>
          <w:iCs/>
          <w:sz w:val="22"/>
          <w:szCs w:val="22"/>
          <w:lang w:val="es-ES"/>
        </w:rPr>
      </w:pPr>
      <w:r w:rsidRPr="00771A16">
        <w:rPr>
          <w:sz w:val="22"/>
          <w:szCs w:val="22"/>
          <w:lang w:val="es-ES"/>
        </w:rPr>
        <w:t xml:space="preserve">Todos los contratos de suministro deberán </w:t>
      </w:r>
      <w:r w:rsidR="004C00E3">
        <w:rPr>
          <w:sz w:val="22"/>
          <w:szCs w:val="22"/>
          <w:lang w:val="es-ES"/>
        </w:rPr>
        <w:t xml:space="preserve">determinar </w:t>
      </w:r>
      <w:r w:rsidRPr="00771A16">
        <w:rPr>
          <w:sz w:val="22"/>
          <w:szCs w:val="22"/>
          <w:lang w:val="es-ES"/>
        </w:rPr>
        <w:t>como mínimo: las cantidades</w:t>
      </w:r>
      <w:r w:rsidR="007E23D5">
        <w:rPr>
          <w:sz w:val="22"/>
          <w:szCs w:val="22"/>
          <w:lang w:val="es-ES"/>
        </w:rPr>
        <w:t xml:space="preserve"> e</w:t>
      </w:r>
      <w:r w:rsidR="00082961">
        <w:rPr>
          <w:sz w:val="22"/>
          <w:szCs w:val="22"/>
          <w:lang w:val="es-ES"/>
        </w:rPr>
        <w:t>xpresadas en</w:t>
      </w:r>
      <w:r w:rsidR="007E23D5">
        <w:rPr>
          <w:sz w:val="22"/>
          <w:szCs w:val="22"/>
          <w:lang w:val="es-ES"/>
        </w:rPr>
        <w:t xml:space="preserve"> volumen y energía</w:t>
      </w:r>
      <w:r w:rsidRPr="00771A16">
        <w:rPr>
          <w:sz w:val="22"/>
          <w:szCs w:val="22"/>
          <w:lang w:val="es-ES"/>
        </w:rPr>
        <w:t xml:space="preserve">, precios de venta, puntos de entrega, plazos de ejecución, eventos eximentes de responsabilidad </w:t>
      </w:r>
      <w:r w:rsidRPr="00771A16">
        <w:rPr>
          <w:i/>
          <w:iCs/>
          <w:sz w:val="22"/>
          <w:szCs w:val="22"/>
          <w:lang w:val="es-ES"/>
        </w:rPr>
        <w:t>(requisitos exigidos como mínimos por la CREG para todos los contratos de suministro)</w:t>
      </w:r>
      <w:r w:rsidR="00A46CC5">
        <w:rPr>
          <w:i/>
          <w:iCs/>
          <w:sz w:val="22"/>
          <w:szCs w:val="22"/>
          <w:lang w:val="es-ES"/>
        </w:rPr>
        <w:t>.</w:t>
      </w:r>
    </w:p>
    <w:p w14:paraId="37079348" w14:textId="77777777" w:rsidR="00A46CC5" w:rsidRPr="00A46CC5" w:rsidRDefault="00A46CC5" w:rsidP="00A46CC5">
      <w:pPr>
        <w:pStyle w:val="Prrafodelista"/>
        <w:rPr>
          <w:i/>
          <w:iCs/>
          <w:sz w:val="22"/>
          <w:szCs w:val="22"/>
          <w:lang w:val="es-ES"/>
        </w:rPr>
      </w:pPr>
    </w:p>
    <w:p w14:paraId="4E6941A1" w14:textId="794C1ADF" w:rsidR="00A46CC5" w:rsidRPr="00A46CC5" w:rsidRDefault="00A46CC5">
      <w:pPr>
        <w:pStyle w:val="Prrafodelista"/>
        <w:numPr>
          <w:ilvl w:val="0"/>
          <w:numId w:val="17"/>
        </w:numPr>
        <w:rPr>
          <w:sz w:val="22"/>
          <w:szCs w:val="22"/>
          <w:lang w:val="es-ES"/>
        </w:rPr>
      </w:pPr>
      <w:r w:rsidRPr="00A46CC5">
        <w:rPr>
          <w:sz w:val="22"/>
          <w:szCs w:val="22"/>
          <w:lang w:val="es-ES"/>
        </w:rPr>
        <w:t xml:space="preserve">El registro </w:t>
      </w:r>
      <w:r>
        <w:rPr>
          <w:sz w:val="22"/>
          <w:szCs w:val="22"/>
          <w:lang w:val="es-ES"/>
        </w:rPr>
        <w:t xml:space="preserve">ante el </w:t>
      </w:r>
      <w:r w:rsidR="005114C6">
        <w:rPr>
          <w:sz w:val="22"/>
          <w:szCs w:val="22"/>
          <w:lang w:val="es-ES"/>
        </w:rPr>
        <w:t>Gestor del Mercado</w:t>
      </w:r>
      <w:r>
        <w:rPr>
          <w:sz w:val="22"/>
          <w:szCs w:val="22"/>
          <w:lang w:val="es-ES"/>
        </w:rPr>
        <w:t xml:space="preserve"> con</w:t>
      </w:r>
      <w:r w:rsidRPr="00A46CC5">
        <w:rPr>
          <w:sz w:val="22"/>
          <w:szCs w:val="22"/>
          <w:lang w:val="es-ES"/>
        </w:rPr>
        <w:t xml:space="preserve"> </w:t>
      </w:r>
      <w:r>
        <w:rPr>
          <w:sz w:val="22"/>
          <w:szCs w:val="22"/>
          <w:lang w:val="es-ES"/>
        </w:rPr>
        <w:t xml:space="preserve">modalidades CREG de </w:t>
      </w:r>
      <w:r w:rsidRPr="00A46CC5">
        <w:rPr>
          <w:sz w:val="22"/>
          <w:szCs w:val="22"/>
          <w:lang w:val="es-ES"/>
        </w:rPr>
        <w:t>contratos firme</w:t>
      </w:r>
      <w:r>
        <w:rPr>
          <w:sz w:val="22"/>
          <w:szCs w:val="22"/>
          <w:lang w:val="es-ES"/>
        </w:rPr>
        <w:t>s</w:t>
      </w:r>
      <w:r w:rsidRPr="00A46CC5">
        <w:rPr>
          <w:sz w:val="22"/>
          <w:szCs w:val="22"/>
          <w:lang w:val="es-ES"/>
        </w:rPr>
        <w:t xml:space="preserve"> o que garantizan firmeza, que hayan sido su</w:t>
      </w:r>
      <w:r>
        <w:rPr>
          <w:sz w:val="22"/>
          <w:szCs w:val="22"/>
          <w:lang w:val="es-ES"/>
        </w:rPr>
        <w:t>s</w:t>
      </w:r>
      <w:r w:rsidRPr="00A46CC5">
        <w:rPr>
          <w:sz w:val="22"/>
          <w:szCs w:val="22"/>
          <w:lang w:val="es-ES"/>
        </w:rPr>
        <w:t>critos</w:t>
      </w:r>
      <w:r>
        <w:rPr>
          <w:sz w:val="22"/>
          <w:szCs w:val="22"/>
          <w:lang w:val="es-ES"/>
        </w:rPr>
        <w:t xml:space="preserve"> mediante acuerdo</w:t>
      </w:r>
      <w:r w:rsidRPr="00A46CC5">
        <w:rPr>
          <w:sz w:val="22"/>
          <w:szCs w:val="22"/>
          <w:lang w:val="es-ES"/>
        </w:rPr>
        <w:t xml:space="preserve"> </w:t>
      </w:r>
      <w:r>
        <w:rPr>
          <w:sz w:val="22"/>
          <w:szCs w:val="22"/>
          <w:lang w:val="es-ES"/>
        </w:rPr>
        <w:t xml:space="preserve">entre las partes bajo esquemas que cuentan con condiciones especiales para su implementación </w:t>
      </w:r>
      <w:r w:rsidRPr="00A46CC5">
        <w:rPr>
          <w:sz w:val="22"/>
          <w:szCs w:val="22"/>
          <w:lang w:val="es-ES"/>
        </w:rPr>
        <w:t>antes de la declaración de comercialid</w:t>
      </w:r>
      <w:r>
        <w:rPr>
          <w:sz w:val="22"/>
          <w:szCs w:val="22"/>
          <w:lang w:val="es-ES"/>
        </w:rPr>
        <w:t>a</w:t>
      </w:r>
      <w:r w:rsidRPr="00A46CC5">
        <w:rPr>
          <w:sz w:val="22"/>
          <w:szCs w:val="22"/>
          <w:lang w:val="es-ES"/>
        </w:rPr>
        <w:t>d, sin requerir</w:t>
      </w:r>
      <w:r>
        <w:rPr>
          <w:sz w:val="22"/>
          <w:szCs w:val="22"/>
          <w:lang w:val="es-ES"/>
        </w:rPr>
        <w:t>se</w:t>
      </w:r>
      <w:r w:rsidRPr="00A46CC5">
        <w:rPr>
          <w:sz w:val="22"/>
          <w:szCs w:val="22"/>
          <w:lang w:val="es-ES"/>
        </w:rPr>
        <w:t xml:space="preserve"> la participación en el mecanismo MADE que más adelante se explica</w:t>
      </w:r>
      <w:r>
        <w:rPr>
          <w:sz w:val="22"/>
          <w:szCs w:val="22"/>
          <w:lang w:val="es-ES"/>
        </w:rPr>
        <w:t>, ni de los vendedores ni de los compradores</w:t>
      </w:r>
      <w:r w:rsidRPr="00A46CC5">
        <w:rPr>
          <w:sz w:val="22"/>
          <w:szCs w:val="22"/>
          <w:lang w:val="es-ES"/>
        </w:rPr>
        <w:t>.</w:t>
      </w:r>
    </w:p>
    <w:p w14:paraId="1A90164B" w14:textId="2E25A884" w:rsidR="00013149" w:rsidRPr="00771A16" w:rsidRDefault="00013149" w:rsidP="00013149">
      <w:pPr>
        <w:rPr>
          <w:sz w:val="22"/>
          <w:szCs w:val="22"/>
          <w:lang w:val="es-ES"/>
        </w:rPr>
      </w:pPr>
    </w:p>
    <w:p w14:paraId="75BE94A9" w14:textId="77777777" w:rsidR="00013149" w:rsidRPr="00771A16" w:rsidRDefault="00013149" w:rsidP="00013149">
      <w:pPr>
        <w:rPr>
          <w:sz w:val="22"/>
          <w:szCs w:val="22"/>
          <w:lang w:val="es-ES"/>
        </w:rPr>
      </w:pPr>
    </w:p>
    <w:p w14:paraId="49A942DD" w14:textId="5A7F3B6C" w:rsidR="00013149" w:rsidRPr="00771A16" w:rsidRDefault="00013149" w:rsidP="00013149">
      <w:pPr>
        <w:pStyle w:val="Ttulo3"/>
        <w:rPr>
          <w:sz w:val="22"/>
          <w:szCs w:val="22"/>
        </w:rPr>
      </w:pPr>
      <w:bookmarkStart w:id="188" w:name="_Toc140506203"/>
      <w:r w:rsidRPr="00771A16">
        <w:rPr>
          <w:sz w:val="22"/>
          <w:szCs w:val="22"/>
        </w:rPr>
        <w:t xml:space="preserve">Comercialización del suministro proveniente de fuentes de suministro nacionales o externas </w:t>
      </w:r>
      <w:r w:rsidR="00127310">
        <w:rPr>
          <w:sz w:val="22"/>
          <w:szCs w:val="22"/>
        </w:rPr>
        <w:t xml:space="preserve">con logísticas de suministro especiales </w:t>
      </w:r>
      <w:r w:rsidRPr="00771A16">
        <w:rPr>
          <w:sz w:val="22"/>
          <w:szCs w:val="22"/>
        </w:rPr>
        <w:t>(gas natural licuado y gas natural comprimido)</w:t>
      </w:r>
      <w:bookmarkEnd w:id="188"/>
    </w:p>
    <w:p w14:paraId="091F34F2" w14:textId="530E76F4" w:rsidR="00A85A1D" w:rsidRPr="00771A16" w:rsidRDefault="00A85A1D" w:rsidP="00A85A1D">
      <w:pPr>
        <w:rPr>
          <w:sz w:val="22"/>
          <w:szCs w:val="22"/>
          <w:lang w:val="es-ES"/>
        </w:rPr>
      </w:pPr>
      <w:r w:rsidRPr="00771A16">
        <w:rPr>
          <w:sz w:val="22"/>
          <w:szCs w:val="22"/>
          <w:lang w:val="es-ES"/>
        </w:rPr>
        <w:t xml:space="preserve">Se busca reconocer la posibilidad cada vez más económica de suministrar el gas natural del servicio público </w:t>
      </w:r>
      <w:r w:rsidR="00DB2CC6">
        <w:rPr>
          <w:sz w:val="22"/>
          <w:szCs w:val="22"/>
          <w:lang w:val="es-ES"/>
        </w:rPr>
        <w:t>que</w:t>
      </w:r>
      <w:r w:rsidR="00640D1E">
        <w:rPr>
          <w:sz w:val="22"/>
          <w:szCs w:val="22"/>
          <w:lang w:val="es-ES"/>
        </w:rPr>
        <w:t xml:space="preserve"> requieren de logísticas especiales</w:t>
      </w:r>
      <w:r w:rsidRPr="00771A16">
        <w:rPr>
          <w:sz w:val="22"/>
          <w:szCs w:val="22"/>
          <w:lang w:val="es-ES"/>
        </w:rPr>
        <w:t xml:space="preserve"> </w:t>
      </w:r>
      <w:r w:rsidR="00640D1E">
        <w:rPr>
          <w:sz w:val="22"/>
          <w:szCs w:val="22"/>
          <w:lang w:val="es-ES"/>
        </w:rPr>
        <w:t>para</w:t>
      </w:r>
      <w:r w:rsidRPr="00771A16">
        <w:rPr>
          <w:sz w:val="22"/>
          <w:szCs w:val="22"/>
          <w:lang w:val="es-ES"/>
        </w:rPr>
        <w:t xml:space="preserve"> su transporte</w:t>
      </w:r>
      <w:r w:rsidR="00640D1E">
        <w:rPr>
          <w:sz w:val="22"/>
          <w:szCs w:val="22"/>
          <w:lang w:val="es-ES"/>
        </w:rPr>
        <w:t>, pero que además permiten la comercialización</w:t>
      </w:r>
      <w:r w:rsidRPr="00771A16">
        <w:rPr>
          <w:sz w:val="22"/>
          <w:szCs w:val="22"/>
          <w:lang w:val="es-ES"/>
        </w:rPr>
        <w:t xml:space="preserve"> desde las fuentes de </w:t>
      </w:r>
      <w:r w:rsidR="00FC697D">
        <w:rPr>
          <w:sz w:val="22"/>
          <w:szCs w:val="22"/>
          <w:lang w:val="es-ES"/>
        </w:rPr>
        <w:t>suministro</w:t>
      </w:r>
      <w:r w:rsidRPr="00771A16">
        <w:rPr>
          <w:sz w:val="22"/>
          <w:szCs w:val="22"/>
          <w:lang w:val="es-ES"/>
        </w:rPr>
        <w:t>, sin necesidad de utilizar el sistema nacional de transporte de gas natural o nuevos gasoductos</w:t>
      </w:r>
      <w:r w:rsidR="00B01775">
        <w:rPr>
          <w:sz w:val="22"/>
          <w:szCs w:val="22"/>
          <w:lang w:val="es-ES"/>
        </w:rPr>
        <w:t xml:space="preserve"> e incluso no requerir de los sistemas de distribución </w:t>
      </w:r>
      <w:r w:rsidR="00AB2040">
        <w:rPr>
          <w:sz w:val="22"/>
          <w:szCs w:val="22"/>
          <w:lang w:val="es-ES"/>
        </w:rPr>
        <w:t xml:space="preserve">para alcanzar el domicilio </w:t>
      </w:r>
      <w:r w:rsidR="009E28B4">
        <w:rPr>
          <w:sz w:val="22"/>
          <w:szCs w:val="22"/>
          <w:lang w:val="es-ES"/>
        </w:rPr>
        <w:t>y/o punto d</w:t>
      </w:r>
      <w:r w:rsidR="00F916E0">
        <w:rPr>
          <w:sz w:val="22"/>
          <w:szCs w:val="22"/>
          <w:lang w:val="es-ES"/>
        </w:rPr>
        <w:t xml:space="preserve">e consumo </w:t>
      </w:r>
      <w:r w:rsidR="00AB2040">
        <w:rPr>
          <w:sz w:val="22"/>
          <w:szCs w:val="22"/>
          <w:lang w:val="es-ES"/>
        </w:rPr>
        <w:t>de los usuarios</w:t>
      </w:r>
      <w:r w:rsidRPr="00771A16">
        <w:rPr>
          <w:sz w:val="22"/>
          <w:szCs w:val="22"/>
          <w:lang w:val="es-ES"/>
        </w:rPr>
        <w:t xml:space="preserve">. Lo anterior a partir de contratos en el Mercado Primario directamente, con las ventajas que ello puede implicar a los agentes vendedores y compradores. </w:t>
      </w:r>
    </w:p>
    <w:p w14:paraId="730C1725" w14:textId="31E0DF4D" w:rsidR="00106FA5" w:rsidRPr="00771A16" w:rsidRDefault="00106FA5" w:rsidP="00A85A1D">
      <w:pPr>
        <w:rPr>
          <w:sz w:val="22"/>
          <w:szCs w:val="22"/>
          <w:lang w:val="es-ES"/>
        </w:rPr>
      </w:pPr>
    </w:p>
    <w:p w14:paraId="20DACC03" w14:textId="77777777" w:rsidR="00106FA5" w:rsidRPr="00771A16" w:rsidRDefault="00106FA5" w:rsidP="00106FA5">
      <w:pPr>
        <w:rPr>
          <w:sz w:val="22"/>
          <w:szCs w:val="22"/>
        </w:rPr>
      </w:pPr>
      <w:r w:rsidRPr="00771A16">
        <w:rPr>
          <w:sz w:val="22"/>
          <w:szCs w:val="22"/>
        </w:rPr>
        <w:t>En este sentido más adelante en el documento se especifican y sustentan las siguientes propuestas:</w:t>
      </w:r>
    </w:p>
    <w:p w14:paraId="1AE3665D" w14:textId="77777777" w:rsidR="00106FA5" w:rsidRPr="00771A16" w:rsidRDefault="00106FA5" w:rsidP="00A85A1D">
      <w:pPr>
        <w:rPr>
          <w:sz w:val="22"/>
          <w:szCs w:val="22"/>
          <w:lang w:val="es-ES"/>
        </w:rPr>
      </w:pPr>
    </w:p>
    <w:p w14:paraId="39FE97B1" w14:textId="00638C37" w:rsidR="00013149" w:rsidRPr="00771A16" w:rsidRDefault="00013149">
      <w:pPr>
        <w:pStyle w:val="Prrafodelista"/>
        <w:numPr>
          <w:ilvl w:val="0"/>
          <w:numId w:val="18"/>
        </w:numPr>
        <w:ind w:left="360"/>
        <w:rPr>
          <w:sz w:val="22"/>
          <w:szCs w:val="22"/>
          <w:lang w:val="es-ES"/>
        </w:rPr>
      </w:pPr>
      <w:r w:rsidRPr="00771A16">
        <w:rPr>
          <w:sz w:val="22"/>
          <w:szCs w:val="22"/>
          <w:lang w:val="es-ES"/>
        </w:rPr>
        <w:t xml:space="preserve">La comercialización de gas que requiera logísticas especiales como GNL O GNC desde fuentes de </w:t>
      </w:r>
      <w:r w:rsidR="003506C5" w:rsidRPr="00771A16">
        <w:rPr>
          <w:sz w:val="22"/>
          <w:szCs w:val="22"/>
          <w:lang w:val="es-ES"/>
        </w:rPr>
        <w:t>suministro nacionales o externas</w:t>
      </w:r>
      <w:r w:rsidRPr="00771A16">
        <w:rPr>
          <w:sz w:val="22"/>
          <w:szCs w:val="22"/>
          <w:lang w:val="es-ES"/>
        </w:rPr>
        <w:t xml:space="preserve"> se podrá realizar en cualquier momento del año,</w:t>
      </w:r>
      <w:r w:rsidR="0079023E">
        <w:rPr>
          <w:sz w:val="22"/>
          <w:szCs w:val="22"/>
          <w:lang w:val="es-ES"/>
        </w:rPr>
        <w:t xml:space="preserve"> </w:t>
      </w:r>
      <w:r w:rsidRPr="00771A16">
        <w:rPr>
          <w:sz w:val="22"/>
          <w:szCs w:val="22"/>
          <w:lang w:val="es-ES"/>
        </w:rPr>
        <w:t xml:space="preserve">mediante </w:t>
      </w:r>
      <w:r w:rsidR="0079023E">
        <w:rPr>
          <w:sz w:val="22"/>
          <w:szCs w:val="22"/>
          <w:lang w:val="es-ES"/>
        </w:rPr>
        <w:t xml:space="preserve">mecanismos de comercialización de </w:t>
      </w:r>
      <w:r w:rsidRPr="00771A16">
        <w:rPr>
          <w:sz w:val="22"/>
          <w:szCs w:val="22"/>
          <w:lang w:val="es-ES"/>
        </w:rPr>
        <w:t>negociación directa y sin someterse a las modalidades de contrato de suministro establecidas en la regulación.</w:t>
      </w:r>
    </w:p>
    <w:p w14:paraId="770E2CD3" w14:textId="77777777" w:rsidR="00013149" w:rsidRPr="00013149" w:rsidRDefault="00013149" w:rsidP="003506C5">
      <w:pPr>
        <w:rPr>
          <w:sz w:val="22"/>
          <w:szCs w:val="22"/>
          <w:lang w:val="es-ES"/>
        </w:rPr>
      </w:pPr>
    </w:p>
    <w:p w14:paraId="75DA9E73" w14:textId="0606CA50" w:rsidR="00013149" w:rsidRPr="00771A16" w:rsidRDefault="00013149">
      <w:pPr>
        <w:pStyle w:val="Prrafodelista"/>
        <w:numPr>
          <w:ilvl w:val="0"/>
          <w:numId w:val="18"/>
        </w:numPr>
        <w:ind w:left="360"/>
        <w:rPr>
          <w:i/>
          <w:iCs/>
          <w:sz w:val="22"/>
          <w:szCs w:val="22"/>
          <w:lang w:val="es-ES"/>
        </w:rPr>
      </w:pPr>
      <w:r w:rsidRPr="00771A16">
        <w:rPr>
          <w:sz w:val="22"/>
          <w:szCs w:val="22"/>
          <w:lang w:val="es-ES"/>
        </w:rPr>
        <w:t xml:space="preserve">Todos los contratos de suministro deberán </w:t>
      </w:r>
      <w:r w:rsidR="00567558">
        <w:rPr>
          <w:sz w:val="22"/>
          <w:szCs w:val="22"/>
          <w:lang w:val="es-ES"/>
        </w:rPr>
        <w:t>determinar</w:t>
      </w:r>
      <w:r w:rsidRPr="00771A16">
        <w:rPr>
          <w:sz w:val="22"/>
          <w:szCs w:val="22"/>
          <w:lang w:val="es-ES"/>
        </w:rPr>
        <w:t xml:space="preserve"> como mínimo: las cantidades, precios de venta, puntos de entrega, plazos de ejecución, eventos eximentes de responsabilidad </w:t>
      </w:r>
      <w:r w:rsidRPr="00771A16">
        <w:rPr>
          <w:i/>
          <w:iCs/>
          <w:sz w:val="22"/>
          <w:szCs w:val="22"/>
          <w:lang w:val="es-ES"/>
        </w:rPr>
        <w:t>(requisitos exigidos como mínimos por la CREG para todos los contratos de suministro)</w:t>
      </w:r>
    </w:p>
    <w:p w14:paraId="7BEBCB2C" w14:textId="77777777" w:rsidR="003506C5" w:rsidRPr="00771A16" w:rsidRDefault="003506C5" w:rsidP="003506C5">
      <w:pPr>
        <w:rPr>
          <w:i/>
          <w:iCs/>
          <w:sz w:val="22"/>
          <w:szCs w:val="22"/>
          <w:lang w:val="es-ES"/>
        </w:rPr>
      </w:pPr>
    </w:p>
    <w:p w14:paraId="5EFD8F19" w14:textId="5FA31196" w:rsidR="00013149" w:rsidRPr="00771A16" w:rsidRDefault="00013149">
      <w:pPr>
        <w:pStyle w:val="Prrafodelista"/>
        <w:numPr>
          <w:ilvl w:val="0"/>
          <w:numId w:val="18"/>
        </w:numPr>
        <w:ind w:left="360"/>
        <w:rPr>
          <w:sz w:val="22"/>
          <w:szCs w:val="22"/>
          <w:lang w:val="es-ES"/>
        </w:rPr>
      </w:pPr>
      <w:r w:rsidRPr="00771A16">
        <w:rPr>
          <w:sz w:val="22"/>
          <w:szCs w:val="22"/>
          <w:lang w:val="es-ES"/>
        </w:rPr>
        <w:t>La comercialización del Gas Importado a través de Infraestructura</w:t>
      </w:r>
      <w:r w:rsidR="003506C5" w:rsidRPr="00771A16">
        <w:rPr>
          <w:sz w:val="22"/>
          <w:szCs w:val="22"/>
          <w:lang w:val="es-ES"/>
        </w:rPr>
        <w:t>s</w:t>
      </w:r>
      <w:r w:rsidRPr="00771A16">
        <w:rPr>
          <w:sz w:val="22"/>
          <w:szCs w:val="22"/>
          <w:lang w:val="es-ES"/>
        </w:rPr>
        <w:t xml:space="preserve"> de Regasificación incluida</w:t>
      </w:r>
      <w:r w:rsidR="003506C5" w:rsidRPr="00771A16">
        <w:rPr>
          <w:sz w:val="22"/>
          <w:szCs w:val="22"/>
          <w:lang w:val="es-ES"/>
        </w:rPr>
        <w:t>s</w:t>
      </w:r>
      <w:r w:rsidRPr="00771A16">
        <w:rPr>
          <w:sz w:val="22"/>
          <w:szCs w:val="22"/>
          <w:lang w:val="es-ES"/>
        </w:rPr>
        <w:t xml:space="preserve"> en los Planes de Abastecimiento de Gas </w:t>
      </w:r>
      <w:r w:rsidR="003506C5" w:rsidRPr="00771A16">
        <w:rPr>
          <w:sz w:val="22"/>
          <w:szCs w:val="22"/>
          <w:lang w:val="es-ES"/>
        </w:rPr>
        <w:t xml:space="preserve">Natural </w:t>
      </w:r>
      <w:r w:rsidRPr="00771A16">
        <w:rPr>
          <w:sz w:val="22"/>
          <w:szCs w:val="22"/>
          <w:lang w:val="es-ES"/>
        </w:rPr>
        <w:t>adoptados por el Gobierno Nacional, será regulada en Resolución posterior.</w:t>
      </w:r>
    </w:p>
    <w:p w14:paraId="40678C85" w14:textId="77777777" w:rsidR="00013149" w:rsidRPr="00013149" w:rsidRDefault="00013149" w:rsidP="003506C5">
      <w:pPr>
        <w:rPr>
          <w:i/>
          <w:iCs/>
          <w:sz w:val="22"/>
          <w:szCs w:val="22"/>
          <w:lang w:val="es-ES"/>
        </w:rPr>
      </w:pPr>
    </w:p>
    <w:p w14:paraId="6316A410" w14:textId="1299DB4D" w:rsidR="00013149" w:rsidRPr="00771A16" w:rsidRDefault="00013149">
      <w:pPr>
        <w:pStyle w:val="Prrafodelista"/>
        <w:numPr>
          <w:ilvl w:val="0"/>
          <w:numId w:val="18"/>
        </w:numPr>
        <w:ind w:left="360"/>
        <w:rPr>
          <w:sz w:val="22"/>
          <w:szCs w:val="22"/>
          <w:lang w:val="es-ES"/>
        </w:rPr>
      </w:pPr>
      <w:r w:rsidRPr="00771A16">
        <w:rPr>
          <w:sz w:val="22"/>
          <w:szCs w:val="22"/>
          <w:lang w:val="es-ES"/>
        </w:rPr>
        <w:t>Se incluye la definición de Punto de Importación para separar la actividad de adquisición del gas en el exterior de aquella donde inicia la comercialización del gas importado con destino al S</w:t>
      </w:r>
      <w:r w:rsidR="003506C5" w:rsidRPr="00771A16">
        <w:rPr>
          <w:sz w:val="22"/>
          <w:szCs w:val="22"/>
          <w:lang w:val="es-ES"/>
        </w:rPr>
        <w:t>ervicio Público Domiciliario.</w:t>
      </w:r>
    </w:p>
    <w:p w14:paraId="4E032A67" w14:textId="27ED1D4B" w:rsidR="00FD7A6C" w:rsidRPr="00771A16" w:rsidRDefault="00FD7A6C" w:rsidP="00A00C8C">
      <w:pPr>
        <w:rPr>
          <w:sz w:val="22"/>
          <w:szCs w:val="22"/>
        </w:rPr>
      </w:pPr>
    </w:p>
    <w:p w14:paraId="4E8983C3" w14:textId="77777777" w:rsidR="008352A7" w:rsidRPr="00771A16" w:rsidRDefault="008352A7" w:rsidP="00A00C8C">
      <w:pPr>
        <w:rPr>
          <w:sz w:val="22"/>
          <w:szCs w:val="22"/>
        </w:rPr>
      </w:pPr>
    </w:p>
    <w:p w14:paraId="5EBD86E6" w14:textId="040C91BD" w:rsidR="008352A7" w:rsidRPr="00771A16" w:rsidRDefault="008352A7" w:rsidP="008352A7">
      <w:pPr>
        <w:pStyle w:val="Ttulo3"/>
        <w:rPr>
          <w:sz w:val="22"/>
          <w:szCs w:val="22"/>
        </w:rPr>
      </w:pPr>
      <w:bookmarkStart w:id="189" w:name="_Toc140506204"/>
      <w:r w:rsidRPr="00771A16">
        <w:rPr>
          <w:sz w:val="22"/>
          <w:szCs w:val="22"/>
        </w:rPr>
        <w:t>Comercialización de gas desde campos que se encuentren en pruebas extensas o sobre los cuales no se haya declarado su comercialidad</w:t>
      </w:r>
      <w:bookmarkEnd w:id="189"/>
    </w:p>
    <w:p w14:paraId="713FBD40" w14:textId="1298EDB4" w:rsidR="008352A7" w:rsidRPr="00771A16" w:rsidRDefault="00825C9A" w:rsidP="008352A7">
      <w:pPr>
        <w:rPr>
          <w:sz w:val="22"/>
          <w:szCs w:val="22"/>
          <w:lang w:val="es-ES"/>
        </w:rPr>
      </w:pPr>
      <w:r w:rsidRPr="00771A16">
        <w:rPr>
          <w:sz w:val="22"/>
          <w:szCs w:val="22"/>
          <w:lang w:val="es-ES"/>
        </w:rPr>
        <w:t>Se busca mantener las condiciones establecidas en la regulación vigente para este tipo de fuentes de suministro, precisando en la regulación ciertos aspectos para la negociación de los contratos de suministro del gas natural proveniente de estas fuentes</w:t>
      </w:r>
      <w:r w:rsidR="00A4090C">
        <w:rPr>
          <w:sz w:val="22"/>
          <w:szCs w:val="22"/>
          <w:lang w:val="es-ES"/>
        </w:rPr>
        <w:t xml:space="preserve"> de suministro en </w:t>
      </w:r>
      <w:r w:rsidR="00293A17">
        <w:rPr>
          <w:sz w:val="22"/>
          <w:szCs w:val="22"/>
          <w:lang w:val="es-ES"/>
        </w:rPr>
        <w:t>etapa</w:t>
      </w:r>
      <w:r w:rsidR="00A4090C">
        <w:rPr>
          <w:sz w:val="22"/>
          <w:szCs w:val="22"/>
          <w:lang w:val="es-ES"/>
        </w:rPr>
        <w:t xml:space="preserve"> de evaluación</w:t>
      </w:r>
      <w:r w:rsidRPr="00771A16">
        <w:rPr>
          <w:sz w:val="22"/>
          <w:szCs w:val="22"/>
          <w:lang w:val="es-ES"/>
        </w:rPr>
        <w:t xml:space="preserve">. </w:t>
      </w:r>
      <w:r w:rsidR="00BB3180" w:rsidRPr="00771A16">
        <w:rPr>
          <w:sz w:val="22"/>
          <w:szCs w:val="22"/>
          <w:lang w:val="es-ES"/>
        </w:rPr>
        <w:t xml:space="preserve">Lo anterior, </w:t>
      </w:r>
      <w:r w:rsidR="00B4088C" w:rsidRPr="00771A16">
        <w:rPr>
          <w:sz w:val="22"/>
          <w:szCs w:val="22"/>
          <w:lang w:val="es-ES"/>
        </w:rPr>
        <w:t xml:space="preserve">también en función de la </w:t>
      </w:r>
      <w:r w:rsidR="00E1103E">
        <w:rPr>
          <w:sz w:val="22"/>
          <w:szCs w:val="22"/>
          <w:lang w:val="es-ES"/>
        </w:rPr>
        <w:t xml:space="preserve">certeza de la </w:t>
      </w:r>
      <w:r w:rsidR="00B4088C" w:rsidRPr="00771A16">
        <w:rPr>
          <w:sz w:val="22"/>
          <w:szCs w:val="22"/>
          <w:lang w:val="es-ES"/>
        </w:rPr>
        <w:t xml:space="preserve">producción en este tipo de fuentes de suministro, </w:t>
      </w:r>
      <w:r w:rsidR="00E1103E">
        <w:rPr>
          <w:sz w:val="22"/>
          <w:szCs w:val="22"/>
          <w:lang w:val="es-ES"/>
        </w:rPr>
        <w:t>tal como fue</w:t>
      </w:r>
      <w:r w:rsidR="00BB3180" w:rsidRPr="00771A16">
        <w:rPr>
          <w:sz w:val="22"/>
          <w:szCs w:val="22"/>
          <w:lang w:val="es-ES"/>
        </w:rPr>
        <w:t xml:space="preserve"> </w:t>
      </w:r>
      <w:r w:rsidR="005C5B80">
        <w:rPr>
          <w:sz w:val="22"/>
          <w:szCs w:val="22"/>
          <w:lang w:val="es-ES"/>
        </w:rPr>
        <w:t>aseverado</w:t>
      </w:r>
      <w:r w:rsidR="00E1103E">
        <w:rPr>
          <w:sz w:val="22"/>
          <w:szCs w:val="22"/>
          <w:lang w:val="es-ES"/>
        </w:rPr>
        <w:t xml:space="preserve"> por</w:t>
      </w:r>
      <w:r w:rsidR="00BB3180" w:rsidRPr="00771A16">
        <w:rPr>
          <w:sz w:val="22"/>
          <w:szCs w:val="22"/>
          <w:lang w:val="es-ES"/>
        </w:rPr>
        <w:t xml:space="preserve"> uno de los gremios del sector petrolero en comentarios publicados mediante documento CREG D-063 de 2013, que acompañó la publicación de la Resolución CREG 089 de 2013: “(…) </w:t>
      </w:r>
      <w:r w:rsidR="00BB3180" w:rsidRPr="00771A16">
        <w:rPr>
          <w:i/>
          <w:iCs/>
          <w:sz w:val="22"/>
          <w:szCs w:val="22"/>
          <w:lang w:val="es-ES"/>
        </w:rPr>
        <w:t>es el caso de los campos que se encuentren en prueba extensas o que aún no hayan declarado su comercialidad, para los cuales no siempre es posible asegurar un suministro constante e ininterrumpido, toda vez que bajo las pruebas extensas no es posible tener certeza de los volúmenes de gas que pueden ser producidos en dicho campo</w:t>
      </w:r>
      <w:r w:rsidR="00BB3180" w:rsidRPr="00771A16">
        <w:rPr>
          <w:sz w:val="22"/>
          <w:szCs w:val="22"/>
          <w:lang w:val="es-ES"/>
        </w:rPr>
        <w:t>”.</w:t>
      </w:r>
    </w:p>
    <w:p w14:paraId="4557E1AB" w14:textId="57793E87" w:rsidR="008352A7" w:rsidRPr="00771A16" w:rsidRDefault="008352A7" w:rsidP="008352A7">
      <w:pPr>
        <w:rPr>
          <w:sz w:val="22"/>
          <w:szCs w:val="22"/>
          <w:lang w:val="es-ES"/>
        </w:rPr>
      </w:pPr>
    </w:p>
    <w:p w14:paraId="603A1EE1" w14:textId="77777777" w:rsidR="008F00D0" w:rsidRPr="00771A16" w:rsidRDefault="008F00D0" w:rsidP="008F00D0">
      <w:pPr>
        <w:rPr>
          <w:sz w:val="22"/>
          <w:szCs w:val="22"/>
        </w:rPr>
      </w:pPr>
      <w:r w:rsidRPr="00771A16">
        <w:rPr>
          <w:sz w:val="22"/>
          <w:szCs w:val="22"/>
        </w:rPr>
        <w:t>En este sentido más adelante en el documento se especifican y sustentan las siguientes propuestas:</w:t>
      </w:r>
    </w:p>
    <w:p w14:paraId="61609FFA" w14:textId="77777777" w:rsidR="008352A7" w:rsidRPr="00771A16" w:rsidRDefault="008352A7" w:rsidP="008352A7">
      <w:pPr>
        <w:rPr>
          <w:sz w:val="22"/>
          <w:szCs w:val="22"/>
          <w:lang w:val="es-ES"/>
        </w:rPr>
      </w:pPr>
    </w:p>
    <w:p w14:paraId="09FB90CD" w14:textId="0FE3DB99" w:rsidR="008352A7" w:rsidRPr="00771A16" w:rsidRDefault="008352A7">
      <w:pPr>
        <w:pStyle w:val="Prrafodelista"/>
        <w:numPr>
          <w:ilvl w:val="0"/>
          <w:numId w:val="19"/>
        </w:numPr>
        <w:ind w:left="360"/>
        <w:rPr>
          <w:sz w:val="22"/>
          <w:szCs w:val="22"/>
        </w:rPr>
      </w:pPr>
      <w:r w:rsidRPr="00771A16">
        <w:rPr>
          <w:sz w:val="22"/>
          <w:szCs w:val="22"/>
        </w:rPr>
        <w:t xml:space="preserve">La comercialización de gas se podrá realizar en cualquier momento del año, mediante negociación directa y sin someterse a </w:t>
      </w:r>
      <w:r w:rsidR="00452F54">
        <w:rPr>
          <w:sz w:val="22"/>
          <w:szCs w:val="22"/>
        </w:rPr>
        <w:t>los m</w:t>
      </w:r>
      <w:r w:rsidR="0079023E">
        <w:rPr>
          <w:sz w:val="22"/>
          <w:szCs w:val="22"/>
        </w:rPr>
        <w:t>ecanismos de comercialización</w:t>
      </w:r>
      <w:r w:rsidRPr="00771A16">
        <w:rPr>
          <w:sz w:val="22"/>
          <w:szCs w:val="22"/>
        </w:rPr>
        <w:t xml:space="preserve"> </w:t>
      </w:r>
      <w:r w:rsidR="0079023E">
        <w:rPr>
          <w:sz w:val="22"/>
          <w:szCs w:val="22"/>
        </w:rPr>
        <w:t xml:space="preserve">y las modalidades de </w:t>
      </w:r>
      <w:r w:rsidRPr="00771A16">
        <w:rPr>
          <w:sz w:val="22"/>
          <w:szCs w:val="22"/>
        </w:rPr>
        <w:t xml:space="preserve">contrato de suministro establecidas en la regulación. </w:t>
      </w:r>
    </w:p>
    <w:p w14:paraId="12EEBC2D" w14:textId="77777777" w:rsidR="008352A7" w:rsidRPr="008352A7" w:rsidRDefault="008352A7" w:rsidP="008352A7">
      <w:pPr>
        <w:rPr>
          <w:sz w:val="22"/>
          <w:szCs w:val="22"/>
        </w:rPr>
      </w:pPr>
    </w:p>
    <w:p w14:paraId="6BB5CA8F" w14:textId="37121679" w:rsidR="008352A7" w:rsidRPr="00771A16" w:rsidRDefault="008352A7">
      <w:pPr>
        <w:pStyle w:val="Prrafodelista"/>
        <w:numPr>
          <w:ilvl w:val="0"/>
          <w:numId w:val="19"/>
        </w:numPr>
        <w:ind w:left="360"/>
        <w:rPr>
          <w:sz w:val="22"/>
          <w:szCs w:val="22"/>
        </w:rPr>
      </w:pPr>
      <w:r w:rsidRPr="00771A16">
        <w:rPr>
          <w:sz w:val="22"/>
          <w:szCs w:val="22"/>
        </w:rPr>
        <w:t xml:space="preserve">Los plazos de los contratos de suministro estarán limitados al periodo de prueba autorizado por la autoridad competente, </w:t>
      </w:r>
      <w:r w:rsidR="007A20B2" w:rsidRPr="00771A16">
        <w:rPr>
          <w:sz w:val="22"/>
          <w:szCs w:val="22"/>
        </w:rPr>
        <w:t>a menos que el productor demuestre y así lo haga constar en los contratos de suministro que suscriba, que cuenta con reservas certificadas</w:t>
      </w:r>
      <w:r w:rsidRPr="00771A16">
        <w:rPr>
          <w:sz w:val="22"/>
          <w:szCs w:val="22"/>
        </w:rPr>
        <w:t xml:space="preserve">. </w:t>
      </w:r>
    </w:p>
    <w:p w14:paraId="3828C357" w14:textId="77777777" w:rsidR="008352A7" w:rsidRPr="008352A7" w:rsidRDefault="008352A7" w:rsidP="008352A7">
      <w:pPr>
        <w:rPr>
          <w:sz w:val="22"/>
          <w:szCs w:val="22"/>
        </w:rPr>
      </w:pPr>
    </w:p>
    <w:p w14:paraId="0EDAAFF5" w14:textId="0674360D" w:rsidR="008352A7" w:rsidRPr="00771A16" w:rsidRDefault="008352A7">
      <w:pPr>
        <w:pStyle w:val="Prrafodelista"/>
        <w:numPr>
          <w:ilvl w:val="0"/>
          <w:numId w:val="19"/>
        </w:numPr>
        <w:ind w:left="360"/>
        <w:rPr>
          <w:sz w:val="22"/>
          <w:szCs w:val="22"/>
        </w:rPr>
      </w:pPr>
      <w:r w:rsidRPr="00771A16">
        <w:rPr>
          <w:sz w:val="22"/>
          <w:szCs w:val="22"/>
        </w:rPr>
        <w:t xml:space="preserve">No se podrá atender Demanda Esencial con contratos de suministro que incluyan </w:t>
      </w:r>
      <w:r w:rsidR="007C7D6D">
        <w:rPr>
          <w:sz w:val="22"/>
          <w:szCs w:val="22"/>
        </w:rPr>
        <w:t>suministro</w:t>
      </w:r>
      <w:r w:rsidRPr="00771A16">
        <w:rPr>
          <w:sz w:val="22"/>
          <w:szCs w:val="22"/>
        </w:rPr>
        <w:t xml:space="preserve"> de</w:t>
      </w:r>
      <w:r w:rsidR="008A186F">
        <w:rPr>
          <w:sz w:val="22"/>
          <w:szCs w:val="22"/>
        </w:rPr>
        <w:t>sde</w:t>
      </w:r>
      <w:r w:rsidRPr="00771A16">
        <w:rPr>
          <w:sz w:val="22"/>
          <w:szCs w:val="22"/>
        </w:rPr>
        <w:t xml:space="preserve"> campos en pruebas o sin declaración de comercialidad, porque no tienen Respaldo Físico.</w:t>
      </w:r>
      <w:r w:rsidR="007A20B2" w:rsidRPr="00771A16">
        <w:rPr>
          <w:sz w:val="22"/>
          <w:szCs w:val="22"/>
        </w:rPr>
        <w:t xml:space="preserve"> Lo anterior a menos que el productor demuestre y así lo haga constar en los contratos de suministro que suscriba, que cuenta con reservas certificadas.</w:t>
      </w:r>
    </w:p>
    <w:p w14:paraId="769D0B30" w14:textId="77777777" w:rsidR="008352A7" w:rsidRPr="008352A7" w:rsidRDefault="008352A7" w:rsidP="008352A7">
      <w:pPr>
        <w:rPr>
          <w:sz w:val="22"/>
          <w:szCs w:val="22"/>
        </w:rPr>
      </w:pPr>
    </w:p>
    <w:p w14:paraId="7E127F4B" w14:textId="31C3AE60" w:rsidR="00A00C8C" w:rsidRDefault="008352A7">
      <w:pPr>
        <w:pStyle w:val="Prrafodelista"/>
        <w:numPr>
          <w:ilvl w:val="0"/>
          <w:numId w:val="19"/>
        </w:numPr>
        <w:ind w:left="360"/>
        <w:rPr>
          <w:sz w:val="22"/>
          <w:szCs w:val="22"/>
        </w:rPr>
      </w:pPr>
      <w:r w:rsidRPr="00771A16">
        <w:rPr>
          <w:sz w:val="22"/>
          <w:szCs w:val="22"/>
        </w:rPr>
        <w:t xml:space="preserve">Se precisará que los eventos eximentes de responsabilidad a cargo del Vendedor del </w:t>
      </w:r>
      <w:r w:rsidR="007A20B2" w:rsidRPr="00771A16">
        <w:rPr>
          <w:sz w:val="22"/>
          <w:szCs w:val="22"/>
        </w:rPr>
        <w:t>M</w:t>
      </w:r>
      <w:r w:rsidRPr="00771A16">
        <w:rPr>
          <w:sz w:val="22"/>
          <w:szCs w:val="22"/>
        </w:rPr>
        <w:t xml:space="preserve">ercado </w:t>
      </w:r>
      <w:r w:rsidR="007A20B2" w:rsidRPr="00771A16">
        <w:rPr>
          <w:sz w:val="22"/>
          <w:szCs w:val="22"/>
        </w:rPr>
        <w:t>P</w:t>
      </w:r>
      <w:r w:rsidRPr="00771A16">
        <w:rPr>
          <w:sz w:val="22"/>
          <w:szCs w:val="22"/>
        </w:rPr>
        <w:t>rimario no aplican cuando se trate de campos en pruebas extensas de producción, ni tampoco aplicarán</w:t>
      </w:r>
      <w:r w:rsidR="007A20B2" w:rsidRPr="00771A16">
        <w:rPr>
          <w:sz w:val="22"/>
          <w:szCs w:val="22"/>
        </w:rPr>
        <w:t xml:space="preserve"> obligatoriamente</w:t>
      </w:r>
      <w:r w:rsidRPr="00771A16">
        <w:rPr>
          <w:sz w:val="22"/>
          <w:szCs w:val="22"/>
        </w:rPr>
        <w:t xml:space="preserve"> las compensaciones establecidas en la regulación</w:t>
      </w:r>
      <w:r w:rsidR="007A20B2" w:rsidRPr="00771A16">
        <w:rPr>
          <w:sz w:val="22"/>
          <w:szCs w:val="22"/>
        </w:rPr>
        <w:t>, pudiéndose pactar otro tipo de compensaciones</w:t>
      </w:r>
      <w:r w:rsidRPr="00771A16">
        <w:rPr>
          <w:sz w:val="22"/>
          <w:szCs w:val="22"/>
        </w:rPr>
        <w:t>.</w:t>
      </w:r>
    </w:p>
    <w:p w14:paraId="5BF77DAD" w14:textId="77777777" w:rsidR="00982402" w:rsidRPr="00982402" w:rsidRDefault="00982402" w:rsidP="00982402">
      <w:pPr>
        <w:pStyle w:val="Prrafodelista"/>
        <w:rPr>
          <w:sz w:val="22"/>
          <w:szCs w:val="22"/>
        </w:rPr>
      </w:pPr>
    </w:p>
    <w:p w14:paraId="3B0578C9" w14:textId="39DBE0D1" w:rsidR="00982402" w:rsidRPr="00982402" w:rsidRDefault="00982402" w:rsidP="00982402">
      <w:pPr>
        <w:rPr>
          <w:sz w:val="22"/>
          <w:szCs w:val="22"/>
        </w:rPr>
      </w:pPr>
      <w:r>
        <w:rPr>
          <w:sz w:val="22"/>
          <w:szCs w:val="22"/>
        </w:rPr>
        <w:t>Adicionalmente se da mayor claridad con respecto a lo que se debe entender de campos que no han declarado comercialidad.</w:t>
      </w:r>
    </w:p>
    <w:p w14:paraId="5E6EA0BE" w14:textId="77777777" w:rsidR="00C75E50" w:rsidRPr="00C75E50" w:rsidRDefault="00C75E50" w:rsidP="00C75E50">
      <w:pPr>
        <w:pStyle w:val="Prrafodelista"/>
        <w:rPr>
          <w:sz w:val="22"/>
          <w:szCs w:val="22"/>
        </w:rPr>
      </w:pPr>
    </w:p>
    <w:p w14:paraId="3665A5F3" w14:textId="77777777" w:rsidR="00B86C4B" w:rsidRPr="00771A16" w:rsidRDefault="00B86C4B" w:rsidP="00A00C8C">
      <w:pPr>
        <w:rPr>
          <w:sz w:val="22"/>
          <w:szCs w:val="22"/>
        </w:rPr>
      </w:pPr>
    </w:p>
    <w:p w14:paraId="3875C348" w14:textId="082402A9" w:rsidR="00B86C4B" w:rsidRPr="00771A16" w:rsidRDefault="0079340C" w:rsidP="00B86C4B">
      <w:pPr>
        <w:pStyle w:val="Ttulo3"/>
        <w:rPr>
          <w:sz w:val="22"/>
          <w:szCs w:val="22"/>
        </w:rPr>
      </w:pPr>
      <w:bookmarkStart w:id="190" w:name="_Ref132025179"/>
      <w:bookmarkStart w:id="191" w:name="_Toc140506205"/>
      <w:r w:rsidRPr="00771A16">
        <w:rPr>
          <w:sz w:val="22"/>
          <w:szCs w:val="22"/>
        </w:rPr>
        <w:t xml:space="preserve">Contratación </w:t>
      </w:r>
      <w:r w:rsidR="00FA2BB7">
        <w:rPr>
          <w:sz w:val="22"/>
          <w:szCs w:val="22"/>
        </w:rPr>
        <w:t xml:space="preserve">firme o con garantía de firmeza y el </w:t>
      </w:r>
      <w:r w:rsidRPr="00771A16">
        <w:rPr>
          <w:sz w:val="22"/>
          <w:szCs w:val="22"/>
        </w:rPr>
        <w:t>Respaldo Físico</w:t>
      </w:r>
      <w:bookmarkEnd w:id="190"/>
      <w:bookmarkEnd w:id="191"/>
    </w:p>
    <w:p w14:paraId="65D60B1B" w14:textId="77777777" w:rsidR="00FA2BB7" w:rsidRDefault="0079340C" w:rsidP="00A00C8C">
      <w:pPr>
        <w:rPr>
          <w:sz w:val="22"/>
          <w:szCs w:val="22"/>
        </w:rPr>
      </w:pPr>
      <w:r w:rsidRPr="00771A16">
        <w:rPr>
          <w:sz w:val="22"/>
          <w:szCs w:val="22"/>
        </w:rPr>
        <w:t>Se busca dar claridad en la aplicación contractual del concepto de Respaldo Físico</w:t>
      </w:r>
      <w:r w:rsidR="00FA2BB7">
        <w:rPr>
          <w:sz w:val="22"/>
          <w:szCs w:val="22"/>
        </w:rPr>
        <w:t xml:space="preserve">, </w:t>
      </w:r>
      <w:r w:rsidRPr="00771A16">
        <w:rPr>
          <w:sz w:val="22"/>
          <w:szCs w:val="22"/>
        </w:rPr>
        <w:t xml:space="preserve">definido en el Decreto 1073 de 2015, para los agentes comercializadores y usuarios no regulados que </w:t>
      </w:r>
      <w:r w:rsidR="00A551E8">
        <w:rPr>
          <w:sz w:val="22"/>
          <w:szCs w:val="22"/>
        </w:rPr>
        <w:t xml:space="preserve">sean o </w:t>
      </w:r>
      <w:r w:rsidRPr="00771A16">
        <w:rPr>
          <w:sz w:val="22"/>
          <w:szCs w:val="22"/>
        </w:rPr>
        <w:t>atiend</w:t>
      </w:r>
      <w:r w:rsidR="003D7141">
        <w:rPr>
          <w:sz w:val="22"/>
          <w:szCs w:val="22"/>
        </w:rPr>
        <w:t>a</w:t>
      </w:r>
      <w:r w:rsidRPr="00771A16">
        <w:rPr>
          <w:sz w:val="22"/>
          <w:szCs w:val="22"/>
        </w:rPr>
        <w:t>n Demanda Esencial</w:t>
      </w:r>
      <w:r w:rsidR="00F6588E">
        <w:rPr>
          <w:sz w:val="22"/>
          <w:szCs w:val="22"/>
        </w:rPr>
        <w:t xml:space="preserve"> y </w:t>
      </w:r>
      <w:r w:rsidR="00FA2BB7">
        <w:rPr>
          <w:sz w:val="22"/>
          <w:szCs w:val="22"/>
        </w:rPr>
        <w:t xml:space="preserve">que también aplica </w:t>
      </w:r>
      <w:r w:rsidR="00F6588E">
        <w:rPr>
          <w:sz w:val="22"/>
          <w:szCs w:val="22"/>
        </w:rPr>
        <w:t>en general cualquier tipo de demanda</w:t>
      </w:r>
      <w:r w:rsidR="003D7141">
        <w:rPr>
          <w:sz w:val="22"/>
          <w:szCs w:val="22"/>
        </w:rPr>
        <w:t>,</w:t>
      </w:r>
      <w:r w:rsidR="00FA2BB7">
        <w:rPr>
          <w:sz w:val="22"/>
          <w:szCs w:val="22"/>
        </w:rPr>
        <w:t xml:space="preserve"> que requiera suscribir contratos firmes o que garanticen firmeza. </w:t>
      </w:r>
    </w:p>
    <w:p w14:paraId="23299DD5" w14:textId="77777777" w:rsidR="00FA2BB7" w:rsidRDefault="00FA2BB7" w:rsidP="00A00C8C">
      <w:pPr>
        <w:rPr>
          <w:sz w:val="22"/>
          <w:szCs w:val="22"/>
        </w:rPr>
      </w:pPr>
    </w:p>
    <w:p w14:paraId="622410D8" w14:textId="4D5906DB" w:rsidR="008352A7" w:rsidRPr="00771A16" w:rsidRDefault="00FA2BB7" w:rsidP="00A00C8C">
      <w:pPr>
        <w:rPr>
          <w:sz w:val="22"/>
          <w:szCs w:val="22"/>
        </w:rPr>
      </w:pPr>
      <w:r>
        <w:rPr>
          <w:sz w:val="22"/>
          <w:szCs w:val="22"/>
        </w:rPr>
        <w:t>Lo anterior a aplicarse en las negociaciones del Mercado Mayorista, sea que se trate de gas de fuentes de suministro nacionales o de gas obtenido en el exterior e independientemente de si se trata de fuentes de suministro que pueden negociar directamente con excepciones a la aplicación de mecanismos de comercialización establecidos por la CREG, o si el campo se encuentra en pruebas o aún no ha declarado comercialidad</w:t>
      </w:r>
      <w:r w:rsidR="0079340C" w:rsidRPr="00771A16">
        <w:rPr>
          <w:sz w:val="22"/>
          <w:szCs w:val="22"/>
        </w:rPr>
        <w:t xml:space="preserve">.  </w:t>
      </w:r>
    </w:p>
    <w:p w14:paraId="4F584BF9" w14:textId="25FC7537" w:rsidR="008352A7" w:rsidRPr="00771A16" w:rsidRDefault="008352A7" w:rsidP="00A00C8C">
      <w:pPr>
        <w:rPr>
          <w:sz w:val="22"/>
          <w:szCs w:val="22"/>
        </w:rPr>
      </w:pPr>
    </w:p>
    <w:p w14:paraId="6129937F" w14:textId="77777777" w:rsidR="0079340C" w:rsidRPr="00771A16" w:rsidRDefault="0079340C" w:rsidP="00A00C8C">
      <w:pPr>
        <w:rPr>
          <w:sz w:val="22"/>
          <w:szCs w:val="22"/>
        </w:rPr>
      </w:pPr>
    </w:p>
    <w:p w14:paraId="380B5659" w14:textId="3EF6BD6B" w:rsidR="0079340C" w:rsidRPr="00771A16" w:rsidRDefault="0079340C" w:rsidP="0079340C">
      <w:pPr>
        <w:pStyle w:val="Ttulo3"/>
        <w:rPr>
          <w:sz w:val="22"/>
          <w:szCs w:val="22"/>
        </w:rPr>
      </w:pPr>
      <w:bookmarkStart w:id="192" w:name="_Toc140506206"/>
      <w:r w:rsidRPr="00771A16">
        <w:rPr>
          <w:sz w:val="22"/>
          <w:szCs w:val="22"/>
        </w:rPr>
        <w:t xml:space="preserve">Aseguramiento del </w:t>
      </w:r>
      <w:r w:rsidR="001849C9">
        <w:rPr>
          <w:sz w:val="22"/>
          <w:szCs w:val="22"/>
        </w:rPr>
        <w:t xml:space="preserve">acceso al </w:t>
      </w:r>
      <w:r w:rsidRPr="00771A16">
        <w:rPr>
          <w:sz w:val="22"/>
          <w:szCs w:val="22"/>
        </w:rPr>
        <w:t>suministro para la atención de la Demanda Esencial</w:t>
      </w:r>
      <w:bookmarkEnd w:id="192"/>
    </w:p>
    <w:p w14:paraId="3A71947E" w14:textId="586A479C" w:rsidR="00645774" w:rsidRDefault="00693071" w:rsidP="00660603">
      <w:pPr>
        <w:rPr>
          <w:sz w:val="22"/>
          <w:szCs w:val="22"/>
        </w:rPr>
      </w:pPr>
      <w:r w:rsidRPr="00771A16">
        <w:rPr>
          <w:sz w:val="22"/>
          <w:szCs w:val="22"/>
        </w:rPr>
        <w:t>Adicionalmente</w:t>
      </w:r>
      <w:r w:rsidR="007A2A15" w:rsidRPr="00771A16">
        <w:rPr>
          <w:sz w:val="22"/>
          <w:szCs w:val="22"/>
        </w:rPr>
        <w:t xml:space="preserve">, se </w:t>
      </w:r>
      <w:r w:rsidR="007C250B" w:rsidRPr="00771A16">
        <w:rPr>
          <w:sz w:val="22"/>
          <w:szCs w:val="22"/>
        </w:rPr>
        <w:t>propone definir</w:t>
      </w:r>
      <w:r w:rsidR="000E0349" w:rsidRPr="00771A16">
        <w:rPr>
          <w:sz w:val="22"/>
          <w:szCs w:val="22"/>
        </w:rPr>
        <w:t xml:space="preserve"> un mecanismo </w:t>
      </w:r>
      <w:r w:rsidR="00447240">
        <w:rPr>
          <w:sz w:val="22"/>
          <w:szCs w:val="22"/>
        </w:rPr>
        <w:t xml:space="preserve">detallado </w:t>
      </w:r>
      <w:r w:rsidR="000E0349" w:rsidRPr="00771A16">
        <w:rPr>
          <w:sz w:val="22"/>
          <w:szCs w:val="22"/>
        </w:rPr>
        <w:t xml:space="preserve">que permita </w:t>
      </w:r>
      <w:r w:rsidR="00FD6A4F" w:rsidRPr="00771A16">
        <w:rPr>
          <w:sz w:val="22"/>
          <w:szCs w:val="22"/>
        </w:rPr>
        <w:t xml:space="preserve">a los </w:t>
      </w:r>
      <w:r w:rsidR="003A5FAD">
        <w:rPr>
          <w:sz w:val="22"/>
          <w:szCs w:val="22"/>
        </w:rPr>
        <w:t xml:space="preserve">Participantes del mercado </w:t>
      </w:r>
      <w:r w:rsidR="00FD6A4F" w:rsidRPr="00771A16">
        <w:rPr>
          <w:sz w:val="22"/>
          <w:szCs w:val="22"/>
        </w:rPr>
        <w:t xml:space="preserve"> que atiendan a l</w:t>
      </w:r>
      <w:r w:rsidR="007C250B" w:rsidRPr="00771A16">
        <w:rPr>
          <w:sz w:val="22"/>
          <w:szCs w:val="22"/>
        </w:rPr>
        <w:t>os usuarios y a los agentes que representan los usuarios que son parte de l</w:t>
      </w:r>
      <w:r w:rsidR="00FD6A4F" w:rsidRPr="00771A16">
        <w:rPr>
          <w:sz w:val="22"/>
          <w:szCs w:val="22"/>
        </w:rPr>
        <w:t xml:space="preserve">a </w:t>
      </w:r>
      <w:r w:rsidR="00E8014D" w:rsidRPr="00771A16">
        <w:rPr>
          <w:sz w:val="22"/>
          <w:szCs w:val="22"/>
        </w:rPr>
        <w:t>Demanda Esencial</w:t>
      </w:r>
      <w:r w:rsidR="007C250B" w:rsidRPr="00771A16">
        <w:rPr>
          <w:sz w:val="22"/>
          <w:szCs w:val="22"/>
        </w:rPr>
        <w:t>,</w:t>
      </w:r>
      <w:r w:rsidR="00035311" w:rsidRPr="00771A16">
        <w:rPr>
          <w:sz w:val="22"/>
          <w:szCs w:val="22"/>
        </w:rPr>
        <w:t xml:space="preserve"> </w:t>
      </w:r>
      <w:r w:rsidR="0079340C" w:rsidRPr="00771A16">
        <w:rPr>
          <w:sz w:val="22"/>
          <w:szCs w:val="22"/>
        </w:rPr>
        <w:t xml:space="preserve">regulados y no regulados, </w:t>
      </w:r>
      <w:r w:rsidR="00FD6A4F" w:rsidRPr="00771A16">
        <w:rPr>
          <w:sz w:val="22"/>
          <w:szCs w:val="22"/>
        </w:rPr>
        <w:t xml:space="preserve">tener acceso a los contratos de suministro de gas natural </w:t>
      </w:r>
      <w:r w:rsidR="008A7BA4">
        <w:rPr>
          <w:sz w:val="22"/>
          <w:szCs w:val="22"/>
        </w:rPr>
        <w:t>de tipo firme o con garantía de firmeza</w:t>
      </w:r>
      <w:r w:rsidR="00562AA0" w:rsidRPr="00771A16">
        <w:rPr>
          <w:sz w:val="22"/>
          <w:szCs w:val="22"/>
        </w:rPr>
        <w:t xml:space="preserve">, ya sea que se </w:t>
      </w:r>
      <w:r w:rsidR="00792367" w:rsidRPr="00771A16">
        <w:rPr>
          <w:sz w:val="22"/>
          <w:szCs w:val="22"/>
        </w:rPr>
        <w:t>presente para un período determinado futuro</w:t>
      </w:r>
      <w:r w:rsidR="005A6F64" w:rsidRPr="00771A16">
        <w:rPr>
          <w:sz w:val="22"/>
          <w:szCs w:val="22"/>
        </w:rPr>
        <w:t xml:space="preserve"> de suministro</w:t>
      </w:r>
      <w:r w:rsidR="00086AE7" w:rsidRPr="00771A16">
        <w:rPr>
          <w:sz w:val="22"/>
          <w:szCs w:val="22"/>
        </w:rPr>
        <w:t xml:space="preserve"> </w:t>
      </w:r>
      <w:r w:rsidR="00792367" w:rsidRPr="00771A16">
        <w:rPr>
          <w:sz w:val="22"/>
          <w:szCs w:val="22"/>
        </w:rPr>
        <w:t>una oferta de gas suficiente para atender las necesidades de la totalidad de la demanda</w:t>
      </w:r>
      <w:r w:rsidR="00DC1DA4">
        <w:rPr>
          <w:sz w:val="22"/>
          <w:szCs w:val="22"/>
        </w:rPr>
        <w:t xml:space="preserve"> de los mercados de comercialización </w:t>
      </w:r>
      <w:r w:rsidR="00792367" w:rsidRPr="00771A16">
        <w:rPr>
          <w:sz w:val="22"/>
          <w:szCs w:val="22"/>
        </w:rPr>
        <w:t xml:space="preserve">mediante contratos </w:t>
      </w:r>
      <w:r w:rsidR="008A7BA4">
        <w:rPr>
          <w:sz w:val="22"/>
          <w:szCs w:val="22"/>
        </w:rPr>
        <w:t>de tipo firme o con garantía de firmeza</w:t>
      </w:r>
      <w:r w:rsidR="00792367" w:rsidRPr="00771A16">
        <w:rPr>
          <w:sz w:val="22"/>
          <w:szCs w:val="22"/>
        </w:rPr>
        <w:t>,</w:t>
      </w:r>
      <w:r w:rsidR="008B1128" w:rsidRPr="00771A16">
        <w:rPr>
          <w:sz w:val="22"/>
          <w:szCs w:val="22"/>
        </w:rPr>
        <w:t xml:space="preserve"> o </w:t>
      </w:r>
      <w:r w:rsidR="00086AE7" w:rsidRPr="00771A16">
        <w:rPr>
          <w:sz w:val="22"/>
          <w:szCs w:val="22"/>
        </w:rPr>
        <w:t>en su defecto,</w:t>
      </w:r>
      <w:r w:rsidR="008B1128" w:rsidRPr="00771A16">
        <w:rPr>
          <w:sz w:val="22"/>
          <w:szCs w:val="22"/>
        </w:rPr>
        <w:t xml:space="preserve"> </w:t>
      </w:r>
      <w:r w:rsidR="005A6F64" w:rsidRPr="00771A16">
        <w:rPr>
          <w:sz w:val="22"/>
          <w:szCs w:val="22"/>
        </w:rPr>
        <w:t xml:space="preserve">para </w:t>
      </w:r>
      <w:r w:rsidR="008B1128" w:rsidRPr="00771A16">
        <w:rPr>
          <w:sz w:val="22"/>
          <w:szCs w:val="22"/>
        </w:rPr>
        <w:t xml:space="preserve">cuando la oferta </w:t>
      </w:r>
      <w:r w:rsidR="00086AE7" w:rsidRPr="00771A16">
        <w:rPr>
          <w:sz w:val="22"/>
          <w:szCs w:val="22"/>
        </w:rPr>
        <w:t xml:space="preserve">de suministro de gas natural </w:t>
      </w:r>
      <w:r w:rsidR="008B1128" w:rsidRPr="00771A16">
        <w:rPr>
          <w:sz w:val="22"/>
          <w:szCs w:val="22"/>
        </w:rPr>
        <w:t>sea insuficiente</w:t>
      </w:r>
      <w:r w:rsidR="0079340C" w:rsidRPr="00771A16">
        <w:rPr>
          <w:sz w:val="22"/>
          <w:szCs w:val="22"/>
        </w:rPr>
        <w:t xml:space="preserve"> para atender la totalidad de la demanda</w:t>
      </w:r>
      <w:r w:rsidR="00FD6A4F" w:rsidRPr="00771A16">
        <w:rPr>
          <w:sz w:val="22"/>
          <w:szCs w:val="22"/>
        </w:rPr>
        <w:t>.</w:t>
      </w:r>
      <w:r w:rsidR="00BB376A" w:rsidRPr="00771A16">
        <w:rPr>
          <w:sz w:val="22"/>
          <w:szCs w:val="22"/>
        </w:rPr>
        <w:t xml:space="preserve"> </w:t>
      </w:r>
    </w:p>
    <w:p w14:paraId="36EA124B" w14:textId="4CCCA62E" w:rsidR="007E32C0" w:rsidRDefault="007E32C0" w:rsidP="00660603">
      <w:pPr>
        <w:rPr>
          <w:sz w:val="22"/>
          <w:szCs w:val="22"/>
        </w:rPr>
      </w:pPr>
    </w:p>
    <w:p w14:paraId="621011DE" w14:textId="336C41D1" w:rsidR="007E32C0" w:rsidRPr="00771A16" w:rsidRDefault="007E32C0" w:rsidP="00660603">
      <w:pPr>
        <w:rPr>
          <w:sz w:val="22"/>
          <w:szCs w:val="22"/>
        </w:rPr>
      </w:pPr>
      <w:r>
        <w:rPr>
          <w:sz w:val="22"/>
          <w:szCs w:val="22"/>
        </w:rPr>
        <w:t>Dicho</w:t>
      </w:r>
      <w:r w:rsidR="00FA2BB7">
        <w:rPr>
          <w:sz w:val="22"/>
          <w:szCs w:val="22"/>
        </w:rPr>
        <w:t>s</w:t>
      </w:r>
      <w:r>
        <w:rPr>
          <w:sz w:val="22"/>
          <w:szCs w:val="22"/>
        </w:rPr>
        <w:t xml:space="preserve"> mecanismos de acceso a la Demanda Esencial, que se deben aplicar a todas las fuentes de suministro sin excepción, debe</w:t>
      </w:r>
      <w:r w:rsidR="008C4F50">
        <w:rPr>
          <w:sz w:val="22"/>
          <w:szCs w:val="22"/>
        </w:rPr>
        <w:t>n</w:t>
      </w:r>
      <w:r>
        <w:rPr>
          <w:sz w:val="22"/>
          <w:szCs w:val="22"/>
        </w:rPr>
        <w:t xml:space="preserve"> </w:t>
      </w:r>
      <w:r w:rsidR="007604EE">
        <w:rPr>
          <w:sz w:val="22"/>
          <w:szCs w:val="22"/>
        </w:rPr>
        <w:t>aplicarse de manera armónica</w:t>
      </w:r>
      <w:r>
        <w:rPr>
          <w:sz w:val="22"/>
          <w:szCs w:val="22"/>
        </w:rPr>
        <w:t xml:space="preserve"> con los mecanismos de comercialización establecidos por la CREG y con los propios mecanismos de comercialización que establecen los vendedores de las fuentes de suministro que no están obligados a utilizar los mecanismos de comercialización establecidos por la CREG.</w:t>
      </w:r>
    </w:p>
    <w:p w14:paraId="764A416B" w14:textId="4E74A579" w:rsidR="00430B59" w:rsidRPr="00771A16" w:rsidRDefault="00430B59" w:rsidP="00660603">
      <w:pPr>
        <w:rPr>
          <w:sz w:val="22"/>
          <w:szCs w:val="22"/>
        </w:rPr>
      </w:pPr>
    </w:p>
    <w:p w14:paraId="6BFCF39D" w14:textId="77777777" w:rsidR="00430B59" w:rsidRPr="00771A16" w:rsidRDefault="00430B59" w:rsidP="00660603">
      <w:pPr>
        <w:rPr>
          <w:sz w:val="22"/>
          <w:szCs w:val="22"/>
        </w:rPr>
      </w:pPr>
    </w:p>
    <w:p w14:paraId="4546F6BE" w14:textId="49862235" w:rsidR="00430B59" w:rsidRPr="00771A16" w:rsidRDefault="0086133E" w:rsidP="00430B59">
      <w:pPr>
        <w:pStyle w:val="Ttulo3"/>
        <w:rPr>
          <w:sz w:val="22"/>
          <w:szCs w:val="22"/>
        </w:rPr>
      </w:pPr>
      <w:bookmarkStart w:id="193" w:name="_Toc140506207"/>
      <w:r w:rsidRPr="00771A16">
        <w:rPr>
          <w:sz w:val="22"/>
          <w:szCs w:val="22"/>
        </w:rPr>
        <w:t xml:space="preserve">Declaración de </w:t>
      </w:r>
      <w:r w:rsidR="00FA2BB7">
        <w:rPr>
          <w:sz w:val="22"/>
          <w:szCs w:val="22"/>
        </w:rPr>
        <w:t xml:space="preserve">potencial de </w:t>
      </w:r>
      <w:r w:rsidRPr="00771A16">
        <w:rPr>
          <w:sz w:val="22"/>
          <w:szCs w:val="22"/>
        </w:rPr>
        <w:t>producción comercial</w:t>
      </w:r>
      <w:r w:rsidR="00FA2BB7">
        <w:rPr>
          <w:sz w:val="22"/>
          <w:szCs w:val="22"/>
        </w:rPr>
        <w:t>izable</w:t>
      </w:r>
      <w:bookmarkEnd w:id="193"/>
    </w:p>
    <w:p w14:paraId="042DEACC" w14:textId="59CF9259" w:rsidR="00472CC4" w:rsidRPr="00771A16" w:rsidRDefault="00472CC4" w:rsidP="00472CC4">
      <w:pPr>
        <w:rPr>
          <w:sz w:val="22"/>
          <w:szCs w:val="22"/>
          <w:lang w:val="es-ES"/>
        </w:rPr>
      </w:pPr>
      <w:r w:rsidRPr="00771A16">
        <w:rPr>
          <w:sz w:val="22"/>
          <w:szCs w:val="22"/>
          <w:lang w:val="es-ES"/>
        </w:rPr>
        <w:t xml:space="preserve">Se busca contar con la información de manera pública de la totalidad de las cantidades que están disponibles para contratación del suministro por parte de los </w:t>
      </w:r>
      <w:r w:rsidR="0084445B">
        <w:rPr>
          <w:sz w:val="22"/>
          <w:szCs w:val="22"/>
          <w:lang w:val="es-ES"/>
        </w:rPr>
        <w:t>vendedores del mercado primario</w:t>
      </w:r>
      <w:r w:rsidR="00F00273">
        <w:rPr>
          <w:sz w:val="22"/>
          <w:szCs w:val="22"/>
          <w:lang w:val="es-ES"/>
        </w:rPr>
        <w:t xml:space="preserve"> de sus fuentes de suministro y sus Puntos de Entrega</w:t>
      </w:r>
      <w:r w:rsidR="0084445B">
        <w:rPr>
          <w:sz w:val="22"/>
          <w:szCs w:val="22"/>
          <w:lang w:val="es-ES"/>
        </w:rPr>
        <w:t xml:space="preserve"> (</w:t>
      </w:r>
      <w:r w:rsidRPr="00771A16">
        <w:rPr>
          <w:sz w:val="22"/>
          <w:szCs w:val="22"/>
          <w:lang w:val="es-ES"/>
        </w:rPr>
        <w:t>productores-comercializadores y de los comercializadores de gas importado</w:t>
      </w:r>
      <w:r w:rsidR="0084445B">
        <w:rPr>
          <w:sz w:val="22"/>
          <w:szCs w:val="22"/>
          <w:lang w:val="es-ES"/>
        </w:rPr>
        <w:t>)</w:t>
      </w:r>
      <w:r w:rsidRPr="00771A16">
        <w:rPr>
          <w:sz w:val="22"/>
          <w:szCs w:val="22"/>
          <w:lang w:val="es-ES"/>
        </w:rPr>
        <w:t>, no solo para que los participantes del Mercado Mayorista cuenten con información que les permita establecer una estrategia eficaz de negociación y optimización de recursos, sino también para que el mecanismo de aseguramiento de la Demanda Esencial sea efectivo, neutral y eficiente</w:t>
      </w:r>
      <w:r w:rsidR="006F092E" w:rsidRPr="00771A16">
        <w:rPr>
          <w:sz w:val="22"/>
          <w:szCs w:val="22"/>
          <w:lang w:val="es-ES"/>
        </w:rPr>
        <w:t>, entre otros principios</w:t>
      </w:r>
      <w:r w:rsidR="00A6356A" w:rsidRPr="00771A16">
        <w:rPr>
          <w:sz w:val="22"/>
          <w:szCs w:val="22"/>
          <w:lang w:val="es-ES"/>
        </w:rPr>
        <w:t>.</w:t>
      </w:r>
      <w:r w:rsidRPr="00771A16">
        <w:rPr>
          <w:sz w:val="22"/>
          <w:szCs w:val="22"/>
          <w:lang w:val="es-ES"/>
        </w:rPr>
        <w:t xml:space="preserve">  </w:t>
      </w:r>
    </w:p>
    <w:p w14:paraId="0300B587" w14:textId="41CA0D2A" w:rsidR="00430B59" w:rsidRPr="00771A16" w:rsidRDefault="00430B59" w:rsidP="00660603">
      <w:pPr>
        <w:rPr>
          <w:sz w:val="22"/>
          <w:szCs w:val="22"/>
        </w:rPr>
      </w:pPr>
    </w:p>
    <w:p w14:paraId="2E00A93E" w14:textId="77777777" w:rsidR="00FD68A5" w:rsidRPr="00771A16" w:rsidRDefault="00FD68A5" w:rsidP="00FD68A5">
      <w:pPr>
        <w:rPr>
          <w:sz w:val="22"/>
          <w:szCs w:val="22"/>
        </w:rPr>
      </w:pPr>
      <w:r w:rsidRPr="00771A16">
        <w:rPr>
          <w:sz w:val="22"/>
          <w:szCs w:val="22"/>
        </w:rPr>
        <w:t>En este sentido más adelante en el documento se especifican y sustentan las siguientes propuestas:</w:t>
      </w:r>
    </w:p>
    <w:p w14:paraId="7BE8D357" w14:textId="77777777" w:rsidR="00FD68A5" w:rsidRPr="00771A16" w:rsidRDefault="00FD68A5" w:rsidP="00660603">
      <w:pPr>
        <w:rPr>
          <w:sz w:val="22"/>
          <w:szCs w:val="22"/>
        </w:rPr>
      </w:pPr>
    </w:p>
    <w:p w14:paraId="76BEC27C" w14:textId="6CC10B1F" w:rsidR="0086133E" w:rsidRPr="00771A16" w:rsidRDefault="0086133E">
      <w:pPr>
        <w:pStyle w:val="Prrafodelista"/>
        <w:numPr>
          <w:ilvl w:val="0"/>
          <w:numId w:val="20"/>
        </w:numPr>
        <w:ind w:left="360"/>
        <w:rPr>
          <w:sz w:val="22"/>
          <w:szCs w:val="22"/>
        </w:rPr>
      </w:pPr>
      <w:r w:rsidRPr="00771A16">
        <w:rPr>
          <w:sz w:val="22"/>
          <w:szCs w:val="22"/>
        </w:rPr>
        <w:t xml:space="preserve">Todos los vendedores del Mercado Primario (Productores-Comercializadores y Comercializadores de gas importado) reportarán y ofrecerán su PTDVF/CIDVF por Fuente de Suministro y sus puntos de entrega, los cuales pueden ser o no un Punto de Importación, con horizonte mínimo de 5 años y máximo de 10 años. </w:t>
      </w:r>
    </w:p>
    <w:p w14:paraId="0F37FE05" w14:textId="77777777" w:rsidR="0086133E" w:rsidRPr="0086133E" w:rsidRDefault="0086133E" w:rsidP="0086133E">
      <w:pPr>
        <w:rPr>
          <w:sz w:val="22"/>
          <w:szCs w:val="22"/>
        </w:rPr>
      </w:pPr>
    </w:p>
    <w:p w14:paraId="7218B9BD" w14:textId="5B25C278" w:rsidR="0086133E" w:rsidRPr="00771A16" w:rsidRDefault="0086133E">
      <w:pPr>
        <w:pStyle w:val="Prrafodelista"/>
        <w:numPr>
          <w:ilvl w:val="0"/>
          <w:numId w:val="20"/>
        </w:numPr>
        <w:ind w:left="360"/>
        <w:rPr>
          <w:sz w:val="22"/>
          <w:szCs w:val="22"/>
        </w:rPr>
      </w:pPr>
      <w:r w:rsidRPr="00771A16">
        <w:rPr>
          <w:sz w:val="22"/>
          <w:szCs w:val="22"/>
        </w:rPr>
        <w:t xml:space="preserve">Se podrá actualizar la PTDVF y </w:t>
      </w:r>
      <w:r w:rsidR="0094716A">
        <w:rPr>
          <w:sz w:val="22"/>
          <w:szCs w:val="22"/>
        </w:rPr>
        <w:t>la</w:t>
      </w:r>
      <w:r w:rsidRPr="00771A16">
        <w:rPr>
          <w:sz w:val="22"/>
          <w:szCs w:val="22"/>
        </w:rPr>
        <w:t xml:space="preserve"> CIDVF, informando al </w:t>
      </w:r>
      <w:r w:rsidR="005114C6">
        <w:rPr>
          <w:sz w:val="22"/>
          <w:szCs w:val="22"/>
        </w:rPr>
        <w:t>Gestor del Mercado</w:t>
      </w:r>
      <w:r w:rsidRPr="00771A16">
        <w:rPr>
          <w:sz w:val="22"/>
          <w:szCs w:val="22"/>
        </w:rPr>
        <w:t xml:space="preserve"> y a</w:t>
      </w:r>
      <w:r w:rsidR="0094716A">
        <w:rPr>
          <w:sz w:val="22"/>
          <w:szCs w:val="22"/>
        </w:rPr>
        <w:t xml:space="preserve"> </w:t>
      </w:r>
      <w:r w:rsidRPr="00771A16">
        <w:rPr>
          <w:sz w:val="22"/>
          <w:szCs w:val="22"/>
        </w:rPr>
        <w:t>la CREG, las causales técnicas y/u operativas que las justifique. Se especifica el cumplimiento de la regla de comportamiento respecto de la información que se declara (Art. 8 Res. CREG 080 de 2019)</w:t>
      </w:r>
    </w:p>
    <w:p w14:paraId="399A8325" w14:textId="77777777" w:rsidR="0086133E" w:rsidRPr="0086133E" w:rsidRDefault="0086133E" w:rsidP="0086133E">
      <w:pPr>
        <w:rPr>
          <w:sz w:val="22"/>
          <w:szCs w:val="22"/>
        </w:rPr>
      </w:pPr>
    </w:p>
    <w:p w14:paraId="77A5E31A" w14:textId="52A263BD" w:rsidR="0086133E" w:rsidRPr="00771A16" w:rsidRDefault="0086133E">
      <w:pPr>
        <w:pStyle w:val="Prrafodelista"/>
        <w:numPr>
          <w:ilvl w:val="0"/>
          <w:numId w:val="20"/>
        </w:numPr>
        <w:ind w:left="360"/>
        <w:rPr>
          <w:sz w:val="22"/>
          <w:szCs w:val="22"/>
        </w:rPr>
      </w:pPr>
      <w:r w:rsidRPr="00771A16">
        <w:rPr>
          <w:sz w:val="22"/>
          <w:szCs w:val="22"/>
        </w:rPr>
        <w:t xml:space="preserve">Se define EL PUNTO DE ENTREGA como el lugar donde se </w:t>
      </w:r>
      <w:r w:rsidR="003B283A">
        <w:rPr>
          <w:sz w:val="22"/>
          <w:szCs w:val="22"/>
        </w:rPr>
        <w:t>entrega físicamente el gas</w:t>
      </w:r>
      <w:r w:rsidRPr="00771A16">
        <w:rPr>
          <w:sz w:val="22"/>
          <w:szCs w:val="22"/>
        </w:rPr>
        <w:t xml:space="preserve"> por parte de los vendedores y se determinan los precios de venta con destino al S</w:t>
      </w:r>
      <w:r w:rsidR="009F3296">
        <w:rPr>
          <w:sz w:val="22"/>
          <w:szCs w:val="22"/>
        </w:rPr>
        <w:t xml:space="preserve">ervicio </w:t>
      </w:r>
      <w:r w:rsidRPr="00771A16">
        <w:rPr>
          <w:sz w:val="22"/>
          <w:szCs w:val="22"/>
        </w:rPr>
        <w:t>P</w:t>
      </w:r>
      <w:r w:rsidR="009F3296">
        <w:rPr>
          <w:sz w:val="22"/>
          <w:szCs w:val="22"/>
        </w:rPr>
        <w:t xml:space="preserve">úblico </w:t>
      </w:r>
      <w:r w:rsidRPr="00771A16">
        <w:rPr>
          <w:sz w:val="22"/>
          <w:szCs w:val="22"/>
        </w:rPr>
        <w:t>D</w:t>
      </w:r>
      <w:r w:rsidR="009F3296">
        <w:rPr>
          <w:sz w:val="22"/>
          <w:szCs w:val="22"/>
        </w:rPr>
        <w:t>omiciliario</w:t>
      </w:r>
      <w:r w:rsidRPr="00771A16">
        <w:rPr>
          <w:sz w:val="22"/>
          <w:szCs w:val="22"/>
        </w:rPr>
        <w:t xml:space="preserve"> y/o Demanda Esencial.</w:t>
      </w:r>
    </w:p>
    <w:p w14:paraId="32065348" w14:textId="77777777" w:rsidR="0086133E" w:rsidRPr="0086133E" w:rsidRDefault="0086133E" w:rsidP="0086133E">
      <w:pPr>
        <w:rPr>
          <w:sz w:val="22"/>
          <w:szCs w:val="22"/>
        </w:rPr>
      </w:pPr>
    </w:p>
    <w:p w14:paraId="0CE6BCD6" w14:textId="6AE0B5AC" w:rsidR="0086133E" w:rsidRPr="00771A16" w:rsidRDefault="0086133E">
      <w:pPr>
        <w:pStyle w:val="Prrafodelista"/>
        <w:numPr>
          <w:ilvl w:val="0"/>
          <w:numId w:val="20"/>
        </w:numPr>
        <w:ind w:left="360"/>
        <w:rPr>
          <w:sz w:val="22"/>
          <w:szCs w:val="22"/>
        </w:rPr>
      </w:pPr>
      <w:r w:rsidRPr="00771A16">
        <w:rPr>
          <w:sz w:val="22"/>
          <w:szCs w:val="22"/>
        </w:rPr>
        <w:t xml:space="preserve">Se deben reportar y registrar al </w:t>
      </w:r>
      <w:r w:rsidR="005114C6">
        <w:rPr>
          <w:sz w:val="22"/>
          <w:szCs w:val="22"/>
        </w:rPr>
        <w:t>Gestor del Mercado</w:t>
      </w:r>
      <w:r w:rsidRPr="00771A16">
        <w:rPr>
          <w:sz w:val="22"/>
          <w:szCs w:val="22"/>
        </w:rPr>
        <w:t xml:space="preserve"> todos los Puntos de Entrega de los contratos de suministro.</w:t>
      </w:r>
    </w:p>
    <w:p w14:paraId="138E4568" w14:textId="77777777" w:rsidR="00C013BC" w:rsidRPr="00771A16" w:rsidRDefault="00C013BC" w:rsidP="00C013BC">
      <w:pPr>
        <w:pStyle w:val="Prrafodelista"/>
        <w:rPr>
          <w:sz w:val="22"/>
          <w:szCs w:val="22"/>
        </w:rPr>
      </w:pPr>
    </w:p>
    <w:p w14:paraId="3BE5E503" w14:textId="30B9D960" w:rsidR="00C013BC" w:rsidRPr="00C013BC" w:rsidRDefault="00C013BC">
      <w:pPr>
        <w:pStyle w:val="Prrafodelista"/>
        <w:numPr>
          <w:ilvl w:val="0"/>
          <w:numId w:val="20"/>
        </w:numPr>
        <w:ind w:left="360"/>
        <w:rPr>
          <w:sz w:val="22"/>
          <w:szCs w:val="22"/>
        </w:rPr>
      </w:pPr>
      <w:r w:rsidRPr="00C013BC">
        <w:rPr>
          <w:sz w:val="22"/>
          <w:szCs w:val="22"/>
        </w:rPr>
        <w:t>Obligación de</w:t>
      </w:r>
      <w:r w:rsidRPr="00771A16">
        <w:rPr>
          <w:sz w:val="22"/>
          <w:szCs w:val="22"/>
        </w:rPr>
        <w:t>l</w:t>
      </w:r>
      <w:r w:rsidRPr="00C013BC">
        <w:rPr>
          <w:sz w:val="22"/>
          <w:szCs w:val="22"/>
        </w:rPr>
        <w:t xml:space="preserve"> registro de los </w:t>
      </w:r>
      <w:r w:rsidRPr="00771A16">
        <w:rPr>
          <w:sz w:val="22"/>
          <w:szCs w:val="22"/>
        </w:rPr>
        <w:t xml:space="preserve">contratos para consumo propio </w:t>
      </w:r>
      <w:r w:rsidRPr="00C013BC">
        <w:rPr>
          <w:sz w:val="22"/>
          <w:szCs w:val="22"/>
        </w:rPr>
        <w:t xml:space="preserve">de los productores </w:t>
      </w:r>
      <w:r w:rsidR="00AD42D2" w:rsidRPr="00771A16">
        <w:rPr>
          <w:sz w:val="22"/>
          <w:szCs w:val="22"/>
        </w:rPr>
        <w:t>(</w:t>
      </w:r>
      <w:r w:rsidRPr="00C013BC">
        <w:rPr>
          <w:sz w:val="22"/>
          <w:szCs w:val="22"/>
        </w:rPr>
        <w:t xml:space="preserve">Consumo </w:t>
      </w:r>
      <w:r w:rsidRPr="00771A16">
        <w:rPr>
          <w:sz w:val="22"/>
          <w:szCs w:val="22"/>
        </w:rPr>
        <w:t>de refinerías propias</w:t>
      </w:r>
      <w:r w:rsidRPr="00C013BC">
        <w:rPr>
          <w:sz w:val="22"/>
          <w:szCs w:val="22"/>
        </w:rPr>
        <w:t>, entre otros)</w:t>
      </w:r>
    </w:p>
    <w:p w14:paraId="7D8F6A72" w14:textId="77777777" w:rsidR="00C013BC" w:rsidRPr="00C013BC" w:rsidRDefault="00C013BC" w:rsidP="00C013BC">
      <w:pPr>
        <w:pStyle w:val="Prrafodelista"/>
        <w:ind w:left="360"/>
        <w:rPr>
          <w:sz w:val="22"/>
          <w:szCs w:val="22"/>
        </w:rPr>
      </w:pPr>
    </w:p>
    <w:p w14:paraId="67752160" w14:textId="5BCBBACF" w:rsidR="00C013BC" w:rsidRPr="00771A16" w:rsidRDefault="00C013BC">
      <w:pPr>
        <w:pStyle w:val="Prrafodelista"/>
        <w:numPr>
          <w:ilvl w:val="0"/>
          <w:numId w:val="20"/>
        </w:numPr>
        <w:ind w:left="426"/>
        <w:rPr>
          <w:sz w:val="22"/>
          <w:szCs w:val="22"/>
        </w:rPr>
      </w:pPr>
      <w:r w:rsidRPr="00771A16">
        <w:rPr>
          <w:sz w:val="22"/>
          <w:szCs w:val="22"/>
        </w:rPr>
        <w:t xml:space="preserve">Los excedentes de gas de los Contratos registrados para consumo propio de los productores </w:t>
      </w:r>
      <w:r w:rsidR="00AD42D2" w:rsidRPr="00771A16">
        <w:rPr>
          <w:sz w:val="22"/>
          <w:szCs w:val="22"/>
        </w:rPr>
        <w:t xml:space="preserve">podrán ser comercializados mediante contratos de suministro </w:t>
      </w:r>
      <w:r w:rsidR="003D0F4D">
        <w:rPr>
          <w:sz w:val="22"/>
          <w:szCs w:val="22"/>
        </w:rPr>
        <w:t xml:space="preserve">de tipo </w:t>
      </w:r>
      <w:r w:rsidR="00AD42D2" w:rsidRPr="00771A16">
        <w:rPr>
          <w:sz w:val="22"/>
          <w:szCs w:val="22"/>
        </w:rPr>
        <w:t>firme</w:t>
      </w:r>
      <w:r w:rsidR="003D0F4D">
        <w:rPr>
          <w:sz w:val="22"/>
          <w:szCs w:val="22"/>
        </w:rPr>
        <w:t xml:space="preserve"> o que garantizan firmeza,</w:t>
      </w:r>
      <w:r w:rsidR="00AD42D2" w:rsidRPr="00771A16">
        <w:rPr>
          <w:sz w:val="22"/>
          <w:szCs w:val="22"/>
        </w:rPr>
        <w:t xml:space="preserve"> de duración semanal </w:t>
      </w:r>
      <w:r w:rsidRPr="00771A16">
        <w:rPr>
          <w:sz w:val="22"/>
          <w:szCs w:val="22"/>
        </w:rPr>
        <w:t>cuando se presenten eventos atípicos operacionales justificados (fuerzas mayores o caso fortuito) o de comportamientos atípicos de la demanda (como fue el caso del efecto de</w:t>
      </w:r>
      <w:r w:rsidR="00C551EE">
        <w:rPr>
          <w:sz w:val="22"/>
          <w:szCs w:val="22"/>
        </w:rPr>
        <w:t xml:space="preserve"> </w:t>
      </w:r>
      <w:r w:rsidRPr="00771A16">
        <w:rPr>
          <w:sz w:val="22"/>
          <w:szCs w:val="22"/>
        </w:rPr>
        <w:t>la pérdida de consumo de combustibles líquidos por el confinamiento derivado de la pandemia).</w:t>
      </w:r>
      <w:r w:rsidR="003D0F4D">
        <w:rPr>
          <w:sz w:val="22"/>
          <w:szCs w:val="22"/>
        </w:rPr>
        <w:t xml:space="preserve"> En estos contratos no se considerarán como evento eximente </w:t>
      </w:r>
      <w:r w:rsidR="003D0F4D" w:rsidRPr="003D0F4D">
        <w:rPr>
          <w:sz w:val="22"/>
          <w:szCs w:val="22"/>
        </w:rPr>
        <w:t>las suspensiones por labores programadas para reparaciones técnicas o mantenimientos</w:t>
      </w:r>
      <w:r w:rsidR="003D0F4D">
        <w:rPr>
          <w:sz w:val="22"/>
          <w:szCs w:val="22"/>
        </w:rPr>
        <w:t xml:space="preserve"> y se reconocerán compensaciones del mismo modo que en contratos de duraciones mensuales o superiores.</w:t>
      </w:r>
    </w:p>
    <w:p w14:paraId="5F13516D" w14:textId="0327AAFA" w:rsidR="0086133E" w:rsidRPr="00771A16" w:rsidRDefault="0086133E" w:rsidP="0086133E">
      <w:pPr>
        <w:rPr>
          <w:sz w:val="22"/>
          <w:szCs w:val="22"/>
        </w:rPr>
      </w:pPr>
    </w:p>
    <w:p w14:paraId="192698E6" w14:textId="77777777" w:rsidR="00C92E87" w:rsidRPr="00771A16" w:rsidRDefault="00C92E87" w:rsidP="00C92E87">
      <w:pPr>
        <w:rPr>
          <w:sz w:val="22"/>
          <w:szCs w:val="22"/>
        </w:rPr>
      </w:pPr>
    </w:p>
    <w:p w14:paraId="502984C4" w14:textId="611D53B9" w:rsidR="00513C8F" w:rsidRDefault="00513C8F" w:rsidP="00C92E87">
      <w:pPr>
        <w:pStyle w:val="Ttulo3"/>
        <w:rPr>
          <w:sz w:val="22"/>
          <w:szCs w:val="22"/>
        </w:rPr>
      </w:pPr>
      <w:bookmarkStart w:id="194" w:name="_Toc140506208"/>
      <w:r>
        <w:rPr>
          <w:sz w:val="22"/>
          <w:szCs w:val="22"/>
        </w:rPr>
        <w:t>Transparencia del Mercado Secundario</w:t>
      </w:r>
      <w:bookmarkEnd w:id="194"/>
    </w:p>
    <w:p w14:paraId="41BA24E1" w14:textId="77777777" w:rsidR="00FE5C05" w:rsidRDefault="00513C8F" w:rsidP="00513C8F">
      <w:pPr>
        <w:rPr>
          <w:sz w:val="22"/>
          <w:szCs w:val="22"/>
          <w:lang w:val="es-ES"/>
        </w:rPr>
      </w:pPr>
      <w:r>
        <w:rPr>
          <w:sz w:val="22"/>
          <w:szCs w:val="22"/>
          <w:lang w:val="es-ES"/>
        </w:rPr>
        <w:t xml:space="preserve">La regulación actual permite la utilización de plataformas </w:t>
      </w:r>
      <w:r w:rsidR="00FE5C05">
        <w:rPr>
          <w:sz w:val="22"/>
          <w:szCs w:val="22"/>
          <w:lang w:val="es-ES"/>
        </w:rPr>
        <w:t xml:space="preserve">tecnológicas </w:t>
      </w:r>
      <w:r>
        <w:rPr>
          <w:sz w:val="22"/>
          <w:szCs w:val="22"/>
          <w:lang w:val="es-ES"/>
        </w:rPr>
        <w:t xml:space="preserve">para la negociación </w:t>
      </w:r>
      <w:r w:rsidR="00FE5C05">
        <w:rPr>
          <w:sz w:val="22"/>
          <w:szCs w:val="22"/>
          <w:lang w:val="es-ES"/>
        </w:rPr>
        <w:t xml:space="preserve">directa </w:t>
      </w:r>
      <w:r>
        <w:rPr>
          <w:sz w:val="22"/>
          <w:szCs w:val="22"/>
          <w:lang w:val="es-ES"/>
        </w:rPr>
        <w:t xml:space="preserve">de contratos del mercado secundario, pero no obliga al uso de </w:t>
      </w:r>
      <w:proofErr w:type="gramStart"/>
      <w:r>
        <w:rPr>
          <w:sz w:val="22"/>
          <w:szCs w:val="22"/>
          <w:lang w:val="es-ES"/>
        </w:rPr>
        <w:t>las mismas</w:t>
      </w:r>
      <w:proofErr w:type="gramEnd"/>
      <w:r>
        <w:rPr>
          <w:sz w:val="22"/>
          <w:szCs w:val="22"/>
          <w:lang w:val="es-ES"/>
        </w:rPr>
        <w:t xml:space="preserve">. Por lo anterior, hay disponibilidades de </w:t>
      </w:r>
      <w:r w:rsidR="00FE5C05">
        <w:rPr>
          <w:sz w:val="22"/>
          <w:szCs w:val="22"/>
          <w:lang w:val="es-ES"/>
        </w:rPr>
        <w:t xml:space="preserve">cantidades en </w:t>
      </w:r>
      <w:r>
        <w:rPr>
          <w:sz w:val="22"/>
          <w:szCs w:val="22"/>
          <w:lang w:val="es-ES"/>
        </w:rPr>
        <w:t xml:space="preserve">venta o requerimientos de </w:t>
      </w:r>
      <w:r w:rsidR="00FE5C05">
        <w:rPr>
          <w:sz w:val="22"/>
          <w:szCs w:val="22"/>
          <w:lang w:val="es-ES"/>
        </w:rPr>
        <w:t xml:space="preserve">cantidades de </w:t>
      </w:r>
      <w:r>
        <w:rPr>
          <w:sz w:val="22"/>
          <w:szCs w:val="22"/>
          <w:lang w:val="es-ES"/>
        </w:rPr>
        <w:t>compra que no son puest</w:t>
      </w:r>
      <w:r w:rsidR="00FE5C05">
        <w:rPr>
          <w:sz w:val="22"/>
          <w:szCs w:val="22"/>
          <w:lang w:val="es-ES"/>
        </w:rPr>
        <w:t>as</w:t>
      </w:r>
      <w:r>
        <w:rPr>
          <w:sz w:val="22"/>
          <w:szCs w:val="22"/>
          <w:lang w:val="es-ES"/>
        </w:rPr>
        <w:t xml:space="preserve"> en conocimiento de todos los agentes, reduciendo la transparencia de las operaciones comerciales y la posibilidad de lograr mejores </w:t>
      </w:r>
      <w:r w:rsidR="00FE5C05">
        <w:rPr>
          <w:sz w:val="22"/>
          <w:szCs w:val="22"/>
          <w:lang w:val="es-ES"/>
        </w:rPr>
        <w:t xml:space="preserve">y más efectivas </w:t>
      </w:r>
      <w:r>
        <w:rPr>
          <w:sz w:val="22"/>
          <w:szCs w:val="22"/>
          <w:lang w:val="es-ES"/>
        </w:rPr>
        <w:t xml:space="preserve">negociaciones en este mercado.  </w:t>
      </w:r>
    </w:p>
    <w:p w14:paraId="49874257" w14:textId="77777777" w:rsidR="00FE5C05" w:rsidRDefault="00FE5C05" w:rsidP="00513C8F">
      <w:pPr>
        <w:rPr>
          <w:sz w:val="22"/>
          <w:szCs w:val="22"/>
          <w:lang w:val="es-ES"/>
        </w:rPr>
      </w:pPr>
    </w:p>
    <w:p w14:paraId="3D21D35F" w14:textId="4BAF057C" w:rsidR="00513C8F" w:rsidRDefault="00FE5C05" w:rsidP="00513C8F">
      <w:pPr>
        <w:rPr>
          <w:sz w:val="22"/>
          <w:szCs w:val="22"/>
          <w:lang w:val="es-ES"/>
        </w:rPr>
      </w:pPr>
      <w:r>
        <w:rPr>
          <w:sz w:val="22"/>
          <w:szCs w:val="22"/>
          <w:lang w:val="es-ES"/>
        </w:rPr>
        <w:t>Se busca entonces profundizar el nivel de transparencia de la información en dicho mercado, sin que ello reduzca la flexibilidad y oportunidad que brindan a los agentes el poder desarrollar las negociaciones directas</w:t>
      </w:r>
      <w:r w:rsidR="00BC30A4">
        <w:rPr>
          <w:sz w:val="22"/>
          <w:szCs w:val="22"/>
          <w:lang w:val="es-ES"/>
        </w:rPr>
        <w:t>, contando con información publicada par todos los agentes</w:t>
      </w:r>
      <w:r>
        <w:rPr>
          <w:sz w:val="22"/>
          <w:szCs w:val="22"/>
          <w:lang w:val="es-ES"/>
        </w:rPr>
        <w:t>.</w:t>
      </w:r>
    </w:p>
    <w:p w14:paraId="71A57FA6" w14:textId="77777777" w:rsidR="00513C8F" w:rsidRPr="00513C8F" w:rsidRDefault="00513C8F" w:rsidP="00513C8F">
      <w:pPr>
        <w:rPr>
          <w:sz w:val="22"/>
          <w:szCs w:val="22"/>
          <w:lang w:val="es-ES"/>
        </w:rPr>
      </w:pPr>
    </w:p>
    <w:p w14:paraId="5F964B57" w14:textId="77777777" w:rsidR="00513C8F" w:rsidRPr="00513C8F" w:rsidRDefault="00513C8F" w:rsidP="00513C8F">
      <w:pPr>
        <w:rPr>
          <w:lang w:val="es-ES"/>
        </w:rPr>
      </w:pPr>
    </w:p>
    <w:p w14:paraId="78C47A1B" w14:textId="6730A4A7" w:rsidR="00C92E87" w:rsidRPr="00771A16" w:rsidRDefault="00C92E87" w:rsidP="00C92E87">
      <w:pPr>
        <w:pStyle w:val="Ttulo3"/>
        <w:rPr>
          <w:sz w:val="22"/>
          <w:szCs w:val="22"/>
        </w:rPr>
      </w:pPr>
      <w:bookmarkStart w:id="195" w:name="_Toc140506209"/>
      <w:r w:rsidRPr="00771A16">
        <w:rPr>
          <w:sz w:val="22"/>
          <w:szCs w:val="22"/>
        </w:rPr>
        <w:t>Contratos con interrupciones</w:t>
      </w:r>
      <w:bookmarkEnd w:id="195"/>
    </w:p>
    <w:p w14:paraId="3C3777B8" w14:textId="3662A407" w:rsidR="002D7BCD" w:rsidRPr="00771A16" w:rsidRDefault="001F2D65" w:rsidP="002D7BCD">
      <w:pPr>
        <w:rPr>
          <w:sz w:val="22"/>
          <w:szCs w:val="22"/>
          <w:lang w:val="es-ES"/>
        </w:rPr>
      </w:pPr>
      <w:r>
        <w:rPr>
          <w:sz w:val="22"/>
          <w:szCs w:val="22"/>
          <w:lang w:val="es-ES"/>
        </w:rPr>
        <w:t>Por una parte, s</w:t>
      </w:r>
      <w:r w:rsidR="002D7BCD" w:rsidRPr="00771A16">
        <w:rPr>
          <w:sz w:val="22"/>
          <w:szCs w:val="22"/>
          <w:lang w:val="es-ES"/>
        </w:rPr>
        <w:t xml:space="preserve">e busca dar mayor flexibilidad en la negociación de esta modalidad contractual, de modo que se equilibren más, sin que se igualen, las condiciones de negociación de este tipo de contratos en el Mercado Primario y en el Mercado Secundario y de los mismos participantes del Mercado Primario. </w:t>
      </w:r>
      <w:r>
        <w:rPr>
          <w:sz w:val="22"/>
          <w:szCs w:val="22"/>
          <w:lang w:val="es-ES"/>
        </w:rPr>
        <w:t>Por otra parte, se busca dar mayor uso al gas que no se puede suministrar bajo compromisos de contratos de tipo firme o que garantizan firmeza, que actualmente se encuentran limitadas en las cantidades máximas a contratar actualmente por parte de los vendedores del Mercado Primario en algunas fuentes de suministro.</w:t>
      </w:r>
    </w:p>
    <w:p w14:paraId="79C4B315" w14:textId="77777777" w:rsidR="002D7BCD" w:rsidRPr="00771A16" w:rsidRDefault="002D7BCD" w:rsidP="002D7BCD">
      <w:pPr>
        <w:rPr>
          <w:sz w:val="22"/>
          <w:szCs w:val="22"/>
          <w:lang w:val="es-ES"/>
        </w:rPr>
      </w:pPr>
    </w:p>
    <w:p w14:paraId="6E9D3EE0" w14:textId="16735EA7" w:rsidR="002D7BCD" w:rsidRPr="00771A16" w:rsidRDefault="002D7BCD" w:rsidP="002D7BCD">
      <w:pPr>
        <w:rPr>
          <w:sz w:val="22"/>
          <w:szCs w:val="22"/>
        </w:rPr>
      </w:pPr>
      <w:r w:rsidRPr="00771A16">
        <w:rPr>
          <w:sz w:val="22"/>
          <w:szCs w:val="22"/>
        </w:rPr>
        <w:t>En este sentido más adelante en el documento se especifican y sustentan las siguientes propuestas:</w:t>
      </w:r>
    </w:p>
    <w:p w14:paraId="37BD2338" w14:textId="2182152F" w:rsidR="002D7BCD" w:rsidRPr="00771A16" w:rsidRDefault="002D7BCD" w:rsidP="002D7BCD">
      <w:pPr>
        <w:rPr>
          <w:sz w:val="22"/>
          <w:szCs w:val="22"/>
          <w:lang w:val="es-ES"/>
        </w:rPr>
      </w:pPr>
    </w:p>
    <w:p w14:paraId="149F0A3B" w14:textId="23155670" w:rsidR="00C92E87" w:rsidRPr="00771A16" w:rsidRDefault="00C92E87">
      <w:pPr>
        <w:pStyle w:val="Prrafodelista"/>
        <w:numPr>
          <w:ilvl w:val="0"/>
          <w:numId w:val="21"/>
        </w:numPr>
        <w:ind w:left="360"/>
        <w:rPr>
          <w:sz w:val="22"/>
          <w:szCs w:val="22"/>
        </w:rPr>
      </w:pPr>
      <w:r w:rsidRPr="00771A16">
        <w:rPr>
          <w:sz w:val="22"/>
          <w:szCs w:val="22"/>
        </w:rPr>
        <w:t>Negociaciones directas para Contratos con Interrupciones en el M</w:t>
      </w:r>
      <w:r w:rsidR="002D7BCD" w:rsidRPr="00771A16">
        <w:rPr>
          <w:sz w:val="22"/>
          <w:szCs w:val="22"/>
        </w:rPr>
        <w:t>ercado Primario,</w:t>
      </w:r>
      <w:r w:rsidRPr="00771A16">
        <w:rPr>
          <w:sz w:val="22"/>
          <w:szCs w:val="22"/>
        </w:rPr>
        <w:t xml:space="preserve"> sólo se negocian contratos de duración máxima de un mes, que pueden registrarse en el mes anterior.</w:t>
      </w:r>
    </w:p>
    <w:p w14:paraId="34583E98" w14:textId="77777777" w:rsidR="00C92E87" w:rsidRPr="00C92E87" w:rsidRDefault="00C92E87" w:rsidP="002D7BCD">
      <w:pPr>
        <w:rPr>
          <w:sz w:val="22"/>
          <w:szCs w:val="22"/>
        </w:rPr>
      </w:pPr>
    </w:p>
    <w:p w14:paraId="386619CC" w14:textId="71F5A46A" w:rsidR="00C92E87" w:rsidRPr="00771A16" w:rsidRDefault="00C92E87">
      <w:pPr>
        <w:pStyle w:val="Prrafodelista"/>
        <w:numPr>
          <w:ilvl w:val="0"/>
          <w:numId w:val="21"/>
        </w:numPr>
        <w:ind w:left="360"/>
        <w:rPr>
          <w:sz w:val="22"/>
          <w:szCs w:val="22"/>
        </w:rPr>
      </w:pPr>
      <w:r w:rsidRPr="00771A16">
        <w:rPr>
          <w:sz w:val="22"/>
          <w:szCs w:val="22"/>
        </w:rPr>
        <w:t xml:space="preserve">Eliminación </w:t>
      </w:r>
      <w:r w:rsidR="002D7BCD" w:rsidRPr="00771A16">
        <w:rPr>
          <w:sz w:val="22"/>
          <w:szCs w:val="22"/>
        </w:rPr>
        <w:t xml:space="preserve">de las </w:t>
      </w:r>
      <w:r w:rsidRPr="00771A16">
        <w:rPr>
          <w:sz w:val="22"/>
          <w:szCs w:val="22"/>
        </w:rPr>
        <w:t xml:space="preserve">subastas mensuales </w:t>
      </w:r>
      <w:r w:rsidR="002D7BCD" w:rsidRPr="00771A16">
        <w:rPr>
          <w:sz w:val="22"/>
          <w:szCs w:val="22"/>
        </w:rPr>
        <w:t xml:space="preserve">de contratos </w:t>
      </w:r>
      <w:r w:rsidRPr="00771A16">
        <w:rPr>
          <w:sz w:val="22"/>
          <w:szCs w:val="22"/>
        </w:rPr>
        <w:t>con interrupciones</w:t>
      </w:r>
      <w:r w:rsidR="002D7BCD" w:rsidRPr="00771A16">
        <w:rPr>
          <w:sz w:val="22"/>
          <w:szCs w:val="22"/>
        </w:rPr>
        <w:t>.</w:t>
      </w:r>
    </w:p>
    <w:p w14:paraId="3FF87303" w14:textId="77777777" w:rsidR="00C92E87" w:rsidRPr="00C92E87" w:rsidRDefault="00C92E87" w:rsidP="002D7BCD">
      <w:pPr>
        <w:rPr>
          <w:sz w:val="22"/>
          <w:szCs w:val="22"/>
        </w:rPr>
      </w:pPr>
    </w:p>
    <w:p w14:paraId="39611401" w14:textId="3AD923F3" w:rsidR="00C92E87" w:rsidRPr="00771A16" w:rsidRDefault="00C92E87">
      <w:pPr>
        <w:pStyle w:val="Prrafodelista"/>
        <w:numPr>
          <w:ilvl w:val="0"/>
          <w:numId w:val="21"/>
        </w:numPr>
        <w:ind w:left="360"/>
        <w:rPr>
          <w:sz w:val="22"/>
          <w:szCs w:val="22"/>
        </w:rPr>
      </w:pPr>
      <w:r w:rsidRPr="00771A16">
        <w:rPr>
          <w:sz w:val="22"/>
          <w:szCs w:val="22"/>
        </w:rPr>
        <w:t>Los Vendedores del M</w:t>
      </w:r>
      <w:r w:rsidR="002D7BCD" w:rsidRPr="00771A16">
        <w:rPr>
          <w:sz w:val="22"/>
          <w:szCs w:val="22"/>
        </w:rPr>
        <w:t xml:space="preserve">ercado Primario </w:t>
      </w:r>
      <w:r w:rsidRPr="00771A16">
        <w:rPr>
          <w:sz w:val="22"/>
          <w:szCs w:val="22"/>
        </w:rPr>
        <w:t>podrán ofrecer las cantidades de pago variable de los contratos en firme (CF95 y CF80)</w:t>
      </w:r>
      <w:r w:rsidR="00AF03EA">
        <w:rPr>
          <w:sz w:val="22"/>
          <w:szCs w:val="22"/>
        </w:rPr>
        <w:t xml:space="preserve"> </w:t>
      </w:r>
      <w:r w:rsidR="00AF03EA" w:rsidRPr="00AF03EA">
        <w:rPr>
          <w:sz w:val="22"/>
          <w:szCs w:val="22"/>
        </w:rPr>
        <w:t>que atienden demanda diferente a la demanda regulada</w:t>
      </w:r>
      <w:r w:rsidRPr="00771A16">
        <w:rPr>
          <w:sz w:val="22"/>
          <w:szCs w:val="22"/>
        </w:rPr>
        <w:t>, bajo la modalidad de Contrato con Interrupciones para fomentar la colocación del gas por parte de los productores y sin intermediación del Precio.</w:t>
      </w:r>
      <w:r w:rsidR="008376A7">
        <w:rPr>
          <w:sz w:val="22"/>
          <w:szCs w:val="22"/>
        </w:rPr>
        <w:t xml:space="preserve"> La autorización de un vendedor del mercado primario de la nominación de un contrato con interrupciones dependerá en todo caso, de la cantidad del volumen de pago variable que el comprador del mercado primario no le nomine al vendedor.</w:t>
      </w:r>
      <w:r w:rsidR="00D15DFF">
        <w:rPr>
          <w:sz w:val="22"/>
          <w:szCs w:val="22"/>
        </w:rPr>
        <w:t xml:space="preserve"> </w:t>
      </w:r>
    </w:p>
    <w:p w14:paraId="5C494301" w14:textId="77777777" w:rsidR="00C92E87" w:rsidRPr="00C92E87" w:rsidRDefault="00C92E87" w:rsidP="002D7BCD">
      <w:pPr>
        <w:rPr>
          <w:sz w:val="22"/>
          <w:szCs w:val="22"/>
        </w:rPr>
      </w:pPr>
    </w:p>
    <w:p w14:paraId="23D6ED46" w14:textId="4FD42289" w:rsidR="0086133E" w:rsidRPr="00771A16" w:rsidRDefault="002D7BCD">
      <w:pPr>
        <w:pStyle w:val="Prrafodelista"/>
        <w:numPr>
          <w:ilvl w:val="0"/>
          <w:numId w:val="21"/>
        </w:numPr>
        <w:ind w:left="360"/>
        <w:rPr>
          <w:sz w:val="22"/>
          <w:szCs w:val="22"/>
        </w:rPr>
      </w:pPr>
      <w:r w:rsidRPr="00771A16">
        <w:rPr>
          <w:sz w:val="22"/>
          <w:szCs w:val="22"/>
        </w:rPr>
        <w:t>U</w:t>
      </w:r>
      <w:r w:rsidR="00C92E87" w:rsidRPr="00771A16">
        <w:rPr>
          <w:sz w:val="22"/>
          <w:szCs w:val="22"/>
        </w:rPr>
        <w:t xml:space="preserve">na vez confirmado el programa de transporte (surtido el proceso de Nominación de S y T) dicha cantidad no podrá ser </w:t>
      </w:r>
      <w:proofErr w:type="spellStart"/>
      <w:r w:rsidR="00C92E87" w:rsidRPr="00771A16">
        <w:rPr>
          <w:sz w:val="22"/>
          <w:szCs w:val="22"/>
        </w:rPr>
        <w:t>renominada</w:t>
      </w:r>
      <w:proofErr w:type="spellEnd"/>
      <w:r w:rsidR="00C92E87" w:rsidRPr="00771A16">
        <w:rPr>
          <w:sz w:val="22"/>
          <w:szCs w:val="22"/>
        </w:rPr>
        <w:t xml:space="preserve"> por los compradores del M</w:t>
      </w:r>
      <w:r w:rsidRPr="00771A16">
        <w:rPr>
          <w:sz w:val="22"/>
          <w:szCs w:val="22"/>
        </w:rPr>
        <w:t>ercado Primario</w:t>
      </w:r>
      <w:r w:rsidR="00C92E87" w:rsidRPr="00771A16">
        <w:rPr>
          <w:sz w:val="22"/>
          <w:szCs w:val="22"/>
        </w:rPr>
        <w:t xml:space="preserve">. Se exceptúan de esta disposición los </w:t>
      </w:r>
      <w:r w:rsidRPr="00771A16">
        <w:rPr>
          <w:sz w:val="22"/>
          <w:szCs w:val="22"/>
        </w:rPr>
        <w:t>usuarios no regulados del sector t</w:t>
      </w:r>
      <w:r w:rsidR="00C92E87" w:rsidRPr="00771A16">
        <w:rPr>
          <w:sz w:val="22"/>
          <w:szCs w:val="22"/>
        </w:rPr>
        <w:t>ermoeléctrico del M</w:t>
      </w:r>
      <w:r w:rsidRPr="00771A16">
        <w:rPr>
          <w:sz w:val="22"/>
          <w:szCs w:val="22"/>
        </w:rPr>
        <w:t>ercado Primario</w:t>
      </w:r>
      <w:r w:rsidR="00C92E87" w:rsidRPr="00771A16">
        <w:rPr>
          <w:sz w:val="22"/>
          <w:szCs w:val="22"/>
        </w:rPr>
        <w:t xml:space="preserve"> que la requieran para generación eléctrica.</w:t>
      </w:r>
    </w:p>
    <w:p w14:paraId="648B8F2C" w14:textId="59008052" w:rsidR="00C92E87" w:rsidRPr="00771A16" w:rsidRDefault="00C92E87" w:rsidP="002D7BCD">
      <w:pPr>
        <w:rPr>
          <w:sz w:val="22"/>
          <w:szCs w:val="22"/>
        </w:rPr>
      </w:pPr>
    </w:p>
    <w:p w14:paraId="0347B4DE" w14:textId="747E73CF" w:rsidR="00C92E87" w:rsidRPr="00771A16" w:rsidRDefault="00C92E87">
      <w:pPr>
        <w:pStyle w:val="Prrafodelista"/>
        <w:numPr>
          <w:ilvl w:val="0"/>
          <w:numId w:val="21"/>
        </w:numPr>
        <w:ind w:left="360"/>
        <w:rPr>
          <w:sz w:val="22"/>
          <w:szCs w:val="22"/>
        </w:rPr>
      </w:pPr>
      <w:r w:rsidRPr="00771A16">
        <w:rPr>
          <w:sz w:val="22"/>
          <w:szCs w:val="22"/>
        </w:rPr>
        <w:t>Los vendedores del M</w:t>
      </w:r>
      <w:r w:rsidR="002D7BCD" w:rsidRPr="00771A16">
        <w:rPr>
          <w:sz w:val="22"/>
          <w:szCs w:val="22"/>
        </w:rPr>
        <w:t>ercado Primario</w:t>
      </w:r>
      <w:r w:rsidRPr="00771A16">
        <w:rPr>
          <w:sz w:val="22"/>
          <w:szCs w:val="22"/>
        </w:rPr>
        <w:t xml:space="preserve"> podrán suscribir contratos con interrupciones que podrán superar el PP (máx. 50% de PTDV declarada al Ministerio para dicha fuente, y hasta en un 20% el valor de las cantidades contratadas con Respaldo Físico). Para la atención de dichos contratos </w:t>
      </w:r>
      <w:r w:rsidR="002D7BCD" w:rsidRPr="00771A16">
        <w:rPr>
          <w:sz w:val="22"/>
          <w:szCs w:val="22"/>
        </w:rPr>
        <w:t xml:space="preserve">se deberán tener en cuenta </w:t>
      </w:r>
      <w:r w:rsidRPr="00771A16">
        <w:rPr>
          <w:sz w:val="22"/>
          <w:szCs w:val="22"/>
        </w:rPr>
        <w:t>obligaciones</w:t>
      </w:r>
      <w:r w:rsidR="002D7BCD" w:rsidRPr="00771A16">
        <w:rPr>
          <w:sz w:val="22"/>
          <w:szCs w:val="22"/>
        </w:rPr>
        <w:t xml:space="preserve"> que se establecen al respecto.</w:t>
      </w:r>
    </w:p>
    <w:p w14:paraId="084FA822" w14:textId="4816E327" w:rsidR="0086133E" w:rsidRDefault="0086133E" w:rsidP="00660603">
      <w:pPr>
        <w:rPr>
          <w:sz w:val="22"/>
          <w:szCs w:val="22"/>
        </w:rPr>
      </w:pPr>
    </w:p>
    <w:p w14:paraId="31152FD4" w14:textId="77777777" w:rsidR="00B41A50" w:rsidRPr="00771A16" w:rsidRDefault="00B41A50" w:rsidP="00660603">
      <w:pPr>
        <w:rPr>
          <w:sz w:val="22"/>
          <w:szCs w:val="22"/>
        </w:rPr>
      </w:pPr>
    </w:p>
    <w:p w14:paraId="75EDDA4B" w14:textId="5EB984F6" w:rsidR="00404164" w:rsidRPr="00771A16" w:rsidRDefault="00404164" w:rsidP="00404164">
      <w:pPr>
        <w:pStyle w:val="Ttulo3"/>
        <w:rPr>
          <w:sz w:val="22"/>
          <w:szCs w:val="22"/>
        </w:rPr>
      </w:pPr>
      <w:bookmarkStart w:id="196" w:name="_Toc140506210"/>
      <w:r w:rsidRPr="00771A16">
        <w:rPr>
          <w:sz w:val="22"/>
          <w:szCs w:val="22"/>
        </w:rPr>
        <w:t>Otros aspectos</w:t>
      </w:r>
      <w:bookmarkEnd w:id="196"/>
      <w:r w:rsidRPr="00771A16">
        <w:rPr>
          <w:sz w:val="22"/>
          <w:szCs w:val="22"/>
        </w:rPr>
        <w:t xml:space="preserve"> </w:t>
      </w:r>
    </w:p>
    <w:p w14:paraId="6229BABD" w14:textId="3744F666" w:rsidR="00404164" w:rsidRPr="00771A16" w:rsidRDefault="00404164" w:rsidP="00660603">
      <w:pPr>
        <w:rPr>
          <w:sz w:val="22"/>
          <w:szCs w:val="22"/>
        </w:rPr>
      </w:pPr>
      <w:r w:rsidRPr="00771A16">
        <w:rPr>
          <w:sz w:val="22"/>
          <w:szCs w:val="22"/>
        </w:rPr>
        <w:t xml:space="preserve">Se busca incluir ajustes que </w:t>
      </w:r>
      <w:r w:rsidR="002F22A5">
        <w:rPr>
          <w:sz w:val="22"/>
          <w:szCs w:val="22"/>
        </w:rPr>
        <w:t>den mayor</w:t>
      </w:r>
      <w:r w:rsidRPr="00771A16">
        <w:rPr>
          <w:sz w:val="22"/>
          <w:szCs w:val="22"/>
        </w:rPr>
        <w:t xml:space="preserve"> claridad sobre el alcance del Mercado Mayorista</w:t>
      </w:r>
      <w:r w:rsidR="002F22A5">
        <w:rPr>
          <w:sz w:val="22"/>
          <w:szCs w:val="22"/>
        </w:rPr>
        <w:t>,</w:t>
      </w:r>
      <w:r w:rsidRPr="00771A16">
        <w:rPr>
          <w:sz w:val="22"/>
          <w:szCs w:val="22"/>
        </w:rPr>
        <w:t xml:space="preserve"> de modo que no haya confusión en cuanto a las reglas que se aplican en el Mercado Mayorista y reglas del Mercado Minorista (modalidades contractuales, condiciones mínimas, mecanismos de comercialización), contenidos contractuales de condiciones mínimas), y que deben ser tenidas en cuenta por los agentes en la negociación de los contratos de suministro. </w:t>
      </w:r>
    </w:p>
    <w:p w14:paraId="3313F555" w14:textId="21EB7777" w:rsidR="00645774" w:rsidRPr="00771A16" w:rsidRDefault="00645774" w:rsidP="00660603">
      <w:pPr>
        <w:rPr>
          <w:sz w:val="22"/>
          <w:szCs w:val="22"/>
        </w:rPr>
      </w:pPr>
    </w:p>
    <w:p w14:paraId="384ACF51" w14:textId="5FE8BF78" w:rsidR="001F4BED" w:rsidRPr="00771A16" w:rsidRDefault="001F4BED" w:rsidP="001F4BED">
      <w:pPr>
        <w:rPr>
          <w:sz w:val="22"/>
          <w:szCs w:val="22"/>
        </w:rPr>
      </w:pPr>
      <w:r w:rsidRPr="00771A16">
        <w:rPr>
          <w:sz w:val="22"/>
          <w:szCs w:val="22"/>
        </w:rPr>
        <w:t>En este sentido más adelante en el documento se especifican y sustentan las siguientes propuestas, entre varias de las que se establecen en la propuesta de regulación que se pone en comentarios:</w:t>
      </w:r>
    </w:p>
    <w:p w14:paraId="6152E32D" w14:textId="43E21D9C" w:rsidR="001F4BED" w:rsidRPr="00771A16" w:rsidRDefault="001F4BED" w:rsidP="00660603">
      <w:pPr>
        <w:rPr>
          <w:sz w:val="22"/>
          <w:szCs w:val="22"/>
        </w:rPr>
      </w:pPr>
    </w:p>
    <w:p w14:paraId="61B5F14D" w14:textId="77777777" w:rsidR="001E5219" w:rsidRPr="00771A16" w:rsidRDefault="001E5219">
      <w:pPr>
        <w:pStyle w:val="Prrafodelista"/>
        <w:numPr>
          <w:ilvl w:val="0"/>
          <w:numId w:val="22"/>
        </w:numPr>
        <w:ind w:left="360"/>
        <w:rPr>
          <w:sz w:val="22"/>
          <w:szCs w:val="22"/>
        </w:rPr>
      </w:pPr>
      <w:r w:rsidRPr="00771A16">
        <w:rPr>
          <w:sz w:val="22"/>
          <w:szCs w:val="22"/>
        </w:rPr>
        <w:t xml:space="preserve">Sustraer de la definición del Mercado Mayorista las OTMM porque no corresponden a transacciones del Mercado Primario ni Secundario, sino del Mercado Minorista definido en la Res. CREG 123 de 2013. </w:t>
      </w:r>
    </w:p>
    <w:p w14:paraId="1BF6FF33" w14:textId="77777777" w:rsidR="001E5219" w:rsidRPr="001E5219" w:rsidRDefault="001E5219" w:rsidP="001E5219">
      <w:pPr>
        <w:rPr>
          <w:sz w:val="22"/>
          <w:szCs w:val="22"/>
        </w:rPr>
      </w:pPr>
    </w:p>
    <w:p w14:paraId="6DA91467" w14:textId="761C0299" w:rsidR="001E5219" w:rsidRPr="00771A16" w:rsidRDefault="001E5219">
      <w:pPr>
        <w:pStyle w:val="Prrafodelista"/>
        <w:numPr>
          <w:ilvl w:val="0"/>
          <w:numId w:val="22"/>
        </w:numPr>
        <w:ind w:left="360"/>
        <w:rPr>
          <w:sz w:val="22"/>
          <w:szCs w:val="22"/>
        </w:rPr>
      </w:pPr>
      <w:r w:rsidRPr="00771A16">
        <w:rPr>
          <w:sz w:val="22"/>
          <w:szCs w:val="22"/>
        </w:rPr>
        <w:t xml:space="preserve">Inclusión de </w:t>
      </w:r>
      <w:r w:rsidR="002F22A5">
        <w:rPr>
          <w:sz w:val="22"/>
          <w:szCs w:val="22"/>
        </w:rPr>
        <w:t>manejo de contratos</w:t>
      </w:r>
      <w:r w:rsidRPr="00771A16">
        <w:rPr>
          <w:sz w:val="22"/>
          <w:szCs w:val="22"/>
        </w:rPr>
        <w:t xml:space="preserve"> para </w:t>
      </w:r>
      <w:r w:rsidR="002F22A5">
        <w:rPr>
          <w:sz w:val="22"/>
          <w:szCs w:val="22"/>
        </w:rPr>
        <w:t xml:space="preserve">mantenerlos vigentes ante </w:t>
      </w:r>
      <w:r w:rsidRPr="00771A16">
        <w:rPr>
          <w:sz w:val="22"/>
          <w:szCs w:val="22"/>
        </w:rPr>
        <w:t xml:space="preserve">posibles cambios </w:t>
      </w:r>
      <w:r w:rsidR="002F22A5">
        <w:rPr>
          <w:sz w:val="22"/>
          <w:szCs w:val="22"/>
        </w:rPr>
        <w:t>de la regulación del mercado mayorista que puedan afectar el equilibrio entre las partes del contrato, que se realicen con posterioridad a la suscripción de los contratos</w:t>
      </w:r>
      <w:r w:rsidRPr="00771A16">
        <w:rPr>
          <w:sz w:val="22"/>
          <w:szCs w:val="22"/>
        </w:rPr>
        <w:t>.</w:t>
      </w:r>
    </w:p>
    <w:p w14:paraId="0A809B32" w14:textId="77777777" w:rsidR="001E5219" w:rsidRPr="001E5219" w:rsidRDefault="001E5219" w:rsidP="001E5219">
      <w:pPr>
        <w:rPr>
          <w:sz w:val="22"/>
          <w:szCs w:val="22"/>
        </w:rPr>
      </w:pPr>
    </w:p>
    <w:p w14:paraId="02CE96AC" w14:textId="29D62ED3" w:rsidR="001E5219" w:rsidRPr="00771A16" w:rsidRDefault="001E5219">
      <w:pPr>
        <w:pStyle w:val="Prrafodelista"/>
        <w:numPr>
          <w:ilvl w:val="0"/>
          <w:numId w:val="22"/>
        </w:numPr>
        <w:ind w:left="360"/>
        <w:rPr>
          <w:sz w:val="22"/>
          <w:szCs w:val="22"/>
        </w:rPr>
      </w:pPr>
      <w:r w:rsidRPr="00771A16">
        <w:rPr>
          <w:sz w:val="22"/>
          <w:szCs w:val="22"/>
        </w:rPr>
        <w:t xml:space="preserve">La duración máxima de las interrupciones por mantenimiento como evento eximente, será proporcional a la duración del contrato y la duración máxima anual establecida (480 horas/año). Por ejemplo, un contrato de dos trimestres estándar de duración tendrá una duración máxima de mantenimiento como evento eximente de 240 horas, siendo de ambas partes la aplicación de dicho evento (similar a transporte según concepto CREG). </w:t>
      </w:r>
    </w:p>
    <w:p w14:paraId="4A76FF3A" w14:textId="77777777" w:rsidR="001E5219" w:rsidRPr="001E5219" w:rsidRDefault="001E5219" w:rsidP="001E5219">
      <w:pPr>
        <w:rPr>
          <w:sz w:val="22"/>
          <w:szCs w:val="22"/>
        </w:rPr>
      </w:pPr>
    </w:p>
    <w:p w14:paraId="522A3D7F" w14:textId="77777777" w:rsidR="001E5219" w:rsidRPr="00771A16" w:rsidRDefault="001E5219">
      <w:pPr>
        <w:pStyle w:val="Prrafodelista"/>
        <w:numPr>
          <w:ilvl w:val="0"/>
          <w:numId w:val="22"/>
        </w:numPr>
        <w:ind w:left="360"/>
        <w:rPr>
          <w:sz w:val="22"/>
          <w:szCs w:val="22"/>
        </w:rPr>
      </w:pPr>
      <w:r w:rsidRPr="00771A16">
        <w:rPr>
          <w:sz w:val="22"/>
          <w:szCs w:val="22"/>
        </w:rPr>
        <w:t>Se adiciona como evento eximente las suspensiones por labores programadas para reparaciones técnicas o mantenimientos periódicos de la infraestructura de transporte utilizada por el comprador para el transporte de gas del contrato de suministro.</w:t>
      </w:r>
    </w:p>
    <w:p w14:paraId="3986116C" w14:textId="77777777" w:rsidR="001E5219" w:rsidRPr="001E5219" w:rsidRDefault="001E5219" w:rsidP="001E5219">
      <w:pPr>
        <w:rPr>
          <w:sz w:val="22"/>
          <w:szCs w:val="22"/>
        </w:rPr>
      </w:pPr>
    </w:p>
    <w:p w14:paraId="207E670F" w14:textId="7670CE50" w:rsidR="00410542" w:rsidRDefault="00410542" w:rsidP="00410542">
      <w:pPr>
        <w:rPr>
          <w:sz w:val="22"/>
          <w:szCs w:val="22"/>
        </w:rPr>
      </w:pPr>
      <w:r>
        <w:rPr>
          <w:sz w:val="22"/>
          <w:szCs w:val="22"/>
        </w:rPr>
        <w:t xml:space="preserve">Respecto del resumen de la información contractual que se requiere incluir como parte del registro de los contratos ante el </w:t>
      </w:r>
      <w:r w:rsidR="005114C6">
        <w:rPr>
          <w:sz w:val="22"/>
          <w:szCs w:val="22"/>
        </w:rPr>
        <w:t>Gestor del Mercado</w:t>
      </w:r>
      <w:r>
        <w:rPr>
          <w:sz w:val="22"/>
          <w:szCs w:val="22"/>
        </w:rPr>
        <w:t xml:space="preserve"> de Gas, con ello</w:t>
      </w:r>
      <w:r w:rsidR="00C51487">
        <w:rPr>
          <w:sz w:val="22"/>
          <w:szCs w:val="22"/>
        </w:rPr>
        <w:t xml:space="preserve"> se busca</w:t>
      </w:r>
      <w:r>
        <w:rPr>
          <w:sz w:val="22"/>
          <w:szCs w:val="22"/>
        </w:rPr>
        <w:t xml:space="preserve"> que el Gestor pueda obtener información contenida de hecho en los contratos que se registran, sin lugar a que haya dudas de interpretación del contenido contractual o de la información que el contrato aporta. De esta manera se busca encontrar características comunes en los contratos que se registran que están por fuera de las condiciones o requisitos mínimos que la CREG establece como obligatorios. Aunque dicho resumen </w:t>
      </w:r>
      <w:r w:rsidR="00244057">
        <w:rPr>
          <w:sz w:val="22"/>
          <w:szCs w:val="22"/>
        </w:rPr>
        <w:t>pueda</w:t>
      </w:r>
      <w:r>
        <w:rPr>
          <w:sz w:val="22"/>
          <w:szCs w:val="22"/>
        </w:rPr>
        <w:t xml:space="preserve"> implicar un costo administrativo adicional, se espera que con el mismo las negociaciones entre diferentes agentes se vayan estandarizando cada vez más, </w:t>
      </w:r>
      <w:proofErr w:type="gramStart"/>
      <w:r>
        <w:rPr>
          <w:sz w:val="22"/>
          <w:szCs w:val="22"/>
        </w:rPr>
        <w:t>y</w:t>
      </w:r>
      <w:proofErr w:type="gramEnd"/>
      <w:r>
        <w:rPr>
          <w:sz w:val="22"/>
          <w:szCs w:val="22"/>
        </w:rPr>
        <w:t xml:space="preserve"> por tanto, los costos de transacción se vayan reduciendo. Asimismo, dicho resumen de información </w:t>
      </w:r>
      <w:proofErr w:type="gramStart"/>
      <w:r>
        <w:rPr>
          <w:sz w:val="22"/>
          <w:szCs w:val="22"/>
        </w:rPr>
        <w:t>le</w:t>
      </w:r>
      <w:proofErr w:type="gramEnd"/>
      <w:r>
        <w:rPr>
          <w:sz w:val="22"/>
          <w:szCs w:val="22"/>
        </w:rPr>
        <w:t xml:space="preserve"> permitirá a las entidades de vigilancia y control poder contar con información agregada producida por el </w:t>
      </w:r>
      <w:r w:rsidR="005114C6">
        <w:rPr>
          <w:sz w:val="22"/>
          <w:szCs w:val="22"/>
        </w:rPr>
        <w:t>Gestor del Mercado</w:t>
      </w:r>
      <w:r>
        <w:rPr>
          <w:sz w:val="22"/>
          <w:szCs w:val="22"/>
        </w:rPr>
        <w:t xml:space="preserve"> de Gas que les facilite identificar posibles incumplimientos a la regulación o a la libre competencia.  </w:t>
      </w:r>
    </w:p>
    <w:p w14:paraId="05BC7858" w14:textId="2A618111" w:rsidR="00D215DA" w:rsidRDefault="00D215DA" w:rsidP="00410542">
      <w:pPr>
        <w:rPr>
          <w:sz w:val="22"/>
          <w:szCs w:val="22"/>
        </w:rPr>
      </w:pPr>
    </w:p>
    <w:p w14:paraId="3F4FD50E" w14:textId="00BB86EC" w:rsidR="00D215DA" w:rsidRDefault="00D215DA" w:rsidP="00410542">
      <w:pPr>
        <w:rPr>
          <w:sz w:val="22"/>
          <w:szCs w:val="22"/>
        </w:rPr>
      </w:pPr>
      <w:r>
        <w:rPr>
          <w:sz w:val="22"/>
          <w:szCs w:val="22"/>
        </w:rPr>
        <w:t xml:space="preserve">Un elemento </w:t>
      </w:r>
      <w:r w:rsidR="00BE698A">
        <w:rPr>
          <w:sz w:val="22"/>
          <w:szCs w:val="22"/>
        </w:rPr>
        <w:t>de mayor relevancia q</w:t>
      </w:r>
      <w:r>
        <w:rPr>
          <w:sz w:val="22"/>
          <w:szCs w:val="22"/>
        </w:rPr>
        <w:t>ue se deb</w:t>
      </w:r>
      <w:r w:rsidR="00BE698A">
        <w:rPr>
          <w:sz w:val="22"/>
          <w:szCs w:val="22"/>
        </w:rPr>
        <w:t>e</w:t>
      </w:r>
      <w:r>
        <w:rPr>
          <w:sz w:val="22"/>
          <w:szCs w:val="22"/>
        </w:rPr>
        <w:t xml:space="preserve"> tener en cuenta en la propuesta que se presenta, es el que tiene que ver con los cambios de las declaraciones de producción que se presentan cada año al MME y que incluyen el potencial de producción de cada campo, entre otros aspectos. Ese potencial de producción varía de un año a otro, sea en el caso de un campo de producción </w:t>
      </w:r>
      <w:r w:rsidR="00BE698A">
        <w:rPr>
          <w:sz w:val="22"/>
          <w:szCs w:val="22"/>
        </w:rPr>
        <w:t xml:space="preserve">específico </w:t>
      </w:r>
      <w:r>
        <w:rPr>
          <w:sz w:val="22"/>
          <w:szCs w:val="22"/>
        </w:rPr>
        <w:t xml:space="preserve">o sea en el caso en que se agrega la totalidad de los campos de producción. El </w:t>
      </w:r>
      <w:r w:rsidR="00BE698A">
        <w:rPr>
          <w:sz w:val="22"/>
          <w:szCs w:val="22"/>
        </w:rPr>
        <w:t xml:space="preserve">hecho de </w:t>
      </w:r>
      <w:r>
        <w:rPr>
          <w:sz w:val="22"/>
          <w:szCs w:val="22"/>
        </w:rPr>
        <w:t xml:space="preserve">que </w:t>
      </w:r>
      <w:r w:rsidR="00BE698A">
        <w:rPr>
          <w:sz w:val="22"/>
          <w:szCs w:val="22"/>
        </w:rPr>
        <w:t>se aumenten o se deduzcan</w:t>
      </w:r>
      <w:r>
        <w:rPr>
          <w:sz w:val="22"/>
          <w:szCs w:val="22"/>
        </w:rPr>
        <w:t xml:space="preserve"> cantidades de potencial de producción, y derivado de ello, de oferta de cantidades disponibles para la venta PTDV, entre un año y otro</w:t>
      </w:r>
      <w:r w:rsidR="00BE698A">
        <w:rPr>
          <w:sz w:val="22"/>
          <w:szCs w:val="22"/>
        </w:rPr>
        <w:t xml:space="preserve"> de su declaración</w:t>
      </w:r>
      <w:r>
        <w:rPr>
          <w:sz w:val="22"/>
          <w:szCs w:val="22"/>
        </w:rPr>
        <w:t xml:space="preserve">, afecta la formación del precio, sea </w:t>
      </w:r>
      <w:r w:rsidR="00BE698A">
        <w:rPr>
          <w:sz w:val="22"/>
          <w:szCs w:val="22"/>
        </w:rPr>
        <w:t>para las</w:t>
      </w:r>
      <w:r>
        <w:rPr>
          <w:sz w:val="22"/>
          <w:szCs w:val="22"/>
        </w:rPr>
        <w:t xml:space="preserve"> negociaciones directas o </w:t>
      </w:r>
      <w:r w:rsidR="00BE698A">
        <w:rPr>
          <w:sz w:val="22"/>
          <w:szCs w:val="22"/>
        </w:rPr>
        <w:t>para</w:t>
      </w:r>
      <w:r>
        <w:rPr>
          <w:sz w:val="22"/>
          <w:szCs w:val="22"/>
        </w:rPr>
        <w:t xml:space="preserve"> otros mecanismos de comercialización. </w:t>
      </w:r>
    </w:p>
    <w:p w14:paraId="351563D4" w14:textId="77777777" w:rsidR="00D215DA" w:rsidRDefault="00D215DA" w:rsidP="00410542">
      <w:pPr>
        <w:rPr>
          <w:sz w:val="22"/>
          <w:szCs w:val="22"/>
        </w:rPr>
      </w:pPr>
    </w:p>
    <w:p w14:paraId="79A12C62" w14:textId="58DD1E89" w:rsidR="00D215DA" w:rsidRDefault="00D215DA" w:rsidP="00410542">
      <w:pPr>
        <w:rPr>
          <w:sz w:val="22"/>
          <w:szCs w:val="22"/>
        </w:rPr>
      </w:pPr>
      <w:r>
        <w:rPr>
          <w:sz w:val="22"/>
          <w:szCs w:val="22"/>
        </w:rPr>
        <w:t xml:space="preserve">Así, la propuesta prevé la actualización de información de PTDVF en forma trimestral y no anual, para reducir cambios que se reflejan un año después y no de manera más inmediata y cercana al origen del cambio. En la </w:t>
      </w:r>
      <w:r w:rsidR="00AA63D2">
        <w:rPr>
          <w:sz w:val="22"/>
          <w:szCs w:val="22"/>
        </w:rPr>
        <w:fldChar w:fldCharType="begin"/>
      </w:r>
      <w:r w:rsidR="00AA63D2">
        <w:rPr>
          <w:sz w:val="22"/>
          <w:szCs w:val="22"/>
        </w:rPr>
        <w:instrText xml:space="preserve"> REF _Ref130295774 \h </w:instrText>
      </w:r>
      <w:r w:rsidR="00AA63D2">
        <w:rPr>
          <w:sz w:val="22"/>
          <w:szCs w:val="22"/>
        </w:rPr>
      </w:r>
      <w:r w:rsidR="00AA63D2">
        <w:rPr>
          <w:sz w:val="22"/>
          <w:szCs w:val="22"/>
        </w:rPr>
        <w:fldChar w:fldCharType="separate"/>
      </w:r>
      <w:r w:rsidR="006B7344" w:rsidRPr="00AA63D2">
        <w:rPr>
          <w:i/>
          <w:iCs/>
          <w:sz w:val="22"/>
          <w:szCs w:val="22"/>
        </w:rPr>
        <w:t xml:space="preserve">Figura </w:t>
      </w:r>
      <w:r w:rsidR="006B7344">
        <w:rPr>
          <w:i/>
          <w:iCs/>
          <w:noProof/>
          <w:sz w:val="22"/>
          <w:szCs w:val="22"/>
        </w:rPr>
        <w:t>10</w:t>
      </w:r>
      <w:r w:rsidR="006B7344" w:rsidRPr="00AA63D2">
        <w:rPr>
          <w:i/>
          <w:iCs/>
          <w:sz w:val="22"/>
          <w:szCs w:val="22"/>
        </w:rPr>
        <w:t xml:space="preserve"> Potenciales de Producción PP declarados al MME</w:t>
      </w:r>
      <w:r w:rsidR="00AA63D2">
        <w:rPr>
          <w:sz w:val="22"/>
          <w:szCs w:val="22"/>
        </w:rPr>
        <w:fldChar w:fldCharType="end"/>
      </w:r>
      <w:r w:rsidR="00E036CD">
        <w:rPr>
          <w:sz w:val="22"/>
          <w:szCs w:val="22"/>
        </w:rPr>
        <w:t xml:space="preserve"> </w:t>
      </w:r>
      <w:r>
        <w:rPr>
          <w:sz w:val="22"/>
          <w:szCs w:val="22"/>
        </w:rPr>
        <w:t>siguiente se observan las cantidades de potencial de producción, declaradas con corte al final de cada año, después de realizados ajustes por los productores a la declaración inicial que se presenta en cada año</w:t>
      </w:r>
      <w:r w:rsidR="00BE698A">
        <w:rPr>
          <w:sz w:val="22"/>
          <w:szCs w:val="22"/>
        </w:rPr>
        <w:t xml:space="preserve">. </w:t>
      </w:r>
      <w:r w:rsidR="001F2995">
        <w:rPr>
          <w:sz w:val="22"/>
          <w:szCs w:val="22"/>
        </w:rPr>
        <w:t>S</w:t>
      </w:r>
      <w:r w:rsidR="00BE698A">
        <w:rPr>
          <w:sz w:val="22"/>
          <w:szCs w:val="22"/>
        </w:rPr>
        <w:t>e hace evidente que año a año en general se incrementan los potenciales de producción</w:t>
      </w:r>
      <w:r w:rsidR="001F2995">
        <w:rPr>
          <w:sz w:val="22"/>
          <w:szCs w:val="22"/>
        </w:rPr>
        <w:t>, siendo destacable incrementos de varios campos entre la declaración de potencial de producción hecha al MME en el año 2017 y la declaración hecha en el año 2018</w:t>
      </w:r>
      <w:r>
        <w:rPr>
          <w:sz w:val="22"/>
          <w:szCs w:val="22"/>
        </w:rPr>
        <w:t>:</w:t>
      </w:r>
    </w:p>
    <w:p w14:paraId="5DA80290" w14:textId="11772E13" w:rsidR="00D215DA" w:rsidRDefault="00D215DA" w:rsidP="00410542">
      <w:pPr>
        <w:rPr>
          <w:sz w:val="22"/>
          <w:szCs w:val="22"/>
        </w:rPr>
      </w:pPr>
    </w:p>
    <w:p w14:paraId="10635F7E" w14:textId="2B85B1DF" w:rsidR="00AA63D2" w:rsidRPr="00AA63D2" w:rsidRDefault="00AA63D2" w:rsidP="00AA63D2">
      <w:pPr>
        <w:pStyle w:val="Descripcin"/>
        <w:keepNext/>
        <w:jc w:val="center"/>
        <w:rPr>
          <w:i w:val="0"/>
          <w:iCs w:val="0"/>
          <w:sz w:val="22"/>
          <w:szCs w:val="22"/>
        </w:rPr>
      </w:pPr>
      <w:bookmarkStart w:id="197" w:name="_Ref130304151"/>
      <w:bookmarkStart w:id="198" w:name="_Ref130295774"/>
      <w:bookmarkStart w:id="199" w:name="_Toc140506603"/>
      <w:r w:rsidRPr="00AA63D2">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10</w:t>
      </w:r>
      <w:r w:rsidR="006B6B6C">
        <w:rPr>
          <w:i w:val="0"/>
          <w:iCs w:val="0"/>
          <w:sz w:val="22"/>
          <w:szCs w:val="22"/>
        </w:rPr>
        <w:fldChar w:fldCharType="end"/>
      </w:r>
      <w:bookmarkEnd w:id="197"/>
      <w:r w:rsidRPr="00AA63D2">
        <w:rPr>
          <w:i w:val="0"/>
          <w:iCs w:val="0"/>
          <w:sz w:val="22"/>
          <w:szCs w:val="22"/>
        </w:rPr>
        <w:t xml:space="preserve"> Potenciales de Producción PP declarados al MME</w:t>
      </w:r>
      <w:bookmarkEnd w:id="198"/>
      <w:bookmarkEnd w:id="199"/>
    </w:p>
    <w:p w14:paraId="274659C5" w14:textId="13284430" w:rsidR="00AA63D2" w:rsidRDefault="00AA63D2" w:rsidP="00410542">
      <w:pPr>
        <w:rPr>
          <w:sz w:val="22"/>
          <w:szCs w:val="22"/>
        </w:rPr>
      </w:pPr>
      <w:r>
        <w:rPr>
          <w:noProof/>
          <w:sz w:val="22"/>
          <w:szCs w:val="22"/>
        </w:rPr>
        <w:drawing>
          <wp:inline distT="0" distB="0" distL="0" distR="0" wp14:anchorId="745E47BF" wp14:editId="6287E9FC">
            <wp:extent cx="5937885" cy="3521075"/>
            <wp:effectExtent l="0" t="0" r="571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3521075"/>
                    </a:xfrm>
                    <a:prstGeom prst="rect">
                      <a:avLst/>
                    </a:prstGeom>
                    <a:noFill/>
                    <a:ln>
                      <a:noFill/>
                    </a:ln>
                  </pic:spPr>
                </pic:pic>
              </a:graphicData>
            </a:graphic>
          </wp:inline>
        </w:drawing>
      </w:r>
    </w:p>
    <w:p w14:paraId="4DADB0ED" w14:textId="1B6965C4" w:rsidR="004B2A46" w:rsidRDefault="004B2A46" w:rsidP="00410542">
      <w:pPr>
        <w:rPr>
          <w:sz w:val="22"/>
          <w:szCs w:val="22"/>
        </w:rPr>
      </w:pPr>
    </w:p>
    <w:p w14:paraId="3571D8BC" w14:textId="36FB5FED" w:rsidR="004B2A46" w:rsidRDefault="004B2A46" w:rsidP="00410542">
      <w:pPr>
        <w:rPr>
          <w:sz w:val="22"/>
          <w:szCs w:val="22"/>
        </w:rPr>
      </w:pPr>
    </w:p>
    <w:p w14:paraId="649BD0E6" w14:textId="11E0B3E4" w:rsidR="004B2A46" w:rsidRDefault="004B2A46" w:rsidP="00410542">
      <w:pPr>
        <w:rPr>
          <w:sz w:val="22"/>
          <w:szCs w:val="22"/>
        </w:rPr>
      </w:pPr>
      <w:r>
        <w:rPr>
          <w:sz w:val="22"/>
          <w:szCs w:val="22"/>
        </w:rPr>
        <w:t xml:space="preserve">En la </w:t>
      </w:r>
      <w:r w:rsidR="000031CC">
        <w:rPr>
          <w:sz w:val="22"/>
          <w:szCs w:val="22"/>
        </w:rPr>
        <w:fldChar w:fldCharType="begin"/>
      </w:r>
      <w:r w:rsidR="000031CC">
        <w:rPr>
          <w:sz w:val="22"/>
          <w:szCs w:val="22"/>
        </w:rPr>
        <w:instrText xml:space="preserve"> REF _Ref129697521 \h </w:instrText>
      </w:r>
      <w:r w:rsidR="000031CC">
        <w:rPr>
          <w:sz w:val="22"/>
          <w:szCs w:val="22"/>
        </w:rPr>
      </w:r>
      <w:r w:rsidR="000031CC">
        <w:rPr>
          <w:sz w:val="22"/>
          <w:szCs w:val="22"/>
        </w:rPr>
        <w:fldChar w:fldCharType="separate"/>
      </w:r>
      <w:r w:rsidR="006B7344" w:rsidRPr="000031CC">
        <w:rPr>
          <w:sz w:val="22"/>
          <w:szCs w:val="22"/>
        </w:rPr>
        <w:t xml:space="preserve">Figura </w:t>
      </w:r>
      <w:r w:rsidR="006B7344">
        <w:rPr>
          <w:i/>
          <w:iCs/>
          <w:noProof/>
          <w:sz w:val="22"/>
          <w:szCs w:val="22"/>
        </w:rPr>
        <w:t>11</w:t>
      </w:r>
      <w:r w:rsidR="000031CC">
        <w:rPr>
          <w:sz w:val="22"/>
          <w:szCs w:val="22"/>
        </w:rPr>
        <w:fldChar w:fldCharType="end"/>
      </w:r>
      <w:r w:rsidR="000031CC">
        <w:rPr>
          <w:sz w:val="22"/>
          <w:szCs w:val="22"/>
        </w:rPr>
        <w:t xml:space="preserve"> </w:t>
      </w:r>
      <w:r>
        <w:rPr>
          <w:sz w:val="22"/>
          <w:szCs w:val="22"/>
        </w:rPr>
        <w:t>se puede ver incluso cambios significativos del perfil de potencial de producción de las declaraciones de los años 2020, 2021 y 2022</w:t>
      </w:r>
      <w:r w:rsidR="00447240">
        <w:rPr>
          <w:sz w:val="22"/>
          <w:szCs w:val="22"/>
        </w:rPr>
        <w:t xml:space="preserve"> para una fuente de suministro en particular, que sirve de ejemplo</w:t>
      </w:r>
      <w:r w:rsidR="006E167B">
        <w:rPr>
          <w:sz w:val="22"/>
          <w:szCs w:val="22"/>
        </w:rPr>
        <w:t xml:space="preserve"> de cambios significativos de un año a otro que</w:t>
      </w:r>
      <w:r>
        <w:rPr>
          <w:sz w:val="22"/>
          <w:szCs w:val="22"/>
        </w:rPr>
        <w:t>, independientemente de su origen y explicación, afecta evidentemente la formación de precios en cada uno de esos años</w:t>
      </w:r>
      <w:r w:rsidR="006E167B">
        <w:rPr>
          <w:sz w:val="22"/>
          <w:szCs w:val="22"/>
        </w:rPr>
        <w:t xml:space="preserve"> para los contratos de suministro de mediano plazo (1 a 3 años)</w:t>
      </w:r>
      <w:r>
        <w:rPr>
          <w:sz w:val="22"/>
          <w:szCs w:val="22"/>
        </w:rPr>
        <w:t>, dependiendo del tamaño del campo, con efectos no solo locales sino regionales.</w:t>
      </w:r>
    </w:p>
    <w:p w14:paraId="7A46350E" w14:textId="77777777" w:rsidR="006E167B" w:rsidRDefault="006E167B" w:rsidP="00410542">
      <w:pPr>
        <w:rPr>
          <w:sz w:val="22"/>
          <w:szCs w:val="22"/>
        </w:rPr>
      </w:pPr>
    </w:p>
    <w:p w14:paraId="0C13F293" w14:textId="0BFF772D" w:rsidR="000031CC" w:rsidRPr="000031CC" w:rsidRDefault="000031CC" w:rsidP="000031CC">
      <w:pPr>
        <w:pStyle w:val="Descripcin"/>
        <w:keepNext/>
        <w:jc w:val="center"/>
        <w:rPr>
          <w:i w:val="0"/>
          <w:iCs w:val="0"/>
          <w:sz w:val="22"/>
          <w:szCs w:val="22"/>
        </w:rPr>
      </w:pPr>
      <w:bookmarkStart w:id="200" w:name="_Ref129697521"/>
      <w:bookmarkStart w:id="201" w:name="_Toc140506604"/>
      <w:r w:rsidRPr="000031CC">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11</w:t>
      </w:r>
      <w:r w:rsidR="006B6B6C">
        <w:rPr>
          <w:i w:val="0"/>
          <w:iCs w:val="0"/>
          <w:sz w:val="22"/>
          <w:szCs w:val="22"/>
        </w:rPr>
        <w:fldChar w:fldCharType="end"/>
      </w:r>
      <w:bookmarkEnd w:id="200"/>
      <w:r w:rsidRPr="000031CC">
        <w:rPr>
          <w:i w:val="0"/>
          <w:iCs w:val="0"/>
          <w:sz w:val="22"/>
          <w:szCs w:val="22"/>
        </w:rPr>
        <w:t xml:space="preserve"> Potencial de Producción declarados al MME por campo de producción X</w:t>
      </w:r>
      <w:bookmarkEnd w:id="201"/>
    </w:p>
    <w:p w14:paraId="68C5B749" w14:textId="1BC64B79" w:rsidR="00410542" w:rsidRDefault="004B2A46" w:rsidP="00410542">
      <w:pPr>
        <w:rPr>
          <w:sz w:val="22"/>
          <w:szCs w:val="22"/>
        </w:rPr>
      </w:pPr>
      <w:r>
        <w:rPr>
          <w:noProof/>
          <w:sz w:val="22"/>
          <w:szCs w:val="22"/>
        </w:rPr>
        <w:drawing>
          <wp:inline distT="0" distB="0" distL="0" distR="0" wp14:anchorId="0581A84C" wp14:editId="558CF600">
            <wp:extent cx="5936615" cy="3180080"/>
            <wp:effectExtent l="0" t="0" r="698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615" cy="3180080"/>
                    </a:xfrm>
                    <a:prstGeom prst="rect">
                      <a:avLst/>
                    </a:prstGeom>
                    <a:noFill/>
                    <a:ln>
                      <a:noFill/>
                    </a:ln>
                  </pic:spPr>
                </pic:pic>
              </a:graphicData>
            </a:graphic>
          </wp:inline>
        </w:drawing>
      </w:r>
    </w:p>
    <w:p w14:paraId="625A9EA5" w14:textId="498509E4" w:rsidR="004B2A46" w:rsidRDefault="004B2A46" w:rsidP="00410542">
      <w:pPr>
        <w:rPr>
          <w:sz w:val="22"/>
          <w:szCs w:val="22"/>
        </w:rPr>
      </w:pPr>
    </w:p>
    <w:p w14:paraId="0FD94387" w14:textId="77777777" w:rsidR="004B2A46" w:rsidRPr="00410542" w:rsidRDefault="004B2A46" w:rsidP="00410542">
      <w:pPr>
        <w:rPr>
          <w:sz w:val="22"/>
          <w:szCs w:val="22"/>
        </w:rPr>
      </w:pPr>
    </w:p>
    <w:p w14:paraId="771C2F4F" w14:textId="0B6EF19F" w:rsidR="00CE73FA" w:rsidRPr="00771A16" w:rsidRDefault="007145F8" w:rsidP="007403C3">
      <w:pPr>
        <w:pStyle w:val="Ttulo1"/>
        <w:keepLines/>
        <w:numPr>
          <w:ilvl w:val="0"/>
          <w:numId w:val="3"/>
        </w:numPr>
        <w:suppressAutoHyphens w:val="0"/>
        <w:spacing w:before="240" w:after="0" w:line="259" w:lineRule="auto"/>
        <w:rPr>
          <w:rFonts w:cs="Arial"/>
          <w:sz w:val="22"/>
          <w:szCs w:val="22"/>
        </w:rPr>
      </w:pPr>
      <w:bookmarkStart w:id="202" w:name="_Toc37423937"/>
      <w:bookmarkStart w:id="203" w:name="_Toc37433611"/>
      <w:bookmarkStart w:id="204" w:name="_Toc37433717"/>
      <w:bookmarkStart w:id="205" w:name="_Toc37435636"/>
      <w:bookmarkStart w:id="206" w:name="_Toc37423938"/>
      <w:bookmarkStart w:id="207" w:name="_Toc37433612"/>
      <w:bookmarkStart w:id="208" w:name="_Toc37433718"/>
      <w:bookmarkStart w:id="209" w:name="_Toc37435637"/>
      <w:bookmarkStart w:id="210" w:name="_Toc37423939"/>
      <w:bookmarkStart w:id="211" w:name="_Toc37433613"/>
      <w:bookmarkStart w:id="212" w:name="_Toc37433719"/>
      <w:bookmarkStart w:id="213" w:name="_Toc37435638"/>
      <w:bookmarkStart w:id="214" w:name="_Toc37423940"/>
      <w:bookmarkStart w:id="215" w:name="_Toc37433614"/>
      <w:bookmarkStart w:id="216" w:name="_Toc37433720"/>
      <w:bookmarkStart w:id="217" w:name="_Toc37435639"/>
      <w:bookmarkStart w:id="218" w:name="_Toc37423941"/>
      <w:bookmarkStart w:id="219" w:name="_Toc37433615"/>
      <w:bookmarkStart w:id="220" w:name="_Toc37433721"/>
      <w:bookmarkStart w:id="221" w:name="_Toc37435640"/>
      <w:bookmarkStart w:id="222" w:name="_Toc36488261"/>
      <w:bookmarkStart w:id="223" w:name="_Toc36495862"/>
      <w:bookmarkStart w:id="224" w:name="_Toc36495880"/>
      <w:bookmarkStart w:id="225" w:name="_Toc37423942"/>
      <w:bookmarkStart w:id="226" w:name="_Toc37433616"/>
      <w:bookmarkStart w:id="227" w:name="_Toc37433722"/>
      <w:bookmarkStart w:id="228" w:name="_Toc37435641"/>
      <w:bookmarkStart w:id="229" w:name="_Toc36488262"/>
      <w:bookmarkStart w:id="230" w:name="_Toc36495863"/>
      <w:bookmarkStart w:id="231" w:name="_Toc36495881"/>
      <w:bookmarkStart w:id="232" w:name="_Toc37423943"/>
      <w:bookmarkStart w:id="233" w:name="_Toc37433617"/>
      <w:bookmarkStart w:id="234" w:name="_Toc37433723"/>
      <w:bookmarkStart w:id="235" w:name="_Toc37435642"/>
      <w:bookmarkStart w:id="236" w:name="_Toc36488263"/>
      <w:bookmarkStart w:id="237" w:name="_Toc36495864"/>
      <w:bookmarkStart w:id="238" w:name="_Toc36495882"/>
      <w:bookmarkStart w:id="239" w:name="_Toc37423944"/>
      <w:bookmarkStart w:id="240" w:name="_Toc37433618"/>
      <w:bookmarkStart w:id="241" w:name="_Toc37433724"/>
      <w:bookmarkStart w:id="242" w:name="_Toc37435643"/>
      <w:bookmarkStart w:id="243" w:name="_Toc36488264"/>
      <w:bookmarkStart w:id="244" w:name="_Toc36495865"/>
      <w:bookmarkStart w:id="245" w:name="_Toc36495883"/>
      <w:bookmarkStart w:id="246" w:name="_Toc37423945"/>
      <w:bookmarkStart w:id="247" w:name="_Toc37433619"/>
      <w:bookmarkStart w:id="248" w:name="_Toc37433725"/>
      <w:bookmarkStart w:id="249" w:name="_Toc37435644"/>
      <w:bookmarkStart w:id="250" w:name="_Toc37423946"/>
      <w:bookmarkStart w:id="251" w:name="_Toc37433620"/>
      <w:bookmarkStart w:id="252" w:name="_Toc37433726"/>
      <w:bookmarkStart w:id="253" w:name="_Toc37435645"/>
      <w:bookmarkStart w:id="254" w:name="_Toc37423947"/>
      <w:bookmarkStart w:id="255" w:name="_Toc37433621"/>
      <w:bookmarkStart w:id="256" w:name="_Toc37433727"/>
      <w:bookmarkStart w:id="257" w:name="_Toc37435646"/>
      <w:bookmarkStart w:id="258" w:name="_Toc37423948"/>
      <w:bookmarkStart w:id="259" w:name="_Toc37433622"/>
      <w:bookmarkStart w:id="260" w:name="_Toc37433728"/>
      <w:bookmarkStart w:id="261" w:name="_Toc37435647"/>
      <w:bookmarkStart w:id="262" w:name="_Toc37423949"/>
      <w:bookmarkStart w:id="263" w:name="_Toc37433623"/>
      <w:bookmarkStart w:id="264" w:name="_Toc37433729"/>
      <w:bookmarkStart w:id="265" w:name="_Toc37435648"/>
      <w:bookmarkStart w:id="266" w:name="_Toc37423950"/>
      <w:bookmarkStart w:id="267" w:name="_Toc37433624"/>
      <w:bookmarkStart w:id="268" w:name="_Toc37433730"/>
      <w:bookmarkStart w:id="269" w:name="_Toc37435649"/>
      <w:bookmarkStart w:id="270" w:name="_Toc37423951"/>
      <w:bookmarkStart w:id="271" w:name="_Toc37433625"/>
      <w:bookmarkStart w:id="272" w:name="_Toc37433731"/>
      <w:bookmarkStart w:id="273" w:name="_Toc37435650"/>
      <w:bookmarkStart w:id="274" w:name="_Toc37423952"/>
      <w:bookmarkStart w:id="275" w:name="_Toc37433626"/>
      <w:bookmarkStart w:id="276" w:name="_Toc37433732"/>
      <w:bookmarkStart w:id="277" w:name="_Toc37435651"/>
      <w:bookmarkStart w:id="278" w:name="_Toc37423953"/>
      <w:bookmarkStart w:id="279" w:name="_Toc37433627"/>
      <w:bookmarkStart w:id="280" w:name="_Toc37433733"/>
      <w:bookmarkStart w:id="281" w:name="_Toc37435652"/>
      <w:bookmarkStart w:id="282" w:name="_Toc37423954"/>
      <w:bookmarkStart w:id="283" w:name="_Toc37433628"/>
      <w:bookmarkStart w:id="284" w:name="_Toc37433734"/>
      <w:bookmarkStart w:id="285" w:name="_Toc37435653"/>
      <w:bookmarkStart w:id="286" w:name="_Toc37423955"/>
      <w:bookmarkStart w:id="287" w:name="_Toc37433629"/>
      <w:bookmarkStart w:id="288" w:name="_Toc37433735"/>
      <w:bookmarkStart w:id="289" w:name="_Toc37435654"/>
      <w:bookmarkStart w:id="290" w:name="_Toc37423956"/>
      <w:bookmarkStart w:id="291" w:name="_Toc37433630"/>
      <w:bookmarkStart w:id="292" w:name="_Toc37433736"/>
      <w:bookmarkStart w:id="293" w:name="_Toc37435655"/>
      <w:bookmarkStart w:id="294" w:name="_Toc37423957"/>
      <w:bookmarkStart w:id="295" w:name="_Toc37433631"/>
      <w:bookmarkStart w:id="296" w:name="_Toc37433737"/>
      <w:bookmarkStart w:id="297" w:name="_Toc37435656"/>
      <w:bookmarkStart w:id="298" w:name="_Toc37423958"/>
      <w:bookmarkStart w:id="299" w:name="_Toc37433632"/>
      <w:bookmarkStart w:id="300" w:name="_Toc37433738"/>
      <w:bookmarkStart w:id="301" w:name="_Toc37435657"/>
      <w:bookmarkStart w:id="302" w:name="_Toc37423959"/>
      <w:bookmarkStart w:id="303" w:name="_Toc37433633"/>
      <w:bookmarkStart w:id="304" w:name="_Toc37433739"/>
      <w:bookmarkStart w:id="305" w:name="_Toc37435658"/>
      <w:bookmarkStart w:id="306" w:name="_Toc37423960"/>
      <w:bookmarkStart w:id="307" w:name="_Toc37433634"/>
      <w:bookmarkStart w:id="308" w:name="_Toc37433740"/>
      <w:bookmarkStart w:id="309" w:name="_Toc37435659"/>
      <w:bookmarkStart w:id="310" w:name="_Toc37423961"/>
      <w:bookmarkStart w:id="311" w:name="_Toc37433635"/>
      <w:bookmarkStart w:id="312" w:name="_Toc37433741"/>
      <w:bookmarkStart w:id="313" w:name="_Toc37435660"/>
      <w:bookmarkStart w:id="314" w:name="_Toc37423962"/>
      <w:bookmarkStart w:id="315" w:name="_Toc37433636"/>
      <w:bookmarkStart w:id="316" w:name="_Toc37433742"/>
      <w:bookmarkStart w:id="317" w:name="_Toc37435661"/>
      <w:bookmarkStart w:id="318" w:name="_Toc37423963"/>
      <w:bookmarkStart w:id="319" w:name="_Toc37433637"/>
      <w:bookmarkStart w:id="320" w:name="_Toc37433743"/>
      <w:bookmarkStart w:id="321" w:name="_Toc37435662"/>
      <w:bookmarkStart w:id="322" w:name="_Toc14050621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771A16">
        <w:rPr>
          <w:rFonts w:cs="Arial"/>
          <w:sz w:val="22"/>
          <w:szCs w:val="22"/>
        </w:rPr>
        <w:t>PROPUESTA</w:t>
      </w:r>
      <w:bookmarkEnd w:id="322"/>
      <w:r w:rsidR="00C51CDD" w:rsidRPr="00771A16">
        <w:rPr>
          <w:rFonts w:cs="Arial"/>
          <w:sz w:val="22"/>
          <w:szCs w:val="22"/>
        </w:rPr>
        <w:t xml:space="preserve"> </w:t>
      </w:r>
    </w:p>
    <w:p w14:paraId="380A7A10" w14:textId="77F4D936" w:rsidR="001A267E" w:rsidRPr="00771A16" w:rsidRDefault="001A267E" w:rsidP="001A267E">
      <w:pPr>
        <w:rPr>
          <w:sz w:val="22"/>
          <w:szCs w:val="22"/>
        </w:rPr>
      </w:pPr>
    </w:p>
    <w:p w14:paraId="09FEACA6" w14:textId="54A45B7A" w:rsidR="00403822" w:rsidRPr="00771A16" w:rsidRDefault="00403822" w:rsidP="001A267E">
      <w:pPr>
        <w:rPr>
          <w:sz w:val="22"/>
          <w:szCs w:val="22"/>
        </w:rPr>
      </w:pPr>
      <w:r w:rsidRPr="00771A16">
        <w:rPr>
          <w:sz w:val="22"/>
          <w:szCs w:val="22"/>
        </w:rPr>
        <w:t xml:space="preserve">La propuesta contiene </w:t>
      </w:r>
      <w:r w:rsidR="006B7EAD" w:rsidRPr="00771A16">
        <w:rPr>
          <w:sz w:val="22"/>
          <w:szCs w:val="22"/>
        </w:rPr>
        <w:t>una serie de ajustes</w:t>
      </w:r>
      <w:r w:rsidR="005811CF" w:rsidRPr="00771A16">
        <w:rPr>
          <w:sz w:val="22"/>
          <w:szCs w:val="22"/>
        </w:rPr>
        <w:t xml:space="preserve"> principalmente focalizados en el </w:t>
      </w:r>
      <w:r w:rsidR="00AC32B5" w:rsidRPr="00771A16">
        <w:rPr>
          <w:sz w:val="22"/>
          <w:szCs w:val="22"/>
        </w:rPr>
        <w:t>Mercado Primario</w:t>
      </w:r>
      <w:r w:rsidR="005811CF" w:rsidRPr="00771A16">
        <w:rPr>
          <w:sz w:val="22"/>
          <w:szCs w:val="22"/>
        </w:rPr>
        <w:t>,</w:t>
      </w:r>
      <w:r w:rsidR="002F0DC1" w:rsidRPr="00771A16">
        <w:rPr>
          <w:sz w:val="22"/>
          <w:szCs w:val="22"/>
        </w:rPr>
        <w:t xml:space="preserve"> que incluyen</w:t>
      </w:r>
      <w:r w:rsidR="00702FEE">
        <w:rPr>
          <w:sz w:val="22"/>
          <w:szCs w:val="22"/>
        </w:rPr>
        <w:t>, entre otros de mayor impacto,</w:t>
      </w:r>
      <w:r w:rsidR="002F0DC1" w:rsidRPr="00771A16">
        <w:rPr>
          <w:sz w:val="22"/>
          <w:szCs w:val="22"/>
        </w:rPr>
        <w:t xml:space="preserve"> lo</w:t>
      </w:r>
      <w:r w:rsidR="00702FEE">
        <w:rPr>
          <w:sz w:val="22"/>
          <w:szCs w:val="22"/>
        </w:rPr>
        <w:t>s</w:t>
      </w:r>
      <w:r w:rsidR="002F0DC1" w:rsidRPr="00771A16">
        <w:rPr>
          <w:sz w:val="22"/>
          <w:szCs w:val="22"/>
        </w:rPr>
        <w:t xml:space="preserve"> </w:t>
      </w:r>
      <w:r w:rsidR="00F24D7D" w:rsidRPr="00771A16">
        <w:rPr>
          <w:sz w:val="22"/>
          <w:szCs w:val="22"/>
        </w:rPr>
        <w:t>que a continuación se describe</w:t>
      </w:r>
      <w:r w:rsidR="00702FEE">
        <w:rPr>
          <w:sz w:val="22"/>
          <w:szCs w:val="22"/>
        </w:rPr>
        <w:t>n</w:t>
      </w:r>
      <w:r w:rsidR="002F0DC1" w:rsidRPr="00771A16">
        <w:rPr>
          <w:sz w:val="22"/>
          <w:szCs w:val="22"/>
        </w:rPr>
        <w:t>:</w:t>
      </w:r>
    </w:p>
    <w:p w14:paraId="40811608" w14:textId="77777777" w:rsidR="002F0DC1" w:rsidRPr="00771A16" w:rsidRDefault="002F0DC1" w:rsidP="001A267E">
      <w:pPr>
        <w:rPr>
          <w:sz w:val="22"/>
          <w:szCs w:val="22"/>
        </w:rPr>
      </w:pPr>
    </w:p>
    <w:p w14:paraId="3B824678" w14:textId="0CE44833" w:rsidR="00105E86" w:rsidRPr="00771A16" w:rsidRDefault="00105E86" w:rsidP="006C2940">
      <w:pPr>
        <w:pStyle w:val="Prrafodelista"/>
        <w:ind w:left="720"/>
        <w:rPr>
          <w:sz w:val="22"/>
          <w:szCs w:val="22"/>
        </w:rPr>
      </w:pPr>
    </w:p>
    <w:p w14:paraId="0B0BA70C" w14:textId="77777777" w:rsidR="0004217D" w:rsidRPr="00771A16" w:rsidRDefault="0004217D" w:rsidP="0004217D">
      <w:pPr>
        <w:pStyle w:val="Prrafodelista"/>
        <w:keepNext/>
        <w:numPr>
          <w:ilvl w:val="0"/>
          <w:numId w:val="1"/>
        </w:numPr>
        <w:suppressAutoHyphens/>
        <w:spacing w:after="240"/>
        <w:outlineLvl w:val="0"/>
        <w:rPr>
          <w:b/>
          <w:vanish/>
          <w:sz w:val="22"/>
          <w:szCs w:val="22"/>
        </w:rPr>
      </w:pPr>
      <w:bookmarkStart w:id="323" w:name="_Toc91070432"/>
      <w:bookmarkStart w:id="324" w:name="_Toc91135580"/>
      <w:bookmarkStart w:id="325" w:name="_Toc91137059"/>
      <w:bookmarkStart w:id="326" w:name="_Toc91137122"/>
      <w:bookmarkStart w:id="327" w:name="_Toc91138412"/>
      <w:bookmarkStart w:id="328" w:name="_Toc91138688"/>
      <w:bookmarkStart w:id="329" w:name="_Toc91138717"/>
      <w:bookmarkStart w:id="330" w:name="_Toc94163493"/>
      <w:bookmarkStart w:id="331" w:name="_Toc94163521"/>
      <w:bookmarkStart w:id="332" w:name="_Toc94163563"/>
      <w:bookmarkStart w:id="333" w:name="_Toc94163731"/>
      <w:bookmarkStart w:id="334" w:name="_Toc94163762"/>
      <w:bookmarkStart w:id="335" w:name="_Toc94518546"/>
      <w:bookmarkStart w:id="336" w:name="_Toc94622812"/>
      <w:bookmarkStart w:id="337" w:name="_Toc94675388"/>
      <w:bookmarkStart w:id="338" w:name="_Toc94702075"/>
      <w:bookmarkStart w:id="339" w:name="_Toc94702139"/>
      <w:bookmarkStart w:id="340" w:name="_Toc94769666"/>
      <w:bookmarkStart w:id="341" w:name="_Toc94769905"/>
      <w:bookmarkStart w:id="342" w:name="_Toc94773676"/>
      <w:bookmarkStart w:id="343" w:name="_Toc94773707"/>
      <w:bookmarkStart w:id="344" w:name="_Toc94792168"/>
      <w:bookmarkStart w:id="345" w:name="_Toc94859957"/>
      <w:bookmarkStart w:id="346" w:name="_Toc94860512"/>
      <w:bookmarkStart w:id="347" w:name="_Toc95457649"/>
      <w:bookmarkStart w:id="348" w:name="_Toc97817423"/>
      <w:bookmarkStart w:id="349" w:name="_Toc97817470"/>
      <w:bookmarkStart w:id="350" w:name="_Toc97817524"/>
      <w:bookmarkStart w:id="351" w:name="_Toc97884179"/>
      <w:bookmarkStart w:id="352" w:name="_Toc97884225"/>
      <w:bookmarkStart w:id="353" w:name="_Toc97884272"/>
      <w:bookmarkStart w:id="354" w:name="_Toc97884317"/>
      <w:bookmarkStart w:id="355" w:name="_Toc99556362"/>
      <w:bookmarkStart w:id="356" w:name="_Toc99574090"/>
      <w:bookmarkStart w:id="357" w:name="_Toc126922359"/>
      <w:bookmarkStart w:id="358" w:name="_Toc126933422"/>
      <w:bookmarkStart w:id="359" w:name="_Toc126937580"/>
      <w:bookmarkStart w:id="360" w:name="_Toc127175038"/>
      <w:bookmarkStart w:id="361" w:name="_Toc127181258"/>
      <w:bookmarkStart w:id="362" w:name="_Toc128727033"/>
      <w:bookmarkStart w:id="363" w:name="_Toc128727095"/>
      <w:bookmarkStart w:id="364" w:name="_Toc128992851"/>
      <w:bookmarkStart w:id="365" w:name="_Toc128994675"/>
      <w:bookmarkStart w:id="366" w:name="_Toc129000649"/>
      <w:bookmarkStart w:id="367" w:name="_Toc129000870"/>
      <w:bookmarkStart w:id="368" w:name="_Toc129006176"/>
      <w:bookmarkStart w:id="369" w:name="_Toc129008529"/>
      <w:bookmarkStart w:id="370" w:name="_Toc129011018"/>
      <w:bookmarkStart w:id="371" w:name="_Toc129011350"/>
      <w:bookmarkStart w:id="372" w:name="_Toc129070018"/>
      <w:bookmarkStart w:id="373" w:name="_Toc129075652"/>
      <w:bookmarkStart w:id="374" w:name="_Toc129076975"/>
      <w:bookmarkStart w:id="375" w:name="_Toc129080767"/>
      <w:bookmarkStart w:id="376" w:name="_Toc129081372"/>
      <w:bookmarkStart w:id="377" w:name="_Toc129081792"/>
      <w:bookmarkStart w:id="378" w:name="_Toc129935857"/>
      <w:bookmarkStart w:id="379" w:name="_Toc130364051"/>
      <w:bookmarkStart w:id="380" w:name="_Toc130721611"/>
      <w:bookmarkStart w:id="381" w:name="_Toc130722021"/>
      <w:bookmarkStart w:id="382" w:name="_Toc130972473"/>
      <w:bookmarkStart w:id="383" w:name="_Toc132030890"/>
      <w:bookmarkStart w:id="384" w:name="_Toc132193090"/>
      <w:bookmarkStart w:id="385" w:name="_Toc132261431"/>
      <w:bookmarkStart w:id="386" w:name="_Toc132606521"/>
      <w:bookmarkStart w:id="387" w:name="_Toc132623610"/>
      <w:bookmarkStart w:id="388" w:name="_Toc132720911"/>
      <w:bookmarkStart w:id="389" w:name="_Toc133392912"/>
      <w:bookmarkStart w:id="390" w:name="_Toc133488129"/>
      <w:bookmarkStart w:id="391" w:name="_Toc135829747"/>
      <w:bookmarkStart w:id="392" w:name="_Toc135901985"/>
      <w:bookmarkStart w:id="393" w:name="_Toc14050621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2C69DC83" w14:textId="161A53C0" w:rsidR="00716D92" w:rsidRPr="00771A16" w:rsidRDefault="003F4568" w:rsidP="0004217D">
      <w:pPr>
        <w:pStyle w:val="Ttulo2"/>
        <w:rPr>
          <w:sz w:val="22"/>
          <w:szCs w:val="22"/>
        </w:rPr>
      </w:pPr>
      <w:bookmarkStart w:id="394" w:name="_Toc140506213"/>
      <w:r w:rsidRPr="00771A16">
        <w:rPr>
          <w:sz w:val="22"/>
          <w:szCs w:val="22"/>
        </w:rPr>
        <w:t>Eliminación</w:t>
      </w:r>
      <w:r w:rsidR="008742FA" w:rsidRPr="00771A16">
        <w:rPr>
          <w:sz w:val="22"/>
          <w:szCs w:val="22"/>
        </w:rPr>
        <w:t xml:space="preserve"> de </w:t>
      </w:r>
      <w:r w:rsidR="00716D92" w:rsidRPr="00771A16">
        <w:rPr>
          <w:sz w:val="22"/>
          <w:szCs w:val="22"/>
        </w:rPr>
        <w:t>l</w:t>
      </w:r>
      <w:r w:rsidR="00D60378" w:rsidRPr="00771A16">
        <w:rPr>
          <w:sz w:val="22"/>
          <w:szCs w:val="22"/>
        </w:rPr>
        <w:t>as modalidade</w:t>
      </w:r>
      <w:r w:rsidR="00DA7E04" w:rsidRPr="00771A16">
        <w:rPr>
          <w:sz w:val="22"/>
          <w:szCs w:val="22"/>
        </w:rPr>
        <w:t>s</w:t>
      </w:r>
      <w:r w:rsidR="00716D92" w:rsidRPr="00771A16">
        <w:rPr>
          <w:sz w:val="22"/>
          <w:szCs w:val="22"/>
        </w:rPr>
        <w:t xml:space="preserve"> de </w:t>
      </w:r>
      <w:r w:rsidR="00D60378" w:rsidRPr="00771A16">
        <w:rPr>
          <w:sz w:val="22"/>
          <w:szCs w:val="22"/>
        </w:rPr>
        <w:t>C</w:t>
      </w:r>
      <w:r w:rsidR="00716D92" w:rsidRPr="00771A16">
        <w:rPr>
          <w:sz w:val="22"/>
          <w:szCs w:val="22"/>
        </w:rPr>
        <w:t xml:space="preserve">ontratos de </w:t>
      </w:r>
      <w:r w:rsidR="00D60378" w:rsidRPr="00771A16">
        <w:rPr>
          <w:sz w:val="22"/>
          <w:szCs w:val="22"/>
        </w:rPr>
        <w:t>S</w:t>
      </w:r>
      <w:r w:rsidR="00716D92" w:rsidRPr="00771A16">
        <w:rPr>
          <w:sz w:val="22"/>
          <w:szCs w:val="22"/>
        </w:rPr>
        <w:t>uministro C1 y C2</w:t>
      </w:r>
      <w:r w:rsidR="003F4AB4" w:rsidRPr="00771A16">
        <w:rPr>
          <w:sz w:val="22"/>
          <w:szCs w:val="22"/>
        </w:rPr>
        <w:t xml:space="preserve"> y de las subastas anuales de dichos contratos</w:t>
      </w:r>
      <w:bookmarkEnd w:id="394"/>
    </w:p>
    <w:p w14:paraId="6BF9C0FB" w14:textId="37AD1209" w:rsidR="008E6C03" w:rsidRPr="00771A16" w:rsidRDefault="00716D92" w:rsidP="00716D92">
      <w:pPr>
        <w:rPr>
          <w:sz w:val="22"/>
          <w:szCs w:val="22"/>
        </w:rPr>
      </w:pPr>
      <w:r w:rsidRPr="00771A16">
        <w:rPr>
          <w:sz w:val="22"/>
          <w:szCs w:val="22"/>
        </w:rPr>
        <w:t xml:space="preserve">A pesar </w:t>
      </w:r>
      <w:r w:rsidR="00DE1E75" w:rsidRPr="00771A16">
        <w:rPr>
          <w:sz w:val="22"/>
          <w:szCs w:val="22"/>
        </w:rPr>
        <w:t xml:space="preserve">de </w:t>
      </w:r>
      <w:r w:rsidRPr="00771A16">
        <w:rPr>
          <w:sz w:val="22"/>
          <w:szCs w:val="22"/>
        </w:rPr>
        <w:t xml:space="preserve">que los contratos de suministro C1 </w:t>
      </w:r>
      <w:r w:rsidR="004D7001" w:rsidRPr="00771A16">
        <w:rPr>
          <w:sz w:val="22"/>
          <w:szCs w:val="22"/>
        </w:rPr>
        <w:t xml:space="preserve">fueron establecidos </w:t>
      </w:r>
      <w:r w:rsidR="00BB775D" w:rsidRPr="00771A16">
        <w:rPr>
          <w:sz w:val="22"/>
          <w:szCs w:val="22"/>
        </w:rPr>
        <w:t xml:space="preserve">mediante la Resolución CREG  114 de 2017, </w:t>
      </w:r>
      <w:r w:rsidR="004D7001" w:rsidRPr="00771A16">
        <w:rPr>
          <w:sz w:val="22"/>
          <w:szCs w:val="22"/>
        </w:rPr>
        <w:t xml:space="preserve">como la modalidad de duración anual más adecuada para </w:t>
      </w:r>
      <w:r w:rsidR="00C83A19" w:rsidRPr="00771A16">
        <w:rPr>
          <w:sz w:val="22"/>
          <w:szCs w:val="22"/>
        </w:rPr>
        <w:t xml:space="preserve">ser utilizada por </w:t>
      </w:r>
      <w:r w:rsidR="00DD2A94" w:rsidRPr="00771A16">
        <w:rPr>
          <w:sz w:val="22"/>
          <w:szCs w:val="22"/>
        </w:rPr>
        <w:t>aquellos usuarios de alta variación en el consumo de gas natural, tales como los usuarios del sector termoeléctrico</w:t>
      </w:r>
      <w:r w:rsidR="00DE1E75" w:rsidRPr="00771A16">
        <w:rPr>
          <w:sz w:val="22"/>
          <w:szCs w:val="22"/>
        </w:rPr>
        <w:t xml:space="preserve">, la utilización de tal modalidad </w:t>
      </w:r>
      <w:r w:rsidR="001306CD" w:rsidRPr="00771A16">
        <w:rPr>
          <w:sz w:val="22"/>
          <w:szCs w:val="22"/>
        </w:rPr>
        <w:t xml:space="preserve">no se ha </w:t>
      </w:r>
      <w:r w:rsidR="00B34E4F" w:rsidRPr="00771A16">
        <w:rPr>
          <w:sz w:val="22"/>
          <w:szCs w:val="22"/>
        </w:rPr>
        <w:t>visto materializada</w:t>
      </w:r>
      <w:r w:rsidR="001306CD" w:rsidRPr="00771A16">
        <w:rPr>
          <w:sz w:val="22"/>
          <w:szCs w:val="22"/>
        </w:rPr>
        <w:t xml:space="preserve">, posiblemente por diversos factores </w:t>
      </w:r>
      <w:r w:rsidR="0004363E" w:rsidRPr="00771A16">
        <w:rPr>
          <w:sz w:val="22"/>
          <w:szCs w:val="22"/>
        </w:rPr>
        <w:t xml:space="preserve">de riesgo de no contratación </w:t>
      </w:r>
      <w:r w:rsidR="0015741A" w:rsidRPr="00771A16">
        <w:rPr>
          <w:sz w:val="22"/>
          <w:szCs w:val="22"/>
        </w:rPr>
        <w:t xml:space="preserve">de cantidades </w:t>
      </w:r>
      <w:r w:rsidR="0004363E" w:rsidRPr="00771A16">
        <w:rPr>
          <w:sz w:val="22"/>
          <w:szCs w:val="22"/>
        </w:rPr>
        <w:t xml:space="preserve">mediante el contrato C2, </w:t>
      </w:r>
      <w:r w:rsidR="0015741A" w:rsidRPr="00771A16">
        <w:rPr>
          <w:sz w:val="22"/>
          <w:szCs w:val="22"/>
        </w:rPr>
        <w:t xml:space="preserve">que es un contrato </w:t>
      </w:r>
      <w:r w:rsidR="0004363E" w:rsidRPr="00771A16">
        <w:rPr>
          <w:sz w:val="22"/>
          <w:szCs w:val="22"/>
        </w:rPr>
        <w:t xml:space="preserve">complementario para el vendedor en el </w:t>
      </w:r>
      <w:r w:rsidR="00AC32B5" w:rsidRPr="00771A16">
        <w:rPr>
          <w:sz w:val="22"/>
          <w:szCs w:val="22"/>
        </w:rPr>
        <w:t>Mercado Primario</w:t>
      </w:r>
      <w:r w:rsidR="0004363E" w:rsidRPr="00771A16">
        <w:rPr>
          <w:sz w:val="22"/>
          <w:szCs w:val="22"/>
        </w:rPr>
        <w:t>.</w:t>
      </w:r>
      <w:r w:rsidR="006D49A8" w:rsidRPr="00771A16">
        <w:rPr>
          <w:sz w:val="22"/>
          <w:szCs w:val="22"/>
        </w:rPr>
        <w:t xml:space="preserve">  </w:t>
      </w:r>
    </w:p>
    <w:p w14:paraId="64B0E0BF" w14:textId="77777777" w:rsidR="008E6C03" w:rsidRPr="00771A16" w:rsidRDefault="008E6C03" w:rsidP="00716D92">
      <w:pPr>
        <w:rPr>
          <w:sz w:val="22"/>
          <w:szCs w:val="22"/>
        </w:rPr>
      </w:pPr>
    </w:p>
    <w:p w14:paraId="71B30445" w14:textId="77F68A9E" w:rsidR="00716D92" w:rsidRPr="00771A16" w:rsidRDefault="00AC7E8A" w:rsidP="00716D92">
      <w:pPr>
        <w:rPr>
          <w:sz w:val="22"/>
          <w:szCs w:val="22"/>
        </w:rPr>
      </w:pPr>
      <w:r w:rsidRPr="00771A16">
        <w:rPr>
          <w:sz w:val="22"/>
          <w:szCs w:val="22"/>
        </w:rPr>
        <w:t xml:space="preserve">Ante los efectos en el mercado por el aislamiento obligatorio decretado por el Gobierno Nacional </w:t>
      </w:r>
      <w:r w:rsidR="002D7C21" w:rsidRPr="00771A16">
        <w:rPr>
          <w:sz w:val="22"/>
          <w:szCs w:val="22"/>
        </w:rPr>
        <w:t>ante la pandemia ocasionada por el covid-19</w:t>
      </w:r>
      <w:r w:rsidR="006D49A8" w:rsidRPr="00771A16">
        <w:rPr>
          <w:sz w:val="22"/>
          <w:szCs w:val="22"/>
        </w:rPr>
        <w:t>, durante los años 2020 y 2021 se dio una flexibilidad en la utilización de estas dos modalidades contractuales</w:t>
      </w:r>
      <w:r w:rsidR="00C33C70" w:rsidRPr="00771A16">
        <w:rPr>
          <w:sz w:val="22"/>
          <w:szCs w:val="22"/>
        </w:rPr>
        <w:t xml:space="preserve"> de modo que</w:t>
      </w:r>
      <w:r w:rsidR="0003325F" w:rsidRPr="00771A16">
        <w:rPr>
          <w:sz w:val="22"/>
          <w:szCs w:val="22"/>
        </w:rPr>
        <w:t>, no sol</w:t>
      </w:r>
      <w:r w:rsidR="00063471" w:rsidRPr="00771A16">
        <w:rPr>
          <w:sz w:val="22"/>
          <w:szCs w:val="22"/>
        </w:rPr>
        <w:t>amente</w:t>
      </w:r>
      <w:r w:rsidR="0003325F" w:rsidRPr="00771A16">
        <w:rPr>
          <w:sz w:val="22"/>
          <w:szCs w:val="22"/>
        </w:rPr>
        <w:t xml:space="preserve"> </w:t>
      </w:r>
      <w:r w:rsidR="00063471" w:rsidRPr="00771A16">
        <w:rPr>
          <w:sz w:val="22"/>
          <w:szCs w:val="22"/>
        </w:rPr>
        <w:t>se p</w:t>
      </w:r>
      <w:r w:rsidR="002D7C21" w:rsidRPr="00771A16">
        <w:rPr>
          <w:sz w:val="22"/>
          <w:szCs w:val="22"/>
        </w:rPr>
        <w:t>udiesen</w:t>
      </w:r>
      <w:r w:rsidR="00063471" w:rsidRPr="00771A16">
        <w:rPr>
          <w:sz w:val="22"/>
          <w:szCs w:val="22"/>
        </w:rPr>
        <w:t xml:space="preserve"> utilizar las subastas de los contratos C1 y C2, sino que </w:t>
      </w:r>
      <w:r w:rsidR="008E6C03" w:rsidRPr="00771A16">
        <w:rPr>
          <w:sz w:val="22"/>
          <w:szCs w:val="22"/>
        </w:rPr>
        <w:t xml:space="preserve">tales contratos </w:t>
      </w:r>
      <w:r w:rsidR="00C33C70" w:rsidRPr="00771A16">
        <w:rPr>
          <w:sz w:val="22"/>
          <w:szCs w:val="22"/>
        </w:rPr>
        <w:t xml:space="preserve">podían </w:t>
      </w:r>
      <w:r w:rsidR="008A6B76" w:rsidRPr="00771A16">
        <w:rPr>
          <w:sz w:val="22"/>
          <w:szCs w:val="22"/>
        </w:rPr>
        <w:t>pactar</w:t>
      </w:r>
      <w:r w:rsidR="00C33C70" w:rsidRPr="00771A16">
        <w:rPr>
          <w:sz w:val="22"/>
          <w:szCs w:val="22"/>
        </w:rPr>
        <w:t>se en la etapa de negociación directa</w:t>
      </w:r>
      <w:r w:rsidR="002D7C21" w:rsidRPr="00771A16">
        <w:rPr>
          <w:sz w:val="22"/>
          <w:szCs w:val="22"/>
        </w:rPr>
        <w:t xml:space="preserve">. Con lo anterior </w:t>
      </w:r>
      <w:r w:rsidR="008E6C03" w:rsidRPr="00771A16">
        <w:rPr>
          <w:sz w:val="22"/>
          <w:szCs w:val="22"/>
        </w:rPr>
        <w:t>se</w:t>
      </w:r>
      <w:r w:rsidR="00C33C70" w:rsidRPr="00771A16">
        <w:rPr>
          <w:sz w:val="22"/>
          <w:szCs w:val="22"/>
        </w:rPr>
        <w:t xml:space="preserve"> buscaba reducir</w:t>
      </w:r>
      <w:r w:rsidR="002D7C21" w:rsidRPr="00771A16">
        <w:rPr>
          <w:sz w:val="22"/>
          <w:szCs w:val="22"/>
        </w:rPr>
        <w:t xml:space="preserve"> al vendedor del </w:t>
      </w:r>
      <w:r w:rsidR="00AC32B5" w:rsidRPr="00771A16">
        <w:rPr>
          <w:sz w:val="22"/>
          <w:szCs w:val="22"/>
        </w:rPr>
        <w:t>Mercado Primario</w:t>
      </w:r>
      <w:r w:rsidR="00C33C70" w:rsidRPr="00771A16">
        <w:rPr>
          <w:sz w:val="22"/>
          <w:szCs w:val="22"/>
        </w:rPr>
        <w:t xml:space="preserve"> el riesgo de cantidades </w:t>
      </w:r>
      <w:r w:rsidR="002D7C21" w:rsidRPr="00771A16">
        <w:rPr>
          <w:sz w:val="22"/>
          <w:szCs w:val="22"/>
        </w:rPr>
        <w:t>que no se logra</w:t>
      </w:r>
      <w:r w:rsidR="002C4B1E">
        <w:rPr>
          <w:sz w:val="22"/>
          <w:szCs w:val="22"/>
        </w:rPr>
        <w:t xml:space="preserve">ran </w:t>
      </w:r>
      <w:r w:rsidR="002D7C21" w:rsidRPr="00771A16">
        <w:rPr>
          <w:sz w:val="22"/>
          <w:szCs w:val="22"/>
        </w:rPr>
        <w:t xml:space="preserve">contratar </w:t>
      </w:r>
      <w:r w:rsidR="00DA4244" w:rsidRPr="00771A16">
        <w:rPr>
          <w:sz w:val="22"/>
          <w:szCs w:val="22"/>
        </w:rPr>
        <w:t>mediante contratos C2</w:t>
      </w:r>
      <w:r w:rsidR="002D7C21" w:rsidRPr="00771A16">
        <w:rPr>
          <w:sz w:val="22"/>
          <w:szCs w:val="22"/>
        </w:rPr>
        <w:t>, pues en forma directa se podrían</w:t>
      </w:r>
      <w:r w:rsidR="0003325F" w:rsidRPr="00771A16">
        <w:rPr>
          <w:sz w:val="22"/>
          <w:szCs w:val="22"/>
        </w:rPr>
        <w:t xml:space="preserve"> negociar simultáneamente ambos contratos</w:t>
      </w:r>
      <w:r w:rsidR="00C33C70" w:rsidRPr="00771A16">
        <w:rPr>
          <w:sz w:val="22"/>
          <w:szCs w:val="22"/>
        </w:rPr>
        <w:t xml:space="preserve">. </w:t>
      </w:r>
      <w:r w:rsidR="008A6B76" w:rsidRPr="00771A16">
        <w:rPr>
          <w:sz w:val="22"/>
          <w:szCs w:val="22"/>
        </w:rPr>
        <w:t xml:space="preserve">A pesar de dicha flexibilidad, los resultados en la contratación </w:t>
      </w:r>
      <w:r w:rsidR="0037123C" w:rsidRPr="00771A16">
        <w:rPr>
          <w:sz w:val="22"/>
          <w:szCs w:val="22"/>
        </w:rPr>
        <w:t xml:space="preserve">directa </w:t>
      </w:r>
      <w:r w:rsidR="008A6B76" w:rsidRPr="00771A16">
        <w:rPr>
          <w:sz w:val="22"/>
          <w:szCs w:val="22"/>
        </w:rPr>
        <w:t>fueron nulos</w:t>
      </w:r>
      <w:r w:rsidR="002D7C21" w:rsidRPr="00771A16">
        <w:rPr>
          <w:sz w:val="22"/>
          <w:szCs w:val="22"/>
        </w:rPr>
        <w:t xml:space="preserve"> en esos años de gas</w:t>
      </w:r>
      <w:r w:rsidR="008A6B76" w:rsidRPr="00771A16">
        <w:rPr>
          <w:sz w:val="22"/>
          <w:szCs w:val="22"/>
        </w:rPr>
        <w:t>.</w:t>
      </w:r>
    </w:p>
    <w:p w14:paraId="6137EA1E" w14:textId="77777777" w:rsidR="008A6B76" w:rsidRPr="00771A16" w:rsidRDefault="008A6B76" w:rsidP="00716D92">
      <w:pPr>
        <w:rPr>
          <w:sz w:val="22"/>
          <w:szCs w:val="22"/>
        </w:rPr>
      </w:pPr>
    </w:p>
    <w:p w14:paraId="187B27C5" w14:textId="60A7D68F" w:rsidR="00B41A50" w:rsidRDefault="003F4AB4" w:rsidP="00716D92">
      <w:pPr>
        <w:rPr>
          <w:sz w:val="22"/>
          <w:szCs w:val="22"/>
        </w:rPr>
      </w:pPr>
      <w:r w:rsidRPr="00771A16">
        <w:rPr>
          <w:sz w:val="22"/>
          <w:szCs w:val="22"/>
        </w:rPr>
        <w:t>En este sentido la</w:t>
      </w:r>
      <w:r w:rsidR="008E6C03" w:rsidRPr="00771A16">
        <w:rPr>
          <w:sz w:val="22"/>
          <w:szCs w:val="22"/>
        </w:rPr>
        <w:t xml:space="preserve">s subastas </w:t>
      </w:r>
      <w:r w:rsidR="00CB6F10" w:rsidRPr="00771A16">
        <w:rPr>
          <w:sz w:val="22"/>
          <w:szCs w:val="22"/>
        </w:rPr>
        <w:t>anuales de los contratos C1 y C2</w:t>
      </w:r>
      <w:r w:rsidR="002B40DD" w:rsidRPr="00771A16">
        <w:rPr>
          <w:sz w:val="22"/>
          <w:szCs w:val="22"/>
        </w:rPr>
        <w:t xml:space="preserve"> </w:t>
      </w:r>
      <w:r w:rsidR="00C61447" w:rsidRPr="00771A16">
        <w:rPr>
          <w:sz w:val="22"/>
          <w:szCs w:val="22"/>
        </w:rPr>
        <w:t xml:space="preserve">que son del tipo “reloj ascendente” </w:t>
      </w:r>
      <w:r w:rsidR="002B40DD" w:rsidRPr="00771A16">
        <w:rPr>
          <w:sz w:val="22"/>
          <w:szCs w:val="22"/>
        </w:rPr>
        <w:t xml:space="preserve">establecidas </w:t>
      </w:r>
      <w:r w:rsidR="00CB6F10" w:rsidRPr="00771A16">
        <w:rPr>
          <w:sz w:val="22"/>
          <w:szCs w:val="22"/>
        </w:rPr>
        <w:t>en secuencia</w:t>
      </w:r>
      <w:r w:rsidR="00C61447" w:rsidRPr="00771A16">
        <w:rPr>
          <w:sz w:val="22"/>
          <w:szCs w:val="22"/>
        </w:rPr>
        <w:t xml:space="preserve">, con la de la modalidad C1 primero y posteriormente la modalidad C2, </w:t>
      </w:r>
      <w:r w:rsidR="005B0760" w:rsidRPr="00771A16">
        <w:rPr>
          <w:sz w:val="22"/>
          <w:szCs w:val="22"/>
        </w:rPr>
        <w:t xml:space="preserve">no han </w:t>
      </w:r>
      <w:r w:rsidR="009C74BC">
        <w:rPr>
          <w:sz w:val="22"/>
          <w:szCs w:val="22"/>
        </w:rPr>
        <w:t>sido eficaces</w:t>
      </w:r>
      <w:r w:rsidR="005B0760" w:rsidRPr="00771A16">
        <w:rPr>
          <w:sz w:val="22"/>
          <w:szCs w:val="22"/>
        </w:rPr>
        <w:t xml:space="preserve">, </w:t>
      </w:r>
      <w:r w:rsidR="00CB6F10" w:rsidRPr="00771A16">
        <w:rPr>
          <w:sz w:val="22"/>
          <w:szCs w:val="22"/>
        </w:rPr>
        <w:t xml:space="preserve">lo cual </w:t>
      </w:r>
      <w:r w:rsidR="0037123C" w:rsidRPr="00771A16">
        <w:rPr>
          <w:sz w:val="22"/>
          <w:szCs w:val="22"/>
        </w:rPr>
        <w:t xml:space="preserve">se considera que </w:t>
      </w:r>
      <w:r w:rsidR="00CB6F10" w:rsidRPr="00771A16">
        <w:rPr>
          <w:sz w:val="22"/>
          <w:szCs w:val="22"/>
        </w:rPr>
        <w:t xml:space="preserve">no es debido a las reglas en sí </w:t>
      </w:r>
      <w:r w:rsidR="0016045F" w:rsidRPr="00771A16">
        <w:rPr>
          <w:sz w:val="22"/>
          <w:szCs w:val="22"/>
        </w:rPr>
        <w:t xml:space="preserve">utilizadas para el desarrollo </w:t>
      </w:r>
      <w:r w:rsidR="00CB6F10" w:rsidRPr="00771A16">
        <w:rPr>
          <w:sz w:val="22"/>
          <w:szCs w:val="22"/>
        </w:rPr>
        <w:t xml:space="preserve">de las subastas, sino a </w:t>
      </w:r>
      <w:r w:rsidR="0037123C" w:rsidRPr="00771A16">
        <w:rPr>
          <w:sz w:val="22"/>
          <w:szCs w:val="22"/>
        </w:rPr>
        <w:t xml:space="preserve">otros factores como </w:t>
      </w:r>
      <w:r w:rsidR="00CB6F10" w:rsidRPr="00771A16">
        <w:rPr>
          <w:sz w:val="22"/>
          <w:szCs w:val="22"/>
        </w:rPr>
        <w:t xml:space="preserve">la no participación de los agentes </w:t>
      </w:r>
      <w:r w:rsidR="00AC32B5" w:rsidRPr="00771A16">
        <w:rPr>
          <w:sz w:val="22"/>
          <w:szCs w:val="22"/>
        </w:rPr>
        <w:t>Compradores</w:t>
      </w:r>
      <w:r w:rsidR="00B53D48" w:rsidRPr="00771A16">
        <w:rPr>
          <w:sz w:val="22"/>
          <w:szCs w:val="22"/>
        </w:rPr>
        <w:t xml:space="preserve"> o </w:t>
      </w:r>
      <w:r w:rsidR="0037123C" w:rsidRPr="00771A16">
        <w:rPr>
          <w:sz w:val="22"/>
          <w:szCs w:val="22"/>
        </w:rPr>
        <w:t xml:space="preserve">altos </w:t>
      </w:r>
      <w:r w:rsidR="00B53D48" w:rsidRPr="00771A16">
        <w:rPr>
          <w:sz w:val="22"/>
          <w:szCs w:val="22"/>
        </w:rPr>
        <w:t xml:space="preserve">precios de reserva de los </w:t>
      </w:r>
      <w:r w:rsidR="00AC32B5" w:rsidRPr="00771A16">
        <w:rPr>
          <w:sz w:val="22"/>
          <w:szCs w:val="22"/>
        </w:rPr>
        <w:t>Vendedores</w:t>
      </w:r>
      <w:r w:rsidR="00477F3B" w:rsidRPr="00771A16">
        <w:rPr>
          <w:sz w:val="22"/>
          <w:szCs w:val="22"/>
        </w:rPr>
        <w:t xml:space="preserve">. En </w:t>
      </w:r>
      <w:r w:rsidR="00FA2F0A" w:rsidRPr="00771A16">
        <w:rPr>
          <w:sz w:val="22"/>
          <w:szCs w:val="22"/>
        </w:rPr>
        <w:t>l</w:t>
      </w:r>
      <w:r w:rsidR="00514A94">
        <w:rPr>
          <w:sz w:val="22"/>
          <w:szCs w:val="22"/>
        </w:rPr>
        <w:t>a</w:t>
      </w:r>
      <w:r w:rsidR="00FA2F0A" w:rsidRPr="00771A16">
        <w:rPr>
          <w:sz w:val="22"/>
          <w:szCs w:val="22"/>
        </w:rPr>
        <w:t>s</w:t>
      </w:r>
      <w:r w:rsidR="00477F3B" w:rsidRPr="00771A16">
        <w:rPr>
          <w:sz w:val="22"/>
          <w:szCs w:val="22"/>
        </w:rPr>
        <w:t xml:space="preserve"> siguiente</w:t>
      </w:r>
      <w:r w:rsidR="00FA2F0A" w:rsidRPr="00771A16">
        <w:rPr>
          <w:sz w:val="22"/>
          <w:szCs w:val="22"/>
        </w:rPr>
        <w:t>s</w:t>
      </w:r>
      <w:r w:rsidR="00477F3B" w:rsidRPr="00771A16">
        <w:rPr>
          <w:sz w:val="22"/>
          <w:szCs w:val="22"/>
        </w:rPr>
        <w:t xml:space="preserve"> </w:t>
      </w:r>
      <w:r w:rsidR="000031CC">
        <w:rPr>
          <w:sz w:val="22"/>
          <w:szCs w:val="22"/>
        </w:rPr>
        <w:fldChar w:fldCharType="begin"/>
      </w:r>
      <w:r w:rsidR="000031CC">
        <w:rPr>
          <w:sz w:val="22"/>
          <w:szCs w:val="22"/>
        </w:rPr>
        <w:instrText xml:space="preserve"> REF _Ref129697618 \h </w:instrText>
      </w:r>
      <w:r w:rsidR="000031CC">
        <w:rPr>
          <w:sz w:val="22"/>
          <w:szCs w:val="22"/>
        </w:rPr>
      </w:r>
      <w:r w:rsidR="000031CC">
        <w:rPr>
          <w:sz w:val="22"/>
          <w:szCs w:val="22"/>
        </w:rPr>
        <w:fldChar w:fldCharType="separate"/>
      </w:r>
      <w:r w:rsidR="006B7344" w:rsidRPr="000031CC">
        <w:rPr>
          <w:sz w:val="22"/>
          <w:szCs w:val="22"/>
        </w:rPr>
        <w:t xml:space="preserve">Figura </w:t>
      </w:r>
      <w:r w:rsidR="006B7344">
        <w:rPr>
          <w:i/>
          <w:iCs/>
          <w:noProof/>
          <w:sz w:val="22"/>
          <w:szCs w:val="22"/>
        </w:rPr>
        <w:t>12</w:t>
      </w:r>
      <w:r w:rsidR="000031CC">
        <w:rPr>
          <w:sz w:val="22"/>
          <w:szCs w:val="22"/>
        </w:rPr>
        <w:fldChar w:fldCharType="end"/>
      </w:r>
      <w:r w:rsidR="000031CC">
        <w:rPr>
          <w:sz w:val="22"/>
          <w:szCs w:val="22"/>
        </w:rPr>
        <w:t xml:space="preserve"> y </w:t>
      </w:r>
      <w:r w:rsidR="000031CC">
        <w:rPr>
          <w:sz w:val="22"/>
          <w:szCs w:val="22"/>
        </w:rPr>
        <w:fldChar w:fldCharType="begin"/>
      </w:r>
      <w:r w:rsidR="000031CC">
        <w:rPr>
          <w:sz w:val="22"/>
          <w:szCs w:val="22"/>
        </w:rPr>
        <w:instrText xml:space="preserve"> REF _Ref129697625 \h </w:instrText>
      </w:r>
      <w:r w:rsidR="000031CC">
        <w:rPr>
          <w:sz w:val="22"/>
          <w:szCs w:val="22"/>
        </w:rPr>
      </w:r>
      <w:r w:rsidR="000031CC">
        <w:rPr>
          <w:sz w:val="22"/>
          <w:szCs w:val="22"/>
        </w:rPr>
        <w:fldChar w:fldCharType="separate"/>
      </w:r>
      <w:r w:rsidR="006B7344" w:rsidRPr="000031CC">
        <w:rPr>
          <w:sz w:val="22"/>
          <w:szCs w:val="22"/>
        </w:rPr>
        <w:t xml:space="preserve">Figura </w:t>
      </w:r>
      <w:r w:rsidR="006B7344">
        <w:rPr>
          <w:i/>
          <w:iCs/>
          <w:noProof/>
          <w:sz w:val="22"/>
          <w:szCs w:val="22"/>
        </w:rPr>
        <w:t>13</w:t>
      </w:r>
      <w:r w:rsidR="000031CC">
        <w:rPr>
          <w:sz w:val="22"/>
          <w:szCs w:val="22"/>
        </w:rPr>
        <w:fldChar w:fldCharType="end"/>
      </w:r>
      <w:r w:rsidR="00477F3B" w:rsidRPr="00771A16">
        <w:rPr>
          <w:sz w:val="22"/>
          <w:szCs w:val="22"/>
        </w:rPr>
        <w:t xml:space="preserve"> se muestran los resultados obtenidos desde su implementación en la Resolución CREG 114 de 2017</w:t>
      </w:r>
      <w:r w:rsidR="00B41A50">
        <w:rPr>
          <w:sz w:val="22"/>
          <w:szCs w:val="22"/>
        </w:rPr>
        <w:t>.</w:t>
      </w:r>
    </w:p>
    <w:p w14:paraId="0E1612DE" w14:textId="77777777" w:rsidR="00B53D48" w:rsidRPr="00771A16" w:rsidRDefault="00B53D48" w:rsidP="00716D92">
      <w:pPr>
        <w:rPr>
          <w:sz w:val="22"/>
          <w:szCs w:val="22"/>
        </w:rPr>
      </w:pPr>
    </w:p>
    <w:p w14:paraId="4BC8A7A4" w14:textId="0310707B" w:rsidR="000031CC" w:rsidRPr="000031CC" w:rsidRDefault="000031CC" w:rsidP="000031CC">
      <w:pPr>
        <w:pStyle w:val="Descripcin"/>
        <w:keepNext/>
        <w:jc w:val="center"/>
        <w:rPr>
          <w:i w:val="0"/>
          <w:iCs w:val="0"/>
          <w:sz w:val="22"/>
          <w:szCs w:val="22"/>
        </w:rPr>
      </w:pPr>
      <w:bookmarkStart w:id="395" w:name="_Ref129697618"/>
      <w:bookmarkStart w:id="396" w:name="_Toc140506605"/>
      <w:r w:rsidRPr="000031CC">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12</w:t>
      </w:r>
      <w:r w:rsidR="006B6B6C">
        <w:rPr>
          <w:i w:val="0"/>
          <w:iCs w:val="0"/>
          <w:sz w:val="22"/>
          <w:szCs w:val="22"/>
        </w:rPr>
        <w:fldChar w:fldCharType="end"/>
      </w:r>
      <w:bookmarkEnd w:id="395"/>
      <w:r w:rsidRPr="000031CC">
        <w:rPr>
          <w:i w:val="0"/>
          <w:iCs w:val="0"/>
          <w:sz w:val="22"/>
          <w:szCs w:val="22"/>
        </w:rPr>
        <w:t xml:space="preserve"> Resumen de resultados de las subastas C1 a 2021</w:t>
      </w:r>
      <w:bookmarkEnd w:id="396"/>
    </w:p>
    <w:p w14:paraId="14332E52" w14:textId="45335D3D" w:rsidR="00B53D48" w:rsidRPr="00771A16" w:rsidRDefault="00F47499" w:rsidP="00716D92">
      <w:pPr>
        <w:rPr>
          <w:sz w:val="22"/>
          <w:szCs w:val="22"/>
        </w:rPr>
      </w:pPr>
      <w:r w:rsidRPr="00771A16">
        <w:rPr>
          <w:noProof/>
          <w:sz w:val="22"/>
          <w:szCs w:val="22"/>
        </w:rPr>
        <w:drawing>
          <wp:inline distT="0" distB="0" distL="0" distR="0" wp14:anchorId="5E8CC8A5" wp14:editId="1C9AAE4C">
            <wp:extent cx="5940425" cy="1442085"/>
            <wp:effectExtent l="0" t="0" r="317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442085"/>
                    </a:xfrm>
                    <a:prstGeom prst="rect">
                      <a:avLst/>
                    </a:prstGeom>
                  </pic:spPr>
                </pic:pic>
              </a:graphicData>
            </a:graphic>
          </wp:inline>
        </w:drawing>
      </w:r>
    </w:p>
    <w:p w14:paraId="5FDF7167" w14:textId="662EEB11" w:rsidR="00514A94" w:rsidRPr="00514A94" w:rsidRDefault="00514A94" w:rsidP="00716D92">
      <w:pPr>
        <w:rPr>
          <w:sz w:val="18"/>
          <w:szCs w:val="18"/>
        </w:rPr>
      </w:pPr>
      <w:r w:rsidRPr="00514A94">
        <w:rPr>
          <w:sz w:val="18"/>
          <w:szCs w:val="18"/>
        </w:rPr>
        <w:t xml:space="preserve">Datos aportados por el </w:t>
      </w:r>
      <w:r w:rsidR="005114C6">
        <w:rPr>
          <w:sz w:val="18"/>
          <w:szCs w:val="18"/>
        </w:rPr>
        <w:t>Gestor del Mercado</w:t>
      </w:r>
    </w:p>
    <w:p w14:paraId="2ACA3F31" w14:textId="2BE6FAF1" w:rsidR="00B41A50" w:rsidRDefault="00B41A50" w:rsidP="00716D92">
      <w:pPr>
        <w:rPr>
          <w:sz w:val="22"/>
          <w:szCs w:val="22"/>
        </w:rPr>
      </w:pPr>
    </w:p>
    <w:p w14:paraId="5735B59C" w14:textId="40905513" w:rsidR="00B41A50" w:rsidRDefault="00B41A50" w:rsidP="00716D92">
      <w:pPr>
        <w:rPr>
          <w:sz w:val="22"/>
          <w:szCs w:val="22"/>
        </w:rPr>
      </w:pPr>
    </w:p>
    <w:p w14:paraId="1134B296" w14:textId="30D42A67" w:rsidR="000031CC" w:rsidRPr="000031CC" w:rsidRDefault="000031CC" w:rsidP="000031CC">
      <w:pPr>
        <w:pStyle w:val="Descripcin"/>
        <w:keepNext/>
        <w:jc w:val="center"/>
        <w:rPr>
          <w:i w:val="0"/>
          <w:iCs w:val="0"/>
          <w:sz w:val="22"/>
          <w:szCs w:val="22"/>
        </w:rPr>
      </w:pPr>
      <w:bookmarkStart w:id="397" w:name="_Ref129697625"/>
      <w:bookmarkStart w:id="398" w:name="_Toc140506606"/>
      <w:r w:rsidRPr="000031CC">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13</w:t>
      </w:r>
      <w:r w:rsidR="006B6B6C">
        <w:rPr>
          <w:i w:val="0"/>
          <w:iCs w:val="0"/>
          <w:sz w:val="22"/>
          <w:szCs w:val="22"/>
        </w:rPr>
        <w:fldChar w:fldCharType="end"/>
      </w:r>
      <w:bookmarkEnd w:id="397"/>
      <w:r w:rsidRPr="000031CC">
        <w:rPr>
          <w:i w:val="0"/>
          <w:iCs w:val="0"/>
          <w:sz w:val="22"/>
          <w:szCs w:val="22"/>
        </w:rPr>
        <w:t xml:space="preserve"> Resumen de resultados de las subastas C2 a 2021</w:t>
      </w:r>
      <w:bookmarkEnd w:id="398"/>
    </w:p>
    <w:p w14:paraId="2342E801" w14:textId="5983E7D4" w:rsidR="00F47499" w:rsidRPr="00771A16" w:rsidRDefault="001D66B4" w:rsidP="00716D92">
      <w:pPr>
        <w:rPr>
          <w:sz w:val="22"/>
          <w:szCs w:val="22"/>
        </w:rPr>
      </w:pPr>
      <w:r w:rsidRPr="00771A16">
        <w:rPr>
          <w:noProof/>
          <w:sz w:val="22"/>
          <w:szCs w:val="22"/>
        </w:rPr>
        <w:drawing>
          <wp:inline distT="0" distB="0" distL="0" distR="0" wp14:anchorId="346197CB" wp14:editId="19360B5D">
            <wp:extent cx="5940425" cy="1442085"/>
            <wp:effectExtent l="0" t="0" r="3175" b="5715"/>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28"/>
                    <a:stretch>
                      <a:fillRect/>
                    </a:stretch>
                  </pic:blipFill>
                  <pic:spPr>
                    <a:xfrm>
                      <a:off x="0" y="0"/>
                      <a:ext cx="5940425" cy="1442085"/>
                    </a:xfrm>
                    <a:prstGeom prst="rect">
                      <a:avLst/>
                    </a:prstGeom>
                  </pic:spPr>
                </pic:pic>
              </a:graphicData>
            </a:graphic>
          </wp:inline>
        </w:drawing>
      </w:r>
    </w:p>
    <w:p w14:paraId="2B1B6191" w14:textId="700A2EFD" w:rsidR="00514A94" w:rsidRPr="00514A94" w:rsidRDefault="00514A94" w:rsidP="00716D92">
      <w:pPr>
        <w:rPr>
          <w:sz w:val="18"/>
          <w:szCs w:val="18"/>
        </w:rPr>
      </w:pPr>
      <w:r w:rsidRPr="00514A94">
        <w:rPr>
          <w:sz w:val="18"/>
          <w:szCs w:val="18"/>
        </w:rPr>
        <w:t xml:space="preserve">Datos aportados por el </w:t>
      </w:r>
      <w:r w:rsidR="005114C6">
        <w:rPr>
          <w:sz w:val="18"/>
          <w:szCs w:val="18"/>
        </w:rPr>
        <w:t>Gestor del Mercado</w:t>
      </w:r>
    </w:p>
    <w:p w14:paraId="1896BDA6" w14:textId="77777777" w:rsidR="00514A94" w:rsidRPr="00771A16" w:rsidRDefault="00514A94" w:rsidP="00716D92">
      <w:pPr>
        <w:rPr>
          <w:sz w:val="22"/>
          <w:szCs w:val="22"/>
        </w:rPr>
      </w:pPr>
    </w:p>
    <w:p w14:paraId="5DAE1383" w14:textId="76F405F4" w:rsidR="00477F3B" w:rsidRPr="00771A16" w:rsidRDefault="005C2E9F" w:rsidP="00716D92">
      <w:pPr>
        <w:rPr>
          <w:sz w:val="22"/>
          <w:szCs w:val="22"/>
        </w:rPr>
      </w:pPr>
      <w:r w:rsidRPr="00771A16">
        <w:rPr>
          <w:sz w:val="22"/>
          <w:szCs w:val="22"/>
        </w:rPr>
        <w:t>Con base en lo anterior, se propone la eliminación de los contratos de suministro C1 y C2 y de las subastas anuales de dichos contratos</w:t>
      </w:r>
      <w:r w:rsidR="00F0232F" w:rsidRPr="00771A16">
        <w:rPr>
          <w:sz w:val="22"/>
          <w:szCs w:val="22"/>
        </w:rPr>
        <w:t xml:space="preserve">, lo cual no </w:t>
      </w:r>
      <w:r w:rsidRPr="00771A16">
        <w:rPr>
          <w:sz w:val="22"/>
          <w:szCs w:val="22"/>
        </w:rPr>
        <w:t>implica que se pierda una herramienta del mercado que eventualmente podría ser útil</w:t>
      </w:r>
      <w:r w:rsidR="00C10A15" w:rsidRPr="00771A16">
        <w:rPr>
          <w:sz w:val="22"/>
          <w:szCs w:val="22"/>
        </w:rPr>
        <w:t xml:space="preserve"> sin ser </w:t>
      </w:r>
      <w:r w:rsidR="00D17433" w:rsidRPr="00771A16">
        <w:rPr>
          <w:sz w:val="22"/>
          <w:szCs w:val="22"/>
        </w:rPr>
        <w:t>propuesta otra que busque lograr el mismo objetivo</w:t>
      </w:r>
      <w:r w:rsidR="00AF58E5" w:rsidRPr="00771A16">
        <w:rPr>
          <w:sz w:val="22"/>
          <w:szCs w:val="22"/>
        </w:rPr>
        <w:t xml:space="preserve">, sino que por el contrario y como más adelante se </w:t>
      </w:r>
      <w:r w:rsidR="001707EC" w:rsidRPr="00771A16">
        <w:rPr>
          <w:sz w:val="22"/>
          <w:szCs w:val="22"/>
        </w:rPr>
        <w:t xml:space="preserve">explica, </w:t>
      </w:r>
      <w:r w:rsidR="00477F3B" w:rsidRPr="00771A16">
        <w:rPr>
          <w:sz w:val="22"/>
          <w:szCs w:val="22"/>
        </w:rPr>
        <w:t>se incluy</w:t>
      </w:r>
      <w:r w:rsidR="00C421F1" w:rsidRPr="00771A16">
        <w:rPr>
          <w:sz w:val="22"/>
          <w:szCs w:val="22"/>
        </w:rPr>
        <w:t xml:space="preserve">en nuevos productos (contratos con duración </w:t>
      </w:r>
      <w:r w:rsidR="001D66B4" w:rsidRPr="00771A16">
        <w:rPr>
          <w:sz w:val="22"/>
          <w:szCs w:val="22"/>
        </w:rPr>
        <w:t xml:space="preserve">mínima </w:t>
      </w:r>
      <w:r w:rsidR="00C421F1" w:rsidRPr="00771A16">
        <w:rPr>
          <w:sz w:val="22"/>
          <w:szCs w:val="22"/>
        </w:rPr>
        <w:t>trimestral, contratos con duración mensual</w:t>
      </w:r>
      <w:r w:rsidR="000D19F1" w:rsidRPr="00771A16">
        <w:rPr>
          <w:sz w:val="22"/>
          <w:szCs w:val="22"/>
        </w:rPr>
        <w:t>, modalidad de contrato CF80</w:t>
      </w:r>
      <w:r w:rsidR="00C421F1" w:rsidRPr="00771A16">
        <w:rPr>
          <w:sz w:val="22"/>
          <w:szCs w:val="22"/>
        </w:rPr>
        <w:t xml:space="preserve">) </w:t>
      </w:r>
      <w:r w:rsidR="00B53D48" w:rsidRPr="00771A16">
        <w:rPr>
          <w:sz w:val="22"/>
          <w:szCs w:val="22"/>
        </w:rPr>
        <w:t xml:space="preserve">a negociarse </w:t>
      </w:r>
      <w:r w:rsidR="00F50438" w:rsidRPr="00771A16">
        <w:rPr>
          <w:sz w:val="22"/>
          <w:szCs w:val="22"/>
        </w:rPr>
        <w:t>mediante mecanismos de comercialización más flexibles</w:t>
      </w:r>
      <w:r w:rsidR="002825A3" w:rsidRPr="00771A16">
        <w:rPr>
          <w:sz w:val="22"/>
          <w:szCs w:val="22"/>
        </w:rPr>
        <w:t>,</w:t>
      </w:r>
      <w:r w:rsidR="00F50438" w:rsidRPr="00771A16">
        <w:rPr>
          <w:sz w:val="22"/>
          <w:szCs w:val="22"/>
        </w:rPr>
        <w:t xml:space="preserve"> que buscan atender a la demanda con consumo de alta variabilidad estacional</w:t>
      </w:r>
      <w:r w:rsidR="00B53D48" w:rsidRPr="00771A16">
        <w:rPr>
          <w:sz w:val="22"/>
          <w:szCs w:val="22"/>
        </w:rPr>
        <w:t>.</w:t>
      </w:r>
    </w:p>
    <w:p w14:paraId="7D2FD8A7" w14:textId="77777777" w:rsidR="00477F3B" w:rsidRPr="00771A16" w:rsidRDefault="00477F3B" w:rsidP="00716D92">
      <w:pPr>
        <w:rPr>
          <w:sz w:val="22"/>
          <w:szCs w:val="22"/>
        </w:rPr>
      </w:pPr>
    </w:p>
    <w:p w14:paraId="6E59B202" w14:textId="6888E6FD" w:rsidR="00A0541C" w:rsidRPr="00771A16" w:rsidRDefault="003F4568" w:rsidP="00A0541C">
      <w:pPr>
        <w:pStyle w:val="Ttulo2"/>
        <w:rPr>
          <w:sz w:val="22"/>
          <w:szCs w:val="22"/>
        </w:rPr>
      </w:pPr>
      <w:bookmarkStart w:id="399" w:name="_Ref133315366"/>
      <w:bookmarkStart w:id="400" w:name="_Toc140506214"/>
      <w:r w:rsidRPr="00771A16">
        <w:rPr>
          <w:sz w:val="22"/>
          <w:szCs w:val="22"/>
        </w:rPr>
        <w:t xml:space="preserve">Eliminación </w:t>
      </w:r>
      <w:r w:rsidR="00A0541C" w:rsidRPr="00771A16">
        <w:rPr>
          <w:sz w:val="22"/>
          <w:szCs w:val="22"/>
        </w:rPr>
        <w:t xml:space="preserve">de los contratos </w:t>
      </w:r>
      <w:r w:rsidR="00477D1F" w:rsidRPr="00771A16">
        <w:rPr>
          <w:sz w:val="22"/>
          <w:szCs w:val="22"/>
        </w:rPr>
        <w:t xml:space="preserve">firmes </w:t>
      </w:r>
      <w:r w:rsidR="00A0541C" w:rsidRPr="00771A16">
        <w:rPr>
          <w:sz w:val="22"/>
          <w:szCs w:val="22"/>
        </w:rPr>
        <w:t xml:space="preserve">bimestrales y de las subastas </w:t>
      </w:r>
      <w:r w:rsidR="00477D1F" w:rsidRPr="00771A16">
        <w:rPr>
          <w:sz w:val="22"/>
          <w:szCs w:val="22"/>
        </w:rPr>
        <w:t xml:space="preserve">bimestrales </w:t>
      </w:r>
      <w:r w:rsidR="00A0541C" w:rsidRPr="00771A16">
        <w:rPr>
          <w:sz w:val="22"/>
          <w:szCs w:val="22"/>
        </w:rPr>
        <w:t>de dichos contratos</w:t>
      </w:r>
      <w:bookmarkEnd w:id="399"/>
      <w:bookmarkEnd w:id="400"/>
    </w:p>
    <w:p w14:paraId="36629401" w14:textId="508CDB3B" w:rsidR="008A6B76" w:rsidRPr="000E63CD" w:rsidRDefault="00BB775D" w:rsidP="00716D92">
      <w:pPr>
        <w:rPr>
          <w:sz w:val="22"/>
          <w:szCs w:val="22"/>
        </w:rPr>
      </w:pPr>
      <w:r w:rsidRPr="00771A16">
        <w:rPr>
          <w:sz w:val="22"/>
          <w:szCs w:val="22"/>
        </w:rPr>
        <w:t>L</w:t>
      </w:r>
      <w:r w:rsidR="00655676" w:rsidRPr="00771A16">
        <w:rPr>
          <w:sz w:val="22"/>
          <w:szCs w:val="22"/>
        </w:rPr>
        <w:t xml:space="preserve">as subastas </w:t>
      </w:r>
      <w:r w:rsidR="004324E9" w:rsidRPr="00771A16">
        <w:rPr>
          <w:sz w:val="22"/>
          <w:szCs w:val="22"/>
        </w:rPr>
        <w:t>bimestrales</w:t>
      </w:r>
      <w:r w:rsidR="00655676">
        <w:rPr>
          <w:sz w:val="22"/>
          <w:szCs w:val="22"/>
        </w:rPr>
        <w:t xml:space="preserve"> de l</w:t>
      </w:r>
      <w:r w:rsidRPr="000E63CD">
        <w:rPr>
          <w:sz w:val="22"/>
          <w:szCs w:val="22"/>
        </w:rPr>
        <w:t xml:space="preserve">os contratos firmes bimestrales no son parte de los mecanismos </w:t>
      </w:r>
      <w:r w:rsidR="005C6FC8" w:rsidRPr="000E63CD">
        <w:rPr>
          <w:sz w:val="22"/>
          <w:szCs w:val="22"/>
        </w:rPr>
        <w:t xml:space="preserve">y procedimientos de comercialización </w:t>
      </w:r>
      <w:r w:rsidRPr="000E63CD">
        <w:rPr>
          <w:sz w:val="22"/>
          <w:szCs w:val="22"/>
        </w:rPr>
        <w:t xml:space="preserve">establecidos </w:t>
      </w:r>
      <w:r w:rsidR="005C6FC8" w:rsidRPr="000E63CD">
        <w:rPr>
          <w:sz w:val="22"/>
          <w:szCs w:val="22"/>
        </w:rPr>
        <w:t xml:space="preserve">directamente </w:t>
      </w:r>
      <w:r w:rsidRPr="000E63CD">
        <w:rPr>
          <w:sz w:val="22"/>
          <w:szCs w:val="22"/>
        </w:rPr>
        <w:t xml:space="preserve">en la Resolución CREG 186 de 2020, sino que fueron establecidos mediante la Resolución CREG </w:t>
      </w:r>
      <w:r w:rsidR="00B07F19" w:rsidRPr="000E63CD">
        <w:rPr>
          <w:sz w:val="22"/>
          <w:szCs w:val="22"/>
        </w:rPr>
        <w:t>136 de 2014</w:t>
      </w:r>
      <w:r w:rsidR="00A830DC" w:rsidRPr="000E63CD">
        <w:rPr>
          <w:sz w:val="22"/>
          <w:szCs w:val="22"/>
        </w:rPr>
        <w:t>,</w:t>
      </w:r>
      <w:r w:rsidR="00B07F19" w:rsidRPr="000E63CD">
        <w:rPr>
          <w:sz w:val="22"/>
          <w:szCs w:val="22"/>
        </w:rPr>
        <w:t xml:space="preserve"> </w:t>
      </w:r>
      <w:r w:rsidRPr="000E63CD">
        <w:rPr>
          <w:sz w:val="22"/>
          <w:szCs w:val="22"/>
        </w:rPr>
        <w:t>posteriormente modificada por la Resolución CREG 005 de 2017</w:t>
      </w:r>
      <w:r w:rsidR="00B07F19" w:rsidRPr="000E63CD">
        <w:rPr>
          <w:sz w:val="22"/>
          <w:szCs w:val="22"/>
        </w:rPr>
        <w:t xml:space="preserve">. </w:t>
      </w:r>
    </w:p>
    <w:p w14:paraId="65E0B621" w14:textId="743D60AF" w:rsidR="00AC4343" w:rsidRPr="000E63CD" w:rsidRDefault="008742FA" w:rsidP="00716D92">
      <w:pPr>
        <w:rPr>
          <w:sz w:val="22"/>
          <w:szCs w:val="22"/>
        </w:rPr>
      </w:pPr>
      <w:r w:rsidRPr="000E63CD">
        <w:rPr>
          <w:sz w:val="22"/>
          <w:szCs w:val="22"/>
        </w:rPr>
        <w:t xml:space="preserve"> </w:t>
      </w:r>
    </w:p>
    <w:p w14:paraId="6ED67EFD" w14:textId="2C7D3556" w:rsidR="009848F1" w:rsidRPr="000E63CD" w:rsidRDefault="00815B92" w:rsidP="00716D92">
      <w:pPr>
        <w:rPr>
          <w:sz w:val="22"/>
          <w:szCs w:val="22"/>
        </w:rPr>
      </w:pPr>
      <w:r w:rsidRPr="000E63CD">
        <w:rPr>
          <w:sz w:val="22"/>
          <w:szCs w:val="22"/>
        </w:rPr>
        <w:t xml:space="preserve">En la negociación de los contratos bimestrales </w:t>
      </w:r>
      <w:r w:rsidR="006A0DE3" w:rsidRPr="000E63CD">
        <w:rPr>
          <w:sz w:val="22"/>
          <w:szCs w:val="22"/>
        </w:rPr>
        <w:t xml:space="preserve">mediante subastas de </w:t>
      </w:r>
      <w:r w:rsidR="00264FA1" w:rsidRPr="000E63CD">
        <w:rPr>
          <w:sz w:val="22"/>
          <w:szCs w:val="22"/>
        </w:rPr>
        <w:t>“</w:t>
      </w:r>
      <w:r w:rsidR="006A0DE3" w:rsidRPr="000E63CD">
        <w:rPr>
          <w:sz w:val="22"/>
          <w:szCs w:val="22"/>
        </w:rPr>
        <w:t>sobre cerrado</w:t>
      </w:r>
      <w:r w:rsidR="00264FA1" w:rsidRPr="000E63CD">
        <w:rPr>
          <w:sz w:val="22"/>
          <w:szCs w:val="22"/>
        </w:rPr>
        <w:t>”</w:t>
      </w:r>
      <w:r w:rsidR="006A0DE3" w:rsidRPr="000E63CD">
        <w:rPr>
          <w:sz w:val="22"/>
          <w:szCs w:val="22"/>
        </w:rPr>
        <w:t xml:space="preserve">, </w:t>
      </w:r>
      <w:r w:rsidRPr="000E63CD">
        <w:rPr>
          <w:sz w:val="22"/>
          <w:szCs w:val="22"/>
        </w:rPr>
        <w:t xml:space="preserve">actúan como </w:t>
      </w:r>
      <w:r w:rsidR="00CE7E0A" w:rsidRPr="000E63CD">
        <w:rPr>
          <w:sz w:val="22"/>
          <w:szCs w:val="22"/>
        </w:rPr>
        <w:t>particip</w:t>
      </w:r>
      <w:r w:rsidR="000B006C" w:rsidRPr="000E63CD">
        <w:rPr>
          <w:sz w:val="22"/>
          <w:szCs w:val="22"/>
        </w:rPr>
        <w:t>antes en la venta simultáneamente,</w:t>
      </w:r>
      <w:r w:rsidRPr="000E63CD">
        <w:rPr>
          <w:sz w:val="22"/>
          <w:szCs w:val="22"/>
        </w:rPr>
        <w:t xml:space="preserve"> tanto los </w:t>
      </w:r>
      <w:r w:rsidR="00AC32B5">
        <w:rPr>
          <w:sz w:val="22"/>
          <w:szCs w:val="22"/>
        </w:rPr>
        <w:t>Vendedores</w:t>
      </w:r>
      <w:r w:rsidRPr="000E63CD">
        <w:rPr>
          <w:sz w:val="22"/>
          <w:szCs w:val="22"/>
        </w:rPr>
        <w:t xml:space="preserve"> del </w:t>
      </w:r>
      <w:r w:rsidR="00AC32B5">
        <w:rPr>
          <w:sz w:val="22"/>
          <w:szCs w:val="22"/>
        </w:rPr>
        <w:t>Mercado Primario</w:t>
      </w:r>
      <w:r w:rsidRPr="000E63CD">
        <w:rPr>
          <w:sz w:val="22"/>
          <w:szCs w:val="22"/>
        </w:rPr>
        <w:t xml:space="preserve"> como los </w:t>
      </w:r>
      <w:r w:rsidR="00AC32B5">
        <w:rPr>
          <w:sz w:val="22"/>
          <w:szCs w:val="22"/>
        </w:rPr>
        <w:t>Vendedores</w:t>
      </w:r>
      <w:r w:rsidRPr="000E63CD">
        <w:rPr>
          <w:sz w:val="22"/>
          <w:szCs w:val="22"/>
        </w:rPr>
        <w:t xml:space="preserve"> del </w:t>
      </w:r>
      <w:r w:rsidR="00AC32B5">
        <w:rPr>
          <w:sz w:val="22"/>
          <w:szCs w:val="22"/>
        </w:rPr>
        <w:t>Mercado Secundario</w:t>
      </w:r>
      <w:r w:rsidR="00A830DC" w:rsidRPr="000E63CD">
        <w:rPr>
          <w:sz w:val="22"/>
          <w:szCs w:val="22"/>
        </w:rPr>
        <w:t>;</w:t>
      </w:r>
      <w:r w:rsidRPr="000E63CD">
        <w:rPr>
          <w:sz w:val="22"/>
          <w:szCs w:val="22"/>
        </w:rPr>
        <w:t xml:space="preserve"> sin embargo, l</w:t>
      </w:r>
      <w:r w:rsidR="00E16E3F" w:rsidRPr="000E63CD">
        <w:rPr>
          <w:sz w:val="22"/>
          <w:szCs w:val="22"/>
        </w:rPr>
        <w:t xml:space="preserve">os precios de reserva </w:t>
      </w:r>
      <w:r w:rsidR="009D2578" w:rsidRPr="000E63CD">
        <w:rPr>
          <w:sz w:val="22"/>
          <w:szCs w:val="22"/>
        </w:rPr>
        <w:t xml:space="preserve">que se </w:t>
      </w:r>
      <w:r w:rsidR="00A830DC" w:rsidRPr="000E63CD">
        <w:rPr>
          <w:sz w:val="22"/>
          <w:szCs w:val="22"/>
        </w:rPr>
        <w:t>activ</w:t>
      </w:r>
      <w:r w:rsidR="009D2578" w:rsidRPr="000E63CD">
        <w:rPr>
          <w:sz w:val="22"/>
          <w:szCs w:val="22"/>
        </w:rPr>
        <w:t xml:space="preserve">an en las subastas bimestrales </w:t>
      </w:r>
      <w:r w:rsidR="00E16E3F" w:rsidRPr="000E63CD">
        <w:rPr>
          <w:sz w:val="22"/>
          <w:szCs w:val="22"/>
        </w:rPr>
        <w:t>d</w:t>
      </w:r>
      <w:r w:rsidRPr="000E63CD">
        <w:rPr>
          <w:sz w:val="22"/>
          <w:szCs w:val="22"/>
        </w:rPr>
        <w:t xml:space="preserve">e los </w:t>
      </w:r>
      <w:r w:rsidR="00AC32B5">
        <w:rPr>
          <w:sz w:val="22"/>
          <w:szCs w:val="22"/>
        </w:rPr>
        <w:t>Vendedores</w:t>
      </w:r>
      <w:r w:rsidR="00DD58A7" w:rsidRPr="000E63CD">
        <w:rPr>
          <w:sz w:val="22"/>
          <w:szCs w:val="22"/>
        </w:rPr>
        <w:t xml:space="preserve"> del </w:t>
      </w:r>
      <w:r w:rsidR="00AC32B5">
        <w:rPr>
          <w:sz w:val="22"/>
          <w:szCs w:val="22"/>
        </w:rPr>
        <w:t>Mercado Primario</w:t>
      </w:r>
      <w:r w:rsidRPr="000E63CD">
        <w:rPr>
          <w:sz w:val="22"/>
          <w:szCs w:val="22"/>
        </w:rPr>
        <w:t xml:space="preserve"> </w:t>
      </w:r>
      <w:r w:rsidR="00E16E3F" w:rsidRPr="000E63CD">
        <w:rPr>
          <w:sz w:val="22"/>
          <w:szCs w:val="22"/>
        </w:rPr>
        <w:t xml:space="preserve">dependen de los precios de reserva de los </w:t>
      </w:r>
      <w:r w:rsidR="00AC32B5">
        <w:rPr>
          <w:sz w:val="22"/>
          <w:szCs w:val="22"/>
        </w:rPr>
        <w:t>Vendedores</w:t>
      </w:r>
      <w:r w:rsidR="00DD58A7" w:rsidRPr="000E63CD">
        <w:rPr>
          <w:sz w:val="22"/>
          <w:szCs w:val="22"/>
        </w:rPr>
        <w:t xml:space="preserve"> del </w:t>
      </w:r>
      <w:r w:rsidR="00AC32B5">
        <w:rPr>
          <w:sz w:val="22"/>
          <w:szCs w:val="22"/>
        </w:rPr>
        <w:t>Mercado Secundario</w:t>
      </w:r>
      <w:r w:rsidR="00DD58A7" w:rsidRPr="000E63CD">
        <w:rPr>
          <w:sz w:val="22"/>
          <w:szCs w:val="22"/>
        </w:rPr>
        <w:t xml:space="preserve"> que participan en las subastas</w:t>
      </w:r>
      <w:r w:rsidR="009D2578" w:rsidRPr="000E63CD">
        <w:rPr>
          <w:sz w:val="22"/>
          <w:szCs w:val="22"/>
        </w:rPr>
        <w:t xml:space="preserve"> y </w:t>
      </w:r>
      <w:r w:rsidR="00B07857" w:rsidRPr="000E63CD">
        <w:rPr>
          <w:sz w:val="22"/>
          <w:szCs w:val="22"/>
        </w:rPr>
        <w:t xml:space="preserve">su precio </w:t>
      </w:r>
      <w:r w:rsidR="009D2578" w:rsidRPr="000E63CD">
        <w:rPr>
          <w:sz w:val="22"/>
          <w:szCs w:val="22"/>
        </w:rPr>
        <w:t xml:space="preserve">se coloca </w:t>
      </w:r>
      <w:r w:rsidR="00D1095D" w:rsidRPr="000E63CD">
        <w:rPr>
          <w:sz w:val="22"/>
          <w:szCs w:val="22"/>
        </w:rPr>
        <w:t xml:space="preserve">a partir del precio de reserva más alto que presente un comercializador en la </w:t>
      </w:r>
      <w:r w:rsidR="00B07857" w:rsidRPr="000E63CD">
        <w:rPr>
          <w:sz w:val="22"/>
          <w:szCs w:val="22"/>
        </w:rPr>
        <w:t xml:space="preserve">misma </w:t>
      </w:r>
      <w:r w:rsidR="00D1095D" w:rsidRPr="000E63CD">
        <w:rPr>
          <w:sz w:val="22"/>
          <w:szCs w:val="22"/>
        </w:rPr>
        <w:t>subasta.</w:t>
      </w:r>
    </w:p>
    <w:p w14:paraId="792A1329" w14:textId="77777777" w:rsidR="008E2F58" w:rsidRPr="000E63CD" w:rsidRDefault="008E2F58" w:rsidP="00716D92">
      <w:pPr>
        <w:rPr>
          <w:sz w:val="22"/>
          <w:szCs w:val="22"/>
        </w:rPr>
      </w:pPr>
    </w:p>
    <w:p w14:paraId="14705073" w14:textId="75E2A095" w:rsidR="00AB062F" w:rsidRDefault="008E2F58" w:rsidP="00716D92">
      <w:pPr>
        <w:rPr>
          <w:sz w:val="22"/>
          <w:szCs w:val="22"/>
        </w:rPr>
      </w:pPr>
      <w:r w:rsidRPr="000E63CD">
        <w:rPr>
          <w:sz w:val="22"/>
          <w:szCs w:val="22"/>
        </w:rPr>
        <w:t xml:space="preserve">Sin embargo, mediante la Resolución CREG 021 de 2019 que modificó la Resolución CREG 114 de 2017, se permitió </w:t>
      </w:r>
      <w:r w:rsidR="00D93C7A" w:rsidRPr="000E63CD">
        <w:rPr>
          <w:sz w:val="22"/>
          <w:szCs w:val="22"/>
        </w:rPr>
        <w:t xml:space="preserve">a los </w:t>
      </w:r>
      <w:r w:rsidR="00AC32B5">
        <w:rPr>
          <w:sz w:val="22"/>
          <w:szCs w:val="22"/>
        </w:rPr>
        <w:t>Vendedores</w:t>
      </w:r>
      <w:r w:rsidR="00D93C7A" w:rsidRPr="000E63CD">
        <w:rPr>
          <w:sz w:val="22"/>
          <w:szCs w:val="22"/>
        </w:rPr>
        <w:t xml:space="preserve"> del </w:t>
      </w:r>
      <w:r w:rsidR="00AC32B5">
        <w:rPr>
          <w:sz w:val="22"/>
          <w:szCs w:val="22"/>
        </w:rPr>
        <w:t>Mercado Secundario</w:t>
      </w:r>
      <w:r w:rsidR="00D93C7A" w:rsidRPr="000E63CD">
        <w:rPr>
          <w:sz w:val="22"/>
          <w:szCs w:val="22"/>
        </w:rPr>
        <w:t xml:space="preserve"> que utiliza</w:t>
      </w:r>
      <w:r w:rsidR="00027B0A">
        <w:rPr>
          <w:sz w:val="22"/>
          <w:szCs w:val="22"/>
        </w:rPr>
        <w:t>ran</w:t>
      </w:r>
      <w:r w:rsidR="00D93C7A" w:rsidRPr="000E63CD">
        <w:rPr>
          <w:sz w:val="22"/>
          <w:szCs w:val="22"/>
        </w:rPr>
        <w:t xml:space="preserve"> las negociaciones directas para pactar contratos firmes de cualquier duración</w:t>
      </w:r>
      <w:r w:rsidR="002566E0" w:rsidRPr="000E63CD">
        <w:rPr>
          <w:sz w:val="22"/>
          <w:szCs w:val="22"/>
        </w:rPr>
        <w:t xml:space="preserve"> siempre y cuando la fecha del servicio de suministro </w:t>
      </w:r>
      <w:r w:rsidR="00027B0A">
        <w:rPr>
          <w:sz w:val="22"/>
          <w:szCs w:val="22"/>
        </w:rPr>
        <w:t xml:space="preserve">se </w:t>
      </w:r>
      <w:r w:rsidR="002566E0" w:rsidRPr="000E63CD">
        <w:rPr>
          <w:sz w:val="22"/>
          <w:szCs w:val="22"/>
        </w:rPr>
        <w:t>inici</w:t>
      </w:r>
      <w:r w:rsidR="00027B0A">
        <w:rPr>
          <w:sz w:val="22"/>
          <w:szCs w:val="22"/>
        </w:rPr>
        <w:t>ara</w:t>
      </w:r>
      <w:r w:rsidR="002566E0" w:rsidRPr="000E63CD">
        <w:rPr>
          <w:sz w:val="22"/>
          <w:szCs w:val="22"/>
        </w:rPr>
        <w:t xml:space="preserve"> durante el año de gas en que se realizó el registro del correspondiente contrato</w:t>
      </w:r>
      <w:r w:rsidR="00AB5659">
        <w:rPr>
          <w:sz w:val="22"/>
          <w:szCs w:val="22"/>
        </w:rPr>
        <w:t xml:space="preserve">; además, </w:t>
      </w:r>
      <w:r w:rsidR="00196898" w:rsidRPr="000E63CD">
        <w:rPr>
          <w:sz w:val="22"/>
          <w:szCs w:val="22"/>
        </w:rPr>
        <w:t xml:space="preserve">los contratos </w:t>
      </w:r>
      <w:r w:rsidR="002566E0" w:rsidRPr="000E63CD">
        <w:rPr>
          <w:sz w:val="22"/>
          <w:szCs w:val="22"/>
        </w:rPr>
        <w:t>pueden ser suscritos y registrados en cualquier momento</w:t>
      </w:r>
      <w:r w:rsidR="00B02D05" w:rsidRPr="000E63CD">
        <w:rPr>
          <w:sz w:val="22"/>
          <w:szCs w:val="22"/>
        </w:rPr>
        <w:t xml:space="preserve"> del año</w:t>
      </w:r>
      <w:r w:rsidR="00533805" w:rsidRPr="000E63CD">
        <w:rPr>
          <w:sz w:val="22"/>
          <w:szCs w:val="22"/>
        </w:rPr>
        <w:t>.</w:t>
      </w:r>
      <w:r w:rsidR="005F06B9" w:rsidRPr="000E63CD">
        <w:rPr>
          <w:sz w:val="22"/>
          <w:szCs w:val="22"/>
        </w:rPr>
        <w:t xml:space="preserve"> </w:t>
      </w:r>
    </w:p>
    <w:p w14:paraId="0E1F4D3F" w14:textId="77777777" w:rsidR="00AB062F" w:rsidRDefault="00AB062F" w:rsidP="00716D92">
      <w:pPr>
        <w:rPr>
          <w:sz w:val="22"/>
          <w:szCs w:val="22"/>
        </w:rPr>
      </w:pPr>
    </w:p>
    <w:p w14:paraId="7BA06AF9" w14:textId="33CB022D" w:rsidR="00196898" w:rsidRPr="000E63CD" w:rsidRDefault="00156E06" w:rsidP="00716D92">
      <w:pPr>
        <w:rPr>
          <w:sz w:val="22"/>
          <w:szCs w:val="22"/>
        </w:rPr>
      </w:pPr>
      <w:r w:rsidRPr="000E63CD">
        <w:rPr>
          <w:sz w:val="22"/>
          <w:szCs w:val="22"/>
        </w:rPr>
        <w:t xml:space="preserve">Como resultado de lo anterior, los </w:t>
      </w:r>
      <w:r w:rsidR="00AC32B5">
        <w:rPr>
          <w:sz w:val="22"/>
          <w:szCs w:val="22"/>
        </w:rPr>
        <w:t>Compradores</w:t>
      </w:r>
      <w:r w:rsidRPr="000E63CD">
        <w:rPr>
          <w:sz w:val="22"/>
          <w:szCs w:val="22"/>
        </w:rPr>
        <w:t xml:space="preserve"> interesados en el suministro de gas con duraciones menores a 1 año, encuentran dos mecanismos </w:t>
      </w:r>
      <w:r w:rsidR="000D03B4" w:rsidRPr="000E63CD">
        <w:rPr>
          <w:sz w:val="22"/>
          <w:szCs w:val="22"/>
        </w:rPr>
        <w:t>para obtener el suministro: por un lado</w:t>
      </w:r>
      <w:r w:rsidR="0099586D" w:rsidRPr="000E63CD">
        <w:rPr>
          <w:sz w:val="22"/>
          <w:szCs w:val="22"/>
        </w:rPr>
        <w:t>,</w:t>
      </w:r>
      <w:r w:rsidR="000D03B4" w:rsidRPr="000E63CD">
        <w:rPr>
          <w:sz w:val="22"/>
          <w:szCs w:val="22"/>
        </w:rPr>
        <w:t xml:space="preserve"> las subastas de contratos bimestrales</w:t>
      </w:r>
      <w:r w:rsidR="00AB5659">
        <w:rPr>
          <w:sz w:val="22"/>
          <w:szCs w:val="22"/>
        </w:rPr>
        <w:t xml:space="preserve"> con las condiciones antes mencionadas</w:t>
      </w:r>
      <w:r w:rsidR="007A7185" w:rsidRPr="000E63CD">
        <w:rPr>
          <w:sz w:val="22"/>
          <w:szCs w:val="22"/>
        </w:rPr>
        <w:t xml:space="preserve">; y, por otra parte, los </w:t>
      </w:r>
      <w:r w:rsidR="00AC32B5">
        <w:rPr>
          <w:sz w:val="22"/>
          <w:szCs w:val="22"/>
        </w:rPr>
        <w:t>Compradores</w:t>
      </w:r>
      <w:r w:rsidR="007A7185" w:rsidRPr="000E63CD">
        <w:rPr>
          <w:sz w:val="22"/>
          <w:szCs w:val="22"/>
        </w:rPr>
        <w:t xml:space="preserve"> interesados encuentran </w:t>
      </w:r>
      <w:r w:rsidR="008E1A28" w:rsidRPr="000E63CD">
        <w:rPr>
          <w:sz w:val="22"/>
          <w:szCs w:val="22"/>
        </w:rPr>
        <w:t xml:space="preserve">también </w:t>
      </w:r>
      <w:r w:rsidR="007A7185" w:rsidRPr="000E63CD">
        <w:rPr>
          <w:sz w:val="22"/>
          <w:szCs w:val="22"/>
        </w:rPr>
        <w:t>el mecanismo de negociación directa</w:t>
      </w:r>
      <w:r w:rsidR="00AB5659">
        <w:rPr>
          <w:sz w:val="22"/>
          <w:szCs w:val="22"/>
        </w:rPr>
        <w:t>, aunque</w:t>
      </w:r>
      <w:r w:rsidR="007A7185" w:rsidRPr="000E63CD">
        <w:rPr>
          <w:sz w:val="22"/>
          <w:szCs w:val="22"/>
        </w:rPr>
        <w:t xml:space="preserve"> </w:t>
      </w:r>
      <w:r w:rsidR="008E1A28" w:rsidRPr="000E63CD">
        <w:rPr>
          <w:sz w:val="22"/>
          <w:szCs w:val="22"/>
        </w:rPr>
        <w:t xml:space="preserve">solamente </w:t>
      </w:r>
      <w:r w:rsidR="007A7185" w:rsidRPr="000E63CD">
        <w:rPr>
          <w:sz w:val="22"/>
          <w:szCs w:val="22"/>
        </w:rPr>
        <w:t xml:space="preserve">con los </w:t>
      </w:r>
      <w:r w:rsidR="00AC32B5">
        <w:rPr>
          <w:sz w:val="22"/>
          <w:szCs w:val="22"/>
        </w:rPr>
        <w:t>Vendedores</w:t>
      </w:r>
      <w:r w:rsidR="0099586D" w:rsidRPr="000E63CD">
        <w:rPr>
          <w:sz w:val="22"/>
          <w:szCs w:val="22"/>
        </w:rPr>
        <w:t xml:space="preserve"> del </w:t>
      </w:r>
      <w:r w:rsidR="00AC32B5">
        <w:rPr>
          <w:sz w:val="22"/>
          <w:szCs w:val="22"/>
        </w:rPr>
        <w:t>Mercado Secundario</w:t>
      </w:r>
      <w:r w:rsidR="0099586D" w:rsidRPr="000E63CD">
        <w:rPr>
          <w:sz w:val="22"/>
          <w:szCs w:val="22"/>
        </w:rPr>
        <w:t xml:space="preserve">, </w:t>
      </w:r>
      <w:r w:rsidR="008E1A28" w:rsidRPr="000E63CD">
        <w:rPr>
          <w:sz w:val="22"/>
          <w:szCs w:val="22"/>
        </w:rPr>
        <w:t xml:space="preserve">que tiene mayor flexibilidad y no forma un precio de cierre uniforme a partir de subasta. En este sentido, </w:t>
      </w:r>
      <w:r w:rsidR="00AB5659">
        <w:rPr>
          <w:sz w:val="22"/>
          <w:szCs w:val="22"/>
        </w:rPr>
        <w:t xml:space="preserve">en las condiciones establecidas, </w:t>
      </w:r>
      <w:r w:rsidR="009126B4" w:rsidRPr="000E63CD">
        <w:rPr>
          <w:sz w:val="22"/>
          <w:szCs w:val="22"/>
        </w:rPr>
        <w:t xml:space="preserve">al dejar de ser </w:t>
      </w:r>
      <w:r w:rsidR="008E1A28" w:rsidRPr="000E63CD">
        <w:rPr>
          <w:sz w:val="22"/>
          <w:szCs w:val="22"/>
        </w:rPr>
        <w:t xml:space="preserve">las subastas </w:t>
      </w:r>
      <w:r w:rsidR="009126B4" w:rsidRPr="000E63CD">
        <w:rPr>
          <w:sz w:val="22"/>
          <w:szCs w:val="22"/>
        </w:rPr>
        <w:t xml:space="preserve">el único medio de contratar </w:t>
      </w:r>
      <w:r w:rsidR="00AB5659">
        <w:rPr>
          <w:sz w:val="22"/>
          <w:szCs w:val="22"/>
        </w:rPr>
        <w:t xml:space="preserve">un </w:t>
      </w:r>
      <w:r w:rsidR="009126B4" w:rsidRPr="000E63CD">
        <w:rPr>
          <w:sz w:val="22"/>
          <w:szCs w:val="22"/>
        </w:rPr>
        <w:t>suministro bimestral</w:t>
      </w:r>
      <w:r w:rsidR="00AB5659">
        <w:rPr>
          <w:sz w:val="22"/>
          <w:szCs w:val="22"/>
        </w:rPr>
        <w:t xml:space="preserve"> y poderse realizar de manera directa negociaciones, las subastas </w:t>
      </w:r>
      <w:r w:rsidR="009126B4" w:rsidRPr="000E63CD">
        <w:rPr>
          <w:sz w:val="22"/>
          <w:szCs w:val="22"/>
        </w:rPr>
        <w:t>pierden su eficacia.</w:t>
      </w:r>
      <w:r w:rsidR="008E1A28" w:rsidRPr="000E63CD">
        <w:rPr>
          <w:sz w:val="22"/>
          <w:szCs w:val="22"/>
        </w:rPr>
        <w:t xml:space="preserve"> </w:t>
      </w:r>
    </w:p>
    <w:p w14:paraId="08F8755A" w14:textId="77777777" w:rsidR="00196898" w:rsidRPr="000E63CD" w:rsidRDefault="00196898" w:rsidP="00716D92">
      <w:pPr>
        <w:rPr>
          <w:sz w:val="22"/>
          <w:szCs w:val="22"/>
        </w:rPr>
      </w:pPr>
    </w:p>
    <w:p w14:paraId="26DAF51C" w14:textId="1E818D6E" w:rsidR="008E2F58" w:rsidRPr="000E63CD" w:rsidRDefault="005F06B9" w:rsidP="00716D92">
      <w:pPr>
        <w:rPr>
          <w:sz w:val="22"/>
          <w:szCs w:val="22"/>
        </w:rPr>
      </w:pPr>
      <w:r w:rsidRPr="000E63CD">
        <w:rPr>
          <w:sz w:val="22"/>
          <w:szCs w:val="22"/>
        </w:rPr>
        <w:t xml:space="preserve">A </w:t>
      </w:r>
      <w:proofErr w:type="gramStart"/>
      <w:r w:rsidRPr="000E63CD">
        <w:rPr>
          <w:sz w:val="22"/>
          <w:szCs w:val="22"/>
        </w:rPr>
        <w:t>continuación</w:t>
      </w:r>
      <w:proofErr w:type="gramEnd"/>
      <w:r w:rsidR="00057E29">
        <w:rPr>
          <w:sz w:val="22"/>
          <w:szCs w:val="22"/>
        </w:rPr>
        <w:t xml:space="preserve"> en la </w:t>
      </w:r>
      <w:r w:rsidR="00057E29">
        <w:rPr>
          <w:sz w:val="22"/>
          <w:szCs w:val="22"/>
        </w:rPr>
        <w:fldChar w:fldCharType="begin"/>
      </w:r>
      <w:r w:rsidR="00057E29">
        <w:rPr>
          <w:sz w:val="22"/>
          <w:szCs w:val="22"/>
        </w:rPr>
        <w:instrText xml:space="preserve"> REF _Ref129697673 \h </w:instrText>
      </w:r>
      <w:r w:rsidR="00057E29">
        <w:rPr>
          <w:sz w:val="22"/>
          <w:szCs w:val="22"/>
        </w:rPr>
      </w:r>
      <w:r w:rsidR="00057E29">
        <w:rPr>
          <w:sz w:val="22"/>
          <w:szCs w:val="22"/>
        </w:rPr>
        <w:fldChar w:fldCharType="separate"/>
      </w:r>
      <w:r w:rsidR="006B7344" w:rsidRPr="000031CC">
        <w:rPr>
          <w:sz w:val="22"/>
          <w:szCs w:val="22"/>
        </w:rPr>
        <w:t xml:space="preserve">Figura </w:t>
      </w:r>
      <w:r w:rsidR="006B7344">
        <w:rPr>
          <w:i/>
          <w:iCs/>
          <w:noProof/>
          <w:sz w:val="22"/>
          <w:szCs w:val="22"/>
        </w:rPr>
        <w:t>14</w:t>
      </w:r>
      <w:r w:rsidR="00057E29">
        <w:rPr>
          <w:sz w:val="22"/>
          <w:szCs w:val="22"/>
        </w:rPr>
        <w:fldChar w:fldCharType="end"/>
      </w:r>
      <w:r w:rsidR="00FA2F0A" w:rsidRPr="000E63CD">
        <w:rPr>
          <w:sz w:val="22"/>
          <w:szCs w:val="22"/>
        </w:rPr>
        <w:t>,</w:t>
      </w:r>
      <w:r w:rsidRPr="000E63CD">
        <w:rPr>
          <w:sz w:val="22"/>
          <w:szCs w:val="22"/>
        </w:rPr>
        <w:t xml:space="preserve"> se muestra el cuadro de utilización de las subastas bimestrales y las cantidades finalmente contratadas mediante este mecanismo</w:t>
      </w:r>
      <w:r w:rsidR="001D51AB">
        <w:rPr>
          <w:sz w:val="22"/>
          <w:szCs w:val="22"/>
        </w:rPr>
        <w:t xml:space="preserve">, en las que se </w:t>
      </w:r>
      <w:r w:rsidR="00AB5659">
        <w:rPr>
          <w:sz w:val="22"/>
          <w:szCs w:val="22"/>
        </w:rPr>
        <w:t>evidencia lo que se explicó anteriormente,</w:t>
      </w:r>
      <w:r w:rsidR="001D51AB">
        <w:rPr>
          <w:sz w:val="22"/>
          <w:szCs w:val="22"/>
        </w:rPr>
        <w:t xml:space="preserve"> su poca utilización y eficacia</w:t>
      </w:r>
      <w:r w:rsidRPr="000E63CD">
        <w:rPr>
          <w:sz w:val="22"/>
          <w:szCs w:val="22"/>
        </w:rPr>
        <w:t>:</w:t>
      </w:r>
    </w:p>
    <w:p w14:paraId="0628D00B" w14:textId="7712636F" w:rsidR="005F06B9" w:rsidRDefault="005F06B9" w:rsidP="00716D92">
      <w:pPr>
        <w:rPr>
          <w:sz w:val="22"/>
          <w:szCs w:val="22"/>
        </w:rPr>
      </w:pPr>
    </w:p>
    <w:p w14:paraId="53A3F680" w14:textId="2624D3B6" w:rsidR="000031CC" w:rsidRPr="000031CC" w:rsidRDefault="000031CC" w:rsidP="000031CC">
      <w:pPr>
        <w:pStyle w:val="Descripcin"/>
        <w:keepNext/>
        <w:jc w:val="center"/>
        <w:rPr>
          <w:i w:val="0"/>
          <w:iCs w:val="0"/>
          <w:sz w:val="22"/>
          <w:szCs w:val="22"/>
        </w:rPr>
      </w:pPr>
      <w:bookmarkStart w:id="401" w:name="_Ref129697673"/>
      <w:bookmarkStart w:id="402" w:name="_Toc140506607"/>
      <w:r w:rsidRPr="000031CC">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14</w:t>
      </w:r>
      <w:r w:rsidR="006B6B6C">
        <w:rPr>
          <w:i w:val="0"/>
          <w:iCs w:val="0"/>
          <w:sz w:val="22"/>
          <w:szCs w:val="22"/>
        </w:rPr>
        <w:fldChar w:fldCharType="end"/>
      </w:r>
      <w:bookmarkEnd w:id="401"/>
      <w:r w:rsidRPr="000031CC">
        <w:rPr>
          <w:i w:val="0"/>
          <w:iCs w:val="0"/>
          <w:sz w:val="22"/>
          <w:szCs w:val="22"/>
        </w:rPr>
        <w:t xml:space="preserve"> Resultados de las subastas para contratos bimestrales</w:t>
      </w:r>
      <w:bookmarkEnd w:id="402"/>
    </w:p>
    <w:p w14:paraId="397129C2" w14:textId="24EB4DD6" w:rsidR="005F06B9" w:rsidRPr="000E63CD" w:rsidRDefault="00E8656B" w:rsidP="00716D92">
      <w:pPr>
        <w:rPr>
          <w:sz w:val="22"/>
          <w:szCs w:val="22"/>
        </w:rPr>
      </w:pPr>
      <w:r w:rsidRPr="000E63CD">
        <w:rPr>
          <w:noProof/>
          <w:sz w:val="22"/>
          <w:szCs w:val="22"/>
        </w:rPr>
        <w:drawing>
          <wp:inline distT="0" distB="0" distL="0" distR="0" wp14:anchorId="7215D525" wp14:editId="0C65CAFB">
            <wp:extent cx="5940425" cy="1503680"/>
            <wp:effectExtent l="0" t="0" r="3175" b="127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29"/>
                    <a:stretch>
                      <a:fillRect/>
                    </a:stretch>
                  </pic:blipFill>
                  <pic:spPr>
                    <a:xfrm>
                      <a:off x="0" y="0"/>
                      <a:ext cx="5940425" cy="1503680"/>
                    </a:xfrm>
                    <a:prstGeom prst="rect">
                      <a:avLst/>
                    </a:prstGeom>
                  </pic:spPr>
                </pic:pic>
              </a:graphicData>
            </a:graphic>
          </wp:inline>
        </w:drawing>
      </w:r>
    </w:p>
    <w:p w14:paraId="5F2E8F61" w14:textId="565D8B98" w:rsidR="002F0DC1" w:rsidRPr="00514A94" w:rsidRDefault="00514A94" w:rsidP="001A267E">
      <w:pPr>
        <w:rPr>
          <w:sz w:val="18"/>
          <w:szCs w:val="18"/>
        </w:rPr>
      </w:pPr>
      <w:r w:rsidRPr="00514A94">
        <w:rPr>
          <w:sz w:val="18"/>
          <w:szCs w:val="18"/>
        </w:rPr>
        <w:t xml:space="preserve">Datos aportados por el </w:t>
      </w:r>
      <w:r w:rsidR="005114C6">
        <w:rPr>
          <w:sz w:val="18"/>
          <w:szCs w:val="18"/>
        </w:rPr>
        <w:t>Gestor del Mercado</w:t>
      </w:r>
    </w:p>
    <w:p w14:paraId="36ECA971" w14:textId="77777777" w:rsidR="00514A94" w:rsidRPr="000E63CD" w:rsidRDefault="00514A94" w:rsidP="001A267E">
      <w:pPr>
        <w:rPr>
          <w:sz w:val="22"/>
          <w:szCs w:val="22"/>
        </w:rPr>
      </w:pPr>
    </w:p>
    <w:p w14:paraId="0B7850C8" w14:textId="21DF23C3" w:rsidR="00E07E52" w:rsidRPr="000E63CD" w:rsidRDefault="00B36132" w:rsidP="00E07E52">
      <w:pPr>
        <w:rPr>
          <w:sz w:val="22"/>
          <w:szCs w:val="22"/>
        </w:rPr>
      </w:pPr>
      <w:r w:rsidRPr="000E63CD">
        <w:rPr>
          <w:sz w:val="22"/>
          <w:szCs w:val="22"/>
        </w:rPr>
        <w:t>Con base en lo anterior, se propone la eliminación de los contratos firmes bimestrales y de las subastas de dichos contratos</w:t>
      </w:r>
      <w:r w:rsidR="00111AC5">
        <w:rPr>
          <w:sz w:val="22"/>
          <w:szCs w:val="22"/>
        </w:rPr>
        <w:t xml:space="preserve"> y como contraprestación a ello</w:t>
      </w:r>
      <w:r w:rsidR="00E07E52" w:rsidRPr="000E63CD">
        <w:rPr>
          <w:sz w:val="22"/>
          <w:szCs w:val="22"/>
        </w:rPr>
        <w:t>, se incluyen nuevos productos (contratos con duración mínima trimestral, contratos con duración mensual</w:t>
      </w:r>
      <w:r w:rsidR="000D19F1" w:rsidRPr="000E63CD">
        <w:rPr>
          <w:sz w:val="22"/>
          <w:szCs w:val="22"/>
        </w:rPr>
        <w:t>, modalidad de contrato CF80</w:t>
      </w:r>
      <w:r w:rsidR="00E07E52" w:rsidRPr="000E63CD">
        <w:rPr>
          <w:sz w:val="22"/>
          <w:szCs w:val="22"/>
        </w:rPr>
        <w:t xml:space="preserve">) a negociarse mediante mecanismos de comercialización más flexibles que buscan atender </w:t>
      </w:r>
      <w:r w:rsidR="004B5F47" w:rsidRPr="000E63CD">
        <w:rPr>
          <w:sz w:val="22"/>
          <w:szCs w:val="22"/>
        </w:rPr>
        <w:t xml:space="preserve">las posibilidades de la oferta de cantidades en firme de duración </w:t>
      </w:r>
      <w:r w:rsidRPr="000E63CD">
        <w:rPr>
          <w:sz w:val="22"/>
          <w:szCs w:val="22"/>
        </w:rPr>
        <w:t>bimestral</w:t>
      </w:r>
      <w:r w:rsidR="004B5F47" w:rsidRPr="000E63CD">
        <w:rPr>
          <w:sz w:val="22"/>
          <w:szCs w:val="22"/>
        </w:rPr>
        <w:t xml:space="preserve"> y las necesidades de </w:t>
      </w:r>
      <w:r w:rsidR="00E07E52" w:rsidRPr="000E63CD">
        <w:rPr>
          <w:sz w:val="22"/>
          <w:szCs w:val="22"/>
        </w:rPr>
        <w:t xml:space="preserve">la demanda con consumo de alta variabilidad estacional, en remplazo de los contratos </w:t>
      </w:r>
      <w:r w:rsidR="004B5F47" w:rsidRPr="000E63CD">
        <w:rPr>
          <w:sz w:val="22"/>
          <w:szCs w:val="22"/>
        </w:rPr>
        <w:t>firmes bimestrales</w:t>
      </w:r>
      <w:r w:rsidR="00E07E52" w:rsidRPr="000E63CD">
        <w:rPr>
          <w:sz w:val="22"/>
          <w:szCs w:val="22"/>
        </w:rPr>
        <w:t>.</w:t>
      </w:r>
    </w:p>
    <w:p w14:paraId="4CB3519F" w14:textId="340B3E60" w:rsidR="001D6EA2" w:rsidRDefault="001D6EA2" w:rsidP="001A267E">
      <w:pPr>
        <w:rPr>
          <w:sz w:val="22"/>
          <w:szCs w:val="22"/>
        </w:rPr>
      </w:pPr>
    </w:p>
    <w:p w14:paraId="2E64B7B3" w14:textId="77777777" w:rsidR="00771A16" w:rsidRPr="000E63CD" w:rsidRDefault="00771A16" w:rsidP="001A267E">
      <w:pPr>
        <w:rPr>
          <w:sz w:val="22"/>
          <w:szCs w:val="22"/>
        </w:rPr>
      </w:pPr>
    </w:p>
    <w:p w14:paraId="487A1716" w14:textId="6E0FEB70" w:rsidR="001D6EA2" w:rsidRPr="000E63CD" w:rsidRDefault="001D6EA2" w:rsidP="001D6EA2">
      <w:pPr>
        <w:pStyle w:val="Ttulo2"/>
        <w:rPr>
          <w:sz w:val="22"/>
          <w:szCs w:val="22"/>
        </w:rPr>
      </w:pPr>
      <w:r w:rsidRPr="000E63CD">
        <w:rPr>
          <w:sz w:val="22"/>
          <w:szCs w:val="22"/>
        </w:rPr>
        <w:t xml:space="preserve">   </w:t>
      </w:r>
      <w:bookmarkStart w:id="403" w:name="_Toc140506215"/>
      <w:r w:rsidR="003F4568" w:rsidRPr="000E63CD">
        <w:rPr>
          <w:sz w:val="22"/>
          <w:szCs w:val="22"/>
        </w:rPr>
        <w:t>Eliminación</w:t>
      </w:r>
      <w:r w:rsidRPr="000E63CD">
        <w:rPr>
          <w:sz w:val="22"/>
          <w:szCs w:val="22"/>
        </w:rPr>
        <w:t xml:space="preserve"> de las subastas de contratos con interrupciones</w:t>
      </w:r>
      <w:bookmarkEnd w:id="403"/>
    </w:p>
    <w:p w14:paraId="3D9E913E" w14:textId="0610587D" w:rsidR="00F053C7" w:rsidRPr="000E63CD" w:rsidRDefault="006052B2" w:rsidP="00F053C7">
      <w:pPr>
        <w:rPr>
          <w:sz w:val="22"/>
          <w:szCs w:val="22"/>
        </w:rPr>
      </w:pPr>
      <w:r w:rsidRPr="000E63CD">
        <w:rPr>
          <w:sz w:val="22"/>
          <w:szCs w:val="22"/>
        </w:rPr>
        <w:t>En las subastas de contratos con interrupciones</w:t>
      </w:r>
      <w:r w:rsidR="00C342A2" w:rsidRPr="000E63CD">
        <w:rPr>
          <w:sz w:val="22"/>
          <w:szCs w:val="22"/>
        </w:rPr>
        <w:t>, en forma similar a las subastas de contratos firmes bimestrales,</w:t>
      </w:r>
      <w:r w:rsidRPr="000E63CD">
        <w:rPr>
          <w:sz w:val="22"/>
          <w:szCs w:val="22"/>
        </w:rPr>
        <w:t xml:space="preserve"> participan como </w:t>
      </w:r>
      <w:r w:rsidR="00AC32B5">
        <w:rPr>
          <w:sz w:val="22"/>
          <w:szCs w:val="22"/>
        </w:rPr>
        <w:t>Vendedores</w:t>
      </w:r>
      <w:r w:rsidR="008636FF">
        <w:rPr>
          <w:sz w:val="22"/>
          <w:szCs w:val="22"/>
        </w:rPr>
        <w:t>,</w:t>
      </w:r>
      <w:r w:rsidRPr="000E63CD">
        <w:rPr>
          <w:sz w:val="22"/>
          <w:szCs w:val="22"/>
        </w:rPr>
        <w:t xml:space="preserve"> los </w:t>
      </w:r>
      <w:r w:rsidR="00AC32B5">
        <w:rPr>
          <w:sz w:val="22"/>
          <w:szCs w:val="22"/>
        </w:rPr>
        <w:t>Vendedores</w:t>
      </w:r>
      <w:r w:rsidRPr="000E63CD">
        <w:rPr>
          <w:sz w:val="22"/>
          <w:szCs w:val="22"/>
        </w:rPr>
        <w:t xml:space="preserve"> del </w:t>
      </w:r>
      <w:r w:rsidR="00AC32B5">
        <w:rPr>
          <w:sz w:val="22"/>
          <w:szCs w:val="22"/>
        </w:rPr>
        <w:t>Mercado Primario</w:t>
      </w:r>
      <w:r w:rsidRPr="000E63CD">
        <w:rPr>
          <w:sz w:val="22"/>
          <w:szCs w:val="22"/>
        </w:rPr>
        <w:t xml:space="preserve"> y los </w:t>
      </w:r>
      <w:r w:rsidR="00AC32B5">
        <w:rPr>
          <w:sz w:val="22"/>
          <w:szCs w:val="22"/>
        </w:rPr>
        <w:t>Vendedores</w:t>
      </w:r>
      <w:r w:rsidRPr="000E63CD">
        <w:rPr>
          <w:sz w:val="22"/>
          <w:szCs w:val="22"/>
        </w:rPr>
        <w:t xml:space="preserve"> del </w:t>
      </w:r>
      <w:r w:rsidR="00AC32B5">
        <w:rPr>
          <w:sz w:val="22"/>
          <w:szCs w:val="22"/>
        </w:rPr>
        <w:t>Mercado Secundario</w:t>
      </w:r>
      <w:r w:rsidRPr="000E63CD">
        <w:rPr>
          <w:sz w:val="22"/>
          <w:szCs w:val="22"/>
        </w:rPr>
        <w:t>.</w:t>
      </w:r>
      <w:r w:rsidR="00F053C7" w:rsidRPr="000E63CD">
        <w:rPr>
          <w:sz w:val="22"/>
          <w:szCs w:val="22"/>
        </w:rPr>
        <w:t xml:space="preserve"> Sin embargo, los precios de reserva que se usan en las subastas de los </w:t>
      </w:r>
      <w:r w:rsidR="00AC32B5">
        <w:rPr>
          <w:sz w:val="22"/>
          <w:szCs w:val="22"/>
        </w:rPr>
        <w:t>Vendedores</w:t>
      </w:r>
      <w:r w:rsidR="00F053C7" w:rsidRPr="000E63CD">
        <w:rPr>
          <w:sz w:val="22"/>
          <w:szCs w:val="22"/>
        </w:rPr>
        <w:t xml:space="preserve"> del </w:t>
      </w:r>
      <w:r w:rsidR="00AC32B5">
        <w:rPr>
          <w:sz w:val="22"/>
          <w:szCs w:val="22"/>
        </w:rPr>
        <w:t>Mercado Primario</w:t>
      </w:r>
      <w:r w:rsidR="00F053C7" w:rsidRPr="000E63CD">
        <w:rPr>
          <w:sz w:val="22"/>
          <w:szCs w:val="22"/>
        </w:rPr>
        <w:t xml:space="preserve"> dependen de los precios de reserva de los </w:t>
      </w:r>
      <w:r w:rsidR="00AC32B5">
        <w:rPr>
          <w:sz w:val="22"/>
          <w:szCs w:val="22"/>
        </w:rPr>
        <w:t>Vendedores</w:t>
      </w:r>
      <w:r w:rsidR="00F053C7" w:rsidRPr="000E63CD">
        <w:rPr>
          <w:sz w:val="22"/>
          <w:szCs w:val="22"/>
        </w:rPr>
        <w:t xml:space="preserve"> del </w:t>
      </w:r>
      <w:r w:rsidR="00AC32B5">
        <w:rPr>
          <w:sz w:val="22"/>
          <w:szCs w:val="22"/>
        </w:rPr>
        <w:t>Mercado Secundario</w:t>
      </w:r>
      <w:r w:rsidR="00F053C7" w:rsidRPr="000E63CD">
        <w:rPr>
          <w:sz w:val="22"/>
          <w:szCs w:val="22"/>
        </w:rPr>
        <w:t xml:space="preserve">, y </w:t>
      </w:r>
      <w:r w:rsidR="00B530AA" w:rsidRPr="000E63CD">
        <w:rPr>
          <w:sz w:val="22"/>
          <w:szCs w:val="22"/>
        </w:rPr>
        <w:t xml:space="preserve">su precio </w:t>
      </w:r>
      <w:r w:rsidR="00F053C7" w:rsidRPr="000E63CD">
        <w:rPr>
          <w:sz w:val="22"/>
          <w:szCs w:val="22"/>
        </w:rPr>
        <w:t xml:space="preserve">se coloca a partir del precio de reserva más alto que presente un comercializador en la </w:t>
      </w:r>
      <w:r w:rsidR="00B530AA" w:rsidRPr="000E63CD">
        <w:rPr>
          <w:sz w:val="22"/>
          <w:szCs w:val="22"/>
        </w:rPr>
        <w:t xml:space="preserve">misma </w:t>
      </w:r>
      <w:r w:rsidR="00F053C7" w:rsidRPr="000E63CD">
        <w:rPr>
          <w:sz w:val="22"/>
          <w:szCs w:val="22"/>
        </w:rPr>
        <w:t>subasta.</w:t>
      </w:r>
      <w:r w:rsidR="00813421" w:rsidRPr="000E63CD">
        <w:rPr>
          <w:sz w:val="22"/>
          <w:szCs w:val="22"/>
        </w:rPr>
        <w:t xml:space="preserve"> Los contratos negociados mediante subastas mensuales tiene</w:t>
      </w:r>
      <w:r w:rsidR="003C6E42" w:rsidRPr="000E63CD">
        <w:rPr>
          <w:sz w:val="22"/>
          <w:szCs w:val="22"/>
        </w:rPr>
        <w:t>n</w:t>
      </w:r>
      <w:r w:rsidR="00813421" w:rsidRPr="000E63CD">
        <w:rPr>
          <w:sz w:val="22"/>
          <w:szCs w:val="22"/>
        </w:rPr>
        <w:t xml:space="preserve"> una duración mensual.</w:t>
      </w:r>
    </w:p>
    <w:p w14:paraId="06499BDB" w14:textId="77777777" w:rsidR="00F053C7" w:rsidRPr="000E63CD" w:rsidRDefault="00F053C7" w:rsidP="00F053C7">
      <w:pPr>
        <w:rPr>
          <w:sz w:val="22"/>
          <w:szCs w:val="22"/>
        </w:rPr>
      </w:pPr>
    </w:p>
    <w:p w14:paraId="209A5F2A" w14:textId="381848FB" w:rsidR="00BA0F52" w:rsidRDefault="001D6EA2" w:rsidP="001A267E">
      <w:pPr>
        <w:rPr>
          <w:sz w:val="22"/>
          <w:szCs w:val="22"/>
        </w:rPr>
      </w:pPr>
      <w:r w:rsidRPr="000E63CD">
        <w:rPr>
          <w:sz w:val="22"/>
          <w:szCs w:val="22"/>
        </w:rPr>
        <w:t>Inicialmente</w:t>
      </w:r>
      <w:r w:rsidR="00B530AA" w:rsidRPr="000E63CD">
        <w:rPr>
          <w:sz w:val="22"/>
          <w:szCs w:val="22"/>
        </w:rPr>
        <w:t>,</w:t>
      </w:r>
      <w:r w:rsidRPr="000E63CD">
        <w:rPr>
          <w:sz w:val="22"/>
          <w:szCs w:val="22"/>
        </w:rPr>
        <w:t xml:space="preserve"> mediante la Resolución CREG </w:t>
      </w:r>
      <w:r w:rsidR="006052B2" w:rsidRPr="000E63CD">
        <w:rPr>
          <w:sz w:val="22"/>
          <w:szCs w:val="22"/>
        </w:rPr>
        <w:t xml:space="preserve">089 de 2013 las negociaciones de contratos con interrupciones se efectuaban únicamente mediante subastas mensuales </w:t>
      </w:r>
      <w:r w:rsidR="00807242" w:rsidRPr="000E63CD">
        <w:rPr>
          <w:sz w:val="22"/>
          <w:szCs w:val="22"/>
        </w:rPr>
        <w:t>establecidas en la regulación</w:t>
      </w:r>
      <w:r w:rsidR="00AB0041" w:rsidRPr="000E63CD">
        <w:rPr>
          <w:sz w:val="22"/>
          <w:szCs w:val="22"/>
        </w:rPr>
        <w:t xml:space="preserve">, exceptuando de ellas </w:t>
      </w:r>
      <w:r w:rsidR="00644C20">
        <w:rPr>
          <w:sz w:val="22"/>
          <w:szCs w:val="22"/>
        </w:rPr>
        <w:t>algunas</w:t>
      </w:r>
      <w:r w:rsidR="00644C20" w:rsidRPr="000E63CD">
        <w:rPr>
          <w:sz w:val="22"/>
          <w:szCs w:val="22"/>
        </w:rPr>
        <w:t xml:space="preserve"> </w:t>
      </w:r>
      <w:r w:rsidR="00AB0041" w:rsidRPr="000E63CD">
        <w:rPr>
          <w:sz w:val="22"/>
          <w:szCs w:val="22"/>
        </w:rPr>
        <w:t xml:space="preserve">fuentes de suministro </w:t>
      </w:r>
      <w:r w:rsidR="002A02C7" w:rsidRPr="000E63CD">
        <w:rPr>
          <w:sz w:val="22"/>
          <w:szCs w:val="22"/>
        </w:rPr>
        <w:t xml:space="preserve">del </w:t>
      </w:r>
      <w:r w:rsidR="00AC32B5">
        <w:rPr>
          <w:sz w:val="22"/>
          <w:szCs w:val="22"/>
        </w:rPr>
        <w:t>Mercado Primario</w:t>
      </w:r>
      <w:r w:rsidR="002A02C7" w:rsidRPr="000E63CD">
        <w:rPr>
          <w:sz w:val="22"/>
          <w:szCs w:val="22"/>
        </w:rPr>
        <w:t xml:space="preserve"> que podían negociar dichos contrato</w:t>
      </w:r>
      <w:r w:rsidR="0017400F" w:rsidRPr="000E63CD">
        <w:rPr>
          <w:sz w:val="22"/>
          <w:szCs w:val="22"/>
        </w:rPr>
        <w:t>s</w:t>
      </w:r>
      <w:r w:rsidR="002A02C7" w:rsidRPr="000E63CD">
        <w:rPr>
          <w:sz w:val="22"/>
          <w:szCs w:val="22"/>
        </w:rPr>
        <w:t xml:space="preserve"> directamente</w:t>
      </w:r>
      <w:r w:rsidR="00DF4298" w:rsidRPr="000E63CD">
        <w:rPr>
          <w:sz w:val="22"/>
          <w:szCs w:val="22"/>
        </w:rPr>
        <w:t xml:space="preserve"> (campos que se encuentren en pruebas extensas o sobre los cuales no se haya declarado su comercialidad, de campos menores o de yacimientos no convencionales)</w:t>
      </w:r>
      <w:r w:rsidR="00807242" w:rsidRPr="000E63CD">
        <w:rPr>
          <w:sz w:val="22"/>
          <w:szCs w:val="22"/>
        </w:rPr>
        <w:t xml:space="preserve">. </w:t>
      </w:r>
    </w:p>
    <w:p w14:paraId="36005E86" w14:textId="77777777" w:rsidR="00BA0F52" w:rsidRDefault="00BA0F52" w:rsidP="001A267E">
      <w:pPr>
        <w:rPr>
          <w:sz w:val="22"/>
          <w:szCs w:val="22"/>
        </w:rPr>
      </w:pPr>
    </w:p>
    <w:p w14:paraId="3FDBAE46" w14:textId="58FB6B3E" w:rsidR="00403822" w:rsidRPr="000E63CD" w:rsidRDefault="00BA0F52" w:rsidP="001A267E">
      <w:pPr>
        <w:rPr>
          <w:sz w:val="22"/>
          <w:szCs w:val="22"/>
        </w:rPr>
      </w:pPr>
      <w:r>
        <w:rPr>
          <w:sz w:val="22"/>
          <w:szCs w:val="22"/>
        </w:rPr>
        <w:t>Con posterioridad</w:t>
      </w:r>
      <w:r w:rsidR="00F053C7" w:rsidRPr="000E63CD">
        <w:rPr>
          <w:sz w:val="22"/>
          <w:szCs w:val="22"/>
        </w:rPr>
        <w:t xml:space="preserve">, mediante la Resolución CREG 021 de 2019 se dio </w:t>
      </w:r>
      <w:r w:rsidR="0017400F" w:rsidRPr="000E63CD">
        <w:rPr>
          <w:sz w:val="22"/>
          <w:szCs w:val="22"/>
        </w:rPr>
        <w:t xml:space="preserve">también </w:t>
      </w:r>
      <w:r w:rsidR="003C6E42" w:rsidRPr="000E63CD">
        <w:rPr>
          <w:sz w:val="22"/>
          <w:szCs w:val="22"/>
        </w:rPr>
        <w:t>l</w:t>
      </w:r>
      <w:r w:rsidR="0017400F" w:rsidRPr="000E63CD">
        <w:rPr>
          <w:sz w:val="22"/>
          <w:szCs w:val="22"/>
        </w:rPr>
        <w:t xml:space="preserve">a </w:t>
      </w:r>
      <w:r w:rsidR="00F053C7" w:rsidRPr="000E63CD">
        <w:rPr>
          <w:sz w:val="22"/>
          <w:szCs w:val="22"/>
        </w:rPr>
        <w:t>flexibilidad</w:t>
      </w:r>
      <w:r w:rsidR="0017400F" w:rsidRPr="000E63CD">
        <w:rPr>
          <w:sz w:val="22"/>
          <w:szCs w:val="22"/>
        </w:rPr>
        <w:t xml:space="preserve"> </w:t>
      </w:r>
      <w:r w:rsidR="00282940" w:rsidRPr="000E63CD">
        <w:rPr>
          <w:sz w:val="22"/>
          <w:szCs w:val="22"/>
        </w:rPr>
        <w:t xml:space="preserve">dada inicialmente a </w:t>
      </w:r>
      <w:r w:rsidR="009B3B21" w:rsidRPr="000E63CD">
        <w:rPr>
          <w:sz w:val="22"/>
          <w:szCs w:val="22"/>
        </w:rPr>
        <w:t>lo</w:t>
      </w:r>
      <w:r w:rsidR="00282940" w:rsidRPr="000E63CD">
        <w:rPr>
          <w:sz w:val="22"/>
          <w:szCs w:val="22"/>
        </w:rPr>
        <w:t xml:space="preserve">s tipos de fuentes de suministro </w:t>
      </w:r>
      <w:r w:rsidR="009B3B21" w:rsidRPr="000E63CD">
        <w:rPr>
          <w:sz w:val="22"/>
          <w:szCs w:val="22"/>
        </w:rPr>
        <w:t xml:space="preserve">mencionados </w:t>
      </w:r>
      <w:r w:rsidR="0017400F" w:rsidRPr="000E63CD">
        <w:rPr>
          <w:sz w:val="22"/>
          <w:szCs w:val="22"/>
        </w:rPr>
        <w:t xml:space="preserve">a los </w:t>
      </w:r>
      <w:r w:rsidR="00AC32B5">
        <w:rPr>
          <w:sz w:val="22"/>
          <w:szCs w:val="22"/>
        </w:rPr>
        <w:t>Vendedores</w:t>
      </w:r>
      <w:r w:rsidR="0017400F" w:rsidRPr="000E63CD">
        <w:rPr>
          <w:sz w:val="22"/>
          <w:szCs w:val="22"/>
        </w:rPr>
        <w:t xml:space="preserve"> del </w:t>
      </w:r>
      <w:r w:rsidR="00AC32B5">
        <w:rPr>
          <w:sz w:val="22"/>
          <w:szCs w:val="22"/>
        </w:rPr>
        <w:t>Mercado Secundario</w:t>
      </w:r>
      <w:r w:rsidR="00CE4467" w:rsidRPr="000E63CD">
        <w:rPr>
          <w:sz w:val="22"/>
          <w:szCs w:val="22"/>
        </w:rPr>
        <w:t xml:space="preserve">, por lo que dichos </w:t>
      </w:r>
      <w:r w:rsidR="00AC32B5">
        <w:rPr>
          <w:sz w:val="22"/>
          <w:szCs w:val="22"/>
        </w:rPr>
        <w:t>Vendedores</w:t>
      </w:r>
      <w:r w:rsidR="00CE4467" w:rsidRPr="000E63CD">
        <w:rPr>
          <w:sz w:val="22"/>
          <w:szCs w:val="22"/>
        </w:rPr>
        <w:t xml:space="preserve"> </w:t>
      </w:r>
      <w:r w:rsidR="00F42E9E" w:rsidRPr="000E63CD">
        <w:rPr>
          <w:sz w:val="22"/>
          <w:szCs w:val="22"/>
        </w:rPr>
        <w:t xml:space="preserve">del </w:t>
      </w:r>
      <w:r w:rsidR="00AC32B5">
        <w:rPr>
          <w:sz w:val="22"/>
          <w:szCs w:val="22"/>
        </w:rPr>
        <w:t>Mercado Secundario</w:t>
      </w:r>
      <w:r w:rsidR="00F42E9E" w:rsidRPr="000E63CD">
        <w:rPr>
          <w:sz w:val="22"/>
          <w:szCs w:val="22"/>
        </w:rPr>
        <w:t xml:space="preserve"> </w:t>
      </w:r>
      <w:r w:rsidR="00CE4467" w:rsidRPr="000E63CD">
        <w:rPr>
          <w:sz w:val="22"/>
          <w:szCs w:val="22"/>
        </w:rPr>
        <w:t>pueden negociar contratos con interrupciones</w:t>
      </w:r>
      <w:r w:rsidR="00414DF7" w:rsidRPr="000E63CD">
        <w:rPr>
          <w:sz w:val="22"/>
          <w:szCs w:val="22"/>
        </w:rPr>
        <w:t xml:space="preserve"> con los </w:t>
      </w:r>
      <w:r w:rsidR="00AC32B5">
        <w:rPr>
          <w:sz w:val="22"/>
          <w:szCs w:val="22"/>
        </w:rPr>
        <w:t>Compradores</w:t>
      </w:r>
      <w:r w:rsidR="00F42E9E" w:rsidRPr="000E63CD">
        <w:rPr>
          <w:sz w:val="22"/>
          <w:szCs w:val="22"/>
        </w:rPr>
        <w:t xml:space="preserve"> interesados</w:t>
      </w:r>
      <w:r w:rsidR="00CE4467" w:rsidRPr="000E63CD">
        <w:rPr>
          <w:sz w:val="22"/>
          <w:szCs w:val="22"/>
        </w:rPr>
        <w:t>, tanto en forma directa como mediante subasta mensual</w:t>
      </w:r>
      <w:r w:rsidR="00A04349" w:rsidRPr="000E63CD">
        <w:rPr>
          <w:sz w:val="22"/>
          <w:szCs w:val="22"/>
        </w:rPr>
        <w:t>. Asimismo</w:t>
      </w:r>
      <w:r w:rsidR="005C77F9" w:rsidRPr="000E63CD">
        <w:rPr>
          <w:sz w:val="22"/>
          <w:szCs w:val="22"/>
        </w:rPr>
        <w:t>,</w:t>
      </w:r>
      <w:r w:rsidR="00A04349" w:rsidRPr="000E63CD">
        <w:rPr>
          <w:sz w:val="22"/>
          <w:szCs w:val="22"/>
        </w:rPr>
        <w:t xml:space="preserve"> se dio flexibilidad en la duración de los contratos con interrupciones del </w:t>
      </w:r>
      <w:r w:rsidR="00AC32B5">
        <w:rPr>
          <w:sz w:val="22"/>
          <w:szCs w:val="22"/>
        </w:rPr>
        <w:t>Mercado Secundario</w:t>
      </w:r>
      <w:r w:rsidR="00A04349" w:rsidRPr="000E63CD">
        <w:rPr>
          <w:sz w:val="22"/>
          <w:szCs w:val="22"/>
        </w:rPr>
        <w:t>, pasando de una duración mensual únicamente</w:t>
      </w:r>
      <w:r w:rsidR="00232707" w:rsidRPr="000E63CD">
        <w:rPr>
          <w:sz w:val="22"/>
          <w:szCs w:val="22"/>
        </w:rPr>
        <w:t>,</w:t>
      </w:r>
      <w:r w:rsidR="00A04349" w:rsidRPr="000E63CD">
        <w:rPr>
          <w:sz w:val="22"/>
          <w:szCs w:val="22"/>
        </w:rPr>
        <w:t xml:space="preserve"> a contratos de duración mínima de un mes y m</w:t>
      </w:r>
      <w:r w:rsidR="00232707" w:rsidRPr="000E63CD">
        <w:rPr>
          <w:sz w:val="22"/>
          <w:szCs w:val="22"/>
        </w:rPr>
        <w:t>á</w:t>
      </w:r>
      <w:r w:rsidR="00A04349" w:rsidRPr="000E63CD">
        <w:rPr>
          <w:sz w:val="22"/>
          <w:szCs w:val="22"/>
        </w:rPr>
        <w:t>xima de 1 año</w:t>
      </w:r>
      <w:r w:rsidR="00E01FED">
        <w:rPr>
          <w:sz w:val="22"/>
          <w:szCs w:val="22"/>
        </w:rPr>
        <w:t xml:space="preserve">, lo que condujo </w:t>
      </w:r>
      <w:r w:rsidR="005C77F9" w:rsidRPr="000E63CD">
        <w:rPr>
          <w:sz w:val="22"/>
          <w:szCs w:val="22"/>
        </w:rPr>
        <w:t xml:space="preserve">a reducir </w:t>
      </w:r>
      <w:r w:rsidR="00CE4467" w:rsidRPr="000E63CD">
        <w:rPr>
          <w:sz w:val="22"/>
          <w:szCs w:val="22"/>
        </w:rPr>
        <w:t>aún más la efectividad de las subastas mensuales con interrupciones</w:t>
      </w:r>
      <w:r w:rsidR="00F2452B" w:rsidRPr="000E63CD">
        <w:rPr>
          <w:sz w:val="22"/>
          <w:szCs w:val="22"/>
        </w:rPr>
        <w:t xml:space="preserve"> de contratos de duración mensual</w:t>
      </w:r>
      <w:r w:rsidR="00F42E9E" w:rsidRPr="000E63CD">
        <w:rPr>
          <w:sz w:val="22"/>
          <w:szCs w:val="22"/>
        </w:rPr>
        <w:t>, presentándose una situación similar a la mencionada en el caso de las subastas de contratos firmes bimestrales</w:t>
      </w:r>
      <w:r w:rsidR="00414DF7" w:rsidRPr="000E63CD">
        <w:rPr>
          <w:sz w:val="22"/>
          <w:szCs w:val="22"/>
        </w:rPr>
        <w:t xml:space="preserve">. </w:t>
      </w:r>
    </w:p>
    <w:p w14:paraId="707B98A9" w14:textId="77777777" w:rsidR="00426407" w:rsidRPr="000E63CD" w:rsidRDefault="00426407" w:rsidP="001A267E">
      <w:pPr>
        <w:rPr>
          <w:sz w:val="22"/>
          <w:szCs w:val="22"/>
        </w:rPr>
      </w:pPr>
    </w:p>
    <w:p w14:paraId="6B5E58AD" w14:textId="6937EA39" w:rsidR="00426407" w:rsidRPr="000E63CD" w:rsidRDefault="00426407" w:rsidP="001A267E">
      <w:pPr>
        <w:rPr>
          <w:sz w:val="22"/>
          <w:szCs w:val="22"/>
        </w:rPr>
      </w:pPr>
      <w:r w:rsidRPr="000E63CD">
        <w:rPr>
          <w:sz w:val="22"/>
          <w:szCs w:val="22"/>
        </w:rPr>
        <w:t xml:space="preserve">En la siguiente </w:t>
      </w:r>
      <w:r w:rsidR="00057E29">
        <w:rPr>
          <w:sz w:val="22"/>
          <w:szCs w:val="22"/>
        </w:rPr>
        <w:fldChar w:fldCharType="begin"/>
      </w:r>
      <w:r w:rsidR="00057E29">
        <w:rPr>
          <w:sz w:val="22"/>
          <w:szCs w:val="22"/>
        </w:rPr>
        <w:instrText xml:space="preserve"> REF _Ref129697716 \h </w:instrText>
      </w:r>
      <w:r w:rsidR="00057E29">
        <w:rPr>
          <w:sz w:val="22"/>
          <w:szCs w:val="22"/>
        </w:rPr>
      </w:r>
      <w:r w:rsidR="00057E29">
        <w:rPr>
          <w:sz w:val="22"/>
          <w:szCs w:val="22"/>
        </w:rPr>
        <w:fldChar w:fldCharType="separate"/>
      </w:r>
      <w:r w:rsidR="006B7344" w:rsidRPr="00057E29">
        <w:rPr>
          <w:sz w:val="22"/>
          <w:szCs w:val="22"/>
        </w:rPr>
        <w:t xml:space="preserve">Figura </w:t>
      </w:r>
      <w:r w:rsidR="006B7344">
        <w:rPr>
          <w:i/>
          <w:iCs/>
          <w:noProof/>
          <w:sz w:val="22"/>
          <w:szCs w:val="22"/>
        </w:rPr>
        <w:t>15</w:t>
      </w:r>
      <w:r w:rsidR="00057E29">
        <w:rPr>
          <w:sz w:val="22"/>
          <w:szCs w:val="22"/>
        </w:rPr>
        <w:fldChar w:fldCharType="end"/>
      </w:r>
      <w:r w:rsidR="00057E29">
        <w:rPr>
          <w:sz w:val="22"/>
          <w:szCs w:val="22"/>
        </w:rPr>
        <w:t xml:space="preserve"> </w:t>
      </w:r>
      <w:r w:rsidRPr="000E63CD">
        <w:rPr>
          <w:sz w:val="22"/>
          <w:szCs w:val="22"/>
        </w:rPr>
        <w:t>se puede observar la baja utilización del mecanismo de subastas mensual</w:t>
      </w:r>
      <w:r w:rsidR="00845A9B" w:rsidRPr="000E63CD">
        <w:rPr>
          <w:sz w:val="22"/>
          <w:szCs w:val="22"/>
        </w:rPr>
        <w:t>es</w:t>
      </w:r>
      <w:r w:rsidRPr="000E63CD">
        <w:rPr>
          <w:sz w:val="22"/>
          <w:szCs w:val="22"/>
        </w:rPr>
        <w:t xml:space="preserve"> de contratos con interrupciones </w:t>
      </w:r>
      <w:r w:rsidR="00845A9B" w:rsidRPr="000E63CD">
        <w:rPr>
          <w:sz w:val="22"/>
          <w:szCs w:val="22"/>
        </w:rPr>
        <w:t>respecto de</w:t>
      </w:r>
      <w:r w:rsidRPr="000E63CD">
        <w:rPr>
          <w:sz w:val="22"/>
          <w:szCs w:val="22"/>
        </w:rPr>
        <w:t xml:space="preserve"> los contratos con interrupciones que se firman en la totalidad del mercado mayorista</w:t>
      </w:r>
      <w:r w:rsidR="00845A9B" w:rsidRPr="000E63CD">
        <w:rPr>
          <w:sz w:val="22"/>
          <w:szCs w:val="22"/>
        </w:rPr>
        <w:t>.</w:t>
      </w:r>
    </w:p>
    <w:p w14:paraId="02899EF8" w14:textId="12376D11" w:rsidR="00845A9B" w:rsidRDefault="00845A9B" w:rsidP="001A267E">
      <w:pPr>
        <w:rPr>
          <w:sz w:val="22"/>
          <w:szCs w:val="22"/>
        </w:rPr>
      </w:pPr>
    </w:p>
    <w:p w14:paraId="7ED65985" w14:textId="77777777" w:rsidR="00D07EB2" w:rsidRPr="000E63CD" w:rsidRDefault="00D07EB2" w:rsidP="001A267E">
      <w:pPr>
        <w:rPr>
          <w:sz w:val="22"/>
          <w:szCs w:val="22"/>
        </w:rPr>
      </w:pPr>
    </w:p>
    <w:p w14:paraId="64A3F819" w14:textId="7EE869BD" w:rsidR="00057E29" w:rsidRPr="00057E29" w:rsidRDefault="00057E29" w:rsidP="00057E29">
      <w:pPr>
        <w:pStyle w:val="Descripcin"/>
        <w:keepNext/>
        <w:jc w:val="center"/>
        <w:rPr>
          <w:i w:val="0"/>
          <w:iCs w:val="0"/>
          <w:sz w:val="22"/>
          <w:szCs w:val="22"/>
        </w:rPr>
      </w:pPr>
      <w:bookmarkStart w:id="404" w:name="_Ref129697716"/>
      <w:bookmarkStart w:id="405" w:name="_Toc140506608"/>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15</w:t>
      </w:r>
      <w:r w:rsidR="006B6B6C">
        <w:rPr>
          <w:i w:val="0"/>
          <w:iCs w:val="0"/>
          <w:sz w:val="22"/>
          <w:szCs w:val="22"/>
        </w:rPr>
        <w:fldChar w:fldCharType="end"/>
      </w:r>
      <w:bookmarkEnd w:id="404"/>
      <w:r w:rsidRPr="00057E29">
        <w:rPr>
          <w:i w:val="0"/>
          <w:iCs w:val="0"/>
          <w:sz w:val="22"/>
          <w:szCs w:val="22"/>
        </w:rPr>
        <w:t xml:space="preserve"> Cantidades registradas en contratos con interrupciones a enero 2022</w:t>
      </w:r>
      <w:bookmarkEnd w:id="405"/>
    </w:p>
    <w:p w14:paraId="549B5E07" w14:textId="6D62E37E" w:rsidR="00A627CB" w:rsidRPr="000E63CD" w:rsidRDefault="007F615D" w:rsidP="001A267E">
      <w:pPr>
        <w:rPr>
          <w:sz w:val="22"/>
          <w:szCs w:val="22"/>
        </w:rPr>
      </w:pPr>
      <w:r w:rsidRPr="000E63CD">
        <w:rPr>
          <w:noProof/>
          <w:sz w:val="22"/>
          <w:szCs w:val="22"/>
        </w:rPr>
        <w:drawing>
          <wp:inline distT="0" distB="0" distL="0" distR="0" wp14:anchorId="05BE4FEA" wp14:editId="402D2C30">
            <wp:extent cx="5940425" cy="3387090"/>
            <wp:effectExtent l="0" t="0" r="3175" b="3810"/>
            <wp:docPr id="5"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pic:nvPicPr>
                  <pic:blipFill>
                    <a:blip r:embed="rId30"/>
                    <a:stretch>
                      <a:fillRect/>
                    </a:stretch>
                  </pic:blipFill>
                  <pic:spPr>
                    <a:xfrm>
                      <a:off x="0" y="0"/>
                      <a:ext cx="5940425" cy="3387090"/>
                    </a:xfrm>
                    <a:prstGeom prst="rect">
                      <a:avLst/>
                    </a:prstGeom>
                  </pic:spPr>
                </pic:pic>
              </a:graphicData>
            </a:graphic>
          </wp:inline>
        </w:drawing>
      </w:r>
    </w:p>
    <w:p w14:paraId="45F22104" w14:textId="77777777" w:rsidR="00C620F6" w:rsidRDefault="00C620F6" w:rsidP="001A267E">
      <w:pPr>
        <w:rPr>
          <w:sz w:val="18"/>
          <w:szCs w:val="18"/>
        </w:rPr>
      </w:pPr>
    </w:p>
    <w:p w14:paraId="529B78AC" w14:textId="54BB53D6" w:rsidR="00B60139" w:rsidRPr="002C683B" w:rsidRDefault="00C620F6" w:rsidP="001A267E">
      <w:pPr>
        <w:rPr>
          <w:sz w:val="18"/>
          <w:szCs w:val="18"/>
        </w:rPr>
      </w:pPr>
      <w:r>
        <w:rPr>
          <w:sz w:val="18"/>
          <w:szCs w:val="18"/>
        </w:rPr>
        <w:t>E</w:t>
      </w:r>
      <w:r w:rsidR="00386409" w:rsidRPr="002C683B">
        <w:rPr>
          <w:sz w:val="18"/>
          <w:szCs w:val="18"/>
        </w:rPr>
        <w:t xml:space="preserve">laborada con base en información aportada por el </w:t>
      </w:r>
      <w:r w:rsidR="005114C6">
        <w:rPr>
          <w:sz w:val="18"/>
          <w:szCs w:val="18"/>
        </w:rPr>
        <w:t>Gestor del Mercado</w:t>
      </w:r>
      <w:r w:rsidR="00386409" w:rsidRPr="002C683B">
        <w:rPr>
          <w:sz w:val="18"/>
          <w:szCs w:val="18"/>
        </w:rPr>
        <w:t xml:space="preserve"> </w:t>
      </w:r>
    </w:p>
    <w:p w14:paraId="1464053D" w14:textId="77777777" w:rsidR="00386409" w:rsidRPr="000E63CD" w:rsidRDefault="00386409" w:rsidP="001A267E">
      <w:pPr>
        <w:rPr>
          <w:sz w:val="22"/>
          <w:szCs w:val="22"/>
        </w:rPr>
      </w:pPr>
    </w:p>
    <w:p w14:paraId="781B3FB1" w14:textId="34823FB1" w:rsidR="00B571FE" w:rsidRPr="000E63CD" w:rsidRDefault="00B60139" w:rsidP="001A267E">
      <w:pPr>
        <w:rPr>
          <w:sz w:val="22"/>
          <w:szCs w:val="22"/>
        </w:rPr>
      </w:pPr>
      <w:r w:rsidRPr="000E63CD">
        <w:rPr>
          <w:sz w:val="22"/>
          <w:szCs w:val="22"/>
        </w:rPr>
        <w:t xml:space="preserve">Es así como </w:t>
      </w:r>
      <w:r w:rsidR="009B3B21" w:rsidRPr="000E63CD">
        <w:rPr>
          <w:sz w:val="22"/>
          <w:szCs w:val="22"/>
        </w:rPr>
        <w:t xml:space="preserve">se encuentra que </w:t>
      </w:r>
      <w:r w:rsidR="00682393" w:rsidRPr="000E63CD">
        <w:rPr>
          <w:sz w:val="22"/>
          <w:szCs w:val="22"/>
        </w:rPr>
        <w:t>el momento de mayor uso de los contr</w:t>
      </w:r>
      <w:r w:rsidR="00FF3496" w:rsidRPr="000E63CD">
        <w:rPr>
          <w:sz w:val="22"/>
          <w:szCs w:val="22"/>
        </w:rPr>
        <w:t>a</w:t>
      </w:r>
      <w:r w:rsidR="00682393" w:rsidRPr="000E63CD">
        <w:rPr>
          <w:sz w:val="22"/>
          <w:szCs w:val="22"/>
        </w:rPr>
        <w:t>tos con interrupciones ne</w:t>
      </w:r>
      <w:r w:rsidR="00FF3496" w:rsidRPr="000E63CD">
        <w:rPr>
          <w:sz w:val="22"/>
          <w:szCs w:val="22"/>
        </w:rPr>
        <w:t>gociados</w:t>
      </w:r>
      <w:r w:rsidR="00682393" w:rsidRPr="000E63CD">
        <w:rPr>
          <w:sz w:val="22"/>
          <w:szCs w:val="22"/>
        </w:rPr>
        <w:t xml:space="preserve"> mediante subastas mensuales fue </w:t>
      </w:r>
      <w:r w:rsidR="00FF3496" w:rsidRPr="000E63CD">
        <w:rPr>
          <w:sz w:val="22"/>
          <w:szCs w:val="22"/>
        </w:rPr>
        <w:t xml:space="preserve">marzo de 2019, alcanzando un porcentaje </w:t>
      </w:r>
      <w:r w:rsidR="0011628F" w:rsidRPr="000E63CD">
        <w:rPr>
          <w:sz w:val="22"/>
          <w:szCs w:val="22"/>
        </w:rPr>
        <w:t xml:space="preserve">máximo </w:t>
      </w:r>
      <w:r w:rsidR="00FF3496" w:rsidRPr="000E63CD">
        <w:rPr>
          <w:sz w:val="22"/>
          <w:szCs w:val="22"/>
        </w:rPr>
        <w:t xml:space="preserve">de participación </w:t>
      </w:r>
      <w:r w:rsidR="0061327B" w:rsidRPr="000E63CD">
        <w:rPr>
          <w:sz w:val="22"/>
          <w:szCs w:val="22"/>
        </w:rPr>
        <w:t xml:space="preserve">del 31% </w:t>
      </w:r>
      <w:r w:rsidR="00985EDF" w:rsidRPr="000E63CD">
        <w:rPr>
          <w:sz w:val="22"/>
          <w:szCs w:val="22"/>
        </w:rPr>
        <w:t>(</w:t>
      </w:r>
      <w:r w:rsidR="00794040" w:rsidRPr="000E63CD">
        <w:rPr>
          <w:sz w:val="22"/>
          <w:szCs w:val="22"/>
        </w:rPr>
        <w:t xml:space="preserve">en la </w:t>
      </w:r>
      <w:r w:rsidR="00057E29">
        <w:rPr>
          <w:sz w:val="22"/>
          <w:szCs w:val="22"/>
        </w:rPr>
        <w:fldChar w:fldCharType="begin"/>
      </w:r>
      <w:r w:rsidR="00057E29">
        <w:rPr>
          <w:sz w:val="22"/>
          <w:szCs w:val="22"/>
        </w:rPr>
        <w:instrText xml:space="preserve"> REF _Ref129697716 \h </w:instrText>
      </w:r>
      <w:r w:rsidR="00057E29">
        <w:rPr>
          <w:sz w:val="22"/>
          <w:szCs w:val="22"/>
        </w:rPr>
      </w:r>
      <w:r w:rsidR="00057E29">
        <w:rPr>
          <w:sz w:val="22"/>
          <w:szCs w:val="22"/>
        </w:rPr>
        <w:fldChar w:fldCharType="separate"/>
      </w:r>
      <w:r w:rsidR="006B7344" w:rsidRPr="00057E29">
        <w:rPr>
          <w:sz w:val="22"/>
          <w:szCs w:val="22"/>
        </w:rPr>
        <w:t xml:space="preserve">Figura </w:t>
      </w:r>
      <w:r w:rsidR="006B7344">
        <w:rPr>
          <w:i/>
          <w:iCs/>
          <w:noProof/>
          <w:sz w:val="22"/>
          <w:szCs w:val="22"/>
        </w:rPr>
        <w:t>15</w:t>
      </w:r>
      <w:r w:rsidR="00057E29">
        <w:rPr>
          <w:sz w:val="22"/>
          <w:szCs w:val="22"/>
        </w:rPr>
        <w:fldChar w:fldCharType="end"/>
      </w:r>
      <w:r w:rsidR="00C620F6">
        <w:rPr>
          <w:sz w:val="22"/>
          <w:szCs w:val="22"/>
        </w:rPr>
        <w:t>:</w:t>
      </w:r>
      <w:r w:rsidR="00794040" w:rsidRPr="000E63CD">
        <w:rPr>
          <w:sz w:val="22"/>
          <w:szCs w:val="22"/>
        </w:rPr>
        <w:t xml:space="preserve"> </w:t>
      </w:r>
      <w:r w:rsidR="00985EDF" w:rsidRPr="000E63CD">
        <w:rPr>
          <w:sz w:val="22"/>
          <w:szCs w:val="22"/>
        </w:rPr>
        <w:t xml:space="preserve">línea roja con eje derecho) </w:t>
      </w:r>
      <w:r w:rsidR="00FF3496" w:rsidRPr="000E63CD">
        <w:rPr>
          <w:sz w:val="22"/>
          <w:szCs w:val="22"/>
        </w:rPr>
        <w:t>respecto de las cantidades totales registradas para dich</w:t>
      </w:r>
      <w:r w:rsidR="0061327B" w:rsidRPr="000E63CD">
        <w:rPr>
          <w:sz w:val="22"/>
          <w:szCs w:val="22"/>
        </w:rPr>
        <w:t>a</w:t>
      </w:r>
      <w:r w:rsidR="00FF3496" w:rsidRPr="000E63CD">
        <w:rPr>
          <w:sz w:val="22"/>
          <w:szCs w:val="22"/>
        </w:rPr>
        <w:t xml:space="preserve"> modalidad contractual</w:t>
      </w:r>
      <w:r w:rsidR="0061327B" w:rsidRPr="000E63CD">
        <w:rPr>
          <w:sz w:val="22"/>
          <w:szCs w:val="22"/>
        </w:rPr>
        <w:t xml:space="preserve">. </w:t>
      </w:r>
      <w:r w:rsidR="00D776F2" w:rsidRPr="000E63CD">
        <w:rPr>
          <w:sz w:val="22"/>
          <w:szCs w:val="22"/>
        </w:rPr>
        <w:t>S</w:t>
      </w:r>
      <w:r w:rsidR="0061327B" w:rsidRPr="000E63CD">
        <w:rPr>
          <w:sz w:val="22"/>
          <w:szCs w:val="22"/>
        </w:rPr>
        <w:t xml:space="preserve">in embargo, a partir de ese </w:t>
      </w:r>
      <w:r w:rsidR="006F4F44" w:rsidRPr="000E63CD">
        <w:rPr>
          <w:sz w:val="22"/>
          <w:szCs w:val="22"/>
        </w:rPr>
        <w:t xml:space="preserve">mismo </w:t>
      </w:r>
      <w:r w:rsidR="0061327B" w:rsidRPr="000E63CD">
        <w:rPr>
          <w:sz w:val="22"/>
          <w:szCs w:val="22"/>
        </w:rPr>
        <w:t>mes</w:t>
      </w:r>
      <w:r w:rsidR="00D776F2" w:rsidRPr="000E63CD">
        <w:rPr>
          <w:sz w:val="22"/>
          <w:szCs w:val="22"/>
        </w:rPr>
        <w:t>,</w:t>
      </w:r>
      <w:r w:rsidR="0061327B" w:rsidRPr="000E63CD">
        <w:rPr>
          <w:sz w:val="22"/>
          <w:szCs w:val="22"/>
        </w:rPr>
        <w:t xml:space="preserve"> con la flexibilidad dada a los </w:t>
      </w:r>
      <w:r w:rsidR="00AC32B5">
        <w:rPr>
          <w:sz w:val="22"/>
          <w:szCs w:val="22"/>
        </w:rPr>
        <w:t>Vendedores</w:t>
      </w:r>
      <w:r w:rsidR="0061327B" w:rsidRPr="000E63CD">
        <w:rPr>
          <w:sz w:val="22"/>
          <w:szCs w:val="22"/>
        </w:rPr>
        <w:t xml:space="preserve"> del </w:t>
      </w:r>
      <w:r w:rsidR="00AC32B5">
        <w:rPr>
          <w:sz w:val="22"/>
          <w:szCs w:val="22"/>
        </w:rPr>
        <w:t>Mercado Secundario</w:t>
      </w:r>
      <w:r w:rsidR="0061327B" w:rsidRPr="000E63CD">
        <w:rPr>
          <w:sz w:val="22"/>
          <w:szCs w:val="22"/>
        </w:rPr>
        <w:t xml:space="preserve"> mediante la Resolución CREG </w:t>
      </w:r>
      <w:r w:rsidR="00DF1AA1" w:rsidRPr="000E63CD">
        <w:rPr>
          <w:sz w:val="22"/>
          <w:szCs w:val="22"/>
        </w:rPr>
        <w:t>0</w:t>
      </w:r>
      <w:r w:rsidR="0061327B" w:rsidRPr="000E63CD">
        <w:rPr>
          <w:sz w:val="22"/>
          <w:szCs w:val="22"/>
        </w:rPr>
        <w:t xml:space="preserve">21 de 2019 publicada el </w:t>
      </w:r>
      <w:r w:rsidR="007F05E4" w:rsidRPr="000E63CD">
        <w:rPr>
          <w:sz w:val="22"/>
          <w:szCs w:val="22"/>
        </w:rPr>
        <w:t xml:space="preserve">12 de febrero de 2019, </w:t>
      </w:r>
      <w:r w:rsidR="009628CB" w:rsidRPr="000E63CD">
        <w:rPr>
          <w:sz w:val="22"/>
          <w:szCs w:val="22"/>
        </w:rPr>
        <w:t xml:space="preserve">se evidencia un incremento en la participación de cantidades contratadas mediante contratos con interrupciones en el </w:t>
      </w:r>
      <w:r w:rsidR="00AC32B5">
        <w:rPr>
          <w:sz w:val="22"/>
          <w:szCs w:val="22"/>
        </w:rPr>
        <w:t>Mercado Secundario</w:t>
      </w:r>
      <w:r w:rsidR="00604D5F" w:rsidRPr="000E63CD">
        <w:rPr>
          <w:sz w:val="22"/>
          <w:szCs w:val="22"/>
        </w:rPr>
        <w:t xml:space="preserve"> </w:t>
      </w:r>
      <w:r w:rsidR="009E5653" w:rsidRPr="000E63CD">
        <w:rPr>
          <w:sz w:val="22"/>
          <w:szCs w:val="22"/>
        </w:rPr>
        <w:t>(</w:t>
      </w:r>
      <w:r w:rsidR="00794040" w:rsidRPr="000E63CD">
        <w:rPr>
          <w:sz w:val="22"/>
          <w:szCs w:val="22"/>
        </w:rPr>
        <w:t xml:space="preserve">en la </w:t>
      </w:r>
      <w:r w:rsidR="00057E29">
        <w:rPr>
          <w:sz w:val="22"/>
          <w:szCs w:val="22"/>
        </w:rPr>
        <w:fldChar w:fldCharType="begin"/>
      </w:r>
      <w:r w:rsidR="00057E29">
        <w:rPr>
          <w:sz w:val="22"/>
          <w:szCs w:val="22"/>
        </w:rPr>
        <w:instrText xml:space="preserve"> REF _Ref129697716 \h </w:instrText>
      </w:r>
      <w:r w:rsidR="00057E29">
        <w:rPr>
          <w:sz w:val="22"/>
          <w:szCs w:val="22"/>
        </w:rPr>
      </w:r>
      <w:r w:rsidR="00057E29">
        <w:rPr>
          <w:sz w:val="22"/>
          <w:szCs w:val="22"/>
        </w:rPr>
        <w:fldChar w:fldCharType="separate"/>
      </w:r>
      <w:r w:rsidR="006B7344" w:rsidRPr="00057E29">
        <w:rPr>
          <w:sz w:val="22"/>
          <w:szCs w:val="22"/>
        </w:rPr>
        <w:t xml:space="preserve">Figura </w:t>
      </w:r>
      <w:r w:rsidR="006B7344">
        <w:rPr>
          <w:i/>
          <w:iCs/>
          <w:noProof/>
          <w:sz w:val="22"/>
          <w:szCs w:val="22"/>
        </w:rPr>
        <w:t>15</w:t>
      </w:r>
      <w:r w:rsidR="00057E29">
        <w:rPr>
          <w:sz w:val="22"/>
          <w:szCs w:val="22"/>
        </w:rPr>
        <w:fldChar w:fldCharType="end"/>
      </w:r>
      <w:r w:rsidR="00057E29">
        <w:rPr>
          <w:sz w:val="22"/>
          <w:szCs w:val="22"/>
        </w:rPr>
        <w:t xml:space="preserve"> </w:t>
      </w:r>
      <w:r w:rsidR="009E5653" w:rsidRPr="000E63CD">
        <w:rPr>
          <w:sz w:val="22"/>
          <w:szCs w:val="22"/>
        </w:rPr>
        <w:t xml:space="preserve">MS directas) </w:t>
      </w:r>
      <w:r w:rsidR="00604D5F" w:rsidRPr="000E63CD">
        <w:rPr>
          <w:sz w:val="22"/>
          <w:szCs w:val="22"/>
        </w:rPr>
        <w:t>que se ha ido elevan</w:t>
      </w:r>
      <w:r w:rsidR="00165F39" w:rsidRPr="000E63CD">
        <w:rPr>
          <w:sz w:val="22"/>
          <w:szCs w:val="22"/>
        </w:rPr>
        <w:t>do</w:t>
      </w:r>
      <w:r w:rsidR="00604D5F" w:rsidRPr="000E63CD">
        <w:rPr>
          <w:sz w:val="22"/>
          <w:szCs w:val="22"/>
        </w:rPr>
        <w:t xml:space="preserve"> en forma continua para actualmente alcanzar a tener canti</w:t>
      </w:r>
      <w:r w:rsidR="00165F39" w:rsidRPr="000E63CD">
        <w:rPr>
          <w:sz w:val="22"/>
          <w:szCs w:val="22"/>
        </w:rPr>
        <w:t>d</w:t>
      </w:r>
      <w:r w:rsidR="00604D5F" w:rsidRPr="000E63CD">
        <w:rPr>
          <w:sz w:val="22"/>
          <w:szCs w:val="22"/>
        </w:rPr>
        <w:t>ades similares a las registradas mediante contratos con inter</w:t>
      </w:r>
      <w:r w:rsidR="00165F39" w:rsidRPr="000E63CD">
        <w:rPr>
          <w:sz w:val="22"/>
          <w:szCs w:val="22"/>
        </w:rPr>
        <w:t>r</w:t>
      </w:r>
      <w:r w:rsidR="00604D5F" w:rsidRPr="000E63CD">
        <w:rPr>
          <w:sz w:val="22"/>
          <w:szCs w:val="22"/>
        </w:rPr>
        <w:t xml:space="preserve">upciones de las fuentes de suministro </w:t>
      </w:r>
      <w:r w:rsidR="003F552F" w:rsidRPr="000E63CD">
        <w:rPr>
          <w:sz w:val="22"/>
          <w:szCs w:val="22"/>
        </w:rPr>
        <w:t xml:space="preserve">en el </w:t>
      </w:r>
      <w:r w:rsidR="00AC32B5">
        <w:rPr>
          <w:sz w:val="22"/>
          <w:szCs w:val="22"/>
        </w:rPr>
        <w:t>Mercado Primario</w:t>
      </w:r>
      <w:r w:rsidR="003F552F" w:rsidRPr="000E63CD">
        <w:rPr>
          <w:sz w:val="22"/>
          <w:szCs w:val="22"/>
        </w:rPr>
        <w:t xml:space="preserve"> </w:t>
      </w:r>
      <w:r w:rsidR="00604D5F" w:rsidRPr="000E63CD">
        <w:rPr>
          <w:sz w:val="22"/>
          <w:szCs w:val="22"/>
        </w:rPr>
        <w:t>con flexibilidad de contratación directa</w:t>
      </w:r>
      <w:r w:rsidR="009E5653" w:rsidRPr="000E63CD">
        <w:rPr>
          <w:sz w:val="22"/>
          <w:szCs w:val="22"/>
        </w:rPr>
        <w:t xml:space="preserve"> (</w:t>
      </w:r>
      <w:r w:rsidR="00794040" w:rsidRPr="000E63CD">
        <w:rPr>
          <w:sz w:val="22"/>
          <w:szCs w:val="22"/>
        </w:rPr>
        <w:t xml:space="preserve">en la </w:t>
      </w:r>
      <w:r w:rsidR="00057E29">
        <w:rPr>
          <w:sz w:val="22"/>
          <w:szCs w:val="22"/>
        </w:rPr>
        <w:fldChar w:fldCharType="begin"/>
      </w:r>
      <w:r w:rsidR="00057E29">
        <w:rPr>
          <w:sz w:val="22"/>
          <w:szCs w:val="22"/>
        </w:rPr>
        <w:instrText xml:space="preserve"> REF _Ref129697716 \h </w:instrText>
      </w:r>
      <w:r w:rsidR="00057E29">
        <w:rPr>
          <w:sz w:val="22"/>
          <w:szCs w:val="22"/>
        </w:rPr>
      </w:r>
      <w:r w:rsidR="00057E29">
        <w:rPr>
          <w:sz w:val="22"/>
          <w:szCs w:val="22"/>
        </w:rPr>
        <w:fldChar w:fldCharType="separate"/>
      </w:r>
      <w:r w:rsidR="006B7344" w:rsidRPr="00057E29">
        <w:rPr>
          <w:sz w:val="22"/>
          <w:szCs w:val="22"/>
        </w:rPr>
        <w:t xml:space="preserve">Figura </w:t>
      </w:r>
      <w:r w:rsidR="006B7344">
        <w:rPr>
          <w:i/>
          <w:iCs/>
          <w:noProof/>
          <w:sz w:val="22"/>
          <w:szCs w:val="22"/>
        </w:rPr>
        <w:t>15</w:t>
      </w:r>
      <w:r w:rsidR="00057E29">
        <w:rPr>
          <w:sz w:val="22"/>
          <w:szCs w:val="22"/>
        </w:rPr>
        <w:fldChar w:fldCharType="end"/>
      </w:r>
      <w:r w:rsidR="00794040" w:rsidRPr="000E63CD">
        <w:rPr>
          <w:sz w:val="22"/>
          <w:szCs w:val="22"/>
        </w:rPr>
        <w:t xml:space="preserve"> </w:t>
      </w:r>
      <w:r w:rsidR="009E5653" w:rsidRPr="000E63CD">
        <w:rPr>
          <w:sz w:val="22"/>
          <w:szCs w:val="22"/>
        </w:rPr>
        <w:t>MP directas)</w:t>
      </w:r>
      <w:r w:rsidR="00604D5F" w:rsidRPr="000E63CD">
        <w:rPr>
          <w:sz w:val="22"/>
          <w:szCs w:val="22"/>
        </w:rPr>
        <w:t>.</w:t>
      </w:r>
      <w:r w:rsidR="009628CB" w:rsidRPr="000E63CD">
        <w:rPr>
          <w:sz w:val="22"/>
          <w:szCs w:val="22"/>
        </w:rPr>
        <w:t xml:space="preserve"> </w:t>
      </w:r>
      <w:r w:rsidR="00D776F2" w:rsidRPr="000E63CD">
        <w:rPr>
          <w:sz w:val="22"/>
          <w:szCs w:val="22"/>
        </w:rPr>
        <w:t xml:space="preserve">Lo anterior ha resultado </w:t>
      </w:r>
      <w:r w:rsidR="00DE5101" w:rsidRPr="000E63CD">
        <w:rPr>
          <w:sz w:val="22"/>
          <w:szCs w:val="22"/>
        </w:rPr>
        <w:t>en un mecanismo de subastas con poca</w:t>
      </w:r>
      <w:r w:rsidR="0011628F" w:rsidRPr="000E63CD">
        <w:rPr>
          <w:sz w:val="22"/>
          <w:szCs w:val="22"/>
        </w:rPr>
        <w:t>s cantidades contratadas en comparación a las cantidades totales (</w:t>
      </w:r>
      <w:r w:rsidR="007D4454" w:rsidRPr="000E63CD">
        <w:rPr>
          <w:sz w:val="22"/>
          <w:szCs w:val="22"/>
        </w:rPr>
        <w:t>inferior al 5%)</w:t>
      </w:r>
      <w:r w:rsidR="00DE5101" w:rsidRPr="000E63CD">
        <w:rPr>
          <w:sz w:val="22"/>
          <w:szCs w:val="22"/>
        </w:rPr>
        <w:t xml:space="preserve"> y</w:t>
      </w:r>
      <w:r w:rsidR="009128CF" w:rsidRPr="000E63CD">
        <w:rPr>
          <w:sz w:val="22"/>
          <w:szCs w:val="22"/>
        </w:rPr>
        <w:t xml:space="preserve"> con</w:t>
      </w:r>
      <w:r w:rsidR="00DE5101" w:rsidRPr="000E63CD">
        <w:rPr>
          <w:sz w:val="22"/>
          <w:szCs w:val="22"/>
        </w:rPr>
        <w:t xml:space="preserve"> reglas de </w:t>
      </w:r>
      <w:r w:rsidR="00B571FE" w:rsidRPr="000E63CD">
        <w:rPr>
          <w:sz w:val="22"/>
          <w:szCs w:val="22"/>
        </w:rPr>
        <w:t>determinaci</w:t>
      </w:r>
      <w:r w:rsidR="009128CF" w:rsidRPr="000E63CD">
        <w:rPr>
          <w:sz w:val="22"/>
          <w:szCs w:val="22"/>
        </w:rPr>
        <w:t xml:space="preserve">ón de </w:t>
      </w:r>
      <w:r w:rsidR="00B571FE" w:rsidRPr="000E63CD">
        <w:rPr>
          <w:sz w:val="22"/>
          <w:szCs w:val="22"/>
        </w:rPr>
        <w:t xml:space="preserve">los </w:t>
      </w:r>
      <w:r w:rsidR="009128CF" w:rsidRPr="000E63CD">
        <w:rPr>
          <w:sz w:val="22"/>
          <w:szCs w:val="22"/>
        </w:rPr>
        <w:t>precios de reserva que limita</w:t>
      </w:r>
      <w:r w:rsidR="00EF0B79" w:rsidRPr="000E63CD">
        <w:rPr>
          <w:sz w:val="22"/>
          <w:szCs w:val="22"/>
        </w:rPr>
        <w:t>n</w:t>
      </w:r>
      <w:r w:rsidR="009128CF" w:rsidRPr="000E63CD">
        <w:rPr>
          <w:sz w:val="22"/>
          <w:szCs w:val="22"/>
        </w:rPr>
        <w:t xml:space="preserve"> significativamente la eficiencia de la asignaci</w:t>
      </w:r>
      <w:r w:rsidR="00B571FE" w:rsidRPr="000E63CD">
        <w:rPr>
          <w:sz w:val="22"/>
          <w:szCs w:val="22"/>
        </w:rPr>
        <w:t>ó</w:t>
      </w:r>
      <w:r w:rsidR="009128CF" w:rsidRPr="000E63CD">
        <w:rPr>
          <w:sz w:val="22"/>
          <w:szCs w:val="22"/>
        </w:rPr>
        <w:t>n mediante subasta</w:t>
      </w:r>
      <w:r w:rsidR="00B571FE" w:rsidRPr="000E63CD">
        <w:rPr>
          <w:sz w:val="22"/>
          <w:szCs w:val="22"/>
        </w:rPr>
        <w:t>.</w:t>
      </w:r>
    </w:p>
    <w:p w14:paraId="3E6A7819" w14:textId="77777777" w:rsidR="00B571FE" w:rsidRPr="000E63CD" w:rsidRDefault="00B571FE" w:rsidP="001A267E">
      <w:pPr>
        <w:rPr>
          <w:sz w:val="22"/>
          <w:szCs w:val="22"/>
        </w:rPr>
      </w:pPr>
    </w:p>
    <w:p w14:paraId="453F16AA" w14:textId="15C6207F" w:rsidR="000208C9" w:rsidRDefault="00192A10" w:rsidP="001A267E">
      <w:pPr>
        <w:rPr>
          <w:sz w:val="22"/>
          <w:szCs w:val="22"/>
        </w:rPr>
      </w:pPr>
      <w:r w:rsidRPr="000E63CD">
        <w:rPr>
          <w:sz w:val="22"/>
          <w:szCs w:val="22"/>
        </w:rPr>
        <w:t>Con base en lo anterior, se propone la eliminación de</w:t>
      </w:r>
      <w:r w:rsidR="00D544EB">
        <w:rPr>
          <w:sz w:val="22"/>
          <w:szCs w:val="22"/>
        </w:rPr>
        <w:t xml:space="preserve">l mecanismo de </w:t>
      </w:r>
      <w:r w:rsidRPr="000E63CD">
        <w:rPr>
          <w:sz w:val="22"/>
          <w:szCs w:val="22"/>
        </w:rPr>
        <w:t>subastas mensuales de contratos con interrupciones</w:t>
      </w:r>
      <w:r w:rsidR="00B67C32">
        <w:rPr>
          <w:sz w:val="22"/>
          <w:szCs w:val="22"/>
        </w:rPr>
        <w:t xml:space="preserve"> y en su lugar se propone </w:t>
      </w:r>
      <w:r w:rsidR="008A560B">
        <w:rPr>
          <w:sz w:val="22"/>
          <w:szCs w:val="22"/>
        </w:rPr>
        <w:t>la posibilidad de</w:t>
      </w:r>
      <w:r w:rsidR="008A42D6" w:rsidRPr="000E63CD">
        <w:rPr>
          <w:sz w:val="22"/>
          <w:szCs w:val="22"/>
        </w:rPr>
        <w:t xml:space="preserve"> negociar cantidades de contratos con interrupciones por parte de </w:t>
      </w:r>
      <w:r w:rsidR="00AD7366">
        <w:rPr>
          <w:sz w:val="22"/>
          <w:szCs w:val="22"/>
        </w:rPr>
        <w:t>todas las</w:t>
      </w:r>
      <w:r w:rsidR="008A42D6" w:rsidRPr="000E63CD">
        <w:rPr>
          <w:sz w:val="22"/>
          <w:szCs w:val="22"/>
        </w:rPr>
        <w:t xml:space="preserve"> fuentes de suministro</w:t>
      </w:r>
      <w:r w:rsidR="00D544EB">
        <w:rPr>
          <w:sz w:val="22"/>
          <w:szCs w:val="22"/>
        </w:rPr>
        <w:t>,</w:t>
      </w:r>
      <w:r w:rsidR="008A42D6" w:rsidRPr="000E63CD">
        <w:rPr>
          <w:sz w:val="22"/>
          <w:szCs w:val="22"/>
        </w:rPr>
        <w:t xml:space="preserve"> </w:t>
      </w:r>
      <w:r w:rsidR="00AD7366">
        <w:rPr>
          <w:sz w:val="22"/>
          <w:szCs w:val="22"/>
        </w:rPr>
        <w:t>permitiendo que cada vendedor proponga el mecanismo de asignación que será de público conocimiento entre sus actuales compradores y sus potenciales compradores desde cada fuente de sum</w:t>
      </w:r>
      <w:r w:rsidR="00E664E3">
        <w:rPr>
          <w:sz w:val="22"/>
          <w:szCs w:val="22"/>
        </w:rPr>
        <w:t>i</w:t>
      </w:r>
      <w:r w:rsidR="00AD7366">
        <w:rPr>
          <w:sz w:val="22"/>
          <w:szCs w:val="22"/>
        </w:rPr>
        <w:t>nis</w:t>
      </w:r>
      <w:r w:rsidR="00E664E3">
        <w:rPr>
          <w:sz w:val="22"/>
          <w:szCs w:val="22"/>
        </w:rPr>
        <w:t>t</w:t>
      </w:r>
      <w:r w:rsidR="00AD7366">
        <w:rPr>
          <w:sz w:val="22"/>
          <w:szCs w:val="22"/>
        </w:rPr>
        <w:t xml:space="preserve">ro y </w:t>
      </w:r>
      <w:r w:rsidR="00D544EB">
        <w:rPr>
          <w:sz w:val="22"/>
          <w:szCs w:val="22"/>
        </w:rPr>
        <w:t>punto</w:t>
      </w:r>
      <w:r w:rsidR="00AD7366">
        <w:rPr>
          <w:sz w:val="22"/>
          <w:szCs w:val="22"/>
        </w:rPr>
        <w:t xml:space="preserve"> de entrega. En todo ca</w:t>
      </w:r>
      <w:r w:rsidR="00E664E3">
        <w:rPr>
          <w:sz w:val="22"/>
          <w:szCs w:val="22"/>
        </w:rPr>
        <w:t>so la S</w:t>
      </w:r>
      <w:r w:rsidR="005E396F">
        <w:rPr>
          <w:sz w:val="22"/>
          <w:szCs w:val="22"/>
        </w:rPr>
        <w:t>SP</w:t>
      </w:r>
      <w:r w:rsidR="00D544EB">
        <w:rPr>
          <w:sz w:val="22"/>
          <w:szCs w:val="22"/>
        </w:rPr>
        <w:t>D</w:t>
      </w:r>
      <w:r w:rsidR="00E664E3">
        <w:rPr>
          <w:sz w:val="22"/>
          <w:szCs w:val="22"/>
        </w:rPr>
        <w:t xml:space="preserve"> podrá presentar objeciones al procedimiento a ser implementado por los vendedores</w:t>
      </w:r>
      <w:r w:rsidR="00D544EB">
        <w:rPr>
          <w:sz w:val="22"/>
          <w:szCs w:val="22"/>
        </w:rPr>
        <w:t xml:space="preserve">, cuando no se aplican los </w:t>
      </w:r>
      <w:r w:rsidR="005E446C">
        <w:rPr>
          <w:sz w:val="22"/>
          <w:szCs w:val="22"/>
        </w:rPr>
        <w:t>criter</w:t>
      </w:r>
      <w:r w:rsidR="00D544EB">
        <w:rPr>
          <w:sz w:val="22"/>
          <w:szCs w:val="22"/>
        </w:rPr>
        <w:t>ios establecidos para ello</w:t>
      </w:r>
      <w:r w:rsidR="005E446C">
        <w:rPr>
          <w:sz w:val="22"/>
          <w:szCs w:val="22"/>
        </w:rPr>
        <w:t xml:space="preserve">, tales como establecer </w:t>
      </w:r>
      <w:r w:rsidR="005E446C" w:rsidRPr="005E446C">
        <w:rPr>
          <w:sz w:val="22"/>
          <w:szCs w:val="22"/>
        </w:rPr>
        <w:t>un mecanismo transparente para ser aplicado en la autorización de las nominaciones de suministro, asegurando la neutralidad y evitando tratos discriminatorios, el cual debe ser de público conocimiento de los compradores del mercado primario y los compradores del mercado secundario</w:t>
      </w:r>
      <w:r w:rsidR="00D544EB">
        <w:rPr>
          <w:sz w:val="22"/>
          <w:szCs w:val="22"/>
        </w:rPr>
        <w:t>.</w:t>
      </w:r>
    </w:p>
    <w:p w14:paraId="0A308C3B" w14:textId="0380675D" w:rsidR="00D544EB" w:rsidRDefault="00D544EB" w:rsidP="001A267E">
      <w:pPr>
        <w:rPr>
          <w:sz w:val="22"/>
          <w:szCs w:val="22"/>
        </w:rPr>
      </w:pPr>
    </w:p>
    <w:p w14:paraId="34618786" w14:textId="77777777" w:rsidR="008D5D28" w:rsidRPr="000E63CD" w:rsidRDefault="008D5D28" w:rsidP="008D5D28">
      <w:pPr>
        <w:rPr>
          <w:sz w:val="22"/>
          <w:szCs w:val="22"/>
        </w:rPr>
      </w:pPr>
    </w:p>
    <w:p w14:paraId="1C98F447" w14:textId="55596F43" w:rsidR="008D5D28" w:rsidRDefault="008D5D28" w:rsidP="008D5D28">
      <w:pPr>
        <w:pStyle w:val="Ttulo2"/>
        <w:rPr>
          <w:sz w:val="22"/>
          <w:szCs w:val="22"/>
        </w:rPr>
      </w:pPr>
      <w:bookmarkStart w:id="406" w:name="_Ref129780388"/>
      <w:bookmarkStart w:id="407" w:name="_Ref129780418"/>
      <w:bookmarkStart w:id="408" w:name="_Toc140506216"/>
      <w:r>
        <w:rPr>
          <w:sz w:val="22"/>
          <w:szCs w:val="22"/>
        </w:rPr>
        <w:t>Definición de Respaldo Físico.</w:t>
      </w:r>
      <w:bookmarkEnd w:id="406"/>
      <w:bookmarkEnd w:id="407"/>
      <w:bookmarkEnd w:id="408"/>
    </w:p>
    <w:p w14:paraId="1F3E2994" w14:textId="6718FFA2" w:rsidR="00442131" w:rsidRPr="00442131" w:rsidRDefault="00442131" w:rsidP="00442131">
      <w:pPr>
        <w:rPr>
          <w:sz w:val="22"/>
          <w:szCs w:val="22"/>
        </w:rPr>
      </w:pPr>
      <w:r w:rsidRPr="00442131">
        <w:rPr>
          <w:sz w:val="22"/>
          <w:szCs w:val="22"/>
        </w:rPr>
        <w:t>En la definición de Respaldo Físico establecida por el Ministerio de Minas y Energía</w:t>
      </w:r>
      <w:r w:rsidR="00A3396D">
        <w:rPr>
          <w:sz w:val="22"/>
          <w:szCs w:val="22"/>
        </w:rPr>
        <w:t xml:space="preserve"> en el Decreto 1073 de 2015</w:t>
      </w:r>
      <w:r w:rsidRPr="00442131">
        <w:rPr>
          <w:sz w:val="22"/>
          <w:szCs w:val="22"/>
        </w:rPr>
        <w:t xml:space="preserve">, se encuentra una </w:t>
      </w:r>
      <w:r w:rsidR="002F4E0C">
        <w:rPr>
          <w:sz w:val="22"/>
          <w:szCs w:val="22"/>
        </w:rPr>
        <w:t>condición</w:t>
      </w:r>
      <w:r w:rsidR="00AD72DC">
        <w:rPr>
          <w:sz w:val="22"/>
          <w:szCs w:val="22"/>
        </w:rPr>
        <w:t xml:space="preserve"> en cada caso</w:t>
      </w:r>
      <w:r w:rsidR="002F4E0C">
        <w:rPr>
          <w:sz w:val="22"/>
          <w:szCs w:val="22"/>
        </w:rPr>
        <w:t xml:space="preserve"> </w:t>
      </w:r>
      <w:r w:rsidR="00A5336B">
        <w:rPr>
          <w:sz w:val="22"/>
          <w:szCs w:val="22"/>
        </w:rPr>
        <w:t>diferente</w:t>
      </w:r>
      <w:r w:rsidR="00AD72DC">
        <w:rPr>
          <w:sz w:val="22"/>
          <w:szCs w:val="22"/>
        </w:rPr>
        <w:t>,</w:t>
      </w:r>
      <w:r w:rsidR="00A5336B">
        <w:rPr>
          <w:sz w:val="22"/>
          <w:szCs w:val="22"/>
        </w:rPr>
        <w:t xml:space="preserve"> </w:t>
      </w:r>
      <w:r w:rsidR="00A3396D">
        <w:rPr>
          <w:sz w:val="22"/>
          <w:szCs w:val="22"/>
        </w:rPr>
        <w:t xml:space="preserve">que se debe cumplir </w:t>
      </w:r>
      <w:r w:rsidR="002F4E0C">
        <w:rPr>
          <w:sz w:val="22"/>
          <w:szCs w:val="22"/>
        </w:rPr>
        <w:t>par</w:t>
      </w:r>
      <w:r w:rsidRPr="00442131">
        <w:rPr>
          <w:sz w:val="22"/>
          <w:szCs w:val="22"/>
        </w:rPr>
        <w:t>a cada un</w:t>
      </w:r>
      <w:r w:rsidR="00806496">
        <w:rPr>
          <w:sz w:val="22"/>
          <w:szCs w:val="22"/>
        </w:rPr>
        <w:t>a</w:t>
      </w:r>
      <w:r w:rsidRPr="00442131">
        <w:rPr>
          <w:sz w:val="22"/>
          <w:szCs w:val="22"/>
        </w:rPr>
        <w:t xml:space="preserve"> de l</w:t>
      </w:r>
      <w:r w:rsidR="002F4E0C">
        <w:rPr>
          <w:sz w:val="22"/>
          <w:szCs w:val="22"/>
        </w:rPr>
        <w:t>a</w:t>
      </w:r>
      <w:r w:rsidRPr="00442131">
        <w:rPr>
          <w:sz w:val="22"/>
          <w:szCs w:val="22"/>
        </w:rPr>
        <w:t xml:space="preserve">s 3 </w:t>
      </w:r>
      <w:r w:rsidR="002F4E0C">
        <w:rPr>
          <w:sz w:val="22"/>
          <w:szCs w:val="22"/>
        </w:rPr>
        <w:t>actividades</w:t>
      </w:r>
      <w:r w:rsidRPr="00442131">
        <w:rPr>
          <w:sz w:val="22"/>
          <w:szCs w:val="22"/>
        </w:rPr>
        <w:t xml:space="preserve"> mencionad</w:t>
      </w:r>
      <w:r w:rsidR="002F4E0C">
        <w:rPr>
          <w:sz w:val="22"/>
          <w:szCs w:val="22"/>
        </w:rPr>
        <w:t>a</w:t>
      </w:r>
      <w:r w:rsidRPr="00442131">
        <w:rPr>
          <w:sz w:val="22"/>
          <w:szCs w:val="22"/>
        </w:rPr>
        <w:t>s en dicha definición</w:t>
      </w:r>
      <w:r w:rsidR="00641644">
        <w:rPr>
          <w:sz w:val="22"/>
          <w:szCs w:val="22"/>
        </w:rPr>
        <w:t xml:space="preserve">, </w:t>
      </w:r>
      <w:r w:rsidR="00AD72DC">
        <w:rPr>
          <w:sz w:val="22"/>
          <w:szCs w:val="22"/>
        </w:rPr>
        <w:t xml:space="preserve">que viabilizan </w:t>
      </w:r>
      <w:r w:rsidR="00A3396D">
        <w:rPr>
          <w:sz w:val="22"/>
          <w:szCs w:val="22"/>
        </w:rPr>
        <w:t xml:space="preserve">“(…) </w:t>
      </w:r>
      <w:r w:rsidR="00641644" w:rsidRPr="00A3396D">
        <w:rPr>
          <w:i/>
          <w:iCs/>
          <w:sz w:val="22"/>
          <w:szCs w:val="22"/>
        </w:rPr>
        <w:t xml:space="preserve">con el fin de asumir y cumplir compromisos contractuales Firmes o que Garantizan Firmeza desde el momento en que se inicien las entregas hasta el cese de </w:t>
      </w:r>
      <w:proofErr w:type="gramStart"/>
      <w:r w:rsidR="00641644" w:rsidRPr="00A3396D">
        <w:rPr>
          <w:i/>
          <w:iCs/>
          <w:sz w:val="22"/>
          <w:szCs w:val="22"/>
        </w:rPr>
        <w:t>las mismas</w:t>
      </w:r>
      <w:proofErr w:type="gramEnd"/>
      <w:r w:rsidR="00A3396D">
        <w:rPr>
          <w:sz w:val="22"/>
          <w:szCs w:val="22"/>
        </w:rPr>
        <w:t>”</w:t>
      </w:r>
      <w:r w:rsidR="00641644">
        <w:rPr>
          <w:sz w:val="22"/>
          <w:szCs w:val="22"/>
        </w:rPr>
        <w:t xml:space="preserve">. Se entiende que cada condición debe estar siendo cumplida al momento </w:t>
      </w:r>
      <w:r w:rsidR="001019FE">
        <w:rPr>
          <w:sz w:val="22"/>
          <w:szCs w:val="22"/>
        </w:rPr>
        <w:t>de l</w:t>
      </w:r>
      <w:r w:rsidR="00A5336B">
        <w:rPr>
          <w:sz w:val="22"/>
          <w:szCs w:val="22"/>
        </w:rPr>
        <w:t>a</w:t>
      </w:r>
      <w:r w:rsidR="001019FE">
        <w:rPr>
          <w:sz w:val="22"/>
          <w:szCs w:val="22"/>
        </w:rPr>
        <w:t xml:space="preserve"> suscripción</w:t>
      </w:r>
      <w:r w:rsidR="00641644">
        <w:rPr>
          <w:sz w:val="22"/>
          <w:szCs w:val="22"/>
        </w:rPr>
        <w:t xml:space="preserve"> del contrato</w:t>
      </w:r>
      <w:r w:rsidR="001019FE">
        <w:rPr>
          <w:sz w:val="22"/>
          <w:szCs w:val="22"/>
        </w:rPr>
        <w:t xml:space="preserve">, </w:t>
      </w:r>
      <w:r w:rsidR="00A5336B">
        <w:rPr>
          <w:sz w:val="22"/>
          <w:szCs w:val="22"/>
        </w:rPr>
        <w:t xml:space="preserve">lo </w:t>
      </w:r>
      <w:r w:rsidR="001019FE">
        <w:rPr>
          <w:sz w:val="22"/>
          <w:szCs w:val="22"/>
        </w:rPr>
        <w:t xml:space="preserve">que el </w:t>
      </w:r>
      <w:r w:rsidR="005114C6">
        <w:rPr>
          <w:sz w:val="22"/>
          <w:szCs w:val="22"/>
        </w:rPr>
        <w:t>Gestor del Mercado</w:t>
      </w:r>
      <w:r w:rsidR="001019FE">
        <w:rPr>
          <w:sz w:val="22"/>
          <w:szCs w:val="22"/>
        </w:rPr>
        <w:t xml:space="preserve"> deberá poder evidenciar al momento de solicitarse el registro del contrato por las partes</w:t>
      </w:r>
      <w:r w:rsidR="002F4E0C">
        <w:rPr>
          <w:sz w:val="22"/>
          <w:szCs w:val="22"/>
        </w:rPr>
        <w:t xml:space="preserve">. Las 3 actividades </w:t>
      </w:r>
      <w:r w:rsidR="00A5336B">
        <w:rPr>
          <w:sz w:val="22"/>
          <w:szCs w:val="22"/>
        </w:rPr>
        <w:t xml:space="preserve">y sus condiciones </w:t>
      </w:r>
      <w:r w:rsidR="002F4E0C">
        <w:rPr>
          <w:sz w:val="22"/>
          <w:szCs w:val="22"/>
        </w:rPr>
        <w:t>son</w:t>
      </w:r>
      <w:r w:rsidRPr="00442131">
        <w:rPr>
          <w:sz w:val="22"/>
          <w:szCs w:val="22"/>
        </w:rPr>
        <w:t>:</w:t>
      </w:r>
    </w:p>
    <w:p w14:paraId="2C42D042" w14:textId="77777777" w:rsidR="00442131" w:rsidRPr="00442131" w:rsidRDefault="00442131" w:rsidP="00442131">
      <w:pPr>
        <w:rPr>
          <w:sz w:val="22"/>
          <w:szCs w:val="22"/>
        </w:rPr>
      </w:pPr>
    </w:p>
    <w:p w14:paraId="543E45EE" w14:textId="33A56818" w:rsidR="00641644" w:rsidRDefault="001019FE">
      <w:pPr>
        <w:pStyle w:val="Prrafodelista"/>
        <w:numPr>
          <w:ilvl w:val="0"/>
          <w:numId w:val="15"/>
        </w:numPr>
        <w:rPr>
          <w:sz w:val="22"/>
          <w:szCs w:val="22"/>
        </w:rPr>
      </w:pPr>
      <w:r>
        <w:rPr>
          <w:sz w:val="22"/>
          <w:szCs w:val="22"/>
        </w:rPr>
        <w:t>P</w:t>
      </w:r>
      <w:r w:rsidR="00641644">
        <w:rPr>
          <w:sz w:val="22"/>
          <w:szCs w:val="22"/>
        </w:rPr>
        <w:t>roductor-comercializador: se exige que el agente cuente con Reservas de Gas Natural. Las Reservas son las reservas 2P (probadas y probables)</w:t>
      </w:r>
      <w:r w:rsidR="00E64FB1">
        <w:rPr>
          <w:sz w:val="22"/>
          <w:szCs w:val="22"/>
        </w:rPr>
        <w:t>, según la definición mencionada del Decreto 1073 de 2015</w:t>
      </w:r>
      <w:r w:rsidR="00641644">
        <w:rPr>
          <w:sz w:val="22"/>
          <w:szCs w:val="22"/>
        </w:rPr>
        <w:t>.</w:t>
      </w:r>
    </w:p>
    <w:p w14:paraId="456A4CF4" w14:textId="0E725BF4" w:rsidR="00641644" w:rsidRDefault="00641644" w:rsidP="00641644">
      <w:pPr>
        <w:pStyle w:val="Prrafodelista"/>
        <w:ind w:left="360"/>
        <w:rPr>
          <w:sz w:val="22"/>
          <w:szCs w:val="22"/>
        </w:rPr>
      </w:pPr>
      <w:r>
        <w:rPr>
          <w:sz w:val="22"/>
          <w:szCs w:val="22"/>
        </w:rPr>
        <w:t xml:space="preserve"> </w:t>
      </w:r>
    </w:p>
    <w:p w14:paraId="0306CFD7" w14:textId="240ED316" w:rsidR="00641644" w:rsidRDefault="00641644">
      <w:pPr>
        <w:pStyle w:val="Prrafodelista"/>
        <w:numPr>
          <w:ilvl w:val="0"/>
          <w:numId w:val="15"/>
        </w:numPr>
        <w:rPr>
          <w:sz w:val="22"/>
          <w:szCs w:val="22"/>
        </w:rPr>
      </w:pPr>
      <w:r>
        <w:rPr>
          <w:sz w:val="22"/>
          <w:szCs w:val="22"/>
        </w:rPr>
        <w:t>Comercializador: se exige que el agente cuente físicamente con el gas</w:t>
      </w:r>
      <w:r w:rsidR="001019FE">
        <w:rPr>
          <w:sz w:val="22"/>
          <w:szCs w:val="22"/>
        </w:rPr>
        <w:t>.</w:t>
      </w:r>
    </w:p>
    <w:p w14:paraId="3F59B309" w14:textId="77777777" w:rsidR="00641644" w:rsidRDefault="00641644" w:rsidP="00641644">
      <w:pPr>
        <w:pStyle w:val="Prrafodelista"/>
        <w:ind w:left="360"/>
        <w:rPr>
          <w:sz w:val="22"/>
          <w:szCs w:val="22"/>
        </w:rPr>
      </w:pPr>
    </w:p>
    <w:p w14:paraId="31DF7368" w14:textId="5B260D67" w:rsidR="00442131" w:rsidRDefault="00623D36">
      <w:pPr>
        <w:pStyle w:val="Prrafodelista"/>
        <w:numPr>
          <w:ilvl w:val="0"/>
          <w:numId w:val="15"/>
        </w:numPr>
        <w:rPr>
          <w:sz w:val="22"/>
          <w:szCs w:val="22"/>
        </w:rPr>
      </w:pPr>
      <w:r>
        <w:rPr>
          <w:sz w:val="22"/>
          <w:szCs w:val="22"/>
        </w:rPr>
        <w:t>T</w:t>
      </w:r>
      <w:r w:rsidR="00641644">
        <w:rPr>
          <w:sz w:val="22"/>
          <w:szCs w:val="22"/>
        </w:rPr>
        <w:t xml:space="preserve">ransportador: se exige que el agente </w:t>
      </w:r>
      <w:r w:rsidR="00641644" w:rsidRPr="00641644">
        <w:rPr>
          <w:sz w:val="22"/>
          <w:szCs w:val="22"/>
        </w:rPr>
        <w:t>cuent</w:t>
      </w:r>
      <w:r w:rsidR="00641644">
        <w:rPr>
          <w:sz w:val="22"/>
          <w:szCs w:val="22"/>
        </w:rPr>
        <w:t>e</w:t>
      </w:r>
      <w:r w:rsidR="00641644" w:rsidRPr="00641644">
        <w:rPr>
          <w:sz w:val="22"/>
          <w:szCs w:val="22"/>
        </w:rPr>
        <w:t xml:space="preserve"> físicamente con la capacidad de transporte</w:t>
      </w:r>
      <w:r w:rsidR="00641644">
        <w:rPr>
          <w:sz w:val="22"/>
          <w:szCs w:val="22"/>
        </w:rPr>
        <w:t xml:space="preserve">. </w:t>
      </w:r>
    </w:p>
    <w:p w14:paraId="3F1A8C47" w14:textId="77777777" w:rsidR="002F4E0C" w:rsidRPr="002F4E0C" w:rsidRDefault="002F4E0C" w:rsidP="002F4E0C">
      <w:pPr>
        <w:pStyle w:val="Prrafodelista"/>
        <w:rPr>
          <w:sz w:val="22"/>
          <w:szCs w:val="22"/>
        </w:rPr>
      </w:pPr>
    </w:p>
    <w:p w14:paraId="3838E0A0" w14:textId="176F10A2" w:rsidR="00641644" w:rsidRDefault="002F4E0C" w:rsidP="00442131">
      <w:pPr>
        <w:rPr>
          <w:sz w:val="22"/>
          <w:szCs w:val="22"/>
        </w:rPr>
      </w:pPr>
      <w:r>
        <w:rPr>
          <w:sz w:val="22"/>
          <w:szCs w:val="22"/>
        </w:rPr>
        <w:t xml:space="preserve">Para todos estos casos la definición </w:t>
      </w:r>
      <w:r w:rsidR="00A5336B">
        <w:rPr>
          <w:sz w:val="22"/>
          <w:szCs w:val="22"/>
        </w:rPr>
        <w:t xml:space="preserve">del MME </w:t>
      </w:r>
      <w:r w:rsidR="00DC36D4">
        <w:rPr>
          <w:sz w:val="22"/>
          <w:szCs w:val="22"/>
        </w:rPr>
        <w:t xml:space="preserve">establece </w:t>
      </w:r>
      <w:r w:rsidR="000064F9">
        <w:rPr>
          <w:sz w:val="22"/>
          <w:szCs w:val="22"/>
        </w:rPr>
        <w:t>que,</w:t>
      </w:r>
      <w:r>
        <w:rPr>
          <w:sz w:val="22"/>
          <w:szCs w:val="22"/>
        </w:rPr>
        <w:t xml:space="preserve"> </w:t>
      </w:r>
      <w:r w:rsidR="00623D36">
        <w:rPr>
          <w:sz w:val="22"/>
          <w:szCs w:val="22"/>
        </w:rPr>
        <w:t>como</w:t>
      </w:r>
      <w:r>
        <w:rPr>
          <w:sz w:val="22"/>
          <w:szCs w:val="22"/>
        </w:rPr>
        <w:t xml:space="preserve"> consecuencia</w:t>
      </w:r>
      <w:r w:rsidR="008739B4">
        <w:rPr>
          <w:sz w:val="22"/>
          <w:szCs w:val="22"/>
        </w:rPr>
        <w:t xml:space="preserve"> de cumplirse la condición,</w:t>
      </w:r>
      <w:r>
        <w:rPr>
          <w:sz w:val="22"/>
          <w:szCs w:val="22"/>
        </w:rPr>
        <w:t xml:space="preserve"> </w:t>
      </w:r>
      <w:r w:rsidR="00623D36">
        <w:rPr>
          <w:sz w:val="22"/>
          <w:szCs w:val="22"/>
        </w:rPr>
        <w:t>se</w:t>
      </w:r>
      <w:r>
        <w:rPr>
          <w:sz w:val="22"/>
          <w:szCs w:val="22"/>
        </w:rPr>
        <w:t xml:space="preserve"> pod</w:t>
      </w:r>
      <w:r w:rsidR="00623D36">
        <w:rPr>
          <w:sz w:val="22"/>
          <w:szCs w:val="22"/>
        </w:rPr>
        <w:t>rán</w:t>
      </w:r>
      <w:r>
        <w:rPr>
          <w:sz w:val="22"/>
          <w:szCs w:val="22"/>
        </w:rPr>
        <w:t xml:space="preserve"> </w:t>
      </w:r>
      <w:r w:rsidRPr="00641644">
        <w:rPr>
          <w:sz w:val="22"/>
          <w:szCs w:val="22"/>
        </w:rPr>
        <w:t xml:space="preserve">asumir y cumplir compromisos contractuales Firmes o que Garantizan Firmeza desde el momento en que se inicien las entregas hasta el cese de </w:t>
      </w:r>
      <w:proofErr w:type="gramStart"/>
      <w:r w:rsidRPr="00641644">
        <w:rPr>
          <w:sz w:val="22"/>
          <w:szCs w:val="22"/>
        </w:rPr>
        <w:t>las mismas</w:t>
      </w:r>
      <w:proofErr w:type="gramEnd"/>
      <w:r>
        <w:rPr>
          <w:sz w:val="22"/>
          <w:szCs w:val="22"/>
        </w:rPr>
        <w:t xml:space="preserve">. </w:t>
      </w:r>
      <w:r w:rsidR="00641644">
        <w:rPr>
          <w:sz w:val="22"/>
          <w:szCs w:val="22"/>
        </w:rPr>
        <w:t>Es entonces claro que el agente</w:t>
      </w:r>
      <w:r w:rsidR="00674B49">
        <w:rPr>
          <w:sz w:val="22"/>
          <w:szCs w:val="22"/>
        </w:rPr>
        <w:t xml:space="preserve"> debe </w:t>
      </w:r>
      <w:r w:rsidR="00DC36D4">
        <w:rPr>
          <w:sz w:val="22"/>
          <w:szCs w:val="22"/>
        </w:rPr>
        <w:t>cumplir la condición</w:t>
      </w:r>
      <w:r w:rsidR="00641644">
        <w:rPr>
          <w:sz w:val="22"/>
          <w:szCs w:val="22"/>
        </w:rPr>
        <w:t xml:space="preserve">, previo a la suscripción del contrato en que actúa como vendedor, </w:t>
      </w:r>
      <w:r w:rsidR="00DC36D4">
        <w:rPr>
          <w:sz w:val="22"/>
          <w:szCs w:val="22"/>
        </w:rPr>
        <w:t xml:space="preserve">que en general trata de que cuente </w:t>
      </w:r>
      <w:r w:rsidR="00641644">
        <w:rPr>
          <w:sz w:val="22"/>
          <w:szCs w:val="22"/>
        </w:rPr>
        <w:t xml:space="preserve">con un activo </w:t>
      </w:r>
      <w:r w:rsidR="00674B49">
        <w:rPr>
          <w:sz w:val="22"/>
          <w:szCs w:val="22"/>
        </w:rPr>
        <w:t xml:space="preserve">de su posesión y </w:t>
      </w:r>
      <w:r w:rsidR="00E64FB1">
        <w:rPr>
          <w:sz w:val="22"/>
          <w:szCs w:val="22"/>
        </w:rPr>
        <w:t xml:space="preserve">que </w:t>
      </w:r>
      <w:r w:rsidR="00623D36">
        <w:rPr>
          <w:sz w:val="22"/>
          <w:szCs w:val="22"/>
        </w:rPr>
        <w:t xml:space="preserve">ese activo </w:t>
      </w:r>
      <w:r w:rsidR="00E64FB1">
        <w:rPr>
          <w:sz w:val="22"/>
          <w:szCs w:val="22"/>
        </w:rPr>
        <w:t xml:space="preserve">sea </w:t>
      </w:r>
      <w:r w:rsidR="00674B49">
        <w:rPr>
          <w:sz w:val="22"/>
          <w:szCs w:val="22"/>
        </w:rPr>
        <w:t>r</w:t>
      </w:r>
      <w:r w:rsidR="00641644">
        <w:rPr>
          <w:sz w:val="22"/>
          <w:szCs w:val="22"/>
        </w:rPr>
        <w:t>ealizable.</w:t>
      </w:r>
    </w:p>
    <w:p w14:paraId="307F2151" w14:textId="77777777" w:rsidR="00641644" w:rsidRDefault="00641644" w:rsidP="00442131">
      <w:pPr>
        <w:rPr>
          <w:sz w:val="22"/>
          <w:szCs w:val="22"/>
        </w:rPr>
      </w:pPr>
    </w:p>
    <w:p w14:paraId="10A09317" w14:textId="69E34040" w:rsidR="00641644" w:rsidRDefault="00641644" w:rsidP="00442131">
      <w:pPr>
        <w:rPr>
          <w:sz w:val="22"/>
          <w:szCs w:val="22"/>
        </w:rPr>
      </w:pPr>
      <w:r>
        <w:rPr>
          <w:sz w:val="22"/>
          <w:szCs w:val="22"/>
        </w:rPr>
        <w:t xml:space="preserve">Es de tener en cuenta que, en los casos del productor-comercializador y del comercializador de gas importado, la regulación vigente </w:t>
      </w:r>
      <w:r w:rsidR="00623D36">
        <w:rPr>
          <w:sz w:val="22"/>
          <w:szCs w:val="22"/>
        </w:rPr>
        <w:t xml:space="preserve">de la CREG </w:t>
      </w:r>
      <w:r>
        <w:rPr>
          <w:sz w:val="22"/>
          <w:szCs w:val="22"/>
        </w:rPr>
        <w:t>requiere además</w:t>
      </w:r>
      <w:r w:rsidR="00E73BE1">
        <w:rPr>
          <w:sz w:val="22"/>
          <w:szCs w:val="22"/>
        </w:rPr>
        <w:t xml:space="preserve"> para el registro de los contratos</w:t>
      </w:r>
      <w:r w:rsidR="006C465E">
        <w:rPr>
          <w:sz w:val="22"/>
          <w:szCs w:val="22"/>
        </w:rPr>
        <w:t>,</w:t>
      </w:r>
      <w:r>
        <w:rPr>
          <w:sz w:val="22"/>
          <w:szCs w:val="22"/>
        </w:rPr>
        <w:t xml:space="preserve"> que ambos </w:t>
      </w:r>
      <w:r w:rsidR="00623D36">
        <w:rPr>
          <w:sz w:val="22"/>
          <w:szCs w:val="22"/>
        </w:rPr>
        <w:t xml:space="preserve">tipos de agentes </w:t>
      </w:r>
      <w:r>
        <w:rPr>
          <w:sz w:val="22"/>
          <w:szCs w:val="22"/>
        </w:rPr>
        <w:t xml:space="preserve">hayan presentado las declaraciones </w:t>
      </w:r>
      <w:r w:rsidR="000A30A7">
        <w:rPr>
          <w:sz w:val="22"/>
          <w:szCs w:val="22"/>
        </w:rPr>
        <w:t xml:space="preserve">previas </w:t>
      </w:r>
      <w:r>
        <w:rPr>
          <w:sz w:val="22"/>
          <w:szCs w:val="22"/>
        </w:rPr>
        <w:t xml:space="preserve">de </w:t>
      </w:r>
      <w:r w:rsidR="00623D36">
        <w:rPr>
          <w:sz w:val="22"/>
          <w:szCs w:val="22"/>
        </w:rPr>
        <w:t>PTDVF o CIDVF</w:t>
      </w:r>
      <w:r>
        <w:rPr>
          <w:sz w:val="22"/>
          <w:szCs w:val="22"/>
        </w:rPr>
        <w:t xml:space="preserve"> </w:t>
      </w:r>
      <w:r w:rsidR="00623D36">
        <w:rPr>
          <w:sz w:val="22"/>
          <w:szCs w:val="22"/>
        </w:rPr>
        <w:t xml:space="preserve">respectivamente, </w:t>
      </w:r>
      <w:r w:rsidR="000A30A7">
        <w:rPr>
          <w:sz w:val="22"/>
          <w:szCs w:val="22"/>
        </w:rPr>
        <w:t>con las que se pueda evidenciar</w:t>
      </w:r>
      <w:r>
        <w:rPr>
          <w:sz w:val="22"/>
          <w:szCs w:val="22"/>
        </w:rPr>
        <w:t xml:space="preserve"> que</w:t>
      </w:r>
      <w:r w:rsidR="00623D36">
        <w:rPr>
          <w:sz w:val="22"/>
          <w:szCs w:val="22"/>
        </w:rPr>
        <w:t xml:space="preserve"> se cubren </w:t>
      </w:r>
      <w:r>
        <w:rPr>
          <w:sz w:val="22"/>
          <w:szCs w:val="22"/>
        </w:rPr>
        <w:t>los períodos de ejecución del contrato de suministro</w:t>
      </w:r>
      <w:r w:rsidR="00623D36">
        <w:rPr>
          <w:sz w:val="22"/>
          <w:szCs w:val="22"/>
        </w:rPr>
        <w:t xml:space="preserve"> que se pretende suscribir y luego registrar ante el </w:t>
      </w:r>
      <w:r w:rsidR="005114C6">
        <w:rPr>
          <w:sz w:val="22"/>
          <w:szCs w:val="22"/>
        </w:rPr>
        <w:t>Gestor del Mercado</w:t>
      </w:r>
      <w:r w:rsidR="00623D36">
        <w:rPr>
          <w:sz w:val="22"/>
          <w:szCs w:val="22"/>
        </w:rPr>
        <w:t xml:space="preserve">. </w:t>
      </w:r>
      <w:r w:rsidR="00BF0834">
        <w:rPr>
          <w:sz w:val="22"/>
          <w:szCs w:val="22"/>
        </w:rPr>
        <w:t>Para el productor-comercializador, su</w:t>
      </w:r>
      <w:r w:rsidR="00623D36">
        <w:rPr>
          <w:sz w:val="22"/>
          <w:szCs w:val="22"/>
        </w:rPr>
        <w:t xml:space="preserve"> declaración de PTDVF la cotejará </w:t>
      </w:r>
      <w:r w:rsidR="000A30A7">
        <w:rPr>
          <w:sz w:val="22"/>
          <w:szCs w:val="22"/>
        </w:rPr>
        <w:t xml:space="preserve">adicionalmente </w:t>
      </w:r>
      <w:r w:rsidR="00623D36">
        <w:rPr>
          <w:sz w:val="22"/>
          <w:szCs w:val="22"/>
        </w:rPr>
        <w:t xml:space="preserve">el </w:t>
      </w:r>
      <w:r w:rsidR="005114C6">
        <w:rPr>
          <w:sz w:val="22"/>
          <w:szCs w:val="22"/>
        </w:rPr>
        <w:t>Gestor del Mercado</w:t>
      </w:r>
      <w:r w:rsidR="00623D36">
        <w:rPr>
          <w:sz w:val="22"/>
          <w:szCs w:val="22"/>
        </w:rPr>
        <w:t xml:space="preserve"> con las cantidades de PTDV declaradas al MME a la fecha de corte de la declaración de PTDVF, para evidenciar que se cumple con la condición </w:t>
      </w:r>
      <w:r w:rsidR="00BF0834">
        <w:rPr>
          <w:sz w:val="22"/>
          <w:szCs w:val="22"/>
        </w:rPr>
        <w:t xml:space="preserve">regulatoria </w:t>
      </w:r>
      <w:r w:rsidR="00623D36">
        <w:rPr>
          <w:sz w:val="22"/>
          <w:szCs w:val="22"/>
        </w:rPr>
        <w:t>de que las cantidades de PTDVF son iguales o inferiores a las cantidades de PTDV</w:t>
      </w:r>
      <w:r>
        <w:rPr>
          <w:sz w:val="22"/>
          <w:szCs w:val="22"/>
        </w:rPr>
        <w:t xml:space="preserve"> </w:t>
      </w:r>
      <w:r w:rsidR="003F5C33">
        <w:rPr>
          <w:sz w:val="22"/>
          <w:szCs w:val="22"/>
        </w:rPr>
        <w:t xml:space="preserve">para </w:t>
      </w:r>
      <w:r w:rsidR="008739B4">
        <w:rPr>
          <w:sz w:val="22"/>
          <w:szCs w:val="22"/>
        </w:rPr>
        <w:t xml:space="preserve">los </w:t>
      </w:r>
      <w:r w:rsidR="003F5C33">
        <w:rPr>
          <w:sz w:val="22"/>
          <w:szCs w:val="22"/>
        </w:rPr>
        <w:t>períodos</w:t>
      </w:r>
      <w:r w:rsidR="008739B4">
        <w:rPr>
          <w:sz w:val="22"/>
          <w:szCs w:val="22"/>
        </w:rPr>
        <w:t xml:space="preserve"> declarados</w:t>
      </w:r>
      <w:r>
        <w:rPr>
          <w:sz w:val="22"/>
          <w:szCs w:val="22"/>
        </w:rPr>
        <w:t>.</w:t>
      </w:r>
    </w:p>
    <w:p w14:paraId="25CF66BB" w14:textId="77777777" w:rsidR="00641644" w:rsidRDefault="00641644" w:rsidP="00442131">
      <w:pPr>
        <w:rPr>
          <w:sz w:val="22"/>
          <w:szCs w:val="22"/>
        </w:rPr>
      </w:pPr>
    </w:p>
    <w:p w14:paraId="7F4354D4" w14:textId="1E759715" w:rsidR="00442131" w:rsidRDefault="00442131" w:rsidP="00442131">
      <w:pPr>
        <w:rPr>
          <w:sz w:val="22"/>
          <w:szCs w:val="22"/>
        </w:rPr>
      </w:pPr>
      <w:r w:rsidRPr="00442131">
        <w:rPr>
          <w:sz w:val="22"/>
          <w:szCs w:val="22"/>
        </w:rPr>
        <w:t xml:space="preserve">El caso de un comercializador de gas </w:t>
      </w:r>
      <w:proofErr w:type="gramStart"/>
      <w:r w:rsidRPr="00442131">
        <w:rPr>
          <w:sz w:val="22"/>
          <w:szCs w:val="22"/>
        </w:rPr>
        <w:t>importado,</w:t>
      </w:r>
      <w:proofErr w:type="gramEnd"/>
      <w:r w:rsidRPr="00442131">
        <w:rPr>
          <w:sz w:val="22"/>
          <w:szCs w:val="22"/>
        </w:rPr>
        <w:t xml:space="preserve"> </w:t>
      </w:r>
      <w:r w:rsidR="00462FFA">
        <w:rPr>
          <w:sz w:val="22"/>
          <w:szCs w:val="22"/>
        </w:rPr>
        <w:t xml:space="preserve">es asimilable al de un comercializador al cual se le exige </w:t>
      </w:r>
      <w:r w:rsidR="000A30A7">
        <w:rPr>
          <w:sz w:val="22"/>
          <w:szCs w:val="22"/>
        </w:rPr>
        <w:t xml:space="preserve">en la propuesta </w:t>
      </w:r>
      <w:r w:rsidR="001D7E6E">
        <w:rPr>
          <w:sz w:val="22"/>
          <w:szCs w:val="22"/>
        </w:rPr>
        <w:t>que</w:t>
      </w:r>
      <w:r w:rsidR="00BF0834">
        <w:rPr>
          <w:sz w:val="22"/>
          <w:szCs w:val="22"/>
        </w:rPr>
        <w:t>,</w:t>
      </w:r>
      <w:r w:rsidR="001D7E6E">
        <w:rPr>
          <w:sz w:val="22"/>
          <w:szCs w:val="22"/>
        </w:rPr>
        <w:t xml:space="preserve"> </w:t>
      </w:r>
      <w:r w:rsidR="00462FFA">
        <w:rPr>
          <w:sz w:val="22"/>
          <w:szCs w:val="22"/>
        </w:rPr>
        <w:t>para su participación como vendedor en un contrato firme o que garantice firmeza</w:t>
      </w:r>
      <w:r w:rsidR="001D7E6E">
        <w:rPr>
          <w:sz w:val="22"/>
          <w:szCs w:val="22"/>
        </w:rPr>
        <w:t xml:space="preserve"> del Mercado Secundario</w:t>
      </w:r>
      <w:r w:rsidR="00462FFA">
        <w:rPr>
          <w:sz w:val="22"/>
          <w:szCs w:val="22"/>
        </w:rPr>
        <w:t xml:space="preserve">, posea un contrato firme o que garantiza firmeza </w:t>
      </w:r>
      <w:r w:rsidR="006C465E">
        <w:rPr>
          <w:sz w:val="22"/>
          <w:szCs w:val="22"/>
        </w:rPr>
        <w:t xml:space="preserve">adquirido </w:t>
      </w:r>
      <w:r w:rsidR="00462FFA">
        <w:rPr>
          <w:sz w:val="22"/>
          <w:szCs w:val="22"/>
        </w:rPr>
        <w:t>en el Mercado Primario</w:t>
      </w:r>
      <w:r w:rsidR="006C465E">
        <w:rPr>
          <w:sz w:val="22"/>
          <w:szCs w:val="22"/>
        </w:rPr>
        <w:t xml:space="preserve"> o en el </w:t>
      </w:r>
      <w:r w:rsidR="001D7E6E">
        <w:rPr>
          <w:sz w:val="22"/>
          <w:szCs w:val="22"/>
        </w:rPr>
        <w:t xml:space="preserve">mismo </w:t>
      </w:r>
      <w:r w:rsidR="006C465E">
        <w:rPr>
          <w:sz w:val="22"/>
          <w:szCs w:val="22"/>
        </w:rPr>
        <w:t>Mercado Secundario</w:t>
      </w:r>
      <w:r w:rsidR="000A30A7">
        <w:rPr>
          <w:sz w:val="22"/>
          <w:szCs w:val="22"/>
        </w:rPr>
        <w:t>, antes de suscribir y luego registrar el contrato firme</w:t>
      </w:r>
      <w:r w:rsidR="006C465E">
        <w:rPr>
          <w:sz w:val="22"/>
          <w:szCs w:val="22"/>
        </w:rPr>
        <w:t>.</w:t>
      </w:r>
      <w:r w:rsidR="00462FFA">
        <w:rPr>
          <w:sz w:val="22"/>
          <w:szCs w:val="22"/>
        </w:rPr>
        <w:t xml:space="preserve"> La diferencia fundamental </w:t>
      </w:r>
      <w:r w:rsidR="000A30A7">
        <w:rPr>
          <w:sz w:val="22"/>
          <w:szCs w:val="22"/>
        </w:rPr>
        <w:t xml:space="preserve">entre el comercializador de gas importado y el comercializador </w:t>
      </w:r>
      <w:r w:rsidR="00462FFA">
        <w:rPr>
          <w:sz w:val="22"/>
          <w:szCs w:val="22"/>
        </w:rPr>
        <w:t xml:space="preserve">radica en que el </w:t>
      </w:r>
      <w:r w:rsidR="000A30A7">
        <w:rPr>
          <w:sz w:val="22"/>
          <w:szCs w:val="22"/>
        </w:rPr>
        <w:t>primero</w:t>
      </w:r>
      <w:r w:rsidR="00462FFA">
        <w:rPr>
          <w:sz w:val="22"/>
          <w:szCs w:val="22"/>
        </w:rPr>
        <w:t xml:space="preserve"> no adquiere el gas natural en el mercado mayorista regulado por la CREG, sino que lo obtiene en el exterior</w:t>
      </w:r>
      <w:r w:rsidRPr="00442131">
        <w:rPr>
          <w:sz w:val="22"/>
          <w:szCs w:val="22"/>
        </w:rPr>
        <w:t>.</w:t>
      </w:r>
      <w:r>
        <w:rPr>
          <w:sz w:val="22"/>
          <w:szCs w:val="22"/>
        </w:rPr>
        <w:t xml:space="preserve"> </w:t>
      </w:r>
      <w:r w:rsidR="00462FFA">
        <w:rPr>
          <w:sz w:val="22"/>
          <w:szCs w:val="22"/>
        </w:rPr>
        <w:t xml:space="preserve">Es por ello </w:t>
      </w:r>
      <w:proofErr w:type="gramStart"/>
      <w:r w:rsidR="00462FFA">
        <w:rPr>
          <w:sz w:val="22"/>
          <w:szCs w:val="22"/>
        </w:rPr>
        <w:t>que</w:t>
      </w:r>
      <w:proofErr w:type="gramEnd"/>
      <w:r w:rsidR="00462FFA">
        <w:rPr>
          <w:sz w:val="22"/>
          <w:szCs w:val="22"/>
        </w:rPr>
        <w:t xml:space="preserve"> se propone</w:t>
      </w:r>
      <w:r w:rsidR="001D7E6E">
        <w:rPr>
          <w:sz w:val="22"/>
          <w:szCs w:val="22"/>
        </w:rPr>
        <w:t>n</w:t>
      </w:r>
      <w:r w:rsidR="00462FFA">
        <w:rPr>
          <w:sz w:val="22"/>
          <w:szCs w:val="22"/>
        </w:rPr>
        <w:t xml:space="preserve"> la</w:t>
      </w:r>
      <w:r w:rsidR="001D7E6E">
        <w:rPr>
          <w:sz w:val="22"/>
          <w:szCs w:val="22"/>
        </w:rPr>
        <w:t>s</w:t>
      </w:r>
      <w:r w:rsidR="00462FFA">
        <w:rPr>
          <w:sz w:val="22"/>
          <w:szCs w:val="22"/>
        </w:rPr>
        <w:t xml:space="preserve"> </w:t>
      </w:r>
      <w:r w:rsidR="00461BA0">
        <w:rPr>
          <w:sz w:val="22"/>
          <w:szCs w:val="22"/>
        </w:rPr>
        <w:t>siguiente</w:t>
      </w:r>
      <w:r w:rsidR="001D7E6E">
        <w:rPr>
          <w:sz w:val="22"/>
          <w:szCs w:val="22"/>
        </w:rPr>
        <w:t>s</w:t>
      </w:r>
      <w:r w:rsidR="00461BA0">
        <w:rPr>
          <w:sz w:val="22"/>
          <w:szCs w:val="22"/>
        </w:rPr>
        <w:t xml:space="preserve"> </w:t>
      </w:r>
      <w:r w:rsidR="00462FFA">
        <w:rPr>
          <w:sz w:val="22"/>
          <w:szCs w:val="22"/>
        </w:rPr>
        <w:t>definici</w:t>
      </w:r>
      <w:r w:rsidR="001D7E6E">
        <w:rPr>
          <w:sz w:val="22"/>
          <w:szCs w:val="22"/>
        </w:rPr>
        <w:t>ones</w:t>
      </w:r>
      <w:r w:rsidR="00461BA0">
        <w:rPr>
          <w:sz w:val="22"/>
          <w:szCs w:val="22"/>
        </w:rPr>
        <w:t xml:space="preserve">, </w:t>
      </w:r>
      <w:r w:rsidR="00462FFA">
        <w:rPr>
          <w:sz w:val="22"/>
          <w:szCs w:val="22"/>
        </w:rPr>
        <w:t>en la</w:t>
      </w:r>
      <w:r w:rsidR="001D7E6E">
        <w:rPr>
          <w:sz w:val="22"/>
          <w:szCs w:val="22"/>
        </w:rPr>
        <w:t>s</w:t>
      </w:r>
      <w:r w:rsidR="00462FFA">
        <w:rPr>
          <w:sz w:val="22"/>
          <w:szCs w:val="22"/>
        </w:rPr>
        <w:t xml:space="preserve"> que se establecen condiciones que buscan ser lo más </w:t>
      </w:r>
      <w:r w:rsidR="00E32153">
        <w:rPr>
          <w:sz w:val="22"/>
          <w:szCs w:val="22"/>
        </w:rPr>
        <w:t xml:space="preserve">análogas y </w:t>
      </w:r>
      <w:r w:rsidR="00462FFA">
        <w:rPr>
          <w:sz w:val="22"/>
          <w:szCs w:val="22"/>
        </w:rPr>
        <w:t>semejantes posibles a las requeridas al comercializador nacional</w:t>
      </w:r>
      <w:r w:rsidR="00C535B1">
        <w:rPr>
          <w:sz w:val="22"/>
          <w:szCs w:val="22"/>
        </w:rPr>
        <w:t>, pero considerando la diferencia mencionada anteriormente</w:t>
      </w:r>
      <w:r w:rsidR="00462FFA">
        <w:rPr>
          <w:sz w:val="22"/>
          <w:szCs w:val="22"/>
        </w:rPr>
        <w:t>:</w:t>
      </w:r>
    </w:p>
    <w:p w14:paraId="2BEE7845" w14:textId="7688B678" w:rsidR="00462FFA" w:rsidRDefault="00462FFA" w:rsidP="00442131">
      <w:pPr>
        <w:rPr>
          <w:sz w:val="22"/>
          <w:szCs w:val="22"/>
        </w:rPr>
      </w:pPr>
    </w:p>
    <w:p w14:paraId="078316F7" w14:textId="72511E03" w:rsidR="00BD5E03" w:rsidRPr="00BD5E03" w:rsidRDefault="00BD5E03" w:rsidP="00BD5E03">
      <w:pPr>
        <w:ind w:left="708"/>
        <w:rPr>
          <w:i/>
          <w:iCs/>
          <w:sz w:val="22"/>
          <w:szCs w:val="22"/>
        </w:rPr>
      </w:pPr>
      <w:r w:rsidRPr="00452A51">
        <w:rPr>
          <w:b/>
          <w:bCs/>
          <w:i/>
          <w:iCs/>
          <w:sz w:val="22"/>
          <w:szCs w:val="22"/>
        </w:rPr>
        <w:t>Respaldo Físico de fuente nacional</w:t>
      </w:r>
      <w:r w:rsidRPr="00BD5E03">
        <w:rPr>
          <w:i/>
          <w:iCs/>
          <w:sz w:val="22"/>
          <w:szCs w:val="22"/>
        </w:rPr>
        <w:t xml:space="preserve">:  Es la garantía de que un productor-comercializador cuenta con Reservas de Gas Natural para asumir y cumplir compromisos contractuales </w:t>
      </w:r>
      <w:r w:rsidR="002470C5">
        <w:rPr>
          <w:i/>
          <w:iCs/>
          <w:sz w:val="22"/>
          <w:szCs w:val="22"/>
        </w:rPr>
        <w:t>f</w:t>
      </w:r>
      <w:r w:rsidRPr="00BD5E03">
        <w:rPr>
          <w:i/>
          <w:iCs/>
          <w:sz w:val="22"/>
          <w:szCs w:val="22"/>
        </w:rPr>
        <w:t xml:space="preserve">irmes, o que </w:t>
      </w:r>
      <w:r w:rsidR="002470C5">
        <w:rPr>
          <w:i/>
          <w:iCs/>
          <w:sz w:val="22"/>
          <w:szCs w:val="22"/>
        </w:rPr>
        <w:t>g</w:t>
      </w:r>
      <w:r w:rsidRPr="00BD5E03">
        <w:rPr>
          <w:i/>
          <w:iCs/>
          <w:sz w:val="22"/>
          <w:szCs w:val="22"/>
        </w:rPr>
        <w:t xml:space="preserve">arantizan </w:t>
      </w:r>
      <w:r w:rsidR="002470C5">
        <w:rPr>
          <w:i/>
          <w:iCs/>
          <w:sz w:val="22"/>
          <w:szCs w:val="22"/>
        </w:rPr>
        <w:t>f</w:t>
      </w:r>
      <w:r w:rsidRPr="00BD5E03">
        <w:rPr>
          <w:i/>
          <w:iCs/>
          <w:sz w:val="22"/>
          <w:szCs w:val="22"/>
        </w:rPr>
        <w:t xml:space="preserve">irmeza, desde el momento en que se inicien las entregas hasta el cese de </w:t>
      </w:r>
      <w:proofErr w:type="gramStart"/>
      <w:r w:rsidRPr="00BD5E03">
        <w:rPr>
          <w:i/>
          <w:iCs/>
          <w:sz w:val="22"/>
          <w:szCs w:val="22"/>
        </w:rPr>
        <w:t>las mismas</w:t>
      </w:r>
      <w:proofErr w:type="gramEnd"/>
      <w:r w:rsidRPr="00BD5E03">
        <w:rPr>
          <w:i/>
          <w:iCs/>
          <w:sz w:val="22"/>
          <w:szCs w:val="22"/>
        </w:rPr>
        <w:t xml:space="preserve">. Además, para efectos de esta resolución, se entenderá que un comercializador de gas natural cuenta con Respaldo Físico cuando tenga registrados ante el </w:t>
      </w:r>
      <w:r w:rsidR="005114C6">
        <w:rPr>
          <w:i/>
          <w:iCs/>
          <w:sz w:val="22"/>
          <w:szCs w:val="22"/>
        </w:rPr>
        <w:t>Gestor del Mercado</w:t>
      </w:r>
      <w:r w:rsidRPr="00BD5E03">
        <w:rPr>
          <w:i/>
          <w:iCs/>
          <w:sz w:val="22"/>
          <w:szCs w:val="22"/>
        </w:rPr>
        <w:t xml:space="preserve"> de gas contratos </w:t>
      </w:r>
      <w:r w:rsidR="00FD6588">
        <w:rPr>
          <w:i/>
          <w:iCs/>
          <w:sz w:val="22"/>
          <w:szCs w:val="22"/>
        </w:rPr>
        <w:t>f</w:t>
      </w:r>
      <w:r w:rsidRPr="00BD5E03">
        <w:rPr>
          <w:i/>
          <w:iCs/>
          <w:sz w:val="22"/>
          <w:szCs w:val="22"/>
        </w:rPr>
        <w:t xml:space="preserve">irmes o que </w:t>
      </w:r>
      <w:r w:rsidR="00FD6588">
        <w:rPr>
          <w:i/>
          <w:iCs/>
          <w:sz w:val="22"/>
          <w:szCs w:val="22"/>
        </w:rPr>
        <w:t>g</w:t>
      </w:r>
      <w:r w:rsidRPr="00BD5E03">
        <w:rPr>
          <w:i/>
          <w:iCs/>
          <w:sz w:val="22"/>
          <w:szCs w:val="22"/>
        </w:rPr>
        <w:t xml:space="preserve">arantizan </w:t>
      </w:r>
      <w:r w:rsidR="00FD6588">
        <w:rPr>
          <w:i/>
          <w:iCs/>
          <w:sz w:val="22"/>
          <w:szCs w:val="22"/>
        </w:rPr>
        <w:t>f</w:t>
      </w:r>
      <w:r w:rsidRPr="00BD5E03">
        <w:rPr>
          <w:i/>
          <w:iCs/>
          <w:sz w:val="22"/>
          <w:szCs w:val="22"/>
        </w:rPr>
        <w:t>irmeza, como parte compradora.</w:t>
      </w:r>
    </w:p>
    <w:p w14:paraId="4B14C0E5" w14:textId="77777777" w:rsidR="00BD5E03" w:rsidRPr="00BD5E03" w:rsidRDefault="00BD5E03" w:rsidP="00BD5E03">
      <w:pPr>
        <w:ind w:left="708"/>
        <w:rPr>
          <w:i/>
          <w:iCs/>
          <w:sz w:val="22"/>
          <w:szCs w:val="22"/>
        </w:rPr>
      </w:pPr>
    </w:p>
    <w:p w14:paraId="31D50CD1" w14:textId="6EBB36B1" w:rsidR="00806496" w:rsidRDefault="00BD5E03" w:rsidP="00BD5E03">
      <w:pPr>
        <w:ind w:left="708"/>
        <w:rPr>
          <w:sz w:val="22"/>
          <w:szCs w:val="22"/>
        </w:rPr>
      </w:pPr>
      <w:r w:rsidRPr="00452A51">
        <w:rPr>
          <w:b/>
          <w:bCs/>
          <w:i/>
          <w:iCs/>
          <w:sz w:val="22"/>
          <w:szCs w:val="22"/>
        </w:rPr>
        <w:t>Respaldo Físico de gas obtenido en el exterior</w:t>
      </w:r>
      <w:r w:rsidRPr="00BD5E03">
        <w:rPr>
          <w:i/>
          <w:iCs/>
          <w:sz w:val="22"/>
          <w:szCs w:val="22"/>
        </w:rPr>
        <w:t xml:space="preserve">: Es la garantía de que un comercializador de gas importado ha adquirido el gas natural que se comercializará en el Mercado Primario, en un mercado internacional o centro de comercialización, mediante uno o varios contratos de suministro, ya sea que con ellos se cumpla con alguna de las siguientes dos condiciones: i.) Unos plazos de ejecución y cantidades de suministro del gas natural compradas en el exterior, por lo menos iguales a la </w:t>
      </w:r>
      <w:proofErr w:type="gramStart"/>
      <w:r w:rsidRPr="00BD5E03">
        <w:rPr>
          <w:i/>
          <w:iCs/>
          <w:sz w:val="22"/>
          <w:szCs w:val="22"/>
        </w:rPr>
        <w:t>mayor duración y mayor cantidad</w:t>
      </w:r>
      <w:proofErr w:type="gramEnd"/>
      <w:r w:rsidRPr="00BD5E03">
        <w:rPr>
          <w:i/>
          <w:iCs/>
          <w:sz w:val="22"/>
          <w:szCs w:val="22"/>
        </w:rPr>
        <w:t xml:space="preserve"> que se declare al </w:t>
      </w:r>
      <w:r w:rsidR="005114C6">
        <w:rPr>
          <w:i/>
          <w:iCs/>
          <w:sz w:val="22"/>
          <w:szCs w:val="22"/>
        </w:rPr>
        <w:t>Gestor del Mercado</w:t>
      </w:r>
      <w:r w:rsidRPr="00BD5E03">
        <w:rPr>
          <w:i/>
          <w:iCs/>
          <w:sz w:val="22"/>
          <w:szCs w:val="22"/>
        </w:rPr>
        <w:t xml:space="preserve">; o </w:t>
      </w:r>
      <w:proofErr w:type="spellStart"/>
      <w:r w:rsidRPr="00BD5E03">
        <w:rPr>
          <w:i/>
          <w:iCs/>
          <w:sz w:val="22"/>
          <w:szCs w:val="22"/>
        </w:rPr>
        <w:t>ii</w:t>
      </w:r>
      <w:proofErr w:type="spellEnd"/>
      <w:r w:rsidRPr="00BD5E03">
        <w:rPr>
          <w:i/>
          <w:iCs/>
          <w:sz w:val="22"/>
          <w:szCs w:val="22"/>
        </w:rPr>
        <w:t xml:space="preserve">.) Unas cantidades totales de gas natural comprado en el exterior, medidas en unidades de energía, MBTU, que sean iguales o superiores a las cantidades de gas natural, medidas en las mismas unidades de energía, que se declaran al </w:t>
      </w:r>
      <w:r w:rsidR="005114C6">
        <w:rPr>
          <w:i/>
          <w:iCs/>
          <w:sz w:val="22"/>
          <w:szCs w:val="22"/>
        </w:rPr>
        <w:t>Gestor del Mercado</w:t>
      </w:r>
      <w:r w:rsidRPr="00BD5E03">
        <w:rPr>
          <w:i/>
          <w:iCs/>
          <w:sz w:val="22"/>
          <w:szCs w:val="22"/>
        </w:rPr>
        <w:t xml:space="preserve"> para el período declarado.</w:t>
      </w:r>
    </w:p>
    <w:p w14:paraId="54560D57" w14:textId="77777777" w:rsidR="00BD5E03" w:rsidRDefault="00BD5E03" w:rsidP="001A267E">
      <w:pPr>
        <w:rPr>
          <w:sz w:val="22"/>
          <w:szCs w:val="22"/>
        </w:rPr>
      </w:pPr>
    </w:p>
    <w:p w14:paraId="1718E80E" w14:textId="08256ADA" w:rsidR="00806496" w:rsidRDefault="00806496" w:rsidP="001A267E">
      <w:pPr>
        <w:rPr>
          <w:sz w:val="22"/>
          <w:szCs w:val="22"/>
        </w:rPr>
      </w:pPr>
      <w:r>
        <w:rPr>
          <w:sz w:val="22"/>
          <w:szCs w:val="22"/>
        </w:rPr>
        <w:t>Es de tener en cuenta que la definición se refiere a qué se entiende por Respaldo Físico</w:t>
      </w:r>
      <w:r w:rsidR="000E2969">
        <w:rPr>
          <w:sz w:val="22"/>
          <w:szCs w:val="22"/>
        </w:rPr>
        <w:t xml:space="preserve"> en el marco de la propuesta regulatoria</w:t>
      </w:r>
      <w:r>
        <w:rPr>
          <w:sz w:val="22"/>
          <w:szCs w:val="22"/>
        </w:rPr>
        <w:t>. Sin embargo, las cantidades que se aceptan bajo dicha definición se encuentran establecidas más adelante en la propuesta de resolución, de tal modo que existan reglas conocidas por los agentes para limitar a las cantidades realmente obtenidas en el exterior</w:t>
      </w:r>
      <w:r w:rsidR="002470C5">
        <w:rPr>
          <w:sz w:val="22"/>
          <w:szCs w:val="22"/>
        </w:rPr>
        <w:t xml:space="preserve"> que </w:t>
      </w:r>
      <w:r w:rsidR="00406204">
        <w:rPr>
          <w:sz w:val="22"/>
          <w:szCs w:val="22"/>
        </w:rPr>
        <w:t>s</w:t>
      </w:r>
      <w:r w:rsidR="002470C5">
        <w:rPr>
          <w:sz w:val="22"/>
          <w:szCs w:val="22"/>
        </w:rPr>
        <w:t xml:space="preserve">e pueden declarar a </w:t>
      </w:r>
      <w:r w:rsidR="005114C6">
        <w:rPr>
          <w:sz w:val="22"/>
          <w:szCs w:val="22"/>
        </w:rPr>
        <w:t>Gestor del Mercado</w:t>
      </w:r>
      <w:r w:rsidR="002470C5">
        <w:rPr>
          <w:sz w:val="22"/>
          <w:szCs w:val="22"/>
        </w:rPr>
        <w:t xml:space="preserve"> como CIDVF</w:t>
      </w:r>
      <w:r>
        <w:rPr>
          <w:sz w:val="22"/>
          <w:szCs w:val="22"/>
        </w:rPr>
        <w:t>, y que no ocurra que por el simple hecho de existir un contrato firme de gas obtenido en el exterior, se amparen cantidades ilimitadas para ser negociadas en el Mercado Primario</w:t>
      </w:r>
      <w:r w:rsidR="006D2115">
        <w:rPr>
          <w:sz w:val="22"/>
          <w:szCs w:val="22"/>
        </w:rPr>
        <w:t>, con las que realmente ni cuenta el comercializador de gas importado al momento de declarar PTDVF</w:t>
      </w:r>
      <w:r>
        <w:rPr>
          <w:sz w:val="22"/>
          <w:szCs w:val="22"/>
        </w:rPr>
        <w:t>.</w:t>
      </w:r>
    </w:p>
    <w:p w14:paraId="413317E1" w14:textId="77777777" w:rsidR="00806496" w:rsidRDefault="00806496" w:rsidP="001A267E">
      <w:pPr>
        <w:rPr>
          <w:sz w:val="22"/>
          <w:szCs w:val="22"/>
        </w:rPr>
      </w:pPr>
    </w:p>
    <w:p w14:paraId="77E19168" w14:textId="2C706150" w:rsidR="001D7E6E" w:rsidRDefault="00572ADA" w:rsidP="001A267E">
      <w:pPr>
        <w:rPr>
          <w:sz w:val="22"/>
          <w:szCs w:val="22"/>
        </w:rPr>
      </w:pPr>
      <w:r>
        <w:rPr>
          <w:sz w:val="22"/>
          <w:szCs w:val="22"/>
        </w:rPr>
        <w:t xml:space="preserve">Las condiciones de limitación de cantidades que serán verificadas por el </w:t>
      </w:r>
      <w:r w:rsidR="005114C6">
        <w:rPr>
          <w:sz w:val="22"/>
          <w:szCs w:val="22"/>
        </w:rPr>
        <w:t>Gestor del Mercado</w:t>
      </w:r>
      <w:r>
        <w:rPr>
          <w:sz w:val="22"/>
          <w:szCs w:val="22"/>
        </w:rPr>
        <w:t xml:space="preserve"> al momento de que los vendedores realicen la declaración de tales cantidades, son básicamente las siguientes:</w:t>
      </w:r>
    </w:p>
    <w:p w14:paraId="498BE8E6" w14:textId="1772A5AF" w:rsidR="00572ADA" w:rsidRDefault="00572ADA" w:rsidP="001A267E">
      <w:pPr>
        <w:rPr>
          <w:sz w:val="22"/>
          <w:szCs w:val="22"/>
        </w:rPr>
      </w:pPr>
    </w:p>
    <w:p w14:paraId="5E5B1002" w14:textId="2E071D03" w:rsidR="005637DD" w:rsidRPr="005637DD" w:rsidRDefault="00572ADA" w:rsidP="005637DD">
      <w:pPr>
        <w:pStyle w:val="Prrafodelista"/>
        <w:numPr>
          <w:ilvl w:val="0"/>
          <w:numId w:val="15"/>
        </w:numPr>
        <w:rPr>
          <w:sz w:val="22"/>
          <w:szCs w:val="22"/>
        </w:rPr>
      </w:pPr>
      <w:r>
        <w:rPr>
          <w:sz w:val="22"/>
          <w:szCs w:val="22"/>
        </w:rPr>
        <w:t xml:space="preserve">En el caso de fuentes nacionales: </w:t>
      </w:r>
      <w:r w:rsidR="005637DD">
        <w:rPr>
          <w:sz w:val="22"/>
          <w:szCs w:val="22"/>
        </w:rPr>
        <w:t>L</w:t>
      </w:r>
      <w:r w:rsidR="005637DD" w:rsidRPr="005637DD">
        <w:rPr>
          <w:sz w:val="22"/>
          <w:szCs w:val="22"/>
        </w:rPr>
        <w:t>a oferta de PTDVF para cada Fuente de Suministro nacional, debe ser igual o inferior a la PTDV y/o CIDV para el respectivo mes, declarada al Ministerio de Minas y Energía en cumplimiento del Artículo 2.2.2.2.21 del Decreto 1073 de 2015</w:t>
      </w:r>
      <w:r w:rsidR="00AC3D6C">
        <w:rPr>
          <w:rStyle w:val="Refdenotaalpie"/>
          <w:sz w:val="22"/>
          <w:szCs w:val="22"/>
        </w:rPr>
        <w:footnoteReference w:id="10"/>
      </w:r>
      <w:r w:rsidR="005637DD" w:rsidRPr="005637DD">
        <w:rPr>
          <w:sz w:val="22"/>
          <w:szCs w:val="22"/>
        </w:rPr>
        <w:t xml:space="preserve">. De no cumplirse con este requisito, el </w:t>
      </w:r>
      <w:r w:rsidR="005114C6">
        <w:rPr>
          <w:sz w:val="22"/>
          <w:szCs w:val="22"/>
        </w:rPr>
        <w:t>Gestor del Mercado</w:t>
      </w:r>
      <w:r w:rsidR="005637DD" w:rsidRPr="005637DD">
        <w:rPr>
          <w:sz w:val="22"/>
          <w:szCs w:val="22"/>
        </w:rPr>
        <w:t xml:space="preserve"> deberá asignar como PTDVF, la cantidad de PTDV </w:t>
      </w:r>
      <w:r w:rsidR="005637DD">
        <w:rPr>
          <w:sz w:val="22"/>
          <w:szCs w:val="22"/>
        </w:rPr>
        <w:t xml:space="preserve">vigente </w:t>
      </w:r>
      <w:r w:rsidR="005637DD" w:rsidRPr="005637DD">
        <w:rPr>
          <w:sz w:val="22"/>
          <w:szCs w:val="22"/>
        </w:rPr>
        <w:t xml:space="preserve">para la </w:t>
      </w:r>
      <w:r w:rsidR="005637DD">
        <w:rPr>
          <w:sz w:val="22"/>
          <w:szCs w:val="22"/>
        </w:rPr>
        <w:t>F</w:t>
      </w:r>
      <w:r w:rsidR="005637DD" w:rsidRPr="005637DD">
        <w:rPr>
          <w:sz w:val="22"/>
          <w:szCs w:val="22"/>
        </w:rPr>
        <w:t xml:space="preserve">uente de Suministro, que se encuentre publicada por el MME al momento de la declaración del vendedor al </w:t>
      </w:r>
      <w:r w:rsidR="005114C6">
        <w:rPr>
          <w:sz w:val="22"/>
          <w:szCs w:val="22"/>
        </w:rPr>
        <w:t>Gestor del Mercado</w:t>
      </w:r>
      <w:r w:rsidR="005637DD" w:rsidRPr="005637DD">
        <w:rPr>
          <w:sz w:val="22"/>
          <w:szCs w:val="22"/>
        </w:rPr>
        <w:t>.</w:t>
      </w:r>
    </w:p>
    <w:p w14:paraId="6681F849" w14:textId="77777777" w:rsidR="005637DD" w:rsidRPr="005637DD" w:rsidRDefault="005637DD" w:rsidP="005637DD">
      <w:pPr>
        <w:pStyle w:val="Prrafodelista"/>
        <w:ind w:left="360"/>
        <w:rPr>
          <w:sz w:val="22"/>
          <w:szCs w:val="22"/>
        </w:rPr>
      </w:pPr>
    </w:p>
    <w:p w14:paraId="231F0760" w14:textId="6C943C6D" w:rsidR="005637DD" w:rsidRDefault="005637DD" w:rsidP="005637DD">
      <w:pPr>
        <w:pStyle w:val="Prrafodelista"/>
        <w:ind w:left="360"/>
        <w:rPr>
          <w:sz w:val="22"/>
          <w:szCs w:val="22"/>
        </w:rPr>
      </w:pPr>
      <w:r w:rsidRPr="005637DD">
        <w:rPr>
          <w:sz w:val="22"/>
          <w:szCs w:val="22"/>
        </w:rPr>
        <w:t xml:space="preserve">En todo caso el </w:t>
      </w:r>
      <w:r w:rsidR="005114C6">
        <w:rPr>
          <w:sz w:val="22"/>
          <w:szCs w:val="22"/>
        </w:rPr>
        <w:t>Gestor del Mercado</w:t>
      </w:r>
      <w:r w:rsidRPr="005637DD">
        <w:rPr>
          <w:sz w:val="22"/>
          <w:szCs w:val="22"/>
        </w:rPr>
        <w:t xml:space="preserve"> deberá verificar que la declaración de PTDV vigente publicada por el MME para la fuente de suministro, haya cumplido con lo establecido en el Artículo 2.2.2.2.22. "</w:t>
      </w:r>
      <w:r w:rsidRPr="00EA43B1">
        <w:rPr>
          <w:i/>
          <w:iCs/>
          <w:sz w:val="22"/>
          <w:szCs w:val="22"/>
        </w:rPr>
        <w:t>Actualización de la declaración de producción"</w:t>
      </w:r>
      <w:r w:rsidRPr="005637DD">
        <w:rPr>
          <w:sz w:val="22"/>
          <w:szCs w:val="22"/>
        </w:rPr>
        <w:t xml:space="preserve"> del Decreto 1073 de 2015. </w:t>
      </w:r>
    </w:p>
    <w:p w14:paraId="5E9E1FCB" w14:textId="733695B2" w:rsidR="005637DD" w:rsidRDefault="005637DD" w:rsidP="005637DD">
      <w:pPr>
        <w:pStyle w:val="Prrafodelista"/>
        <w:ind w:left="360"/>
        <w:rPr>
          <w:sz w:val="22"/>
          <w:szCs w:val="22"/>
        </w:rPr>
      </w:pPr>
    </w:p>
    <w:p w14:paraId="244AF428" w14:textId="44098841" w:rsidR="00572ADA" w:rsidRPr="00572ADA" w:rsidRDefault="005637DD" w:rsidP="00EA43B1">
      <w:pPr>
        <w:pStyle w:val="Prrafodelista"/>
        <w:ind w:left="360"/>
        <w:rPr>
          <w:sz w:val="22"/>
          <w:szCs w:val="22"/>
        </w:rPr>
      </w:pPr>
      <w:r>
        <w:rPr>
          <w:sz w:val="22"/>
          <w:szCs w:val="22"/>
        </w:rPr>
        <w:t xml:space="preserve">Así, si se evidencia que la PTDV publicada por el MME y vigente al momento de la declaración al </w:t>
      </w:r>
      <w:r w:rsidR="005114C6">
        <w:rPr>
          <w:sz w:val="22"/>
          <w:szCs w:val="22"/>
        </w:rPr>
        <w:t>Gestor del Mercado</w:t>
      </w:r>
      <w:r w:rsidR="00D41839">
        <w:rPr>
          <w:sz w:val="22"/>
          <w:szCs w:val="22"/>
        </w:rPr>
        <w:t>,</w:t>
      </w:r>
      <w:r>
        <w:rPr>
          <w:sz w:val="22"/>
          <w:szCs w:val="22"/>
        </w:rPr>
        <w:t xml:space="preserve"> no corresponde </w:t>
      </w:r>
      <w:r w:rsidR="00AC3D6C">
        <w:rPr>
          <w:sz w:val="22"/>
          <w:szCs w:val="22"/>
        </w:rPr>
        <w:t xml:space="preserve">realmente </w:t>
      </w:r>
      <w:r>
        <w:rPr>
          <w:sz w:val="22"/>
          <w:szCs w:val="22"/>
        </w:rPr>
        <w:t>a un valor actualizado porque el vendedor</w:t>
      </w:r>
      <w:r w:rsidR="00EA43B1">
        <w:rPr>
          <w:sz w:val="22"/>
          <w:szCs w:val="22"/>
        </w:rPr>
        <w:t>, por ejemplo,</w:t>
      </w:r>
      <w:r>
        <w:rPr>
          <w:sz w:val="22"/>
          <w:szCs w:val="22"/>
        </w:rPr>
        <w:t xml:space="preserve"> desarrolló procesos de comercialización después de la </w:t>
      </w:r>
      <w:r w:rsidR="00AC3D6C">
        <w:rPr>
          <w:sz w:val="22"/>
          <w:szCs w:val="22"/>
        </w:rPr>
        <w:t>fecha de declaración de PTDV al MME,</w:t>
      </w:r>
      <w:r w:rsidR="00EA43B1">
        <w:rPr>
          <w:sz w:val="22"/>
          <w:szCs w:val="22"/>
        </w:rPr>
        <w:t xml:space="preserve"> o porque el vendedor realizó inversiones y aumentó el potencial de producción de la fuente de suministro, </w:t>
      </w:r>
      <w:r w:rsidR="00AC3D6C">
        <w:rPr>
          <w:sz w:val="22"/>
          <w:szCs w:val="22"/>
        </w:rPr>
        <w:t xml:space="preserve">y a pesar de ello no actualizó la declaración al MME, el Gestor deberá </w:t>
      </w:r>
      <w:r w:rsidR="00EA43B1">
        <w:rPr>
          <w:sz w:val="22"/>
          <w:szCs w:val="22"/>
        </w:rPr>
        <w:t>utilizar el menor valor de PTDV que se obtiene entre el valor de PTDV vigente publicado por el MME y el valor que correspondería de PTDV si se hubiese actualizado la declaración del vendedor al MME</w:t>
      </w:r>
      <w:r w:rsidR="00AC3D6C">
        <w:rPr>
          <w:sz w:val="22"/>
          <w:szCs w:val="22"/>
        </w:rPr>
        <w:t xml:space="preserve">. </w:t>
      </w:r>
    </w:p>
    <w:p w14:paraId="4807F3FC" w14:textId="7427EFB3" w:rsidR="00F72285" w:rsidRDefault="00F72285" w:rsidP="001A267E">
      <w:pPr>
        <w:rPr>
          <w:sz w:val="22"/>
          <w:szCs w:val="22"/>
        </w:rPr>
      </w:pPr>
    </w:p>
    <w:p w14:paraId="31F449FB" w14:textId="39CBF4E0" w:rsidR="00113A9D" w:rsidRDefault="00406214" w:rsidP="00E4031D">
      <w:pPr>
        <w:pStyle w:val="Prrafodelista"/>
        <w:numPr>
          <w:ilvl w:val="0"/>
          <w:numId w:val="15"/>
        </w:numPr>
        <w:rPr>
          <w:sz w:val="22"/>
          <w:szCs w:val="22"/>
        </w:rPr>
      </w:pPr>
      <w:r>
        <w:rPr>
          <w:sz w:val="22"/>
          <w:szCs w:val="22"/>
        </w:rPr>
        <w:t xml:space="preserve">En el caso de gas obtenido en el exterior: </w:t>
      </w:r>
      <w:r w:rsidR="00113A9D">
        <w:rPr>
          <w:sz w:val="22"/>
          <w:szCs w:val="22"/>
        </w:rPr>
        <w:t xml:space="preserve">la oferta de CIDVF que se declara al </w:t>
      </w:r>
      <w:r w:rsidR="005114C6">
        <w:rPr>
          <w:sz w:val="22"/>
          <w:szCs w:val="22"/>
        </w:rPr>
        <w:t>Gestor del Mercado</w:t>
      </w:r>
      <w:r w:rsidR="00113A9D">
        <w:rPr>
          <w:sz w:val="22"/>
          <w:szCs w:val="22"/>
        </w:rPr>
        <w:t xml:space="preserve"> debe cumplir con alguna de las siguientes </w:t>
      </w:r>
      <w:r w:rsidR="000B7870">
        <w:rPr>
          <w:sz w:val="22"/>
          <w:szCs w:val="22"/>
        </w:rPr>
        <w:t xml:space="preserve">dos </w:t>
      </w:r>
      <w:r w:rsidR="00113A9D">
        <w:rPr>
          <w:sz w:val="22"/>
          <w:szCs w:val="22"/>
        </w:rPr>
        <w:t>condiciones</w:t>
      </w:r>
      <w:r w:rsidR="000D37BB">
        <w:rPr>
          <w:sz w:val="22"/>
          <w:szCs w:val="22"/>
        </w:rPr>
        <w:t xml:space="preserve"> a) o b)</w:t>
      </w:r>
      <w:r w:rsidR="00113A9D">
        <w:rPr>
          <w:sz w:val="22"/>
          <w:szCs w:val="22"/>
        </w:rPr>
        <w:t xml:space="preserve">: </w:t>
      </w:r>
    </w:p>
    <w:p w14:paraId="4323118A" w14:textId="77777777" w:rsidR="00113A9D" w:rsidRDefault="00113A9D" w:rsidP="000B7870">
      <w:pPr>
        <w:pStyle w:val="Prrafodelista"/>
        <w:ind w:left="360"/>
        <w:rPr>
          <w:sz w:val="22"/>
          <w:szCs w:val="22"/>
        </w:rPr>
      </w:pPr>
    </w:p>
    <w:p w14:paraId="0143CD52" w14:textId="77E7412D" w:rsidR="00464A59" w:rsidRPr="003463EE" w:rsidRDefault="00113A9D" w:rsidP="003463EE">
      <w:pPr>
        <w:pStyle w:val="Prrafodelista"/>
        <w:numPr>
          <w:ilvl w:val="0"/>
          <w:numId w:val="34"/>
        </w:numPr>
        <w:rPr>
          <w:sz w:val="22"/>
          <w:szCs w:val="22"/>
        </w:rPr>
      </w:pPr>
      <w:r w:rsidRPr="00AD72DC">
        <w:rPr>
          <w:sz w:val="22"/>
          <w:szCs w:val="22"/>
        </w:rPr>
        <w:t>Haber suscrito contrato(s) con garantía de firmeza de gas natural obtenido en el exterior</w:t>
      </w:r>
      <w:r w:rsidR="000B7870" w:rsidRPr="00AD72DC">
        <w:rPr>
          <w:sz w:val="22"/>
          <w:szCs w:val="22"/>
        </w:rPr>
        <w:t>,</w:t>
      </w:r>
      <w:r w:rsidRPr="003463EE">
        <w:rPr>
          <w:sz w:val="22"/>
          <w:szCs w:val="22"/>
        </w:rPr>
        <w:t xml:space="preserve"> cuya duración(es) de ejecución sea(n) igual(es) o superior(es) al período de declaración de la CIDVF, y </w:t>
      </w:r>
      <w:r w:rsidR="000B7870" w:rsidRPr="003463EE">
        <w:rPr>
          <w:sz w:val="22"/>
          <w:szCs w:val="22"/>
        </w:rPr>
        <w:t>cuyas</w:t>
      </w:r>
      <w:r w:rsidRPr="003463EE">
        <w:rPr>
          <w:sz w:val="22"/>
          <w:szCs w:val="22"/>
        </w:rPr>
        <w:t xml:space="preserve"> cantidades diarias</w:t>
      </w:r>
      <w:r w:rsidR="000B7870" w:rsidRPr="003463EE">
        <w:rPr>
          <w:sz w:val="22"/>
          <w:szCs w:val="22"/>
        </w:rPr>
        <w:t xml:space="preserve"> promedio mes sumadas de tales contratos</w:t>
      </w:r>
      <w:r w:rsidRPr="003463EE">
        <w:rPr>
          <w:sz w:val="22"/>
          <w:szCs w:val="22"/>
        </w:rPr>
        <w:t xml:space="preserve">, dadas en MBTUD para un período mensual de </w:t>
      </w:r>
      <w:r w:rsidR="000B7870" w:rsidRPr="003463EE">
        <w:rPr>
          <w:sz w:val="22"/>
          <w:szCs w:val="22"/>
        </w:rPr>
        <w:t>declaración</w:t>
      </w:r>
      <w:r w:rsidRPr="003463EE">
        <w:rPr>
          <w:sz w:val="22"/>
          <w:szCs w:val="22"/>
        </w:rPr>
        <w:t xml:space="preserve">, sean iguales o superiores a las cantidades diarias </w:t>
      </w:r>
      <w:r w:rsidR="000B7870" w:rsidRPr="003463EE">
        <w:rPr>
          <w:sz w:val="22"/>
          <w:szCs w:val="22"/>
        </w:rPr>
        <w:t xml:space="preserve">promedio mes declaradas </w:t>
      </w:r>
      <w:r w:rsidRPr="003463EE">
        <w:rPr>
          <w:sz w:val="22"/>
          <w:szCs w:val="22"/>
        </w:rPr>
        <w:t>de CIDVF</w:t>
      </w:r>
      <w:r w:rsidR="000B7870" w:rsidRPr="003463EE">
        <w:rPr>
          <w:sz w:val="22"/>
          <w:szCs w:val="22"/>
        </w:rPr>
        <w:t xml:space="preserve"> para ese mismo período</w:t>
      </w:r>
      <w:r w:rsidRPr="003463EE">
        <w:rPr>
          <w:sz w:val="22"/>
          <w:szCs w:val="22"/>
        </w:rPr>
        <w:t>.</w:t>
      </w:r>
      <w:r w:rsidR="00D31ED1" w:rsidRPr="003463EE">
        <w:rPr>
          <w:sz w:val="22"/>
          <w:szCs w:val="22"/>
        </w:rPr>
        <w:t xml:space="preserve"> A modo de ejemplo se utiliza la </w:t>
      </w:r>
      <w:r w:rsidR="000F7DF5" w:rsidRPr="003463EE">
        <w:rPr>
          <w:sz w:val="22"/>
          <w:szCs w:val="22"/>
        </w:rPr>
        <w:fldChar w:fldCharType="begin"/>
      </w:r>
      <w:r w:rsidR="000F7DF5" w:rsidRPr="003463EE">
        <w:rPr>
          <w:sz w:val="22"/>
          <w:szCs w:val="22"/>
        </w:rPr>
        <w:instrText xml:space="preserve"> REF _Ref129943871 \h  \* MERGEFORMAT </w:instrText>
      </w:r>
      <w:r w:rsidR="000F7DF5" w:rsidRPr="003463EE">
        <w:rPr>
          <w:sz w:val="22"/>
          <w:szCs w:val="22"/>
        </w:rPr>
      </w:r>
      <w:r w:rsidR="000F7DF5" w:rsidRPr="003463EE">
        <w:rPr>
          <w:sz w:val="22"/>
          <w:szCs w:val="22"/>
        </w:rPr>
        <w:fldChar w:fldCharType="separate"/>
      </w:r>
      <w:r w:rsidR="006B7344" w:rsidRPr="006B7344">
        <w:rPr>
          <w:i/>
          <w:iCs/>
          <w:sz w:val="22"/>
          <w:szCs w:val="22"/>
        </w:rPr>
        <w:t xml:space="preserve">Figura </w:t>
      </w:r>
      <w:r w:rsidR="006B7344">
        <w:rPr>
          <w:i/>
          <w:iCs/>
          <w:noProof/>
          <w:sz w:val="22"/>
          <w:szCs w:val="22"/>
        </w:rPr>
        <w:t>16</w:t>
      </w:r>
      <w:r w:rsidR="000F7DF5" w:rsidRPr="003463EE">
        <w:rPr>
          <w:sz w:val="22"/>
          <w:szCs w:val="22"/>
        </w:rPr>
        <w:fldChar w:fldCharType="end"/>
      </w:r>
      <w:r w:rsidR="000F7DF5" w:rsidRPr="003463EE">
        <w:rPr>
          <w:sz w:val="22"/>
          <w:szCs w:val="22"/>
        </w:rPr>
        <w:t xml:space="preserve">, la </w:t>
      </w:r>
      <w:r w:rsidR="000F7DF5" w:rsidRPr="003463EE">
        <w:rPr>
          <w:sz w:val="22"/>
          <w:szCs w:val="22"/>
        </w:rPr>
        <w:fldChar w:fldCharType="begin"/>
      </w:r>
      <w:r w:rsidR="000F7DF5" w:rsidRPr="003463EE">
        <w:rPr>
          <w:sz w:val="22"/>
          <w:szCs w:val="22"/>
        </w:rPr>
        <w:instrText xml:space="preserve"> REF _Ref129944146 \h </w:instrText>
      </w:r>
      <w:r w:rsidR="000F7DF5" w:rsidRPr="003463EE">
        <w:rPr>
          <w:sz w:val="22"/>
          <w:szCs w:val="22"/>
        </w:rPr>
      </w:r>
      <w:r w:rsidR="000F7DF5" w:rsidRPr="003463EE">
        <w:rPr>
          <w:sz w:val="22"/>
          <w:szCs w:val="22"/>
        </w:rPr>
        <w:fldChar w:fldCharType="separate"/>
      </w:r>
      <w:r w:rsidR="006B7344" w:rsidRPr="000F7DF5">
        <w:rPr>
          <w:sz w:val="22"/>
          <w:szCs w:val="22"/>
        </w:rPr>
        <w:t xml:space="preserve">Figura </w:t>
      </w:r>
      <w:r w:rsidR="006B7344">
        <w:rPr>
          <w:i/>
          <w:iCs/>
          <w:noProof/>
          <w:sz w:val="22"/>
          <w:szCs w:val="22"/>
        </w:rPr>
        <w:t>17</w:t>
      </w:r>
      <w:r w:rsidR="000F7DF5" w:rsidRPr="003463EE">
        <w:rPr>
          <w:sz w:val="22"/>
          <w:szCs w:val="22"/>
        </w:rPr>
        <w:fldChar w:fldCharType="end"/>
      </w:r>
      <w:r w:rsidR="00892EA9" w:rsidRPr="003463EE">
        <w:rPr>
          <w:sz w:val="22"/>
          <w:szCs w:val="22"/>
        </w:rPr>
        <w:t xml:space="preserve"> y la </w:t>
      </w:r>
      <w:r w:rsidR="00892EA9" w:rsidRPr="003463EE">
        <w:rPr>
          <w:sz w:val="22"/>
          <w:szCs w:val="22"/>
        </w:rPr>
        <w:fldChar w:fldCharType="begin"/>
      </w:r>
      <w:r w:rsidR="00892EA9" w:rsidRPr="003463EE">
        <w:rPr>
          <w:sz w:val="22"/>
          <w:szCs w:val="22"/>
        </w:rPr>
        <w:instrText xml:space="preserve"> REF _Ref129944320 \h </w:instrText>
      </w:r>
      <w:r w:rsidR="00892EA9" w:rsidRPr="003463EE">
        <w:rPr>
          <w:sz w:val="22"/>
          <w:szCs w:val="22"/>
        </w:rPr>
      </w:r>
      <w:r w:rsidR="00892EA9" w:rsidRPr="003463EE">
        <w:rPr>
          <w:sz w:val="22"/>
          <w:szCs w:val="22"/>
        </w:rPr>
        <w:fldChar w:fldCharType="separate"/>
      </w:r>
      <w:r w:rsidR="006B7344" w:rsidRPr="00892EA9">
        <w:rPr>
          <w:sz w:val="22"/>
          <w:szCs w:val="22"/>
        </w:rPr>
        <w:t xml:space="preserve">Figura </w:t>
      </w:r>
      <w:r w:rsidR="006B7344">
        <w:rPr>
          <w:i/>
          <w:iCs/>
          <w:noProof/>
          <w:sz w:val="22"/>
          <w:szCs w:val="22"/>
        </w:rPr>
        <w:t>18</w:t>
      </w:r>
      <w:r w:rsidR="00892EA9" w:rsidRPr="003463EE">
        <w:rPr>
          <w:sz w:val="22"/>
          <w:szCs w:val="22"/>
        </w:rPr>
        <w:fldChar w:fldCharType="end"/>
      </w:r>
    </w:p>
    <w:p w14:paraId="05FC061C" w14:textId="308306FC" w:rsidR="000F7DF5" w:rsidRDefault="000F7DF5" w:rsidP="00464A59">
      <w:pPr>
        <w:ind w:left="1080"/>
        <w:rPr>
          <w:sz w:val="22"/>
          <w:szCs w:val="22"/>
        </w:rPr>
      </w:pPr>
    </w:p>
    <w:p w14:paraId="2DAFCED6" w14:textId="77777777" w:rsidR="000F7DF5" w:rsidRDefault="000F7DF5" w:rsidP="00464A59">
      <w:pPr>
        <w:ind w:left="1080"/>
        <w:rPr>
          <w:sz w:val="22"/>
          <w:szCs w:val="22"/>
        </w:rPr>
      </w:pPr>
    </w:p>
    <w:p w14:paraId="59BFC9DF" w14:textId="57D64688" w:rsidR="000F7DF5" w:rsidRPr="000F7DF5" w:rsidRDefault="000F7DF5" w:rsidP="000F7DF5">
      <w:pPr>
        <w:pStyle w:val="Descripcin"/>
        <w:keepNext/>
        <w:jc w:val="center"/>
        <w:rPr>
          <w:i w:val="0"/>
          <w:iCs w:val="0"/>
          <w:sz w:val="22"/>
          <w:szCs w:val="22"/>
        </w:rPr>
      </w:pPr>
      <w:bookmarkStart w:id="409" w:name="_Ref129943871"/>
      <w:bookmarkStart w:id="410" w:name="_Toc140506609"/>
      <w:r w:rsidRPr="000F7DF5">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16</w:t>
      </w:r>
      <w:r w:rsidR="006B6B6C">
        <w:rPr>
          <w:i w:val="0"/>
          <w:iCs w:val="0"/>
          <w:sz w:val="22"/>
          <w:szCs w:val="22"/>
        </w:rPr>
        <w:fldChar w:fldCharType="end"/>
      </w:r>
      <w:bookmarkEnd w:id="409"/>
      <w:r w:rsidRPr="000F7DF5">
        <w:rPr>
          <w:i w:val="0"/>
          <w:iCs w:val="0"/>
          <w:sz w:val="22"/>
          <w:szCs w:val="22"/>
        </w:rPr>
        <w:t xml:space="preserve"> </w:t>
      </w:r>
      <w:r w:rsidR="00BF17C0">
        <w:rPr>
          <w:i w:val="0"/>
          <w:iCs w:val="0"/>
          <w:sz w:val="22"/>
          <w:szCs w:val="22"/>
        </w:rPr>
        <w:t>Ejemplo de Caso a):</w:t>
      </w:r>
      <w:r w:rsidRPr="000F7DF5">
        <w:rPr>
          <w:i w:val="0"/>
          <w:iCs w:val="0"/>
          <w:sz w:val="22"/>
          <w:szCs w:val="22"/>
        </w:rPr>
        <w:t xml:space="preserve"> gas obtenido en el exterior </w:t>
      </w:r>
      <w:r w:rsidR="00BF17C0">
        <w:rPr>
          <w:i w:val="0"/>
          <w:iCs w:val="0"/>
          <w:sz w:val="22"/>
          <w:szCs w:val="22"/>
        </w:rPr>
        <w:t>con</w:t>
      </w:r>
      <w:r w:rsidRPr="000F7DF5">
        <w:rPr>
          <w:i w:val="0"/>
          <w:iCs w:val="0"/>
          <w:sz w:val="22"/>
          <w:szCs w:val="22"/>
        </w:rPr>
        <w:t xml:space="preserve"> Respaldo Físico</w:t>
      </w:r>
      <w:bookmarkEnd w:id="410"/>
    </w:p>
    <w:tbl>
      <w:tblPr>
        <w:tblW w:w="5000" w:type="pct"/>
        <w:jc w:val="center"/>
        <w:tblCellMar>
          <w:left w:w="70" w:type="dxa"/>
          <w:right w:w="70" w:type="dxa"/>
        </w:tblCellMar>
        <w:tblLook w:val="04A0" w:firstRow="1" w:lastRow="0" w:firstColumn="1" w:lastColumn="0" w:noHBand="0" w:noVBand="1"/>
      </w:tblPr>
      <w:tblGrid>
        <w:gridCol w:w="739"/>
        <w:gridCol w:w="556"/>
        <w:gridCol w:w="419"/>
        <w:gridCol w:w="451"/>
        <w:gridCol w:w="419"/>
        <w:gridCol w:w="419"/>
        <w:gridCol w:w="419"/>
        <w:gridCol w:w="352"/>
        <w:gridCol w:w="323"/>
        <w:gridCol w:w="419"/>
        <w:gridCol w:w="615"/>
        <w:gridCol w:w="464"/>
        <w:gridCol w:w="591"/>
        <w:gridCol w:w="556"/>
        <w:gridCol w:w="419"/>
        <w:gridCol w:w="451"/>
        <w:gridCol w:w="419"/>
        <w:gridCol w:w="419"/>
        <w:gridCol w:w="895"/>
      </w:tblGrid>
      <w:tr w:rsidR="00D31ED1" w:rsidRPr="00D31ED1" w14:paraId="5509BB63" w14:textId="77777777" w:rsidTr="00D31FDE">
        <w:trPr>
          <w:trHeight w:val="585"/>
          <w:jc w:val="center"/>
        </w:trPr>
        <w:tc>
          <w:tcPr>
            <w:tcW w:w="5000" w:type="pct"/>
            <w:gridSpan w:val="19"/>
            <w:tcBorders>
              <w:top w:val="nil"/>
              <w:left w:val="single" w:sz="8" w:space="0" w:color="auto"/>
              <w:bottom w:val="nil"/>
              <w:right w:val="nil"/>
            </w:tcBorders>
            <w:shd w:val="clear" w:color="000000" w:fill="FFF2CC"/>
            <w:vAlign w:val="center"/>
            <w:hideMark/>
          </w:tcPr>
          <w:p w14:paraId="272BC3F8" w14:textId="0111971E" w:rsidR="00D31ED1" w:rsidRPr="00D31ED1" w:rsidRDefault="00D31ED1" w:rsidP="00D31ED1">
            <w:pPr>
              <w:jc w:val="center"/>
              <w:rPr>
                <w:rFonts w:ascii="Calibri" w:hAnsi="Calibri" w:cs="Calibri"/>
                <w:b/>
                <w:bCs/>
                <w:color w:val="000000"/>
                <w:sz w:val="22"/>
                <w:szCs w:val="22"/>
                <w:lang w:val="es-CO" w:eastAsia="es-CO"/>
              </w:rPr>
            </w:pPr>
            <w:r w:rsidRPr="00D31ED1">
              <w:rPr>
                <w:rFonts w:ascii="Calibri" w:hAnsi="Calibri" w:cs="Calibri"/>
                <w:b/>
                <w:bCs/>
                <w:color w:val="000000"/>
                <w:sz w:val="22"/>
                <w:szCs w:val="22"/>
                <w:lang w:val="es-CO" w:eastAsia="es-CO"/>
              </w:rPr>
              <w:t>CONTRATOS DE SUMINISTRO FIRME DE GAS OBTENIDO EN EL EXTERIOR (</w:t>
            </w:r>
            <w:r w:rsidR="00D31FDE">
              <w:rPr>
                <w:rFonts w:ascii="Calibri" w:hAnsi="Calibri" w:cs="Calibri"/>
                <w:b/>
                <w:bCs/>
                <w:color w:val="000000"/>
                <w:sz w:val="22"/>
                <w:szCs w:val="22"/>
                <w:lang w:val="es-CO" w:eastAsia="es-CO"/>
              </w:rPr>
              <w:t>M</w:t>
            </w:r>
            <w:r w:rsidRPr="00D31ED1">
              <w:rPr>
                <w:rFonts w:ascii="Calibri" w:hAnsi="Calibri" w:cs="Calibri"/>
                <w:b/>
                <w:bCs/>
                <w:color w:val="000000"/>
                <w:sz w:val="22"/>
                <w:szCs w:val="22"/>
                <w:lang w:val="es-CO" w:eastAsia="es-CO"/>
              </w:rPr>
              <w:t>BTUD)</w:t>
            </w:r>
          </w:p>
        </w:tc>
      </w:tr>
      <w:tr w:rsidR="00D31FDE" w:rsidRPr="00D31ED1" w14:paraId="6994D31C" w14:textId="77777777" w:rsidTr="00D31FDE">
        <w:trPr>
          <w:trHeight w:val="855"/>
          <w:jc w:val="center"/>
        </w:trPr>
        <w:tc>
          <w:tcPr>
            <w:tcW w:w="507"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7166AAF1" w14:textId="77777777" w:rsidR="00D31ED1" w:rsidRPr="00D31ED1" w:rsidRDefault="00D31ED1" w:rsidP="00D31ED1">
            <w:pPr>
              <w:jc w:val="center"/>
              <w:rPr>
                <w:rFonts w:ascii="Calibri" w:hAnsi="Calibri" w:cs="Calibri"/>
                <w:b/>
                <w:bCs/>
                <w:color w:val="000000"/>
                <w:sz w:val="12"/>
                <w:szCs w:val="12"/>
                <w:lang w:val="es-CO" w:eastAsia="es-CO"/>
              </w:rPr>
            </w:pPr>
            <w:r w:rsidRPr="00D31ED1">
              <w:rPr>
                <w:rFonts w:ascii="Calibri" w:hAnsi="Calibri" w:cs="Calibri"/>
                <w:b/>
                <w:bCs/>
                <w:color w:val="000000"/>
                <w:sz w:val="12"/>
                <w:szCs w:val="12"/>
                <w:lang w:val="es-CO" w:eastAsia="es-CO"/>
              </w:rPr>
              <w:t>Número de Contrato Firme del exterior</w:t>
            </w:r>
          </w:p>
        </w:tc>
        <w:tc>
          <w:tcPr>
            <w:tcW w:w="278" w:type="pct"/>
            <w:tcBorders>
              <w:top w:val="single" w:sz="8" w:space="0" w:color="auto"/>
              <w:left w:val="nil"/>
              <w:bottom w:val="single" w:sz="4" w:space="0" w:color="auto"/>
              <w:right w:val="single" w:sz="4" w:space="0" w:color="auto"/>
            </w:tcBorders>
            <w:shd w:val="clear" w:color="000000" w:fill="D9D9D9"/>
            <w:noWrap/>
            <w:vAlign w:val="center"/>
            <w:hideMark/>
          </w:tcPr>
          <w:p w14:paraId="0AB8C190"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diciembre</w:t>
            </w:r>
          </w:p>
        </w:tc>
        <w:tc>
          <w:tcPr>
            <w:tcW w:w="239" w:type="pct"/>
            <w:tcBorders>
              <w:top w:val="single" w:sz="8" w:space="0" w:color="auto"/>
              <w:left w:val="nil"/>
              <w:bottom w:val="single" w:sz="4" w:space="0" w:color="auto"/>
              <w:right w:val="single" w:sz="4" w:space="0" w:color="auto"/>
            </w:tcBorders>
            <w:shd w:val="clear" w:color="000000" w:fill="D9D9D9"/>
            <w:noWrap/>
            <w:vAlign w:val="center"/>
            <w:hideMark/>
          </w:tcPr>
          <w:p w14:paraId="6CE654E7"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enero</w:t>
            </w:r>
          </w:p>
        </w:tc>
        <w:tc>
          <w:tcPr>
            <w:tcW w:w="239" w:type="pct"/>
            <w:tcBorders>
              <w:top w:val="single" w:sz="8" w:space="0" w:color="auto"/>
              <w:left w:val="nil"/>
              <w:bottom w:val="single" w:sz="4" w:space="0" w:color="auto"/>
              <w:right w:val="single" w:sz="4" w:space="0" w:color="auto"/>
            </w:tcBorders>
            <w:shd w:val="clear" w:color="000000" w:fill="D9D9D9"/>
            <w:noWrap/>
            <w:vAlign w:val="center"/>
            <w:hideMark/>
          </w:tcPr>
          <w:p w14:paraId="5B540678"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febrero</w:t>
            </w:r>
          </w:p>
        </w:tc>
        <w:tc>
          <w:tcPr>
            <w:tcW w:w="239" w:type="pct"/>
            <w:tcBorders>
              <w:top w:val="single" w:sz="8" w:space="0" w:color="auto"/>
              <w:left w:val="nil"/>
              <w:bottom w:val="single" w:sz="4" w:space="0" w:color="auto"/>
              <w:right w:val="single" w:sz="4" w:space="0" w:color="auto"/>
            </w:tcBorders>
            <w:shd w:val="clear" w:color="000000" w:fill="D9D9D9"/>
            <w:noWrap/>
            <w:vAlign w:val="center"/>
            <w:hideMark/>
          </w:tcPr>
          <w:p w14:paraId="418920CE"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marzo</w:t>
            </w:r>
          </w:p>
        </w:tc>
        <w:tc>
          <w:tcPr>
            <w:tcW w:w="239" w:type="pct"/>
            <w:tcBorders>
              <w:top w:val="single" w:sz="8" w:space="0" w:color="auto"/>
              <w:left w:val="nil"/>
              <w:bottom w:val="single" w:sz="4" w:space="0" w:color="auto"/>
              <w:right w:val="single" w:sz="4" w:space="0" w:color="auto"/>
            </w:tcBorders>
            <w:shd w:val="clear" w:color="000000" w:fill="D9D9D9"/>
            <w:noWrap/>
            <w:vAlign w:val="center"/>
            <w:hideMark/>
          </w:tcPr>
          <w:p w14:paraId="44BC584D"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abril</w:t>
            </w:r>
          </w:p>
        </w:tc>
        <w:tc>
          <w:tcPr>
            <w:tcW w:w="252" w:type="pct"/>
            <w:tcBorders>
              <w:top w:val="single" w:sz="8" w:space="0" w:color="auto"/>
              <w:left w:val="nil"/>
              <w:bottom w:val="single" w:sz="4" w:space="0" w:color="auto"/>
              <w:right w:val="single" w:sz="4" w:space="0" w:color="auto"/>
            </w:tcBorders>
            <w:shd w:val="clear" w:color="000000" w:fill="D9D9D9"/>
            <w:noWrap/>
            <w:vAlign w:val="center"/>
            <w:hideMark/>
          </w:tcPr>
          <w:p w14:paraId="0894572B"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mayo</w:t>
            </w:r>
          </w:p>
        </w:tc>
        <w:tc>
          <w:tcPr>
            <w:tcW w:w="86" w:type="pct"/>
            <w:tcBorders>
              <w:top w:val="single" w:sz="8" w:space="0" w:color="auto"/>
              <w:left w:val="nil"/>
              <w:bottom w:val="single" w:sz="4" w:space="0" w:color="auto"/>
              <w:right w:val="single" w:sz="4" w:space="0" w:color="auto"/>
            </w:tcBorders>
            <w:shd w:val="clear" w:color="000000" w:fill="D9D9D9"/>
            <w:noWrap/>
            <w:vAlign w:val="center"/>
            <w:hideMark/>
          </w:tcPr>
          <w:p w14:paraId="3DE0D441"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junio</w:t>
            </w:r>
          </w:p>
        </w:tc>
        <w:tc>
          <w:tcPr>
            <w:tcW w:w="86" w:type="pct"/>
            <w:tcBorders>
              <w:top w:val="single" w:sz="8" w:space="0" w:color="auto"/>
              <w:left w:val="nil"/>
              <w:bottom w:val="single" w:sz="4" w:space="0" w:color="auto"/>
              <w:right w:val="single" w:sz="4" w:space="0" w:color="auto"/>
            </w:tcBorders>
            <w:shd w:val="clear" w:color="000000" w:fill="D9D9D9"/>
            <w:noWrap/>
            <w:vAlign w:val="center"/>
            <w:hideMark/>
          </w:tcPr>
          <w:p w14:paraId="753B8DF6"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julio</w:t>
            </w:r>
          </w:p>
        </w:tc>
        <w:tc>
          <w:tcPr>
            <w:tcW w:w="86" w:type="pct"/>
            <w:tcBorders>
              <w:top w:val="single" w:sz="8" w:space="0" w:color="auto"/>
              <w:left w:val="nil"/>
              <w:bottom w:val="single" w:sz="4" w:space="0" w:color="auto"/>
              <w:right w:val="single" w:sz="4" w:space="0" w:color="auto"/>
            </w:tcBorders>
            <w:shd w:val="clear" w:color="000000" w:fill="D9D9D9"/>
            <w:noWrap/>
            <w:vAlign w:val="center"/>
            <w:hideMark/>
          </w:tcPr>
          <w:p w14:paraId="08C21A18"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agosto</w:t>
            </w:r>
          </w:p>
        </w:tc>
        <w:tc>
          <w:tcPr>
            <w:tcW w:w="86" w:type="pct"/>
            <w:tcBorders>
              <w:top w:val="single" w:sz="8" w:space="0" w:color="auto"/>
              <w:left w:val="nil"/>
              <w:bottom w:val="single" w:sz="4" w:space="0" w:color="auto"/>
              <w:right w:val="single" w:sz="4" w:space="0" w:color="auto"/>
            </w:tcBorders>
            <w:shd w:val="clear" w:color="000000" w:fill="D9D9D9"/>
            <w:noWrap/>
            <w:vAlign w:val="center"/>
            <w:hideMark/>
          </w:tcPr>
          <w:p w14:paraId="196FCAC9"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septiembre</w:t>
            </w:r>
          </w:p>
        </w:tc>
        <w:tc>
          <w:tcPr>
            <w:tcW w:w="86" w:type="pct"/>
            <w:tcBorders>
              <w:top w:val="single" w:sz="8" w:space="0" w:color="auto"/>
              <w:left w:val="nil"/>
              <w:bottom w:val="single" w:sz="4" w:space="0" w:color="auto"/>
              <w:right w:val="single" w:sz="4" w:space="0" w:color="auto"/>
            </w:tcBorders>
            <w:shd w:val="clear" w:color="000000" w:fill="D9D9D9"/>
            <w:noWrap/>
            <w:vAlign w:val="center"/>
            <w:hideMark/>
          </w:tcPr>
          <w:p w14:paraId="70C3401B"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octubre</w:t>
            </w:r>
          </w:p>
        </w:tc>
        <w:tc>
          <w:tcPr>
            <w:tcW w:w="86" w:type="pct"/>
            <w:tcBorders>
              <w:top w:val="single" w:sz="8" w:space="0" w:color="auto"/>
              <w:left w:val="nil"/>
              <w:bottom w:val="single" w:sz="4" w:space="0" w:color="auto"/>
              <w:right w:val="single" w:sz="4" w:space="0" w:color="auto"/>
            </w:tcBorders>
            <w:shd w:val="clear" w:color="000000" w:fill="D9D9D9"/>
            <w:noWrap/>
            <w:vAlign w:val="center"/>
            <w:hideMark/>
          </w:tcPr>
          <w:p w14:paraId="0D7F49C4"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noviembre</w:t>
            </w:r>
          </w:p>
        </w:tc>
        <w:tc>
          <w:tcPr>
            <w:tcW w:w="279" w:type="pct"/>
            <w:tcBorders>
              <w:top w:val="single" w:sz="8" w:space="0" w:color="auto"/>
              <w:left w:val="nil"/>
              <w:bottom w:val="single" w:sz="4" w:space="0" w:color="auto"/>
              <w:right w:val="single" w:sz="4" w:space="0" w:color="auto"/>
            </w:tcBorders>
            <w:shd w:val="clear" w:color="000000" w:fill="D9D9D9"/>
            <w:noWrap/>
            <w:vAlign w:val="center"/>
            <w:hideMark/>
          </w:tcPr>
          <w:p w14:paraId="673DA4B7"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diciembre</w:t>
            </w:r>
          </w:p>
        </w:tc>
        <w:tc>
          <w:tcPr>
            <w:tcW w:w="239" w:type="pct"/>
            <w:tcBorders>
              <w:top w:val="single" w:sz="8" w:space="0" w:color="auto"/>
              <w:left w:val="nil"/>
              <w:bottom w:val="single" w:sz="4" w:space="0" w:color="auto"/>
              <w:right w:val="single" w:sz="4" w:space="0" w:color="auto"/>
            </w:tcBorders>
            <w:shd w:val="clear" w:color="000000" w:fill="D9D9D9"/>
            <w:noWrap/>
            <w:vAlign w:val="center"/>
            <w:hideMark/>
          </w:tcPr>
          <w:p w14:paraId="42E4E961"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enero</w:t>
            </w:r>
          </w:p>
        </w:tc>
        <w:tc>
          <w:tcPr>
            <w:tcW w:w="239" w:type="pct"/>
            <w:tcBorders>
              <w:top w:val="single" w:sz="8" w:space="0" w:color="auto"/>
              <w:left w:val="nil"/>
              <w:bottom w:val="single" w:sz="4" w:space="0" w:color="auto"/>
              <w:right w:val="single" w:sz="4" w:space="0" w:color="auto"/>
            </w:tcBorders>
            <w:shd w:val="clear" w:color="000000" w:fill="D9D9D9"/>
            <w:noWrap/>
            <w:vAlign w:val="center"/>
            <w:hideMark/>
          </w:tcPr>
          <w:p w14:paraId="62DA1377"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febrero</w:t>
            </w:r>
          </w:p>
        </w:tc>
        <w:tc>
          <w:tcPr>
            <w:tcW w:w="239" w:type="pct"/>
            <w:tcBorders>
              <w:top w:val="single" w:sz="8" w:space="0" w:color="auto"/>
              <w:left w:val="nil"/>
              <w:bottom w:val="single" w:sz="4" w:space="0" w:color="auto"/>
              <w:right w:val="single" w:sz="4" w:space="0" w:color="auto"/>
            </w:tcBorders>
            <w:shd w:val="clear" w:color="000000" w:fill="D9D9D9"/>
            <w:noWrap/>
            <w:vAlign w:val="center"/>
            <w:hideMark/>
          </w:tcPr>
          <w:p w14:paraId="6329A547"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marzo</w:t>
            </w:r>
          </w:p>
        </w:tc>
        <w:tc>
          <w:tcPr>
            <w:tcW w:w="239" w:type="pct"/>
            <w:tcBorders>
              <w:top w:val="single" w:sz="8" w:space="0" w:color="auto"/>
              <w:left w:val="nil"/>
              <w:bottom w:val="single" w:sz="4" w:space="0" w:color="auto"/>
              <w:right w:val="single" w:sz="4" w:space="0" w:color="auto"/>
            </w:tcBorders>
            <w:shd w:val="clear" w:color="000000" w:fill="D9D9D9"/>
            <w:noWrap/>
            <w:vAlign w:val="center"/>
            <w:hideMark/>
          </w:tcPr>
          <w:p w14:paraId="4FB687F5"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abril</w:t>
            </w:r>
          </w:p>
        </w:tc>
        <w:tc>
          <w:tcPr>
            <w:tcW w:w="376" w:type="pct"/>
            <w:tcBorders>
              <w:top w:val="single" w:sz="8" w:space="0" w:color="auto"/>
              <w:left w:val="nil"/>
              <w:bottom w:val="single" w:sz="4" w:space="0" w:color="auto"/>
              <w:right w:val="single" w:sz="8" w:space="0" w:color="auto"/>
            </w:tcBorders>
            <w:shd w:val="clear" w:color="000000" w:fill="D9D9D9"/>
            <w:noWrap/>
            <w:vAlign w:val="center"/>
            <w:hideMark/>
          </w:tcPr>
          <w:p w14:paraId="288AA2D0" w14:textId="77777777" w:rsidR="00D31ED1" w:rsidRPr="00D31ED1" w:rsidRDefault="00D31ED1" w:rsidP="00D31ED1">
            <w:pPr>
              <w:jc w:val="center"/>
              <w:rPr>
                <w:rFonts w:ascii="Calibri" w:hAnsi="Calibri" w:cs="Calibri"/>
                <w:b/>
                <w:bCs/>
                <w:color w:val="000000"/>
                <w:sz w:val="10"/>
                <w:szCs w:val="10"/>
                <w:lang w:val="es-CO" w:eastAsia="es-CO"/>
              </w:rPr>
            </w:pPr>
            <w:r w:rsidRPr="00D31ED1">
              <w:rPr>
                <w:rFonts w:ascii="Calibri" w:hAnsi="Calibri" w:cs="Calibri"/>
                <w:b/>
                <w:bCs/>
                <w:color w:val="000000"/>
                <w:sz w:val="10"/>
                <w:szCs w:val="10"/>
                <w:lang w:val="es-CO" w:eastAsia="es-CO"/>
              </w:rPr>
              <w:t>mayo</w:t>
            </w:r>
          </w:p>
        </w:tc>
      </w:tr>
      <w:tr w:rsidR="00D31FDE" w:rsidRPr="00D31ED1" w14:paraId="5385DE33" w14:textId="77777777" w:rsidTr="00D31FDE">
        <w:trPr>
          <w:trHeight w:val="285"/>
          <w:jc w:val="center"/>
        </w:trPr>
        <w:tc>
          <w:tcPr>
            <w:tcW w:w="507" w:type="pct"/>
            <w:tcBorders>
              <w:top w:val="nil"/>
              <w:left w:val="single" w:sz="8" w:space="0" w:color="auto"/>
              <w:bottom w:val="single" w:sz="4" w:space="0" w:color="auto"/>
              <w:right w:val="single" w:sz="4" w:space="0" w:color="auto"/>
            </w:tcBorders>
            <w:shd w:val="clear" w:color="000000" w:fill="D9D9D9"/>
            <w:noWrap/>
            <w:vAlign w:val="center"/>
            <w:hideMark/>
          </w:tcPr>
          <w:p w14:paraId="0D73D94D" w14:textId="77777777" w:rsidR="00D31ED1" w:rsidRPr="00D31ED1" w:rsidRDefault="00D31ED1" w:rsidP="00D31ED1">
            <w:pPr>
              <w:jc w:val="center"/>
              <w:rPr>
                <w:rFonts w:ascii="Calibri" w:hAnsi="Calibri" w:cs="Calibri"/>
                <w:b/>
                <w:bCs/>
                <w:color w:val="000000"/>
                <w:sz w:val="14"/>
                <w:szCs w:val="14"/>
                <w:lang w:val="es-CO" w:eastAsia="es-CO"/>
              </w:rPr>
            </w:pPr>
            <w:r w:rsidRPr="00D31ED1">
              <w:rPr>
                <w:rFonts w:ascii="Calibri" w:hAnsi="Calibri" w:cs="Calibri"/>
                <w:b/>
                <w:bCs/>
                <w:color w:val="000000"/>
                <w:sz w:val="14"/>
                <w:szCs w:val="14"/>
                <w:lang w:val="es-CO" w:eastAsia="es-CO"/>
              </w:rPr>
              <w:t>XYTOP80</w:t>
            </w:r>
          </w:p>
        </w:tc>
        <w:tc>
          <w:tcPr>
            <w:tcW w:w="278" w:type="pct"/>
            <w:tcBorders>
              <w:top w:val="nil"/>
              <w:left w:val="nil"/>
              <w:bottom w:val="single" w:sz="4" w:space="0" w:color="auto"/>
              <w:right w:val="single" w:sz="4" w:space="0" w:color="auto"/>
            </w:tcBorders>
            <w:shd w:val="clear" w:color="auto" w:fill="auto"/>
            <w:noWrap/>
            <w:vAlign w:val="center"/>
            <w:hideMark/>
          </w:tcPr>
          <w:p w14:paraId="306429AD" w14:textId="37F283A9"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50</w:t>
            </w:r>
            <w:r w:rsidR="00D31FDE"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0D9FAF5D" w14:textId="4D53DFF6"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50</w:t>
            </w:r>
            <w:r w:rsidR="00D31FDE"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42172A46" w14:textId="2EF192C4"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50</w:t>
            </w:r>
            <w:r w:rsidR="00D31FDE"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0DBD8EB5" w14:textId="34F49C4A"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50</w:t>
            </w:r>
            <w:r w:rsidR="00D31FDE"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tcPr>
          <w:p w14:paraId="3C186FF9" w14:textId="3057EF2D" w:rsidR="00D31ED1" w:rsidRPr="00D31ED1" w:rsidRDefault="00D31ED1" w:rsidP="00D31FDE">
            <w:pPr>
              <w:jc w:val="center"/>
              <w:rPr>
                <w:rFonts w:ascii="Calibri" w:hAnsi="Calibri" w:cs="Calibri"/>
                <w:color w:val="000000"/>
                <w:sz w:val="10"/>
                <w:szCs w:val="10"/>
                <w:lang w:val="es-CO" w:eastAsia="es-CO"/>
              </w:rPr>
            </w:pPr>
          </w:p>
        </w:tc>
        <w:tc>
          <w:tcPr>
            <w:tcW w:w="252" w:type="pct"/>
            <w:tcBorders>
              <w:top w:val="nil"/>
              <w:left w:val="nil"/>
              <w:bottom w:val="single" w:sz="4" w:space="0" w:color="auto"/>
              <w:right w:val="single" w:sz="4" w:space="0" w:color="auto"/>
            </w:tcBorders>
            <w:shd w:val="clear" w:color="auto" w:fill="auto"/>
            <w:noWrap/>
            <w:vAlign w:val="center"/>
          </w:tcPr>
          <w:p w14:paraId="108C8278" w14:textId="54DCA94E"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7975F55B" w14:textId="46591D6C"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3D529401" w14:textId="63CAA0E8"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2404AC3A" w14:textId="6F8BDAF7"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624FF9F2" w14:textId="635C2B24"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3134A0B1" w14:textId="61EFF631"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4B056FBB" w14:textId="4DC4A824" w:rsidR="00D31ED1" w:rsidRPr="00D31ED1" w:rsidRDefault="00D31ED1" w:rsidP="00D31FDE">
            <w:pPr>
              <w:jc w:val="center"/>
              <w:rPr>
                <w:rFonts w:ascii="Calibri" w:hAnsi="Calibri" w:cs="Calibri"/>
                <w:color w:val="000000"/>
                <w:sz w:val="10"/>
                <w:szCs w:val="10"/>
                <w:lang w:val="es-CO" w:eastAsia="es-CO"/>
              </w:rPr>
            </w:pPr>
          </w:p>
        </w:tc>
        <w:tc>
          <w:tcPr>
            <w:tcW w:w="279" w:type="pct"/>
            <w:tcBorders>
              <w:top w:val="nil"/>
              <w:left w:val="nil"/>
              <w:bottom w:val="single" w:sz="4" w:space="0" w:color="auto"/>
              <w:right w:val="single" w:sz="4" w:space="0" w:color="auto"/>
            </w:tcBorders>
            <w:shd w:val="clear" w:color="auto" w:fill="auto"/>
            <w:noWrap/>
            <w:vAlign w:val="center"/>
            <w:hideMark/>
          </w:tcPr>
          <w:p w14:paraId="2A9C3313" w14:textId="0C734DF7" w:rsidR="00D31ED1" w:rsidRPr="00D31ED1" w:rsidRDefault="00D31ED1"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45602716" w14:textId="3E82AAE3" w:rsidR="00D31ED1" w:rsidRPr="00D31ED1" w:rsidRDefault="00D31ED1"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14C83FE6" w14:textId="35E29C1C" w:rsidR="00D31ED1" w:rsidRPr="00D31ED1" w:rsidRDefault="00D31ED1"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61482A47" w14:textId="518BA940" w:rsidR="00D31ED1" w:rsidRPr="00D31ED1" w:rsidRDefault="00D31ED1"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288AC9D3" w14:textId="75E8D63C" w:rsidR="00D31ED1" w:rsidRPr="00D31ED1" w:rsidRDefault="00D31ED1" w:rsidP="00D31FDE">
            <w:pPr>
              <w:jc w:val="center"/>
              <w:rPr>
                <w:rFonts w:ascii="Calibri" w:hAnsi="Calibri" w:cs="Calibri"/>
                <w:color w:val="000000"/>
                <w:sz w:val="10"/>
                <w:szCs w:val="10"/>
                <w:lang w:val="es-CO" w:eastAsia="es-CO"/>
              </w:rPr>
            </w:pPr>
          </w:p>
        </w:tc>
        <w:tc>
          <w:tcPr>
            <w:tcW w:w="376"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F6D69EF" w14:textId="006FC1C6" w:rsidR="00D31ED1" w:rsidRPr="00D31ED1" w:rsidRDefault="00D31ED1" w:rsidP="00D31FDE">
            <w:pPr>
              <w:jc w:val="center"/>
              <w:rPr>
                <w:rFonts w:ascii="Calibri" w:hAnsi="Calibri" w:cs="Calibri"/>
                <w:color w:val="000000"/>
                <w:sz w:val="10"/>
                <w:szCs w:val="10"/>
                <w:lang w:val="es-CO" w:eastAsia="es-CO"/>
              </w:rPr>
            </w:pPr>
          </w:p>
        </w:tc>
      </w:tr>
      <w:tr w:rsidR="00D31FDE" w:rsidRPr="00D31ED1" w14:paraId="31B8E274" w14:textId="77777777" w:rsidTr="00D31FDE">
        <w:trPr>
          <w:trHeight w:val="285"/>
          <w:jc w:val="center"/>
        </w:trPr>
        <w:tc>
          <w:tcPr>
            <w:tcW w:w="507" w:type="pct"/>
            <w:tcBorders>
              <w:top w:val="nil"/>
              <w:left w:val="single" w:sz="8" w:space="0" w:color="auto"/>
              <w:bottom w:val="single" w:sz="4" w:space="0" w:color="auto"/>
              <w:right w:val="single" w:sz="4" w:space="0" w:color="auto"/>
            </w:tcBorders>
            <w:shd w:val="clear" w:color="000000" w:fill="D9D9D9"/>
            <w:noWrap/>
            <w:vAlign w:val="center"/>
            <w:hideMark/>
          </w:tcPr>
          <w:p w14:paraId="51AA256A" w14:textId="77777777" w:rsidR="00D31ED1" w:rsidRPr="00D31ED1" w:rsidRDefault="00D31ED1" w:rsidP="00D31ED1">
            <w:pPr>
              <w:jc w:val="center"/>
              <w:rPr>
                <w:rFonts w:ascii="Calibri" w:hAnsi="Calibri" w:cs="Calibri"/>
                <w:b/>
                <w:bCs/>
                <w:color w:val="000000"/>
                <w:sz w:val="14"/>
                <w:szCs w:val="14"/>
                <w:lang w:val="es-CO" w:eastAsia="es-CO"/>
              </w:rPr>
            </w:pPr>
            <w:r w:rsidRPr="00D31ED1">
              <w:rPr>
                <w:rFonts w:ascii="Calibri" w:hAnsi="Calibri" w:cs="Calibri"/>
                <w:b/>
                <w:bCs/>
                <w:color w:val="000000"/>
                <w:sz w:val="14"/>
                <w:szCs w:val="14"/>
                <w:lang w:val="es-CO" w:eastAsia="es-CO"/>
              </w:rPr>
              <w:t>JSTOP90</w:t>
            </w:r>
          </w:p>
        </w:tc>
        <w:tc>
          <w:tcPr>
            <w:tcW w:w="278" w:type="pct"/>
            <w:tcBorders>
              <w:top w:val="nil"/>
              <w:left w:val="nil"/>
              <w:bottom w:val="single" w:sz="4" w:space="0" w:color="auto"/>
              <w:right w:val="single" w:sz="4" w:space="0" w:color="auto"/>
            </w:tcBorders>
            <w:shd w:val="clear" w:color="auto" w:fill="auto"/>
            <w:noWrap/>
            <w:vAlign w:val="center"/>
            <w:hideMark/>
          </w:tcPr>
          <w:p w14:paraId="076A3A03" w14:textId="0579CAAA"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15</w:t>
            </w:r>
            <w:r w:rsidR="00D31FDE"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11404B27" w14:textId="73F93724"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15</w:t>
            </w:r>
            <w:r w:rsidR="00D31FDE"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6A8FC446" w14:textId="67507786"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15</w:t>
            </w:r>
            <w:r w:rsidR="00D31FDE"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2869989C" w14:textId="46F16F29"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15</w:t>
            </w:r>
            <w:r w:rsidR="00D31FDE"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761050B7" w14:textId="565E7AC7" w:rsidR="00D31ED1" w:rsidRPr="00D31ED1" w:rsidRDefault="00D31ED1"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15</w:t>
            </w:r>
            <w:r w:rsidR="00D31FDE" w:rsidRPr="00D31FDE">
              <w:rPr>
                <w:rFonts w:ascii="Calibri" w:hAnsi="Calibri" w:cs="Calibri"/>
                <w:color w:val="000000"/>
                <w:sz w:val="10"/>
                <w:szCs w:val="10"/>
                <w:lang w:val="es-CO" w:eastAsia="es-CO"/>
              </w:rPr>
              <w:t>.000</w:t>
            </w:r>
          </w:p>
        </w:tc>
        <w:tc>
          <w:tcPr>
            <w:tcW w:w="252" w:type="pct"/>
            <w:tcBorders>
              <w:top w:val="nil"/>
              <w:left w:val="nil"/>
              <w:bottom w:val="single" w:sz="4" w:space="0" w:color="auto"/>
              <w:right w:val="single" w:sz="4" w:space="0" w:color="auto"/>
            </w:tcBorders>
            <w:shd w:val="clear" w:color="auto" w:fill="auto"/>
            <w:noWrap/>
            <w:vAlign w:val="center"/>
            <w:hideMark/>
          </w:tcPr>
          <w:p w14:paraId="6AF57796" w14:textId="5A6973B6" w:rsidR="00D31ED1"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15</w:t>
            </w:r>
            <w:r w:rsidRPr="00D31FDE">
              <w:rPr>
                <w:rFonts w:ascii="Calibri" w:hAnsi="Calibri" w:cs="Calibri"/>
                <w:color w:val="000000"/>
                <w:sz w:val="10"/>
                <w:szCs w:val="10"/>
                <w:lang w:val="es-CO" w:eastAsia="es-CO"/>
              </w:rPr>
              <w:t>.000</w:t>
            </w:r>
          </w:p>
        </w:tc>
        <w:tc>
          <w:tcPr>
            <w:tcW w:w="86" w:type="pct"/>
            <w:tcBorders>
              <w:top w:val="nil"/>
              <w:left w:val="nil"/>
              <w:bottom w:val="single" w:sz="4" w:space="0" w:color="auto"/>
              <w:right w:val="single" w:sz="4" w:space="0" w:color="auto"/>
            </w:tcBorders>
            <w:shd w:val="clear" w:color="auto" w:fill="auto"/>
            <w:noWrap/>
            <w:vAlign w:val="center"/>
            <w:hideMark/>
          </w:tcPr>
          <w:p w14:paraId="65F9A01D" w14:textId="1A890275"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348064A8" w14:textId="153012AE"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3CA25EFE" w14:textId="70495E52"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3C230792" w14:textId="49B46A12"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26E648F4" w14:textId="29561F2A" w:rsidR="00D31ED1" w:rsidRPr="00D31ED1" w:rsidRDefault="00D31ED1"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6B89751B" w14:textId="67F653F0" w:rsidR="00D31ED1" w:rsidRPr="00D31ED1" w:rsidRDefault="00D31ED1" w:rsidP="00D31FDE">
            <w:pPr>
              <w:jc w:val="center"/>
              <w:rPr>
                <w:rFonts w:ascii="Calibri" w:hAnsi="Calibri" w:cs="Calibri"/>
                <w:color w:val="000000"/>
                <w:sz w:val="10"/>
                <w:szCs w:val="10"/>
                <w:lang w:val="es-CO" w:eastAsia="es-CO"/>
              </w:rPr>
            </w:pPr>
          </w:p>
        </w:tc>
        <w:tc>
          <w:tcPr>
            <w:tcW w:w="279" w:type="pct"/>
            <w:tcBorders>
              <w:top w:val="nil"/>
              <w:left w:val="nil"/>
              <w:bottom w:val="single" w:sz="4" w:space="0" w:color="auto"/>
              <w:right w:val="single" w:sz="4" w:space="0" w:color="auto"/>
            </w:tcBorders>
            <w:shd w:val="clear" w:color="auto" w:fill="auto"/>
            <w:noWrap/>
            <w:vAlign w:val="center"/>
            <w:hideMark/>
          </w:tcPr>
          <w:p w14:paraId="135E7D0E" w14:textId="6FFF1B8A" w:rsidR="00D31ED1" w:rsidRPr="00D31ED1" w:rsidRDefault="00D31ED1"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2AF03976" w14:textId="28D078EB" w:rsidR="00D31ED1" w:rsidRPr="00D31ED1" w:rsidRDefault="00D31ED1"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5CD92042" w14:textId="60BB858B" w:rsidR="00D31ED1" w:rsidRPr="00D31ED1" w:rsidRDefault="00D31ED1"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10B76D41" w14:textId="194DBA25" w:rsidR="00D31ED1" w:rsidRPr="00D31ED1" w:rsidRDefault="00D31ED1"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67E711F4" w14:textId="2BE0779F" w:rsidR="00D31ED1" w:rsidRPr="00D31ED1" w:rsidRDefault="00D31ED1" w:rsidP="00D31FDE">
            <w:pPr>
              <w:jc w:val="center"/>
              <w:rPr>
                <w:rFonts w:ascii="Calibri" w:hAnsi="Calibri" w:cs="Calibri"/>
                <w:color w:val="000000"/>
                <w:sz w:val="10"/>
                <w:szCs w:val="10"/>
                <w:lang w:val="es-CO" w:eastAsia="es-CO"/>
              </w:rPr>
            </w:pPr>
          </w:p>
        </w:tc>
        <w:tc>
          <w:tcPr>
            <w:tcW w:w="376" w:type="pct"/>
            <w:tcBorders>
              <w:top w:val="nil"/>
              <w:left w:val="single" w:sz="4" w:space="0" w:color="auto"/>
              <w:bottom w:val="single" w:sz="4" w:space="0" w:color="auto"/>
              <w:right w:val="single" w:sz="8" w:space="0" w:color="auto"/>
            </w:tcBorders>
            <w:shd w:val="clear" w:color="auto" w:fill="auto"/>
            <w:noWrap/>
            <w:vAlign w:val="center"/>
            <w:hideMark/>
          </w:tcPr>
          <w:p w14:paraId="26A8B873" w14:textId="67A988C3" w:rsidR="00D31ED1" w:rsidRPr="00D31ED1" w:rsidRDefault="00D31ED1" w:rsidP="00D31FDE">
            <w:pPr>
              <w:jc w:val="center"/>
              <w:rPr>
                <w:rFonts w:ascii="Calibri" w:hAnsi="Calibri" w:cs="Calibri"/>
                <w:color w:val="000000"/>
                <w:sz w:val="10"/>
                <w:szCs w:val="10"/>
                <w:lang w:val="es-CO" w:eastAsia="es-CO"/>
              </w:rPr>
            </w:pPr>
          </w:p>
        </w:tc>
      </w:tr>
      <w:tr w:rsidR="00D31FDE" w:rsidRPr="00D31ED1" w14:paraId="424F5D8F" w14:textId="77777777" w:rsidTr="00D31FDE">
        <w:trPr>
          <w:trHeight w:val="285"/>
          <w:jc w:val="center"/>
        </w:trPr>
        <w:tc>
          <w:tcPr>
            <w:tcW w:w="507" w:type="pct"/>
            <w:tcBorders>
              <w:top w:val="nil"/>
              <w:left w:val="single" w:sz="8" w:space="0" w:color="auto"/>
              <w:bottom w:val="single" w:sz="4" w:space="0" w:color="auto"/>
              <w:right w:val="single" w:sz="4" w:space="0" w:color="auto"/>
            </w:tcBorders>
            <w:shd w:val="clear" w:color="000000" w:fill="D9D9D9"/>
            <w:noWrap/>
            <w:vAlign w:val="center"/>
            <w:hideMark/>
          </w:tcPr>
          <w:p w14:paraId="1CD44B58" w14:textId="77777777" w:rsidR="00D31FDE" w:rsidRPr="00D31ED1" w:rsidRDefault="00D31FDE" w:rsidP="00D31FDE">
            <w:pPr>
              <w:jc w:val="center"/>
              <w:rPr>
                <w:rFonts w:ascii="Calibri" w:hAnsi="Calibri" w:cs="Calibri"/>
                <w:b/>
                <w:bCs/>
                <w:color w:val="000000"/>
                <w:sz w:val="14"/>
                <w:szCs w:val="14"/>
                <w:lang w:val="es-CO" w:eastAsia="es-CO"/>
              </w:rPr>
            </w:pPr>
            <w:r w:rsidRPr="00D31ED1">
              <w:rPr>
                <w:rFonts w:ascii="Calibri" w:hAnsi="Calibri" w:cs="Calibri"/>
                <w:b/>
                <w:bCs/>
                <w:color w:val="000000"/>
                <w:sz w:val="14"/>
                <w:szCs w:val="14"/>
                <w:lang w:val="es-CO" w:eastAsia="es-CO"/>
              </w:rPr>
              <w:t>LMTOP85</w:t>
            </w:r>
          </w:p>
        </w:tc>
        <w:tc>
          <w:tcPr>
            <w:tcW w:w="278" w:type="pct"/>
            <w:tcBorders>
              <w:top w:val="nil"/>
              <w:left w:val="nil"/>
              <w:bottom w:val="single" w:sz="4" w:space="0" w:color="auto"/>
              <w:right w:val="single" w:sz="4" w:space="0" w:color="auto"/>
            </w:tcBorders>
            <w:shd w:val="clear" w:color="auto" w:fill="auto"/>
            <w:noWrap/>
            <w:vAlign w:val="center"/>
            <w:hideMark/>
          </w:tcPr>
          <w:p w14:paraId="175B2239" w14:textId="4A6DA25D"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1E3CA17A" w14:textId="46B9207D"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170B84B6" w14:textId="745040B2"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2FEF0738" w14:textId="15150D8B"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4" w:space="0" w:color="auto"/>
              <w:right w:val="single" w:sz="4" w:space="0" w:color="auto"/>
            </w:tcBorders>
            <w:shd w:val="clear" w:color="auto" w:fill="auto"/>
            <w:noWrap/>
            <w:vAlign w:val="center"/>
            <w:hideMark/>
          </w:tcPr>
          <w:p w14:paraId="7FF4C5A8" w14:textId="1AA92814" w:rsidR="00D31FDE" w:rsidRPr="00D31ED1" w:rsidRDefault="00D31FDE" w:rsidP="00D31FDE">
            <w:pPr>
              <w:jc w:val="center"/>
              <w:rPr>
                <w:rFonts w:ascii="Calibri" w:hAnsi="Calibri" w:cs="Calibri"/>
                <w:color w:val="000000"/>
                <w:sz w:val="10"/>
                <w:szCs w:val="10"/>
                <w:lang w:val="es-CO" w:eastAsia="es-CO"/>
              </w:rPr>
            </w:pPr>
          </w:p>
        </w:tc>
        <w:tc>
          <w:tcPr>
            <w:tcW w:w="252" w:type="pct"/>
            <w:tcBorders>
              <w:top w:val="nil"/>
              <w:left w:val="nil"/>
              <w:bottom w:val="single" w:sz="4" w:space="0" w:color="auto"/>
              <w:right w:val="single" w:sz="4" w:space="0" w:color="auto"/>
            </w:tcBorders>
            <w:shd w:val="clear" w:color="auto" w:fill="auto"/>
            <w:noWrap/>
            <w:vAlign w:val="center"/>
            <w:hideMark/>
          </w:tcPr>
          <w:p w14:paraId="6C4FC7D2" w14:textId="6B5EAC30"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4BB1C4FD" w14:textId="08742FFF"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7DDF07EE" w14:textId="02B81D8A"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7040367C" w14:textId="212D80B5"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6A772B28" w14:textId="2EA40A77"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78BF7DF6" w14:textId="075CDDA3"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4" w:space="0" w:color="auto"/>
              <w:right w:val="single" w:sz="4" w:space="0" w:color="auto"/>
            </w:tcBorders>
            <w:shd w:val="clear" w:color="auto" w:fill="auto"/>
            <w:noWrap/>
            <w:vAlign w:val="center"/>
            <w:hideMark/>
          </w:tcPr>
          <w:p w14:paraId="65503DCD" w14:textId="55C11F69" w:rsidR="00D31FDE" w:rsidRPr="00D31ED1" w:rsidRDefault="00D31FDE" w:rsidP="00D31FDE">
            <w:pPr>
              <w:jc w:val="center"/>
              <w:rPr>
                <w:rFonts w:ascii="Calibri" w:hAnsi="Calibri" w:cs="Calibri"/>
                <w:color w:val="000000"/>
                <w:sz w:val="10"/>
                <w:szCs w:val="10"/>
                <w:lang w:val="es-CO" w:eastAsia="es-CO"/>
              </w:rPr>
            </w:pPr>
          </w:p>
        </w:tc>
        <w:tc>
          <w:tcPr>
            <w:tcW w:w="279" w:type="pct"/>
            <w:tcBorders>
              <w:top w:val="nil"/>
              <w:left w:val="nil"/>
              <w:bottom w:val="single" w:sz="4" w:space="0" w:color="auto"/>
              <w:right w:val="single" w:sz="4" w:space="0" w:color="auto"/>
            </w:tcBorders>
            <w:shd w:val="clear" w:color="auto" w:fill="auto"/>
            <w:noWrap/>
            <w:vAlign w:val="center"/>
            <w:hideMark/>
          </w:tcPr>
          <w:p w14:paraId="525FCFFE" w14:textId="5F65EBC1"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40</w:t>
            </w:r>
            <w:r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40BB1A0A" w14:textId="4B308CDD"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40</w:t>
            </w:r>
            <w:r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64E2D882" w14:textId="251F5DFE"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40</w:t>
            </w:r>
            <w:r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6D98DC20" w14:textId="39A3E795"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40</w:t>
            </w:r>
            <w:r w:rsidRPr="00D31FDE">
              <w:rPr>
                <w:rFonts w:ascii="Calibri" w:hAnsi="Calibri" w:cs="Calibri"/>
                <w:color w:val="000000"/>
                <w:sz w:val="10"/>
                <w:szCs w:val="10"/>
                <w:lang w:val="es-CO" w:eastAsia="es-CO"/>
              </w:rPr>
              <w:t>.000</w:t>
            </w:r>
          </w:p>
        </w:tc>
        <w:tc>
          <w:tcPr>
            <w:tcW w:w="239" w:type="pct"/>
            <w:tcBorders>
              <w:top w:val="nil"/>
              <w:left w:val="nil"/>
              <w:bottom w:val="single" w:sz="4" w:space="0" w:color="auto"/>
              <w:right w:val="single" w:sz="4" w:space="0" w:color="auto"/>
            </w:tcBorders>
            <w:shd w:val="clear" w:color="auto" w:fill="auto"/>
            <w:noWrap/>
            <w:vAlign w:val="center"/>
            <w:hideMark/>
          </w:tcPr>
          <w:p w14:paraId="1C419CDB" w14:textId="496D3016"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40</w:t>
            </w:r>
            <w:r w:rsidRPr="00D31FDE">
              <w:rPr>
                <w:rFonts w:ascii="Calibri" w:hAnsi="Calibri" w:cs="Calibri"/>
                <w:color w:val="000000"/>
                <w:sz w:val="10"/>
                <w:szCs w:val="10"/>
                <w:lang w:val="es-CO" w:eastAsia="es-CO"/>
              </w:rPr>
              <w:t>.000</w:t>
            </w:r>
          </w:p>
        </w:tc>
        <w:tc>
          <w:tcPr>
            <w:tcW w:w="376" w:type="pct"/>
            <w:tcBorders>
              <w:top w:val="nil"/>
              <w:left w:val="single" w:sz="4" w:space="0" w:color="auto"/>
              <w:bottom w:val="single" w:sz="4" w:space="0" w:color="auto"/>
              <w:right w:val="single" w:sz="8" w:space="0" w:color="auto"/>
            </w:tcBorders>
            <w:shd w:val="clear" w:color="auto" w:fill="auto"/>
            <w:noWrap/>
            <w:vAlign w:val="center"/>
            <w:hideMark/>
          </w:tcPr>
          <w:p w14:paraId="1C2B4052" w14:textId="6BA6DC09"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40</w:t>
            </w:r>
            <w:r w:rsidRPr="00D31FDE">
              <w:rPr>
                <w:rFonts w:ascii="Calibri" w:hAnsi="Calibri" w:cs="Calibri"/>
                <w:color w:val="000000"/>
                <w:sz w:val="10"/>
                <w:szCs w:val="10"/>
                <w:lang w:val="es-CO" w:eastAsia="es-CO"/>
              </w:rPr>
              <w:t>.000</w:t>
            </w:r>
          </w:p>
        </w:tc>
      </w:tr>
      <w:tr w:rsidR="00D31FDE" w:rsidRPr="00D31ED1" w14:paraId="32FFBB24" w14:textId="77777777" w:rsidTr="00D31FDE">
        <w:trPr>
          <w:trHeight w:val="293"/>
          <w:jc w:val="center"/>
        </w:trPr>
        <w:tc>
          <w:tcPr>
            <w:tcW w:w="507" w:type="pct"/>
            <w:tcBorders>
              <w:top w:val="nil"/>
              <w:left w:val="single" w:sz="8" w:space="0" w:color="auto"/>
              <w:bottom w:val="single" w:sz="8" w:space="0" w:color="auto"/>
              <w:right w:val="single" w:sz="4" w:space="0" w:color="auto"/>
            </w:tcBorders>
            <w:shd w:val="clear" w:color="000000" w:fill="D9D9D9"/>
            <w:noWrap/>
            <w:vAlign w:val="center"/>
            <w:hideMark/>
          </w:tcPr>
          <w:p w14:paraId="79C513A2" w14:textId="77777777" w:rsidR="00D31FDE" w:rsidRPr="00D31ED1" w:rsidRDefault="00D31FDE" w:rsidP="00D31FDE">
            <w:pPr>
              <w:jc w:val="center"/>
              <w:rPr>
                <w:rFonts w:ascii="Calibri" w:hAnsi="Calibri" w:cs="Calibri"/>
                <w:b/>
                <w:bCs/>
                <w:color w:val="000000"/>
                <w:sz w:val="14"/>
                <w:szCs w:val="14"/>
                <w:lang w:val="es-CO" w:eastAsia="es-CO"/>
              </w:rPr>
            </w:pPr>
            <w:r w:rsidRPr="00D31ED1">
              <w:rPr>
                <w:rFonts w:ascii="Calibri" w:hAnsi="Calibri" w:cs="Calibri"/>
                <w:b/>
                <w:bCs/>
                <w:color w:val="000000"/>
                <w:sz w:val="14"/>
                <w:szCs w:val="14"/>
                <w:lang w:val="es-CO" w:eastAsia="es-CO"/>
              </w:rPr>
              <w:t>ACTOP80</w:t>
            </w:r>
          </w:p>
        </w:tc>
        <w:tc>
          <w:tcPr>
            <w:tcW w:w="278" w:type="pct"/>
            <w:tcBorders>
              <w:top w:val="nil"/>
              <w:left w:val="nil"/>
              <w:bottom w:val="single" w:sz="8" w:space="0" w:color="auto"/>
              <w:right w:val="single" w:sz="4" w:space="0" w:color="auto"/>
            </w:tcBorders>
            <w:shd w:val="clear" w:color="auto" w:fill="auto"/>
            <w:noWrap/>
            <w:vAlign w:val="center"/>
            <w:hideMark/>
          </w:tcPr>
          <w:p w14:paraId="188F2225" w14:textId="6CDEEBDD"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8" w:space="0" w:color="auto"/>
              <w:right w:val="single" w:sz="4" w:space="0" w:color="auto"/>
            </w:tcBorders>
            <w:shd w:val="clear" w:color="auto" w:fill="auto"/>
            <w:noWrap/>
            <w:vAlign w:val="center"/>
            <w:hideMark/>
          </w:tcPr>
          <w:p w14:paraId="461D9552" w14:textId="3F0B6CA1"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8" w:space="0" w:color="auto"/>
              <w:right w:val="single" w:sz="4" w:space="0" w:color="auto"/>
            </w:tcBorders>
            <w:shd w:val="clear" w:color="auto" w:fill="auto"/>
            <w:noWrap/>
            <w:vAlign w:val="center"/>
            <w:hideMark/>
          </w:tcPr>
          <w:p w14:paraId="77F6473F" w14:textId="34533355"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8" w:space="0" w:color="auto"/>
              <w:right w:val="single" w:sz="4" w:space="0" w:color="auto"/>
            </w:tcBorders>
            <w:shd w:val="clear" w:color="auto" w:fill="auto"/>
            <w:noWrap/>
            <w:vAlign w:val="center"/>
            <w:hideMark/>
          </w:tcPr>
          <w:p w14:paraId="3E1841A2" w14:textId="76E50B5C"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8" w:space="0" w:color="auto"/>
              <w:right w:val="single" w:sz="4" w:space="0" w:color="auto"/>
            </w:tcBorders>
            <w:shd w:val="clear" w:color="auto" w:fill="auto"/>
            <w:noWrap/>
            <w:vAlign w:val="center"/>
            <w:hideMark/>
          </w:tcPr>
          <w:p w14:paraId="439AC688" w14:textId="4BF1AD33" w:rsidR="00D31FDE" w:rsidRPr="00D31ED1" w:rsidRDefault="00D31FDE" w:rsidP="00D31FDE">
            <w:pPr>
              <w:jc w:val="center"/>
              <w:rPr>
                <w:rFonts w:ascii="Calibri" w:hAnsi="Calibri" w:cs="Calibri"/>
                <w:color w:val="000000"/>
                <w:sz w:val="10"/>
                <w:szCs w:val="10"/>
                <w:lang w:val="es-CO" w:eastAsia="es-CO"/>
              </w:rPr>
            </w:pPr>
          </w:p>
        </w:tc>
        <w:tc>
          <w:tcPr>
            <w:tcW w:w="252" w:type="pct"/>
            <w:tcBorders>
              <w:top w:val="nil"/>
              <w:left w:val="nil"/>
              <w:bottom w:val="single" w:sz="8" w:space="0" w:color="auto"/>
              <w:right w:val="single" w:sz="4" w:space="0" w:color="auto"/>
            </w:tcBorders>
            <w:shd w:val="clear" w:color="auto" w:fill="auto"/>
            <w:noWrap/>
            <w:vAlign w:val="center"/>
            <w:hideMark/>
          </w:tcPr>
          <w:p w14:paraId="23BF31B7" w14:textId="118E6335"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8" w:space="0" w:color="auto"/>
              <w:right w:val="single" w:sz="4" w:space="0" w:color="auto"/>
            </w:tcBorders>
            <w:shd w:val="clear" w:color="auto" w:fill="auto"/>
            <w:noWrap/>
            <w:vAlign w:val="center"/>
            <w:hideMark/>
          </w:tcPr>
          <w:p w14:paraId="78E2F8F1" w14:textId="1E80AE64"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8" w:space="0" w:color="auto"/>
              <w:right w:val="single" w:sz="4" w:space="0" w:color="auto"/>
            </w:tcBorders>
            <w:shd w:val="clear" w:color="auto" w:fill="auto"/>
            <w:noWrap/>
            <w:vAlign w:val="center"/>
            <w:hideMark/>
          </w:tcPr>
          <w:p w14:paraId="36752FFC" w14:textId="49AEE667"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8" w:space="0" w:color="auto"/>
              <w:right w:val="single" w:sz="4" w:space="0" w:color="auto"/>
            </w:tcBorders>
            <w:shd w:val="clear" w:color="auto" w:fill="auto"/>
            <w:noWrap/>
            <w:vAlign w:val="center"/>
            <w:hideMark/>
          </w:tcPr>
          <w:p w14:paraId="48BEA8E5" w14:textId="55C9E079"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8" w:space="0" w:color="auto"/>
              <w:right w:val="single" w:sz="4" w:space="0" w:color="auto"/>
            </w:tcBorders>
            <w:shd w:val="clear" w:color="auto" w:fill="auto"/>
            <w:noWrap/>
            <w:vAlign w:val="center"/>
            <w:hideMark/>
          </w:tcPr>
          <w:p w14:paraId="55622491" w14:textId="3CB560BE"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8" w:space="0" w:color="auto"/>
              <w:right w:val="single" w:sz="4" w:space="0" w:color="auto"/>
            </w:tcBorders>
            <w:shd w:val="clear" w:color="auto" w:fill="auto"/>
            <w:noWrap/>
            <w:vAlign w:val="center"/>
            <w:hideMark/>
          </w:tcPr>
          <w:p w14:paraId="3121C48A" w14:textId="154D2A40" w:rsidR="00D31FDE" w:rsidRPr="00D31ED1" w:rsidRDefault="00D31FDE" w:rsidP="00D31FDE">
            <w:pPr>
              <w:jc w:val="center"/>
              <w:rPr>
                <w:rFonts w:ascii="Calibri" w:hAnsi="Calibri" w:cs="Calibri"/>
                <w:color w:val="000000"/>
                <w:sz w:val="10"/>
                <w:szCs w:val="10"/>
                <w:lang w:val="es-CO" w:eastAsia="es-CO"/>
              </w:rPr>
            </w:pPr>
          </w:p>
        </w:tc>
        <w:tc>
          <w:tcPr>
            <w:tcW w:w="86" w:type="pct"/>
            <w:tcBorders>
              <w:top w:val="nil"/>
              <w:left w:val="nil"/>
              <w:bottom w:val="single" w:sz="8" w:space="0" w:color="auto"/>
              <w:right w:val="single" w:sz="4" w:space="0" w:color="auto"/>
            </w:tcBorders>
            <w:shd w:val="clear" w:color="auto" w:fill="auto"/>
            <w:noWrap/>
            <w:vAlign w:val="center"/>
            <w:hideMark/>
          </w:tcPr>
          <w:p w14:paraId="777DB141" w14:textId="4C5A88D4" w:rsidR="00D31FDE" w:rsidRPr="00D31ED1" w:rsidRDefault="00D31FDE" w:rsidP="00D31FDE">
            <w:pPr>
              <w:jc w:val="center"/>
              <w:rPr>
                <w:rFonts w:ascii="Calibri" w:hAnsi="Calibri" w:cs="Calibri"/>
                <w:color w:val="000000"/>
                <w:sz w:val="10"/>
                <w:szCs w:val="10"/>
                <w:lang w:val="es-CO" w:eastAsia="es-CO"/>
              </w:rPr>
            </w:pPr>
          </w:p>
        </w:tc>
        <w:tc>
          <w:tcPr>
            <w:tcW w:w="279" w:type="pct"/>
            <w:tcBorders>
              <w:top w:val="nil"/>
              <w:left w:val="nil"/>
              <w:bottom w:val="single" w:sz="8" w:space="0" w:color="auto"/>
              <w:right w:val="single" w:sz="4" w:space="0" w:color="auto"/>
            </w:tcBorders>
            <w:shd w:val="clear" w:color="auto" w:fill="auto"/>
            <w:noWrap/>
            <w:vAlign w:val="center"/>
            <w:hideMark/>
          </w:tcPr>
          <w:p w14:paraId="2C0603A0" w14:textId="484013F8" w:rsidR="00D31FDE" w:rsidRPr="00D31ED1" w:rsidRDefault="00D31FDE" w:rsidP="00D31FDE">
            <w:pPr>
              <w:jc w:val="center"/>
              <w:rPr>
                <w:rFonts w:ascii="Calibri" w:hAnsi="Calibri" w:cs="Calibri"/>
                <w:color w:val="000000"/>
                <w:sz w:val="10"/>
                <w:szCs w:val="10"/>
                <w:lang w:val="es-CO" w:eastAsia="es-CO"/>
              </w:rPr>
            </w:pPr>
          </w:p>
        </w:tc>
        <w:tc>
          <w:tcPr>
            <w:tcW w:w="239" w:type="pct"/>
            <w:tcBorders>
              <w:top w:val="nil"/>
              <w:left w:val="nil"/>
              <w:bottom w:val="single" w:sz="8" w:space="0" w:color="auto"/>
              <w:right w:val="single" w:sz="4" w:space="0" w:color="auto"/>
            </w:tcBorders>
            <w:shd w:val="clear" w:color="auto" w:fill="auto"/>
            <w:noWrap/>
            <w:vAlign w:val="center"/>
            <w:hideMark/>
          </w:tcPr>
          <w:p w14:paraId="7DC5D216" w14:textId="3E280A57"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20</w:t>
            </w:r>
            <w:r w:rsidRPr="00D31FDE">
              <w:rPr>
                <w:rFonts w:ascii="Calibri" w:hAnsi="Calibri" w:cs="Calibri"/>
                <w:color w:val="000000"/>
                <w:sz w:val="10"/>
                <w:szCs w:val="10"/>
                <w:lang w:val="es-CO" w:eastAsia="es-CO"/>
              </w:rPr>
              <w:t>.000</w:t>
            </w:r>
          </w:p>
        </w:tc>
        <w:tc>
          <w:tcPr>
            <w:tcW w:w="239" w:type="pct"/>
            <w:tcBorders>
              <w:top w:val="nil"/>
              <w:left w:val="nil"/>
              <w:bottom w:val="single" w:sz="8" w:space="0" w:color="auto"/>
              <w:right w:val="single" w:sz="4" w:space="0" w:color="auto"/>
            </w:tcBorders>
            <w:shd w:val="clear" w:color="auto" w:fill="auto"/>
            <w:noWrap/>
            <w:vAlign w:val="center"/>
            <w:hideMark/>
          </w:tcPr>
          <w:p w14:paraId="29198257" w14:textId="204F397D"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20</w:t>
            </w:r>
            <w:r w:rsidRPr="00D31FDE">
              <w:rPr>
                <w:rFonts w:ascii="Calibri" w:hAnsi="Calibri" w:cs="Calibri"/>
                <w:color w:val="000000"/>
                <w:sz w:val="10"/>
                <w:szCs w:val="10"/>
                <w:lang w:val="es-CO" w:eastAsia="es-CO"/>
              </w:rPr>
              <w:t>.000</w:t>
            </w:r>
          </w:p>
        </w:tc>
        <w:tc>
          <w:tcPr>
            <w:tcW w:w="239" w:type="pct"/>
            <w:tcBorders>
              <w:top w:val="nil"/>
              <w:left w:val="nil"/>
              <w:bottom w:val="single" w:sz="8" w:space="0" w:color="auto"/>
              <w:right w:val="single" w:sz="4" w:space="0" w:color="auto"/>
            </w:tcBorders>
            <w:shd w:val="clear" w:color="auto" w:fill="auto"/>
            <w:noWrap/>
            <w:vAlign w:val="center"/>
            <w:hideMark/>
          </w:tcPr>
          <w:p w14:paraId="52AA1042" w14:textId="04C02FEA" w:rsidR="00D31FDE" w:rsidRPr="00D31ED1" w:rsidRDefault="00D31FDE" w:rsidP="00D31FDE">
            <w:pPr>
              <w:jc w:val="center"/>
              <w:rPr>
                <w:rFonts w:ascii="Calibri" w:hAnsi="Calibri" w:cs="Calibri"/>
                <w:color w:val="000000"/>
                <w:sz w:val="10"/>
                <w:szCs w:val="10"/>
                <w:lang w:val="es-CO" w:eastAsia="es-CO"/>
              </w:rPr>
            </w:pPr>
            <w:r w:rsidRPr="00D31ED1">
              <w:rPr>
                <w:rFonts w:ascii="Calibri" w:hAnsi="Calibri" w:cs="Calibri"/>
                <w:color w:val="000000"/>
                <w:sz w:val="10"/>
                <w:szCs w:val="10"/>
                <w:lang w:val="es-CO" w:eastAsia="es-CO"/>
              </w:rPr>
              <w:t>20</w:t>
            </w:r>
            <w:r w:rsidRPr="00D31FDE">
              <w:rPr>
                <w:rFonts w:ascii="Calibri" w:hAnsi="Calibri" w:cs="Calibri"/>
                <w:color w:val="000000"/>
                <w:sz w:val="10"/>
                <w:szCs w:val="10"/>
                <w:lang w:val="es-CO" w:eastAsia="es-CO"/>
              </w:rPr>
              <w:t>.000</w:t>
            </w:r>
          </w:p>
        </w:tc>
        <w:tc>
          <w:tcPr>
            <w:tcW w:w="239" w:type="pct"/>
            <w:tcBorders>
              <w:top w:val="nil"/>
              <w:left w:val="nil"/>
              <w:bottom w:val="single" w:sz="8" w:space="0" w:color="auto"/>
              <w:right w:val="single" w:sz="4" w:space="0" w:color="auto"/>
            </w:tcBorders>
            <w:shd w:val="clear" w:color="auto" w:fill="auto"/>
            <w:noWrap/>
            <w:vAlign w:val="center"/>
            <w:hideMark/>
          </w:tcPr>
          <w:p w14:paraId="613E86D8" w14:textId="5D4ADA99" w:rsidR="00D31FDE" w:rsidRPr="00D31ED1" w:rsidRDefault="00D31FDE" w:rsidP="00D31FDE">
            <w:pPr>
              <w:jc w:val="center"/>
              <w:rPr>
                <w:rFonts w:ascii="Calibri" w:hAnsi="Calibri" w:cs="Calibri"/>
                <w:color w:val="000000"/>
                <w:sz w:val="10"/>
                <w:szCs w:val="10"/>
                <w:lang w:val="es-CO" w:eastAsia="es-CO"/>
              </w:rPr>
            </w:pPr>
          </w:p>
        </w:tc>
        <w:tc>
          <w:tcPr>
            <w:tcW w:w="376" w:type="pct"/>
            <w:tcBorders>
              <w:top w:val="single" w:sz="4" w:space="0" w:color="auto"/>
              <w:left w:val="nil"/>
              <w:bottom w:val="single" w:sz="8" w:space="0" w:color="auto"/>
              <w:right w:val="single" w:sz="8" w:space="0" w:color="auto"/>
            </w:tcBorders>
            <w:shd w:val="clear" w:color="auto" w:fill="auto"/>
            <w:noWrap/>
            <w:vAlign w:val="center"/>
            <w:hideMark/>
          </w:tcPr>
          <w:p w14:paraId="36C808A0" w14:textId="1BB100B1" w:rsidR="00D31FDE" w:rsidRPr="00D31ED1" w:rsidRDefault="00D31FDE" w:rsidP="00D31FDE">
            <w:pPr>
              <w:jc w:val="center"/>
              <w:rPr>
                <w:rFonts w:ascii="Calibri" w:hAnsi="Calibri" w:cs="Calibri"/>
                <w:color w:val="000000"/>
                <w:sz w:val="10"/>
                <w:szCs w:val="10"/>
                <w:lang w:val="es-CO" w:eastAsia="es-CO"/>
              </w:rPr>
            </w:pPr>
          </w:p>
        </w:tc>
      </w:tr>
    </w:tbl>
    <w:p w14:paraId="2811DA4B" w14:textId="114C758A" w:rsidR="00D31ED1" w:rsidRDefault="00D31ED1" w:rsidP="00464A59">
      <w:pPr>
        <w:ind w:left="1080"/>
        <w:rPr>
          <w:sz w:val="22"/>
          <w:szCs w:val="22"/>
        </w:rPr>
      </w:pPr>
    </w:p>
    <w:p w14:paraId="0EB227AD" w14:textId="0DB9A13A" w:rsidR="00D31ED1" w:rsidRDefault="00D31ED1" w:rsidP="00464A59">
      <w:pPr>
        <w:ind w:left="1080"/>
        <w:rPr>
          <w:sz w:val="22"/>
          <w:szCs w:val="22"/>
        </w:rPr>
      </w:pPr>
    </w:p>
    <w:p w14:paraId="256ADA0E" w14:textId="77777777" w:rsidR="000F7DF5" w:rsidRDefault="000F7DF5" w:rsidP="00464A59">
      <w:pPr>
        <w:ind w:left="1080"/>
        <w:rPr>
          <w:sz w:val="22"/>
          <w:szCs w:val="22"/>
        </w:rPr>
      </w:pPr>
    </w:p>
    <w:p w14:paraId="597994F8" w14:textId="505B9A25" w:rsidR="000F7DF5" w:rsidRPr="000F7DF5" w:rsidRDefault="000F7DF5" w:rsidP="000F7DF5">
      <w:pPr>
        <w:pStyle w:val="Descripcin"/>
        <w:keepNext/>
        <w:jc w:val="center"/>
        <w:rPr>
          <w:i w:val="0"/>
          <w:iCs w:val="0"/>
          <w:sz w:val="22"/>
          <w:szCs w:val="22"/>
        </w:rPr>
      </w:pPr>
      <w:bookmarkStart w:id="411" w:name="_Ref129944146"/>
      <w:bookmarkStart w:id="412" w:name="_Toc140506610"/>
      <w:r w:rsidRPr="000F7DF5">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17</w:t>
      </w:r>
      <w:r w:rsidR="006B6B6C">
        <w:rPr>
          <w:i w:val="0"/>
          <w:iCs w:val="0"/>
          <w:sz w:val="22"/>
          <w:szCs w:val="22"/>
        </w:rPr>
        <w:fldChar w:fldCharType="end"/>
      </w:r>
      <w:bookmarkEnd w:id="411"/>
      <w:r w:rsidRPr="000F7DF5">
        <w:rPr>
          <w:i w:val="0"/>
          <w:iCs w:val="0"/>
          <w:sz w:val="22"/>
          <w:szCs w:val="22"/>
        </w:rPr>
        <w:t xml:space="preserve"> </w:t>
      </w:r>
      <w:r w:rsidR="00BF17C0">
        <w:rPr>
          <w:i w:val="0"/>
          <w:iCs w:val="0"/>
          <w:sz w:val="22"/>
          <w:szCs w:val="22"/>
        </w:rPr>
        <w:t xml:space="preserve">Ejemplo de Caso a): </w:t>
      </w:r>
      <w:r w:rsidRPr="000F7DF5">
        <w:rPr>
          <w:i w:val="0"/>
          <w:iCs w:val="0"/>
          <w:sz w:val="22"/>
          <w:szCs w:val="22"/>
        </w:rPr>
        <w:t>cantidades máximas a declarar con Respaldo Físico CIDVF</w:t>
      </w:r>
      <w:bookmarkEnd w:id="412"/>
    </w:p>
    <w:tbl>
      <w:tblPr>
        <w:tblW w:w="0" w:type="auto"/>
        <w:jc w:val="center"/>
        <w:tblCellMar>
          <w:left w:w="70" w:type="dxa"/>
          <w:right w:w="70" w:type="dxa"/>
        </w:tblCellMar>
        <w:tblLook w:val="04A0" w:firstRow="1" w:lastRow="0" w:firstColumn="1" w:lastColumn="0" w:noHBand="0" w:noVBand="1"/>
      </w:tblPr>
      <w:tblGrid>
        <w:gridCol w:w="1032"/>
        <w:gridCol w:w="626"/>
        <w:gridCol w:w="419"/>
        <w:gridCol w:w="451"/>
        <w:gridCol w:w="419"/>
        <w:gridCol w:w="419"/>
        <w:gridCol w:w="419"/>
        <w:gridCol w:w="352"/>
        <w:gridCol w:w="323"/>
        <w:gridCol w:w="419"/>
        <w:gridCol w:w="615"/>
        <w:gridCol w:w="464"/>
        <w:gridCol w:w="591"/>
        <w:gridCol w:w="556"/>
        <w:gridCol w:w="419"/>
        <w:gridCol w:w="451"/>
        <w:gridCol w:w="419"/>
        <w:gridCol w:w="419"/>
        <w:gridCol w:w="419"/>
      </w:tblGrid>
      <w:tr w:rsidR="000F7DF5" w:rsidRPr="000F7DF5" w14:paraId="7C0E4145" w14:textId="77777777" w:rsidTr="00D31FDE">
        <w:trPr>
          <w:trHeight w:val="765"/>
          <w:jc w:val="center"/>
        </w:trPr>
        <w:tc>
          <w:tcPr>
            <w:tcW w:w="9204" w:type="dxa"/>
            <w:gridSpan w:val="19"/>
            <w:tcBorders>
              <w:top w:val="single" w:sz="8" w:space="0" w:color="auto"/>
              <w:left w:val="single" w:sz="8" w:space="0" w:color="auto"/>
              <w:bottom w:val="single" w:sz="8" w:space="0" w:color="auto"/>
              <w:right w:val="single" w:sz="8" w:space="0" w:color="000000"/>
            </w:tcBorders>
            <w:shd w:val="clear" w:color="000000" w:fill="E2EFDA"/>
            <w:vAlign w:val="center"/>
            <w:hideMark/>
          </w:tcPr>
          <w:p w14:paraId="7231D03A" w14:textId="5B858BE8" w:rsidR="000F7DF5" w:rsidRPr="000F7DF5" w:rsidRDefault="000F7DF5" w:rsidP="000F7DF5">
            <w:pPr>
              <w:jc w:val="center"/>
              <w:rPr>
                <w:rFonts w:ascii="Calibri" w:hAnsi="Calibri" w:cs="Calibri"/>
                <w:b/>
                <w:bCs/>
                <w:color w:val="000000"/>
                <w:sz w:val="22"/>
                <w:szCs w:val="22"/>
                <w:lang w:val="es-CO" w:eastAsia="es-CO"/>
              </w:rPr>
            </w:pPr>
            <w:r w:rsidRPr="000F7DF5">
              <w:rPr>
                <w:rFonts w:ascii="Calibri" w:hAnsi="Calibri" w:cs="Calibri"/>
                <w:b/>
                <w:bCs/>
                <w:color w:val="000000"/>
                <w:sz w:val="22"/>
                <w:szCs w:val="22"/>
                <w:lang w:val="es-CO" w:eastAsia="es-CO"/>
              </w:rPr>
              <w:t xml:space="preserve">DECLARACIÓN MÁXIMA POSIBLE DE CIDVF AL </w:t>
            </w:r>
            <w:r w:rsidR="005114C6">
              <w:rPr>
                <w:rFonts w:ascii="Calibri" w:hAnsi="Calibri" w:cs="Calibri"/>
                <w:b/>
                <w:bCs/>
                <w:color w:val="000000"/>
                <w:sz w:val="22"/>
                <w:szCs w:val="22"/>
                <w:lang w:val="es-CO" w:eastAsia="es-CO"/>
              </w:rPr>
              <w:t>GESTOR DEL MERCADO</w:t>
            </w:r>
            <w:r w:rsidRPr="000F7DF5">
              <w:rPr>
                <w:rFonts w:ascii="Calibri" w:hAnsi="Calibri" w:cs="Calibri"/>
                <w:b/>
                <w:bCs/>
                <w:color w:val="000000"/>
                <w:sz w:val="22"/>
                <w:szCs w:val="22"/>
                <w:lang w:val="es-CO" w:eastAsia="es-CO"/>
              </w:rPr>
              <w:t xml:space="preserve"> (</w:t>
            </w:r>
            <w:r w:rsidR="007326B7">
              <w:rPr>
                <w:rFonts w:ascii="Calibri" w:hAnsi="Calibri" w:cs="Calibri"/>
                <w:b/>
                <w:bCs/>
                <w:color w:val="000000"/>
                <w:sz w:val="22"/>
                <w:szCs w:val="22"/>
                <w:lang w:val="es-CO" w:eastAsia="es-CO"/>
              </w:rPr>
              <w:t>M</w:t>
            </w:r>
            <w:r w:rsidRPr="000F7DF5">
              <w:rPr>
                <w:rFonts w:ascii="Calibri" w:hAnsi="Calibri" w:cs="Calibri"/>
                <w:b/>
                <w:bCs/>
                <w:color w:val="000000"/>
                <w:sz w:val="22"/>
                <w:szCs w:val="22"/>
                <w:lang w:val="es-CO" w:eastAsia="es-CO"/>
              </w:rPr>
              <w:t>BTUD)</w:t>
            </w:r>
          </w:p>
        </w:tc>
      </w:tr>
      <w:tr w:rsidR="00D31FDE" w:rsidRPr="000F7DF5" w14:paraId="2F70EDCF" w14:textId="77777777" w:rsidTr="00D31FDE">
        <w:trPr>
          <w:trHeight w:val="855"/>
          <w:jc w:val="center"/>
        </w:trPr>
        <w:tc>
          <w:tcPr>
            <w:tcW w:w="1032" w:type="dxa"/>
            <w:tcBorders>
              <w:top w:val="nil"/>
              <w:left w:val="single" w:sz="8" w:space="0" w:color="auto"/>
              <w:bottom w:val="single" w:sz="4" w:space="0" w:color="auto"/>
              <w:right w:val="single" w:sz="4" w:space="0" w:color="auto"/>
            </w:tcBorders>
            <w:shd w:val="clear" w:color="000000" w:fill="D9D9D9"/>
            <w:vAlign w:val="center"/>
            <w:hideMark/>
          </w:tcPr>
          <w:p w14:paraId="49EAEC2D" w14:textId="7E032D01" w:rsidR="000F7DF5" w:rsidRPr="000F7DF5" w:rsidRDefault="000F7DF5" w:rsidP="000F7DF5">
            <w:pPr>
              <w:jc w:val="center"/>
              <w:rPr>
                <w:rFonts w:ascii="Calibri" w:hAnsi="Calibri" w:cs="Calibri"/>
                <w:b/>
                <w:bCs/>
                <w:color w:val="000000"/>
                <w:sz w:val="10"/>
                <w:szCs w:val="10"/>
                <w:lang w:val="es-CO" w:eastAsia="es-CO"/>
              </w:rPr>
            </w:pPr>
          </w:p>
        </w:tc>
        <w:tc>
          <w:tcPr>
            <w:tcW w:w="626" w:type="dxa"/>
            <w:tcBorders>
              <w:top w:val="nil"/>
              <w:left w:val="nil"/>
              <w:bottom w:val="single" w:sz="4" w:space="0" w:color="auto"/>
              <w:right w:val="single" w:sz="4" w:space="0" w:color="auto"/>
            </w:tcBorders>
            <w:shd w:val="clear" w:color="000000" w:fill="D9D9D9"/>
            <w:noWrap/>
            <w:vAlign w:val="center"/>
            <w:hideMark/>
          </w:tcPr>
          <w:p w14:paraId="54735AC8"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diciembre</w:t>
            </w:r>
          </w:p>
        </w:tc>
        <w:tc>
          <w:tcPr>
            <w:tcW w:w="0" w:type="auto"/>
            <w:tcBorders>
              <w:top w:val="nil"/>
              <w:left w:val="nil"/>
              <w:bottom w:val="single" w:sz="4" w:space="0" w:color="auto"/>
              <w:right w:val="single" w:sz="4" w:space="0" w:color="auto"/>
            </w:tcBorders>
            <w:shd w:val="clear" w:color="000000" w:fill="D9D9D9"/>
            <w:noWrap/>
            <w:vAlign w:val="center"/>
            <w:hideMark/>
          </w:tcPr>
          <w:p w14:paraId="686E7BBA"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enero</w:t>
            </w:r>
          </w:p>
        </w:tc>
        <w:tc>
          <w:tcPr>
            <w:tcW w:w="0" w:type="auto"/>
            <w:tcBorders>
              <w:top w:val="nil"/>
              <w:left w:val="nil"/>
              <w:bottom w:val="single" w:sz="4" w:space="0" w:color="auto"/>
              <w:right w:val="single" w:sz="4" w:space="0" w:color="auto"/>
            </w:tcBorders>
            <w:shd w:val="clear" w:color="000000" w:fill="D9D9D9"/>
            <w:noWrap/>
            <w:vAlign w:val="center"/>
            <w:hideMark/>
          </w:tcPr>
          <w:p w14:paraId="718D7CF0"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febrero</w:t>
            </w:r>
          </w:p>
        </w:tc>
        <w:tc>
          <w:tcPr>
            <w:tcW w:w="0" w:type="auto"/>
            <w:tcBorders>
              <w:top w:val="nil"/>
              <w:left w:val="nil"/>
              <w:bottom w:val="single" w:sz="4" w:space="0" w:color="auto"/>
              <w:right w:val="single" w:sz="4" w:space="0" w:color="auto"/>
            </w:tcBorders>
            <w:shd w:val="clear" w:color="000000" w:fill="D9D9D9"/>
            <w:noWrap/>
            <w:vAlign w:val="center"/>
            <w:hideMark/>
          </w:tcPr>
          <w:p w14:paraId="5BFEF261"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marzo</w:t>
            </w:r>
          </w:p>
        </w:tc>
        <w:tc>
          <w:tcPr>
            <w:tcW w:w="0" w:type="auto"/>
            <w:tcBorders>
              <w:top w:val="nil"/>
              <w:left w:val="nil"/>
              <w:bottom w:val="single" w:sz="4" w:space="0" w:color="auto"/>
              <w:right w:val="single" w:sz="4" w:space="0" w:color="auto"/>
            </w:tcBorders>
            <w:shd w:val="clear" w:color="000000" w:fill="D9D9D9"/>
            <w:noWrap/>
            <w:vAlign w:val="center"/>
            <w:hideMark/>
          </w:tcPr>
          <w:p w14:paraId="5EA5625B"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abril</w:t>
            </w:r>
          </w:p>
        </w:tc>
        <w:tc>
          <w:tcPr>
            <w:tcW w:w="0" w:type="auto"/>
            <w:tcBorders>
              <w:top w:val="nil"/>
              <w:left w:val="nil"/>
              <w:bottom w:val="single" w:sz="4" w:space="0" w:color="auto"/>
              <w:right w:val="single" w:sz="4" w:space="0" w:color="auto"/>
            </w:tcBorders>
            <w:shd w:val="clear" w:color="000000" w:fill="D9D9D9"/>
            <w:noWrap/>
            <w:vAlign w:val="center"/>
            <w:hideMark/>
          </w:tcPr>
          <w:p w14:paraId="09BB2536"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mayo</w:t>
            </w:r>
          </w:p>
        </w:tc>
        <w:tc>
          <w:tcPr>
            <w:tcW w:w="0" w:type="auto"/>
            <w:tcBorders>
              <w:top w:val="nil"/>
              <w:left w:val="nil"/>
              <w:bottom w:val="single" w:sz="4" w:space="0" w:color="auto"/>
              <w:right w:val="single" w:sz="4" w:space="0" w:color="auto"/>
            </w:tcBorders>
            <w:shd w:val="clear" w:color="000000" w:fill="D9D9D9"/>
            <w:noWrap/>
            <w:vAlign w:val="center"/>
            <w:hideMark/>
          </w:tcPr>
          <w:p w14:paraId="6B8F4E86"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junio</w:t>
            </w:r>
          </w:p>
        </w:tc>
        <w:tc>
          <w:tcPr>
            <w:tcW w:w="0" w:type="auto"/>
            <w:tcBorders>
              <w:top w:val="nil"/>
              <w:left w:val="nil"/>
              <w:bottom w:val="single" w:sz="4" w:space="0" w:color="auto"/>
              <w:right w:val="single" w:sz="4" w:space="0" w:color="auto"/>
            </w:tcBorders>
            <w:shd w:val="clear" w:color="000000" w:fill="D9D9D9"/>
            <w:noWrap/>
            <w:vAlign w:val="center"/>
            <w:hideMark/>
          </w:tcPr>
          <w:p w14:paraId="73C45693"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julio</w:t>
            </w:r>
          </w:p>
        </w:tc>
        <w:tc>
          <w:tcPr>
            <w:tcW w:w="0" w:type="auto"/>
            <w:tcBorders>
              <w:top w:val="nil"/>
              <w:left w:val="nil"/>
              <w:bottom w:val="single" w:sz="4" w:space="0" w:color="auto"/>
              <w:right w:val="single" w:sz="4" w:space="0" w:color="auto"/>
            </w:tcBorders>
            <w:shd w:val="clear" w:color="000000" w:fill="D9D9D9"/>
            <w:noWrap/>
            <w:vAlign w:val="center"/>
            <w:hideMark/>
          </w:tcPr>
          <w:p w14:paraId="4E3A34D2"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agosto</w:t>
            </w:r>
          </w:p>
        </w:tc>
        <w:tc>
          <w:tcPr>
            <w:tcW w:w="0" w:type="auto"/>
            <w:tcBorders>
              <w:top w:val="nil"/>
              <w:left w:val="nil"/>
              <w:bottom w:val="single" w:sz="4" w:space="0" w:color="auto"/>
              <w:right w:val="single" w:sz="4" w:space="0" w:color="auto"/>
            </w:tcBorders>
            <w:shd w:val="clear" w:color="000000" w:fill="D9D9D9"/>
            <w:noWrap/>
            <w:vAlign w:val="center"/>
            <w:hideMark/>
          </w:tcPr>
          <w:p w14:paraId="2A093A07"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septiembre</w:t>
            </w:r>
          </w:p>
        </w:tc>
        <w:tc>
          <w:tcPr>
            <w:tcW w:w="0" w:type="auto"/>
            <w:tcBorders>
              <w:top w:val="nil"/>
              <w:left w:val="nil"/>
              <w:bottom w:val="single" w:sz="4" w:space="0" w:color="auto"/>
              <w:right w:val="single" w:sz="4" w:space="0" w:color="auto"/>
            </w:tcBorders>
            <w:shd w:val="clear" w:color="000000" w:fill="D9D9D9"/>
            <w:noWrap/>
            <w:vAlign w:val="center"/>
            <w:hideMark/>
          </w:tcPr>
          <w:p w14:paraId="3F03DAF0"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octubre</w:t>
            </w:r>
          </w:p>
        </w:tc>
        <w:tc>
          <w:tcPr>
            <w:tcW w:w="0" w:type="auto"/>
            <w:tcBorders>
              <w:top w:val="nil"/>
              <w:left w:val="nil"/>
              <w:bottom w:val="single" w:sz="4" w:space="0" w:color="auto"/>
              <w:right w:val="single" w:sz="4" w:space="0" w:color="auto"/>
            </w:tcBorders>
            <w:shd w:val="clear" w:color="000000" w:fill="D9D9D9"/>
            <w:noWrap/>
            <w:vAlign w:val="center"/>
            <w:hideMark/>
          </w:tcPr>
          <w:p w14:paraId="11F2EC1A"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noviembre</w:t>
            </w:r>
          </w:p>
        </w:tc>
        <w:tc>
          <w:tcPr>
            <w:tcW w:w="0" w:type="auto"/>
            <w:tcBorders>
              <w:top w:val="nil"/>
              <w:left w:val="nil"/>
              <w:bottom w:val="single" w:sz="4" w:space="0" w:color="auto"/>
              <w:right w:val="single" w:sz="4" w:space="0" w:color="auto"/>
            </w:tcBorders>
            <w:shd w:val="clear" w:color="000000" w:fill="D9D9D9"/>
            <w:noWrap/>
            <w:vAlign w:val="center"/>
            <w:hideMark/>
          </w:tcPr>
          <w:p w14:paraId="2F585CCA"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diciembre</w:t>
            </w:r>
          </w:p>
        </w:tc>
        <w:tc>
          <w:tcPr>
            <w:tcW w:w="0" w:type="auto"/>
            <w:tcBorders>
              <w:top w:val="nil"/>
              <w:left w:val="nil"/>
              <w:bottom w:val="single" w:sz="4" w:space="0" w:color="auto"/>
              <w:right w:val="single" w:sz="4" w:space="0" w:color="auto"/>
            </w:tcBorders>
            <w:shd w:val="clear" w:color="000000" w:fill="D9D9D9"/>
            <w:noWrap/>
            <w:vAlign w:val="center"/>
            <w:hideMark/>
          </w:tcPr>
          <w:p w14:paraId="6BEC85D3"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enero</w:t>
            </w:r>
          </w:p>
        </w:tc>
        <w:tc>
          <w:tcPr>
            <w:tcW w:w="0" w:type="auto"/>
            <w:tcBorders>
              <w:top w:val="nil"/>
              <w:left w:val="nil"/>
              <w:bottom w:val="single" w:sz="4" w:space="0" w:color="auto"/>
              <w:right w:val="single" w:sz="4" w:space="0" w:color="auto"/>
            </w:tcBorders>
            <w:shd w:val="clear" w:color="000000" w:fill="D9D9D9"/>
            <w:noWrap/>
            <w:vAlign w:val="center"/>
            <w:hideMark/>
          </w:tcPr>
          <w:p w14:paraId="6BD6E4B0"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febrero</w:t>
            </w:r>
          </w:p>
        </w:tc>
        <w:tc>
          <w:tcPr>
            <w:tcW w:w="0" w:type="auto"/>
            <w:tcBorders>
              <w:top w:val="nil"/>
              <w:left w:val="nil"/>
              <w:bottom w:val="single" w:sz="4" w:space="0" w:color="auto"/>
              <w:right w:val="single" w:sz="4" w:space="0" w:color="auto"/>
            </w:tcBorders>
            <w:shd w:val="clear" w:color="000000" w:fill="D9D9D9"/>
            <w:noWrap/>
            <w:vAlign w:val="center"/>
            <w:hideMark/>
          </w:tcPr>
          <w:p w14:paraId="2E1029A7"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marzo</w:t>
            </w:r>
          </w:p>
        </w:tc>
        <w:tc>
          <w:tcPr>
            <w:tcW w:w="0" w:type="auto"/>
            <w:tcBorders>
              <w:top w:val="nil"/>
              <w:left w:val="nil"/>
              <w:bottom w:val="single" w:sz="4" w:space="0" w:color="auto"/>
              <w:right w:val="single" w:sz="4" w:space="0" w:color="auto"/>
            </w:tcBorders>
            <w:shd w:val="clear" w:color="000000" w:fill="D9D9D9"/>
            <w:noWrap/>
            <w:vAlign w:val="center"/>
            <w:hideMark/>
          </w:tcPr>
          <w:p w14:paraId="3D1AACEE"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abril</w:t>
            </w:r>
          </w:p>
        </w:tc>
        <w:tc>
          <w:tcPr>
            <w:tcW w:w="193" w:type="dxa"/>
            <w:tcBorders>
              <w:top w:val="nil"/>
              <w:left w:val="nil"/>
              <w:bottom w:val="single" w:sz="4" w:space="0" w:color="auto"/>
              <w:right w:val="single" w:sz="8" w:space="0" w:color="auto"/>
            </w:tcBorders>
            <w:shd w:val="clear" w:color="000000" w:fill="D9D9D9"/>
            <w:noWrap/>
            <w:vAlign w:val="center"/>
            <w:hideMark/>
          </w:tcPr>
          <w:p w14:paraId="43690851" w14:textId="77777777" w:rsidR="000F7DF5" w:rsidRPr="000F7DF5" w:rsidRDefault="000F7DF5" w:rsidP="000F7DF5">
            <w:pPr>
              <w:jc w:val="center"/>
              <w:rPr>
                <w:rFonts w:ascii="Calibri" w:hAnsi="Calibri" w:cs="Calibri"/>
                <w:b/>
                <w:bCs/>
                <w:color w:val="000000"/>
                <w:sz w:val="10"/>
                <w:szCs w:val="10"/>
                <w:lang w:val="es-CO" w:eastAsia="es-CO"/>
              </w:rPr>
            </w:pPr>
            <w:r w:rsidRPr="000F7DF5">
              <w:rPr>
                <w:rFonts w:ascii="Calibri" w:hAnsi="Calibri" w:cs="Calibri"/>
                <w:b/>
                <w:bCs/>
                <w:color w:val="000000"/>
                <w:sz w:val="10"/>
                <w:szCs w:val="10"/>
                <w:lang w:val="es-CO" w:eastAsia="es-CO"/>
              </w:rPr>
              <w:t>mayo</w:t>
            </w:r>
          </w:p>
        </w:tc>
      </w:tr>
      <w:tr w:rsidR="00D31FDE" w:rsidRPr="000F7DF5" w14:paraId="72A560FD" w14:textId="77777777" w:rsidTr="00D31FDE">
        <w:trPr>
          <w:trHeight w:val="698"/>
          <w:jc w:val="center"/>
        </w:trPr>
        <w:tc>
          <w:tcPr>
            <w:tcW w:w="1032" w:type="dxa"/>
            <w:tcBorders>
              <w:top w:val="nil"/>
              <w:left w:val="single" w:sz="8" w:space="0" w:color="auto"/>
              <w:bottom w:val="single" w:sz="8" w:space="0" w:color="auto"/>
              <w:right w:val="single" w:sz="4" w:space="0" w:color="auto"/>
            </w:tcBorders>
            <w:shd w:val="clear" w:color="000000" w:fill="D9D9D9"/>
            <w:noWrap/>
            <w:vAlign w:val="center"/>
            <w:hideMark/>
          </w:tcPr>
          <w:p w14:paraId="1A5FE4A2" w14:textId="77777777" w:rsidR="00D31FDE" w:rsidRPr="000F7DF5" w:rsidRDefault="00D31FDE" w:rsidP="00D31FDE">
            <w:pPr>
              <w:jc w:val="center"/>
              <w:rPr>
                <w:rFonts w:ascii="Calibri" w:hAnsi="Calibri" w:cs="Calibri"/>
                <w:b/>
                <w:bCs/>
                <w:color w:val="000000"/>
                <w:sz w:val="22"/>
                <w:szCs w:val="22"/>
                <w:lang w:val="es-CO" w:eastAsia="es-CO"/>
              </w:rPr>
            </w:pPr>
            <w:r w:rsidRPr="000F7DF5">
              <w:rPr>
                <w:rFonts w:ascii="Calibri" w:hAnsi="Calibri" w:cs="Calibri"/>
                <w:b/>
                <w:bCs/>
                <w:color w:val="000000"/>
                <w:sz w:val="22"/>
                <w:szCs w:val="22"/>
                <w:lang w:val="es-CO" w:eastAsia="es-CO"/>
              </w:rPr>
              <w:t>CIDVF</w:t>
            </w:r>
          </w:p>
        </w:tc>
        <w:tc>
          <w:tcPr>
            <w:tcW w:w="626" w:type="dxa"/>
            <w:tcBorders>
              <w:top w:val="nil"/>
              <w:left w:val="nil"/>
              <w:bottom w:val="single" w:sz="4" w:space="0" w:color="auto"/>
              <w:right w:val="single" w:sz="4" w:space="0" w:color="auto"/>
            </w:tcBorders>
            <w:shd w:val="clear" w:color="auto" w:fill="auto"/>
            <w:noWrap/>
            <w:vAlign w:val="center"/>
            <w:hideMark/>
          </w:tcPr>
          <w:p w14:paraId="6BD2EACC" w14:textId="366962D1"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65</w:t>
            </w:r>
            <w:r w:rsidRPr="00D31FDE">
              <w:rPr>
                <w:rFonts w:ascii="Calibri" w:hAnsi="Calibri" w:cs="Calibri"/>
                <w:color w:val="000000"/>
                <w:sz w:val="10"/>
                <w:szCs w:val="10"/>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15868D0C" w14:textId="40DD8950"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65</w:t>
            </w:r>
            <w:r w:rsidRPr="00D31FDE">
              <w:rPr>
                <w:rFonts w:ascii="Calibri" w:hAnsi="Calibri" w:cs="Calibri"/>
                <w:color w:val="000000"/>
                <w:sz w:val="10"/>
                <w:szCs w:val="10"/>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65DDBF6D" w14:textId="5764CF33"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65</w:t>
            </w:r>
            <w:r w:rsidRPr="00D31FDE">
              <w:rPr>
                <w:rFonts w:ascii="Calibri" w:hAnsi="Calibri" w:cs="Calibri"/>
                <w:color w:val="000000"/>
                <w:sz w:val="10"/>
                <w:szCs w:val="10"/>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0705B00A" w14:textId="7968073D"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65</w:t>
            </w:r>
            <w:r w:rsidRPr="00D31FDE">
              <w:rPr>
                <w:rFonts w:ascii="Calibri" w:hAnsi="Calibri" w:cs="Calibri"/>
                <w:color w:val="000000"/>
                <w:sz w:val="10"/>
                <w:szCs w:val="10"/>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003F1148" w14:textId="20CB27BA" w:rsidR="00D31FDE" w:rsidRPr="000F7DF5" w:rsidRDefault="00D31FDE" w:rsidP="00D31FDE">
            <w:pPr>
              <w:jc w:val="center"/>
              <w:rPr>
                <w:rFonts w:ascii="Calibri" w:hAnsi="Calibri" w:cs="Calibri"/>
                <w:color w:val="000000"/>
                <w:sz w:val="10"/>
                <w:szCs w:val="10"/>
                <w:lang w:val="es-CO" w:eastAsia="es-CO"/>
              </w:rPr>
            </w:pPr>
            <w:r w:rsidRPr="00D31FDE">
              <w:rPr>
                <w:rFonts w:ascii="Calibri" w:hAnsi="Calibri" w:cs="Calibri"/>
                <w:color w:val="000000"/>
                <w:sz w:val="10"/>
                <w:szCs w:val="10"/>
                <w:lang w:val="es-CO" w:eastAsia="es-CO"/>
              </w:rPr>
              <w:t>15.000</w:t>
            </w:r>
          </w:p>
        </w:tc>
        <w:tc>
          <w:tcPr>
            <w:tcW w:w="0" w:type="auto"/>
            <w:tcBorders>
              <w:top w:val="nil"/>
              <w:left w:val="nil"/>
              <w:bottom w:val="single" w:sz="4" w:space="0" w:color="auto"/>
              <w:right w:val="single" w:sz="4" w:space="0" w:color="auto"/>
            </w:tcBorders>
            <w:shd w:val="clear" w:color="auto" w:fill="auto"/>
            <w:noWrap/>
            <w:vAlign w:val="center"/>
            <w:hideMark/>
          </w:tcPr>
          <w:p w14:paraId="0E8699A0" w14:textId="5DBE4BBA" w:rsidR="00D31FDE" w:rsidRPr="000F7DF5" w:rsidRDefault="00D31FDE" w:rsidP="00D31FDE">
            <w:pPr>
              <w:jc w:val="center"/>
              <w:rPr>
                <w:rFonts w:ascii="Calibri" w:hAnsi="Calibri" w:cs="Calibri"/>
                <w:color w:val="000000"/>
                <w:sz w:val="10"/>
                <w:szCs w:val="10"/>
                <w:lang w:val="es-CO" w:eastAsia="es-CO"/>
              </w:rPr>
            </w:pPr>
            <w:r w:rsidRPr="00D31FDE">
              <w:rPr>
                <w:rFonts w:ascii="Calibri" w:hAnsi="Calibri" w:cs="Calibri"/>
                <w:color w:val="000000"/>
                <w:sz w:val="10"/>
                <w:szCs w:val="10"/>
                <w:lang w:val="es-CO" w:eastAsia="es-CO"/>
              </w:rPr>
              <w:t>15.00</w:t>
            </w:r>
            <w:r w:rsidRPr="000F7DF5">
              <w:rPr>
                <w:rFonts w:ascii="Calibri" w:hAnsi="Calibri" w:cs="Calibri"/>
                <w:color w:val="000000"/>
                <w:sz w:val="10"/>
                <w:szCs w:val="10"/>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CC057E1" w14:textId="77777777"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59F84941" w14:textId="77777777"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251F31F5" w14:textId="77777777"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38CC5AB2" w14:textId="77777777"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2C03E93" w14:textId="77777777"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42D540F" w14:textId="77777777"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9FEA84E" w14:textId="785006F1"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40</w:t>
            </w:r>
            <w:r>
              <w:rPr>
                <w:rFonts w:ascii="Calibri" w:hAnsi="Calibri" w:cs="Calibri"/>
                <w:color w:val="000000"/>
                <w:sz w:val="10"/>
                <w:szCs w:val="10"/>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098B7EB2" w14:textId="5857B49E"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60</w:t>
            </w:r>
            <w:r>
              <w:rPr>
                <w:rFonts w:ascii="Calibri" w:hAnsi="Calibri" w:cs="Calibri"/>
                <w:color w:val="000000"/>
                <w:sz w:val="10"/>
                <w:szCs w:val="10"/>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47883BA5" w14:textId="0F432A02"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60</w:t>
            </w:r>
            <w:r>
              <w:rPr>
                <w:rFonts w:ascii="Calibri" w:hAnsi="Calibri" w:cs="Calibri"/>
                <w:color w:val="000000"/>
                <w:sz w:val="10"/>
                <w:szCs w:val="10"/>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5064FFA2" w14:textId="139F4228"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60</w:t>
            </w:r>
            <w:r>
              <w:rPr>
                <w:rFonts w:ascii="Calibri" w:hAnsi="Calibri" w:cs="Calibri"/>
                <w:color w:val="000000"/>
                <w:sz w:val="10"/>
                <w:szCs w:val="10"/>
                <w:lang w:val="es-CO" w:eastAsia="es-CO"/>
              </w:rPr>
              <w:t>.000</w:t>
            </w:r>
          </w:p>
        </w:tc>
        <w:tc>
          <w:tcPr>
            <w:tcW w:w="0" w:type="auto"/>
            <w:tcBorders>
              <w:top w:val="nil"/>
              <w:left w:val="nil"/>
              <w:bottom w:val="single" w:sz="4" w:space="0" w:color="auto"/>
              <w:right w:val="single" w:sz="4" w:space="0" w:color="auto"/>
            </w:tcBorders>
            <w:shd w:val="clear" w:color="auto" w:fill="auto"/>
            <w:noWrap/>
            <w:vAlign w:val="center"/>
            <w:hideMark/>
          </w:tcPr>
          <w:p w14:paraId="4DAFC9C2" w14:textId="6E65CB70"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40</w:t>
            </w:r>
            <w:r>
              <w:rPr>
                <w:rFonts w:ascii="Calibri" w:hAnsi="Calibri" w:cs="Calibri"/>
                <w:color w:val="000000"/>
                <w:sz w:val="10"/>
                <w:szCs w:val="10"/>
                <w:lang w:val="es-CO" w:eastAsia="es-CO"/>
              </w:rPr>
              <w:t>.000</w:t>
            </w:r>
          </w:p>
        </w:tc>
        <w:tc>
          <w:tcPr>
            <w:tcW w:w="193" w:type="dxa"/>
            <w:tcBorders>
              <w:top w:val="nil"/>
              <w:left w:val="nil"/>
              <w:bottom w:val="single" w:sz="4" w:space="0" w:color="auto"/>
              <w:right w:val="single" w:sz="4" w:space="0" w:color="auto"/>
            </w:tcBorders>
            <w:shd w:val="clear" w:color="auto" w:fill="auto"/>
            <w:noWrap/>
            <w:vAlign w:val="center"/>
            <w:hideMark/>
          </w:tcPr>
          <w:p w14:paraId="6BDC047F" w14:textId="24E12F0A" w:rsidR="00D31FDE" w:rsidRPr="000F7DF5" w:rsidRDefault="00D31FDE" w:rsidP="00D31FDE">
            <w:pPr>
              <w:jc w:val="center"/>
              <w:rPr>
                <w:rFonts w:ascii="Calibri" w:hAnsi="Calibri" w:cs="Calibri"/>
                <w:color w:val="000000"/>
                <w:sz w:val="10"/>
                <w:szCs w:val="10"/>
                <w:lang w:val="es-CO" w:eastAsia="es-CO"/>
              </w:rPr>
            </w:pPr>
            <w:r w:rsidRPr="000F7DF5">
              <w:rPr>
                <w:rFonts w:ascii="Calibri" w:hAnsi="Calibri" w:cs="Calibri"/>
                <w:color w:val="000000"/>
                <w:sz w:val="10"/>
                <w:szCs w:val="10"/>
                <w:lang w:val="es-CO" w:eastAsia="es-CO"/>
              </w:rPr>
              <w:t>40</w:t>
            </w:r>
            <w:r>
              <w:rPr>
                <w:rFonts w:ascii="Calibri" w:hAnsi="Calibri" w:cs="Calibri"/>
                <w:color w:val="000000"/>
                <w:sz w:val="10"/>
                <w:szCs w:val="10"/>
                <w:lang w:val="es-CO" w:eastAsia="es-CO"/>
              </w:rPr>
              <w:t>.000</w:t>
            </w:r>
          </w:p>
        </w:tc>
      </w:tr>
    </w:tbl>
    <w:p w14:paraId="7DED8309" w14:textId="1BC8E742" w:rsidR="000F7DF5" w:rsidRDefault="000F7DF5" w:rsidP="00464A59">
      <w:pPr>
        <w:ind w:left="1080"/>
        <w:rPr>
          <w:sz w:val="22"/>
          <w:szCs w:val="22"/>
        </w:rPr>
      </w:pPr>
    </w:p>
    <w:p w14:paraId="055C938A" w14:textId="7FFEB79D" w:rsidR="000F7DF5" w:rsidRDefault="000F7DF5" w:rsidP="00464A59">
      <w:pPr>
        <w:ind w:left="1080"/>
        <w:rPr>
          <w:sz w:val="22"/>
          <w:szCs w:val="22"/>
        </w:rPr>
      </w:pPr>
    </w:p>
    <w:p w14:paraId="69D70ADA" w14:textId="6D3BCA0A" w:rsidR="00751D87" w:rsidRDefault="00751D87" w:rsidP="00464A59">
      <w:pPr>
        <w:ind w:left="1080"/>
        <w:rPr>
          <w:sz w:val="22"/>
          <w:szCs w:val="22"/>
        </w:rPr>
      </w:pPr>
    </w:p>
    <w:p w14:paraId="37F23220" w14:textId="6FC7326B" w:rsidR="00892EA9" w:rsidRPr="00892EA9" w:rsidRDefault="00892EA9" w:rsidP="00892EA9">
      <w:pPr>
        <w:pStyle w:val="Descripcin"/>
        <w:keepNext/>
        <w:jc w:val="center"/>
        <w:rPr>
          <w:i w:val="0"/>
          <w:iCs w:val="0"/>
          <w:sz w:val="22"/>
          <w:szCs w:val="22"/>
        </w:rPr>
      </w:pPr>
      <w:bookmarkStart w:id="413" w:name="_Ref129944320"/>
      <w:bookmarkStart w:id="414" w:name="_Toc140506611"/>
      <w:r w:rsidRPr="00892EA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18</w:t>
      </w:r>
      <w:r w:rsidR="006B6B6C">
        <w:rPr>
          <w:i w:val="0"/>
          <w:iCs w:val="0"/>
          <w:sz w:val="22"/>
          <w:szCs w:val="22"/>
        </w:rPr>
        <w:fldChar w:fldCharType="end"/>
      </w:r>
      <w:bookmarkEnd w:id="413"/>
      <w:r w:rsidRPr="00892EA9">
        <w:rPr>
          <w:i w:val="0"/>
          <w:iCs w:val="0"/>
          <w:sz w:val="22"/>
          <w:szCs w:val="22"/>
        </w:rPr>
        <w:t xml:space="preserve"> </w:t>
      </w:r>
      <w:r w:rsidR="00BF17C0">
        <w:rPr>
          <w:i w:val="0"/>
          <w:iCs w:val="0"/>
          <w:sz w:val="22"/>
          <w:szCs w:val="22"/>
        </w:rPr>
        <w:t>Ejemplo de Caso a):</w:t>
      </w:r>
      <w:r w:rsidRPr="00892EA9">
        <w:rPr>
          <w:i w:val="0"/>
          <w:iCs w:val="0"/>
          <w:sz w:val="22"/>
          <w:szCs w:val="22"/>
        </w:rPr>
        <w:t xml:space="preserve"> cantidades máximas a contratar por trimestre estándar</w:t>
      </w:r>
      <w:bookmarkEnd w:id="414"/>
    </w:p>
    <w:tbl>
      <w:tblPr>
        <w:tblW w:w="0" w:type="auto"/>
        <w:tblCellMar>
          <w:left w:w="70" w:type="dxa"/>
          <w:right w:w="70" w:type="dxa"/>
        </w:tblCellMar>
        <w:tblLook w:val="04A0" w:firstRow="1" w:lastRow="0" w:firstColumn="1" w:lastColumn="0" w:noHBand="0" w:noVBand="1"/>
      </w:tblPr>
      <w:tblGrid>
        <w:gridCol w:w="685"/>
        <w:gridCol w:w="1404"/>
        <w:gridCol w:w="1395"/>
        <w:gridCol w:w="1396"/>
        <w:gridCol w:w="1654"/>
        <w:gridCol w:w="1405"/>
        <w:gridCol w:w="1396"/>
      </w:tblGrid>
      <w:tr w:rsidR="00751D87" w:rsidRPr="00751D87" w14:paraId="333AD44E" w14:textId="77777777" w:rsidTr="00751D87">
        <w:trPr>
          <w:trHeight w:val="578"/>
        </w:trPr>
        <w:tc>
          <w:tcPr>
            <w:tcW w:w="0" w:type="auto"/>
            <w:gridSpan w:val="7"/>
            <w:tcBorders>
              <w:top w:val="single" w:sz="8" w:space="0" w:color="auto"/>
              <w:left w:val="single" w:sz="8" w:space="0" w:color="auto"/>
              <w:bottom w:val="single" w:sz="8" w:space="0" w:color="auto"/>
              <w:right w:val="single" w:sz="8" w:space="0" w:color="000000"/>
            </w:tcBorders>
            <w:shd w:val="clear" w:color="000000" w:fill="BDD7EE"/>
            <w:vAlign w:val="center"/>
            <w:hideMark/>
          </w:tcPr>
          <w:p w14:paraId="66F07EBC" w14:textId="3A34B994" w:rsidR="00751D87" w:rsidRPr="00751D87" w:rsidRDefault="00751D87" w:rsidP="00751D87">
            <w:pPr>
              <w:jc w:val="center"/>
              <w:rPr>
                <w:rFonts w:ascii="Calibri" w:hAnsi="Calibri" w:cs="Calibri"/>
                <w:b/>
                <w:bCs/>
                <w:color w:val="000000"/>
                <w:sz w:val="22"/>
                <w:szCs w:val="22"/>
                <w:lang w:val="es-CO" w:eastAsia="es-CO"/>
              </w:rPr>
            </w:pPr>
            <w:r w:rsidRPr="00751D87">
              <w:rPr>
                <w:rFonts w:ascii="Calibri" w:hAnsi="Calibri" w:cs="Calibri"/>
                <w:b/>
                <w:bCs/>
                <w:color w:val="000000"/>
                <w:sz w:val="22"/>
                <w:szCs w:val="22"/>
                <w:lang w:val="es-CO" w:eastAsia="es-CO"/>
              </w:rPr>
              <w:t xml:space="preserve">CANTIDADES MÁXIMAS PARA </w:t>
            </w:r>
            <w:r w:rsidR="004A3E04">
              <w:rPr>
                <w:rFonts w:ascii="Calibri" w:hAnsi="Calibri" w:cs="Calibri"/>
                <w:b/>
                <w:bCs/>
                <w:color w:val="000000"/>
                <w:sz w:val="22"/>
                <w:szCs w:val="22"/>
                <w:lang w:val="es-CO" w:eastAsia="es-CO"/>
              </w:rPr>
              <w:t xml:space="preserve">CONTRATAR DE SUMINISTRO PARA </w:t>
            </w:r>
            <w:r w:rsidRPr="00751D87">
              <w:rPr>
                <w:rFonts w:ascii="Calibri" w:hAnsi="Calibri" w:cs="Calibri"/>
                <w:b/>
                <w:bCs/>
                <w:color w:val="000000"/>
                <w:sz w:val="22"/>
                <w:szCs w:val="22"/>
                <w:lang w:val="es-CO" w:eastAsia="es-CO"/>
              </w:rPr>
              <w:t>UN TRIMESTRE (</w:t>
            </w:r>
            <w:r w:rsidR="007326B7">
              <w:rPr>
                <w:rFonts w:ascii="Calibri" w:hAnsi="Calibri" w:cs="Calibri"/>
                <w:b/>
                <w:bCs/>
                <w:color w:val="000000"/>
                <w:sz w:val="22"/>
                <w:szCs w:val="22"/>
                <w:lang w:val="es-CO" w:eastAsia="es-CO"/>
              </w:rPr>
              <w:t>M</w:t>
            </w:r>
            <w:r w:rsidRPr="00751D87">
              <w:rPr>
                <w:rFonts w:ascii="Calibri" w:hAnsi="Calibri" w:cs="Calibri"/>
                <w:b/>
                <w:bCs/>
                <w:color w:val="000000"/>
                <w:sz w:val="22"/>
                <w:szCs w:val="22"/>
                <w:lang w:val="es-CO" w:eastAsia="es-CO"/>
              </w:rPr>
              <w:t>BTUD)</w:t>
            </w:r>
          </w:p>
        </w:tc>
      </w:tr>
      <w:tr w:rsidR="00751D87" w:rsidRPr="00751D87" w14:paraId="67C80C36" w14:textId="77777777" w:rsidTr="00751D87">
        <w:trPr>
          <w:trHeight w:val="662"/>
        </w:trPr>
        <w:tc>
          <w:tcPr>
            <w:tcW w:w="0" w:type="auto"/>
            <w:tcBorders>
              <w:top w:val="nil"/>
              <w:left w:val="single" w:sz="8" w:space="0" w:color="auto"/>
              <w:bottom w:val="single" w:sz="4" w:space="0" w:color="auto"/>
              <w:right w:val="single" w:sz="4" w:space="0" w:color="auto"/>
            </w:tcBorders>
            <w:shd w:val="clear" w:color="000000" w:fill="D9D9D9"/>
            <w:vAlign w:val="center"/>
            <w:hideMark/>
          </w:tcPr>
          <w:p w14:paraId="72EF7E4A" w14:textId="77777777" w:rsidR="00751D87" w:rsidRPr="00751D87" w:rsidRDefault="00751D87" w:rsidP="00751D87">
            <w:pPr>
              <w:jc w:val="center"/>
              <w:rPr>
                <w:rFonts w:ascii="Calibri" w:hAnsi="Calibri" w:cs="Calibri"/>
                <w:b/>
                <w:bCs/>
                <w:color w:val="000000"/>
                <w:sz w:val="22"/>
                <w:szCs w:val="22"/>
                <w:lang w:val="es-CO" w:eastAsia="es-CO"/>
              </w:rPr>
            </w:pPr>
            <w:r w:rsidRPr="00751D87">
              <w:rPr>
                <w:rFonts w:ascii="Calibri" w:hAnsi="Calibri" w:cs="Calibri"/>
                <w:b/>
                <w:bCs/>
                <w:color w:val="000000"/>
                <w:sz w:val="22"/>
                <w:szCs w:val="22"/>
                <w:lang w:val="es-CO" w:eastAsia="es-CO"/>
              </w:rPr>
              <w:t> </w:t>
            </w:r>
          </w:p>
        </w:tc>
        <w:tc>
          <w:tcPr>
            <w:tcW w:w="0" w:type="auto"/>
            <w:tcBorders>
              <w:top w:val="single" w:sz="8" w:space="0" w:color="auto"/>
              <w:left w:val="nil"/>
              <w:bottom w:val="single" w:sz="4" w:space="0" w:color="auto"/>
              <w:right w:val="single" w:sz="4" w:space="0" w:color="000000"/>
            </w:tcBorders>
            <w:shd w:val="clear" w:color="000000" w:fill="D9D9D9"/>
            <w:vAlign w:val="center"/>
            <w:hideMark/>
          </w:tcPr>
          <w:p w14:paraId="68CCC16F" w14:textId="77777777" w:rsidR="00751D87" w:rsidRPr="00751D87" w:rsidRDefault="00751D87" w:rsidP="00751D87">
            <w:pPr>
              <w:jc w:val="center"/>
              <w:rPr>
                <w:rFonts w:ascii="Calibri" w:hAnsi="Calibri" w:cs="Calibri"/>
                <w:b/>
                <w:bCs/>
                <w:color w:val="000000"/>
                <w:sz w:val="14"/>
                <w:szCs w:val="14"/>
                <w:lang w:val="es-CO" w:eastAsia="es-CO"/>
              </w:rPr>
            </w:pPr>
            <w:r w:rsidRPr="00751D87">
              <w:rPr>
                <w:rFonts w:ascii="Calibri" w:hAnsi="Calibri" w:cs="Calibri"/>
                <w:b/>
                <w:bCs/>
                <w:color w:val="000000"/>
                <w:sz w:val="14"/>
                <w:szCs w:val="14"/>
                <w:lang w:val="es-CO" w:eastAsia="es-CO"/>
              </w:rPr>
              <w:t xml:space="preserve">TRIMESTRE ESTÁNDAR </w:t>
            </w:r>
            <w:r w:rsidRPr="00751D87">
              <w:rPr>
                <w:rFonts w:ascii="Calibri" w:hAnsi="Calibri" w:cs="Calibri"/>
                <w:b/>
                <w:bCs/>
                <w:color w:val="000000"/>
                <w:sz w:val="14"/>
                <w:szCs w:val="14"/>
                <w:lang w:val="es-CO" w:eastAsia="es-CO"/>
              </w:rPr>
              <w:br/>
              <w:t>DICIEMBRE A FEBRERO</w:t>
            </w:r>
          </w:p>
        </w:tc>
        <w:tc>
          <w:tcPr>
            <w:tcW w:w="0" w:type="auto"/>
            <w:tcBorders>
              <w:top w:val="single" w:sz="8" w:space="0" w:color="auto"/>
              <w:left w:val="nil"/>
              <w:bottom w:val="single" w:sz="4" w:space="0" w:color="auto"/>
              <w:right w:val="single" w:sz="4" w:space="0" w:color="000000"/>
            </w:tcBorders>
            <w:shd w:val="clear" w:color="000000" w:fill="D9D9D9"/>
            <w:vAlign w:val="center"/>
            <w:hideMark/>
          </w:tcPr>
          <w:p w14:paraId="1225B68A" w14:textId="77777777" w:rsidR="00751D87" w:rsidRPr="00751D87" w:rsidRDefault="00751D87" w:rsidP="00751D87">
            <w:pPr>
              <w:jc w:val="center"/>
              <w:rPr>
                <w:rFonts w:ascii="Calibri" w:hAnsi="Calibri" w:cs="Calibri"/>
                <w:b/>
                <w:bCs/>
                <w:color w:val="000000"/>
                <w:sz w:val="14"/>
                <w:szCs w:val="14"/>
                <w:lang w:val="es-CO" w:eastAsia="es-CO"/>
              </w:rPr>
            </w:pPr>
            <w:r w:rsidRPr="00751D87">
              <w:rPr>
                <w:rFonts w:ascii="Calibri" w:hAnsi="Calibri" w:cs="Calibri"/>
                <w:b/>
                <w:bCs/>
                <w:color w:val="000000"/>
                <w:sz w:val="14"/>
                <w:szCs w:val="14"/>
                <w:lang w:val="es-CO" w:eastAsia="es-CO"/>
              </w:rPr>
              <w:t xml:space="preserve">TRIMESTRE ESTÁNDAR </w:t>
            </w:r>
            <w:r w:rsidRPr="00751D87">
              <w:rPr>
                <w:rFonts w:ascii="Calibri" w:hAnsi="Calibri" w:cs="Calibri"/>
                <w:b/>
                <w:bCs/>
                <w:color w:val="000000"/>
                <w:sz w:val="14"/>
                <w:szCs w:val="14"/>
                <w:lang w:val="es-CO" w:eastAsia="es-CO"/>
              </w:rPr>
              <w:br/>
              <w:t>MARZO A MAYO</w:t>
            </w:r>
          </w:p>
        </w:tc>
        <w:tc>
          <w:tcPr>
            <w:tcW w:w="0" w:type="auto"/>
            <w:tcBorders>
              <w:top w:val="single" w:sz="8" w:space="0" w:color="auto"/>
              <w:left w:val="nil"/>
              <w:bottom w:val="single" w:sz="4" w:space="0" w:color="auto"/>
              <w:right w:val="single" w:sz="4" w:space="0" w:color="000000"/>
            </w:tcBorders>
            <w:shd w:val="clear" w:color="000000" w:fill="D9D9D9"/>
            <w:vAlign w:val="center"/>
            <w:hideMark/>
          </w:tcPr>
          <w:p w14:paraId="4BD87F3C" w14:textId="77777777" w:rsidR="00751D87" w:rsidRPr="00751D87" w:rsidRDefault="00751D87" w:rsidP="00751D87">
            <w:pPr>
              <w:jc w:val="center"/>
              <w:rPr>
                <w:rFonts w:ascii="Calibri" w:hAnsi="Calibri" w:cs="Calibri"/>
                <w:b/>
                <w:bCs/>
                <w:color w:val="000000"/>
                <w:sz w:val="14"/>
                <w:szCs w:val="14"/>
                <w:lang w:val="es-CO" w:eastAsia="es-CO"/>
              </w:rPr>
            </w:pPr>
            <w:r w:rsidRPr="00751D87">
              <w:rPr>
                <w:rFonts w:ascii="Calibri" w:hAnsi="Calibri" w:cs="Calibri"/>
                <w:b/>
                <w:bCs/>
                <w:color w:val="000000"/>
                <w:sz w:val="14"/>
                <w:szCs w:val="14"/>
                <w:lang w:val="es-CO" w:eastAsia="es-CO"/>
              </w:rPr>
              <w:t xml:space="preserve">TRIMESTRE ESTÁNDAR </w:t>
            </w:r>
            <w:r w:rsidRPr="00751D87">
              <w:rPr>
                <w:rFonts w:ascii="Calibri" w:hAnsi="Calibri" w:cs="Calibri"/>
                <w:b/>
                <w:bCs/>
                <w:color w:val="000000"/>
                <w:sz w:val="14"/>
                <w:szCs w:val="14"/>
                <w:lang w:val="es-CO" w:eastAsia="es-CO"/>
              </w:rPr>
              <w:br/>
              <w:t>JUNIO A AGOSTO</w:t>
            </w:r>
          </w:p>
        </w:tc>
        <w:tc>
          <w:tcPr>
            <w:tcW w:w="0" w:type="auto"/>
            <w:tcBorders>
              <w:top w:val="single" w:sz="8" w:space="0" w:color="auto"/>
              <w:left w:val="nil"/>
              <w:bottom w:val="single" w:sz="4" w:space="0" w:color="auto"/>
              <w:right w:val="single" w:sz="4" w:space="0" w:color="000000"/>
            </w:tcBorders>
            <w:shd w:val="clear" w:color="000000" w:fill="D9D9D9"/>
            <w:vAlign w:val="center"/>
            <w:hideMark/>
          </w:tcPr>
          <w:p w14:paraId="4B95F5FD" w14:textId="77777777" w:rsidR="00751D87" w:rsidRPr="00751D87" w:rsidRDefault="00751D87" w:rsidP="00751D87">
            <w:pPr>
              <w:jc w:val="center"/>
              <w:rPr>
                <w:rFonts w:ascii="Calibri" w:hAnsi="Calibri" w:cs="Calibri"/>
                <w:b/>
                <w:bCs/>
                <w:color w:val="000000"/>
                <w:sz w:val="14"/>
                <w:szCs w:val="14"/>
                <w:lang w:val="es-CO" w:eastAsia="es-CO"/>
              </w:rPr>
            </w:pPr>
            <w:r w:rsidRPr="00751D87">
              <w:rPr>
                <w:rFonts w:ascii="Calibri" w:hAnsi="Calibri" w:cs="Calibri"/>
                <w:b/>
                <w:bCs/>
                <w:color w:val="000000"/>
                <w:sz w:val="14"/>
                <w:szCs w:val="14"/>
                <w:lang w:val="es-CO" w:eastAsia="es-CO"/>
              </w:rPr>
              <w:t xml:space="preserve">TRIMESTRE ESTÁNDAR </w:t>
            </w:r>
            <w:r w:rsidRPr="00751D87">
              <w:rPr>
                <w:rFonts w:ascii="Calibri" w:hAnsi="Calibri" w:cs="Calibri"/>
                <w:b/>
                <w:bCs/>
                <w:color w:val="000000"/>
                <w:sz w:val="14"/>
                <w:szCs w:val="14"/>
                <w:lang w:val="es-CO" w:eastAsia="es-CO"/>
              </w:rPr>
              <w:br/>
              <w:t>SEPTIEMBRE A NOVIEMBRE</w:t>
            </w:r>
          </w:p>
        </w:tc>
        <w:tc>
          <w:tcPr>
            <w:tcW w:w="0" w:type="auto"/>
            <w:tcBorders>
              <w:top w:val="single" w:sz="8" w:space="0" w:color="auto"/>
              <w:left w:val="nil"/>
              <w:bottom w:val="single" w:sz="4" w:space="0" w:color="auto"/>
              <w:right w:val="single" w:sz="4" w:space="0" w:color="000000"/>
            </w:tcBorders>
            <w:shd w:val="clear" w:color="000000" w:fill="D9D9D9"/>
            <w:vAlign w:val="center"/>
            <w:hideMark/>
          </w:tcPr>
          <w:p w14:paraId="530AD8E7" w14:textId="77777777" w:rsidR="00751D87" w:rsidRPr="00751D87" w:rsidRDefault="00751D87" w:rsidP="00751D87">
            <w:pPr>
              <w:jc w:val="center"/>
              <w:rPr>
                <w:rFonts w:ascii="Calibri" w:hAnsi="Calibri" w:cs="Calibri"/>
                <w:b/>
                <w:bCs/>
                <w:color w:val="000000"/>
                <w:sz w:val="14"/>
                <w:szCs w:val="14"/>
                <w:lang w:val="es-CO" w:eastAsia="es-CO"/>
              </w:rPr>
            </w:pPr>
            <w:r w:rsidRPr="00751D87">
              <w:rPr>
                <w:rFonts w:ascii="Calibri" w:hAnsi="Calibri" w:cs="Calibri"/>
                <w:b/>
                <w:bCs/>
                <w:color w:val="000000"/>
                <w:sz w:val="14"/>
                <w:szCs w:val="14"/>
                <w:lang w:val="es-CO" w:eastAsia="es-CO"/>
              </w:rPr>
              <w:t xml:space="preserve">TRIMESTRE ESTÁNDAR </w:t>
            </w:r>
            <w:r w:rsidRPr="00751D87">
              <w:rPr>
                <w:rFonts w:ascii="Calibri" w:hAnsi="Calibri" w:cs="Calibri"/>
                <w:b/>
                <w:bCs/>
                <w:color w:val="000000"/>
                <w:sz w:val="14"/>
                <w:szCs w:val="14"/>
                <w:lang w:val="es-CO" w:eastAsia="es-CO"/>
              </w:rPr>
              <w:br/>
              <w:t>DICIEMBRE A FEBRERO</w:t>
            </w:r>
          </w:p>
        </w:tc>
        <w:tc>
          <w:tcPr>
            <w:tcW w:w="0" w:type="auto"/>
            <w:tcBorders>
              <w:top w:val="single" w:sz="8" w:space="0" w:color="auto"/>
              <w:left w:val="nil"/>
              <w:bottom w:val="single" w:sz="4" w:space="0" w:color="auto"/>
              <w:right w:val="single" w:sz="8" w:space="0" w:color="000000"/>
            </w:tcBorders>
            <w:shd w:val="clear" w:color="000000" w:fill="D9D9D9"/>
            <w:vAlign w:val="center"/>
            <w:hideMark/>
          </w:tcPr>
          <w:p w14:paraId="623008A2" w14:textId="77777777" w:rsidR="00751D87" w:rsidRPr="00751D87" w:rsidRDefault="00751D87" w:rsidP="00751D87">
            <w:pPr>
              <w:jc w:val="center"/>
              <w:rPr>
                <w:rFonts w:ascii="Calibri" w:hAnsi="Calibri" w:cs="Calibri"/>
                <w:b/>
                <w:bCs/>
                <w:color w:val="000000"/>
                <w:sz w:val="14"/>
                <w:szCs w:val="14"/>
                <w:lang w:val="es-CO" w:eastAsia="es-CO"/>
              </w:rPr>
            </w:pPr>
            <w:r w:rsidRPr="00751D87">
              <w:rPr>
                <w:rFonts w:ascii="Calibri" w:hAnsi="Calibri" w:cs="Calibri"/>
                <w:b/>
                <w:bCs/>
                <w:color w:val="000000"/>
                <w:sz w:val="14"/>
                <w:szCs w:val="14"/>
                <w:lang w:val="es-CO" w:eastAsia="es-CO"/>
              </w:rPr>
              <w:t xml:space="preserve">TRIMESTRE ESTÁNDAR </w:t>
            </w:r>
            <w:r w:rsidRPr="00751D87">
              <w:rPr>
                <w:rFonts w:ascii="Calibri" w:hAnsi="Calibri" w:cs="Calibri"/>
                <w:b/>
                <w:bCs/>
                <w:color w:val="000000"/>
                <w:sz w:val="14"/>
                <w:szCs w:val="14"/>
                <w:lang w:val="es-CO" w:eastAsia="es-CO"/>
              </w:rPr>
              <w:br/>
              <w:t>MARZO A MAYO</w:t>
            </w:r>
          </w:p>
        </w:tc>
      </w:tr>
      <w:tr w:rsidR="00751D87" w:rsidRPr="00751D87" w14:paraId="61375750" w14:textId="77777777" w:rsidTr="00751D87">
        <w:trPr>
          <w:trHeight w:val="653"/>
        </w:trPr>
        <w:tc>
          <w:tcPr>
            <w:tcW w:w="0" w:type="auto"/>
            <w:tcBorders>
              <w:top w:val="nil"/>
              <w:left w:val="single" w:sz="8" w:space="0" w:color="auto"/>
              <w:bottom w:val="single" w:sz="8" w:space="0" w:color="auto"/>
              <w:right w:val="single" w:sz="4" w:space="0" w:color="auto"/>
            </w:tcBorders>
            <w:shd w:val="clear" w:color="000000" w:fill="D9D9D9"/>
            <w:noWrap/>
            <w:vAlign w:val="center"/>
            <w:hideMark/>
          </w:tcPr>
          <w:p w14:paraId="008959E6" w14:textId="77777777" w:rsidR="00751D87" w:rsidRPr="00751D87" w:rsidRDefault="00751D87" w:rsidP="00751D87">
            <w:pPr>
              <w:jc w:val="center"/>
              <w:rPr>
                <w:rFonts w:ascii="Calibri" w:hAnsi="Calibri" w:cs="Calibri"/>
                <w:b/>
                <w:bCs/>
                <w:color w:val="000000"/>
                <w:sz w:val="22"/>
                <w:szCs w:val="22"/>
                <w:lang w:val="es-CO" w:eastAsia="es-CO"/>
              </w:rPr>
            </w:pPr>
            <w:r w:rsidRPr="00751D87">
              <w:rPr>
                <w:rFonts w:ascii="Calibri" w:hAnsi="Calibri" w:cs="Calibri"/>
                <w:b/>
                <w:bCs/>
                <w:color w:val="000000"/>
                <w:sz w:val="22"/>
                <w:szCs w:val="22"/>
                <w:lang w:val="es-CO" w:eastAsia="es-CO"/>
              </w:rPr>
              <w:t>CIDVF</w:t>
            </w:r>
          </w:p>
        </w:tc>
        <w:tc>
          <w:tcPr>
            <w:tcW w:w="0" w:type="auto"/>
            <w:tcBorders>
              <w:top w:val="single" w:sz="4" w:space="0" w:color="auto"/>
              <w:left w:val="nil"/>
              <w:bottom w:val="single" w:sz="8" w:space="0" w:color="auto"/>
              <w:right w:val="single" w:sz="4" w:space="0" w:color="000000"/>
            </w:tcBorders>
            <w:shd w:val="clear" w:color="auto" w:fill="auto"/>
            <w:noWrap/>
            <w:vAlign w:val="center"/>
            <w:hideMark/>
          </w:tcPr>
          <w:p w14:paraId="304A7DB5" w14:textId="3A1D15E4" w:rsidR="00751D87" w:rsidRPr="00751D87" w:rsidRDefault="00751D87" w:rsidP="00751D87">
            <w:pPr>
              <w:jc w:val="center"/>
              <w:rPr>
                <w:rFonts w:ascii="Calibri" w:hAnsi="Calibri" w:cs="Calibri"/>
                <w:color w:val="000000"/>
                <w:sz w:val="22"/>
                <w:szCs w:val="22"/>
                <w:lang w:val="es-CO" w:eastAsia="es-CO"/>
              </w:rPr>
            </w:pPr>
            <w:r w:rsidRPr="00751D87">
              <w:rPr>
                <w:rFonts w:ascii="Calibri" w:hAnsi="Calibri" w:cs="Calibri"/>
                <w:color w:val="000000"/>
                <w:sz w:val="22"/>
                <w:szCs w:val="22"/>
                <w:lang w:val="es-CO" w:eastAsia="es-CO"/>
              </w:rPr>
              <w:t>65</w:t>
            </w:r>
            <w:r w:rsidR="007326B7">
              <w:rPr>
                <w:rFonts w:ascii="Calibri" w:hAnsi="Calibri" w:cs="Calibri"/>
                <w:color w:val="000000"/>
                <w:sz w:val="22"/>
                <w:szCs w:val="22"/>
                <w:lang w:val="es-CO" w:eastAsia="es-CO"/>
              </w:rPr>
              <w:t>.000</w:t>
            </w:r>
          </w:p>
        </w:tc>
        <w:tc>
          <w:tcPr>
            <w:tcW w:w="0" w:type="auto"/>
            <w:tcBorders>
              <w:top w:val="single" w:sz="4" w:space="0" w:color="auto"/>
              <w:left w:val="nil"/>
              <w:bottom w:val="single" w:sz="8" w:space="0" w:color="auto"/>
              <w:right w:val="single" w:sz="4" w:space="0" w:color="000000"/>
            </w:tcBorders>
            <w:shd w:val="clear" w:color="auto" w:fill="auto"/>
            <w:noWrap/>
            <w:vAlign w:val="center"/>
            <w:hideMark/>
          </w:tcPr>
          <w:p w14:paraId="34C56897" w14:textId="5C8C67C2" w:rsidR="00751D87" w:rsidRPr="00751D87" w:rsidRDefault="007326B7" w:rsidP="00751D8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1</w:t>
            </w:r>
            <w:r w:rsidR="00751D87" w:rsidRPr="00751D87">
              <w:rPr>
                <w:rFonts w:ascii="Calibri" w:hAnsi="Calibri" w:cs="Calibri"/>
                <w:color w:val="000000"/>
                <w:sz w:val="22"/>
                <w:szCs w:val="22"/>
                <w:lang w:val="es-CO" w:eastAsia="es-CO"/>
              </w:rPr>
              <w:t>5</w:t>
            </w:r>
            <w:r>
              <w:rPr>
                <w:rFonts w:ascii="Calibri" w:hAnsi="Calibri" w:cs="Calibri"/>
                <w:color w:val="000000"/>
                <w:sz w:val="22"/>
                <w:szCs w:val="22"/>
                <w:lang w:val="es-CO" w:eastAsia="es-CO"/>
              </w:rPr>
              <w:t>.000</w:t>
            </w:r>
          </w:p>
        </w:tc>
        <w:tc>
          <w:tcPr>
            <w:tcW w:w="0" w:type="auto"/>
            <w:tcBorders>
              <w:top w:val="single" w:sz="4" w:space="0" w:color="auto"/>
              <w:left w:val="nil"/>
              <w:bottom w:val="single" w:sz="8" w:space="0" w:color="auto"/>
              <w:right w:val="single" w:sz="4" w:space="0" w:color="000000"/>
            </w:tcBorders>
            <w:shd w:val="clear" w:color="auto" w:fill="auto"/>
            <w:noWrap/>
            <w:vAlign w:val="center"/>
            <w:hideMark/>
          </w:tcPr>
          <w:p w14:paraId="144A340D" w14:textId="5D36DE45" w:rsidR="00751D87" w:rsidRPr="00751D87" w:rsidRDefault="00751D87" w:rsidP="00751D87">
            <w:pPr>
              <w:jc w:val="center"/>
              <w:rPr>
                <w:rFonts w:ascii="Calibri" w:hAnsi="Calibri" w:cs="Calibri"/>
                <w:color w:val="000000"/>
                <w:sz w:val="22"/>
                <w:szCs w:val="22"/>
                <w:lang w:val="es-CO" w:eastAsia="es-CO"/>
              </w:rPr>
            </w:pPr>
            <w:r w:rsidRPr="00751D87">
              <w:rPr>
                <w:rFonts w:ascii="Calibri" w:hAnsi="Calibri" w:cs="Calibri"/>
                <w:color w:val="000000"/>
                <w:sz w:val="22"/>
                <w:szCs w:val="22"/>
                <w:lang w:val="es-CO" w:eastAsia="es-CO"/>
              </w:rPr>
              <w:t>0</w:t>
            </w:r>
          </w:p>
        </w:tc>
        <w:tc>
          <w:tcPr>
            <w:tcW w:w="0" w:type="auto"/>
            <w:tcBorders>
              <w:top w:val="single" w:sz="4" w:space="0" w:color="auto"/>
              <w:left w:val="nil"/>
              <w:bottom w:val="single" w:sz="8" w:space="0" w:color="auto"/>
              <w:right w:val="single" w:sz="4" w:space="0" w:color="000000"/>
            </w:tcBorders>
            <w:shd w:val="clear" w:color="auto" w:fill="auto"/>
            <w:noWrap/>
            <w:vAlign w:val="center"/>
            <w:hideMark/>
          </w:tcPr>
          <w:p w14:paraId="7DBB819E" w14:textId="77777777" w:rsidR="00751D87" w:rsidRPr="00751D87" w:rsidRDefault="00751D87" w:rsidP="00751D87">
            <w:pPr>
              <w:jc w:val="center"/>
              <w:rPr>
                <w:rFonts w:ascii="Calibri" w:hAnsi="Calibri" w:cs="Calibri"/>
                <w:color w:val="000000"/>
                <w:sz w:val="22"/>
                <w:szCs w:val="22"/>
                <w:lang w:val="es-CO" w:eastAsia="es-CO"/>
              </w:rPr>
            </w:pPr>
            <w:r w:rsidRPr="00751D87">
              <w:rPr>
                <w:rFonts w:ascii="Calibri" w:hAnsi="Calibri" w:cs="Calibri"/>
                <w:color w:val="000000"/>
                <w:sz w:val="22"/>
                <w:szCs w:val="22"/>
                <w:lang w:val="es-CO" w:eastAsia="es-CO"/>
              </w:rPr>
              <w:t>0</w:t>
            </w:r>
          </w:p>
        </w:tc>
        <w:tc>
          <w:tcPr>
            <w:tcW w:w="0" w:type="auto"/>
            <w:tcBorders>
              <w:top w:val="single" w:sz="4" w:space="0" w:color="auto"/>
              <w:left w:val="nil"/>
              <w:bottom w:val="single" w:sz="8" w:space="0" w:color="auto"/>
              <w:right w:val="single" w:sz="4" w:space="0" w:color="000000"/>
            </w:tcBorders>
            <w:shd w:val="clear" w:color="auto" w:fill="auto"/>
            <w:noWrap/>
            <w:vAlign w:val="center"/>
            <w:hideMark/>
          </w:tcPr>
          <w:p w14:paraId="1D687702" w14:textId="6158256B" w:rsidR="00751D87" w:rsidRPr="00751D87" w:rsidRDefault="007326B7" w:rsidP="00751D8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4</w:t>
            </w:r>
            <w:r w:rsidR="00751D87" w:rsidRPr="00751D87">
              <w:rPr>
                <w:rFonts w:ascii="Calibri" w:hAnsi="Calibri" w:cs="Calibri"/>
                <w:color w:val="000000"/>
                <w:sz w:val="22"/>
                <w:szCs w:val="22"/>
                <w:lang w:val="es-CO" w:eastAsia="es-CO"/>
              </w:rPr>
              <w:t>0</w:t>
            </w:r>
            <w:r>
              <w:rPr>
                <w:rFonts w:ascii="Calibri" w:hAnsi="Calibri" w:cs="Calibri"/>
                <w:color w:val="000000"/>
                <w:sz w:val="22"/>
                <w:szCs w:val="22"/>
                <w:lang w:val="es-CO" w:eastAsia="es-CO"/>
              </w:rPr>
              <w:t>.000</w:t>
            </w:r>
          </w:p>
        </w:tc>
        <w:tc>
          <w:tcPr>
            <w:tcW w:w="0" w:type="auto"/>
            <w:tcBorders>
              <w:top w:val="single" w:sz="4" w:space="0" w:color="auto"/>
              <w:left w:val="nil"/>
              <w:bottom w:val="single" w:sz="8" w:space="0" w:color="auto"/>
              <w:right w:val="single" w:sz="4" w:space="0" w:color="000000"/>
            </w:tcBorders>
            <w:shd w:val="clear" w:color="auto" w:fill="auto"/>
            <w:noWrap/>
            <w:vAlign w:val="center"/>
            <w:hideMark/>
          </w:tcPr>
          <w:p w14:paraId="4BAA5979" w14:textId="5DD19B18" w:rsidR="00751D87" w:rsidRPr="00751D87" w:rsidRDefault="007326B7" w:rsidP="00751D87">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4</w:t>
            </w:r>
            <w:r w:rsidR="00751D87" w:rsidRPr="00751D87">
              <w:rPr>
                <w:rFonts w:ascii="Calibri" w:hAnsi="Calibri" w:cs="Calibri"/>
                <w:color w:val="000000"/>
                <w:sz w:val="22"/>
                <w:szCs w:val="22"/>
                <w:lang w:val="es-CO" w:eastAsia="es-CO"/>
              </w:rPr>
              <w:t>0</w:t>
            </w:r>
            <w:r>
              <w:rPr>
                <w:rFonts w:ascii="Calibri" w:hAnsi="Calibri" w:cs="Calibri"/>
                <w:color w:val="000000"/>
                <w:sz w:val="22"/>
                <w:szCs w:val="22"/>
                <w:lang w:val="es-CO" w:eastAsia="es-CO"/>
              </w:rPr>
              <w:t>.000</w:t>
            </w:r>
          </w:p>
        </w:tc>
      </w:tr>
    </w:tbl>
    <w:p w14:paraId="29C2CD15" w14:textId="3BCEAA33" w:rsidR="00751D87" w:rsidRDefault="00751D87" w:rsidP="00464A59">
      <w:pPr>
        <w:ind w:left="1080"/>
        <w:rPr>
          <w:sz w:val="22"/>
          <w:szCs w:val="22"/>
        </w:rPr>
      </w:pPr>
    </w:p>
    <w:p w14:paraId="034CCBC4" w14:textId="15EF96CB" w:rsidR="000E0F38" w:rsidRDefault="00F707C0" w:rsidP="000E0F38">
      <w:pPr>
        <w:ind w:left="708" w:firstLine="12"/>
        <w:rPr>
          <w:sz w:val="22"/>
          <w:szCs w:val="22"/>
        </w:rPr>
      </w:pPr>
      <w:r>
        <w:rPr>
          <w:sz w:val="22"/>
          <w:szCs w:val="22"/>
        </w:rPr>
        <w:t xml:space="preserve">En el ejemplo, las cantidades no contratadas para </w:t>
      </w:r>
      <w:r w:rsidR="007326B7">
        <w:rPr>
          <w:sz w:val="22"/>
          <w:szCs w:val="22"/>
        </w:rPr>
        <w:t xml:space="preserve">el suministro en </w:t>
      </w:r>
      <w:r>
        <w:rPr>
          <w:sz w:val="22"/>
          <w:szCs w:val="22"/>
        </w:rPr>
        <w:t xml:space="preserve">un trimestre </w:t>
      </w:r>
      <w:proofErr w:type="gramStart"/>
      <w:r>
        <w:rPr>
          <w:sz w:val="22"/>
          <w:szCs w:val="22"/>
        </w:rPr>
        <w:t>estándar,</w:t>
      </w:r>
      <w:proofErr w:type="gramEnd"/>
      <w:r>
        <w:rPr>
          <w:sz w:val="22"/>
          <w:szCs w:val="22"/>
        </w:rPr>
        <w:t xml:space="preserve"> podrán ser contratadas para cualquier mes </w:t>
      </w:r>
      <w:r w:rsidR="00D41338">
        <w:rPr>
          <w:sz w:val="22"/>
          <w:szCs w:val="22"/>
        </w:rPr>
        <w:t>de ese mismo</w:t>
      </w:r>
      <w:r>
        <w:rPr>
          <w:sz w:val="22"/>
          <w:szCs w:val="22"/>
        </w:rPr>
        <w:t xml:space="preserve"> trimestre estándar</w:t>
      </w:r>
      <w:r w:rsidR="00825BB1">
        <w:rPr>
          <w:sz w:val="22"/>
          <w:szCs w:val="22"/>
        </w:rPr>
        <w:t xml:space="preserve"> </w:t>
      </w:r>
      <w:r w:rsidR="004E1F8B">
        <w:rPr>
          <w:sz w:val="22"/>
          <w:szCs w:val="22"/>
        </w:rPr>
        <w:t xml:space="preserve">pero solamente </w:t>
      </w:r>
      <w:r w:rsidR="00D41338">
        <w:rPr>
          <w:sz w:val="22"/>
          <w:szCs w:val="22"/>
        </w:rPr>
        <w:t xml:space="preserve">en el trimestre estándar de negociación inmediatamente anterior, </w:t>
      </w:r>
      <w:r w:rsidR="00825BB1">
        <w:rPr>
          <w:sz w:val="22"/>
          <w:szCs w:val="22"/>
        </w:rPr>
        <w:t xml:space="preserve">o </w:t>
      </w:r>
      <w:r w:rsidR="009B1DA5">
        <w:rPr>
          <w:sz w:val="22"/>
          <w:szCs w:val="22"/>
        </w:rPr>
        <w:t xml:space="preserve">para ser ejecutadas </w:t>
      </w:r>
      <w:r w:rsidR="00D41338">
        <w:rPr>
          <w:sz w:val="22"/>
          <w:szCs w:val="22"/>
        </w:rPr>
        <w:t>durante</w:t>
      </w:r>
      <w:r w:rsidR="004E1F8B">
        <w:rPr>
          <w:sz w:val="22"/>
          <w:szCs w:val="22"/>
        </w:rPr>
        <w:t xml:space="preserve"> cualquier </w:t>
      </w:r>
      <w:r w:rsidR="00825BB1">
        <w:rPr>
          <w:sz w:val="22"/>
          <w:szCs w:val="22"/>
        </w:rPr>
        <w:t>mes de</w:t>
      </w:r>
      <w:r w:rsidR="004E1F8B">
        <w:rPr>
          <w:sz w:val="22"/>
          <w:szCs w:val="22"/>
        </w:rPr>
        <w:t xml:space="preserve">l </w:t>
      </w:r>
      <w:r w:rsidR="009B1DA5">
        <w:rPr>
          <w:sz w:val="22"/>
          <w:szCs w:val="22"/>
        </w:rPr>
        <w:t>trimestre estándar</w:t>
      </w:r>
      <w:r w:rsidR="004E1F8B">
        <w:rPr>
          <w:sz w:val="22"/>
          <w:szCs w:val="22"/>
        </w:rPr>
        <w:t xml:space="preserve"> de negociación.</w:t>
      </w:r>
      <w:r w:rsidR="000E0F38">
        <w:rPr>
          <w:sz w:val="22"/>
          <w:szCs w:val="22"/>
        </w:rPr>
        <w:t xml:space="preserve"> Lo anterior de acuerdo con la propuesta de contratos de duración de un mes que aplican a cualquier fuente de suministro.</w:t>
      </w:r>
    </w:p>
    <w:p w14:paraId="2378A59E" w14:textId="77777777" w:rsidR="009656B1" w:rsidRDefault="009656B1" w:rsidP="000E0F38">
      <w:pPr>
        <w:ind w:left="708" w:firstLine="12"/>
        <w:rPr>
          <w:sz w:val="22"/>
          <w:szCs w:val="22"/>
        </w:rPr>
      </w:pPr>
    </w:p>
    <w:p w14:paraId="787C41FB" w14:textId="36C38EFE" w:rsidR="00E4031D" w:rsidRDefault="000B7870" w:rsidP="003463EE">
      <w:pPr>
        <w:pStyle w:val="Prrafodelista"/>
        <w:numPr>
          <w:ilvl w:val="0"/>
          <w:numId w:val="34"/>
        </w:numPr>
        <w:rPr>
          <w:sz w:val="22"/>
          <w:szCs w:val="22"/>
        </w:rPr>
      </w:pPr>
      <w:r w:rsidRPr="00AD72DC">
        <w:rPr>
          <w:sz w:val="22"/>
          <w:szCs w:val="22"/>
        </w:rPr>
        <w:t>Haber suscrito contrato(s) con garantía de firmeza de gas natural</w:t>
      </w:r>
      <w:r w:rsidR="00840D6C" w:rsidRPr="00AD72DC">
        <w:rPr>
          <w:sz w:val="22"/>
          <w:szCs w:val="22"/>
        </w:rPr>
        <w:t xml:space="preserve"> licuado</w:t>
      </w:r>
      <w:r w:rsidRPr="00AD72DC">
        <w:rPr>
          <w:sz w:val="22"/>
          <w:szCs w:val="22"/>
        </w:rPr>
        <w:t xml:space="preserve"> obtenido en el</w:t>
      </w:r>
      <w:r w:rsidRPr="00F6160C">
        <w:rPr>
          <w:sz w:val="22"/>
          <w:szCs w:val="22"/>
        </w:rPr>
        <w:t xml:space="preserve"> exterior</w:t>
      </w:r>
      <w:r w:rsidR="00C64321">
        <w:rPr>
          <w:sz w:val="22"/>
          <w:szCs w:val="22"/>
        </w:rPr>
        <w:t>,</w:t>
      </w:r>
      <w:r w:rsidRPr="00F6160C">
        <w:rPr>
          <w:sz w:val="22"/>
          <w:szCs w:val="22"/>
        </w:rPr>
        <w:t xml:space="preserve"> cuyas </w:t>
      </w:r>
      <w:r w:rsidR="00E4031D" w:rsidRPr="00F6160C">
        <w:rPr>
          <w:sz w:val="22"/>
          <w:szCs w:val="22"/>
        </w:rPr>
        <w:t xml:space="preserve">cantidades de </w:t>
      </w:r>
      <w:r w:rsidRPr="00F6160C">
        <w:rPr>
          <w:sz w:val="22"/>
          <w:szCs w:val="22"/>
        </w:rPr>
        <w:t>energía</w:t>
      </w:r>
      <w:r w:rsidR="00E4031D" w:rsidRPr="00F6160C">
        <w:rPr>
          <w:sz w:val="22"/>
          <w:szCs w:val="22"/>
        </w:rPr>
        <w:t xml:space="preserve"> </w:t>
      </w:r>
      <w:r w:rsidR="00113A9D" w:rsidRPr="00F6160C">
        <w:rPr>
          <w:sz w:val="22"/>
          <w:szCs w:val="22"/>
        </w:rPr>
        <w:t>agregadas</w:t>
      </w:r>
      <w:r w:rsidR="00E4031D" w:rsidRPr="00F6160C">
        <w:rPr>
          <w:sz w:val="22"/>
          <w:szCs w:val="22"/>
        </w:rPr>
        <w:t xml:space="preserve">, </w:t>
      </w:r>
      <w:r w:rsidRPr="00F6160C">
        <w:rPr>
          <w:sz w:val="22"/>
          <w:szCs w:val="22"/>
        </w:rPr>
        <w:t xml:space="preserve">medidas en MBTU, sean iguales o superiores a las cantidades de gas natural, medidas en las mismas unidades de energía, que se declaran como CIDVF al </w:t>
      </w:r>
      <w:r w:rsidR="005114C6">
        <w:rPr>
          <w:sz w:val="22"/>
          <w:szCs w:val="22"/>
        </w:rPr>
        <w:t>Gestor del Mercado</w:t>
      </w:r>
      <w:r w:rsidRPr="00F6160C">
        <w:rPr>
          <w:sz w:val="22"/>
          <w:szCs w:val="22"/>
        </w:rPr>
        <w:t xml:space="preserve"> para el período declarado.</w:t>
      </w:r>
    </w:p>
    <w:p w14:paraId="5A955BC8" w14:textId="77777777" w:rsidR="00C64321" w:rsidRDefault="00C64321" w:rsidP="00C64321">
      <w:pPr>
        <w:ind w:firstLine="708"/>
        <w:rPr>
          <w:sz w:val="22"/>
          <w:szCs w:val="22"/>
        </w:rPr>
      </w:pPr>
    </w:p>
    <w:p w14:paraId="1E01D598" w14:textId="12899FE4" w:rsidR="00BF17C0" w:rsidRDefault="00C64321" w:rsidP="00F21294">
      <w:pPr>
        <w:ind w:left="708"/>
        <w:rPr>
          <w:sz w:val="22"/>
          <w:szCs w:val="22"/>
        </w:rPr>
      </w:pPr>
      <w:r>
        <w:rPr>
          <w:sz w:val="22"/>
          <w:szCs w:val="22"/>
        </w:rPr>
        <w:t>Siguiendo el mismo ejemplo anterior para este caso</w:t>
      </w:r>
      <w:r w:rsidR="00BF17C0">
        <w:rPr>
          <w:sz w:val="22"/>
          <w:szCs w:val="22"/>
        </w:rPr>
        <w:t xml:space="preserve"> (ver </w:t>
      </w:r>
      <w:r w:rsidR="00BF17C0">
        <w:rPr>
          <w:sz w:val="22"/>
          <w:szCs w:val="22"/>
        </w:rPr>
        <w:fldChar w:fldCharType="begin"/>
      </w:r>
      <w:r w:rsidR="00BF17C0">
        <w:rPr>
          <w:sz w:val="22"/>
          <w:szCs w:val="22"/>
        </w:rPr>
        <w:instrText xml:space="preserve"> REF _Ref129952189 \h </w:instrText>
      </w:r>
      <w:r w:rsidR="00BF17C0">
        <w:rPr>
          <w:sz w:val="22"/>
          <w:szCs w:val="22"/>
        </w:rPr>
      </w:r>
      <w:r w:rsidR="00BF17C0">
        <w:rPr>
          <w:sz w:val="22"/>
          <w:szCs w:val="22"/>
        </w:rPr>
        <w:fldChar w:fldCharType="separate"/>
      </w:r>
      <w:r w:rsidR="006B7344" w:rsidRPr="00BF17C0">
        <w:rPr>
          <w:sz w:val="22"/>
          <w:szCs w:val="22"/>
        </w:rPr>
        <w:t xml:space="preserve">Figura </w:t>
      </w:r>
      <w:r w:rsidR="006B7344">
        <w:rPr>
          <w:i/>
          <w:iCs/>
          <w:noProof/>
          <w:sz w:val="22"/>
          <w:szCs w:val="22"/>
        </w:rPr>
        <w:t>19</w:t>
      </w:r>
      <w:r w:rsidR="00BF17C0">
        <w:rPr>
          <w:sz w:val="22"/>
          <w:szCs w:val="22"/>
        </w:rPr>
        <w:fldChar w:fldCharType="end"/>
      </w:r>
      <w:r w:rsidR="0071219D">
        <w:rPr>
          <w:sz w:val="22"/>
          <w:szCs w:val="22"/>
        </w:rPr>
        <w:t>) pero esta vez en cantidades de energía</w:t>
      </w:r>
      <w:r w:rsidR="00F21294">
        <w:rPr>
          <w:sz w:val="22"/>
          <w:szCs w:val="22"/>
        </w:rPr>
        <w:t>, la cantidad de gas de gas natural obtenido en el exterior para el período correspondiente para el ejemplo asumido</w:t>
      </w:r>
      <w:r w:rsidR="0071219D">
        <w:rPr>
          <w:sz w:val="22"/>
          <w:szCs w:val="22"/>
        </w:rPr>
        <w:t>,</w:t>
      </w:r>
      <w:r w:rsidR="00F21294">
        <w:rPr>
          <w:sz w:val="22"/>
          <w:szCs w:val="22"/>
        </w:rPr>
        <w:t xml:space="preserve"> sería de un contrato por 8.780.000 MBTU para el año entre diciembre y noviembre, que corresponderían a 408.246 m</w:t>
      </w:r>
      <w:r w:rsidR="00F21294" w:rsidRPr="0071219D">
        <w:rPr>
          <w:sz w:val="22"/>
          <w:szCs w:val="22"/>
          <w:vertAlign w:val="superscript"/>
        </w:rPr>
        <w:t>3</w:t>
      </w:r>
      <w:r w:rsidR="00F21294">
        <w:rPr>
          <w:sz w:val="22"/>
          <w:szCs w:val="22"/>
        </w:rPr>
        <w:t xml:space="preserve"> de gas natural licuado – GNL, y de 9.080.000 MBTU para el siguiente</w:t>
      </w:r>
      <w:r w:rsidR="00BF17C0">
        <w:rPr>
          <w:sz w:val="22"/>
          <w:szCs w:val="22"/>
        </w:rPr>
        <w:t xml:space="preserve"> período de</w:t>
      </w:r>
      <w:r w:rsidR="00F21294">
        <w:rPr>
          <w:sz w:val="22"/>
          <w:szCs w:val="22"/>
        </w:rPr>
        <w:t xml:space="preserve"> diciembre a mayo, que corresponderían a </w:t>
      </w:r>
      <w:r w:rsidR="00BF17C0">
        <w:rPr>
          <w:sz w:val="22"/>
          <w:szCs w:val="22"/>
        </w:rPr>
        <w:t>422.195 m</w:t>
      </w:r>
      <w:r w:rsidR="00BF17C0" w:rsidRPr="0071219D">
        <w:rPr>
          <w:sz w:val="22"/>
          <w:szCs w:val="22"/>
          <w:vertAlign w:val="superscript"/>
        </w:rPr>
        <w:t>3</w:t>
      </w:r>
      <w:r w:rsidR="00BF17C0">
        <w:rPr>
          <w:sz w:val="22"/>
          <w:szCs w:val="22"/>
        </w:rPr>
        <w:t xml:space="preserve"> de GNL.</w:t>
      </w:r>
      <w:r>
        <w:rPr>
          <w:sz w:val="22"/>
          <w:szCs w:val="22"/>
        </w:rPr>
        <w:t xml:space="preserve"> </w:t>
      </w:r>
      <w:r w:rsidR="00BF17C0">
        <w:rPr>
          <w:sz w:val="22"/>
          <w:szCs w:val="22"/>
        </w:rPr>
        <w:t xml:space="preserve">En este caso el período y cantidad de declaración de CIDVF es mucho más flexible, pero en cualquier caso limitada a la capacidad de regasificación diaria contratada para ese suministro. </w:t>
      </w:r>
    </w:p>
    <w:p w14:paraId="13AC413D" w14:textId="77777777" w:rsidR="00BF17C0" w:rsidRDefault="00BF17C0" w:rsidP="00F21294">
      <w:pPr>
        <w:ind w:left="708"/>
        <w:rPr>
          <w:sz w:val="22"/>
          <w:szCs w:val="22"/>
        </w:rPr>
      </w:pPr>
    </w:p>
    <w:p w14:paraId="51FC440D" w14:textId="08F15CA0" w:rsidR="00E4031D" w:rsidRDefault="00BF17C0" w:rsidP="00BF17C0">
      <w:pPr>
        <w:ind w:left="708"/>
        <w:rPr>
          <w:sz w:val="22"/>
          <w:szCs w:val="22"/>
        </w:rPr>
      </w:pPr>
      <w:r>
        <w:rPr>
          <w:sz w:val="22"/>
          <w:szCs w:val="22"/>
        </w:rPr>
        <w:t xml:space="preserve"> </w:t>
      </w:r>
    </w:p>
    <w:p w14:paraId="0D9F7947" w14:textId="24254C77" w:rsidR="00BF17C0" w:rsidRPr="00BF17C0" w:rsidRDefault="00BF17C0" w:rsidP="00BF17C0">
      <w:pPr>
        <w:pStyle w:val="Descripcin"/>
        <w:keepNext/>
        <w:jc w:val="center"/>
        <w:rPr>
          <w:i w:val="0"/>
          <w:iCs w:val="0"/>
          <w:sz w:val="22"/>
          <w:szCs w:val="22"/>
        </w:rPr>
      </w:pPr>
      <w:bookmarkStart w:id="415" w:name="_Ref129952189"/>
      <w:bookmarkStart w:id="416" w:name="_Toc140506612"/>
      <w:r w:rsidRPr="00BF17C0">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19</w:t>
      </w:r>
      <w:r w:rsidR="006B6B6C">
        <w:rPr>
          <w:i w:val="0"/>
          <w:iCs w:val="0"/>
          <w:sz w:val="22"/>
          <w:szCs w:val="22"/>
        </w:rPr>
        <w:fldChar w:fldCharType="end"/>
      </w:r>
      <w:bookmarkEnd w:id="415"/>
      <w:r w:rsidRPr="00BF17C0">
        <w:rPr>
          <w:i w:val="0"/>
          <w:iCs w:val="0"/>
          <w:sz w:val="22"/>
          <w:szCs w:val="22"/>
        </w:rPr>
        <w:t xml:space="preserve"> Ejemplo de </w:t>
      </w:r>
      <w:r>
        <w:rPr>
          <w:i w:val="0"/>
          <w:iCs w:val="0"/>
          <w:sz w:val="22"/>
          <w:szCs w:val="22"/>
        </w:rPr>
        <w:t>C</w:t>
      </w:r>
      <w:r w:rsidRPr="00BF17C0">
        <w:rPr>
          <w:i w:val="0"/>
          <w:iCs w:val="0"/>
          <w:sz w:val="22"/>
          <w:szCs w:val="22"/>
        </w:rPr>
        <w:t>aso b)</w:t>
      </w:r>
      <w:r>
        <w:rPr>
          <w:i w:val="0"/>
          <w:iCs w:val="0"/>
          <w:sz w:val="22"/>
          <w:szCs w:val="22"/>
        </w:rPr>
        <w:t>:</w:t>
      </w:r>
      <w:r w:rsidRPr="00BF17C0">
        <w:rPr>
          <w:i w:val="0"/>
          <w:iCs w:val="0"/>
          <w:sz w:val="22"/>
          <w:szCs w:val="22"/>
        </w:rPr>
        <w:t xml:space="preserve"> cantidades máximas a declarar con Respaldo Físico CIDVF</w:t>
      </w:r>
      <w:bookmarkEnd w:id="416"/>
    </w:p>
    <w:tbl>
      <w:tblPr>
        <w:tblW w:w="0" w:type="auto"/>
        <w:tblCellMar>
          <w:left w:w="70" w:type="dxa"/>
          <w:right w:w="70" w:type="dxa"/>
        </w:tblCellMar>
        <w:tblLook w:val="04A0" w:firstRow="1" w:lastRow="0" w:firstColumn="1" w:lastColumn="0" w:noHBand="0" w:noVBand="1"/>
      </w:tblPr>
      <w:tblGrid>
        <w:gridCol w:w="4391"/>
        <w:gridCol w:w="2564"/>
        <w:gridCol w:w="2380"/>
      </w:tblGrid>
      <w:tr w:rsidR="00F21294" w:rsidRPr="00F21294" w14:paraId="45A58FE4" w14:textId="77777777" w:rsidTr="00F21294">
        <w:trPr>
          <w:trHeight w:val="675"/>
        </w:trPr>
        <w:tc>
          <w:tcPr>
            <w:tcW w:w="0" w:type="auto"/>
            <w:gridSpan w:val="3"/>
            <w:tcBorders>
              <w:top w:val="single" w:sz="8" w:space="0" w:color="auto"/>
              <w:left w:val="single" w:sz="8" w:space="0" w:color="auto"/>
              <w:bottom w:val="single" w:sz="4" w:space="0" w:color="auto"/>
              <w:right w:val="single" w:sz="8" w:space="0" w:color="000000"/>
            </w:tcBorders>
            <w:shd w:val="clear" w:color="000000" w:fill="F8CBAD"/>
            <w:vAlign w:val="center"/>
            <w:hideMark/>
          </w:tcPr>
          <w:p w14:paraId="75FB52D4" w14:textId="77777777" w:rsidR="00F21294" w:rsidRPr="00F21294" w:rsidRDefault="00F21294" w:rsidP="00F21294">
            <w:pPr>
              <w:jc w:val="center"/>
              <w:rPr>
                <w:rFonts w:ascii="Calibri" w:hAnsi="Calibri" w:cs="Calibri"/>
                <w:b/>
                <w:bCs/>
                <w:color w:val="000000"/>
                <w:sz w:val="22"/>
                <w:szCs w:val="22"/>
                <w:lang w:val="es-CO" w:eastAsia="es-CO"/>
              </w:rPr>
            </w:pPr>
            <w:r w:rsidRPr="00F21294">
              <w:rPr>
                <w:rFonts w:ascii="Calibri" w:hAnsi="Calibri" w:cs="Calibri"/>
                <w:b/>
                <w:bCs/>
                <w:color w:val="000000"/>
                <w:sz w:val="22"/>
                <w:szCs w:val="22"/>
                <w:lang w:val="es-CO" w:eastAsia="es-CO"/>
              </w:rPr>
              <w:t>CONTRATOS DE SUMINISTRO FIRME DE GAS OBTENIDO EN EL EXTERIOR (MBTU)</w:t>
            </w:r>
          </w:p>
        </w:tc>
      </w:tr>
      <w:tr w:rsidR="00F21294" w:rsidRPr="00F21294" w14:paraId="17CB157B" w14:textId="77777777" w:rsidTr="00F21294">
        <w:trPr>
          <w:trHeight w:val="855"/>
        </w:trPr>
        <w:tc>
          <w:tcPr>
            <w:tcW w:w="0" w:type="auto"/>
            <w:tcBorders>
              <w:top w:val="nil"/>
              <w:left w:val="single" w:sz="8" w:space="0" w:color="auto"/>
              <w:bottom w:val="single" w:sz="4" w:space="0" w:color="auto"/>
              <w:right w:val="single" w:sz="4" w:space="0" w:color="auto"/>
            </w:tcBorders>
            <w:shd w:val="clear" w:color="000000" w:fill="D9D9D9"/>
            <w:vAlign w:val="center"/>
            <w:hideMark/>
          </w:tcPr>
          <w:p w14:paraId="7B8E07D9" w14:textId="77777777" w:rsidR="00F21294" w:rsidRPr="00F21294" w:rsidRDefault="00F21294" w:rsidP="00F21294">
            <w:pPr>
              <w:jc w:val="center"/>
              <w:rPr>
                <w:rFonts w:ascii="Calibri" w:hAnsi="Calibri" w:cs="Calibri"/>
                <w:b/>
                <w:bCs/>
                <w:color w:val="000000"/>
                <w:sz w:val="22"/>
                <w:szCs w:val="22"/>
                <w:lang w:val="es-CO" w:eastAsia="es-CO"/>
              </w:rPr>
            </w:pPr>
            <w:r w:rsidRPr="00F21294">
              <w:rPr>
                <w:rFonts w:ascii="Calibri" w:hAnsi="Calibri" w:cs="Calibri"/>
                <w:b/>
                <w:bCs/>
                <w:color w:val="000000"/>
                <w:sz w:val="22"/>
                <w:szCs w:val="22"/>
                <w:lang w:val="es-CO" w:eastAsia="es-CO"/>
              </w:rPr>
              <w:t>Número de Contrato Firme del exterior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2D010DD" w14:textId="77777777" w:rsidR="00F21294" w:rsidRPr="00F21294" w:rsidRDefault="00F21294" w:rsidP="00F21294">
            <w:pPr>
              <w:jc w:val="center"/>
              <w:rPr>
                <w:rFonts w:ascii="Calibri" w:hAnsi="Calibri" w:cs="Calibri"/>
                <w:b/>
                <w:bCs/>
                <w:color w:val="000000"/>
                <w:sz w:val="22"/>
                <w:szCs w:val="22"/>
                <w:lang w:val="es-CO" w:eastAsia="es-CO"/>
              </w:rPr>
            </w:pPr>
            <w:r w:rsidRPr="00F21294">
              <w:rPr>
                <w:rFonts w:ascii="Calibri" w:hAnsi="Calibri" w:cs="Calibri"/>
                <w:b/>
                <w:bCs/>
                <w:color w:val="000000"/>
                <w:sz w:val="22"/>
                <w:szCs w:val="22"/>
                <w:lang w:val="es-CO" w:eastAsia="es-CO"/>
              </w:rPr>
              <w:t>diciembre año x a noviembre año x+1</w:t>
            </w:r>
          </w:p>
        </w:tc>
        <w:tc>
          <w:tcPr>
            <w:tcW w:w="0" w:type="auto"/>
            <w:tcBorders>
              <w:top w:val="single" w:sz="4" w:space="0" w:color="auto"/>
              <w:left w:val="nil"/>
              <w:bottom w:val="single" w:sz="4" w:space="0" w:color="auto"/>
              <w:right w:val="single" w:sz="8" w:space="0" w:color="000000"/>
            </w:tcBorders>
            <w:shd w:val="clear" w:color="000000" w:fill="D9D9D9"/>
            <w:vAlign w:val="center"/>
            <w:hideMark/>
          </w:tcPr>
          <w:p w14:paraId="532399AB" w14:textId="77777777" w:rsidR="00F21294" w:rsidRPr="00F21294" w:rsidRDefault="00F21294" w:rsidP="00F21294">
            <w:pPr>
              <w:jc w:val="center"/>
              <w:rPr>
                <w:rFonts w:ascii="Calibri" w:hAnsi="Calibri" w:cs="Calibri"/>
                <w:b/>
                <w:bCs/>
                <w:color w:val="000000"/>
                <w:sz w:val="22"/>
                <w:szCs w:val="22"/>
                <w:lang w:val="es-CO" w:eastAsia="es-CO"/>
              </w:rPr>
            </w:pPr>
            <w:r w:rsidRPr="00F21294">
              <w:rPr>
                <w:rFonts w:ascii="Calibri" w:hAnsi="Calibri" w:cs="Calibri"/>
                <w:b/>
                <w:bCs/>
                <w:color w:val="000000"/>
                <w:sz w:val="22"/>
                <w:szCs w:val="22"/>
                <w:lang w:val="es-CO" w:eastAsia="es-CO"/>
              </w:rPr>
              <w:t>diciembre año x+1 a mayo año x+2</w:t>
            </w:r>
          </w:p>
        </w:tc>
      </w:tr>
      <w:tr w:rsidR="00F21294" w:rsidRPr="00F21294" w14:paraId="6A89B0A2" w14:textId="77777777" w:rsidTr="00F21294">
        <w:trPr>
          <w:trHeight w:val="630"/>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6503D9C9" w14:textId="77777777" w:rsidR="00F21294" w:rsidRPr="00F21294" w:rsidRDefault="00F21294" w:rsidP="00F21294">
            <w:pPr>
              <w:jc w:val="center"/>
              <w:rPr>
                <w:rFonts w:ascii="Calibri" w:hAnsi="Calibri" w:cs="Calibri"/>
                <w:b/>
                <w:bCs/>
                <w:color w:val="000000"/>
                <w:sz w:val="22"/>
                <w:szCs w:val="22"/>
                <w:lang w:val="es-CO" w:eastAsia="es-CO"/>
              </w:rPr>
            </w:pPr>
            <w:r w:rsidRPr="00F21294">
              <w:rPr>
                <w:rFonts w:ascii="Calibri" w:hAnsi="Calibri" w:cs="Calibri"/>
                <w:b/>
                <w:bCs/>
                <w:color w:val="000000"/>
                <w:sz w:val="22"/>
                <w:szCs w:val="22"/>
                <w:lang w:val="es-CO" w:eastAsia="es-CO"/>
              </w:rPr>
              <w:t>UE28-20XX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6E682" w14:textId="77777777" w:rsidR="00F21294" w:rsidRPr="00F21294" w:rsidRDefault="00F21294" w:rsidP="00F21294">
            <w:pPr>
              <w:jc w:val="center"/>
              <w:rPr>
                <w:rFonts w:ascii="Calibri" w:hAnsi="Calibri" w:cs="Calibri"/>
                <w:color w:val="000000"/>
                <w:sz w:val="22"/>
                <w:szCs w:val="22"/>
                <w:lang w:val="es-CO" w:eastAsia="es-CO"/>
              </w:rPr>
            </w:pPr>
            <w:r w:rsidRPr="00F21294">
              <w:rPr>
                <w:rFonts w:ascii="Calibri" w:hAnsi="Calibri" w:cs="Calibri"/>
                <w:color w:val="000000"/>
                <w:sz w:val="22"/>
                <w:szCs w:val="22"/>
                <w:lang w:val="es-CO" w:eastAsia="es-CO"/>
              </w:rPr>
              <w:t>8.780.000</w:t>
            </w:r>
          </w:p>
        </w:tc>
        <w:tc>
          <w:tcPr>
            <w:tcW w:w="0" w:type="auto"/>
            <w:tcBorders>
              <w:top w:val="single" w:sz="4" w:space="0" w:color="auto"/>
              <w:left w:val="nil"/>
              <w:bottom w:val="single" w:sz="4" w:space="0" w:color="auto"/>
              <w:right w:val="single" w:sz="8" w:space="0" w:color="000000"/>
            </w:tcBorders>
            <w:shd w:val="clear" w:color="auto" w:fill="auto"/>
            <w:noWrap/>
            <w:vAlign w:val="center"/>
            <w:hideMark/>
          </w:tcPr>
          <w:p w14:paraId="6C85F80B" w14:textId="77777777" w:rsidR="00F21294" w:rsidRPr="00F21294" w:rsidRDefault="00F21294" w:rsidP="00F21294">
            <w:pPr>
              <w:jc w:val="center"/>
              <w:rPr>
                <w:rFonts w:ascii="Calibri" w:hAnsi="Calibri" w:cs="Calibri"/>
                <w:color w:val="000000"/>
                <w:sz w:val="22"/>
                <w:szCs w:val="22"/>
                <w:lang w:val="es-CO" w:eastAsia="es-CO"/>
              </w:rPr>
            </w:pPr>
            <w:r w:rsidRPr="00F21294">
              <w:rPr>
                <w:rFonts w:ascii="Calibri" w:hAnsi="Calibri" w:cs="Calibri"/>
                <w:color w:val="000000"/>
                <w:sz w:val="22"/>
                <w:szCs w:val="22"/>
                <w:lang w:val="es-CO" w:eastAsia="es-CO"/>
              </w:rPr>
              <w:t> </w:t>
            </w:r>
          </w:p>
        </w:tc>
      </w:tr>
      <w:tr w:rsidR="00F21294" w:rsidRPr="00F21294" w14:paraId="050F75F5" w14:textId="77777777" w:rsidTr="00F21294">
        <w:trPr>
          <w:trHeight w:val="630"/>
        </w:trPr>
        <w:tc>
          <w:tcPr>
            <w:tcW w:w="0" w:type="auto"/>
            <w:tcBorders>
              <w:top w:val="nil"/>
              <w:left w:val="single" w:sz="8" w:space="0" w:color="auto"/>
              <w:bottom w:val="nil"/>
              <w:right w:val="single" w:sz="4" w:space="0" w:color="auto"/>
            </w:tcBorders>
            <w:shd w:val="clear" w:color="000000" w:fill="D9D9D9"/>
            <w:noWrap/>
            <w:vAlign w:val="center"/>
            <w:hideMark/>
          </w:tcPr>
          <w:p w14:paraId="3F4A33C2" w14:textId="77777777" w:rsidR="00F21294" w:rsidRPr="00F21294" w:rsidRDefault="00F21294" w:rsidP="00F21294">
            <w:pPr>
              <w:jc w:val="center"/>
              <w:rPr>
                <w:rFonts w:ascii="Calibri" w:hAnsi="Calibri" w:cs="Calibri"/>
                <w:b/>
                <w:bCs/>
                <w:color w:val="000000"/>
                <w:sz w:val="22"/>
                <w:szCs w:val="22"/>
                <w:lang w:val="es-CO" w:eastAsia="es-CO"/>
              </w:rPr>
            </w:pPr>
            <w:r w:rsidRPr="00F21294">
              <w:rPr>
                <w:rFonts w:ascii="Calibri" w:hAnsi="Calibri" w:cs="Calibri"/>
                <w:b/>
                <w:bCs/>
                <w:color w:val="000000"/>
                <w:sz w:val="22"/>
                <w:szCs w:val="22"/>
                <w:lang w:val="es-CO" w:eastAsia="es-CO"/>
              </w:rPr>
              <w:t>S16-20XX</w:t>
            </w:r>
          </w:p>
        </w:tc>
        <w:tc>
          <w:tcPr>
            <w:tcW w:w="0" w:type="auto"/>
            <w:tcBorders>
              <w:top w:val="single" w:sz="4" w:space="0" w:color="auto"/>
              <w:left w:val="nil"/>
              <w:bottom w:val="nil"/>
              <w:right w:val="single" w:sz="4" w:space="0" w:color="auto"/>
            </w:tcBorders>
            <w:shd w:val="clear" w:color="auto" w:fill="auto"/>
            <w:noWrap/>
            <w:vAlign w:val="center"/>
            <w:hideMark/>
          </w:tcPr>
          <w:p w14:paraId="1CB06B73" w14:textId="77777777" w:rsidR="00F21294" w:rsidRPr="00F21294" w:rsidRDefault="00F21294" w:rsidP="00F21294">
            <w:pPr>
              <w:jc w:val="center"/>
              <w:rPr>
                <w:rFonts w:ascii="Calibri" w:hAnsi="Calibri" w:cs="Calibri"/>
                <w:color w:val="000000"/>
                <w:sz w:val="22"/>
                <w:szCs w:val="22"/>
                <w:lang w:val="es-CO" w:eastAsia="es-CO"/>
              </w:rPr>
            </w:pPr>
            <w:r w:rsidRPr="00F21294">
              <w:rPr>
                <w:rFonts w:ascii="Calibri" w:hAnsi="Calibri" w:cs="Calibri"/>
                <w:color w:val="000000"/>
                <w:sz w:val="22"/>
                <w:szCs w:val="22"/>
                <w:lang w:val="es-CO" w:eastAsia="es-CO"/>
              </w:rPr>
              <w:t> </w:t>
            </w:r>
          </w:p>
        </w:tc>
        <w:tc>
          <w:tcPr>
            <w:tcW w:w="0" w:type="auto"/>
            <w:tcBorders>
              <w:top w:val="single" w:sz="4" w:space="0" w:color="auto"/>
              <w:left w:val="nil"/>
              <w:bottom w:val="nil"/>
              <w:right w:val="single" w:sz="8" w:space="0" w:color="000000"/>
            </w:tcBorders>
            <w:shd w:val="clear" w:color="auto" w:fill="auto"/>
            <w:noWrap/>
            <w:vAlign w:val="center"/>
            <w:hideMark/>
          </w:tcPr>
          <w:p w14:paraId="3716E9AD" w14:textId="77777777" w:rsidR="00F21294" w:rsidRPr="00F21294" w:rsidRDefault="00F21294" w:rsidP="00F21294">
            <w:pPr>
              <w:jc w:val="center"/>
              <w:rPr>
                <w:rFonts w:ascii="Calibri" w:hAnsi="Calibri" w:cs="Calibri"/>
                <w:color w:val="000000"/>
                <w:sz w:val="22"/>
                <w:szCs w:val="22"/>
                <w:lang w:val="es-CO" w:eastAsia="es-CO"/>
              </w:rPr>
            </w:pPr>
            <w:r w:rsidRPr="00F21294">
              <w:rPr>
                <w:rFonts w:ascii="Calibri" w:hAnsi="Calibri" w:cs="Calibri"/>
                <w:color w:val="000000"/>
                <w:sz w:val="22"/>
                <w:szCs w:val="22"/>
                <w:lang w:val="es-CO" w:eastAsia="es-CO"/>
              </w:rPr>
              <w:t>9.080.000</w:t>
            </w:r>
          </w:p>
        </w:tc>
      </w:tr>
      <w:tr w:rsidR="00F21294" w:rsidRPr="00F21294" w14:paraId="50524B03" w14:textId="77777777" w:rsidTr="00F21294">
        <w:trPr>
          <w:trHeight w:val="855"/>
        </w:trPr>
        <w:tc>
          <w:tcPr>
            <w:tcW w:w="0" w:type="auto"/>
            <w:tcBorders>
              <w:top w:val="single" w:sz="8" w:space="0" w:color="auto"/>
              <w:left w:val="single" w:sz="8" w:space="0" w:color="auto"/>
              <w:bottom w:val="single" w:sz="8" w:space="0" w:color="auto"/>
              <w:right w:val="single" w:sz="4" w:space="0" w:color="auto"/>
            </w:tcBorders>
            <w:shd w:val="clear" w:color="000000" w:fill="FEFECC"/>
            <w:vAlign w:val="center"/>
            <w:hideMark/>
          </w:tcPr>
          <w:p w14:paraId="3D2CDEE4" w14:textId="77777777" w:rsidR="00F21294" w:rsidRPr="00F21294" w:rsidRDefault="00F21294" w:rsidP="00F21294">
            <w:pPr>
              <w:jc w:val="center"/>
              <w:rPr>
                <w:rFonts w:ascii="Calibri" w:hAnsi="Calibri" w:cs="Calibri"/>
                <w:b/>
                <w:bCs/>
                <w:color w:val="000000"/>
                <w:sz w:val="22"/>
                <w:szCs w:val="22"/>
                <w:lang w:val="es-CO" w:eastAsia="es-CO"/>
              </w:rPr>
            </w:pPr>
            <w:r w:rsidRPr="00F21294">
              <w:rPr>
                <w:rFonts w:ascii="Calibri" w:hAnsi="Calibri" w:cs="Calibri"/>
                <w:b/>
                <w:bCs/>
                <w:color w:val="000000"/>
                <w:sz w:val="22"/>
                <w:szCs w:val="22"/>
                <w:lang w:val="es-CO" w:eastAsia="es-CO"/>
              </w:rPr>
              <w:t>Volumen total en m</w:t>
            </w:r>
            <w:r w:rsidRPr="00F21294">
              <w:rPr>
                <w:rFonts w:ascii="Calibri" w:hAnsi="Calibri" w:cs="Calibri"/>
                <w:b/>
                <w:bCs/>
                <w:color w:val="000000"/>
                <w:sz w:val="22"/>
                <w:szCs w:val="22"/>
                <w:vertAlign w:val="superscript"/>
                <w:lang w:val="es-CO" w:eastAsia="es-CO"/>
              </w:rPr>
              <w:t>3</w:t>
            </w:r>
            <w:r w:rsidRPr="00F21294">
              <w:rPr>
                <w:rFonts w:ascii="Calibri" w:hAnsi="Calibri" w:cs="Calibri"/>
                <w:b/>
                <w:bCs/>
                <w:color w:val="000000"/>
                <w:sz w:val="22"/>
                <w:szCs w:val="22"/>
                <w:lang w:val="es-CO" w:eastAsia="es-CO"/>
              </w:rPr>
              <w:t xml:space="preserve"> GNL (se asume 1,050 </w:t>
            </w:r>
            <w:proofErr w:type="spellStart"/>
            <w:r w:rsidRPr="00F21294">
              <w:rPr>
                <w:rFonts w:ascii="Calibri" w:hAnsi="Calibri" w:cs="Calibri"/>
                <w:b/>
                <w:bCs/>
                <w:color w:val="000000"/>
                <w:sz w:val="22"/>
                <w:szCs w:val="22"/>
                <w:lang w:val="es-CO" w:eastAsia="es-CO"/>
              </w:rPr>
              <w:t>btu</w:t>
            </w:r>
            <w:proofErr w:type="spellEnd"/>
            <w:r w:rsidRPr="00F21294">
              <w:rPr>
                <w:rFonts w:ascii="Calibri" w:hAnsi="Calibri" w:cs="Calibri"/>
                <w:b/>
                <w:bCs/>
                <w:color w:val="000000"/>
                <w:sz w:val="22"/>
                <w:szCs w:val="22"/>
                <w:lang w:val="es-CO" w:eastAsia="es-CO"/>
              </w:rPr>
              <w:t>/pc y 580 m</w:t>
            </w:r>
            <w:r w:rsidRPr="00F21294">
              <w:rPr>
                <w:rFonts w:ascii="Calibri" w:hAnsi="Calibri" w:cs="Calibri"/>
                <w:b/>
                <w:bCs/>
                <w:color w:val="000000"/>
                <w:sz w:val="22"/>
                <w:szCs w:val="22"/>
                <w:vertAlign w:val="superscript"/>
                <w:lang w:val="es-CO" w:eastAsia="es-CO"/>
              </w:rPr>
              <w:t>3</w:t>
            </w:r>
            <w:r w:rsidRPr="00F21294">
              <w:rPr>
                <w:rFonts w:ascii="Calibri" w:hAnsi="Calibri" w:cs="Calibri"/>
                <w:b/>
                <w:bCs/>
                <w:color w:val="000000"/>
                <w:sz w:val="22"/>
                <w:szCs w:val="22"/>
                <w:lang w:val="es-CO" w:eastAsia="es-CO"/>
              </w:rPr>
              <w:t xml:space="preserve"> GN/m</w:t>
            </w:r>
            <w:r w:rsidRPr="00F21294">
              <w:rPr>
                <w:rFonts w:ascii="Calibri" w:hAnsi="Calibri" w:cs="Calibri"/>
                <w:b/>
                <w:bCs/>
                <w:color w:val="000000"/>
                <w:sz w:val="22"/>
                <w:szCs w:val="22"/>
                <w:vertAlign w:val="superscript"/>
                <w:lang w:val="es-CO" w:eastAsia="es-CO"/>
              </w:rPr>
              <w:t>3</w:t>
            </w:r>
            <w:r w:rsidRPr="00F21294">
              <w:rPr>
                <w:rFonts w:ascii="Calibri" w:hAnsi="Calibri" w:cs="Calibri"/>
                <w:b/>
                <w:bCs/>
                <w:color w:val="000000"/>
                <w:sz w:val="22"/>
                <w:szCs w:val="22"/>
                <w:lang w:val="es-CO" w:eastAsia="es-CO"/>
              </w:rPr>
              <w:t xml:space="preserve"> GNL)</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6FB514" w14:textId="77777777" w:rsidR="00F21294" w:rsidRPr="00F21294" w:rsidRDefault="00F21294" w:rsidP="00F21294">
            <w:pPr>
              <w:jc w:val="center"/>
              <w:rPr>
                <w:rFonts w:ascii="Calibri" w:hAnsi="Calibri" w:cs="Calibri"/>
                <w:color w:val="000000"/>
                <w:sz w:val="22"/>
                <w:szCs w:val="22"/>
                <w:lang w:val="es-CO" w:eastAsia="es-CO"/>
              </w:rPr>
            </w:pPr>
            <w:r w:rsidRPr="00F21294">
              <w:rPr>
                <w:rFonts w:ascii="Calibri" w:hAnsi="Calibri" w:cs="Calibri"/>
                <w:color w:val="000000"/>
                <w:sz w:val="22"/>
                <w:szCs w:val="22"/>
                <w:lang w:val="es-CO" w:eastAsia="es-CO"/>
              </w:rPr>
              <w:t>408.246</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182C1D1" w14:textId="77777777" w:rsidR="00F21294" w:rsidRPr="00F21294" w:rsidRDefault="00F21294" w:rsidP="00F21294">
            <w:pPr>
              <w:jc w:val="center"/>
              <w:rPr>
                <w:rFonts w:ascii="Calibri" w:hAnsi="Calibri" w:cs="Calibri"/>
                <w:color w:val="000000"/>
                <w:sz w:val="22"/>
                <w:szCs w:val="22"/>
                <w:lang w:val="es-CO" w:eastAsia="es-CO"/>
              </w:rPr>
            </w:pPr>
            <w:r w:rsidRPr="00F21294">
              <w:rPr>
                <w:rFonts w:ascii="Calibri" w:hAnsi="Calibri" w:cs="Calibri"/>
                <w:color w:val="000000"/>
                <w:sz w:val="22"/>
                <w:szCs w:val="22"/>
                <w:lang w:val="es-CO" w:eastAsia="es-CO"/>
              </w:rPr>
              <w:t>422.195</w:t>
            </w:r>
          </w:p>
        </w:tc>
      </w:tr>
    </w:tbl>
    <w:p w14:paraId="0795E96C" w14:textId="1B75EE70" w:rsidR="001D7E6E" w:rsidRDefault="001D7E6E" w:rsidP="001A267E">
      <w:pPr>
        <w:rPr>
          <w:sz w:val="22"/>
          <w:szCs w:val="22"/>
        </w:rPr>
      </w:pPr>
    </w:p>
    <w:p w14:paraId="1648FADC" w14:textId="77777777" w:rsidR="00BF17C0" w:rsidRPr="000E63CD" w:rsidRDefault="00BF17C0" w:rsidP="001A267E">
      <w:pPr>
        <w:rPr>
          <w:sz w:val="22"/>
          <w:szCs w:val="22"/>
        </w:rPr>
      </w:pPr>
    </w:p>
    <w:p w14:paraId="41CC3B68" w14:textId="1BF3C814" w:rsidR="000208C9" w:rsidRPr="000E63CD" w:rsidRDefault="000208C9" w:rsidP="000208C9">
      <w:pPr>
        <w:pStyle w:val="Ttulo2"/>
        <w:rPr>
          <w:sz w:val="22"/>
          <w:szCs w:val="22"/>
        </w:rPr>
      </w:pPr>
      <w:r w:rsidRPr="000E63CD">
        <w:rPr>
          <w:sz w:val="22"/>
          <w:szCs w:val="22"/>
        </w:rPr>
        <w:t xml:space="preserve">   </w:t>
      </w:r>
      <w:bookmarkStart w:id="417" w:name="_Toc140506217"/>
      <w:r w:rsidRPr="000E63CD">
        <w:rPr>
          <w:sz w:val="22"/>
          <w:szCs w:val="22"/>
        </w:rPr>
        <w:t xml:space="preserve">Inclusión de la modalidad de </w:t>
      </w:r>
      <w:r w:rsidR="0055642E">
        <w:rPr>
          <w:sz w:val="22"/>
          <w:szCs w:val="22"/>
        </w:rPr>
        <w:t>C</w:t>
      </w:r>
      <w:r w:rsidRPr="000E63CD">
        <w:rPr>
          <w:sz w:val="22"/>
          <w:szCs w:val="22"/>
        </w:rPr>
        <w:t>ontrato</w:t>
      </w:r>
      <w:r w:rsidR="0055642E">
        <w:rPr>
          <w:sz w:val="22"/>
          <w:szCs w:val="22"/>
        </w:rPr>
        <w:t xml:space="preserve"> de Suministro</w:t>
      </w:r>
      <w:r w:rsidRPr="000E63CD">
        <w:rPr>
          <w:sz w:val="22"/>
          <w:szCs w:val="22"/>
        </w:rPr>
        <w:t xml:space="preserve"> CF80</w:t>
      </w:r>
      <w:bookmarkEnd w:id="417"/>
    </w:p>
    <w:p w14:paraId="08C67D94" w14:textId="5F1C2C00" w:rsidR="000208C9" w:rsidRPr="000E63CD" w:rsidRDefault="000D19F1" w:rsidP="001A267E">
      <w:pPr>
        <w:rPr>
          <w:sz w:val="22"/>
          <w:szCs w:val="22"/>
        </w:rPr>
      </w:pPr>
      <w:r w:rsidRPr="000E63CD">
        <w:rPr>
          <w:sz w:val="22"/>
          <w:szCs w:val="22"/>
        </w:rPr>
        <w:t xml:space="preserve">Se plantea </w:t>
      </w:r>
      <w:r w:rsidR="00AB72BF" w:rsidRPr="000E63CD">
        <w:rPr>
          <w:sz w:val="22"/>
          <w:szCs w:val="22"/>
        </w:rPr>
        <w:t xml:space="preserve">como propuesta </w:t>
      </w:r>
      <w:r w:rsidRPr="000E63CD">
        <w:rPr>
          <w:sz w:val="22"/>
          <w:szCs w:val="22"/>
        </w:rPr>
        <w:t xml:space="preserve">la inclusión de la modalidad </w:t>
      </w:r>
      <w:r w:rsidR="0055642E">
        <w:rPr>
          <w:sz w:val="22"/>
          <w:szCs w:val="22"/>
        </w:rPr>
        <w:t xml:space="preserve">de Contrato de Suministro </w:t>
      </w:r>
      <w:r w:rsidRPr="000E63CD">
        <w:rPr>
          <w:sz w:val="22"/>
          <w:szCs w:val="22"/>
        </w:rPr>
        <w:t>CF80</w:t>
      </w:r>
      <w:r w:rsidR="00451E9B">
        <w:rPr>
          <w:sz w:val="22"/>
          <w:szCs w:val="22"/>
        </w:rPr>
        <w:t xml:space="preserve">, en adelante </w:t>
      </w:r>
      <w:r w:rsidRPr="000E63CD">
        <w:rPr>
          <w:sz w:val="22"/>
          <w:szCs w:val="22"/>
        </w:rPr>
        <w:t xml:space="preserve">CF80, similar a la modalidad </w:t>
      </w:r>
      <w:r w:rsidR="00F97B11">
        <w:rPr>
          <w:sz w:val="22"/>
          <w:szCs w:val="22"/>
        </w:rPr>
        <w:t xml:space="preserve">de Contrato de Suministro </w:t>
      </w:r>
      <w:r w:rsidRPr="000E63CD">
        <w:rPr>
          <w:sz w:val="22"/>
          <w:szCs w:val="22"/>
        </w:rPr>
        <w:t xml:space="preserve">CF95, </w:t>
      </w:r>
      <w:r w:rsidR="00E02CF4">
        <w:rPr>
          <w:sz w:val="22"/>
          <w:szCs w:val="22"/>
        </w:rPr>
        <w:t xml:space="preserve">en adelante </w:t>
      </w:r>
      <w:r w:rsidRPr="000E63CD">
        <w:rPr>
          <w:sz w:val="22"/>
          <w:szCs w:val="22"/>
        </w:rPr>
        <w:t xml:space="preserve">CF95, </w:t>
      </w:r>
      <w:r w:rsidR="00F739F1">
        <w:rPr>
          <w:sz w:val="22"/>
          <w:szCs w:val="22"/>
        </w:rPr>
        <w:t xml:space="preserve">pero a diferencia de este último, </w:t>
      </w:r>
      <w:r w:rsidRPr="000E63CD">
        <w:rPr>
          <w:sz w:val="22"/>
          <w:szCs w:val="22"/>
        </w:rPr>
        <w:t xml:space="preserve">con un pago mínimo </w:t>
      </w:r>
      <w:r w:rsidR="006F5920" w:rsidRPr="000E63CD">
        <w:rPr>
          <w:sz w:val="22"/>
          <w:szCs w:val="22"/>
        </w:rPr>
        <w:t xml:space="preserve">mensual </w:t>
      </w:r>
      <w:r w:rsidRPr="000E63CD">
        <w:rPr>
          <w:sz w:val="22"/>
          <w:szCs w:val="22"/>
        </w:rPr>
        <w:t>del 80</w:t>
      </w:r>
      <w:r w:rsidR="005E69F8" w:rsidRPr="000E63CD">
        <w:rPr>
          <w:sz w:val="22"/>
          <w:szCs w:val="22"/>
        </w:rPr>
        <w:t xml:space="preserve">% del total de la cantidad </w:t>
      </w:r>
      <w:r w:rsidR="00F739F1">
        <w:rPr>
          <w:sz w:val="22"/>
          <w:szCs w:val="22"/>
        </w:rPr>
        <w:t xml:space="preserve">máxima </w:t>
      </w:r>
      <w:r w:rsidR="005E69F8" w:rsidRPr="000E63CD">
        <w:rPr>
          <w:sz w:val="22"/>
          <w:szCs w:val="22"/>
        </w:rPr>
        <w:t>contratada</w:t>
      </w:r>
      <w:r w:rsidR="006F5920" w:rsidRPr="000E63CD">
        <w:rPr>
          <w:sz w:val="22"/>
          <w:szCs w:val="22"/>
        </w:rPr>
        <w:t xml:space="preserve"> mensualmente</w:t>
      </w:r>
      <w:r w:rsidR="00761EB7" w:rsidRPr="000E63CD">
        <w:rPr>
          <w:sz w:val="22"/>
          <w:szCs w:val="22"/>
        </w:rPr>
        <w:t xml:space="preserve">, </w:t>
      </w:r>
      <w:r w:rsidR="00F739F1">
        <w:rPr>
          <w:sz w:val="22"/>
          <w:szCs w:val="22"/>
        </w:rPr>
        <w:t xml:space="preserve">a utilizar </w:t>
      </w:r>
      <w:r w:rsidR="00761EB7" w:rsidRPr="000E63CD">
        <w:rPr>
          <w:sz w:val="22"/>
          <w:szCs w:val="22"/>
        </w:rPr>
        <w:t xml:space="preserve">inicialmente solo </w:t>
      </w:r>
      <w:r w:rsidR="00F739F1">
        <w:rPr>
          <w:sz w:val="22"/>
          <w:szCs w:val="22"/>
        </w:rPr>
        <w:t>en</w:t>
      </w:r>
      <w:r w:rsidR="00761EB7" w:rsidRPr="000E63CD">
        <w:rPr>
          <w:sz w:val="22"/>
          <w:szCs w:val="22"/>
        </w:rPr>
        <w:t xml:space="preserve"> el </w:t>
      </w:r>
      <w:r w:rsidR="00AC32B5">
        <w:rPr>
          <w:sz w:val="22"/>
          <w:szCs w:val="22"/>
        </w:rPr>
        <w:t>Mercado Primario</w:t>
      </w:r>
      <w:r w:rsidR="005E69F8" w:rsidRPr="000E63CD">
        <w:rPr>
          <w:sz w:val="22"/>
          <w:szCs w:val="22"/>
        </w:rPr>
        <w:t xml:space="preserve">. </w:t>
      </w:r>
      <w:r w:rsidR="004A484A" w:rsidRPr="000E63CD">
        <w:rPr>
          <w:sz w:val="22"/>
          <w:szCs w:val="22"/>
        </w:rPr>
        <w:t xml:space="preserve">Es decir, </w:t>
      </w:r>
      <w:r w:rsidR="00AE72B3" w:rsidRPr="000E63CD">
        <w:rPr>
          <w:sz w:val="22"/>
          <w:szCs w:val="22"/>
        </w:rPr>
        <w:t xml:space="preserve">al igual que en el caso de la modalidad CF95, </w:t>
      </w:r>
      <w:r w:rsidR="00C8096C">
        <w:rPr>
          <w:sz w:val="22"/>
          <w:szCs w:val="22"/>
        </w:rPr>
        <w:t xml:space="preserve">hay </w:t>
      </w:r>
      <w:r w:rsidR="004A484A" w:rsidRPr="000E63CD">
        <w:rPr>
          <w:sz w:val="22"/>
          <w:szCs w:val="22"/>
        </w:rPr>
        <w:t>una compensación volumétrica mensual de cantidades pagadas y no consumidas</w:t>
      </w:r>
      <w:r w:rsidR="007C0611" w:rsidRPr="000E63CD">
        <w:rPr>
          <w:sz w:val="22"/>
          <w:szCs w:val="22"/>
        </w:rPr>
        <w:t>, aunque esa compensación se debe realizar en el</w:t>
      </w:r>
      <w:r w:rsidR="004A484A" w:rsidRPr="000E63CD">
        <w:rPr>
          <w:sz w:val="22"/>
          <w:szCs w:val="22"/>
        </w:rPr>
        <w:t xml:space="preserve"> mismo mes</w:t>
      </w:r>
      <w:r w:rsidR="00F739F1">
        <w:rPr>
          <w:sz w:val="22"/>
          <w:szCs w:val="22"/>
        </w:rPr>
        <w:t xml:space="preserve"> que luego se factura</w:t>
      </w:r>
      <w:r w:rsidR="004A484A" w:rsidRPr="000E63CD">
        <w:rPr>
          <w:sz w:val="22"/>
          <w:szCs w:val="22"/>
        </w:rPr>
        <w:t>.</w:t>
      </w:r>
      <w:r w:rsidR="00075EFB" w:rsidRPr="000E63CD">
        <w:rPr>
          <w:sz w:val="22"/>
          <w:szCs w:val="22"/>
        </w:rPr>
        <w:t xml:space="preserve"> Esta modalidad </w:t>
      </w:r>
      <w:r w:rsidR="0015068A" w:rsidRPr="000E63CD">
        <w:rPr>
          <w:sz w:val="22"/>
          <w:szCs w:val="22"/>
        </w:rPr>
        <w:t xml:space="preserve">se considera </w:t>
      </w:r>
      <w:r w:rsidR="004574E0" w:rsidRPr="000E63CD">
        <w:rPr>
          <w:sz w:val="22"/>
          <w:szCs w:val="22"/>
        </w:rPr>
        <w:t>oportuna</w:t>
      </w:r>
      <w:r w:rsidR="00075EFB" w:rsidRPr="000E63CD">
        <w:rPr>
          <w:sz w:val="22"/>
          <w:szCs w:val="22"/>
        </w:rPr>
        <w:t xml:space="preserve">, junto con otras medidas que más adelante se proponen, para los usuarios con altas variaciones estacionales </w:t>
      </w:r>
      <w:r w:rsidR="00F739F1">
        <w:rPr>
          <w:sz w:val="22"/>
          <w:szCs w:val="22"/>
        </w:rPr>
        <w:t xml:space="preserve">e incluso semanales, </w:t>
      </w:r>
      <w:r w:rsidR="00075EFB" w:rsidRPr="000E63CD">
        <w:rPr>
          <w:sz w:val="22"/>
          <w:szCs w:val="22"/>
        </w:rPr>
        <w:t>en el consumo de gas natural.</w:t>
      </w:r>
    </w:p>
    <w:p w14:paraId="12A85119" w14:textId="77777777" w:rsidR="006F5920" w:rsidRPr="000E63CD" w:rsidRDefault="006F5920" w:rsidP="001A267E">
      <w:pPr>
        <w:rPr>
          <w:sz w:val="22"/>
          <w:szCs w:val="22"/>
        </w:rPr>
      </w:pPr>
    </w:p>
    <w:p w14:paraId="1CCE1A8A" w14:textId="45195E6D" w:rsidR="000D4311" w:rsidRPr="000E63CD" w:rsidRDefault="006F5920" w:rsidP="001A267E">
      <w:pPr>
        <w:rPr>
          <w:sz w:val="22"/>
          <w:szCs w:val="22"/>
        </w:rPr>
      </w:pPr>
      <w:r w:rsidRPr="000E63CD">
        <w:rPr>
          <w:sz w:val="22"/>
          <w:szCs w:val="22"/>
        </w:rPr>
        <w:t xml:space="preserve">Ahora bien, </w:t>
      </w:r>
      <w:r w:rsidR="00AF18F1" w:rsidRPr="000E63CD">
        <w:rPr>
          <w:sz w:val="22"/>
          <w:szCs w:val="22"/>
        </w:rPr>
        <w:t xml:space="preserve">una </w:t>
      </w:r>
      <w:r w:rsidR="002A4061" w:rsidRPr="000E63CD">
        <w:rPr>
          <w:sz w:val="22"/>
          <w:szCs w:val="22"/>
        </w:rPr>
        <w:t>c</w:t>
      </w:r>
      <w:r w:rsidR="00B00AEB" w:rsidRPr="000E63CD">
        <w:rPr>
          <w:sz w:val="22"/>
          <w:szCs w:val="22"/>
        </w:rPr>
        <w:t xml:space="preserve">onsecuencia derivada </w:t>
      </w:r>
      <w:r w:rsidR="00AF18F1" w:rsidRPr="000E63CD">
        <w:rPr>
          <w:sz w:val="22"/>
          <w:szCs w:val="22"/>
        </w:rPr>
        <w:t>de</w:t>
      </w:r>
      <w:r w:rsidR="002A4061" w:rsidRPr="000E63CD">
        <w:rPr>
          <w:sz w:val="22"/>
          <w:szCs w:val="22"/>
        </w:rPr>
        <w:t xml:space="preserve">l uso de </w:t>
      </w:r>
      <w:r w:rsidR="00CB1733" w:rsidRPr="000E63CD">
        <w:rPr>
          <w:sz w:val="22"/>
          <w:szCs w:val="22"/>
        </w:rPr>
        <w:t xml:space="preserve">las modalidades </w:t>
      </w:r>
      <w:r w:rsidR="00085F8F">
        <w:rPr>
          <w:sz w:val="22"/>
          <w:szCs w:val="22"/>
        </w:rPr>
        <w:t>de</w:t>
      </w:r>
      <w:r w:rsidR="00085F8F" w:rsidRPr="000E63CD">
        <w:rPr>
          <w:sz w:val="22"/>
          <w:szCs w:val="22"/>
        </w:rPr>
        <w:t xml:space="preserve"> </w:t>
      </w:r>
      <w:r w:rsidR="00C8096C">
        <w:rPr>
          <w:sz w:val="22"/>
          <w:szCs w:val="22"/>
        </w:rPr>
        <w:t>Contratos de Su</w:t>
      </w:r>
      <w:r w:rsidR="00747390">
        <w:rPr>
          <w:sz w:val="22"/>
          <w:szCs w:val="22"/>
        </w:rPr>
        <w:t xml:space="preserve">ministro </w:t>
      </w:r>
      <w:proofErr w:type="spellStart"/>
      <w:r w:rsidR="00CB1733" w:rsidRPr="000E63CD">
        <w:rPr>
          <w:sz w:val="22"/>
          <w:szCs w:val="22"/>
        </w:rPr>
        <w:t>Take</w:t>
      </w:r>
      <w:proofErr w:type="spellEnd"/>
      <w:r w:rsidR="00CB1733" w:rsidRPr="000E63CD">
        <w:rPr>
          <w:sz w:val="22"/>
          <w:szCs w:val="22"/>
        </w:rPr>
        <w:t xml:space="preserve"> </w:t>
      </w:r>
      <w:proofErr w:type="spellStart"/>
      <w:r w:rsidR="00CB1733" w:rsidRPr="000E63CD">
        <w:rPr>
          <w:sz w:val="22"/>
          <w:szCs w:val="22"/>
        </w:rPr>
        <w:t>or</w:t>
      </w:r>
      <w:proofErr w:type="spellEnd"/>
      <w:r w:rsidR="00CB1733" w:rsidRPr="000E63CD">
        <w:rPr>
          <w:sz w:val="22"/>
          <w:szCs w:val="22"/>
        </w:rPr>
        <w:t xml:space="preserve"> </w:t>
      </w:r>
      <w:proofErr w:type="spellStart"/>
      <w:r w:rsidR="00CB1733" w:rsidRPr="000E63CD">
        <w:rPr>
          <w:sz w:val="22"/>
          <w:szCs w:val="22"/>
        </w:rPr>
        <w:t>Pay</w:t>
      </w:r>
      <w:proofErr w:type="spellEnd"/>
      <w:r w:rsidR="00CB1733" w:rsidRPr="000E63CD">
        <w:rPr>
          <w:sz w:val="22"/>
          <w:szCs w:val="22"/>
        </w:rPr>
        <w:t xml:space="preserve">, </w:t>
      </w:r>
      <w:r w:rsidR="005D7DA8">
        <w:rPr>
          <w:sz w:val="22"/>
          <w:szCs w:val="22"/>
        </w:rPr>
        <w:t>siendo considerados</w:t>
      </w:r>
      <w:r w:rsidR="00CB1733" w:rsidRPr="000E63CD">
        <w:rPr>
          <w:sz w:val="22"/>
          <w:szCs w:val="22"/>
        </w:rPr>
        <w:t xml:space="preserve"> los </w:t>
      </w:r>
      <w:r w:rsidR="00747390">
        <w:rPr>
          <w:sz w:val="22"/>
          <w:szCs w:val="22"/>
        </w:rPr>
        <w:t>C</w:t>
      </w:r>
      <w:r w:rsidR="00CB1733" w:rsidRPr="000E63CD">
        <w:rPr>
          <w:sz w:val="22"/>
          <w:szCs w:val="22"/>
        </w:rPr>
        <w:t xml:space="preserve">ontratos </w:t>
      </w:r>
      <w:r w:rsidR="00747390">
        <w:rPr>
          <w:sz w:val="22"/>
          <w:szCs w:val="22"/>
        </w:rPr>
        <w:t>de Suministro</w:t>
      </w:r>
      <w:r w:rsidR="00CB1733" w:rsidRPr="000E63CD">
        <w:rPr>
          <w:sz w:val="22"/>
          <w:szCs w:val="22"/>
        </w:rPr>
        <w:t xml:space="preserve"> con firmeza CF</w:t>
      </w:r>
      <w:r w:rsidR="00F739F1">
        <w:rPr>
          <w:sz w:val="22"/>
          <w:szCs w:val="22"/>
        </w:rPr>
        <w:t>XX</w:t>
      </w:r>
      <w:r w:rsidR="00CB1733" w:rsidRPr="000E63CD">
        <w:rPr>
          <w:sz w:val="22"/>
          <w:szCs w:val="22"/>
        </w:rPr>
        <w:t xml:space="preserve"> una variante</w:t>
      </w:r>
      <w:r w:rsidR="00F739F1">
        <w:rPr>
          <w:sz w:val="22"/>
          <w:szCs w:val="22"/>
        </w:rPr>
        <w:t xml:space="preserve"> de estos</w:t>
      </w:r>
      <w:r w:rsidR="00CB1733" w:rsidRPr="000E63CD">
        <w:rPr>
          <w:sz w:val="22"/>
          <w:szCs w:val="22"/>
        </w:rPr>
        <w:t xml:space="preserve">, </w:t>
      </w:r>
      <w:r w:rsidR="00AF18F1" w:rsidRPr="000E63CD">
        <w:rPr>
          <w:sz w:val="22"/>
          <w:szCs w:val="22"/>
        </w:rPr>
        <w:t xml:space="preserve">es que puede </w:t>
      </w:r>
      <w:r w:rsidR="00CB1733" w:rsidRPr="000E63CD">
        <w:rPr>
          <w:sz w:val="22"/>
          <w:szCs w:val="22"/>
        </w:rPr>
        <w:t>conllevar a</w:t>
      </w:r>
      <w:r w:rsidR="00AF18F1" w:rsidRPr="000E63CD">
        <w:rPr>
          <w:sz w:val="22"/>
          <w:szCs w:val="22"/>
        </w:rPr>
        <w:t xml:space="preserve">l atrapamiento </w:t>
      </w:r>
      <w:r w:rsidR="008A7BA4">
        <w:rPr>
          <w:sz w:val="22"/>
          <w:szCs w:val="22"/>
        </w:rPr>
        <w:t xml:space="preserve">contractual </w:t>
      </w:r>
      <w:r w:rsidR="00AF18F1" w:rsidRPr="000E63CD">
        <w:rPr>
          <w:sz w:val="22"/>
          <w:szCs w:val="22"/>
        </w:rPr>
        <w:t xml:space="preserve">de cantidades </w:t>
      </w:r>
      <w:r w:rsidR="007B1DBF" w:rsidRPr="000E63CD">
        <w:rPr>
          <w:sz w:val="22"/>
          <w:szCs w:val="22"/>
        </w:rPr>
        <w:t xml:space="preserve">con Respaldo Físico </w:t>
      </w:r>
      <w:r w:rsidR="00CB1733" w:rsidRPr="000E63CD">
        <w:rPr>
          <w:sz w:val="22"/>
          <w:szCs w:val="22"/>
        </w:rPr>
        <w:t>por parte de algunos agentes</w:t>
      </w:r>
      <w:r w:rsidR="005D7DA8">
        <w:rPr>
          <w:sz w:val="22"/>
          <w:szCs w:val="22"/>
        </w:rPr>
        <w:t xml:space="preserve"> compradores del mercado primario</w:t>
      </w:r>
      <w:r w:rsidR="00D122BE" w:rsidRPr="000E63CD">
        <w:rPr>
          <w:sz w:val="22"/>
          <w:szCs w:val="22"/>
        </w:rPr>
        <w:t xml:space="preserve">, el cual será mayor a medida que la obligación de pago mínimo es menor respecto de las cantidades de suministro garantizadas. Lo anterior </w:t>
      </w:r>
      <w:r w:rsidR="000D4311" w:rsidRPr="000E63CD">
        <w:rPr>
          <w:sz w:val="22"/>
          <w:szCs w:val="22"/>
        </w:rPr>
        <w:t>implica que,</w:t>
      </w:r>
      <w:r w:rsidR="00AF18F1" w:rsidRPr="000E63CD">
        <w:rPr>
          <w:sz w:val="22"/>
          <w:szCs w:val="22"/>
        </w:rPr>
        <w:t xml:space="preserve"> ante la situación descrita al inicio del presente documento respecto de la estrechez de la oferta </w:t>
      </w:r>
      <w:r w:rsidR="00CB1733" w:rsidRPr="000E63CD">
        <w:rPr>
          <w:sz w:val="22"/>
          <w:szCs w:val="22"/>
        </w:rPr>
        <w:t>comercial de mediano y largo plazo</w:t>
      </w:r>
      <w:r w:rsidR="007B1DBF" w:rsidRPr="000E63CD">
        <w:rPr>
          <w:sz w:val="22"/>
          <w:szCs w:val="22"/>
        </w:rPr>
        <w:t xml:space="preserve">, </w:t>
      </w:r>
      <w:r w:rsidR="00CD612B" w:rsidRPr="000E63CD">
        <w:rPr>
          <w:sz w:val="22"/>
          <w:szCs w:val="22"/>
        </w:rPr>
        <w:t xml:space="preserve">pueda aumentarse. </w:t>
      </w:r>
      <w:r w:rsidR="00C43398" w:rsidRPr="000E63CD">
        <w:rPr>
          <w:sz w:val="22"/>
          <w:szCs w:val="22"/>
        </w:rPr>
        <w:t xml:space="preserve">Es por ello </w:t>
      </w:r>
      <w:proofErr w:type="gramStart"/>
      <w:r w:rsidR="00C43398" w:rsidRPr="000E63CD">
        <w:rPr>
          <w:sz w:val="22"/>
          <w:szCs w:val="22"/>
        </w:rPr>
        <w:t>que</w:t>
      </w:r>
      <w:proofErr w:type="gramEnd"/>
      <w:r w:rsidR="00C43398" w:rsidRPr="000E63CD">
        <w:rPr>
          <w:sz w:val="22"/>
          <w:szCs w:val="22"/>
        </w:rPr>
        <w:t xml:space="preserve"> l</w:t>
      </w:r>
      <w:r w:rsidR="00D122BE" w:rsidRPr="000E63CD">
        <w:rPr>
          <w:sz w:val="22"/>
          <w:szCs w:val="22"/>
        </w:rPr>
        <w:t>a</w:t>
      </w:r>
      <w:r w:rsidR="00A251F1" w:rsidRPr="000E63CD">
        <w:rPr>
          <w:sz w:val="22"/>
          <w:szCs w:val="22"/>
        </w:rPr>
        <w:t xml:space="preserve"> modalidad</w:t>
      </w:r>
      <w:r w:rsidR="00617599">
        <w:rPr>
          <w:sz w:val="22"/>
          <w:szCs w:val="22"/>
        </w:rPr>
        <w:t xml:space="preserve"> </w:t>
      </w:r>
      <w:r w:rsidR="00D122BE" w:rsidRPr="000E63CD">
        <w:rPr>
          <w:sz w:val="22"/>
          <w:szCs w:val="22"/>
        </w:rPr>
        <w:t xml:space="preserve">CF80 </w:t>
      </w:r>
      <w:r w:rsidR="00C43398" w:rsidRPr="000E63CD">
        <w:rPr>
          <w:sz w:val="22"/>
          <w:szCs w:val="22"/>
        </w:rPr>
        <w:t xml:space="preserve">que se propone incluir </w:t>
      </w:r>
      <w:r w:rsidR="000D4311" w:rsidRPr="000E63CD">
        <w:rPr>
          <w:sz w:val="22"/>
          <w:szCs w:val="22"/>
        </w:rPr>
        <w:t>se</w:t>
      </w:r>
      <w:r w:rsidR="006B7BC5" w:rsidRPr="000E63CD">
        <w:rPr>
          <w:sz w:val="22"/>
          <w:szCs w:val="22"/>
        </w:rPr>
        <w:t>rá</w:t>
      </w:r>
      <w:r w:rsidR="000D4311" w:rsidRPr="000E63CD">
        <w:rPr>
          <w:sz w:val="22"/>
          <w:szCs w:val="22"/>
        </w:rPr>
        <w:t xml:space="preserve"> </w:t>
      </w:r>
      <w:r w:rsidR="00C43398" w:rsidRPr="000E63CD">
        <w:rPr>
          <w:sz w:val="22"/>
          <w:szCs w:val="22"/>
        </w:rPr>
        <w:t xml:space="preserve">para </w:t>
      </w:r>
      <w:r w:rsidR="000D4311" w:rsidRPr="000E63CD">
        <w:rPr>
          <w:sz w:val="22"/>
          <w:szCs w:val="22"/>
        </w:rPr>
        <w:t>utiliza</w:t>
      </w:r>
      <w:r w:rsidR="00C43398" w:rsidRPr="000E63CD">
        <w:rPr>
          <w:sz w:val="22"/>
          <w:szCs w:val="22"/>
        </w:rPr>
        <w:t>rla</w:t>
      </w:r>
      <w:r w:rsidR="000D4311" w:rsidRPr="000E63CD">
        <w:rPr>
          <w:sz w:val="22"/>
          <w:szCs w:val="22"/>
        </w:rPr>
        <w:t xml:space="preserve"> en forma</w:t>
      </w:r>
      <w:r w:rsidR="00A251F1" w:rsidRPr="000E63CD">
        <w:rPr>
          <w:sz w:val="22"/>
          <w:szCs w:val="22"/>
        </w:rPr>
        <w:t xml:space="preserve"> residual</w:t>
      </w:r>
      <w:r w:rsidR="006B7BC5" w:rsidRPr="000E63CD">
        <w:rPr>
          <w:sz w:val="22"/>
          <w:szCs w:val="22"/>
        </w:rPr>
        <w:t xml:space="preserve"> de modo que su posibilidad de</w:t>
      </w:r>
      <w:r w:rsidR="00761EB7" w:rsidRPr="000E63CD">
        <w:rPr>
          <w:sz w:val="22"/>
          <w:szCs w:val="22"/>
        </w:rPr>
        <w:t xml:space="preserve"> </w:t>
      </w:r>
      <w:r w:rsidR="00E523C0" w:rsidRPr="000E63CD">
        <w:rPr>
          <w:sz w:val="22"/>
          <w:szCs w:val="22"/>
        </w:rPr>
        <w:t>uso</w:t>
      </w:r>
      <w:r w:rsidR="00D122BE" w:rsidRPr="000E63CD">
        <w:rPr>
          <w:sz w:val="22"/>
          <w:szCs w:val="22"/>
        </w:rPr>
        <w:t xml:space="preserve"> </w:t>
      </w:r>
      <w:r w:rsidR="004E06FF" w:rsidRPr="000E63CD">
        <w:rPr>
          <w:sz w:val="22"/>
          <w:szCs w:val="22"/>
        </w:rPr>
        <w:t xml:space="preserve">dependerá </w:t>
      </w:r>
      <w:r w:rsidR="009E5945" w:rsidRPr="000E63CD">
        <w:rPr>
          <w:sz w:val="22"/>
          <w:szCs w:val="22"/>
        </w:rPr>
        <w:t xml:space="preserve">de encontrarse un </w:t>
      </w:r>
      <w:r w:rsidR="00A251F1" w:rsidRPr="000E63CD">
        <w:rPr>
          <w:sz w:val="22"/>
          <w:szCs w:val="22"/>
        </w:rPr>
        <w:t xml:space="preserve">superávit del balance comercial </w:t>
      </w:r>
      <w:r w:rsidR="00D122BE" w:rsidRPr="000E63CD">
        <w:rPr>
          <w:sz w:val="22"/>
          <w:szCs w:val="22"/>
        </w:rPr>
        <w:t xml:space="preserve">de oferta </w:t>
      </w:r>
      <w:r w:rsidR="00A251F1" w:rsidRPr="000E63CD">
        <w:rPr>
          <w:sz w:val="22"/>
          <w:szCs w:val="22"/>
        </w:rPr>
        <w:t>para un período de tiempo futuro dado</w:t>
      </w:r>
      <w:r w:rsidR="004E06FF" w:rsidRPr="000E63CD">
        <w:rPr>
          <w:sz w:val="22"/>
          <w:szCs w:val="22"/>
        </w:rPr>
        <w:t>, como se detallará más adelante</w:t>
      </w:r>
      <w:r w:rsidR="009E5945" w:rsidRPr="000E63CD">
        <w:rPr>
          <w:sz w:val="22"/>
          <w:szCs w:val="22"/>
        </w:rPr>
        <w:t xml:space="preserve"> en este documento cuando se plantee en el mecanismo para el aseguramiento de la </w:t>
      </w:r>
      <w:r w:rsidR="00E8014D" w:rsidRPr="000E63CD">
        <w:rPr>
          <w:sz w:val="22"/>
          <w:szCs w:val="22"/>
        </w:rPr>
        <w:t>Demanda Esencial</w:t>
      </w:r>
      <w:r w:rsidR="004E06FF" w:rsidRPr="000E63CD">
        <w:rPr>
          <w:sz w:val="22"/>
          <w:szCs w:val="22"/>
        </w:rPr>
        <w:t>.</w:t>
      </w:r>
      <w:r w:rsidR="003F1EA7" w:rsidRPr="000E63CD">
        <w:rPr>
          <w:sz w:val="22"/>
          <w:szCs w:val="22"/>
        </w:rPr>
        <w:t xml:space="preserve"> </w:t>
      </w:r>
    </w:p>
    <w:p w14:paraId="19020A16" w14:textId="77777777" w:rsidR="000D4311" w:rsidRPr="000E63CD" w:rsidRDefault="000D4311" w:rsidP="001A267E">
      <w:pPr>
        <w:rPr>
          <w:sz w:val="22"/>
          <w:szCs w:val="22"/>
        </w:rPr>
      </w:pPr>
    </w:p>
    <w:p w14:paraId="71E96F6F" w14:textId="5C310FC4" w:rsidR="00B72277" w:rsidRDefault="00E33AB4" w:rsidP="00E33AB4">
      <w:pPr>
        <w:rPr>
          <w:sz w:val="22"/>
          <w:szCs w:val="22"/>
        </w:rPr>
      </w:pPr>
      <w:r w:rsidRPr="000E63CD">
        <w:rPr>
          <w:sz w:val="22"/>
          <w:szCs w:val="22"/>
        </w:rPr>
        <w:t xml:space="preserve">Se establece que el uso de la modalidad contractual CF80 </w:t>
      </w:r>
      <w:r w:rsidR="00DA2B77">
        <w:rPr>
          <w:sz w:val="22"/>
          <w:szCs w:val="22"/>
        </w:rPr>
        <w:t>es permitida para todo tipo de demanda. En todo caso</w:t>
      </w:r>
      <w:r w:rsidR="00F739F1">
        <w:rPr>
          <w:sz w:val="22"/>
          <w:szCs w:val="22"/>
        </w:rPr>
        <w:t>,</w:t>
      </w:r>
      <w:r w:rsidR="00DA2B77">
        <w:rPr>
          <w:sz w:val="22"/>
          <w:szCs w:val="22"/>
        </w:rPr>
        <w:t xml:space="preserve"> el uso de dicha modalidad</w:t>
      </w:r>
      <w:r w:rsidRPr="000E63CD">
        <w:rPr>
          <w:sz w:val="22"/>
          <w:szCs w:val="22"/>
        </w:rPr>
        <w:t xml:space="preserve"> no </w:t>
      </w:r>
      <w:r w:rsidR="00DA2B77">
        <w:rPr>
          <w:sz w:val="22"/>
          <w:szCs w:val="22"/>
        </w:rPr>
        <w:t>debe resultar en</w:t>
      </w:r>
      <w:r w:rsidRPr="000E63CD">
        <w:rPr>
          <w:sz w:val="22"/>
          <w:szCs w:val="22"/>
        </w:rPr>
        <w:t xml:space="preserve"> que </w:t>
      </w:r>
      <w:r w:rsidR="00B72277" w:rsidRPr="000E63CD">
        <w:rPr>
          <w:sz w:val="22"/>
          <w:szCs w:val="22"/>
        </w:rPr>
        <w:t>alguno de los compradores</w:t>
      </w:r>
      <w:r w:rsidRPr="000E63CD">
        <w:rPr>
          <w:sz w:val="22"/>
          <w:szCs w:val="22"/>
        </w:rPr>
        <w:t xml:space="preserve"> no pueda contratar la cantidad total informada al </w:t>
      </w:r>
      <w:r w:rsidR="005114C6">
        <w:rPr>
          <w:sz w:val="22"/>
          <w:szCs w:val="22"/>
        </w:rPr>
        <w:t>Gestor del Mercado</w:t>
      </w:r>
      <w:r w:rsidRPr="000E63CD">
        <w:rPr>
          <w:sz w:val="22"/>
          <w:szCs w:val="22"/>
        </w:rPr>
        <w:t xml:space="preserve"> que se obliga a contratar. Lo anterior teniendo en cuenta que el balance comercial se efectúa a partir de cantidades de suministro </w:t>
      </w:r>
      <w:r w:rsidR="00DA2B77">
        <w:rPr>
          <w:sz w:val="22"/>
          <w:szCs w:val="22"/>
        </w:rPr>
        <w:t>firmes</w:t>
      </w:r>
      <w:r w:rsidRPr="000E63CD">
        <w:rPr>
          <w:sz w:val="22"/>
          <w:szCs w:val="22"/>
        </w:rPr>
        <w:t xml:space="preserve"> y que el uso del CF80, puede llevar a que eventualmente las cantidades </w:t>
      </w:r>
      <w:r w:rsidR="00DA2B77">
        <w:rPr>
          <w:sz w:val="22"/>
          <w:szCs w:val="22"/>
        </w:rPr>
        <w:t xml:space="preserve">máximas </w:t>
      </w:r>
      <w:r w:rsidRPr="000E63CD">
        <w:rPr>
          <w:sz w:val="22"/>
          <w:szCs w:val="22"/>
        </w:rPr>
        <w:t xml:space="preserve">contratadas bajo </w:t>
      </w:r>
      <w:r w:rsidR="00DA2B77">
        <w:rPr>
          <w:sz w:val="22"/>
          <w:szCs w:val="22"/>
        </w:rPr>
        <w:t xml:space="preserve">tal </w:t>
      </w:r>
      <w:r w:rsidRPr="000E63CD">
        <w:rPr>
          <w:sz w:val="22"/>
          <w:szCs w:val="22"/>
        </w:rPr>
        <w:t xml:space="preserve">modalidad CF80 sean mayores a las cantidades </w:t>
      </w:r>
      <w:r w:rsidR="00DA2B77">
        <w:rPr>
          <w:sz w:val="22"/>
          <w:szCs w:val="22"/>
        </w:rPr>
        <w:t xml:space="preserve">máximas </w:t>
      </w:r>
      <w:r w:rsidRPr="000E63CD">
        <w:rPr>
          <w:sz w:val="22"/>
          <w:szCs w:val="22"/>
        </w:rPr>
        <w:t xml:space="preserve">que se contratarían bajo la modalidad CF95. </w:t>
      </w:r>
    </w:p>
    <w:p w14:paraId="1DCCD224" w14:textId="77777777" w:rsidR="00C426AA" w:rsidRPr="000E63CD" w:rsidRDefault="00C426AA" w:rsidP="00E33AB4">
      <w:pPr>
        <w:rPr>
          <w:sz w:val="22"/>
          <w:szCs w:val="22"/>
        </w:rPr>
      </w:pPr>
    </w:p>
    <w:p w14:paraId="5B8D3C33" w14:textId="26675109" w:rsidR="006F5920" w:rsidRPr="000E63CD" w:rsidRDefault="00C43398" w:rsidP="001A267E">
      <w:pPr>
        <w:rPr>
          <w:sz w:val="22"/>
          <w:szCs w:val="22"/>
        </w:rPr>
      </w:pPr>
      <w:r w:rsidRPr="000E63CD">
        <w:rPr>
          <w:sz w:val="22"/>
          <w:szCs w:val="22"/>
        </w:rPr>
        <w:t>Ahora bien,</w:t>
      </w:r>
      <w:r w:rsidR="00BE045A" w:rsidRPr="000E63CD">
        <w:rPr>
          <w:sz w:val="22"/>
          <w:szCs w:val="22"/>
        </w:rPr>
        <w:t xml:space="preserve"> es previsible </w:t>
      </w:r>
      <w:r w:rsidR="00392539" w:rsidRPr="000E63CD">
        <w:rPr>
          <w:sz w:val="22"/>
          <w:szCs w:val="22"/>
        </w:rPr>
        <w:t xml:space="preserve">que el precio del gas natural </w:t>
      </w:r>
      <w:r w:rsidR="00BE045A" w:rsidRPr="000E63CD">
        <w:rPr>
          <w:sz w:val="22"/>
          <w:szCs w:val="22"/>
        </w:rPr>
        <w:t>bajo</w:t>
      </w:r>
      <w:r w:rsidR="00392539" w:rsidRPr="000E63CD">
        <w:rPr>
          <w:sz w:val="22"/>
          <w:szCs w:val="22"/>
        </w:rPr>
        <w:t xml:space="preserve"> </w:t>
      </w:r>
      <w:r w:rsidR="00BE045A" w:rsidRPr="000E63CD">
        <w:rPr>
          <w:sz w:val="22"/>
          <w:szCs w:val="22"/>
        </w:rPr>
        <w:t>la modalidad CF80</w:t>
      </w:r>
      <w:r w:rsidR="00392539" w:rsidRPr="000E63CD">
        <w:rPr>
          <w:sz w:val="22"/>
          <w:szCs w:val="22"/>
        </w:rPr>
        <w:t xml:space="preserve"> pued</w:t>
      </w:r>
      <w:r w:rsidR="00BE045A" w:rsidRPr="000E63CD">
        <w:rPr>
          <w:sz w:val="22"/>
          <w:szCs w:val="22"/>
        </w:rPr>
        <w:t>a</w:t>
      </w:r>
      <w:r w:rsidR="00392539" w:rsidRPr="000E63CD">
        <w:rPr>
          <w:sz w:val="22"/>
          <w:szCs w:val="22"/>
        </w:rPr>
        <w:t xml:space="preserve"> ser superior al precio que se pacta en un contrato CF</w:t>
      </w:r>
      <w:r w:rsidR="00BE045A" w:rsidRPr="000E63CD">
        <w:rPr>
          <w:sz w:val="22"/>
          <w:szCs w:val="22"/>
        </w:rPr>
        <w:t>95</w:t>
      </w:r>
      <w:r w:rsidR="00392539" w:rsidRPr="000E63CD">
        <w:rPr>
          <w:sz w:val="22"/>
          <w:szCs w:val="22"/>
        </w:rPr>
        <w:t xml:space="preserve">, </w:t>
      </w:r>
      <w:r w:rsidR="00BE045A" w:rsidRPr="000E63CD">
        <w:rPr>
          <w:sz w:val="22"/>
          <w:szCs w:val="22"/>
        </w:rPr>
        <w:t xml:space="preserve">con base en una misma fuente de suministro, en razón </w:t>
      </w:r>
      <w:r w:rsidR="00291ABC" w:rsidRPr="000E63CD">
        <w:rPr>
          <w:sz w:val="22"/>
          <w:szCs w:val="22"/>
        </w:rPr>
        <w:t>al</w:t>
      </w:r>
      <w:r w:rsidR="00392539" w:rsidRPr="000E63CD">
        <w:rPr>
          <w:sz w:val="22"/>
          <w:szCs w:val="22"/>
        </w:rPr>
        <w:t xml:space="preserve"> </w:t>
      </w:r>
      <w:r w:rsidR="00462BAA" w:rsidRPr="000E63CD">
        <w:rPr>
          <w:sz w:val="22"/>
          <w:szCs w:val="22"/>
        </w:rPr>
        <w:t>mayor riesgo de demanda que asume el vendedor.</w:t>
      </w:r>
      <w:r w:rsidRPr="000E63CD">
        <w:rPr>
          <w:sz w:val="22"/>
          <w:szCs w:val="22"/>
        </w:rPr>
        <w:t xml:space="preserve"> En ese sentido </w:t>
      </w:r>
      <w:r w:rsidR="00193342" w:rsidRPr="000E63CD">
        <w:rPr>
          <w:sz w:val="22"/>
          <w:szCs w:val="22"/>
        </w:rPr>
        <w:t>el interesado en obtener suministro bajo la modalidad CF80 deberá tener en cuenta las venta</w:t>
      </w:r>
      <w:r w:rsidR="00AB72BF" w:rsidRPr="000E63CD">
        <w:rPr>
          <w:sz w:val="22"/>
          <w:szCs w:val="22"/>
        </w:rPr>
        <w:t>ja</w:t>
      </w:r>
      <w:r w:rsidR="00193342" w:rsidRPr="000E63CD">
        <w:rPr>
          <w:sz w:val="22"/>
          <w:szCs w:val="22"/>
        </w:rPr>
        <w:t xml:space="preserve">s de la flexibilidad en cuanto a la variación del consumo que otorga esa modalidad, pero también la contraprestación en un </w:t>
      </w:r>
      <w:r w:rsidR="00706175">
        <w:rPr>
          <w:sz w:val="22"/>
          <w:szCs w:val="22"/>
        </w:rPr>
        <w:t xml:space="preserve">posible </w:t>
      </w:r>
      <w:r w:rsidR="00193342" w:rsidRPr="000E63CD">
        <w:rPr>
          <w:sz w:val="22"/>
          <w:szCs w:val="22"/>
        </w:rPr>
        <w:t xml:space="preserve">mayor precio, de modo tal que las cantidades que </w:t>
      </w:r>
      <w:r w:rsidR="00706175">
        <w:rPr>
          <w:sz w:val="22"/>
          <w:szCs w:val="22"/>
        </w:rPr>
        <w:t xml:space="preserve">se </w:t>
      </w:r>
      <w:r w:rsidR="00212DAE">
        <w:rPr>
          <w:sz w:val="22"/>
          <w:szCs w:val="22"/>
        </w:rPr>
        <w:t xml:space="preserve">determinen </w:t>
      </w:r>
      <w:r w:rsidR="00193342" w:rsidRPr="000E63CD">
        <w:rPr>
          <w:sz w:val="22"/>
          <w:szCs w:val="22"/>
        </w:rPr>
        <w:t xml:space="preserve">contratar </w:t>
      </w:r>
      <w:r w:rsidR="00C426AA">
        <w:rPr>
          <w:sz w:val="22"/>
          <w:szCs w:val="22"/>
        </w:rPr>
        <w:t xml:space="preserve">en el Mercado Primario </w:t>
      </w:r>
      <w:r w:rsidR="00193342" w:rsidRPr="000E63CD">
        <w:rPr>
          <w:sz w:val="22"/>
          <w:szCs w:val="22"/>
        </w:rPr>
        <w:t>sean l</w:t>
      </w:r>
      <w:r w:rsidR="009D03D6" w:rsidRPr="000E63CD">
        <w:rPr>
          <w:sz w:val="22"/>
          <w:szCs w:val="22"/>
        </w:rPr>
        <w:t>o</w:t>
      </w:r>
      <w:r w:rsidR="00193342" w:rsidRPr="000E63CD">
        <w:rPr>
          <w:sz w:val="22"/>
          <w:szCs w:val="22"/>
        </w:rPr>
        <w:t xml:space="preserve"> más </w:t>
      </w:r>
      <w:r w:rsidR="009D03D6" w:rsidRPr="000E63CD">
        <w:rPr>
          <w:sz w:val="22"/>
          <w:szCs w:val="22"/>
        </w:rPr>
        <w:t xml:space="preserve">optimizadas </w:t>
      </w:r>
      <w:r w:rsidR="006E3A38">
        <w:rPr>
          <w:sz w:val="22"/>
          <w:szCs w:val="22"/>
        </w:rPr>
        <w:t xml:space="preserve">por el comprador </w:t>
      </w:r>
      <w:r w:rsidR="008E1C34" w:rsidRPr="000E63CD">
        <w:rPr>
          <w:sz w:val="22"/>
          <w:szCs w:val="22"/>
        </w:rPr>
        <w:t xml:space="preserve">y no </w:t>
      </w:r>
      <w:r w:rsidR="00706175">
        <w:rPr>
          <w:sz w:val="22"/>
          <w:szCs w:val="22"/>
        </w:rPr>
        <w:t xml:space="preserve">se </w:t>
      </w:r>
      <w:r w:rsidR="008E1C34" w:rsidRPr="000E63CD">
        <w:rPr>
          <w:sz w:val="22"/>
          <w:szCs w:val="22"/>
        </w:rPr>
        <w:t>pretenda “atrapar” cantidades</w:t>
      </w:r>
      <w:r w:rsidR="00C426AA">
        <w:rPr>
          <w:sz w:val="22"/>
          <w:szCs w:val="22"/>
        </w:rPr>
        <w:t xml:space="preserve"> que no se proyect</w:t>
      </w:r>
      <w:r w:rsidR="005F203B">
        <w:rPr>
          <w:sz w:val="22"/>
          <w:szCs w:val="22"/>
        </w:rPr>
        <w:t>e</w:t>
      </w:r>
      <w:r w:rsidR="00C426AA">
        <w:rPr>
          <w:sz w:val="22"/>
          <w:szCs w:val="22"/>
        </w:rPr>
        <w:t>n utilizar</w:t>
      </w:r>
      <w:r w:rsidR="005F203B">
        <w:rPr>
          <w:sz w:val="22"/>
          <w:szCs w:val="22"/>
        </w:rPr>
        <w:t xml:space="preserve"> en sus </w:t>
      </w:r>
      <w:r w:rsidR="00DA2B77">
        <w:rPr>
          <w:sz w:val="22"/>
          <w:szCs w:val="22"/>
        </w:rPr>
        <w:t xml:space="preserve">propios </w:t>
      </w:r>
      <w:r w:rsidR="005F203B">
        <w:rPr>
          <w:sz w:val="22"/>
          <w:szCs w:val="22"/>
        </w:rPr>
        <w:t>mercados de comercialización</w:t>
      </w:r>
      <w:r w:rsidR="009D03D6" w:rsidRPr="000E63CD">
        <w:rPr>
          <w:sz w:val="22"/>
          <w:szCs w:val="22"/>
        </w:rPr>
        <w:t>.</w:t>
      </w:r>
      <w:r w:rsidR="00CD1F70">
        <w:rPr>
          <w:sz w:val="22"/>
          <w:szCs w:val="22"/>
        </w:rPr>
        <w:t xml:space="preserve"> Habrá entonces, agentes que representan demanda cuyo perfil de consumo lleva a buscar un contrato de suministro ce modalidad CF80 y otros en que lo más eficiente es contratar bajo la modalidad CF95.</w:t>
      </w:r>
    </w:p>
    <w:p w14:paraId="7837DC2C" w14:textId="77777777" w:rsidR="00911108" w:rsidRPr="000E63CD" w:rsidRDefault="00911108" w:rsidP="001A267E">
      <w:pPr>
        <w:rPr>
          <w:sz w:val="22"/>
          <w:szCs w:val="22"/>
        </w:rPr>
      </w:pPr>
    </w:p>
    <w:p w14:paraId="1B835FCC" w14:textId="0CF0EB73" w:rsidR="00911108" w:rsidRPr="000E63CD" w:rsidRDefault="00DA2B77" w:rsidP="001A267E">
      <w:pPr>
        <w:rPr>
          <w:sz w:val="22"/>
          <w:szCs w:val="22"/>
        </w:rPr>
      </w:pPr>
      <w:r>
        <w:rPr>
          <w:sz w:val="22"/>
          <w:szCs w:val="22"/>
        </w:rPr>
        <w:t>Cabe explicar que</w:t>
      </w:r>
      <w:r w:rsidR="007378DC" w:rsidRPr="000E63CD">
        <w:rPr>
          <w:sz w:val="22"/>
          <w:szCs w:val="22"/>
        </w:rPr>
        <w:t xml:space="preserve"> e</w:t>
      </w:r>
      <w:r w:rsidR="00911108" w:rsidRPr="000E63CD">
        <w:rPr>
          <w:sz w:val="22"/>
          <w:szCs w:val="22"/>
        </w:rPr>
        <w:t xml:space="preserve">l porcentaje de </w:t>
      </w:r>
      <w:r w:rsidR="007378DC" w:rsidRPr="000E63CD">
        <w:rPr>
          <w:sz w:val="22"/>
          <w:szCs w:val="22"/>
        </w:rPr>
        <w:t xml:space="preserve">pago mínimo del </w:t>
      </w:r>
      <w:r w:rsidR="00091052" w:rsidRPr="000E63CD">
        <w:rPr>
          <w:sz w:val="22"/>
          <w:szCs w:val="22"/>
        </w:rPr>
        <w:t>ochenta por ciento (</w:t>
      </w:r>
      <w:r w:rsidR="00911108" w:rsidRPr="000E63CD">
        <w:rPr>
          <w:sz w:val="22"/>
          <w:szCs w:val="22"/>
        </w:rPr>
        <w:t>80%</w:t>
      </w:r>
      <w:r w:rsidR="00091052" w:rsidRPr="000E63CD">
        <w:rPr>
          <w:sz w:val="22"/>
          <w:szCs w:val="22"/>
        </w:rPr>
        <w:t>)</w:t>
      </w:r>
      <w:r w:rsidR="00911108" w:rsidRPr="000E63CD">
        <w:rPr>
          <w:sz w:val="22"/>
          <w:szCs w:val="22"/>
        </w:rPr>
        <w:t xml:space="preserve"> se ha determinado con base en las recomendaciones del </w:t>
      </w:r>
      <w:r w:rsidR="005114C6">
        <w:rPr>
          <w:sz w:val="22"/>
          <w:szCs w:val="22"/>
        </w:rPr>
        <w:t>Gestor del Mercado</w:t>
      </w:r>
      <w:r w:rsidR="004C4F1E">
        <w:rPr>
          <w:sz w:val="22"/>
          <w:szCs w:val="22"/>
        </w:rPr>
        <w:t xml:space="preserve"> de Gas</w:t>
      </w:r>
      <w:r w:rsidR="00DD058D" w:rsidRPr="000E63CD">
        <w:rPr>
          <w:sz w:val="22"/>
          <w:szCs w:val="22"/>
        </w:rPr>
        <w:t xml:space="preserve"> </w:t>
      </w:r>
      <w:r w:rsidR="00391859" w:rsidRPr="000E63CD">
        <w:rPr>
          <w:sz w:val="22"/>
          <w:szCs w:val="22"/>
        </w:rPr>
        <w:t xml:space="preserve">de nuevos productos propuestos a la CREG para ser incluidos en el mercado mayorista, </w:t>
      </w:r>
      <w:r w:rsidR="00DD058D" w:rsidRPr="000E63CD">
        <w:rPr>
          <w:sz w:val="22"/>
          <w:szCs w:val="22"/>
        </w:rPr>
        <w:t xml:space="preserve">después de analizar los porcentajes </w:t>
      </w:r>
      <w:r w:rsidR="00F72F49" w:rsidRPr="000E63CD">
        <w:rPr>
          <w:sz w:val="22"/>
          <w:szCs w:val="22"/>
        </w:rPr>
        <w:t>que se obtiene</w:t>
      </w:r>
      <w:r w:rsidR="00391859" w:rsidRPr="000E63CD">
        <w:rPr>
          <w:sz w:val="22"/>
          <w:szCs w:val="22"/>
        </w:rPr>
        <w:t>n</w:t>
      </w:r>
      <w:r w:rsidR="00F72F49" w:rsidRPr="000E63CD">
        <w:rPr>
          <w:sz w:val="22"/>
          <w:szCs w:val="22"/>
        </w:rPr>
        <w:t xml:space="preserve"> de la comparación </w:t>
      </w:r>
      <w:r w:rsidR="00DD058D" w:rsidRPr="000E63CD">
        <w:rPr>
          <w:sz w:val="22"/>
          <w:szCs w:val="22"/>
        </w:rPr>
        <w:t>de</w:t>
      </w:r>
      <w:r w:rsidR="001536FE" w:rsidRPr="000E63CD">
        <w:rPr>
          <w:sz w:val="22"/>
          <w:szCs w:val="22"/>
        </w:rPr>
        <w:t xml:space="preserve"> las cantidades contratadas en el </w:t>
      </w:r>
      <w:r w:rsidR="00AC32B5">
        <w:rPr>
          <w:sz w:val="22"/>
          <w:szCs w:val="22"/>
        </w:rPr>
        <w:t>Mercado Primario</w:t>
      </w:r>
      <w:r w:rsidR="001536FE" w:rsidRPr="000E63CD">
        <w:rPr>
          <w:sz w:val="22"/>
          <w:szCs w:val="22"/>
        </w:rPr>
        <w:t xml:space="preserve"> </w:t>
      </w:r>
      <w:r w:rsidR="00D72469" w:rsidRPr="000E63CD">
        <w:rPr>
          <w:sz w:val="22"/>
          <w:szCs w:val="22"/>
        </w:rPr>
        <w:t>con</w:t>
      </w:r>
      <w:r w:rsidR="001536FE" w:rsidRPr="000E63CD">
        <w:rPr>
          <w:sz w:val="22"/>
          <w:szCs w:val="22"/>
        </w:rPr>
        <w:t xml:space="preserve"> las cantidades finalmente utilizadas por los mismos agentes</w:t>
      </w:r>
      <w:r w:rsidR="00621F65" w:rsidRPr="000E63CD">
        <w:rPr>
          <w:sz w:val="22"/>
          <w:szCs w:val="22"/>
        </w:rPr>
        <w:t xml:space="preserve"> para el período transcurrido entre </w:t>
      </w:r>
      <w:r w:rsidR="00F441ED">
        <w:rPr>
          <w:sz w:val="22"/>
          <w:szCs w:val="22"/>
        </w:rPr>
        <w:t xml:space="preserve">enero de </w:t>
      </w:r>
      <w:r w:rsidR="00621F65" w:rsidRPr="000E63CD">
        <w:rPr>
          <w:sz w:val="22"/>
          <w:szCs w:val="22"/>
        </w:rPr>
        <w:t>2018 y 18 de septiembre de 2021</w:t>
      </w:r>
      <w:r w:rsidR="001536FE" w:rsidRPr="000E63CD">
        <w:rPr>
          <w:sz w:val="22"/>
          <w:szCs w:val="22"/>
        </w:rPr>
        <w:t>. Ad</w:t>
      </w:r>
      <w:r w:rsidR="003F1EA7" w:rsidRPr="000E63CD">
        <w:rPr>
          <w:sz w:val="22"/>
          <w:szCs w:val="22"/>
        </w:rPr>
        <w:t>i</w:t>
      </w:r>
      <w:r w:rsidR="001536FE" w:rsidRPr="000E63CD">
        <w:rPr>
          <w:sz w:val="22"/>
          <w:szCs w:val="22"/>
        </w:rPr>
        <w:t>c</w:t>
      </w:r>
      <w:r w:rsidR="003F1EA7" w:rsidRPr="000E63CD">
        <w:rPr>
          <w:sz w:val="22"/>
          <w:szCs w:val="22"/>
        </w:rPr>
        <w:t>i</w:t>
      </w:r>
      <w:r w:rsidR="001536FE" w:rsidRPr="000E63CD">
        <w:rPr>
          <w:sz w:val="22"/>
          <w:szCs w:val="22"/>
        </w:rPr>
        <w:t>onal</w:t>
      </w:r>
      <w:r w:rsidR="00D57510" w:rsidRPr="000E63CD">
        <w:rPr>
          <w:sz w:val="22"/>
          <w:szCs w:val="22"/>
        </w:rPr>
        <w:t xml:space="preserve"> a lo anterior, </w:t>
      </w:r>
      <w:r w:rsidR="001536FE" w:rsidRPr="000E63CD">
        <w:rPr>
          <w:sz w:val="22"/>
          <w:szCs w:val="22"/>
        </w:rPr>
        <w:t xml:space="preserve">se tuvo en cuenta </w:t>
      </w:r>
      <w:r w:rsidR="00AE034F" w:rsidRPr="000E63CD">
        <w:rPr>
          <w:sz w:val="22"/>
          <w:szCs w:val="22"/>
        </w:rPr>
        <w:t xml:space="preserve">que en la contratación de capacidad de transporte un valor de pago </w:t>
      </w:r>
      <w:r w:rsidR="0076416B" w:rsidRPr="000E63CD">
        <w:rPr>
          <w:sz w:val="22"/>
          <w:szCs w:val="22"/>
        </w:rPr>
        <w:t>mínimo</w:t>
      </w:r>
      <w:r w:rsidR="00AE034F" w:rsidRPr="000E63CD">
        <w:rPr>
          <w:sz w:val="22"/>
          <w:szCs w:val="22"/>
        </w:rPr>
        <w:t xml:space="preserve"> del 80% es el más utilizado por los agentes del mercado, lo que facilita el acople entre la contratación del suministro de gas natural y la contratación de la capacidad de transporte de gas natural.</w:t>
      </w:r>
      <w:r w:rsidR="00CD1F70">
        <w:rPr>
          <w:sz w:val="22"/>
          <w:szCs w:val="22"/>
        </w:rPr>
        <w:t xml:space="preserve"> Lo anterior no implica, como se dijo anteriormente, que lo más adecuado sea suscribir contratos CF80, pues ello depende de la disposición del vendedor en ofrecerlos y del precio que se propone para esa disposición.</w:t>
      </w:r>
    </w:p>
    <w:p w14:paraId="6A6C351F" w14:textId="3EF3DC24" w:rsidR="00CE7805" w:rsidRDefault="00CE7805" w:rsidP="001A267E">
      <w:pPr>
        <w:rPr>
          <w:sz w:val="22"/>
          <w:szCs w:val="22"/>
        </w:rPr>
      </w:pPr>
    </w:p>
    <w:p w14:paraId="2C5114D1" w14:textId="77777777" w:rsidR="00771A16" w:rsidRPr="000E63CD" w:rsidRDefault="00771A16" w:rsidP="001A267E">
      <w:pPr>
        <w:rPr>
          <w:sz w:val="22"/>
          <w:szCs w:val="22"/>
        </w:rPr>
      </w:pPr>
    </w:p>
    <w:p w14:paraId="6116E9B9" w14:textId="17FFD5CE" w:rsidR="00CE7805" w:rsidRPr="000E63CD" w:rsidRDefault="00CE7805" w:rsidP="00CE7805">
      <w:pPr>
        <w:pStyle w:val="Ttulo2"/>
        <w:rPr>
          <w:sz w:val="22"/>
          <w:szCs w:val="22"/>
        </w:rPr>
      </w:pPr>
      <w:r w:rsidRPr="000E63CD">
        <w:rPr>
          <w:sz w:val="22"/>
          <w:szCs w:val="22"/>
        </w:rPr>
        <w:t xml:space="preserve">   </w:t>
      </w:r>
      <w:bookmarkStart w:id="418" w:name="_Ref130637301"/>
      <w:bookmarkStart w:id="419" w:name="_Toc140506218"/>
      <w:r w:rsidRPr="000E63CD">
        <w:rPr>
          <w:sz w:val="22"/>
          <w:szCs w:val="22"/>
        </w:rPr>
        <w:t>Inclusión de modalidades de contratos propuestas por los agentes del mercado</w:t>
      </w:r>
      <w:r w:rsidR="007B207C" w:rsidRPr="000E63CD">
        <w:rPr>
          <w:sz w:val="22"/>
          <w:szCs w:val="22"/>
        </w:rPr>
        <w:t xml:space="preserve"> mayorista</w:t>
      </w:r>
      <w:bookmarkEnd w:id="418"/>
      <w:bookmarkEnd w:id="419"/>
    </w:p>
    <w:p w14:paraId="2373CEC3" w14:textId="4FC352C0" w:rsidR="005909E6" w:rsidRPr="000E63CD" w:rsidRDefault="009A14D7" w:rsidP="00B06E11">
      <w:pPr>
        <w:rPr>
          <w:sz w:val="22"/>
          <w:szCs w:val="22"/>
        </w:rPr>
      </w:pPr>
      <w:r w:rsidRPr="000E63CD">
        <w:rPr>
          <w:sz w:val="22"/>
          <w:szCs w:val="22"/>
        </w:rPr>
        <w:t xml:space="preserve">Se propone </w:t>
      </w:r>
      <w:r w:rsidR="004628B3" w:rsidRPr="000E63CD">
        <w:rPr>
          <w:sz w:val="22"/>
          <w:szCs w:val="22"/>
        </w:rPr>
        <w:t xml:space="preserve">la inclusión </w:t>
      </w:r>
      <w:r w:rsidR="0035544A" w:rsidRPr="000E63CD">
        <w:rPr>
          <w:sz w:val="22"/>
          <w:szCs w:val="22"/>
        </w:rPr>
        <w:t xml:space="preserve">en la regulación </w:t>
      </w:r>
      <w:r w:rsidR="00C753A8" w:rsidRPr="000E63CD">
        <w:rPr>
          <w:sz w:val="22"/>
          <w:szCs w:val="22"/>
        </w:rPr>
        <w:t xml:space="preserve">del </w:t>
      </w:r>
      <w:r w:rsidR="00AC32B5">
        <w:rPr>
          <w:sz w:val="22"/>
          <w:szCs w:val="22"/>
        </w:rPr>
        <w:t>Mercado Primario</w:t>
      </w:r>
      <w:r w:rsidR="008F2D92" w:rsidRPr="000E63CD">
        <w:rPr>
          <w:sz w:val="22"/>
          <w:szCs w:val="22"/>
        </w:rPr>
        <w:t xml:space="preserve">, </w:t>
      </w:r>
      <w:r w:rsidR="004628B3" w:rsidRPr="000E63CD">
        <w:rPr>
          <w:sz w:val="22"/>
          <w:szCs w:val="22"/>
        </w:rPr>
        <w:t xml:space="preserve">de </w:t>
      </w:r>
      <w:r w:rsidR="008F2D92" w:rsidRPr="000E63CD">
        <w:rPr>
          <w:sz w:val="22"/>
          <w:szCs w:val="22"/>
        </w:rPr>
        <w:t>nuevas</w:t>
      </w:r>
      <w:r w:rsidR="0035544A" w:rsidRPr="000E63CD">
        <w:rPr>
          <w:sz w:val="22"/>
          <w:szCs w:val="22"/>
        </w:rPr>
        <w:t xml:space="preserve"> </w:t>
      </w:r>
      <w:r w:rsidR="004628B3" w:rsidRPr="000E63CD">
        <w:rPr>
          <w:sz w:val="22"/>
          <w:szCs w:val="22"/>
        </w:rPr>
        <w:t>modalidades de contratos propuestas por los agentes del mercado mayorista. Lo anterior teniendo en cuenta que</w:t>
      </w:r>
      <w:r w:rsidR="00C95C03" w:rsidRPr="000E63CD">
        <w:rPr>
          <w:sz w:val="22"/>
          <w:szCs w:val="22"/>
        </w:rPr>
        <w:t xml:space="preserve">, de acuerdo con </w:t>
      </w:r>
      <w:r w:rsidR="0075315B" w:rsidRPr="000E63CD">
        <w:rPr>
          <w:sz w:val="22"/>
          <w:szCs w:val="22"/>
        </w:rPr>
        <w:t xml:space="preserve">el </w:t>
      </w:r>
      <w:r w:rsidR="00141515" w:rsidRPr="000E63CD">
        <w:rPr>
          <w:sz w:val="22"/>
          <w:szCs w:val="22"/>
        </w:rPr>
        <w:t xml:space="preserve">literal a) del </w:t>
      </w:r>
      <w:r w:rsidR="0075315B" w:rsidRPr="000E63CD">
        <w:rPr>
          <w:sz w:val="22"/>
          <w:szCs w:val="22"/>
        </w:rPr>
        <w:t>Artículo 2.2.2.2.</w:t>
      </w:r>
      <w:r w:rsidR="00141515" w:rsidRPr="000E63CD">
        <w:rPr>
          <w:sz w:val="22"/>
          <w:szCs w:val="22"/>
        </w:rPr>
        <w:t>42</w:t>
      </w:r>
      <w:r w:rsidR="0075315B" w:rsidRPr="000E63CD">
        <w:rPr>
          <w:sz w:val="22"/>
          <w:szCs w:val="22"/>
        </w:rPr>
        <w:t xml:space="preserve"> “</w:t>
      </w:r>
      <w:r w:rsidR="002D4B44" w:rsidRPr="000E63CD">
        <w:rPr>
          <w:i/>
          <w:iCs/>
          <w:sz w:val="22"/>
          <w:szCs w:val="22"/>
        </w:rPr>
        <w:t>Funcionamiento del mercado mayorista.</w:t>
      </w:r>
      <w:r w:rsidR="007E2D89" w:rsidRPr="000E63CD">
        <w:rPr>
          <w:sz w:val="22"/>
          <w:szCs w:val="22"/>
        </w:rPr>
        <w:t xml:space="preserve">” </w:t>
      </w:r>
      <w:r w:rsidR="00C95C03" w:rsidRPr="000E63CD">
        <w:rPr>
          <w:sz w:val="22"/>
          <w:szCs w:val="22"/>
        </w:rPr>
        <w:t xml:space="preserve">del Decreto 1073 de 2015, </w:t>
      </w:r>
      <w:r w:rsidR="00B06E11" w:rsidRPr="000E63CD">
        <w:rPr>
          <w:sz w:val="22"/>
          <w:szCs w:val="22"/>
        </w:rPr>
        <w:t>“</w:t>
      </w:r>
      <w:r w:rsidR="00B06E11" w:rsidRPr="000E63CD">
        <w:rPr>
          <w:i/>
          <w:iCs/>
          <w:sz w:val="22"/>
          <w:szCs w:val="22"/>
        </w:rPr>
        <w:t>Al expedir el reglamento de operación mediante el cual se regula el funcionamiento del mercado mayorista de gas natural, la Comisión de Regulación de Energía y Gas podrá:</w:t>
      </w:r>
      <w:r w:rsidR="007006B0" w:rsidRPr="000E63CD">
        <w:rPr>
          <w:i/>
          <w:iCs/>
          <w:sz w:val="22"/>
          <w:szCs w:val="22"/>
        </w:rPr>
        <w:t xml:space="preserve"> </w:t>
      </w:r>
      <w:r w:rsidR="00B06E11" w:rsidRPr="000E63CD">
        <w:rPr>
          <w:i/>
          <w:iCs/>
          <w:sz w:val="22"/>
          <w:szCs w:val="22"/>
        </w:rPr>
        <w:t xml:space="preserve">a) Establecer los lineamientos y las condiciones de participación en el mercado mayorista, </w:t>
      </w:r>
      <w:r w:rsidR="00B06E11" w:rsidRPr="000E63CD">
        <w:rPr>
          <w:b/>
          <w:bCs/>
          <w:i/>
          <w:iCs/>
          <w:sz w:val="22"/>
          <w:szCs w:val="22"/>
          <w:u w:val="single"/>
        </w:rPr>
        <w:t>las modalidades</w:t>
      </w:r>
      <w:r w:rsidR="00B06E11" w:rsidRPr="000E63CD">
        <w:rPr>
          <w:i/>
          <w:iCs/>
          <w:sz w:val="22"/>
          <w:szCs w:val="22"/>
        </w:rPr>
        <w:t xml:space="preserve"> y requisitos mínimos de ofertas y </w:t>
      </w:r>
      <w:r w:rsidR="00B06E11" w:rsidRPr="000E63CD">
        <w:rPr>
          <w:b/>
          <w:bCs/>
          <w:i/>
          <w:iCs/>
          <w:sz w:val="22"/>
          <w:szCs w:val="22"/>
          <w:u w:val="single"/>
        </w:rPr>
        <w:t>contratos</w:t>
      </w:r>
      <w:r w:rsidR="00B06E11" w:rsidRPr="000E63CD">
        <w:rPr>
          <w:i/>
          <w:iCs/>
          <w:sz w:val="22"/>
          <w:szCs w:val="22"/>
        </w:rPr>
        <w:t>, los procedimientos y los demás aspectos que requieran los mecanismos de comercialización de gas natural y de su transporte</w:t>
      </w:r>
      <w:r w:rsidR="005A6F5B" w:rsidRPr="000E63CD">
        <w:rPr>
          <w:i/>
          <w:iCs/>
          <w:sz w:val="22"/>
          <w:szCs w:val="22"/>
        </w:rPr>
        <w:t xml:space="preserve"> </w:t>
      </w:r>
      <w:r w:rsidR="00B06E11" w:rsidRPr="000E63CD">
        <w:rPr>
          <w:i/>
          <w:iCs/>
          <w:sz w:val="22"/>
          <w:szCs w:val="22"/>
        </w:rPr>
        <w:t>en el mercado mayorista</w:t>
      </w:r>
      <w:r w:rsidR="005A6F5B" w:rsidRPr="000E63CD">
        <w:rPr>
          <w:sz w:val="22"/>
          <w:szCs w:val="22"/>
        </w:rPr>
        <w:t>” (subrayado con resaltado fuera de texto)</w:t>
      </w:r>
      <w:r w:rsidR="006F3810" w:rsidRPr="000E63CD">
        <w:rPr>
          <w:sz w:val="22"/>
          <w:szCs w:val="22"/>
        </w:rPr>
        <w:t>.</w:t>
      </w:r>
    </w:p>
    <w:p w14:paraId="13B1EC13" w14:textId="77777777" w:rsidR="001574BD" w:rsidRPr="000E63CD" w:rsidRDefault="001574BD" w:rsidP="00CE7805">
      <w:pPr>
        <w:rPr>
          <w:sz w:val="22"/>
          <w:szCs w:val="22"/>
        </w:rPr>
      </w:pPr>
    </w:p>
    <w:p w14:paraId="5E8B175F" w14:textId="086BB454" w:rsidR="007B4CBB" w:rsidRPr="000E63CD" w:rsidRDefault="007006B0" w:rsidP="00CE7805">
      <w:pPr>
        <w:rPr>
          <w:sz w:val="22"/>
          <w:szCs w:val="22"/>
        </w:rPr>
      </w:pPr>
      <w:r w:rsidRPr="000E63CD">
        <w:rPr>
          <w:sz w:val="22"/>
          <w:szCs w:val="22"/>
        </w:rPr>
        <w:t>En este sentido</w:t>
      </w:r>
      <w:r w:rsidR="00E305EC" w:rsidRPr="000E63CD">
        <w:rPr>
          <w:sz w:val="22"/>
          <w:szCs w:val="22"/>
        </w:rPr>
        <w:t>,</w:t>
      </w:r>
      <w:r w:rsidRPr="000E63CD">
        <w:rPr>
          <w:sz w:val="22"/>
          <w:szCs w:val="22"/>
        </w:rPr>
        <w:t xml:space="preserve"> es función de la CREG establecer las modalidades de los contratos del </w:t>
      </w:r>
      <w:r w:rsidR="00E305EC" w:rsidRPr="000E63CD">
        <w:rPr>
          <w:sz w:val="22"/>
          <w:szCs w:val="22"/>
        </w:rPr>
        <w:t xml:space="preserve">mercado mayorista de suministro de gas natural, sin que ello signifique </w:t>
      </w:r>
      <w:r w:rsidR="00962101" w:rsidRPr="000E63CD">
        <w:rPr>
          <w:sz w:val="22"/>
          <w:szCs w:val="22"/>
        </w:rPr>
        <w:t xml:space="preserve">que </w:t>
      </w:r>
      <w:r w:rsidR="00E305EC" w:rsidRPr="000E63CD">
        <w:rPr>
          <w:sz w:val="22"/>
          <w:szCs w:val="22"/>
        </w:rPr>
        <w:t xml:space="preserve">esas modalidades solamente pueden ser de iniciativa de la CREG. </w:t>
      </w:r>
      <w:r w:rsidR="00EC5123" w:rsidRPr="000E63CD">
        <w:rPr>
          <w:sz w:val="22"/>
          <w:szCs w:val="22"/>
        </w:rPr>
        <w:t>Es por lo anterior que</w:t>
      </w:r>
      <w:r w:rsidR="001F5A9A">
        <w:rPr>
          <w:sz w:val="22"/>
          <w:szCs w:val="22"/>
        </w:rPr>
        <w:t>,</w:t>
      </w:r>
      <w:r w:rsidR="00962101" w:rsidRPr="000E63CD">
        <w:rPr>
          <w:sz w:val="22"/>
          <w:szCs w:val="22"/>
        </w:rPr>
        <w:t xml:space="preserve"> la </w:t>
      </w:r>
      <w:r w:rsidR="008F2D92" w:rsidRPr="000E63CD">
        <w:rPr>
          <w:sz w:val="22"/>
          <w:szCs w:val="22"/>
        </w:rPr>
        <w:t xml:space="preserve">posibilidad de </w:t>
      </w:r>
      <w:r w:rsidR="00962101" w:rsidRPr="000E63CD">
        <w:rPr>
          <w:sz w:val="22"/>
          <w:szCs w:val="22"/>
        </w:rPr>
        <w:t>aproba</w:t>
      </w:r>
      <w:r w:rsidR="008F2D92" w:rsidRPr="000E63CD">
        <w:rPr>
          <w:sz w:val="22"/>
          <w:szCs w:val="22"/>
        </w:rPr>
        <w:t>r</w:t>
      </w:r>
      <w:r w:rsidR="00962101" w:rsidRPr="000E63CD">
        <w:rPr>
          <w:sz w:val="22"/>
          <w:szCs w:val="22"/>
        </w:rPr>
        <w:t xml:space="preserve"> modalidades contractuales </w:t>
      </w:r>
      <w:r w:rsidR="008F2D92" w:rsidRPr="000E63CD">
        <w:rPr>
          <w:sz w:val="22"/>
          <w:szCs w:val="22"/>
        </w:rPr>
        <w:t xml:space="preserve">propuestas por los agentes </w:t>
      </w:r>
      <w:r w:rsidR="00962101" w:rsidRPr="000E63CD">
        <w:rPr>
          <w:sz w:val="22"/>
          <w:szCs w:val="22"/>
        </w:rPr>
        <w:t xml:space="preserve">se dará en forma general y no </w:t>
      </w:r>
      <w:r w:rsidR="00EC5123" w:rsidRPr="000E63CD">
        <w:rPr>
          <w:sz w:val="22"/>
          <w:szCs w:val="22"/>
        </w:rPr>
        <w:t xml:space="preserve">para aplicación </w:t>
      </w:r>
      <w:r w:rsidR="00962101" w:rsidRPr="000E63CD">
        <w:rPr>
          <w:sz w:val="22"/>
          <w:szCs w:val="22"/>
        </w:rPr>
        <w:t xml:space="preserve">particular, </w:t>
      </w:r>
      <w:r w:rsidR="00EC5123" w:rsidRPr="000E63CD">
        <w:rPr>
          <w:sz w:val="22"/>
          <w:szCs w:val="22"/>
        </w:rPr>
        <w:t xml:space="preserve">de modo </w:t>
      </w:r>
      <w:r w:rsidR="00962101" w:rsidRPr="000E63CD">
        <w:rPr>
          <w:sz w:val="22"/>
          <w:szCs w:val="22"/>
        </w:rPr>
        <w:t xml:space="preserve">que cualquier agente que desee utilizar la modalidad contractual </w:t>
      </w:r>
      <w:r w:rsidR="008F2D92" w:rsidRPr="000E63CD">
        <w:rPr>
          <w:sz w:val="22"/>
          <w:szCs w:val="22"/>
        </w:rPr>
        <w:t>de iniciativa de otro agente</w:t>
      </w:r>
      <w:r w:rsidR="00962101" w:rsidRPr="000E63CD">
        <w:rPr>
          <w:sz w:val="22"/>
          <w:szCs w:val="22"/>
        </w:rPr>
        <w:t>, lo pueda hacer una vez surtido el procedimiento de aprobación</w:t>
      </w:r>
      <w:r w:rsidR="008F2D92" w:rsidRPr="000E63CD">
        <w:rPr>
          <w:sz w:val="22"/>
          <w:szCs w:val="22"/>
        </w:rPr>
        <w:t xml:space="preserve"> que requiere la regulación general que expide la CREG</w:t>
      </w:r>
      <w:r w:rsidR="007B115E">
        <w:rPr>
          <w:sz w:val="22"/>
          <w:szCs w:val="22"/>
        </w:rPr>
        <w:t>, de acuerdo con lo establecido en su reglamento interno, que en este caso es la Resolución CREG 039 de 2017</w:t>
      </w:r>
      <w:r w:rsidR="00EC5123" w:rsidRPr="000E63CD">
        <w:rPr>
          <w:sz w:val="22"/>
          <w:szCs w:val="22"/>
        </w:rPr>
        <w:t xml:space="preserve">. </w:t>
      </w:r>
    </w:p>
    <w:p w14:paraId="4ECCA5E5" w14:textId="77777777" w:rsidR="001A4F1B" w:rsidRPr="000E63CD" w:rsidRDefault="001A4F1B" w:rsidP="00CE7805">
      <w:pPr>
        <w:rPr>
          <w:sz w:val="22"/>
          <w:szCs w:val="22"/>
        </w:rPr>
      </w:pPr>
    </w:p>
    <w:p w14:paraId="3A592ACF" w14:textId="410D0DE1" w:rsidR="00CE7805" w:rsidRPr="000E63CD" w:rsidRDefault="00C605C0" w:rsidP="00CE7805">
      <w:pPr>
        <w:rPr>
          <w:sz w:val="22"/>
          <w:szCs w:val="22"/>
        </w:rPr>
      </w:pPr>
      <w:r w:rsidRPr="000E63CD">
        <w:rPr>
          <w:sz w:val="22"/>
          <w:szCs w:val="22"/>
        </w:rPr>
        <w:t>Ahora bien, s</w:t>
      </w:r>
      <w:r w:rsidR="001A4F1B" w:rsidRPr="000E63CD">
        <w:rPr>
          <w:sz w:val="22"/>
          <w:szCs w:val="22"/>
        </w:rPr>
        <w:t xml:space="preserve">e propone </w:t>
      </w:r>
      <w:r w:rsidRPr="000E63CD">
        <w:rPr>
          <w:sz w:val="22"/>
          <w:szCs w:val="22"/>
        </w:rPr>
        <w:t xml:space="preserve">que </w:t>
      </w:r>
      <w:r w:rsidR="00F95076" w:rsidRPr="000E63CD">
        <w:rPr>
          <w:sz w:val="22"/>
          <w:szCs w:val="22"/>
        </w:rPr>
        <w:t xml:space="preserve">para iniciar el proceso regulatorio de adopción de la </w:t>
      </w:r>
      <w:r w:rsidR="00047AE9" w:rsidRPr="000E63CD">
        <w:rPr>
          <w:sz w:val="22"/>
          <w:szCs w:val="22"/>
        </w:rPr>
        <w:t>modalidad propuesta se cumpla la condición de que</w:t>
      </w:r>
      <w:r w:rsidR="00F95076" w:rsidRPr="000E63CD">
        <w:rPr>
          <w:sz w:val="22"/>
          <w:szCs w:val="22"/>
        </w:rPr>
        <w:t xml:space="preserve"> la modalidad contractual que se solicita incluir pueda negociarse utilizando los mecanismos de comercialización establecidos en la </w:t>
      </w:r>
      <w:r w:rsidR="00047AE9" w:rsidRPr="000E63CD">
        <w:rPr>
          <w:sz w:val="22"/>
          <w:szCs w:val="22"/>
        </w:rPr>
        <w:t>propuesta de la</w:t>
      </w:r>
      <w:r w:rsidR="00F95076" w:rsidRPr="000E63CD">
        <w:rPr>
          <w:sz w:val="22"/>
          <w:szCs w:val="22"/>
        </w:rPr>
        <w:t xml:space="preserve"> Resolución</w:t>
      </w:r>
      <w:r w:rsidR="008A5F86" w:rsidRPr="000E63CD">
        <w:rPr>
          <w:sz w:val="22"/>
          <w:szCs w:val="22"/>
        </w:rPr>
        <w:t xml:space="preserve"> y, además, que los</w:t>
      </w:r>
      <w:r w:rsidR="00F95076" w:rsidRPr="000E63CD">
        <w:rPr>
          <w:sz w:val="22"/>
          <w:szCs w:val="22"/>
        </w:rPr>
        <w:t xml:space="preserve"> tipos de contratos </w:t>
      </w:r>
      <w:r w:rsidR="008A5F86" w:rsidRPr="000E63CD">
        <w:rPr>
          <w:sz w:val="22"/>
          <w:szCs w:val="22"/>
        </w:rPr>
        <w:t xml:space="preserve">que se propongan </w:t>
      </w:r>
      <w:r w:rsidR="00F95076" w:rsidRPr="000E63CD">
        <w:rPr>
          <w:sz w:val="22"/>
          <w:szCs w:val="22"/>
        </w:rPr>
        <w:t xml:space="preserve">deberán incluir los requisitos mínimos </w:t>
      </w:r>
      <w:r w:rsidR="008A5F86" w:rsidRPr="000E63CD">
        <w:rPr>
          <w:sz w:val="22"/>
          <w:szCs w:val="22"/>
        </w:rPr>
        <w:t>que establece la CREG.</w:t>
      </w:r>
    </w:p>
    <w:p w14:paraId="30086D7F" w14:textId="7C2BD98B" w:rsidR="0035544A" w:rsidRDefault="0035544A" w:rsidP="00CE7805">
      <w:pPr>
        <w:rPr>
          <w:sz w:val="22"/>
          <w:szCs w:val="22"/>
        </w:rPr>
      </w:pPr>
    </w:p>
    <w:p w14:paraId="39459F0F" w14:textId="77777777" w:rsidR="00771A16" w:rsidRPr="000E63CD" w:rsidRDefault="00771A16" w:rsidP="00CE7805">
      <w:pPr>
        <w:rPr>
          <w:sz w:val="22"/>
          <w:szCs w:val="22"/>
        </w:rPr>
      </w:pPr>
    </w:p>
    <w:p w14:paraId="006CDC65" w14:textId="5AED3EDE" w:rsidR="00EE2AB2" w:rsidRPr="000E63CD" w:rsidRDefault="00EE2AB2" w:rsidP="00FF1B90">
      <w:pPr>
        <w:pStyle w:val="Ttulo2"/>
        <w:rPr>
          <w:sz w:val="22"/>
          <w:szCs w:val="22"/>
        </w:rPr>
      </w:pPr>
      <w:bookmarkStart w:id="420" w:name="_Toc95457659"/>
      <w:bookmarkStart w:id="421" w:name="_Ref130808604"/>
      <w:bookmarkStart w:id="422" w:name="_Toc140506219"/>
      <w:bookmarkEnd w:id="420"/>
      <w:r w:rsidRPr="000E63CD">
        <w:rPr>
          <w:sz w:val="22"/>
          <w:szCs w:val="22"/>
        </w:rPr>
        <w:t xml:space="preserve">Flexibilización de </w:t>
      </w:r>
      <w:r w:rsidR="000F003D" w:rsidRPr="000E63CD">
        <w:rPr>
          <w:sz w:val="22"/>
          <w:szCs w:val="22"/>
        </w:rPr>
        <w:t>las condiciones generales de los contratos que requieren contar con Respaldo Físico</w:t>
      </w:r>
      <w:bookmarkEnd w:id="421"/>
      <w:bookmarkEnd w:id="422"/>
      <w:r w:rsidR="00FF1B90" w:rsidRPr="000E63CD">
        <w:rPr>
          <w:sz w:val="22"/>
          <w:szCs w:val="22"/>
        </w:rPr>
        <w:t xml:space="preserve">   </w:t>
      </w:r>
    </w:p>
    <w:p w14:paraId="352C18EF" w14:textId="672D996B" w:rsidR="0070677B" w:rsidRDefault="0070677B" w:rsidP="00AF7B24">
      <w:pPr>
        <w:rPr>
          <w:sz w:val="22"/>
          <w:szCs w:val="22"/>
        </w:rPr>
      </w:pPr>
      <w:r w:rsidRPr="000E63CD">
        <w:rPr>
          <w:sz w:val="22"/>
          <w:szCs w:val="22"/>
        </w:rPr>
        <w:t xml:space="preserve">Se proponen </w:t>
      </w:r>
      <w:r w:rsidR="00B95476" w:rsidRPr="000E63CD">
        <w:rPr>
          <w:sz w:val="22"/>
          <w:szCs w:val="22"/>
        </w:rPr>
        <w:t xml:space="preserve">flexibilizaciones </w:t>
      </w:r>
      <w:r w:rsidR="003E5603" w:rsidRPr="000E63CD">
        <w:rPr>
          <w:sz w:val="22"/>
          <w:szCs w:val="22"/>
        </w:rPr>
        <w:t xml:space="preserve">adicionales a las actualmente establecidas en la regulación vigente del </w:t>
      </w:r>
      <w:r w:rsidR="006C1B3A">
        <w:rPr>
          <w:sz w:val="22"/>
          <w:szCs w:val="22"/>
        </w:rPr>
        <w:t>M</w:t>
      </w:r>
      <w:r w:rsidR="003E5603" w:rsidRPr="000E63CD">
        <w:rPr>
          <w:sz w:val="22"/>
          <w:szCs w:val="22"/>
        </w:rPr>
        <w:t xml:space="preserve">ercado </w:t>
      </w:r>
      <w:r w:rsidR="006C1B3A">
        <w:rPr>
          <w:sz w:val="22"/>
          <w:szCs w:val="22"/>
        </w:rPr>
        <w:t>P</w:t>
      </w:r>
      <w:r w:rsidR="003E5603" w:rsidRPr="000E63CD">
        <w:rPr>
          <w:sz w:val="22"/>
          <w:szCs w:val="22"/>
        </w:rPr>
        <w:t>rimario</w:t>
      </w:r>
      <w:r w:rsidR="006C1B3A">
        <w:rPr>
          <w:sz w:val="22"/>
          <w:szCs w:val="22"/>
        </w:rPr>
        <w:t xml:space="preserve"> dentro del Mercado Mayorista de Gas Natural</w:t>
      </w:r>
      <w:r w:rsidR="003E5603" w:rsidRPr="000E63CD">
        <w:rPr>
          <w:sz w:val="22"/>
          <w:szCs w:val="22"/>
        </w:rPr>
        <w:t xml:space="preserve">, </w:t>
      </w:r>
      <w:r w:rsidR="00B95476" w:rsidRPr="000E63CD">
        <w:rPr>
          <w:sz w:val="22"/>
          <w:szCs w:val="22"/>
        </w:rPr>
        <w:t xml:space="preserve">que se podrán tener en cuenta en las negociaciones de los contratos </w:t>
      </w:r>
      <w:r w:rsidR="008A7BA4">
        <w:rPr>
          <w:sz w:val="22"/>
          <w:szCs w:val="22"/>
        </w:rPr>
        <w:t>de tipo firme o con garantía de firmeza</w:t>
      </w:r>
      <w:r w:rsidR="00B95476" w:rsidRPr="000E63CD">
        <w:rPr>
          <w:sz w:val="22"/>
          <w:szCs w:val="22"/>
        </w:rPr>
        <w:t xml:space="preserve">. </w:t>
      </w:r>
      <w:r w:rsidR="003E5603" w:rsidRPr="000E63CD">
        <w:rPr>
          <w:sz w:val="22"/>
          <w:szCs w:val="22"/>
        </w:rPr>
        <w:t>Se propone</w:t>
      </w:r>
      <w:r w:rsidR="00E062A1" w:rsidRPr="000E63CD">
        <w:rPr>
          <w:sz w:val="22"/>
          <w:szCs w:val="22"/>
        </w:rPr>
        <w:t>,</w:t>
      </w:r>
      <w:r w:rsidR="003E5603" w:rsidRPr="000E63CD">
        <w:rPr>
          <w:sz w:val="22"/>
          <w:szCs w:val="22"/>
        </w:rPr>
        <w:t xml:space="preserve"> por tanto, </w:t>
      </w:r>
      <w:r w:rsidR="006E17A7" w:rsidRPr="000E63CD">
        <w:rPr>
          <w:sz w:val="22"/>
          <w:szCs w:val="22"/>
        </w:rPr>
        <w:t>establecer las siguientes reglas</w:t>
      </w:r>
      <w:r w:rsidR="00A74447" w:rsidRPr="000E63CD">
        <w:rPr>
          <w:sz w:val="22"/>
          <w:szCs w:val="22"/>
        </w:rPr>
        <w:t xml:space="preserve"> en el </w:t>
      </w:r>
      <w:r w:rsidR="00AC32B5">
        <w:rPr>
          <w:sz w:val="22"/>
          <w:szCs w:val="22"/>
        </w:rPr>
        <w:t>Mercado Primario</w:t>
      </w:r>
      <w:r w:rsidR="00B95476" w:rsidRPr="000E63CD">
        <w:rPr>
          <w:sz w:val="22"/>
          <w:szCs w:val="22"/>
        </w:rPr>
        <w:t>:</w:t>
      </w:r>
    </w:p>
    <w:p w14:paraId="2D86B8EF" w14:textId="77777777" w:rsidR="009C4A40" w:rsidRPr="000E63CD" w:rsidRDefault="009C4A40" w:rsidP="00AF7B24">
      <w:pPr>
        <w:rPr>
          <w:sz w:val="22"/>
          <w:szCs w:val="22"/>
        </w:rPr>
      </w:pPr>
    </w:p>
    <w:p w14:paraId="18B87ED7" w14:textId="6C4CD235" w:rsidR="00E52543" w:rsidRDefault="00E52543">
      <w:pPr>
        <w:pStyle w:val="Prrafodelista"/>
        <w:numPr>
          <w:ilvl w:val="0"/>
          <w:numId w:val="23"/>
        </w:numPr>
        <w:rPr>
          <w:sz w:val="22"/>
          <w:szCs w:val="22"/>
        </w:rPr>
      </w:pPr>
      <w:r w:rsidRPr="00E52543">
        <w:rPr>
          <w:sz w:val="22"/>
          <w:szCs w:val="22"/>
        </w:rPr>
        <w:t>Todos los contratos de suministro de gas deberán cumplir con la regulación CREG vigente en todo momento, pudiéndose por las partes de los contratos</w:t>
      </w:r>
      <w:r>
        <w:rPr>
          <w:sz w:val="22"/>
          <w:szCs w:val="22"/>
        </w:rPr>
        <w:t xml:space="preserve"> vigentes al momento de una disposición nueva que eventualmente adopte la CREG</w:t>
      </w:r>
      <w:r w:rsidRPr="00E52543">
        <w:rPr>
          <w:sz w:val="22"/>
          <w:szCs w:val="22"/>
        </w:rPr>
        <w:t xml:space="preserve">, ajustar las condiciones contractuales </w:t>
      </w:r>
      <w:r>
        <w:rPr>
          <w:sz w:val="22"/>
          <w:szCs w:val="22"/>
        </w:rPr>
        <w:t>por voluntad de las partes</w:t>
      </w:r>
      <w:r w:rsidRPr="00E52543">
        <w:rPr>
          <w:sz w:val="22"/>
          <w:szCs w:val="22"/>
        </w:rPr>
        <w:t xml:space="preserve"> </w:t>
      </w:r>
      <w:r>
        <w:rPr>
          <w:sz w:val="22"/>
          <w:szCs w:val="22"/>
        </w:rPr>
        <w:t>que les permitan continuar con el contrato cumpliendo</w:t>
      </w:r>
      <w:r w:rsidRPr="00E52543">
        <w:rPr>
          <w:sz w:val="22"/>
          <w:szCs w:val="22"/>
        </w:rPr>
        <w:t xml:space="preserve"> las disposiciones </w:t>
      </w:r>
      <w:r>
        <w:rPr>
          <w:sz w:val="22"/>
          <w:szCs w:val="22"/>
        </w:rPr>
        <w:t>nuevas.</w:t>
      </w:r>
    </w:p>
    <w:p w14:paraId="4B01789A" w14:textId="77777777" w:rsidR="00E52543" w:rsidRDefault="00E52543" w:rsidP="00E52543">
      <w:pPr>
        <w:pStyle w:val="Prrafodelista"/>
        <w:ind w:left="360"/>
        <w:rPr>
          <w:sz w:val="22"/>
          <w:szCs w:val="22"/>
        </w:rPr>
      </w:pPr>
    </w:p>
    <w:p w14:paraId="728B6777" w14:textId="52A72203" w:rsidR="00E52543" w:rsidRDefault="00E52543">
      <w:pPr>
        <w:pStyle w:val="Prrafodelista"/>
        <w:numPr>
          <w:ilvl w:val="0"/>
          <w:numId w:val="23"/>
        </w:numPr>
        <w:rPr>
          <w:sz w:val="22"/>
          <w:szCs w:val="22"/>
        </w:rPr>
      </w:pPr>
      <w:r w:rsidRPr="00E52543">
        <w:rPr>
          <w:sz w:val="22"/>
          <w:szCs w:val="22"/>
        </w:rPr>
        <w:t xml:space="preserve">Con excepción de los contratos de duración semanal y mensual </w:t>
      </w:r>
      <w:r>
        <w:rPr>
          <w:sz w:val="22"/>
          <w:szCs w:val="22"/>
        </w:rPr>
        <w:t>que se proponen</w:t>
      </w:r>
      <w:r w:rsidRPr="00E52543">
        <w:rPr>
          <w:sz w:val="22"/>
          <w:szCs w:val="22"/>
        </w:rPr>
        <w:t xml:space="preserve">, la duración de los nuevos contratos que se suscriban será, como mínimo de un (1) Trimestre Estándar y, como máximo el número de Trimestres Estándar con los que se cuente con información de PTDV en la declaración de producción realizada al MME que se encuentre vigente, contados desde el Primer Trimestre Estándar siguiente al registro del contrato.  </w:t>
      </w:r>
    </w:p>
    <w:p w14:paraId="3B2BC28E" w14:textId="77777777" w:rsidR="00E52543" w:rsidRDefault="00E52543" w:rsidP="00E52543">
      <w:pPr>
        <w:pStyle w:val="Prrafodelista"/>
        <w:ind w:left="360"/>
        <w:rPr>
          <w:sz w:val="22"/>
          <w:szCs w:val="22"/>
        </w:rPr>
      </w:pPr>
    </w:p>
    <w:p w14:paraId="58C51E37" w14:textId="5A293396" w:rsidR="00E52543" w:rsidRDefault="00E52543">
      <w:pPr>
        <w:pStyle w:val="Prrafodelista"/>
        <w:numPr>
          <w:ilvl w:val="0"/>
          <w:numId w:val="23"/>
        </w:numPr>
        <w:rPr>
          <w:sz w:val="22"/>
          <w:szCs w:val="22"/>
        </w:rPr>
      </w:pPr>
      <w:r w:rsidRPr="00E52543">
        <w:rPr>
          <w:sz w:val="22"/>
          <w:szCs w:val="22"/>
        </w:rPr>
        <w:t xml:space="preserve">En los casos </w:t>
      </w:r>
      <w:r>
        <w:rPr>
          <w:sz w:val="22"/>
          <w:szCs w:val="22"/>
        </w:rPr>
        <w:t>propuesto ante fuerza mayor que afecte el autoconsumo de un productor,</w:t>
      </w:r>
      <w:r w:rsidRPr="00E52543">
        <w:rPr>
          <w:sz w:val="22"/>
          <w:szCs w:val="22"/>
        </w:rPr>
        <w:t xml:space="preserve"> la duración de los contratos será de una semana. En</w:t>
      </w:r>
      <w:r>
        <w:rPr>
          <w:sz w:val="22"/>
          <w:szCs w:val="22"/>
        </w:rPr>
        <w:t xml:space="preserve"> otros casos específicos limitados</w:t>
      </w:r>
      <w:r w:rsidRPr="00E52543">
        <w:rPr>
          <w:sz w:val="22"/>
          <w:szCs w:val="22"/>
        </w:rPr>
        <w:t xml:space="preserve">, la duración de los contratos que se registren será de un mes calendario. </w:t>
      </w:r>
    </w:p>
    <w:p w14:paraId="1D250DC8" w14:textId="77777777" w:rsidR="00E52543" w:rsidRPr="00E52543" w:rsidRDefault="00E52543" w:rsidP="00E52543">
      <w:pPr>
        <w:pStyle w:val="Prrafodelista"/>
        <w:rPr>
          <w:sz w:val="22"/>
          <w:szCs w:val="22"/>
        </w:rPr>
      </w:pPr>
    </w:p>
    <w:p w14:paraId="282D10BD" w14:textId="70A185EC" w:rsidR="00E52543" w:rsidRDefault="00E52543">
      <w:pPr>
        <w:pStyle w:val="Prrafodelista"/>
        <w:numPr>
          <w:ilvl w:val="0"/>
          <w:numId w:val="23"/>
        </w:numPr>
        <w:rPr>
          <w:sz w:val="22"/>
          <w:szCs w:val="22"/>
        </w:rPr>
      </w:pPr>
      <w:r w:rsidRPr="00E52543">
        <w:rPr>
          <w:sz w:val="22"/>
          <w:szCs w:val="22"/>
        </w:rPr>
        <w:t xml:space="preserve">El inicio de la ejecución del suministro deberá ocurrir en el primer día calendario de cualquiera de los siguientes Trimestres Estándar de duración del contrato de suministro, excepto en </w:t>
      </w:r>
      <w:r>
        <w:rPr>
          <w:sz w:val="22"/>
          <w:szCs w:val="22"/>
        </w:rPr>
        <w:t>ciertos caso</w:t>
      </w:r>
      <w:r w:rsidR="00D15DFF">
        <w:rPr>
          <w:sz w:val="22"/>
          <w:szCs w:val="22"/>
        </w:rPr>
        <w:t>s</w:t>
      </w:r>
      <w:r>
        <w:rPr>
          <w:sz w:val="22"/>
          <w:szCs w:val="22"/>
        </w:rPr>
        <w:t xml:space="preserve"> especificados en la propuesta</w:t>
      </w:r>
      <w:r w:rsidRPr="00E52543">
        <w:rPr>
          <w:sz w:val="22"/>
          <w:szCs w:val="22"/>
        </w:rPr>
        <w:t>.</w:t>
      </w:r>
    </w:p>
    <w:p w14:paraId="63E7F814" w14:textId="77777777" w:rsidR="00E52543" w:rsidRPr="00E52543" w:rsidRDefault="00E52543" w:rsidP="00E52543">
      <w:pPr>
        <w:pStyle w:val="Prrafodelista"/>
        <w:rPr>
          <w:sz w:val="22"/>
          <w:szCs w:val="22"/>
        </w:rPr>
      </w:pPr>
    </w:p>
    <w:p w14:paraId="050146C9" w14:textId="7101C4CD" w:rsidR="00E52543" w:rsidRDefault="00E52543">
      <w:pPr>
        <w:pStyle w:val="Prrafodelista"/>
        <w:numPr>
          <w:ilvl w:val="0"/>
          <w:numId w:val="23"/>
        </w:numPr>
        <w:rPr>
          <w:sz w:val="22"/>
          <w:szCs w:val="22"/>
        </w:rPr>
      </w:pPr>
      <w:r w:rsidRPr="00E52543">
        <w:rPr>
          <w:sz w:val="22"/>
          <w:szCs w:val="22"/>
        </w:rPr>
        <w:t xml:space="preserve">Los contratos deberán tener como fecha de terminación de ejecución del suministro el último día calendario de un Trimestre Estándar con la única excepción para el caso </w:t>
      </w:r>
      <w:r>
        <w:rPr>
          <w:sz w:val="22"/>
          <w:szCs w:val="22"/>
        </w:rPr>
        <w:t>de los contratos de duración mensual</w:t>
      </w:r>
      <w:r w:rsidRPr="00E52543">
        <w:rPr>
          <w:sz w:val="22"/>
          <w:szCs w:val="22"/>
        </w:rPr>
        <w:t>, en que los contratos de suministro mensual deberán tener como fecha de terminación el último día calendario del mes de ejecución respectivo.</w:t>
      </w:r>
    </w:p>
    <w:p w14:paraId="1D0531F6" w14:textId="77777777" w:rsidR="00E52543" w:rsidRPr="00E52543" w:rsidRDefault="00E52543" w:rsidP="00E52543">
      <w:pPr>
        <w:pStyle w:val="Prrafodelista"/>
        <w:rPr>
          <w:sz w:val="22"/>
          <w:szCs w:val="22"/>
        </w:rPr>
      </w:pPr>
    </w:p>
    <w:p w14:paraId="360F0C9E" w14:textId="604306B4" w:rsidR="00E52543" w:rsidRDefault="00E52543">
      <w:pPr>
        <w:pStyle w:val="Prrafodelista"/>
        <w:numPr>
          <w:ilvl w:val="0"/>
          <w:numId w:val="23"/>
        </w:numPr>
        <w:rPr>
          <w:sz w:val="22"/>
          <w:szCs w:val="22"/>
        </w:rPr>
      </w:pPr>
      <w:proofErr w:type="gramStart"/>
      <w:r w:rsidRPr="00E52543">
        <w:rPr>
          <w:sz w:val="22"/>
          <w:szCs w:val="22"/>
        </w:rPr>
        <w:t>Las cantidades a suministrar</w:t>
      </w:r>
      <w:proofErr w:type="gramEnd"/>
      <w:r w:rsidRPr="00E52543">
        <w:rPr>
          <w:sz w:val="22"/>
          <w:szCs w:val="22"/>
        </w:rPr>
        <w:t xml:space="preserve"> en los contratos suscritos y registrados podrán ser diferentes entre los diferentes Trimestre Estándar</w:t>
      </w:r>
      <w:r w:rsidR="00761FF5">
        <w:rPr>
          <w:sz w:val="22"/>
          <w:szCs w:val="22"/>
        </w:rPr>
        <w:t xml:space="preserve"> que se </w:t>
      </w:r>
      <w:r w:rsidR="00B410C0">
        <w:rPr>
          <w:sz w:val="22"/>
          <w:szCs w:val="22"/>
        </w:rPr>
        <w:t>incluye</w:t>
      </w:r>
      <w:r w:rsidR="00761FF5">
        <w:rPr>
          <w:sz w:val="22"/>
          <w:szCs w:val="22"/>
        </w:rPr>
        <w:t>n en el contrato</w:t>
      </w:r>
      <w:r w:rsidRPr="00E52543">
        <w:rPr>
          <w:sz w:val="22"/>
          <w:szCs w:val="22"/>
        </w:rPr>
        <w:t>.</w:t>
      </w:r>
    </w:p>
    <w:p w14:paraId="7A63D5AC" w14:textId="77777777" w:rsidR="00E52543" w:rsidRPr="00E52543" w:rsidRDefault="00E52543" w:rsidP="00E52543">
      <w:pPr>
        <w:pStyle w:val="Prrafodelista"/>
        <w:rPr>
          <w:sz w:val="22"/>
          <w:szCs w:val="22"/>
        </w:rPr>
      </w:pPr>
    </w:p>
    <w:p w14:paraId="01FA205C" w14:textId="6517070F" w:rsidR="00E52543" w:rsidRDefault="008376A7">
      <w:pPr>
        <w:pStyle w:val="Prrafodelista"/>
        <w:numPr>
          <w:ilvl w:val="0"/>
          <w:numId w:val="23"/>
        </w:numPr>
        <w:rPr>
          <w:sz w:val="22"/>
          <w:szCs w:val="22"/>
        </w:rPr>
      </w:pPr>
      <w:r w:rsidRPr="008376A7">
        <w:rPr>
          <w:sz w:val="22"/>
          <w:szCs w:val="22"/>
        </w:rPr>
        <w:t>En los contratos de suministro de las modalidades CF95/CF80, el volumen de la componente de pago variable del contrato podrá ser nominado por el comprador del mercado primario. En caso de que el comprador no haga la nominación total de dicho volumen, el vendedor del mercado primario podrá atender nominaciones de contratos con interrupciones con los volúmenes del componente variable, no nominados por el comprador del mercado primario</w:t>
      </w:r>
      <w:r w:rsidR="00E52543" w:rsidRPr="00E52543">
        <w:rPr>
          <w:sz w:val="22"/>
          <w:szCs w:val="22"/>
        </w:rPr>
        <w:t>.</w:t>
      </w:r>
    </w:p>
    <w:p w14:paraId="48131F54" w14:textId="77777777" w:rsidR="00D15DFF" w:rsidRPr="00D15DFF" w:rsidRDefault="00D15DFF" w:rsidP="00D15DFF">
      <w:pPr>
        <w:pStyle w:val="Prrafodelista"/>
        <w:rPr>
          <w:sz w:val="22"/>
          <w:szCs w:val="22"/>
        </w:rPr>
      </w:pPr>
    </w:p>
    <w:p w14:paraId="3F76B539" w14:textId="6485808D" w:rsidR="00D15DFF" w:rsidRDefault="00D15DFF" w:rsidP="00D15DFF">
      <w:pPr>
        <w:pStyle w:val="Prrafodelista"/>
        <w:ind w:left="360"/>
        <w:rPr>
          <w:sz w:val="22"/>
          <w:szCs w:val="22"/>
        </w:rPr>
      </w:pPr>
      <w:r>
        <w:rPr>
          <w:sz w:val="22"/>
          <w:szCs w:val="22"/>
        </w:rPr>
        <w:t>De este modo, se trata de hacer uso de aquellas cantidades que actualmente no se encuentran en disposición de suministro cuando el comprador no nomina parte o la totalidad del volumen de pago variable de los contratos de la modalidad CF95, pues solamente se establece la disposición del volumen de pago fijo cuando el comprador no nomina su totalidad, mediante el mecanismo de comercialización Úselo o Véndalo de Corto Plazo</w:t>
      </w:r>
    </w:p>
    <w:p w14:paraId="73B81E65" w14:textId="77777777" w:rsidR="00E52543" w:rsidRPr="00E52543" w:rsidRDefault="00E52543" w:rsidP="00E52543">
      <w:pPr>
        <w:pStyle w:val="Prrafodelista"/>
        <w:rPr>
          <w:sz w:val="22"/>
          <w:szCs w:val="22"/>
        </w:rPr>
      </w:pPr>
    </w:p>
    <w:p w14:paraId="7CC71AEF" w14:textId="79ACF6E7" w:rsidR="00E52543" w:rsidRDefault="00E52543">
      <w:pPr>
        <w:pStyle w:val="Prrafodelista"/>
        <w:numPr>
          <w:ilvl w:val="0"/>
          <w:numId w:val="23"/>
        </w:numPr>
        <w:rPr>
          <w:sz w:val="22"/>
          <w:szCs w:val="22"/>
        </w:rPr>
      </w:pPr>
      <w:r w:rsidRPr="00E52543">
        <w:rPr>
          <w:sz w:val="22"/>
          <w:szCs w:val="22"/>
        </w:rPr>
        <w:t>Los Vendedores del Mercado Primario podrán ofrecer, en la modalidad de contrato con interrupciones, mediante negociaciones directas y con duración mensual, las cantidades variables de los contratos registrados con la modalidad CF95/CF80</w:t>
      </w:r>
      <w:r w:rsidR="00AF03EA">
        <w:rPr>
          <w:sz w:val="22"/>
          <w:szCs w:val="22"/>
        </w:rPr>
        <w:t xml:space="preserve"> </w:t>
      </w:r>
      <w:r w:rsidR="00AF03EA" w:rsidRPr="00AF03EA">
        <w:rPr>
          <w:sz w:val="22"/>
          <w:szCs w:val="22"/>
        </w:rPr>
        <w:t>que atienden demanda diferente a la demanda regulada</w:t>
      </w:r>
      <w:r w:rsidRPr="00E52543">
        <w:rPr>
          <w:sz w:val="22"/>
          <w:szCs w:val="22"/>
        </w:rPr>
        <w:t>.</w:t>
      </w:r>
    </w:p>
    <w:p w14:paraId="7D613D8E" w14:textId="77777777" w:rsidR="00E52543" w:rsidRPr="00E52543" w:rsidRDefault="00E52543" w:rsidP="00E52543">
      <w:pPr>
        <w:pStyle w:val="Prrafodelista"/>
        <w:rPr>
          <w:sz w:val="22"/>
          <w:szCs w:val="22"/>
        </w:rPr>
      </w:pPr>
    </w:p>
    <w:p w14:paraId="03531228" w14:textId="3094EC23" w:rsidR="00E52543" w:rsidRDefault="00E52543">
      <w:pPr>
        <w:pStyle w:val="Prrafodelista"/>
        <w:numPr>
          <w:ilvl w:val="0"/>
          <w:numId w:val="23"/>
        </w:numPr>
        <w:rPr>
          <w:sz w:val="22"/>
          <w:szCs w:val="22"/>
        </w:rPr>
      </w:pPr>
      <w:r w:rsidRPr="00E52543">
        <w:rPr>
          <w:sz w:val="22"/>
          <w:szCs w:val="22"/>
        </w:rPr>
        <w:t xml:space="preserve">Para efectos de determinar la duración permisible para suspensiones del servicio en los contratos se considerará, para cada Trimestre Estándar de duración del contrato, la cuarta parte de la duración máxima establecida </w:t>
      </w:r>
      <w:r>
        <w:rPr>
          <w:sz w:val="22"/>
          <w:szCs w:val="22"/>
        </w:rPr>
        <w:t>para contratos de duración anual</w:t>
      </w:r>
      <w:r w:rsidRPr="00E52543">
        <w:rPr>
          <w:sz w:val="22"/>
          <w:szCs w:val="22"/>
        </w:rPr>
        <w:t xml:space="preserve">, relacionada con la máxima duración permisible de suspensiones, independientemente de la cantidad de Fuentes de Suministro que se incluyen en el contrato. Así mismo, para los contratos de duración mensual, se considerará la duodécima parte de la duración máxima </w:t>
      </w:r>
      <w:r>
        <w:rPr>
          <w:sz w:val="22"/>
          <w:szCs w:val="22"/>
        </w:rPr>
        <w:t xml:space="preserve">anual </w:t>
      </w:r>
      <w:r w:rsidRPr="00E52543">
        <w:rPr>
          <w:sz w:val="22"/>
          <w:szCs w:val="22"/>
        </w:rPr>
        <w:t>establecida, relacionada con la duración permisible de suspensión, independientemente de la cantidad de Fuentes de Suministro que se incluyen en el contrato.</w:t>
      </w:r>
    </w:p>
    <w:p w14:paraId="24EC4081" w14:textId="77777777" w:rsidR="00E52543" w:rsidRPr="00E52543" w:rsidRDefault="00E52543" w:rsidP="00E52543">
      <w:pPr>
        <w:pStyle w:val="Prrafodelista"/>
        <w:rPr>
          <w:sz w:val="22"/>
          <w:szCs w:val="22"/>
        </w:rPr>
      </w:pPr>
    </w:p>
    <w:p w14:paraId="6A907050" w14:textId="7FAECCE8" w:rsidR="00E52543" w:rsidRDefault="00E52543">
      <w:pPr>
        <w:pStyle w:val="Prrafodelista"/>
        <w:numPr>
          <w:ilvl w:val="0"/>
          <w:numId w:val="23"/>
        </w:numPr>
        <w:rPr>
          <w:sz w:val="22"/>
          <w:szCs w:val="22"/>
        </w:rPr>
      </w:pPr>
      <w:r w:rsidRPr="00E52543">
        <w:rPr>
          <w:sz w:val="22"/>
          <w:szCs w:val="22"/>
        </w:rPr>
        <w:t xml:space="preserve">Los Participantes del Mercado Primario deberán acordar los mecanismos de cobertura para el cumplimiento de las obligaciones derivadas de los contratos para atender la Demanda Esencial resultantes del mecanismo de negociación directa. En cualquier caso, el vendedor no podrá negarse a suscribir el contrato si el comprador presenta alguno de los tipos de garantías definidos </w:t>
      </w:r>
      <w:r>
        <w:rPr>
          <w:sz w:val="22"/>
          <w:szCs w:val="22"/>
        </w:rPr>
        <w:t>en la propuesta</w:t>
      </w:r>
      <w:r w:rsidRPr="00E52543">
        <w:rPr>
          <w:sz w:val="22"/>
          <w:szCs w:val="22"/>
        </w:rPr>
        <w:t>.</w:t>
      </w:r>
    </w:p>
    <w:p w14:paraId="42319B95" w14:textId="77777777" w:rsidR="00E52543" w:rsidRPr="00E52543" w:rsidRDefault="00E52543" w:rsidP="00E52543">
      <w:pPr>
        <w:pStyle w:val="Prrafodelista"/>
        <w:rPr>
          <w:sz w:val="22"/>
          <w:szCs w:val="22"/>
        </w:rPr>
      </w:pPr>
    </w:p>
    <w:p w14:paraId="31C73F9E" w14:textId="1421F9B4" w:rsidR="00E52543" w:rsidRDefault="00E52543">
      <w:pPr>
        <w:pStyle w:val="Prrafodelista"/>
        <w:numPr>
          <w:ilvl w:val="0"/>
          <w:numId w:val="23"/>
        </w:numPr>
        <w:rPr>
          <w:sz w:val="22"/>
          <w:szCs w:val="22"/>
        </w:rPr>
      </w:pPr>
      <w:r w:rsidRPr="00E52543">
        <w:rPr>
          <w:sz w:val="22"/>
          <w:szCs w:val="22"/>
        </w:rPr>
        <w:t xml:space="preserve">Cuando para el cumplimiento de un contrato de suministro </w:t>
      </w:r>
      <w:r w:rsidR="008A7BA4">
        <w:rPr>
          <w:sz w:val="22"/>
          <w:szCs w:val="22"/>
        </w:rPr>
        <w:t>de tipo firme o con garantía de firmeza</w:t>
      </w:r>
      <w:r w:rsidRPr="00E52543">
        <w:rPr>
          <w:sz w:val="22"/>
          <w:szCs w:val="22"/>
        </w:rPr>
        <w:t xml:space="preserve">, se </w:t>
      </w:r>
      <w:r>
        <w:rPr>
          <w:sz w:val="22"/>
          <w:szCs w:val="22"/>
        </w:rPr>
        <w:t>establezca</w:t>
      </w:r>
      <w:r w:rsidRPr="00E52543">
        <w:rPr>
          <w:sz w:val="22"/>
          <w:szCs w:val="22"/>
        </w:rPr>
        <w:t xml:space="preserve"> más de una Fuente de Suministro, en el contrato se deberá incluir el detalle de la cantidad de energía en firme que cada una de esas Fuentes de Suministro aportan para el cumplimiento de la cantidad máxima firme, detallado para cada trimestre de ejecución del contrato, que se registra.</w:t>
      </w:r>
    </w:p>
    <w:p w14:paraId="43E05CFA" w14:textId="77777777" w:rsidR="00E52543" w:rsidRPr="00E52543" w:rsidRDefault="00E52543" w:rsidP="00E52543">
      <w:pPr>
        <w:pStyle w:val="Prrafodelista"/>
        <w:rPr>
          <w:sz w:val="22"/>
          <w:szCs w:val="22"/>
        </w:rPr>
      </w:pPr>
    </w:p>
    <w:p w14:paraId="750E9B58" w14:textId="77777777" w:rsidR="00E52543" w:rsidRDefault="00E52543">
      <w:pPr>
        <w:pStyle w:val="Prrafodelista"/>
        <w:numPr>
          <w:ilvl w:val="0"/>
          <w:numId w:val="23"/>
        </w:numPr>
        <w:rPr>
          <w:sz w:val="22"/>
          <w:szCs w:val="22"/>
        </w:rPr>
      </w:pPr>
      <w:r w:rsidRPr="00E52543">
        <w:rPr>
          <w:sz w:val="22"/>
          <w:szCs w:val="22"/>
        </w:rPr>
        <w:t xml:space="preserve">No se podrá atender Demanda Esencial con contratos de suministro que requieren garantía de firmeza, que incluyan Fuentes de Suministro en pruebas o sin declaración de comercialidad, a menos que las cantidades contratadas se deriven de cantidades que se hayan considerado previamente como Reservas de Gas Natural sobre ese mismo campo, en las condiciones establecidas para ello por la ANH. </w:t>
      </w:r>
    </w:p>
    <w:p w14:paraId="4C6A86F7" w14:textId="77777777" w:rsidR="00E52543" w:rsidRPr="00E52543" w:rsidRDefault="00E52543" w:rsidP="00E52543">
      <w:pPr>
        <w:pStyle w:val="Prrafodelista"/>
        <w:rPr>
          <w:sz w:val="22"/>
          <w:szCs w:val="22"/>
        </w:rPr>
      </w:pPr>
    </w:p>
    <w:p w14:paraId="62A216FC" w14:textId="456D9EE0" w:rsidR="00E52543" w:rsidRDefault="00E52543">
      <w:pPr>
        <w:pStyle w:val="Prrafodelista"/>
        <w:numPr>
          <w:ilvl w:val="0"/>
          <w:numId w:val="23"/>
        </w:numPr>
        <w:rPr>
          <w:sz w:val="22"/>
          <w:szCs w:val="22"/>
        </w:rPr>
      </w:pPr>
      <w:r w:rsidRPr="00E52543">
        <w:rPr>
          <w:sz w:val="22"/>
          <w:szCs w:val="22"/>
        </w:rPr>
        <w:t xml:space="preserve">La duración de la ejecución efectiva de los contratos de suministro de contingencia que se registren ante el </w:t>
      </w:r>
      <w:r w:rsidR="005114C6">
        <w:rPr>
          <w:sz w:val="22"/>
          <w:szCs w:val="22"/>
        </w:rPr>
        <w:t>Gestor del Mercado</w:t>
      </w:r>
      <w:r w:rsidRPr="00E52543">
        <w:rPr>
          <w:sz w:val="22"/>
          <w:szCs w:val="22"/>
        </w:rPr>
        <w:t xml:space="preserve"> deberá ser igual a la duración del período en que se presente el impedimento de suministro de la fuente contratada que presentó el evento que le impide la prestación del servicio. </w:t>
      </w:r>
    </w:p>
    <w:p w14:paraId="7F58A473" w14:textId="77777777" w:rsidR="00E52543" w:rsidRPr="00E52543" w:rsidRDefault="00E52543" w:rsidP="00E52543">
      <w:pPr>
        <w:pStyle w:val="Prrafodelista"/>
        <w:rPr>
          <w:sz w:val="22"/>
          <w:szCs w:val="22"/>
        </w:rPr>
      </w:pPr>
    </w:p>
    <w:p w14:paraId="7C89E541" w14:textId="48C6C46B" w:rsidR="00E52543" w:rsidRDefault="00E52543">
      <w:pPr>
        <w:pStyle w:val="Prrafodelista"/>
        <w:numPr>
          <w:ilvl w:val="0"/>
          <w:numId w:val="23"/>
        </w:numPr>
        <w:rPr>
          <w:sz w:val="22"/>
          <w:szCs w:val="22"/>
        </w:rPr>
      </w:pPr>
      <w:r>
        <w:rPr>
          <w:sz w:val="22"/>
          <w:szCs w:val="22"/>
        </w:rPr>
        <w:t>El</w:t>
      </w:r>
      <w:r w:rsidRPr="00E52543">
        <w:rPr>
          <w:sz w:val="22"/>
          <w:szCs w:val="22"/>
        </w:rPr>
        <w:t xml:space="preserve"> plazo de ejecución de un contrato cuya ejecución esté vigente no podrá ser adicionado o prorrogado y deberá darse por terminado una vez cumplido el plazo inicial de ejecución, sin excepción ninguna.</w:t>
      </w:r>
    </w:p>
    <w:p w14:paraId="5A9D50D1" w14:textId="77777777" w:rsidR="00540CEE" w:rsidRPr="00540CEE" w:rsidRDefault="00540CEE" w:rsidP="00540CEE">
      <w:pPr>
        <w:pStyle w:val="Prrafodelista"/>
        <w:rPr>
          <w:sz w:val="22"/>
          <w:szCs w:val="22"/>
        </w:rPr>
      </w:pPr>
    </w:p>
    <w:p w14:paraId="54DA0768" w14:textId="77777777" w:rsidR="00540CEE" w:rsidRDefault="00540CEE">
      <w:pPr>
        <w:pStyle w:val="Prrafodelista"/>
        <w:numPr>
          <w:ilvl w:val="0"/>
          <w:numId w:val="23"/>
        </w:numPr>
        <w:rPr>
          <w:sz w:val="22"/>
          <w:szCs w:val="22"/>
          <w:lang w:val="es-ES"/>
        </w:rPr>
      </w:pPr>
      <w:r>
        <w:rPr>
          <w:sz w:val="22"/>
          <w:szCs w:val="22"/>
        </w:rPr>
        <w:t xml:space="preserve">Se establece explícitamente </w:t>
      </w:r>
      <w:r w:rsidRPr="00F82990">
        <w:rPr>
          <w:sz w:val="22"/>
          <w:szCs w:val="22"/>
          <w:lang w:val="es-CO"/>
        </w:rPr>
        <w:t>que el contrato</w:t>
      </w:r>
      <w:r>
        <w:rPr>
          <w:sz w:val="22"/>
          <w:szCs w:val="22"/>
          <w:lang w:val="es-CO"/>
        </w:rPr>
        <w:t xml:space="preserve"> de suministro</w:t>
      </w:r>
      <w:r w:rsidRPr="00F82990">
        <w:rPr>
          <w:sz w:val="22"/>
          <w:szCs w:val="22"/>
          <w:lang w:val="es-CO"/>
        </w:rPr>
        <w:t xml:space="preserve"> </w:t>
      </w:r>
      <w:r>
        <w:rPr>
          <w:sz w:val="22"/>
          <w:szCs w:val="22"/>
          <w:lang w:val="es-CO"/>
        </w:rPr>
        <w:t xml:space="preserve">del Mercado Primario </w:t>
      </w:r>
      <w:r w:rsidRPr="00F82990">
        <w:rPr>
          <w:sz w:val="22"/>
          <w:szCs w:val="22"/>
          <w:lang w:val="es-CO"/>
        </w:rPr>
        <w:t>no se incumple</w:t>
      </w:r>
      <w:r>
        <w:rPr>
          <w:sz w:val="22"/>
          <w:szCs w:val="22"/>
          <w:lang w:val="es-CO"/>
        </w:rPr>
        <w:t>,</w:t>
      </w:r>
      <w:r w:rsidRPr="00F82990">
        <w:rPr>
          <w:sz w:val="22"/>
          <w:szCs w:val="22"/>
          <w:lang w:val="es-CO"/>
        </w:rPr>
        <w:t xml:space="preserve"> así el gas </w:t>
      </w:r>
      <w:r>
        <w:rPr>
          <w:sz w:val="22"/>
          <w:szCs w:val="22"/>
          <w:lang w:val="es-CO"/>
        </w:rPr>
        <w:t xml:space="preserve">que se entrega </w:t>
      </w:r>
      <w:r w:rsidRPr="00F82990">
        <w:rPr>
          <w:sz w:val="22"/>
          <w:szCs w:val="22"/>
          <w:lang w:val="es-CO"/>
        </w:rPr>
        <w:t>provenga de una fuente de suministro diferente a la declarada en el contrato</w:t>
      </w:r>
      <w:r>
        <w:rPr>
          <w:sz w:val="22"/>
          <w:szCs w:val="22"/>
          <w:lang w:val="es-CO"/>
        </w:rPr>
        <w:t xml:space="preserve"> sobre el que se nomina la cantidad de gas</w:t>
      </w:r>
      <w:r w:rsidRPr="00F82990">
        <w:rPr>
          <w:sz w:val="22"/>
          <w:szCs w:val="22"/>
          <w:lang w:val="es-CO"/>
        </w:rPr>
        <w:t xml:space="preserve">, siempre y cuando </w:t>
      </w:r>
      <w:r w:rsidRPr="00F82990">
        <w:rPr>
          <w:sz w:val="22"/>
          <w:szCs w:val="22"/>
          <w:lang w:val="es-ES"/>
        </w:rPr>
        <w:t>cuando esto no le implique al comprador asumir mayores costos en las demás actividades de la cadena de prestación del servicio.</w:t>
      </w:r>
    </w:p>
    <w:p w14:paraId="512CEF1D" w14:textId="77777777" w:rsidR="00E52543" w:rsidRPr="00E52543" w:rsidRDefault="00E52543" w:rsidP="00E52543">
      <w:pPr>
        <w:rPr>
          <w:sz w:val="22"/>
          <w:szCs w:val="22"/>
        </w:rPr>
      </w:pPr>
    </w:p>
    <w:p w14:paraId="6B726C38" w14:textId="2A1665A8" w:rsidR="00AF7B24" w:rsidRDefault="005D5C60" w:rsidP="00AF7B24">
      <w:pPr>
        <w:rPr>
          <w:sz w:val="22"/>
          <w:szCs w:val="22"/>
        </w:rPr>
      </w:pPr>
      <w:r w:rsidRPr="000E63CD">
        <w:rPr>
          <w:sz w:val="22"/>
          <w:szCs w:val="22"/>
        </w:rPr>
        <w:t>Por otra parte, la flexibilidad en las condiciones contractuales que se establecen en la propuesta que se presenta para comentarios</w:t>
      </w:r>
      <w:r w:rsidR="00070438" w:rsidRPr="000E63CD">
        <w:rPr>
          <w:sz w:val="22"/>
          <w:szCs w:val="22"/>
        </w:rPr>
        <w:t>,</w:t>
      </w:r>
      <w:r w:rsidRPr="000E63CD">
        <w:rPr>
          <w:sz w:val="22"/>
          <w:szCs w:val="22"/>
        </w:rPr>
        <w:t xml:space="preserve"> busca también que las cantidades contratadas para atender la demanda sean lo más ajustadas posible a las necesidades reales de la demanda</w:t>
      </w:r>
      <w:r w:rsidR="00C20AA2">
        <w:rPr>
          <w:sz w:val="22"/>
          <w:szCs w:val="22"/>
        </w:rPr>
        <w:t xml:space="preserve"> de los mercados de comercialización que atiendan los compradores</w:t>
      </w:r>
      <w:r w:rsidRPr="000E63CD">
        <w:rPr>
          <w:sz w:val="22"/>
          <w:szCs w:val="22"/>
        </w:rPr>
        <w:t xml:space="preserve">, es decir, con la menor sobrecontratación posible en el </w:t>
      </w:r>
      <w:r w:rsidR="00AC32B5">
        <w:rPr>
          <w:sz w:val="22"/>
          <w:szCs w:val="22"/>
        </w:rPr>
        <w:t>Mercado Primario</w:t>
      </w:r>
      <w:r w:rsidRPr="000E63CD">
        <w:rPr>
          <w:sz w:val="22"/>
          <w:szCs w:val="22"/>
        </w:rPr>
        <w:t xml:space="preserve">, no solo de parte de la demanda final (por quienes atienden la demanda regulada y no regulada) sino de los comercializadores intermediarios. De lograrlo, el </w:t>
      </w:r>
      <w:r w:rsidR="00AC32B5">
        <w:rPr>
          <w:sz w:val="22"/>
          <w:szCs w:val="22"/>
        </w:rPr>
        <w:t>Mercado Secundario</w:t>
      </w:r>
      <w:r w:rsidRPr="000E63CD">
        <w:rPr>
          <w:sz w:val="22"/>
          <w:szCs w:val="22"/>
        </w:rPr>
        <w:t xml:space="preserve"> servirá </w:t>
      </w:r>
      <w:r w:rsidR="002A1A70" w:rsidRPr="000E63CD">
        <w:rPr>
          <w:sz w:val="22"/>
          <w:szCs w:val="22"/>
        </w:rPr>
        <w:t xml:space="preserve">como complemento y </w:t>
      </w:r>
      <w:r w:rsidR="007D5510" w:rsidRPr="000E63CD">
        <w:rPr>
          <w:sz w:val="22"/>
          <w:szCs w:val="22"/>
        </w:rPr>
        <w:t>se dará una</w:t>
      </w:r>
      <w:r w:rsidRPr="000E63CD">
        <w:rPr>
          <w:sz w:val="22"/>
          <w:szCs w:val="22"/>
        </w:rPr>
        <w:t xml:space="preserve"> mayor liquidez, pues al haber mínima sobrecontratación en el </w:t>
      </w:r>
      <w:r w:rsidR="00AC32B5">
        <w:rPr>
          <w:sz w:val="22"/>
          <w:szCs w:val="22"/>
        </w:rPr>
        <w:t>Mercado Primario</w:t>
      </w:r>
      <w:r w:rsidRPr="000E63CD">
        <w:rPr>
          <w:sz w:val="22"/>
          <w:szCs w:val="22"/>
        </w:rPr>
        <w:t xml:space="preserve">, la demanda deberá acudir al </w:t>
      </w:r>
      <w:r w:rsidR="00AC32B5">
        <w:rPr>
          <w:sz w:val="22"/>
          <w:szCs w:val="22"/>
        </w:rPr>
        <w:t>Mercado Secundario</w:t>
      </w:r>
      <w:r w:rsidRPr="000E63CD">
        <w:rPr>
          <w:sz w:val="22"/>
          <w:szCs w:val="22"/>
        </w:rPr>
        <w:t xml:space="preserve"> para lograr atender sus necesidades de </w:t>
      </w:r>
      <w:r w:rsidR="002A1A70" w:rsidRPr="000E63CD">
        <w:rPr>
          <w:sz w:val="22"/>
          <w:szCs w:val="22"/>
        </w:rPr>
        <w:t xml:space="preserve">ajustes </w:t>
      </w:r>
      <w:r w:rsidR="00024F14" w:rsidRPr="000E63CD">
        <w:rPr>
          <w:sz w:val="22"/>
          <w:szCs w:val="22"/>
        </w:rPr>
        <w:t xml:space="preserve">con </w:t>
      </w:r>
      <w:r w:rsidRPr="000E63CD">
        <w:rPr>
          <w:sz w:val="22"/>
          <w:szCs w:val="22"/>
        </w:rPr>
        <w:t>cantidades no cubiertas en el primario</w:t>
      </w:r>
      <w:r w:rsidR="008855D9" w:rsidRPr="000E63CD">
        <w:rPr>
          <w:sz w:val="22"/>
          <w:szCs w:val="22"/>
        </w:rPr>
        <w:t>,</w:t>
      </w:r>
      <w:r w:rsidR="00024F14" w:rsidRPr="000E63CD">
        <w:rPr>
          <w:sz w:val="22"/>
          <w:szCs w:val="22"/>
        </w:rPr>
        <w:t xml:space="preserve"> </w:t>
      </w:r>
      <w:r w:rsidRPr="000E63CD">
        <w:rPr>
          <w:sz w:val="22"/>
          <w:szCs w:val="22"/>
        </w:rPr>
        <w:t xml:space="preserve">ante necesidades atípicas de consumo y de </w:t>
      </w:r>
      <w:r w:rsidR="008855D9" w:rsidRPr="000E63CD">
        <w:rPr>
          <w:sz w:val="22"/>
          <w:szCs w:val="22"/>
        </w:rPr>
        <w:t xml:space="preserve">cubrimiento para </w:t>
      </w:r>
      <w:r w:rsidRPr="000E63CD">
        <w:rPr>
          <w:sz w:val="22"/>
          <w:szCs w:val="22"/>
        </w:rPr>
        <w:t>balances diarios operativos</w:t>
      </w:r>
      <w:r w:rsidR="008855D9" w:rsidRPr="000E63CD">
        <w:rPr>
          <w:sz w:val="22"/>
          <w:szCs w:val="22"/>
        </w:rPr>
        <w:t>.</w:t>
      </w:r>
    </w:p>
    <w:p w14:paraId="38469601" w14:textId="77777777" w:rsidR="00C82A55" w:rsidRPr="000E63CD" w:rsidRDefault="00C82A55" w:rsidP="00AF7B24">
      <w:pPr>
        <w:rPr>
          <w:sz w:val="22"/>
          <w:szCs w:val="22"/>
        </w:rPr>
      </w:pPr>
    </w:p>
    <w:p w14:paraId="7894DD5C" w14:textId="19C91D17" w:rsidR="00CE7805" w:rsidRPr="000E63CD" w:rsidRDefault="00CE7805" w:rsidP="00CE7805">
      <w:pPr>
        <w:rPr>
          <w:sz w:val="22"/>
          <w:szCs w:val="22"/>
        </w:rPr>
      </w:pPr>
    </w:p>
    <w:p w14:paraId="15CED035" w14:textId="193188F8" w:rsidR="00533AB8" w:rsidRPr="000E63CD" w:rsidRDefault="001C7224" w:rsidP="0032794C">
      <w:pPr>
        <w:pStyle w:val="Ttulo2"/>
        <w:rPr>
          <w:sz w:val="22"/>
          <w:szCs w:val="22"/>
        </w:rPr>
      </w:pPr>
      <w:bookmarkStart w:id="423" w:name="_Toc140506220"/>
      <w:r w:rsidRPr="000E63CD">
        <w:rPr>
          <w:sz w:val="22"/>
          <w:szCs w:val="22"/>
        </w:rPr>
        <w:t xml:space="preserve">Inclusión de </w:t>
      </w:r>
      <w:r w:rsidR="001C6493" w:rsidRPr="000E63CD">
        <w:rPr>
          <w:sz w:val="22"/>
          <w:szCs w:val="22"/>
        </w:rPr>
        <w:t xml:space="preserve">nuevo </w:t>
      </w:r>
      <w:r w:rsidRPr="000E63CD">
        <w:rPr>
          <w:sz w:val="22"/>
          <w:szCs w:val="22"/>
        </w:rPr>
        <w:t>evento eximente de responsabilidad</w:t>
      </w:r>
      <w:bookmarkEnd w:id="423"/>
      <w:r w:rsidRPr="000E63CD">
        <w:rPr>
          <w:sz w:val="22"/>
          <w:szCs w:val="22"/>
        </w:rPr>
        <w:t xml:space="preserve"> </w:t>
      </w:r>
      <w:r w:rsidR="0032794C" w:rsidRPr="000E63CD">
        <w:rPr>
          <w:sz w:val="22"/>
          <w:szCs w:val="22"/>
        </w:rPr>
        <w:t xml:space="preserve">   </w:t>
      </w:r>
    </w:p>
    <w:p w14:paraId="3E64379D" w14:textId="10A6B0E5" w:rsidR="001C7224" w:rsidRPr="000E63CD" w:rsidRDefault="0008601D" w:rsidP="001C7224">
      <w:pPr>
        <w:rPr>
          <w:sz w:val="22"/>
          <w:szCs w:val="22"/>
        </w:rPr>
      </w:pPr>
      <w:r w:rsidRPr="000E63CD">
        <w:rPr>
          <w:sz w:val="22"/>
          <w:szCs w:val="22"/>
        </w:rPr>
        <w:t xml:space="preserve">En la propuesta se incluye </w:t>
      </w:r>
      <w:r w:rsidR="001C7224" w:rsidRPr="000E63CD">
        <w:rPr>
          <w:sz w:val="22"/>
          <w:szCs w:val="22"/>
        </w:rPr>
        <w:t xml:space="preserve">que </w:t>
      </w:r>
      <w:r w:rsidR="00432156" w:rsidRPr="000E63CD">
        <w:rPr>
          <w:sz w:val="22"/>
          <w:szCs w:val="22"/>
        </w:rPr>
        <w:t>l</w:t>
      </w:r>
      <w:r w:rsidR="00CE12D7" w:rsidRPr="000E63CD">
        <w:rPr>
          <w:sz w:val="22"/>
          <w:szCs w:val="22"/>
        </w:rPr>
        <w:t xml:space="preserve">as suspensiones por labores programadas para reparaciones técnicas o mantenimientos periódicos de la infraestructura de transporte utilizada por el comprador </w:t>
      </w:r>
      <w:r w:rsidR="00D738D5" w:rsidRPr="000E63CD">
        <w:rPr>
          <w:sz w:val="22"/>
          <w:szCs w:val="22"/>
        </w:rPr>
        <w:t>en</w:t>
      </w:r>
      <w:r w:rsidR="00CE12D7" w:rsidRPr="000E63CD">
        <w:rPr>
          <w:sz w:val="22"/>
          <w:szCs w:val="22"/>
        </w:rPr>
        <w:t xml:space="preserve"> el transporte de gas del contrato de suministro</w:t>
      </w:r>
      <w:r w:rsidR="00EA204F" w:rsidRPr="000E63CD">
        <w:rPr>
          <w:sz w:val="22"/>
          <w:szCs w:val="22"/>
        </w:rPr>
        <w:t xml:space="preserve"> sea</w:t>
      </w:r>
      <w:r w:rsidR="00D738D5" w:rsidRPr="000E63CD">
        <w:rPr>
          <w:sz w:val="22"/>
          <w:szCs w:val="22"/>
        </w:rPr>
        <w:t>n</w:t>
      </w:r>
      <w:r w:rsidR="00EA204F" w:rsidRPr="000E63CD">
        <w:rPr>
          <w:sz w:val="22"/>
          <w:szCs w:val="22"/>
        </w:rPr>
        <w:t xml:space="preserve"> otro evento eximente de responsabilidad</w:t>
      </w:r>
      <w:r w:rsidR="00CE12D7" w:rsidRPr="000E63CD">
        <w:rPr>
          <w:sz w:val="22"/>
          <w:szCs w:val="22"/>
        </w:rPr>
        <w:t>. Lo anterior siempre que de ello se dé aviso amplio y oportuno conforme al protocolo al que se hace referencia en el parágrafo 3 de este artículo y el parágrafo 3 del Artículo 11 de la Resolución CREG 185 de 2020</w:t>
      </w:r>
      <w:r w:rsidR="00945271">
        <w:rPr>
          <w:sz w:val="22"/>
          <w:szCs w:val="22"/>
        </w:rPr>
        <w:t>, modificada por la Resolución CREG 126 de 2021,</w:t>
      </w:r>
      <w:r w:rsidR="00CE12D7" w:rsidRPr="000E63CD">
        <w:rPr>
          <w:sz w:val="22"/>
          <w:szCs w:val="22"/>
        </w:rPr>
        <w:t xml:space="preserve"> o aquellas que la modifiquen o sustituyan.</w:t>
      </w:r>
    </w:p>
    <w:p w14:paraId="6AB7EB5C" w14:textId="77777777" w:rsidR="00CE12D7" w:rsidRPr="000E63CD" w:rsidRDefault="00CE12D7" w:rsidP="001C7224">
      <w:pPr>
        <w:rPr>
          <w:sz w:val="22"/>
          <w:szCs w:val="22"/>
        </w:rPr>
      </w:pPr>
    </w:p>
    <w:p w14:paraId="5215BC68" w14:textId="7B88EDF5" w:rsidR="00CE12D7" w:rsidRPr="000E63CD" w:rsidRDefault="006B5FF7" w:rsidP="001C7224">
      <w:pPr>
        <w:rPr>
          <w:sz w:val="22"/>
          <w:szCs w:val="22"/>
        </w:rPr>
      </w:pPr>
      <w:r w:rsidRPr="000E63CD">
        <w:rPr>
          <w:sz w:val="22"/>
          <w:szCs w:val="22"/>
        </w:rPr>
        <w:t xml:space="preserve">Con base en lo anterior, se busca que los </w:t>
      </w:r>
      <w:r w:rsidR="00AC32B5">
        <w:rPr>
          <w:sz w:val="22"/>
          <w:szCs w:val="22"/>
        </w:rPr>
        <w:t>Compradores</w:t>
      </w:r>
      <w:r w:rsidRPr="000E63CD">
        <w:rPr>
          <w:sz w:val="22"/>
          <w:szCs w:val="22"/>
        </w:rPr>
        <w:t xml:space="preserve"> del </w:t>
      </w:r>
      <w:r w:rsidR="00AC32B5">
        <w:rPr>
          <w:sz w:val="22"/>
          <w:szCs w:val="22"/>
        </w:rPr>
        <w:t>Mercado Primario</w:t>
      </w:r>
      <w:r w:rsidRPr="000E63CD">
        <w:rPr>
          <w:sz w:val="22"/>
          <w:szCs w:val="22"/>
        </w:rPr>
        <w:t xml:space="preserve"> no tengan que pagar el suministro de gas cuando dicho suministro no es posible </w:t>
      </w:r>
      <w:r w:rsidR="001A733F" w:rsidRPr="000E63CD">
        <w:rPr>
          <w:sz w:val="22"/>
          <w:szCs w:val="22"/>
        </w:rPr>
        <w:t>ser realizado por no contarse con el medio de transporte para ello, dado el caso de mantenimientos programados en el sistema de transporte</w:t>
      </w:r>
      <w:r w:rsidR="001D04CF">
        <w:rPr>
          <w:sz w:val="22"/>
          <w:szCs w:val="22"/>
        </w:rPr>
        <w:t xml:space="preserve"> y así mismo,</w:t>
      </w:r>
      <w:r w:rsidR="00CE12D7" w:rsidRPr="000E63CD">
        <w:rPr>
          <w:sz w:val="22"/>
          <w:szCs w:val="22"/>
        </w:rPr>
        <w:t xml:space="preserve"> dar incentivos a los productores y </w:t>
      </w:r>
      <w:r w:rsidR="001A733F" w:rsidRPr="000E63CD">
        <w:rPr>
          <w:sz w:val="22"/>
          <w:szCs w:val="22"/>
        </w:rPr>
        <w:t xml:space="preserve">los </w:t>
      </w:r>
      <w:r w:rsidR="00CE12D7" w:rsidRPr="000E63CD">
        <w:rPr>
          <w:sz w:val="22"/>
          <w:szCs w:val="22"/>
        </w:rPr>
        <w:t xml:space="preserve">transportadores para que busquen coordinar las actividades de mantenimiento que cada uno efectúa a su infraestructura de producción o de transporte de gas natural, así como </w:t>
      </w:r>
      <w:r w:rsidR="00BD45E9" w:rsidRPr="000E63CD">
        <w:rPr>
          <w:sz w:val="22"/>
          <w:szCs w:val="22"/>
        </w:rPr>
        <w:t>la reducci</w:t>
      </w:r>
      <w:r w:rsidR="00007904" w:rsidRPr="000E63CD">
        <w:rPr>
          <w:sz w:val="22"/>
          <w:szCs w:val="22"/>
        </w:rPr>
        <w:t>ón</w:t>
      </w:r>
      <w:r w:rsidR="00BD45E9" w:rsidRPr="000E63CD">
        <w:rPr>
          <w:sz w:val="22"/>
          <w:szCs w:val="22"/>
        </w:rPr>
        <w:t xml:space="preserve"> de los tiempos en que el usuario final </w:t>
      </w:r>
      <w:r w:rsidR="007632E5" w:rsidRPr="000E63CD">
        <w:rPr>
          <w:sz w:val="22"/>
          <w:szCs w:val="22"/>
        </w:rPr>
        <w:t>no</w:t>
      </w:r>
      <w:r w:rsidR="00BD45E9" w:rsidRPr="000E63CD">
        <w:rPr>
          <w:sz w:val="22"/>
          <w:szCs w:val="22"/>
        </w:rPr>
        <w:t xml:space="preserve"> cuenta con el </w:t>
      </w:r>
      <w:r w:rsidR="00007904" w:rsidRPr="000E63CD">
        <w:rPr>
          <w:sz w:val="22"/>
          <w:szCs w:val="22"/>
        </w:rPr>
        <w:t>suministro por eventos de mantenimiento programado en cualquiera de las dos infraestructuras.</w:t>
      </w:r>
      <w:r w:rsidR="00D91F8C" w:rsidRPr="000E63CD">
        <w:rPr>
          <w:sz w:val="22"/>
          <w:szCs w:val="22"/>
        </w:rPr>
        <w:t xml:space="preserve"> </w:t>
      </w:r>
    </w:p>
    <w:p w14:paraId="65AE7D73" w14:textId="301433E0" w:rsidR="001C7224" w:rsidRDefault="001C7224" w:rsidP="001C7224">
      <w:pPr>
        <w:rPr>
          <w:sz w:val="22"/>
          <w:szCs w:val="22"/>
        </w:rPr>
      </w:pPr>
    </w:p>
    <w:p w14:paraId="1216D79E" w14:textId="77777777" w:rsidR="00065FD2" w:rsidRPr="000E63CD" w:rsidRDefault="00065FD2" w:rsidP="001C7224">
      <w:pPr>
        <w:rPr>
          <w:sz w:val="22"/>
          <w:szCs w:val="22"/>
        </w:rPr>
      </w:pPr>
    </w:p>
    <w:p w14:paraId="3B5E69F8" w14:textId="2E21264B" w:rsidR="00065FD2" w:rsidRPr="000E63CD" w:rsidRDefault="00065FD2" w:rsidP="00065FD2">
      <w:pPr>
        <w:pStyle w:val="Ttulo2"/>
        <w:rPr>
          <w:sz w:val="22"/>
          <w:szCs w:val="22"/>
        </w:rPr>
      </w:pPr>
      <w:bookmarkStart w:id="424" w:name="_Ref130808630"/>
      <w:bookmarkStart w:id="425" w:name="_Toc140506221"/>
      <w:r>
        <w:rPr>
          <w:sz w:val="22"/>
          <w:szCs w:val="22"/>
        </w:rPr>
        <w:t xml:space="preserve">Incentivos para nuevas fuentes </w:t>
      </w:r>
      <w:r w:rsidR="00540CEE">
        <w:rPr>
          <w:sz w:val="22"/>
          <w:szCs w:val="22"/>
        </w:rPr>
        <w:t xml:space="preserve">de suministro </w:t>
      </w:r>
      <w:r>
        <w:rPr>
          <w:sz w:val="22"/>
          <w:szCs w:val="22"/>
        </w:rPr>
        <w:t>o nuev</w:t>
      </w:r>
      <w:r w:rsidR="00026E98">
        <w:rPr>
          <w:sz w:val="22"/>
          <w:szCs w:val="22"/>
        </w:rPr>
        <w:t>a</w:t>
      </w:r>
      <w:r>
        <w:rPr>
          <w:sz w:val="22"/>
          <w:szCs w:val="22"/>
        </w:rPr>
        <w:t xml:space="preserve">s </w:t>
      </w:r>
      <w:r w:rsidR="00026E98">
        <w:rPr>
          <w:sz w:val="22"/>
          <w:szCs w:val="22"/>
        </w:rPr>
        <w:t>logísticas</w:t>
      </w:r>
      <w:r>
        <w:rPr>
          <w:sz w:val="22"/>
          <w:szCs w:val="22"/>
        </w:rPr>
        <w:t xml:space="preserve"> de suministro en el Mercado Primario</w:t>
      </w:r>
      <w:bookmarkEnd w:id="424"/>
      <w:bookmarkEnd w:id="425"/>
    </w:p>
    <w:p w14:paraId="597F5F37" w14:textId="42AFF6B2" w:rsidR="003A5615" w:rsidRDefault="003D6022" w:rsidP="00AB2DAF">
      <w:pPr>
        <w:rPr>
          <w:noProof/>
        </w:rPr>
      </w:pPr>
      <w:r w:rsidRPr="00AB2DAF">
        <w:rPr>
          <w:sz w:val="22"/>
          <w:szCs w:val="22"/>
        </w:rPr>
        <w:t xml:space="preserve">Se incluyen </w:t>
      </w:r>
      <w:r w:rsidR="00A21A52" w:rsidRPr="00AB2DAF">
        <w:rPr>
          <w:sz w:val="22"/>
          <w:szCs w:val="22"/>
        </w:rPr>
        <w:t xml:space="preserve">propuestas con </w:t>
      </w:r>
      <w:r w:rsidR="00F57474" w:rsidRPr="00AB2DAF">
        <w:rPr>
          <w:sz w:val="22"/>
          <w:szCs w:val="22"/>
        </w:rPr>
        <w:t xml:space="preserve">varios aspectos </w:t>
      </w:r>
      <w:r w:rsidR="00475EF0" w:rsidRPr="00AB2DAF">
        <w:rPr>
          <w:sz w:val="22"/>
          <w:szCs w:val="22"/>
        </w:rPr>
        <w:t xml:space="preserve">de flexibilidad </w:t>
      </w:r>
      <w:r w:rsidR="00DC7FC2" w:rsidRPr="00AB2DAF">
        <w:rPr>
          <w:sz w:val="22"/>
          <w:szCs w:val="22"/>
        </w:rPr>
        <w:t xml:space="preserve">e incentivos </w:t>
      </w:r>
      <w:r w:rsidR="00475EF0" w:rsidRPr="00AB2DAF">
        <w:rPr>
          <w:sz w:val="22"/>
          <w:szCs w:val="22"/>
        </w:rPr>
        <w:t>en</w:t>
      </w:r>
      <w:r w:rsidR="00F57474" w:rsidRPr="00AB2DAF">
        <w:rPr>
          <w:sz w:val="22"/>
          <w:szCs w:val="22"/>
        </w:rPr>
        <w:t xml:space="preserve"> </w:t>
      </w:r>
      <w:r w:rsidR="00CC1CA2" w:rsidRPr="00AB2DAF">
        <w:rPr>
          <w:sz w:val="22"/>
          <w:szCs w:val="22"/>
        </w:rPr>
        <w:t xml:space="preserve">la comercialización </w:t>
      </w:r>
      <w:r w:rsidR="00BB3D46" w:rsidRPr="00AB2DAF">
        <w:rPr>
          <w:sz w:val="22"/>
          <w:szCs w:val="22"/>
        </w:rPr>
        <w:t>d</w:t>
      </w:r>
      <w:r w:rsidR="00CC1CA2" w:rsidRPr="00AB2DAF">
        <w:rPr>
          <w:sz w:val="22"/>
          <w:szCs w:val="22"/>
        </w:rPr>
        <w:t>el gas natural proveniente de campos costa afuera (</w:t>
      </w:r>
      <w:r w:rsidR="00BB3D46" w:rsidRPr="00AB2DAF">
        <w:rPr>
          <w:sz w:val="22"/>
          <w:szCs w:val="22"/>
        </w:rPr>
        <w:t>negociación directa, registro del contrato en cualquier momento del año</w:t>
      </w:r>
      <w:r w:rsidR="00294C36" w:rsidRPr="00AB2DAF">
        <w:rPr>
          <w:sz w:val="22"/>
          <w:szCs w:val="22"/>
        </w:rPr>
        <w:t xml:space="preserve">, condiciones </w:t>
      </w:r>
      <w:r w:rsidR="007F7D26" w:rsidRPr="00AB2DAF">
        <w:rPr>
          <w:sz w:val="22"/>
          <w:szCs w:val="22"/>
        </w:rPr>
        <w:t>del contrato</w:t>
      </w:r>
      <w:r w:rsidR="00294C36" w:rsidRPr="00AB2DAF">
        <w:rPr>
          <w:sz w:val="22"/>
          <w:szCs w:val="22"/>
        </w:rPr>
        <w:t xml:space="preserve"> sin necesidad de cumplir las condiciones o requisitos mínimos establecidos por la CREG, modalidad contractual libre</w:t>
      </w:r>
      <w:r w:rsidR="00CC1CA2" w:rsidRPr="00AB2DAF">
        <w:rPr>
          <w:sz w:val="22"/>
          <w:szCs w:val="22"/>
        </w:rPr>
        <w:t xml:space="preserve"> y comercialización conjunta)</w:t>
      </w:r>
      <w:r w:rsidR="00C14867" w:rsidRPr="00AB2DAF">
        <w:rPr>
          <w:sz w:val="22"/>
          <w:szCs w:val="22"/>
        </w:rPr>
        <w:t xml:space="preserve">, </w:t>
      </w:r>
      <w:r w:rsidR="00533DD7" w:rsidRPr="00AB2DAF">
        <w:rPr>
          <w:sz w:val="22"/>
          <w:szCs w:val="22"/>
        </w:rPr>
        <w:t>así como para e</w:t>
      </w:r>
      <w:r w:rsidR="00475EF0" w:rsidRPr="00AB2DAF">
        <w:rPr>
          <w:sz w:val="22"/>
          <w:szCs w:val="22"/>
        </w:rPr>
        <w:t>l</w:t>
      </w:r>
      <w:r w:rsidR="00252D7F" w:rsidRPr="00AB2DAF">
        <w:rPr>
          <w:sz w:val="22"/>
          <w:szCs w:val="22"/>
        </w:rPr>
        <w:t xml:space="preserve"> gas natural proveniente de importaciones</w:t>
      </w:r>
      <w:r w:rsidR="000459B5" w:rsidRPr="00AB2DAF">
        <w:rPr>
          <w:sz w:val="22"/>
          <w:szCs w:val="22"/>
        </w:rPr>
        <w:t>,</w:t>
      </w:r>
      <w:r w:rsidR="00475EF0" w:rsidRPr="00AB2DAF">
        <w:rPr>
          <w:sz w:val="22"/>
          <w:szCs w:val="22"/>
        </w:rPr>
        <w:t xml:space="preserve"> que buscan incentivar </w:t>
      </w:r>
      <w:r w:rsidR="006B70B2" w:rsidRPr="00AB2DAF">
        <w:rPr>
          <w:sz w:val="22"/>
          <w:szCs w:val="22"/>
        </w:rPr>
        <w:t xml:space="preserve">su </w:t>
      </w:r>
      <w:r w:rsidR="00E932F9">
        <w:rPr>
          <w:sz w:val="22"/>
          <w:szCs w:val="22"/>
        </w:rPr>
        <w:t xml:space="preserve">comercialización </w:t>
      </w:r>
      <w:r w:rsidR="006B70B2" w:rsidRPr="00AB2DAF">
        <w:rPr>
          <w:sz w:val="22"/>
          <w:szCs w:val="22"/>
        </w:rPr>
        <w:t xml:space="preserve"> con destino a</w:t>
      </w:r>
      <w:r w:rsidR="00475EF0" w:rsidRPr="00AB2DAF">
        <w:rPr>
          <w:sz w:val="22"/>
          <w:szCs w:val="22"/>
        </w:rPr>
        <w:t>l servicio público</w:t>
      </w:r>
      <w:r w:rsidR="00970A07">
        <w:rPr>
          <w:sz w:val="22"/>
          <w:szCs w:val="22"/>
        </w:rPr>
        <w:t xml:space="preserve"> de gas</w:t>
      </w:r>
      <w:r w:rsidR="00475EF0" w:rsidRPr="00AB2DAF">
        <w:rPr>
          <w:sz w:val="22"/>
          <w:szCs w:val="22"/>
        </w:rPr>
        <w:t xml:space="preserve"> </w:t>
      </w:r>
      <w:r w:rsidR="00DC7FC2" w:rsidRPr="00AB2DAF">
        <w:rPr>
          <w:sz w:val="22"/>
          <w:szCs w:val="22"/>
        </w:rPr>
        <w:t>con el fin de promover el abastecimiento del energético</w:t>
      </w:r>
      <w:r w:rsidR="002C6B82" w:rsidRPr="00AB2DAF">
        <w:rPr>
          <w:sz w:val="22"/>
          <w:szCs w:val="22"/>
        </w:rPr>
        <w:t>, da</w:t>
      </w:r>
      <w:r w:rsidR="00C00401">
        <w:rPr>
          <w:sz w:val="22"/>
          <w:szCs w:val="22"/>
        </w:rPr>
        <w:t>n</w:t>
      </w:r>
      <w:r w:rsidR="002C6B82" w:rsidRPr="00AB2DAF">
        <w:rPr>
          <w:sz w:val="22"/>
          <w:szCs w:val="22"/>
        </w:rPr>
        <w:t>do</w:t>
      </w:r>
      <w:r w:rsidR="00C00401">
        <w:rPr>
          <w:sz w:val="22"/>
          <w:szCs w:val="22"/>
        </w:rPr>
        <w:t xml:space="preserve"> adicionalmente</w:t>
      </w:r>
      <w:r w:rsidR="002C6B82" w:rsidRPr="00AB2DAF">
        <w:rPr>
          <w:sz w:val="22"/>
          <w:szCs w:val="22"/>
        </w:rPr>
        <w:t xml:space="preserve"> aplicación a lo establecido en</w:t>
      </w:r>
      <w:r w:rsidR="00711675" w:rsidRPr="00AB2DAF">
        <w:rPr>
          <w:sz w:val="22"/>
          <w:szCs w:val="22"/>
        </w:rPr>
        <w:t xml:space="preserve"> el lineamiento de política del Artículo 2.2.2.2.4</w:t>
      </w:r>
      <w:r w:rsidR="00022786" w:rsidRPr="00AB2DAF">
        <w:rPr>
          <w:sz w:val="22"/>
          <w:szCs w:val="22"/>
        </w:rPr>
        <w:t>1</w:t>
      </w:r>
      <w:r w:rsidR="00711675" w:rsidRPr="00AB2DAF">
        <w:rPr>
          <w:sz w:val="22"/>
          <w:szCs w:val="22"/>
        </w:rPr>
        <w:t xml:space="preserve"> del Decreto 10</w:t>
      </w:r>
      <w:r w:rsidR="00022786" w:rsidRPr="00AB2DAF">
        <w:rPr>
          <w:sz w:val="22"/>
          <w:szCs w:val="22"/>
        </w:rPr>
        <w:t>73</w:t>
      </w:r>
      <w:r w:rsidR="00711675" w:rsidRPr="00AB2DAF">
        <w:rPr>
          <w:sz w:val="22"/>
          <w:szCs w:val="22"/>
        </w:rPr>
        <w:t xml:space="preserve"> de 2015</w:t>
      </w:r>
      <w:r w:rsidR="00022786" w:rsidRPr="009A63C1">
        <w:rPr>
          <w:sz w:val="22"/>
          <w:szCs w:val="22"/>
          <w:vertAlign w:val="superscript"/>
        </w:rPr>
        <w:footnoteReference w:id="11"/>
      </w:r>
      <w:r w:rsidR="008355ED" w:rsidRPr="00AB2DAF">
        <w:rPr>
          <w:sz w:val="22"/>
          <w:szCs w:val="22"/>
        </w:rPr>
        <w:t>.</w:t>
      </w:r>
      <w:r w:rsidR="00441721" w:rsidRPr="00AB2DAF">
        <w:rPr>
          <w:sz w:val="22"/>
          <w:szCs w:val="22"/>
        </w:rPr>
        <w:t xml:space="preserve"> </w:t>
      </w:r>
    </w:p>
    <w:p w14:paraId="68EEB5BE" w14:textId="77777777" w:rsidR="00065FD2" w:rsidRPr="006C2940" w:rsidRDefault="00065FD2" w:rsidP="00AB2DAF">
      <w:pPr>
        <w:rPr>
          <w:b/>
          <w:szCs w:val="24"/>
        </w:rPr>
      </w:pPr>
    </w:p>
    <w:p w14:paraId="3FA33E2E" w14:textId="527FDB59" w:rsidR="00775629" w:rsidRPr="000E63CD" w:rsidRDefault="003D6022" w:rsidP="00B83821">
      <w:pPr>
        <w:rPr>
          <w:sz w:val="22"/>
          <w:szCs w:val="22"/>
        </w:rPr>
      </w:pPr>
      <w:r w:rsidRPr="000E63CD">
        <w:rPr>
          <w:sz w:val="22"/>
          <w:szCs w:val="22"/>
        </w:rPr>
        <w:t xml:space="preserve">Adicionalmente, </w:t>
      </w:r>
      <w:r w:rsidR="00B723EC" w:rsidRPr="000E63CD">
        <w:rPr>
          <w:sz w:val="22"/>
          <w:szCs w:val="22"/>
        </w:rPr>
        <w:t xml:space="preserve">en </w:t>
      </w:r>
      <w:r w:rsidR="003A5615" w:rsidRPr="000E63CD">
        <w:rPr>
          <w:sz w:val="22"/>
          <w:szCs w:val="22"/>
        </w:rPr>
        <w:t xml:space="preserve">la resolución propuesta </w:t>
      </w:r>
      <w:r w:rsidR="00B723EC" w:rsidRPr="000E63CD">
        <w:rPr>
          <w:sz w:val="22"/>
          <w:szCs w:val="22"/>
        </w:rPr>
        <w:t xml:space="preserve">se </w:t>
      </w:r>
      <w:r w:rsidR="003A5615" w:rsidRPr="000E63CD">
        <w:rPr>
          <w:sz w:val="22"/>
          <w:szCs w:val="22"/>
        </w:rPr>
        <w:t>incluye</w:t>
      </w:r>
      <w:r w:rsidR="00B723EC" w:rsidRPr="000E63CD">
        <w:rPr>
          <w:sz w:val="22"/>
          <w:szCs w:val="22"/>
        </w:rPr>
        <w:t>n</w:t>
      </w:r>
      <w:r w:rsidR="003A5615" w:rsidRPr="000E63CD">
        <w:rPr>
          <w:sz w:val="22"/>
          <w:szCs w:val="22"/>
        </w:rPr>
        <w:t xml:space="preserve"> aspectos de </w:t>
      </w:r>
      <w:r w:rsidR="00693411" w:rsidRPr="000E63CD">
        <w:rPr>
          <w:sz w:val="22"/>
          <w:szCs w:val="22"/>
        </w:rPr>
        <w:t xml:space="preserve">flexibilización en la </w:t>
      </w:r>
      <w:r w:rsidR="003A5615" w:rsidRPr="000E63CD">
        <w:rPr>
          <w:sz w:val="22"/>
          <w:szCs w:val="22"/>
        </w:rPr>
        <w:t>comercialización</w:t>
      </w:r>
      <w:r w:rsidR="00B537C8" w:rsidRPr="000E63CD">
        <w:rPr>
          <w:sz w:val="22"/>
          <w:szCs w:val="22"/>
        </w:rPr>
        <w:t xml:space="preserve"> no solo</w:t>
      </w:r>
      <w:r w:rsidR="003A5615" w:rsidRPr="000E63CD">
        <w:rPr>
          <w:sz w:val="22"/>
          <w:szCs w:val="22"/>
        </w:rPr>
        <w:t xml:space="preserve"> del gas natural </w:t>
      </w:r>
      <w:r w:rsidR="00B537C8" w:rsidRPr="000E63CD">
        <w:rPr>
          <w:sz w:val="22"/>
          <w:szCs w:val="22"/>
        </w:rPr>
        <w:t>para entrega a</w:t>
      </w:r>
      <w:r w:rsidR="00CF7770">
        <w:rPr>
          <w:sz w:val="22"/>
          <w:szCs w:val="22"/>
        </w:rPr>
        <w:t>l Sistema Nacional de Transporte</w:t>
      </w:r>
      <w:r w:rsidR="0050423D" w:rsidRPr="000E63CD">
        <w:rPr>
          <w:sz w:val="22"/>
          <w:szCs w:val="22"/>
        </w:rPr>
        <w:t>, sino también para el gas natural licuado y el gas natural comprimido, que</w:t>
      </w:r>
      <w:r w:rsidR="00065FD2">
        <w:rPr>
          <w:sz w:val="22"/>
          <w:szCs w:val="22"/>
        </w:rPr>
        <w:t xml:space="preserve"> </w:t>
      </w:r>
      <w:r w:rsidR="004767CB">
        <w:rPr>
          <w:sz w:val="22"/>
          <w:szCs w:val="22"/>
        </w:rPr>
        <w:t>requieren</w:t>
      </w:r>
      <w:r w:rsidR="00310B68">
        <w:rPr>
          <w:sz w:val="22"/>
          <w:szCs w:val="22"/>
        </w:rPr>
        <w:t xml:space="preserve"> logísticas especiales para su comercialización </w:t>
      </w:r>
      <w:r w:rsidR="00065FD2">
        <w:rPr>
          <w:sz w:val="22"/>
          <w:szCs w:val="22"/>
        </w:rPr>
        <w:t xml:space="preserve">por parte del vendedor del Mercado Primario </w:t>
      </w:r>
      <w:r w:rsidR="00850DBE" w:rsidRPr="000E63CD">
        <w:rPr>
          <w:sz w:val="22"/>
          <w:szCs w:val="22"/>
        </w:rPr>
        <w:t xml:space="preserve">y que pueden requerir de condiciones contractuales que no tienen </w:t>
      </w:r>
      <w:r w:rsidR="00C14FA5" w:rsidRPr="000E63CD">
        <w:rPr>
          <w:sz w:val="22"/>
          <w:szCs w:val="22"/>
        </w:rPr>
        <w:t xml:space="preserve">la misma connotación que </w:t>
      </w:r>
      <w:r w:rsidR="00522A68" w:rsidRPr="000E63CD">
        <w:rPr>
          <w:sz w:val="22"/>
          <w:szCs w:val="22"/>
        </w:rPr>
        <w:t xml:space="preserve">tienen </w:t>
      </w:r>
      <w:r w:rsidR="00C14FA5" w:rsidRPr="000E63CD">
        <w:rPr>
          <w:sz w:val="22"/>
          <w:szCs w:val="22"/>
        </w:rPr>
        <w:t>en el caso de suministro del gas natura</w:t>
      </w:r>
      <w:r w:rsidR="00522A68" w:rsidRPr="000E63CD">
        <w:rPr>
          <w:sz w:val="22"/>
          <w:szCs w:val="22"/>
        </w:rPr>
        <w:t>l por gasoducto</w:t>
      </w:r>
      <w:r w:rsidR="00F8719B">
        <w:rPr>
          <w:sz w:val="22"/>
          <w:szCs w:val="22"/>
        </w:rPr>
        <w:t xml:space="preserve"> (el potencial almacenamiento del GNC/GNL es una característica esencial para la determinación de las obligaciones de contratos firmes o que garantizan firmeza)</w:t>
      </w:r>
      <w:r w:rsidR="00C14FA5" w:rsidRPr="000E63CD">
        <w:rPr>
          <w:sz w:val="22"/>
          <w:szCs w:val="22"/>
        </w:rPr>
        <w:t xml:space="preserve">. Para ello se ha tenido en cuenta </w:t>
      </w:r>
      <w:r w:rsidR="00AC5734" w:rsidRPr="000E63CD">
        <w:rPr>
          <w:sz w:val="22"/>
          <w:szCs w:val="22"/>
        </w:rPr>
        <w:t>entre otras</w:t>
      </w:r>
      <w:r w:rsidR="00F4710D" w:rsidRPr="000E63CD">
        <w:rPr>
          <w:sz w:val="22"/>
          <w:szCs w:val="22"/>
        </w:rPr>
        <w:t xml:space="preserve">, </w:t>
      </w:r>
      <w:r w:rsidR="00FF2A8D" w:rsidRPr="000E63CD">
        <w:rPr>
          <w:sz w:val="22"/>
          <w:szCs w:val="22"/>
        </w:rPr>
        <w:t xml:space="preserve">incluir </w:t>
      </w:r>
      <w:r w:rsidR="00C14FA5" w:rsidRPr="000E63CD">
        <w:rPr>
          <w:sz w:val="22"/>
          <w:szCs w:val="22"/>
        </w:rPr>
        <w:t xml:space="preserve">la definición de gas natural </w:t>
      </w:r>
      <w:r w:rsidR="00022072" w:rsidRPr="000E63CD">
        <w:rPr>
          <w:sz w:val="22"/>
          <w:szCs w:val="22"/>
        </w:rPr>
        <w:t xml:space="preserve">y de gas natural comprimido </w:t>
      </w:r>
      <w:r w:rsidR="00F4710D" w:rsidRPr="000E63CD">
        <w:rPr>
          <w:sz w:val="22"/>
          <w:szCs w:val="22"/>
        </w:rPr>
        <w:t xml:space="preserve">con algunos ajustes, </w:t>
      </w:r>
      <w:r w:rsidR="00022072" w:rsidRPr="000E63CD">
        <w:rPr>
          <w:sz w:val="22"/>
          <w:szCs w:val="22"/>
        </w:rPr>
        <w:t>establecidas en la</w:t>
      </w:r>
      <w:r w:rsidR="00CD350A" w:rsidRPr="000E63CD">
        <w:rPr>
          <w:sz w:val="22"/>
          <w:szCs w:val="22"/>
        </w:rPr>
        <w:t>s</w:t>
      </w:r>
      <w:r w:rsidR="00022072" w:rsidRPr="000E63CD">
        <w:rPr>
          <w:sz w:val="22"/>
          <w:szCs w:val="22"/>
        </w:rPr>
        <w:t xml:space="preserve"> Resoluci</w:t>
      </w:r>
      <w:r w:rsidR="00CD350A" w:rsidRPr="000E63CD">
        <w:rPr>
          <w:sz w:val="22"/>
          <w:szCs w:val="22"/>
        </w:rPr>
        <w:t>ones</w:t>
      </w:r>
      <w:r w:rsidR="00022072" w:rsidRPr="000E63CD">
        <w:rPr>
          <w:sz w:val="22"/>
          <w:szCs w:val="22"/>
        </w:rPr>
        <w:t xml:space="preserve"> CREG 011 de 2003</w:t>
      </w:r>
      <w:r w:rsidR="00CD350A" w:rsidRPr="000E63CD">
        <w:rPr>
          <w:sz w:val="22"/>
          <w:szCs w:val="22"/>
        </w:rPr>
        <w:t xml:space="preserve"> y 137 de 2013</w:t>
      </w:r>
      <w:r w:rsidR="00022072" w:rsidRPr="000E63CD">
        <w:rPr>
          <w:sz w:val="22"/>
          <w:szCs w:val="22"/>
        </w:rPr>
        <w:t>, y se ha añadido la definición de gas natural licuado</w:t>
      </w:r>
      <w:r w:rsidR="00F56436" w:rsidRPr="000E63CD">
        <w:rPr>
          <w:sz w:val="22"/>
          <w:szCs w:val="22"/>
        </w:rPr>
        <w:t xml:space="preserve"> para efectos de la regulación </w:t>
      </w:r>
      <w:r w:rsidR="008D7CB3" w:rsidRPr="000E63CD">
        <w:rPr>
          <w:sz w:val="22"/>
          <w:szCs w:val="22"/>
        </w:rPr>
        <w:t xml:space="preserve">a aplicarse en </w:t>
      </w:r>
      <w:r w:rsidR="00F56436" w:rsidRPr="000E63CD">
        <w:rPr>
          <w:sz w:val="22"/>
          <w:szCs w:val="22"/>
        </w:rPr>
        <w:t>el mercado mayorista</w:t>
      </w:r>
      <w:r w:rsidR="00CA43FE" w:rsidRPr="000E63CD">
        <w:rPr>
          <w:sz w:val="22"/>
          <w:szCs w:val="22"/>
        </w:rPr>
        <w:t>.</w:t>
      </w:r>
      <w:r w:rsidR="00B2019E" w:rsidRPr="000E63CD">
        <w:rPr>
          <w:sz w:val="22"/>
          <w:szCs w:val="22"/>
        </w:rPr>
        <w:t xml:space="preserve"> </w:t>
      </w:r>
    </w:p>
    <w:p w14:paraId="1F5F30C8" w14:textId="77777777" w:rsidR="00775629" w:rsidRPr="000E63CD" w:rsidRDefault="00775629" w:rsidP="00B83821">
      <w:pPr>
        <w:rPr>
          <w:sz w:val="22"/>
          <w:szCs w:val="22"/>
        </w:rPr>
      </w:pPr>
    </w:p>
    <w:p w14:paraId="46804CA1" w14:textId="3BE2702F" w:rsidR="003A5615" w:rsidRPr="000E63CD" w:rsidRDefault="00B2019E" w:rsidP="00B83821">
      <w:pPr>
        <w:rPr>
          <w:sz w:val="22"/>
          <w:szCs w:val="22"/>
        </w:rPr>
      </w:pPr>
      <w:r w:rsidRPr="000E63CD">
        <w:rPr>
          <w:sz w:val="22"/>
          <w:szCs w:val="22"/>
        </w:rPr>
        <w:t>En ese sentido</w:t>
      </w:r>
      <w:r w:rsidR="00F56436" w:rsidRPr="000E63CD">
        <w:rPr>
          <w:sz w:val="22"/>
          <w:szCs w:val="22"/>
        </w:rPr>
        <w:t>,</w:t>
      </w:r>
      <w:r w:rsidRPr="000E63CD">
        <w:rPr>
          <w:sz w:val="22"/>
          <w:szCs w:val="22"/>
        </w:rPr>
        <w:t xml:space="preserve"> se está proponiendo </w:t>
      </w:r>
      <w:r w:rsidR="00013216" w:rsidRPr="000E63CD">
        <w:rPr>
          <w:sz w:val="22"/>
          <w:szCs w:val="22"/>
        </w:rPr>
        <w:t xml:space="preserve">exceptuar </w:t>
      </w:r>
      <w:r w:rsidR="001D5A67">
        <w:rPr>
          <w:sz w:val="22"/>
          <w:szCs w:val="22"/>
        </w:rPr>
        <w:t>la comercialización del GNC o del GNL en el mercado primario</w:t>
      </w:r>
      <w:r w:rsidR="006D392B" w:rsidRPr="000E63CD">
        <w:rPr>
          <w:sz w:val="22"/>
          <w:szCs w:val="22"/>
        </w:rPr>
        <w:t xml:space="preserve"> </w:t>
      </w:r>
      <w:r w:rsidR="00013216" w:rsidRPr="000E63CD">
        <w:rPr>
          <w:sz w:val="22"/>
          <w:szCs w:val="22"/>
        </w:rPr>
        <w:t xml:space="preserve">de </w:t>
      </w:r>
      <w:r w:rsidR="005E21A9" w:rsidRPr="000E63CD">
        <w:rPr>
          <w:sz w:val="22"/>
          <w:szCs w:val="22"/>
        </w:rPr>
        <w:t xml:space="preserve">la aplicación obligatoria de </w:t>
      </w:r>
      <w:r w:rsidR="00013216" w:rsidRPr="000E63CD">
        <w:rPr>
          <w:sz w:val="22"/>
          <w:szCs w:val="22"/>
        </w:rPr>
        <w:t>las modalidades contractuales establecidas</w:t>
      </w:r>
      <w:r w:rsidR="001B3B82" w:rsidRPr="000E63CD">
        <w:rPr>
          <w:sz w:val="22"/>
          <w:szCs w:val="22"/>
        </w:rPr>
        <w:t xml:space="preserve"> en la resolución</w:t>
      </w:r>
      <w:r w:rsidR="00013216" w:rsidRPr="000E63CD">
        <w:rPr>
          <w:sz w:val="22"/>
          <w:szCs w:val="22"/>
        </w:rPr>
        <w:t xml:space="preserve">, </w:t>
      </w:r>
      <w:r w:rsidR="00FF2A8D" w:rsidRPr="000E63CD">
        <w:rPr>
          <w:sz w:val="22"/>
          <w:szCs w:val="22"/>
        </w:rPr>
        <w:t>dado el caso que</w:t>
      </w:r>
      <w:r w:rsidR="00013216" w:rsidRPr="000E63CD">
        <w:rPr>
          <w:sz w:val="22"/>
          <w:szCs w:val="22"/>
        </w:rPr>
        <w:t xml:space="preserve"> los </w:t>
      </w:r>
      <w:r w:rsidR="00AC32B5">
        <w:rPr>
          <w:sz w:val="22"/>
          <w:szCs w:val="22"/>
        </w:rPr>
        <w:t>Vendedores</w:t>
      </w:r>
      <w:r w:rsidR="00013216" w:rsidRPr="000E63CD">
        <w:rPr>
          <w:sz w:val="22"/>
          <w:szCs w:val="22"/>
        </w:rPr>
        <w:t xml:space="preserve"> del </w:t>
      </w:r>
      <w:r w:rsidR="00AC32B5">
        <w:rPr>
          <w:sz w:val="22"/>
          <w:szCs w:val="22"/>
        </w:rPr>
        <w:t>Mercado Primario</w:t>
      </w:r>
      <w:r w:rsidR="00013216" w:rsidRPr="000E63CD">
        <w:rPr>
          <w:sz w:val="22"/>
          <w:szCs w:val="22"/>
        </w:rPr>
        <w:t xml:space="preserve"> ofrezcan</w:t>
      </w:r>
      <w:r w:rsidR="009D65AA" w:rsidRPr="000E63CD">
        <w:rPr>
          <w:sz w:val="22"/>
          <w:szCs w:val="22"/>
        </w:rPr>
        <w:t>,</w:t>
      </w:r>
      <w:r w:rsidR="00D65855" w:rsidRPr="000E63CD">
        <w:rPr>
          <w:sz w:val="22"/>
          <w:szCs w:val="22"/>
        </w:rPr>
        <w:t xml:space="preserve"> bien sea gas natural licuado o gas natural comprimido,</w:t>
      </w:r>
      <w:r w:rsidR="009D65AA" w:rsidRPr="000E63CD">
        <w:rPr>
          <w:sz w:val="22"/>
          <w:szCs w:val="22"/>
        </w:rPr>
        <w:t xml:space="preserve"> particularmente considerando</w:t>
      </w:r>
      <w:r w:rsidR="001B3B82" w:rsidRPr="000E63CD">
        <w:rPr>
          <w:sz w:val="22"/>
          <w:szCs w:val="22"/>
        </w:rPr>
        <w:t xml:space="preserve"> entre otros aspectos,</w:t>
      </w:r>
      <w:r w:rsidR="009D65AA" w:rsidRPr="000E63CD">
        <w:rPr>
          <w:sz w:val="22"/>
          <w:szCs w:val="22"/>
        </w:rPr>
        <w:t xml:space="preserve"> las posibilidades de almacenamiento en</w:t>
      </w:r>
      <w:r w:rsidR="009B2141">
        <w:rPr>
          <w:sz w:val="22"/>
          <w:szCs w:val="22"/>
        </w:rPr>
        <w:t xml:space="preserve"> Punto de Entrega y /o domicilio o</w:t>
      </w:r>
      <w:r w:rsidR="009D65AA" w:rsidRPr="000E63CD">
        <w:rPr>
          <w:sz w:val="22"/>
          <w:szCs w:val="22"/>
        </w:rPr>
        <w:t xml:space="preserve"> sitio de consumo </w:t>
      </w:r>
      <w:r w:rsidR="00D65855" w:rsidRPr="000E63CD">
        <w:rPr>
          <w:sz w:val="22"/>
          <w:szCs w:val="22"/>
        </w:rPr>
        <w:t>que pueden tener estos productos</w:t>
      </w:r>
      <w:r w:rsidR="00331DF9" w:rsidRPr="000E63CD">
        <w:rPr>
          <w:sz w:val="22"/>
          <w:szCs w:val="22"/>
        </w:rPr>
        <w:t xml:space="preserve"> y</w:t>
      </w:r>
      <w:r w:rsidR="00D65855" w:rsidRPr="000E63CD">
        <w:rPr>
          <w:sz w:val="22"/>
          <w:szCs w:val="22"/>
        </w:rPr>
        <w:t xml:space="preserve"> que llevan a que no necesariamente el suministro que se pacte debe ser continuamente diario</w:t>
      </w:r>
      <w:r w:rsidR="00E61718" w:rsidRPr="000E63CD">
        <w:rPr>
          <w:sz w:val="22"/>
          <w:szCs w:val="22"/>
        </w:rPr>
        <w:t>, aunque eso sí con una cantidad definida mensual</w:t>
      </w:r>
      <w:r w:rsidR="005B2FC2" w:rsidRPr="000E63CD">
        <w:rPr>
          <w:sz w:val="22"/>
          <w:szCs w:val="22"/>
        </w:rPr>
        <w:t xml:space="preserve"> para que sea acorde con las declaraciones de producción, de PTDV y de PTDVF que </w:t>
      </w:r>
      <w:r w:rsidR="00922A63" w:rsidRPr="000E63CD">
        <w:rPr>
          <w:sz w:val="22"/>
          <w:szCs w:val="22"/>
        </w:rPr>
        <w:t>fundamentan la contratación con Respaldo Físico</w:t>
      </w:r>
      <w:r w:rsidR="0067553A" w:rsidRPr="000E63CD">
        <w:rPr>
          <w:sz w:val="22"/>
          <w:szCs w:val="22"/>
        </w:rPr>
        <w:t xml:space="preserve">. </w:t>
      </w:r>
      <w:r w:rsidR="003A26A5" w:rsidRPr="000E63CD">
        <w:rPr>
          <w:sz w:val="22"/>
          <w:szCs w:val="22"/>
        </w:rPr>
        <w:t xml:space="preserve">En estos casos, las partes definirán las condiciones de los contratos que celebren y deberán </w:t>
      </w:r>
      <w:r w:rsidR="007D75B7">
        <w:rPr>
          <w:sz w:val="22"/>
          <w:szCs w:val="22"/>
        </w:rPr>
        <w:t>determinar</w:t>
      </w:r>
      <w:r w:rsidR="003A26A5" w:rsidRPr="000E63CD">
        <w:rPr>
          <w:sz w:val="22"/>
          <w:szCs w:val="22"/>
        </w:rPr>
        <w:t xml:space="preserve"> </w:t>
      </w:r>
      <w:r w:rsidR="002C602D" w:rsidRPr="000E63CD">
        <w:rPr>
          <w:sz w:val="22"/>
          <w:szCs w:val="22"/>
        </w:rPr>
        <w:t xml:space="preserve">eso sí, </w:t>
      </w:r>
      <w:r w:rsidR="003A26A5" w:rsidRPr="000E63CD">
        <w:rPr>
          <w:sz w:val="22"/>
          <w:szCs w:val="22"/>
        </w:rPr>
        <w:t>l</w:t>
      </w:r>
      <w:r w:rsidR="00775629" w:rsidRPr="000E63CD">
        <w:rPr>
          <w:sz w:val="22"/>
          <w:szCs w:val="22"/>
        </w:rPr>
        <w:t>as condiciones o requisitos mínimos que la CREG estable</w:t>
      </w:r>
      <w:r w:rsidR="002F1073" w:rsidRPr="000E63CD">
        <w:rPr>
          <w:sz w:val="22"/>
          <w:szCs w:val="22"/>
        </w:rPr>
        <w:t>ce</w:t>
      </w:r>
      <w:r w:rsidR="00775629" w:rsidRPr="000E63CD">
        <w:rPr>
          <w:sz w:val="22"/>
          <w:szCs w:val="22"/>
        </w:rPr>
        <w:t xml:space="preserve"> que deben cumplir los contratos de suministro.</w:t>
      </w:r>
    </w:p>
    <w:p w14:paraId="1EB1933A" w14:textId="77777777" w:rsidR="008F5CF7" w:rsidRPr="000E63CD" w:rsidRDefault="008F5CF7" w:rsidP="00B83821">
      <w:pPr>
        <w:rPr>
          <w:sz w:val="22"/>
          <w:szCs w:val="22"/>
        </w:rPr>
      </w:pPr>
    </w:p>
    <w:p w14:paraId="7EC3CAC0" w14:textId="62057548" w:rsidR="008F5CF7" w:rsidRPr="000E63CD" w:rsidRDefault="00A102B3" w:rsidP="00B83821">
      <w:pPr>
        <w:rPr>
          <w:sz w:val="22"/>
          <w:szCs w:val="22"/>
        </w:rPr>
      </w:pPr>
      <w:r w:rsidRPr="000E63CD">
        <w:rPr>
          <w:sz w:val="22"/>
          <w:szCs w:val="22"/>
        </w:rPr>
        <w:t>Se debe tener en cuenta en la propuesta que l</w:t>
      </w:r>
      <w:r w:rsidR="008F5CF7" w:rsidRPr="000E63CD">
        <w:rPr>
          <w:sz w:val="22"/>
          <w:szCs w:val="22"/>
        </w:rPr>
        <w:t xml:space="preserve">a flexibilidad </w:t>
      </w:r>
      <w:r w:rsidR="00AA449E" w:rsidRPr="000E63CD">
        <w:rPr>
          <w:sz w:val="22"/>
          <w:szCs w:val="22"/>
        </w:rPr>
        <w:t xml:space="preserve">dada </w:t>
      </w:r>
      <w:r w:rsidR="00731B85" w:rsidRPr="000E63CD">
        <w:rPr>
          <w:sz w:val="22"/>
          <w:szCs w:val="22"/>
        </w:rPr>
        <w:t xml:space="preserve">a </w:t>
      </w:r>
      <w:r w:rsidRPr="000E63CD">
        <w:rPr>
          <w:sz w:val="22"/>
          <w:szCs w:val="22"/>
        </w:rPr>
        <w:t xml:space="preserve">estas nuevas </w:t>
      </w:r>
      <w:r w:rsidR="00731B85" w:rsidRPr="000E63CD">
        <w:rPr>
          <w:sz w:val="22"/>
          <w:szCs w:val="22"/>
        </w:rPr>
        <w:t xml:space="preserve">fuentes </w:t>
      </w:r>
      <w:r w:rsidR="000E12BF" w:rsidRPr="000E63CD">
        <w:rPr>
          <w:sz w:val="22"/>
          <w:szCs w:val="22"/>
        </w:rPr>
        <w:t xml:space="preserve">o modos </w:t>
      </w:r>
      <w:r w:rsidR="00731B85" w:rsidRPr="000E63CD">
        <w:rPr>
          <w:sz w:val="22"/>
          <w:szCs w:val="22"/>
        </w:rPr>
        <w:t xml:space="preserve">de suministro anteriormente señaladas </w:t>
      </w:r>
      <w:r w:rsidR="00AA449E" w:rsidRPr="000E63CD">
        <w:rPr>
          <w:sz w:val="22"/>
          <w:szCs w:val="22"/>
        </w:rPr>
        <w:t xml:space="preserve">no implica que </w:t>
      </w:r>
      <w:r w:rsidR="002F1073" w:rsidRPr="000E63CD">
        <w:rPr>
          <w:sz w:val="22"/>
          <w:szCs w:val="22"/>
        </w:rPr>
        <w:t xml:space="preserve">queden excluidas de participar </w:t>
      </w:r>
      <w:r w:rsidR="00AA449E" w:rsidRPr="000E63CD">
        <w:rPr>
          <w:sz w:val="22"/>
          <w:szCs w:val="22"/>
        </w:rPr>
        <w:t xml:space="preserve">en el </w:t>
      </w:r>
      <w:r w:rsidR="002F1073" w:rsidRPr="000E63CD">
        <w:rPr>
          <w:sz w:val="22"/>
          <w:szCs w:val="22"/>
        </w:rPr>
        <w:t>m</w:t>
      </w:r>
      <w:r w:rsidR="00FA3519" w:rsidRPr="000E63CD">
        <w:rPr>
          <w:sz w:val="22"/>
          <w:szCs w:val="22"/>
        </w:rPr>
        <w:t xml:space="preserve">ecanismo de </w:t>
      </w:r>
      <w:r w:rsidR="002F1073" w:rsidRPr="000E63CD">
        <w:rPr>
          <w:sz w:val="22"/>
          <w:szCs w:val="22"/>
        </w:rPr>
        <w:t>a</w:t>
      </w:r>
      <w:r w:rsidR="00FA3519" w:rsidRPr="000E63CD">
        <w:rPr>
          <w:sz w:val="22"/>
          <w:szCs w:val="22"/>
        </w:rPr>
        <w:t xml:space="preserve">seguramiento de la </w:t>
      </w:r>
      <w:r w:rsidR="00E8014D" w:rsidRPr="000E63CD">
        <w:rPr>
          <w:sz w:val="22"/>
          <w:szCs w:val="22"/>
        </w:rPr>
        <w:t>Demanda Esencial</w:t>
      </w:r>
      <w:r w:rsidRPr="000E63CD">
        <w:rPr>
          <w:sz w:val="22"/>
          <w:szCs w:val="22"/>
        </w:rPr>
        <w:t>, precisamente por las razones que</w:t>
      </w:r>
      <w:r w:rsidR="009B2E54" w:rsidRPr="000E63CD">
        <w:rPr>
          <w:sz w:val="22"/>
          <w:szCs w:val="22"/>
        </w:rPr>
        <w:t xml:space="preserve"> ya se han expuesto en el capítulo de la problemática a solucionar</w:t>
      </w:r>
      <w:r w:rsidR="002C5F4E" w:rsidRPr="000E63CD">
        <w:rPr>
          <w:sz w:val="22"/>
          <w:szCs w:val="22"/>
        </w:rPr>
        <w:t>.</w:t>
      </w:r>
      <w:r w:rsidR="00D90462" w:rsidRPr="000E63CD">
        <w:rPr>
          <w:sz w:val="22"/>
          <w:szCs w:val="22"/>
        </w:rPr>
        <w:t xml:space="preserve"> </w:t>
      </w:r>
    </w:p>
    <w:p w14:paraId="494D3298" w14:textId="605CEF1B" w:rsidR="00F8496C" w:rsidRPr="000E63CD" w:rsidRDefault="00F8496C" w:rsidP="00B83821">
      <w:pPr>
        <w:rPr>
          <w:sz w:val="22"/>
          <w:szCs w:val="22"/>
        </w:rPr>
      </w:pPr>
    </w:p>
    <w:p w14:paraId="44F28DE2" w14:textId="241AA691" w:rsidR="007558A4" w:rsidRPr="000E63CD" w:rsidRDefault="007558A4" w:rsidP="00B83821">
      <w:pPr>
        <w:rPr>
          <w:sz w:val="22"/>
          <w:szCs w:val="22"/>
        </w:rPr>
      </w:pPr>
      <w:r w:rsidRPr="00E4072C">
        <w:rPr>
          <w:sz w:val="22"/>
          <w:szCs w:val="22"/>
        </w:rPr>
        <w:t xml:space="preserve">Finalmente se establece que en el caso de contratos que se </w:t>
      </w:r>
      <w:r w:rsidR="00EC042D" w:rsidRPr="00DA6D28">
        <w:rPr>
          <w:sz w:val="22"/>
          <w:szCs w:val="22"/>
        </w:rPr>
        <w:t xml:space="preserve">negocian en forma directa y se registran en cualquier momento del año, así como de </w:t>
      </w:r>
      <w:r w:rsidR="00EC042D" w:rsidRPr="00766B5D">
        <w:rPr>
          <w:sz w:val="22"/>
          <w:szCs w:val="22"/>
        </w:rPr>
        <w:t xml:space="preserve">aquellos que adicionalmente tiene ciertas flexibilidades en los contenidos de los contratos, de las cuales hacen uso, </w:t>
      </w:r>
      <w:r w:rsidR="00F46185" w:rsidRPr="00766B5D">
        <w:rPr>
          <w:sz w:val="22"/>
          <w:szCs w:val="22"/>
        </w:rPr>
        <w:t xml:space="preserve">solamente pueden contener </w:t>
      </w:r>
      <w:r w:rsidR="00766B5D" w:rsidRPr="00766B5D">
        <w:rPr>
          <w:sz w:val="22"/>
          <w:szCs w:val="22"/>
        </w:rPr>
        <w:t xml:space="preserve">como única fuente de suministro </w:t>
      </w:r>
      <w:r w:rsidR="0092600A" w:rsidRPr="00766B5D">
        <w:rPr>
          <w:sz w:val="22"/>
          <w:szCs w:val="22"/>
        </w:rPr>
        <w:t>un campo</w:t>
      </w:r>
      <w:r w:rsidR="00F46185" w:rsidRPr="00766B5D">
        <w:rPr>
          <w:sz w:val="22"/>
          <w:szCs w:val="22"/>
        </w:rPr>
        <w:t xml:space="preserve"> de </w:t>
      </w:r>
      <w:r w:rsidR="0092600A" w:rsidRPr="00766B5D">
        <w:rPr>
          <w:sz w:val="22"/>
          <w:szCs w:val="22"/>
        </w:rPr>
        <w:t>producción</w:t>
      </w:r>
      <w:r w:rsidR="00766B5D" w:rsidRPr="00766B5D">
        <w:rPr>
          <w:sz w:val="22"/>
          <w:szCs w:val="22"/>
        </w:rPr>
        <w:t>.</w:t>
      </w:r>
      <w:r w:rsidR="00C37863" w:rsidRPr="00766B5D">
        <w:rPr>
          <w:sz w:val="22"/>
          <w:szCs w:val="22"/>
        </w:rPr>
        <w:t xml:space="preserve"> </w:t>
      </w:r>
      <w:r w:rsidR="00766B5D" w:rsidRPr="00766B5D">
        <w:rPr>
          <w:sz w:val="22"/>
          <w:szCs w:val="22"/>
        </w:rPr>
        <w:t>L</w:t>
      </w:r>
      <w:r w:rsidR="00F46185" w:rsidRPr="00766B5D">
        <w:rPr>
          <w:sz w:val="22"/>
          <w:szCs w:val="22"/>
        </w:rPr>
        <w:t xml:space="preserve">o anterior porque </w:t>
      </w:r>
      <w:r w:rsidR="00B67581" w:rsidRPr="00766B5D">
        <w:rPr>
          <w:sz w:val="22"/>
          <w:szCs w:val="22"/>
        </w:rPr>
        <w:t xml:space="preserve">las condiciones excepcionales de flexibilización no se </w:t>
      </w:r>
      <w:r w:rsidR="00766B5D" w:rsidRPr="00766B5D">
        <w:rPr>
          <w:sz w:val="22"/>
          <w:szCs w:val="22"/>
        </w:rPr>
        <w:t xml:space="preserve">pueden </w:t>
      </w:r>
      <w:r w:rsidR="00B67581" w:rsidRPr="00766B5D">
        <w:rPr>
          <w:sz w:val="22"/>
          <w:szCs w:val="22"/>
        </w:rPr>
        <w:t>aplica</w:t>
      </w:r>
      <w:r w:rsidR="00766B5D" w:rsidRPr="00766B5D">
        <w:rPr>
          <w:sz w:val="22"/>
          <w:szCs w:val="22"/>
        </w:rPr>
        <w:t>r</w:t>
      </w:r>
      <w:r w:rsidR="00B67581" w:rsidRPr="00766B5D">
        <w:rPr>
          <w:sz w:val="22"/>
          <w:szCs w:val="22"/>
        </w:rPr>
        <w:t xml:space="preserve"> cuando el contrato de </w:t>
      </w:r>
      <w:proofErr w:type="gramStart"/>
      <w:r w:rsidR="00B67581" w:rsidRPr="00766B5D">
        <w:rPr>
          <w:sz w:val="22"/>
          <w:szCs w:val="22"/>
        </w:rPr>
        <w:t>suministro,</w:t>
      </w:r>
      <w:proofErr w:type="gramEnd"/>
      <w:r w:rsidR="00B67581" w:rsidRPr="00766B5D">
        <w:rPr>
          <w:sz w:val="22"/>
          <w:szCs w:val="22"/>
        </w:rPr>
        <w:t xml:space="preserve"> inc</w:t>
      </w:r>
      <w:r w:rsidR="00766B5D" w:rsidRPr="00766B5D">
        <w:rPr>
          <w:sz w:val="22"/>
          <w:szCs w:val="22"/>
        </w:rPr>
        <w:t>luye como fuentes de suministro</w:t>
      </w:r>
      <w:r w:rsidR="00B67581" w:rsidRPr="00766B5D">
        <w:rPr>
          <w:sz w:val="22"/>
          <w:szCs w:val="22"/>
        </w:rPr>
        <w:t xml:space="preserve"> tanto campos sujetos de tales flexibilid</w:t>
      </w:r>
      <w:r w:rsidR="0039764B" w:rsidRPr="00766B5D">
        <w:rPr>
          <w:sz w:val="22"/>
          <w:szCs w:val="22"/>
        </w:rPr>
        <w:t>ades</w:t>
      </w:r>
      <w:r w:rsidR="00B67581" w:rsidRPr="00766B5D">
        <w:rPr>
          <w:sz w:val="22"/>
          <w:szCs w:val="22"/>
        </w:rPr>
        <w:t xml:space="preserve"> como campos que no están sujeto de las mismas</w:t>
      </w:r>
      <w:r w:rsidR="006D78E9">
        <w:rPr>
          <w:sz w:val="22"/>
          <w:szCs w:val="22"/>
        </w:rPr>
        <w:t>, puesto que se estaría</w:t>
      </w:r>
      <w:r w:rsidR="000A2434">
        <w:rPr>
          <w:sz w:val="22"/>
          <w:szCs w:val="22"/>
        </w:rPr>
        <w:t>n</w:t>
      </w:r>
      <w:r w:rsidR="006D78E9">
        <w:rPr>
          <w:sz w:val="22"/>
          <w:szCs w:val="22"/>
        </w:rPr>
        <w:t xml:space="preserve"> aprovechando las excepciones para cubrir fuentes de suministro cuya comercialización está sujeta de las condiciones establecidas para ello por parte de la CREG</w:t>
      </w:r>
      <w:r w:rsidR="000A2434">
        <w:rPr>
          <w:sz w:val="22"/>
          <w:szCs w:val="22"/>
        </w:rPr>
        <w:t xml:space="preserve"> que no cuentan con excepciones</w:t>
      </w:r>
      <w:r w:rsidR="00B67581" w:rsidRPr="00766B5D">
        <w:rPr>
          <w:sz w:val="22"/>
          <w:szCs w:val="22"/>
        </w:rPr>
        <w:t>.</w:t>
      </w:r>
    </w:p>
    <w:p w14:paraId="05DEBA08" w14:textId="77777777" w:rsidR="007558A4" w:rsidRPr="000E63CD" w:rsidRDefault="007558A4" w:rsidP="00B83821">
      <w:pPr>
        <w:rPr>
          <w:sz w:val="22"/>
          <w:szCs w:val="22"/>
        </w:rPr>
      </w:pPr>
    </w:p>
    <w:p w14:paraId="7C6632F4" w14:textId="3FAAFCA7" w:rsidR="006F3A67" w:rsidRPr="000E63CD" w:rsidRDefault="006A3725" w:rsidP="00B83821">
      <w:pPr>
        <w:rPr>
          <w:sz w:val="22"/>
          <w:szCs w:val="22"/>
        </w:rPr>
      </w:pPr>
      <w:r w:rsidRPr="000E63CD">
        <w:rPr>
          <w:sz w:val="22"/>
          <w:szCs w:val="22"/>
        </w:rPr>
        <w:t xml:space="preserve">En el ANEXO </w:t>
      </w:r>
      <w:r w:rsidR="00D23B62">
        <w:rPr>
          <w:sz w:val="22"/>
          <w:szCs w:val="22"/>
        </w:rPr>
        <w:t>2</w:t>
      </w:r>
      <w:r w:rsidRPr="000E63CD">
        <w:rPr>
          <w:sz w:val="22"/>
          <w:szCs w:val="22"/>
        </w:rPr>
        <w:t xml:space="preserve"> al presente documento</w:t>
      </w:r>
      <w:r w:rsidR="00112BEB" w:rsidRPr="000E63CD">
        <w:rPr>
          <w:sz w:val="22"/>
          <w:szCs w:val="22"/>
        </w:rPr>
        <w:t>,</w:t>
      </w:r>
      <w:r w:rsidR="008355ED" w:rsidRPr="000E63CD">
        <w:rPr>
          <w:sz w:val="22"/>
          <w:szCs w:val="22"/>
        </w:rPr>
        <w:t xml:space="preserve"> se presenta un resumen de las flexibilidades</w:t>
      </w:r>
      <w:r w:rsidR="00FD3686" w:rsidRPr="000E63CD">
        <w:rPr>
          <w:sz w:val="22"/>
          <w:szCs w:val="22"/>
        </w:rPr>
        <w:t xml:space="preserve"> propuestas para la aplicación de</w:t>
      </w:r>
      <w:r w:rsidR="008355ED" w:rsidRPr="000E63CD">
        <w:rPr>
          <w:sz w:val="22"/>
          <w:szCs w:val="22"/>
        </w:rPr>
        <w:t xml:space="preserve"> los mecanismos y procesos de comercialización y </w:t>
      </w:r>
      <w:r w:rsidR="00FD3686" w:rsidRPr="000E63CD">
        <w:rPr>
          <w:sz w:val="22"/>
          <w:szCs w:val="22"/>
        </w:rPr>
        <w:t>de</w:t>
      </w:r>
      <w:r w:rsidR="008355ED" w:rsidRPr="000E63CD">
        <w:rPr>
          <w:sz w:val="22"/>
          <w:szCs w:val="22"/>
        </w:rPr>
        <w:t xml:space="preserve"> las modalidades contractuales</w:t>
      </w:r>
      <w:r w:rsidR="00FD3686" w:rsidRPr="000E63CD">
        <w:rPr>
          <w:sz w:val="22"/>
          <w:szCs w:val="22"/>
        </w:rPr>
        <w:t>.</w:t>
      </w:r>
    </w:p>
    <w:p w14:paraId="4ECA1A81" w14:textId="6BD22A81" w:rsidR="00E1762F" w:rsidRDefault="00E1762F" w:rsidP="001157C1">
      <w:pPr>
        <w:rPr>
          <w:sz w:val="22"/>
          <w:szCs w:val="22"/>
        </w:rPr>
      </w:pPr>
    </w:p>
    <w:p w14:paraId="78B58FDF" w14:textId="106CAD3B" w:rsidR="00FE3AFF" w:rsidRDefault="00FE3AFF" w:rsidP="001157C1">
      <w:pPr>
        <w:rPr>
          <w:sz w:val="22"/>
          <w:szCs w:val="22"/>
        </w:rPr>
      </w:pPr>
    </w:p>
    <w:p w14:paraId="512FD9D8" w14:textId="7EBA5B1F" w:rsidR="00FE3AFF" w:rsidRDefault="00FE3AFF" w:rsidP="00FE3AFF">
      <w:pPr>
        <w:pStyle w:val="Ttulo2"/>
        <w:rPr>
          <w:sz w:val="22"/>
          <w:szCs w:val="22"/>
        </w:rPr>
      </w:pPr>
      <w:bookmarkStart w:id="426" w:name="_Ref130808646"/>
      <w:bookmarkStart w:id="427" w:name="_Toc140506222"/>
      <w:r>
        <w:rPr>
          <w:sz w:val="22"/>
          <w:szCs w:val="22"/>
        </w:rPr>
        <w:t>Declaración de información de PTDVF/CIDVF de todas las fuentes de suministro</w:t>
      </w:r>
      <w:bookmarkEnd w:id="426"/>
      <w:bookmarkEnd w:id="427"/>
    </w:p>
    <w:p w14:paraId="7E7FB557" w14:textId="2D74BB67" w:rsidR="00FE3AFF" w:rsidRPr="000E63CD" w:rsidRDefault="00FE3AFF" w:rsidP="00FE3AFF">
      <w:pPr>
        <w:rPr>
          <w:sz w:val="22"/>
          <w:szCs w:val="22"/>
        </w:rPr>
      </w:pPr>
      <w:r w:rsidRPr="000E63CD">
        <w:rPr>
          <w:sz w:val="22"/>
          <w:szCs w:val="22"/>
        </w:rPr>
        <w:t xml:space="preserve">En armonía con lo que más adelante se propone para realizar balances comerciales periódicos de oferta y demanda, dado que la oferta de suministro de gas natural incluye todas las fuentes de suministro, sin excepción ninguna, y que para la suscripción de contratos con garantía de firmeza se requiere contar con oferta de PTDVF y/o CIDVF, se propone que </w:t>
      </w:r>
      <w:r>
        <w:rPr>
          <w:sz w:val="22"/>
          <w:szCs w:val="22"/>
        </w:rPr>
        <w:t xml:space="preserve">estas </w:t>
      </w:r>
      <w:r w:rsidRPr="000E63CD">
        <w:rPr>
          <w:sz w:val="22"/>
          <w:szCs w:val="22"/>
        </w:rPr>
        <w:t>declaraci</w:t>
      </w:r>
      <w:r>
        <w:rPr>
          <w:sz w:val="22"/>
          <w:szCs w:val="22"/>
        </w:rPr>
        <w:t>ones</w:t>
      </w:r>
      <w:r w:rsidRPr="000E63CD">
        <w:rPr>
          <w:sz w:val="22"/>
          <w:szCs w:val="22"/>
        </w:rPr>
        <w:t xml:space="preserve"> </w:t>
      </w:r>
      <w:r w:rsidR="002D1868">
        <w:rPr>
          <w:sz w:val="22"/>
          <w:szCs w:val="22"/>
        </w:rPr>
        <w:t xml:space="preserve">de cantidades </w:t>
      </w:r>
      <w:r w:rsidRPr="000E63CD">
        <w:rPr>
          <w:sz w:val="22"/>
          <w:szCs w:val="22"/>
        </w:rPr>
        <w:t>deba</w:t>
      </w:r>
      <w:r>
        <w:rPr>
          <w:sz w:val="22"/>
          <w:szCs w:val="22"/>
        </w:rPr>
        <w:t>n</w:t>
      </w:r>
      <w:r w:rsidRPr="000E63CD">
        <w:rPr>
          <w:sz w:val="22"/>
          <w:szCs w:val="22"/>
        </w:rPr>
        <w:t xml:space="preserve"> ser</w:t>
      </w:r>
      <w:r w:rsidR="002D1868">
        <w:rPr>
          <w:sz w:val="22"/>
          <w:szCs w:val="22"/>
        </w:rPr>
        <w:t xml:space="preserve"> presentadas</w:t>
      </w:r>
      <w:r w:rsidRPr="000E63CD">
        <w:rPr>
          <w:sz w:val="22"/>
          <w:szCs w:val="22"/>
        </w:rPr>
        <w:t xml:space="preserve"> </w:t>
      </w:r>
      <w:r w:rsidR="002D1868">
        <w:rPr>
          <w:sz w:val="22"/>
          <w:szCs w:val="22"/>
        </w:rPr>
        <w:t>para</w:t>
      </w:r>
      <w:r w:rsidRPr="000E63CD">
        <w:rPr>
          <w:sz w:val="22"/>
          <w:szCs w:val="22"/>
        </w:rPr>
        <w:t xml:space="preserve"> la totalidad de las fuentes de suministro</w:t>
      </w:r>
      <w:r w:rsidR="002D1868">
        <w:rPr>
          <w:sz w:val="22"/>
          <w:szCs w:val="22"/>
        </w:rPr>
        <w:t xml:space="preserve"> con Respaldo Físico, incluyendo los campos de producción en pruebas o que no hayan declarado comercialidad pero que tienen certificación de reservas.</w:t>
      </w:r>
      <w:r w:rsidR="00544F0E">
        <w:rPr>
          <w:sz w:val="22"/>
          <w:szCs w:val="22"/>
        </w:rPr>
        <w:t xml:space="preserve"> Dicha declaración obligatoria es parte del mecanismo de acceso de la Demanda Esencial a contratos con Respaldo Físico que garantizan firmeza. </w:t>
      </w:r>
    </w:p>
    <w:p w14:paraId="045CD560" w14:textId="77777777" w:rsidR="00FE3AFF" w:rsidRPr="000E63CD" w:rsidRDefault="00FE3AFF" w:rsidP="00FE3AFF">
      <w:pPr>
        <w:rPr>
          <w:sz w:val="22"/>
          <w:szCs w:val="22"/>
        </w:rPr>
      </w:pPr>
    </w:p>
    <w:p w14:paraId="787286A2" w14:textId="2735CD2E" w:rsidR="00FE3AFF" w:rsidRPr="000E63CD" w:rsidRDefault="00FE3AFF" w:rsidP="00FE3AFF">
      <w:pPr>
        <w:rPr>
          <w:sz w:val="22"/>
          <w:szCs w:val="22"/>
        </w:rPr>
      </w:pPr>
      <w:r w:rsidRPr="000E63CD">
        <w:rPr>
          <w:sz w:val="22"/>
          <w:szCs w:val="22"/>
        </w:rPr>
        <w:t>Adicionalmente se propone una modificación a las definiciones de CIDVF y PTDVF, para que quede claro que en la declaración de PTDVF se deberán especificar las f</w:t>
      </w:r>
      <w:r w:rsidR="002D1868">
        <w:rPr>
          <w:sz w:val="22"/>
          <w:szCs w:val="22"/>
        </w:rPr>
        <w:t>u</w:t>
      </w:r>
      <w:r w:rsidRPr="000E63CD">
        <w:rPr>
          <w:sz w:val="22"/>
          <w:szCs w:val="22"/>
        </w:rPr>
        <w:t>entes de suministro</w:t>
      </w:r>
      <w:r w:rsidR="005810DD">
        <w:rPr>
          <w:sz w:val="22"/>
          <w:szCs w:val="22"/>
        </w:rPr>
        <w:t>, los periodos de uso</w:t>
      </w:r>
      <w:r w:rsidRPr="000E63CD">
        <w:rPr>
          <w:sz w:val="22"/>
          <w:szCs w:val="22"/>
        </w:rPr>
        <w:t xml:space="preserve"> y sus cantidades </w:t>
      </w:r>
      <w:r w:rsidR="002D1868">
        <w:rPr>
          <w:sz w:val="22"/>
          <w:szCs w:val="22"/>
        </w:rPr>
        <w:t xml:space="preserve">por Punto de Entrega </w:t>
      </w:r>
      <w:r w:rsidRPr="000E63CD">
        <w:rPr>
          <w:sz w:val="22"/>
          <w:szCs w:val="22"/>
        </w:rPr>
        <w:t>sobre los que se declara la PTDVF y/o CIDVF. Lo anterior</w:t>
      </w:r>
      <w:r>
        <w:rPr>
          <w:sz w:val="22"/>
          <w:szCs w:val="22"/>
        </w:rPr>
        <w:t>,</w:t>
      </w:r>
      <w:r w:rsidRPr="000E63CD">
        <w:rPr>
          <w:sz w:val="22"/>
          <w:szCs w:val="22"/>
        </w:rPr>
        <w:t xml:space="preserve"> con el fin de que el </w:t>
      </w:r>
      <w:r w:rsidR="005114C6">
        <w:rPr>
          <w:sz w:val="22"/>
          <w:szCs w:val="22"/>
        </w:rPr>
        <w:t>Gestor del Mercado</w:t>
      </w:r>
      <w:r>
        <w:rPr>
          <w:sz w:val="22"/>
          <w:szCs w:val="22"/>
        </w:rPr>
        <w:t xml:space="preserve"> de Gas</w:t>
      </w:r>
      <w:r w:rsidRPr="000E63CD">
        <w:rPr>
          <w:sz w:val="22"/>
          <w:szCs w:val="22"/>
        </w:rPr>
        <w:t xml:space="preserve"> pueda verificar que los contratos </w:t>
      </w:r>
      <w:r w:rsidR="005810DD" w:rsidRPr="000E63CD">
        <w:rPr>
          <w:sz w:val="22"/>
          <w:szCs w:val="22"/>
        </w:rPr>
        <w:t>que se registran</w:t>
      </w:r>
      <w:r w:rsidR="005810DD">
        <w:rPr>
          <w:sz w:val="22"/>
          <w:szCs w:val="22"/>
        </w:rPr>
        <w:t xml:space="preserve"> </w:t>
      </w:r>
      <w:r w:rsidRPr="000E63CD">
        <w:rPr>
          <w:sz w:val="22"/>
          <w:szCs w:val="22"/>
        </w:rPr>
        <w:t>de suministro con Respaldo Físico para asumir y cumplir compromisos contractuales firmes o que garantizan firmeza</w:t>
      </w:r>
      <w:r>
        <w:rPr>
          <w:sz w:val="22"/>
          <w:szCs w:val="22"/>
        </w:rPr>
        <w:t>,</w:t>
      </w:r>
      <w:r w:rsidRPr="000E63CD">
        <w:rPr>
          <w:sz w:val="22"/>
          <w:szCs w:val="22"/>
        </w:rPr>
        <w:t xml:space="preserve"> </w:t>
      </w:r>
      <w:r w:rsidR="002D1868">
        <w:rPr>
          <w:sz w:val="22"/>
          <w:szCs w:val="22"/>
        </w:rPr>
        <w:t xml:space="preserve">se encuentren acordes con tales declaraciones y no se superen </w:t>
      </w:r>
      <w:r w:rsidRPr="000E63CD">
        <w:rPr>
          <w:sz w:val="22"/>
          <w:szCs w:val="22"/>
        </w:rPr>
        <w:t xml:space="preserve">en algún momento </w:t>
      </w:r>
      <w:r w:rsidR="002D1868">
        <w:rPr>
          <w:sz w:val="22"/>
          <w:szCs w:val="22"/>
        </w:rPr>
        <w:t xml:space="preserve">durante la etapa </w:t>
      </w:r>
      <w:r w:rsidRPr="000E63CD">
        <w:rPr>
          <w:sz w:val="22"/>
          <w:szCs w:val="22"/>
        </w:rPr>
        <w:t>de la ejecución contractual</w:t>
      </w:r>
      <w:r w:rsidR="002D1868">
        <w:rPr>
          <w:sz w:val="22"/>
          <w:szCs w:val="22"/>
        </w:rPr>
        <w:t xml:space="preserve"> del suministro</w:t>
      </w:r>
      <w:r w:rsidRPr="000E63CD">
        <w:rPr>
          <w:sz w:val="22"/>
          <w:szCs w:val="22"/>
        </w:rPr>
        <w:t>.</w:t>
      </w:r>
      <w:r w:rsidR="005810DD">
        <w:rPr>
          <w:sz w:val="22"/>
          <w:szCs w:val="22"/>
        </w:rPr>
        <w:t xml:space="preserve"> Se ha evidenciado que actualmente hay contratos registrados ante el </w:t>
      </w:r>
      <w:r w:rsidR="005114C6">
        <w:rPr>
          <w:sz w:val="22"/>
          <w:szCs w:val="22"/>
        </w:rPr>
        <w:t>Gestor del Mercado</w:t>
      </w:r>
      <w:r w:rsidR="005810DD">
        <w:rPr>
          <w:sz w:val="22"/>
          <w:szCs w:val="22"/>
        </w:rPr>
        <w:t xml:space="preserve"> que presentan inconsistencias entre las cantidades declaradas al Ministerio de Minas y Energía como PTDV y PC y las cantidades registradas con garantía de firmeza ante el </w:t>
      </w:r>
      <w:r w:rsidR="005114C6">
        <w:rPr>
          <w:sz w:val="22"/>
          <w:szCs w:val="22"/>
        </w:rPr>
        <w:t>Gestor del Mercado</w:t>
      </w:r>
      <w:r w:rsidR="005810DD">
        <w:rPr>
          <w:sz w:val="22"/>
          <w:szCs w:val="22"/>
        </w:rPr>
        <w:t xml:space="preserve">, en parte porque no es posible determinar la distribución de las cantidades entre las fuentes realmente existentes al momento de registrar el contrato ante el </w:t>
      </w:r>
      <w:r w:rsidR="005114C6">
        <w:rPr>
          <w:sz w:val="22"/>
          <w:szCs w:val="22"/>
        </w:rPr>
        <w:t>Gestor del Mercado</w:t>
      </w:r>
      <w:r w:rsidR="005810DD">
        <w:rPr>
          <w:sz w:val="22"/>
          <w:szCs w:val="22"/>
        </w:rPr>
        <w:t xml:space="preserve">; así, el </w:t>
      </w:r>
      <w:r w:rsidR="005114C6">
        <w:rPr>
          <w:sz w:val="22"/>
          <w:szCs w:val="22"/>
        </w:rPr>
        <w:t>Gestor del Mercado</w:t>
      </w:r>
      <w:r w:rsidR="005810DD">
        <w:rPr>
          <w:sz w:val="22"/>
          <w:szCs w:val="22"/>
        </w:rPr>
        <w:t xml:space="preserve"> no cuenta con elementos suficientes para permitir el registro o no del contrato.</w:t>
      </w:r>
    </w:p>
    <w:p w14:paraId="5CA3EEFC" w14:textId="77777777" w:rsidR="00FE3AFF" w:rsidRPr="000E63CD" w:rsidRDefault="00FE3AFF" w:rsidP="00FE3AFF">
      <w:pPr>
        <w:rPr>
          <w:sz w:val="22"/>
          <w:szCs w:val="22"/>
        </w:rPr>
      </w:pPr>
    </w:p>
    <w:p w14:paraId="18141663" w14:textId="4C0D5BA1" w:rsidR="00FE3AFF" w:rsidRPr="000E63CD" w:rsidRDefault="00FE3AFF" w:rsidP="00FE3AFF">
      <w:pPr>
        <w:rPr>
          <w:sz w:val="22"/>
          <w:szCs w:val="22"/>
        </w:rPr>
      </w:pPr>
      <w:r w:rsidRPr="000E63CD">
        <w:rPr>
          <w:sz w:val="22"/>
          <w:szCs w:val="22"/>
        </w:rPr>
        <w:t xml:space="preserve">Con respecto a la declaración de PTDVF para los casos en que las fuentes de suministro son campos que se encuentren en pruebas extensas o sobre los cuales no se haya declarado su comercialidad, se deja claro que dichas fuentes no pueden declarar PTDVF a menos que se hayan certificado reservas </w:t>
      </w:r>
      <w:r w:rsidR="00031E8B">
        <w:rPr>
          <w:sz w:val="22"/>
          <w:szCs w:val="22"/>
        </w:rPr>
        <w:t xml:space="preserve">probadas y/o </w:t>
      </w:r>
      <w:r w:rsidRPr="000E63CD">
        <w:rPr>
          <w:sz w:val="22"/>
          <w:szCs w:val="22"/>
        </w:rPr>
        <w:t xml:space="preserve">probables </w:t>
      </w:r>
      <w:r w:rsidR="00535FD6">
        <w:rPr>
          <w:sz w:val="22"/>
          <w:szCs w:val="22"/>
        </w:rPr>
        <w:t xml:space="preserve">(Reservas de Gas Natural según definición del MME) </w:t>
      </w:r>
      <w:r w:rsidRPr="000E63CD">
        <w:rPr>
          <w:sz w:val="22"/>
          <w:szCs w:val="22"/>
        </w:rPr>
        <w:t>sobre ese mismo campo, en las condiciones establecidas para ello por la ANH. Lo anterior está en armonía con lo mencionado en el documento CREG D-063 de 2013, que sirvió de soporte para la publicación de la Resolución CREG 089 de 2013, en el que en respuesta al comentario del literal d. del numeral 2.5.4 se dice (se extrae del archivo PDF publicado):</w:t>
      </w:r>
    </w:p>
    <w:p w14:paraId="55AB8976" w14:textId="77777777" w:rsidR="00FE3AFF" w:rsidRPr="000E63CD" w:rsidRDefault="00FE3AFF" w:rsidP="00FE3AFF">
      <w:pPr>
        <w:rPr>
          <w:sz w:val="22"/>
          <w:szCs w:val="22"/>
        </w:rPr>
      </w:pPr>
    </w:p>
    <w:p w14:paraId="30C5683B" w14:textId="77777777" w:rsidR="00FE3AFF" w:rsidRPr="000E63CD" w:rsidRDefault="00FE3AFF" w:rsidP="00FE3AFF">
      <w:pPr>
        <w:jc w:val="center"/>
        <w:rPr>
          <w:sz w:val="22"/>
          <w:szCs w:val="22"/>
        </w:rPr>
      </w:pPr>
      <w:r w:rsidRPr="000E63CD">
        <w:rPr>
          <w:noProof/>
          <w:sz w:val="22"/>
          <w:szCs w:val="22"/>
        </w:rPr>
        <w:drawing>
          <wp:inline distT="0" distB="0" distL="0" distR="0" wp14:anchorId="6742B7BE" wp14:editId="058FE8FE">
            <wp:extent cx="5391397" cy="1283446"/>
            <wp:effectExtent l="0" t="0" r="0" b="0"/>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pic:cNvPicPr/>
                  </pic:nvPicPr>
                  <pic:blipFill>
                    <a:blip r:embed="rId31"/>
                    <a:stretch>
                      <a:fillRect/>
                    </a:stretch>
                  </pic:blipFill>
                  <pic:spPr>
                    <a:xfrm>
                      <a:off x="0" y="0"/>
                      <a:ext cx="5421073" cy="1290511"/>
                    </a:xfrm>
                    <a:prstGeom prst="rect">
                      <a:avLst/>
                    </a:prstGeom>
                  </pic:spPr>
                </pic:pic>
              </a:graphicData>
            </a:graphic>
          </wp:inline>
        </w:drawing>
      </w:r>
    </w:p>
    <w:p w14:paraId="203C7CA6" w14:textId="77777777" w:rsidR="00FE3AFF" w:rsidRPr="000E63CD" w:rsidRDefault="00FE3AFF" w:rsidP="00FE3AFF">
      <w:pPr>
        <w:jc w:val="center"/>
        <w:rPr>
          <w:sz w:val="22"/>
          <w:szCs w:val="22"/>
        </w:rPr>
      </w:pPr>
      <w:r w:rsidRPr="000E63CD">
        <w:rPr>
          <w:noProof/>
          <w:sz w:val="22"/>
          <w:szCs w:val="22"/>
        </w:rPr>
        <w:drawing>
          <wp:inline distT="0" distB="0" distL="0" distR="0" wp14:anchorId="7CE9FA23" wp14:editId="372E14D0">
            <wp:extent cx="5235974" cy="1490476"/>
            <wp:effectExtent l="0" t="0" r="3175" b="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pic:nvPicPr>
                  <pic:blipFill>
                    <a:blip r:embed="rId32"/>
                    <a:stretch>
                      <a:fillRect/>
                    </a:stretch>
                  </pic:blipFill>
                  <pic:spPr>
                    <a:xfrm>
                      <a:off x="0" y="0"/>
                      <a:ext cx="5281228" cy="1503358"/>
                    </a:xfrm>
                    <a:prstGeom prst="rect">
                      <a:avLst/>
                    </a:prstGeom>
                  </pic:spPr>
                </pic:pic>
              </a:graphicData>
            </a:graphic>
          </wp:inline>
        </w:drawing>
      </w:r>
    </w:p>
    <w:p w14:paraId="4B869E48" w14:textId="77777777" w:rsidR="00FE3AFF" w:rsidRPr="000E63CD" w:rsidRDefault="00FE3AFF" w:rsidP="00FE3AFF">
      <w:pPr>
        <w:rPr>
          <w:sz w:val="22"/>
          <w:szCs w:val="22"/>
        </w:rPr>
      </w:pPr>
    </w:p>
    <w:p w14:paraId="139D62B3" w14:textId="619C23E4" w:rsidR="00420B6D" w:rsidRDefault="00420B6D" w:rsidP="00420B6D">
      <w:pPr>
        <w:rPr>
          <w:sz w:val="22"/>
          <w:szCs w:val="22"/>
        </w:rPr>
      </w:pPr>
      <w:r w:rsidRPr="000E63CD">
        <w:rPr>
          <w:sz w:val="22"/>
          <w:szCs w:val="22"/>
        </w:rPr>
        <w:t xml:space="preserve">Por otra parte, se deja explícito que en el caso de los contratos de campos en pruebas o sin declaración de comercialidad, la flexibilidad que se da en cuanto al uso del mecanismo de negociación directa, registro del contrato en cualquier momento del año y definición entre las partes de las condiciones de los contratos, </w:t>
      </w:r>
      <w:r>
        <w:rPr>
          <w:sz w:val="22"/>
          <w:szCs w:val="22"/>
        </w:rPr>
        <w:t xml:space="preserve">permitirá </w:t>
      </w:r>
      <w:r w:rsidRPr="000E63CD">
        <w:rPr>
          <w:sz w:val="22"/>
          <w:szCs w:val="22"/>
        </w:rPr>
        <w:t>suscribir</w:t>
      </w:r>
      <w:r>
        <w:rPr>
          <w:sz w:val="22"/>
          <w:szCs w:val="22"/>
        </w:rPr>
        <w:t xml:space="preserve"> y registrar</w:t>
      </w:r>
      <w:r w:rsidRPr="000E63CD">
        <w:rPr>
          <w:sz w:val="22"/>
          <w:szCs w:val="22"/>
        </w:rPr>
        <w:t xml:space="preserve"> contratos cuya duración de ejecución </w:t>
      </w:r>
      <w:r>
        <w:rPr>
          <w:sz w:val="22"/>
          <w:szCs w:val="22"/>
        </w:rPr>
        <w:t>pueda superar</w:t>
      </w:r>
      <w:r w:rsidRPr="000E63CD">
        <w:rPr>
          <w:sz w:val="22"/>
          <w:szCs w:val="22"/>
        </w:rPr>
        <w:t xml:space="preserve"> el período de </w:t>
      </w:r>
      <w:r>
        <w:rPr>
          <w:sz w:val="22"/>
          <w:szCs w:val="22"/>
        </w:rPr>
        <w:t xml:space="preserve">duración de </w:t>
      </w:r>
      <w:r w:rsidRPr="000E63CD">
        <w:rPr>
          <w:sz w:val="22"/>
          <w:szCs w:val="22"/>
        </w:rPr>
        <w:t>las pruebas extensas</w:t>
      </w:r>
      <w:r>
        <w:rPr>
          <w:sz w:val="22"/>
          <w:szCs w:val="22"/>
        </w:rPr>
        <w:t>,</w:t>
      </w:r>
      <w:r w:rsidRPr="000E63CD">
        <w:rPr>
          <w:sz w:val="22"/>
          <w:szCs w:val="22"/>
        </w:rPr>
        <w:t xml:space="preserve"> de acuerdo con los términos del contrato de exploración y producción suscrito con la Agencia Nacional de Hidrocarburos – ANH. </w:t>
      </w:r>
      <w:r>
        <w:rPr>
          <w:sz w:val="22"/>
          <w:szCs w:val="22"/>
        </w:rPr>
        <w:t>Lo anterior tomando como base lo establecido en el parágrafo 2 del Artículo 2.2.2.2.21 del Decreto 1073 de 2015 (dejando claro</w:t>
      </w:r>
      <w:r w:rsidRPr="000E63CD">
        <w:rPr>
          <w:sz w:val="22"/>
          <w:szCs w:val="22"/>
        </w:rPr>
        <w:t xml:space="preserve"> que la duración de los contratos que se pacten durante las pruebas extensas </w:t>
      </w:r>
      <w:r>
        <w:rPr>
          <w:sz w:val="22"/>
          <w:szCs w:val="22"/>
        </w:rPr>
        <w:t xml:space="preserve">de un campo de producción en evaluación </w:t>
      </w:r>
      <w:r w:rsidRPr="000E63CD">
        <w:rPr>
          <w:sz w:val="22"/>
          <w:szCs w:val="22"/>
        </w:rPr>
        <w:t xml:space="preserve">podrá superar la duración del período de </w:t>
      </w:r>
      <w:r>
        <w:rPr>
          <w:sz w:val="22"/>
          <w:szCs w:val="22"/>
        </w:rPr>
        <w:t>dichas pruebas autorizado por la ANH</w:t>
      </w:r>
      <w:r w:rsidRPr="000E63CD">
        <w:rPr>
          <w:sz w:val="22"/>
          <w:szCs w:val="22"/>
        </w:rPr>
        <w:t>, de acuerdo con los términos del contrato de exploración y producción, o su equivalente, suscrito con la ANH</w:t>
      </w:r>
      <w:r>
        <w:rPr>
          <w:sz w:val="22"/>
          <w:szCs w:val="22"/>
        </w:rPr>
        <w:t xml:space="preserve">) y lo propuesto en el numeral </w:t>
      </w:r>
      <w:r w:rsidR="00C34E97">
        <w:rPr>
          <w:sz w:val="22"/>
          <w:szCs w:val="22"/>
        </w:rPr>
        <w:fldChar w:fldCharType="begin"/>
      </w:r>
      <w:r w:rsidR="00C34E97">
        <w:rPr>
          <w:sz w:val="22"/>
          <w:szCs w:val="22"/>
        </w:rPr>
        <w:instrText xml:space="preserve"> REF _Ref130637514 \r \h </w:instrText>
      </w:r>
      <w:r w:rsidR="00C34E97">
        <w:rPr>
          <w:sz w:val="22"/>
          <w:szCs w:val="22"/>
        </w:rPr>
      </w:r>
      <w:r w:rsidR="00C34E97">
        <w:rPr>
          <w:sz w:val="22"/>
          <w:szCs w:val="22"/>
        </w:rPr>
        <w:fldChar w:fldCharType="separate"/>
      </w:r>
      <w:r w:rsidR="00C34E97">
        <w:rPr>
          <w:sz w:val="22"/>
          <w:szCs w:val="22"/>
        </w:rPr>
        <w:t>4.18</w:t>
      </w:r>
      <w:r w:rsidR="00C34E97">
        <w:rPr>
          <w:sz w:val="22"/>
          <w:szCs w:val="22"/>
        </w:rPr>
        <w:fldChar w:fldCharType="end"/>
      </w:r>
      <w:r w:rsidR="00C34E97">
        <w:rPr>
          <w:sz w:val="22"/>
          <w:szCs w:val="22"/>
        </w:rPr>
        <w:t xml:space="preserve"> </w:t>
      </w:r>
      <w:r>
        <w:rPr>
          <w:sz w:val="22"/>
          <w:szCs w:val="22"/>
        </w:rPr>
        <w:t>“</w:t>
      </w:r>
      <w:r w:rsidRPr="00F65FBC">
        <w:rPr>
          <w:i/>
          <w:iCs/>
          <w:sz w:val="22"/>
          <w:szCs w:val="22"/>
        </w:rPr>
        <w:t>Registro de contratos sin necesidad de haber usado el MADE”</w:t>
      </w:r>
      <w:r>
        <w:rPr>
          <w:sz w:val="22"/>
          <w:szCs w:val="22"/>
        </w:rPr>
        <w:t xml:space="preserve"> del presente documento.</w:t>
      </w:r>
    </w:p>
    <w:p w14:paraId="17E01771" w14:textId="77777777" w:rsidR="00420B6D" w:rsidRDefault="00420B6D" w:rsidP="00420B6D">
      <w:pPr>
        <w:rPr>
          <w:sz w:val="22"/>
          <w:szCs w:val="22"/>
        </w:rPr>
      </w:pPr>
    </w:p>
    <w:p w14:paraId="0AEFF630" w14:textId="32C44264" w:rsidR="00420B6D" w:rsidRDefault="00420B6D" w:rsidP="00420B6D">
      <w:pPr>
        <w:rPr>
          <w:sz w:val="22"/>
          <w:szCs w:val="22"/>
        </w:rPr>
      </w:pPr>
      <w:r w:rsidRPr="000E63CD">
        <w:rPr>
          <w:sz w:val="22"/>
          <w:szCs w:val="22"/>
        </w:rPr>
        <w:t xml:space="preserve">Además, se deja explícito que, a menos que para dichas fuentes </w:t>
      </w:r>
      <w:r>
        <w:rPr>
          <w:sz w:val="22"/>
          <w:szCs w:val="22"/>
        </w:rPr>
        <w:t xml:space="preserve">de producción </w:t>
      </w:r>
      <w:r w:rsidRPr="000E63CD">
        <w:rPr>
          <w:sz w:val="22"/>
          <w:szCs w:val="22"/>
        </w:rPr>
        <w:t>se hayan certificado reservas probadas y/o probables ante la ANH, los contratos surgidos en estos casos no pueden tener como objeto adquirir compromisos que garantizan un servicio de suministro de una cantidad máxima de gas natural, sin interrupciones, durante un período determinado, excepto en los días establecidos para mantenimiento y labores programadas, para lo cual se requiere  contar con Respaldo Físico de acuerdo con los lineamientos y definiciones de la política energética establecidas en el Decreto 1073 de 2015.</w:t>
      </w:r>
    </w:p>
    <w:p w14:paraId="07366318" w14:textId="77777777" w:rsidR="00FE3AFF" w:rsidRDefault="00FE3AFF" w:rsidP="00FE3AFF">
      <w:pPr>
        <w:rPr>
          <w:sz w:val="22"/>
          <w:szCs w:val="22"/>
        </w:rPr>
      </w:pPr>
    </w:p>
    <w:p w14:paraId="4C845673" w14:textId="643BC218" w:rsidR="00FE3AFF" w:rsidRPr="000E63CD" w:rsidRDefault="00FE3AFF" w:rsidP="00FE3AFF">
      <w:pPr>
        <w:rPr>
          <w:sz w:val="22"/>
          <w:szCs w:val="22"/>
        </w:rPr>
      </w:pPr>
      <w:r w:rsidRPr="000E63CD">
        <w:rPr>
          <w:sz w:val="22"/>
          <w:szCs w:val="22"/>
        </w:rPr>
        <w:t xml:space="preserve">Por otro lado, no </w:t>
      </w:r>
      <w:r w:rsidR="000A1B2A">
        <w:rPr>
          <w:sz w:val="22"/>
          <w:szCs w:val="22"/>
        </w:rPr>
        <w:t xml:space="preserve">se </w:t>
      </w:r>
      <w:r w:rsidRPr="000E63CD">
        <w:rPr>
          <w:sz w:val="22"/>
          <w:szCs w:val="22"/>
        </w:rPr>
        <w:t xml:space="preserve">podrá tener contratado el suministro, bajo alguna de las modalidades que requiere Respaldo Físico para asumir y cumplir compromisos contractuales firmes o que garantizan firmeza, cantidades de gas que, en total para un determinado mes de ejecución y una determinada fuente de suministro, superen el Potencial de Producción establecido para esa fuente, de acuerdo con la declaración presentada en cumplimiento del Artículo 2.2.2.2.21 del Decreto 1073 de 2015, o aquel que lo </w:t>
      </w:r>
      <w:r>
        <w:rPr>
          <w:sz w:val="22"/>
          <w:szCs w:val="22"/>
        </w:rPr>
        <w:t xml:space="preserve">modifique </w:t>
      </w:r>
      <w:r w:rsidRPr="000E63CD">
        <w:rPr>
          <w:sz w:val="22"/>
          <w:szCs w:val="22"/>
        </w:rPr>
        <w:t xml:space="preserve"> o sustituya.</w:t>
      </w:r>
    </w:p>
    <w:p w14:paraId="0BF5659A" w14:textId="77777777" w:rsidR="00FE3AFF" w:rsidRPr="000E63CD" w:rsidRDefault="00FE3AFF" w:rsidP="00FE3AFF">
      <w:pPr>
        <w:rPr>
          <w:sz w:val="22"/>
          <w:szCs w:val="22"/>
        </w:rPr>
      </w:pPr>
    </w:p>
    <w:p w14:paraId="60478708" w14:textId="77777777" w:rsidR="00FE3AFF" w:rsidRPr="000E63CD" w:rsidRDefault="00FE3AFF" w:rsidP="00FE3AFF">
      <w:pPr>
        <w:rPr>
          <w:sz w:val="22"/>
          <w:szCs w:val="22"/>
        </w:rPr>
      </w:pPr>
      <w:r w:rsidRPr="000E63CD">
        <w:rPr>
          <w:sz w:val="22"/>
          <w:szCs w:val="22"/>
        </w:rPr>
        <w:t xml:space="preserve">Se establece en la propuesta que, para efectos de calcular la oferta comprometida en firme, para los contratos suscritos con base en los casos establecidos en el Parágrafo del Artículo 20 de la Resolución CREG 186 de 2020, los productores-comercializadores y los comercializadores de gas importado deberán incluir el valor de la cantidad máxima sobre la que, en esos contratos, se garantiza el servicio de suministro (o tener disponible) de una cantidad máxima de gas natural, sin interrupciones, durante un período determinado, excepto en los días establecidos para mantenimiento y labores programadas. </w:t>
      </w:r>
    </w:p>
    <w:p w14:paraId="33141FB0" w14:textId="77777777" w:rsidR="00FE3AFF" w:rsidRPr="000E63CD" w:rsidRDefault="00FE3AFF" w:rsidP="00FE3AFF">
      <w:pPr>
        <w:rPr>
          <w:sz w:val="22"/>
          <w:szCs w:val="22"/>
        </w:rPr>
      </w:pPr>
    </w:p>
    <w:p w14:paraId="26107E5A" w14:textId="5321B904" w:rsidR="00FE3AFF" w:rsidRPr="000E63CD" w:rsidRDefault="00FE3AFF" w:rsidP="00FE3AFF">
      <w:pPr>
        <w:rPr>
          <w:sz w:val="22"/>
          <w:szCs w:val="22"/>
        </w:rPr>
      </w:pPr>
      <w:r w:rsidRPr="000E63CD">
        <w:rPr>
          <w:sz w:val="22"/>
          <w:szCs w:val="22"/>
        </w:rPr>
        <w:t xml:space="preserve">En igual sentido, cuando en un contrato de suministro se cuente con la </w:t>
      </w:r>
      <w:r w:rsidR="0010772E">
        <w:rPr>
          <w:sz w:val="22"/>
          <w:szCs w:val="22"/>
        </w:rPr>
        <w:t>contrat</w:t>
      </w:r>
      <w:r w:rsidRPr="000E63CD">
        <w:rPr>
          <w:sz w:val="22"/>
          <w:szCs w:val="22"/>
        </w:rPr>
        <w:t>ación de más de una fuente de suministro, en el contrato se deberá incluir la cantidad diaria que cada una de esas fuentes de suministro aporta para el cumplimiento del contrato</w:t>
      </w:r>
      <w:r w:rsidR="004B7690">
        <w:rPr>
          <w:sz w:val="22"/>
          <w:szCs w:val="22"/>
        </w:rPr>
        <w:t xml:space="preserve"> y así deberá reportarse al </w:t>
      </w:r>
      <w:r w:rsidR="005114C6">
        <w:rPr>
          <w:sz w:val="22"/>
          <w:szCs w:val="22"/>
        </w:rPr>
        <w:t>Gestor del Mercado</w:t>
      </w:r>
      <w:r w:rsidR="0010772E">
        <w:rPr>
          <w:sz w:val="22"/>
          <w:szCs w:val="22"/>
        </w:rPr>
        <w:t>, por cada</w:t>
      </w:r>
      <w:r w:rsidR="004B7690">
        <w:rPr>
          <w:sz w:val="22"/>
          <w:szCs w:val="22"/>
        </w:rPr>
        <w:t xml:space="preserve"> Punto de Entrega</w:t>
      </w:r>
      <w:r w:rsidRPr="000E63CD">
        <w:rPr>
          <w:sz w:val="22"/>
          <w:szCs w:val="22"/>
        </w:rPr>
        <w:t xml:space="preserve">.  </w:t>
      </w:r>
    </w:p>
    <w:p w14:paraId="61CC0D3F" w14:textId="77777777" w:rsidR="00FE3AFF" w:rsidRPr="000E63CD" w:rsidRDefault="00FE3AFF" w:rsidP="00FE3AFF">
      <w:pPr>
        <w:rPr>
          <w:sz w:val="22"/>
          <w:szCs w:val="22"/>
        </w:rPr>
      </w:pPr>
    </w:p>
    <w:p w14:paraId="37A3E0A5" w14:textId="77777777" w:rsidR="00F94D4E" w:rsidRDefault="00F94D4E" w:rsidP="00F94D4E">
      <w:pPr>
        <w:rPr>
          <w:sz w:val="22"/>
          <w:szCs w:val="22"/>
        </w:rPr>
      </w:pPr>
    </w:p>
    <w:p w14:paraId="24EDDBE1" w14:textId="41D91C2A" w:rsidR="00F94D4E" w:rsidRDefault="00F94D4E" w:rsidP="00F94D4E">
      <w:pPr>
        <w:pStyle w:val="Ttulo2"/>
        <w:rPr>
          <w:sz w:val="22"/>
          <w:szCs w:val="22"/>
        </w:rPr>
      </w:pPr>
      <w:bookmarkStart w:id="428" w:name="_Ref132707703"/>
      <w:bookmarkStart w:id="429" w:name="_Toc140506223"/>
      <w:r>
        <w:rPr>
          <w:sz w:val="22"/>
          <w:szCs w:val="22"/>
        </w:rPr>
        <w:t>Aseguramiento del suministro para la atención de la Demanda Esencial</w:t>
      </w:r>
      <w:bookmarkEnd w:id="428"/>
      <w:bookmarkEnd w:id="429"/>
    </w:p>
    <w:p w14:paraId="7162845F" w14:textId="327011B8" w:rsidR="00F910A6" w:rsidRDefault="00F910A6" w:rsidP="00985006">
      <w:pPr>
        <w:rPr>
          <w:sz w:val="22"/>
          <w:szCs w:val="22"/>
        </w:rPr>
      </w:pPr>
      <w:r w:rsidRPr="000E63CD">
        <w:rPr>
          <w:sz w:val="22"/>
          <w:szCs w:val="22"/>
        </w:rPr>
        <w:t xml:space="preserve">Se proponen dos </w:t>
      </w:r>
      <w:r w:rsidR="00D53048" w:rsidRPr="000E63CD">
        <w:rPr>
          <w:sz w:val="22"/>
          <w:szCs w:val="22"/>
        </w:rPr>
        <w:t>procedimientos</w:t>
      </w:r>
      <w:r w:rsidR="00D377BD">
        <w:rPr>
          <w:rStyle w:val="Refdenotaalpie"/>
          <w:sz w:val="22"/>
          <w:szCs w:val="22"/>
        </w:rPr>
        <w:footnoteReference w:id="12"/>
      </w:r>
      <w:r w:rsidR="00D53048" w:rsidRPr="000E63CD">
        <w:rPr>
          <w:sz w:val="22"/>
          <w:szCs w:val="22"/>
        </w:rPr>
        <w:t xml:space="preserve"> </w:t>
      </w:r>
      <w:r w:rsidR="002E07C9">
        <w:rPr>
          <w:sz w:val="22"/>
          <w:szCs w:val="22"/>
        </w:rPr>
        <w:t xml:space="preserve">que se encuentran enmarcados en </w:t>
      </w:r>
      <w:r w:rsidR="001204BF">
        <w:rPr>
          <w:sz w:val="22"/>
          <w:szCs w:val="22"/>
        </w:rPr>
        <w:t>el</w:t>
      </w:r>
      <w:r w:rsidR="002E07C9">
        <w:rPr>
          <w:sz w:val="22"/>
          <w:szCs w:val="22"/>
        </w:rPr>
        <w:t xml:space="preserve"> </w:t>
      </w:r>
      <w:r w:rsidR="00FD3C72">
        <w:rPr>
          <w:sz w:val="22"/>
          <w:szCs w:val="22"/>
        </w:rPr>
        <w:t>mecanismo</w:t>
      </w:r>
      <w:r w:rsidR="00BA0548">
        <w:rPr>
          <w:sz w:val="22"/>
          <w:szCs w:val="22"/>
        </w:rPr>
        <w:t xml:space="preserve"> de acceso a la contratación firme o que garantiza firmeza, no solo para la Demanda Esencial sino para la totalidad de la demanda</w:t>
      </w:r>
      <w:r w:rsidR="002E07C9">
        <w:rPr>
          <w:sz w:val="22"/>
          <w:szCs w:val="22"/>
        </w:rPr>
        <w:t>,</w:t>
      </w:r>
      <w:r w:rsidR="008A1A4D" w:rsidRPr="000E63CD">
        <w:rPr>
          <w:sz w:val="22"/>
          <w:szCs w:val="22"/>
        </w:rPr>
        <w:t xml:space="preserve"> atendiendo algunas de las problemáticas identificadas en el capítulo </w:t>
      </w:r>
      <w:r w:rsidR="008C37DA">
        <w:rPr>
          <w:sz w:val="22"/>
          <w:szCs w:val="22"/>
        </w:rPr>
        <w:t>2</w:t>
      </w:r>
      <w:r w:rsidR="008A1A4D" w:rsidRPr="000E63CD">
        <w:rPr>
          <w:sz w:val="22"/>
          <w:szCs w:val="22"/>
        </w:rPr>
        <w:t xml:space="preserve"> del presente documento</w:t>
      </w:r>
      <w:r w:rsidR="0017304A" w:rsidRPr="000E63CD">
        <w:rPr>
          <w:sz w:val="22"/>
          <w:szCs w:val="22"/>
        </w:rPr>
        <w:t>,</w:t>
      </w:r>
      <w:r w:rsidR="008A1A4D" w:rsidRPr="000E63CD">
        <w:rPr>
          <w:sz w:val="22"/>
          <w:szCs w:val="22"/>
        </w:rPr>
        <w:t xml:space="preserve"> </w:t>
      </w:r>
      <w:r w:rsidR="0017304A" w:rsidRPr="000E63CD">
        <w:rPr>
          <w:sz w:val="22"/>
          <w:szCs w:val="22"/>
        </w:rPr>
        <w:t>a partir de</w:t>
      </w:r>
      <w:r w:rsidR="008A1A4D" w:rsidRPr="000E63CD">
        <w:rPr>
          <w:sz w:val="22"/>
          <w:szCs w:val="22"/>
        </w:rPr>
        <w:t xml:space="preserve"> los cuales se </w:t>
      </w:r>
      <w:r w:rsidR="00195BC6" w:rsidRPr="000E63CD">
        <w:rPr>
          <w:sz w:val="22"/>
          <w:szCs w:val="22"/>
        </w:rPr>
        <w:t>negociará el suministro de gas en el corto, mediano y largo plazo, con Respaldo Físico</w:t>
      </w:r>
      <w:r w:rsidR="008A1A4D" w:rsidRPr="000E63CD">
        <w:rPr>
          <w:sz w:val="22"/>
          <w:szCs w:val="22"/>
        </w:rPr>
        <w:t xml:space="preserve">. En orden de aplicación, el primer procedimiento </w:t>
      </w:r>
      <w:r w:rsidR="005344E2" w:rsidRPr="000E63CD">
        <w:rPr>
          <w:sz w:val="22"/>
          <w:szCs w:val="22"/>
        </w:rPr>
        <w:t xml:space="preserve">corresponde al desarrollo de balances comerciales de oferta y demanda </w:t>
      </w:r>
      <w:r w:rsidR="009217F7" w:rsidRPr="000E63CD">
        <w:rPr>
          <w:sz w:val="22"/>
          <w:szCs w:val="22"/>
        </w:rPr>
        <w:t xml:space="preserve">de gas natural </w:t>
      </w:r>
      <w:r w:rsidR="009E1153" w:rsidRPr="000E63CD">
        <w:rPr>
          <w:sz w:val="22"/>
          <w:szCs w:val="22"/>
        </w:rPr>
        <w:t>para suscribir contratos con garantía de firmeza</w:t>
      </w:r>
      <w:r w:rsidR="00144A94" w:rsidRPr="000E63CD">
        <w:rPr>
          <w:sz w:val="22"/>
          <w:szCs w:val="22"/>
        </w:rPr>
        <w:t xml:space="preserve"> </w:t>
      </w:r>
      <w:r w:rsidR="009217F7" w:rsidRPr="000E63CD">
        <w:rPr>
          <w:sz w:val="22"/>
          <w:szCs w:val="22"/>
        </w:rPr>
        <w:t xml:space="preserve">y el segundo procedimiento, que depende de los resultados </w:t>
      </w:r>
      <w:r w:rsidR="00144A94" w:rsidRPr="000E63CD">
        <w:rPr>
          <w:sz w:val="22"/>
          <w:szCs w:val="22"/>
        </w:rPr>
        <w:t>del procedimiento d</w:t>
      </w:r>
      <w:r w:rsidR="009217F7" w:rsidRPr="000E63CD">
        <w:rPr>
          <w:sz w:val="22"/>
          <w:szCs w:val="22"/>
        </w:rPr>
        <w:t xml:space="preserve">el balance </w:t>
      </w:r>
      <w:r w:rsidR="00144A94" w:rsidRPr="000E63CD">
        <w:rPr>
          <w:sz w:val="22"/>
          <w:szCs w:val="22"/>
        </w:rPr>
        <w:t xml:space="preserve">comercial </w:t>
      </w:r>
      <w:r w:rsidR="009217F7" w:rsidRPr="000E63CD">
        <w:rPr>
          <w:sz w:val="22"/>
          <w:szCs w:val="22"/>
        </w:rPr>
        <w:t>de oferta y demanda</w:t>
      </w:r>
      <w:r w:rsidR="00D33BBE" w:rsidRPr="000E63CD">
        <w:rPr>
          <w:sz w:val="22"/>
          <w:szCs w:val="22"/>
        </w:rPr>
        <w:t xml:space="preserve">, corresponde al mecanismo de </w:t>
      </w:r>
      <w:r w:rsidR="00BA0548">
        <w:rPr>
          <w:sz w:val="22"/>
          <w:szCs w:val="22"/>
        </w:rPr>
        <w:t>acces</w:t>
      </w:r>
      <w:r w:rsidR="00D33BBE" w:rsidRPr="000E63CD">
        <w:rPr>
          <w:sz w:val="22"/>
          <w:szCs w:val="22"/>
        </w:rPr>
        <w:t xml:space="preserve">o </w:t>
      </w:r>
      <w:r w:rsidR="00034A46" w:rsidRPr="000E63CD">
        <w:rPr>
          <w:sz w:val="22"/>
          <w:szCs w:val="22"/>
        </w:rPr>
        <w:t>que permita a los agentes que atienda</w:t>
      </w:r>
      <w:r w:rsidR="00A22972" w:rsidRPr="000E63CD">
        <w:rPr>
          <w:sz w:val="22"/>
          <w:szCs w:val="22"/>
        </w:rPr>
        <w:t>n</w:t>
      </w:r>
      <w:r w:rsidR="00FD3C72">
        <w:rPr>
          <w:sz w:val="22"/>
          <w:szCs w:val="22"/>
        </w:rPr>
        <w:t xml:space="preserve"> </w:t>
      </w:r>
      <w:r w:rsidR="00034A46" w:rsidRPr="000E63CD">
        <w:rPr>
          <w:sz w:val="22"/>
          <w:szCs w:val="22"/>
        </w:rPr>
        <w:t xml:space="preserve">a la </w:t>
      </w:r>
      <w:r w:rsidR="00E8014D" w:rsidRPr="000E63CD">
        <w:rPr>
          <w:sz w:val="22"/>
          <w:szCs w:val="22"/>
        </w:rPr>
        <w:t>Demanda Esencial</w:t>
      </w:r>
      <w:r w:rsidR="00034A46" w:rsidRPr="000E63CD">
        <w:rPr>
          <w:sz w:val="22"/>
          <w:szCs w:val="22"/>
        </w:rPr>
        <w:t xml:space="preserve"> </w:t>
      </w:r>
      <w:r w:rsidR="004B245A">
        <w:rPr>
          <w:sz w:val="22"/>
          <w:szCs w:val="22"/>
        </w:rPr>
        <w:t>o sean usuarios no regulados que hacen parte de la Demanda Esencial y participan en el Mercado Mayorista,</w:t>
      </w:r>
      <w:r w:rsidR="00BA0548">
        <w:rPr>
          <w:sz w:val="22"/>
          <w:szCs w:val="22"/>
        </w:rPr>
        <w:t xml:space="preserve"> </w:t>
      </w:r>
      <w:r w:rsidR="00F771F8">
        <w:rPr>
          <w:sz w:val="22"/>
          <w:szCs w:val="22"/>
        </w:rPr>
        <w:t xml:space="preserve">y </w:t>
      </w:r>
      <w:r w:rsidR="00BA0548">
        <w:rPr>
          <w:sz w:val="22"/>
          <w:szCs w:val="22"/>
        </w:rPr>
        <w:t xml:space="preserve">en general a la totalidad de la demanda, </w:t>
      </w:r>
      <w:r w:rsidR="00034A46" w:rsidRPr="000E63CD">
        <w:rPr>
          <w:sz w:val="22"/>
          <w:szCs w:val="22"/>
        </w:rPr>
        <w:t xml:space="preserve">tener acceso a los contratos de suministro de gas natural con Respaldo Físico. </w:t>
      </w:r>
    </w:p>
    <w:p w14:paraId="133C8AFF" w14:textId="667B99B7" w:rsidR="002E07C9" w:rsidRDefault="002E07C9" w:rsidP="00985006">
      <w:pPr>
        <w:rPr>
          <w:sz w:val="22"/>
          <w:szCs w:val="22"/>
        </w:rPr>
      </w:pPr>
    </w:p>
    <w:p w14:paraId="2EC4DDDE" w14:textId="56FD148D" w:rsidR="002E07C9" w:rsidRDefault="00057E29" w:rsidP="00985006">
      <w:pPr>
        <w:rPr>
          <w:sz w:val="22"/>
          <w:szCs w:val="22"/>
        </w:rPr>
      </w:pPr>
      <w:r>
        <w:rPr>
          <w:sz w:val="22"/>
          <w:szCs w:val="22"/>
        </w:rPr>
        <w:t xml:space="preserve">La </w:t>
      </w:r>
      <w:r>
        <w:rPr>
          <w:sz w:val="22"/>
          <w:szCs w:val="22"/>
        </w:rPr>
        <w:fldChar w:fldCharType="begin"/>
      </w:r>
      <w:r>
        <w:rPr>
          <w:sz w:val="22"/>
          <w:szCs w:val="22"/>
        </w:rPr>
        <w:instrText xml:space="preserve"> REF _Ref129697823 \h </w:instrText>
      </w:r>
      <w:r>
        <w:rPr>
          <w:sz w:val="22"/>
          <w:szCs w:val="22"/>
        </w:rPr>
      </w:r>
      <w:r>
        <w:rPr>
          <w:sz w:val="22"/>
          <w:szCs w:val="22"/>
        </w:rPr>
        <w:fldChar w:fldCharType="separate"/>
      </w:r>
      <w:r w:rsidR="006B7344" w:rsidRPr="00057E29">
        <w:rPr>
          <w:sz w:val="22"/>
          <w:szCs w:val="22"/>
        </w:rPr>
        <w:t xml:space="preserve">Figura </w:t>
      </w:r>
      <w:r w:rsidR="006B7344">
        <w:rPr>
          <w:i/>
          <w:iCs/>
          <w:noProof/>
          <w:sz w:val="22"/>
          <w:szCs w:val="22"/>
        </w:rPr>
        <w:t>20</w:t>
      </w:r>
      <w:r>
        <w:rPr>
          <w:sz w:val="22"/>
          <w:szCs w:val="22"/>
        </w:rPr>
        <w:fldChar w:fldCharType="end"/>
      </w:r>
      <w:r>
        <w:rPr>
          <w:sz w:val="22"/>
          <w:szCs w:val="22"/>
        </w:rPr>
        <w:t xml:space="preserve"> </w:t>
      </w:r>
      <w:r w:rsidR="002E07C9">
        <w:rPr>
          <w:sz w:val="22"/>
          <w:szCs w:val="22"/>
        </w:rPr>
        <w:t xml:space="preserve">resume los procedimientos </w:t>
      </w:r>
      <w:r>
        <w:rPr>
          <w:sz w:val="22"/>
          <w:szCs w:val="22"/>
        </w:rPr>
        <w:t xml:space="preserve">generales </w:t>
      </w:r>
      <w:r w:rsidR="002E07C9">
        <w:rPr>
          <w:sz w:val="22"/>
          <w:szCs w:val="22"/>
        </w:rPr>
        <w:t>mencionados</w:t>
      </w:r>
      <w:r w:rsidR="00FD3C72">
        <w:rPr>
          <w:sz w:val="22"/>
          <w:szCs w:val="22"/>
        </w:rPr>
        <w:t xml:space="preserve"> </w:t>
      </w:r>
      <w:r>
        <w:rPr>
          <w:sz w:val="22"/>
          <w:szCs w:val="22"/>
        </w:rPr>
        <w:t>que</w:t>
      </w:r>
      <w:r w:rsidR="00351C1C">
        <w:rPr>
          <w:sz w:val="22"/>
          <w:szCs w:val="22"/>
        </w:rPr>
        <w:t xml:space="preserve"> </w:t>
      </w:r>
      <w:r w:rsidR="00FD3C72">
        <w:rPr>
          <w:sz w:val="22"/>
          <w:szCs w:val="22"/>
        </w:rPr>
        <w:t>se pasa</w:t>
      </w:r>
      <w:r w:rsidR="00351C1C">
        <w:rPr>
          <w:sz w:val="22"/>
          <w:szCs w:val="22"/>
        </w:rPr>
        <w:t>n</w:t>
      </w:r>
      <w:r w:rsidR="00FD3C72">
        <w:rPr>
          <w:sz w:val="22"/>
          <w:szCs w:val="22"/>
        </w:rPr>
        <w:t xml:space="preserve"> a describir a continuación en el texto</w:t>
      </w:r>
      <w:r w:rsidR="002E07C9">
        <w:rPr>
          <w:sz w:val="22"/>
          <w:szCs w:val="22"/>
        </w:rPr>
        <w:t>:</w:t>
      </w:r>
    </w:p>
    <w:p w14:paraId="3D1F985C" w14:textId="0024CEE7" w:rsidR="002E07C9" w:rsidRDefault="002E07C9" w:rsidP="00985006">
      <w:pPr>
        <w:rPr>
          <w:sz w:val="22"/>
          <w:szCs w:val="22"/>
        </w:rPr>
      </w:pPr>
    </w:p>
    <w:p w14:paraId="222B5D97" w14:textId="52494080" w:rsidR="00057E29" w:rsidRPr="00057E29" w:rsidRDefault="00057E29" w:rsidP="00057E29">
      <w:pPr>
        <w:pStyle w:val="Descripcin"/>
        <w:keepNext/>
        <w:jc w:val="center"/>
        <w:rPr>
          <w:i w:val="0"/>
          <w:iCs w:val="0"/>
          <w:sz w:val="22"/>
          <w:szCs w:val="22"/>
        </w:rPr>
      </w:pPr>
      <w:bookmarkStart w:id="430" w:name="_Ref129697823"/>
      <w:bookmarkStart w:id="431" w:name="_Toc140506613"/>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20</w:t>
      </w:r>
      <w:r w:rsidR="006B6B6C">
        <w:rPr>
          <w:i w:val="0"/>
          <w:iCs w:val="0"/>
          <w:sz w:val="22"/>
          <w:szCs w:val="22"/>
        </w:rPr>
        <w:fldChar w:fldCharType="end"/>
      </w:r>
      <w:bookmarkEnd w:id="430"/>
      <w:r w:rsidRPr="00057E29">
        <w:rPr>
          <w:i w:val="0"/>
          <w:iCs w:val="0"/>
          <w:sz w:val="22"/>
          <w:szCs w:val="22"/>
        </w:rPr>
        <w:t xml:space="preserve"> Esquema general del mecanismo de aseguramiento de la Demanda Esencial</w:t>
      </w:r>
      <w:bookmarkEnd w:id="431"/>
    </w:p>
    <w:p w14:paraId="3B4B2E0F" w14:textId="2676843B" w:rsidR="0043782A" w:rsidRPr="0043782A" w:rsidRDefault="00887EDF" w:rsidP="001E7B37">
      <w:pPr>
        <w:jc w:val="center"/>
      </w:pPr>
      <w:r w:rsidRPr="00887EDF">
        <w:rPr>
          <w:noProof/>
        </w:rPr>
        <w:drawing>
          <wp:inline distT="0" distB="0" distL="0" distR="0" wp14:anchorId="2BBB9B4F" wp14:editId="3BDB26C6">
            <wp:extent cx="5940425" cy="2999105"/>
            <wp:effectExtent l="0" t="0" r="3175" b="0"/>
            <wp:docPr id="382795679" name="Imagen 1" descr="Interfaz de usuario gráfica, Diagram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95679" name="Imagen 1" descr="Interfaz de usuario gráfica, Diagrama, Tabla&#10;&#10;Descripción generada automáticamente con confianza media"/>
                    <pic:cNvPicPr/>
                  </pic:nvPicPr>
                  <pic:blipFill>
                    <a:blip r:embed="rId33"/>
                    <a:stretch>
                      <a:fillRect/>
                    </a:stretch>
                  </pic:blipFill>
                  <pic:spPr>
                    <a:xfrm>
                      <a:off x="0" y="0"/>
                      <a:ext cx="5940425" cy="2999105"/>
                    </a:xfrm>
                    <a:prstGeom prst="rect">
                      <a:avLst/>
                    </a:prstGeom>
                  </pic:spPr>
                </pic:pic>
              </a:graphicData>
            </a:graphic>
          </wp:inline>
        </w:drawing>
      </w:r>
    </w:p>
    <w:p w14:paraId="49493D53" w14:textId="31A5B8DB" w:rsidR="00080628" w:rsidRDefault="00080628" w:rsidP="00985006">
      <w:pPr>
        <w:rPr>
          <w:sz w:val="22"/>
          <w:szCs w:val="22"/>
        </w:rPr>
      </w:pPr>
    </w:p>
    <w:p w14:paraId="3DB17D8E" w14:textId="77777777" w:rsidR="00F94D4E" w:rsidRPr="000E63CD" w:rsidRDefault="00F94D4E" w:rsidP="00985006">
      <w:pPr>
        <w:rPr>
          <w:sz w:val="22"/>
          <w:szCs w:val="22"/>
        </w:rPr>
      </w:pPr>
    </w:p>
    <w:p w14:paraId="2D8F7502" w14:textId="34780450" w:rsidR="00D62C3D" w:rsidRPr="00F94D4E" w:rsidRDefault="00D62C3D" w:rsidP="00F94D4E">
      <w:pPr>
        <w:pStyle w:val="Ttulo3"/>
        <w:rPr>
          <w:sz w:val="22"/>
          <w:szCs w:val="22"/>
        </w:rPr>
      </w:pPr>
      <w:bookmarkStart w:id="432" w:name="_Ref130304509"/>
      <w:bookmarkStart w:id="433" w:name="_Toc140506224"/>
      <w:r w:rsidRPr="00F94D4E">
        <w:rPr>
          <w:sz w:val="22"/>
          <w:szCs w:val="22"/>
        </w:rPr>
        <w:t>Balances comerciales</w:t>
      </w:r>
      <w:bookmarkEnd w:id="432"/>
      <w:bookmarkEnd w:id="433"/>
    </w:p>
    <w:p w14:paraId="3C7764BC" w14:textId="1B196375" w:rsidR="003A58EF" w:rsidRPr="000E63CD" w:rsidRDefault="00F54D6A" w:rsidP="00985006">
      <w:pPr>
        <w:rPr>
          <w:sz w:val="22"/>
          <w:szCs w:val="22"/>
        </w:rPr>
      </w:pPr>
      <w:r w:rsidRPr="000E63CD">
        <w:rPr>
          <w:sz w:val="22"/>
          <w:szCs w:val="22"/>
        </w:rPr>
        <w:t>En cuanto al procedimiento de balance comercial, se pr</w:t>
      </w:r>
      <w:r w:rsidR="005C3631" w:rsidRPr="000E63CD">
        <w:rPr>
          <w:sz w:val="22"/>
          <w:szCs w:val="22"/>
        </w:rPr>
        <w:t>o</w:t>
      </w:r>
      <w:r w:rsidRPr="000E63CD">
        <w:rPr>
          <w:sz w:val="22"/>
          <w:szCs w:val="22"/>
        </w:rPr>
        <w:t xml:space="preserve">pone un esquema </w:t>
      </w:r>
      <w:r w:rsidR="005C3631" w:rsidRPr="000E63CD">
        <w:rPr>
          <w:sz w:val="22"/>
          <w:szCs w:val="22"/>
        </w:rPr>
        <w:t xml:space="preserve">que </w:t>
      </w:r>
      <w:r w:rsidR="00BC161C" w:rsidRPr="000E63CD">
        <w:rPr>
          <w:sz w:val="22"/>
          <w:szCs w:val="22"/>
        </w:rPr>
        <w:t xml:space="preserve">principalmente </w:t>
      </w:r>
      <w:r w:rsidR="005C3631" w:rsidRPr="000E63CD">
        <w:rPr>
          <w:sz w:val="22"/>
          <w:szCs w:val="22"/>
        </w:rPr>
        <w:t xml:space="preserve">busca determinar </w:t>
      </w:r>
      <w:r w:rsidR="00DE0E6E" w:rsidRPr="000E63CD">
        <w:rPr>
          <w:sz w:val="22"/>
          <w:szCs w:val="22"/>
        </w:rPr>
        <w:t xml:space="preserve">en </w:t>
      </w:r>
      <w:r w:rsidR="00BC161C" w:rsidRPr="000E63CD">
        <w:rPr>
          <w:sz w:val="22"/>
          <w:szCs w:val="22"/>
        </w:rPr>
        <w:t>cada trimestre</w:t>
      </w:r>
      <w:r w:rsidR="00771F0E" w:rsidRPr="000E63CD">
        <w:rPr>
          <w:sz w:val="22"/>
          <w:szCs w:val="22"/>
        </w:rPr>
        <w:t xml:space="preserve"> de negociación, </w:t>
      </w:r>
      <w:r w:rsidR="00B406AB" w:rsidRPr="000E63CD">
        <w:rPr>
          <w:sz w:val="22"/>
          <w:szCs w:val="22"/>
        </w:rPr>
        <w:t>entendido</w:t>
      </w:r>
      <w:r w:rsidR="00771F0E" w:rsidRPr="000E63CD">
        <w:rPr>
          <w:sz w:val="22"/>
          <w:szCs w:val="22"/>
        </w:rPr>
        <w:t xml:space="preserve"> como aquel trimestre estándar en que se desarrollan las negociaciones de los contratos de suministro</w:t>
      </w:r>
      <w:r w:rsidR="00B406AB" w:rsidRPr="000E63CD">
        <w:rPr>
          <w:sz w:val="22"/>
          <w:szCs w:val="22"/>
        </w:rPr>
        <w:t xml:space="preserve"> con garantía de firmeza</w:t>
      </w:r>
      <w:r w:rsidR="00FB5394">
        <w:rPr>
          <w:sz w:val="22"/>
          <w:szCs w:val="22"/>
        </w:rPr>
        <w:t xml:space="preserve"> para trimestres de suministro futuros</w:t>
      </w:r>
      <w:r w:rsidR="000C707B" w:rsidRPr="000E63CD">
        <w:rPr>
          <w:sz w:val="22"/>
          <w:szCs w:val="22"/>
        </w:rPr>
        <w:t xml:space="preserve">, si hay oferta superavitaria o deficitaria de </w:t>
      </w:r>
      <w:r w:rsidR="00BC161C" w:rsidRPr="000E63CD">
        <w:rPr>
          <w:sz w:val="22"/>
          <w:szCs w:val="22"/>
        </w:rPr>
        <w:t xml:space="preserve">suministro de </w:t>
      </w:r>
      <w:r w:rsidR="000C707B" w:rsidRPr="000E63CD">
        <w:rPr>
          <w:sz w:val="22"/>
          <w:szCs w:val="22"/>
        </w:rPr>
        <w:t>gas con Respaldo Físico</w:t>
      </w:r>
      <w:r w:rsidR="008C37DA">
        <w:rPr>
          <w:sz w:val="22"/>
          <w:szCs w:val="22"/>
        </w:rPr>
        <w:t>,</w:t>
      </w:r>
      <w:r w:rsidR="000C707B" w:rsidRPr="000E63CD">
        <w:rPr>
          <w:sz w:val="22"/>
          <w:szCs w:val="22"/>
        </w:rPr>
        <w:t xml:space="preserve"> para </w:t>
      </w:r>
      <w:r w:rsidR="00BC161C" w:rsidRPr="000E63CD">
        <w:rPr>
          <w:sz w:val="22"/>
          <w:szCs w:val="22"/>
        </w:rPr>
        <w:t xml:space="preserve">cada uno de </w:t>
      </w:r>
      <w:r w:rsidR="000C707B" w:rsidRPr="000E63CD">
        <w:rPr>
          <w:sz w:val="22"/>
          <w:szCs w:val="22"/>
        </w:rPr>
        <w:t xml:space="preserve">los veinte </w:t>
      </w:r>
      <w:r w:rsidR="003A58EF" w:rsidRPr="000E63CD">
        <w:rPr>
          <w:sz w:val="22"/>
          <w:szCs w:val="22"/>
        </w:rPr>
        <w:t xml:space="preserve">(20) </w:t>
      </w:r>
      <w:r w:rsidR="000C707B" w:rsidRPr="000E63CD">
        <w:rPr>
          <w:sz w:val="22"/>
          <w:szCs w:val="22"/>
        </w:rPr>
        <w:t xml:space="preserve">trimestres estándar siguientes al </w:t>
      </w:r>
      <w:r w:rsidR="00DE0E6E" w:rsidRPr="000E63CD">
        <w:rPr>
          <w:sz w:val="22"/>
          <w:szCs w:val="22"/>
        </w:rPr>
        <w:t>trimestre estándar de negociación</w:t>
      </w:r>
      <w:r w:rsidR="007C12F4" w:rsidRPr="000E63CD">
        <w:rPr>
          <w:sz w:val="22"/>
          <w:szCs w:val="22"/>
        </w:rPr>
        <w:t xml:space="preserve"> durante el cual se desarrolla el balance</w:t>
      </w:r>
      <w:r w:rsidR="0064671D" w:rsidRPr="000E63CD">
        <w:rPr>
          <w:sz w:val="22"/>
          <w:szCs w:val="22"/>
        </w:rPr>
        <w:t xml:space="preserve">. </w:t>
      </w:r>
    </w:p>
    <w:p w14:paraId="4A1B6623" w14:textId="77777777" w:rsidR="003A58EF" w:rsidRPr="000E63CD" w:rsidRDefault="003A58EF" w:rsidP="00985006">
      <w:pPr>
        <w:rPr>
          <w:sz w:val="22"/>
          <w:szCs w:val="22"/>
        </w:rPr>
      </w:pPr>
    </w:p>
    <w:p w14:paraId="59CB70A9" w14:textId="106495F1" w:rsidR="00D32939" w:rsidRPr="000E63CD" w:rsidRDefault="00A06ED6" w:rsidP="00985006">
      <w:pPr>
        <w:rPr>
          <w:sz w:val="22"/>
          <w:szCs w:val="22"/>
        </w:rPr>
      </w:pPr>
      <w:r w:rsidRPr="000E63CD">
        <w:rPr>
          <w:sz w:val="22"/>
          <w:szCs w:val="22"/>
        </w:rPr>
        <w:t xml:space="preserve">Ahora bien, considerando </w:t>
      </w:r>
      <w:r w:rsidR="00365FF5" w:rsidRPr="000E63CD">
        <w:rPr>
          <w:sz w:val="22"/>
          <w:szCs w:val="22"/>
        </w:rPr>
        <w:t xml:space="preserve">que el </w:t>
      </w:r>
      <w:r w:rsidR="00476DD3" w:rsidRPr="000E63CD">
        <w:rPr>
          <w:sz w:val="22"/>
          <w:szCs w:val="22"/>
        </w:rPr>
        <w:t>S</w:t>
      </w:r>
      <w:r w:rsidR="00365FF5" w:rsidRPr="000E63CD">
        <w:rPr>
          <w:sz w:val="22"/>
          <w:szCs w:val="22"/>
        </w:rPr>
        <w:t xml:space="preserve">istema </w:t>
      </w:r>
      <w:r w:rsidR="00476DD3" w:rsidRPr="000E63CD">
        <w:rPr>
          <w:sz w:val="22"/>
          <w:szCs w:val="22"/>
        </w:rPr>
        <w:t>N</w:t>
      </w:r>
      <w:r w:rsidR="00365FF5" w:rsidRPr="000E63CD">
        <w:rPr>
          <w:sz w:val="22"/>
          <w:szCs w:val="22"/>
        </w:rPr>
        <w:t xml:space="preserve">acional de </w:t>
      </w:r>
      <w:r w:rsidR="00476DD3" w:rsidRPr="000E63CD">
        <w:rPr>
          <w:sz w:val="22"/>
          <w:szCs w:val="22"/>
        </w:rPr>
        <w:t>T</w:t>
      </w:r>
      <w:r w:rsidR="00365FF5" w:rsidRPr="000E63CD">
        <w:rPr>
          <w:sz w:val="22"/>
          <w:szCs w:val="22"/>
        </w:rPr>
        <w:t>ransporte</w:t>
      </w:r>
      <w:r w:rsidR="00476DD3" w:rsidRPr="000E63CD">
        <w:rPr>
          <w:sz w:val="22"/>
          <w:szCs w:val="22"/>
        </w:rPr>
        <w:t xml:space="preserve"> de gas natural</w:t>
      </w:r>
      <w:r w:rsidR="00365FF5" w:rsidRPr="000E63CD">
        <w:rPr>
          <w:sz w:val="22"/>
          <w:szCs w:val="22"/>
        </w:rPr>
        <w:t xml:space="preserve"> actualmente es </w:t>
      </w:r>
      <w:r w:rsidR="00476DD3" w:rsidRPr="000E63CD">
        <w:rPr>
          <w:sz w:val="22"/>
          <w:szCs w:val="22"/>
        </w:rPr>
        <w:t xml:space="preserve">bastante </w:t>
      </w:r>
      <w:r w:rsidR="00365FF5" w:rsidRPr="000E63CD">
        <w:rPr>
          <w:sz w:val="22"/>
          <w:szCs w:val="22"/>
        </w:rPr>
        <w:t xml:space="preserve">radial, pero que hacia el futuro de </w:t>
      </w:r>
      <w:r w:rsidR="00DA1657" w:rsidRPr="000E63CD">
        <w:rPr>
          <w:sz w:val="22"/>
          <w:szCs w:val="22"/>
        </w:rPr>
        <w:t>mediano</w:t>
      </w:r>
      <w:r w:rsidR="00365FF5" w:rsidRPr="000E63CD">
        <w:rPr>
          <w:sz w:val="22"/>
          <w:szCs w:val="22"/>
        </w:rPr>
        <w:t xml:space="preserve"> plazo se debe</w:t>
      </w:r>
      <w:r w:rsidR="00476DD3" w:rsidRPr="000E63CD">
        <w:rPr>
          <w:sz w:val="22"/>
          <w:szCs w:val="22"/>
        </w:rPr>
        <w:t>rá</w:t>
      </w:r>
      <w:r w:rsidR="00365FF5" w:rsidRPr="000E63CD">
        <w:rPr>
          <w:sz w:val="22"/>
          <w:szCs w:val="22"/>
        </w:rPr>
        <w:t>n implementar los proyectos del plan de abastecimiento de gas natural</w:t>
      </w:r>
      <w:r w:rsidR="005F44ED" w:rsidRPr="000E63CD">
        <w:rPr>
          <w:sz w:val="22"/>
          <w:szCs w:val="22"/>
        </w:rPr>
        <w:t xml:space="preserve"> - PAGN</w:t>
      </w:r>
      <w:r w:rsidR="00365FF5" w:rsidRPr="000E63CD">
        <w:rPr>
          <w:sz w:val="22"/>
          <w:szCs w:val="22"/>
        </w:rPr>
        <w:t xml:space="preserve"> vigente (Resolución del Ministerio de Minas y Energía </w:t>
      </w:r>
      <w:r w:rsidR="00476DD3" w:rsidRPr="000E63CD">
        <w:rPr>
          <w:sz w:val="22"/>
          <w:szCs w:val="22"/>
        </w:rPr>
        <w:t>40304 de 2020</w:t>
      </w:r>
      <w:r w:rsidR="008C37DA">
        <w:rPr>
          <w:sz w:val="22"/>
          <w:szCs w:val="22"/>
        </w:rPr>
        <w:t xml:space="preserve"> modificada por la Resolución MME </w:t>
      </w:r>
      <w:r w:rsidR="00DD48F0">
        <w:rPr>
          <w:sz w:val="22"/>
          <w:szCs w:val="22"/>
        </w:rPr>
        <w:t>40281 de 2022</w:t>
      </w:r>
      <w:r w:rsidR="00476DD3" w:rsidRPr="000E63CD">
        <w:rPr>
          <w:sz w:val="22"/>
          <w:szCs w:val="22"/>
        </w:rPr>
        <w:t xml:space="preserve">) </w:t>
      </w:r>
      <w:r w:rsidRPr="000E63CD">
        <w:rPr>
          <w:sz w:val="22"/>
          <w:szCs w:val="22"/>
        </w:rPr>
        <w:t xml:space="preserve">que </w:t>
      </w:r>
      <w:r w:rsidR="00351C1C">
        <w:rPr>
          <w:sz w:val="22"/>
          <w:szCs w:val="22"/>
        </w:rPr>
        <w:t>cambiará la configuración operacional</w:t>
      </w:r>
      <w:r w:rsidR="00351C1C" w:rsidRPr="000E63CD" w:rsidDel="00351C1C">
        <w:rPr>
          <w:sz w:val="22"/>
          <w:szCs w:val="22"/>
        </w:rPr>
        <w:t xml:space="preserve"> </w:t>
      </w:r>
      <w:r w:rsidRPr="000E63CD">
        <w:rPr>
          <w:sz w:val="22"/>
          <w:szCs w:val="22"/>
        </w:rPr>
        <w:t xml:space="preserve">del sistema, </w:t>
      </w:r>
      <w:r w:rsidR="00BC5C1B" w:rsidRPr="000E63CD">
        <w:rPr>
          <w:sz w:val="22"/>
          <w:szCs w:val="22"/>
        </w:rPr>
        <w:t xml:space="preserve">no se plantea la realización de un solo balance comercial a nivel nacional, sino </w:t>
      </w:r>
      <w:r w:rsidR="00ED0EA7" w:rsidRPr="000E63CD">
        <w:rPr>
          <w:sz w:val="22"/>
          <w:szCs w:val="22"/>
        </w:rPr>
        <w:t xml:space="preserve">que se plantean realizar </w:t>
      </w:r>
      <w:r w:rsidRPr="000E63CD">
        <w:rPr>
          <w:sz w:val="22"/>
          <w:szCs w:val="22"/>
        </w:rPr>
        <w:t xml:space="preserve">varios balances comerciales </w:t>
      </w:r>
      <w:r w:rsidR="00ED0EA7" w:rsidRPr="000E63CD">
        <w:rPr>
          <w:sz w:val="22"/>
          <w:szCs w:val="22"/>
        </w:rPr>
        <w:t xml:space="preserve">a un nivel de mayor desagregación, mediante </w:t>
      </w:r>
      <w:r w:rsidR="00E16FE2" w:rsidRPr="000E63CD">
        <w:rPr>
          <w:sz w:val="22"/>
          <w:szCs w:val="22"/>
        </w:rPr>
        <w:t xml:space="preserve">la utilización de </w:t>
      </w:r>
      <w:r w:rsidR="00ED0EA7" w:rsidRPr="000E63CD">
        <w:rPr>
          <w:sz w:val="22"/>
          <w:szCs w:val="22"/>
        </w:rPr>
        <w:t>lo que se incluye en la propuesta como “puntos de referencia”</w:t>
      </w:r>
      <w:r w:rsidR="00E16FE2" w:rsidRPr="000E63CD">
        <w:rPr>
          <w:sz w:val="22"/>
          <w:szCs w:val="22"/>
        </w:rPr>
        <w:t xml:space="preserve">. Dichos puntos </w:t>
      </w:r>
      <w:r w:rsidR="00ED0EA7" w:rsidRPr="000E63CD">
        <w:rPr>
          <w:sz w:val="22"/>
          <w:szCs w:val="22"/>
        </w:rPr>
        <w:t xml:space="preserve">buscan reflejar nodos que en la práctica se evidencian </w:t>
      </w:r>
      <w:r w:rsidR="005F44ED" w:rsidRPr="000E63CD">
        <w:rPr>
          <w:sz w:val="22"/>
          <w:szCs w:val="22"/>
        </w:rPr>
        <w:t>con base en</w:t>
      </w:r>
      <w:r w:rsidR="00ED0EA7" w:rsidRPr="000E63CD">
        <w:rPr>
          <w:sz w:val="22"/>
          <w:szCs w:val="22"/>
        </w:rPr>
        <w:t xml:space="preserve"> los puntos de entrega de los contratos registrados actualmente.</w:t>
      </w:r>
      <w:r w:rsidR="00365FF5" w:rsidRPr="000E63CD">
        <w:rPr>
          <w:sz w:val="22"/>
          <w:szCs w:val="22"/>
        </w:rPr>
        <w:t xml:space="preserve"> </w:t>
      </w:r>
      <w:r w:rsidR="005F44ED" w:rsidRPr="000E63CD">
        <w:rPr>
          <w:sz w:val="22"/>
          <w:szCs w:val="22"/>
        </w:rPr>
        <w:t>A</w:t>
      </w:r>
      <w:r w:rsidRPr="000E63CD">
        <w:rPr>
          <w:sz w:val="22"/>
          <w:szCs w:val="22"/>
        </w:rPr>
        <w:t>sí, a</w:t>
      </w:r>
      <w:r w:rsidR="005F44ED" w:rsidRPr="000E63CD">
        <w:rPr>
          <w:sz w:val="22"/>
          <w:szCs w:val="22"/>
        </w:rPr>
        <w:t xml:space="preserve"> medi</w:t>
      </w:r>
      <w:r w:rsidR="00BD0C92" w:rsidRPr="000E63CD">
        <w:rPr>
          <w:sz w:val="22"/>
          <w:szCs w:val="22"/>
        </w:rPr>
        <w:t>d</w:t>
      </w:r>
      <w:r w:rsidR="005F44ED" w:rsidRPr="000E63CD">
        <w:rPr>
          <w:sz w:val="22"/>
          <w:szCs w:val="22"/>
        </w:rPr>
        <w:t xml:space="preserve">a que se pongan en operación los proyectos del PAGN, </w:t>
      </w:r>
      <w:r w:rsidR="00BD0C92" w:rsidRPr="000E63CD">
        <w:rPr>
          <w:sz w:val="22"/>
          <w:szCs w:val="22"/>
        </w:rPr>
        <w:t>la cantidad de puntos de referencia será cada vez menor</w:t>
      </w:r>
      <w:r w:rsidRPr="000E63CD">
        <w:rPr>
          <w:sz w:val="22"/>
          <w:szCs w:val="22"/>
        </w:rPr>
        <w:t xml:space="preserve"> y el balance tenderá a ser más regional y luego nacional</w:t>
      </w:r>
      <w:r w:rsidR="00BD0C92" w:rsidRPr="000E63CD">
        <w:rPr>
          <w:sz w:val="22"/>
          <w:szCs w:val="22"/>
        </w:rPr>
        <w:t>.</w:t>
      </w:r>
      <w:r w:rsidR="00FB5394">
        <w:rPr>
          <w:sz w:val="22"/>
          <w:szCs w:val="22"/>
        </w:rPr>
        <w:t xml:space="preserve"> Los nodos solamente tienen utilidad para efectos de realizar los balances comerciales, pero no tienen utilidad para la negociación de los precios de los contratos.</w:t>
      </w:r>
    </w:p>
    <w:p w14:paraId="7255F44C" w14:textId="78119165" w:rsidR="003A58EF" w:rsidRDefault="003A58EF" w:rsidP="00985006">
      <w:pPr>
        <w:rPr>
          <w:sz w:val="22"/>
          <w:szCs w:val="22"/>
        </w:rPr>
      </w:pPr>
    </w:p>
    <w:p w14:paraId="330B2C2C" w14:textId="5A06C1F9" w:rsidR="005A78F5" w:rsidRDefault="005A78F5" w:rsidP="00985006">
      <w:pPr>
        <w:rPr>
          <w:sz w:val="22"/>
          <w:szCs w:val="22"/>
        </w:rPr>
      </w:pPr>
      <w:r>
        <w:rPr>
          <w:sz w:val="22"/>
          <w:szCs w:val="22"/>
        </w:rPr>
        <w:t>A  continuación</w:t>
      </w:r>
      <w:r w:rsidR="009D22E9">
        <w:rPr>
          <w:sz w:val="22"/>
          <w:szCs w:val="22"/>
        </w:rPr>
        <w:t xml:space="preserve">, </w:t>
      </w:r>
      <w:r>
        <w:rPr>
          <w:sz w:val="22"/>
          <w:szCs w:val="22"/>
        </w:rPr>
        <w:t>se muestra un ejemplo conceptual de la manera en que se establece y funciona un punto de referencia para la realización de balances comerciales, asumiendo que las capacidades de transporte son suficientes</w:t>
      </w:r>
      <w:r w:rsidR="00D808AB">
        <w:rPr>
          <w:sz w:val="22"/>
          <w:szCs w:val="22"/>
        </w:rPr>
        <w:t xml:space="preserve">. Es muy importante tener en cuenta lo que más adelante se menciona, de que un comprador no tiene obligaciones de comprar en un solo trimestre de negociación todas las cantidades que planea comprar para atender un futuro </w:t>
      </w:r>
      <w:r w:rsidR="009D22E9">
        <w:rPr>
          <w:sz w:val="22"/>
          <w:szCs w:val="22"/>
        </w:rPr>
        <w:t>trimestre estándar de ejecución</w:t>
      </w:r>
      <w:r w:rsidR="00D808AB">
        <w:rPr>
          <w:sz w:val="22"/>
          <w:szCs w:val="22"/>
        </w:rPr>
        <w:t xml:space="preserve">, no solo porque su demanda puede variar hacia arriba o hacia abajo, sino también porque </w:t>
      </w:r>
      <w:proofErr w:type="spellStart"/>
      <w:r w:rsidR="00D808AB">
        <w:rPr>
          <w:sz w:val="22"/>
          <w:szCs w:val="22"/>
        </w:rPr>
        <w:t>ls</w:t>
      </w:r>
      <w:proofErr w:type="spellEnd"/>
      <w:r w:rsidR="00D808AB">
        <w:rPr>
          <w:sz w:val="22"/>
          <w:szCs w:val="22"/>
        </w:rPr>
        <w:t xml:space="preserve"> fuentes de suministro pueden ir aumentando sus potenciales de producción con mayores inversiones o desarrollos y porque se van implementando proyectos del Plan de Abastecimiento de Gas Natural que conectan fuentes de suministro a más compradores e idealmente proyectos de iniciativa de los mismos agentes</w:t>
      </w:r>
      <w:r>
        <w:rPr>
          <w:sz w:val="22"/>
          <w:szCs w:val="22"/>
        </w:rPr>
        <w:t>:</w:t>
      </w:r>
    </w:p>
    <w:p w14:paraId="79FC5810" w14:textId="77777777" w:rsidR="005A78F5" w:rsidRDefault="005A78F5" w:rsidP="00985006">
      <w:pPr>
        <w:rPr>
          <w:sz w:val="22"/>
          <w:szCs w:val="22"/>
        </w:rPr>
      </w:pPr>
    </w:p>
    <w:p w14:paraId="4CFF09F6" w14:textId="24E2AEA1" w:rsidR="005A78F5" w:rsidRDefault="005A78F5" w:rsidP="00985006">
      <w:pPr>
        <w:rPr>
          <w:sz w:val="22"/>
          <w:szCs w:val="22"/>
        </w:rPr>
      </w:pPr>
      <w:r>
        <w:rPr>
          <w:sz w:val="22"/>
          <w:szCs w:val="22"/>
        </w:rPr>
        <w:t>Caso 1: 3 sistemas de transporte denominados ST</w:t>
      </w:r>
      <w:r w:rsidR="003C0CE9">
        <w:rPr>
          <w:sz w:val="22"/>
          <w:szCs w:val="22"/>
        </w:rPr>
        <w:t xml:space="preserve"> (físicos o virtuales)</w:t>
      </w:r>
      <w:r>
        <w:rPr>
          <w:sz w:val="22"/>
          <w:szCs w:val="22"/>
        </w:rPr>
        <w:t>, no conectados entre sí: fuentes de suministro denominadas FS, compradores denominados C</w:t>
      </w:r>
    </w:p>
    <w:p w14:paraId="47E9544A" w14:textId="77777777" w:rsidR="005A78F5" w:rsidRDefault="005A78F5" w:rsidP="00985006">
      <w:pPr>
        <w:rPr>
          <w:sz w:val="22"/>
          <w:szCs w:val="22"/>
        </w:rPr>
      </w:pPr>
    </w:p>
    <w:p w14:paraId="052754A5" w14:textId="77777777" w:rsidR="00721382" w:rsidRDefault="00721382" w:rsidP="00985006">
      <w:pPr>
        <w:rPr>
          <w:sz w:val="22"/>
          <w:szCs w:val="22"/>
        </w:rPr>
      </w:pPr>
    </w:p>
    <w:p w14:paraId="113F4AA6" w14:textId="677D6BE1" w:rsidR="00721382" w:rsidRPr="00057E29" w:rsidRDefault="00721382" w:rsidP="00721382">
      <w:pPr>
        <w:pStyle w:val="Descripcin"/>
        <w:keepNext/>
        <w:jc w:val="center"/>
        <w:rPr>
          <w:i w:val="0"/>
          <w:iCs w:val="0"/>
          <w:sz w:val="22"/>
          <w:szCs w:val="22"/>
        </w:rPr>
      </w:pPr>
      <w:bookmarkStart w:id="434" w:name="_Toc140506614"/>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21</w:t>
      </w:r>
      <w:r w:rsidR="006B6B6C">
        <w:rPr>
          <w:i w:val="0"/>
          <w:iCs w:val="0"/>
          <w:sz w:val="22"/>
          <w:szCs w:val="22"/>
        </w:rPr>
        <w:fldChar w:fldCharType="end"/>
      </w:r>
      <w:r w:rsidRPr="00057E29">
        <w:rPr>
          <w:i w:val="0"/>
          <w:iCs w:val="0"/>
          <w:sz w:val="22"/>
          <w:szCs w:val="22"/>
        </w:rPr>
        <w:t xml:space="preserve"> </w:t>
      </w:r>
      <w:r>
        <w:rPr>
          <w:i w:val="0"/>
          <w:iCs w:val="0"/>
          <w:sz w:val="22"/>
          <w:szCs w:val="22"/>
        </w:rPr>
        <w:t>Punto de Referencia Caso 1</w:t>
      </w:r>
      <w:bookmarkEnd w:id="434"/>
    </w:p>
    <w:p w14:paraId="0DF1886B" w14:textId="77777777" w:rsidR="005A78F5" w:rsidRDefault="005A78F5" w:rsidP="00985006">
      <w:pPr>
        <w:rPr>
          <w:sz w:val="22"/>
          <w:szCs w:val="22"/>
        </w:rPr>
      </w:pPr>
    </w:p>
    <w:p w14:paraId="52C9FA48" w14:textId="35CE194D" w:rsidR="005A78F5" w:rsidRDefault="005A78F5" w:rsidP="00985006">
      <w:pPr>
        <w:rPr>
          <w:sz w:val="22"/>
          <w:szCs w:val="22"/>
        </w:rPr>
      </w:pPr>
      <w:r w:rsidRPr="005A78F5">
        <w:rPr>
          <w:noProof/>
        </w:rPr>
        <w:drawing>
          <wp:inline distT="0" distB="0" distL="0" distR="0" wp14:anchorId="3EAD815B" wp14:editId="37D7F891">
            <wp:extent cx="5940425" cy="3790315"/>
            <wp:effectExtent l="0" t="0" r="317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790315"/>
                    </a:xfrm>
                    <a:prstGeom prst="rect">
                      <a:avLst/>
                    </a:prstGeom>
                  </pic:spPr>
                </pic:pic>
              </a:graphicData>
            </a:graphic>
          </wp:inline>
        </w:drawing>
      </w:r>
    </w:p>
    <w:p w14:paraId="6752C3AA" w14:textId="05906E14" w:rsidR="005A78F5" w:rsidRDefault="005A78F5" w:rsidP="003A58EF">
      <w:pPr>
        <w:rPr>
          <w:sz w:val="22"/>
          <w:szCs w:val="22"/>
        </w:rPr>
      </w:pPr>
    </w:p>
    <w:p w14:paraId="672D698A" w14:textId="32B405A7" w:rsidR="005A78F5" w:rsidRPr="00AC50A4" w:rsidRDefault="005A78F5" w:rsidP="003A58EF">
      <w:pPr>
        <w:rPr>
          <w:sz w:val="22"/>
          <w:szCs w:val="22"/>
        </w:rPr>
      </w:pPr>
      <w:r w:rsidRPr="00AC50A4">
        <w:rPr>
          <w:sz w:val="22"/>
          <w:szCs w:val="22"/>
        </w:rPr>
        <w:t xml:space="preserve">Los </w:t>
      </w:r>
      <w:r w:rsidR="00AC50A4" w:rsidRPr="00AC50A4">
        <w:rPr>
          <w:sz w:val="22"/>
          <w:szCs w:val="22"/>
        </w:rPr>
        <w:t xml:space="preserve">puntos de referencia son 3 y </w:t>
      </w:r>
      <w:r w:rsidRPr="00AC50A4">
        <w:rPr>
          <w:sz w:val="22"/>
          <w:szCs w:val="22"/>
        </w:rPr>
        <w:t>balances son los siguientes:</w:t>
      </w:r>
    </w:p>
    <w:p w14:paraId="4A26FE7E" w14:textId="77777777" w:rsidR="005A78F5" w:rsidRPr="00AC50A4" w:rsidRDefault="005A78F5" w:rsidP="003A58EF">
      <w:pPr>
        <w:rPr>
          <w:sz w:val="22"/>
          <w:szCs w:val="22"/>
        </w:rPr>
      </w:pPr>
    </w:p>
    <w:p w14:paraId="3170C01C" w14:textId="06C4A8AF" w:rsidR="005A78F5" w:rsidRPr="00AC50A4" w:rsidRDefault="00AC50A4" w:rsidP="005A78F5">
      <w:pPr>
        <w:jc w:val="center"/>
        <w:rPr>
          <w:noProof/>
          <w:sz w:val="22"/>
          <w:szCs w:val="22"/>
        </w:rPr>
      </w:pPr>
      <w:r w:rsidRPr="00AC50A4">
        <w:rPr>
          <w:noProof/>
          <w:sz w:val="22"/>
          <w:szCs w:val="22"/>
        </w:rPr>
        <w:drawing>
          <wp:inline distT="0" distB="0" distL="0" distR="0" wp14:anchorId="4739F265" wp14:editId="5D100C8F">
            <wp:extent cx="1724837" cy="1502509"/>
            <wp:effectExtent l="0" t="0" r="889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8884" cy="1523457"/>
                    </a:xfrm>
                    <a:prstGeom prst="rect">
                      <a:avLst/>
                    </a:prstGeom>
                  </pic:spPr>
                </pic:pic>
              </a:graphicData>
            </a:graphic>
          </wp:inline>
        </w:drawing>
      </w:r>
      <w:r w:rsidRPr="00AC50A4">
        <w:rPr>
          <w:noProof/>
          <w:sz w:val="22"/>
          <w:szCs w:val="22"/>
        </w:rPr>
        <w:t xml:space="preserve">    </w:t>
      </w:r>
      <w:r w:rsidR="00583A2B">
        <w:rPr>
          <w:noProof/>
          <w:sz w:val="22"/>
          <w:szCs w:val="22"/>
        </w:rPr>
        <w:t xml:space="preserve">  </w:t>
      </w:r>
      <w:r w:rsidRPr="00AC50A4">
        <w:rPr>
          <w:noProof/>
          <w:sz w:val="22"/>
          <w:szCs w:val="22"/>
        </w:rPr>
        <w:t xml:space="preserve"> </w:t>
      </w:r>
      <w:r w:rsidRPr="00AC50A4">
        <w:rPr>
          <w:noProof/>
          <w:sz w:val="22"/>
          <w:szCs w:val="22"/>
        </w:rPr>
        <w:drawing>
          <wp:inline distT="0" distB="0" distL="0" distR="0" wp14:anchorId="21A8D523" wp14:editId="6A625869">
            <wp:extent cx="1445994" cy="1488082"/>
            <wp:effectExtent l="0" t="0" r="1905" b="0"/>
            <wp:docPr id="30" name="Imagen 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abla&#10;&#10;Descripción generada automáticamente"/>
                    <pic:cNvPicPr/>
                  </pic:nvPicPr>
                  <pic:blipFill>
                    <a:blip r:embed="rId36"/>
                    <a:stretch>
                      <a:fillRect/>
                    </a:stretch>
                  </pic:blipFill>
                  <pic:spPr>
                    <a:xfrm>
                      <a:off x="0" y="0"/>
                      <a:ext cx="1473545" cy="1516435"/>
                    </a:xfrm>
                    <a:prstGeom prst="rect">
                      <a:avLst/>
                    </a:prstGeom>
                  </pic:spPr>
                </pic:pic>
              </a:graphicData>
            </a:graphic>
          </wp:inline>
        </w:drawing>
      </w:r>
      <w:r w:rsidRPr="00AC50A4">
        <w:rPr>
          <w:noProof/>
          <w:sz w:val="22"/>
          <w:szCs w:val="22"/>
        </w:rPr>
        <w:t xml:space="preserve">   </w:t>
      </w:r>
      <w:r w:rsidR="00583A2B">
        <w:rPr>
          <w:noProof/>
          <w:sz w:val="22"/>
          <w:szCs w:val="22"/>
        </w:rPr>
        <w:t xml:space="preserve">   </w:t>
      </w:r>
      <w:r w:rsidRPr="00AC50A4">
        <w:rPr>
          <w:noProof/>
          <w:sz w:val="22"/>
          <w:szCs w:val="22"/>
        </w:rPr>
        <w:t xml:space="preserve"> </w:t>
      </w:r>
      <w:r w:rsidRPr="00AC50A4">
        <w:rPr>
          <w:noProof/>
          <w:sz w:val="22"/>
          <w:szCs w:val="22"/>
        </w:rPr>
        <w:drawing>
          <wp:inline distT="0" distB="0" distL="0" distR="0" wp14:anchorId="6182BF71" wp14:editId="41EC4258">
            <wp:extent cx="1110343" cy="1493539"/>
            <wp:effectExtent l="0" t="0" r="0" b="0"/>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Descripción generada automáticamente"/>
                    <pic:cNvPicPr/>
                  </pic:nvPicPr>
                  <pic:blipFill>
                    <a:blip r:embed="rId37"/>
                    <a:stretch>
                      <a:fillRect/>
                    </a:stretch>
                  </pic:blipFill>
                  <pic:spPr>
                    <a:xfrm>
                      <a:off x="0" y="0"/>
                      <a:ext cx="1142786" cy="1537178"/>
                    </a:xfrm>
                    <a:prstGeom prst="rect">
                      <a:avLst/>
                    </a:prstGeom>
                  </pic:spPr>
                </pic:pic>
              </a:graphicData>
            </a:graphic>
          </wp:inline>
        </w:drawing>
      </w:r>
    </w:p>
    <w:p w14:paraId="0745CFC2" w14:textId="77777777" w:rsidR="00AC50A4" w:rsidRPr="00AC50A4" w:rsidRDefault="00AC50A4" w:rsidP="005A78F5">
      <w:pPr>
        <w:jc w:val="center"/>
        <w:rPr>
          <w:noProof/>
          <w:sz w:val="22"/>
          <w:szCs w:val="22"/>
        </w:rPr>
      </w:pPr>
    </w:p>
    <w:p w14:paraId="6FCA972A" w14:textId="3758BA2A" w:rsidR="00AC50A4" w:rsidRPr="00AC50A4" w:rsidRDefault="00AC50A4" w:rsidP="00AC50A4">
      <w:pPr>
        <w:rPr>
          <w:sz w:val="22"/>
          <w:szCs w:val="22"/>
        </w:rPr>
      </w:pPr>
      <w:r w:rsidRPr="00AC50A4">
        <w:rPr>
          <w:noProof/>
          <w:sz w:val="22"/>
          <w:szCs w:val="22"/>
        </w:rPr>
        <w:t>Se observa que en este caso hay una PTDVF que no se contrataría en un total de 18,000 MBTUD, a pesar de que hay un faltante de PTDVF en los demás puntos de referencia total de 31,000 MBTUD.</w:t>
      </w:r>
    </w:p>
    <w:p w14:paraId="60ACF1BC" w14:textId="77777777" w:rsidR="005A78F5" w:rsidRDefault="005A78F5" w:rsidP="003A58EF">
      <w:pPr>
        <w:rPr>
          <w:sz w:val="22"/>
          <w:szCs w:val="22"/>
        </w:rPr>
      </w:pPr>
    </w:p>
    <w:p w14:paraId="6E78CA7E" w14:textId="043B26EF" w:rsidR="00AC50A4" w:rsidRDefault="00AC50A4" w:rsidP="00AC50A4">
      <w:pPr>
        <w:rPr>
          <w:sz w:val="22"/>
          <w:szCs w:val="22"/>
        </w:rPr>
      </w:pPr>
      <w:r>
        <w:rPr>
          <w:sz w:val="22"/>
          <w:szCs w:val="22"/>
        </w:rPr>
        <w:t>Caso 2: 3 sistemas de transporte denominados ST</w:t>
      </w:r>
      <w:r w:rsidR="003C0CE9">
        <w:rPr>
          <w:sz w:val="22"/>
          <w:szCs w:val="22"/>
        </w:rPr>
        <w:t xml:space="preserve"> (físicos o virtuales)</w:t>
      </w:r>
      <w:r>
        <w:rPr>
          <w:sz w:val="22"/>
          <w:szCs w:val="22"/>
        </w:rPr>
        <w:t>, conectados entre sí en una sola dirección el ST1 y el ST2, no conectado el ST3: fuentes de suministro denominadas FS, compradores denominados C.</w:t>
      </w:r>
    </w:p>
    <w:p w14:paraId="7E094B86" w14:textId="77777777" w:rsidR="00AC50A4" w:rsidRDefault="00AC50A4" w:rsidP="00AC50A4">
      <w:pPr>
        <w:rPr>
          <w:sz w:val="22"/>
          <w:szCs w:val="22"/>
        </w:rPr>
      </w:pPr>
    </w:p>
    <w:p w14:paraId="27FD3CC3" w14:textId="77777777" w:rsidR="00721382" w:rsidRDefault="00721382" w:rsidP="00721382">
      <w:pPr>
        <w:rPr>
          <w:sz w:val="22"/>
          <w:szCs w:val="22"/>
        </w:rPr>
      </w:pPr>
    </w:p>
    <w:p w14:paraId="3910D65D" w14:textId="51473B15" w:rsidR="00721382" w:rsidRPr="00057E29" w:rsidRDefault="00721382" w:rsidP="00721382">
      <w:pPr>
        <w:pStyle w:val="Descripcin"/>
        <w:keepNext/>
        <w:jc w:val="center"/>
        <w:rPr>
          <w:i w:val="0"/>
          <w:iCs w:val="0"/>
          <w:sz w:val="22"/>
          <w:szCs w:val="22"/>
        </w:rPr>
      </w:pPr>
      <w:bookmarkStart w:id="435" w:name="_Toc140506615"/>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22</w:t>
      </w:r>
      <w:r w:rsidR="006B6B6C">
        <w:rPr>
          <w:i w:val="0"/>
          <w:iCs w:val="0"/>
          <w:sz w:val="22"/>
          <w:szCs w:val="22"/>
        </w:rPr>
        <w:fldChar w:fldCharType="end"/>
      </w:r>
      <w:r w:rsidRPr="00057E29">
        <w:rPr>
          <w:i w:val="0"/>
          <w:iCs w:val="0"/>
          <w:sz w:val="22"/>
          <w:szCs w:val="22"/>
        </w:rPr>
        <w:t xml:space="preserve"> </w:t>
      </w:r>
      <w:r>
        <w:rPr>
          <w:i w:val="0"/>
          <w:iCs w:val="0"/>
          <w:sz w:val="22"/>
          <w:szCs w:val="22"/>
        </w:rPr>
        <w:t>Punto de Referencia Caso 2</w:t>
      </w:r>
      <w:bookmarkEnd w:id="435"/>
    </w:p>
    <w:p w14:paraId="2AFD23AF" w14:textId="77777777" w:rsidR="00AC50A4" w:rsidRDefault="00AC50A4" w:rsidP="00AC50A4">
      <w:pPr>
        <w:rPr>
          <w:sz w:val="22"/>
          <w:szCs w:val="22"/>
        </w:rPr>
      </w:pPr>
    </w:p>
    <w:p w14:paraId="59048A79" w14:textId="1D9FB513" w:rsidR="00AC50A4" w:rsidRDefault="00AC50A4" w:rsidP="003A58EF">
      <w:pPr>
        <w:rPr>
          <w:sz w:val="22"/>
          <w:szCs w:val="22"/>
        </w:rPr>
      </w:pPr>
      <w:r w:rsidRPr="00AC50A4">
        <w:rPr>
          <w:noProof/>
        </w:rPr>
        <w:drawing>
          <wp:inline distT="0" distB="0" distL="0" distR="0" wp14:anchorId="12F26D13" wp14:editId="767B6E12">
            <wp:extent cx="5940425" cy="1870710"/>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870710"/>
                    </a:xfrm>
                    <a:prstGeom prst="rect">
                      <a:avLst/>
                    </a:prstGeom>
                  </pic:spPr>
                </pic:pic>
              </a:graphicData>
            </a:graphic>
          </wp:inline>
        </w:drawing>
      </w:r>
    </w:p>
    <w:p w14:paraId="7528F0A9" w14:textId="77777777" w:rsidR="005A78F5" w:rsidRDefault="005A78F5" w:rsidP="003A58EF">
      <w:pPr>
        <w:rPr>
          <w:sz w:val="22"/>
          <w:szCs w:val="22"/>
        </w:rPr>
      </w:pPr>
    </w:p>
    <w:p w14:paraId="7A2EC162" w14:textId="77777777" w:rsidR="00AC50A4" w:rsidRDefault="00AC50A4" w:rsidP="003A58EF">
      <w:pPr>
        <w:rPr>
          <w:sz w:val="22"/>
          <w:szCs w:val="22"/>
        </w:rPr>
      </w:pPr>
    </w:p>
    <w:p w14:paraId="697B159E" w14:textId="77777777" w:rsidR="00AC50A4" w:rsidRPr="00AC50A4" w:rsidRDefault="00AC50A4" w:rsidP="00AC50A4">
      <w:pPr>
        <w:rPr>
          <w:sz w:val="22"/>
          <w:szCs w:val="22"/>
        </w:rPr>
      </w:pPr>
      <w:r w:rsidRPr="00AC50A4">
        <w:rPr>
          <w:sz w:val="22"/>
          <w:szCs w:val="22"/>
        </w:rPr>
        <w:t>Los puntos de referencia son 3 y balances son los siguientes:</w:t>
      </w:r>
    </w:p>
    <w:p w14:paraId="00B79FFC" w14:textId="77777777" w:rsidR="00AC50A4" w:rsidRDefault="00AC50A4" w:rsidP="003A58EF">
      <w:pPr>
        <w:rPr>
          <w:sz w:val="22"/>
          <w:szCs w:val="22"/>
        </w:rPr>
      </w:pPr>
    </w:p>
    <w:p w14:paraId="3F7AF2F8" w14:textId="5AAE11C5" w:rsidR="00AC50A4" w:rsidRDefault="00AC50A4" w:rsidP="00AC50A4">
      <w:pPr>
        <w:jc w:val="center"/>
        <w:rPr>
          <w:sz w:val="22"/>
          <w:szCs w:val="22"/>
        </w:rPr>
      </w:pPr>
      <w:r w:rsidRPr="00AC50A4">
        <w:rPr>
          <w:noProof/>
        </w:rPr>
        <w:drawing>
          <wp:inline distT="0" distB="0" distL="0" distR="0" wp14:anchorId="47BEA802" wp14:editId="6506A413">
            <wp:extent cx="2129612" cy="1855109"/>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3046" cy="1866811"/>
                    </a:xfrm>
                    <a:prstGeom prst="rect">
                      <a:avLst/>
                    </a:prstGeom>
                  </pic:spPr>
                </pic:pic>
              </a:graphicData>
            </a:graphic>
          </wp:inline>
        </w:drawing>
      </w:r>
      <w:r w:rsidR="00583A2B">
        <w:rPr>
          <w:sz w:val="22"/>
          <w:szCs w:val="22"/>
        </w:rPr>
        <w:t xml:space="preserve">  </w:t>
      </w:r>
      <w:r>
        <w:rPr>
          <w:sz w:val="22"/>
          <w:szCs w:val="22"/>
        </w:rPr>
        <w:t xml:space="preserve">  </w:t>
      </w:r>
      <w:r w:rsidR="00583A2B">
        <w:rPr>
          <w:sz w:val="22"/>
          <w:szCs w:val="22"/>
        </w:rPr>
        <w:t xml:space="preserve"> </w:t>
      </w:r>
      <w:r>
        <w:rPr>
          <w:sz w:val="22"/>
          <w:szCs w:val="22"/>
        </w:rPr>
        <w:t xml:space="preserve"> </w:t>
      </w:r>
      <w:r w:rsidRPr="00AC50A4">
        <w:rPr>
          <w:noProof/>
        </w:rPr>
        <w:drawing>
          <wp:inline distT="0" distB="0" distL="0" distR="0" wp14:anchorId="3B8BA005" wp14:editId="6AD49012">
            <wp:extent cx="1555069" cy="1846039"/>
            <wp:effectExtent l="0" t="0" r="7620" b="1905"/>
            <wp:docPr id="35" name="Imagen 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pic:nvPicPr>
                  <pic:blipFill>
                    <a:blip r:embed="rId40"/>
                    <a:stretch>
                      <a:fillRect/>
                    </a:stretch>
                  </pic:blipFill>
                  <pic:spPr>
                    <a:xfrm>
                      <a:off x="0" y="0"/>
                      <a:ext cx="1566524" cy="1859638"/>
                    </a:xfrm>
                    <a:prstGeom prst="rect">
                      <a:avLst/>
                    </a:prstGeom>
                  </pic:spPr>
                </pic:pic>
              </a:graphicData>
            </a:graphic>
          </wp:inline>
        </w:drawing>
      </w:r>
      <w:r>
        <w:rPr>
          <w:sz w:val="22"/>
          <w:szCs w:val="22"/>
        </w:rPr>
        <w:t xml:space="preserve">  </w:t>
      </w:r>
      <w:r w:rsidR="00583A2B">
        <w:rPr>
          <w:sz w:val="22"/>
          <w:szCs w:val="22"/>
        </w:rPr>
        <w:t xml:space="preserve">    </w:t>
      </w:r>
      <w:r>
        <w:rPr>
          <w:sz w:val="22"/>
          <w:szCs w:val="22"/>
        </w:rPr>
        <w:t xml:space="preserve"> </w:t>
      </w:r>
      <w:r w:rsidRPr="00AC50A4">
        <w:rPr>
          <w:noProof/>
        </w:rPr>
        <w:drawing>
          <wp:inline distT="0" distB="0" distL="0" distR="0" wp14:anchorId="44C3580B" wp14:editId="415B5463">
            <wp:extent cx="1368416" cy="1840676"/>
            <wp:effectExtent l="0" t="0" r="3810" b="7620"/>
            <wp:docPr id="36" name="Imagen 36"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Calendario&#10;&#10;Descripción generada automáticamente"/>
                    <pic:cNvPicPr/>
                  </pic:nvPicPr>
                  <pic:blipFill>
                    <a:blip r:embed="rId41"/>
                    <a:stretch>
                      <a:fillRect/>
                    </a:stretch>
                  </pic:blipFill>
                  <pic:spPr>
                    <a:xfrm>
                      <a:off x="0" y="0"/>
                      <a:ext cx="1373046" cy="1846904"/>
                    </a:xfrm>
                    <a:prstGeom prst="rect">
                      <a:avLst/>
                    </a:prstGeom>
                  </pic:spPr>
                </pic:pic>
              </a:graphicData>
            </a:graphic>
          </wp:inline>
        </w:drawing>
      </w:r>
    </w:p>
    <w:p w14:paraId="3D3F76F9" w14:textId="77777777" w:rsidR="00AC50A4" w:rsidRDefault="00AC50A4" w:rsidP="003A58EF">
      <w:pPr>
        <w:rPr>
          <w:sz w:val="22"/>
          <w:szCs w:val="22"/>
        </w:rPr>
      </w:pPr>
    </w:p>
    <w:p w14:paraId="586EF72B" w14:textId="58D79B72" w:rsidR="00260282" w:rsidRPr="00AC50A4" w:rsidRDefault="00AC50A4" w:rsidP="00260282">
      <w:pPr>
        <w:rPr>
          <w:sz w:val="22"/>
          <w:szCs w:val="22"/>
        </w:rPr>
      </w:pPr>
      <w:r w:rsidRPr="00AC50A4">
        <w:rPr>
          <w:noProof/>
          <w:sz w:val="22"/>
          <w:szCs w:val="22"/>
        </w:rPr>
        <w:t xml:space="preserve">Se observa que en este caso hay una PTDVF que no se contrataría en un total de </w:t>
      </w:r>
      <w:r>
        <w:rPr>
          <w:noProof/>
          <w:sz w:val="22"/>
          <w:szCs w:val="22"/>
        </w:rPr>
        <w:t>11,00</w:t>
      </w:r>
      <w:r w:rsidRPr="00AC50A4">
        <w:rPr>
          <w:noProof/>
          <w:sz w:val="22"/>
          <w:szCs w:val="22"/>
        </w:rPr>
        <w:t xml:space="preserve">0 MBTUD, a pesar de que hay un faltante de PTDVF en </w:t>
      </w:r>
      <w:r>
        <w:rPr>
          <w:noProof/>
          <w:sz w:val="22"/>
          <w:szCs w:val="22"/>
        </w:rPr>
        <w:t xml:space="preserve">el </w:t>
      </w:r>
      <w:r w:rsidRPr="00AC50A4">
        <w:rPr>
          <w:noProof/>
          <w:sz w:val="22"/>
          <w:szCs w:val="22"/>
        </w:rPr>
        <w:t xml:space="preserve">punto de referencia total </w:t>
      </w:r>
      <w:r>
        <w:rPr>
          <w:noProof/>
          <w:sz w:val="22"/>
          <w:szCs w:val="22"/>
        </w:rPr>
        <w:t xml:space="preserve">PR3 </w:t>
      </w:r>
      <w:r w:rsidRPr="00AC50A4">
        <w:rPr>
          <w:noProof/>
          <w:sz w:val="22"/>
          <w:szCs w:val="22"/>
        </w:rPr>
        <w:t xml:space="preserve">de </w:t>
      </w:r>
      <w:r>
        <w:rPr>
          <w:noProof/>
          <w:sz w:val="22"/>
          <w:szCs w:val="22"/>
        </w:rPr>
        <w:t>22</w:t>
      </w:r>
      <w:r w:rsidRPr="00AC50A4">
        <w:rPr>
          <w:noProof/>
          <w:sz w:val="22"/>
          <w:szCs w:val="22"/>
        </w:rPr>
        <w:t xml:space="preserve">,000 MBTUD. </w:t>
      </w:r>
      <w:r>
        <w:rPr>
          <w:noProof/>
          <w:sz w:val="22"/>
          <w:szCs w:val="22"/>
        </w:rPr>
        <w:t>Adicionalmente, los compradores C4 y C5 tienen acceso a más fuemtes de suministro</w:t>
      </w:r>
      <w:r w:rsidR="00260282">
        <w:rPr>
          <w:noProof/>
          <w:sz w:val="22"/>
          <w:szCs w:val="22"/>
        </w:rPr>
        <w:t>, respecto del caso 1.</w:t>
      </w:r>
    </w:p>
    <w:p w14:paraId="0AB550A9" w14:textId="340D063D" w:rsidR="00AC50A4" w:rsidRPr="00AC50A4" w:rsidRDefault="00AC50A4" w:rsidP="00AC50A4">
      <w:pPr>
        <w:rPr>
          <w:sz w:val="22"/>
          <w:szCs w:val="22"/>
        </w:rPr>
      </w:pPr>
      <w:r>
        <w:rPr>
          <w:noProof/>
          <w:sz w:val="22"/>
          <w:szCs w:val="22"/>
        </w:rPr>
        <w:t>.</w:t>
      </w:r>
    </w:p>
    <w:p w14:paraId="7254A778" w14:textId="095308AE" w:rsidR="00AC50A4" w:rsidRDefault="00AC50A4" w:rsidP="00AC50A4">
      <w:pPr>
        <w:rPr>
          <w:sz w:val="22"/>
          <w:szCs w:val="22"/>
        </w:rPr>
      </w:pPr>
      <w:r>
        <w:rPr>
          <w:sz w:val="22"/>
          <w:szCs w:val="22"/>
        </w:rPr>
        <w:t>Caso 3: 3 sistemas de transporte denominados ST</w:t>
      </w:r>
      <w:r w:rsidR="003C0CE9">
        <w:rPr>
          <w:sz w:val="22"/>
          <w:szCs w:val="22"/>
        </w:rPr>
        <w:t xml:space="preserve"> (físicos o virtuales)</w:t>
      </w:r>
      <w:r>
        <w:rPr>
          <w:sz w:val="22"/>
          <w:szCs w:val="22"/>
        </w:rPr>
        <w:t>, conectados entre sí en bidireccionalidad el ST1 y el ST2, no conectado el ST3: fuentes de suministro denominadas FS, compradores denominados C.</w:t>
      </w:r>
    </w:p>
    <w:p w14:paraId="2616420C" w14:textId="77777777" w:rsidR="00AC50A4" w:rsidRDefault="00AC50A4" w:rsidP="003A58EF">
      <w:pPr>
        <w:rPr>
          <w:sz w:val="22"/>
          <w:szCs w:val="22"/>
        </w:rPr>
      </w:pPr>
    </w:p>
    <w:p w14:paraId="50409C69" w14:textId="77777777" w:rsidR="00721382" w:rsidRDefault="00721382" w:rsidP="003A58EF">
      <w:pPr>
        <w:rPr>
          <w:sz w:val="22"/>
          <w:szCs w:val="22"/>
        </w:rPr>
      </w:pPr>
    </w:p>
    <w:p w14:paraId="0819A9FC" w14:textId="77777777" w:rsidR="00721382" w:rsidRDefault="00721382" w:rsidP="00721382">
      <w:pPr>
        <w:rPr>
          <w:sz w:val="22"/>
          <w:szCs w:val="22"/>
        </w:rPr>
      </w:pPr>
    </w:p>
    <w:p w14:paraId="5B9AD7D3" w14:textId="67C5A3E8" w:rsidR="00721382" w:rsidRPr="00057E29" w:rsidRDefault="00721382" w:rsidP="00721382">
      <w:pPr>
        <w:pStyle w:val="Descripcin"/>
        <w:keepNext/>
        <w:jc w:val="center"/>
        <w:rPr>
          <w:i w:val="0"/>
          <w:iCs w:val="0"/>
          <w:sz w:val="22"/>
          <w:szCs w:val="22"/>
        </w:rPr>
      </w:pPr>
      <w:bookmarkStart w:id="436" w:name="_Toc140506616"/>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23</w:t>
      </w:r>
      <w:r w:rsidR="006B6B6C">
        <w:rPr>
          <w:i w:val="0"/>
          <w:iCs w:val="0"/>
          <w:sz w:val="22"/>
          <w:szCs w:val="22"/>
        </w:rPr>
        <w:fldChar w:fldCharType="end"/>
      </w:r>
      <w:r w:rsidRPr="00057E29">
        <w:rPr>
          <w:i w:val="0"/>
          <w:iCs w:val="0"/>
          <w:sz w:val="22"/>
          <w:szCs w:val="22"/>
        </w:rPr>
        <w:t xml:space="preserve"> </w:t>
      </w:r>
      <w:r>
        <w:rPr>
          <w:i w:val="0"/>
          <w:iCs w:val="0"/>
          <w:sz w:val="22"/>
          <w:szCs w:val="22"/>
        </w:rPr>
        <w:t>Punto de Referencia Caso 3</w:t>
      </w:r>
      <w:bookmarkEnd w:id="436"/>
    </w:p>
    <w:p w14:paraId="61AEB2F9" w14:textId="77777777" w:rsidR="00AC50A4" w:rsidRDefault="00AC50A4" w:rsidP="003A58EF">
      <w:pPr>
        <w:rPr>
          <w:sz w:val="22"/>
          <w:szCs w:val="22"/>
        </w:rPr>
      </w:pPr>
    </w:p>
    <w:p w14:paraId="6A3DA0F7" w14:textId="3E3E874B" w:rsidR="00AC50A4" w:rsidRDefault="00AC50A4" w:rsidP="003A58EF">
      <w:pPr>
        <w:rPr>
          <w:sz w:val="22"/>
          <w:szCs w:val="22"/>
        </w:rPr>
      </w:pPr>
      <w:r w:rsidRPr="00AC50A4">
        <w:rPr>
          <w:noProof/>
        </w:rPr>
        <w:drawing>
          <wp:inline distT="0" distB="0" distL="0" distR="0" wp14:anchorId="7FD927C7" wp14:editId="4A5520C9">
            <wp:extent cx="5940425" cy="1859915"/>
            <wp:effectExtent l="0" t="0" r="317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859915"/>
                    </a:xfrm>
                    <a:prstGeom prst="rect">
                      <a:avLst/>
                    </a:prstGeom>
                  </pic:spPr>
                </pic:pic>
              </a:graphicData>
            </a:graphic>
          </wp:inline>
        </w:drawing>
      </w:r>
    </w:p>
    <w:p w14:paraId="206688F9" w14:textId="77777777" w:rsidR="00AC50A4" w:rsidRDefault="00AC50A4" w:rsidP="003A58EF">
      <w:pPr>
        <w:rPr>
          <w:sz w:val="22"/>
          <w:szCs w:val="22"/>
        </w:rPr>
      </w:pPr>
    </w:p>
    <w:p w14:paraId="5DABED39" w14:textId="77777777" w:rsidR="00AC50A4" w:rsidRDefault="00AC50A4" w:rsidP="003A58EF">
      <w:pPr>
        <w:rPr>
          <w:sz w:val="22"/>
          <w:szCs w:val="22"/>
        </w:rPr>
      </w:pPr>
    </w:p>
    <w:p w14:paraId="6ED73172" w14:textId="367C3810" w:rsidR="00AC50A4" w:rsidRDefault="00AC50A4" w:rsidP="003A58EF">
      <w:pPr>
        <w:rPr>
          <w:sz w:val="22"/>
          <w:szCs w:val="22"/>
        </w:rPr>
      </w:pPr>
      <w:r w:rsidRPr="00AC50A4">
        <w:rPr>
          <w:sz w:val="22"/>
          <w:szCs w:val="22"/>
        </w:rPr>
        <w:t xml:space="preserve">Los puntos de referencia son </w:t>
      </w:r>
      <w:r>
        <w:rPr>
          <w:sz w:val="22"/>
          <w:szCs w:val="22"/>
        </w:rPr>
        <w:t>2</w:t>
      </w:r>
      <w:r w:rsidRPr="00AC50A4">
        <w:rPr>
          <w:sz w:val="22"/>
          <w:szCs w:val="22"/>
        </w:rPr>
        <w:t xml:space="preserve"> y </w:t>
      </w:r>
      <w:r w:rsidR="00583A2B">
        <w:rPr>
          <w:sz w:val="22"/>
          <w:szCs w:val="22"/>
        </w:rPr>
        <w:t xml:space="preserve">los </w:t>
      </w:r>
      <w:r w:rsidRPr="00AC50A4">
        <w:rPr>
          <w:sz w:val="22"/>
          <w:szCs w:val="22"/>
        </w:rPr>
        <w:t>balances son los siguientes</w:t>
      </w:r>
      <w:r w:rsidR="0011786A">
        <w:rPr>
          <w:sz w:val="22"/>
          <w:szCs w:val="22"/>
        </w:rPr>
        <w:t>:</w:t>
      </w:r>
    </w:p>
    <w:p w14:paraId="616C77E8" w14:textId="77777777" w:rsidR="00AC50A4" w:rsidRDefault="00AC50A4" w:rsidP="003A58EF">
      <w:pPr>
        <w:rPr>
          <w:sz w:val="22"/>
          <w:szCs w:val="22"/>
        </w:rPr>
      </w:pPr>
    </w:p>
    <w:p w14:paraId="67F5EA82" w14:textId="77777777" w:rsidR="00AC50A4" w:rsidRDefault="00AC50A4" w:rsidP="003A58EF">
      <w:pPr>
        <w:rPr>
          <w:sz w:val="22"/>
          <w:szCs w:val="22"/>
        </w:rPr>
      </w:pPr>
    </w:p>
    <w:p w14:paraId="0AE62371" w14:textId="60BDED3F" w:rsidR="00AC50A4" w:rsidRDefault="00AC50A4" w:rsidP="00AC50A4">
      <w:pPr>
        <w:jc w:val="center"/>
        <w:rPr>
          <w:sz w:val="22"/>
          <w:szCs w:val="22"/>
        </w:rPr>
      </w:pPr>
      <w:r w:rsidRPr="00AC50A4">
        <w:rPr>
          <w:noProof/>
        </w:rPr>
        <w:drawing>
          <wp:inline distT="0" distB="0" distL="0" distR="0" wp14:anchorId="78294BEC" wp14:editId="244610FE">
            <wp:extent cx="1544985" cy="207818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47636" cy="2081748"/>
                    </a:xfrm>
                    <a:prstGeom prst="rect">
                      <a:avLst/>
                    </a:prstGeom>
                  </pic:spPr>
                </pic:pic>
              </a:graphicData>
            </a:graphic>
          </wp:inline>
        </w:drawing>
      </w:r>
      <w:r>
        <w:rPr>
          <w:sz w:val="22"/>
          <w:szCs w:val="22"/>
        </w:rPr>
        <w:t xml:space="preserve">    </w:t>
      </w:r>
      <w:r w:rsidRPr="00AC50A4">
        <w:rPr>
          <w:noProof/>
        </w:rPr>
        <w:drawing>
          <wp:inline distT="0" distB="0" distL="0" distR="0" wp14:anchorId="60489410" wp14:editId="6131A9A2">
            <wp:extent cx="1563513" cy="2226624"/>
            <wp:effectExtent l="0" t="0" r="0" b="2540"/>
            <wp:docPr id="39" name="Imagen 39"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abla, Calendario&#10;&#10;Descripción generada automáticamente"/>
                    <pic:cNvPicPr/>
                  </pic:nvPicPr>
                  <pic:blipFill>
                    <a:blip r:embed="rId44"/>
                    <a:stretch>
                      <a:fillRect/>
                    </a:stretch>
                  </pic:blipFill>
                  <pic:spPr>
                    <a:xfrm>
                      <a:off x="0" y="0"/>
                      <a:ext cx="1566275" cy="2230558"/>
                    </a:xfrm>
                    <a:prstGeom prst="rect">
                      <a:avLst/>
                    </a:prstGeom>
                  </pic:spPr>
                </pic:pic>
              </a:graphicData>
            </a:graphic>
          </wp:inline>
        </w:drawing>
      </w:r>
    </w:p>
    <w:p w14:paraId="6C4E9AAC" w14:textId="77777777" w:rsidR="00AC50A4" w:rsidRDefault="00AC50A4" w:rsidP="003A58EF">
      <w:pPr>
        <w:rPr>
          <w:sz w:val="22"/>
          <w:szCs w:val="22"/>
        </w:rPr>
      </w:pPr>
    </w:p>
    <w:p w14:paraId="7C0D3EA1" w14:textId="77777777" w:rsidR="00AC50A4" w:rsidRDefault="00AC50A4" w:rsidP="00AC50A4">
      <w:pPr>
        <w:rPr>
          <w:sz w:val="22"/>
          <w:szCs w:val="22"/>
        </w:rPr>
      </w:pPr>
    </w:p>
    <w:p w14:paraId="2328A5B8" w14:textId="627348AB" w:rsidR="00AC50A4" w:rsidRPr="00AC50A4" w:rsidRDefault="00AC50A4" w:rsidP="00AC50A4">
      <w:pPr>
        <w:rPr>
          <w:sz w:val="22"/>
          <w:szCs w:val="22"/>
        </w:rPr>
      </w:pPr>
      <w:r w:rsidRPr="00AC50A4">
        <w:rPr>
          <w:noProof/>
          <w:sz w:val="22"/>
          <w:szCs w:val="22"/>
        </w:rPr>
        <w:t xml:space="preserve">Se observa que en este caso hay una PTDVF que no se contrataría en un total de </w:t>
      </w:r>
      <w:r>
        <w:rPr>
          <w:noProof/>
          <w:sz w:val="22"/>
          <w:szCs w:val="22"/>
        </w:rPr>
        <w:t>11,00</w:t>
      </w:r>
      <w:r w:rsidRPr="00AC50A4">
        <w:rPr>
          <w:noProof/>
          <w:sz w:val="22"/>
          <w:szCs w:val="22"/>
        </w:rPr>
        <w:t xml:space="preserve">0 MBTUD, a pesar de que hay un faltante de PTDVF en </w:t>
      </w:r>
      <w:r>
        <w:rPr>
          <w:noProof/>
          <w:sz w:val="22"/>
          <w:szCs w:val="22"/>
        </w:rPr>
        <w:t xml:space="preserve">el </w:t>
      </w:r>
      <w:r w:rsidRPr="00AC50A4">
        <w:rPr>
          <w:noProof/>
          <w:sz w:val="22"/>
          <w:szCs w:val="22"/>
        </w:rPr>
        <w:t xml:space="preserve">punto de referencia total </w:t>
      </w:r>
      <w:r>
        <w:rPr>
          <w:noProof/>
          <w:sz w:val="22"/>
          <w:szCs w:val="22"/>
        </w:rPr>
        <w:t xml:space="preserve">PR3 </w:t>
      </w:r>
      <w:r w:rsidRPr="00AC50A4">
        <w:rPr>
          <w:noProof/>
          <w:sz w:val="22"/>
          <w:szCs w:val="22"/>
        </w:rPr>
        <w:t xml:space="preserve">de </w:t>
      </w:r>
      <w:r>
        <w:rPr>
          <w:noProof/>
          <w:sz w:val="22"/>
          <w:szCs w:val="22"/>
        </w:rPr>
        <w:t>22</w:t>
      </w:r>
      <w:r w:rsidRPr="00AC50A4">
        <w:rPr>
          <w:noProof/>
          <w:sz w:val="22"/>
          <w:szCs w:val="22"/>
        </w:rPr>
        <w:t>,000 MBTUD.</w:t>
      </w:r>
      <w:r>
        <w:rPr>
          <w:noProof/>
          <w:sz w:val="22"/>
          <w:szCs w:val="22"/>
        </w:rPr>
        <w:t xml:space="preserve"> Adicionalmente, los compradores C1, C2 y C3 tienen acceso a más fue</w:t>
      </w:r>
      <w:r w:rsidR="00260282">
        <w:rPr>
          <w:noProof/>
          <w:sz w:val="22"/>
          <w:szCs w:val="22"/>
        </w:rPr>
        <w:t>n</w:t>
      </w:r>
      <w:r>
        <w:rPr>
          <w:noProof/>
          <w:sz w:val="22"/>
          <w:szCs w:val="22"/>
        </w:rPr>
        <w:t>tes de suministro</w:t>
      </w:r>
      <w:r w:rsidR="00260282">
        <w:rPr>
          <w:noProof/>
          <w:sz w:val="22"/>
          <w:szCs w:val="22"/>
        </w:rPr>
        <w:t>, respecto del caso 2</w:t>
      </w:r>
      <w:r>
        <w:rPr>
          <w:noProof/>
          <w:sz w:val="22"/>
          <w:szCs w:val="22"/>
        </w:rPr>
        <w:t>.</w:t>
      </w:r>
    </w:p>
    <w:p w14:paraId="2F6EFC1B" w14:textId="77777777" w:rsidR="00AC50A4" w:rsidRDefault="00AC50A4" w:rsidP="003A58EF">
      <w:pPr>
        <w:rPr>
          <w:sz w:val="22"/>
          <w:szCs w:val="22"/>
        </w:rPr>
      </w:pPr>
    </w:p>
    <w:p w14:paraId="04BA410D" w14:textId="5052EC44" w:rsidR="0011786A" w:rsidRDefault="0011786A" w:rsidP="0011786A">
      <w:pPr>
        <w:rPr>
          <w:sz w:val="22"/>
          <w:szCs w:val="22"/>
        </w:rPr>
      </w:pPr>
      <w:r>
        <w:rPr>
          <w:sz w:val="22"/>
          <w:szCs w:val="22"/>
        </w:rPr>
        <w:t>Caso 4: 3 sistemas de transporte denominados ST</w:t>
      </w:r>
      <w:r w:rsidR="003C0CE9">
        <w:rPr>
          <w:sz w:val="22"/>
          <w:szCs w:val="22"/>
        </w:rPr>
        <w:t xml:space="preserve"> (físicos o virtuales)</w:t>
      </w:r>
      <w:r>
        <w:rPr>
          <w:sz w:val="22"/>
          <w:szCs w:val="22"/>
        </w:rPr>
        <w:t>, conectados entre sí en bidireccionalidad el ST1, el ST2 y el ST3: fuentes de suministro denominadas FS, compradores denominados C.</w:t>
      </w:r>
    </w:p>
    <w:p w14:paraId="20B98A0B" w14:textId="77777777" w:rsidR="00AC50A4" w:rsidRDefault="00AC50A4" w:rsidP="003A58EF">
      <w:pPr>
        <w:rPr>
          <w:sz w:val="22"/>
          <w:szCs w:val="22"/>
        </w:rPr>
      </w:pPr>
    </w:p>
    <w:p w14:paraId="14165445" w14:textId="77777777" w:rsidR="0011786A" w:rsidRDefault="0011786A" w:rsidP="003A58EF">
      <w:pPr>
        <w:rPr>
          <w:sz w:val="22"/>
          <w:szCs w:val="22"/>
        </w:rPr>
      </w:pPr>
    </w:p>
    <w:p w14:paraId="1D24E874" w14:textId="77777777" w:rsidR="00721382" w:rsidRDefault="00721382" w:rsidP="00721382">
      <w:pPr>
        <w:rPr>
          <w:sz w:val="22"/>
          <w:szCs w:val="22"/>
        </w:rPr>
      </w:pPr>
    </w:p>
    <w:p w14:paraId="2BF66D81" w14:textId="5CFD8B66" w:rsidR="00721382" w:rsidRPr="00057E29" w:rsidRDefault="00721382" w:rsidP="00721382">
      <w:pPr>
        <w:pStyle w:val="Descripcin"/>
        <w:keepNext/>
        <w:jc w:val="center"/>
        <w:rPr>
          <w:i w:val="0"/>
          <w:iCs w:val="0"/>
          <w:sz w:val="22"/>
          <w:szCs w:val="22"/>
        </w:rPr>
      </w:pPr>
      <w:bookmarkStart w:id="437" w:name="_Toc140506617"/>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24</w:t>
      </w:r>
      <w:r w:rsidR="006B6B6C">
        <w:rPr>
          <w:i w:val="0"/>
          <w:iCs w:val="0"/>
          <w:sz w:val="22"/>
          <w:szCs w:val="22"/>
        </w:rPr>
        <w:fldChar w:fldCharType="end"/>
      </w:r>
      <w:r w:rsidRPr="00057E29">
        <w:rPr>
          <w:i w:val="0"/>
          <w:iCs w:val="0"/>
          <w:sz w:val="22"/>
          <w:szCs w:val="22"/>
        </w:rPr>
        <w:t xml:space="preserve"> </w:t>
      </w:r>
      <w:r>
        <w:rPr>
          <w:i w:val="0"/>
          <w:iCs w:val="0"/>
          <w:sz w:val="22"/>
          <w:szCs w:val="22"/>
        </w:rPr>
        <w:t>Punto de Referencia Caso 4</w:t>
      </w:r>
      <w:bookmarkEnd w:id="437"/>
    </w:p>
    <w:p w14:paraId="4855C2F4" w14:textId="77777777" w:rsidR="00721382" w:rsidRDefault="00721382" w:rsidP="003A58EF">
      <w:pPr>
        <w:rPr>
          <w:sz w:val="22"/>
          <w:szCs w:val="22"/>
        </w:rPr>
      </w:pPr>
    </w:p>
    <w:p w14:paraId="3778D052" w14:textId="0E6C0DE6" w:rsidR="00AC50A4" w:rsidRDefault="0011786A" w:rsidP="003A58EF">
      <w:pPr>
        <w:rPr>
          <w:sz w:val="22"/>
          <w:szCs w:val="22"/>
        </w:rPr>
      </w:pPr>
      <w:r w:rsidRPr="0011786A">
        <w:rPr>
          <w:noProof/>
        </w:rPr>
        <w:drawing>
          <wp:inline distT="0" distB="0" distL="0" distR="0" wp14:anchorId="625DE1C8" wp14:editId="22639F9F">
            <wp:extent cx="5940425" cy="427990"/>
            <wp:effectExtent l="0" t="0" r="317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427990"/>
                    </a:xfrm>
                    <a:prstGeom prst="rect">
                      <a:avLst/>
                    </a:prstGeom>
                  </pic:spPr>
                </pic:pic>
              </a:graphicData>
            </a:graphic>
          </wp:inline>
        </w:drawing>
      </w:r>
    </w:p>
    <w:p w14:paraId="63B801E1" w14:textId="77777777" w:rsidR="0011786A" w:rsidRDefault="0011786A" w:rsidP="003A58EF">
      <w:pPr>
        <w:rPr>
          <w:sz w:val="22"/>
          <w:szCs w:val="22"/>
        </w:rPr>
      </w:pPr>
    </w:p>
    <w:p w14:paraId="67B85ABF" w14:textId="5BE25CC4" w:rsidR="0011786A" w:rsidRDefault="0011786A" w:rsidP="0011786A">
      <w:pPr>
        <w:rPr>
          <w:sz w:val="22"/>
          <w:szCs w:val="22"/>
        </w:rPr>
      </w:pPr>
      <w:r>
        <w:rPr>
          <w:sz w:val="22"/>
          <w:szCs w:val="22"/>
        </w:rPr>
        <w:t xml:space="preserve">Solo habría un punto de referencia </w:t>
      </w:r>
      <w:r w:rsidRPr="00AC50A4">
        <w:rPr>
          <w:sz w:val="22"/>
          <w:szCs w:val="22"/>
        </w:rPr>
        <w:t xml:space="preserve">y </w:t>
      </w:r>
      <w:r>
        <w:rPr>
          <w:sz w:val="22"/>
          <w:szCs w:val="22"/>
        </w:rPr>
        <w:t xml:space="preserve">el </w:t>
      </w:r>
      <w:r w:rsidRPr="00AC50A4">
        <w:rPr>
          <w:sz w:val="22"/>
          <w:szCs w:val="22"/>
        </w:rPr>
        <w:t>balance</w:t>
      </w:r>
      <w:r>
        <w:rPr>
          <w:sz w:val="22"/>
          <w:szCs w:val="22"/>
        </w:rPr>
        <w:t xml:space="preserve"> sería el siguiente:</w:t>
      </w:r>
    </w:p>
    <w:p w14:paraId="47F4937F" w14:textId="77777777" w:rsidR="0011786A" w:rsidRDefault="0011786A" w:rsidP="003A58EF">
      <w:pPr>
        <w:rPr>
          <w:sz w:val="22"/>
          <w:szCs w:val="22"/>
        </w:rPr>
      </w:pPr>
    </w:p>
    <w:p w14:paraId="28109FAC" w14:textId="77777777" w:rsidR="0011786A" w:rsidRDefault="0011786A" w:rsidP="003A58EF">
      <w:pPr>
        <w:rPr>
          <w:sz w:val="22"/>
          <w:szCs w:val="22"/>
        </w:rPr>
      </w:pPr>
    </w:p>
    <w:p w14:paraId="0EF25D18" w14:textId="1214E599" w:rsidR="0011786A" w:rsidRDefault="0011786A" w:rsidP="0011786A">
      <w:pPr>
        <w:jc w:val="center"/>
        <w:rPr>
          <w:sz w:val="22"/>
          <w:szCs w:val="22"/>
        </w:rPr>
      </w:pPr>
      <w:r w:rsidRPr="0011786A">
        <w:rPr>
          <w:noProof/>
        </w:rPr>
        <w:drawing>
          <wp:inline distT="0" distB="0" distL="0" distR="0" wp14:anchorId="46B8E64A" wp14:editId="49100BDE">
            <wp:extent cx="1306948" cy="2790702"/>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15639" cy="2809260"/>
                    </a:xfrm>
                    <a:prstGeom prst="rect">
                      <a:avLst/>
                    </a:prstGeom>
                  </pic:spPr>
                </pic:pic>
              </a:graphicData>
            </a:graphic>
          </wp:inline>
        </w:drawing>
      </w:r>
    </w:p>
    <w:p w14:paraId="1F0C0BD8" w14:textId="77777777" w:rsidR="00AC50A4" w:rsidRDefault="00AC50A4" w:rsidP="003A58EF">
      <w:pPr>
        <w:rPr>
          <w:sz w:val="22"/>
          <w:szCs w:val="22"/>
        </w:rPr>
      </w:pPr>
    </w:p>
    <w:p w14:paraId="1E4E59D0" w14:textId="6BDE9163" w:rsidR="0011786A" w:rsidRDefault="0011786A" w:rsidP="0011786A">
      <w:pPr>
        <w:rPr>
          <w:noProof/>
          <w:sz w:val="22"/>
          <w:szCs w:val="22"/>
        </w:rPr>
      </w:pPr>
      <w:r w:rsidRPr="00AC50A4">
        <w:rPr>
          <w:noProof/>
          <w:sz w:val="22"/>
          <w:szCs w:val="22"/>
        </w:rPr>
        <w:t xml:space="preserve">Se observa que en este caso hay una PTDVF que no se contrataría en un total de 0 MBTUD, </w:t>
      </w:r>
      <w:r>
        <w:rPr>
          <w:noProof/>
          <w:sz w:val="22"/>
          <w:szCs w:val="22"/>
        </w:rPr>
        <w:t>qudando</w:t>
      </w:r>
      <w:r w:rsidRPr="00AC50A4">
        <w:rPr>
          <w:noProof/>
          <w:sz w:val="22"/>
          <w:szCs w:val="22"/>
        </w:rPr>
        <w:t xml:space="preserve"> un faltante de PTDVF en </w:t>
      </w:r>
      <w:r>
        <w:rPr>
          <w:noProof/>
          <w:sz w:val="22"/>
          <w:szCs w:val="22"/>
        </w:rPr>
        <w:t xml:space="preserve">el </w:t>
      </w:r>
      <w:r w:rsidRPr="00AC50A4">
        <w:rPr>
          <w:noProof/>
          <w:sz w:val="22"/>
          <w:szCs w:val="22"/>
        </w:rPr>
        <w:t xml:space="preserve">punto de referencia total de </w:t>
      </w:r>
      <w:r>
        <w:rPr>
          <w:noProof/>
          <w:sz w:val="22"/>
          <w:szCs w:val="22"/>
        </w:rPr>
        <w:t>11</w:t>
      </w:r>
      <w:r w:rsidRPr="00AC50A4">
        <w:rPr>
          <w:noProof/>
          <w:sz w:val="22"/>
          <w:szCs w:val="22"/>
        </w:rPr>
        <w:t>,000 MBTUD.</w:t>
      </w:r>
      <w:r>
        <w:rPr>
          <w:noProof/>
          <w:sz w:val="22"/>
          <w:szCs w:val="22"/>
        </w:rPr>
        <w:t xml:space="preserve"> Adicionalmente, los compradores C6, C7, C8 y C9 tienen acceso a más fuentes de suministro, respecto del caso 3.</w:t>
      </w:r>
    </w:p>
    <w:p w14:paraId="4400C590" w14:textId="77777777" w:rsidR="0011786A" w:rsidRDefault="0011786A" w:rsidP="0011786A">
      <w:pPr>
        <w:rPr>
          <w:noProof/>
          <w:sz w:val="22"/>
          <w:szCs w:val="22"/>
        </w:rPr>
      </w:pPr>
    </w:p>
    <w:p w14:paraId="4D32C310" w14:textId="261711A7" w:rsidR="009F0605" w:rsidRPr="000E63CD" w:rsidRDefault="00583A2B" w:rsidP="003A58EF">
      <w:pPr>
        <w:rPr>
          <w:sz w:val="22"/>
          <w:szCs w:val="22"/>
        </w:rPr>
      </w:pPr>
      <w:r>
        <w:rPr>
          <w:sz w:val="22"/>
          <w:szCs w:val="22"/>
        </w:rPr>
        <w:t>Ahora bien, e</w:t>
      </w:r>
      <w:r w:rsidR="003A58EF" w:rsidRPr="000E63CD">
        <w:rPr>
          <w:sz w:val="22"/>
          <w:szCs w:val="22"/>
        </w:rPr>
        <w:t xml:space="preserve">n el procedimiento se plantea una sola instancia para que los </w:t>
      </w:r>
      <w:r w:rsidR="00AC32B5">
        <w:rPr>
          <w:sz w:val="22"/>
          <w:szCs w:val="22"/>
        </w:rPr>
        <w:t>Vendedores</w:t>
      </w:r>
      <w:r w:rsidR="003A58EF" w:rsidRPr="000E63CD">
        <w:rPr>
          <w:sz w:val="22"/>
          <w:szCs w:val="22"/>
        </w:rPr>
        <w:t xml:space="preserve"> del </w:t>
      </w:r>
      <w:r w:rsidR="00AC32B5">
        <w:rPr>
          <w:sz w:val="22"/>
          <w:szCs w:val="22"/>
        </w:rPr>
        <w:t>Mercado Primario</w:t>
      </w:r>
      <w:r w:rsidR="003A58EF" w:rsidRPr="000E63CD">
        <w:rPr>
          <w:sz w:val="22"/>
          <w:szCs w:val="22"/>
        </w:rPr>
        <w:t xml:space="preserve"> declaren sus ofertas de cantidades con Respaldo Físico </w:t>
      </w:r>
      <w:r w:rsidR="00852816" w:rsidRPr="000E63CD">
        <w:rPr>
          <w:sz w:val="22"/>
          <w:szCs w:val="22"/>
        </w:rPr>
        <w:t xml:space="preserve">(PTDVF y/o CIDVF) </w:t>
      </w:r>
      <w:r w:rsidR="00592120" w:rsidRPr="000E63CD">
        <w:rPr>
          <w:sz w:val="22"/>
          <w:szCs w:val="22"/>
        </w:rPr>
        <w:t>a ofrecer bajo las modalidades que garantizan firmeza</w:t>
      </w:r>
      <w:r w:rsidR="00852816" w:rsidRPr="000E63CD">
        <w:rPr>
          <w:sz w:val="22"/>
          <w:szCs w:val="22"/>
        </w:rPr>
        <w:t>,</w:t>
      </w:r>
      <w:r w:rsidR="00592120" w:rsidRPr="000E63CD">
        <w:rPr>
          <w:sz w:val="22"/>
          <w:szCs w:val="22"/>
        </w:rPr>
        <w:t xml:space="preserve"> </w:t>
      </w:r>
      <w:r w:rsidR="003A58EF" w:rsidRPr="000E63CD">
        <w:rPr>
          <w:sz w:val="22"/>
          <w:szCs w:val="22"/>
        </w:rPr>
        <w:t>tal como hoy en día ocurre</w:t>
      </w:r>
      <w:r w:rsidR="00DD48F0">
        <w:rPr>
          <w:sz w:val="22"/>
          <w:szCs w:val="22"/>
        </w:rPr>
        <w:t xml:space="preserve">. Se plantea </w:t>
      </w:r>
      <w:r w:rsidR="003A58EF" w:rsidRPr="000E63CD">
        <w:rPr>
          <w:sz w:val="22"/>
          <w:szCs w:val="22"/>
        </w:rPr>
        <w:t>una doble instancia</w:t>
      </w:r>
      <w:r w:rsidR="00DD48F0">
        <w:rPr>
          <w:sz w:val="22"/>
          <w:szCs w:val="22"/>
        </w:rPr>
        <w:t>,</w:t>
      </w:r>
      <w:r w:rsidR="003A58EF" w:rsidRPr="000E63CD">
        <w:rPr>
          <w:sz w:val="22"/>
          <w:szCs w:val="22"/>
        </w:rPr>
        <w:t xml:space="preserve"> para que los </w:t>
      </w:r>
      <w:r w:rsidR="00AC32B5">
        <w:rPr>
          <w:sz w:val="22"/>
          <w:szCs w:val="22"/>
        </w:rPr>
        <w:t>Compradores</w:t>
      </w:r>
      <w:r w:rsidR="003A58EF" w:rsidRPr="000E63CD">
        <w:rPr>
          <w:sz w:val="22"/>
          <w:szCs w:val="22"/>
        </w:rPr>
        <w:t xml:space="preserve"> interesados en el suministro informen </w:t>
      </w:r>
      <w:r w:rsidR="00757074" w:rsidRPr="000E63CD">
        <w:rPr>
          <w:sz w:val="22"/>
          <w:szCs w:val="22"/>
        </w:rPr>
        <w:t xml:space="preserve">y se comprometan en </w:t>
      </w:r>
      <w:r w:rsidR="003A58EF" w:rsidRPr="000E63CD">
        <w:rPr>
          <w:sz w:val="22"/>
          <w:szCs w:val="22"/>
        </w:rPr>
        <w:t xml:space="preserve">las cantidades a contratar </w:t>
      </w:r>
      <w:r w:rsidR="008A7BA4">
        <w:rPr>
          <w:sz w:val="22"/>
          <w:szCs w:val="22"/>
        </w:rPr>
        <w:t>de tipo firme o con garantía de firmeza</w:t>
      </w:r>
      <w:r w:rsidR="003A58EF" w:rsidRPr="000E63CD">
        <w:rPr>
          <w:sz w:val="22"/>
          <w:szCs w:val="22"/>
        </w:rPr>
        <w:t>.</w:t>
      </w:r>
      <w:r w:rsidR="00B2594D" w:rsidRPr="000E63CD">
        <w:rPr>
          <w:sz w:val="22"/>
          <w:szCs w:val="22"/>
        </w:rPr>
        <w:t xml:space="preserve"> </w:t>
      </w:r>
      <w:r w:rsidR="00467AD4" w:rsidRPr="000E63CD">
        <w:rPr>
          <w:sz w:val="22"/>
          <w:szCs w:val="22"/>
        </w:rPr>
        <w:t>E</w:t>
      </w:r>
      <w:r w:rsidR="00332A42" w:rsidRPr="000E63CD">
        <w:rPr>
          <w:sz w:val="22"/>
          <w:szCs w:val="22"/>
        </w:rPr>
        <w:t xml:space="preserve">l resumen </w:t>
      </w:r>
      <w:r w:rsidR="00246721" w:rsidRPr="000E63CD">
        <w:rPr>
          <w:sz w:val="22"/>
          <w:szCs w:val="22"/>
        </w:rPr>
        <w:t xml:space="preserve">del procedimiento propuesto </w:t>
      </w:r>
      <w:r w:rsidR="00332A42" w:rsidRPr="000E63CD">
        <w:rPr>
          <w:sz w:val="22"/>
          <w:szCs w:val="22"/>
        </w:rPr>
        <w:t>es el siguiente:</w:t>
      </w:r>
      <w:r w:rsidR="00467AD4" w:rsidRPr="000E63CD">
        <w:rPr>
          <w:sz w:val="22"/>
          <w:szCs w:val="22"/>
        </w:rPr>
        <w:t xml:space="preserve"> </w:t>
      </w:r>
    </w:p>
    <w:p w14:paraId="47E16A92" w14:textId="77777777" w:rsidR="009F0605" w:rsidRPr="000E63CD" w:rsidRDefault="009F0605" w:rsidP="003A58EF">
      <w:pPr>
        <w:rPr>
          <w:sz w:val="22"/>
          <w:szCs w:val="22"/>
        </w:rPr>
      </w:pPr>
    </w:p>
    <w:p w14:paraId="10DFA751" w14:textId="216987EB" w:rsidR="009F0605" w:rsidRPr="000E63CD" w:rsidRDefault="00246721">
      <w:pPr>
        <w:pStyle w:val="Prrafodelista"/>
        <w:numPr>
          <w:ilvl w:val="0"/>
          <w:numId w:val="9"/>
        </w:numPr>
        <w:ind w:left="426" w:hanging="426"/>
        <w:rPr>
          <w:sz w:val="22"/>
          <w:szCs w:val="22"/>
        </w:rPr>
      </w:pPr>
      <w:r w:rsidRPr="000E63CD">
        <w:rPr>
          <w:sz w:val="22"/>
          <w:szCs w:val="22"/>
        </w:rPr>
        <w:t>Lo</w:t>
      </w:r>
      <w:r w:rsidR="00467AD4" w:rsidRPr="000E63CD">
        <w:rPr>
          <w:sz w:val="22"/>
          <w:szCs w:val="22"/>
        </w:rPr>
        <w:t xml:space="preserve">s </w:t>
      </w:r>
      <w:r w:rsidR="00AC32B5">
        <w:rPr>
          <w:sz w:val="22"/>
          <w:szCs w:val="22"/>
        </w:rPr>
        <w:t>Vendedores</w:t>
      </w:r>
      <w:r w:rsidR="00467AD4" w:rsidRPr="000E63CD">
        <w:rPr>
          <w:sz w:val="22"/>
          <w:szCs w:val="22"/>
        </w:rPr>
        <w:t xml:space="preserve"> declaran al </w:t>
      </w:r>
      <w:r w:rsidR="005114C6">
        <w:rPr>
          <w:sz w:val="22"/>
          <w:szCs w:val="22"/>
        </w:rPr>
        <w:t>Gestor del Mercado</w:t>
      </w:r>
      <w:r w:rsidR="004C4F1E">
        <w:rPr>
          <w:sz w:val="22"/>
          <w:szCs w:val="22"/>
        </w:rPr>
        <w:t xml:space="preserve"> de Gas</w:t>
      </w:r>
      <w:r w:rsidR="00467AD4" w:rsidRPr="000E63CD">
        <w:rPr>
          <w:sz w:val="22"/>
          <w:szCs w:val="22"/>
        </w:rPr>
        <w:t xml:space="preserve"> la PTDVF y/o CIDVF de </w:t>
      </w:r>
      <w:r w:rsidR="00F8533C" w:rsidRPr="000E63CD">
        <w:rPr>
          <w:sz w:val="22"/>
          <w:szCs w:val="22"/>
        </w:rPr>
        <w:t xml:space="preserve">cada una de </w:t>
      </w:r>
      <w:r w:rsidR="00467AD4" w:rsidRPr="000E63CD">
        <w:rPr>
          <w:sz w:val="22"/>
          <w:szCs w:val="22"/>
        </w:rPr>
        <w:t>sus fuentes de suministro</w:t>
      </w:r>
      <w:r w:rsidR="00974A60" w:rsidRPr="000E63CD">
        <w:rPr>
          <w:sz w:val="22"/>
          <w:szCs w:val="22"/>
        </w:rPr>
        <w:t xml:space="preserve"> con</w:t>
      </w:r>
      <w:r w:rsidR="00F8533C" w:rsidRPr="000E63CD">
        <w:rPr>
          <w:sz w:val="22"/>
          <w:szCs w:val="22"/>
        </w:rPr>
        <w:t>,</w:t>
      </w:r>
      <w:r w:rsidR="00974A60" w:rsidRPr="000E63CD">
        <w:rPr>
          <w:sz w:val="22"/>
          <w:szCs w:val="22"/>
        </w:rPr>
        <w:t xml:space="preserve"> como mínimo</w:t>
      </w:r>
      <w:r w:rsidR="00F8533C" w:rsidRPr="000E63CD">
        <w:rPr>
          <w:sz w:val="22"/>
          <w:szCs w:val="22"/>
        </w:rPr>
        <w:t>,</w:t>
      </w:r>
      <w:r w:rsidR="00974A60" w:rsidRPr="000E63CD">
        <w:rPr>
          <w:sz w:val="22"/>
          <w:szCs w:val="22"/>
        </w:rPr>
        <w:t xml:space="preserve"> </w:t>
      </w:r>
      <w:r w:rsidR="00351C1C">
        <w:rPr>
          <w:sz w:val="22"/>
          <w:szCs w:val="22"/>
        </w:rPr>
        <w:t xml:space="preserve">con </w:t>
      </w:r>
      <w:r w:rsidR="00974A60" w:rsidRPr="000E63CD">
        <w:rPr>
          <w:sz w:val="22"/>
          <w:szCs w:val="22"/>
        </w:rPr>
        <w:t>información de los siguientes veinte (20) trimestres estándar</w:t>
      </w:r>
      <w:r w:rsidR="00A53148" w:rsidRPr="000E63CD">
        <w:rPr>
          <w:sz w:val="22"/>
          <w:szCs w:val="22"/>
        </w:rPr>
        <w:t xml:space="preserve">, pudiendo declarar </w:t>
      </w:r>
      <w:r w:rsidR="001F5D1F" w:rsidRPr="000E63CD">
        <w:rPr>
          <w:sz w:val="22"/>
          <w:szCs w:val="22"/>
        </w:rPr>
        <w:t>hasta los siguientes trimestres estánda</w:t>
      </w:r>
      <w:r w:rsidR="00DD48F0">
        <w:rPr>
          <w:sz w:val="22"/>
          <w:szCs w:val="22"/>
        </w:rPr>
        <w:t>r que permitan incluir la declaración de producción establecida por el Ministerio de Minas y Energía, que hoy en día requiere 10 años de horizonte (40 trimestres)</w:t>
      </w:r>
      <w:r w:rsidR="00E759E3" w:rsidRPr="000E63CD">
        <w:rPr>
          <w:sz w:val="22"/>
          <w:szCs w:val="22"/>
        </w:rPr>
        <w:t>.</w:t>
      </w:r>
      <w:r w:rsidR="008362CC" w:rsidRPr="000E63CD">
        <w:rPr>
          <w:sz w:val="22"/>
          <w:szCs w:val="22"/>
        </w:rPr>
        <w:t xml:space="preserve"> </w:t>
      </w:r>
    </w:p>
    <w:p w14:paraId="2E3D9E99" w14:textId="77777777" w:rsidR="009F0605" w:rsidRPr="000E63CD" w:rsidRDefault="009F0605" w:rsidP="00E759E3">
      <w:pPr>
        <w:pStyle w:val="Prrafodelista"/>
        <w:ind w:left="426" w:hanging="426"/>
        <w:rPr>
          <w:sz w:val="22"/>
          <w:szCs w:val="22"/>
        </w:rPr>
      </w:pPr>
    </w:p>
    <w:p w14:paraId="319A765F" w14:textId="61D811DF" w:rsidR="009F0605" w:rsidRPr="000E63CD" w:rsidRDefault="00246721">
      <w:pPr>
        <w:pStyle w:val="Prrafodelista"/>
        <w:numPr>
          <w:ilvl w:val="0"/>
          <w:numId w:val="9"/>
        </w:numPr>
        <w:ind w:left="426" w:hanging="426"/>
        <w:rPr>
          <w:sz w:val="22"/>
          <w:szCs w:val="22"/>
        </w:rPr>
      </w:pPr>
      <w:r w:rsidRPr="000E63CD">
        <w:rPr>
          <w:sz w:val="22"/>
          <w:szCs w:val="22"/>
        </w:rPr>
        <w:t>C</w:t>
      </w:r>
      <w:r w:rsidR="008362CC" w:rsidRPr="000E63CD">
        <w:rPr>
          <w:sz w:val="22"/>
          <w:szCs w:val="22"/>
        </w:rPr>
        <w:t xml:space="preserve">on base en lo anterior, </w:t>
      </w:r>
      <w:r w:rsidR="00467AD4" w:rsidRPr="000E63CD">
        <w:rPr>
          <w:sz w:val="22"/>
          <w:szCs w:val="22"/>
        </w:rPr>
        <w:t xml:space="preserve">el </w:t>
      </w:r>
      <w:r w:rsidR="005114C6">
        <w:rPr>
          <w:sz w:val="22"/>
          <w:szCs w:val="22"/>
        </w:rPr>
        <w:t>Gestor del Mercado</w:t>
      </w:r>
      <w:r w:rsidR="004C4F1E">
        <w:rPr>
          <w:sz w:val="22"/>
          <w:szCs w:val="22"/>
        </w:rPr>
        <w:t xml:space="preserve"> de Gas</w:t>
      </w:r>
      <w:r w:rsidR="00467AD4" w:rsidRPr="000E63CD">
        <w:rPr>
          <w:sz w:val="22"/>
          <w:szCs w:val="22"/>
        </w:rPr>
        <w:t xml:space="preserve"> </w:t>
      </w:r>
      <w:r w:rsidR="000E02AD" w:rsidRPr="000E63CD">
        <w:rPr>
          <w:sz w:val="22"/>
          <w:szCs w:val="22"/>
        </w:rPr>
        <w:t xml:space="preserve">agrega </w:t>
      </w:r>
      <w:r w:rsidR="008362CC" w:rsidRPr="000E63CD">
        <w:rPr>
          <w:sz w:val="22"/>
          <w:szCs w:val="22"/>
        </w:rPr>
        <w:t xml:space="preserve">para cada </w:t>
      </w:r>
      <w:r w:rsidR="00E01D52" w:rsidRPr="000E63CD">
        <w:rPr>
          <w:sz w:val="22"/>
          <w:szCs w:val="22"/>
        </w:rPr>
        <w:t xml:space="preserve">uno de los </w:t>
      </w:r>
      <w:r w:rsidR="008362CC" w:rsidRPr="000E63CD">
        <w:rPr>
          <w:sz w:val="22"/>
          <w:szCs w:val="22"/>
        </w:rPr>
        <w:t>punto</w:t>
      </w:r>
      <w:r w:rsidR="00A956AE" w:rsidRPr="000E63CD">
        <w:rPr>
          <w:sz w:val="22"/>
          <w:szCs w:val="22"/>
        </w:rPr>
        <w:t>s</w:t>
      </w:r>
      <w:r w:rsidR="008362CC" w:rsidRPr="000E63CD">
        <w:rPr>
          <w:sz w:val="22"/>
          <w:szCs w:val="22"/>
        </w:rPr>
        <w:t xml:space="preserve"> de referencia</w:t>
      </w:r>
      <w:r w:rsidR="00A956AE" w:rsidRPr="000E63CD">
        <w:rPr>
          <w:sz w:val="22"/>
          <w:szCs w:val="22"/>
        </w:rPr>
        <w:t xml:space="preserve"> obtenidos</w:t>
      </w:r>
      <w:r w:rsidR="00E01D52" w:rsidRPr="000E63CD">
        <w:rPr>
          <w:sz w:val="22"/>
          <w:szCs w:val="22"/>
        </w:rPr>
        <w:t>,</w:t>
      </w:r>
      <w:r w:rsidR="008362CC" w:rsidRPr="000E63CD">
        <w:rPr>
          <w:sz w:val="22"/>
          <w:szCs w:val="22"/>
        </w:rPr>
        <w:t xml:space="preserve"> las cantidades totales de PTDVF y/o CIDVF </w:t>
      </w:r>
      <w:r w:rsidR="00E01D52" w:rsidRPr="000E63CD">
        <w:rPr>
          <w:sz w:val="22"/>
          <w:szCs w:val="22"/>
        </w:rPr>
        <w:t>declaradas</w:t>
      </w:r>
      <w:r w:rsidR="00E759E3" w:rsidRPr="000E63CD">
        <w:rPr>
          <w:sz w:val="22"/>
          <w:szCs w:val="22"/>
        </w:rPr>
        <w:t>.</w:t>
      </w:r>
      <w:r w:rsidR="00742914" w:rsidRPr="000E63CD">
        <w:rPr>
          <w:sz w:val="22"/>
          <w:szCs w:val="22"/>
        </w:rPr>
        <w:t xml:space="preserve"> </w:t>
      </w:r>
    </w:p>
    <w:p w14:paraId="0DBBE5F8" w14:textId="77777777" w:rsidR="009F0605" w:rsidRPr="000E63CD" w:rsidRDefault="009F0605" w:rsidP="00E759E3">
      <w:pPr>
        <w:pStyle w:val="Prrafodelista"/>
        <w:ind w:left="426" w:hanging="426"/>
        <w:rPr>
          <w:sz w:val="22"/>
          <w:szCs w:val="22"/>
        </w:rPr>
      </w:pPr>
    </w:p>
    <w:p w14:paraId="72E16E98" w14:textId="216627AA" w:rsidR="009F0605" w:rsidRPr="000E63CD" w:rsidRDefault="00E01D52">
      <w:pPr>
        <w:pStyle w:val="Prrafodelista"/>
        <w:numPr>
          <w:ilvl w:val="0"/>
          <w:numId w:val="9"/>
        </w:numPr>
        <w:ind w:left="426" w:hanging="426"/>
        <w:rPr>
          <w:sz w:val="22"/>
          <w:szCs w:val="22"/>
        </w:rPr>
      </w:pPr>
      <w:r w:rsidRPr="000E63CD">
        <w:rPr>
          <w:sz w:val="22"/>
          <w:szCs w:val="22"/>
        </w:rPr>
        <w:t>A partir de lo anterior</w:t>
      </w:r>
      <w:r w:rsidR="001E35D1" w:rsidRPr="000E63CD">
        <w:rPr>
          <w:sz w:val="22"/>
          <w:szCs w:val="22"/>
        </w:rPr>
        <w:t>,</w:t>
      </w:r>
      <w:r w:rsidR="008362CC" w:rsidRPr="000E63CD">
        <w:rPr>
          <w:sz w:val="22"/>
          <w:szCs w:val="22"/>
        </w:rPr>
        <w:t xml:space="preserve"> </w:t>
      </w:r>
      <w:r w:rsidR="001C01B0" w:rsidRPr="000E63CD">
        <w:rPr>
          <w:sz w:val="22"/>
          <w:szCs w:val="22"/>
        </w:rPr>
        <w:t xml:space="preserve">los </w:t>
      </w:r>
      <w:r w:rsidR="00AC32B5">
        <w:rPr>
          <w:sz w:val="22"/>
          <w:szCs w:val="22"/>
        </w:rPr>
        <w:t>Compradores</w:t>
      </w:r>
      <w:r w:rsidR="001C01B0" w:rsidRPr="000E63CD">
        <w:rPr>
          <w:sz w:val="22"/>
          <w:szCs w:val="22"/>
        </w:rPr>
        <w:t xml:space="preserve"> </w:t>
      </w:r>
      <w:r w:rsidR="00974A60" w:rsidRPr="000E63CD">
        <w:rPr>
          <w:sz w:val="22"/>
          <w:szCs w:val="22"/>
        </w:rPr>
        <w:t xml:space="preserve">reportarán al </w:t>
      </w:r>
      <w:r w:rsidR="005114C6">
        <w:rPr>
          <w:sz w:val="22"/>
          <w:szCs w:val="22"/>
        </w:rPr>
        <w:t>Gestor del Mercado</w:t>
      </w:r>
      <w:r w:rsidR="004C4F1E">
        <w:rPr>
          <w:sz w:val="22"/>
          <w:szCs w:val="22"/>
        </w:rPr>
        <w:t xml:space="preserve"> de Gas</w:t>
      </w:r>
      <w:r w:rsidR="00974A60" w:rsidRPr="000E63CD">
        <w:rPr>
          <w:sz w:val="22"/>
          <w:szCs w:val="22"/>
        </w:rPr>
        <w:t xml:space="preserve"> las cantidades de suministro que inicialmente consideran contratar para esos mismos períodos trimestrales</w:t>
      </w:r>
      <w:r w:rsidR="001F5D1F" w:rsidRPr="000E63CD">
        <w:rPr>
          <w:sz w:val="22"/>
          <w:szCs w:val="22"/>
        </w:rPr>
        <w:t xml:space="preserve">, como mínimo </w:t>
      </w:r>
      <w:r w:rsidR="008C5054" w:rsidRPr="000E63CD">
        <w:rPr>
          <w:sz w:val="22"/>
          <w:szCs w:val="22"/>
        </w:rPr>
        <w:t>para</w:t>
      </w:r>
      <w:r w:rsidR="001F5D1F" w:rsidRPr="000E63CD">
        <w:rPr>
          <w:sz w:val="22"/>
          <w:szCs w:val="22"/>
        </w:rPr>
        <w:t xml:space="preserve"> los primeros veinte (20)</w:t>
      </w:r>
      <w:r w:rsidR="00332A42" w:rsidRPr="000E63CD">
        <w:rPr>
          <w:sz w:val="22"/>
          <w:szCs w:val="22"/>
        </w:rPr>
        <w:t xml:space="preserve"> </w:t>
      </w:r>
      <w:r w:rsidR="008C5054" w:rsidRPr="000E63CD">
        <w:rPr>
          <w:sz w:val="22"/>
          <w:szCs w:val="22"/>
        </w:rPr>
        <w:t xml:space="preserve">trimestres estándar </w:t>
      </w:r>
      <w:r w:rsidR="00332A42" w:rsidRPr="000E63CD">
        <w:rPr>
          <w:sz w:val="22"/>
          <w:szCs w:val="22"/>
        </w:rPr>
        <w:t>y para cada punto de referencia</w:t>
      </w:r>
      <w:r w:rsidRPr="000E63CD">
        <w:rPr>
          <w:sz w:val="22"/>
          <w:szCs w:val="22"/>
        </w:rPr>
        <w:t xml:space="preserve">, tanto para atender </w:t>
      </w:r>
      <w:r w:rsidR="00E8014D" w:rsidRPr="000E63CD">
        <w:rPr>
          <w:sz w:val="22"/>
          <w:szCs w:val="22"/>
        </w:rPr>
        <w:t>Demanda Esencial</w:t>
      </w:r>
      <w:r w:rsidRPr="000E63CD">
        <w:rPr>
          <w:sz w:val="22"/>
          <w:szCs w:val="22"/>
        </w:rPr>
        <w:t xml:space="preserve"> como para la demás demanda</w:t>
      </w:r>
      <w:r w:rsidR="00351C1C">
        <w:rPr>
          <w:sz w:val="22"/>
          <w:szCs w:val="22"/>
        </w:rPr>
        <w:t xml:space="preserve"> que requieran contratar con garantía de firmeza para sus mercados de comercialización</w:t>
      </w:r>
      <w:r w:rsidR="00A956AE" w:rsidRPr="000E63CD">
        <w:rPr>
          <w:sz w:val="22"/>
          <w:szCs w:val="22"/>
        </w:rPr>
        <w:t>.</w:t>
      </w:r>
      <w:r w:rsidR="00742914" w:rsidRPr="000E63CD">
        <w:rPr>
          <w:sz w:val="22"/>
          <w:szCs w:val="22"/>
        </w:rPr>
        <w:t xml:space="preserve"> Es de tener en cuenta que las cantidades se infor</w:t>
      </w:r>
      <w:r w:rsidR="00FB7607" w:rsidRPr="000E63CD">
        <w:rPr>
          <w:sz w:val="22"/>
          <w:szCs w:val="22"/>
        </w:rPr>
        <w:t>ma</w:t>
      </w:r>
      <w:r w:rsidR="00742914" w:rsidRPr="000E63CD">
        <w:rPr>
          <w:sz w:val="22"/>
          <w:szCs w:val="22"/>
        </w:rPr>
        <w:t>n por tipo de usuario</w:t>
      </w:r>
      <w:r w:rsidR="00FB7607" w:rsidRPr="000E63CD">
        <w:rPr>
          <w:sz w:val="22"/>
          <w:szCs w:val="22"/>
        </w:rPr>
        <w:t xml:space="preserve">, y que en el caso de la demanda regulada contenida en la </w:t>
      </w:r>
      <w:r w:rsidR="00E8014D" w:rsidRPr="000E63CD">
        <w:rPr>
          <w:sz w:val="22"/>
          <w:szCs w:val="22"/>
        </w:rPr>
        <w:t>Demanda Esencial</w:t>
      </w:r>
      <w:r w:rsidR="00FB7607" w:rsidRPr="000E63CD">
        <w:rPr>
          <w:sz w:val="22"/>
          <w:szCs w:val="22"/>
        </w:rPr>
        <w:t xml:space="preserve"> que se atiende</w:t>
      </w:r>
      <w:r w:rsidR="00351C1C">
        <w:rPr>
          <w:sz w:val="22"/>
          <w:szCs w:val="22"/>
        </w:rPr>
        <w:t xml:space="preserve"> de usuarios regulados</w:t>
      </w:r>
      <w:r w:rsidR="00FB7607" w:rsidRPr="000E63CD">
        <w:rPr>
          <w:sz w:val="22"/>
          <w:szCs w:val="22"/>
        </w:rPr>
        <w:t xml:space="preserve">, las cantidades </w:t>
      </w:r>
      <w:r w:rsidR="00F66674" w:rsidRPr="000E63CD">
        <w:rPr>
          <w:sz w:val="22"/>
          <w:szCs w:val="22"/>
        </w:rPr>
        <w:t xml:space="preserve">informadas </w:t>
      </w:r>
      <w:r w:rsidR="00FB7607" w:rsidRPr="000E63CD">
        <w:rPr>
          <w:sz w:val="22"/>
          <w:szCs w:val="22"/>
        </w:rPr>
        <w:t>no tiene segunda instancia</w:t>
      </w:r>
      <w:r w:rsidR="00351C1C">
        <w:rPr>
          <w:sz w:val="22"/>
          <w:szCs w:val="22"/>
        </w:rPr>
        <w:t xml:space="preserve"> de modificación</w:t>
      </w:r>
      <w:r w:rsidR="00E759E3" w:rsidRPr="000E63CD">
        <w:rPr>
          <w:sz w:val="22"/>
          <w:szCs w:val="22"/>
        </w:rPr>
        <w:t>.</w:t>
      </w:r>
      <w:r w:rsidR="003F55F5" w:rsidRPr="000E63CD">
        <w:rPr>
          <w:sz w:val="22"/>
          <w:szCs w:val="22"/>
        </w:rPr>
        <w:t xml:space="preserve"> </w:t>
      </w:r>
    </w:p>
    <w:p w14:paraId="4D5CC42A" w14:textId="77777777" w:rsidR="009F0605" w:rsidRPr="000E63CD" w:rsidRDefault="009F0605" w:rsidP="00E759E3">
      <w:pPr>
        <w:pStyle w:val="Prrafodelista"/>
        <w:ind w:left="426" w:hanging="426"/>
        <w:rPr>
          <w:sz w:val="22"/>
          <w:szCs w:val="22"/>
        </w:rPr>
      </w:pPr>
    </w:p>
    <w:p w14:paraId="292F24B5" w14:textId="5FCCE587" w:rsidR="003A58EF" w:rsidRPr="000E63CD" w:rsidRDefault="003F55F5">
      <w:pPr>
        <w:pStyle w:val="Prrafodelista"/>
        <w:numPr>
          <w:ilvl w:val="0"/>
          <w:numId w:val="9"/>
        </w:numPr>
        <w:ind w:left="426" w:hanging="426"/>
        <w:rPr>
          <w:sz w:val="22"/>
          <w:szCs w:val="22"/>
        </w:rPr>
      </w:pPr>
      <w:r w:rsidRPr="000E63CD">
        <w:rPr>
          <w:sz w:val="22"/>
          <w:szCs w:val="22"/>
        </w:rPr>
        <w:t>Con base en la información recib</w:t>
      </w:r>
      <w:r w:rsidR="001F5D1F" w:rsidRPr="000E63CD">
        <w:rPr>
          <w:sz w:val="22"/>
          <w:szCs w:val="22"/>
        </w:rPr>
        <w:t>i</w:t>
      </w:r>
      <w:r w:rsidRPr="000E63CD">
        <w:rPr>
          <w:sz w:val="22"/>
          <w:szCs w:val="22"/>
        </w:rPr>
        <w:t xml:space="preserve">da de los </w:t>
      </w:r>
      <w:r w:rsidR="00AC32B5">
        <w:rPr>
          <w:sz w:val="22"/>
          <w:szCs w:val="22"/>
        </w:rPr>
        <w:t>Vendedores</w:t>
      </w:r>
      <w:r w:rsidR="00795652" w:rsidRPr="000E63CD">
        <w:rPr>
          <w:sz w:val="22"/>
          <w:szCs w:val="22"/>
        </w:rPr>
        <w:t xml:space="preserve"> y de los </w:t>
      </w:r>
      <w:r w:rsidR="00AC32B5">
        <w:rPr>
          <w:sz w:val="22"/>
          <w:szCs w:val="22"/>
        </w:rPr>
        <w:t>Compradores</w:t>
      </w:r>
      <w:r w:rsidRPr="000E63CD">
        <w:rPr>
          <w:sz w:val="22"/>
          <w:szCs w:val="22"/>
        </w:rPr>
        <w:t xml:space="preserve">, el </w:t>
      </w:r>
      <w:r w:rsidR="005114C6">
        <w:rPr>
          <w:sz w:val="22"/>
          <w:szCs w:val="22"/>
        </w:rPr>
        <w:t>Gestor del Mercado</w:t>
      </w:r>
      <w:r w:rsidR="004C4F1E">
        <w:rPr>
          <w:sz w:val="22"/>
          <w:szCs w:val="22"/>
        </w:rPr>
        <w:t xml:space="preserve"> de Gas</w:t>
      </w:r>
      <w:r w:rsidR="00F30402" w:rsidRPr="000E63CD">
        <w:rPr>
          <w:sz w:val="22"/>
          <w:szCs w:val="22"/>
        </w:rPr>
        <w:t xml:space="preserve"> publicará para cada punto de referencia y para cada trimestre estándar </w:t>
      </w:r>
      <w:r w:rsidR="003C1786" w:rsidRPr="000E63CD">
        <w:rPr>
          <w:sz w:val="22"/>
          <w:szCs w:val="22"/>
        </w:rPr>
        <w:t xml:space="preserve">de los siguientes cuarenta </w:t>
      </w:r>
      <w:r w:rsidR="00F66674" w:rsidRPr="000E63CD">
        <w:rPr>
          <w:sz w:val="22"/>
          <w:szCs w:val="22"/>
        </w:rPr>
        <w:t xml:space="preserve">(40) </w:t>
      </w:r>
      <w:r w:rsidR="003C1786" w:rsidRPr="000E63CD">
        <w:rPr>
          <w:sz w:val="22"/>
          <w:szCs w:val="22"/>
        </w:rPr>
        <w:t>trimestres estándar al trimestre de negociación</w:t>
      </w:r>
      <w:r w:rsidR="00F66674" w:rsidRPr="000E63CD">
        <w:rPr>
          <w:sz w:val="22"/>
          <w:szCs w:val="22"/>
        </w:rPr>
        <w:t xml:space="preserve"> la información recibida de los </w:t>
      </w:r>
      <w:r w:rsidR="00AC32B5">
        <w:rPr>
          <w:sz w:val="22"/>
          <w:szCs w:val="22"/>
        </w:rPr>
        <w:t>Vendedores</w:t>
      </w:r>
      <w:r w:rsidR="00F66674" w:rsidRPr="000E63CD">
        <w:rPr>
          <w:sz w:val="22"/>
          <w:szCs w:val="22"/>
        </w:rPr>
        <w:t xml:space="preserve"> y de los </w:t>
      </w:r>
      <w:r w:rsidR="00AC32B5">
        <w:rPr>
          <w:sz w:val="22"/>
          <w:szCs w:val="22"/>
        </w:rPr>
        <w:t>Compradores</w:t>
      </w:r>
      <w:r w:rsidR="00B41AF1" w:rsidRPr="000E63CD">
        <w:rPr>
          <w:sz w:val="22"/>
          <w:szCs w:val="22"/>
        </w:rPr>
        <w:t>.</w:t>
      </w:r>
    </w:p>
    <w:p w14:paraId="17D152B6" w14:textId="77777777" w:rsidR="00B41AF1" w:rsidRPr="000E63CD" w:rsidRDefault="00B41AF1" w:rsidP="00B41AF1">
      <w:pPr>
        <w:pStyle w:val="Prrafodelista"/>
        <w:rPr>
          <w:sz w:val="22"/>
          <w:szCs w:val="22"/>
        </w:rPr>
      </w:pPr>
    </w:p>
    <w:p w14:paraId="78F7D8E0" w14:textId="7593E416" w:rsidR="00660367" w:rsidRPr="000E63CD" w:rsidRDefault="00B41AF1">
      <w:pPr>
        <w:pStyle w:val="Prrafodelista"/>
        <w:numPr>
          <w:ilvl w:val="0"/>
          <w:numId w:val="9"/>
        </w:numPr>
        <w:ind w:left="426" w:hanging="426"/>
        <w:rPr>
          <w:sz w:val="22"/>
          <w:szCs w:val="22"/>
        </w:rPr>
      </w:pPr>
      <w:r w:rsidRPr="000E63CD">
        <w:rPr>
          <w:sz w:val="22"/>
          <w:szCs w:val="22"/>
        </w:rPr>
        <w:t>Como segunda</w:t>
      </w:r>
      <w:r w:rsidR="00706D88">
        <w:rPr>
          <w:sz w:val="22"/>
          <w:szCs w:val="22"/>
        </w:rPr>
        <w:t xml:space="preserve"> ronda (segunda</w:t>
      </w:r>
      <w:r w:rsidRPr="000E63CD">
        <w:rPr>
          <w:sz w:val="22"/>
          <w:szCs w:val="22"/>
        </w:rPr>
        <w:t xml:space="preserve"> instancia</w:t>
      </w:r>
      <w:r w:rsidR="00706D88">
        <w:rPr>
          <w:sz w:val="22"/>
          <w:szCs w:val="22"/>
        </w:rPr>
        <w:t>)</w:t>
      </w:r>
      <w:r w:rsidRPr="000E63CD">
        <w:rPr>
          <w:sz w:val="22"/>
          <w:szCs w:val="22"/>
        </w:rPr>
        <w:t xml:space="preserve"> para los </w:t>
      </w:r>
      <w:r w:rsidR="00AC32B5">
        <w:rPr>
          <w:sz w:val="22"/>
          <w:szCs w:val="22"/>
        </w:rPr>
        <w:t>Compradores</w:t>
      </w:r>
      <w:r w:rsidR="00B03D1A" w:rsidRPr="000E63CD">
        <w:rPr>
          <w:sz w:val="22"/>
          <w:szCs w:val="22"/>
        </w:rPr>
        <w:t xml:space="preserve"> interesados</w:t>
      </w:r>
      <w:r w:rsidRPr="000E63CD">
        <w:rPr>
          <w:sz w:val="22"/>
          <w:szCs w:val="22"/>
        </w:rPr>
        <w:t xml:space="preserve">, una vez conocida la publicación del </w:t>
      </w:r>
      <w:r w:rsidR="005114C6">
        <w:rPr>
          <w:sz w:val="22"/>
          <w:szCs w:val="22"/>
        </w:rPr>
        <w:t>Gestor del Mercado</w:t>
      </w:r>
      <w:r w:rsidR="004C4F1E">
        <w:rPr>
          <w:sz w:val="22"/>
          <w:szCs w:val="22"/>
        </w:rPr>
        <w:t xml:space="preserve"> de Gas</w:t>
      </w:r>
      <w:r w:rsidRPr="000E63CD">
        <w:rPr>
          <w:sz w:val="22"/>
          <w:szCs w:val="22"/>
        </w:rPr>
        <w:t xml:space="preserve"> mencionada, </w:t>
      </w:r>
      <w:r w:rsidR="00B03D1A" w:rsidRPr="000E63CD">
        <w:rPr>
          <w:sz w:val="22"/>
          <w:szCs w:val="22"/>
        </w:rPr>
        <w:t xml:space="preserve">los </w:t>
      </w:r>
      <w:r w:rsidR="00AC32B5">
        <w:rPr>
          <w:sz w:val="22"/>
          <w:szCs w:val="22"/>
        </w:rPr>
        <w:t>Compradores</w:t>
      </w:r>
      <w:r w:rsidR="00B03D1A" w:rsidRPr="000E63CD">
        <w:rPr>
          <w:sz w:val="22"/>
          <w:szCs w:val="22"/>
        </w:rPr>
        <w:t xml:space="preserve"> interesados podrán modificar las cantidades de suministro que están dispuestos a contratar</w:t>
      </w:r>
      <w:r w:rsidR="00CF79AB" w:rsidRPr="000E63CD">
        <w:rPr>
          <w:sz w:val="22"/>
          <w:szCs w:val="22"/>
        </w:rPr>
        <w:t xml:space="preserve"> </w:t>
      </w:r>
      <w:r w:rsidR="008A7BA4">
        <w:rPr>
          <w:sz w:val="22"/>
          <w:szCs w:val="22"/>
        </w:rPr>
        <w:t>de tipo firme o con garantía de firmeza</w:t>
      </w:r>
      <w:r w:rsidR="00CF79AB" w:rsidRPr="000E63CD">
        <w:rPr>
          <w:sz w:val="22"/>
          <w:szCs w:val="22"/>
        </w:rPr>
        <w:t xml:space="preserve">, </w:t>
      </w:r>
      <w:r w:rsidR="00A31A3C" w:rsidRPr="000E63CD">
        <w:rPr>
          <w:sz w:val="22"/>
          <w:szCs w:val="22"/>
        </w:rPr>
        <w:t>aunque ello no se</w:t>
      </w:r>
      <w:r w:rsidR="008A1708" w:rsidRPr="000E63CD">
        <w:rPr>
          <w:sz w:val="22"/>
          <w:szCs w:val="22"/>
        </w:rPr>
        <w:t>rá posible</w:t>
      </w:r>
      <w:r w:rsidR="00A31A3C" w:rsidRPr="000E63CD">
        <w:rPr>
          <w:sz w:val="22"/>
          <w:szCs w:val="22"/>
        </w:rPr>
        <w:t xml:space="preserve"> en el caso de cantidades para atender la demanda regulada que es parte de la </w:t>
      </w:r>
      <w:r w:rsidR="00E8014D" w:rsidRPr="000E63CD">
        <w:rPr>
          <w:sz w:val="22"/>
          <w:szCs w:val="22"/>
        </w:rPr>
        <w:t>Demanda Esencial</w:t>
      </w:r>
      <w:r w:rsidR="00706D88">
        <w:rPr>
          <w:sz w:val="22"/>
          <w:szCs w:val="22"/>
        </w:rPr>
        <w:t xml:space="preserve"> (</w:t>
      </w:r>
      <w:r w:rsidR="00706D88" w:rsidRPr="00E24BFC">
        <w:rPr>
          <w:sz w:val="22"/>
          <w:szCs w:val="22"/>
        </w:rPr>
        <w:t>residencial y pequeños usuar</w:t>
      </w:r>
      <w:r w:rsidR="00706D88" w:rsidRPr="004E4B88">
        <w:rPr>
          <w:sz w:val="22"/>
          <w:szCs w:val="22"/>
        </w:rPr>
        <w:t>ios come</w:t>
      </w:r>
      <w:r w:rsidR="00706D88" w:rsidRPr="0018548C">
        <w:rPr>
          <w:sz w:val="22"/>
          <w:szCs w:val="22"/>
        </w:rPr>
        <w:t xml:space="preserve">rciales inmersos en la red de </w:t>
      </w:r>
      <w:r w:rsidR="00706D88" w:rsidRPr="00BF5497">
        <w:rPr>
          <w:sz w:val="22"/>
          <w:szCs w:val="22"/>
        </w:rPr>
        <w:t>distribución</w:t>
      </w:r>
      <w:r w:rsidR="00706D88" w:rsidRPr="00E24BFC">
        <w:rPr>
          <w:sz w:val="22"/>
          <w:szCs w:val="22"/>
        </w:rPr>
        <w:t>)</w:t>
      </w:r>
      <w:r w:rsidR="00A31A3C" w:rsidRPr="000E63CD">
        <w:rPr>
          <w:sz w:val="22"/>
          <w:szCs w:val="22"/>
        </w:rPr>
        <w:t>.</w:t>
      </w:r>
      <w:r w:rsidR="00CF79AB" w:rsidRPr="000E63CD">
        <w:rPr>
          <w:sz w:val="22"/>
          <w:szCs w:val="22"/>
        </w:rPr>
        <w:t xml:space="preserve"> </w:t>
      </w:r>
      <w:r w:rsidR="00F51628" w:rsidRPr="000E63CD">
        <w:rPr>
          <w:sz w:val="22"/>
          <w:szCs w:val="22"/>
        </w:rPr>
        <w:t>Estas cantidades</w:t>
      </w:r>
      <w:r w:rsidR="008A1708" w:rsidRPr="000E63CD">
        <w:rPr>
          <w:sz w:val="22"/>
          <w:szCs w:val="22"/>
        </w:rPr>
        <w:t xml:space="preserve"> que se </w:t>
      </w:r>
      <w:r w:rsidR="001345A2" w:rsidRPr="000E63CD">
        <w:rPr>
          <w:sz w:val="22"/>
          <w:szCs w:val="22"/>
        </w:rPr>
        <w:t>reportan</w:t>
      </w:r>
      <w:r w:rsidR="00F51628" w:rsidRPr="000E63CD">
        <w:rPr>
          <w:sz w:val="22"/>
          <w:szCs w:val="22"/>
        </w:rPr>
        <w:t xml:space="preserve"> se consideran obligatorias de contratar. </w:t>
      </w:r>
      <w:r w:rsidR="00CF79AB" w:rsidRPr="000E63CD">
        <w:rPr>
          <w:sz w:val="22"/>
          <w:szCs w:val="22"/>
        </w:rPr>
        <w:t xml:space="preserve">En esta </w:t>
      </w:r>
      <w:r w:rsidR="00706D88">
        <w:rPr>
          <w:sz w:val="22"/>
          <w:szCs w:val="22"/>
        </w:rPr>
        <w:t>segunda ronda (</w:t>
      </w:r>
      <w:r w:rsidR="00CF79AB" w:rsidRPr="000E63CD">
        <w:rPr>
          <w:sz w:val="22"/>
          <w:szCs w:val="22"/>
        </w:rPr>
        <w:t>segunda instancia</w:t>
      </w:r>
      <w:r w:rsidR="00706D88">
        <w:rPr>
          <w:sz w:val="22"/>
          <w:szCs w:val="22"/>
        </w:rPr>
        <w:t>)</w:t>
      </w:r>
      <w:r w:rsidR="00CF79AB" w:rsidRPr="000E63CD">
        <w:rPr>
          <w:sz w:val="22"/>
          <w:szCs w:val="22"/>
        </w:rPr>
        <w:t xml:space="preserve"> no se permite que presenten información </w:t>
      </w:r>
      <w:r w:rsidR="00AC32B5">
        <w:rPr>
          <w:sz w:val="22"/>
          <w:szCs w:val="22"/>
        </w:rPr>
        <w:t>Compradores</w:t>
      </w:r>
      <w:r w:rsidR="00CF79AB" w:rsidRPr="000E63CD">
        <w:rPr>
          <w:sz w:val="22"/>
          <w:szCs w:val="22"/>
        </w:rPr>
        <w:t xml:space="preserve"> interesados que no la presentaron en la primera </w:t>
      </w:r>
      <w:r w:rsidR="00706D88">
        <w:rPr>
          <w:sz w:val="22"/>
          <w:szCs w:val="22"/>
        </w:rPr>
        <w:t xml:space="preserve">ronda (primera </w:t>
      </w:r>
      <w:r w:rsidR="00CF79AB" w:rsidRPr="000E63CD">
        <w:rPr>
          <w:sz w:val="22"/>
          <w:szCs w:val="22"/>
        </w:rPr>
        <w:t>instancia</w:t>
      </w:r>
      <w:r w:rsidR="00706D88">
        <w:rPr>
          <w:sz w:val="22"/>
          <w:szCs w:val="22"/>
        </w:rPr>
        <w:t>)</w:t>
      </w:r>
      <w:r w:rsidR="00660367" w:rsidRPr="000E63CD">
        <w:rPr>
          <w:sz w:val="22"/>
          <w:szCs w:val="22"/>
        </w:rPr>
        <w:t>.</w:t>
      </w:r>
    </w:p>
    <w:p w14:paraId="574808AD" w14:textId="77777777" w:rsidR="00660367" w:rsidRPr="000E63CD" w:rsidRDefault="00660367" w:rsidP="00660367">
      <w:pPr>
        <w:pStyle w:val="Prrafodelista"/>
        <w:rPr>
          <w:sz w:val="22"/>
          <w:szCs w:val="22"/>
        </w:rPr>
      </w:pPr>
    </w:p>
    <w:p w14:paraId="1648AE28" w14:textId="3D19102D" w:rsidR="000D6537" w:rsidRDefault="00E11D36">
      <w:pPr>
        <w:pStyle w:val="Prrafodelista"/>
        <w:numPr>
          <w:ilvl w:val="0"/>
          <w:numId w:val="9"/>
        </w:numPr>
        <w:ind w:left="426" w:hanging="426"/>
        <w:rPr>
          <w:sz w:val="22"/>
          <w:szCs w:val="22"/>
        </w:rPr>
      </w:pPr>
      <w:r w:rsidRPr="000E63CD">
        <w:rPr>
          <w:sz w:val="22"/>
          <w:szCs w:val="22"/>
        </w:rPr>
        <w:t>Finalmente, c</w:t>
      </w:r>
      <w:r w:rsidR="00F51628" w:rsidRPr="000E63CD">
        <w:rPr>
          <w:sz w:val="22"/>
          <w:szCs w:val="22"/>
        </w:rPr>
        <w:t xml:space="preserve">on base en la información de la </w:t>
      </w:r>
      <w:r w:rsidR="00706D88">
        <w:rPr>
          <w:sz w:val="22"/>
          <w:szCs w:val="22"/>
        </w:rPr>
        <w:t>segunda ronda (</w:t>
      </w:r>
      <w:r w:rsidR="00F51628" w:rsidRPr="000E63CD">
        <w:rPr>
          <w:sz w:val="22"/>
          <w:szCs w:val="22"/>
        </w:rPr>
        <w:t>segunda instancia</w:t>
      </w:r>
      <w:r w:rsidR="00706D88">
        <w:rPr>
          <w:sz w:val="22"/>
          <w:szCs w:val="22"/>
        </w:rPr>
        <w:t>)</w:t>
      </w:r>
      <w:r w:rsidR="00F51628" w:rsidRPr="000E63CD">
        <w:rPr>
          <w:sz w:val="22"/>
          <w:szCs w:val="22"/>
        </w:rPr>
        <w:t xml:space="preserve"> de los </w:t>
      </w:r>
      <w:r w:rsidR="00AC32B5">
        <w:rPr>
          <w:sz w:val="22"/>
          <w:szCs w:val="22"/>
        </w:rPr>
        <w:t>Compradores</w:t>
      </w:r>
      <w:r w:rsidR="00F51628" w:rsidRPr="000E63CD">
        <w:rPr>
          <w:sz w:val="22"/>
          <w:szCs w:val="22"/>
        </w:rPr>
        <w:t xml:space="preserve">, el </w:t>
      </w:r>
      <w:r w:rsidR="005114C6">
        <w:rPr>
          <w:sz w:val="22"/>
          <w:szCs w:val="22"/>
        </w:rPr>
        <w:t>Gestor del Mercado</w:t>
      </w:r>
      <w:r w:rsidR="004C4F1E">
        <w:rPr>
          <w:sz w:val="22"/>
          <w:szCs w:val="22"/>
        </w:rPr>
        <w:t xml:space="preserve"> de Gas</w:t>
      </w:r>
      <w:r w:rsidR="00F51628" w:rsidRPr="000E63CD">
        <w:rPr>
          <w:sz w:val="22"/>
          <w:szCs w:val="22"/>
        </w:rPr>
        <w:t xml:space="preserve"> </w:t>
      </w:r>
      <w:r w:rsidR="001421CC" w:rsidRPr="000E63CD">
        <w:rPr>
          <w:sz w:val="22"/>
          <w:szCs w:val="22"/>
        </w:rPr>
        <w:t>realizará el balance comercial de cada uno de los veinte (20) trimestre estándar siguientes al trimestre estándar de negociación</w:t>
      </w:r>
      <w:r w:rsidR="00760ACA" w:rsidRPr="000E63CD">
        <w:rPr>
          <w:sz w:val="22"/>
          <w:szCs w:val="22"/>
        </w:rPr>
        <w:t xml:space="preserve"> para cada uno de los puntos de referencia establecidos, y determinará </w:t>
      </w:r>
      <w:r w:rsidR="00706D88">
        <w:rPr>
          <w:sz w:val="22"/>
          <w:szCs w:val="22"/>
        </w:rPr>
        <w:t xml:space="preserve">en el balance comercial </w:t>
      </w:r>
      <w:r w:rsidR="00760ACA" w:rsidRPr="000E63CD">
        <w:rPr>
          <w:sz w:val="22"/>
          <w:szCs w:val="22"/>
        </w:rPr>
        <w:t xml:space="preserve">si existe oferta </w:t>
      </w:r>
      <w:r w:rsidR="00706D88">
        <w:rPr>
          <w:sz w:val="22"/>
          <w:szCs w:val="22"/>
        </w:rPr>
        <w:t xml:space="preserve">comercial </w:t>
      </w:r>
      <w:r w:rsidR="00760ACA" w:rsidRPr="000E63CD">
        <w:rPr>
          <w:sz w:val="22"/>
          <w:szCs w:val="22"/>
        </w:rPr>
        <w:t xml:space="preserve">superavitaria u oferta </w:t>
      </w:r>
      <w:r w:rsidR="00706D88">
        <w:rPr>
          <w:sz w:val="22"/>
          <w:szCs w:val="22"/>
        </w:rPr>
        <w:t xml:space="preserve">comercial </w:t>
      </w:r>
      <w:r w:rsidR="00760ACA" w:rsidRPr="000E63CD">
        <w:rPr>
          <w:sz w:val="22"/>
          <w:szCs w:val="22"/>
        </w:rPr>
        <w:t>deficitaria</w:t>
      </w:r>
      <w:r w:rsidR="00BD66B0" w:rsidRPr="000E63CD">
        <w:rPr>
          <w:sz w:val="22"/>
          <w:szCs w:val="22"/>
        </w:rPr>
        <w:t xml:space="preserve"> en cada uno de ellos. </w:t>
      </w:r>
      <w:r w:rsidR="00AA5177" w:rsidRPr="000E63CD">
        <w:rPr>
          <w:sz w:val="22"/>
          <w:szCs w:val="22"/>
        </w:rPr>
        <w:t xml:space="preserve">El </w:t>
      </w:r>
      <w:r w:rsidR="005114C6">
        <w:rPr>
          <w:sz w:val="22"/>
          <w:szCs w:val="22"/>
        </w:rPr>
        <w:t>Gestor del Mercado</w:t>
      </w:r>
      <w:r w:rsidR="00AA5177" w:rsidRPr="000E63CD">
        <w:rPr>
          <w:sz w:val="22"/>
          <w:szCs w:val="22"/>
        </w:rPr>
        <w:t xml:space="preserve"> </w:t>
      </w:r>
      <w:r w:rsidR="004C4F1E">
        <w:rPr>
          <w:sz w:val="22"/>
          <w:szCs w:val="22"/>
        </w:rPr>
        <w:t>de Gas</w:t>
      </w:r>
      <w:r w:rsidR="00AA5177" w:rsidRPr="000E63CD">
        <w:rPr>
          <w:sz w:val="22"/>
          <w:szCs w:val="22"/>
        </w:rPr>
        <w:t xml:space="preserve"> informará a los </w:t>
      </w:r>
      <w:r w:rsidR="00AC32B5">
        <w:rPr>
          <w:sz w:val="22"/>
          <w:szCs w:val="22"/>
        </w:rPr>
        <w:t>Vendedores</w:t>
      </w:r>
      <w:r w:rsidR="00AA5177" w:rsidRPr="000E63CD">
        <w:rPr>
          <w:sz w:val="22"/>
          <w:szCs w:val="22"/>
        </w:rPr>
        <w:t xml:space="preserve"> los trimestres y puntos de referencia en los que resulta un balance </w:t>
      </w:r>
      <w:r w:rsidR="00706D88">
        <w:rPr>
          <w:sz w:val="22"/>
          <w:szCs w:val="22"/>
        </w:rPr>
        <w:t xml:space="preserve">comercial </w:t>
      </w:r>
      <w:r w:rsidR="00AA5177" w:rsidRPr="000E63CD">
        <w:rPr>
          <w:sz w:val="22"/>
          <w:szCs w:val="22"/>
        </w:rPr>
        <w:t xml:space="preserve">deficitario, para que estos </w:t>
      </w:r>
      <w:r w:rsidR="00706D88">
        <w:rPr>
          <w:sz w:val="22"/>
          <w:szCs w:val="22"/>
        </w:rPr>
        <w:t xml:space="preserve">vendedores </w:t>
      </w:r>
      <w:r w:rsidR="00AA5177" w:rsidRPr="000E63CD">
        <w:rPr>
          <w:sz w:val="22"/>
          <w:szCs w:val="22"/>
        </w:rPr>
        <w:t xml:space="preserve">no pasen a </w:t>
      </w:r>
      <w:r w:rsidR="000D6537" w:rsidRPr="000E63CD">
        <w:rPr>
          <w:sz w:val="22"/>
          <w:szCs w:val="22"/>
        </w:rPr>
        <w:t xml:space="preserve">avanzar negociaciones </w:t>
      </w:r>
      <w:r w:rsidR="003C34A4" w:rsidRPr="000E63CD">
        <w:rPr>
          <w:sz w:val="22"/>
          <w:szCs w:val="22"/>
        </w:rPr>
        <w:t xml:space="preserve">directas </w:t>
      </w:r>
      <w:r w:rsidR="000D6537" w:rsidRPr="000E63CD">
        <w:rPr>
          <w:sz w:val="22"/>
          <w:szCs w:val="22"/>
        </w:rPr>
        <w:t xml:space="preserve">con los </w:t>
      </w:r>
      <w:r w:rsidR="00AC32B5">
        <w:rPr>
          <w:sz w:val="22"/>
          <w:szCs w:val="22"/>
        </w:rPr>
        <w:t>Compradores</w:t>
      </w:r>
      <w:r w:rsidR="000D6537" w:rsidRPr="000E63CD">
        <w:rPr>
          <w:sz w:val="22"/>
          <w:szCs w:val="22"/>
        </w:rPr>
        <w:t xml:space="preserve"> interesados.</w:t>
      </w:r>
    </w:p>
    <w:p w14:paraId="3A780A0C" w14:textId="77777777" w:rsidR="00F771F8" w:rsidRPr="00F771F8" w:rsidRDefault="00F771F8" w:rsidP="00F771F8">
      <w:pPr>
        <w:pStyle w:val="Prrafodelista"/>
        <w:rPr>
          <w:sz w:val="22"/>
          <w:szCs w:val="22"/>
        </w:rPr>
      </w:pPr>
    </w:p>
    <w:p w14:paraId="1E72B933" w14:textId="67D4A328" w:rsidR="00F771F8" w:rsidRDefault="00F771F8" w:rsidP="00F771F8">
      <w:pPr>
        <w:ind w:left="426"/>
        <w:rPr>
          <w:sz w:val="22"/>
          <w:szCs w:val="22"/>
        </w:rPr>
      </w:pPr>
      <w:r w:rsidRPr="000E63CD">
        <w:rPr>
          <w:sz w:val="22"/>
          <w:szCs w:val="22"/>
        </w:rPr>
        <w:t xml:space="preserve">Ahora bien, se propone como elemento sustancial del balance comercial, establecer un </w:t>
      </w:r>
      <w:r w:rsidR="001328DC">
        <w:rPr>
          <w:sz w:val="22"/>
          <w:szCs w:val="22"/>
        </w:rPr>
        <w:t>cálculo</w:t>
      </w:r>
      <w:r w:rsidRPr="000E63CD">
        <w:rPr>
          <w:sz w:val="22"/>
          <w:szCs w:val="22"/>
        </w:rPr>
        <w:t xml:space="preserve"> que sirva de referencia para que el Gestor determine si hay oferta comercial superavitaria o deficitaria. En razón de la simpleza y efectividad</w:t>
      </w:r>
      <w:r w:rsidR="001328DC">
        <w:rPr>
          <w:sz w:val="22"/>
          <w:szCs w:val="22"/>
        </w:rPr>
        <w:t xml:space="preserve"> y en reconocimiento de las dinámicas en el tiempo de las declaraciones de potencial de producción y de las necesidades de la demanda</w:t>
      </w:r>
      <w:r w:rsidRPr="000E63CD">
        <w:rPr>
          <w:sz w:val="22"/>
          <w:szCs w:val="22"/>
        </w:rPr>
        <w:t xml:space="preserve">, se propone </w:t>
      </w:r>
      <w:r w:rsidR="001328DC">
        <w:rPr>
          <w:sz w:val="22"/>
          <w:szCs w:val="22"/>
        </w:rPr>
        <w:t>que s</w:t>
      </w:r>
      <w:r w:rsidR="001328DC" w:rsidRPr="001328DC">
        <w:rPr>
          <w:sz w:val="22"/>
          <w:szCs w:val="22"/>
        </w:rPr>
        <w:t>i los valores totales sumados de PTDVF y CIDVF son superiores o iguales a las cantidades requeridas por los compradores</w:t>
      </w:r>
      <w:r w:rsidR="001328DC">
        <w:rPr>
          <w:sz w:val="22"/>
          <w:szCs w:val="22"/>
        </w:rPr>
        <w:t xml:space="preserve"> para contratos de tipo firme o que garantizan firmeza</w:t>
      </w:r>
      <w:r w:rsidR="00B808A5">
        <w:rPr>
          <w:sz w:val="22"/>
          <w:szCs w:val="22"/>
        </w:rPr>
        <w:t xml:space="preserve"> (independientemente de si son para atener Demanda esencial u otra demanda)</w:t>
      </w:r>
      <w:r w:rsidR="001328DC">
        <w:rPr>
          <w:sz w:val="22"/>
          <w:szCs w:val="22"/>
        </w:rPr>
        <w:t>, es decir, que cuenta con Respaldo Físico</w:t>
      </w:r>
      <w:r w:rsidR="001328DC" w:rsidRPr="001328DC">
        <w:rPr>
          <w:sz w:val="22"/>
          <w:szCs w:val="22"/>
        </w:rPr>
        <w:t xml:space="preserve">, el balance comercial para ese punto de referencia y ese trimestre estándar será superavitario. En caso de un resultado contrario, el balance comercial será deficitario. </w:t>
      </w:r>
      <w:r w:rsidRPr="000E63CD">
        <w:rPr>
          <w:sz w:val="22"/>
          <w:szCs w:val="22"/>
        </w:rPr>
        <w:t xml:space="preserve"> </w:t>
      </w:r>
      <w:r w:rsidR="001328DC">
        <w:rPr>
          <w:sz w:val="22"/>
          <w:szCs w:val="22"/>
        </w:rPr>
        <w:t xml:space="preserve">Ese cálculo </w:t>
      </w:r>
      <w:r w:rsidRPr="000E63CD">
        <w:rPr>
          <w:sz w:val="22"/>
          <w:szCs w:val="22"/>
        </w:rPr>
        <w:t>se debe obtener para cada punto de referencia y para cada trimestre estándar futuro de ejecución del suministro, por lo que puede ocurrir que en un mismo punto de referencia se encuentre que, en un trimestre estándar la oferta comercial es superavitaria, y en otro diferente trimestre estándar la oferta comercial sea deficitaria. También puede ocurrir que</w:t>
      </w:r>
      <w:r>
        <w:rPr>
          <w:sz w:val="22"/>
          <w:szCs w:val="22"/>
        </w:rPr>
        <w:t>,</w:t>
      </w:r>
      <w:r w:rsidRPr="000E63CD">
        <w:rPr>
          <w:sz w:val="22"/>
          <w:szCs w:val="22"/>
        </w:rPr>
        <w:t xml:space="preserve"> para un mismo </w:t>
      </w:r>
      <w:r w:rsidR="009D22E9">
        <w:rPr>
          <w:sz w:val="22"/>
          <w:szCs w:val="22"/>
        </w:rPr>
        <w:t>trimestre estándar de ejecución</w:t>
      </w:r>
      <w:r w:rsidRPr="000E63CD">
        <w:rPr>
          <w:sz w:val="22"/>
          <w:szCs w:val="22"/>
        </w:rPr>
        <w:t>, haya puntos de referencia en que se obtenga balance comercial superavitario y</w:t>
      </w:r>
      <w:r>
        <w:rPr>
          <w:sz w:val="22"/>
          <w:szCs w:val="22"/>
        </w:rPr>
        <w:t>,</w:t>
      </w:r>
      <w:r w:rsidRPr="000E63CD">
        <w:rPr>
          <w:sz w:val="22"/>
          <w:szCs w:val="22"/>
        </w:rPr>
        <w:t xml:space="preserve"> por tanto, utilización de negociaciones directas, y a la vez para ese mismo trimestre haya otros puntos de referencia para los que se obtienen balances comerciales deficitarios, </w:t>
      </w:r>
      <w:proofErr w:type="gramStart"/>
      <w:r w:rsidRPr="000E63CD">
        <w:rPr>
          <w:sz w:val="22"/>
          <w:szCs w:val="22"/>
        </w:rPr>
        <w:t>y</w:t>
      </w:r>
      <w:proofErr w:type="gramEnd"/>
      <w:r w:rsidRPr="000E63CD">
        <w:rPr>
          <w:sz w:val="22"/>
          <w:szCs w:val="22"/>
        </w:rPr>
        <w:t xml:space="preserve"> por tanto, la utilización del otro mecanismo diferente a la negociación directa. </w:t>
      </w:r>
    </w:p>
    <w:p w14:paraId="5701FD51" w14:textId="77777777" w:rsidR="00234E36" w:rsidRDefault="00234E36" w:rsidP="00F771F8">
      <w:pPr>
        <w:ind w:left="426"/>
        <w:rPr>
          <w:sz w:val="22"/>
          <w:szCs w:val="22"/>
        </w:rPr>
      </w:pPr>
    </w:p>
    <w:p w14:paraId="36AF523E" w14:textId="7483D4E5" w:rsidR="00234E36" w:rsidRPr="000E63CD" w:rsidRDefault="00234E36" w:rsidP="00F771F8">
      <w:pPr>
        <w:ind w:left="426"/>
        <w:rPr>
          <w:sz w:val="22"/>
          <w:szCs w:val="22"/>
        </w:rPr>
      </w:pPr>
      <w:r>
        <w:rPr>
          <w:sz w:val="22"/>
          <w:szCs w:val="22"/>
        </w:rPr>
        <w:t>Lo anterior es similar a la utilización de un cociente igual o mayor a 1 para determinar una oferta comercial superavitaria y menor a 1 para determinar una oferta comercial deficitaria</w:t>
      </w:r>
      <w:r w:rsidR="00B808A5">
        <w:rPr>
          <w:sz w:val="22"/>
          <w:szCs w:val="22"/>
        </w:rPr>
        <w:t xml:space="preserve">, en donde el cociente </w:t>
      </w:r>
      <w:r w:rsidR="00B808A5" w:rsidRPr="00B808A5">
        <w:rPr>
          <w:sz w:val="22"/>
          <w:szCs w:val="22"/>
        </w:rPr>
        <w:t xml:space="preserve">resulta de la división de la oferta total de PTDVF y CIDVF en cada punto de referencia, por el valor total de la demanda </w:t>
      </w:r>
      <w:r w:rsidR="00B808A5">
        <w:rPr>
          <w:sz w:val="22"/>
          <w:szCs w:val="22"/>
        </w:rPr>
        <w:t xml:space="preserve">total </w:t>
      </w:r>
      <w:r w:rsidR="00B808A5" w:rsidRPr="00B808A5">
        <w:rPr>
          <w:sz w:val="22"/>
          <w:szCs w:val="22"/>
        </w:rPr>
        <w:t xml:space="preserve">que requiere contratarse </w:t>
      </w:r>
      <w:r w:rsidR="008A7BA4">
        <w:rPr>
          <w:sz w:val="22"/>
          <w:szCs w:val="22"/>
        </w:rPr>
        <w:t>de tipo firme o con garantía de firmeza</w:t>
      </w:r>
      <w:r w:rsidR="008A7BA4" w:rsidRPr="00771A16">
        <w:rPr>
          <w:sz w:val="22"/>
          <w:szCs w:val="22"/>
        </w:rPr>
        <w:t xml:space="preserve"> </w:t>
      </w:r>
      <w:r w:rsidR="00B808A5" w:rsidRPr="00B808A5">
        <w:rPr>
          <w:sz w:val="22"/>
          <w:szCs w:val="22"/>
        </w:rPr>
        <w:t>en ese mismo punto de referencia</w:t>
      </w:r>
      <w:r>
        <w:rPr>
          <w:sz w:val="22"/>
          <w:szCs w:val="22"/>
        </w:rPr>
        <w:t>.</w:t>
      </w:r>
    </w:p>
    <w:p w14:paraId="323797F2" w14:textId="77777777" w:rsidR="00F771F8" w:rsidRPr="000E63CD" w:rsidRDefault="00F771F8" w:rsidP="00F771F8">
      <w:pPr>
        <w:rPr>
          <w:sz w:val="22"/>
          <w:szCs w:val="22"/>
        </w:rPr>
      </w:pPr>
    </w:p>
    <w:p w14:paraId="0DA2C00B" w14:textId="7DD8E6B5" w:rsidR="004A75EA" w:rsidRPr="000E63CD" w:rsidRDefault="004A75EA" w:rsidP="00985006">
      <w:pPr>
        <w:rPr>
          <w:sz w:val="22"/>
          <w:szCs w:val="22"/>
        </w:rPr>
      </w:pPr>
      <w:r w:rsidRPr="000E63CD">
        <w:rPr>
          <w:sz w:val="22"/>
          <w:szCs w:val="22"/>
        </w:rPr>
        <w:t>El mecanismo de negociación que se utilizará para contratar el suministro de gas natural en los trimestres y puntos de referencia con balance comercial superavitario será de negociación directa. En caso de ser deficitario el balance</w:t>
      </w:r>
      <w:r w:rsidR="00B85614" w:rsidRPr="000E63CD">
        <w:rPr>
          <w:sz w:val="22"/>
          <w:szCs w:val="22"/>
        </w:rPr>
        <w:t xml:space="preserve"> comercial</w:t>
      </w:r>
      <w:r w:rsidRPr="000E63CD">
        <w:rPr>
          <w:sz w:val="22"/>
          <w:szCs w:val="22"/>
        </w:rPr>
        <w:t xml:space="preserve">, se aplicará el procedimiento de </w:t>
      </w:r>
      <w:r w:rsidR="005D241D" w:rsidRPr="000E63CD">
        <w:rPr>
          <w:sz w:val="22"/>
          <w:szCs w:val="22"/>
        </w:rPr>
        <w:t xml:space="preserve">asignación </w:t>
      </w:r>
      <w:r w:rsidR="00706D88">
        <w:rPr>
          <w:sz w:val="22"/>
          <w:szCs w:val="22"/>
        </w:rPr>
        <w:t xml:space="preserve">por subasta </w:t>
      </w:r>
      <w:r w:rsidR="005D241D" w:rsidRPr="000E63CD">
        <w:rPr>
          <w:sz w:val="22"/>
          <w:szCs w:val="22"/>
        </w:rPr>
        <w:t>que se menciona más adelante.</w:t>
      </w:r>
      <w:r w:rsidR="003E1D33">
        <w:rPr>
          <w:sz w:val="22"/>
          <w:szCs w:val="22"/>
        </w:rPr>
        <w:t xml:space="preserve"> Un contrato de suministro entre un </w:t>
      </w:r>
      <w:proofErr w:type="gramStart"/>
      <w:r w:rsidR="003E1D33">
        <w:rPr>
          <w:sz w:val="22"/>
          <w:szCs w:val="22"/>
        </w:rPr>
        <w:t>mismo vendedor y un mismo comprador</w:t>
      </w:r>
      <w:proofErr w:type="gramEnd"/>
      <w:r w:rsidR="003E1D33">
        <w:rPr>
          <w:sz w:val="22"/>
          <w:szCs w:val="22"/>
        </w:rPr>
        <w:t xml:space="preserve"> podrá, por tanto y si es deseo de las partes, tener volúmenes contratados a partir de di</w:t>
      </w:r>
      <w:r w:rsidR="00F771F8">
        <w:rPr>
          <w:sz w:val="22"/>
          <w:szCs w:val="22"/>
        </w:rPr>
        <w:t>ferentes</w:t>
      </w:r>
      <w:r w:rsidR="003E1D33">
        <w:rPr>
          <w:sz w:val="22"/>
          <w:szCs w:val="22"/>
        </w:rPr>
        <w:t xml:space="preserve"> mecanismos de </w:t>
      </w:r>
      <w:r w:rsidR="00A32365">
        <w:rPr>
          <w:sz w:val="22"/>
          <w:szCs w:val="22"/>
        </w:rPr>
        <w:t>comercialización</w:t>
      </w:r>
      <w:r w:rsidR="003E1D33">
        <w:rPr>
          <w:sz w:val="22"/>
          <w:szCs w:val="22"/>
        </w:rPr>
        <w:t>.</w:t>
      </w:r>
    </w:p>
    <w:p w14:paraId="2B453D74" w14:textId="77777777" w:rsidR="004A75EA" w:rsidRPr="000E63CD" w:rsidRDefault="004A75EA" w:rsidP="00985006">
      <w:pPr>
        <w:rPr>
          <w:sz w:val="22"/>
          <w:szCs w:val="22"/>
        </w:rPr>
      </w:pPr>
    </w:p>
    <w:p w14:paraId="4BDD5172" w14:textId="40FE051B" w:rsidR="003E1D33" w:rsidRDefault="007C084E" w:rsidP="00985006">
      <w:pPr>
        <w:rPr>
          <w:sz w:val="22"/>
          <w:szCs w:val="22"/>
        </w:rPr>
      </w:pPr>
      <w:r w:rsidRPr="000E63CD">
        <w:rPr>
          <w:sz w:val="22"/>
          <w:szCs w:val="22"/>
        </w:rPr>
        <w:t xml:space="preserve">Es </w:t>
      </w:r>
      <w:r w:rsidR="00753196">
        <w:rPr>
          <w:sz w:val="22"/>
          <w:szCs w:val="22"/>
        </w:rPr>
        <w:t xml:space="preserve">muy </w:t>
      </w:r>
      <w:r w:rsidRPr="000E63CD">
        <w:rPr>
          <w:sz w:val="22"/>
          <w:szCs w:val="22"/>
        </w:rPr>
        <w:t>importante tener en cuenta que, derivado de</w:t>
      </w:r>
      <w:r w:rsidR="003E1D33">
        <w:rPr>
          <w:sz w:val="22"/>
          <w:szCs w:val="22"/>
        </w:rPr>
        <w:t>l</w:t>
      </w:r>
      <w:r w:rsidRPr="000E63CD">
        <w:rPr>
          <w:sz w:val="22"/>
          <w:szCs w:val="22"/>
        </w:rPr>
        <w:t xml:space="preserve"> </w:t>
      </w:r>
      <w:r w:rsidR="003E1D33">
        <w:rPr>
          <w:sz w:val="22"/>
          <w:szCs w:val="22"/>
        </w:rPr>
        <w:t>esquema planteado</w:t>
      </w:r>
      <w:r w:rsidRPr="000E63CD">
        <w:rPr>
          <w:sz w:val="22"/>
          <w:szCs w:val="22"/>
        </w:rPr>
        <w:t xml:space="preserve">, un comprador interesado puede informar </w:t>
      </w:r>
      <w:r w:rsidR="00443617" w:rsidRPr="000E63CD">
        <w:rPr>
          <w:sz w:val="22"/>
          <w:szCs w:val="22"/>
        </w:rPr>
        <w:t xml:space="preserve">las cantidades que se obliga </w:t>
      </w:r>
      <w:r w:rsidR="00DD48F0">
        <w:rPr>
          <w:sz w:val="22"/>
          <w:szCs w:val="22"/>
        </w:rPr>
        <w:t xml:space="preserve">(requiere) </w:t>
      </w:r>
      <w:r w:rsidR="00443617" w:rsidRPr="000E63CD">
        <w:rPr>
          <w:sz w:val="22"/>
          <w:szCs w:val="22"/>
        </w:rPr>
        <w:t>a contratar en la</w:t>
      </w:r>
      <w:r w:rsidR="003E1D33">
        <w:rPr>
          <w:sz w:val="22"/>
          <w:szCs w:val="22"/>
        </w:rPr>
        <w:t xml:space="preserve"> segunda</w:t>
      </w:r>
      <w:r w:rsidR="00443617" w:rsidRPr="000E63CD">
        <w:rPr>
          <w:sz w:val="22"/>
          <w:szCs w:val="22"/>
        </w:rPr>
        <w:t xml:space="preserve"> instancia</w:t>
      </w:r>
      <w:r w:rsidR="00753196">
        <w:rPr>
          <w:sz w:val="22"/>
          <w:szCs w:val="22"/>
        </w:rPr>
        <w:t xml:space="preserve"> </w:t>
      </w:r>
      <w:r w:rsidR="007F7D6E">
        <w:rPr>
          <w:sz w:val="22"/>
          <w:szCs w:val="22"/>
        </w:rPr>
        <w:t xml:space="preserve">de declaración al </w:t>
      </w:r>
      <w:r w:rsidR="005114C6">
        <w:rPr>
          <w:sz w:val="22"/>
          <w:szCs w:val="22"/>
        </w:rPr>
        <w:t>Gestor del Mercado</w:t>
      </w:r>
      <w:r w:rsidR="007F7D6E">
        <w:rPr>
          <w:sz w:val="22"/>
          <w:szCs w:val="22"/>
        </w:rPr>
        <w:t xml:space="preserve"> </w:t>
      </w:r>
      <w:r w:rsidR="00753196">
        <w:rPr>
          <w:sz w:val="22"/>
          <w:szCs w:val="22"/>
        </w:rPr>
        <w:t>para ser suministrad</w:t>
      </w:r>
      <w:r w:rsidR="007F7D6E">
        <w:rPr>
          <w:sz w:val="22"/>
          <w:szCs w:val="22"/>
        </w:rPr>
        <w:t>a</w:t>
      </w:r>
      <w:r w:rsidR="00753196">
        <w:rPr>
          <w:sz w:val="22"/>
          <w:szCs w:val="22"/>
        </w:rPr>
        <w:t xml:space="preserve">s </w:t>
      </w:r>
      <w:r w:rsidR="003E1D33">
        <w:rPr>
          <w:sz w:val="22"/>
          <w:szCs w:val="22"/>
        </w:rPr>
        <w:t xml:space="preserve">(ejecutadas) </w:t>
      </w:r>
      <w:r w:rsidR="00753196">
        <w:rPr>
          <w:sz w:val="22"/>
          <w:szCs w:val="22"/>
        </w:rPr>
        <w:t>en un trimestre de ejecución futuro</w:t>
      </w:r>
      <w:r w:rsidR="00B85614" w:rsidRPr="000E63CD">
        <w:rPr>
          <w:sz w:val="22"/>
          <w:szCs w:val="22"/>
        </w:rPr>
        <w:t>,</w:t>
      </w:r>
      <w:r w:rsidR="007F7D6E">
        <w:rPr>
          <w:sz w:val="22"/>
          <w:szCs w:val="22"/>
        </w:rPr>
        <w:t xml:space="preserve"> </w:t>
      </w:r>
      <w:r w:rsidR="00F771F8">
        <w:rPr>
          <w:sz w:val="22"/>
          <w:szCs w:val="22"/>
        </w:rPr>
        <w:t>que podrán ser declaradas y negociadas</w:t>
      </w:r>
      <w:r w:rsidR="007F7D6E">
        <w:rPr>
          <w:sz w:val="22"/>
          <w:szCs w:val="22"/>
        </w:rPr>
        <w:t xml:space="preserve"> </w:t>
      </w:r>
      <w:r w:rsidR="003E1D33">
        <w:rPr>
          <w:sz w:val="22"/>
          <w:szCs w:val="22"/>
        </w:rPr>
        <w:t>en</w:t>
      </w:r>
      <w:r w:rsidR="007F7D6E">
        <w:rPr>
          <w:sz w:val="22"/>
          <w:szCs w:val="22"/>
        </w:rPr>
        <w:t xml:space="preserve"> </w:t>
      </w:r>
      <w:r w:rsidR="003E1D33">
        <w:rPr>
          <w:sz w:val="22"/>
          <w:szCs w:val="22"/>
        </w:rPr>
        <w:t>cantidades parciales</w:t>
      </w:r>
      <w:r w:rsidR="00443617" w:rsidRPr="000E63CD">
        <w:rPr>
          <w:sz w:val="22"/>
          <w:szCs w:val="22"/>
        </w:rPr>
        <w:t xml:space="preserve"> en diferentes procesos trimestrales</w:t>
      </w:r>
      <w:r w:rsidR="00753196">
        <w:rPr>
          <w:sz w:val="22"/>
          <w:szCs w:val="22"/>
        </w:rPr>
        <w:t xml:space="preserve"> de negociación y</w:t>
      </w:r>
      <w:r w:rsidR="00443617" w:rsidRPr="000E63CD">
        <w:rPr>
          <w:sz w:val="22"/>
          <w:szCs w:val="22"/>
        </w:rPr>
        <w:t xml:space="preserve"> no </w:t>
      </w:r>
      <w:r w:rsidR="003E1D33">
        <w:rPr>
          <w:sz w:val="22"/>
          <w:szCs w:val="22"/>
        </w:rPr>
        <w:t xml:space="preserve">es necesario que </w:t>
      </w:r>
      <w:r w:rsidR="007F7D6E">
        <w:rPr>
          <w:sz w:val="22"/>
          <w:szCs w:val="22"/>
        </w:rPr>
        <w:t xml:space="preserve">la totalidad </w:t>
      </w:r>
      <w:r w:rsidR="003E1D33">
        <w:rPr>
          <w:sz w:val="22"/>
          <w:szCs w:val="22"/>
        </w:rPr>
        <w:t xml:space="preserve">de la cantidad </w:t>
      </w:r>
      <w:r w:rsidR="00F771F8">
        <w:rPr>
          <w:sz w:val="22"/>
          <w:szCs w:val="22"/>
        </w:rPr>
        <w:t xml:space="preserve">declarada y luego </w:t>
      </w:r>
      <w:r w:rsidR="003E1D33">
        <w:rPr>
          <w:sz w:val="22"/>
          <w:szCs w:val="22"/>
        </w:rPr>
        <w:t>requerida por el comprador</w:t>
      </w:r>
      <w:r w:rsidR="00F771F8">
        <w:rPr>
          <w:sz w:val="22"/>
          <w:szCs w:val="22"/>
        </w:rPr>
        <w:t>,</w:t>
      </w:r>
      <w:r w:rsidR="003E1D33">
        <w:rPr>
          <w:sz w:val="22"/>
          <w:szCs w:val="22"/>
        </w:rPr>
        <w:t xml:space="preserve"> sea obtenida </w:t>
      </w:r>
      <w:r w:rsidR="00443617" w:rsidRPr="000E63CD">
        <w:rPr>
          <w:sz w:val="22"/>
          <w:szCs w:val="22"/>
        </w:rPr>
        <w:t xml:space="preserve">en </w:t>
      </w:r>
      <w:r w:rsidR="00B85614" w:rsidRPr="000E63CD">
        <w:rPr>
          <w:sz w:val="22"/>
          <w:szCs w:val="22"/>
        </w:rPr>
        <w:t>solo uno</w:t>
      </w:r>
      <w:r w:rsidR="00443617" w:rsidRPr="000E63CD">
        <w:rPr>
          <w:sz w:val="22"/>
          <w:szCs w:val="22"/>
        </w:rPr>
        <w:t xml:space="preserve"> de </w:t>
      </w:r>
      <w:r w:rsidR="003E1D33">
        <w:rPr>
          <w:sz w:val="22"/>
          <w:szCs w:val="22"/>
        </w:rPr>
        <w:t>dicho</w:t>
      </w:r>
      <w:r w:rsidR="00443617" w:rsidRPr="000E63CD">
        <w:rPr>
          <w:sz w:val="22"/>
          <w:szCs w:val="22"/>
        </w:rPr>
        <w:t>s</w:t>
      </w:r>
      <w:r w:rsidR="003E1D33">
        <w:rPr>
          <w:sz w:val="22"/>
          <w:szCs w:val="22"/>
        </w:rPr>
        <w:t xml:space="preserve"> trimestres</w:t>
      </w:r>
      <w:r w:rsidR="00443617" w:rsidRPr="000E63CD">
        <w:rPr>
          <w:sz w:val="22"/>
          <w:szCs w:val="22"/>
        </w:rPr>
        <w:t xml:space="preserve">. </w:t>
      </w:r>
    </w:p>
    <w:p w14:paraId="49195145" w14:textId="77777777" w:rsidR="003E1D33" w:rsidRDefault="003E1D33" w:rsidP="00985006">
      <w:pPr>
        <w:rPr>
          <w:sz w:val="22"/>
          <w:szCs w:val="22"/>
        </w:rPr>
      </w:pPr>
    </w:p>
    <w:p w14:paraId="08AD9245" w14:textId="36630977" w:rsidR="002064DC" w:rsidRDefault="003E1D33" w:rsidP="00985006">
      <w:pPr>
        <w:rPr>
          <w:sz w:val="22"/>
          <w:szCs w:val="22"/>
        </w:rPr>
      </w:pPr>
      <w:r>
        <w:rPr>
          <w:sz w:val="22"/>
          <w:szCs w:val="22"/>
        </w:rPr>
        <w:t xml:space="preserve">Es por ello </w:t>
      </w:r>
      <w:proofErr w:type="gramStart"/>
      <w:r>
        <w:rPr>
          <w:sz w:val="22"/>
          <w:szCs w:val="22"/>
        </w:rPr>
        <w:t>que</w:t>
      </w:r>
      <w:proofErr w:type="gramEnd"/>
      <w:r w:rsidR="00E84A69">
        <w:rPr>
          <w:sz w:val="22"/>
          <w:szCs w:val="22"/>
        </w:rPr>
        <w:t>,</w:t>
      </w:r>
      <w:r>
        <w:rPr>
          <w:sz w:val="22"/>
          <w:szCs w:val="22"/>
        </w:rPr>
        <w:t xml:space="preserve"> e</w:t>
      </w:r>
      <w:r w:rsidR="00753196">
        <w:rPr>
          <w:sz w:val="22"/>
          <w:szCs w:val="22"/>
        </w:rPr>
        <w:t xml:space="preserve">n la propuesta </w:t>
      </w:r>
      <w:r>
        <w:rPr>
          <w:sz w:val="22"/>
          <w:szCs w:val="22"/>
        </w:rPr>
        <w:t>que se presenta para comentarios</w:t>
      </w:r>
      <w:r w:rsidR="00E84A69">
        <w:rPr>
          <w:sz w:val="22"/>
          <w:szCs w:val="22"/>
        </w:rPr>
        <w:t>,</w:t>
      </w:r>
      <w:r>
        <w:rPr>
          <w:sz w:val="22"/>
          <w:szCs w:val="22"/>
        </w:rPr>
        <w:t xml:space="preserve"> </w:t>
      </w:r>
      <w:r w:rsidR="00753196">
        <w:rPr>
          <w:sz w:val="22"/>
          <w:szCs w:val="22"/>
        </w:rPr>
        <w:t>no se está</w:t>
      </w:r>
      <w:r>
        <w:rPr>
          <w:sz w:val="22"/>
          <w:szCs w:val="22"/>
        </w:rPr>
        <w:t>n</w:t>
      </w:r>
      <w:r w:rsidR="00753196">
        <w:rPr>
          <w:sz w:val="22"/>
          <w:szCs w:val="22"/>
        </w:rPr>
        <w:t xml:space="preserve"> estableciendo cantidades </w:t>
      </w:r>
      <w:r w:rsidR="007F7D6E">
        <w:rPr>
          <w:sz w:val="22"/>
          <w:szCs w:val="22"/>
        </w:rPr>
        <w:t xml:space="preserve">o porcentajes </w:t>
      </w:r>
      <w:r w:rsidR="00753196">
        <w:rPr>
          <w:sz w:val="22"/>
          <w:szCs w:val="22"/>
        </w:rPr>
        <w:t>mínim</w:t>
      </w:r>
      <w:r w:rsidR="007F7D6E">
        <w:rPr>
          <w:sz w:val="22"/>
          <w:szCs w:val="22"/>
        </w:rPr>
        <w:t>o</w:t>
      </w:r>
      <w:r w:rsidR="00753196">
        <w:rPr>
          <w:sz w:val="22"/>
          <w:szCs w:val="22"/>
        </w:rPr>
        <w:t>s o requerid</w:t>
      </w:r>
      <w:r w:rsidR="007F7D6E">
        <w:rPr>
          <w:sz w:val="22"/>
          <w:szCs w:val="22"/>
        </w:rPr>
        <w:t>o</w:t>
      </w:r>
      <w:r w:rsidR="00753196">
        <w:rPr>
          <w:sz w:val="22"/>
          <w:szCs w:val="22"/>
        </w:rPr>
        <w:t>s a ser contratad</w:t>
      </w:r>
      <w:r>
        <w:rPr>
          <w:sz w:val="22"/>
          <w:szCs w:val="22"/>
        </w:rPr>
        <w:t>o</w:t>
      </w:r>
      <w:r w:rsidR="00753196">
        <w:rPr>
          <w:sz w:val="22"/>
          <w:szCs w:val="22"/>
        </w:rPr>
        <w:t xml:space="preserve">s </w:t>
      </w:r>
      <w:r w:rsidR="007F7D6E">
        <w:rPr>
          <w:sz w:val="22"/>
          <w:szCs w:val="22"/>
        </w:rPr>
        <w:t xml:space="preserve">obligatoriamente </w:t>
      </w:r>
      <w:r w:rsidR="00753196">
        <w:rPr>
          <w:sz w:val="22"/>
          <w:szCs w:val="22"/>
        </w:rPr>
        <w:t xml:space="preserve">en un </w:t>
      </w:r>
      <w:r w:rsidR="007F7D6E">
        <w:rPr>
          <w:sz w:val="22"/>
          <w:szCs w:val="22"/>
        </w:rPr>
        <w:t xml:space="preserve">determinado </w:t>
      </w:r>
      <w:r w:rsidR="00753196">
        <w:rPr>
          <w:sz w:val="22"/>
          <w:szCs w:val="22"/>
        </w:rPr>
        <w:t xml:space="preserve">trimestre de negociación </w:t>
      </w:r>
      <w:r w:rsidR="00E84A69">
        <w:rPr>
          <w:sz w:val="22"/>
          <w:szCs w:val="22"/>
        </w:rPr>
        <w:t xml:space="preserve">ni </w:t>
      </w:r>
      <w:r w:rsidR="00753196">
        <w:rPr>
          <w:sz w:val="22"/>
          <w:szCs w:val="22"/>
        </w:rPr>
        <w:t xml:space="preserve">para atender la demanda esencial, </w:t>
      </w:r>
      <w:r w:rsidR="00E84A69">
        <w:rPr>
          <w:sz w:val="22"/>
          <w:szCs w:val="22"/>
        </w:rPr>
        <w:t>ni</w:t>
      </w:r>
      <w:r w:rsidR="007F7D6E">
        <w:rPr>
          <w:sz w:val="22"/>
          <w:szCs w:val="22"/>
        </w:rPr>
        <w:t xml:space="preserve"> en general, </w:t>
      </w:r>
      <w:r w:rsidR="00753196">
        <w:rPr>
          <w:sz w:val="22"/>
          <w:szCs w:val="22"/>
        </w:rPr>
        <w:t xml:space="preserve">ningún porcentaje obligatorio específico </w:t>
      </w:r>
      <w:r>
        <w:rPr>
          <w:sz w:val="22"/>
          <w:szCs w:val="22"/>
        </w:rPr>
        <w:t>para cualquier tipo de</w:t>
      </w:r>
      <w:r w:rsidR="00753196">
        <w:rPr>
          <w:sz w:val="22"/>
          <w:szCs w:val="22"/>
        </w:rPr>
        <w:t xml:space="preserve"> demanda estimada a atender</w:t>
      </w:r>
      <w:r w:rsidR="007F7D6E">
        <w:rPr>
          <w:sz w:val="22"/>
          <w:szCs w:val="22"/>
        </w:rPr>
        <w:t>. P</w:t>
      </w:r>
      <w:r w:rsidR="00753196">
        <w:rPr>
          <w:sz w:val="22"/>
          <w:szCs w:val="22"/>
        </w:rPr>
        <w:t xml:space="preserve">or ejemplo, en la propuesta no se establece que las cantidades estimadas por un comercializador </w:t>
      </w:r>
      <w:r>
        <w:rPr>
          <w:sz w:val="22"/>
          <w:szCs w:val="22"/>
        </w:rPr>
        <w:t>a ejecutarse</w:t>
      </w:r>
      <w:r w:rsidR="00753196">
        <w:rPr>
          <w:sz w:val="22"/>
          <w:szCs w:val="22"/>
        </w:rPr>
        <w:t xml:space="preserve"> en el cuarto trimestre estándar del año de gas 2025 p</w:t>
      </w:r>
      <w:r w:rsidR="007F7D6E">
        <w:rPr>
          <w:sz w:val="22"/>
          <w:szCs w:val="22"/>
        </w:rPr>
        <w:t>or la atención de</w:t>
      </w:r>
      <w:r w:rsidR="00753196">
        <w:rPr>
          <w:sz w:val="22"/>
          <w:szCs w:val="22"/>
        </w:rPr>
        <w:t xml:space="preserve"> la demanda esencial que atiende, deban ser contratadas al 100%</w:t>
      </w:r>
      <w:r>
        <w:rPr>
          <w:sz w:val="22"/>
          <w:szCs w:val="22"/>
        </w:rPr>
        <w:t xml:space="preserve">, o al 90% o en fin de un porcentaje mínimo, </w:t>
      </w:r>
      <w:r w:rsidR="00753196">
        <w:rPr>
          <w:sz w:val="22"/>
          <w:szCs w:val="22"/>
        </w:rPr>
        <w:t xml:space="preserve">como máximo en </w:t>
      </w:r>
      <w:r>
        <w:rPr>
          <w:sz w:val="22"/>
          <w:szCs w:val="22"/>
        </w:rPr>
        <w:t>un</w:t>
      </w:r>
      <w:r w:rsidR="00753196">
        <w:rPr>
          <w:sz w:val="22"/>
          <w:szCs w:val="22"/>
        </w:rPr>
        <w:t xml:space="preserve"> trimestre estándar de negociación </w:t>
      </w:r>
      <w:r>
        <w:rPr>
          <w:sz w:val="22"/>
          <w:szCs w:val="22"/>
        </w:rPr>
        <w:t>específico futuro</w:t>
      </w:r>
      <w:r w:rsidR="007F7D6E">
        <w:rPr>
          <w:sz w:val="22"/>
          <w:szCs w:val="22"/>
        </w:rPr>
        <w:t xml:space="preserve">, </w:t>
      </w:r>
      <w:r>
        <w:rPr>
          <w:sz w:val="22"/>
          <w:szCs w:val="22"/>
        </w:rPr>
        <w:t xml:space="preserve">que debe ser </w:t>
      </w:r>
      <w:r w:rsidR="007F7D6E">
        <w:rPr>
          <w:sz w:val="22"/>
          <w:szCs w:val="22"/>
        </w:rPr>
        <w:t>antes del cuarto trimestre estándar del año de gas 2025</w:t>
      </w:r>
      <w:r w:rsidR="00753196">
        <w:rPr>
          <w:sz w:val="22"/>
          <w:szCs w:val="22"/>
        </w:rPr>
        <w:t>.</w:t>
      </w:r>
      <w:r>
        <w:rPr>
          <w:sz w:val="22"/>
          <w:szCs w:val="22"/>
        </w:rPr>
        <w:t xml:space="preserve"> El agente comprador tiene total libertad de escoger en qué trimestres de negociación requiere las cantidades que considere </w:t>
      </w:r>
      <w:r w:rsidR="008D1A25">
        <w:rPr>
          <w:sz w:val="22"/>
          <w:szCs w:val="22"/>
        </w:rPr>
        <w:t xml:space="preserve">declarar </w:t>
      </w:r>
      <w:r>
        <w:rPr>
          <w:sz w:val="22"/>
          <w:szCs w:val="22"/>
        </w:rPr>
        <w:t>voluntariamente.</w:t>
      </w:r>
    </w:p>
    <w:p w14:paraId="106EE7EF" w14:textId="09C47D2A" w:rsidR="00E84A69" w:rsidRDefault="00E84A69" w:rsidP="00985006">
      <w:pPr>
        <w:rPr>
          <w:sz w:val="22"/>
          <w:szCs w:val="22"/>
        </w:rPr>
      </w:pPr>
    </w:p>
    <w:p w14:paraId="25CE0B32" w14:textId="1B66089E" w:rsidR="003D071D" w:rsidRDefault="00E84A69" w:rsidP="00985006">
      <w:pPr>
        <w:rPr>
          <w:sz w:val="22"/>
          <w:szCs w:val="22"/>
        </w:rPr>
      </w:pPr>
      <w:r>
        <w:rPr>
          <w:sz w:val="22"/>
          <w:szCs w:val="22"/>
        </w:rPr>
        <w:t>Eso sí, en el caso de la Demanda Esencial, cuando un comprador declara en primera instancia la</w:t>
      </w:r>
      <w:r w:rsidR="003D071D">
        <w:rPr>
          <w:sz w:val="22"/>
          <w:szCs w:val="22"/>
        </w:rPr>
        <w:t>s</w:t>
      </w:r>
      <w:r>
        <w:rPr>
          <w:sz w:val="22"/>
          <w:szCs w:val="22"/>
        </w:rPr>
        <w:t xml:space="preserve"> cantidad</w:t>
      </w:r>
      <w:r w:rsidR="003D071D">
        <w:rPr>
          <w:sz w:val="22"/>
          <w:szCs w:val="22"/>
        </w:rPr>
        <w:t>es</w:t>
      </w:r>
      <w:r>
        <w:rPr>
          <w:sz w:val="22"/>
          <w:szCs w:val="22"/>
        </w:rPr>
        <w:t xml:space="preserve"> deseada</w:t>
      </w:r>
      <w:r w:rsidR="003D071D">
        <w:rPr>
          <w:sz w:val="22"/>
          <w:szCs w:val="22"/>
        </w:rPr>
        <w:t>s,</w:t>
      </w:r>
      <w:r>
        <w:rPr>
          <w:sz w:val="22"/>
          <w:szCs w:val="22"/>
        </w:rPr>
        <w:t xml:space="preserve"> debe </w:t>
      </w:r>
      <w:r w:rsidR="000679B1">
        <w:rPr>
          <w:sz w:val="22"/>
          <w:szCs w:val="22"/>
        </w:rPr>
        <w:t>diferencia</w:t>
      </w:r>
      <w:r>
        <w:rPr>
          <w:sz w:val="22"/>
          <w:szCs w:val="22"/>
        </w:rPr>
        <w:t xml:space="preserve">r la cantidad para la demanda no regulada de esa Demanda Esencial y la cantidad para la demanda regulada de esa Demanda Esencial, que en ninguno de los dos casos, como ya se mencionó antes, tiene que ser el 100% de la demanda total requerida para el </w:t>
      </w:r>
      <w:r w:rsidR="009D22E9">
        <w:rPr>
          <w:sz w:val="22"/>
          <w:szCs w:val="22"/>
        </w:rPr>
        <w:t>trimestre estándar de ejecución</w:t>
      </w:r>
      <w:r w:rsidR="000679B1">
        <w:rPr>
          <w:sz w:val="22"/>
          <w:szCs w:val="22"/>
        </w:rPr>
        <w:t xml:space="preserve"> futuro</w:t>
      </w:r>
      <w:r>
        <w:rPr>
          <w:sz w:val="22"/>
          <w:szCs w:val="22"/>
        </w:rPr>
        <w:t xml:space="preserve"> que se </w:t>
      </w:r>
      <w:r w:rsidR="000679B1">
        <w:rPr>
          <w:sz w:val="22"/>
          <w:szCs w:val="22"/>
        </w:rPr>
        <w:t xml:space="preserve">quiere </w:t>
      </w:r>
      <w:r>
        <w:rPr>
          <w:sz w:val="22"/>
          <w:szCs w:val="22"/>
        </w:rPr>
        <w:t>contrata</w:t>
      </w:r>
      <w:r w:rsidR="000679B1">
        <w:rPr>
          <w:sz w:val="22"/>
          <w:szCs w:val="22"/>
        </w:rPr>
        <w:t>r</w:t>
      </w:r>
      <w:r w:rsidR="003D071D">
        <w:rPr>
          <w:sz w:val="22"/>
          <w:szCs w:val="22"/>
        </w:rPr>
        <w:t xml:space="preserve">, pues habrán otros procesos trimestrales donde se puedan completar las cantidades </w:t>
      </w:r>
      <w:r w:rsidR="00F771F8">
        <w:rPr>
          <w:sz w:val="22"/>
          <w:szCs w:val="22"/>
        </w:rPr>
        <w:t xml:space="preserve">declaradas y requeridas </w:t>
      </w:r>
      <w:r w:rsidR="003D071D">
        <w:rPr>
          <w:sz w:val="22"/>
          <w:szCs w:val="22"/>
        </w:rPr>
        <w:t>para ese trimestre futuro de ejecución</w:t>
      </w:r>
      <w:r>
        <w:rPr>
          <w:sz w:val="22"/>
          <w:szCs w:val="22"/>
        </w:rPr>
        <w:t xml:space="preserve">. </w:t>
      </w:r>
    </w:p>
    <w:p w14:paraId="782FF57D" w14:textId="77777777" w:rsidR="003D071D" w:rsidRDefault="003D071D" w:rsidP="00985006">
      <w:pPr>
        <w:rPr>
          <w:sz w:val="22"/>
          <w:szCs w:val="22"/>
        </w:rPr>
      </w:pPr>
    </w:p>
    <w:p w14:paraId="7DEDE09A" w14:textId="0DF46C93" w:rsidR="000679B1" w:rsidRDefault="00E84A69" w:rsidP="00985006">
      <w:pPr>
        <w:rPr>
          <w:sz w:val="22"/>
          <w:szCs w:val="22"/>
        </w:rPr>
      </w:pPr>
      <w:r>
        <w:rPr>
          <w:sz w:val="22"/>
          <w:szCs w:val="22"/>
        </w:rPr>
        <w:t xml:space="preserve">En la segunda instancia de declaración de los compradores al </w:t>
      </w:r>
      <w:r w:rsidR="005114C6">
        <w:rPr>
          <w:sz w:val="22"/>
          <w:szCs w:val="22"/>
        </w:rPr>
        <w:t>Gestor del Mercado</w:t>
      </w:r>
      <w:r>
        <w:rPr>
          <w:sz w:val="22"/>
          <w:szCs w:val="22"/>
        </w:rPr>
        <w:t>, la cantidad de Demanda Esencial de demanda no regulada se puede reducir respecto de lo declarado en la primera instancia, pero no se puede reducir la cantidad para la demanda regulada de la Demanda Esencial.</w:t>
      </w:r>
      <w:r w:rsidR="00F771F8">
        <w:rPr>
          <w:sz w:val="22"/>
          <w:szCs w:val="22"/>
        </w:rPr>
        <w:t xml:space="preserve"> </w:t>
      </w:r>
      <w:r w:rsidR="000679B1">
        <w:rPr>
          <w:sz w:val="22"/>
          <w:szCs w:val="22"/>
        </w:rPr>
        <w:t xml:space="preserve">Asimismo, en las cantidades requeridas para los usuarios no regulados que hacen parte de la Demanda Esencial el comprador deberá discriminar las cantidades que desea que sean priorizadas en la distribución que posteriormente debe hacer el Gestor del Mercado para la Demanda Esencial y las cantidades que para dichos usuarios no regulados se desea que sean parte de la subasta centralizada o </w:t>
      </w:r>
      <w:r w:rsidR="000679B1" w:rsidRPr="000679B1">
        <w:rPr>
          <w:sz w:val="22"/>
          <w:szCs w:val="22"/>
        </w:rPr>
        <w:t xml:space="preserve">del mecanismo de mercado establecido por el vendedor en el caso de fuentes de suministro </w:t>
      </w:r>
      <w:r w:rsidR="000679B1">
        <w:rPr>
          <w:sz w:val="22"/>
          <w:szCs w:val="22"/>
        </w:rPr>
        <w:t>con negociación directa</w:t>
      </w:r>
    </w:p>
    <w:p w14:paraId="6F45133E" w14:textId="77777777" w:rsidR="000679B1" w:rsidRDefault="000679B1" w:rsidP="00985006">
      <w:pPr>
        <w:rPr>
          <w:sz w:val="22"/>
          <w:szCs w:val="22"/>
        </w:rPr>
      </w:pPr>
    </w:p>
    <w:p w14:paraId="35A7E599" w14:textId="29CE6D55" w:rsidR="00F771F8" w:rsidRDefault="00114863" w:rsidP="00985006">
      <w:pPr>
        <w:rPr>
          <w:sz w:val="22"/>
          <w:szCs w:val="22"/>
        </w:rPr>
      </w:pPr>
      <w:r>
        <w:rPr>
          <w:sz w:val="22"/>
          <w:szCs w:val="22"/>
        </w:rPr>
        <w:t xml:space="preserve">Las cantidades declaradas en la segunda instancia por los </w:t>
      </w:r>
      <w:proofErr w:type="gramStart"/>
      <w:r>
        <w:rPr>
          <w:sz w:val="22"/>
          <w:szCs w:val="22"/>
        </w:rPr>
        <w:t>compradores,</w:t>
      </w:r>
      <w:proofErr w:type="gramEnd"/>
      <w:r>
        <w:rPr>
          <w:sz w:val="22"/>
          <w:szCs w:val="22"/>
        </w:rPr>
        <w:t xml:space="preserve"> pueden contemplar </w:t>
      </w:r>
      <w:r w:rsidR="00F771F8">
        <w:rPr>
          <w:sz w:val="22"/>
          <w:szCs w:val="22"/>
        </w:rPr>
        <w:t xml:space="preserve">tanto </w:t>
      </w:r>
      <w:r>
        <w:rPr>
          <w:sz w:val="22"/>
          <w:szCs w:val="22"/>
        </w:rPr>
        <w:t xml:space="preserve">cantidades para Demanda Esencial como cantidades para demanda no esencial, y es con esas cantidades que posteriormente el </w:t>
      </w:r>
      <w:r w:rsidR="005114C6">
        <w:rPr>
          <w:sz w:val="22"/>
          <w:szCs w:val="22"/>
        </w:rPr>
        <w:t>Gestor del Mercado</w:t>
      </w:r>
      <w:r>
        <w:rPr>
          <w:sz w:val="22"/>
          <w:szCs w:val="22"/>
        </w:rPr>
        <w:t xml:space="preserve"> realiza el balance comercial para ese trimestre de ejecución futura.</w:t>
      </w:r>
    </w:p>
    <w:p w14:paraId="371412B3" w14:textId="77777777" w:rsidR="00F771F8" w:rsidRDefault="00F771F8" w:rsidP="00985006">
      <w:pPr>
        <w:rPr>
          <w:sz w:val="22"/>
          <w:szCs w:val="22"/>
        </w:rPr>
      </w:pPr>
    </w:p>
    <w:p w14:paraId="3C886B71" w14:textId="1B38A722" w:rsidR="000679B1" w:rsidRDefault="005E0679" w:rsidP="00985006">
      <w:pPr>
        <w:rPr>
          <w:sz w:val="22"/>
          <w:szCs w:val="22"/>
        </w:rPr>
      </w:pPr>
      <w:r>
        <w:rPr>
          <w:sz w:val="22"/>
          <w:szCs w:val="22"/>
        </w:rPr>
        <w:t xml:space="preserve">Si hay un resultado de balance con superávit las cantidades a negociar </w:t>
      </w:r>
      <w:r w:rsidR="00BB149A">
        <w:rPr>
          <w:sz w:val="22"/>
          <w:szCs w:val="22"/>
        </w:rPr>
        <w:t xml:space="preserve">se desarrollarán en dos etapas consecutivas: </w:t>
      </w:r>
      <w:r>
        <w:rPr>
          <w:sz w:val="22"/>
          <w:szCs w:val="22"/>
        </w:rPr>
        <w:t xml:space="preserve">en </w:t>
      </w:r>
      <w:r w:rsidR="00F771F8">
        <w:rPr>
          <w:sz w:val="22"/>
          <w:szCs w:val="22"/>
        </w:rPr>
        <w:t>un</w:t>
      </w:r>
      <w:r>
        <w:rPr>
          <w:sz w:val="22"/>
          <w:szCs w:val="22"/>
        </w:rPr>
        <w:t>a primera etapa de negociación no son</w:t>
      </w:r>
      <w:r w:rsidR="00F771F8">
        <w:rPr>
          <w:sz w:val="22"/>
          <w:szCs w:val="22"/>
        </w:rPr>
        <w:t>, por tanto,</w:t>
      </w:r>
      <w:r>
        <w:rPr>
          <w:sz w:val="22"/>
          <w:szCs w:val="22"/>
        </w:rPr>
        <w:t xml:space="preserve"> solamente las de la Demanda Esencial, sino todas las requeridas en la segunda instancia</w:t>
      </w:r>
      <w:r w:rsidR="00F771F8">
        <w:rPr>
          <w:sz w:val="22"/>
          <w:szCs w:val="22"/>
        </w:rPr>
        <w:t xml:space="preserve"> de declaración de los compradores</w:t>
      </w:r>
      <w:r>
        <w:rPr>
          <w:sz w:val="22"/>
          <w:szCs w:val="22"/>
        </w:rPr>
        <w:t xml:space="preserve">, que </w:t>
      </w:r>
      <w:r w:rsidR="00F771F8">
        <w:rPr>
          <w:sz w:val="22"/>
          <w:szCs w:val="22"/>
        </w:rPr>
        <w:t>como se explicó</w:t>
      </w:r>
      <w:r>
        <w:rPr>
          <w:sz w:val="22"/>
          <w:szCs w:val="22"/>
        </w:rPr>
        <w:t>, pueden incluir cantidades de demanda no esencial. En la segunda etapa de negociación directa</w:t>
      </w:r>
      <w:r w:rsidR="00F771F8">
        <w:rPr>
          <w:sz w:val="22"/>
          <w:szCs w:val="22"/>
        </w:rPr>
        <w:t xml:space="preserve"> </w:t>
      </w:r>
      <w:r>
        <w:rPr>
          <w:sz w:val="22"/>
          <w:szCs w:val="22"/>
        </w:rPr>
        <w:t>cuando hay superávit se negocian</w:t>
      </w:r>
      <w:r w:rsidR="00F771F8">
        <w:rPr>
          <w:sz w:val="22"/>
          <w:szCs w:val="22"/>
        </w:rPr>
        <w:t>,</w:t>
      </w:r>
      <w:r>
        <w:rPr>
          <w:sz w:val="22"/>
          <w:szCs w:val="22"/>
        </w:rPr>
        <w:t xml:space="preserve"> por tanto, las cantidades deseadas declaradas en la primera instancia, que no fueron incluidas en las requeridas declaradas en la segunda instancia, sean de la Demanda Esencial de usuarios no regulados, como de la demás demanda (no esencial), en igualdad de condiciones.</w:t>
      </w:r>
      <w:r w:rsidR="000679B1">
        <w:rPr>
          <w:sz w:val="22"/>
          <w:szCs w:val="22"/>
        </w:rPr>
        <w:t xml:space="preserve"> </w:t>
      </w:r>
      <w:r w:rsidR="00E84A69">
        <w:rPr>
          <w:sz w:val="22"/>
          <w:szCs w:val="22"/>
        </w:rPr>
        <w:t xml:space="preserve">Así, se deja para las negociaciones directas las cantidades de segunda instancia, a negociar en la primera de las dos etapas que se proponen en esa situación superavitaria. </w:t>
      </w:r>
    </w:p>
    <w:p w14:paraId="4735B435" w14:textId="77777777" w:rsidR="00BB149A" w:rsidRDefault="00BB149A" w:rsidP="00985006">
      <w:pPr>
        <w:rPr>
          <w:sz w:val="22"/>
          <w:szCs w:val="22"/>
        </w:rPr>
      </w:pPr>
    </w:p>
    <w:p w14:paraId="1D5B7E72" w14:textId="77777777" w:rsidR="00BB149A" w:rsidRDefault="00BB149A" w:rsidP="00985006">
      <w:pPr>
        <w:rPr>
          <w:sz w:val="22"/>
          <w:szCs w:val="22"/>
        </w:rPr>
      </w:pPr>
      <w:r>
        <w:rPr>
          <w:sz w:val="22"/>
          <w:szCs w:val="22"/>
        </w:rPr>
        <w:t xml:space="preserve">A </w:t>
      </w:r>
      <w:proofErr w:type="gramStart"/>
      <w:r>
        <w:rPr>
          <w:sz w:val="22"/>
          <w:szCs w:val="22"/>
        </w:rPr>
        <w:t>continuación</w:t>
      </w:r>
      <w:proofErr w:type="gramEnd"/>
      <w:r>
        <w:rPr>
          <w:sz w:val="22"/>
          <w:szCs w:val="22"/>
        </w:rPr>
        <w:t xml:space="preserve"> se muestra un ejemplo ilustrativo de las etapas de negociación directa, que se dan cuando se presentan balances comerciales superavitarios:</w:t>
      </w:r>
    </w:p>
    <w:p w14:paraId="35F6E1C4" w14:textId="77777777" w:rsidR="00BB149A" w:rsidRDefault="00BB149A" w:rsidP="00985006">
      <w:pPr>
        <w:rPr>
          <w:sz w:val="22"/>
          <w:szCs w:val="22"/>
        </w:rPr>
      </w:pPr>
    </w:p>
    <w:p w14:paraId="38D41AA5" w14:textId="67A2D4C0" w:rsidR="00BB149A" w:rsidRDefault="00BB149A" w:rsidP="00BB149A">
      <w:pPr>
        <w:pStyle w:val="Prrafodelista"/>
        <w:numPr>
          <w:ilvl w:val="0"/>
          <w:numId w:val="37"/>
        </w:numPr>
        <w:rPr>
          <w:sz w:val="22"/>
          <w:szCs w:val="22"/>
        </w:rPr>
      </w:pPr>
      <w:r>
        <w:rPr>
          <w:sz w:val="22"/>
          <w:szCs w:val="22"/>
        </w:rPr>
        <w:t xml:space="preserve">Se presenta la siguiente situación de la </w:t>
      </w:r>
      <w:r>
        <w:rPr>
          <w:sz w:val="22"/>
          <w:szCs w:val="22"/>
        </w:rPr>
        <w:fldChar w:fldCharType="begin"/>
      </w:r>
      <w:r>
        <w:rPr>
          <w:sz w:val="22"/>
          <w:szCs w:val="22"/>
        </w:rPr>
        <w:instrText xml:space="preserve"> REF _Ref135821166 \h </w:instrText>
      </w:r>
      <w:r>
        <w:rPr>
          <w:sz w:val="22"/>
          <w:szCs w:val="22"/>
        </w:rPr>
      </w:r>
      <w:r>
        <w:rPr>
          <w:sz w:val="22"/>
          <w:szCs w:val="22"/>
        </w:rPr>
        <w:fldChar w:fldCharType="separate"/>
      </w:r>
      <w:r w:rsidRPr="00170B6A">
        <w:rPr>
          <w:sz w:val="22"/>
          <w:szCs w:val="22"/>
        </w:rPr>
        <w:t xml:space="preserve">Figura </w:t>
      </w:r>
      <w:r w:rsidRPr="00170B6A">
        <w:rPr>
          <w:noProof/>
          <w:sz w:val="22"/>
          <w:szCs w:val="22"/>
        </w:rPr>
        <w:t>25</w:t>
      </w:r>
      <w:r>
        <w:rPr>
          <w:sz w:val="22"/>
          <w:szCs w:val="22"/>
        </w:rPr>
        <w:fldChar w:fldCharType="end"/>
      </w:r>
      <w:r>
        <w:rPr>
          <w:sz w:val="22"/>
          <w:szCs w:val="22"/>
        </w:rPr>
        <w:t xml:space="preserve"> en el trimestre estándar de negociación, para un trimestre estándar de suministro futuro:</w:t>
      </w:r>
    </w:p>
    <w:p w14:paraId="55E939D8" w14:textId="77777777" w:rsidR="00BB149A" w:rsidRDefault="00BB149A" w:rsidP="00BB149A">
      <w:pPr>
        <w:rPr>
          <w:sz w:val="22"/>
          <w:szCs w:val="22"/>
        </w:rPr>
      </w:pPr>
    </w:p>
    <w:p w14:paraId="6724AE8C" w14:textId="77777777" w:rsidR="00BB149A" w:rsidRDefault="00BB149A" w:rsidP="00BB149A">
      <w:pPr>
        <w:rPr>
          <w:sz w:val="22"/>
          <w:szCs w:val="22"/>
        </w:rPr>
      </w:pPr>
    </w:p>
    <w:p w14:paraId="225C8179" w14:textId="03408292" w:rsidR="00BB149A" w:rsidRPr="00170B6A" w:rsidRDefault="00BB149A" w:rsidP="00170B6A">
      <w:pPr>
        <w:pStyle w:val="Descripcin"/>
        <w:keepNext/>
        <w:jc w:val="center"/>
        <w:rPr>
          <w:i w:val="0"/>
          <w:iCs w:val="0"/>
          <w:sz w:val="22"/>
          <w:szCs w:val="22"/>
        </w:rPr>
      </w:pPr>
      <w:bookmarkStart w:id="438" w:name="_Ref135821166"/>
      <w:bookmarkStart w:id="439" w:name="_Toc140506618"/>
      <w:r w:rsidRPr="00170B6A">
        <w:rPr>
          <w:i w:val="0"/>
          <w:iCs w:val="0"/>
          <w:sz w:val="22"/>
          <w:szCs w:val="22"/>
        </w:rPr>
        <w:t xml:space="preserve">Figura </w:t>
      </w:r>
      <w:r w:rsidRPr="00170B6A">
        <w:rPr>
          <w:i w:val="0"/>
          <w:iCs w:val="0"/>
          <w:sz w:val="22"/>
          <w:szCs w:val="22"/>
        </w:rPr>
        <w:fldChar w:fldCharType="begin"/>
      </w:r>
      <w:r w:rsidRPr="00170B6A">
        <w:rPr>
          <w:i w:val="0"/>
          <w:iCs w:val="0"/>
          <w:sz w:val="22"/>
          <w:szCs w:val="22"/>
        </w:rPr>
        <w:instrText xml:space="preserve"> SEQ Figura \* ARABIC </w:instrText>
      </w:r>
      <w:r w:rsidRPr="00170B6A">
        <w:rPr>
          <w:i w:val="0"/>
          <w:iCs w:val="0"/>
          <w:sz w:val="22"/>
          <w:szCs w:val="22"/>
        </w:rPr>
        <w:fldChar w:fldCharType="separate"/>
      </w:r>
      <w:r w:rsidR="006B5CAC">
        <w:rPr>
          <w:i w:val="0"/>
          <w:iCs w:val="0"/>
          <w:noProof/>
          <w:sz w:val="22"/>
          <w:szCs w:val="22"/>
        </w:rPr>
        <w:t>25</w:t>
      </w:r>
      <w:r w:rsidRPr="00170B6A">
        <w:rPr>
          <w:i w:val="0"/>
          <w:iCs w:val="0"/>
          <w:sz w:val="22"/>
          <w:szCs w:val="22"/>
        </w:rPr>
        <w:fldChar w:fldCharType="end"/>
      </w:r>
      <w:bookmarkEnd w:id="438"/>
      <w:r>
        <w:rPr>
          <w:i w:val="0"/>
          <w:iCs w:val="0"/>
          <w:sz w:val="22"/>
          <w:szCs w:val="22"/>
        </w:rPr>
        <w:t xml:space="preserve"> Ejemplo de Declaración al Gestor del Mercado</w:t>
      </w:r>
      <w:bookmarkEnd w:id="439"/>
    </w:p>
    <w:p w14:paraId="73B4943E" w14:textId="23487314" w:rsidR="00BB149A" w:rsidRPr="00170B6A" w:rsidRDefault="00BB149A" w:rsidP="00BB149A">
      <w:pPr>
        <w:rPr>
          <w:sz w:val="22"/>
          <w:szCs w:val="22"/>
        </w:rPr>
      </w:pPr>
      <w:r w:rsidRPr="00BB149A">
        <w:rPr>
          <w:noProof/>
        </w:rPr>
        <w:drawing>
          <wp:inline distT="0" distB="0" distL="0" distR="0" wp14:anchorId="2D7386B5" wp14:editId="1F66C083">
            <wp:extent cx="5940425" cy="1414780"/>
            <wp:effectExtent l="0" t="0" r="3175" b="0"/>
            <wp:docPr id="1590779286" name="Imagen 1590779286"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9286" name="Imagen 1" descr="Calendario&#10;&#10;Descripción generada automáticamente"/>
                    <pic:cNvPicPr/>
                  </pic:nvPicPr>
                  <pic:blipFill>
                    <a:blip r:embed="rId47"/>
                    <a:stretch>
                      <a:fillRect/>
                    </a:stretch>
                  </pic:blipFill>
                  <pic:spPr>
                    <a:xfrm>
                      <a:off x="0" y="0"/>
                      <a:ext cx="5940425" cy="1414780"/>
                    </a:xfrm>
                    <a:prstGeom prst="rect">
                      <a:avLst/>
                    </a:prstGeom>
                  </pic:spPr>
                </pic:pic>
              </a:graphicData>
            </a:graphic>
          </wp:inline>
        </w:drawing>
      </w:r>
    </w:p>
    <w:p w14:paraId="7105A771" w14:textId="77777777" w:rsidR="000679B1" w:rsidRDefault="000679B1" w:rsidP="00985006">
      <w:pPr>
        <w:rPr>
          <w:sz w:val="22"/>
          <w:szCs w:val="22"/>
        </w:rPr>
      </w:pPr>
    </w:p>
    <w:p w14:paraId="3D4B8965" w14:textId="75DC0B5C" w:rsidR="00BB149A" w:rsidRDefault="00F45CD3" w:rsidP="00170B6A">
      <w:pPr>
        <w:ind w:left="360"/>
        <w:rPr>
          <w:sz w:val="22"/>
          <w:szCs w:val="22"/>
        </w:rPr>
      </w:pPr>
      <w:r>
        <w:rPr>
          <w:sz w:val="22"/>
          <w:szCs w:val="22"/>
        </w:rPr>
        <w:t xml:space="preserve">Como se observa de la </w:t>
      </w:r>
      <w:r>
        <w:rPr>
          <w:sz w:val="22"/>
          <w:szCs w:val="22"/>
        </w:rPr>
        <w:fldChar w:fldCharType="begin"/>
      </w:r>
      <w:r>
        <w:rPr>
          <w:sz w:val="22"/>
          <w:szCs w:val="22"/>
        </w:rPr>
        <w:instrText xml:space="preserve"> REF _Ref135821166 \h </w:instrText>
      </w:r>
      <w:r>
        <w:rPr>
          <w:sz w:val="22"/>
          <w:szCs w:val="22"/>
        </w:rPr>
      </w:r>
      <w:r>
        <w:rPr>
          <w:sz w:val="22"/>
          <w:szCs w:val="22"/>
        </w:rPr>
        <w:fldChar w:fldCharType="separate"/>
      </w:r>
      <w:r w:rsidRPr="00170B6A">
        <w:rPr>
          <w:sz w:val="22"/>
          <w:szCs w:val="22"/>
        </w:rPr>
        <w:t xml:space="preserve">Figura </w:t>
      </w:r>
      <w:r w:rsidRPr="00170B6A">
        <w:rPr>
          <w:noProof/>
          <w:sz w:val="22"/>
          <w:szCs w:val="22"/>
        </w:rPr>
        <w:t>25</w:t>
      </w:r>
      <w:r>
        <w:rPr>
          <w:sz w:val="22"/>
          <w:szCs w:val="22"/>
        </w:rPr>
        <w:fldChar w:fldCharType="end"/>
      </w:r>
      <w:r>
        <w:rPr>
          <w:sz w:val="22"/>
          <w:szCs w:val="22"/>
        </w:rPr>
        <w:t xml:space="preserve"> el balance comercial resulta superavitario, luego de que los compradores modificasen su requerimiento de cantidades en la segunda instancia de declaración al Gestor del Mercado. Siendo así, las negociaciones se pueden desarrollar bajo el mecanismo de comercialización de negociación directa. </w:t>
      </w:r>
    </w:p>
    <w:p w14:paraId="5B53A675" w14:textId="77777777" w:rsidR="00F45CD3" w:rsidRDefault="00F45CD3" w:rsidP="00985006">
      <w:pPr>
        <w:rPr>
          <w:sz w:val="22"/>
          <w:szCs w:val="22"/>
        </w:rPr>
      </w:pPr>
    </w:p>
    <w:p w14:paraId="3FCE4C9A" w14:textId="5D15E662" w:rsidR="00F45CD3" w:rsidRPr="00170B6A" w:rsidRDefault="00F45CD3" w:rsidP="00170B6A">
      <w:pPr>
        <w:pStyle w:val="Prrafodelista"/>
        <w:numPr>
          <w:ilvl w:val="0"/>
          <w:numId w:val="37"/>
        </w:numPr>
        <w:rPr>
          <w:sz w:val="22"/>
          <w:szCs w:val="22"/>
        </w:rPr>
      </w:pPr>
      <w:r w:rsidRPr="00170B6A">
        <w:rPr>
          <w:sz w:val="22"/>
          <w:szCs w:val="22"/>
        </w:rPr>
        <w:t xml:space="preserve">Si no se estableciese el esquema de dos etapas en la negociación directa, se podrían obtener los siguientes resultados de la </w:t>
      </w:r>
      <w:r w:rsidRPr="00170B6A">
        <w:rPr>
          <w:sz w:val="22"/>
          <w:szCs w:val="22"/>
        </w:rPr>
        <w:fldChar w:fldCharType="begin"/>
      </w:r>
      <w:r w:rsidRPr="00170B6A">
        <w:rPr>
          <w:sz w:val="22"/>
          <w:szCs w:val="22"/>
        </w:rPr>
        <w:instrText xml:space="preserve"> REF _Ref135821433 \h </w:instrText>
      </w:r>
      <w:r w:rsidRPr="00170B6A">
        <w:rPr>
          <w:sz w:val="22"/>
          <w:szCs w:val="22"/>
        </w:rPr>
      </w:r>
      <w:r w:rsidRPr="00170B6A">
        <w:rPr>
          <w:sz w:val="22"/>
          <w:szCs w:val="22"/>
        </w:rPr>
        <w:fldChar w:fldCharType="separate"/>
      </w:r>
      <w:r w:rsidRPr="00170B6A">
        <w:rPr>
          <w:sz w:val="22"/>
          <w:szCs w:val="22"/>
        </w:rPr>
        <w:t xml:space="preserve">Figura </w:t>
      </w:r>
      <w:r w:rsidRPr="00170B6A">
        <w:rPr>
          <w:noProof/>
          <w:sz w:val="22"/>
          <w:szCs w:val="22"/>
        </w:rPr>
        <w:t>26</w:t>
      </w:r>
      <w:r w:rsidRPr="00170B6A">
        <w:rPr>
          <w:sz w:val="22"/>
          <w:szCs w:val="22"/>
        </w:rPr>
        <w:fldChar w:fldCharType="end"/>
      </w:r>
      <w:r w:rsidRPr="00170B6A">
        <w:rPr>
          <w:sz w:val="22"/>
          <w:szCs w:val="22"/>
        </w:rPr>
        <w:t>:</w:t>
      </w:r>
    </w:p>
    <w:p w14:paraId="3164692E" w14:textId="77777777" w:rsidR="00F45CD3" w:rsidRDefault="00F45CD3" w:rsidP="00985006">
      <w:pPr>
        <w:rPr>
          <w:sz w:val="22"/>
          <w:szCs w:val="22"/>
        </w:rPr>
      </w:pPr>
    </w:p>
    <w:p w14:paraId="6CE3EC03" w14:textId="77777777" w:rsidR="00F45CD3" w:rsidRDefault="00F45CD3" w:rsidP="00985006">
      <w:pPr>
        <w:rPr>
          <w:sz w:val="22"/>
          <w:szCs w:val="22"/>
        </w:rPr>
      </w:pPr>
    </w:p>
    <w:p w14:paraId="53D8926C" w14:textId="2FB955A9" w:rsidR="00F45CD3" w:rsidRPr="00170B6A" w:rsidRDefault="00F45CD3" w:rsidP="00170B6A">
      <w:pPr>
        <w:pStyle w:val="Descripcin"/>
        <w:keepNext/>
        <w:jc w:val="center"/>
        <w:rPr>
          <w:i w:val="0"/>
          <w:iCs w:val="0"/>
          <w:sz w:val="22"/>
          <w:szCs w:val="22"/>
        </w:rPr>
      </w:pPr>
      <w:bookmarkStart w:id="440" w:name="_Ref135821433"/>
      <w:bookmarkStart w:id="441" w:name="_Toc140506619"/>
      <w:r w:rsidRPr="00170B6A">
        <w:rPr>
          <w:i w:val="0"/>
          <w:iCs w:val="0"/>
          <w:sz w:val="22"/>
          <w:szCs w:val="22"/>
        </w:rPr>
        <w:t xml:space="preserve">Figura </w:t>
      </w:r>
      <w:r w:rsidRPr="00170B6A">
        <w:rPr>
          <w:i w:val="0"/>
          <w:iCs w:val="0"/>
          <w:sz w:val="22"/>
          <w:szCs w:val="22"/>
        </w:rPr>
        <w:fldChar w:fldCharType="begin"/>
      </w:r>
      <w:r w:rsidRPr="00170B6A">
        <w:rPr>
          <w:i w:val="0"/>
          <w:iCs w:val="0"/>
          <w:sz w:val="22"/>
          <w:szCs w:val="22"/>
        </w:rPr>
        <w:instrText xml:space="preserve"> SEQ Figura \* ARABIC </w:instrText>
      </w:r>
      <w:r w:rsidRPr="00170B6A">
        <w:rPr>
          <w:i w:val="0"/>
          <w:iCs w:val="0"/>
          <w:sz w:val="22"/>
          <w:szCs w:val="22"/>
        </w:rPr>
        <w:fldChar w:fldCharType="separate"/>
      </w:r>
      <w:r w:rsidR="006B5CAC">
        <w:rPr>
          <w:i w:val="0"/>
          <w:iCs w:val="0"/>
          <w:noProof/>
          <w:sz w:val="22"/>
          <w:szCs w:val="22"/>
        </w:rPr>
        <w:t>26</w:t>
      </w:r>
      <w:r w:rsidRPr="00170B6A">
        <w:rPr>
          <w:i w:val="0"/>
          <w:iCs w:val="0"/>
          <w:sz w:val="22"/>
          <w:szCs w:val="22"/>
        </w:rPr>
        <w:fldChar w:fldCharType="end"/>
      </w:r>
      <w:bookmarkEnd w:id="440"/>
      <w:r w:rsidRPr="00170B6A">
        <w:rPr>
          <w:i w:val="0"/>
          <w:iCs w:val="0"/>
          <w:sz w:val="22"/>
          <w:szCs w:val="22"/>
        </w:rPr>
        <w:t xml:space="preserve"> Resultados de contratación en una sola etapa de negociación</w:t>
      </w:r>
      <w:r w:rsidR="006B5CAC">
        <w:rPr>
          <w:i w:val="0"/>
          <w:iCs w:val="0"/>
          <w:sz w:val="22"/>
          <w:szCs w:val="22"/>
        </w:rPr>
        <w:t xml:space="preserve"> directa</w:t>
      </w:r>
      <w:bookmarkEnd w:id="441"/>
    </w:p>
    <w:p w14:paraId="41B6B609" w14:textId="017AA1EC" w:rsidR="00F45CD3" w:rsidRDefault="00F45CD3" w:rsidP="00170B6A">
      <w:pPr>
        <w:jc w:val="center"/>
        <w:rPr>
          <w:sz w:val="22"/>
          <w:szCs w:val="22"/>
        </w:rPr>
      </w:pPr>
      <w:r w:rsidRPr="00F45CD3">
        <w:rPr>
          <w:noProof/>
        </w:rPr>
        <w:drawing>
          <wp:inline distT="0" distB="0" distL="0" distR="0" wp14:anchorId="58A27EC6" wp14:editId="1426A0AC">
            <wp:extent cx="4038160" cy="1316125"/>
            <wp:effectExtent l="0" t="0" r="635" b="0"/>
            <wp:docPr id="762728833" name="Imagen 7627288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28833" name="Imagen 1" descr="Tabla&#10;&#10;Descripción generada automáticamente"/>
                    <pic:cNvPicPr/>
                  </pic:nvPicPr>
                  <pic:blipFill>
                    <a:blip r:embed="rId48"/>
                    <a:stretch>
                      <a:fillRect/>
                    </a:stretch>
                  </pic:blipFill>
                  <pic:spPr>
                    <a:xfrm>
                      <a:off x="0" y="0"/>
                      <a:ext cx="4049292" cy="1319753"/>
                    </a:xfrm>
                    <a:prstGeom prst="rect">
                      <a:avLst/>
                    </a:prstGeom>
                  </pic:spPr>
                </pic:pic>
              </a:graphicData>
            </a:graphic>
          </wp:inline>
        </w:drawing>
      </w:r>
    </w:p>
    <w:p w14:paraId="4F32A629" w14:textId="77777777" w:rsidR="00F45CD3" w:rsidRDefault="00F45CD3" w:rsidP="00985006">
      <w:pPr>
        <w:rPr>
          <w:sz w:val="22"/>
          <w:szCs w:val="22"/>
        </w:rPr>
      </w:pPr>
    </w:p>
    <w:p w14:paraId="7F53B186" w14:textId="4C242355" w:rsidR="006B5CAC" w:rsidRDefault="006B5CAC" w:rsidP="006B5CAC">
      <w:pPr>
        <w:ind w:left="426"/>
        <w:rPr>
          <w:sz w:val="22"/>
          <w:szCs w:val="22"/>
        </w:rPr>
      </w:pPr>
      <w:r>
        <w:rPr>
          <w:sz w:val="22"/>
          <w:szCs w:val="22"/>
        </w:rPr>
        <w:t xml:space="preserve">Se observa en la </w:t>
      </w:r>
      <w:r>
        <w:rPr>
          <w:sz w:val="22"/>
          <w:szCs w:val="22"/>
        </w:rPr>
        <w:fldChar w:fldCharType="begin"/>
      </w:r>
      <w:r>
        <w:rPr>
          <w:sz w:val="22"/>
          <w:szCs w:val="22"/>
        </w:rPr>
        <w:instrText xml:space="preserve"> REF _Ref135821433 \h </w:instrText>
      </w:r>
      <w:r>
        <w:rPr>
          <w:sz w:val="22"/>
          <w:szCs w:val="22"/>
        </w:rPr>
      </w:r>
      <w:r>
        <w:rPr>
          <w:sz w:val="22"/>
          <w:szCs w:val="22"/>
        </w:rPr>
        <w:fldChar w:fldCharType="separate"/>
      </w:r>
      <w:r w:rsidRPr="00170B6A">
        <w:rPr>
          <w:sz w:val="22"/>
          <w:szCs w:val="22"/>
        </w:rPr>
        <w:t xml:space="preserve">Figura </w:t>
      </w:r>
      <w:r w:rsidRPr="00170B6A">
        <w:rPr>
          <w:noProof/>
          <w:sz w:val="22"/>
          <w:szCs w:val="22"/>
        </w:rPr>
        <w:t>26</w:t>
      </w:r>
      <w:r>
        <w:rPr>
          <w:sz w:val="22"/>
          <w:szCs w:val="22"/>
        </w:rPr>
        <w:fldChar w:fldCharType="end"/>
      </w:r>
      <w:r>
        <w:rPr>
          <w:sz w:val="22"/>
          <w:szCs w:val="22"/>
        </w:rPr>
        <w:t xml:space="preserve"> que parte de la demanda esencial regulada quedó contratada por debajo de lo requerido en la segunda instancia de declaración al Gestor del Mercado (que debe ser igual a la cantidad declarada en la primera instancia caso del comercializador 3), lo que también ocurre con parte de la demás demanda declarada en la segunda instancia (caso del UNR Termoeléctrico que requería 40 y no pudo contratar ninguna cantidad). </w:t>
      </w:r>
      <w:r w:rsidR="00107B0C">
        <w:rPr>
          <w:sz w:val="22"/>
          <w:szCs w:val="22"/>
        </w:rPr>
        <w:t xml:space="preserve">Lo anterior llevaría a que el mecanismo MADE no permitiese cumplir con lo establecido en el Decreto </w:t>
      </w:r>
      <w:r w:rsidR="00595701">
        <w:rPr>
          <w:sz w:val="22"/>
          <w:szCs w:val="22"/>
        </w:rPr>
        <w:t xml:space="preserve">1073 de 2015 </w:t>
      </w:r>
      <w:r w:rsidR="00107B0C">
        <w:rPr>
          <w:sz w:val="22"/>
          <w:szCs w:val="22"/>
        </w:rPr>
        <w:t xml:space="preserve">sobre la garantía de acceso a la Demanda Esencial de contratos con </w:t>
      </w:r>
      <w:r w:rsidR="00595701">
        <w:rPr>
          <w:sz w:val="22"/>
          <w:szCs w:val="22"/>
        </w:rPr>
        <w:t xml:space="preserve">Respaldo </w:t>
      </w:r>
      <w:r w:rsidR="00107B0C">
        <w:rPr>
          <w:sz w:val="22"/>
          <w:szCs w:val="22"/>
        </w:rPr>
        <w:t>Físico</w:t>
      </w:r>
      <w:r w:rsidR="00595701">
        <w:rPr>
          <w:sz w:val="22"/>
          <w:szCs w:val="22"/>
        </w:rPr>
        <w:t>.</w:t>
      </w:r>
    </w:p>
    <w:p w14:paraId="6D3D8739" w14:textId="77777777" w:rsidR="006B5CAC" w:rsidRDefault="006B5CAC" w:rsidP="006B5CAC">
      <w:pPr>
        <w:ind w:left="426"/>
        <w:rPr>
          <w:sz w:val="22"/>
          <w:szCs w:val="22"/>
        </w:rPr>
      </w:pPr>
    </w:p>
    <w:p w14:paraId="34490662" w14:textId="7DC040C0" w:rsidR="006B5CAC" w:rsidRDefault="006B5CAC" w:rsidP="006B5CAC">
      <w:pPr>
        <w:pStyle w:val="Prrafodelista"/>
        <w:numPr>
          <w:ilvl w:val="0"/>
          <w:numId w:val="37"/>
        </w:numPr>
        <w:rPr>
          <w:sz w:val="22"/>
          <w:szCs w:val="22"/>
        </w:rPr>
      </w:pPr>
      <w:r>
        <w:rPr>
          <w:sz w:val="22"/>
          <w:szCs w:val="22"/>
        </w:rPr>
        <w:t xml:space="preserve">Con el fin de evitar lo anterior en la nueva propuesta se establecen dos etapas de negociación directa, que llevarían al siguiente resultado de la </w:t>
      </w:r>
      <w:r>
        <w:rPr>
          <w:sz w:val="22"/>
          <w:szCs w:val="22"/>
        </w:rPr>
        <w:fldChar w:fldCharType="begin"/>
      </w:r>
      <w:r>
        <w:rPr>
          <w:sz w:val="22"/>
          <w:szCs w:val="22"/>
        </w:rPr>
        <w:instrText xml:space="preserve"> REF _Ref135821846 \h </w:instrText>
      </w:r>
      <w:r>
        <w:rPr>
          <w:sz w:val="22"/>
          <w:szCs w:val="22"/>
        </w:rPr>
      </w:r>
      <w:r>
        <w:rPr>
          <w:sz w:val="22"/>
          <w:szCs w:val="22"/>
        </w:rPr>
        <w:fldChar w:fldCharType="separate"/>
      </w:r>
      <w:r w:rsidRPr="00170B6A">
        <w:rPr>
          <w:sz w:val="22"/>
          <w:szCs w:val="22"/>
        </w:rPr>
        <w:t xml:space="preserve">Figura </w:t>
      </w:r>
      <w:r w:rsidRPr="00170B6A">
        <w:rPr>
          <w:noProof/>
          <w:sz w:val="22"/>
          <w:szCs w:val="22"/>
        </w:rPr>
        <w:t>27</w:t>
      </w:r>
      <w:r>
        <w:rPr>
          <w:sz w:val="22"/>
          <w:szCs w:val="22"/>
        </w:rPr>
        <w:fldChar w:fldCharType="end"/>
      </w:r>
      <w:r>
        <w:rPr>
          <w:sz w:val="22"/>
          <w:szCs w:val="22"/>
        </w:rPr>
        <w:t>, para efectos del ejemplo:</w:t>
      </w:r>
    </w:p>
    <w:p w14:paraId="63C1C2D0" w14:textId="77777777" w:rsidR="006B5CAC" w:rsidRDefault="006B5CAC" w:rsidP="006B5CAC">
      <w:pPr>
        <w:rPr>
          <w:sz w:val="22"/>
          <w:szCs w:val="22"/>
        </w:rPr>
      </w:pPr>
    </w:p>
    <w:p w14:paraId="117327ED" w14:textId="77777777" w:rsidR="006B5CAC" w:rsidRDefault="006B5CAC" w:rsidP="006B5CAC">
      <w:pPr>
        <w:rPr>
          <w:sz w:val="22"/>
          <w:szCs w:val="22"/>
        </w:rPr>
      </w:pPr>
    </w:p>
    <w:p w14:paraId="1CC28112" w14:textId="03CD3534" w:rsidR="006B5CAC" w:rsidRDefault="006B5CAC" w:rsidP="006B5CAC">
      <w:pPr>
        <w:pStyle w:val="Descripcin"/>
        <w:keepNext/>
        <w:jc w:val="center"/>
        <w:rPr>
          <w:i w:val="0"/>
          <w:iCs w:val="0"/>
          <w:sz w:val="22"/>
          <w:szCs w:val="22"/>
        </w:rPr>
      </w:pPr>
      <w:bookmarkStart w:id="442" w:name="_Ref135821846"/>
      <w:bookmarkStart w:id="443" w:name="_Toc140506620"/>
      <w:r w:rsidRPr="00170B6A">
        <w:rPr>
          <w:i w:val="0"/>
          <w:iCs w:val="0"/>
          <w:sz w:val="22"/>
          <w:szCs w:val="22"/>
        </w:rPr>
        <w:t xml:space="preserve">Figura </w:t>
      </w:r>
      <w:r w:rsidRPr="00170B6A">
        <w:rPr>
          <w:i w:val="0"/>
          <w:iCs w:val="0"/>
          <w:sz w:val="22"/>
          <w:szCs w:val="22"/>
        </w:rPr>
        <w:fldChar w:fldCharType="begin"/>
      </w:r>
      <w:r w:rsidRPr="00170B6A">
        <w:rPr>
          <w:i w:val="0"/>
          <w:iCs w:val="0"/>
          <w:sz w:val="22"/>
          <w:szCs w:val="22"/>
        </w:rPr>
        <w:instrText xml:space="preserve"> SEQ Figura \* ARABIC </w:instrText>
      </w:r>
      <w:r w:rsidRPr="00170B6A">
        <w:rPr>
          <w:i w:val="0"/>
          <w:iCs w:val="0"/>
          <w:sz w:val="22"/>
          <w:szCs w:val="22"/>
        </w:rPr>
        <w:fldChar w:fldCharType="separate"/>
      </w:r>
      <w:r w:rsidRPr="00170B6A">
        <w:rPr>
          <w:i w:val="0"/>
          <w:iCs w:val="0"/>
          <w:noProof/>
          <w:sz w:val="22"/>
          <w:szCs w:val="22"/>
        </w:rPr>
        <w:t>27</w:t>
      </w:r>
      <w:r w:rsidRPr="00170B6A">
        <w:rPr>
          <w:i w:val="0"/>
          <w:iCs w:val="0"/>
          <w:sz w:val="22"/>
          <w:szCs w:val="22"/>
        </w:rPr>
        <w:fldChar w:fldCharType="end"/>
      </w:r>
      <w:bookmarkEnd w:id="442"/>
      <w:r w:rsidRPr="006B5CAC">
        <w:rPr>
          <w:i w:val="0"/>
          <w:iCs w:val="0"/>
          <w:sz w:val="22"/>
          <w:szCs w:val="22"/>
        </w:rPr>
        <w:t xml:space="preserve"> </w:t>
      </w:r>
      <w:r w:rsidRPr="002A73CA">
        <w:rPr>
          <w:i w:val="0"/>
          <w:iCs w:val="0"/>
          <w:sz w:val="22"/>
          <w:szCs w:val="22"/>
        </w:rPr>
        <w:t xml:space="preserve">Resultados de contratación en </w:t>
      </w:r>
      <w:r>
        <w:rPr>
          <w:i w:val="0"/>
          <w:iCs w:val="0"/>
          <w:sz w:val="22"/>
          <w:szCs w:val="22"/>
        </w:rPr>
        <w:t>dos</w:t>
      </w:r>
      <w:r w:rsidRPr="002A73CA">
        <w:rPr>
          <w:i w:val="0"/>
          <w:iCs w:val="0"/>
          <w:sz w:val="22"/>
          <w:szCs w:val="22"/>
        </w:rPr>
        <w:t xml:space="preserve"> etapa</w:t>
      </w:r>
      <w:r>
        <w:rPr>
          <w:i w:val="0"/>
          <w:iCs w:val="0"/>
          <w:sz w:val="22"/>
          <w:szCs w:val="22"/>
        </w:rPr>
        <w:t>s</w:t>
      </w:r>
      <w:r w:rsidRPr="002A73CA">
        <w:rPr>
          <w:i w:val="0"/>
          <w:iCs w:val="0"/>
          <w:sz w:val="22"/>
          <w:szCs w:val="22"/>
        </w:rPr>
        <w:t xml:space="preserve"> de negociación</w:t>
      </w:r>
      <w:r>
        <w:rPr>
          <w:i w:val="0"/>
          <w:iCs w:val="0"/>
          <w:sz w:val="22"/>
          <w:szCs w:val="22"/>
        </w:rPr>
        <w:t xml:space="preserve"> directa</w:t>
      </w:r>
      <w:bookmarkEnd w:id="443"/>
    </w:p>
    <w:p w14:paraId="5DED8F1F" w14:textId="77777777" w:rsidR="006B5CAC" w:rsidRPr="006B5CAC" w:rsidRDefault="006B5CAC" w:rsidP="00170B6A"/>
    <w:p w14:paraId="41774D68" w14:textId="1EA06D85" w:rsidR="006B5CAC" w:rsidRPr="00170B6A" w:rsidRDefault="006B5CAC" w:rsidP="006B5CAC">
      <w:pPr>
        <w:rPr>
          <w:sz w:val="22"/>
          <w:szCs w:val="22"/>
        </w:rPr>
      </w:pPr>
      <w:r w:rsidRPr="006B5CAC">
        <w:rPr>
          <w:noProof/>
        </w:rPr>
        <w:drawing>
          <wp:inline distT="0" distB="0" distL="0" distR="0" wp14:anchorId="0B963D0B" wp14:editId="04A9DB07">
            <wp:extent cx="5940425" cy="1047750"/>
            <wp:effectExtent l="0" t="0" r="3175" b="0"/>
            <wp:docPr id="54788728" name="Imagen 54788728" descr="Imagen que contiene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8728" name="Imagen 1" descr="Imagen que contiene Gráfico de dispersión&#10;&#10;Descripción generada automáticamente"/>
                    <pic:cNvPicPr/>
                  </pic:nvPicPr>
                  <pic:blipFill>
                    <a:blip r:embed="rId49"/>
                    <a:stretch>
                      <a:fillRect/>
                    </a:stretch>
                  </pic:blipFill>
                  <pic:spPr>
                    <a:xfrm>
                      <a:off x="0" y="0"/>
                      <a:ext cx="5940425" cy="1047750"/>
                    </a:xfrm>
                    <a:prstGeom prst="rect">
                      <a:avLst/>
                    </a:prstGeom>
                  </pic:spPr>
                </pic:pic>
              </a:graphicData>
            </a:graphic>
          </wp:inline>
        </w:drawing>
      </w:r>
    </w:p>
    <w:p w14:paraId="2777FE7F" w14:textId="77777777" w:rsidR="00F45CD3" w:rsidRDefault="00F45CD3" w:rsidP="00985006">
      <w:pPr>
        <w:rPr>
          <w:sz w:val="22"/>
          <w:szCs w:val="22"/>
        </w:rPr>
      </w:pPr>
    </w:p>
    <w:p w14:paraId="59D1C45E" w14:textId="199FAFC9" w:rsidR="006B5CAC" w:rsidRDefault="006B5CAC" w:rsidP="00170B6A">
      <w:pPr>
        <w:ind w:left="426"/>
        <w:rPr>
          <w:sz w:val="22"/>
          <w:szCs w:val="22"/>
        </w:rPr>
      </w:pPr>
      <w:r>
        <w:rPr>
          <w:sz w:val="22"/>
          <w:szCs w:val="22"/>
        </w:rPr>
        <w:t>Se observa que en la primera etapa fue posible negociar las cantidades requeridas en la segunda instancia de declaración de los compradores al Gestor del Mercado</w:t>
      </w:r>
      <w:r w:rsidR="00524328">
        <w:rPr>
          <w:sz w:val="22"/>
          <w:szCs w:val="22"/>
        </w:rPr>
        <w:t>, no solo para la Demanda Esencial regulada y no regulada sino para los compradores que declararon compromiso de contratar cantidades en la segunda instancia de declaración al Gestor del Mercado que no son parte de la Demanda Esencial, como es el caso del usuario termoeléctrico</w:t>
      </w:r>
      <w:r>
        <w:rPr>
          <w:sz w:val="22"/>
          <w:szCs w:val="22"/>
        </w:rPr>
        <w:t>, y en la segunda etapa se negoció el excedente</w:t>
      </w:r>
      <w:r w:rsidR="00524328">
        <w:rPr>
          <w:sz w:val="22"/>
          <w:szCs w:val="22"/>
        </w:rPr>
        <w:t xml:space="preserve"> en donde solo para efectos del ejemplo, el usuario termoeléctrico logró contratar las demás cantidades. Lo anterior sin que en ningún caso haya contratación por encima de las cantidades declaradas en la primera instancia de declaración de los compradores al Gestor del Mercado</w:t>
      </w:r>
      <w:r>
        <w:rPr>
          <w:sz w:val="22"/>
          <w:szCs w:val="22"/>
        </w:rPr>
        <w:t xml:space="preserve">. </w:t>
      </w:r>
      <w:r w:rsidR="00595701">
        <w:rPr>
          <w:sz w:val="22"/>
          <w:szCs w:val="22"/>
        </w:rPr>
        <w:t>Con ello se logra cumplir con lo establecido en el Decreto 1073 de 2015 sobre la garantía de acceso a la Demanda Esencial de contratos con Respaldo Físico.</w:t>
      </w:r>
    </w:p>
    <w:p w14:paraId="46065DB5" w14:textId="77777777" w:rsidR="00F45CD3" w:rsidRDefault="00F45CD3" w:rsidP="00985006">
      <w:pPr>
        <w:rPr>
          <w:sz w:val="22"/>
          <w:szCs w:val="22"/>
        </w:rPr>
      </w:pPr>
    </w:p>
    <w:p w14:paraId="3C77AC31" w14:textId="416B220F" w:rsidR="00E84A69" w:rsidRDefault="00E84A69" w:rsidP="00985006">
      <w:pPr>
        <w:rPr>
          <w:sz w:val="22"/>
          <w:szCs w:val="22"/>
        </w:rPr>
      </w:pPr>
      <w:r>
        <w:rPr>
          <w:sz w:val="22"/>
          <w:szCs w:val="22"/>
        </w:rPr>
        <w:t>Si se encuentra un déficit</w:t>
      </w:r>
      <w:r w:rsidR="000679B1">
        <w:rPr>
          <w:sz w:val="22"/>
          <w:szCs w:val="22"/>
        </w:rPr>
        <w:t xml:space="preserve"> de balance comercial</w:t>
      </w:r>
      <w:r>
        <w:rPr>
          <w:sz w:val="22"/>
          <w:szCs w:val="22"/>
        </w:rPr>
        <w:t xml:space="preserve">, </w:t>
      </w:r>
      <w:r w:rsidR="005E0679">
        <w:rPr>
          <w:sz w:val="22"/>
          <w:szCs w:val="22"/>
        </w:rPr>
        <w:t xml:space="preserve">en cambio, </w:t>
      </w:r>
      <w:r>
        <w:rPr>
          <w:sz w:val="22"/>
          <w:szCs w:val="22"/>
        </w:rPr>
        <w:t xml:space="preserve">se reserva </w:t>
      </w:r>
      <w:r w:rsidR="000679B1">
        <w:rPr>
          <w:sz w:val="22"/>
          <w:szCs w:val="22"/>
        </w:rPr>
        <w:t xml:space="preserve">(prioriza) </w:t>
      </w:r>
      <w:r>
        <w:rPr>
          <w:sz w:val="22"/>
          <w:szCs w:val="22"/>
        </w:rPr>
        <w:t xml:space="preserve">la cantidad requerida </w:t>
      </w:r>
      <w:r w:rsidRPr="000679B1">
        <w:rPr>
          <w:sz w:val="22"/>
          <w:szCs w:val="22"/>
        </w:rPr>
        <w:t>en la segunda instancia por los compradores para la Demanda Esencial (regulada y no regulada)</w:t>
      </w:r>
      <w:r w:rsidR="000679B1" w:rsidRPr="000679B1">
        <w:rPr>
          <w:sz w:val="22"/>
          <w:szCs w:val="22"/>
        </w:rPr>
        <w:t xml:space="preserve"> </w:t>
      </w:r>
      <w:r w:rsidRPr="000679B1">
        <w:rPr>
          <w:sz w:val="22"/>
          <w:szCs w:val="22"/>
        </w:rPr>
        <w:t xml:space="preserve">y se deja aquella cantidad de Demanda Esencial </w:t>
      </w:r>
      <w:r w:rsidR="005E0679" w:rsidRPr="000679B1">
        <w:rPr>
          <w:sz w:val="22"/>
          <w:szCs w:val="22"/>
        </w:rPr>
        <w:t xml:space="preserve">de usuarios no regulados </w:t>
      </w:r>
      <w:r w:rsidR="000679B1" w:rsidRPr="000679B1">
        <w:rPr>
          <w:sz w:val="22"/>
          <w:szCs w:val="22"/>
        </w:rPr>
        <w:t>informada por los compradores para acudir al mecanismos de subasta</w:t>
      </w:r>
      <w:r w:rsidR="00D95004" w:rsidRPr="000679B1">
        <w:rPr>
          <w:sz w:val="22"/>
          <w:szCs w:val="22"/>
        </w:rPr>
        <w:t xml:space="preserve">, </w:t>
      </w:r>
      <w:r w:rsidRPr="000679B1">
        <w:rPr>
          <w:sz w:val="22"/>
          <w:szCs w:val="22"/>
        </w:rPr>
        <w:t xml:space="preserve">para participar en la subasta </w:t>
      </w:r>
      <w:r w:rsidR="00D95004" w:rsidRPr="000679B1">
        <w:rPr>
          <w:sz w:val="22"/>
          <w:szCs w:val="22"/>
        </w:rPr>
        <w:t>que se realizará (si hay cantidades excedentarias después de reservar para la Demanda Esencial requerida en la segunda instancia)</w:t>
      </w:r>
      <w:r w:rsidR="00A40F2C" w:rsidRPr="000679B1">
        <w:rPr>
          <w:sz w:val="22"/>
          <w:szCs w:val="22"/>
        </w:rPr>
        <w:t xml:space="preserve"> </w:t>
      </w:r>
      <w:r w:rsidRPr="000679B1">
        <w:rPr>
          <w:sz w:val="22"/>
          <w:szCs w:val="22"/>
        </w:rPr>
        <w:t xml:space="preserve">y </w:t>
      </w:r>
      <w:r w:rsidR="000679B1" w:rsidRPr="000679B1">
        <w:rPr>
          <w:sz w:val="22"/>
          <w:szCs w:val="22"/>
        </w:rPr>
        <w:t xml:space="preserve">así poder </w:t>
      </w:r>
      <w:r w:rsidRPr="000679B1">
        <w:rPr>
          <w:sz w:val="22"/>
          <w:szCs w:val="22"/>
        </w:rPr>
        <w:t xml:space="preserve">decidir cantidades </w:t>
      </w:r>
      <w:r w:rsidR="00A40F2C" w:rsidRPr="000679B1">
        <w:rPr>
          <w:sz w:val="22"/>
          <w:szCs w:val="22"/>
        </w:rPr>
        <w:t xml:space="preserve">a comprar </w:t>
      </w:r>
      <w:r w:rsidRPr="000679B1">
        <w:rPr>
          <w:sz w:val="22"/>
          <w:szCs w:val="22"/>
        </w:rPr>
        <w:t>en el proceso de asignación de la subasta</w:t>
      </w:r>
      <w:r w:rsidR="0012029A" w:rsidRPr="000679B1">
        <w:rPr>
          <w:sz w:val="22"/>
          <w:szCs w:val="22"/>
        </w:rPr>
        <w:t>, lo que da la flexibilidad para que los usuarios no regulados de la Demanda Esencial decidan si compran o no cantidades en la subasta</w:t>
      </w:r>
      <w:r w:rsidR="00DE4CDF" w:rsidRPr="000679B1">
        <w:rPr>
          <w:sz w:val="22"/>
          <w:szCs w:val="22"/>
        </w:rPr>
        <w:t>.</w:t>
      </w:r>
    </w:p>
    <w:p w14:paraId="43CB4A9D" w14:textId="77777777" w:rsidR="002064DC" w:rsidRDefault="002064DC" w:rsidP="00985006">
      <w:pPr>
        <w:rPr>
          <w:sz w:val="22"/>
          <w:szCs w:val="22"/>
        </w:rPr>
      </w:pPr>
    </w:p>
    <w:p w14:paraId="1E9C5B88" w14:textId="7A8A49F4" w:rsidR="003E1D33" w:rsidRDefault="002064DC" w:rsidP="003E1D33">
      <w:pPr>
        <w:rPr>
          <w:sz w:val="22"/>
          <w:szCs w:val="22"/>
        </w:rPr>
      </w:pPr>
      <w:r>
        <w:rPr>
          <w:sz w:val="22"/>
          <w:szCs w:val="22"/>
        </w:rPr>
        <w:t>L</w:t>
      </w:r>
      <w:r w:rsidR="003E1D33">
        <w:rPr>
          <w:sz w:val="22"/>
          <w:szCs w:val="22"/>
        </w:rPr>
        <w:t xml:space="preserve">a flexibilidad </w:t>
      </w:r>
      <w:r>
        <w:rPr>
          <w:sz w:val="22"/>
          <w:szCs w:val="22"/>
        </w:rPr>
        <w:t xml:space="preserve">anterior se </w:t>
      </w:r>
      <w:r w:rsidR="00691159">
        <w:rPr>
          <w:sz w:val="22"/>
          <w:szCs w:val="22"/>
        </w:rPr>
        <w:t>encuentra aún más justificada</w:t>
      </w:r>
      <w:r>
        <w:rPr>
          <w:sz w:val="22"/>
          <w:szCs w:val="22"/>
        </w:rPr>
        <w:t xml:space="preserve"> cuando se observa el comportamiento del potencial de producción declarado por los productores al Ministerio de Minas y Energía, en que a medida que se declara en </w:t>
      </w:r>
      <w:r w:rsidR="0060253A">
        <w:rPr>
          <w:sz w:val="22"/>
          <w:szCs w:val="22"/>
        </w:rPr>
        <w:t xml:space="preserve">cada </w:t>
      </w:r>
      <w:r>
        <w:rPr>
          <w:sz w:val="22"/>
          <w:szCs w:val="22"/>
        </w:rPr>
        <w:t>año</w:t>
      </w:r>
      <w:r w:rsidR="0060253A">
        <w:rPr>
          <w:sz w:val="22"/>
          <w:szCs w:val="22"/>
        </w:rPr>
        <w:t xml:space="preserve">, </w:t>
      </w:r>
      <w:r>
        <w:rPr>
          <w:sz w:val="22"/>
          <w:szCs w:val="22"/>
        </w:rPr>
        <w:t>se observa un incremento del potencial de producción</w:t>
      </w:r>
      <w:r w:rsidR="0060253A">
        <w:rPr>
          <w:sz w:val="22"/>
          <w:szCs w:val="22"/>
        </w:rPr>
        <w:t xml:space="preserve"> para </w:t>
      </w:r>
      <w:r w:rsidR="003E1D33">
        <w:rPr>
          <w:sz w:val="22"/>
          <w:szCs w:val="22"/>
        </w:rPr>
        <w:t xml:space="preserve">los mismos </w:t>
      </w:r>
      <w:r w:rsidR="0060253A">
        <w:rPr>
          <w:sz w:val="22"/>
          <w:szCs w:val="22"/>
        </w:rPr>
        <w:t>años futuros</w:t>
      </w:r>
      <w:r w:rsidR="00A30F33">
        <w:rPr>
          <w:sz w:val="22"/>
          <w:szCs w:val="22"/>
        </w:rPr>
        <w:t xml:space="preserve">, </w:t>
      </w:r>
      <w:proofErr w:type="gramStart"/>
      <w:r w:rsidR="00A30F33">
        <w:rPr>
          <w:sz w:val="22"/>
          <w:szCs w:val="22"/>
        </w:rPr>
        <w:t>y</w:t>
      </w:r>
      <w:proofErr w:type="gramEnd"/>
      <w:r w:rsidR="00A30F33">
        <w:rPr>
          <w:sz w:val="22"/>
          <w:szCs w:val="22"/>
        </w:rPr>
        <w:t xml:space="preserve"> por tanto, se posibilitan mayores ofertas de cantidades PTDVF de los productores</w:t>
      </w:r>
      <w:r w:rsidR="003E1D33">
        <w:rPr>
          <w:sz w:val="22"/>
          <w:szCs w:val="22"/>
        </w:rPr>
        <w:t xml:space="preserve">. </w:t>
      </w:r>
      <w:r w:rsidR="00955BA7">
        <w:rPr>
          <w:sz w:val="22"/>
          <w:szCs w:val="22"/>
        </w:rPr>
        <w:t xml:space="preserve">Ese aumento puede deberse al aumento de inversiones en el desarrollo del campo existente, a un mayor conocimiento de la potencialidad del campo existente, a la entrada de nuevos campos de producción, en fin, a factores que son inherentes a la maduración de los contratos de exploración y producción de la ANH. Así se explica también la razón de </w:t>
      </w:r>
      <w:proofErr w:type="gramStart"/>
      <w:r w:rsidR="00955BA7">
        <w:rPr>
          <w:sz w:val="22"/>
          <w:szCs w:val="22"/>
        </w:rPr>
        <w:t>que</w:t>
      </w:r>
      <w:proofErr w:type="gramEnd"/>
      <w:r w:rsidR="00246A31">
        <w:rPr>
          <w:sz w:val="22"/>
          <w:szCs w:val="22"/>
        </w:rPr>
        <w:t xml:space="preserve"> en la propuesta,</w:t>
      </w:r>
      <w:r w:rsidR="00955BA7">
        <w:rPr>
          <w:sz w:val="22"/>
          <w:szCs w:val="22"/>
        </w:rPr>
        <w:t xml:space="preserve"> en cada trimestre de negociación, el productor pueda presentar su declaración de PTDVF</w:t>
      </w:r>
      <w:r w:rsidR="00246A31">
        <w:rPr>
          <w:sz w:val="22"/>
          <w:szCs w:val="22"/>
        </w:rPr>
        <w:t>/CIDVF</w:t>
      </w:r>
      <w:r w:rsidR="00955BA7">
        <w:rPr>
          <w:sz w:val="22"/>
          <w:szCs w:val="22"/>
        </w:rPr>
        <w:t xml:space="preserve"> para cada fuente de suministro</w:t>
      </w:r>
      <w:r w:rsidR="00246A31">
        <w:rPr>
          <w:sz w:val="22"/>
          <w:szCs w:val="22"/>
        </w:rPr>
        <w:t>, que depende de dichos cambios</w:t>
      </w:r>
      <w:r w:rsidR="00955BA7">
        <w:rPr>
          <w:sz w:val="22"/>
          <w:szCs w:val="22"/>
        </w:rPr>
        <w:t xml:space="preserve">. </w:t>
      </w:r>
      <w:r w:rsidR="003E1D33">
        <w:rPr>
          <w:sz w:val="22"/>
          <w:szCs w:val="22"/>
        </w:rPr>
        <w:t xml:space="preserve">En la </w:t>
      </w:r>
      <w:r w:rsidR="00613623">
        <w:rPr>
          <w:sz w:val="22"/>
          <w:szCs w:val="22"/>
        </w:rPr>
        <w:fldChar w:fldCharType="begin"/>
      </w:r>
      <w:r w:rsidR="00613623">
        <w:rPr>
          <w:sz w:val="22"/>
          <w:szCs w:val="22"/>
        </w:rPr>
        <w:instrText xml:space="preserve"> REF _Ref130304151 \h </w:instrText>
      </w:r>
      <w:r w:rsidR="00613623">
        <w:rPr>
          <w:sz w:val="22"/>
          <w:szCs w:val="22"/>
        </w:rPr>
      </w:r>
      <w:r w:rsidR="00613623">
        <w:rPr>
          <w:sz w:val="22"/>
          <w:szCs w:val="22"/>
        </w:rPr>
        <w:fldChar w:fldCharType="separate"/>
      </w:r>
      <w:r w:rsidR="00613623" w:rsidRPr="00AA63D2">
        <w:rPr>
          <w:sz w:val="22"/>
          <w:szCs w:val="22"/>
        </w:rPr>
        <w:t xml:space="preserve">Figura </w:t>
      </w:r>
      <w:r w:rsidR="00613623">
        <w:rPr>
          <w:noProof/>
          <w:sz w:val="22"/>
          <w:szCs w:val="22"/>
        </w:rPr>
        <w:t>10</w:t>
      </w:r>
      <w:r w:rsidR="00613623">
        <w:rPr>
          <w:sz w:val="22"/>
          <w:szCs w:val="22"/>
        </w:rPr>
        <w:fldChar w:fldCharType="end"/>
      </w:r>
      <w:r w:rsidR="00057E29">
        <w:rPr>
          <w:sz w:val="22"/>
          <w:szCs w:val="22"/>
        </w:rPr>
        <w:t xml:space="preserve"> </w:t>
      </w:r>
      <w:r w:rsidR="003E1D33">
        <w:rPr>
          <w:sz w:val="22"/>
          <w:szCs w:val="22"/>
        </w:rPr>
        <w:t>se muestra el comportamiento observado</w:t>
      </w:r>
      <w:r w:rsidR="00955BA7">
        <w:rPr>
          <w:sz w:val="22"/>
          <w:szCs w:val="22"/>
        </w:rPr>
        <w:t xml:space="preserve"> sobre las declaraciones de producción realizadas al MME</w:t>
      </w:r>
      <w:r w:rsidR="00D57BD7">
        <w:rPr>
          <w:sz w:val="22"/>
          <w:szCs w:val="22"/>
        </w:rPr>
        <w:t>.</w:t>
      </w:r>
    </w:p>
    <w:p w14:paraId="512BA622" w14:textId="5022879D" w:rsidR="008D1A25" w:rsidRDefault="008D1A25" w:rsidP="003E1D33">
      <w:pPr>
        <w:rPr>
          <w:sz w:val="22"/>
          <w:szCs w:val="22"/>
        </w:rPr>
      </w:pPr>
    </w:p>
    <w:p w14:paraId="770530F9" w14:textId="2974D5AD" w:rsidR="008D1A25" w:rsidRDefault="008D1A25" w:rsidP="008D1A25">
      <w:pPr>
        <w:rPr>
          <w:sz w:val="22"/>
          <w:szCs w:val="22"/>
        </w:rPr>
      </w:pPr>
      <w:r>
        <w:rPr>
          <w:sz w:val="22"/>
          <w:szCs w:val="22"/>
        </w:rPr>
        <w:t>Los com</w:t>
      </w:r>
      <w:r w:rsidR="000872F5">
        <w:rPr>
          <w:sz w:val="22"/>
          <w:szCs w:val="22"/>
        </w:rPr>
        <w:t>pradores</w:t>
      </w:r>
      <w:r>
        <w:rPr>
          <w:sz w:val="22"/>
          <w:szCs w:val="22"/>
        </w:rPr>
        <w:t xml:space="preserve"> </w:t>
      </w:r>
      <w:r w:rsidR="000872F5">
        <w:rPr>
          <w:sz w:val="22"/>
          <w:szCs w:val="22"/>
        </w:rPr>
        <w:t>del Mercado Primario, con la propuesta</w:t>
      </w:r>
      <w:r w:rsidR="00EE504F">
        <w:rPr>
          <w:sz w:val="22"/>
          <w:szCs w:val="22"/>
        </w:rPr>
        <w:t xml:space="preserve"> que se presenta</w:t>
      </w:r>
      <w:r w:rsidR="000872F5">
        <w:rPr>
          <w:sz w:val="22"/>
          <w:szCs w:val="22"/>
        </w:rPr>
        <w:t xml:space="preserve">, </w:t>
      </w:r>
      <w:r>
        <w:rPr>
          <w:sz w:val="22"/>
          <w:szCs w:val="22"/>
        </w:rPr>
        <w:t>tiene</w:t>
      </w:r>
      <w:r w:rsidR="000872F5">
        <w:rPr>
          <w:sz w:val="22"/>
          <w:szCs w:val="22"/>
        </w:rPr>
        <w:t>n</w:t>
      </w:r>
      <w:r>
        <w:rPr>
          <w:sz w:val="22"/>
          <w:szCs w:val="22"/>
        </w:rPr>
        <w:t xml:space="preserve"> total libertad en desarrollar la estrategia de contratación del suministro necesario </w:t>
      </w:r>
      <w:r w:rsidR="000872F5">
        <w:rPr>
          <w:sz w:val="22"/>
          <w:szCs w:val="22"/>
        </w:rPr>
        <w:t>para atender</w:t>
      </w:r>
      <w:r>
        <w:rPr>
          <w:sz w:val="22"/>
          <w:szCs w:val="22"/>
        </w:rPr>
        <w:t xml:space="preserve"> las cantidades que se estiman de demanda futura, sean de demanda esencial o de la demás demanda</w:t>
      </w:r>
      <w:r w:rsidR="000872F5">
        <w:rPr>
          <w:sz w:val="22"/>
          <w:szCs w:val="22"/>
        </w:rPr>
        <w:t>. E</w:t>
      </w:r>
      <w:r>
        <w:rPr>
          <w:sz w:val="22"/>
          <w:szCs w:val="22"/>
        </w:rPr>
        <w:t>videntemente</w:t>
      </w:r>
      <w:r w:rsidR="000872F5">
        <w:rPr>
          <w:sz w:val="22"/>
          <w:szCs w:val="22"/>
        </w:rPr>
        <w:t>,</w:t>
      </w:r>
      <w:r>
        <w:rPr>
          <w:sz w:val="22"/>
          <w:szCs w:val="22"/>
        </w:rPr>
        <w:t xml:space="preserve"> a medida que se acerca el trimestre de ejecución del suministro habrá menos incertidumbre tanto en las cantidades necesarias a contratar como en las cantidades disponibles para venta.</w:t>
      </w:r>
      <w:r w:rsidR="000872F5">
        <w:rPr>
          <w:sz w:val="22"/>
          <w:szCs w:val="22"/>
        </w:rPr>
        <w:t xml:space="preserve"> Actualmente, esta flexibilidad no existe, pues además de que se contrata en un solo momento del año calendario, la duración mínima de los contratos de negociación directa es de tres (3) o más años. </w:t>
      </w:r>
      <w:r w:rsidR="00F42167">
        <w:rPr>
          <w:sz w:val="22"/>
          <w:szCs w:val="22"/>
        </w:rPr>
        <w:t xml:space="preserve">Así para ajustar cantidades no contratadas </w:t>
      </w:r>
      <w:r w:rsidR="009F3E46">
        <w:rPr>
          <w:sz w:val="22"/>
          <w:szCs w:val="22"/>
        </w:rPr>
        <w:t xml:space="preserve">a ser ejecutadas </w:t>
      </w:r>
      <w:r w:rsidR="00F42167">
        <w:rPr>
          <w:sz w:val="22"/>
          <w:szCs w:val="22"/>
        </w:rPr>
        <w:t xml:space="preserve">en el primer año </w:t>
      </w:r>
      <w:r w:rsidR="009F3E46">
        <w:rPr>
          <w:sz w:val="22"/>
          <w:szCs w:val="22"/>
        </w:rPr>
        <w:t xml:space="preserve">no se tienen más oportunidades; para las cantidades requeridas del segundo año </w:t>
      </w:r>
      <w:r w:rsidR="004D3AD4">
        <w:rPr>
          <w:sz w:val="22"/>
          <w:szCs w:val="22"/>
        </w:rPr>
        <w:t xml:space="preserve">(por expansión del servicio) </w:t>
      </w:r>
      <w:r w:rsidR="009F3E46">
        <w:rPr>
          <w:sz w:val="22"/>
          <w:szCs w:val="22"/>
        </w:rPr>
        <w:t xml:space="preserve">que se deben completar solo se tiene </w:t>
      </w:r>
      <w:r w:rsidR="004D3AD4">
        <w:rPr>
          <w:sz w:val="22"/>
          <w:szCs w:val="22"/>
        </w:rPr>
        <w:t>1</w:t>
      </w:r>
      <w:r w:rsidR="009F3E46">
        <w:rPr>
          <w:sz w:val="22"/>
          <w:szCs w:val="22"/>
        </w:rPr>
        <w:t xml:space="preserve"> oportunidad en el año siguiente de contratación; y, para las cantidades requeridas </w:t>
      </w:r>
      <w:r w:rsidR="004D3AD4">
        <w:rPr>
          <w:sz w:val="22"/>
          <w:szCs w:val="22"/>
        </w:rPr>
        <w:t xml:space="preserve">(por expansión del servicio) </w:t>
      </w:r>
      <w:r w:rsidR="009F3E46">
        <w:rPr>
          <w:sz w:val="22"/>
          <w:szCs w:val="22"/>
        </w:rPr>
        <w:t xml:space="preserve">del tercer año del contrato a ser completadas solo se </w:t>
      </w:r>
      <w:r w:rsidR="00F42167">
        <w:rPr>
          <w:sz w:val="22"/>
          <w:szCs w:val="22"/>
        </w:rPr>
        <w:t xml:space="preserve">tienen </w:t>
      </w:r>
      <w:r w:rsidR="004D3AD4">
        <w:rPr>
          <w:sz w:val="22"/>
          <w:szCs w:val="22"/>
        </w:rPr>
        <w:t>2</w:t>
      </w:r>
      <w:r w:rsidR="00F42167">
        <w:rPr>
          <w:sz w:val="22"/>
          <w:szCs w:val="22"/>
        </w:rPr>
        <w:t xml:space="preserve"> oportunidades más</w:t>
      </w:r>
      <w:r w:rsidR="009F3E46">
        <w:rPr>
          <w:sz w:val="22"/>
          <w:szCs w:val="22"/>
        </w:rPr>
        <w:t xml:space="preserve"> para contratarlas</w:t>
      </w:r>
      <w:r w:rsidR="00F42167">
        <w:rPr>
          <w:sz w:val="22"/>
          <w:szCs w:val="22"/>
        </w:rPr>
        <w:t>, una en el segundo año y otra el tercer año</w:t>
      </w:r>
      <w:r w:rsidR="009F3E46">
        <w:rPr>
          <w:sz w:val="22"/>
          <w:szCs w:val="22"/>
        </w:rPr>
        <w:t xml:space="preserve">. </w:t>
      </w:r>
      <w:r w:rsidR="004D3AD4">
        <w:rPr>
          <w:sz w:val="22"/>
          <w:szCs w:val="22"/>
        </w:rPr>
        <w:t>C</w:t>
      </w:r>
      <w:r w:rsidR="009F3E46">
        <w:rPr>
          <w:sz w:val="22"/>
          <w:szCs w:val="22"/>
        </w:rPr>
        <w:t xml:space="preserve">on la propuesta </w:t>
      </w:r>
      <w:r w:rsidR="00F42167">
        <w:rPr>
          <w:sz w:val="22"/>
          <w:szCs w:val="22"/>
        </w:rPr>
        <w:t xml:space="preserve">ahora se tendrán </w:t>
      </w:r>
      <w:r w:rsidR="004D3AD4">
        <w:rPr>
          <w:sz w:val="22"/>
          <w:szCs w:val="22"/>
        </w:rPr>
        <w:t>3 oportunidades (trimestres de negociación) para completar el primer año, 7 oportunidades (trimestres de negociación) para completar el segundo año y 11 oportunidades (trimestres de negociación) para completar el tercer año.</w:t>
      </w:r>
    </w:p>
    <w:p w14:paraId="0D0FCE9D" w14:textId="327626D7" w:rsidR="008B0991" w:rsidRDefault="008B0991" w:rsidP="008D1A25">
      <w:pPr>
        <w:rPr>
          <w:sz w:val="22"/>
          <w:szCs w:val="22"/>
        </w:rPr>
      </w:pPr>
    </w:p>
    <w:p w14:paraId="79BCDCB8" w14:textId="2CFC3A50" w:rsidR="008B0991" w:rsidRDefault="008B0991" w:rsidP="008D1A25">
      <w:pPr>
        <w:rPr>
          <w:sz w:val="22"/>
          <w:szCs w:val="22"/>
        </w:rPr>
      </w:pPr>
      <w:r>
        <w:rPr>
          <w:sz w:val="22"/>
          <w:szCs w:val="22"/>
        </w:rPr>
        <w:t>Esa flexibilidad también funciona para conocer los precios de un(os) trimestre(s) futuro(s) obtenido(s) en los procesos trimestrales de negociación, de modo que puedan servir de referencia para los siguientes procesos en que se podrían negociar más cantidades para esos mismos trimestres futuros</w:t>
      </w:r>
      <w:r w:rsidR="00655592">
        <w:rPr>
          <w:sz w:val="22"/>
          <w:szCs w:val="22"/>
        </w:rPr>
        <w:t xml:space="preserve">, contando con los precios obtenidos por medio de los trimestres de negociación ya </w:t>
      </w:r>
      <w:r w:rsidR="009F265D">
        <w:rPr>
          <w:sz w:val="22"/>
          <w:szCs w:val="22"/>
        </w:rPr>
        <w:t>contratados</w:t>
      </w:r>
      <w:r>
        <w:rPr>
          <w:sz w:val="22"/>
          <w:szCs w:val="22"/>
        </w:rPr>
        <w:t xml:space="preserve">.  </w:t>
      </w:r>
    </w:p>
    <w:p w14:paraId="6BCEC916" w14:textId="77777777" w:rsidR="008D1A25" w:rsidRDefault="008D1A25" w:rsidP="00985006">
      <w:pPr>
        <w:rPr>
          <w:sz w:val="22"/>
          <w:szCs w:val="22"/>
        </w:rPr>
      </w:pPr>
    </w:p>
    <w:p w14:paraId="41565CB3" w14:textId="199A18BD" w:rsidR="003A58EF" w:rsidRPr="000E63CD" w:rsidRDefault="007F7D6E" w:rsidP="00985006">
      <w:pPr>
        <w:rPr>
          <w:sz w:val="22"/>
          <w:szCs w:val="22"/>
        </w:rPr>
      </w:pPr>
      <w:r>
        <w:rPr>
          <w:sz w:val="22"/>
          <w:szCs w:val="22"/>
        </w:rPr>
        <w:t xml:space="preserve">Para </w:t>
      </w:r>
      <w:r w:rsidR="009266ED">
        <w:rPr>
          <w:sz w:val="22"/>
          <w:szCs w:val="22"/>
        </w:rPr>
        <w:t>explicar</w:t>
      </w:r>
      <w:r w:rsidR="00A601FD">
        <w:rPr>
          <w:sz w:val="22"/>
          <w:szCs w:val="22"/>
        </w:rPr>
        <w:t xml:space="preserve"> de manera sencilla</w:t>
      </w:r>
      <w:r w:rsidR="009266ED">
        <w:rPr>
          <w:sz w:val="22"/>
          <w:szCs w:val="22"/>
        </w:rPr>
        <w:t xml:space="preserve"> </w:t>
      </w:r>
      <w:r>
        <w:rPr>
          <w:sz w:val="22"/>
          <w:szCs w:val="22"/>
        </w:rPr>
        <w:t xml:space="preserve">lo anterior se propone el siguiente </w:t>
      </w:r>
      <w:r w:rsidR="00C065F1" w:rsidRPr="000E63CD">
        <w:rPr>
          <w:sz w:val="22"/>
          <w:szCs w:val="22"/>
        </w:rPr>
        <w:t>ejemplo</w:t>
      </w:r>
      <w:r>
        <w:rPr>
          <w:sz w:val="22"/>
          <w:szCs w:val="22"/>
        </w:rPr>
        <w:t>:</w:t>
      </w:r>
      <w:r w:rsidR="00C065F1" w:rsidRPr="000E63CD">
        <w:rPr>
          <w:sz w:val="22"/>
          <w:szCs w:val="22"/>
        </w:rPr>
        <w:t xml:space="preserve"> </w:t>
      </w:r>
      <w:r w:rsidR="00D50BC8" w:rsidRPr="000E63CD">
        <w:rPr>
          <w:sz w:val="22"/>
          <w:szCs w:val="22"/>
        </w:rPr>
        <w:t xml:space="preserve">un comprador </w:t>
      </w:r>
      <w:r w:rsidR="005008FC">
        <w:rPr>
          <w:sz w:val="22"/>
          <w:szCs w:val="22"/>
        </w:rPr>
        <w:t>considera necesario</w:t>
      </w:r>
      <w:r w:rsidR="00A30F33">
        <w:rPr>
          <w:sz w:val="22"/>
          <w:szCs w:val="22"/>
        </w:rPr>
        <w:t xml:space="preserve"> (requerido) </w:t>
      </w:r>
      <w:r w:rsidR="00D50BC8" w:rsidRPr="000E63CD">
        <w:rPr>
          <w:sz w:val="22"/>
          <w:szCs w:val="22"/>
        </w:rPr>
        <w:t xml:space="preserve">contratar </w:t>
      </w:r>
      <w:r w:rsidR="005008FC">
        <w:rPr>
          <w:sz w:val="22"/>
          <w:szCs w:val="22"/>
        </w:rPr>
        <w:t xml:space="preserve">un total de </w:t>
      </w:r>
      <w:r w:rsidR="00D50BC8" w:rsidRPr="000E63CD">
        <w:rPr>
          <w:sz w:val="22"/>
          <w:szCs w:val="22"/>
        </w:rPr>
        <w:t>5 GBTUD en un punto de referencia</w:t>
      </w:r>
      <w:r w:rsidR="00B85614" w:rsidRPr="000E63CD">
        <w:rPr>
          <w:sz w:val="22"/>
          <w:szCs w:val="22"/>
        </w:rPr>
        <w:t xml:space="preserve"> dado</w:t>
      </w:r>
      <w:r w:rsidR="00D50BC8" w:rsidRPr="000E63CD">
        <w:rPr>
          <w:sz w:val="22"/>
          <w:szCs w:val="22"/>
        </w:rPr>
        <w:t xml:space="preserve">, para </w:t>
      </w:r>
      <w:r w:rsidR="00706D88">
        <w:rPr>
          <w:sz w:val="22"/>
          <w:szCs w:val="22"/>
        </w:rPr>
        <w:t xml:space="preserve">que le sean suministrados </w:t>
      </w:r>
      <w:r w:rsidR="005008FC">
        <w:rPr>
          <w:sz w:val="22"/>
          <w:szCs w:val="22"/>
        </w:rPr>
        <w:t xml:space="preserve">(ejecutados) </w:t>
      </w:r>
      <w:r w:rsidR="00B85614" w:rsidRPr="000E63CD">
        <w:rPr>
          <w:sz w:val="22"/>
          <w:szCs w:val="22"/>
        </w:rPr>
        <w:t xml:space="preserve">en el </w:t>
      </w:r>
      <w:r w:rsidR="009F238D" w:rsidRPr="000E63CD">
        <w:rPr>
          <w:sz w:val="22"/>
          <w:szCs w:val="22"/>
        </w:rPr>
        <w:t xml:space="preserve">trimestre estándar de </w:t>
      </w:r>
      <w:r w:rsidR="00A30F33">
        <w:rPr>
          <w:sz w:val="22"/>
          <w:szCs w:val="22"/>
        </w:rPr>
        <w:t>septiembre</w:t>
      </w:r>
      <w:r w:rsidR="009F238D" w:rsidRPr="000E63CD">
        <w:rPr>
          <w:sz w:val="22"/>
          <w:szCs w:val="22"/>
        </w:rPr>
        <w:t xml:space="preserve"> a </w:t>
      </w:r>
      <w:r w:rsidR="00A30F33">
        <w:rPr>
          <w:sz w:val="22"/>
          <w:szCs w:val="22"/>
        </w:rPr>
        <w:t>noviembre</w:t>
      </w:r>
      <w:r w:rsidR="009F238D" w:rsidRPr="000E63CD">
        <w:rPr>
          <w:sz w:val="22"/>
          <w:szCs w:val="22"/>
        </w:rPr>
        <w:t xml:space="preserve"> de 2025. Ese comprador puede dividir la compra en dos </w:t>
      </w:r>
      <w:r w:rsidR="00706D88">
        <w:rPr>
          <w:sz w:val="22"/>
          <w:szCs w:val="22"/>
        </w:rPr>
        <w:t xml:space="preserve">trimestres </w:t>
      </w:r>
      <w:r w:rsidR="00933057">
        <w:rPr>
          <w:sz w:val="22"/>
          <w:szCs w:val="22"/>
        </w:rPr>
        <w:t xml:space="preserve">(o en tres, o en cuatro, o en más trimestres), seguidos o no seguidos, </w:t>
      </w:r>
      <w:r w:rsidR="00706D88">
        <w:rPr>
          <w:sz w:val="22"/>
          <w:szCs w:val="22"/>
        </w:rPr>
        <w:t>de negociación</w:t>
      </w:r>
      <w:r w:rsidR="00706D88" w:rsidRPr="000E63CD">
        <w:rPr>
          <w:sz w:val="22"/>
          <w:szCs w:val="22"/>
        </w:rPr>
        <w:t xml:space="preserve"> </w:t>
      </w:r>
      <w:r w:rsidR="009F238D" w:rsidRPr="000E63CD">
        <w:rPr>
          <w:sz w:val="22"/>
          <w:szCs w:val="22"/>
        </w:rPr>
        <w:t xml:space="preserve">diferentes: una parte </w:t>
      </w:r>
      <w:r w:rsidR="008C1088" w:rsidRPr="000E63CD">
        <w:rPr>
          <w:sz w:val="22"/>
          <w:szCs w:val="22"/>
        </w:rPr>
        <w:t xml:space="preserve">de los 5 GBTUD </w:t>
      </w:r>
      <w:r w:rsidR="00C065F1" w:rsidRPr="000E63CD">
        <w:rPr>
          <w:sz w:val="22"/>
          <w:szCs w:val="22"/>
        </w:rPr>
        <w:t xml:space="preserve">en </w:t>
      </w:r>
      <w:r w:rsidR="001915BE" w:rsidRPr="000E63CD">
        <w:rPr>
          <w:sz w:val="22"/>
          <w:szCs w:val="22"/>
        </w:rPr>
        <w:t xml:space="preserve">el </w:t>
      </w:r>
      <w:r w:rsidR="00C065F1" w:rsidRPr="000E63CD">
        <w:rPr>
          <w:sz w:val="22"/>
          <w:szCs w:val="22"/>
        </w:rPr>
        <w:t xml:space="preserve">proceso que se avance en el trimestre </w:t>
      </w:r>
      <w:r w:rsidR="00706D88">
        <w:rPr>
          <w:sz w:val="22"/>
          <w:szCs w:val="22"/>
        </w:rPr>
        <w:t xml:space="preserve">de negociación </w:t>
      </w:r>
      <w:r w:rsidR="00C065F1" w:rsidRPr="000E63CD">
        <w:rPr>
          <w:sz w:val="22"/>
          <w:szCs w:val="22"/>
        </w:rPr>
        <w:t>de diciembre a febrero del año 202</w:t>
      </w:r>
      <w:r w:rsidR="00AB7352" w:rsidRPr="000E63CD">
        <w:rPr>
          <w:sz w:val="22"/>
          <w:szCs w:val="22"/>
        </w:rPr>
        <w:t>3</w:t>
      </w:r>
      <w:r w:rsidR="001915BE" w:rsidRPr="000E63CD">
        <w:rPr>
          <w:sz w:val="22"/>
          <w:szCs w:val="22"/>
        </w:rPr>
        <w:t xml:space="preserve"> y </w:t>
      </w:r>
      <w:r w:rsidR="008C1088" w:rsidRPr="000E63CD">
        <w:rPr>
          <w:sz w:val="22"/>
          <w:szCs w:val="22"/>
        </w:rPr>
        <w:t xml:space="preserve">la </w:t>
      </w:r>
      <w:r w:rsidR="001915BE" w:rsidRPr="000E63CD">
        <w:rPr>
          <w:sz w:val="22"/>
          <w:szCs w:val="22"/>
        </w:rPr>
        <w:t xml:space="preserve">otra parte en el proceso que se adelante en el trimestre </w:t>
      </w:r>
      <w:r w:rsidR="00706D88">
        <w:rPr>
          <w:sz w:val="22"/>
          <w:szCs w:val="22"/>
        </w:rPr>
        <w:t xml:space="preserve">de negociación </w:t>
      </w:r>
      <w:r w:rsidR="001915BE" w:rsidRPr="000E63CD">
        <w:rPr>
          <w:sz w:val="22"/>
          <w:szCs w:val="22"/>
        </w:rPr>
        <w:t>de marzo a mayo de 2023, o alguno otro futuro</w:t>
      </w:r>
      <w:r w:rsidR="00706D88">
        <w:rPr>
          <w:sz w:val="22"/>
          <w:szCs w:val="22"/>
        </w:rPr>
        <w:t>,</w:t>
      </w:r>
      <w:r w:rsidR="00F0512C" w:rsidRPr="000E63CD">
        <w:rPr>
          <w:sz w:val="22"/>
          <w:szCs w:val="22"/>
        </w:rPr>
        <w:t xml:space="preserve"> anterior </w:t>
      </w:r>
      <w:r w:rsidR="00706D88">
        <w:rPr>
          <w:sz w:val="22"/>
          <w:szCs w:val="22"/>
        </w:rPr>
        <w:t xml:space="preserve">eso sí </w:t>
      </w:r>
      <w:r w:rsidR="00F0512C" w:rsidRPr="000E63CD">
        <w:rPr>
          <w:sz w:val="22"/>
          <w:szCs w:val="22"/>
        </w:rPr>
        <w:t>al trimestre de</w:t>
      </w:r>
      <w:r w:rsidR="005008FC">
        <w:rPr>
          <w:sz w:val="22"/>
          <w:szCs w:val="22"/>
        </w:rPr>
        <w:t>l suministro</w:t>
      </w:r>
      <w:r w:rsidR="00706D88">
        <w:rPr>
          <w:sz w:val="22"/>
          <w:szCs w:val="22"/>
        </w:rPr>
        <w:t xml:space="preserve"> (de</w:t>
      </w:r>
      <w:r w:rsidR="005008FC">
        <w:rPr>
          <w:sz w:val="22"/>
          <w:szCs w:val="22"/>
        </w:rPr>
        <w:t xml:space="preserve"> </w:t>
      </w:r>
      <w:r w:rsidR="00706D88">
        <w:rPr>
          <w:sz w:val="22"/>
          <w:szCs w:val="22"/>
        </w:rPr>
        <w:t>l</w:t>
      </w:r>
      <w:r w:rsidR="005008FC">
        <w:rPr>
          <w:sz w:val="22"/>
          <w:szCs w:val="22"/>
        </w:rPr>
        <w:t>a ejecución</w:t>
      </w:r>
      <w:r w:rsidR="00706D88">
        <w:rPr>
          <w:sz w:val="22"/>
          <w:szCs w:val="22"/>
        </w:rPr>
        <w:t>)</w:t>
      </w:r>
      <w:r w:rsidR="001915BE" w:rsidRPr="000E63CD">
        <w:rPr>
          <w:sz w:val="22"/>
          <w:szCs w:val="22"/>
        </w:rPr>
        <w:t>.</w:t>
      </w:r>
      <w:r w:rsidR="00AB7352" w:rsidRPr="000E63CD">
        <w:rPr>
          <w:sz w:val="22"/>
          <w:szCs w:val="22"/>
        </w:rPr>
        <w:t xml:space="preserve"> </w:t>
      </w:r>
      <w:r w:rsidR="001915BE" w:rsidRPr="000E63CD">
        <w:rPr>
          <w:sz w:val="22"/>
          <w:szCs w:val="22"/>
        </w:rPr>
        <w:t xml:space="preserve">Obviamente </w:t>
      </w:r>
      <w:r w:rsidR="0076374E">
        <w:rPr>
          <w:sz w:val="22"/>
          <w:szCs w:val="22"/>
        </w:rPr>
        <w:t>la división de las cantidades a comprar entre dos procesos diferentes</w:t>
      </w:r>
      <w:r w:rsidR="0076374E" w:rsidRPr="000E63CD">
        <w:rPr>
          <w:sz w:val="22"/>
          <w:szCs w:val="22"/>
        </w:rPr>
        <w:t xml:space="preserve"> </w:t>
      </w:r>
      <w:r w:rsidR="001915BE" w:rsidRPr="000E63CD">
        <w:rPr>
          <w:sz w:val="22"/>
          <w:szCs w:val="22"/>
        </w:rPr>
        <w:t>implica asumir riesgos</w:t>
      </w:r>
      <w:r w:rsidR="0076374E">
        <w:rPr>
          <w:sz w:val="22"/>
          <w:szCs w:val="22"/>
        </w:rPr>
        <w:t xml:space="preserve"> </w:t>
      </w:r>
      <w:r w:rsidR="005008FC">
        <w:rPr>
          <w:sz w:val="22"/>
          <w:szCs w:val="22"/>
        </w:rPr>
        <w:t xml:space="preserve">como por ejemplo, </w:t>
      </w:r>
      <w:r w:rsidR="0076374E">
        <w:rPr>
          <w:sz w:val="22"/>
          <w:szCs w:val="22"/>
        </w:rPr>
        <w:t>no obtener cantidades suficientes en el segundo proceso en que decidió participar para adquirir el faltante requerido  y completar así los 5 GBTUD</w:t>
      </w:r>
      <w:r w:rsidR="00EF0AD0" w:rsidRPr="000E63CD">
        <w:rPr>
          <w:sz w:val="22"/>
          <w:szCs w:val="22"/>
        </w:rPr>
        <w:t xml:space="preserve">, pero puede traer </w:t>
      </w:r>
      <w:r w:rsidR="008C1088" w:rsidRPr="000E63CD">
        <w:rPr>
          <w:sz w:val="22"/>
          <w:szCs w:val="22"/>
        </w:rPr>
        <w:t xml:space="preserve">entre otros </w:t>
      </w:r>
      <w:r w:rsidR="00B02404" w:rsidRPr="000E63CD">
        <w:rPr>
          <w:sz w:val="22"/>
          <w:szCs w:val="22"/>
        </w:rPr>
        <w:t>resultado</w:t>
      </w:r>
      <w:r w:rsidR="008C1088" w:rsidRPr="000E63CD">
        <w:rPr>
          <w:sz w:val="22"/>
          <w:szCs w:val="22"/>
        </w:rPr>
        <w:t>s</w:t>
      </w:r>
      <w:r w:rsidR="00EF0AD0" w:rsidRPr="000E63CD">
        <w:rPr>
          <w:sz w:val="22"/>
          <w:szCs w:val="22"/>
        </w:rPr>
        <w:t xml:space="preserve"> que el mecanismo de negociación que se aplique</w:t>
      </w:r>
      <w:r w:rsidR="0076374E">
        <w:rPr>
          <w:sz w:val="22"/>
          <w:szCs w:val="22"/>
        </w:rPr>
        <w:t xml:space="preserve"> en los trimestres de negociación del ejemplo,</w:t>
      </w:r>
      <w:r w:rsidR="00EF0AD0" w:rsidRPr="000E63CD">
        <w:rPr>
          <w:sz w:val="22"/>
          <w:szCs w:val="22"/>
        </w:rPr>
        <w:t xml:space="preserve"> para adquirir el suministro para ese trimestre de </w:t>
      </w:r>
      <w:r w:rsidR="00B02404" w:rsidRPr="000E63CD">
        <w:rPr>
          <w:sz w:val="22"/>
          <w:szCs w:val="22"/>
        </w:rPr>
        <w:t xml:space="preserve">ejecución en </w:t>
      </w:r>
      <w:r w:rsidR="00EF0AD0" w:rsidRPr="000E63CD">
        <w:rPr>
          <w:sz w:val="22"/>
          <w:szCs w:val="22"/>
        </w:rPr>
        <w:t>2025</w:t>
      </w:r>
      <w:r w:rsidR="0076374E">
        <w:rPr>
          <w:sz w:val="22"/>
          <w:szCs w:val="22"/>
        </w:rPr>
        <w:t>,</w:t>
      </w:r>
      <w:r w:rsidR="00EF0AD0" w:rsidRPr="000E63CD">
        <w:rPr>
          <w:sz w:val="22"/>
          <w:szCs w:val="22"/>
        </w:rPr>
        <w:t xml:space="preserve"> sea de negociación directa</w:t>
      </w:r>
      <w:r w:rsidR="00A30F33">
        <w:rPr>
          <w:sz w:val="22"/>
          <w:szCs w:val="22"/>
        </w:rPr>
        <w:t>,</w:t>
      </w:r>
      <w:r w:rsidR="00EF0AD0" w:rsidRPr="000E63CD">
        <w:rPr>
          <w:sz w:val="22"/>
          <w:szCs w:val="22"/>
        </w:rPr>
        <w:t xml:space="preserve"> tanto </w:t>
      </w:r>
      <w:r w:rsidR="00B02404" w:rsidRPr="000E63CD">
        <w:rPr>
          <w:sz w:val="22"/>
          <w:szCs w:val="22"/>
        </w:rPr>
        <w:t>en</w:t>
      </w:r>
      <w:r w:rsidR="00EF0AD0" w:rsidRPr="000E63CD">
        <w:rPr>
          <w:sz w:val="22"/>
          <w:szCs w:val="22"/>
        </w:rPr>
        <w:t xml:space="preserve"> el proceso de </w:t>
      </w:r>
      <w:r w:rsidR="007E0791" w:rsidRPr="000E63CD">
        <w:rPr>
          <w:sz w:val="22"/>
          <w:szCs w:val="22"/>
        </w:rPr>
        <w:t xml:space="preserve">negociación que se desarrolle entre </w:t>
      </w:r>
      <w:r w:rsidR="00EF0AD0" w:rsidRPr="000E63CD">
        <w:rPr>
          <w:sz w:val="22"/>
          <w:szCs w:val="22"/>
        </w:rPr>
        <w:t xml:space="preserve">diciembre a febrero de 2023 </w:t>
      </w:r>
      <w:r w:rsidR="00A30F33">
        <w:rPr>
          <w:sz w:val="22"/>
          <w:szCs w:val="22"/>
        </w:rPr>
        <w:t xml:space="preserve">(v.gr. para adquirir el 50% de los 5 GBTUD requeridos) </w:t>
      </w:r>
      <w:r w:rsidR="00EF0AD0" w:rsidRPr="000E63CD">
        <w:rPr>
          <w:sz w:val="22"/>
          <w:szCs w:val="22"/>
        </w:rPr>
        <w:t xml:space="preserve">como en el proceso </w:t>
      </w:r>
      <w:r w:rsidR="007E0791" w:rsidRPr="000E63CD">
        <w:rPr>
          <w:sz w:val="22"/>
          <w:szCs w:val="22"/>
        </w:rPr>
        <w:t>que se desarrolle entre</w:t>
      </w:r>
      <w:r w:rsidR="00EF0AD0" w:rsidRPr="000E63CD">
        <w:rPr>
          <w:sz w:val="22"/>
          <w:szCs w:val="22"/>
        </w:rPr>
        <w:t xml:space="preserve"> marzo a mayo de 2023</w:t>
      </w:r>
      <w:r w:rsidR="00A30F33">
        <w:rPr>
          <w:sz w:val="22"/>
          <w:szCs w:val="22"/>
        </w:rPr>
        <w:t xml:space="preserve"> (para adquirir el 50% restante)</w:t>
      </w:r>
      <w:r w:rsidR="007E0791" w:rsidRPr="000E63CD">
        <w:rPr>
          <w:sz w:val="22"/>
          <w:szCs w:val="22"/>
        </w:rPr>
        <w:t>,</w:t>
      </w:r>
      <w:r w:rsidR="00EF0AD0" w:rsidRPr="000E63CD">
        <w:rPr>
          <w:sz w:val="22"/>
          <w:szCs w:val="22"/>
        </w:rPr>
        <w:t xml:space="preserve"> y no de</w:t>
      </w:r>
      <w:r w:rsidR="00B02404" w:rsidRPr="000E63CD">
        <w:rPr>
          <w:sz w:val="22"/>
          <w:szCs w:val="22"/>
        </w:rPr>
        <w:t xml:space="preserve">l mecanismo </w:t>
      </w:r>
      <w:r w:rsidR="001C4D4C" w:rsidRPr="000E63CD">
        <w:rPr>
          <w:sz w:val="22"/>
          <w:szCs w:val="22"/>
        </w:rPr>
        <w:t>alterno</w:t>
      </w:r>
      <w:r w:rsidR="00EF0AD0" w:rsidRPr="000E63CD">
        <w:rPr>
          <w:sz w:val="22"/>
          <w:szCs w:val="22"/>
        </w:rPr>
        <w:t xml:space="preserve"> </w:t>
      </w:r>
      <w:r w:rsidR="00A30F33">
        <w:rPr>
          <w:sz w:val="22"/>
          <w:szCs w:val="22"/>
        </w:rPr>
        <w:t xml:space="preserve">(subasta) </w:t>
      </w:r>
      <w:r w:rsidR="00EF0AD0" w:rsidRPr="000E63CD">
        <w:rPr>
          <w:sz w:val="22"/>
          <w:szCs w:val="22"/>
        </w:rPr>
        <w:t xml:space="preserve">que </w:t>
      </w:r>
      <w:r w:rsidR="00B10C6E" w:rsidRPr="000E63CD">
        <w:rPr>
          <w:sz w:val="22"/>
          <w:szCs w:val="22"/>
        </w:rPr>
        <w:t>resultaría</w:t>
      </w:r>
      <w:r w:rsidR="00EF0AD0" w:rsidRPr="000E63CD">
        <w:rPr>
          <w:sz w:val="22"/>
          <w:szCs w:val="22"/>
        </w:rPr>
        <w:t xml:space="preserve"> </w:t>
      </w:r>
      <w:r w:rsidR="001C4D4C" w:rsidRPr="000E63CD">
        <w:rPr>
          <w:sz w:val="22"/>
          <w:szCs w:val="22"/>
        </w:rPr>
        <w:t xml:space="preserve">posiblemente </w:t>
      </w:r>
      <w:r w:rsidR="00EF0AD0" w:rsidRPr="000E63CD">
        <w:rPr>
          <w:sz w:val="22"/>
          <w:szCs w:val="22"/>
        </w:rPr>
        <w:t xml:space="preserve">de </w:t>
      </w:r>
      <w:r w:rsidR="00500B8A" w:rsidRPr="000E63CD">
        <w:rPr>
          <w:sz w:val="22"/>
          <w:szCs w:val="22"/>
        </w:rPr>
        <w:t xml:space="preserve">tratar de </w:t>
      </w:r>
      <w:r w:rsidR="001C4D4C" w:rsidRPr="000E63CD">
        <w:rPr>
          <w:sz w:val="22"/>
          <w:szCs w:val="22"/>
        </w:rPr>
        <w:t>contrata</w:t>
      </w:r>
      <w:r w:rsidR="00500B8A" w:rsidRPr="000E63CD">
        <w:rPr>
          <w:sz w:val="22"/>
          <w:szCs w:val="22"/>
        </w:rPr>
        <w:t>r</w:t>
      </w:r>
      <w:r w:rsidR="001C4D4C" w:rsidRPr="000E63CD">
        <w:rPr>
          <w:sz w:val="22"/>
          <w:szCs w:val="22"/>
        </w:rPr>
        <w:t xml:space="preserve"> la totalidad d</w:t>
      </w:r>
      <w:r w:rsidR="00500B8A" w:rsidRPr="000E63CD">
        <w:rPr>
          <w:sz w:val="22"/>
          <w:szCs w:val="22"/>
        </w:rPr>
        <w:t xml:space="preserve">el suministro </w:t>
      </w:r>
      <w:r w:rsidR="0076374E">
        <w:rPr>
          <w:sz w:val="22"/>
          <w:szCs w:val="22"/>
        </w:rPr>
        <w:t xml:space="preserve">de 5 GBTUD </w:t>
      </w:r>
      <w:r w:rsidR="00A30F33">
        <w:rPr>
          <w:sz w:val="22"/>
          <w:szCs w:val="22"/>
        </w:rPr>
        <w:t>(el 100% de lo requerido)</w:t>
      </w:r>
      <w:r w:rsidR="00500B8A" w:rsidRPr="000E63CD">
        <w:rPr>
          <w:sz w:val="22"/>
          <w:szCs w:val="22"/>
        </w:rPr>
        <w:t>en un solo proceso de negociación</w:t>
      </w:r>
      <w:r w:rsidR="00A30F33">
        <w:rPr>
          <w:sz w:val="22"/>
          <w:szCs w:val="22"/>
        </w:rPr>
        <w:t xml:space="preserve"> y con ello un déficit del balance para ese trimestre estándar en ese punto de referencia</w:t>
      </w:r>
      <w:r w:rsidR="001C4D4C" w:rsidRPr="000E63CD">
        <w:rPr>
          <w:sz w:val="22"/>
          <w:szCs w:val="22"/>
        </w:rPr>
        <w:t xml:space="preserve">. </w:t>
      </w:r>
      <w:r w:rsidR="005008FC">
        <w:rPr>
          <w:sz w:val="22"/>
          <w:szCs w:val="22"/>
        </w:rPr>
        <w:t>Además, el comprador puede considerar que la demanda total identificada por el mismo</w:t>
      </w:r>
      <w:r w:rsidR="00A30F33">
        <w:rPr>
          <w:sz w:val="22"/>
          <w:szCs w:val="22"/>
        </w:rPr>
        <w:t xml:space="preserve"> (</w:t>
      </w:r>
      <w:r w:rsidR="005008FC">
        <w:rPr>
          <w:sz w:val="22"/>
          <w:szCs w:val="22"/>
        </w:rPr>
        <w:t>de 5 GBTUD</w:t>
      </w:r>
      <w:r w:rsidR="00A30F33">
        <w:rPr>
          <w:sz w:val="22"/>
          <w:szCs w:val="22"/>
        </w:rPr>
        <w:t>)</w:t>
      </w:r>
      <w:r w:rsidR="005008FC">
        <w:rPr>
          <w:sz w:val="22"/>
          <w:szCs w:val="22"/>
        </w:rPr>
        <w:t xml:space="preserve">, tenga riesgos </w:t>
      </w:r>
      <w:r w:rsidR="00A30F33">
        <w:rPr>
          <w:sz w:val="22"/>
          <w:szCs w:val="22"/>
        </w:rPr>
        <w:t xml:space="preserve">de demanda </w:t>
      </w:r>
      <w:r w:rsidR="005008FC">
        <w:rPr>
          <w:sz w:val="22"/>
          <w:szCs w:val="22"/>
        </w:rPr>
        <w:t>que lleven a que en algún momento futuro ya no requiera tal cantidad, sino una cantidad menor</w:t>
      </w:r>
    </w:p>
    <w:p w14:paraId="6395BA45" w14:textId="77777777" w:rsidR="000460A9" w:rsidRPr="000E63CD" w:rsidRDefault="000460A9" w:rsidP="00985006">
      <w:pPr>
        <w:rPr>
          <w:sz w:val="22"/>
          <w:szCs w:val="22"/>
        </w:rPr>
      </w:pPr>
    </w:p>
    <w:p w14:paraId="5B2FC6A2" w14:textId="48BF1BAA" w:rsidR="000460A9" w:rsidRPr="000E63CD" w:rsidRDefault="000460A9" w:rsidP="00985006">
      <w:pPr>
        <w:rPr>
          <w:sz w:val="22"/>
          <w:szCs w:val="22"/>
        </w:rPr>
      </w:pPr>
      <w:r w:rsidRPr="000E63CD">
        <w:rPr>
          <w:sz w:val="22"/>
          <w:szCs w:val="22"/>
        </w:rPr>
        <w:t>Algo similar puede ocurrir dado el caso que el comprador</w:t>
      </w:r>
      <w:r w:rsidR="00CA0711">
        <w:rPr>
          <w:sz w:val="22"/>
          <w:szCs w:val="22"/>
        </w:rPr>
        <w:t>,</w:t>
      </w:r>
      <w:r w:rsidRPr="000E63CD">
        <w:rPr>
          <w:sz w:val="22"/>
          <w:szCs w:val="22"/>
        </w:rPr>
        <w:t xml:space="preserve"> aunque desea contratar en el ejemplo 5 GBTUD en un solo proceso</w:t>
      </w:r>
      <w:r w:rsidR="00464DF3" w:rsidRPr="000E63CD">
        <w:rPr>
          <w:sz w:val="22"/>
          <w:szCs w:val="22"/>
        </w:rPr>
        <w:t xml:space="preserve">, no encuentre la oferta suficiente. En ese caso, el comprador deberá esperar un proceso posterior con el fin de buscar </w:t>
      </w:r>
      <w:r w:rsidR="00AE755F" w:rsidRPr="000E63CD">
        <w:rPr>
          <w:sz w:val="22"/>
          <w:szCs w:val="22"/>
        </w:rPr>
        <w:t>contratar las cantidades que no pudo contratar el en proceso inicial.</w:t>
      </w:r>
    </w:p>
    <w:p w14:paraId="651B77D2" w14:textId="4064125D" w:rsidR="00D32939" w:rsidRDefault="00D32939" w:rsidP="00985006">
      <w:pPr>
        <w:rPr>
          <w:sz w:val="22"/>
          <w:szCs w:val="22"/>
        </w:rPr>
      </w:pPr>
    </w:p>
    <w:p w14:paraId="5A215FD6" w14:textId="77777777" w:rsidR="004B245A" w:rsidRDefault="004B245A" w:rsidP="00985006">
      <w:pPr>
        <w:rPr>
          <w:sz w:val="22"/>
          <w:szCs w:val="22"/>
        </w:rPr>
      </w:pPr>
    </w:p>
    <w:p w14:paraId="0FC97977" w14:textId="4BCFC9CC" w:rsidR="003C3860" w:rsidRPr="002E07C9" w:rsidRDefault="003C3860" w:rsidP="002E07C9">
      <w:pPr>
        <w:pStyle w:val="Ttulo3"/>
        <w:rPr>
          <w:sz w:val="22"/>
          <w:szCs w:val="22"/>
        </w:rPr>
      </w:pPr>
      <w:bookmarkStart w:id="444" w:name="_Toc95457666"/>
      <w:bookmarkStart w:id="445" w:name="_Ref132641477"/>
      <w:bookmarkStart w:id="446" w:name="_Toc140506225"/>
      <w:bookmarkEnd w:id="444"/>
      <w:r w:rsidRPr="002E07C9">
        <w:rPr>
          <w:sz w:val="22"/>
          <w:szCs w:val="22"/>
        </w:rPr>
        <w:t xml:space="preserve">Aseguramiento de la </w:t>
      </w:r>
      <w:r w:rsidR="00E8014D" w:rsidRPr="002E07C9">
        <w:rPr>
          <w:sz w:val="22"/>
          <w:szCs w:val="22"/>
        </w:rPr>
        <w:t>Demanda Esencial</w:t>
      </w:r>
      <w:bookmarkEnd w:id="445"/>
      <w:bookmarkEnd w:id="446"/>
    </w:p>
    <w:p w14:paraId="112FA9D7" w14:textId="47B3C28E" w:rsidR="00C8034B" w:rsidRPr="000E63CD" w:rsidRDefault="008772C9" w:rsidP="00106264">
      <w:pPr>
        <w:rPr>
          <w:sz w:val="22"/>
          <w:szCs w:val="22"/>
        </w:rPr>
      </w:pPr>
      <w:r w:rsidRPr="000E63CD">
        <w:rPr>
          <w:sz w:val="22"/>
          <w:szCs w:val="22"/>
        </w:rPr>
        <w:t xml:space="preserve">Con base en los resultados de los balances comerciales, se procede a determinar el mecanismo de </w:t>
      </w:r>
      <w:r w:rsidR="00160B30">
        <w:rPr>
          <w:sz w:val="22"/>
          <w:szCs w:val="22"/>
        </w:rPr>
        <w:t>comercialización</w:t>
      </w:r>
      <w:r w:rsidR="00160B30" w:rsidRPr="000E63CD">
        <w:rPr>
          <w:sz w:val="22"/>
          <w:szCs w:val="22"/>
        </w:rPr>
        <w:t xml:space="preserve"> </w:t>
      </w:r>
      <w:r w:rsidRPr="000E63CD">
        <w:rPr>
          <w:sz w:val="22"/>
          <w:szCs w:val="22"/>
        </w:rPr>
        <w:t>que se usará</w:t>
      </w:r>
      <w:r w:rsidR="00C8034B" w:rsidRPr="000E63CD">
        <w:rPr>
          <w:sz w:val="22"/>
          <w:szCs w:val="22"/>
        </w:rPr>
        <w:t xml:space="preserve"> para </w:t>
      </w:r>
      <w:r w:rsidR="00F771F8">
        <w:rPr>
          <w:sz w:val="22"/>
          <w:szCs w:val="22"/>
        </w:rPr>
        <w:t xml:space="preserve">determinar </w:t>
      </w:r>
      <w:r w:rsidR="00C8034B" w:rsidRPr="000E63CD">
        <w:rPr>
          <w:sz w:val="22"/>
          <w:szCs w:val="22"/>
        </w:rPr>
        <w:t>el suministro en cada uno de los veinte (20) trimestre estándar siguientes al trimestre estándar de negociación.</w:t>
      </w:r>
      <w:r w:rsidR="00966889" w:rsidRPr="000E63CD">
        <w:rPr>
          <w:sz w:val="22"/>
          <w:szCs w:val="22"/>
        </w:rPr>
        <w:t xml:space="preserve"> Estos resultados también marcarán el tipo de mecanismo que se usará para </w:t>
      </w:r>
      <w:r w:rsidR="00493A67" w:rsidRPr="000E63CD">
        <w:rPr>
          <w:sz w:val="22"/>
          <w:szCs w:val="22"/>
        </w:rPr>
        <w:t xml:space="preserve">permitir a los agentes que </w:t>
      </w:r>
      <w:r w:rsidR="00DD6BBE">
        <w:rPr>
          <w:sz w:val="22"/>
          <w:szCs w:val="22"/>
        </w:rPr>
        <w:t xml:space="preserve">sean o </w:t>
      </w:r>
      <w:r w:rsidR="00493A67" w:rsidRPr="000E63CD">
        <w:rPr>
          <w:sz w:val="22"/>
          <w:szCs w:val="22"/>
        </w:rPr>
        <w:t>atiendan a la Demanda Esencial</w:t>
      </w:r>
      <w:r w:rsidR="00F771F8">
        <w:rPr>
          <w:sz w:val="22"/>
          <w:szCs w:val="22"/>
        </w:rPr>
        <w:t>,</w:t>
      </w:r>
      <w:r w:rsidR="00493A67" w:rsidRPr="000E63CD">
        <w:rPr>
          <w:sz w:val="22"/>
          <w:szCs w:val="22"/>
        </w:rPr>
        <w:t xml:space="preserve"> tener acceso a los contratos de suministro </w:t>
      </w:r>
      <w:r w:rsidR="00520777" w:rsidRPr="000E63CD">
        <w:rPr>
          <w:sz w:val="22"/>
          <w:szCs w:val="22"/>
        </w:rPr>
        <w:t xml:space="preserve">con </w:t>
      </w:r>
      <w:r w:rsidR="00AC32B5">
        <w:rPr>
          <w:sz w:val="22"/>
          <w:szCs w:val="22"/>
        </w:rPr>
        <w:t>Vendedores</w:t>
      </w:r>
      <w:r w:rsidR="00520777" w:rsidRPr="000E63CD">
        <w:rPr>
          <w:sz w:val="22"/>
          <w:szCs w:val="22"/>
        </w:rPr>
        <w:t xml:space="preserve"> que cuenten con Respaldo Físico.</w:t>
      </w:r>
      <w:r w:rsidR="00966889" w:rsidRPr="000E63CD">
        <w:rPr>
          <w:sz w:val="22"/>
          <w:szCs w:val="22"/>
        </w:rPr>
        <w:t xml:space="preserve"> </w:t>
      </w:r>
    </w:p>
    <w:p w14:paraId="6B9B2962" w14:textId="77777777" w:rsidR="00C8034B" w:rsidRPr="000E63CD" w:rsidRDefault="00C8034B" w:rsidP="00106264">
      <w:pPr>
        <w:rPr>
          <w:sz w:val="22"/>
          <w:szCs w:val="22"/>
        </w:rPr>
      </w:pPr>
    </w:p>
    <w:p w14:paraId="356D54F6" w14:textId="7BB9BC79" w:rsidR="00106264" w:rsidRPr="000E63CD" w:rsidRDefault="00106264" w:rsidP="00106264">
      <w:pPr>
        <w:rPr>
          <w:sz w:val="22"/>
          <w:szCs w:val="22"/>
        </w:rPr>
      </w:pPr>
      <w:r w:rsidRPr="000E63CD">
        <w:rPr>
          <w:sz w:val="22"/>
          <w:szCs w:val="22"/>
        </w:rPr>
        <w:t xml:space="preserve">Para la propuesta del mecanismo que permita a los agentes que </w:t>
      </w:r>
      <w:r w:rsidR="00DD6BBE">
        <w:rPr>
          <w:sz w:val="22"/>
          <w:szCs w:val="22"/>
        </w:rPr>
        <w:t xml:space="preserve">sean o </w:t>
      </w:r>
      <w:r w:rsidRPr="000E63CD">
        <w:rPr>
          <w:sz w:val="22"/>
          <w:szCs w:val="22"/>
        </w:rPr>
        <w:t xml:space="preserve">atiendan a la </w:t>
      </w:r>
      <w:r w:rsidR="00E8014D" w:rsidRPr="000E63CD">
        <w:rPr>
          <w:sz w:val="22"/>
          <w:szCs w:val="22"/>
        </w:rPr>
        <w:t>Demanda Esencial</w:t>
      </w:r>
      <w:r w:rsidRPr="000E63CD">
        <w:rPr>
          <w:sz w:val="22"/>
          <w:szCs w:val="22"/>
        </w:rPr>
        <w:t xml:space="preserve"> tener acceso a los contratos de suministro </w:t>
      </w:r>
      <w:r w:rsidR="008A7BA4">
        <w:rPr>
          <w:sz w:val="22"/>
          <w:szCs w:val="22"/>
        </w:rPr>
        <w:t>de tipo firme o con garantía de firmeza</w:t>
      </w:r>
      <w:r w:rsidRPr="000E63CD">
        <w:rPr>
          <w:sz w:val="22"/>
          <w:szCs w:val="22"/>
        </w:rPr>
        <w:t xml:space="preserve">, la Comisión parte de la presunción de que todos los </w:t>
      </w:r>
      <w:r w:rsidR="00AC32B5">
        <w:rPr>
          <w:sz w:val="22"/>
          <w:szCs w:val="22"/>
        </w:rPr>
        <w:t>Vendedores</w:t>
      </w:r>
      <w:r w:rsidRPr="000E63CD">
        <w:rPr>
          <w:sz w:val="22"/>
          <w:szCs w:val="22"/>
        </w:rPr>
        <w:t xml:space="preserve"> del </w:t>
      </w:r>
      <w:r w:rsidR="00AC32B5">
        <w:rPr>
          <w:sz w:val="22"/>
          <w:szCs w:val="22"/>
        </w:rPr>
        <w:t>Mercado Primario</w:t>
      </w:r>
      <w:r w:rsidRPr="000E63CD">
        <w:rPr>
          <w:sz w:val="22"/>
          <w:szCs w:val="22"/>
        </w:rPr>
        <w:t xml:space="preserve"> tienen como objetivo contratar el suministro de la totalidad de las cantidades de PTDVF y CIDVF con las que cuentan en sus fuentes de suministro. Lo anterior, de acuerdo con lo desarrollado en el numeral 2.1 del documento CREG 054 de 2012 de “</w:t>
      </w:r>
      <w:r w:rsidRPr="000E63CD">
        <w:rPr>
          <w:i/>
          <w:iCs/>
          <w:sz w:val="22"/>
          <w:szCs w:val="22"/>
        </w:rPr>
        <w:t>REVISIÓN DE LA REGULACIÓN DE GAS NATURAL EN COLOMBIA”.</w:t>
      </w:r>
    </w:p>
    <w:p w14:paraId="6F02046D" w14:textId="77777777" w:rsidR="00106264" w:rsidRPr="000E63CD" w:rsidRDefault="00106264" w:rsidP="001E4550">
      <w:pPr>
        <w:rPr>
          <w:sz w:val="22"/>
          <w:szCs w:val="22"/>
        </w:rPr>
      </w:pPr>
    </w:p>
    <w:p w14:paraId="24DDA0D4" w14:textId="563BAEC1" w:rsidR="006B08F7" w:rsidRPr="000E63CD" w:rsidRDefault="008F63A7" w:rsidP="001E4550">
      <w:pPr>
        <w:rPr>
          <w:sz w:val="22"/>
          <w:szCs w:val="22"/>
        </w:rPr>
      </w:pPr>
      <w:r w:rsidRPr="000E63CD">
        <w:rPr>
          <w:sz w:val="22"/>
          <w:szCs w:val="22"/>
        </w:rPr>
        <w:t xml:space="preserve">A partir de los resultados obtenidos en el proceso de </w:t>
      </w:r>
      <w:r w:rsidR="001530C1" w:rsidRPr="000E63CD">
        <w:rPr>
          <w:sz w:val="22"/>
          <w:szCs w:val="22"/>
        </w:rPr>
        <w:t xml:space="preserve">balances comerciales, se </w:t>
      </w:r>
      <w:r w:rsidR="00416381" w:rsidRPr="000E63CD">
        <w:rPr>
          <w:sz w:val="22"/>
          <w:szCs w:val="22"/>
        </w:rPr>
        <w:t>establecen</w:t>
      </w:r>
      <w:r w:rsidR="001530C1" w:rsidRPr="000E63CD">
        <w:rPr>
          <w:sz w:val="22"/>
          <w:szCs w:val="22"/>
        </w:rPr>
        <w:t xml:space="preserve"> </w:t>
      </w:r>
      <w:r w:rsidR="00784E40" w:rsidRPr="000E63CD">
        <w:rPr>
          <w:sz w:val="22"/>
          <w:szCs w:val="22"/>
        </w:rPr>
        <w:t xml:space="preserve">los </w:t>
      </w:r>
      <w:r w:rsidR="001530C1" w:rsidRPr="000E63CD">
        <w:rPr>
          <w:sz w:val="22"/>
          <w:szCs w:val="22"/>
        </w:rPr>
        <w:t>mecanismo</w:t>
      </w:r>
      <w:r w:rsidR="00784E40" w:rsidRPr="000E63CD">
        <w:rPr>
          <w:sz w:val="22"/>
          <w:szCs w:val="22"/>
        </w:rPr>
        <w:t xml:space="preserve">s de </w:t>
      </w:r>
      <w:r w:rsidR="00160B30">
        <w:rPr>
          <w:sz w:val="22"/>
          <w:szCs w:val="22"/>
        </w:rPr>
        <w:t>comercialización</w:t>
      </w:r>
      <w:r w:rsidR="00160B30" w:rsidRPr="000E63CD">
        <w:rPr>
          <w:sz w:val="22"/>
          <w:szCs w:val="22"/>
        </w:rPr>
        <w:t xml:space="preserve"> </w:t>
      </w:r>
      <w:r w:rsidR="00784E40" w:rsidRPr="000E63CD">
        <w:rPr>
          <w:sz w:val="22"/>
          <w:szCs w:val="22"/>
        </w:rPr>
        <w:t>a utilizar, como ya se mencionó</w:t>
      </w:r>
      <w:r w:rsidR="006B08F7" w:rsidRPr="000E63CD">
        <w:rPr>
          <w:sz w:val="22"/>
          <w:szCs w:val="22"/>
        </w:rPr>
        <w:t xml:space="preserve">. En el caso de una oferta </w:t>
      </w:r>
      <w:r w:rsidR="00DD6BBE">
        <w:rPr>
          <w:sz w:val="22"/>
          <w:szCs w:val="22"/>
        </w:rPr>
        <w:t xml:space="preserve">comercial </w:t>
      </w:r>
      <w:r w:rsidR="006B08F7" w:rsidRPr="000E63CD">
        <w:rPr>
          <w:sz w:val="22"/>
          <w:szCs w:val="22"/>
        </w:rPr>
        <w:t>superavitaria, se aplicará la negociación directa pues se considera que</w:t>
      </w:r>
      <w:r w:rsidR="00A16FF9" w:rsidRPr="000E63CD">
        <w:rPr>
          <w:sz w:val="22"/>
          <w:szCs w:val="22"/>
        </w:rPr>
        <w:t>,</w:t>
      </w:r>
      <w:r w:rsidR="006B08F7" w:rsidRPr="000E63CD">
        <w:rPr>
          <w:sz w:val="22"/>
          <w:szCs w:val="22"/>
        </w:rPr>
        <w:t xml:space="preserve"> en ese caso al existir dicho superávit, se garantiza que </w:t>
      </w:r>
      <w:r w:rsidR="001E4550" w:rsidRPr="000E63CD">
        <w:rPr>
          <w:sz w:val="22"/>
          <w:szCs w:val="22"/>
        </w:rPr>
        <w:t>los agentes que</w:t>
      </w:r>
      <w:r w:rsidR="00DD6BBE">
        <w:rPr>
          <w:sz w:val="22"/>
          <w:szCs w:val="22"/>
        </w:rPr>
        <w:t xml:space="preserve"> sean o</w:t>
      </w:r>
      <w:r w:rsidR="001E4550" w:rsidRPr="000E63CD">
        <w:rPr>
          <w:sz w:val="22"/>
          <w:szCs w:val="22"/>
        </w:rPr>
        <w:t xml:space="preserve"> atiendan a la </w:t>
      </w:r>
      <w:r w:rsidR="00E8014D" w:rsidRPr="000E63CD">
        <w:rPr>
          <w:sz w:val="22"/>
          <w:szCs w:val="22"/>
        </w:rPr>
        <w:t>Demanda Esencial</w:t>
      </w:r>
      <w:r w:rsidR="001E4550" w:rsidRPr="000E63CD">
        <w:rPr>
          <w:sz w:val="22"/>
          <w:szCs w:val="22"/>
        </w:rPr>
        <w:t xml:space="preserve"> tengan acceso a los contratos </w:t>
      </w:r>
      <w:r w:rsidR="008A7BA4">
        <w:rPr>
          <w:sz w:val="22"/>
          <w:szCs w:val="22"/>
        </w:rPr>
        <w:t>de tipo firme o con garantía de firmeza</w:t>
      </w:r>
      <w:r w:rsidR="00D674A2">
        <w:rPr>
          <w:sz w:val="22"/>
          <w:szCs w:val="22"/>
        </w:rPr>
        <w:t>, así como es el caso de los demás compradores que requirieron cantidades para la demás tipo demanda en la segunda instancia de declaración ante el Gestor del Mercado</w:t>
      </w:r>
      <w:r w:rsidR="00A16FF9" w:rsidRPr="000E63CD">
        <w:rPr>
          <w:sz w:val="22"/>
          <w:szCs w:val="22"/>
        </w:rPr>
        <w:t>.</w:t>
      </w:r>
    </w:p>
    <w:p w14:paraId="3F1ED10B" w14:textId="77777777" w:rsidR="00057787" w:rsidRPr="000E63CD" w:rsidRDefault="00057787" w:rsidP="001E4550">
      <w:pPr>
        <w:rPr>
          <w:sz w:val="22"/>
          <w:szCs w:val="22"/>
        </w:rPr>
      </w:pPr>
    </w:p>
    <w:p w14:paraId="7B4F1C82" w14:textId="640A3667" w:rsidR="00AD7DBB" w:rsidRPr="000E63CD" w:rsidRDefault="00B2451E" w:rsidP="001E4550">
      <w:pPr>
        <w:rPr>
          <w:sz w:val="22"/>
          <w:szCs w:val="22"/>
        </w:rPr>
      </w:pPr>
      <w:r w:rsidRPr="000E63CD">
        <w:rPr>
          <w:sz w:val="22"/>
          <w:szCs w:val="22"/>
        </w:rPr>
        <w:t xml:space="preserve">Además de lo anterior, </w:t>
      </w:r>
      <w:r w:rsidR="00AD7DBB" w:rsidRPr="000E63CD">
        <w:rPr>
          <w:sz w:val="22"/>
          <w:szCs w:val="22"/>
        </w:rPr>
        <w:t xml:space="preserve">para el suministro </w:t>
      </w:r>
      <w:r w:rsidR="0014779D" w:rsidRPr="000E63CD">
        <w:rPr>
          <w:sz w:val="22"/>
          <w:szCs w:val="22"/>
        </w:rPr>
        <w:t>en los trimestres estándar y puntos de referencia en que se presenta una oferta comercial superavitaria</w:t>
      </w:r>
      <w:r w:rsidR="00AD7DBB" w:rsidRPr="000E63CD">
        <w:rPr>
          <w:sz w:val="22"/>
          <w:szCs w:val="22"/>
        </w:rPr>
        <w:t xml:space="preserve">, se podrán realizar las siguientes </w:t>
      </w:r>
      <w:r w:rsidR="004B245A">
        <w:rPr>
          <w:sz w:val="22"/>
          <w:szCs w:val="22"/>
        </w:rPr>
        <w:t xml:space="preserve">etapas de </w:t>
      </w:r>
      <w:r w:rsidR="00AD7DBB" w:rsidRPr="000E63CD">
        <w:rPr>
          <w:sz w:val="22"/>
          <w:szCs w:val="22"/>
        </w:rPr>
        <w:t>negociaciones:</w:t>
      </w:r>
    </w:p>
    <w:p w14:paraId="66DAC2C6" w14:textId="77777777" w:rsidR="00AD7DBB" w:rsidRPr="000E63CD" w:rsidRDefault="00AD7DBB" w:rsidP="001E4550">
      <w:pPr>
        <w:rPr>
          <w:sz w:val="22"/>
          <w:szCs w:val="22"/>
        </w:rPr>
      </w:pPr>
    </w:p>
    <w:p w14:paraId="6FF1C1AD" w14:textId="1CC31401" w:rsidR="004B245A" w:rsidRDefault="004B245A">
      <w:pPr>
        <w:pStyle w:val="Prrafodelista"/>
        <w:numPr>
          <w:ilvl w:val="0"/>
          <w:numId w:val="10"/>
        </w:numPr>
        <w:ind w:left="426" w:hanging="426"/>
        <w:rPr>
          <w:sz w:val="22"/>
          <w:szCs w:val="22"/>
        </w:rPr>
      </w:pPr>
      <w:r>
        <w:rPr>
          <w:sz w:val="22"/>
          <w:szCs w:val="22"/>
        </w:rPr>
        <w:t xml:space="preserve">Primera etapa de negociaciones directas, en la que se debe contratar las cantidades requeridas declaradas por los compradores en la segunda instancia de declaración presentada al </w:t>
      </w:r>
      <w:r w:rsidR="005114C6">
        <w:rPr>
          <w:sz w:val="22"/>
          <w:szCs w:val="22"/>
        </w:rPr>
        <w:t>Gestor del Mercado</w:t>
      </w:r>
      <w:r>
        <w:rPr>
          <w:sz w:val="22"/>
          <w:szCs w:val="22"/>
        </w:rPr>
        <w:t>. Tanto la demanda esencial requerida como la demás demanda en general</w:t>
      </w:r>
      <w:r w:rsidR="00F717FA">
        <w:rPr>
          <w:sz w:val="22"/>
          <w:szCs w:val="22"/>
        </w:rPr>
        <w:t xml:space="preserve"> </w:t>
      </w:r>
      <w:r>
        <w:rPr>
          <w:sz w:val="22"/>
          <w:szCs w:val="22"/>
        </w:rPr>
        <w:t xml:space="preserve">avanzarán las negociaciones hasta que se acuerden los contratos sobre </w:t>
      </w:r>
      <w:r w:rsidR="00F717FA">
        <w:rPr>
          <w:sz w:val="22"/>
          <w:szCs w:val="22"/>
        </w:rPr>
        <w:t>dichas cantidades en un plazo máximo propuesto para ello</w:t>
      </w:r>
      <w:r>
        <w:rPr>
          <w:sz w:val="22"/>
          <w:szCs w:val="22"/>
        </w:rPr>
        <w:t>.</w:t>
      </w:r>
    </w:p>
    <w:p w14:paraId="5570C243" w14:textId="77777777" w:rsidR="004B245A" w:rsidRDefault="004B245A" w:rsidP="004B245A">
      <w:pPr>
        <w:pStyle w:val="Prrafodelista"/>
        <w:ind w:left="426"/>
        <w:rPr>
          <w:sz w:val="22"/>
          <w:szCs w:val="22"/>
        </w:rPr>
      </w:pPr>
    </w:p>
    <w:p w14:paraId="7351D0EA" w14:textId="4AAC14E7" w:rsidR="004B245A" w:rsidRDefault="004B245A">
      <w:pPr>
        <w:pStyle w:val="Prrafodelista"/>
        <w:numPr>
          <w:ilvl w:val="0"/>
          <w:numId w:val="10"/>
        </w:numPr>
        <w:ind w:left="426" w:hanging="426"/>
        <w:rPr>
          <w:sz w:val="22"/>
          <w:szCs w:val="22"/>
        </w:rPr>
      </w:pPr>
      <w:r>
        <w:rPr>
          <w:sz w:val="22"/>
          <w:szCs w:val="22"/>
        </w:rPr>
        <w:t>Puesto que se obtuvo un balance comercial superavitario, es evidente que hay cantidades disponibles de oferta PTDVF/CIDVF</w:t>
      </w:r>
      <w:r w:rsidR="00F717FA">
        <w:rPr>
          <w:sz w:val="22"/>
          <w:szCs w:val="22"/>
        </w:rPr>
        <w:t>,</w:t>
      </w:r>
      <w:r>
        <w:rPr>
          <w:sz w:val="22"/>
          <w:szCs w:val="22"/>
        </w:rPr>
        <w:t xml:space="preserve"> después de </w:t>
      </w:r>
      <w:r w:rsidR="00F717FA">
        <w:rPr>
          <w:sz w:val="22"/>
          <w:szCs w:val="22"/>
        </w:rPr>
        <w:t xml:space="preserve">cerrarse </w:t>
      </w:r>
      <w:r>
        <w:rPr>
          <w:sz w:val="22"/>
          <w:szCs w:val="22"/>
        </w:rPr>
        <w:t xml:space="preserve">la primera etapa de negociación directa. Es por ello </w:t>
      </w:r>
      <w:proofErr w:type="gramStart"/>
      <w:r>
        <w:rPr>
          <w:sz w:val="22"/>
          <w:szCs w:val="22"/>
        </w:rPr>
        <w:t>que</w:t>
      </w:r>
      <w:proofErr w:type="gramEnd"/>
      <w:r>
        <w:rPr>
          <w:sz w:val="22"/>
          <w:szCs w:val="22"/>
        </w:rPr>
        <w:t xml:space="preserve"> se propone avanzar una segunda etapa de negociaciones para aquellas cantidades solic</w:t>
      </w:r>
      <w:r w:rsidR="00F717FA">
        <w:rPr>
          <w:sz w:val="22"/>
          <w:szCs w:val="22"/>
        </w:rPr>
        <w:t>i</w:t>
      </w:r>
      <w:r>
        <w:rPr>
          <w:sz w:val="22"/>
          <w:szCs w:val="22"/>
        </w:rPr>
        <w:t xml:space="preserve">tadas en la primera instancia de declaración de los compradores al </w:t>
      </w:r>
      <w:r w:rsidR="005114C6">
        <w:rPr>
          <w:sz w:val="22"/>
          <w:szCs w:val="22"/>
        </w:rPr>
        <w:t>Gestor del Mercado</w:t>
      </w:r>
      <w:r w:rsidR="00F717FA">
        <w:rPr>
          <w:sz w:val="22"/>
          <w:szCs w:val="22"/>
        </w:rPr>
        <w:t xml:space="preserve">, que en la segunda instancia no hicieron parte del requerimiento definitivo. Ciertamente es posible que las cantidades PTDVF/CIDVF disponibles después de la primera etapa no sean suficientes para atender la totalidad de las cantidades solicitadas por los compradores en la primera instancia de declaración al </w:t>
      </w:r>
      <w:r w:rsidR="005114C6">
        <w:rPr>
          <w:sz w:val="22"/>
          <w:szCs w:val="22"/>
        </w:rPr>
        <w:t>Gestor del Mercado</w:t>
      </w:r>
      <w:r w:rsidR="00F717FA">
        <w:rPr>
          <w:sz w:val="22"/>
          <w:szCs w:val="22"/>
        </w:rPr>
        <w:t xml:space="preserve">, por lo que se da libertad a los vendedores y compradores para que negocien directamente (mediante negociaciones bilaterales o procedimiento de concurrencia de interesados) en un plazo máximo establecido para ello.  </w:t>
      </w:r>
    </w:p>
    <w:p w14:paraId="141B147F" w14:textId="77777777" w:rsidR="004B245A" w:rsidRDefault="004B245A" w:rsidP="004B245A">
      <w:pPr>
        <w:pStyle w:val="Prrafodelista"/>
        <w:ind w:left="426"/>
        <w:rPr>
          <w:sz w:val="22"/>
          <w:szCs w:val="22"/>
        </w:rPr>
      </w:pPr>
    </w:p>
    <w:p w14:paraId="2F84B960" w14:textId="6A8AE909" w:rsidR="0044033E" w:rsidRPr="000E63CD" w:rsidRDefault="005931CA">
      <w:pPr>
        <w:pStyle w:val="Prrafodelista"/>
        <w:numPr>
          <w:ilvl w:val="0"/>
          <w:numId w:val="10"/>
        </w:numPr>
        <w:ind w:left="426" w:hanging="426"/>
        <w:rPr>
          <w:sz w:val="22"/>
          <w:szCs w:val="22"/>
        </w:rPr>
      </w:pPr>
      <w:r w:rsidRPr="000E63CD">
        <w:rPr>
          <w:sz w:val="22"/>
          <w:szCs w:val="22"/>
        </w:rPr>
        <w:t xml:space="preserve">En el caso de las fuentes de suministro cuyas cantidades </w:t>
      </w:r>
      <w:r w:rsidR="00AF40D8" w:rsidRPr="000E63CD">
        <w:rPr>
          <w:sz w:val="22"/>
          <w:szCs w:val="22"/>
        </w:rPr>
        <w:t xml:space="preserve">con Respaldo Físico </w:t>
      </w:r>
      <w:r w:rsidRPr="000E63CD">
        <w:rPr>
          <w:sz w:val="22"/>
          <w:szCs w:val="22"/>
        </w:rPr>
        <w:t>se</w:t>
      </w:r>
      <w:r w:rsidR="00AD7DBB" w:rsidRPr="000E63CD">
        <w:rPr>
          <w:sz w:val="22"/>
          <w:szCs w:val="22"/>
        </w:rPr>
        <w:t xml:space="preserve"> </w:t>
      </w:r>
      <w:r w:rsidR="002E71AF" w:rsidRPr="000E63CD">
        <w:rPr>
          <w:sz w:val="22"/>
          <w:szCs w:val="22"/>
        </w:rPr>
        <w:t xml:space="preserve">pueden negociar de manera directa </w:t>
      </w:r>
      <w:r w:rsidRPr="000E63CD">
        <w:rPr>
          <w:sz w:val="22"/>
          <w:szCs w:val="22"/>
        </w:rPr>
        <w:t xml:space="preserve">mediante </w:t>
      </w:r>
      <w:r w:rsidR="002E71AF" w:rsidRPr="000E63CD">
        <w:rPr>
          <w:sz w:val="22"/>
          <w:szCs w:val="22"/>
        </w:rPr>
        <w:t xml:space="preserve">contratos de suministro </w:t>
      </w:r>
      <w:r w:rsidR="00BE36FD" w:rsidRPr="000E63CD">
        <w:rPr>
          <w:sz w:val="22"/>
          <w:szCs w:val="22"/>
        </w:rPr>
        <w:t xml:space="preserve">que se pueden </w:t>
      </w:r>
      <w:r w:rsidR="00C84600" w:rsidRPr="000E63CD">
        <w:rPr>
          <w:sz w:val="22"/>
          <w:szCs w:val="22"/>
        </w:rPr>
        <w:t>pacta</w:t>
      </w:r>
      <w:r w:rsidR="00941357" w:rsidRPr="000E63CD">
        <w:rPr>
          <w:sz w:val="22"/>
          <w:szCs w:val="22"/>
        </w:rPr>
        <w:t xml:space="preserve">r y </w:t>
      </w:r>
      <w:r w:rsidR="00BE36FD" w:rsidRPr="000E63CD">
        <w:rPr>
          <w:sz w:val="22"/>
          <w:szCs w:val="22"/>
        </w:rPr>
        <w:t xml:space="preserve">registrar </w:t>
      </w:r>
      <w:r w:rsidR="002E71AF" w:rsidRPr="000E63CD">
        <w:rPr>
          <w:sz w:val="22"/>
          <w:szCs w:val="22"/>
        </w:rPr>
        <w:t xml:space="preserve">en cualquier momento del año, </w:t>
      </w:r>
      <w:r w:rsidR="00C84600" w:rsidRPr="000E63CD">
        <w:rPr>
          <w:sz w:val="22"/>
          <w:szCs w:val="22"/>
        </w:rPr>
        <w:t>lo</w:t>
      </w:r>
      <w:r w:rsidR="00941357" w:rsidRPr="000E63CD">
        <w:rPr>
          <w:sz w:val="22"/>
          <w:szCs w:val="22"/>
        </w:rPr>
        <w:t xml:space="preserve"> podrán seguir negociando de esta manera </w:t>
      </w:r>
      <w:r w:rsidR="00C84600" w:rsidRPr="000E63CD">
        <w:rPr>
          <w:sz w:val="22"/>
          <w:szCs w:val="22"/>
        </w:rPr>
        <w:t xml:space="preserve">para esos trimestres estándar siempre y cuando no se presente en algún balance trimestral </w:t>
      </w:r>
      <w:r w:rsidR="002B3554" w:rsidRPr="000E63CD">
        <w:rPr>
          <w:sz w:val="22"/>
          <w:szCs w:val="22"/>
        </w:rPr>
        <w:t xml:space="preserve">una oferta comercial deficitaria para ese mismo trimestre y </w:t>
      </w:r>
      <w:r w:rsidR="006A3C8C" w:rsidRPr="000E63CD">
        <w:rPr>
          <w:sz w:val="22"/>
          <w:szCs w:val="22"/>
        </w:rPr>
        <w:t xml:space="preserve">en </w:t>
      </w:r>
      <w:r w:rsidR="002B3554" w:rsidRPr="000E63CD">
        <w:rPr>
          <w:sz w:val="22"/>
          <w:szCs w:val="22"/>
        </w:rPr>
        <w:t xml:space="preserve">ese mismo punto de referencia. </w:t>
      </w:r>
      <w:r w:rsidR="00941357" w:rsidRPr="000E63CD">
        <w:rPr>
          <w:sz w:val="22"/>
          <w:szCs w:val="22"/>
        </w:rPr>
        <w:t xml:space="preserve"> </w:t>
      </w:r>
      <w:r w:rsidR="006A3C8C" w:rsidRPr="000E63CD">
        <w:rPr>
          <w:sz w:val="22"/>
          <w:szCs w:val="22"/>
        </w:rPr>
        <w:t>A partir de</w:t>
      </w:r>
      <w:r w:rsidR="00172D77" w:rsidRPr="000E63CD">
        <w:rPr>
          <w:sz w:val="22"/>
          <w:szCs w:val="22"/>
        </w:rPr>
        <w:t xml:space="preserve">l </w:t>
      </w:r>
      <w:r w:rsidR="006A3C8C" w:rsidRPr="000E63CD">
        <w:rPr>
          <w:sz w:val="22"/>
          <w:szCs w:val="22"/>
        </w:rPr>
        <w:t xml:space="preserve">momento </w:t>
      </w:r>
      <w:r w:rsidR="00172D77" w:rsidRPr="000E63CD">
        <w:rPr>
          <w:sz w:val="22"/>
          <w:szCs w:val="22"/>
        </w:rPr>
        <w:t xml:space="preserve">en que el </w:t>
      </w:r>
      <w:r w:rsidR="005114C6">
        <w:rPr>
          <w:sz w:val="22"/>
          <w:szCs w:val="22"/>
        </w:rPr>
        <w:t>Gestor del Mercado</w:t>
      </w:r>
      <w:r w:rsidR="004C4F1E">
        <w:rPr>
          <w:sz w:val="22"/>
          <w:szCs w:val="22"/>
        </w:rPr>
        <w:t xml:space="preserve"> de Gas</w:t>
      </w:r>
      <w:r w:rsidR="00172D77" w:rsidRPr="000E63CD">
        <w:rPr>
          <w:sz w:val="22"/>
          <w:szCs w:val="22"/>
        </w:rPr>
        <w:t xml:space="preserve"> publique los resultados de los balances comerciales con esta situación de déficit, </w:t>
      </w:r>
      <w:r w:rsidR="006A3C8C" w:rsidRPr="000E63CD">
        <w:rPr>
          <w:sz w:val="22"/>
          <w:szCs w:val="22"/>
        </w:rPr>
        <w:t>no podrá seguir registrando los contratos que provengan de negociación directa con el suministro a partir de estas fuentes. La</w:t>
      </w:r>
      <w:r w:rsidR="00071EFA" w:rsidRPr="000E63CD">
        <w:rPr>
          <w:sz w:val="22"/>
          <w:szCs w:val="22"/>
        </w:rPr>
        <w:t xml:space="preserve"> negociación del suministro </w:t>
      </w:r>
      <w:r w:rsidR="00AE6251" w:rsidRPr="000E63CD">
        <w:rPr>
          <w:sz w:val="22"/>
          <w:szCs w:val="22"/>
        </w:rPr>
        <w:t xml:space="preserve">de estas fuentes para ese trimestre estándar y punto de referencia </w:t>
      </w:r>
      <w:r w:rsidR="00071EFA" w:rsidRPr="000E63CD">
        <w:rPr>
          <w:sz w:val="22"/>
          <w:szCs w:val="22"/>
        </w:rPr>
        <w:t xml:space="preserve">deberá realizarse </w:t>
      </w:r>
      <w:r w:rsidR="00AE6251" w:rsidRPr="000E63CD">
        <w:rPr>
          <w:sz w:val="22"/>
          <w:szCs w:val="22"/>
        </w:rPr>
        <w:t xml:space="preserve">con base en el procedimiento contemplado para </w:t>
      </w:r>
      <w:r w:rsidR="0044033E" w:rsidRPr="000E63CD">
        <w:rPr>
          <w:sz w:val="22"/>
          <w:szCs w:val="22"/>
        </w:rPr>
        <w:t xml:space="preserve">cuando se presenta </w:t>
      </w:r>
      <w:r w:rsidR="00AE6251" w:rsidRPr="000E63CD">
        <w:rPr>
          <w:sz w:val="22"/>
          <w:szCs w:val="22"/>
        </w:rPr>
        <w:t>dicho déficit comercial.</w:t>
      </w:r>
    </w:p>
    <w:p w14:paraId="6C358212" w14:textId="12D9259D" w:rsidR="00B2451E" w:rsidRPr="000E63CD" w:rsidRDefault="00AE6251" w:rsidP="0044033E">
      <w:pPr>
        <w:pStyle w:val="Prrafodelista"/>
        <w:ind w:left="426"/>
        <w:rPr>
          <w:sz w:val="22"/>
          <w:szCs w:val="22"/>
        </w:rPr>
      </w:pPr>
      <w:r w:rsidRPr="000E63CD">
        <w:rPr>
          <w:sz w:val="22"/>
          <w:szCs w:val="22"/>
        </w:rPr>
        <w:t xml:space="preserve"> </w:t>
      </w:r>
    </w:p>
    <w:p w14:paraId="6393A6D0" w14:textId="4ABF2F64" w:rsidR="0044033E" w:rsidRPr="000E63CD" w:rsidRDefault="00244D60">
      <w:pPr>
        <w:pStyle w:val="Prrafodelista"/>
        <w:numPr>
          <w:ilvl w:val="0"/>
          <w:numId w:val="10"/>
        </w:numPr>
        <w:ind w:left="426" w:hanging="426"/>
        <w:rPr>
          <w:sz w:val="22"/>
          <w:szCs w:val="22"/>
        </w:rPr>
      </w:pPr>
      <w:r>
        <w:rPr>
          <w:sz w:val="22"/>
          <w:szCs w:val="22"/>
        </w:rPr>
        <w:t>Las</w:t>
      </w:r>
      <w:r w:rsidR="0044033E" w:rsidRPr="000E63CD">
        <w:rPr>
          <w:sz w:val="22"/>
          <w:szCs w:val="22"/>
        </w:rPr>
        <w:t xml:space="preserve"> cantidades de la Demanda Esencial </w:t>
      </w:r>
      <w:r>
        <w:rPr>
          <w:sz w:val="22"/>
          <w:szCs w:val="22"/>
        </w:rPr>
        <w:t>declarad</w:t>
      </w:r>
      <w:r w:rsidR="0044033E" w:rsidRPr="000E63CD">
        <w:rPr>
          <w:sz w:val="22"/>
          <w:szCs w:val="22"/>
        </w:rPr>
        <w:t xml:space="preserve">a en la </w:t>
      </w:r>
      <w:r w:rsidR="00F23A24">
        <w:rPr>
          <w:sz w:val="22"/>
          <w:szCs w:val="22"/>
        </w:rPr>
        <w:t>segunda ronda (</w:t>
      </w:r>
      <w:r w:rsidR="0044033E" w:rsidRPr="000E63CD">
        <w:rPr>
          <w:sz w:val="22"/>
          <w:szCs w:val="22"/>
        </w:rPr>
        <w:t>segunda instancia</w:t>
      </w:r>
      <w:r w:rsidR="00F23A24">
        <w:rPr>
          <w:sz w:val="22"/>
          <w:szCs w:val="22"/>
        </w:rPr>
        <w:t>)</w:t>
      </w:r>
      <w:r w:rsidR="0044033E" w:rsidRPr="000E63CD">
        <w:rPr>
          <w:sz w:val="22"/>
          <w:szCs w:val="22"/>
        </w:rPr>
        <w:t xml:space="preserve"> por los </w:t>
      </w:r>
      <w:r w:rsidR="00AC32B5">
        <w:rPr>
          <w:sz w:val="22"/>
          <w:szCs w:val="22"/>
        </w:rPr>
        <w:t>Compradores</w:t>
      </w:r>
      <w:r>
        <w:rPr>
          <w:sz w:val="22"/>
          <w:szCs w:val="22"/>
        </w:rPr>
        <w:t xml:space="preserve"> se podrán atender </w:t>
      </w:r>
      <w:r w:rsidR="0044033E" w:rsidRPr="000E63CD">
        <w:rPr>
          <w:sz w:val="22"/>
          <w:szCs w:val="22"/>
        </w:rPr>
        <w:t>mediante contratos CF95</w:t>
      </w:r>
      <w:r>
        <w:rPr>
          <w:sz w:val="22"/>
          <w:szCs w:val="22"/>
        </w:rPr>
        <w:t xml:space="preserve"> o CF80</w:t>
      </w:r>
      <w:r w:rsidR="00BD59AE" w:rsidRPr="000E63CD">
        <w:rPr>
          <w:sz w:val="22"/>
          <w:szCs w:val="22"/>
        </w:rPr>
        <w:t>.</w:t>
      </w:r>
    </w:p>
    <w:p w14:paraId="1D2E19FA" w14:textId="77777777" w:rsidR="00BD59AE" w:rsidRPr="000E63CD" w:rsidRDefault="00BD59AE" w:rsidP="00BD59AE">
      <w:pPr>
        <w:pStyle w:val="Prrafodelista"/>
        <w:rPr>
          <w:sz w:val="22"/>
          <w:szCs w:val="22"/>
        </w:rPr>
      </w:pPr>
    </w:p>
    <w:p w14:paraId="39C0313F" w14:textId="15AF367E" w:rsidR="00BD59AE" w:rsidRPr="000E63CD" w:rsidRDefault="009839FB">
      <w:pPr>
        <w:pStyle w:val="Prrafodelista"/>
        <w:numPr>
          <w:ilvl w:val="0"/>
          <w:numId w:val="10"/>
        </w:numPr>
        <w:ind w:left="426" w:hanging="426"/>
        <w:rPr>
          <w:sz w:val="22"/>
          <w:szCs w:val="22"/>
        </w:rPr>
      </w:pPr>
      <w:r w:rsidRPr="000E63CD">
        <w:rPr>
          <w:sz w:val="22"/>
          <w:szCs w:val="22"/>
        </w:rPr>
        <w:t>Después de regis</w:t>
      </w:r>
      <w:r w:rsidR="00977022" w:rsidRPr="000E63CD">
        <w:rPr>
          <w:sz w:val="22"/>
          <w:szCs w:val="22"/>
        </w:rPr>
        <w:t>t</w:t>
      </w:r>
      <w:r w:rsidRPr="000E63CD">
        <w:rPr>
          <w:sz w:val="22"/>
          <w:szCs w:val="22"/>
        </w:rPr>
        <w:t xml:space="preserve">rados los contratos </w:t>
      </w:r>
      <w:r w:rsidR="009C5ED6" w:rsidRPr="000E63CD">
        <w:rPr>
          <w:sz w:val="22"/>
          <w:szCs w:val="22"/>
        </w:rPr>
        <w:t>con períodos trimestrales de suministro</w:t>
      </w:r>
      <w:r w:rsidR="00A04B59" w:rsidRPr="000E63CD">
        <w:rPr>
          <w:sz w:val="22"/>
          <w:szCs w:val="22"/>
        </w:rPr>
        <w:t xml:space="preserve"> </w:t>
      </w:r>
      <w:r w:rsidR="00977022" w:rsidRPr="000E63CD">
        <w:rPr>
          <w:sz w:val="22"/>
          <w:szCs w:val="22"/>
        </w:rPr>
        <w:t xml:space="preserve">pactados bajo el mecanismo de </w:t>
      </w:r>
      <w:r w:rsidR="00DB3EA7">
        <w:rPr>
          <w:sz w:val="22"/>
          <w:szCs w:val="22"/>
        </w:rPr>
        <w:t xml:space="preserve">comercialización de </w:t>
      </w:r>
      <w:r w:rsidR="00977022" w:rsidRPr="000E63CD">
        <w:rPr>
          <w:sz w:val="22"/>
          <w:szCs w:val="22"/>
        </w:rPr>
        <w:t xml:space="preserve">negociación directa mencionado, </w:t>
      </w:r>
      <w:r w:rsidR="00112BA4" w:rsidRPr="000E63CD">
        <w:rPr>
          <w:sz w:val="22"/>
          <w:szCs w:val="22"/>
        </w:rPr>
        <w:t xml:space="preserve">se podrán negociar las cantidades declaradas de PTDVF y/o CIDVF que hayan quedado disponibles, solamente para el siguiente trimestre estándar al trimestre estándar de negociación, mediante contratos </w:t>
      </w:r>
      <w:r w:rsidR="00294306">
        <w:rPr>
          <w:sz w:val="22"/>
          <w:szCs w:val="22"/>
        </w:rPr>
        <w:t>de suministro</w:t>
      </w:r>
      <w:r w:rsidR="00112BA4" w:rsidRPr="000E63CD">
        <w:rPr>
          <w:sz w:val="22"/>
          <w:szCs w:val="22"/>
        </w:rPr>
        <w:t xml:space="preserve"> CF95/CF80 con plazo de ejecución de un (1) mes calendario.</w:t>
      </w:r>
    </w:p>
    <w:p w14:paraId="08BDA2F8" w14:textId="77777777" w:rsidR="006B08F7" w:rsidRPr="000E63CD" w:rsidRDefault="006B08F7" w:rsidP="00985006">
      <w:pPr>
        <w:rPr>
          <w:sz w:val="22"/>
          <w:szCs w:val="22"/>
        </w:rPr>
      </w:pPr>
    </w:p>
    <w:p w14:paraId="1C6676AA" w14:textId="34878F13" w:rsidR="001B70BB" w:rsidRPr="000E63CD" w:rsidRDefault="00CC0420" w:rsidP="00985006">
      <w:pPr>
        <w:rPr>
          <w:sz w:val="22"/>
          <w:szCs w:val="22"/>
        </w:rPr>
      </w:pPr>
      <w:r w:rsidRPr="000E63CD">
        <w:rPr>
          <w:sz w:val="22"/>
          <w:szCs w:val="22"/>
        </w:rPr>
        <w:t>Ahora bien, e</w:t>
      </w:r>
      <w:r w:rsidR="006B08F7" w:rsidRPr="000E63CD">
        <w:rPr>
          <w:sz w:val="22"/>
          <w:szCs w:val="22"/>
        </w:rPr>
        <w:t>n el caso de un</w:t>
      </w:r>
      <w:r w:rsidR="00DB4C39" w:rsidRPr="000E63CD">
        <w:rPr>
          <w:sz w:val="22"/>
          <w:szCs w:val="22"/>
        </w:rPr>
        <w:t xml:space="preserve"> trimestre estándar con </w:t>
      </w:r>
      <w:r w:rsidR="006B08F7" w:rsidRPr="000E63CD">
        <w:rPr>
          <w:sz w:val="22"/>
          <w:szCs w:val="22"/>
        </w:rPr>
        <w:t>oferta deficitaria</w:t>
      </w:r>
      <w:r w:rsidR="00F57B4E" w:rsidRPr="000E63CD">
        <w:rPr>
          <w:sz w:val="22"/>
          <w:szCs w:val="22"/>
        </w:rPr>
        <w:t xml:space="preserve"> se plantea</w:t>
      </w:r>
      <w:r w:rsidR="00AF6483" w:rsidRPr="000E63CD">
        <w:rPr>
          <w:sz w:val="22"/>
          <w:szCs w:val="22"/>
        </w:rPr>
        <w:t xml:space="preserve">n a su vez </w:t>
      </w:r>
      <w:r w:rsidR="00E16308" w:rsidRPr="000E63CD">
        <w:rPr>
          <w:sz w:val="22"/>
          <w:szCs w:val="22"/>
        </w:rPr>
        <w:t>tre</w:t>
      </w:r>
      <w:r w:rsidR="00AF6483" w:rsidRPr="000E63CD">
        <w:rPr>
          <w:sz w:val="22"/>
          <w:szCs w:val="22"/>
        </w:rPr>
        <w:t>s etapas</w:t>
      </w:r>
      <w:r w:rsidR="00D063F0" w:rsidRPr="000E63CD">
        <w:rPr>
          <w:sz w:val="22"/>
          <w:szCs w:val="22"/>
        </w:rPr>
        <w:t xml:space="preserve"> </w:t>
      </w:r>
      <w:r w:rsidR="001B70BB" w:rsidRPr="000E63CD">
        <w:rPr>
          <w:sz w:val="22"/>
          <w:szCs w:val="22"/>
        </w:rPr>
        <w:t xml:space="preserve">principales </w:t>
      </w:r>
      <w:r w:rsidR="00D063F0" w:rsidRPr="000E63CD">
        <w:rPr>
          <w:sz w:val="22"/>
          <w:szCs w:val="22"/>
        </w:rPr>
        <w:t>que se resumen a continuación</w:t>
      </w:r>
      <w:r w:rsidR="00AF6483" w:rsidRPr="000E63CD">
        <w:rPr>
          <w:sz w:val="22"/>
          <w:szCs w:val="22"/>
        </w:rPr>
        <w:t xml:space="preserve">: </w:t>
      </w:r>
    </w:p>
    <w:p w14:paraId="77583236" w14:textId="77777777" w:rsidR="00D40986" w:rsidRPr="000E63CD" w:rsidRDefault="00D40986" w:rsidP="00985006">
      <w:pPr>
        <w:rPr>
          <w:sz w:val="22"/>
          <w:szCs w:val="22"/>
        </w:rPr>
      </w:pPr>
    </w:p>
    <w:p w14:paraId="79CCE23F" w14:textId="2820AE79" w:rsidR="00D40986" w:rsidRPr="000E63CD" w:rsidRDefault="00D40986">
      <w:pPr>
        <w:pStyle w:val="Prrafodelista"/>
        <w:numPr>
          <w:ilvl w:val="0"/>
          <w:numId w:val="11"/>
        </w:numPr>
        <w:ind w:left="426" w:hanging="426"/>
        <w:rPr>
          <w:sz w:val="22"/>
          <w:szCs w:val="22"/>
        </w:rPr>
      </w:pPr>
      <w:r w:rsidRPr="000E63CD">
        <w:rPr>
          <w:sz w:val="22"/>
          <w:szCs w:val="22"/>
        </w:rPr>
        <w:t xml:space="preserve">El </w:t>
      </w:r>
      <w:r w:rsidR="005114C6">
        <w:rPr>
          <w:sz w:val="22"/>
          <w:szCs w:val="22"/>
        </w:rPr>
        <w:t>Gestor del Mercado</w:t>
      </w:r>
      <w:r w:rsidR="004C4F1E">
        <w:rPr>
          <w:sz w:val="22"/>
          <w:szCs w:val="22"/>
        </w:rPr>
        <w:t xml:space="preserve"> de Gas</w:t>
      </w:r>
      <w:r w:rsidRPr="000E63CD">
        <w:rPr>
          <w:sz w:val="22"/>
          <w:szCs w:val="22"/>
        </w:rPr>
        <w:t xml:space="preserve"> descontará </w:t>
      </w:r>
      <w:r w:rsidR="00DD2CA6" w:rsidRPr="000E63CD">
        <w:rPr>
          <w:sz w:val="22"/>
          <w:szCs w:val="22"/>
        </w:rPr>
        <w:t xml:space="preserve">de las cantidades totales ofrecidas por los </w:t>
      </w:r>
      <w:r w:rsidR="00AC32B5">
        <w:rPr>
          <w:sz w:val="22"/>
          <w:szCs w:val="22"/>
        </w:rPr>
        <w:t>Vendedores</w:t>
      </w:r>
      <w:r w:rsidR="00DD2CA6" w:rsidRPr="000E63CD">
        <w:rPr>
          <w:sz w:val="22"/>
          <w:szCs w:val="22"/>
        </w:rPr>
        <w:t xml:space="preserve"> con Respaldo Físico </w:t>
      </w:r>
      <w:r w:rsidR="001D521B" w:rsidRPr="000E63CD">
        <w:rPr>
          <w:sz w:val="22"/>
          <w:szCs w:val="22"/>
        </w:rPr>
        <w:t>en cada p</w:t>
      </w:r>
      <w:r w:rsidR="00CF6D1D" w:rsidRPr="000E63CD">
        <w:rPr>
          <w:sz w:val="22"/>
          <w:szCs w:val="22"/>
        </w:rPr>
        <w:t>u</w:t>
      </w:r>
      <w:r w:rsidR="001D521B" w:rsidRPr="000E63CD">
        <w:rPr>
          <w:sz w:val="22"/>
          <w:szCs w:val="22"/>
        </w:rPr>
        <w:t xml:space="preserve">nto de referencia de cada trimestre estándar identificado con oferta comercial deficitaria, la suma de las cantidades que los </w:t>
      </w:r>
      <w:r w:rsidR="00AC32B5">
        <w:rPr>
          <w:sz w:val="22"/>
          <w:szCs w:val="22"/>
        </w:rPr>
        <w:t>Compradores</w:t>
      </w:r>
      <w:r w:rsidR="00CF6D1D" w:rsidRPr="000E63CD">
        <w:rPr>
          <w:sz w:val="22"/>
          <w:szCs w:val="22"/>
        </w:rPr>
        <w:t xml:space="preserve"> informaron en la </w:t>
      </w:r>
      <w:r w:rsidR="00F23A24">
        <w:rPr>
          <w:sz w:val="22"/>
          <w:szCs w:val="22"/>
        </w:rPr>
        <w:t>segunda ronda (</w:t>
      </w:r>
      <w:r w:rsidR="00CF6D1D" w:rsidRPr="000E63CD">
        <w:rPr>
          <w:sz w:val="22"/>
          <w:szCs w:val="22"/>
        </w:rPr>
        <w:t>segunda instancia</w:t>
      </w:r>
      <w:r w:rsidR="00F23A24">
        <w:rPr>
          <w:sz w:val="22"/>
          <w:szCs w:val="22"/>
        </w:rPr>
        <w:t>)</w:t>
      </w:r>
      <w:r w:rsidR="00CF6D1D" w:rsidRPr="000E63CD">
        <w:rPr>
          <w:sz w:val="22"/>
          <w:szCs w:val="22"/>
        </w:rPr>
        <w:t xml:space="preserve"> que se comprometían a contratar para atender la Demanda Esencial</w:t>
      </w:r>
      <w:r w:rsidR="00654FCC">
        <w:rPr>
          <w:sz w:val="22"/>
          <w:szCs w:val="22"/>
        </w:rPr>
        <w:t>, sea esta de usuarios regulados o de usuarios no regulados</w:t>
      </w:r>
      <w:r w:rsidR="00CF6D1D" w:rsidRPr="000E63CD">
        <w:rPr>
          <w:sz w:val="22"/>
          <w:szCs w:val="22"/>
        </w:rPr>
        <w:t>.  Dichas cantidades se distribuirán entre todas las fuentes de suministro que ofrecen gas con Respaldo Físico en ese punto de referencia</w:t>
      </w:r>
      <w:r w:rsidR="00EC0F11" w:rsidRPr="000E63CD">
        <w:rPr>
          <w:sz w:val="22"/>
          <w:szCs w:val="22"/>
        </w:rPr>
        <w:t xml:space="preserve">, a prorrata de las cantidades ofrecidas por los </w:t>
      </w:r>
      <w:r w:rsidR="00AC32B5">
        <w:rPr>
          <w:sz w:val="22"/>
          <w:szCs w:val="22"/>
        </w:rPr>
        <w:t>Vendedores</w:t>
      </w:r>
      <w:r w:rsidR="00EC0F11" w:rsidRPr="000E63CD">
        <w:rPr>
          <w:sz w:val="22"/>
          <w:szCs w:val="22"/>
        </w:rPr>
        <w:t xml:space="preserve"> </w:t>
      </w:r>
      <w:r w:rsidR="00CA0ED3" w:rsidRPr="000E63CD">
        <w:rPr>
          <w:sz w:val="22"/>
          <w:szCs w:val="22"/>
        </w:rPr>
        <w:t xml:space="preserve">y a prorrata de la participación de los </w:t>
      </w:r>
      <w:r w:rsidR="00AC32B5">
        <w:rPr>
          <w:sz w:val="22"/>
          <w:szCs w:val="22"/>
        </w:rPr>
        <w:t>Compradores</w:t>
      </w:r>
      <w:r w:rsidR="00CA0ED3" w:rsidRPr="000E63CD">
        <w:rPr>
          <w:sz w:val="22"/>
          <w:szCs w:val="22"/>
        </w:rPr>
        <w:t xml:space="preserve"> en las cantidades para atender la Demanda Esencial en ese punto de referencia.</w:t>
      </w:r>
      <w:r w:rsidR="00413E92" w:rsidRPr="000E63CD">
        <w:rPr>
          <w:sz w:val="22"/>
          <w:szCs w:val="22"/>
        </w:rPr>
        <w:t xml:space="preserve"> Finalmente</w:t>
      </w:r>
      <w:r w:rsidR="00444ECF" w:rsidRPr="000E63CD">
        <w:rPr>
          <w:sz w:val="22"/>
          <w:szCs w:val="22"/>
        </w:rPr>
        <w:t>,</w:t>
      </w:r>
      <w:r w:rsidR="00413E92" w:rsidRPr="000E63CD">
        <w:rPr>
          <w:sz w:val="22"/>
          <w:szCs w:val="22"/>
        </w:rPr>
        <w:t xml:space="preserve"> el </w:t>
      </w:r>
      <w:r w:rsidR="005114C6">
        <w:rPr>
          <w:sz w:val="22"/>
          <w:szCs w:val="22"/>
        </w:rPr>
        <w:t>Gestor del Mercado</w:t>
      </w:r>
      <w:r w:rsidR="004C4F1E">
        <w:rPr>
          <w:sz w:val="22"/>
          <w:szCs w:val="22"/>
        </w:rPr>
        <w:t xml:space="preserve"> de Gas</w:t>
      </w:r>
      <w:r w:rsidR="00413E92" w:rsidRPr="000E63CD">
        <w:rPr>
          <w:sz w:val="22"/>
          <w:szCs w:val="22"/>
        </w:rPr>
        <w:t xml:space="preserve"> informará a cada </w:t>
      </w:r>
      <w:r w:rsidR="004D495A">
        <w:rPr>
          <w:sz w:val="22"/>
          <w:szCs w:val="22"/>
        </w:rPr>
        <w:t>V</w:t>
      </w:r>
      <w:r w:rsidR="00413E92" w:rsidRPr="000E63CD">
        <w:rPr>
          <w:sz w:val="22"/>
          <w:szCs w:val="22"/>
        </w:rPr>
        <w:t xml:space="preserve">endedor y a cada </w:t>
      </w:r>
      <w:r w:rsidR="004D495A">
        <w:rPr>
          <w:sz w:val="22"/>
          <w:szCs w:val="22"/>
        </w:rPr>
        <w:t>C</w:t>
      </w:r>
      <w:r w:rsidR="00413E92" w:rsidRPr="000E63CD">
        <w:rPr>
          <w:sz w:val="22"/>
          <w:szCs w:val="22"/>
        </w:rPr>
        <w:t xml:space="preserve">omprador que participa en ese punto de referencia para cada trimestre estándar </w:t>
      </w:r>
      <w:r w:rsidR="00E826BE" w:rsidRPr="000E63CD">
        <w:rPr>
          <w:sz w:val="22"/>
          <w:szCs w:val="22"/>
        </w:rPr>
        <w:t>con oferta comercial deficitaria, las cantidades distribuidas.</w:t>
      </w:r>
    </w:p>
    <w:p w14:paraId="3EB34AFE" w14:textId="77777777" w:rsidR="00FE4BDE" w:rsidRPr="000E63CD" w:rsidRDefault="00FE4BDE" w:rsidP="00FE4BDE">
      <w:pPr>
        <w:rPr>
          <w:sz w:val="22"/>
          <w:szCs w:val="22"/>
        </w:rPr>
      </w:pPr>
    </w:p>
    <w:p w14:paraId="5CC4C7E7" w14:textId="6C606F50" w:rsidR="003A1BAF" w:rsidRDefault="00FE4BDE" w:rsidP="00FE4BDE">
      <w:pPr>
        <w:ind w:left="426"/>
        <w:rPr>
          <w:sz w:val="22"/>
          <w:szCs w:val="22"/>
        </w:rPr>
      </w:pPr>
      <w:r w:rsidRPr="000E63CD">
        <w:rPr>
          <w:sz w:val="22"/>
          <w:szCs w:val="22"/>
        </w:rPr>
        <w:t xml:space="preserve">En las </w:t>
      </w:r>
      <w:r w:rsidR="00654FCC">
        <w:rPr>
          <w:sz w:val="22"/>
          <w:szCs w:val="22"/>
        </w:rPr>
        <w:t>gráficas</w:t>
      </w:r>
      <w:r w:rsidRPr="000E63CD">
        <w:rPr>
          <w:sz w:val="22"/>
          <w:szCs w:val="22"/>
        </w:rPr>
        <w:t xml:space="preserve"> siguientes se muestra un ejemplo </w:t>
      </w:r>
      <w:r w:rsidR="00654FCC">
        <w:rPr>
          <w:sz w:val="22"/>
          <w:szCs w:val="22"/>
        </w:rPr>
        <w:t xml:space="preserve">con dos escenarios, </w:t>
      </w:r>
      <w:r w:rsidRPr="000E63CD">
        <w:rPr>
          <w:sz w:val="22"/>
          <w:szCs w:val="22"/>
        </w:rPr>
        <w:t>de</w:t>
      </w:r>
      <w:r w:rsidR="00B30BC9" w:rsidRPr="000E63CD">
        <w:rPr>
          <w:sz w:val="22"/>
          <w:szCs w:val="22"/>
        </w:rPr>
        <w:t xml:space="preserve"> la forma de aplicación de</w:t>
      </w:r>
      <w:r w:rsidRPr="000E63CD">
        <w:rPr>
          <w:sz w:val="22"/>
          <w:szCs w:val="22"/>
        </w:rPr>
        <w:t xml:space="preserve"> la distribución propuesta</w:t>
      </w:r>
      <w:r w:rsidR="00B30BC9" w:rsidRPr="000E63CD">
        <w:rPr>
          <w:sz w:val="22"/>
          <w:szCs w:val="22"/>
        </w:rPr>
        <w:t xml:space="preserve">. En el primer </w:t>
      </w:r>
      <w:r w:rsidR="00654FCC">
        <w:rPr>
          <w:sz w:val="22"/>
          <w:szCs w:val="22"/>
        </w:rPr>
        <w:t>escenario (</w:t>
      </w:r>
      <w:r w:rsidR="00057E29">
        <w:rPr>
          <w:sz w:val="22"/>
          <w:szCs w:val="22"/>
        </w:rPr>
        <w:fldChar w:fldCharType="begin"/>
      </w:r>
      <w:r w:rsidR="00057E29">
        <w:rPr>
          <w:sz w:val="22"/>
          <w:szCs w:val="22"/>
        </w:rPr>
        <w:instrText xml:space="preserve"> REF _Ref129698021 \h </w:instrText>
      </w:r>
      <w:r w:rsidR="00057E29">
        <w:rPr>
          <w:sz w:val="22"/>
          <w:szCs w:val="22"/>
        </w:rPr>
      </w:r>
      <w:r w:rsidR="00057E29">
        <w:rPr>
          <w:sz w:val="22"/>
          <w:szCs w:val="22"/>
        </w:rPr>
        <w:fldChar w:fldCharType="separate"/>
      </w:r>
      <w:r w:rsidR="006B7344" w:rsidRPr="00057E29">
        <w:rPr>
          <w:sz w:val="22"/>
          <w:szCs w:val="22"/>
        </w:rPr>
        <w:t xml:space="preserve">Figura </w:t>
      </w:r>
      <w:r w:rsidR="006B7344">
        <w:rPr>
          <w:i/>
          <w:iCs/>
          <w:noProof/>
          <w:sz w:val="22"/>
          <w:szCs w:val="22"/>
        </w:rPr>
        <w:t>21</w:t>
      </w:r>
      <w:r w:rsidR="00057E29">
        <w:rPr>
          <w:sz w:val="22"/>
          <w:szCs w:val="22"/>
        </w:rPr>
        <w:fldChar w:fldCharType="end"/>
      </w:r>
      <w:r w:rsidR="00654FCC">
        <w:rPr>
          <w:sz w:val="22"/>
          <w:szCs w:val="22"/>
        </w:rPr>
        <w:t>)</w:t>
      </w:r>
      <w:r w:rsidR="00B30BC9" w:rsidRPr="000E63CD">
        <w:rPr>
          <w:sz w:val="22"/>
          <w:szCs w:val="22"/>
        </w:rPr>
        <w:t xml:space="preserve">, se trata de </w:t>
      </w:r>
      <w:r w:rsidR="00654FCC">
        <w:rPr>
          <w:sz w:val="22"/>
          <w:szCs w:val="22"/>
        </w:rPr>
        <w:t>una</w:t>
      </w:r>
      <w:r w:rsidR="00B30BC9" w:rsidRPr="000E63CD">
        <w:rPr>
          <w:sz w:val="22"/>
          <w:szCs w:val="22"/>
        </w:rPr>
        <w:t xml:space="preserve"> oferta</w:t>
      </w:r>
      <w:r w:rsidR="00654FCC">
        <w:rPr>
          <w:sz w:val="22"/>
          <w:szCs w:val="22"/>
        </w:rPr>
        <w:t xml:space="preserve"> total,</w:t>
      </w:r>
      <w:r w:rsidR="00B30BC9" w:rsidRPr="000E63CD">
        <w:rPr>
          <w:sz w:val="22"/>
          <w:szCs w:val="22"/>
        </w:rPr>
        <w:t xml:space="preserve"> </w:t>
      </w:r>
      <w:r w:rsidR="006E2751" w:rsidRPr="000E63CD">
        <w:rPr>
          <w:sz w:val="22"/>
          <w:szCs w:val="22"/>
        </w:rPr>
        <w:t xml:space="preserve">compuesta por 3 </w:t>
      </w:r>
      <w:r w:rsidR="00AC32B5">
        <w:rPr>
          <w:sz w:val="22"/>
          <w:szCs w:val="22"/>
        </w:rPr>
        <w:t>Vendedores</w:t>
      </w:r>
      <w:r w:rsidR="006E2751" w:rsidRPr="000E63CD">
        <w:rPr>
          <w:sz w:val="22"/>
          <w:szCs w:val="22"/>
        </w:rPr>
        <w:t xml:space="preserve"> con 6 fuentes de suministro</w:t>
      </w:r>
      <w:r w:rsidR="00E658E6" w:rsidRPr="000E63CD">
        <w:rPr>
          <w:sz w:val="22"/>
          <w:szCs w:val="22"/>
        </w:rPr>
        <w:t>,</w:t>
      </w:r>
      <w:r w:rsidR="006E2751" w:rsidRPr="000E63CD">
        <w:rPr>
          <w:sz w:val="22"/>
          <w:szCs w:val="22"/>
        </w:rPr>
        <w:t xml:space="preserve"> </w:t>
      </w:r>
      <w:r w:rsidR="00A155D5" w:rsidRPr="000E63CD">
        <w:rPr>
          <w:sz w:val="22"/>
          <w:szCs w:val="22"/>
        </w:rPr>
        <w:t xml:space="preserve">de 106.080 MBTUD para un trimestre dado en un punto de referencia dado, y la demanda total </w:t>
      </w:r>
      <w:r w:rsidR="00654FCC">
        <w:rPr>
          <w:sz w:val="22"/>
          <w:szCs w:val="22"/>
        </w:rPr>
        <w:t xml:space="preserve">(demanda esencial junto con demanda diferente de la demanda esencial) </w:t>
      </w:r>
      <w:r w:rsidR="00A155D5" w:rsidRPr="000E63CD">
        <w:rPr>
          <w:sz w:val="22"/>
          <w:szCs w:val="22"/>
        </w:rPr>
        <w:t xml:space="preserve">reportada en </w:t>
      </w:r>
      <w:r w:rsidR="003A1BAF">
        <w:rPr>
          <w:sz w:val="22"/>
          <w:szCs w:val="22"/>
        </w:rPr>
        <w:t>segunda ronda (</w:t>
      </w:r>
      <w:r w:rsidR="00A155D5" w:rsidRPr="000E63CD">
        <w:rPr>
          <w:sz w:val="22"/>
          <w:szCs w:val="22"/>
        </w:rPr>
        <w:t>segunda instancia</w:t>
      </w:r>
      <w:r w:rsidR="003A1BAF">
        <w:rPr>
          <w:sz w:val="22"/>
          <w:szCs w:val="22"/>
        </w:rPr>
        <w:t>)</w:t>
      </w:r>
      <w:r w:rsidR="00654FCC">
        <w:rPr>
          <w:sz w:val="22"/>
          <w:szCs w:val="22"/>
        </w:rPr>
        <w:t xml:space="preserve"> de declaración al </w:t>
      </w:r>
      <w:r w:rsidR="005114C6">
        <w:rPr>
          <w:sz w:val="22"/>
          <w:szCs w:val="22"/>
        </w:rPr>
        <w:t>Gestor del Mercado</w:t>
      </w:r>
      <w:r w:rsidR="00654FCC">
        <w:rPr>
          <w:sz w:val="22"/>
          <w:szCs w:val="22"/>
        </w:rPr>
        <w:t xml:space="preserve"> </w:t>
      </w:r>
      <w:r w:rsidR="00654FCC" w:rsidRPr="000E63CD">
        <w:rPr>
          <w:sz w:val="22"/>
          <w:szCs w:val="22"/>
        </w:rPr>
        <w:t>es de 116.000 MBTUD</w:t>
      </w:r>
      <w:r w:rsidR="00E658E6" w:rsidRPr="000E63CD">
        <w:rPr>
          <w:sz w:val="22"/>
          <w:szCs w:val="22"/>
        </w:rPr>
        <w:t>,</w:t>
      </w:r>
      <w:r w:rsidR="00A155D5" w:rsidRPr="000E63CD">
        <w:rPr>
          <w:sz w:val="22"/>
          <w:szCs w:val="22"/>
        </w:rPr>
        <w:t xml:space="preserve"> </w:t>
      </w:r>
      <w:r w:rsidR="006E2751" w:rsidRPr="000E63CD">
        <w:rPr>
          <w:sz w:val="22"/>
          <w:szCs w:val="22"/>
        </w:rPr>
        <w:t xml:space="preserve">compuesta por 5 </w:t>
      </w:r>
      <w:r w:rsidR="00AC32B5">
        <w:rPr>
          <w:sz w:val="22"/>
          <w:szCs w:val="22"/>
        </w:rPr>
        <w:t>Compradores</w:t>
      </w:r>
      <w:r w:rsidR="006E2751" w:rsidRPr="000E63CD">
        <w:rPr>
          <w:sz w:val="22"/>
          <w:szCs w:val="22"/>
        </w:rPr>
        <w:t xml:space="preserve"> interesados</w:t>
      </w:r>
      <w:r w:rsidR="00E658E6" w:rsidRPr="000E63CD">
        <w:rPr>
          <w:sz w:val="22"/>
          <w:szCs w:val="22"/>
        </w:rPr>
        <w:t>,</w:t>
      </w:r>
      <w:r w:rsidR="006E2751" w:rsidRPr="000E63CD">
        <w:rPr>
          <w:sz w:val="22"/>
          <w:szCs w:val="22"/>
        </w:rPr>
        <w:t xml:space="preserve"> </w:t>
      </w:r>
      <w:r w:rsidR="00A155D5" w:rsidRPr="000E63CD">
        <w:rPr>
          <w:sz w:val="22"/>
          <w:szCs w:val="22"/>
        </w:rPr>
        <w:t xml:space="preserve">siendo </w:t>
      </w:r>
      <w:r w:rsidR="00E658E6" w:rsidRPr="000E63CD">
        <w:rPr>
          <w:sz w:val="22"/>
          <w:szCs w:val="22"/>
        </w:rPr>
        <w:t>la</w:t>
      </w:r>
      <w:r w:rsidR="00A155D5" w:rsidRPr="000E63CD">
        <w:rPr>
          <w:sz w:val="22"/>
          <w:szCs w:val="22"/>
        </w:rPr>
        <w:t xml:space="preserve"> </w:t>
      </w:r>
      <w:r w:rsidR="00654FCC">
        <w:rPr>
          <w:sz w:val="22"/>
          <w:szCs w:val="22"/>
        </w:rPr>
        <w:t xml:space="preserve">parte de la </w:t>
      </w:r>
      <w:r w:rsidR="00A155D5" w:rsidRPr="000E63CD">
        <w:rPr>
          <w:sz w:val="22"/>
          <w:szCs w:val="22"/>
        </w:rPr>
        <w:t xml:space="preserve">Demanda Esencial reportada </w:t>
      </w:r>
      <w:r w:rsidR="00654FCC">
        <w:rPr>
          <w:sz w:val="22"/>
          <w:szCs w:val="22"/>
        </w:rPr>
        <w:t xml:space="preserve">en esta segunda instancia, </w:t>
      </w:r>
      <w:r w:rsidR="00A155D5" w:rsidRPr="000E63CD">
        <w:rPr>
          <w:sz w:val="22"/>
          <w:szCs w:val="22"/>
        </w:rPr>
        <w:t>de</w:t>
      </w:r>
      <w:r w:rsidR="00654FCC">
        <w:rPr>
          <w:sz w:val="22"/>
          <w:szCs w:val="22"/>
        </w:rPr>
        <w:t xml:space="preserve"> un total de</w:t>
      </w:r>
      <w:r w:rsidR="006E2751" w:rsidRPr="000E63CD">
        <w:rPr>
          <w:sz w:val="22"/>
          <w:szCs w:val="22"/>
        </w:rPr>
        <w:t xml:space="preserve"> 71.500 MBTUD. En este caso el cociente que se obtiene es de 0,91 </w:t>
      </w:r>
      <w:r w:rsidR="00654FCC">
        <w:rPr>
          <w:sz w:val="22"/>
          <w:szCs w:val="22"/>
        </w:rPr>
        <w:t xml:space="preserve">(106.800/116.000) </w:t>
      </w:r>
      <w:proofErr w:type="gramStart"/>
      <w:r w:rsidR="006E2751" w:rsidRPr="000E63CD">
        <w:rPr>
          <w:sz w:val="22"/>
          <w:szCs w:val="22"/>
        </w:rPr>
        <w:t>y</w:t>
      </w:r>
      <w:proofErr w:type="gramEnd"/>
      <w:r w:rsidR="006E2751" w:rsidRPr="000E63CD">
        <w:rPr>
          <w:sz w:val="22"/>
          <w:szCs w:val="22"/>
        </w:rPr>
        <w:t xml:space="preserve"> por tanto, la oferta comercial es deficitaria</w:t>
      </w:r>
      <w:r w:rsidR="00654FCC">
        <w:rPr>
          <w:sz w:val="22"/>
          <w:szCs w:val="22"/>
        </w:rPr>
        <w:t>. A</w:t>
      </w:r>
      <w:r w:rsidR="006E2751" w:rsidRPr="000E63CD">
        <w:rPr>
          <w:sz w:val="22"/>
          <w:szCs w:val="22"/>
        </w:rPr>
        <w:t>demás de ello se observa que las cantidades de Demanda Esencial son inferiores a la</w:t>
      </w:r>
      <w:r w:rsidR="00E658E6" w:rsidRPr="000E63CD">
        <w:rPr>
          <w:sz w:val="22"/>
          <w:szCs w:val="22"/>
        </w:rPr>
        <w:t>s cantidades</w:t>
      </w:r>
      <w:r w:rsidR="006E2751" w:rsidRPr="000E63CD">
        <w:rPr>
          <w:sz w:val="22"/>
          <w:szCs w:val="22"/>
        </w:rPr>
        <w:t xml:space="preserve"> oferta</w:t>
      </w:r>
      <w:r w:rsidR="00E658E6" w:rsidRPr="000E63CD">
        <w:rPr>
          <w:sz w:val="22"/>
          <w:szCs w:val="22"/>
        </w:rPr>
        <w:t>das</w:t>
      </w:r>
      <w:r w:rsidR="00D470B7" w:rsidRPr="000E63CD">
        <w:rPr>
          <w:sz w:val="22"/>
          <w:szCs w:val="22"/>
        </w:rPr>
        <w:t>, por lo que habrá necesariamente cantidades remanentes de oferta a ser asignada</w:t>
      </w:r>
      <w:r w:rsidR="00E658E6" w:rsidRPr="000E63CD">
        <w:rPr>
          <w:sz w:val="22"/>
          <w:szCs w:val="22"/>
        </w:rPr>
        <w:t>s</w:t>
      </w:r>
      <w:r w:rsidR="00D470B7" w:rsidRPr="000E63CD">
        <w:rPr>
          <w:sz w:val="22"/>
          <w:szCs w:val="22"/>
        </w:rPr>
        <w:t xml:space="preserve"> a la demanda diferente a la Demanda Esencial</w:t>
      </w:r>
      <w:r w:rsidR="00654FCC">
        <w:rPr>
          <w:sz w:val="22"/>
          <w:szCs w:val="22"/>
        </w:rPr>
        <w:t xml:space="preserve"> sobre la que se declaró cantidades en la segunda instancia al </w:t>
      </w:r>
      <w:r w:rsidR="005114C6">
        <w:rPr>
          <w:sz w:val="22"/>
          <w:szCs w:val="22"/>
        </w:rPr>
        <w:t>Gestor del Mercado</w:t>
      </w:r>
      <w:r w:rsidR="00D470B7" w:rsidRPr="000E63CD">
        <w:rPr>
          <w:sz w:val="22"/>
          <w:szCs w:val="22"/>
        </w:rPr>
        <w:t xml:space="preserve">.  </w:t>
      </w:r>
    </w:p>
    <w:p w14:paraId="21741080" w14:textId="77777777" w:rsidR="003A1BAF" w:rsidRDefault="003A1BAF" w:rsidP="00FE4BDE">
      <w:pPr>
        <w:ind w:left="426"/>
        <w:rPr>
          <w:sz w:val="22"/>
          <w:szCs w:val="22"/>
        </w:rPr>
      </w:pPr>
    </w:p>
    <w:p w14:paraId="158230F8" w14:textId="3ED6E6E7" w:rsidR="003A1BAF" w:rsidRDefault="00ED6D8D" w:rsidP="00FE4BDE">
      <w:pPr>
        <w:ind w:left="426"/>
        <w:rPr>
          <w:sz w:val="22"/>
          <w:szCs w:val="22"/>
        </w:rPr>
      </w:pPr>
      <w:r w:rsidRPr="000E63CD">
        <w:rPr>
          <w:sz w:val="22"/>
          <w:szCs w:val="22"/>
        </w:rPr>
        <w:t>Como resultado de la aplicación del procedimiento que se establece</w:t>
      </w:r>
      <w:r w:rsidR="00E658E6" w:rsidRPr="000E63CD">
        <w:rPr>
          <w:sz w:val="22"/>
          <w:szCs w:val="22"/>
        </w:rPr>
        <w:t>, el Gestor calculará la distribución de cantidades para atender la Demanda Esencial</w:t>
      </w:r>
      <w:r w:rsidRPr="000E63CD">
        <w:rPr>
          <w:sz w:val="22"/>
          <w:szCs w:val="22"/>
        </w:rPr>
        <w:t xml:space="preserve">, </w:t>
      </w:r>
      <w:r w:rsidR="00E658E6" w:rsidRPr="000E63CD">
        <w:rPr>
          <w:sz w:val="22"/>
          <w:szCs w:val="22"/>
        </w:rPr>
        <w:t xml:space="preserve">entre </w:t>
      </w:r>
      <w:r w:rsidR="00C247C2" w:rsidRPr="000E63CD">
        <w:rPr>
          <w:sz w:val="22"/>
          <w:szCs w:val="22"/>
        </w:rPr>
        <w:t xml:space="preserve">los </w:t>
      </w:r>
      <w:r w:rsidR="00AC32B5">
        <w:rPr>
          <w:sz w:val="22"/>
          <w:szCs w:val="22"/>
        </w:rPr>
        <w:t>Compradores</w:t>
      </w:r>
      <w:r w:rsidR="00C247C2" w:rsidRPr="000E63CD">
        <w:rPr>
          <w:sz w:val="22"/>
          <w:szCs w:val="22"/>
        </w:rPr>
        <w:t xml:space="preserve"> </w:t>
      </w:r>
      <w:r w:rsidR="00E658E6" w:rsidRPr="000E63CD">
        <w:rPr>
          <w:sz w:val="22"/>
          <w:szCs w:val="22"/>
        </w:rPr>
        <w:t xml:space="preserve">y los </w:t>
      </w:r>
      <w:r w:rsidR="00AC32B5">
        <w:rPr>
          <w:sz w:val="22"/>
          <w:szCs w:val="22"/>
        </w:rPr>
        <w:t>Vendedores</w:t>
      </w:r>
      <w:r w:rsidR="00E658E6" w:rsidRPr="000E63CD">
        <w:rPr>
          <w:sz w:val="22"/>
          <w:szCs w:val="22"/>
        </w:rPr>
        <w:t>; así</w:t>
      </w:r>
      <w:r w:rsidR="00654FCC">
        <w:rPr>
          <w:sz w:val="22"/>
          <w:szCs w:val="22"/>
        </w:rPr>
        <w:t>,</w:t>
      </w:r>
      <w:r w:rsidR="00E658E6" w:rsidRPr="000E63CD">
        <w:rPr>
          <w:sz w:val="22"/>
          <w:szCs w:val="22"/>
        </w:rPr>
        <w:t xml:space="preserve"> el </w:t>
      </w:r>
      <w:r w:rsidR="005114C6">
        <w:rPr>
          <w:sz w:val="22"/>
          <w:szCs w:val="22"/>
        </w:rPr>
        <w:t>Gestor del Mercado</w:t>
      </w:r>
      <w:r w:rsidR="004C4F1E">
        <w:rPr>
          <w:sz w:val="22"/>
          <w:szCs w:val="22"/>
        </w:rPr>
        <w:t xml:space="preserve"> de Gas</w:t>
      </w:r>
      <w:r w:rsidR="00E658E6" w:rsidRPr="000E63CD">
        <w:rPr>
          <w:sz w:val="22"/>
          <w:szCs w:val="22"/>
        </w:rPr>
        <w:t xml:space="preserve"> informará al comprador 1 que podrá negociar con el vendedor 1 </w:t>
      </w:r>
      <w:r w:rsidR="003B502B" w:rsidRPr="000E63CD">
        <w:rPr>
          <w:sz w:val="22"/>
          <w:szCs w:val="22"/>
        </w:rPr>
        <w:t xml:space="preserve">el suministro de una cantidad de </w:t>
      </w:r>
      <w:r w:rsidR="006B5563" w:rsidRPr="000E63CD">
        <w:rPr>
          <w:sz w:val="22"/>
          <w:szCs w:val="22"/>
        </w:rPr>
        <w:t>1.131 + 650 + 285 [</w:t>
      </w:r>
      <w:r w:rsidR="00E658E6" w:rsidRPr="000E63CD">
        <w:rPr>
          <w:sz w:val="22"/>
          <w:szCs w:val="22"/>
        </w:rPr>
        <w:t>MBTUD</w:t>
      </w:r>
      <w:r w:rsidR="006B5563" w:rsidRPr="000E63CD">
        <w:rPr>
          <w:sz w:val="22"/>
          <w:szCs w:val="22"/>
        </w:rPr>
        <w:t>]</w:t>
      </w:r>
      <w:r w:rsidR="003B502B" w:rsidRPr="000E63CD">
        <w:rPr>
          <w:sz w:val="22"/>
          <w:szCs w:val="22"/>
        </w:rPr>
        <w:t xml:space="preserve">, con el vendedor 2 una cantidad de </w:t>
      </w:r>
      <w:r w:rsidR="006B5563" w:rsidRPr="000E63CD">
        <w:rPr>
          <w:sz w:val="22"/>
          <w:szCs w:val="22"/>
        </w:rPr>
        <w:t>566 + 226 [MB</w:t>
      </w:r>
      <w:r w:rsidR="00FE5941" w:rsidRPr="000E63CD">
        <w:rPr>
          <w:sz w:val="22"/>
          <w:szCs w:val="22"/>
        </w:rPr>
        <w:t>TUD</w:t>
      </w:r>
      <w:r w:rsidR="006B5563" w:rsidRPr="000E63CD">
        <w:rPr>
          <w:sz w:val="22"/>
          <w:szCs w:val="22"/>
        </w:rPr>
        <w:t>]</w:t>
      </w:r>
      <w:r w:rsidR="00FE5941" w:rsidRPr="000E63CD">
        <w:rPr>
          <w:sz w:val="22"/>
          <w:szCs w:val="22"/>
        </w:rPr>
        <w:t xml:space="preserve">, y con el vendedor 3 una cantidad de </w:t>
      </w:r>
      <w:r w:rsidR="006B5563" w:rsidRPr="000E63CD">
        <w:rPr>
          <w:sz w:val="22"/>
          <w:szCs w:val="22"/>
        </w:rPr>
        <w:t>141</w:t>
      </w:r>
      <w:r w:rsidR="00FE5941" w:rsidRPr="000E63CD">
        <w:rPr>
          <w:sz w:val="22"/>
          <w:szCs w:val="22"/>
        </w:rPr>
        <w:t xml:space="preserve"> MBTUD. </w:t>
      </w:r>
    </w:p>
    <w:p w14:paraId="3508DC74" w14:textId="77777777" w:rsidR="003A1BAF" w:rsidRDefault="003A1BAF" w:rsidP="00FE4BDE">
      <w:pPr>
        <w:ind w:left="426"/>
        <w:rPr>
          <w:sz w:val="22"/>
          <w:szCs w:val="22"/>
        </w:rPr>
      </w:pPr>
    </w:p>
    <w:p w14:paraId="405CC761" w14:textId="1EC8DE97" w:rsidR="003A1BAF" w:rsidRDefault="004C0145" w:rsidP="00FE4BDE">
      <w:pPr>
        <w:ind w:left="426"/>
        <w:rPr>
          <w:sz w:val="22"/>
          <w:szCs w:val="22"/>
        </w:rPr>
      </w:pPr>
      <w:r w:rsidRPr="000E63CD">
        <w:rPr>
          <w:sz w:val="22"/>
          <w:szCs w:val="22"/>
        </w:rPr>
        <w:t xml:space="preserve">El precio de suministro </w:t>
      </w:r>
      <w:r w:rsidR="00654FCC">
        <w:rPr>
          <w:sz w:val="22"/>
          <w:szCs w:val="22"/>
        </w:rPr>
        <w:t xml:space="preserve">para la demanda total asignada (incluyendo la Demanda Esencial priorizada inicialmente) </w:t>
      </w:r>
      <w:r w:rsidRPr="000E63CD">
        <w:rPr>
          <w:sz w:val="22"/>
          <w:szCs w:val="22"/>
        </w:rPr>
        <w:t>dependerá de si la fuente de suministro negocia directamente</w:t>
      </w:r>
      <w:r w:rsidR="003B0E7C" w:rsidRPr="000E63CD">
        <w:rPr>
          <w:sz w:val="22"/>
          <w:szCs w:val="22"/>
        </w:rPr>
        <w:t xml:space="preserve"> mediante un mecanismo previamente establecido por el vendedor de dicha fuente, o de si el precio corresponde al precio de cierre de la subasta</w:t>
      </w:r>
      <w:r w:rsidR="00E7397B" w:rsidRPr="00E7397B">
        <w:rPr>
          <w:sz w:val="22"/>
          <w:szCs w:val="22"/>
        </w:rPr>
        <w:t xml:space="preserve"> </w:t>
      </w:r>
      <w:r w:rsidR="003B0E7C" w:rsidRPr="000E63CD">
        <w:rPr>
          <w:sz w:val="22"/>
          <w:szCs w:val="22"/>
        </w:rPr>
        <w:t xml:space="preserve">que realice el </w:t>
      </w:r>
      <w:r w:rsidR="005114C6">
        <w:rPr>
          <w:sz w:val="22"/>
          <w:szCs w:val="22"/>
        </w:rPr>
        <w:t>Gestor del Mercado</w:t>
      </w:r>
      <w:r w:rsidR="004C4F1E">
        <w:rPr>
          <w:sz w:val="22"/>
          <w:szCs w:val="22"/>
        </w:rPr>
        <w:t xml:space="preserve"> de Gas</w:t>
      </w:r>
      <w:r w:rsidR="003B0E7C" w:rsidRPr="000E63CD">
        <w:rPr>
          <w:sz w:val="22"/>
          <w:szCs w:val="22"/>
        </w:rPr>
        <w:t xml:space="preserve">, en caso </w:t>
      </w:r>
      <w:r w:rsidR="00FC010C" w:rsidRPr="000E63CD">
        <w:rPr>
          <w:sz w:val="22"/>
          <w:szCs w:val="22"/>
        </w:rPr>
        <w:t xml:space="preserve">de </w:t>
      </w:r>
      <w:r w:rsidR="003B0E7C" w:rsidRPr="000E63CD">
        <w:rPr>
          <w:sz w:val="22"/>
          <w:szCs w:val="22"/>
        </w:rPr>
        <w:t>que ello aplique por el tipo de fuente</w:t>
      </w:r>
      <w:r w:rsidR="009C22D1" w:rsidRPr="000E63CD">
        <w:rPr>
          <w:sz w:val="22"/>
          <w:szCs w:val="22"/>
        </w:rPr>
        <w:t xml:space="preserve">. </w:t>
      </w:r>
    </w:p>
    <w:p w14:paraId="0452D422" w14:textId="77777777" w:rsidR="003A1BAF" w:rsidRDefault="003A1BAF" w:rsidP="00FE4BDE">
      <w:pPr>
        <w:ind w:left="426"/>
        <w:rPr>
          <w:sz w:val="22"/>
          <w:szCs w:val="22"/>
        </w:rPr>
      </w:pPr>
    </w:p>
    <w:p w14:paraId="1FE2C5CB" w14:textId="467049F5" w:rsidR="00FE4BDE" w:rsidRPr="000E63CD" w:rsidRDefault="009C22D1" w:rsidP="00FE4BDE">
      <w:pPr>
        <w:ind w:left="426"/>
        <w:rPr>
          <w:sz w:val="22"/>
          <w:szCs w:val="22"/>
        </w:rPr>
      </w:pPr>
      <w:r w:rsidRPr="000E63CD">
        <w:rPr>
          <w:sz w:val="22"/>
          <w:szCs w:val="22"/>
        </w:rPr>
        <w:t xml:space="preserve">Las cantidades remanentes para asignar mediante subastas o según el mecanismo que el </w:t>
      </w:r>
      <w:r w:rsidR="00CB1BB8">
        <w:rPr>
          <w:sz w:val="22"/>
          <w:szCs w:val="22"/>
        </w:rPr>
        <w:t>V</w:t>
      </w:r>
      <w:r w:rsidRPr="000E63CD">
        <w:rPr>
          <w:sz w:val="22"/>
          <w:szCs w:val="22"/>
        </w:rPr>
        <w:t xml:space="preserve">endedor haya establecido en el caso de </w:t>
      </w:r>
      <w:r w:rsidR="003A1BAF">
        <w:rPr>
          <w:sz w:val="22"/>
          <w:szCs w:val="22"/>
        </w:rPr>
        <w:t>las fuentes de suministro</w:t>
      </w:r>
      <w:r w:rsidRPr="000E63CD">
        <w:rPr>
          <w:sz w:val="22"/>
          <w:szCs w:val="22"/>
        </w:rPr>
        <w:t xml:space="preserve"> con nego</w:t>
      </w:r>
      <w:r w:rsidR="00FC010C" w:rsidRPr="000E63CD">
        <w:rPr>
          <w:sz w:val="22"/>
          <w:szCs w:val="22"/>
        </w:rPr>
        <w:t>c</w:t>
      </w:r>
      <w:r w:rsidRPr="000E63CD">
        <w:rPr>
          <w:sz w:val="22"/>
          <w:szCs w:val="22"/>
        </w:rPr>
        <w:t>iación directa</w:t>
      </w:r>
      <w:r w:rsidR="00B866F3" w:rsidRPr="000E63CD">
        <w:rPr>
          <w:sz w:val="22"/>
          <w:szCs w:val="22"/>
        </w:rPr>
        <w:t>,</w:t>
      </w:r>
      <w:r w:rsidR="00FC010C" w:rsidRPr="000E63CD">
        <w:rPr>
          <w:sz w:val="22"/>
          <w:szCs w:val="22"/>
        </w:rPr>
        <w:t xml:space="preserve"> corresponden a 23.823 MBTUD para el </w:t>
      </w:r>
      <w:r w:rsidR="00CB1BB8">
        <w:rPr>
          <w:sz w:val="22"/>
          <w:szCs w:val="22"/>
        </w:rPr>
        <w:t>V</w:t>
      </w:r>
      <w:r w:rsidR="00FC010C" w:rsidRPr="000E63CD">
        <w:rPr>
          <w:sz w:val="22"/>
          <w:szCs w:val="22"/>
        </w:rPr>
        <w:t>endedor 1, 9.127 MBTUD</w:t>
      </w:r>
      <w:r w:rsidR="00B866F3" w:rsidRPr="000E63CD">
        <w:rPr>
          <w:sz w:val="22"/>
          <w:szCs w:val="22"/>
        </w:rPr>
        <w:t xml:space="preserve"> para e</w:t>
      </w:r>
      <w:r w:rsidR="00FC010C" w:rsidRPr="000E63CD">
        <w:rPr>
          <w:sz w:val="22"/>
          <w:szCs w:val="22"/>
        </w:rPr>
        <w:t xml:space="preserve">l </w:t>
      </w:r>
      <w:r w:rsidR="00EF44A5">
        <w:rPr>
          <w:sz w:val="22"/>
          <w:szCs w:val="22"/>
        </w:rPr>
        <w:t>V</w:t>
      </w:r>
      <w:r w:rsidR="00FC010C" w:rsidRPr="000E63CD">
        <w:rPr>
          <w:sz w:val="22"/>
          <w:szCs w:val="22"/>
        </w:rPr>
        <w:t xml:space="preserve">endedor 2 y 1.630 MBTUD </w:t>
      </w:r>
      <w:r w:rsidR="00B866F3" w:rsidRPr="000E63CD">
        <w:rPr>
          <w:sz w:val="22"/>
          <w:szCs w:val="22"/>
        </w:rPr>
        <w:t>para e</w:t>
      </w:r>
      <w:r w:rsidR="00FC010C" w:rsidRPr="000E63CD">
        <w:rPr>
          <w:sz w:val="22"/>
          <w:szCs w:val="22"/>
        </w:rPr>
        <w:t xml:space="preserve">l </w:t>
      </w:r>
      <w:r w:rsidR="00EF44A5">
        <w:rPr>
          <w:sz w:val="22"/>
          <w:szCs w:val="22"/>
        </w:rPr>
        <w:t>V</w:t>
      </w:r>
      <w:r w:rsidR="00FC010C" w:rsidRPr="000E63CD">
        <w:rPr>
          <w:sz w:val="22"/>
          <w:szCs w:val="22"/>
        </w:rPr>
        <w:t>endedor 3. Es de tener en cuenta que</w:t>
      </w:r>
      <w:r w:rsidR="00B714CF">
        <w:rPr>
          <w:sz w:val="22"/>
          <w:szCs w:val="22"/>
        </w:rPr>
        <w:t>,</w:t>
      </w:r>
      <w:r w:rsidR="00FC010C" w:rsidRPr="000E63CD">
        <w:rPr>
          <w:sz w:val="22"/>
          <w:szCs w:val="22"/>
        </w:rPr>
        <w:t xml:space="preserve"> si un vendedor no </w:t>
      </w:r>
      <w:r w:rsidR="00D5270D" w:rsidRPr="000E63CD">
        <w:rPr>
          <w:sz w:val="22"/>
          <w:szCs w:val="22"/>
        </w:rPr>
        <w:t xml:space="preserve">pudo acordar con el comprador los términos del contrato diferentes a precio, cantidad y condiciones mínima establecidas por la CREG, incluyendo el tipo de garantías, </w:t>
      </w:r>
      <w:r w:rsidR="000F3ED3" w:rsidRPr="000E63CD">
        <w:rPr>
          <w:sz w:val="22"/>
          <w:szCs w:val="22"/>
        </w:rPr>
        <w:t>l</w:t>
      </w:r>
      <w:r w:rsidR="00110E90" w:rsidRPr="000E63CD">
        <w:rPr>
          <w:sz w:val="22"/>
          <w:szCs w:val="22"/>
        </w:rPr>
        <w:t>a cantidad no pactada finalmente podrá ser asignada en la subasta</w:t>
      </w:r>
      <w:r w:rsidR="00654FCC">
        <w:rPr>
          <w:sz w:val="22"/>
          <w:szCs w:val="22"/>
        </w:rPr>
        <w:t>.</w:t>
      </w:r>
    </w:p>
    <w:p w14:paraId="28BA8AB2" w14:textId="77777777" w:rsidR="00FE4BDE" w:rsidRPr="000E63CD" w:rsidRDefault="00FE4BDE" w:rsidP="00FE4BDE">
      <w:pPr>
        <w:rPr>
          <w:sz w:val="22"/>
          <w:szCs w:val="22"/>
        </w:rPr>
      </w:pPr>
    </w:p>
    <w:p w14:paraId="3A2F4A19" w14:textId="46AAC63F" w:rsidR="00A25B20" w:rsidRDefault="00A25B20" w:rsidP="00A25B20">
      <w:pPr>
        <w:ind w:left="426"/>
        <w:rPr>
          <w:sz w:val="22"/>
          <w:szCs w:val="22"/>
        </w:rPr>
      </w:pPr>
      <w:r w:rsidRPr="000E63CD">
        <w:rPr>
          <w:sz w:val="22"/>
          <w:szCs w:val="22"/>
        </w:rPr>
        <w:t xml:space="preserve">En el segundo caso </w:t>
      </w:r>
      <w:r>
        <w:rPr>
          <w:sz w:val="22"/>
          <w:szCs w:val="22"/>
        </w:rPr>
        <w:t>que se muestra en la</w:t>
      </w:r>
      <w:r w:rsidR="00057E29">
        <w:rPr>
          <w:sz w:val="22"/>
          <w:szCs w:val="22"/>
        </w:rPr>
        <w:t xml:space="preserve"> </w:t>
      </w:r>
      <w:r w:rsidR="00057E29">
        <w:rPr>
          <w:sz w:val="22"/>
          <w:szCs w:val="22"/>
        </w:rPr>
        <w:fldChar w:fldCharType="begin"/>
      </w:r>
      <w:r w:rsidR="00057E29">
        <w:rPr>
          <w:sz w:val="22"/>
          <w:szCs w:val="22"/>
        </w:rPr>
        <w:instrText xml:space="preserve"> REF _Ref129698131 \h </w:instrText>
      </w:r>
      <w:r w:rsidR="00057E29">
        <w:rPr>
          <w:sz w:val="22"/>
          <w:szCs w:val="22"/>
        </w:rPr>
      </w:r>
      <w:r w:rsidR="00057E29">
        <w:rPr>
          <w:sz w:val="22"/>
          <w:szCs w:val="22"/>
        </w:rPr>
        <w:fldChar w:fldCharType="separate"/>
      </w:r>
      <w:r w:rsidR="006B7344" w:rsidRPr="00057E29">
        <w:rPr>
          <w:sz w:val="22"/>
          <w:szCs w:val="22"/>
        </w:rPr>
        <w:t xml:space="preserve">Figura </w:t>
      </w:r>
      <w:r w:rsidR="006B7344">
        <w:rPr>
          <w:i/>
          <w:iCs/>
          <w:noProof/>
          <w:sz w:val="22"/>
          <w:szCs w:val="22"/>
        </w:rPr>
        <w:t>22</w:t>
      </w:r>
      <w:r w:rsidR="00057E29">
        <w:rPr>
          <w:sz w:val="22"/>
          <w:szCs w:val="22"/>
        </w:rPr>
        <w:fldChar w:fldCharType="end"/>
      </w:r>
      <w:r w:rsidRPr="000E63CD">
        <w:rPr>
          <w:sz w:val="22"/>
          <w:szCs w:val="22"/>
        </w:rPr>
        <w:t xml:space="preserve">, </w:t>
      </w:r>
      <w:r w:rsidR="00057E29">
        <w:rPr>
          <w:sz w:val="22"/>
          <w:szCs w:val="22"/>
        </w:rPr>
        <w:t xml:space="preserve">se </w:t>
      </w:r>
      <w:r w:rsidRPr="000E63CD">
        <w:rPr>
          <w:sz w:val="22"/>
          <w:szCs w:val="22"/>
        </w:rPr>
        <w:t xml:space="preserve">trata un escenario en el que la oferta </w:t>
      </w:r>
      <w:r>
        <w:rPr>
          <w:sz w:val="22"/>
          <w:szCs w:val="22"/>
        </w:rPr>
        <w:t xml:space="preserve">comercial </w:t>
      </w:r>
      <w:r w:rsidRPr="000E63CD">
        <w:rPr>
          <w:sz w:val="22"/>
          <w:szCs w:val="22"/>
        </w:rPr>
        <w:t xml:space="preserve">compuesta por 3 </w:t>
      </w:r>
      <w:r>
        <w:rPr>
          <w:sz w:val="22"/>
          <w:szCs w:val="22"/>
        </w:rPr>
        <w:t>Vendedores</w:t>
      </w:r>
      <w:r w:rsidRPr="000E63CD">
        <w:rPr>
          <w:sz w:val="22"/>
          <w:szCs w:val="22"/>
        </w:rPr>
        <w:t xml:space="preserve"> con 6 fuentes de </w:t>
      </w:r>
      <w:proofErr w:type="gramStart"/>
      <w:r w:rsidRPr="000E63CD">
        <w:rPr>
          <w:sz w:val="22"/>
          <w:szCs w:val="22"/>
        </w:rPr>
        <w:t>suministro,</w:t>
      </w:r>
      <w:proofErr w:type="gramEnd"/>
      <w:r w:rsidRPr="000E63CD">
        <w:rPr>
          <w:sz w:val="22"/>
          <w:szCs w:val="22"/>
        </w:rPr>
        <w:t xml:space="preserve"> es de 65.120 MBTUD para un trimestre dado en un punto de referencia dado y la demanda total reportada en </w:t>
      </w:r>
      <w:r>
        <w:rPr>
          <w:sz w:val="22"/>
          <w:szCs w:val="22"/>
        </w:rPr>
        <w:t>la segunda ronda (</w:t>
      </w:r>
      <w:r w:rsidRPr="000E63CD">
        <w:rPr>
          <w:sz w:val="22"/>
          <w:szCs w:val="22"/>
        </w:rPr>
        <w:t>segunda instancia</w:t>
      </w:r>
      <w:r>
        <w:rPr>
          <w:sz w:val="22"/>
          <w:szCs w:val="22"/>
        </w:rPr>
        <w:t>)</w:t>
      </w:r>
      <w:r w:rsidR="00654FCC">
        <w:rPr>
          <w:sz w:val="22"/>
          <w:szCs w:val="22"/>
        </w:rPr>
        <w:t xml:space="preserve"> de declaración al </w:t>
      </w:r>
      <w:r w:rsidR="005114C6">
        <w:rPr>
          <w:sz w:val="22"/>
          <w:szCs w:val="22"/>
        </w:rPr>
        <w:t>Gestor del Mercado</w:t>
      </w:r>
      <w:r w:rsidRPr="000E63CD">
        <w:rPr>
          <w:sz w:val="22"/>
          <w:szCs w:val="22"/>
        </w:rPr>
        <w:t xml:space="preserve">, compuesta por 5 </w:t>
      </w:r>
      <w:r>
        <w:rPr>
          <w:sz w:val="22"/>
          <w:szCs w:val="22"/>
        </w:rPr>
        <w:t>Compradores</w:t>
      </w:r>
      <w:r w:rsidRPr="000E63CD">
        <w:rPr>
          <w:sz w:val="22"/>
          <w:szCs w:val="22"/>
        </w:rPr>
        <w:t xml:space="preserve"> interesados, es de 116.000 MBTUD, siendo la Demanda Esencial reportada total de 71.500 MBTUD. En este caso el cociente que se obtiene es de 0,56 </w:t>
      </w:r>
      <w:proofErr w:type="gramStart"/>
      <w:r w:rsidRPr="000E63CD">
        <w:rPr>
          <w:sz w:val="22"/>
          <w:szCs w:val="22"/>
        </w:rPr>
        <w:t>y</w:t>
      </w:r>
      <w:proofErr w:type="gramEnd"/>
      <w:r w:rsidRPr="000E63CD">
        <w:rPr>
          <w:sz w:val="22"/>
          <w:szCs w:val="22"/>
        </w:rPr>
        <w:t xml:space="preserve"> por tanto, la oferta comercial es deficitaria; además de ello se observa que las cantidades de Demanda Esencial son superiores a las cantidades ofertadas, por lo que no habrán cantidades remanentes de oferta a ser asignadas a la demanda diferente a la Demanda Esencial</w:t>
      </w:r>
      <w:r w:rsidR="002B3628">
        <w:rPr>
          <w:sz w:val="22"/>
          <w:szCs w:val="22"/>
        </w:rPr>
        <w:t xml:space="preserve"> requerida en la segunda instancia de declaración</w:t>
      </w:r>
      <w:r w:rsidRPr="000E63CD">
        <w:rPr>
          <w:sz w:val="22"/>
          <w:szCs w:val="22"/>
        </w:rPr>
        <w:t xml:space="preserve">.  </w:t>
      </w:r>
    </w:p>
    <w:p w14:paraId="3D685BF1" w14:textId="77777777" w:rsidR="00D73706" w:rsidRPr="000E63CD" w:rsidRDefault="00D73706" w:rsidP="00FE4BDE">
      <w:pPr>
        <w:rPr>
          <w:sz w:val="22"/>
          <w:szCs w:val="22"/>
        </w:rPr>
      </w:pPr>
    </w:p>
    <w:p w14:paraId="1F0A7900" w14:textId="2084410C" w:rsidR="00057E29" w:rsidRPr="00057E29" w:rsidRDefault="00057E29" w:rsidP="00057E29">
      <w:pPr>
        <w:pStyle w:val="Descripcin"/>
        <w:keepNext/>
        <w:jc w:val="center"/>
        <w:rPr>
          <w:i w:val="0"/>
          <w:iCs w:val="0"/>
          <w:sz w:val="22"/>
          <w:szCs w:val="22"/>
        </w:rPr>
      </w:pPr>
      <w:bookmarkStart w:id="447" w:name="_Ref129698021"/>
      <w:bookmarkStart w:id="448" w:name="_Toc140506621"/>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28</w:t>
      </w:r>
      <w:r w:rsidR="006B6B6C">
        <w:rPr>
          <w:i w:val="0"/>
          <w:iCs w:val="0"/>
          <w:sz w:val="22"/>
          <w:szCs w:val="22"/>
        </w:rPr>
        <w:fldChar w:fldCharType="end"/>
      </w:r>
      <w:bookmarkEnd w:id="447"/>
      <w:r w:rsidRPr="00057E29">
        <w:rPr>
          <w:i w:val="0"/>
          <w:iCs w:val="0"/>
          <w:sz w:val="22"/>
          <w:szCs w:val="22"/>
        </w:rPr>
        <w:t xml:space="preserve"> Ejemplo de asignación ante oferta comercial deficitaria – Escenario 1</w:t>
      </w:r>
      <w:bookmarkEnd w:id="448"/>
    </w:p>
    <w:p w14:paraId="19885CC2" w14:textId="77777777" w:rsidR="00FE4BDE" w:rsidRPr="000E63CD" w:rsidRDefault="00FE4BDE" w:rsidP="00FE4BDE">
      <w:pPr>
        <w:rPr>
          <w:sz w:val="22"/>
          <w:szCs w:val="22"/>
        </w:rPr>
      </w:pPr>
      <w:r w:rsidRPr="000E63CD">
        <w:rPr>
          <w:noProof/>
          <w:sz w:val="22"/>
          <w:szCs w:val="22"/>
        </w:rPr>
        <w:drawing>
          <wp:inline distT="0" distB="0" distL="0" distR="0" wp14:anchorId="7E99DF2B" wp14:editId="594DA9AE">
            <wp:extent cx="5940425" cy="3914140"/>
            <wp:effectExtent l="0" t="0" r="3175"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50"/>
                    <a:stretch>
                      <a:fillRect/>
                    </a:stretch>
                  </pic:blipFill>
                  <pic:spPr>
                    <a:xfrm>
                      <a:off x="0" y="0"/>
                      <a:ext cx="5940425" cy="3914140"/>
                    </a:xfrm>
                    <a:prstGeom prst="rect">
                      <a:avLst/>
                    </a:prstGeom>
                  </pic:spPr>
                </pic:pic>
              </a:graphicData>
            </a:graphic>
          </wp:inline>
        </w:drawing>
      </w:r>
    </w:p>
    <w:p w14:paraId="7A41F76E" w14:textId="77777777" w:rsidR="0043319C" w:rsidRPr="000E63CD" w:rsidRDefault="0043319C" w:rsidP="00FE4BDE">
      <w:pPr>
        <w:rPr>
          <w:sz w:val="22"/>
          <w:szCs w:val="22"/>
        </w:rPr>
      </w:pPr>
    </w:p>
    <w:p w14:paraId="1BF5A493" w14:textId="77777777" w:rsidR="003A1BAF" w:rsidRDefault="003A1BAF" w:rsidP="004E37E3">
      <w:pPr>
        <w:ind w:left="426"/>
        <w:rPr>
          <w:sz w:val="22"/>
          <w:szCs w:val="22"/>
        </w:rPr>
      </w:pPr>
    </w:p>
    <w:p w14:paraId="4A6507DF" w14:textId="22CFAD70" w:rsidR="003A1BAF" w:rsidRDefault="0043319C" w:rsidP="004E37E3">
      <w:pPr>
        <w:ind w:left="426"/>
        <w:rPr>
          <w:sz w:val="22"/>
          <w:szCs w:val="22"/>
        </w:rPr>
      </w:pPr>
      <w:r w:rsidRPr="000E63CD">
        <w:rPr>
          <w:sz w:val="22"/>
          <w:szCs w:val="22"/>
        </w:rPr>
        <w:t xml:space="preserve">Como resultado de la aplicación del procedimiento que se establece, el Gestor calculará la distribución de cantidades para atender la Demanda Esencial, entre los </w:t>
      </w:r>
      <w:r w:rsidR="00AC32B5">
        <w:rPr>
          <w:sz w:val="22"/>
          <w:szCs w:val="22"/>
        </w:rPr>
        <w:t>Compradores</w:t>
      </w:r>
      <w:r w:rsidRPr="000E63CD">
        <w:rPr>
          <w:sz w:val="22"/>
          <w:szCs w:val="22"/>
        </w:rPr>
        <w:t xml:space="preserve"> y los </w:t>
      </w:r>
      <w:r w:rsidR="00AC32B5">
        <w:rPr>
          <w:sz w:val="22"/>
          <w:szCs w:val="22"/>
        </w:rPr>
        <w:t>Vendedores</w:t>
      </w:r>
      <w:r w:rsidRPr="000E63CD">
        <w:rPr>
          <w:sz w:val="22"/>
          <w:szCs w:val="22"/>
        </w:rPr>
        <w:t xml:space="preserve">; así el </w:t>
      </w:r>
      <w:r w:rsidR="005114C6">
        <w:rPr>
          <w:sz w:val="22"/>
          <w:szCs w:val="22"/>
        </w:rPr>
        <w:t>Gestor del Mercado</w:t>
      </w:r>
      <w:r w:rsidR="004C4F1E">
        <w:rPr>
          <w:sz w:val="22"/>
          <w:szCs w:val="22"/>
        </w:rPr>
        <w:t xml:space="preserve"> de Gas</w:t>
      </w:r>
      <w:r w:rsidRPr="000E63CD">
        <w:rPr>
          <w:sz w:val="22"/>
          <w:szCs w:val="22"/>
        </w:rPr>
        <w:t xml:space="preserve"> informará al comprador 1 que podrá negociar con el vendedor 1 el suministro de una cantidad de </w:t>
      </w:r>
      <w:r w:rsidR="00DD1607" w:rsidRPr="000E63CD">
        <w:rPr>
          <w:sz w:val="22"/>
          <w:szCs w:val="22"/>
        </w:rPr>
        <w:t>838 + 503 + 215 [</w:t>
      </w:r>
      <w:r w:rsidRPr="000E63CD">
        <w:rPr>
          <w:sz w:val="22"/>
          <w:szCs w:val="22"/>
        </w:rPr>
        <w:t>MBTUD</w:t>
      </w:r>
      <w:r w:rsidR="00DD1607" w:rsidRPr="000E63CD">
        <w:rPr>
          <w:sz w:val="22"/>
          <w:szCs w:val="22"/>
        </w:rPr>
        <w:t>]</w:t>
      </w:r>
      <w:r w:rsidRPr="000E63CD">
        <w:rPr>
          <w:sz w:val="22"/>
          <w:szCs w:val="22"/>
        </w:rPr>
        <w:t xml:space="preserve">, con el vendedor 2 una cantidad de </w:t>
      </w:r>
      <w:r w:rsidR="00DD1607" w:rsidRPr="000E63CD">
        <w:rPr>
          <w:sz w:val="22"/>
          <w:szCs w:val="22"/>
        </w:rPr>
        <w:t>629 + 336</w:t>
      </w:r>
      <w:r w:rsidR="008D24BA" w:rsidRPr="000E63CD">
        <w:rPr>
          <w:sz w:val="22"/>
          <w:szCs w:val="22"/>
        </w:rPr>
        <w:t xml:space="preserve"> [</w:t>
      </w:r>
      <w:r w:rsidRPr="000E63CD">
        <w:rPr>
          <w:sz w:val="22"/>
          <w:szCs w:val="22"/>
        </w:rPr>
        <w:t>MBTUD</w:t>
      </w:r>
      <w:r w:rsidR="008D24BA" w:rsidRPr="000E63CD">
        <w:rPr>
          <w:sz w:val="22"/>
          <w:szCs w:val="22"/>
        </w:rPr>
        <w:t>]</w:t>
      </w:r>
      <w:r w:rsidRPr="000E63CD">
        <w:rPr>
          <w:sz w:val="22"/>
          <w:szCs w:val="22"/>
        </w:rPr>
        <w:t xml:space="preserve">, y con el vendedor 3 una cantidad de </w:t>
      </w:r>
      <w:r w:rsidR="008D24BA" w:rsidRPr="000E63CD">
        <w:rPr>
          <w:sz w:val="22"/>
          <w:szCs w:val="22"/>
        </w:rPr>
        <w:t>210</w:t>
      </w:r>
      <w:r w:rsidRPr="000E63CD">
        <w:rPr>
          <w:sz w:val="22"/>
          <w:szCs w:val="22"/>
        </w:rPr>
        <w:t xml:space="preserve"> MBTUD. </w:t>
      </w:r>
    </w:p>
    <w:p w14:paraId="141592E7" w14:textId="77777777" w:rsidR="003A1BAF" w:rsidRDefault="003A1BAF" w:rsidP="004E37E3">
      <w:pPr>
        <w:ind w:left="426"/>
        <w:rPr>
          <w:sz w:val="22"/>
          <w:szCs w:val="22"/>
        </w:rPr>
      </w:pPr>
    </w:p>
    <w:p w14:paraId="4F3A594C" w14:textId="40D452C7" w:rsidR="0043319C" w:rsidRPr="000E63CD" w:rsidRDefault="0043319C" w:rsidP="004E37E3">
      <w:pPr>
        <w:ind w:left="426"/>
        <w:rPr>
          <w:sz w:val="22"/>
          <w:szCs w:val="22"/>
        </w:rPr>
      </w:pPr>
      <w:r w:rsidRPr="000E63CD">
        <w:rPr>
          <w:sz w:val="22"/>
          <w:szCs w:val="22"/>
        </w:rPr>
        <w:t xml:space="preserve">El precio de suministro dependerá de si la fuente de suministro negocia directamente mediante un mecanismo previamente establecido por el vendedor de dicha fuente, o </w:t>
      </w:r>
      <w:r w:rsidR="002B3628">
        <w:rPr>
          <w:sz w:val="22"/>
          <w:szCs w:val="22"/>
        </w:rPr>
        <w:t>al</w:t>
      </w:r>
      <w:r w:rsidRPr="000E63CD">
        <w:rPr>
          <w:sz w:val="22"/>
          <w:szCs w:val="22"/>
        </w:rPr>
        <w:t xml:space="preserve"> precio </w:t>
      </w:r>
      <w:r w:rsidR="002B3628">
        <w:rPr>
          <w:sz w:val="22"/>
          <w:szCs w:val="22"/>
        </w:rPr>
        <w:t>de reserva de cada fuente de suministro, ya que en ese caso no podrá haber subasta pues n</w:t>
      </w:r>
      <w:r w:rsidR="000F3ED3" w:rsidRPr="000E63CD">
        <w:rPr>
          <w:sz w:val="22"/>
          <w:szCs w:val="22"/>
        </w:rPr>
        <w:t xml:space="preserve">o hay </w:t>
      </w:r>
      <w:r w:rsidRPr="000E63CD">
        <w:rPr>
          <w:sz w:val="22"/>
          <w:szCs w:val="22"/>
        </w:rPr>
        <w:t xml:space="preserve">cantidades remanentes para asignar mediante subastas o según el mecanismo que el vendedor haya establecido en el caso de los campos con negociación directa. Es </w:t>
      </w:r>
      <w:r w:rsidR="003A1BAF">
        <w:rPr>
          <w:sz w:val="22"/>
          <w:szCs w:val="22"/>
        </w:rPr>
        <w:t>importante</w:t>
      </w:r>
      <w:r w:rsidRPr="000E63CD">
        <w:rPr>
          <w:sz w:val="22"/>
          <w:szCs w:val="22"/>
        </w:rPr>
        <w:t xml:space="preserve"> tener en cuenta que si un vendedor no pudo acordar con el comprador los términos del contrato diferentes a precio, cantidad y condiciones mínima establecidas por la CREG, incluyendo el tipo de garantías, </w:t>
      </w:r>
      <w:r w:rsidR="000F3ED3" w:rsidRPr="000E63CD">
        <w:rPr>
          <w:sz w:val="22"/>
          <w:szCs w:val="22"/>
        </w:rPr>
        <w:t>l</w:t>
      </w:r>
      <w:r w:rsidRPr="000E63CD">
        <w:rPr>
          <w:sz w:val="22"/>
          <w:szCs w:val="22"/>
        </w:rPr>
        <w:t xml:space="preserve">a cantidad no pactada finalmente podrá ser asignada </w:t>
      </w:r>
      <w:r w:rsidR="000F3ED3" w:rsidRPr="000E63CD">
        <w:rPr>
          <w:sz w:val="22"/>
          <w:szCs w:val="22"/>
        </w:rPr>
        <w:t xml:space="preserve">a los otros agentes </w:t>
      </w:r>
      <w:r w:rsidR="002B3628">
        <w:rPr>
          <w:sz w:val="22"/>
          <w:szCs w:val="22"/>
        </w:rPr>
        <w:t>con la misma prorrata calculada sin considerar la demanda del comprador que no suscribió contrato</w:t>
      </w:r>
      <w:r w:rsidR="006A12EA" w:rsidRPr="000E63CD">
        <w:rPr>
          <w:sz w:val="22"/>
          <w:szCs w:val="22"/>
        </w:rPr>
        <w:t xml:space="preserve"> y dado el caso que queden cantidades remanentes después de lo anterior, las mismas podrán ser asignadas</w:t>
      </w:r>
      <w:r w:rsidR="00AB4ED6" w:rsidRPr="000E63CD">
        <w:rPr>
          <w:sz w:val="22"/>
          <w:szCs w:val="22"/>
        </w:rPr>
        <w:t xml:space="preserve"> a la demás demanda</w:t>
      </w:r>
      <w:r w:rsidR="00D350B4" w:rsidRPr="000E63CD">
        <w:rPr>
          <w:sz w:val="22"/>
          <w:szCs w:val="22"/>
        </w:rPr>
        <w:t xml:space="preserve"> mediante subastas o según el mecanismo que el vendedor haya establecido en el caso de los campos con negociación directa</w:t>
      </w:r>
      <w:r w:rsidRPr="000E63CD">
        <w:rPr>
          <w:sz w:val="22"/>
          <w:szCs w:val="22"/>
        </w:rPr>
        <w:t>:</w:t>
      </w:r>
    </w:p>
    <w:p w14:paraId="780A965F" w14:textId="77777777" w:rsidR="006664F2" w:rsidRPr="000E63CD" w:rsidRDefault="006664F2" w:rsidP="00FE4BDE">
      <w:pPr>
        <w:rPr>
          <w:sz w:val="22"/>
          <w:szCs w:val="22"/>
        </w:rPr>
      </w:pPr>
    </w:p>
    <w:p w14:paraId="261C1F50" w14:textId="2C786DBE" w:rsidR="00057E29" w:rsidRPr="00057E29" w:rsidRDefault="00057E29" w:rsidP="00057E29">
      <w:pPr>
        <w:pStyle w:val="Descripcin"/>
        <w:keepNext/>
        <w:jc w:val="center"/>
        <w:rPr>
          <w:i w:val="0"/>
          <w:iCs w:val="0"/>
          <w:sz w:val="22"/>
          <w:szCs w:val="22"/>
        </w:rPr>
      </w:pPr>
      <w:bookmarkStart w:id="449" w:name="_Ref129698131"/>
      <w:bookmarkStart w:id="450" w:name="_Toc140506622"/>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29</w:t>
      </w:r>
      <w:r w:rsidR="006B6B6C">
        <w:rPr>
          <w:i w:val="0"/>
          <w:iCs w:val="0"/>
          <w:sz w:val="22"/>
          <w:szCs w:val="22"/>
        </w:rPr>
        <w:fldChar w:fldCharType="end"/>
      </w:r>
      <w:bookmarkEnd w:id="449"/>
      <w:r w:rsidRPr="00057E29">
        <w:rPr>
          <w:i w:val="0"/>
          <w:iCs w:val="0"/>
          <w:sz w:val="22"/>
          <w:szCs w:val="22"/>
        </w:rPr>
        <w:t xml:space="preserve"> Ejemplo de asignación ante oferta comercial deficitaria – Escenario 2</w:t>
      </w:r>
      <w:bookmarkEnd w:id="450"/>
    </w:p>
    <w:p w14:paraId="7AFFC4D8" w14:textId="5ED029DB" w:rsidR="006664F2" w:rsidRPr="000E63CD" w:rsidRDefault="006664F2" w:rsidP="00FE4BDE">
      <w:pPr>
        <w:rPr>
          <w:sz w:val="22"/>
          <w:szCs w:val="22"/>
        </w:rPr>
      </w:pPr>
      <w:r w:rsidRPr="000E63CD">
        <w:rPr>
          <w:noProof/>
          <w:sz w:val="22"/>
          <w:szCs w:val="22"/>
        </w:rPr>
        <w:drawing>
          <wp:inline distT="0" distB="0" distL="0" distR="0" wp14:anchorId="72E2A35A" wp14:editId="73B310DA">
            <wp:extent cx="5940425" cy="3420745"/>
            <wp:effectExtent l="0" t="0" r="3175" b="825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51"/>
                    <a:stretch>
                      <a:fillRect/>
                    </a:stretch>
                  </pic:blipFill>
                  <pic:spPr>
                    <a:xfrm>
                      <a:off x="0" y="0"/>
                      <a:ext cx="5940425" cy="3420745"/>
                    </a:xfrm>
                    <a:prstGeom prst="rect">
                      <a:avLst/>
                    </a:prstGeom>
                  </pic:spPr>
                </pic:pic>
              </a:graphicData>
            </a:graphic>
          </wp:inline>
        </w:drawing>
      </w:r>
    </w:p>
    <w:p w14:paraId="1F5B4D3B" w14:textId="379A7F98" w:rsidR="00FE4BDE" w:rsidRPr="000E63CD" w:rsidRDefault="00FE4BDE" w:rsidP="00FE4BDE">
      <w:pPr>
        <w:rPr>
          <w:sz w:val="22"/>
          <w:szCs w:val="22"/>
        </w:rPr>
      </w:pPr>
    </w:p>
    <w:p w14:paraId="6ED1C559" w14:textId="3E3013D1" w:rsidR="007B3E37" w:rsidRDefault="007B3E37" w:rsidP="007B3E37">
      <w:pPr>
        <w:ind w:left="426"/>
        <w:rPr>
          <w:sz w:val="22"/>
          <w:szCs w:val="22"/>
        </w:rPr>
      </w:pPr>
      <w:r w:rsidRPr="000E63CD">
        <w:rPr>
          <w:sz w:val="22"/>
          <w:szCs w:val="22"/>
        </w:rPr>
        <w:t xml:space="preserve">En cuanto al precio que debe utilizarse en los contratos de suministro de los </w:t>
      </w:r>
      <w:r w:rsidR="00AC32B5">
        <w:rPr>
          <w:sz w:val="22"/>
          <w:szCs w:val="22"/>
        </w:rPr>
        <w:t>Compradores</w:t>
      </w:r>
      <w:r w:rsidRPr="000E63CD">
        <w:rPr>
          <w:sz w:val="22"/>
          <w:szCs w:val="22"/>
        </w:rPr>
        <w:t xml:space="preserve"> con el fin de atender las necesidades de la Demanda Esencial que atienden, se propone utilizar el precio de cierre de las subastas que se realicen en los casos de trimestres de suministro de puntos de referencia con oferta deficitaria</w:t>
      </w:r>
      <w:r w:rsidR="002B3628">
        <w:rPr>
          <w:sz w:val="22"/>
          <w:szCs w:val="22"/>
        </w:rPr>
        <w:t xml:space="preserve"> como es el escenario 1 del ejemplo</w:t>
      </w:r>
      <w:r w:rsidRPr="000E63CD">
        <w:rPr>
          <w:sz w:val="22"/>
          <w:szCs w:val="22"/>
        </w:rPr>
        <w:t xml:space="preserve">. Lo anterior, en virtud precisamente de las prerrogativas que tiene la atención de la Demanda Esencial, de acuerdo con las disposiciones del Decreto 1073 de 2015 y de que la separación de cantidades de la Demanda Esencial que se debe realizar previo a la </w:t>
      </w:r>
      <w:proofErr w:type="gramStart"/>
      <w:r w:rsidRPr="000E63CD">
        <w:rPr>
          <w:sz w:val="22"/>
          <w:szCs w:val="22"/>
        </w:rPr>
        <w:t>subasta,</w:t>
      </w:r>
      <w:proofErr w:type="gramEnd"/>
      <w:r w:rsidRPr="000E63CD">
        <w:rPr>
          <w:sz w:val="22"/>
          <w:szCs w:val="22"/>
        </w:rPr>
        <w:t xml:space="preserve"> se considera valorada con base en los resultados de dicho mecanismo de mercado ante una oferta con Respaldo Físico deficitaria. Es </w:t>
      </w:r>
      <w:r w:rsidR="003A1BAF">
        <w:rPr>
          <w:sz w:val="22"/>
          <w:szCs w:val="22"/>
        </w:rPr>
        <w:t xml:space="preserve">importante </w:t>
      </w:r>
      <w:r w:rsidRPr="000E63CD">
        <w:rPr>
          <w:sz w:val="22"/>
          <w:szCs w:val="22"/>
        </w:rPr>
        <w:t>tener en cuenta que, en la regulación vigente, la figura de “</w:t>
      </w:r>
      <w:r w:rsidRPr="000E63CD">
        <w:rPr>
          <w:i/>
          <w:iCs/>
          <w:sz w:val="22"/>
          <w:szCs w:val="22"/>
        </w:rPr>
        <w:t>Reserva de cantidades a usuarios regulados</w:t>
      </w:r>
      <w:r w:rsidRPr="000E63CD">
        <w:rPr>
          <w:sz w:val="22"/>
          <w:szCs w:val="22"/>
        </w:rPr>
        <w:t xml:space="preserve">” del literal </w:t>
      </w:r>
      <w:r w:rsidR="00D9679C">
        <w:rPr>
          <w:sz w:val="22"/>
          <w:szCs w:val="22"/>
        </w:rPr>
        <w:t>a</w:t>
      </w:r>
      <w:r w:rsidRPr="000E63CD">
        <w:rPr>
          <w:sz w:val="22"/>
          <w:szCs w:val="22"/>
        </w:rPr>
        <w:t xml:space="preserve"> del Artículo 23 de la </w:t>
      </w:r>
      <w:r w:rsidR="00356644">
        <w:rPr>
          <w:sz w:val="22"/>
          <w:szCs w:val="22"/>
        </w:rPr>
        <w:t>R</w:t>
      </w:r>
      <w:r w:rsidRPr="000E63CD">
        <w:rPr>
          <w:sz w:val="22"/>
          <w:szCs w:val="22"/>
        </w:rPr>
        <w:t>esolución CREG 186 de 2020 utiliza la modalidad de contrato CF95 y el precio de suministro se obtiene a partir de los precios de cierre de la subasta de contratos de suministro C1 y C2.</w:t>
      </w:r>
      <w:r w:rsidR="00AE0862">
        <w:rPr>
          <w:sz w:val="22"/>
          <w:szCs w:val="22"/>
        </w:rPr>
        <w:t xml:space="preserve"> Es decir, se usa el mismo concepto con precio de cierre de las subastas para atender la Demanda Esencial requerida a la que se separó cantidades de gas</w:t>
      </w:r>
      <w:r w:rsidR="002B3628">
        <w:rPr>
          <w:sz w:val="22"/>
          <w:szCs w:val="22"/>
        </w:rPr>
        <w:t xml:space="preserve">, pues la demanda esencial priorizada es pasiva en la subasta. </w:t>
      </w:r>
    </w:p>
    <w:p w14:paraId="4BB44E19" w14:textId="5F24E255" w:rsidR="002B3628" w:rsidRDefault="002B3628" w:rsidP="007B3E37">
      <w:pPr>
        <w:ind w:left="426"/>
        <w:rPr>
          <w:sz w:val="22"/>
          <w:szCs w:val="22"/>
        </w:rPr>
      </w:pPr>
    </w:p>
    <w:p w14:paraId="250BBB23" w14:textId="650605B2" w:rsidR="002B3628" w:rsidRPr="000E63CD" w:rsidRDefault="002B3628" w:rsidP="007B3E37">
      <w:pPr>
        <w:ind w:left="426"/>
        <w:rPr>
          <w:sz w:val="22"/>
          <w:szCs w:val="22"/>
        </w:rPr>
      </w:pPr>
      <w:r>
        <w:rPr>
          <w:sz w:val="22"/>
          <w:szCs w:val="22"/>
        </w:rPr>
        <w:t xml:space="preserve">Ahora bien, en el escenario 2 del ejemplo en que no puede haber subasta, el precio de los contratos será el precio de reserva de cada fuente de suministro. Es importante considerar que ni los vendedores ni los compradores pueden saber antes de la asignación que debe hacer el </w:t>
      </w:r>
      <w:r w:rsidR="005114C6">
        <w:rPr>
          <w:sz w:val="22"/>
          <w:szCs w:val="22"/>
        </w:rPr>
        <w:t>Gestor del Mercado</w:t>
      </w:r>
      <w:r>
        <w:rPr>
          <w:sz w:val="22"/>
          <w:szCs w:val="22"/>
        </w:rPr>
        <w:t xml:space="preserve"> cuando hay trimestres deficitarios, si hay o no cantidades de oferta superiores a las cantidades requeridas por la Demanda Esencial en la segunda instancia de declaración al </w:t>
      </w:r>
      <w:r w:rsidR="005114C6">
        <w:rPr>
          <w:sz w:val="22"/>
          <w:szCs w:val="22"/>
        </w:rPr>
        <w:t>Gestor del Mercado</w:t>
      </w:r>
      <w:r>
        <w:rPr>
          <w:sz w:val="22"/>
          <w:szCs w:val="22"/>
        </w:rPr>
        <w:t xml:space="preserve">, así que un vendedor no puede fijar el precio de reserva de una fuente con base en esa expectativa, porque corre el riesgo de no contratar </w:t>
      </w:r>
      <w:r w:rsidR="00961D40">
        <w:rPr>
          <w:sz w:val="22"/>
          <w:szCs w:val="22"/>
        </w:rPr>
        <w:t>su</w:t>
      </w:r>
      <w:r>
        <w:rPr>
          <w:sz w:val="22"/>
          <w:szCs w:val="22"/>
        </w:rPr>
        <w:t>s cantidades totales ofertadas</w:t>
      </w:r>
      <w:r w:rsidR="00FF039C">
        <w:rPr>
          <w:sz w:val="22"/>
          <w:szCs w:val="22"/>
        </w:rPr>
        <w:t>, cuando por ejemplo, presenta un precio de reserva alto que no considera realmente sus costos de producción y márgenes esperados</w:t>
      </w:r>
      <w:r>
        <w:rPr>
          <w:sz w:val="22"/>
          <w:szCs w:val="22"/>
        </w:rPr>
        <w:t>.</w:t>
      </w:r>
    </w:p>
    <w:p w14:paraId="16D4E856" w14:textId="77777777" w:rsidR="00810FB5" w:rsidRPr="000E63CD" w:rsidRDefault="00810FB5" w:rsidP="007B3E37">
      <w:pPr>
        <w:ind w:left="426"/>
        <w:rPr>
          <w:sz w:val="22"/>
          <w:szCs w:val="22"/>
        </w:rPr>
      </w:pPr>
    </w:p>
    <w:p w14:paraId="38D7E3E2" w14:textId="1070C5CE" w:rsidR="00810FB5" w:rsidRPr="000E63CD" w:rsidRDefault="00810FB5" w:rsidP="00810FB5">
      <w:pPr>
        <w:ind w:left="426"/>
        <w:rPr>
          <w:sz w:val="22"/>
          <w:szCs w:val="22"/>
        </w:rPr>
      </w:pPr>
      <w:r w:rsidRPr="000E63CD">
        <w:rPr>
          <w:sz w:val="22"/>
          <w:szCs w:val="22"/>
        </w:rPr>
        <w:t xml:space="preserve">Ahora bien, la propuesta del mecanismo que define la Comisión busca que los agentes que </w:t>
      </w:r>
      <w:r w:rsidR="00D2297E">
        <w:rPr>
          <w:sz w:val="22"/>
          <w:szCs w:val="22"/>
        </w:rPr>
        <w:t xml:space="preserve">sean o </w:t>
      </w:r>
      <w:r w:rsidRPr="000E63CD">
        <w:rPr>
          <w:sz w:val="22"/>
          <w:szCs w:val="22"/>
        </w:rPr>
        <w:t xml:space="preserve">atienden Demanda Esencial tengan acceso a los contratos de suministro </w:t>
      </w:r>
      <w:r w:rsidR="008A7BA4">
        <w:rPr>
          <w:sz w:val="22"/>
          <w:szCs w:val="22"/>
        </w:rPr>
        <w:t>de tipo firme o con garantía de firmeza</w:t>
      </w:r>
      <w:r w:rsidR="00414812">
        <w:rPr>
          <w:sz w:val="22"/>
          <w:szCs w:val="22"/>
        </w:rPr>
        <w:t xml:space="preserve"> </w:t>
      </w:r>
      <w:r w:rsidR="006C6F41">
        <w:rPr>
          <w:sz w:val="22"/>
          <w:szCs w:val="22"/>
        </w:rPr>
        <w:t>en</w:t>
      </w:r>
      <w:r w:rsidR="00414812">
        <w:rPr>
          <w:sz w:val="22"/>
          <w:szCs w:val="22"/>
        </w:rPr>
        <w:t xml:space="preserve"> cumplimiento a lo dispuesto en el</w:t>
      </w:r>
      <w:r w:rsidR="00414812" w:rsidRPr="00414812">
        <w:t xml:space="preserve"> </w:t>
      </w:r>
      <w:r w:rsidR="00414812" w:rsidRPr="00414812">
        <w:rPr>
          <w:sz w:val="22"/>
          <w:szCs w:val="22"/>
        </w:rPr>
        <w:t>Parágrafo 2 del Artículo 2.2.2.2.16 del Decreto 1073 de 2015</w:t>
      </w:r>
      <w:r w:rsidR="008A7BA4">
        <w:rPr>
          <w:sz w:val="22"/>
          <w:szCs w:val="22"/>
        </w:rPr>
        <w:t xml:space="preserve">. </w:t>
      </w:r>
      <w:r w:rsidRPr="000E63CD">
        <w:rPr>
          <w:sz w:val="22"/>
          <w:szCs w:val="22"/>
        </w:rPr>
        <w:t xml:space="preserve">En este sentido, el mecanismo lleva a que dichos </w:t>
      </w:r>
      <w:r w:rsidR="00D2297E">
        <w:rPr>
          <w:sz w:val="22"/>
          <w:szCs w:val="22"/>
        </w:rPr>
        <w:t>participantes del mercado</w:t>
      </w:r>
      <w:r w:rsidR="00D2297E" w:rsidRPr="000E63CD">
        <w:rPr>
          <w:sz w:val="22"/>
          <w:szCs w:val="22"/>
        </w:rPr>
        <w:t xml:space="preserve"> </w:t>
      </w:r>
      <w:r w:rsidRPr="000E63CD">
        <w:rPr>
          <w:sz w:val="22"/>
          <w:szCs w:val="22"/>
        </w:rPr>
        <w:t xml:space="preserve">tengan </w:t>
      </w:r>
      <w:r w:rsidR="00D2297E">
        <w:rPr>
          <w:sz w:val="22"/>
          <w:szCs w:val="22"/>
        </w:rPr>
        <w:t>acceso a</w:t>
      </w:r>
      <w:r w:rsidRPr="000E63CD">
        <w:rPr>
          <w:sz w:val="22"/>
          <w:szCs w:val="22"/>
        </w:rPr>
        <w:t xml:space="preserve"> las cantidades que ofrecen los productores-comercializadores y los comercializadores de gas importado con Respaldo Físico en el </w:t>
      </w:r>
      <w:r w:rsidR="00AC32B5">
        <w:rPr>
          <w:sz w:val="22"/>
          <w:szCs w:val="22"/>
        </w:rPr>
        <w:t>Mercado Primario</w:t>
      </w:r>
      <w:r w:rsidRPr="000E63CD">
        <w:rPr>
          <w:sz w:val="22"/>
          <w:szCs w:val="22"/>
        </w:rPr>
        <w:t xml:space="preserve">. Pero lo anterior no implica la obligación de suscribir los contratos </w:t>
      </w:r>
      <w:r w:rsidR="008E51A3">
        <w:rPr>
          <w:sz w:val="22"/>
          <w:szCs w:val="22"/>
        </w:rPr>
        <w:t xml:space="preserve">de suministro de gas </w:t>
      </w:r>
      <w:r w:rsidRPr="000E63CD">
        <w:rPr>
          <w:sz w:val="22"/>
          <w:szCs w:val="22"/>
        </w:rPr>
        <w:t xml:space="preserve">entre los agentes, si no se cumplen las condiciones para ello y </w:t>
      </w:r>
      <w:r w:rsidR="00D2297E">
        <w:rPr>
          <w:sz w:val="22"/>
          <w:szCs w:val="22"/>
        </w:rPr>
        <w:t xml:space="preserve">no se logra finalmente </w:t>
      </w:r>
      <w:r w:rsidRPr="000E63CD">
        <w:rPr>
          <w:sz w:val="22"/>
          <w:szCs w:val="22"/>
        </w:rPr>
        <w:t>el acuerdo entre las partes</w:t>
      </w:r>
      <w:r w:rsidR="00D2297E">
        <w:rPr>
          <w:sz w:val="22"/>
          <w:szCs w:val="22"/>
        </w:rPr>
        <w:t xml:space="preserve"> en el contenido de los contratos y demás aspectos que son parte de la negociación final</w:t>
      </w:r>
      <w:r w:rsidRPr="000E63CD">
        <w:rPr>
          <w:sz w:val="22"/>
          <w:szCs w:val="22"/>
        </w:rPr>
        <w:t>.</w:t>
      </w:r>
    </w:p>
    <w:p w14:paraId="7629B37E" w14:textId="77777777" w:rsidR="00810FB5" w:rsidRPr="000E63CD" w:rsidRDefault="00810FB5" w:rsidP="007B3E37">
      <w:pPr>
        <w:ind w:left="426"/>
        <w:rPr>
          <w:sz w:val="22"/>
          <w:szCs w:val="22"/>
        </w:rPr>
      </w:pPr>
    </w:p>
    <w:p w14:paraId="4A80D9FF" w14:textId="5575038E" w:rsidR="00D40986" w:rsidRPr="000E63CD" w:rsidRDefault="00DD2CA6">
      <w:pPr>
        <w:pStyle w:val="Prrafodelista"/>
        <w:numPr>
          <w:ilvl w:val="0"/>
          <w:numId w:val="11"/>
        </w:numPr>
        <w:ind w:left="426" w:hanging="426"/>
        <w:rPr>
          <w:sz w:val="22"/>
          <w:szCs w:val="22"/>
        </w:rPr>
      </w:pPr>
      <w:r w:rsidRPr="000E63CD">
        <w:rPr>
          <w:sz w:val="22"/>
          <w:szCs w:val="22"/>
        </w:rPr>
        <w:t>A partir de las cantidades anteriores</w:t>
      </w:r>
      <w:r w:rsidR="00CA6196" w:rsidRPr="000E63CD">
        <w:rPr>
          <w:sz w:val="22"/>
          <w:szCs w:val="22"/>
        </w:rPr>
        <w:t xml:space="preserve"> descontadas </w:t>
      </w:r>
      <w:r w:rsidR="00166FD8" w:rsidRPr="000E63CD">
        <w:rPr>
          <w:sz w:val="22"/>
          <w:szCs w:val="22"/>
        </w:rPr>
        <w:t xml:space="preserve">para atender la Demanda Esencial </w:t>
      </w:r>
      <w:r w:rsidR="00CA6196" w:rsidRPr="000E63CD">
        <w:rPr>
          <w:sz w:val="22"/>
          <w:szCs w:val="22"/>
        </w:rPr>
        <w:t>se podrán avanzar las negociaciones</w:t>
      </w:r>
      <w:r w:rsidR="00E16308" w:rsidRPr="000E63CD">
        <w:rPr>
          <w:sz w:val="22"/>
          <w:szCs w:val="22"/>
        </w:rPr>
        <w:t xml:space="preserve"> entre cada </w:t>
      </w:r>
      <w:r w:rsidR="00502D11">
        <w:rPr>
          <w:sz w:val="22"/>
          <w:szCs w:val="22"/>
        </w:rPr>
        <w:t>V</w:t>
      </w:r>
      <w:r w:rsidR="00E16308" w:rsidRPr="000E63CD">
        <w:rPr>
          <w:sz w:val="22"/>
          <w:szCs w:val="22"/>
        </w:rPr>
        <w:t xml:space="preserve">endedor y cada </w:t>
      </w:r>
      <w:r w:rsidR="00502D11">
        <w:rPr>
          <w:sz w:val="22"/>
          <w:szCs w:val="22"/>
        </w:rPr>
        <w:t>C</w:t>
      </w:r>
      <w:r w:rsidR="00E16308" w:rsidRPr="000E63CD">
        <w:rPr>
          <w:sz w:val="22"/>
          <w:szCs w:val="22"/>
        </w:rPr>
        <w:t>omprador,</w:t>
      </w:r>
      <w:r w:rsidR="00CA6196" w:rsidRPr="000E63CD">
        <w:rPr>
          <w:sz w:val="22"/>
          <w:szCs w:val="22"/>
        </w:rPr>
        <w:t xml:space="preserve"> </w:t>
      </w:r>
      <w:r w:rsidR="00A515D3" w:rsidRPr="000E63CD">
        <w:rPr>
          <w:sz w:val="22"/>
          <w:szCs w:val="22"/>
        </w:rPr>
        <w:t xml:space="preserve">para acordar </w:t>
      </w:r>
      <w:r w:rsidR="00B2314A" w:rsidRPr="000E63CD">
        <w:rPr>
          <w:sz w:val="22"/>
          <w:szCs w:val="22"/>
        </w:rPr>
        <w:t>aquel</w:t>
      </w:r>
      <w:r w:rsidR="00A515D3" w:rsidRPr="000E63CD">
        <w:rPr>
          <w:sz w:val="22"/>
          <w:szCs w:val="22"/>
        </w:rPr>
        <w:t xml:space="preserve">los términos de los contratos </w:t>
      </w:r>
      <w:r w:rsidR="00166FD8" w:rsidRPr="000E63CD">
        <w:rPr>
          <w:sz w:val="22"/>
          <w:szCs w:val="22"/>
        </w:rPr>
        <w:t xml:space="preserve">de suministro </w:t>
      </w:r>
      <w:r w:rsidR="00A515D3" w:rsidRPr="000E63CD">
        <w:rPr>
          <w:sz w:val="22"/>
          <w:szCs w:val="22"/>
        </w:rPr>
        <w:t xml:space="preserve">que se suscribirán </w:t>
      </w:r>
      <w:r w:rsidR="00E16308" w:rsidRPr="000E63CD">
        <w:rPr>
          <w:sz w:val="22"/>
          <w:szCs w:val="22"/>
        </w:rPr>
        <w:t xml:space="preserve">para atender </w:t>
      </w:r>
      <w:r w:rsidR="00166FD8" w:rsidRPr="000E63CD">
        <w:rPr>
          <w:sz w:val="22"/>
          <w:szCs w:val="22"/>
        </w:rPr>
        <w:t>dicha Demanda</w:t>
      </w:r>
      <w:r w:rsidR="00E16308" w:rsidRPr="000E63CD">
        <w:rPr>
          <w:sz w:val="22"/>
          <w:szCs w:val="22"/>
        </w:rPr>
        <w:t xml:space="preserve">, diferentes a los contemplados en los requisitos o condiciones mínimas </w:t>
      </w:r>
      <w:r w:rsidR="00B2314A" w:rsidRPr="000E63CD">
        <w:rPr>
          <w:sz w:val="22"/>
          <w:szCs w:val="22"/>
        </w:rPr>
        <w:t xml:space="preserve">obligatorias </w:t>
      </w:r>
      <w:r w:rsidR="00E16308" w:rsidRPr="000E63CD">
        <w:rPr>
          <w:sz w:val="22"/>
          <w:szCs w:val="22"/>
        </w:rPr>
        <w:t>de los contratos</w:t>
      </w:r>
      <w:r w:rsidR="00B2314A" w:rsidRPr="000E63CD">
        <w:rPr>
          <w:sz w:val="22"/>
          <w:szCs w:val="22"/>
        </w:rPr>
        <w:t>,</w:t>
      </w:r>
      <w:r w:rsidR="00E16308" w:rsidRPr="000E63CD">
        <w:rPr>
          <w:sz w:val="22"/>
          <w:szCs w:val="22"/>
        </w:rPr>
        <w:t xml:space="preserve"> establecidas en la propuesta de resolución.</w:t>
      </w:r>
      <w:r w:rsidRPr="000E63CD">
        <w:rPr>
          <w:sz w:val="22"/>
          <w:szCs w:val="22"/>
        </w:rPr>
        <w:t xml:space="preserve"> </w:t>
      </w:r>
      <w:r w:rsidR="0045539F" w:rsidRPr="000E63CD">
        <w:rPr>
          <w:sz w:val="22"/>
          <w:szCs w:val="22"/>
        </w:rPr>
        <w:t xml:space="preserve">De no llegarse a un acuerdo, las cantidades descontadas podrán ser </w:t>
      </w:r>
      <w:r w:rsidR="00537FE0">
        <w:rPr>
          <w:sz w:val="22"/>
          <w:szCs w:val="22"/>
        </w:rPr>
        <w:t>dispuestas</w:t>
      </w:r>
      <w:r w:rsidR="0045539F" w:rsidRPr="000E63CD">
        <w:rPr>
          <w:sz w:val="22"/>
          <w:szCs w:val="22"/>
        </w:rPr>
        <w:t xml:space="preserve"> </w:t>
      </w:r>
      <w:r w:rsidR="009D542F" w:rsidRPr="000E63CD">
        <w:rPr>
          <w:sz w:val="22"/>
          <w:szCs w:val="22"/>
        </w:rPr>
        <w:t xml:space="preserve">por los </w:t>
      </w:r>
      <w:r w:rsidR="00AC32B5">
        <w:rPr>
          <w:sz w:val="22"/>
          <w:szCs w:val="22"/>
        </w:rPr>
        <w:t>Vendedores</w:t>
      </w:r>
      <w:r w:rsidR="009D542F" w:rsidRPr="000E63CD">
        <w:rPr>
          <w:sz w:val="22"/>
          <w:szCs w:val="22"/>
        </w:rPr>
        <w:t xml:space="preserve"> </w:t>
      </w:r>
      <w:r w:rsidR="0045539F" w:rsidRPr="000E63CD">
        <w:rPr>
          <w:sz w:val="22"/>
          <w:szCs w:val="22"/>
        </w:rPr>
        <w:t xml:space="preserve">en otras negociaciones o en los procesos de asignación de </w:t>
      </w:r>
      <w:r w:rsidR="00C073B3" w:rsidRPr="000E63CD">
        <w:rPr>
          <w:sz w:val="22"/>
          <w:szCs w:val="22"/>
        </w:rPr>
        <w:t xml:space="preserve">las </w:t>
      </w:r>
      <w:r w:rsidR="0045539F" w:rsidRPr="000E63CD">
        <w:rPr>
          <w:sz w:val="22"/>
          <w:szCs w:val="22"/>
        </w:rPr>
        <w:t xml:space="preserve">cantidades </w:t>
      </w:r>
      <w:r w:rsidR="00C073B3" w:rsidRPr="000E63CD">
        <w:rPr>
          <w:sz w:val="22"/>
          <w:szCs w:val="22"/>
        </w:rPr>
        <w:t xml:space="preserve">remanentes </w:t>
      </w:r>
      <w:r w:rsidR="0045539F" w:rsidRPr="000E63CD">
        <w:rPr>
          <w:sz w:val="22"/>
          <w:szCs w:val="22"/>
        </w:rPr>
        <w:t>a la demanda diferente a la Demanda Esencial.</w:t>
      </w:r>
    </w:p>
    <w:p w14:paraId="5FBC3873" w14:textId="77777777" w:rsidR="001904C9" w:rsidRPr="000E63CD" w:rsidRDefault="001904C9" w:rsidP="00210081">
      <w:pPr>
        <w:pStyle w:val="Prrafodelista"/>
        <w:ind w:left="426" w:hanging="426"/>
        <w:rPr>
          <w:sz w:val="22"/>
          <w:szCs w:val="22"/>
        </w:rPr>
      </w:pPr>
    </w:p>
    <w:p w14:paraId="75D3F71E" w14:textId="57DE5E19" w:rsidR="001904C9" w:rsidRPr="000E63CD" w:rsidRDefault="001904C9">
      <w:pPr>
        <w:pStyle w:val="Prrafodelista"/>
        <w:numPr>
          <w:ilvl w:val="0"/>
          <w:numId w:val="11"/>
        </w:numPr>
        <w:ind w:left="426" w:hanging="426"/>
        <w:rPr>
          <w:sz w:val="22"/>
          <w:szCs w:val="22"/>
        </w:rPr>
      </w:pPr>
      <w:r w:rsidRPr="000E63CD">
        <w:rPr>
          <w:sz w:val="22"/>
          <w:szCs w:val="22"/>
        </w:rPr>
        <w:t xml:space="preserve">Una vez </w:t>
      </w:r>
      <w:r w:rsidR="002729A3" w:rsidRPr="000E63CD">
        <w:rPr>
          <w:sz w:val="22"/>
          <w:szCs w:val="22"/>
        </w:rPr>
        <w:t>re</w:t>
      </w:r>
      <w:r w:rsidR="00016E8F" w:rsidRPr="000E63CD">
        <w:rPr>
          <w:sz w:val="22"/>
          <w:szCs w:val="22"/>
        </w:rPr>
        <w:t>gis</w:t>
      </w:r>
      <w:r w:rsidR="002729A3" w:rsidRPr="000E63CD">
        <w:rPr>
          <w:sz w:val="22"/>
          <w:szCs w:val="22"/>
        </w:rPr>
        <w:t>trados los contratos de suministro para at</w:t>
      </w:r>
      <w:r w:rsidR="00016E8F" w:rsidRPr="000E63CD">
        <w:rPr>
          <w:sz w:val="22"/>
          <w:szCs w:val="22"/>
        </w:rPr>
        <w:t>en</w:t>
      </w:r>
      <w:r w:rsidR="002729A3" w:rsidRPr="000E63CD">
        <w:rPr>
          <w:sz w:val="22"/>
          <w:szCs w:val="22"/>
        </w:rPr>
        <w:t>der la Demanda Esencial</w:t>
      </w:r>
      <w:r w:rsidR="00350267" w:rsidRPr="000E63CD">
        <w:rPr>
          <w:sz w:val="22"/>
          <w:szCs w:val="22"/>
        </w:rPr>
        <w:t xml:space="preserve"> que finalmente se pacten</w:t>
      </w:r>
      <w:r w:rsidR="00EE61DC" w:rsidRPr="000E63CD">
        <w:rPr>
          <w:sz w:val="22"/>
          <w:szCs w:val="22"/>
        </w:rPr>
        <w:t>, en caso de existir cantidades remanentes de PTDVF y/o CIDVF</w:t>
      </w:r>
      <w:r w:rsidR="002729A3" w:rsidRPr="000E63CD">
        <w:rPr>
          <w:sz w:val="22"/>
          <w:szCs w:val="22"/>
        </w:rPr>
        <w:t xml:space="preserve"> </w:t>
      </w:r>
      <w:r w:rsidR="00EE61DC" w:rsidRPr="000E63CD">
        <w:rPr>
          <w:sz w:val="22"/>
          <w:szCs w:val="22"/>
        </w:rPr>
        <w:t>en ese trimestre estándar para ese punto de referencia con oferta comercial deficitaria</w:t>
      </w:r>
      <w:r w:rsidR="00A81F7E" w:rsidRPr="000E63CD">
        <w:rPr>
          <w:sz w:val="22"/>
          <w:szCs w:val="22"/>
        </w:rPr>
        <w:t xml:space="preserve">, </w:t>
      </w:r>
      <w:r w:rsidR="00995F22" w:rsidRPr="000E63CD">
        <w:rPr>
          <w:sz w:val="22"/>
          <w:szCs w:val="22"/>
        </w:rPr>
        <w:t xml:space="preserve">para el caso de las fuentes de suministro que no pueden negociar de manera directa y registrar el contrato en cualquier momento del año </w:t>
      </w:r>
      <w:r w:rsidR="00A81F7E" w:rsidRPr="000E63CD">
        <w:rPr>
          <w:sz w:val="22"/>
          <w:szCs w:val="22"/>
        </w:rPr>
        <w:t xml:space="preserve">el </w:t>
      </w:r>
      <w:r w:rsidR="005114C6">
        <w:rPr>
          <w:sz w:val="22"/>
          <w:szCs w:val="22"/>
        </w:rPr>
        <w:t>Gestor del Mercado</w:t>
      </w:r>
      <w:r w:rsidR="004C4F1E">
        <w:rPr>
          <w:sz w:val="22"/>
          <w:szCs w:val="22"/>
        </w:rPr>
        <w:t xml:space="preserve"> de Gas</w:t>
      </w:r>
      <w:r w:rsidR="00A81F7E" w:rsidRPr="000E63CD">
        <w:rPr>
          <w:sz w:val="22"/>
          <w:szCs w:val="22"/>
        </w:rPr>
        <w:t xml:space="preserve"> realizará una subasta</w:t>
      </w:r>
      <w:r w:rsidR="00BA5C51">
        <w:rPr>
          <w:sz w:val="22"/>
          <w:szCs w:val="22"/>
        </w:rPr>
        <w:t xml:space="preserve"> </w:t>
      </w:r>
      <w:r w:rsidR="006D283C" w:rsidRPr="000E63CD">
        <w:rPr>
          <w:sz w:val="22"/>
          <w:szCs w:val="22"/>
        </w:rPr>
        <w:t xml:space="preserve">para asignar dichas cantidades a la demanda diferente a la Demanda Esencial que </w:t>
      </w:r>
      <w:r w:rsidR="00640E0D" w:rsidRPr="000E63CD">
        <w:rPr>
          <w:sz w:val="22"/>
          <w:szCs w:val="22"/>
        </w:rPr>
        <w:t xml:space="preserve">se reportó en la segunda instancia de los </w:t>
      </w:r>
      <w:r w:rsidR="00AC32B5">
        <w:rPr>
          <w:sz w:val="22"/>
          <w:szCs w:val="22"/>
        </w:rPr>
        <w:t>Compradores</w:t>
      </w:r>
      <w:r w:rsidR="00640E0D" w:rsidRPr="000E63CD">
        <w:rPr>
          <w:sz w:val="22"/>
          <w:szCs w:val="22"/>
        </w:rPr>
        <w:t>.</w:t>
      </w:r>
      <w:r w:rsidR="0037316A" w:rsidRPr="000E63CD">
        <w:rPr>
          <w:sz w:val="22"/>
          <w:szCs w:val="22"/>
        </w:rPr>
        <w:t xml:space="preserve"> </w:t>
      </w:r>
    </w:p>
    <w:p w14:paraId="73958A3C" w14:textId="77777777" w:rsidR="00995F22" w:rsidRPr="000E63CD" w:rsidRDefault="00995F22" w:rsidP="00995F22">
      <w:pPr>
        <w:pStyle w:val="Prrafodelista"/>
        <w:rPr>
          <w:sz w:val="22"/>
          <w:szCs w:val="22"/>
        </w:rPr>
      </w:pPr>
    </w:p>
    <w:p w14:paraId="25922B58" w14:textId="3B260286" w:rsidR="00995F22" w:rsidRPr="000E63CD" w:rsidRDefault="00AB0655" w:rsidP="00D2297E">
      <w:pPr>
        <w:ind w:left="426"/>
        <w:rPr>
          <w:sz w:val="22"/>
          <w:szCs w:val="22"/>
        </w:rPr>
      </w:pPr>
      <w:r w:rsidRPr="000E63CD">
        <w:rPr>
          <w:sz w:val="22"/>
          <w:szCs w:val="22"/>
        </w:rPr>
        <w:t xml:space="preserve">Para el caso de las fuentes de suministro que pueden negociar de manera directa y registrar el contrato en cualquier momento del año, </w:t>
      </w:r>
      <w:r w:rsidR="00991713" w:rsidRPr="000E63CD">
        <w:rPr>
          <w:sz w:val="22"/>
          <w:szCs w:val="22"/>
        </w:rPr>
        <w:t>con el fin de</w:t>
      </w:r>
      <w:r w:rsidRPr="000E63CD">
        <w:rPr>
          <w:sz w:val="22"/>
          <w:szCs w:val="22"/>
        </w:rPr>
        <w:t xml:space="preserve"> asignar las cantidades remanentes a la demanda diferente a la Demanda Esencial que se reportó en la </w:t>
      </w:r>
      <w:r w:rsidR="00D2297E">
        <w:rPr>
          <w:sz w:val="22"/>
          <w:szCs w:val="22"/>
        </w:rPr>
        <w:t>segunda ronda (</w:t>
      </w:r>
      <w:r w:rsidRPr="000E63CD">
        <w:rPr>
          <w:sz w:val="22"/>
          <w:szCs w:val="22"/>
        </w:rPr>
        <w:t>segunda instancia</w:t>
      </w:r>
      <w:r w:rsidR="00D2297E">
        <w:rPr>
          <w:sz w:val="22"/>
          <w:szCs w:val="22"/>
        </w:rPr>
        <w:t>)</w:t>
      </w:r>
      <w:r w:rsidRPr="000E63CD">
        <w:rPr>
          <w:sz w:val="22"/>
          <w:szCs w:val="22"/>
        </w:rPr>
        <w:t xml:space="preserve"> de los </w:t>
      </w:r>
      <w:r w:rsidR="00AC32B5">
        <w:rPr>
          <w:sz w:val="22"/>
          <w:szCs w:val="22"/>
        </w:rPr>
        <w:t>Compradores</w:t>
      </w:r>
      <w:r w:rsidR="003D5EF2" w:rsidRPr="000E63CD">
        <w:rPr>
          <w:sz w:val="22"/>
          <w:szCs w:val="22"/>
        </w:rPr>
        <w:t xml:space="preserve">, cada vendedor de </w:t>
      </w:r>
      <w:r w:rsidR="00D92C27" w:rsidRPr="000E63CD">
        <w:rPr>
          <w:sz w:val="22"/>
          <w:szCs w:val="22"/>
        </w:rPr>
        <w:t>esas</w:t>
      </w:r>
      <w:r w:rsidR="003D5EF2" w:rsidRPr="000E63CD">
        <w:rPr>
          <w:sz w:val="22"/>
          <w:szCs w:val="22"/>
        </w:rPr>
        <w:t xml:space="preserve"> </w:t>
      </w:r>
      <w:r w:rsidR="00D92C27" w:rsidRPr="000E63CD">
        <w:rPr>
          <w:sz w:val="22"/>
          <w:szCs w:val="22"/>
        </w:rPr>
        <w:t>f</w:t>
      </w:r>
      <w:r w:rsidR="003D5EF2" w:rsidRPr="000E63CD">
        <w:rPr>
          <w:sz w:val="22"/>
          <w:szCs w:val="22"/>
        </w:rPr>
        <w:t>uente</w:t>
      </w:r>
      <w:r w:rsidR="00D92C27" w:rsidRPr="000E63CD">
        <w:rPr>
          <w:sz w:val="22"/>
          <w:szCs w:val="22"/>
        </w:rPr>
        <w:t>s</w:t>
      </w:r>
      <w:r w:rsidR="003D5EF2" w:rsidRPr="000E63CD">
        <w:rPr>
          <w:sz w:val="22"/>
          <w:szCs w:val="22"/>
        </w:rPr>
        <w:t xml:space="preserve"> de suministro deberá da aplicación al </w:t>
      </w:r>
      <w:r w:rsidR="001506C9" w:rsidRPr="000E63CD">
        <w:rPr>
          <w:sz w:val="22"/>
          <w:szCs w:val="22"/>
        </w:rPr>
        <w:t>mecanism</w:t>
      </w:r>
      <w:r w:rsidR="003D5EF2" w:rsidRPr="000E63CD">
        <w:rPr>
          <w:sz w:val="22"/>
          <w:szCs w:val="22"/>
        </w:rPr>
        <w:t xml:space="preserve">o que haya </w:t>
      </w:r>
      <w:r w:rsidR="00D92C27" w:rsidRPr="000E63CD">
        <w:rPr>
          <w:sz w:val="22"/>
          <w:szCs w:val="22"/>
        </w:rPr>
        <w:t xml:space="preserve">establecido </w:t>
      </w:r>
      <w:r w:rsidR="001506C9" w:rsidRPr="000E63CD">
        <w:rPr>
          <w:sz w:val="22"/>
          <w:szCs w:val="22"/>
        </w:rPr>
        <w:t>autónomamente para resolver la asignación de cantidades ante dichas circunstancias de es</w:t>
      </w:r>
      <w:r w:rsidR="00F44B70" w:rsidRPr="000E63CD">
        <w:rPr>
          <w:sz w:val="22"/>
          <w:szCs w:val="22"/>
        </w:rPr>
        <w:t>casez.</w:t>
      </w:r>
    </w:p>
    <w:p w14:paraId="74017872" w14:textId="77777777" w:rsidR="00995F22" w:rsidRPr="000E63CD" w:rsidRDefault="00995F22" w:rsidP="00995F22">
      <w:pPr>
        <w:rPr>
          <w:sz w:val="22"/>
          <w:szCs w:val="22"/>
        </w:rPr>
      </w:pPr>
    </w:p>
    <w:p w14:paraId="15D5FD3B" w14:textId="5837D672" w:rsidR="00D40986" w:rsidRPr="000E63CD" w:rsidRDefault="00663101" w:rsidP="00663101">
      <w:pPr>
        <w:pStyle w:val="Prrafodelista"/>
        <w:ind w:left="0"/>
        <w:rPr>
          <w:sz w:val="22"/>
          <w:szCs w:val="22"/>
        </w:rPr>
      </w:pPr>
      <w:r w:rsidRPr="000E63CD">
        <w:rPr>
          <w:sz w:val="22"/>
          <w:szCs w:val="22"/>
        </w:rPr>
        <w:t xml:space="preserve">Para </w:t>
      </w:r>
      <w:r w:rsidR="008B2C1A" w:rsidRPr="000E63CD">
        <w:rPr>
          <w:sz w:val="22"/>
          <w:szCs w:val="22"/>
        </w:rPr>
        <w:t xml:space="preserve">el suministro en cualquiera de los veinte (20) trimestres estándar posteriores </w:t>
      </w:r>
      <w:r w:rsidR="005973C0">
        <w:rPr>
          <w:sz w:val="22"/>
          <w:szCs w:val="22"/>
        </w:rPr>
        <w:t xml:space="preserve">(o con los que se cuente de la declaración de producción realizada al Ministerio de Minas y Energía) </w:t>
      </w:r>
      <w:r w:rsidR="008B2C1A" w:rsidRPr="000E63CD">
        <w:rPr>
          <w:sz w:val="22"/>
          <w:szCs w:val="22"/>
        </w:rPr>
        <w:t xml:space="preserve">a los veinte (20) trimestres estándar </w:t>
      </w:r>
      <w:r w:rsidR="002A0C6E" w:rsidRPr="000E63CD">
        <w:rPr>
          <w:sz w:val="22"/>
          <w:szCs w:val="22"/>
        </w:rPr>
        <w:t xml:space="preserve">siguientes </w:t>
      </w:r>
      <w:r w:rsidR="008B2C1A" w:rsidRPr="000E63CD">
        <w:rPr>
          <w:sz w:val="22"/>
          <w:szCs w:val="22"/>
        </w:rPr>
        <w:t xml:space="preserve">al trimestre estándar de negociación, </w:t>
      </w:r>
      <w:r w:rsidR="006A3BF3" w:rsidRPr="000E63CD">
        <w:rPr>
          <w:sz w:val="22"/>
          <w:szCs w:val="22"/>
        </w:rPr>
        <w:t xml:space="preserve">no se realizarán balances comerciales y la </w:t>
      </w:r>
      <w:r w:rsidR="008B2C1A" w:rsidRPr="000E63CD">
        <w:rPr>
          <w:sz w:val="22"/>
          <w:szCs w:val="22"/>
        </w:rPr>
        <w:t xml:space="preserve">negociación </w:t>
      </w:r>
      <w:r w:rsidR="009127B9" w:rsidRPr="000E63CD">
        <w:rPr>
          <w:sz w:val="22"/>
          <w:szCs w:val="22"/>
        </w:rPr>
        <w:t>podrá ser</w:t>
      </w:r>
      <w:r w:rsidR="008B2C1A" w:rsidRPr="000E63CD">
        <w:rPr>
          <w:sz w:val="22"/>
          <w:szCs w:val="22"/>
        </w:rPr>
        <w:t xml:space="preserve"> directa</w:t>
      </w:r>
      <w:r w:rsidR="006A3BF3" w:rsidRPr="000E63CD">
        <w:rPr>
          <w:sz w:val="22"/>
          <w:szCs w:val="22"/>
        </w:rPr>
        <w:t xml:space="preserve"> entre </w:t>
      </w:r>
      <w:r w:rsidR="009127B9" w:rsidRPr="000E63CD">
        <w:rPr>
          <w:sz w:val="22"/>
          <w:szCs w:val="22"/>
        </w:rPr>
        <w:t xml:space="preserve">los </w:t>
      </w:r>
      <w:r w:rsidR="00AC32B5">
        <w:rPr>
          <w:sz w:val="22"/>
          <w:szCs w:val="22"/>
        </w:rPr>
        <w:t>Vendedores</w:t>
      </w:r>
      <w:r w:rsidR="006A3BF3" w:rsidRPr="000E63CD">
        <w:rPr>
          <w:sz w:val="22"/>
          <w:szCs w:val="22"/>
        </w:rPr>
        <w:t xml:space="preserve"> y </w:t>
      </w:r>
      <w:r w:rsidR="009127B9" w:rsidRPr="000E63CD">
        <w:rPr>
          <w:sz w:val="22"/>
          <w:szCs w:val="22"/>
        </w:rPr>
        <w:t xml:space="preserve">los </w:t>
      </w:r>
      <w:r w:rsidR="00AC32B5">
        <w:rPr>
          <w:sz w:val="22"/>
          <w:szCs w:val="22"/>
        </w:rPr>
        <w:t>Compradores</w:t>
      </w:r>
      <w:r w:rsidR="006A3BF3" w:rsidRPr="000E63CD">
        <w:rPr>
          <w:sz w:val="22"/>
          <w:szCs w:val="22"/>
        </w:rPr>
        <w:t xml:space="preserve">. </w:t>
      </w:r>
    </w:p>
    <w:p w14:paraId="0911DA66" w14:textId="77777777" w:rsidR="00D40986" w:rsidRPr="000E63CD" w:rsidRDefault="00D40986" w:rsidP="00FB2CDE">
      <w:pPr>
        <w:rPr>
          <w:sz w:val="22"/>
          <w:szCs w:val="22"/>
        </w:rPr>
      </w:pPr>
    </w:p>
    <w:p w14:paraId="3F09F42E" w14:textId="148FF74A" w:rsidR="005973C0" w:rsidRDefault="005D1E94" w:rsidP="00F76D66">
      <w:pPr>
        <w:rPr>
          <w:sz w:val="22"/>
          <w:szCs w:val="22"/>
        </w:rPr>
      </w:pPr>
      <w:r w:rsidRPr="000E63CD">
        <w:rPr>
          <w:sz w:val="22"/>
          <w:szCs w:val="22"/>
        </w:rPr>
        <w:t xml:space="preserve">En la propuesta </w:t>
      </w:r>
      <w:r w:rsidR="00F36B9D" w:rsidRPr="000E63CD">
        <w:rPr>
          <w:sz w:val="22"/>
          <w:szCs w:val="22"/>
        </w:rPr>
        <w:t xml:space="preserve">se </w:t>
      </w:r>
      <w:r w:rsidR="00C538B5" w:rsidRPr="000E63CD">
        <w:rPr>
          <w:sz w:val="22"/>
          <w:szCs w:val="22"/>
        </w:rPr>
        <w:t>encuentra</w:t>
      </w:r>
      <w:r w:rsidR="00F36B9D" w:rsidRPr="000E63CD">
        <w:rPr>
          <w:sz w:val="22"/>
          <w:szCs w:val="22"/>
        </w:rPr>
        <w:t xml:space="preserve"> el tratamiento para los dos tipos de demanda que conforman la </w:t>
      </w:r>
      <w:r w:rsidR="00FC2669" w:rsidRPr="000E63CD">
        <w:rPr>
          <w:sz w:val="22"/>
          <w:szCs w:val="22"/>
        </w:rPr>
        <w:t>D</w:t>
      </w:r>
      <w:r w:rsidR="00F36B9D" w:rsidRPr="000E63CD">
        <w:rPr>
          <w:sz w:val="22"/>
          <w:szCs w:val="22"/>
        </w:rPr>
        <w:t xml:space="preserve">emanda </w:t>
      </w:r>
      <w:r w:rsidR="00FC2669" w:rsidRPr="000E63CD">
        <w:rPr>
          <w:sz w:val="22"/>
          <w:szCs w:val="22"/>
        </w:rPr>
        <w:t>E</w:t>
      </w:r>
      <w:r w:rsidR="00F36B9D" w:rsidRPr="000E63CD">
        <w:rPr>
          <w:sz w:val="22"/>
          <w:szCs w:val="22"/>
        </w:rPr>
        <w:t xml:space="preserve">sencial, </w:t>
      </w:r>
      <w:r w:rsidR="008E40A6">
        <w:rPr>
          <w:sz w:val="22"/>
          <w:szCs w:val="22"/>
        </w:rPr>
        <w:t xml:space="preserve">es decir, por una </w:t>
      </w:r>
      <w:proofErr w:type="gramStart"/>
      <w:r w:rsidR="008E40A6">
        <w:rPr>
          <w:sz w:val="22"/>
          <w:szCs w:val="22"/>
        </w:rPr>
        <w:t>parte</w:t>
      </w:r>
      <w:proofErr w:type="gramEnd"/>
      <w:r w:rsidR="00F36B9D" w:rsidRPr="000E63CD">
        <w:rPr>
          <w:sz w:val="22"/>
          <w:szCs w:val="22"/>
        </w:rPr>
        <w:t xml:space="preserve"> </w:t>
      </w:r>
      <w:r w:rsidR="00C538B5" w:rsidRPr="000E63CD">
        <w:rPr>
          <w:sz w:val="22"/>
          <w:szCs w:val="22"/>
        </w:rPr>
        <w:t xml:space="preserve">la demanda conformada por los </w:t>
      </w:r>
      <w:r w:rsidR="00F36B9D" w:rsidRPr="000E63CD">
        <w:rPr>
          <w:sz w:val="22"/>
          <w:szCs w:val="22"/>
        </w:rPr>
        <w:t xml:space="preserve">usuarios no regulados </w:t>
      </w:r>
      <w:r w:rsidR="009600E0" w:rsidRPr="000E63CD">
        <w:rPr>
          <w:sz w:val="22"/>
          <w:szCs w:val="22"/>
        </w:rPr>
        <w:t xml:space="preserve">o las empresas comercializadoras que los atienden </w:t>
      </w:r>
      <w:r w:rsidR="00F36B9D" w:rsidRPr="000E63CD">
        <w:rPr>
          <w:sz w:val="22"/>
          <w:szCs w:val="22"/>
        </w:rPr>
        <w:t>y</w:t>
      </w:r>
      <w:r w:rsidR="008E40A6">
        <w:rPr>
          <w:sz w:val="22"/>
          <w:szCs w:val="22"/>
        </w:rPr>
        <w:t xml:space="preserve"> por otra parte, </w:t>
      </w:r>
      <w:r w:rsidR="00C538B5" w:rsidRPr="000E63CD">
        <w:rPr>
          <w:sz w:val="22"/>
          <w:szCs w:val="22"/>
        </w:rPr>
        <w:t xml:space="preserve">la demanda conformada por las empresas </w:t>
      </w:r>
      <w:r w:rsidR="009600E0" w:rsidRPr="000E63CD">
        <w:rPr>
          <w:sz w:val="22"/>
          <w:szCs w:val="22"/>
        </w:rPr>
        <w:t xml:space="preserve">comercializadoras </w:t>
      </w:r>
      <w:r w:rsidR="00C538B5" w:rsidRPr="000E63CD">
        <w:rPr>
          <w:sz w:val="22"/>
          <w:szCs w:val="22"/>
        </w:rPr>
        <w:t xml:space="preserve">que atienden a los </w:t>
      </w:r>
      <w:r w:rsidR="00F36B9D" w:rsidRPr="000E63CD">
        <w:rPr>
          <w:sz w:val="22"/>
          <w:szCs w:val="22"/>
        </w:rPr>
        <w:t>usuarios regulados. Lo anterior por cuanto en el caso de los usuarios regulados</w:t>
      </w:r>
      <w:r w:rsidR="000D6823" w:rsidRPr="000E63CD">
        <w:rPr>
          <w:sz w:val="22"/>
          <w:szCs w:val="22"/>
        </w:rPr>
        <w:t xml:space="preserve">, </w:t>
      </w:r>
      <w:r w:rsidR="009600E0" w:rsidRPr="000E63CD">
        <w:rPr>
          <w:sz w:val="22"/>
          <w:szCs w:val="22"/>
        </w:rPr>
        <w:t xml:space="preserve">que cuentan </w:t>
      </w:r>
      <w:r w:rsidR="000D6823" w:rsidRPr="000E63CD">
        <w:rPr>
          <w:sz w:val="22"/>
          <w:szCs w:val="22"/>
        </w:rPr>
        <w:t>con menor elasticidad en el consumo</w:t>
      </w:r>
      <w:r w:rsidR="00590B01" w:rsidRPr="000E63CD">
        <w:rPr>
          <w:sz w:val="22"/>
          <w:szCs w:val="22"/>
        </w:rPr>
        <w:t xml:space="preserve"> de gas natural</w:t>
      </w:r>
      <w:r w:rsidR="000D6823" w:rsidRPr="000E63CD">
        <w:rPr>
          <w:sz w:val="22"/>
          <w:szCs w:val="22"/>
        </w:rPr>
        <w:t xml:space="preserve">, </w:t>
      </w:r>
      <w:r w:rsidR="00F36B9D" w:rsidRPr="000E63CD">
        <w:rPr>
          <w:sz w:val="22"/>
          <w:szCs w:val="22"/>
        </w:rPr>
        <w:t xml:space="preserve">se presenta </w:t>
      </w:r>
      <w:r w:rsidR="00590B01" w:rsidRPr="000E63CD">
        <w:rPr>
          <w:sz w:val="22"/>
          <w:szCs w:val="22"/>
        </w:rPr>
        <w:t xml:space="preserve">por tanto </w:t>
      </w:r>
      <w:r w:rsidR="00F36B9D" w:rsidRPr="000E63CD">
        <w:rPr>
          <w:sz w:val="22"/>
          <w:szCs w:val="22"/>
        </w:rPr>
        <w:t xml:space="preserve">una disposición de pago </w:t>
      </w:r>
      <w:r w:rsidR="000D6823" w:rsidRPr="000E63CD">
        <w:rPr>
          <w:sz w:val="22"/>
          <w:szCs w:val="22"/>
        </w:rPr>
        <w:t>diferente al caso de los usuarios no regulados</w:t>
      </w:r>
      <w:r w:rsidR="00590B01" w:rsidRPr="000E63CD">
        <w:rPr>
          <w:sz w:val="22"/>
          <w:szCs w:val="22"/>
        </w:rPr>
        <w:t xml:space="preserve">, que pueden sustituir el gas natural con otra fuente energética, dependiendo del precio ofertado. </w:t>
      </w:r>
      <w:r w:rsidR="002824B7" w:rsidRPr="000E63CD">
        <w:rPr>
          <w:sz w:val="22"/>
          <w:szCs w:val="22"/>
        </w:rPr>
        <w:t xml:space="preserve">Es por ello </w:t>
      </w:r>
      <w:proofErr w:type="gramStart"/>
      <w:r w:rsidR="002824B7" w:rsidRPr="000E63CD">
        <w:rPr>
          <w:sz w:val="22"/>
          <w:szCs w:val="22"/>
        </w:rPr>
        <w:t>que</w:t>
      </w:r>
      <w:proofErr w:type="gramEnd"/>
      <w:r w:rsidR="00CE4266" w:rsidRPr="000E63CD">
        <w:rPr>
          <w:sz w:val="22"/>
          <w:szCs w:val="22"/>
        </w:rPr>
        <w:t>,</w:t>
      </w:r>
      <w:r w:rsidR="002824B7" w:rsidRPr="000E63CD">
        <w:rPr>
          <w:sz w:val="22"/>
          <w:szCs w:val="22"/>
        </w:rPr>
        <w:t xml:space="preserve"> para efectos del reporte de las cantidades necesarias </w:t>
      </w:r>
      <w:r w:rsidR="005973C0">
        <w:rPr>
          <w:sz w:val="22"/>
          <w:szCs w:val="22"/>
        </w:rPr>
        <w:t xml:space="preserve">(requeridas) </w:t>
      </w:r>
      <w:r w:rsidR="002824B7" w:rsidRPr="000E63CD">
        <w:rPr>
          <w:sz w:val="22"/>
          <w:szCs w:val="22"/>
        </w:rPr>
        <w:t xml:space="preserve">para atender la Demanda Esencial por parte de los </w:t>
      </w:r>
      <w:r w:rsidR="00AC32B5">
        <w:rPr>
          <w:sz w:val="22"/>
          <w:szCs w:val="22"/>
        </w:rPr>
        <w:t>Compradores</w:t>
      </w:r>
      <w:r w:rsidR="002824B7" w:rsidRPr="000E63CD">
        <w:rPr>
          <w:sz w:val="22"/>
          <w:szCs w:val="22"/>
        </w:rPr>
        <w:t xml:space="preserve"> en la </w:t>
      </w:r>
      <w:r w:rsidR="008E40A6">
        <w:rPr>
          <w:sz w:val="22"/>
          <w:szCs w:val="22"/>
        </w:rPr>
        <w:t>segunda ronda (</w:t>
      </w:r>
      <w:r w:rsidR="002824B7" w:rsidRPr="000E63CD">
        <w:rPr>
          <w:sz w:val="22"/>
          <w:szCs w:val="22"/>
        </w:rPr>
        <w:t>segunda instancia</w:t>
      </w:r>
      <w:r w:rsidR="008E40A6">
        <w:rPr>
          <w:sz w:val="22"/>
          <w:szCs w:val="22"/>
        </w:rPr>
        <w:t>)</w:t>
      </w:r>
      <w:r w:rsidR="002824B7" w:rsidRPr="000E63CD">
        <w:rPr>
          <w:sz w:val="22"/>
          <w:szCs w:val="22"/>
        </w:rPr>
        <w:t xml:space="preserve">, </w:t>
      </w:r>
      <w:r w:rsidR="00CE4266" w:rsidRPr="000E63CD">
        <w:rPr>
          <w:sz w:val="22"/>
          <w:szCs w:val="22"/>
        </w:rPr>
        <w:t>l</w:t>
      </w:r>
      <w:r w:rsidR="002824B7" w:rsidRPr="000E63CD">
        <w:rPr>
          <w:sz w:val="22"/>
          <w:szCs w:val="22"/>
        </w:rPr>
        <w:t xml:space="preserve">as cantidades </w:t>
      </w:r>
      <w:r w:rsidR="00CE4266" w:rsidRPr="000E63CD">
        <w:rPr>
          <w:sz w:val="22"/>
          <w:szCs w:val="22"/>
        </w:rPr>
        <w:t xml:space="preserve">que reportan </w:t>
      </w:r>
      <w:r w:rsidR="002824B7" w:rsidRPr="000E63CD">
        <w:rPr>
          <w:sz w:val="22"/>
          <w:szCs w:val="22"/>
        </w:rPr>
        <w:t xml:space="preserve">pueden ser diferentes </w:t>
      </w:r>
      <w:r w:rsidR="002763F9" w:rsidRPr="000E63CD">
        <w:rPr>
          <w:sz w:val="22"/>
          <w:szCs w:val="22"/>
        </w:rPr>
        <w:t xml:space="preserve">a las reportadas en la </w:t>
      </w:r>
      <w:r w:rsidR="008E40A6">
        <w:rPr>
          <w:sz w:val="22"/>
          <w:szCs w:val="22"/>
        </w:rPr>
        <w:t>primera ronda (</w:t>
      </w:r>
      <w:r w:rsidR="002763F9" w:rsidRPr="000E63CD">
        <w:rPr>
          <w:sz w:val="22"/>
          <w:szCs w:val="22"/>
        </w:rPr>
        <w:t>primera instancia</w:t>
      </w:r>
      <w:r w:rsidR="008E40A6">
        <w:rPr>
          <w:sz w:val="22"/>
          <w:szCs w:val="22"/>
        </w:rPr>
        <w:t>)</w:t>
      </w:r>
      <w:r w:rsidR="002763F9" w:rsidRPr="000E63CD">
        <w:rPr>
          <w:sz w:val="22"/>
          <w:szCs w:val="22"/>
        </w:rPr>
        <w:t xml:space="preserve"> en el caso de la</w:t>
      </w:r>
      <w:r w:rsidR="00827768" w:rsidRPr="000E63CD">
        <w:rPr>
          <w:sz w:val="22"/>
          <w:szCs w:val="22"/>
        </w:rPr>
        <w:t xml:space="preserve">s cantidades de los usuarios no regulados que hacen parte de la </w:t>
      </w:r>
      <w:r w:rsidR="002763F9" w:rsidRPr="000E63CD">
        <w:rPr>
          <w:sz w:val="22"/>
          <w:szCs w:val="22"/>
        </w:rPr>
        <w:t>Demanda Esencial.</w:t>
      </w:r>
      <w:r w:rsidR="002824B7" w:rsidRPr="000E63CD">
        <w:rPr>
          <w:sz w:val="22"/>
          <w:szCs w:val="22"/>
        </w:rPr>
        <w:t xml:space="preserve"> </w:t>
      </w:r>
      <w:r w:rsidR="00262B72" w:rsidRPr="000E63CD">
        <w:rPr>
          <w:sz w:val="22"/>
          <w:szCs w:val="22"/>
        </w:rPr>
        <w:t xml:space="preserve">En ese caso, </w:t>
      </w:r>
      <w:r w:rsidR="00827768" w:rsidRPr="000E63CD">
        <w:rPr>
          <w:sz w:val="22"/>
          <w:szCs w:val="22"/>
        </w:rPr>
        <w:t xml:space="preserve">el usuario no regulado que hace parte de la Demanda Esencial o quien lo represente, </w:t>
      </w:r>
      <w:r w:rsidR="007E16A3" w:rsidRPr="000E63CD">
        <w:rPr>
          <w:sz w:val="22"/>
          <w:szCs w:val="22"/>
        </w:rPr>
        <w:t xml:space="preserve">podrá participar en la subasta </w:t>
      </w:r>
      <w:r w:rsidR="005E1F81">
        <w:rPr>
          <w:sz w:val="22"/>
          <w:szCs w:val="22"/>
        </w:rPr>
        <w:t xml:space="preserve">(o mecanismos de comercialización que establezcan los vendedores de las fuentes de suministro no sujetas de los mecanismos de comercialización establecidas por la CREG) </w:t>
      </w:r>
      <w:r w:rsidR="007E16A3" w:rsidRPr="000E63CD">
        <w:rPr>
          <w:sz w:val="22"/>
          <w:szCs w:val="22"/>
        </w:rPr>
        <w:t>para que</w:t>
      </w:r>
      <w:r w:rsidR="00827768" w:rsidRPr="000E63CD">
        <w:rPr>
          <w:sz w:val="22"/>
          <w:szCs w:val="22"/>
        </w:rPr>
        <w:t>, siguiendo el procedimiento de la subasta,</w:t>
      </w:r>
      <w:r w:rsidR="007E16A3" w:rsidRPr="000E63CD">
        <w:rPr>
          <w:sz w:val="22"/>
          <w:szCs w:val="22"/>
        </w:rPr>
        <w:t xml:space="preserve"> </w:t>
      </w:r>
      <w:r w:rsidR="005E1F81">
        <w:rPr>
          <w:sz w:val="22"/>
          <w:szCs w:val="22"/>
        </w:rPr>
        <w:t>participe de</w:t>
      </w:r>
      <w:r w:rsidR="007E16A3" w:rsidRPr="000E63CD">
        <w:rPr>
          <w:sz w:val="22"/>
          <w:szCs w:val="22"/>
        </w:rPr>
        <w:t xml:space="preserve"> </w:t>
      </w:r>
      <w:r w:rsidR="00262B72" w:rsidRPr="000E63CD">
        <w:rPr>
          <w:sz w:val="22"/>
          <w:szCs w:val="22"/>
        </w:rPr>
        <w:t>la</w:t>
      </w:r>
      <w:r w:rsidR="00B72ACB" w:rsidRPr="000E63CD">
        <w:rPr>
          <w:sz w:val="22"/>
          <w:szCs w:val="22"/>
        </w:rPr>
        <w:t>s cantidades</w:t>
      </w:r>
      <w:r w:rsidR="005E1F81">
        <w:rPr>
          <w:sz w:val="22"/>
          <w:szCs w:val="22"/>
        </w:rPr>
        <w:t xml:space="preserve"> ofertadas</w:t>
      </w:r>
      <w:r w:rsidR="00827768" w:rsidRPr="000E63CD">
        <w:rPr>
          <w:sz w:val="22"/>
          <w:szCs w:val="22"/>
        </w:rPr>
        <w:t xml:space="preserve">. </w:t>
      </w:r>
    </w:p>
    <w:p w14:paraId="44B59E8A" w14:textId="77777777" w:rsidR="005973C0" w:rsidRDefault="005973C0" w:rsidP="00F76D66">
      <w:pPr>
        <w:rPr>
          <w:sz w:val="22"/>
          <w:szCs w:val="22"/>
        </w:rPr>
      </w:pPr>
    </w:p>
    <w:p w14:paraId="2C5927CD" w14:textId="60F83EEB" w:rsidR="005D1E94" w:rsidRPr="000E63CD" w:rsidRDefault="00827768" w:rsidP="00F76D66">
      <w:pPr>
        <w:rPr>
          <w:sz w:val="22"/>
          <w:szCs w:val="22"/>
        </w:rPr>
      </w:pPr>
      <w:r w:rsidRPr="000E63CD">
        <w:rPr>
          <w:sz w:val="22"/>
          <w:szCs w:val="22"/>
        </w:rPr>
        <w:t xml:space="preserve">Es </w:t>
      </w:r>
      <w:r w:rsidR="008E40A6">
        <w:rPr>
          <w:sz w:val="22"/>
          <w:szCs w:val="22"/>
        </w:rPr>
        <w:t>importante</w:t>
      </w:r>
      <w:r w:rsidRPr="000E63CD">
        <w:rPr>
          <w:sz w:val="22"/>
          <w:szCs w:val="22"/>
        </w:rPr>
        <w:t xml:space="preserve"> aclarar que dichas cantidades </w:t>
      </w:r>
      <w:r w:rsidR="007A455E" w:rsidRPr="000E63CD">
        <w:rPr>
          <w:sz w:val="22"/>
          <w:szCs w:val="22"/>
        </w:rPr>
        <w:t xml:space="preserve">no fueron descontadas por el </w:t>
      </w:r>
      <w:r w:rsidR="005114C6">
        <w:rPr>
          <w:sz w:val="22"/>
          <w:szCs w:val="22"/>
        </w:rPr>
        <w:t>Gestor del Mercado</w:t>
      </w:r>
      <w:r w:rsidR="004C4F1E">
        <w:rPr>
          <w:sz w:val="22"/>
          <w:szCs w:val="22"/>
        </w:rPr>
        <w:t xml:space="preserve"> de Gas</w:t>
      </w:r>
      <w:r w:rsidR="007A455E" w:rsidRPr="000E63CD">
        <w:rPr>
          <w:sz w:val="22"/>
          <w:szCs w:val="22"/>
        </w:rPr>
        <w:t xml:space="preserve"> para ser distribuidas entre los </w:t>
      </w:r>
      <w:r w:rsidR="005E1F81">
        <w:rPr>
          <w:sz w:val="22"/>
          <w:szCs w:val="22"/>
        </w:rPr>
        <w:t>ve</w:t>
      </w:r>
      <w:r w:rsidR="00AC32B5">
        <w:rPr>
          <w:sz w:val="22"/>
          <w:szCs w:val="22"/>
        </w:rPr>
        <w:t>ndedores</w:t>
      </w:r>
      <w:r w:rsidR="005E1F81">
        <w:rPr>
          <w:sz w:val="22"/>
          <w:szCs w:val="22"/>
        </w:rPr>
        <w:t>, por lo que no les aplica el</w:t>
      </w:r>
      <w:r w:rsidR="007A455E" w:rsidRPr="000E63CD">
        <w:rPr>
          <w:sz w:val="22"/>
          <w:szCs w:val="22"/>
        </w:rPr>
        <w:t xml:space="preserve"> precio de cierre de la subasta</w:t>
      </w:r>
      <w:r w:rsidRPr="000E63CD">
        <w:rPr>
          <w:sz w:val="22"/>
          <w:szCs w:val="22"/>
        </w:rPr>
        <w:t xml:space="preserve">, </w:t>
      </w:r>
      <w:r w:rsidR="005E1F81">
        <w:rPr>
          <w:sz w:val="22"/>
          <w:szCs w:val="22"/>
        </w:rPr>
        <w:t xml:space="preserve">considerando </w:t>
      </w:r>
      <w:r w:rsidRPr="000E63CD">
        <w:rPr>
          <w:sz w:val="22"/>
          <w:szCs w:val="22"/>
        </w:rPr>
        <w:t>que no de</w:t>
      </w:r>
      <w:r w:rsidR="008E40A6">
        <w:rPr>
          <w:sz w:val="22"/>
          <w:szCs w:val="22"/>
        </w:rPr>
        <w:t>b</w:t>
      </w:r>
      <w:r w:rsidRPr="000E63CD">
        <w:rPr>
          <w:sz w:val="22"/>
          <w:szCs w:val="22"/>
        </w:rPr>
        <w:t xml:space="preserve">ieron ser reportadas por los </w:t>
      </w:r>
      <w:r w:rsidR="005E1F81">
        <w:rPr>
          <w:sz w:val="22"/>
          <w:szCs w:val="22"/>
        </w:rPr>
        <w:t>c</w:t>
      </w:r>
      <w:r w:rsidR="00AC32B5">
        <w:rPr>
          <w:sz w:val="22"/>
          <w:szCs w:val="22"/>
        </w:rPr>
        <w:t>ompradores</w:t>
      </w:r>
      <w:r w:rsidRPr="000E63CD">
        <w:rPr>
          <w:sz w:val="22"/>
          <w:szCs w:val="22"/>
        </w:rPr>
        <w:t xml:space="preserve"> en </w:t>
      </w:r>
      <w:r w:rsidR="005E1F81">
        <w:rPr>
          <w:sz w:val="22"/>
          <w:szCs w:val="22"/>
        </w:rPr>
        <w:t xml:space="preserve">las cantidades requeridas declaradas en la </w:t>
      </w:r>
      <w:r w:rsidR="008E40A6">
        <w:rPr>
          <w:sz w:val="22"/>
          <w:szCs w:val="22"/>
        </w:rPr>
        <w:t>segunda ronda (</w:t>
      </w:r>
      <w:r w:rsidRPr="000E63CD">
        <w:rPr>
          <w:sz w:val="22"/>
          <w:szCs w:val="22"/>
        </w:rPr>
        <w:t>segunda instancia</w:t>
      </w:r>
      <w:r w:rsidR="008E40A6">
        <w:rPr>
          <w:sz w:val="22"/>
          <w:szCs w:val="22"/>
        </w:rPr>
        <w:t>)</w:t>
      </w:r>
      <w:r w:rsidR="005E1F81">
        <w:rPr>
          <w:sz w:val="22"/>
          <w:szCs w:val="22"/>
        </w:rPr>
        <w:t xml:space="preserve"> al </w:t>
      </w:r>
      <w:r w:rsidR="005114C6">
        <w:rPr>
          <w:sz w:val="22"/>
          <w:szCs w:val="22"/>
        </w:rPr>
        <w:t>Gestor del Mercado</w:t>
      </w:r>
      <w:r w:rsidR="007E16A3" w:rsidRPr="000E63CD">
        <w:rPr>
          <w:sz w:val="22"/>
          <w:szCs w:val="22"/>
        </w:rPr>
        <w:t>.</w:t>
      </w:r>
      <w:r w:rsidR="00237DAD" w:rsidRPr="000E63CD">
        <w:rPr>
          <w:sz w:val="22"/>
          <w:szCs w:val="22"/>
        </w:rPr>
        <w:t xml:space="preserve"> De es</w:t>
      </w:r>
      <w:r w:rsidRPr="000E63CD">
        <w:rPr>
          <w:sz w:val="22"/>
          <w:szCs w:val="22"/>
        </w:rPr>
        <w:t>t</w:t>
      </w:r>
      <w:r w:rsidR="00237DAD" w:rsidRPr="000E63CD">
        <w:rPr>
          <w:sz w:val="22"/>
          <w:szCs w:val="22"/>
        </w:rPr>
        <w:t>e modo, la demanda no regulada que hace parte de la Demanda Esencial tiene la flexibilidad de que</w:t>
      </w:r>
      <w:r w:rsidRPr="000E63CD">
        <w:rPr>
          <w:sz w:val="22"/>
          <w:szCs w:val="22"/>
        </w:rPr>
        <w:t xml:space="preserve">, o bien </w:t>
      </w:r>
      <w:r w:rsidR="00237DAD" w:rsidRPr="000E63CD">
        <w:rPr>
          <w:sz w:val="22"/>
          <w:szCs w:val="22"/>
        </w:rPr>
        <w:t xml:space="preserve">se le reservan las cantidades </w:t>
      </w:r>
      <w:r w:rsidR="005F51C0" w:rsidRPr="000E63CD">
        <w:rPr>
          <w:sz w:val="22"/>
          <w:szCs w:val="22"/>
        </w:rPr>
        <w:t xml:space="preserve">necesarias para </w:t>
      </w:r>
      <w:r w:rsidR="005E1F81">
        <w:rPr>
          <w:sz w:val="22"/>
          <w:szCs w:val="22"/>
        </w:rPr>
        <w:t xml:space="preserve">ser </w:t>
      </w:r>
      <w:r w:rsidR="005F51C0" w:rsidRPr="000E63CD">
        <w:rPr>
          <w:sz w:val="22"/>
          <w:szCs w:val="22"/>
        </w:rPr>
        <w:t>aten</w:t>
      </w:r>
      <w:r w:rsidR="005E1F81">
        <w:rPr>
          <w:sz w:val="22"/>
          <w:szCs w:val="22"/>
        </w:rPr>
        <w:t>dida</w:t>
      </w:r>
      <w:r w:rsidR="005F51C0" w:rsidRPr="000E63CD">
        <w:rPr>
          <w:sz w:val="22"/>
          <w:szCs w:val="22"/>
        </w:rPr>
        <w:t xml:space="preserve"> con el precio de cierre de la subasta</w:t>
      </w:r>
      <w:r w:rsidR="005E1F81">
        <w:rPr>
          <w:sz w:val="22"/>
          <w:szCs w:val="22"/>
        </w:rPr>
        <w:t>, para lo cual deben reportar esas cantidades en la segunda ronda (segunda instancia) de declaración</w:t>
      </w:r>
      <w:r w:rsidR="005F51C0" w:rsidRPr="000E63CD">
        <w:rPr>
          <w:sz w:val="22"/>
          <w:szCs w:val="22"/>
        </w:rPr>
        <w:t>, o de participar en la subasta de forma activa</w:t>
      </w:r>
      <w:r w:rsidR="006D31DA" w:rsidRPr="000E63CD">
        <w:rPr>
          <w:sz w:val="22"/>
          <w:szCs w:val="22"/>
        </w:rPr>
        <w:t xml:space="preserve"> pudiendo decidir hasta qué precio pretenden adquirir el gas</w:t>
      </w:r>
      <w:r w:rsidR="00D13FBA" w:rsidRPr="000E63CD">
        <w:rPr>
          <w:sz w:val="22"/>
          <w:szCs w:val="22"/>
        </w:rPr>
        <w:t>.</w:t>
      </w:r>
      <w:r w:rsidR="005973C0">
        <w:rPr>
          <w:sz w:val="22"/>
          <w:szCs w:val="22"/>
        </w:rPr>
        <w:t xml:space="preserve"> En todo caso es de tenerse en cuenta el riesgo que se corre cuando no se declaran cantidades requeridas para la Demanda Esencial de usuarios no regulados</w:t>
      </w:r>
      <w:r w:rsidR="005E1F81">
        <w:rPr>
          <w:sz w:val="22"/>
          <w:szCs w:val="22"/>
        </w:rPr>
        <w:t xml:space="preserve"> en la segunda instancia de declaración al </w:t>
      </w:r>
      <w:r w:rsidR="005114C6">
        <w:rPr>
          <w:sz w:val="22"/>
          <w:szCs w:val="22"/>
        </w:rPr>
        <w:t>Gestor del Mercado</w:t>
      </w:r>
      <w:r w:rsidR="005973C0">
        <w:rPr>
          <w:sz w:val="22"/>
          <w:szCs w:val="22"/>
        </w:rPr>
        <w:t xml:space="preserve">: es posible que las cantidades ofertadas por lo vendedores ni siquiera sean suficiente para atender la Demanda Esencial requerida, </w:t>
      </w:r>
      <w:proofErr w:type="gramStart"/>
      <w:r w:rsidR="005973C0">
        <w:rPr>
          <w:sz w:val="22"/>
          <w:szCs w:val="22"/>
        </w:rPr>
        <w:t>y</w:t>
      </w:r>
      <w:proofErr w:type="gramEnd"/>
      <w:r w:rsidR="005973C0">
        <w:rPr>
          <w:sz w:val="22"/>
          <w:szCs w:val="22"/>
        </w:rPr>
        <w:t xml:space="preserve"> por tanto, no hay lugar a subasta.</w:t>
      </w:r>
    </w:p>
    <w:p w14:paraId="7F002AA8" w14:textId="77777777" w:rsidR="005D1E94" w:rsidRPr="000E63CD" w:rsidRDefault="005D1E94" w:rsidP="00F76D66">
      <w:pPr>
        <w:rPr>
          <w:sz w:val="22"/>
          <w:szCs w:val="22"/>
        </w:rPr>
      </w:pPr>
    </w:p>
    <w:p w14:paraId="600201CC" w14:textId="336EAFAA" w:rsidR="00E61E3D" w:rsidRPr="000E63CD" w:rsidRDefault="00150CA2" w:rsidP="000F1848">
      <w:pPr>
        <w:rPr>
          <w:sz w:val="22"/>
          <w:szCs w:val="22"/>
        </w:rPr>
      </w:pPr>
      <w:r w:rsidRPr="000E63CD">
        <w:rPr>
          <w:sz w:val="22"/>
          <w:szCs w:val="22"/>
        </w:rPr>
        <w:t>Por otro lado, c</w:t>
      </w:r>
      <w:r w:rsidR="007A6D04" w:rsidRPr="000E63CD">
        <w:rPr>
          <w:sz w:val="22"/>
          <w:szCs w:val="22"/>
        </w:rPr>
        <w:t>on</w:t>
      </w:r>
      <w:r w:rsidR="00611FB1" w:rsidRPr="000E63CD">
        <w:rPr>
          <w:sz w:val="22"/>
          <w:szCs w:val="22"/>
        </w:rPr>
        <w:t xml:space="preserve"> </w:t>
      </w:r>
      <w:r w:rsidR="00E61E3D" w:rsidRPr="000E63CD">
        <w:rPr>
          <w:sz w:val="22"/>
          <w:szCs w:val="22"/>
        </w:rPr>
        <w:t xml:space="preserve">la propuesta de usar la figura del </w:t>
      </w:r>
      <w:r w:rsidR="00611FB1" w:rsidRPr="000E63CD">
        <w:rPr>
          <w:sz w:val="22"/>
          <w:szCs w:val="22"/>
        </w:rPr>
        <w:t>“</w:t>
      </w:r>
      <w:r w:rsidR="00E61E3D" w:rsidRPr="000E63CD">
        <w:rPr>
          <w:i/>
          <w:iCs/>
          <w:sz w:val="22"/>
          <w:szCs w:val="22"/>
        </w:rPr>
        <w:t xml:space="preserve">trimestre </w:t>
      </w:r>
      <w:r w:rsidR="0002628B" w:rsidRPr="000E63CD">
        <w:rPr>
          <w:i/>
          <w:iCs/>
          <w:sz w:val="22"/>
          <w:szCs w:val="22"/>
        </w:rPr>
        <w:t xml:space="preserve">estándar </w:t>
      </w:r>
      <w:r w:rsidR="00E61E3D" w:rsidRPr="000E63CD">
        <w:rPr>
          <w:i/>
          <w:iCs/>
          <w:sz w:val="22"/>
          <w:szCs w:val="22"/>
        </w:rPr>
        <w:t>de negociación</w:t>
      </w:r>
      <w:r w:rsidR="00611FB1" w:rsidRPr="000E63CD">
        <w:rPr>
          <w:sz w:val="22"/>
          <w:szCs w:val="22"/>
        </w:rPr>
        <w:t>” se busca</w:t>
      </w:r>
      <w:r w:rsidR="005871F3" w:rsidRPr="000E63CD">
        <w:rPr>
          <w:sz w:val="22"/>
          <w:szCs w:val="22"/>
        </w:rPr>
        <w:t>,</w:t>
      </w:r>
      <w:r w:rsidR="00611FB1" w:rsidRPr="000E63CD">
        <w:rPr>
          <w:sz w:val="22"/>
          <w:szCs w:val="22"/>
        </w:rPr>
        <w:t xml:space="preserve"> </w:t>
      </w:r>
      <w:r w:rsidR="002D668A" w:rsidRPr="000E63CD">
        <w:rPr>
          <w:sz w:val="22"/>
          <w:szCs w:val="22"/>
        </w:rPr>
        <w:t xml:space="preserve">además de </w:t>
      </w:r>
      <w:r w:rsidR="00611FB1" w:rsidRPr="000E63CD">
        <w:rPr>
          <w:sz w:val="22"/>
          <w:szCs w:val="22"/>
        </w:rPr>
        <w:t xml:space="preserve">armonizar con </w:t>
      </w:r>
      <w:r w:rsidR="0015689A" w:rsidRPr="000E63CD">
        <w:rPr>
          <w:sz w:val="22"/>
          <w:szCs w:val="22"/>
        </w:rPr>
        <w:t xml:space="preserve">la misma figura en </w:t>
      </w:r>
      <w:r w:rsidR="00611FB1" w:rsidRPr="000E63CD">
        <w:rPr>
          <w:sz w:val="22"/>
          <w:szCs w:val="22"/>
        </w:rPr>
        <w:t>el es</w:t>
      </w:r>
      <w:r w:rsidR="0015266B" w:rsidRPr="000E63CD">
        <w:rPr>
          <w:sz w:val="22"/>
          <w:szCs w:val="22"/>
        </w:rPr>
        <w:t>quema</w:t>
      </w:r>
      <w:r w:rsidR="00611FB1" w:rsidRPr="000E63CD">
        <w:rPr>
          <w:sz w:val="22"/>
          <w:szCs w:val="22"/>
        </w:rPr>
        <w:t xml:space="preserve"> de la comercialización de la capacidad de transporte</w:t>
      </w:r>
      <w:r w:rsidR="002D668A" w:rsidRPr="000E63CD">
        <w:rPr>
          <w:sz w:val="22"/>
          <w:szCs w:val="22"/>
        </w:rPr>
        <w:t xml:space="preserve"> y el cronograma periódico de dicho esquema</w:t>
      </w:r>
      <w:r w:rsidR="00611FB1" w:rsidRPr="000E63CD">
        <w:rPr>
          <w:sz w:val="22"/>
          <w:szCs w:val="22"/>
        </w:rPr>
        <w:t xml:space="preserve">, </w:t>
      </w:r>
      <w:r w:rsidR="0002628B" w:rsidRPr="000E63CD">
        <w:rPr>
          <w:sz w:val="22"/>
          <w:szCs w:val="22"/>
        </w:rPr>
        <w:t xml:space="preserve">armonizar </w:t>
      </w:r>
      <w:r w:rsidR="00611FB1" w:rsidRPr="000E63CD">
        <w:rPr>
          <w:sz w:val="22"/>
          <w:szCs w:val="22"/>
        </w:rPr>
        <w:t xml:space="preserve">con la duración mínima de los contratos </w:t>
      </w:r>
      <w:r w:rsidR="0015266B" w:rsidRPr="000E63CD">
        <w:rPr>
          <w:sz w:val="22"/>
          <w:szCs w:val="22"/>
        </w:rPr>
        <w:t xml:space="preserve">de duración </w:t>
      </w:r>
      <w:r w:rsidR="006F55D7" w:rsidRPr="000E63CD">
        <w:rPr>
          <w:sz w:val="22"/>
          <w:szCs w:val="22"/>
        </w:rPr>
        <w:t>de</w:t>
      </w:r>
      <w:r w:rsidR="0015266B" w:rsidRPr="000E63CD">
        <w:rPr>
          <w:sz w:val="22"/>
          <w:szCs w:val="22"/>
        </w:rPr>
        <w:t xml:space="preserve"> plazo igual o superior a un trimestre estándar</w:t>
      </w:r>
      <w:r w:rsidR="006F55D7" w:rsidRPr="000E63CD">
        <w:rPr>
          <w:sz w:val="22"/>
          <w:szCs w:val="22"/>
        </w:rPr>
        <w:t xml:space="preserve"> y con un plazo adecuado lo más cercano posible al inicio del suministro en el trimestre inmediatamente siguiente</w:t>
      </w:r>
      <w:r w:rsidR="00DC3F98" w:rsidRPr="000E63CD">
        <w:rPr>
          <w:sz w:val="22"/>
          <w:szCs w:val="22"/>
        </w:rPr>
        <w:t>.</w:t>
      </w:r>
    </w:p>
    <w:p w14:paraId="697AB7DC" w14:textId="77777777" w:rsidR="002143F9" w:rsidRPr="000E63CD" w:rsidRDefault="002143F9" w:rsidP="000F1848">
      <w:pPr>
        <w:rPr>
          <w:sz w:val="22"/>
          <w:szCs w:val="22"/>
        </w:rPr>
      </w:pPr>
    </w:p>
    <w:p w14:paraId="17155FE7" w14:textId="79E0D508" w:rsidR="00446055" w:rsidRPr="000E63CD" w:rsidRDefault="00446055" w:rsidP="000F1848">
      <w:pPr>
        <w:rPr>
          <w:sz w:val="22"/>
          <w:szCs w:val="22"/>
        </w:rPr>
      </w:pPr>
      <w:r w:rsidRPr="000E63CD">
        <w:rPr>
          <w:sz w:val="22"/>
          <w:szCs w:val="22"/>
        </w:rPr>
        <w:t xml:space="preserve">Es </w:t>
      </w:r>
      <w:r w:rsidR="008E40A6">
        <w:rPr>
          <w:sz w:val="22"/>
          <w:szCs w:val="22"/>
        </w:rPr>
        <w:t>necesario resaltar</w:t>
      </w:r>
      <w:r w:rsidRPr="000E63CD">
        <w:rPr>
          <w:sz w:val="22"/>
          <w:szCs w:val="22"/>
        </w:rPr>
        <w:t xml:space="preserve"> para </w:t>
      </w:r>
      <w:r w:rsidR="008A3ED8" w:rsidRPr="000E63CD">
        <w:rPr>
          <w:sz w:val="22"/>
          <w:szCs w:val="22"/>
        </w:rPr>
        <w:t xml:space="preserve">todo </w:t>
      </w:r>
      <w:r w:rsidRPr="000E63CD">
        <w:rPr>
          <w:sz w:val="22"/>
          <w:szCs w:val="22"/>
        </w:rPr>
        <w:t xml:space="preserve">lo anterior que </w:t>
      </w:r>
      <w:r w:rsidR="001C44A7" w:rsidRPr="000E63CD">
        <w:rPr>
          <w:sz w:val="22"/>
          <w:szCs w:val="22"/>
        </w:rPr>
        <w:t xml:space="preserve">en </w:t>
      </w:r>
      <w:r w:rsidRPr="000E63CD">
        <w:rPr>
          <w:sz w:val="22"/>
          <w:szCs w:val="22"/>
        </w:rPr>
        <w:t>el Artículo 2.2.2.2.</w:t>
      </w:r>
      <w:r w:rsidR="001C44A7" w:rsidRPr="000E63CD">
        <w:rPr>
          <w:sz w:val="22"/>
          <w:szCs w:val="22"/>
        </w:rPr>
        <w:t>22</w:t>
      </w:r>
      <w:r w:rsidRPr="000E63CD">
        <w:rPr>
          <w:sz w:val="22"/>
          <w:szCs w:val="22"/>
        </w:rPr>
        <w:t xml:space="preserve"> del Decreto 1073 de 2015</w:t>
      </w:r>
      <w:r w:rsidR="00AA05BE" w:rsidRPr="000E63CD">
        <w:rPr>
          <w:rStyle w:val="Refdenotaalpie"/>
          <w:sz w:val="22"/>
          <w:szCs w:val="22"/>
        </w:rPr>
        <w:footnoteReference w:id="13"/>
      </w:r>
      <w:r w:rsidRPr="000E63CD">
        <w:rPr>
          <w:sz w:val="22"/>
          <w:szCs w:val="22"/>
        </w:rPr>
        <w:t xml:space="preserve"> </w:t>
      </w:r>
      <w:r w:rsidR="001C44A7" w:rsidRPr="000E63CD">
        <w:rPr>
          <w:sz w:val="22"/>
          <w:szCs w:val="22"/>
        </w:rPr>
        <w:t xml:space="preserve">se obliga a la actualización de la declaración de producción </w:t>
      </w:r>
      <w:r w:rsidR="007F6CF8" w:rsidRPr="000E63CD">
        <w:rPr>
          <w:sz w:val="22"/>
          <w:szCs w:val="22"/>
        </w:rPr>
        <w:t xml:space="preserve">inmediatamente se surta un procedimiento de comercialización. En este sentido, </w:t>
      </w:r>
      <w:r w:rsidR="00411CDA">
        <w:rPr>
          <w:sz w:val="22"/>
          <w:szCs w:val="22"/>
        </w:rPr>
        <w:t xml:space="preserve">ya </w:t>
      </w:r>
      <w:r w:rsidR="00091CE1" w:rsidRPr="000E63CD">
        <w:rPr>
          <w:sz w:val="22"/>
          <w:szCs w:val="22"/>
        </w:rPr>
        <w:t xml:space="preserve">sea </w:t>
      </w:r>
      <w:r w:rsidR="009246BE">
        <w:rPr>
          <w:sz w:val="22"/>
          <w:szCs w:val="22"/>
        </w:rPr>
        <w:t xml:space="preserve">que se adelante una </w:t>
      </w:r>
      <w:r w:rsidR="009246BE" w:rsidRPr="000E63CD">
        <w:rPr>
          <w:sz w:val="22"/>
          <w:szCs w:val="22"/>
        </w:rPr>
        <w:t>negociación</w:t>
      </w:r>
      <w:r w:rsidR="00091CE1" w:rsidRPr="000E63CD">
        <w:rPr>
          <w:sz w:val="22"/>
          <w:szCs w:val="22"/>
        </w:rPr>
        <w:t xml:space="preserve"> directa en cualquier momento del año o cualquier otro mecanismo establecido por la Comisión, </w:t>
      </w:r>
      <w:r w:rsidR="00BB3329" w:rsidRPr="000E63CD">
        <w:rPr>
          <w:sz w:val="22"/>
          <w:szCs w:val="22"/>
        </w:rPr>
        <w:t xml:space="preserve">que implique una modificación de PTDV, </w:t>
      </w:r>
      <w:r w:rsidR="006E10E4">
        <w:rPr>
          <w:sz w:val="22"/>
          <w:szCs w:val="22"/>
        </w:rPr>
        <w:t xml:space="preserve">esta </w:t>
      </w:r>
      <w:r w:rsidR="005706F4" w:rsidRPr="000E63CD">
        <w:rPr>
          <w:sz w:val="22"/>
          <w:szCs w:val="22"/>
        </w:rPr>
        <w:t xml:space="preserve">debe cumplir con dicha actualización. Si lo que se modifica es la PTDVF </w:t>
      </w:r>
      <w:r w:rsidR="00643C9B" w:rsidRPr="000E63CD">
        <w:rPr>
          <w:sz w:val="22"/>
          <w:szCs w:val="22"/>
        </w:rPr>
        <w:t xml:space="preserve">en </w:t>
      </w:r>
      <w:r w:rsidR="00E03A29" w:rsidRPr="000E63CD">
        <w:rPr>
          <w:sz w:val="22"/>
          <w:szCs w:val="22"/>
        </w:rPr>
        <w:t xml:space="preserve">la declaración trimestral </w:t>
      </w:r>
      <w:r w:rsidR="005706F4" w:rsidRPr="000E63CD">
        <w:rPr>
          <w:sz w:val="22"/>
          <w:szCs w:val="22"/>
        </w:rPr>
        <w:t xml:space="preserve">sin modificarse la PTDV declarada, </w:t>
      </w:r>
      <w:r w:rsidR="00E91928" w:rsidRPr="000E63CD">
        <w:rPr>
          <w:sz w:val="22"/>
          <w:szCs w:val="22"/>
        </w:rPr>
        <w:t xml:space="preserve">para </w:t>
      </w:r>
      <w:r w:rsidR="00CF0BC1" w:rsidRPr="000E63CD">
        <w:rPr>
          <w:sz w:val="22"/>
          <w:szCs w:val="22"/>
        </w:rPr>
        <w:t>ello no requiere modificar la declaración de producción</w:t>
      </w:r>
      <w:r w:rsidR="00E91928" w:rsidRPr="000E63CD">
        <w:rPr>
          <w:sz w:val="22"/>
          <w:szCs w:val="22"/>
        </w:rPr>
        <w:t xml:space="preserve"> pues dicha declaración </w:t>
      </w:r>
      <w:r w:rsidR="00E03A29" w:rsidRPr="000E63CD">
        <w:rPr>
          <w:sz w:val="22"/>
          <w:szCs w:val="22"/>
        </w:rPr>
        <w:t>n</w:t>
      </w:r>
      <w:r w:rsidR="00E91928" w:rsidRPr="000E63CD">
        <w:rPr>
          <w:sz w:val="22"/>
          <w:szCs w:val="22"/>
        </w:rPr>
        <w:t>o in</w:t>
      </w:r>
      <w:r w:rsidR="007617A5" w:rsidRPr="000E63CD">
        <w:rPr>
          <w:sz w:val="22"/>
          <w:szCs w:val="22"/>
        </w:rPr>
        <w:t>c</w:t>
      </w:r>
      <w:r w:rsidR="00E91928" w:rsidRPr="000E63CD">
        <w:rPr>
          <w:sz w:val="22"/>
          <w:szCs w:val="22"/>
        </w:rPr>
        <w:t>luye PTDVF</w:t>
      </w:r>
      <w:r w:rsidR="00CF0BC1" w:rsidRPr="000E63CD">
        <w:rPr>
          <w:sz w:val="22"/>
          <w:szCs w:val="22"/>
        </w:rPr>
        <w:t xml:space="preserve">. </w:t>
      </w:r>
    </w:p>
    <w:p w14:paraId="04001341" w14:textId="77777777" w:rsidR="00446055" w:rsidRPr="000E63CD" w:rsidRDefault="00446055" w:rsidP="000F1848">
      <w:pPr>
        <w:rPr>
          <w:sz w:val="22"/>
          <w:szCs w:val="22"/>
        </w:rPr>
      </w:pPr>
    </w:p>
    <w:p w14:paraId="21E5BA94" w14:textId="491040AB" w:rsidR="00DC3F98" w:rsidRPr="000E63CD" w:rsidRDefault="00DC3F98" w:rsidP="000F1848">
      <w:pPr>
        <w:rPr>
          <w:sz w:val="22"/>
          <w:szCs w:val="22"/>
        </w:rPr>
      </w:pPr>
      <w:r w:rsidRPr="000E63CD">
        <w:rPr>
          <w:sz w:val="22"/>
          <w:szCs w:val="22"/>
        </w:rPr>
        <w:t xml:space="preserve">Asimismo, </w:t>
      </w:r>
      <w:r w:rsidR="00875371" w:rsidRPr="000E63CD">
        <w:rPr>
          <w:sz w:val="22"/>
          <w:szCs w:val="22"/>
        </w:rPr>
        <w:t xml:space="preserve">como ya se mencionó anteriormente, </w:t>
      </w:r>
      <w:r w:rsidRPr="000E63CD">
        <w:rPr>
          <w:sz w:val="22"/>
          <w:szCs w:val="22"/>
        </w:rPr>
        <w:t xml:space="preserve">se </w:t>
      </w:r>
      <w:r w:rsidR="00875371" w:rsidRPr="000E63CD">
        <w:rPr>
          <w:sz w:val="22"/>
          <w:szCs w:val="22"/>
        </w:rPr>
        <w:t xml:space="preserve">propone </w:t>
      </w:r>
      <w:r w:rsidRPr="000E63CD">
        <w:rPr>
          <w:sz w:val="22"/>
          <w:szCs w:val="22"/>
        </w:rPr>
        <w:t>establece</w:t>
      </w:r>
      <w:r w:rsidR="00875371" w:rsidRPr="000E63CD">
        <w:rPr>
          <w:sz w:val="22"/>
          <w:szCs w:val="22"/>
        </w:rPr>
        <w:t>r</w:t>
      </w:r>
      <w:r w:rsidRPr="000E63CD">
        <w:rPr>
          <w:sz w:val="22"/>
          <w:szCs w:val="22"/>
        </w:rPr>
        <w:t xml:space="preserve"> la figura del “</w:t>
      </w:r>
      <w:r w:rsidRPr="000E63CD">
        <w:rPr>
          <w:i/>
          <w:iCs/>
          <w:sz w:val="22"/>
          <w:szCs w:val="22"/>
        </w:rPr>
        <w:t>punto de referencia</w:t>
      </w:r>
      <w:r w:rsidRPr="000E63CD">
        <w:rPr>
          <w:sz w:val="22"/>
          <w:szCs w:val="22"/>
        </w:rPr>
        <w:t xml:space="preserve">” con el fin de </w:t>
      </w:r>
      <w:r w:rsidR="00875371" w:rsidRPr="000E63CD">
        <w:rPr>
          <w:sz w:val="22"/>
          <w:szCs w:val="22"/>
        </w:rPr>
        <w:t>determinar</w:t>
      </w:r>
      <w:r w:rsidRPr="000E63CD">
        <w:rPr>
          <w:sz w:val="22"/>
          <w:szCs w:val="22"/>
        </w:rPr>
        <w:t xml:space="preserve"> </w:t>
      </w:r>
      <w:r w:rsidR="001F643B" w:rsidRPr="000E63CD">
        <w:rPr>
          <w:sz w:val="22"/>
          <w:szCs w:val="22"/>
        </w:rPr>
        <w:t xml:space="preserve">cada </w:t>
      </w:r>
      <w:r w:rsidR="00875371" w:rsidRPr="000E63CD">
        <w:rPr>
          <w:sz w:val="22"/>
          <w:szCs w:val="22"/>
        </w:rPr>
        <w:t xml:space="preserve">una de las </w:t>
      </w:r>
      <w:r w:rsidR="001F643B" w:rsidRPr="000E63CD">
        <w:rPr>
          <w:sz w:val="22"/>
          <w:szCs w:val="22"/>
        </w:rPr>
        <w:t>referencia</w:t>
      </w:r>
      <w:r w:rsidR="00875371" w:rsidRPr="000E63CD">
        <w:rPr>
          <w:sz w:val="22"/>
          <w:szCs w:val="22"/>
        </w:rPr>
        <w:t>s</w:t>
      </w:r>
      <w:r w:rsidR="001F643B" w:rsidRPr="000E63CD">
        <w:rPr>
          <w:sz w:val="22"/>
          <w:szCs w:val="22"/>
        </w:rPr>
        <w:t xml:space="preserve"> para </w:t>
      </w:r>
      <w:r w:rsidR="00875371" w:rsidRPr="000E63CD">
        <w:rPr>
          <w:sz w:val="22"/>
          <w:szCs w:val="22"/>
        </w:rPr>
        <w:t xml:space="preserve">la realización de </w:t>
      </w:r>
      <w:r w:rsidRPr="000E63CD">
        <w:rPr>
          <w:sz w:val="22"/>
          <w:szCs w:val="22"/>
        </w:rPr>
        <w:t xml:space="preserve">los balances comerciales de periodicidad trimestral que debe realizar el </w:t>
      </w:r>
      <w:r w:rsidR="005114C6">
        <w:rPr>
          <w:sz w:val="22"/>
          <w:szCs w:val="22"/>
        </w:rPr>
        <w:t>Gestor del Mercado</w:t>
      </w:r>
      <w:r w:rsidR="004C4F1E">
        <w:rPr>
          <w:sz w:val="22"/>
          <w:szCs w:val="22"/>
        </w:rPr>
        <w:t xml:space="preserve"> de Gas</w:t>
      </w:r>
      <w:r w:rsidR="001F643B" w:rsidRPr="000E63CD">
        <w:rPr>
          <w:sz w:val="22"/>
          <w:szCs w:val="22"/>
        </w:rPr>
        <w:t xml:space="preserve">. Puede un punto de referencia </w:t>
      </w:r>
      <w:r w:rsidR="002221E6" w:rsidRPr="000E63CD">
        <w:rPr>
          <w:sz w:val="22"/>
          <w:szCs w:val="22"/>
        </w:rPr>
        <w:t>agrega</w:t>
      </w:r>
      <w:r w:rsidR="001F643B" w:rsidRPr="000E63CD">
        <w:rPr>
          <w:sz w:val="22"/>
          <w:szCs w:val="22"/>
        </w:rPr>
        <w:t>r uno o varios puntos de entr</w:t>
      </w:r>
      <w:r w:rsidR="002221E6" w:rsidRPr="000E63CD">
        <w:rPr>
          <w:sz w:val="22"/>
          <w:szCs w:val="22"/>
        </w:rPr>
        <w:t>ega del suministro, o puntos de entrada al SNT, en razón a que</w:t>
      </w:r>
      <w:r w:rsidR="00E5759D" w:rsidRPr="000E63CD">
        <w:rPr>
          <w:sz w:val="22"/>
          <w:szCs w:val="22"/>
        </w:rPr>
        <w:t>,</w:t>
      </w:r>
      <w:r w:rsidR="002221E6" w:rsidRPr="000E63CD">
        <w:rPr>
          <w:sz w:val="22"/>
          <w:szCs w:val="22"/>
        </w:rPr>
        <w:t xml:space="preserve"> en </w:t>
      </w:r>
      <w:r w:rsidR="00A64303" w:rsidRPr="000E63CD">
        <w:rPr>
          <w:sz w:val="22"/>
          <w:szCs w:val="22"/>
        </w:rPr>
        <w:t xml:space="preserve">algunos de </w:t>
      </w:r>
      <w:r w:rsidR="002221E6" w:rsidRPr="000E63CD">
        <w:rPr>
          <w:sz w:val="22"/>
          <w:szCs w:val="22"/>
        </w:rPr>
        <w:t>los contratos</w:t>
      </w:r>
      <w:r w:rsidR="00A64303" w:rsidRPr="000E63CD">
        <w:rPr>
          <w:sz w:val="22"/>
          <w:szCs w:val="22"/>
        </w:rPr>
        <w:t xml:space="preserve"> que contienen una o varias fuentes de suministro,</w:t>
      </w:r>
      <w:r w:rsidR="002221E6" w:rsidRPr="000E63CD">
        <w:rPr>
          <w:sz w:val="22"/>
          <w:szCs w:val="22"/>
        </w:rPr>
        <w:t xml:space="preserve"> se ha observado </w:t>
      </w:r>
      <w:r w:rsidR="00E5759D" w:rsidRPr="000E63CD">
        <w:rPr>
          <w:sz w:val="22"/>
          <w:szCs w:val="22"/>
        </w:rPr>
        <w:t>l</w:t>
      </w:r>
      <w:r w:rsidR="002221E6" w:rsidRPr="000E63CD">
        <w:rPr>
          <w:sz w:val="22"/>
          <w:szCs w:val="22"/>
        </w:rPr>
        <w:t xml:space="preserve">a </w:t>
      </w:r>
      <w:r w:rsidR="00A64303" w:rsidRPr="000E63CD">
        <w:rPr>
          <w:sz w:val="22"/>
          <w:szCs w:val="22"/>
        </w:rPr>
        <w:t xml:space="preserve">situación en la que </w:t>
      </w:r>
      <w:r w:rsidR="00F4751B" w:rsidRPr="000E63CD">
        <w:rPr>
          <w:sz w:val="22"/>
          <w:szCs w:val="22"/>
        </w:rPr>
        <w:t>el contrato prevé un solo precio de suministro y varios puntos de entrega</w:t>
      </w:r>
      <w:r w:rsidR="00E5759D" w:rsidRPr="000E63CD">
        <w:rPr>
          <w:sz w:val="22"/>
          <w:szCs w:val="22"/>
        </w:rPr>
        <w:t xml:space="preserve">, </w:t>
      </w:r>
      <w:r w:rsidR="00F4751B" w:rsidRPr="000E63CD">
        <w:rPr>
          <w:sz w:val="22"/>
          <w:szCs w:val="22"/>
        </w:rPr>
        <w:t>sin que el</w:t>
      </w:r>
      <w:r w:rsidR="00A64303" w:rsidRPr="000E63CD">
        <w:rPr>
          <w:sz w:val="22"/>
          <w:szCs w:val="22"/>
        </w:rPr>
        <w:t xml:space="preserve"> precio </w:t>
      </w:r>
      <w:r w:rsidR="00F4751B" w:rsidRPr="000E63CD">
        <w:rPr>
          <w:sz w:val="22"/>
          <w:szCs w:val="22"/>
        </w:rPr>
        <w:t>del suministro cambie dependiendo del punto de entrega.</w:t>
      </w:r>
      <w:r w:rsidR="00C06370" w:rsidRPr="000E63CD">
        <w:rPr>
          <w:sz w:val="22"/>
          <w:szCs w:val="22"/>
        </w:rPr>
        <w:t xml:space="preserve"> </w:t>
      </w:r>
    </w:p>
    <w:p w14:paraId="30D90254" w14:textId="77777777" w:rsidR="000B68C0" w:rsidRPr="000E63CD" w:rsidRDefault="000B68C0" w:rsidP="000F1848">
      <w:pPr>
        <w:rPr>
          <w:sz w:val="22"/>
          <w:szCs w:val="22"/>
        </w:rPr>
      </w:pPr>
    </w:p>
    <w:p w14:paraId="6DFD3B8E" w14:textId="6A58F021" w:rsidR="003E6A5E" w:rsidRPr="000E63CD" w:rsidRDefault="007611C2" w:rsidP="000F1848">
      <w:pPr>
        <w:rPr>
          <w:sz w:val="22"/>
          <w:szCs w:val="22"/>
        </w:rPr>
      </w:pPr>
      <w:r w:rsidRPr="000E63CD">
        <w:rPr>
          <w:sz w:val="22"/>
          <w:szCs w:val="22"/>
        </w:rPr>
        <w:t>E</w:t>
      </w:r>
      <w:r w:rsidR="00C06370" w:rsidRPr="000E63CD">
        <w:rPr>
          <w:sz w:val="22"/>
          <w:szCs w:val="22"/>
        </w:rPr>
        <w:t xml:space="preserve">s posible que un vendedor del </w:t>
      </w:r>
      <w:r w:rsidR="00AC32B5">
        <w:rPr>
          <w:sz w:val="22"/>
          <w:szCs w:val="22"/>
        </w:rPr>
        <w:t>Mercado Primario</w:t>
      </w:r>
      <w:r w:rsidR="00024615" w:rsidRPr="000E63CD">
        <w:rPr>
          <w:sz w:val="22"/>
          <w:szCs w:val="22"/>
        </w:rPr>
        <w:t xml:space="preserve"> pueda</w:t>
      </w:r>
      <w:r w:rsidR="006460FF" w:rsidRPr="000E63CD">
        <w:rPr>
          <w:sz w:val="22"/>
          <w:szCs w:val="22"/>
        </w:rPr>
        <w:t>,</w:t>
      </w:r>
      <w:r w:rsidR="00024615" w:rsidRPr="000E63CD">
        <w:rPr>
          <w:sz w:val="22"/>
          <w:szCs w:val="22"/>
        </w:rPr>
        <w:t xml:space="preserve"> para un mismo punto de referencia </w:t>
      </w:r>
      <w:r w:rsidR="006460FF" w:rsidRPr="000E63CD">
        <w:rPr>
          <w:sz w:val="22"/>
          <w:szCs w:val="22"/>
        </w:rPr>
        <w:t xml:space="preserve">que cuenta </w:t>
      </w:r>
      <w:r w:rsidR="00024615" w:rsidRPr="000E63CD">
        <w:rPr>
          <w:sz w:val="22"/>
          <w:szCs w:val="22"/>
        </w:rPr>
        <w:t xml:space="preserve">con diversas fuentes de suministro, ofrecer precios diferentes </w:t>
      </w:r>
      <w:r w:rsidR="007D410B" w:rsidRPr="000E63CD">
        <w:rPr>
          <w:sz w:val="22"/>
          <w:szCs w:val="22"/>
        </w:rPr>
        <w:t xml:space="preserve">dependiendo de la fuente de suministro, </w:t>
      </w:r>
      <w:r w:rsidR="006460FF" w:rsidRPr="000E63CD">
        <w:rPr>
          <w:sz w:val="22"/>
          <w:szCs w:val="22"/>
        </w:rPr>
        <w:t xml:space="preserve">ya sea </w:t>
      </w:r>
      <w:r w:rsidR="00024615" w:rsidRPr="000E63CD">
        <w:rPr>
          <w:sz w:val="22"/>
          <w:szCs w:val="22"/>
        </w:rPr>
        <w:t>en las negociaciones directas o en las subastas</w:t>
      </w:r>
      <w:r w:rsidR="007D410B" w:rsidRPr="000E63CD">
        <w:rPr>
          <w:sz w:val="22"/>
          <w:szCs w:val="22"/>
        </w:rPr>
        <w:t xml:space="preserve"> (como precio de reserva)</w:t>
      </w:r>
      <w:r w:rsidR="00024615" w:rsidRPr="000E63CD">
        <w:rPr>
          <w:sz w:val="22"/>
          <w:szCs w:val="22"/>
        </w:rPr>
        <w:t xml:space="preserve"> en caso de ser realizadas.</w:t>
      </w:r>
    </w:p>
    <w:p w14:paraId="6BE7AD3D" w14:textId="5B6C8A29" w:rsidR="00C06370" w:rsidRPr="000E63CD" w:rsidRDefault="00024615" w:rsidP="000F1848">
      <w:pPr>
        <w:rPr>
          <w:sz w:val="22"/>
          <w:szCs w:val="22"/>
        </w:rPr>
      </w:pPr>
      <w:r w:rsidRPr="000E63CD">
        <w:rPr>
          <w:sz w:val="22"/>
          <w:szCs w:val="22"/>
        </w:rPr>
        <w:t xml:space="preserve"> </w:t>
      </w:r>
    </w:p>
    <w:p w14:paraId="2105C466" w14:textId="5966BDA6" w:rsidR="004F5438" w:rsidRPr="000E63CD" w:rsidRDefault="004F5438" w:rsidP="000F1848">
      <w:pPr>
        <w:rPr>
          <w:sz w:val="22"/>
          <w:szCs w:val="22"/>
        </w:rPr>
      </w:pPr>
      <w:r w:rsidRPr="000E63CD">
        <w:rPr>
          <w:sz w:val="22"/>
          <w:szCs w:val="22"/>
        </w:rPr>
        <w:t xml:space="preserve">Es muy importante que los mecanismos de comercialización de los </w:t>
      </w:r>
      <w:r w:rsidR="00AC32B5">
        <w:rPr>
          <w:sz w:val="22"/>
          <w:szCs w:val="22"/>
        </w:rPr>
        <w:t>Vendedores</w:t>
      </w:r>
      <w:r w:rsidRPr="000E63CD">
        <w:rPr>
          <w:sz w:val="22"/>
          <w:szCs w:val="22"/>
        </w:rPr>
        <w:t xml:space="preserve"> que cuentan con las fuentes de suministro </w:t>
      </w:r>
      <w:r w:rsidR="00EC187F" w:rsidRPr="000E63CD">
        <w:rPr>
          <w:sz w:val="22"/>
          <w:szCs w:val="22"/>
        </w:rPr>
        <w:t xml:space="preserve">que pueden </w:t>
      </w:r>
      <w:r w:rsidR="00B76AD4" w:rsidRPr="000E63CD">
        <w:rPr>
          <w:sz w:val="22"/>
          <w:szCs w:val="22"/>
        </w:rPr>
        <w:t>de manera directa negociar y registrar los contratos de suministro en cualquier momento del año,</w:t>
      </w:r>
      <w:r w:rsidRPr="000E63CD">
        <w:rPr>
          <w:sz w:val="22"/>
          <w:szCs w:val="22"/>
        </w:rPr>
        <w:t xml:space="preserve"> cumplan con unos principios generales</w:t>
      </w:r>
      <w:r w:rsidR="002A3CD7" w:rsidRPr="000E63CD">
        <w:rPr>
          <w:sz w:val="22"/>
          <w:szCs w:val="22"/>
        </w:rPr>
        <w:t xml:space="preserve"> </w:t>
      </w:r>
      <w:r w:rsidR="008939FE" w:rsidRPr="000E63CD">
        <w:rPr>
          <w:sz w:val="22"/>
          <w:szCs w:val="22"/>
        </w:rPr>
        <w:t>regulatorios</w:t>
      </w:r>
      <w:r w:rsidR="006F549A">
        <w:rPr>
          <w:sz w:val="22"/>
          <w:szCs w:val="22"/>
        </w:rPr>
        <w:t xml:space="preserve"> que </w:t>
      </w:r>
      <w:r w:rsidR="00CA2603">
        <w:rPr>
          <w:sz w:val="22"/>
          <w:szCs w:val="22"/>
        </w:rPr>
        <w:t>los orienten</w:t>
      </w:r>
      <w:r w:rsidR="00CA164E">
        <w:rPr>
          <w:sz w:val="22"/>
          <w:szCs w:val="22"/>
        </w:rPr>
        <w:t>,</w:t>
      </w:r>
      <w:r w:rsidR="00CA2603">
        <w:rPr>
          <w:sz w:val="22"/>
          <w:szCs w:val="22"/>
        </w:rPr>
        <w:t xml:space="preserve"> a efectos de que el resultado de su aplicación permita considerar que los precios arrojados han de considerarse eficien</w:t>
      </w:r>
      <w:r w:rsidR="00CA164E">
        <w:rPr>
          <w:sz w:val="22"/>
          <w:szCs w:val="22"/>
        </w:rPr>
        <w:t>tes y que las conductas adelantadas por vendedores y compradores</w:t>
      </w:r>
      <w:r w:rsidR="007B50F4">
        <w:rPr>
          <w:sz w:val="22"/>
          <w:szCs w:val="22"/>
        </w:rPr>
        <w:t xml:space="preserve"> estén dirigidas a que el mercado </w:t>
      </w:r>
      <w:r w:rsidR="00AB0E6D">
        <w:rPr>
          <w:sz w:val="22"/>
          <w:szCs w:val="22"/>
        </w:rPr>
        <w:t>mayorista funcione de manera eficiente y sin distorsiones</w:t>
      </w:r>
      <w:r w:rsidR="00B17338" w:rsidRPr="000E63CD">
        <w:rPr>
          <w:sz w:val="22"/>
          <w:szCs w:val="22"/>
        </w:rPr>
        <w:t xml:space="preserve">. En este sentido, se están especificando dichos principios generales que son los mismos establecidos para las subastas de las modalidades contractuales C1 y C2 </w:t>
      </w:r>
      <w:r w:rsidR="00F37E4D" w:rsidRPr="000E63CD">
        <w:rPr>
          <w:sz w:val="22"/>
          <w:szCs w:val="22"/>
        </w:rPr>
        <w:t xml:space="preserve">que aparecen en el actual Anexo </w:t>
      </w:r>
      <w:r w:rsidR="005155E1" w:rsidRPr="000E63CD">
        <w:rPr>
          <w:sz w:val="22"/>
          <w:szCs w:val="22"/>
        </w:rPr>
        <w:t>4 de la Resolución CREG 186 de 2020, que son los siguientes:</w:t>
      </w:r>
    </w:p>
    <w:p w14:paraId="52AC83A0" w14:textId="77777777" w:rsidR="005155E1" w:rsidRPr="000E63CD" w:rsidRDefault="005155E1" w:rsidP="000F1848">
      <w:pPr>
        <w:rPr>
          <w:sz w:val="22"/>
          <w:szCs w:val="22"/>
        </w:rPr>
      </w:pPr>
    </w:p>
    <w:p w14:paraId="4668CB9F" w14:textId="6CAA1CBB" w:rsidR="00683DD7" w:rsidRPr="000E63CD" w:rsidRDefault="00683DD7" w:rsidP="00352218">
      <w:pPr>
        <w:pStyle w:val="Prrafodelista"/>
        <w:numPr>
          <w:ilvl w:val="0"/>
          <w:numId w:val="5"/>
        </w:numPr>
        <w:ind w:left="360"/>
        <w:rPr>
          <w:sz w:val="22"/>
          <w:szCs w:val="22"/>
        </w:rPr>
      </w:pPr>
      <w:r w:rsidRPr="000E63CD">
        <w:rPr>
          <w:sz w:val="22"/>
          <w:szCs w:val="22"/>
        </w:rPr>
        <w:t>Eficiencia: el desarrollo del mecanismo de mercado conducirá a la formación de precios eficientes de cada uno de los productos.</w:t>
      </w:r>
    </w:p>
    <w:p w14:paraId="3D587764" w14:textId="77777777" w:rsidR="00683DD7" w:rsidRPr="000E63CD" w:rsidRDefault="00683DD7" w:rsidP="00385842">
      <w:pPr>
        <w:rPr>
          <w:sz w:val="22"/>
          <w:szCs w:val="22"/>
        </w:rPr>
      </w:pPr>
    </w:p>
    <w:p w14:paraId="05E90F00" w14:textId="3BFF27D1" w:rsidR="00683DD7" w:rsidRPr="000E63CD" w:rsidRDefault="00683DD7" w:rsidP="00352218">
      <w:pPr>
        <w:pStyle w:val="Prrafodelista"/>
        <w:numPr>
          <w:ilvl w:val="0"/>
          <w:numId w:val="5"/>
        </w:numPr>
        <w:ind w:left="360"/>
        <w:rPr>
          <w:sz w:val="22"/>
          <w:szCs w:val="22"/>
        </w:rPr>
      </w:pPr>
      <w:r w:rsidRPr="000E63CD">
        <w:rPr>
          <w:sz w:val="22"/>
          <w:szCs w:val="22"/>
        </w:rPr>
        <w:t>Publicidad: se garantizará mediante la publicación obligatoria en la página web de cada vendedor.</w:t>
      </w:r>
    </w:p>
    <w:p w14:paraId="58F1140B" w14:textId="77777777" w:rsidR="00683DD7" w:rsidRPr="000E63CD" w:rsidRDefault="00683DD7" w:rsidP="00385842">
      <w:pPr>
        <w:rPr>
          <w:sz w:val="22"/>
          <w:szCs w:val="22"/>
        </w:rPr>
      </w:pPr>
    </w:p>
    <w:p w14:paraId="339AC7CF" w14:textId="03595864" w:rsidR="00683DD7" w:rsidRPr="000E63CD" w:rsidRDefault="00683DD7" w:rsidP="00352218">
      <w:pPr>
        <w:pStyle w:val="Prrafodelista"/>
        <w:numPr>
          <w:ilvl w:val="0"/>
          <w:numId w:val="5"/>
        </w:numPr>
        <w:ind w:left="360"/>
        <w:rPr>
          <w:sz w:val="22"/>
          <w:szCs w:val="22"/>
        </w:rPr>
      </w:pPr>
      <w:r w:rsidRPr="000E63CD">
        <w:rPr>
          <w:sz w:val="22"/>
          <w:szCs w:val="22"/>
        </w:rPr>
        <w:t xml:space="preserve">Neutralidad: el diseño del mecanismo de mercado y el reglamento </w:t>
      </w:r>
      <w:proofErr w:type="gramStart"/>
      <w:r w:rsidRPr="000E63CD">
        <w:rPr>
          <w:sz w:val="22"/>
          <w:szCs w:val="22"/>
        </w:rPr>
        <w:t>del mismo</w:t>
      </w:r>
      <w:proofErr w:type="gramEnd"/>
      <w:r w:rsidRPr="000E63CD">
        <w:rPr>
          <w:sz w:val="22"/>
          <w:szCs w:val="22"/>
        </w:rPr>
        <w:t xml:space="preserve"> no permitirán, inducirán o adoptarán prácticas de discriminación indebida en contra de alguno de los participantes.</w:t>
      </w:r>
    </w:p>
    <w:p w14:paraId="53F0138F" w14:textId="77777777" w:rsidR="00683DD7" w:rsidRPr="000E63CD" w:rsidRDefault="00683DD7" w:rsidP="00385842">
      <w:pPr>
        <w:rPr>
          <w:sz w:val="22"/>
          <w:szCs w:val="22"/>
        </w:rPr>
      </w:pPr>
    </w:p>
    <w:p w14:paraId="3C2B3A1A" w14:textId="22D8E0DA" w:rsidR="00683DD7" w:rsidRPr="000E63CD" w:rsidRDefault="00683DD7" w:rsidP="00352218">
      <w:pPr>
        <w:pStyle w:val="Prrafodelista"/>
        <w:numPr>
          <w:ilvl w:val="0"/>
          <w:numId w:val="5"/>
        </w:numPr>
        <w:ind w:left="360"/>
        <w:rPr>
          <w:sz w:val="22"/>
          <w:szCs w:val="22"/>
        </w:rPr>
      </w:pPr>
      <w:r w:rsidRPr="000E63CD">
        <w:rPr>
          <w:sz w:val="22"/>
          <w:szCs w:val="22"/>
        </w:rPr>
        <w:t>Simplicidad y transparencia: el mecanismo de mercado será claro, explícito y constará por escrito, de tal forma que pueda ser comprendido sin duda ni ambigüedad.</w:t>
      </w:r>
    </w:p>
    <w:p w14:paraId="6160D986" w14:textId="77777777" w:rsidR="00683DD7" w:rsidRPr="000E63CD" w:rsidRDefault="00683DD7" w:rsidP="00385842">
      <w:pPr>
        <w:rPr>
          <w:sz w:val="22"/>
          <w:szCs w:val="22"/>
        </w:rPr>
      </w:pPr>
    </w:p>
    <w:p w14:paraId="5B85E0F7" w14:textId="7531FC92" w:rsidR="00683DD7" w:rsidRPr="000E63CD" w:rsidRDefault="00683DD7" w:rsidP="00352218">
      <w:pPr>
        <w:pStyle w:val="Prrafodelista"/>
        <w:numPr>
          <w:ilvl w:val="0"/>
          <w:numId w:val="5"/>
        </w:numPr>
        <w:ind w:left="360"/>
        <w:rPr>
          <w:sz w:val="22"/>
          <w:szCs w:val="22"/>
        </w:rPr>
      </w:pPr>
      <w:r w:rsidRPr="000E63CD">
        <w:rPr>
          <w:sz w:val="22"/>
          <w:szCs w:val="22"/>
        </w:rPr>
        <w:t>Objetividad: los criterios de adjudicación del mecanismo de mercado serán claros e imparciales.</w:t>
      </w:r>
    </w:p>
    <w:p w14:paraId="3A14442A" w14:textId="77777777" w:rsidR="00683DD7" w:rsidRPr="000E63CD" w:rsidRDefault="00683DD7" w:rsidP="00683DD7">
      <w:pPr>
        <w:rPr>
          <w:sz w:val="22"/>
          <w:szCs w:val="22"/>
        </w:rPr>
      </w:pPr>
    </w:p>
    <w:p w14:paraId="2F85DC56" w14:textId="410AF6C7" w:rsidR="004A125D" w:rsidRPr="000E63CD" w:rsidRDefault="004A125D" w:rsidP="004A125D">
      <w:pPr>
        <w:rPr>
          <w:sz w:val="22"/>
          <w:szCs w:val="22"/>
        </w:rPr>
      </w:pPr>
      <w:r w:rsidRPr="000E63CD">
        <w:rPr>
          <w:sz w:val="22"/>
          <w:szCs w:val="22"/>
        </w:rPr>
        <w:t xml:space="preserve">Es </w:t>
      </w:r>
      <w:r w:rsidR="00BD778D">
        <w:rPr>
          <w:sz w:val="22"/>
          <w:szCs w:val="22"/>
        </w:rPr>
        <w:t xml:space="preserve">importante </w:t>
      </w:r>
      <w:r w:rsidRPr="000E63CD">
        <w:rPr>
          <w:sz w:val="22"/>
          <w:szCs w:val="22"/>
        </w:rPr>
        <w:t xml:space="preserve">tener en cuenta que se propone </w:t>
      </w:r>
      <w:proofErr w:type="gramStart"/>
      <w:r w:rsidRPr="000E63CD">
        <w:rPr>
          <w:sz w:val="22"/>
          <w:szCs w:val="22"/>
        </w:rPr>
        <w:t>que</w:t>
      </w:r>
      <w:proofErr w:type="gramEnd"/>
      <w:r w:rsidRPr="000E63CD">
        <w:rPr>
          <w:sz w:val="22"/>
          <w:szCs w:val="22"/>
        </w:rPr>
        <w:t xml:space="preserve"> en el trimestre siguiente a la entrada en vigencia de la resolución definitiva</w:t>
      </w:r>
      <w:r w:rsidR="00204890">
        <w:rPr>
          <w:sz w:val="22"/>
          <w:szCs w:val="22"/>
        </w:rPr>
        <w:t>,</w:t>
      </w:r>
      <w:r w:rsidRPr="000E63CD">
        <w:rPr>
          <w:sz w:val="22"/>
          <w:szCs w:val="22"/>
        </w:rPr>
        <w:t xml:space="preserve"> se llevará a cabo un ejercicio obligatorio de simulación de prueba del procedimiento de balances comerciale</w:t>
      </w:r>
      <w:r w:rsidR="000B2E9B">
        <w:rPr>
          <w:sz w:val="22"/>
          <w:szCs w:val="22"/>
        </w:rPr>
        <w:t>s, pero que no es el único que pueda avanzar el Gestor del Mercado</w:t>
      </w:r>
      <w:r w:rsidRPr="000E63CD">
        <w:rPr>
          <w:sz w:val="22"/>
          <w:szCs w:val="22"/>
        </w:rPr>
        <w:t>. Lo anterior con el fin de evidenciar que el desarrollo detallado de dichos balances comerciales está incorporado tal como se define en la propuesta de resolución y para facilitar a los agentes que participan en el mercado mayorista que entienden perfectamente el esquema propuesto antes de ser implementado.</w:t>
      </w:r>
    </w:p>
    <w:p w14:paraId="3D62A0FD" w14:textId="77777777" w:rsidR="004A125D" w:rsidRPr="000E63CD" w:rsidRDefault="004A125D" w:rsidP="004A125D">
      <w:pPr>
        <w:rPr>
          <w:sz w:val="22"/>
          <w:szCs w:val="22"/>
        </w:rPr>
      </w:pPr>
    </w:p>
    <w:p w14:paraId="055E1727" w14:textId="77777777" w:rsidR="00CE7DDD" w:rsidRPr="000E63CD" w:rsidRDefault="00CE7DDD" w:rsidP="00036301">
      <w:pPr>
        <w:rPr>
          <w:sz w:val="22"/>
          <w:szCs w:val="22"/>
        </w:rPr>
      </w:pPr>
    </w:p>
    <w:p w14:paraId="7FC6DF1C" w14:textId="553AD3D7" w:rsidR="000F02C3" w:rsidRPr="004E37E3" w:rsidRDefault="00760665" w:rsidP="004E37E3">
      <w:pPr>
        <w:pStyle w:val="Ttulo2"/>
        <w:rPr>
          <w:sz w:val="22"/>
          <w:szCs w:val="22"/>
        </w:rPr>
      </w:pPr>
      <w:bookmarkStart w:id="451" w:name="_Ref133329312"/>
      <w:bookmarkStart w:id="452" w:name="_Ref133329836"/>
      <w:bookmarkStart w:id="453" w:name="_Ref133334244"/>
      <w:bookmarkStart w:id="454" w:name="_Toc140506226"/>
      <w:r w:rsidRPr="004E37E3">
        <w:rPr>
          <w:sz w:val="22"/>
          <w:szCs w:val="22"/>
        </w:rPr>
        <w:t>N</w:t>
      </w:r>
      <w:r w:rsidR="000F02C3" w:rsidRPr="004E37E3">
        <w:rPr>
          <w:sz w:val="22"/>
          <w:szCs w:val="22"/>
        </w:rPr>
        <w:t>egoci</w:t>
      </w:r>
      <w:r w:rsidRPr="004E37E3">
        <w:rPr>
          <w:sz w:val="22"/>
          <w:szCs w:val="22"/>
        </w:rPr>
        <w:t>aciones de contratos con interrupciones</w:t>
      </w:r>
      <w:bookmarkEnd w:id="451"/>
      <w:bookmarkEnd w:id="452"/>
      <w:bookmarkEnd w:id="453"/>
      <w:bookmarkEnd w:id="454"/>
    </w:p>
    <w:p w14:paraId="751631D6" w14:textId="78520C5C" w:rsidR="00135BCD" w:rsidRPr="000E63CD" w:rsidRDefault="00135BCD" w:rsidP="00CD3FB0">
      <w:pPr>
        <w:rPr>
          <w:sz w:val="22"/>
          <w:szCs w:val="22"/>
          <w:lang w:val="es-ES"/>
        </w:rPr>
      </w:pPr>
      <w:r w:rsidRPr="000E63CD">
        <w:rPr>
          <w:sz w:val="22"/>
          <w:szCs w:val="22"/>
          <w:lang w:val="es-ES"/>
        </w:rPr>
        <w:t xml:space="preserve">Como complemento a la </w:t>
      </w:r>
      <w:r w:rsidR="0068744C" w:rsidRPr="000E63CD">
        <w:rPr>
          <w:sz w:val="22"/>
          <w:szCs w:val="22"/>
          <w:lang w:val="es-ES"/>
        </w:rPr>
        <w:t xml:space="preserve">propuesta de eliminar las subastas mensuales de contratos con interrupciones presentada inicialmente en el presente capítulo, se propone que los </w:t>
      </w:r>
      <w:r w:rsidR="00AC32B5">
        <w:rPr>
          <w:sz w:val="22"/>
          <w:szCs w:val="22"/>
          <w:lang w:val="es-ES"/>
        </w:rPr>
        <w:t>Vendedores</w:t>
      </w:r>
      <w:r w:rsidR="0068744C" w:rsidRPr="000E63CD">
        <w:rPr>
          <w:sz w:val="22"/>
          <w:szCs w:val="22"/>
          <w:lang w:val="es-ES"/>
        </w:rPr>
        <w:t xml:space="preserve"> del </w:t>
      </w:r>
      <w:r w:rsidR="00AC32B5">
        <w:rPr>
          <w:sz w:val="22"/>
          <w:szCs w:val="22"/>
          <w:lang w:val="es-ES"/>
        </w:rPr>
        <w:t>Mercado Primario</w:t>
      </w:r>
      <w:r w:rsidR="0068744C" w:rsidRPr="000E63CD">
        <w:rPr>
          <w:sz w:val="22"/>
          <w:szCs w:val="22"/>
          <w:lang w:val="es-ES"/>
        </w:rPr>
        <w:t xml:space="preserve"> puedan avanzar negociaciones directas para </w:t>
      </w:r>
      <w:r w:rsidR="00B75C09" w:rsidRPr="000E63CD">
        <w:rPr>
          <w:sz w:val="22"/>
          <w:szCs w:val="22"/>
          <w:lang w:val="es-ES"/>
        </w:rPr>
        <w:t>pactar y registrar posteriormente los contratos con interrupciones</w:t>
      </w:r>
      <w:r w:rsidR="009F7940" w:rsidRPr="000E63CD">
        <w:rPr>
          <w:sz w:val="22"/>
          <w:szCs w:val="22"/>
          <w:lang w:val="es-ES"/>
        </w:rPr>
        <w:t>, independientemente del tipo de fuente de suministro</w:t>
      </w:r>
      <w:r w:rsidR="00B75C09" w:rsidRPr="000E63CD">
        <w:rPr>
          <w:sz w:val="22"/>
          <w:szCs w:val="22"/>
          <w:lang w:val="es-ES"/>
        </w:rPr>
        <w:t>.</w:t>
      </w:r>
      <w:r w:rsidR="0068744C" w:rsidRPr="000E63CD">
        <w:rPr>
          <w:sz w:val="22"/>
          <w:szCs w:val="22"/>
          <w:lang w:val="es-ES"/>
        </w:rPr>
        <w:t xml:space="preserve"> </w:t>
      </w:r>
      <w:r w:rsidR="000964B3" w:rsidRPr="000E63CD">
        <w:rPr>
          <w:sz w:val="22"/>
          <w:szCs w:val="22"/>
          <w:lang w:val="es-ES"/>
        </w:rPr>
        <w:t>Como ya se mencionó</w:t>
      </w:r>
      <w:r w:rsidR="0084605E">
        <w:rPr>
          <w:sz w:val="22"/>
          <w:szCs w:val="22"/>
          <w:lang w:val="es-ES"/>
        </w:rPr>
        <w:t>,</w:t>
      </w:r>
      <w:r w:rsidR="000964B3" w:rsidRPr="000E63CD">
        <w:rPr>
          <w:sz w:val="22"/>
          <w:szCs w:val="22"/>
          <w:lang w:val="es-ES"/>
        </w:rPr>
        <w:t xml:space="preserve"> se mantendrán las mismas flexibilidades dadas a los </w:t>
      </w:r>
      <w:r w:rsidR="00AC32B5">
        <w:rPr>
          <w:sz w:val="22"/>
          <w:szCs w:val="22"/>
          <w:lang w:val="es-ES"/>
        </w:rPr>
        <w:t>Vendedores</w:t>
      </w:r>
      <w:r w:rsidR="000964B3" w:rsidRPr="000E63CD">
        <w:rPr>
          <w:sz w:val="22"/>
          <w:szCs w:val="22"/>
          <w:lang w:val="es-ES"/>
        </w:rPr>
        <w:t xml:space="preserve"> del </w:t>
      </w:r>
      <w:r w:rsidR="00AC32B5">
        <w:rPr>
          <w:sz w:val="22"/>
          <w:szCs w:val="22"/>
          <w:lang w:val="es-ES"/>
        </w:rPr>
        <w:t>Mercado Secundario</w:t>
      </w:r>
      <w:r w:rsidR="000964B3" w:rsidRPr="000E63CD">
        <w:rPr>
          <w:sz w:val="22"/>
          <w:szCs w:val="22"/>
          <w:lang w:val="es-ES"/>
        </w:rPr>
        <w:t xml:space="preserve"> para negociar esa modalidad de contratos. En el caso de los </w:t>
      </w:r>
      <w:r w:rsidR="00AC32B5">
        <w:rPr>
          <w:sz w:val="22"/>
          <w:szCs w:val="22"/>
          <w:lang w:val="es-ES"/>
        </w:rPr>
        <w:t>Vendedores</w:t>
      </w:r>
      <w:r w:rsidR="000964B3" w:rsidRPr="000E63CD">
        <w:rPr>
          <w:sz w:val="22"/>
          <w:szCs w:val="22"/>
          <w:lang w:val="es-ES"/>
        </w:rPr>
        <w:t xml:space="preserve"> del </w:t>
      </w:r>
      <w:r w:rsidR="00AC32B5">
        <w:rPr>
          <w:sz w:val="22"/>
          <w:szCs w:val="22"/>
          <w:lang w:val="es-ES"/>
        </w:rPr>
        <w:t>Mercado Primario</w:t>
      </w:r>
      <w:r w:rsidR="000964B3" w:rsidRPr="000E63CD">
        <w:rPr>
          <w:sz w:val="22"/>
          <w:szCs w:val="22"/>
          <w:lang w:val="es-ES"/>
        </w:rPr>
        <w:t xml:space="preserve"> tendrán ciertas restricciones</w:t>
      </w:r>
      <w:r w:rsidR="00A319EE" w:rsidRPr="000E63CD">
        <w:rPr>
          <w:sz w:val="22"/>
          <w:szCs w:val="22"/>
          <w:lang w:val="es-ES"/>
        </w:rPr>
        <w:t xml:space="preserve">, </w:t>
      </w:r>
      <w:r w:rsidR="000964B3" w:rsidRPr="000E63CD">
        <w:rPr>
          <w:sz w:val="22"/>
          <w:szCs w:val="22"/>
          <w:lang w:val="es-ES"/>
        </w:rPr>
        <w:t xml:space="preserve">con lo que se busca que </w:t>
      </w:r>
      <w:r w:rsidR="00437E17" w:rsidRPr="000E63CD">
        <w:rPr>
          <w:sz w:val="22"/>
          <w:szCs w:val="22"/>
          <w:lang w:val="es-ES"/>
        </w:rPr>
        <w:t xml:space="preserve">los </w:t>
      </w:r>
      <w:r w:rsidR="00AC32B5">
        <w:rPr>
          <w:sz w:val="22"/>
          <w:szCs w:val="22"/>
          <w:lang w:val="es-ES"/>
        </w:rPr>
        <w:t>Vendedores</w:t>
      </w:r>
      <w:r w:rsidR="00437E17" w:rsidRPr="000E63CD">
        <w:rPr>
          <w:sz w:val="22"/>
          <w:szCs w:val="22"/>
          <w:lang w:val="es-ES"/>
        </w:rPr>
        <w:t xml:space="preserve"> del </w:t>
      </w:r>
      <w:r w:rsidR="00AC32B5">
        <w:rPr>
          <w:sz w:val="22"/>
          <w:szCs w:val="22"/>
          <w:lang w:val="es-ES"/>
        </w:rPr>
        <w:t>Mercado Secundario</w:t>
      </w:r>
      <w:r w:rsidR="00437E17" w:rsidRPr="000E63CD">
        <w:rPr>
          <w:sz w:val="22"/>
          <w:szCs w:val="22"/>
          <w:lang w:val="es-ES"/>
        </w:rPr>
        <w:t xml:space="preserve"> cuenten con mayor posibilidad de vender aquellas cantidades de gas </w:t>
      </w:r>
      <w:r w:rsidR="00A319EE" w:rsidRPr="000E63CD">
        <w:rPr>
          <w:sz w:val="22"/>
          <w:szCs w:val="22"/>
          <w:lang w:val="es-ES"/>
        </w:rPr>
        <w:t xml:space="preserve">de contratos de suministro con garantía de firmeza suscritos en el </w:t>
      </w:r>
      <w:r w:rsidR="00AC32B5">
        <w:rPr>
          <w:sz w:val="22"/>
          <w:szCs w:val="22"/>
          <w:lang w:val="es-ES"/>
        </w:rPr>
        <w:t>Mercado Primario</w:t>
      </w:r>
      <w:r w:rsidR="00A319EE" w:rsidRPr="000E63CD">
        <w:rPr>
          <w:sz w:val="22"/>
          <w:szCs w:val="22"/>
          <w:lang w:val="es-ES"/>
        </w:rPr>
        <w:t xml:space="preserve"> </w:t>
      </w:r>
      <w:r w:rsidR="00510807" w:rsidRPr="000E63CD">
        <w:rPr>
          <w:sz w:val="22"/>
          <w:szCs w:val="22"/>
          <w:lang w:val="es-ES"/>
        </w:rPr>
        <w:t>q</w:t>
      </w:r>
      <w:r w:rsidR="00437E17" w:rsidRPr="000E63CD">
        <w:rPr>
          <w:sz w:val="22"/>
          <w:szCs w:val="22"/>
          <w:lang w:val="es-ES"/>
        </w:rPr>
        <w:t>ue eventualmente no utilicen</w:t>
      </w:r>
      <w:r w:rsidR="00510807" w:rsidRPr="000E63CD">
        <w:rPr>
          <w:sz w:val="22"/>
          <w:szCs w:val="22"/>
          <w:lang w:val="es-ES"/>
        </w:rPr>
        <w:t xml:space="preserve"> (no nominen), pero que a pesar de ello deben pagar al vendedor del </w:t>
      </w:r>
      <w:r w:rsidR="00AC32B5">
        <w:rPr>
          <w:sz w:val="22"/>
          <w:szCs w:val="22"/>
          <w:lang w:val="es-ES"/>
        </w:rPr>
        <w:t>Mercado Primario</w:t>
      </w:r>
      <w:r w:rsidR="00A319EE" w:rsidRPr="000E63CD">
        <w:rPr>
          <w:sz w:val="22"/>
          <w:szCs w:val="22"/>
          <w:lang w:val="es-ES"/>
        </w:rPr>
        <w:t>.</w:t>
      </w:r>
      <w:r w:rsidR="00437E17" w:rsidRPr="000E63CD">
        <w:rPr>
          <w:sz w:val="22"/>
          <w:szCs w:val="22"/>
          <w:lang w:val="es-ES"/>
        </w:rPr>
        <w:t xml:space="preserve"> </w:t>
      </w:r>
    </w:p>
    <w:p w14:paraId="4716DE0A" w14:textId="77777777" w:rsidR="00960F08" w:rsidRPr="000E63CD" w:rsidRDefault="00960F08" w:rsidP="00CD3FB0">
      <w:pPr>
        <w:rPr>
          <w:sz w:val="22"/>
          <w:szCs w:val="22"/>
          <w:lang w:val="es-ES"/>
        </w:rPr>
      </w:pPr>
    </w:p>
    <w:p w14:paraId="0EFB8B30" w14:textId="4E65D0CF" w:rsidR="00960F08" w:rsidRPr="000E63CD" w:rsidRDefault="00960F08" w:rsidP="00CD3FB0">
      <w:pPr>
        <w:rPr>
          <w:sz w:val="22"/>
          <w:szCs w:val="22"/>
          <w:lang w:val="es-ES"/>
        </w:rPr>
      </w:pPr>
      <w:r w:rsidRPr="000E63CD">
        <w:rPr>
          <w:sz w:val="22"/>
          <w:szCs w:val="22"/>
          <w:lang w:val="es-ES"/>
        </w:rPr>
        <w:t xml:space="preserve">Las restricciones que se proponen a los </w:t>
      </w:r>
      <w:r w:rsidR="00AC32B5">
        <w:rPr>
          <w:sz w:val="22"/>
          <w:szCs w:val="22"/>
          <w:lang w:val="es-ES"/>
        </w:rPr>
        <w:t>Vendedores</w:t>
      </w:r>
      <w:r w:rsidRPr="000E63CD">
        <w:rPr>
          <w:sz w:val="22"/>
          <w:szCs w:val="22"/>
          <w:lang w:val="es-ES"/>
        </w:rPr>
        <w:t xml:space="preserve"> del </w:t>
      </w:r>
      <w:r w:rsidR="00AC32B5">
        <w:rPr>
          <w:sz w:val="22"/>
          <w:szCs w:val="22"/>
          <w:lang w:val="es-ES"/>
        </w:rPr>
        <w:t>Mercado Primario</w:t>
      </w:r>
      <w:r w:rsidRPr="000E63CD">
        <w:rPr>
          <w:sz w:val="22"/>
          <w:szCs w:val="22"/>
          <w:lang w:val="es-ES"/>
        </w:rPr>
        <w:t xml:space="preserve"> para la oferta de cantidades mediante contratos con interrupciones </w:t>
      </w:r>
      <w:r w:rsidR="00953C9F" w:rsidRPr="000E63CD">
        <w:rPr>
          <w:sz w:val="22"/>
          <w:szCs w:val="22"/>
          <w:lang w:val="es-ES"/>
        </w:rPr>
        <w:t>que aplicarán solamente a los campos de producción que no pueden negociar de manera directa en cualquier momento del año el suministro de gas</w:t>
      </w:r>
      <w:r w:rsidRPr="000E63CD">
        <w:rPr>
          <w:sz w:val="22"/>
          <w:szCs w:val="22"/>
          <w:lang w:val="es-ES"/>
        </w:rPr>
        <w:t>:</w:t>
      </w:r>
    </w:p>
    <w:p w14:paraId="50686B48" w14:textId="77777777" w:rsidR="00960F08" w:rsidRPr="000E63CD" w:rsidRDefault="00960F08" w:rsidP="00CD3FB0">
      <w:pPr>
        <w:rPr>
          <w:sz w:val="22"/>
          <w:szCs w:val="22"/>
          <w:lang w:val="es-ES"/>
        </w:rPr>
      </w:pPr>
    </w:p>
    <w:p w14:paraId="3D11DBDA" w14:textId="1397D80F" w:rsidR="00960F08" w:rsidRPr="000E63CD" w:rsidRDefault="001E262D">
      <w:pPr>
        <w:pStyle w:val="Prrafodelista"/>
        <w:numPr>
          <w:ilvl w:val="0"/>
          <w:numId w:val="12"/>
        </w:numPr>
        <w:ind w:left="426" w:hanging="426"/>
        <w:rPr>
          <w:sz w:val="22"/>
          <w:szCs w:val="22"/>
          <w:lang w:val="es-ES"/>
        </w:rPr>
      </w:pPr>
      <w:r w:rsidRPr="000E63CD">
        <w:rPr>
          <w:sz w:val="22"/>
          <w:szCs w:val="22"/>
          <w:lang w:val="es-ES"/>
        </w:rPr>
        <w:t>El contrato tendrá una duración mensual;</w:t>
      </w:r>
    </w:p>
    <w:p w14:paraId="1BA4C5C7" w14:textId="4B072555" w:rsidR="00343C12" w:rsidRPr="000E63CD" w:rsidRDefault="00122DBD">
      <w:pPr>
        <w:pStyle w:val="Prrafodelista"/>
        <w:numPr>
          <w:ilvl w:val="0"/>
          <w:numId w:val="12"/>
        </w:numPr>
        <w:ind w:left="426" w:hanging="426"/>
        <w:rPr>
          <w:sz w:val="22"/>
          <w:szCs w:val="22"/>
          <w:lang w:val="es-ES"/>
        </w:rPr>
      </w:pPr>
      <w:r w:rsidRPr="000E63CD">
        <w:rPr>
          <w:sz w:val="22"/>
          <w:szCs w:val="22"/>
          <w:lang w:val="es-ES"/>
        </w:rPr>
        <w:t xml:space="preserve">El contrato podrá ser negociado y registrado ante el </w:t>
      </w:r>
      <w:r w:rsidR="005114C6">
        <w:rPr>
          <w:sz w:val="22"/>
          <w:szCs w:val="22"/>
          <w:lang w:val="es-ES"/>
        </w:rPr>
        <w:t>Gestor del Mercado</w:t>
      </w:r>
      <w:r w:rsidR="004C4F1E">
        <w:rPr>
          <w:sz w:val="22"/>
          <w:szCs w:val="22"/>
          <w:lang w:val="es-ES"/>
        </w:rPr>
        <w:t xml:space="preserve"> de Gas</w:t>
      </w:r>
      <w:r w:rsidRPr="000E63CD">
        <w:rPr>
          <w:sz w:val="22"/>
          <w:szCs w:val="22"/>
          <w:lang w:val="es-ES"/>
        </w:rPr>
        <w:t xml:space="preserve"> </w:t>
      </w:r>
      <w:r w:rsidR="00343C12" w:rsidRPr="000E63CD">
        <w:rPr>
          <w:sz w:val="22"/>
          <w:szCs w:val="22"/>
          <w:lang w:val="es-ES"/>
        </w:rPr>
        <w:t>en cualquier momento del mes anterior al mes de ejecución.</w:t>
      </w:r>
    </w:p>
    <w:p w14:paraId="346C77CA" w14:textId="77777777" w:rsidR="00343C12" w:rsidRPr="000E63CD" w:rsidRDefault="00343C12" w:rsidP="00343C12">
      <w:pPr>
        <w:rPr>
          <w:sz w:val="22"/>
          <w:szCs w:val="22"/>
          <w:lang w:val="es-ES"/>
        </w:rPr>
      </w:pPr>
    </w:p>
    <w:p w14:paraId="55DE66A8" w14:textId="2EC96147" w:rsidR="00515510" w:rsidRPr="000E63CD" w:rsidRDefault="00FB4401" w:rsidP="00343C12">
      <w:pPr>
        <w:rPr>
          <w:sz w:val="22"/>
          <w:szCs w:val="22"/>
          <w:lang w:val="es-ES"/>
        </w:rPr>
      </w:pPr>
      <w:r w:rsidRPr="000E63CD">
        <w:rPr>
          <w:sz w:val="22"/>
          <w:szCs w:val="22"/>
          <w:lang w:val="es-ES"/>
        </w:rPr>
        <w:t xml:space="preserve">En cuanto a las cantidades </w:t>
      </w:r>
      <w:r w:rsidR="00BF3FEE" w:rsidRPr="000E63CD">
        <w:rPr>
          <w:sz w:val="22"/>
          <w:szCs w:val="22"/>
          <w:lang w:val="es-ES"/>
        </w:rPr>
        <w:t>a contratar</w:t>
      </w:r>
      <w:r w:rsidRPr="000E63CD">
        <w:rPr>
          <w:sz w:val="22"/>
          <w:szCs w:val="22"/>
          <w:lang w:val="es-ES"/>
        </w:rPr>
        <w:t xml:space="preserve"> s</w:t>
      </w:r>
      <w:r w:rsidR="00730636" w:rsidRPr="000E63CD">
        <w:rPr>
          <w:sz w:val="22"/>
          <w:szCs w:val="22"/>
          <w:lang w:val="es-ES"/>
        </w:rPr>
        <w:t xml:space="preserve">e propone </w:t>
      </w:r>
      <w:r w:rsidR="00CD3FB0" w:rsidRPr="000E63CD">
        <w:rPr>
          <w:sz w:val="22"/>
          <w:szCs w:val="22"/>
          <w:lang w:val="es-ES"/>
        </w:rPr>
        <w:t xml:space="preserve">que </w:t>
      </w:r>
      <w:r w:rsidR="00571879" w:rsidRPr="000E63CD">
        <w:rPr>
          <w:sz w:val="22"/>
          <w:szCs w:val="22"/>
          <w:lang w:val="es-ES"/>
        </w:rPr>
        <w:t xml:space="preserve">éstas </w:t>
      </w:r>
      <w:r w:rsidR="00CD3FB0" w:rsidRPr="000E63CD">
        <w:rPr>
          <w:sz w:val="22"/>
          <w:szCs w:val="22"/>
          <w:lang w:val="es-ES"/>
        </w:rPr>
        <w:t xml:space="preserve">podrán </w:t>
      </w:r>
      <w:r w:rsidR="00960F08" w:rsidRPr="000E63CD">
        <w:rPr>
          <w:sz w:val="22"/>
          <w:szCs w:val="22"/>
          <w:lang w:val="es-ES"/>
        </w:rPr>
        <w:t xml:space="preserve">ser superiores a la declaradas al Ministerio de Minas y Energía en el </w:t>
      </w:r>
      <w:r w:rsidR="00CD3FB0" w:rsidRPr="000E63CD">
        <w:rPr>
          <w:sz w:val="22"/>
          <w:szCs w:val="22"/>
          <w:lang w:val="es-ES"/>
        </w:rPr>
        <w:t>P</w:t>
      </w:r>
      <w:r w:rsidR="00730636" w:rsidRPr="000E63CD">
        <w:rPr>
          <w:sz w:val="22"/>
          <w:szCs w:val="22"/>
          <w:lang w:val="es-ES"/>
        </w:rPr>
        <w:t>otencia</w:t>
      </w:r>
      <w:r w:rsidR="00960F08" w:rsidRPr="000E63CD">
        <w:rPr>
          <w:sz w:val="22"/>
          <w:szCs w:val="22"/>
          <w:lang w:val="es-ES"/>
        </w:rPr>
        <w:t>l</w:t>
      </w:r>
      <w:r w:rsidR="00730636" w:rsidRPr="000E63CD">
        <w:rPr>
          <w:sz w:val="22"/>
          <w:szCs w:val="22"/>
          <w:lang w:val="es-ES"/>
        </w:rPr>
        <w:t xml:space="preserve"> del Producción</w:t>
      </w:r>
      <w:r w:rsidR="00571879" w:rsidRPr="000E63CD">
        <w:rPr>
          <w:sz w:val="22"/>
          <w:szCs w:val="22"/>
          <w:lang w:val="es-ES"/>
        </w:rPr>
        <w:t>,</w:t>
      </w:r>
      <w:r w:rsidR="00730636" w:rsidRPr="000E63CD">
        <w:rPr>
          <w:sz w:val="22"/>
          <w:szCs w:val="22"/>
          <w:lang w:val="es-ES"/>
        </w:rPr>
        <w:t xml:space="preserve"> </w:t>
      </w:r>
      <w:r w:rsidR="006D0350" w:rsidRPr="000E63CD">
        <w:rPr>
          <w:sz w:val="22"/>
          <w:szCs w:val="22"/>
          <w:lang w:val="es-ES"/>
        </w:rPr>
        <w:t xml:space="preserve">sin que dichas cantidades sumadas entre todos los contratos con interrupciones </w:t>
      </w:r>
      <w:r w:rsidR="00B02374" w:rsidRPr="000E63CD">
        <w:rPr>
          <w:sz w:val="22"/>
          <w:szCs w:val="22"/>
          <w:lang w:val="es-ES"/>
        </w:rPr>
        <w:t>puedan superar</w:t>
      </w:r>
      <w:r w:rsidR="004149D5" w:rsidRPr="000E63CD">
        <w:rPr>
          <w:sz w:val="22"/>
          <w:szCs w:val="22"/>
          <w:lang w:val="es-ES"/>
        </w:rPr>
        <w:t xml:space="preserve"> en el momento de registro del contrato ante el </w:t>
      </w:r>
      <w:r w:rsidR="005114C6">
        <w:rPr>
          <w:sz w:val="22"/>
          <w:szCs w:val="22"/>
          <w:lang w:val="es-ES"/>
        </w:rPr>
        <w:t>Gestor del Mercado</w:t>
      </w:r>
      <w:r w:rsidR="004C4F1E">
        <w:rPr>
          <w:sz w:val="22"/>
          <w:szCs w:val="22"/>
          <w:lang w:val="es-ES"/>
        </w:rPr>
        <w:t xml:space="preserve"> de Gas</w:t>
      </w:r>
      <w:r w:rsidR="00F301B4" w:rsidRPr="000E63CD">
        <w:rPr>
          <w:sz w:val="22"/>
          <w:szCs w:val="22"/>
          <w:lang w:val="es-ES"/>
        </w:rPr>
        <w:t>,</w:t>
      </w:r>
      <w:r w:rsidR="006D0350" w:rsidRPr="000E63CD">
        <w:rPr>
          <w:sz w:val="22"/>
          <w:szCs w:val="22"/>
          <w:lang w:val="es-ES"/>
        </w:rPr>
        <w:t xml:space="preserve"> </w:t>
      </w:r>
      <w:r w:rsidR="00F301B4" w:rsidRPr="000E63CD">
        <w:rPr>
          <w:sz w:val="22"/>
          <w:szCs w:val="22"/>
          <w:lang w:val="es-ES"/>
        </w:rPr>
        <w:t>para</w:t>
      </w:r>
      <w:r w:rsidR="006D0350" w:rsidRPr="000E63CD">
        <w:rPr>
          <w:sz w:val="22"/>
          <w:szCs w:val="22"/>
          <w:lang w:val="es-ES"/>
        </w:rPr>
        <w:t xml:space="preserve"> cada fuente de suministro </w:t>
      </w:r>
      <w:r w:rsidR="00F301B4" w:rsidRPr="000E63CD">
        <w:rPr>
          <w:sz w:val="22"/>
          <w:szCs w:val="22"/>
          <w:lang w:val="es-ES"/>
        </w:rPr>
        <w:t>en</w:t>
      </w:r>
      <w:r w:rsidR="006D0350" w:rsidRPr="000E63CD">
        <w:rPr>
          <w:sz w:val="22"/>
          <w:szCs w:val="22"/>
          <w:lang w:val="es-ES"/>
        </w:rPr>
        <w:t xml:space="preserve"> un mismo período de </w:t>
      </w:r>
      <w:r w:rsidR="00210047" w:rsidRPr="000E63CD">
        <w:rPr>
          <w:sz w:val="22"/>
          <w:szCs w:val="22"/>
          <w:lang w:val="es-ES"/>
        </w:rPr>
        <w:t>ejecución contractual</w:t>
      </w:r>
      <w:r w:rsidR="00F301B4" w:rsidRPr="000E63CD">
        <w:rPr>
          <w:sz w:val="22"/>
          <w:szCs w:val="22"/>
          <w:lang w:val="es-ES"/>
        </w:rPr>
        <w:t>,</w:t>
      </w:r>
      <w:r w:rsidR="00210047" w:rsidRPr="000E63CD">
        <w:rPr>
          <w:sz w:val="22"/>
          <w:szCs w:val="22"/>
          <w:lang w:val="es-ES"/>
        </w:rPr>
        <w:t xml:space="preserve"> </w:t>
      </w:r>
      <w:r w:rsidR="00971D6D" w:rsidRPr="000E63CD">
        <w:rPr>
          <w:sz w:val="22"/>
          <w:szCs w:val="22"/>
          <w:lang w:val="es-ES"/>
        </w:rPr>
        <w:t>el m</w:t>
      </w:r>
      <w:r w:rsidR="00C83785">
        <w:rPr>
          <w:sz w:val="22"/>
          <w:szCs w:val="22"/>
          <w:lang w:val="es-ES"/>
        </w:rPr>
        <w:t>ayor</w:t>
      </w:r>
      <w:r w:rsidR="00971D6D" w:rsidRPr="000E63CD">
        <w:rPr>
          <w:sz w:val="22"/>
          <w:szCs w:val="22"/>
          <w:lang w:val="es-ES"/>
        </w:rPr>
        <w:t xml:space="preserve"> valor de la comparación </w:t>
      </w:r>
      <w:r w:rsidR="00C83785">
        <w:rPr>
          <w:sz w:val="22"/>
          <w:szCs w:val="22"/>
          <w:lang w:val="es-ES"/>
        </w:rPr>
        <w:t xml:space="preserve">entre </w:t>
      </w:r>
      <w:r w:rsidR="00210047" w:rsidRPr="000E63CD">
        <w:rPr>
          <w:sz w:val="22"/>
          <w:szCs w:val="22"/>
          <w:lang w:val="es-ES"/>
        </w:rPr>
        <w:t xml:space="preserve">el </w:t>
      </w:r>
      <w:r w:rsidR="000E0568" w:rsidRPr="000E63CD">
        <w:rPr>
          <w:sz w:val="22"/>
          <w:szCs w:val="22"/>
          <w:lang w:val="es-ES"/>
        </w:rPr>
        <w:t xml:space="preserve">ciento </w:t>
      </w:r>
      <w:r w:rsidR="00210047" w:rsidRPr="000E63CD">
        <w:rPr>
          <w:sz w:val="22"/>
          <w:szCs w:val="22"/>
          <w:lang w:val="es-ES"/>
        </w:rPr>
        <w:t>cincuenta por ci</w:t>
      </w:r>
      <w:r w:rsidR="0013063A" w:rsidRPr="000E63CD">
        <w:rPr>
          <w:sz w:val="22"/>
          <w:szCs w:val="22"/>
          <w:lang w:val="es-ES"/>
        </w:rPr>
        <w:t>e</w:t>
      </w:r>
      <w:r w:rsidR="00210047" w:rsidRPr="000E63CD">
        <w:rPr>
          <w:sz w:val="22"/>
          <w:szCs w:val="22"/>
          <w:lang w:val="es-ES"/>
        </w:rPr>
        <w:t>nto (</w:t>
      </w:r>
      <w:r w:rsidR="000E0568" w:rsidRPr="000E63CD">
        <w:rPr>
          <w:sz w:val="22"/>
          <w:szCs w:val="22"/>
          <w:lang w:val="es-ES"/>
        </w:rPr>
        <w:t>1</w:t>
      </w:r>
      <w:r w:rsidR="00CD3FB0" w:rsidRPr="000E63CD">
        <w:rPr>
          <w:sz w:val="22"/>
          <w:szCs w:val="22"/>
          <w:lang w:val="es-ES"/>
        </w:rPr>
        <w:t>50%</w:t>
      </w:r>
      <w:r w:rsidR="00210047" w:rsidRPr="000E63CD">
        <w:rPr>
          <w:sz w:val="22"/>
          <w:szCs w:val="22"/>
          <w:lang w:val="es-ES"/>
        </w:rPr>
        <w:t>)</w:t>
      </w:r>
      <w:r w:rsidR="00CD3FB0" w:rsidRPr="000E63CD">
        <w:rPr>
          <w:sz w:val="22"/>
          <w:szCs w:val="22"/>
          <w:lang w:val="es-ES"/>
        </w:rPr>
        <w:t xml:space="preserve"> de </w:t>
      </w:r>
      <w:r w:rsidR="00C83785">
        <w:rPr>
          <w:sz w:val="22"/>
          <w:szCs w:val="22"/>
          <w:lang w:val="es-ES"/>
        </w:rPr>
        <w:t xml:space="preserve">la </w:t>
      </w:r>
      <w:r w:rsidR="00CD3FB0" w:rsidRPr="000E63CD">
        <w:rPr>
          <w:sz w:val="22"/>
          <w:szCs w:val="22"/>
          <w:lang w:val="es-ES"/>
        </w:rPr>
        <w:t>PTDV declarada al Ministerio para dicha fuente</w:t>
      </w:r>
      <w:r w:rsidR="00F301B4" w:rsidRPr="000E63CD">
        <w:rPr>
          <w:sz w:val="22"/>
          <w:szCs w:val="22"/>
          <w:lang w:val="es-ES"/>
        </w:rPr>
        <w:t xml:space="preserve"> que se encuentre vigente al momento de </w:t>
      </w:r>
      <w:r w:rsidR="00A440A3" w:rsidRPr="000E63CD">
        <w:rPr>
          <w:sz w:val="22"/>
          <w:szCs w:val="22"/>
          <w:lang w:val="es-ES"/>
        </w:rPr>
        <w:t>realizar los cálculos</w:t>
      </w:r>
      <w:r w:rsidR="00CD3FB0" w:rsidRPr="000E63CD">
        <w:rPr>
          <w:sz w:val="22"/>
          <w:szCs w:val="22"/>
          <w:lang w:val="es-ES"/>
        </w:rPr>
        <w:t xml:space="preserve">, </w:t>
      </w:r>
      <w:r w:rsidR="00C83785">
        <w:rPr>
          <w:sz w:val="22"/>
          <w:szCs w:val="22"/>
          <w:lang w:val="es-ES"/>
        </w:rPr>
        <w:t>y</w:t>
      </w:r>
      <w:r w:rsidR="00CD3FB0" w:rsidRPr="000E63CD">
        <w:rPr>
          <w:sz w:val="22"/>
          <w:szCs w:val="22"/>
          <w:lang w:val="es-ES"/>
        </w:rPr>
        <w:t xml:space="preserve"> </w:t>
      </w:r>
      <w:r w:rsidR="00971D6D" w:rsidRPr="000E63CD">
        <w:rPr>
          <w:sz w:val="22"/>
          <w:szCs w:val="22"/>
          <w:lang w:val="es-ES"/>
        </w:rPr>
        <w:t>el</w:t>
      </w:r>
      <w:r w:rsidR="00CD3FB0" w:rsidRPr="000E63CD">
        <w:rPr>
          <w:sz w:val="22"/>
          <w:szCs w:val="22"/>
          <w:lang w:val="es-ES"/>
        </w:rPr>
        <w:t xml:space="preserve"> </w:t>
      </w:r>
      <w:r w:rsidR="00A440A3" w:rsidRPr="000E63CD">
        <w:rPr>
          <w:sz w:val="22"/>
          <w:szCs w:val="22"/>
          <w:lang w:val="es-ES"/>
        </w:rPr>
        <w:t>veinte por ciento (</w:t>
      </w:r>
      <w:r w:rsidR="00CD3FB0" w:rsidRPr="000E63CD">
        <w:rPr>
          <w:sz w:val="22"/>
          <w:szCs w:val="22"/>
          <w:lang w:val="es-ES"/>
        </w:rPr>
        <w:t>20%</w:t>
      </w:r>
      <w:r w:rsidR="00A440A3" w:rsidRPr="000E63CD">
        <w:rPr>
          <w:sz w:val="22"/>
          <w:szCs w:val="22"/>
          <w:lang w:val="es-ES"/>
        </w:rPr>
        <w:t>)</w:t>
      </w:r>
      <w:r w:rsidR="00CD3FB0" w:rsidRPr="000E63CD">
        <w:rPr>
          <w:sz w:val="22"/>
          <w:szCs w:val="22"/>
          <w:lang w:val="es-ES"/>
        </w:rPr>
        <w:t xml:space="preserve"> </w:t>
      </w:r>
      <w:r w:rsidR="00971D6D" w:rsidRPr="000E63CD">
        <w:rPr>
          <w:sz w:val="22"/>
          <w:szCs w:val="22"/>
          <w:lang w:val="es-ES"/>
        </w:rPr>
        <w:t>d</w:t>
      </w:r>
      <w:r w:rsidR="00CD3FB0" w:rsidRPr="000E63CD">
        <w:rPr>
          <w:sz w:val="22"/>
          <w:szCs w:val="22"/>
          <w:lang w:val="es-ES"/>
        </w:rPr>
        <w:t xml:space="preserve">el valor de las cantidades contratadas </w:t>
      </w:r>
      <w:r w:rsidR="001B56B5">
        <w:rPr>
          <w:sz w:val="22"/>
          <w:szCs w:val="22"/>
        </w:rPr>
        <w:t>de tipo firme o con garantía de firmeza</w:t>
      </w:r>
      <w:r w:rsidR="001B56B5" w:rsidRPr="00771A16">
        <w:rPr>
          <w:sz w:val="22"/>
          <w:szCs w:val="22"/>
        </w:rPr>
        <w:t xml:space="preserve"> </w:t>
      </w:r>
      <w:r w:rsidR="00971D6D" w:rsidRPr="000E63CD">
        <w:rPr>
          <w:sz w:val="22"/>
          <w:szCs w:val="22"/>
          <w:lang w:val="es-ES"/>
        </w:rPr>
        <w:t xml:space="preserve">vigentes </w:t>
      </w:r>
      <w:r w:rsidR="00A76CC6" w:rsidRPr="000E63CD">
        <w:rPr>
          <w:sz w:val="22"/>
          <w:szCs w:val="22"/>
          <w:lang w:val="es-ES"/>
        </w:rPr>
        <w:t>al momento de realizar los cálculos</w:t>
      </w:r>
      <w:r w:rsidR="00CD3FB0" w:rsidRPr="000E63CD">
        <w:rPr>
          <w:sz w:val="22"/>
          <w:szCs w:val="22"/>
          <w:lang w:val="es-ES"/>
        </w:rPr>
        <w:t xml:space="preserve">. </w:t>
      </w:r>
      <w:r w:rsidR="00BF3FEE" w:rsidRPr="000E63CD">
        <w:rPr>
          <w:sz w:val="22"/>
          <w:szCs w:val="22"/>
          <w:lang w:val="es-ES"/>
        </w:rPr>
        <w:t xml:space="preserve">Los </w:t>
      </w:r>
      <w:r w:rsidR="00363622" w:rsidRPr="000E63CD">
        <w:rPr>
          <w:sz w:val="22"/>
          <w:szCs w:val="22"/>
          <w:lang w:val="es-ES"/>
        </w:rPr>
        <w:t xml:space="preserve">topes máximos anteriores tienen por objeto evitar </w:t>
      </w:r>
      <w:r w:rsidR="00036FC8" w:rsidRPr="000E63CD">
        <w:rPr>
          <w:sz w:val="22"/>
          <w:szCs w:val="22"/>
          <w:lang w:val="es-ES"/>
        </w:rPr>
        <w:t xml:space="preserve">excesivas cantidades de contratación con interrupciones, </w:t>
      </w:r>
      <w:r w:rsidR="00944C93" w:rsidRPr="000E63CD">
        <w:rPr>
          <w:sz w:val="22"/>
          <w:szCs w:val="22"/>
          <w:lang w:val="es-ES"/>
        </w:rPr>
        <w:t xml:space="preserve">pero facilitando que no quede atrapado gas por un comprador que no ejecuta el contrato con interrupciones de gas que se encuentra disponible </w:t>
      </w:r>
      <w:r w:rsidR="00432A81" w:rsidRPr="000E63CD">
        <w:rPr>
          <w:sz w:val="22"/>
          <w:szCs w:val="22"/>
          <w:lang w:val="es-ES"/>
        </w:rPr>
        <w:t>para despacho</w:t>
      </w:r>
      <w:r w:rsidR="00944C93" w:rsidRPr="000E63CD">
        <w:rPr>
          <w:sz w:val="22"/>
          <w:szCs w:val="22"/>
          <w:lang w:val="es-ES"/>
        </w:rPr>
        <w:t>, cuando eventualmente podrá haber otros agentes que desean contratar mediante esta modalidad y no encuentran oferta</w:t>
      </w:r>
      <w:r w:rsidR="00432A81" w:rsidRPr="000E63CD">
        <w:rPr>
          <w:sz w:val="22"/>
          <w:szCs w:val="22"/>
          <w:lang w:val="es-ES"/>
        </w:rPr>
        <w:t xml:space="preserve"> para ello.</w:t>
      </w:r>
      <w:r w:rsidR="00944C93" w:rsidRPr="000E63CD">
        <w:rPr>
          <w:sz w:val="22"/>
          <w:szCs w:val="22"/>
          <w:lang w:val="es-ES"/>
        </w:rPr>
        <w:t xml:space="preserve">  </w:t>
      </w:r>
      <w:r w:rsidR="00363622" w:rsidRPr="000E63CD">
        <w:rPr>
          <w:sz w:val="22"/>
          <w:szCs w:val="22"/>
          <w:lang w:val="es-ES"/>
        </w:rPr>
        <w:t xml:space="preserve"> </w:t>
      </w:r>
    </w:p>
    <w:p w14:paraId="2AAA7D2D" w14:textId="77777777" w:rsidR="0074785C" w:rsidRPr="000E63CD" w:rsidRDefault="0074785C" w:rsidP="00343C12">
      <w:pPr>
        <w:rPr>
          <w:sz w:val="22"/>
          <w:szCs w:val="22"/>
          <w:lang w:val="es-ES"/>
        </w:rPr>
      </w:pPr>
    </w:p>
    <w:p w14:paraId="4B80B54D" w14:textId="77777777" w:rsidR="0086334C" w:rsidRDefault="001F2D65" w:rsidP="00343C12">
      <w:pPr>
        <w:rPr>
          <w:sz w:val="22"/>
          <w:szCs w:val="22"/>
          <w:lang w:val="es-ES"/>
        </w:rPr>
      </w:pPr>
      <w:r>
        <w:rPr>
          <w:sz w:val="22"/>
          <w:szCs w:val="22"/>
          <w:lang w:val="es-ES"/>
        </w:rPr>
        <w:t xml:space="preserve">Para la propuesta se tiene en cuenta </w:t>
      </w:r>
      <w:r w:rsidR="0086334C">
        <w:rPr>
          <w:sz w:val="22"/>
          <w:szCs w:val="22"/>
          <w:lang w:val="es-ES"/>
        </w:rPr>
        <w:t xml:space="preserve">dos aspectos: </w:t>
      </w:r>
    </w:p>
    <w:p w14:paraId="68246B5B" w14:textId="77777777" w:rsidR="0086334C" w:rsidRDefault="0086334C" w:rsidP="00343C12">
      <w:pPr>
        <w:rPr>
          <w:sz w:val="22"/>
          <w:szCs w:val="22"/>
          <w:lang w:val="es-ES"/>
        </w:rPr>
      </w:pPr>
    </w:p>
    <w:p w14:paraId="3415A0E1" w14:textId="23B815AE" w:rsidR="0086334C" w:rsidRDefault="0086334C" w:rsidP="00343C12">
      <w:pPr>
        <w:rPr>
          <w:sz w:val="22"/>
          <w:szCs w:val="22"/>
          <w:lang w:val="es-ES"/>
        </w:rPr>
      </w:pPr>
      <w:r>
        <w:rPr>
          <w:sz w:val="22"/>
          <w:szCs w:val="22"/>
          <w:lang w:val="es-ES"/>
        </w:rPr>
        <w:t>i.) E</w:t>
      </w:r>
      <w:r w:rsidR="001F2D65">
        <w:rPr>
          <w:sz w:val="22"/>
          <w:szCs w:val="22"/>
          <w:lang w:val="es-ES"/>
        </w:rPr>
        <w:t xml:space="preserve">n la definición de </w:t>
      </w:r>
      <w:r>
        <w:rPr>
          <w:sz w:val="22"/>
          <w:szCs w:val="22"/>
          <w:lang w:val="es-ES"/>
        </w:rPr>
        <w:t>la Producción Comprometida de un Productor – PC incluida en el Decreto 1073 de 2015, se establece que:</w:t>
      </w:r>
    </w:p>
    <w:p w14:paraId="1E8F04E2" w14:textId="77777777" w:rsidR="0086334C" w:rsidRDefault="0086334C" w:rsidP="00343C12">
      <w:pPr>
        <w:rPr>
          <w:sz w:val="22"/>
          <w:szCs w:val="22"/>
          <w:lang w:val="es-ES"/>
        </w:rPr>
      </w:pPr>
    </w:p>
    <w:p w14:paraId="036AC656" w14:textId="76D6086E" w:rsidR="001F2D65" w:rsidRDefault="0086334C" w:rsidP="0086334C">
      <w:pPr>
        <w:ind w:left="708"/>
        <w:rPr>
          <w:sz w:val="22"/>
          <w:szCs w:val="22"/>
          <w:lang w:val="es-ES"/>
        </w:rPr>
      </w:pPr>
      <w:r>
        <w:rPr>
          <w:sz w:val="22"/>
          <w:szCs w:val="22"/>
          <w:lang w:val="es-ES"/>
        </w:rPr>
        <w:t>“</w:t>
      </w:r>
      <w:r w:rsidRPr="0086334C">
        <w:rPr>
          <w:i/>
          <w:iCs/>
          <w:sz w:val="22"/>
          <w:szCs w:val="22"/>
          <w:lang w:val="es-ES"/>
        </w:rPr>
        <w:t xml:space="preserve">Producción Comprometida de un Productor- PC: Cantidades diarias promedio mes de gas natural, medidas en GBTUD, que un productor tiene comprometidas para la venta </w:t>
      </w:r>
      <w:r w:rsidRPr="0086334C">
        <w:rPr>
          <w:b/>
          <w:bCs/>
          <w:i/>
          <w:iCs/>
          <w:sz w:val="22"/>
          <w:szCs w:val="22"/>
          <w:u w:val="single"/>
          <w:lang w:val="es-ES"/>
        </w:rPr>
        <w:t>mediante contratos de suministro firmes o que garanticen firmeza,</w:t>
      </w:r>
      <w:r w:rsidRPr="0086334C">
        <w:rPr>
          <w:i/>
          <w:iCs/>
          <w:sz w:val="22"/>
          <w:szCs w:val="22"/>
          <w:lang w:val="es-ES"/>
        </w:rPr>
        <w:t xml:space="preserve"> para cada campo o en un punto de entrada al SNT. Incluye, además, el consumo de gas por productores establecido en el artículo 2.2.2.2.21 de este Decreto</w:t>
      </w:r>
      <w:r>
        <w:rPr>
          <w:sz w:val="22"/>
          <w:szCs w:val="22"/>
          <w:lang w:val="es-ES"/>
        </w:rPr>
        <w:t>.” (subrayado con resaltado fuera de texto).</w:t>
      </w:r>
    </w:p>
    <w:p w14:paraId="0C0E5974" w14:textId="77777777" w:rsidR="0086334C" w:rsidRDefault="0086334C" w:rsidP="0086334C">
      <w:pPr>
        <w:rPr>
          <w:sz w:val="22"/>
          <w:szCs w:val="22"/>
          <w:lang w:val="es-ES"/>
        </w:rPr>
      </w:pPr>
    </w:p>
    <w:p w14:paraId="6D4936ED" w14:textId="581AB7CA" w:rsidR="0086334C" w:rsidRDefault="0086334C" w:rsidP="0086334C">
      <w:pPr>
        <w:pStyle w:val="Prrafodelista"/>
        <w:numPr>
          <w:ilvl w:val="0"/>
          <w:numId w:val="12"/>
        </w:numPr>
        <w:rPr>
          <w:sz w:val="22"/>
          <w:szCs w:val="22"/>
          <w:lang w:val="es-ES"/>
        </w:rPr>
      </w:pPr>
      <w:r>
        <w:rPr>
          <w:sz w:val="22"/>
          <w:szCs w:val="22"/>
          <w:lang w:val="es-ES"/>
        </w:rPr>
        <w:t>En la definición Potencial de Producción de gas natural de un campo determinado, del mismo Decreto, se establece que:</w:t>
      </w:r>
    </w:p>
    <w:p w14:paraId="4AFF4F36" w14:textId="77777777" w:rsidR="0086334C" w:rsidRDefault="0086334C" w:rsidP="0086334C">
      <w:pPr>
        <w:ind w:firstLine="708"/>
        <w:rPr>
          <w:sz w:val="22"/>
          <w:szCs w:val="22"/>
          <w:lang w:val="es-ES"/>
        </w:rPr>
      </w:pPr>
    </w:p>
    <w:p w14:paraId="29D52773" w14:textId="1409A89C" w:rsidR="0086334C" w:rsidRDefault="0086334C" w:rsidP="0086334C">
      <w:pPr>
        <w:ind w:left="708"/>
        <w:rPr>
          <w:i/>
          <w:iCs/>
          <w:sz w:val="22"/>
          <w:szCs w:val="22"/>
          <w:lang w:val="es-ES"/>
        </w:rPr>
      </w:pPr>
      <w:r>
        <w:rPr>
          <w:sz w:val="22"/>
          <w:szCs w:val="22"/>
          <w:lang w:val="es-ES"/>
        </w:rPr>
        <w:t>“</w:t>
      </w:r>
      <w:r w:rsidRPr="0086334C">
        <w:rPr>
          <w:i/>
          <w:iCs/>
          <w:sz w:val="22"/>
          <w:szCs w:val="22"/>
          <w:lang w:val="es-ES"/>
        </w:rPr>
        <w:t xml:space="preserve">Potencial de Producción de gas natural de un campo determinado - PP: </w:t>
      </w:r>
      <w:r>
        <w:rPr>
          <w:i/>
          <w:iCs/>
          <w:sz w:val="22"/>
          <w:szCs w:val="22"/>
          <w:lang w:val="es-ES"/>
        </w:rPr>
        <w:t xml:space="preserve">(…) </w:t>
      </w:r>
      <w:r w:rsidRPr="0086334C">
        <w:rPr>
          <w:i/>
          <w:iCs/>
          <w:sz w:val="22"/>
          <w:szCs w:val="22"/>
          <w:lang w:val="es-ES"/>
        </w:rPr>
        <w:t>El PP de un campo</w:t>
      </w:r>
      <w:r>
        <w:rPr>
          <w:i/>
          <w:iCs/>
          <w:sz w:val="22"/>
          <w:szCs w:val="22"/>
          <w:lang w:val="es-ES"/>
        </w:rPr>
        <w:t xml:space="preserve"> </w:t>
      </w:r>
      <w:r w:rsidRPr="0086334C">
        <w:rPr>
          <w:i/>
          <w:iCs/>
          <w:sz w:val="22"/>
          <w:szCs w:val="22"/>
          <w:lang w:val="es-ES"/>
        </w:rPr>
        <w:t>corresponde a la suma de la PC, la PTDV y el Gas Natural de Propiedad del Estado</w:t>
      </w:r>
      <w:r>
        <w:rPr>
          <w:i/>
          <w:iCs/>
          <w:sz w:val="22"/>
          <w:szCs w:val="22"/>
          <w:lang w:val="es-ES"/>
        </w:rPr>
        <w:t>.”</w:t>
      </w:r>
    </w:p>
    <w:p w14:paraId="7D10EDA4" w14:textId="49416557" w:rsidR="0086334C" w:rsidRDefault="0086334C" w:rsidP="0086334C">
      <w:pPr>
        <w:rPr>
          <w:i/>
          <w:iCs/>
          <w:sz w:val="22"/>
          <w:szCs w:val="22"/>
          <w:lang w:val="es-ES"/>
        </w:rPr>
      </w:pPr>
    </w:p>
    <w:p w14:paraId="6CD98635" w14:textId="41598C64" w:rsidR="0086334C" w:rsidRPr="0086334C" w:rsidRDefault="0086334C" w:rsidP="0086334C">
      <w:pPr>
        <w:rPr>
          <w:sz w:val="22"/>
          <w:szCs w:val="22"/>
          <w:lang w:val="es-ES"/>
        </w:rPr>
      </w:pPr>
      <w:r w:rsidRPr="0086334C">
        <w:rPr>
          <w:sz w:val="22"/>
          <w:szCs w:val="22"/>
          <w:lang w:val="es-ES"/>
        </w:rPr>
        <w:t>Es decir que para la distribución del potencial de producción no se tiene</w:t>
      </w:r>
      <w:r>
        <w:rPr>
          <w:sz w:val="22"/>
          <w:szCs w:val="22"/>
          <w:lang w:val="es-ES"/>
        </w:rPr>
        <w:t>n</w:t>
      </w:r>
      <w:r w:rsidRPr="0086334C">
        <w:rPr>
          <w:sz w:val="22"/>
          <w:szCs w:val="22"/>
          <w:lang w:val="es-ES"/>
        </w:rPr>
        <w:t xml:space="preserve"> en cuenta las cantidades comprometidas en contratos del tipo interrumpible</w:t>
      </w:r>
      <w:r w:rsidR="0084605E">
        <w:rPr>
          <w:sz w:val="22"/>
          <w:szCs w:val="22"/>
          <w:lang w:val="es-ES"/>
        </w:rPr>
        <w:t xml:space="preserve"> y, por tanto, la PTDV no se reduce con base en las cantidades contratadas mediante la modalidad de contratos con interrupciones.</w:t>
      </w:r>
    </w:p>
    <w:p w14:paraId="6CE4368B" w14:textId="77777777" w:rsidR="0086334C" w:rsidRDefault="0086334C" w:rsidP="00343C12">
      <w:pPr>
        <w:rPr>
          <w:sz w:val="22"/>
          <w:szCs w:val="22"/>
          <w:lang w:val="es-ES"/>
        </w:rPr>
      </w:pPr>
    </w:p>
    <w:p w14:paraId="11FCAA45" w14:textId="0F6727B3" w:rsidR="00C25D21" w:rsidRPr="000E63CD" w:rsidRDefault="0074785C" w:rsidP="00343C12">
      <w:pPr>
        <w:rPr>
          <w:sz w:val="22"/>
          <w:szCs w:val="22"/>
          <w:lang w:val="es-ES"/>
        </w:rPr>
      </w:pPr>
      <w:r w:rsidRPr="000E63CD">
        <w:rPr>
          <w:sz w:val="22"/>
          <w:szCs w:val="22"/>
          <w:lang w:val="es-ES"/>
        </w:rPr>
        <w:t>A modo de ejemplo</w:t>
      </w:r>
      <w:r w:rsidR="00C25D21" w:rsidRPr="000E63CD">
        <w:rPr>
          <w:sz w:val="22"/>
          <w:szCs w:val="22"/>
          <w:lang w:val="es-ES"/>
        </w:rPr>
        <w:t>s</w:t>
      </w:r>
      <w:r w:rsidR="007502D2" w:rsidRPr="000E63CD">
        <w:rPr>
          <w:sz w:val="22"/>
          <w:szCs w:val="22"/>
          <w:lang w:val="es-ES"/>
        </w:rPr>
        <w:t xml:space="preserve"> de aplicación de la regla anterior</w:t>
      </w:r>
      <w:r w:rsidRPr="000E63CD">
        <w:rPr>
          <w:sz w:val="22"/>
          <w:szCs w:val="22"/>
          <w:lang w:val="es-ES"/>
        </w:rPr>
        <w:t xml:space="preserve">, </w:t>
      </w:r>
      <w:r w:rsidR="00C25D21" w:rsidRPr="000E63CD">
        <w:rPr>
          <w:sz w:val="22"/>
          <w:szCs w:val="22"/>
          <w:lang w:val="es-ES"/>
        </w:rPr>
        <w:t>se plantean los siguientes</w:t>
      </w:r>
      <w:r w:rsidR="007502D2" w:rsidRPr="000E63CD">
        <w:rPr>
          <w:sz w:val="22"/>
          <w:szCs w:val="22"/>
          <w:lang w:val="es-ES"/>
        </w:rPr>
        <w:t>, para lo cual se debe tener en cuenta la definición de PC establecida en el Artículo 2.2.2.1.4 del Decreto 1073 de 2015</w:t>
      </w:r>
      <w:r w:rsidR="007502D2" w:rsidRPr="000E63CD">
        <w:rPr>
          <w:rStyle w:val="Refdenotaalpie"/>
          <w:sz w:val="22"/>
          <w:szCs w:val="22"/>
          <w:lang w:val="es-ES"/>
        </w:rPr>
        <w:footnoteReference w:id="14"/>
      </w:r>
      <w:r w:rsidR="00C25D21" w:rsidRPr="000E63CD">
        <w:rPr>
          <w:sz w:val="22"/>
          <w:szCs w:val="22"/>
          <w:lang w:val="es-ES"/>
        </w:rPr>
        <w:t>:</w:t>
      </w:r>
    </w:p>
    <w:p w14:paraId="5C55C860" w14:textId="77777777" w:rsidR="00C25D21" w:rsidRPr="000E63CD" w:rsidRDefault="00C25D21" w:rsidP="00343C12">
      <w:pPr>
        <w:rPr>
          <w:sz w:val="22"/>
          <w:szCs w:val="22"/>
          <w:lang w:val="es-ES"/>
        </w:rPr>
      </w:pPr>
    </w:p>
    <w:p w14:paraId="771EABB0" w14:textId="55EF37C2" w:rsidR="0074785C" w:rsidRPr="000E63CD" w:rsidRDefault="00C25D21">
      <w:pPr>
        <w:pStyle w:val="Prrafodelista"/>
        <w:numPr>
          <w:ilvl w:val="0"/>
          <w:numId w:val="13"/>
        </w:numPr>
        <w:rPr>
          <w:sz w:val="22"/>
          <w:szCs w:val="22"/>
          <w:lang w:val="es-ES"/>
        </w:rPr>
      </w:pPr>
      <w:r w:rsidRPr="000E63CD">
        <w:rPr>
          <w:sz w:val="22"/>
          <w:szCs w:val="22"/>
          <w:lang w:val="es-ES"/>
        </w:rPr>
        <w:t>U</w:t>
      </w:r>
      <w:r w:rsidR="00AD0AA3" w:rsidRPr="000E63CD">
        <w:rPr>
          <w:sz w:val="22"/>
          <w:szCs w:val="22"/>
          <w:lang w:val="es-ES"/>
        </w:rPr>
        <w:t xml:space="preserve">na fuente de </w:t>
      </w:r>
      <w:r w:rsidR="00AE724F">
        <w:rPr>
          <w:sz w:val="22"/>
          <w:szCs w:val="22"/>
          <w:lang w:val="es-ES"/>
        </w:rPr>
        <w:t>suministro</w:t>
      </w:r>
      <w:r w:rsidR="00AE724F" w:rsidRPr="000E63CD">
        <w:rPr>
          <w:sz w:val="22"/>
          <w:szCs w:val="22"/>
          <w:lang w:val="es-ES"/>
        </w:rPr>
        <w:t xml:space="preserve"> </w:t>
      </w:r>
      <w:r w:rsidR="00AD0AA3" w:rsidRPr="000E63CD">
        <w:rPr>
          <w:sz w:val="22"/>
          <w:szCs w:val="22"/>
          <w:lang w:val="es-ES"/>
        </w:rPr>
        <w:t xml:space="preserve">tiene en la última declaración </w:t>
      </w:r>
      <w:r w:rsidR="00854E38" w:rsidRPr="000E63CD">
        <w:rPr>
          <w:sz w:val="22"/>
          <w:szCs w:val="22"/>
          <w:lang w:val="es-ES"/>
        </w:rPr>
        <w:t>presentada</w:t>
      </w:r>
      <w:r w:rsidR="00AD0AA3" w:rsidRPr="000E63CD">
        <w:rPr>
          <w:sz w:val="22"/>
          <w:szCs w:val="22"/>
          <w:lang w:val="es-ES"/>
        </w:rPr>
        <w:t xml:space="preserve"> al MME</w:t>
      </w:r>
      <w:r w:rsidR="00854E38" w:rsidRPr="000E63CD">
        <w:rPr>
          <w:sz w:val="22"/>
          <w:szCs w:val="22"/>
          <w:lang w:val="es-ES"/>
        </w:rPr>
        <w:t xml:space="preserve"> </w:t>
      </w:r>
      <w:r w:rsidR="00AC6A8E" w:rsidRPr="000E63CD">
        <w:rPr>
          <w:sz w:val="22"/>
          <w:szCs w:val="22"/>
          <w:lang w:val="es-ES"/>
        </w:rPr>
        <w:t>a</w:t>
      </w:r>
      <w:r w:rsidR="00854E38" w:rsidRPr="000E63CD">
        <w:rPr>
          <w:sz w:val="22"/>
          <w:szCs w:val="22"/>
          <w:lang w:val="es-ES"/>
        </w:rPr>
        <w:t>l momento del cálculo</w:t>
      </w:r>
      <w:r w:rsidR="00845553" w:rsidRPr="000E63CD">
        <w:rPr>
          <w:sz w:val="22"/>
          <w:szCs w:val="22"/>
          <w:lang w:val="es-ES"/>
        </w:rPr>
        <w:t xml:space="preserve"> para el registro ante el </w:t>
      </w:r>
      <w:r w:rsidR="005114C6">
        <w:rPr>
          <w:sz w:val="22"/>
          <w:szCs w:val="22"/>
          <w:lang w:val="es-ES"/>
        </w:rPr>
        <w:t>Gestor del Mercado</w:t>
      </w:r>
      <w:r w:rsidR="004C4F1E">
        <w:rPr>
          <w:sz w:val="22"/>
          <w:szCs w:val="22"/>
          <w:lang w:val="es-ES"/>
        </w:rPr>
        <w:t xml:space="preserve"> de Gas</w:t>
      </w:r>
      <w:r w:rsidR="00845553" w:rsidRPr="000E63CD">
        <w:rPr>
          <w:sz w:val="22"/>
          <w:szCs w:val="22"/>
          <w:lang w:val="es-ES"/>
        </w:rPr>
        <w:t xml:space="preserve"> del contrato con interrupciones para el registro ante el </w:t>
      </w:r>
      <w:r w:rsidR="005114C6">
        <w:rPr>
          <w:sz w:val="22"/>
          <w:szCs w:val="22"/>
          <w:lang w:val="es-ES"/>
        </w:rPr>
        <w:t>Gestor del Mercado</w:t>
      </w:r>
      <w:r w:rsidR="004C4F1E">
        <w:rPr>
          <w:sz w:val="22"/>
          <w:szCs w:val="22"/>
          <w:lang w:val="es-ES"/>
        </w:rPr>
        <w:t xml:space="preserve"> de Gas</w:t>
      </w:r>
      <w:r w:rsidR="00845553" w:rsidRPr="000E63CD">
        <w:rPr>
          <w:sz w:val="22"/>
          <w:szCs w:val="22"/>
          <w:lang w:val="es-ES"/>
        </w:rPr>
        <w:t xml:space="preserve"> del contrato con interrupciones</w:t>
      </w:r>
      <w:r w:rsidR="0030320F" w:rsidRPr="000E63CD">
        <w:rPr>
          <w:sz w:val="22"/>
          <w:szCs w:val="22"/>
          <w:lang w:val="es-ES"/>
        </w:rPr>
        <w:t>,</w:t>
      </w:r>
      <w:r w:rsidR="00AD0AA3" w:rsidRPr="000E63CD">
        <w:rPr>
          <w:sz w:val="22"/>
          <w:szCs w:val="22"/>
          <w:lang w:val="es-ES"/>
        </w:rPr>
        <w:t xml:space="preserve"> </w:t>
      </w:r>
      <w:r w:rsidR="000B7E4B" w:rsidRPr="000E63CD">
        <w:rPr>
          <w:sz w:val="22"/>
          <w:szCs w:val="22"/>
          <w:lang w:val="es-ES"/>
        </w:rPr>
        <w:t>para el mes de noviembre de 2022</w:t>
      </w:r>
      <w:r w:rsidR="00AC6A8E" w:rsidRPr="000E63CD">
        <w:rPr>
          <w:sz w:val="22"/>
          <w:szCs w:val="22"/>
          <w:lang w:val="es-ES"/>
        </w:rPr>
        <w:t>,</w:t>
      </w:r>
      <w:r w:rsidR="009F7310" w:rsidRPr="000E63CD">
        <w:rPr>
          <w:sz w:val="22"/>
          <w:szCs w:val="22"/>
          <w:lang w:val="es-ES"/>
        </w:rPr>
        <w:t xml:space="preserve"> lo siguiente</w:t>
      </w:r>
      <w:r w:rsidR="005E0E2A" w:rsidRPr="000E63CD">
        <w:rPr>
          <w:sz w:val="22"/>
          <w:szCs w:val="22"/>
          <w:lang w:val="es-ES"/>
        </w:rPr>
        <w:t xml:space="preserve"> </w:t>
      </w:r>
      <w:r w:rsidR="00AC6A8E" w:rsidRPr="000E63CD">
        <w:rPr>
          <w:sz w:val="22"/>
          <w:szCs w:val="22"/>
          <w:lang w:val="es-ES"/>
        </w:rPr>
        <w:t>(</w:t>
      </w:r>
      <w:r w:rsidR="005E0E2A" w:rsidRPr="000E63CD">
        <w:rPr>
          <w:sz w:val="22"/>
          <w:szCs w:val="22"/>
          <w:lang w:val="es-ES"/>
        </w:rPr>
        <w:t>en el que</w:t>
      </w:r>
      <w:r w:rsidR="00854E38" w:rsidRPr="000E63CD">
        <w:rPr>
          <w:sz w:val="22"/>
          <w:szCs w:val="22"/>
          <w:lang w:val="es-ES"/>
        </w:rPr>
        <w:t xml:space="preserve"> en las cantidades aparecen los valores agregados de</w:t>
      </w:r>
      <w:r w:rsidR="005E0E2A" w:rsidRPr="000E63CD">
        <w:rPr>
          <w:sz w:val="22"/>
          <w:szCs w:val="22"/>
          <w:lang w:val="es-ES"/>
        </w:rPr>
        <w:t>l Productor y del ESTADO)</w:t>
      </w:r>
      <w:r w:rsidR="00512B09" w:rsidRPr="000E63CD">
        <w:rPr>
          <w:sz w:val="22"/>
          <w:szCs w:val="22"/>
          <w:lang w:val="es-ES"/>
        </w:rPr>
        <w:t>:</w:t>
      </w:r>
    </w:p>
    <w:p w14:paraId="562CDEA0" w14:textId="77777777" w:rsidR="009F7310" w:rsidRPr="000E63CD" w:rsidRDefault="009F7310" w:rsidP="00343C12">
      <w:pPr>
        <w:rPr>
          <w:sz w:val="22"/>
          <w:szCs w:val="22"/>
          <w:lang w:val="es-ES"/>
        </w:rPr>
      </w:pPr>
    </w:p>
    <w:p w14:paraId="5B91788E" w14:textId="30C19734" w:rsidR="009F7310" w:rsidRPr="000E63CD" w:rsidRDefault="00F3749B" w:rsidP="00C25D21">
      <w:pPr>
        <w:ind w:left="360"/>
        <w:rPr>
          <w:sz w:val="22"/>
          <w:szCs w:val="22"/>
          <w:lang w:val="es-ES"/>
        </w:rPr>
      </w:pPr>
      <w:r w:rsidRPr="000E63CD">
        <w:rPr>
          <w:sz w:val="22"/>
          <w:szCs w:val="22"/>
          <w:lang w:val="es-ES"/>
        </w:rPr>
        <w:t xml:space="preserve">PTDV: </w:t>
      </w:r>
      <w:r w:rsidR="0094189E" w:rsidRPr="000E63CD">
        <w:rPr>
          <w:sz w:val="22"/>
          <w:szCs w:val="22"/>
          <w:lang w:val="es-ES"/>
        </w:rPr>
        <w:t>0</w:t>
      </w:r>
      <w:r w:rsidR="00C660E1" w:rsidRPr="000E63CD">
        <w:rPr>
          <w:sz w:val="22"/>
          <w:szCs w:val="22"/>
          <w:lang w:val="es-ES"/>
        </w:rPr>
        <w:t xml:space="preserve"> GBTUD</w:t>
      </w:r>
    </w:p>
    <w:p w14:paraId="06CA7FE8" w14:textId="1316B777" w:rsidR="00C660E1" w:rsidRPr="000E63CD" w:rsidRDefault="00C660E1" w:rsidP="00C25D21">
      <w:pPr>
        <w:ind w:left="360"/>
        <w:rPr>
          <w:sz w:val="22"/>
          <w:szCs w:val="22"/>
          <w:lang w:val="es-ES"/>
        </w:rPr>
      </w:pPr>
      <w:r w:rsidRPr="000E63CD">
        <w:rPr>
          <w:sz w:val="22"/>
          <w:szCs w:val="22"/>
          <w:lang w:val="es-ES"/>
        </w:rPr>
        <w:t xml:space="preserve">PC – Contratos suministro consumo interno: </w:t>
      </w:r>
      <w:r w:rsidR="003743BD" w:rsidRPr="000E63CD">
        <w:rPr>
          <w:sz w:val="22"/>
          <w:szCs w:val="22"/>
          <w:lang w:val="es-ES"/>
        </w:rPr>
        <w:t>3</w:t>
      </w:r>
      <w:r w:rsidRPr="000E63CD">
        <w:rPr>
          <w:sz w:val="22"/>
          <w:szCs w:val="22"/>
          <w:lang w:val="es-ES"/>
        </w:rPr>
        <w:t>4,357 GBTUD</w:t>
      </w:r>
    </w:p>
    <w:p w14:paraId="0B69FF5F" w14:textId="1B7385C9" w:rsidR="00A904AB" w:rsidRPr="000E63CD" w:rsidRDefault="00A904AB" w:rsidP="00C25D21">
      <w:pPr>
        <w:ind w:left="360"/>
        <w:rPr>
          <w:sz w:val="22"/>
          <w:szCs w:val="22"/>
          <w:lang w:val="es-ES"/>
        </w:rPr>
      </w:pPr>
      <w:r w:rsidRPr="000E63CD">
        <w:rPr>
          <w:sz w:val="22"/>
          <w:szCs w:val="22"/>
          <w:lang w:val="es-ES"/>
        </w:rPr>
        <w:tab/>
      </w:r>
      <w:r w:rsidR="000D0569">
        <w:rPr>
          <w:sz w:val="22"/>
          <w:szCs w:val="22"/>
          <w:lang w:val="es-ES"/>
        </w:rPr>
        <w:t xml:space="preserve">   </w:t>
      </w:r>
      <w:r w:rsidRPr="000E63CD">
        <w:rPr>
          <w:sz w:val="22"/>
          <w:szCs w:val="22"/>
          <w:lang w:val="es-ES"/>
        </w:rPr>
        <w:t>Contratos con garantía de firmeza</w:t>
      </w:r>
      <w:r w:rsidR="00BF2F10" w:rsidRPr="000E63CD">
        <w:rPr>
          <w:sz w:val="22"/>
          <w:szCs w:val="22"/>
          <w:lang w:val="es-ES"/>
        </w:rPr>
        <w:t>: 30,000 GBTUD</w:t>
      </w:r>
    </w:p>
    <w:p w14:paraId="2F0C3131" w14:textId="4A9D6686" w:rsidR="00A904AB" w:rsidRPr="000E63CD" w:rsidRDefault="00A904AB" w:rsidP="00C25D21">
      <w:pPr>
        <w:ind w:left="360"/>
        <w:rPr>
          <w:sz w:val="22"/>
          <w:szCs w:val="22"/>
          <w:lang w:val="es-ES"/>
        </w:rPr>
      </w:pPr>
      <w:r w:rsidRPr="000E63CD">
        <w:rPr>
          <w:sz w:val="22"/>
          <w:szCs w:val="22"/>
          <w:lang w:val="es-ES"/>
        </w:rPr>
        <w:tab/>
      </w:r>
      <w:r w:rsidR="000D0569">
        <w:rPr>
          <w:sz w:val="22"/>
          <w:szCs w:val="22"/>
          <w:lang w:val="es-ES"/>
        </w:rPr>
        <w:t xml:space="preserve">    </w:t>
      </w:r>
      <w:r w:rsidRPr="000E63CD">
        <w:rPr>
          <w:sz w:val="22"/>
          <w:szCs w:val="22"/>
          <w:lang w:val="es-ES"/>
        </w:rPr>
        <w:t xml:space="preserve">Consumo propio: </w:t>
      </w:r>
      <w:r w:rsidR="00BF2F10" w:rsidRPr="000E63CD">
        <w:rPr>
          <w:sz w:val="22"/>
          <w:szCs w:val="22"/>
          <w:lang w:val="es-ES"/>
        </w:rPr>
        <w:t>4,357 GBTUD</w:t>
      </w:r>
    </w:p>
    <w:p w14:paraId="5AA884D0" w14:textId="094D221D" w:rsidR="00C660E1" w:rsidRPr="000E63CD" w:rsidRDefault="00C660E1" w:rsidP="00C25D21">
      <w:pPr>
        <w:ind w:left="360"/>
        <w:rPr>
          <w:sz w:val="22"/>
          <w:szCs w:val="22"/>
          <w:lang w:val="es-ES"/>
        </w:rPr>
      </w:pPr>
      <w:r w:rsidRPr="000E63CD">
        <w:rPr>
          <w:sz w:val="22"/>
          <w:szCs w:val="22"/>
          <w:lang w:val="es-ES"/>
        </w:rPr>
        <w:t>PC – Exportaciones:</w:t>
      </w:r>
      <w:r w:rsidR="005E0E2A" w:rsidRPr="000E63CD">
        <w:rPr>
          <w:sz w:val="22"/>
          <w:szCs w:val="22"/>
          <w:lang w:val="es-ES"/>
        </w:rPr>
        <w:t xml:space="preserve"> 0 GBTUD</w:t>
      </w:r>
    </w:p>
    <w:p w14:paraId="28C157A1" w14:textId="5C4EE446" w:rsidR="00C660E1" w:rsidRPr="000E63CD" w:rsidRDefault="00C660E1" w:rsidP="00C25D21">
      <w:pPr>
        <w:ind w:left="360"/>
        <w:rPr>
          <w:sz w:val="22"/>
          <w:szCs w:val="22"/>
          <w:lang w:val="es-ES"/>
        </w:rPr>
      </w:pPr>
      <w:r w:rsidRPr="000E63CD">
        <w:rPr>
          <w:sz w:val="22"/>
          <w:szCs w:val="22"/>
          <w:lang w:val="es-ES"/>
        </w:rPr>
        <w:t>PC – Refinería de Barrancabermeja:</w:t>
      </w:r>
      <w:r w:rsidR="006B1FB3" w:rsidRPr="000E63CD">
        <w:rPr>
          <w:sz w:val="22"/>
          <w:szCs w:val="22"/>
          <w:lang w:val="es-ES"/>
        </w:rPr>
        <w:t xml:space="preserve"> </w:t>
      </w:r>
      <w:r w:rsidR="00876877" w:rsidRPr="000E63CD">
        <w:rPr>
          <w:sz w:val="22"/>
          <w:szCs w:val="22"/>
          <w:lang w:val="es-ES"/>
        </w:rPr>
        <w:t>0</w:t>
      </w:r>
      <w:r w:rsidR="006B1FB3" w:rsidRPr="000E63CD">
        <w:rPr>
          <w:sz w:val="22"/>
          <w:szCs w:val="22"/>
          <w:lang w:val="es-ES"/>
        </w:rPr>
        <w:t xml:space="preserve"> GBTUD</w:t>
      </w:r>
    </w:p>
    <w:p w14:paraId="61275DBB" w14:textId="6CADAC76" w:rsidR="00C660E1" w:rsidRPr="000E63CD" w:rsidRDefault="00C660E1" w:rsidP="00C25D21">
      <w:pPr>
        <w:ind w:left="360"/>
        <w:rPr>
          <w:sz w:val="22"/>
          <w:szCs w:val="22"/>
          <w:lang w:val="es-ES"/>
        </w:rPr>
      </w:pPr>
      <w:r w:rsidRPr="000E63CD">
        <w:rPr>
          <w:sz w:val="22"/>
          <w:szCs w:val="22"/>
          <w:lang w:val="es-ES"/>
        </w:rPr>
        <w:t xml:space="preserve">PC – Refinería de Cartagena: </w:t>
      </w:r>
      <w:r w:rsidR="006B1FB3" w:rsidRPr="000E63CD">
        <w:rPr>
          <w:sz w:val="22"/>
          <w:szCs w:val="22"/>
          <w:lang w:val="es-ES"/>
        </w:rPr>
        <w:t>12,300 GBTUD</w:t>
      </w:r>
    </w:p>
    <w:p w14:paraId="19EACCEB" w14:textId="04106D6E" w:rsidR="00474A9E" w:rsidRPr="000E63CD" w:rsidRDefault="00474A9E" w:rsidP="00C25D21">
      <w:pPr>
        <w:ind w:left="360"/>
        <w:rPr>
          <w:sz w:val="22"/>
          <w:szCs w:val="22"/>
          <w:lang w:val="es-ES"/>
        </w:rPr>
      </w:pPr>
      <w:r w:rsidRPr="000E63CD">
        <w:rPr>
          <w:sz w:val="22"/>
          <w:szCs w:val="22"/>
          <w:lang w:val="es-ES"/>
        </w:rPr>
        <w:t xml:space="preserve">PP (DECLARADO POR EL OPERADOR DEL CAMPO): </w:t>
      </w:r>
      <w:r w:rsidR="00AE62FE" w:rsidRPr="000E63CD">
        <w:rPr>
          <w:sz w:val="22"/>
          <w:szCs w:val="22"/>
          <w:lang w:val="es-ES"/>
        </w:rPr>
        <w:t>46,6</w:t>
      </w:r>
      <w:r w:rsidR="00FB7CEE" w:rsidRPr="000E63CD">
        <w:rPr>
          <w:sz w:val="22"/>
          <w:szCs w:val="22"/>
          <w:lang w:val="es-ES"/>
        </w:rPr>
        <w:t>57</w:t>
      </w:r>
      <w:r w:rsidR="009428F1" w:rsidRPr="000E63CD">
        <w:rPr>
          <w:sz w:val="22"/>
          <w:szCs w:val="22"/>
          <w:lang w:val="es-ES"/>
        </w:rPr>
        <w:t xml:space="preserve"> GTBUD</w:t>
      </w:r>
    </w:p>
    <w:p w14:paraId="03D1B77D" w14:textId="3DAF2BDB" w:rsidR="00474A9E" w:rsidRPr="000E63CD" w:rsidRDefault="00474A9E" w:rsidP="00C25D21">
      <w:pPr>
        <w:ind w:left="360"/>
        <w:rPr>
          <w:sz w:val="22"/>
          <w:szCs w:val="22"/>
          <w:lang w:val="es-ES"/>
        </w:rPr>
      </w:pPr>
      <w:r w:rsidRPr="000E63CD">
        <w:rPr>
          <w:sz w:val="22"/>
          <w:szCs w:val="22"/>
          <w:lang w:val="es-ES"/>
        </w:rPr>
        <w:t>GAS OPERACIÓN (DECLARADO POR EL OPERADOR DEL CAMPO):</w:t>
      </w:r>
      <w:r w:rsidR="009428F1" w:rsidRPr="000E63CD">
        <w:rPr>
          <w:sz w:val="22"/>
          <w:szCs w:val="22"/>
          <w:lang w:val="es-ES"/>
        </w:rPr>
        <w:t xml:space="preserve"> </w:t>
      </w:r>
      <w:r w:rsidR="003743BD" w:rsidRPr="000E63CD">
        <w:rPr>
          <w:sz w:val="22"/>
          <w:szCs w:val="22"/>
          <w:lang w:val="es-ES"/>
        </w:rPr>
        <w:t>8,757</w:t>
      </w:r>
      <w:r w:rsidR="009428F1" w:rsidRPr="000E63CD">
        <w:rPr>
          <w:sz w:val="22"/>
          <w:szCs w:val="22"/>
          <w:lang w:val="es-ES"/>
        </w:rPr>
        <w:t xml:space="preserve"> GBTUD</w:t>
      </w:r>
    </w:p>
    <w:p w14:paraId="55F9D165" w14:textId="1B070CAA" w:rsidR="00474A9E" w:rsidRPr="000E63CD" w:rsidRDefault="009428F1" w:rsidP="00C25D21">
      <w:pPr>
        <w:ind w:left="360"/>
        <w:rPr>
          <w:sz w:val="22"/>
          <w:szCs w:val="22"/>
          <w:lang w:val="es-ES"/>
        </w:rPr>
      </w:pPr>
      <w:r w:rsidRPr="000E63CD">
        <w:rPr>
          <w:sz w:val="22"/>
          <w:szCs w:val="22"/>
          <w:lang w:val="es-ES"/>
        </w:rPr>
        <w:t>CIDV: 0 GBTUD</w:t>
      </w:r>
    </w:p>
    <w:p w14:paraId="501CEF1A" w14:textId="77777777" w:rsidR="009428F1" w:rsidRPr="000E63CD" w:rsidRDefault="009428F1" w:rsidP="00C25D21">
      <w:pPr>
        <w:ind w:left="360"/>
        <w:rPr>
          <w:sz w:val="22"/>
          <w:szCs w:val="22"/>
          <w:lang w:val="es-ES"/>
        </w:rPr>
      </w:pPr>
    </w:p>
    <w:p w14:paraId="58E288EA" w14:textId="30F4AB9B" w:rsidR="00641EBF" w:rsidRPr="000E63CD" w:rsidRDefault="00B02374" w:rsidP="00C25D21">
      <w:pPr>
        <w:ind w:left="360"/>
        <w:rPr>
          <w:sz w:val="22"/>
          <w:szCs w:val="22"/>
          <w:lang w:val="es-ES"/>
        </w:rPr>
      </w:pPr>
      <w:r w:rsidRPr="000E63CD">
        <w:rPr>
          <w:sz w:val="22"/>
          <w:szCs w:val="22"/>
          <w:lang w:val="es-ES"/>
        </w:rPr>
        <w:t>E</w:t>
      </w:r>
      <w:r w:rsidR="00641EBF" w:rsidRPr="000E63CD">
        <w:rPr>
          <w:sz w:val="22"/>
          <w:szCs w:val="22"/>
          <w:lang w:val="es-ES"/>
        </w:rPr>
        <w:t xml:space="preserve">ntonces el cálculo </w:t>
      </w:r>
      <w:r w:rsidR="00AE724F">
        <w:rPr>
          <w:sz w:val="22"/>
          <w:szCs w:val="22"/>
          <w:lang w:val="es-ES"/>
        </w:rPr>
        <w:t>que se realiza es el siguiente</w:t>
      </w:r>
      <w:r w:rsidR="00641EBF" w:rsidRPr="000E63CD">
        <w:rPr>
          <w:sz w:val="22"/>
          <w:szCs w:val="22"/>
          <w:lang w:val="es-ES"/>
        </w:rPr>
        <w:t>:</w:t>
      </w:r>
    </w:p>
    <w:p w14:paraId="5F40E4DB" w14:textId="74C59808" w:rsidR="00641EBF" w:rsidRPr="000E63CD" w:rsidRDefault="00641EBF" w:rsidP="008D7080">
      <w:pPr>
        <w:rPr>
          <w:sz w:val="22"/>
          <w:szCs w:val="22"/>
          <w:lang w:val="es-ES"/>
        </w:rPr>
      </w:pPr>
    </w:p>
    <w:p w14:paraId="27A28BF2" w14:textId="3A2C6C50" w:rsidR="008D7080" w:rsidRPr="000E63CD" w:rsidRDefault="000E0568" w:rsidP="00A3229F">
      <w:pPr>
        <w:pStyle w:val="Prrafodelista"/>
        <w:numPr>
          <w:ilvl w:val="0"/>
          <w:numId w:val="6"/>
        </w:numPr>
        <w:rPr>
          <w:sz w:val="22"/>
          <w:szCs w:val="22"/>
          <w:lang w:val="es-ES"/>
        </w:rPr>
      </w:pPr>
      <w:r w:rsidRPr="000E63CD">
        <w:rPr>
          <w:sz w:val="22"/>
          <w:szCs w:val="22"/>
          <w:lang w:val="es-ES"/>
        </w:rPr>
        <w:t>1</w:t>
      </w:r>
      <w:r w:rsidR="008D7080" w:rsidRPr="000E63CD">
        <w:rPr>
          <w:sz w:val="22"/>
          <w:szCs w:val="22"/>
          <w:lang w:val="es-ES"/>
        </w:rPr>
        <w:t xml:space="preserve">50% X 0 GBTUD = </w:t>
      </w:r>
      <w:r w:rsidR="00AE62FE" w:rsidRPr="000E63CD">
        <w:rPr>
          <w:sz w:val="22"/>
          <w:szCs w:val="22"/>
          <w:lang w:val="es-ES"/>
        </w:rPr>
        <w:t>0</w:t>
      </w:r>
      <w:r w:rsidR="008D7080" w:rsidRPr="000E63CD">
        <w:rPr>
          <w:sz w:val="22"/>
          <w:szCs w:val="22"/>
          <w:lang w:val="es-ES"/>
        </w:rPr>
        <w:t xml:space="preserve"> GBTUD</w:t>
      </w:r>
    </w:p>
    <w:p w14:paraId="0B15ADCE" w14:textId="07C5FDCE" w:rsidR="008D7080" w:rsidRPr="000E63CD" w:rsidRDefault="003A16E2" w:rsidP="00352218">
      <w:pPr>
        <w:pStyle w:val="Prrafodelista"/>
        <w:numPr>
          <w:ilvl w:val="0"/>
          <w:numId w:val="6"/>
        </w:numPr>
        <w:rPr>
          <w:sz w:val="22"/>
          <w:szCs w:val="22"/>
          <w:lang w:val="es-ES"/>
        </w:rPr>
      </w:pPr>
      <w:r w:rsidRPr="000E63CD">
        <w:rPr>
          <w:sz w:val="22"/>
          <w:szCs w:val="22"/>
          <w:lang w:val="es-ES"/>
        </w:rPr>
        <w:t xml:space="preserve">20% X </w:t>
      </w:r>
      <w:r w:rsidR="008174C2" w:rsidRPr="000E63CD">
        <w:rPr>
          <w:sz w:val="22"/>
          <w:szCs w:val="22"/>
          <w:lang w:val="es-ES"/>
        </w:rPr>
        <w:t>3</w:t>
      </w:r>
      <w:r w:rsidR="00331805" w:rsidRPr="000E63CD">
        <w:rPr>
          <w:sz w:val="22"/>
          <w:szCs w:val="22"/>
          <w:lang w:val="es-ES"/>
        </w:rPr>
        <w:t>0,000</w:t>
      </w:r>
      <w:r w:rsidR="008174C2" w:rsidRPr="000E63CD">
        <w:rPr>
          <w:sz w:val="22"/>
          <w:szCs w:val="22"/>
          <w:lang w:val="es-ES"/>
        </w:rPr>
        <w:t xml:space="preserve"> GBTUD = </w:t>
      </w:r>
      <w:r w:rsidR="00D52691">
        <w:rPr>
          <w:sz w:val="22"/>
          <w:szCs w:val="22"/>
          <w:lang w:val="es-ES"/>
        </w:rPr>
        <w:t>6</w:t>
      </w:r>
      <w:r w:rsidR="00331805" w:rsidRPr="000E63CD">
        <w:rPr>
          <w:sz w:val="22"/>
          <w:szCs w:val="22"/>
          <w:lang w:val="es-ES"/>
        </w:rPr>
        <w:t>,000</w:t>
      </w:r>
      <w:r w:rsidR="00A575F8" w:rsidRPr="000E63CD">
        <w:rPr>
          <w:sz w:val="22"/>
          <w:szCs w:val="22"/>
          <w:lang w:val="es-ES"/>
        </w:rPr>
        <w:t xml:space="preserve"> GBTUD</w:t>
      </w:r>
    </w:p>
    <w:p w14:paraId="3E0A6678" w14:textId="77777777" w:rsidR="00331805" w:rsidRPr="000E63CD" w:rsidRDefault="00331805" w:rsidP="00331805">
      <w:pPr>
        <w:rPr>
          <w:sz w:val="22"/>
          <w:szCs w:val="22"/>
          <w:lang w:val="es-ES"/>
        </w:rPr>
      </w:pPr>
    </w:p>
    <w:p w14:paraId="4BD515F8" w14:textId="7AD57DBB" w:rsidR="00512B09" w:rsidRPr="000E63CD" w:rsidRDefault="00331805" w:rsidP="00C25D21">
      <w:pPr>
        <w:ind w:left="426"/>
        <w:rPr>
          <w:sz w:val="22"/>
          <w:szCs w:val="22"/>
          <w:highlight w:val="yellow"/>
          <w:lang w:val="es-ES"/>
        </w:rPr>
      </w:pPr>
      <w:r w:rsidRPr="000E63CD">
        <w:rPr>
          <w:sz w:val="22"/>
          <w:szCs w:val="22"/>
          <w:lang w:val="es-ES"/>
        </w:rPr>
        <w:t xml:space="preserve">En este caso, el vendedor podrá </w:t>
      </w:r>
      <w:r w:rsidR="00D90028" w:rsidRPr="000E63CD">
        <w:rPr>
          <w:sz w:val="22"/>
          <w:szCs w:val="22"/>
          <w:lang w:val="es-ES"/>
        </w:rPr>
        <w:t>tener contratado como máximo</w:t>
      </w:r>
      <w:r w:rsidR="00833E5A" w:rsidRPr="000E63CD">
        <w:rPr>
          <w:sz w:val="22"/>
          <w:szCs w:val="22"/>
          <w:lang w:val="es-ES"/>
        </w:rPr>
        <w:t>,</w:t>
      </w:r>
      <w:r w:rsidR="00D90028" w:rsidRPr="000E63CD">
        <w:rPr>
          <w:sz w:val="22"/>
          <w:szCs w:val="22"/>
          <w:lang w:val="es-ES"/>
        </w:rPr>
        <w:t xml:space="preserve"> en contratos con interrupciones para ser ejecutados en el mes de noviembre de 2022</w:t>
      </w:r>
      <w:r w:rsidR="00833E5A" w:rsidRPr="000E63CD">
        <w:rPr>
          <w:sz w:val="22"/>
          <w:szCs w:val="22"/>
          <w:lang w:val="es-ES"/>
        </w:rPr>
        <w:t>,</w:t>
      </w:r>
      <w:r w:rsidR="00D90028" w:rsidRPr="000E63CD">
        <w:rPr>
          <w:sz w:val="22"/>
          <w:szCs w:val="22"/>
          <w:lang w:val="es-ES"/>
        </w:rPr>
        <w:t xml:space="preserve"> hasta </w:t>
      </w:r>
      <w:r w:rsidR="00D52691">
        <w:rPr>
          <w:sz w:val="22"/>
          <w:szCs w:val="22"/>
          <w:lang w:val="es-ES"/>
        </w:rPr>
        <w:t>6</w:t>
      </w:r>
      <w:r w:rsidR="00833E5A" w:rsidRPr="000E63CD">
        <w:rPr>
          <w:sz w:val="22"/>
          <w:szCs w:val="22"/>
          <w:lang w:val="es-ES"/>
        </w:rPr>
        <w:t>,000</w:t>
      </w:r>
      <w:r w:rsidR="00D90028" w:rsidRPr="000E63CD">
        <w:rPr>
          <w:sz w:val="22"/>
          <w:szCs w:val="22"/>
          <w:lang w:val="es-ES"/>
        </w:rPr>
        <w:t xml:space="preserve"> GBTUD.</w:t>
      </w:r>
      <w:r w:rsidR="00495877" w:rsidRPr="000E63CD">
        <w:rPr>
          <w:sz w:val="22"/>
          <w:szCs w:val="22"/>
          <w:highlight w:val="yellow"/>
          <w:lang w:val="es-ES"/>
        </w:rPr>
        <w:t xml:space="preserve"> </w:t>
      </w:r>
    </w:p>
    <w:p w14:paraId="5324E850" w14:textId="77777777" w:rsidR="00515510" w:rsidRPr="000E63CD" w:rsidRDefault="00515510" w:rsidP="00343C12">
      <w:pPr>
        <w:rPr>
          <w:sz w:val="22"/>
          <w:szCs w:val="22"/>
          <w:highlight w:val="yellow"/>
          <w:lang w:val="es-ES"/>
        </w:rPr>
      </w:pPr>
    </w:p>
    <w:p w14:paraId="01A5ECEB" w14:textId="5304BADA" w:rsidR="00C25D21" w:rsidRPr="000E63CD" w:rsidRDefault="00C25D21">
      <w:pPr>
        <w:pStyle w:val="Prrafodelista"/>
        <w:numPr>
          <w:ilvl w:val="0"/>
          <w:numId w:val="13"/>
        </w:numPr>
        <w:rPr>
          <w:sz w:val="22"/>
          <w:szCs w:val="22"/>
          <w:lang w:val="es-ES"/>
        </w:rPr>
      </w:pPr>
      <w:r w:rsidRPr="000E63CD">
        <w:rPr>
          <w:sz w:val="22"/>
          <w:szCs w:val="22"/>
          <w:lang w:val="es-ES"/>
        </w:rPr>
        <w:t xml:space="preserve">Una fuente de </w:t>
      </w:r>
      <w:r w:rsidR="00AE724F">
        <w:rPr>
          <w:sz w:val="22"/>
          <w:szCs w:val="22"/>
          <w:lang w:val="es-ES"/>
        </w:rPr>
        <w:t>suministro</w:t>
      </w:r>
      <w:r w:rsidR="00AE724F" w:rsidRPr="000E63CD">
        <w:rPr>
          <w:sz w:val="22"/>
          <w:szCs w:val="22"/>
          <w:lang w:val="es-ES"/>
        </w:rPr>
        <w:t xml:space="preserve"> </w:t>
      </w:r>
      <w:r w:rsidRPr="000E63CD">
        <w:rPr>
          <w:sz w:val="22"/>
          <w:szCs w:val="22"/>
          <w:lang w:val="es-ES"/>
        </w:rPr>
        <w:t>tiene en la última declaración presentada al MME al momento del cálculo</w:t>
      </w:r>
      <w:r w:rsidR="00845553" w:rsidRPr="000E63CD">
        <w:rPr>
          <w:sz w:val="22"/>
          <w:szCs w:val="22"/>
          <w:lang w:val="es-ES"/>
        </w:rPr>
        <w:t xml:space="preserve"> para el registro ante el </w:t>
      </w:r>
      <w:r w:rsidR="005114C6">
        <w:rPr>
          <w:sz w:val="22"/>
          <w:szCs w:val="22"/>
          <w:lang w:val="es-ES"/>
        </w:rPr>
        <w:t>Gestor del Mercado</w:t>
      </w:r>
      <w:r w:rsidR="004C4F1E">
        <w:rPr>
          <w:sz w:val="22"/>
          <w:szCs w:val="22"/>
          <w:lang w:val="es-ES"/>
        </w:rPr>
        <w:t xml:space="preserve"> de Gas</w:t>
      </w:r>
      <w:r w:rsidR="00845553" w:rsidRPr="000E63CD">
        <w:rPr>
          <w:sz w:val="22"/>
          <w:szCs w:val="22"/>
          <w:lang w:val="es-ES"/>
        </w:rPr>
        <w:t xml:space="preserve"> del contrato con interrupciones</w:t>
      </w:r>
      <w:r w:rsidRPr="000E63CD">
        <w:rPr>
          <w:sz w:val="22"/>
          <w:szCs w:val="22"/>
          <w:lang w:val="es-ES"/>
        </w:rPr>
        <w:t>, para el mes de noviembre de 2022, lo siguiente (en el que en las cantidades aparecen los valores agregados del Productor y del ESTADO):</w:t>
      </w:r>
    </w:p>
    <w:p w14:paraId="557EAC04" w14:textId="77777777" w:rsidR="00C25D21" w:rsidRPr="000E63CD" w:rsidRDefault="00C25D21" w:rsidP="00C25D21">
      <w:pPr>
        <w:rPr>
          <w:sz w:val="22"/>
          <w:szCs w:val="22"/>
          <w:lang w:val="es-ES"/>
        </w:rPr>
      </w:pPr>
    </w:p>
    <w:p w14:paraId="7799FB94" w14:textId="7EE737C5" w:rsidR="00C25D21" w:rsidRPr="000E63CD" w:rsidRDefault="00C25D21" w:rsidP="00C25D21">
      <w:pPr>
        <w:ind w:left="360"/>
        <w:rPr>
          <w:sz w:val="22"/>
          <w:szCs w:val="22"/>
          <w:lang w:val="es-ES"/>
        </w:rPr>
      </w:pPr>
      <w:r w:rsidRPr="000E63CD">
        <w:rPr>
          <w:sz w:val="22"/>
          <w:szCs w:val="22"/>
          <w:lang w:val="es-ES"/>
        </w:rPr>
        <w:t xml:space="preserve">PTDV: </w:t>
      </w:r>
      <w:r w:rsidR="00B82C8B" w:rsidRPr="000E63CD">
        <w:rPr>
          <w:sz w:val="22"/>
          <w:szCs w:val="22"/>
          <w:lang w:val="es-ES"/>
        </w:rPr>
        <w:t>3</w:t>
      </w:r>
      <w:r w:rsidR="00833E5A" w:rsidRPr="000E63CD">
        <w:rPr>
          <w:sz w:val="22"/>
          <w:szCs w:val="22"/>
          <w:lang w:val="es-ES"/>
        </w:rPr>
        <w:t>0,000</w:t>
      </w:r>
      <w:r w:rsidR="00B82C8B" w:rsidRPr="000E63CD">
        <w:rPr>
          <w:sz w:val="22"/>
          <w:szCs w:val="22"/>
          <w:lang w:val="es-ES"/>
        </w:rPr>
        <w:t xml:space="preserve"> </w:t>
      </w:r>
      <w:r w:rsidRPr="000E63CD">
        <w:rPr>
          <w:sz w:val="22"/>
          <w:szCs w:val="22"/>
          <w:lang w:val="es-ES"/>
        </w:rPr>
        <w:t>GBTUD</w:t>
      </w:r>
    </w:p>
    <w:p w14:paraId="6955582C" w14:textId="1CE287E8" w:rsidR="00C25D21" w:rsidRPr="000E63CD" w:rsidRDefault="00C25D21" w:rsidP="00C25D21">
      <w:pPr>
        <w:ind w:left="360"/>
        <w:rPr>
          <w:sz w:val="22"/>
          <w:szCs w:val="22"/>
          <w:lang w:val="es-ES"/>
        </w:rPr>
      </w:pPr>
      <w:r w:rsidRPr="000E63CD">
        <w:rPr>
          <w:sz w:val="22"/>
          <w:szCs w:val="22"/>
          <w:lang w:val="es-ES"/>
        </w:rPr>
        <w:t xml:space="preserve">PC – Contratos suministro consumo interno: </w:t>
      </w:r>
      <w:r w:rsidR="003028AD" w:rsidRPr="000E63CD">
        <w:rPr>
          <w:sz w:val="22"/>
          <w:szCs w:val="22"/>
          <w:lang w:val="es-ES"/>
        </w:rPr>
        <w:t>4,357</w:t>
      </w:r>
      <w:r w:rsidRPr="000E63CD">
        <w:rPr>
          <w:sz w:val="22"/>
          <w:szCs w:val="22"/>
          <w:lang w:val="es-ES"/>
        </w:rPr>
        <w:t xml:space="preserve"> GBTUD</w:t>
      </w:r>
    </w:p>
    <w:p w14:paraId="0A24701F" w14:textId="4BDA472D" w:rsidR="00C25D21" w:rsidRPr="000E63CD" w:rsidRDefault="00C25D21" w:rsidP="00C25D21">
      <w:pPr>
        <w:ind w:left="360"/>
        <w:rPr>
          <w:sz w:val="22"/>
          <w:szCs w:val="22"/>
          <w:lang w:val="es-ES"/>
        </w:rPr>
      </w:pPr>
      <w:r w:rsidRPr="000E63CD">
        <w:rPr>
          <w:sz w:val="22"/>
          <w:szCs w:val="22"/>
          <w:lang w:val="es-ES"/>
        </w:rPr>
        <w:tab/>
      </w:r>
      <w:r w:rsidR="000D0569">
        <w:rPr>
          <w:sz w:val="22"/>
          <w:szCs w:val="22"/>
          <w:lang w:val="es-ES"/>
        </w:rPr>
        <w:t xml:space="preserve">   </w:t>
      </w:r>
      <w:r w:rsidRPr="000E63CD">
        <w:rPr>
          <w:sz w:val="22"/>
          <w:szCs w:val="22"/>
          <w:lang w:val="es-ES"/>
        </w:rPr>
        <w:t xml:space="preserve">Contratos con garantía de firmeza: </w:t>
      </w:r>
      <w:r w:rsidR="003028AD" w:rsidRPr="000E63CD">
        <w:rPr>
          <w:sz w:val="22"/>
          <w:szCs w:val="22"/>
          <w:lang w:val="es-ES"/>
        </w:rPr>
        <w:t>0</w:t>
      </w:r>
      <w:r w:rsidRPr="000E63CD">
        <w:rPr>
          <w:sz w:val="22"/>
          <w:szCs w:val="22"/>
          <w:lang w:val="es-ES"/>
        </w:rPr>
        <w:t xml:space="preserve"> GBTUD</w:t>
      </w:r>
    </w:p>
    <w:p w14:paraId="32EE0A76" w14:textId="29B4747B" w:rsidR="00C25D21" w:rsidRPr="000E63CD" w:rsidRDefault="00C25D21" w:rsidP="00C25D21">
      <w:pPr>
        <w:ind w:left="360"/>
        <w:rPr>
          <w:sz w:val="22"/>
          <w:szCs w:val="22"/>
          <w:lang w:val="es-ES"/>
        </w:rPr>
      </w:pPr>
      <w:r w:rsidRPr="000E63CD">
        <w:rPr>
          <w:sz w:val="22"/>
          <w:szCs w:val="22"/>
          <w:lang w:val="es-ES"/>
        </w:rPr>
        <w:tab/>
      </w:r>
      <w:r w:rsidR="000D0569">
        <w:rPr>
          <w:sz w:val="22"/>
          <w:szCs w:val="22"/>
          <w:lang w:val="es-ES"/>
        </w:rPr>
        <w:t xml:space="preserve">   </w:t>
      </w:r>
      <w:r w:rsidRPr="000E63CD">
        <w:rPr>
          <w:sz w:val="22"/>
          <w:szCs w:val="22"/>
          <w:lang w:val="es-ES"/>
        </w:rPr>
        <w:t>Consumo propio: 4,357 GBTUD</w:t>
      </w:r>
    </w:p>
    <w:p w14:paraId="7114295B" w14:textId="77777777" w:rsidR="00C25D21" w:rsidRPr="000E63CD" w:rsidRDefault="00C25D21" w:rsidP="00C25D21">
      <w:pPr>
        <w:ind w:left="360"/>
        <w:rPr>
          <w:sz w:val="22"/>
          <w:szCs w:val="22"/>
          <w:lang w:val="es-ES"/>
        </w:rPr>
      </w:pPr>
      <w:r w:rsidRPr="000E63CD">
        <w:rPr>
          <w:sz w:val="22"/>
          <w:szCs w:val="22"/>
          <w:lang w:val="es-ES"/>
        </w:rPr>
        <w:t>PC – Exportaciones: 0 GBTUD</w:t>
      </w:r>
    </w:p>
    <w:p w14:paraId="2D8375C1" w14:textId="77777777" w:rsidR="00C25D21" w:rsidRPr="000E63CD" w:rsidRDefault="00C25D21" w:rsidP="00C25D21">
      <w:pPr>
        <w:ind w:left="360"/>
        <w:rPr>
          <w:sz w:val="22"/>
          <w:szCs w:val="22"/>
          <w:lang w:val="es-ES"/>
        </w:rPr>
      </w:pPr>
      <w:r w:rsidRPr="000E63CD">
        <w:rPr>
          <w:sz w:val="22"/>
          <w:szCs w:val="22"/>
          <w:lang w:val="es-ES"/>
        </w:rPr>
        <w:t>PC – Refinería de Barrancabermeja: 0 GBTUD</w:t>
      </w:r>
    </w:p>
    <w:p w14:paraId="274943F5" w14:textId="77777777" w:rsidR="00C25D21" w:rsidRPr="000E63CD" w:rsidRDefault="00C25D21" w:rsidP="00C25D21">
      <w:pPr>
        <w:ind w:left="360"/>
        <w:rPr>
          <w:sz w:val="22"/>
          <w:szCs w:val="22"/>
          <w:lang w:val="es-ES"/>
        </w:rPr>
      </w:pPr>
      <w:r w:rsidRPr="000E63CD">
        <w:rPr>
          <w:sz w:val="22"/>
          <w:szCs w:val="22"/>
          <w:lang w:val="es-ES"/>
        </w:rPr>
        <w:t>PC – Refinería de Cartagena: 12,300 GBTUD</w:t>
      </w:r>
    </w:p>
    <w:p w14:paraId="40C0D57C" w14:textId="5DE54B38" w:rsidR="00C25D21" w:rsidRPr="000E63CD" w:rsidRDefault="00C25D21" w:rsidP="00C25D21">
      <w:pPr>
        <w:ind w:left="360"/>
        <w:rPr>
          <w:sz w:val="22"/>
          <w:szCs w:val="22"/>
          <w:lang w:val="es-ES"/>
        </w:rPr>
      </w:pPr>
      <w:r w:rsidRPr="000E63CD">
        <w:rPr>
          <w:sz w:val="22"/>
          <w:szCs w:val="22"/>
          <w:lang w:val="es-ES"/>
        </w:rPr>
        <w:t xml:space="preserve">PP (DECLARADO POR EL OPERADOR DEL CAMPO): </w:t>
      </w:r>
      <w:r w:rsidR="008B62E5" w:rsidRPr="000E63CD">
        <w:rPr>
          <w:sz w:val="22"/>
          <w:szCs w:val="22"/>
          <w:lang w:val="es-ES"/>
        </w:rPr>
        <w:t>46,65</w:t>
      </w:r>
      <w:r w:rsidRPr="000E63CD">
        <w:rPr>
          <w:sz w:val="22"/>
          <w:szCs w:val="22"/>
          <w:lang w:val="es-ES"/>
        </w:rPr>
        <w:t>7 GTBUD</w:t>
      </w:r>
    </w:p>
    <w:p w14:paraId="40CADAD3" w14:textId="77777777" w:rsidR="00C25D21" w:rsidRPr="000E63CD" w:rsidRDefault="00C25D21" w:rsidP="00C25D21">
      <w:pPr>
        <w:ind w:left="360"/>
        <w:rPr>
          <w:sz w:val="22"/>
          <w:szCs w:val="22"/>
          <w:lang w:val="es-ES"/>
        </w:rPr>
      </w:pPr>
      <w:r w:rsidRPr="000E63CD">
        <w:rPr>
          <w:sz w:val="22"/>
          <w:szCs w:val="22"/>
          <w:lang w:val="es-ES"/>
        </w:rPr>
        <w:t>GAS OPERACIÓN (DECLARADO POR EL OPERADOR DEL CAMPO): 8,757 GBTUD</w:t>
      </w:r>
    </w:p>
    <w:p w14:paraId="4139B641" w14:textId="77777777" w:rsidR="00C25D21" w:rsidRPr="000E63CD" w:rsidRDefault="00C25D21" w:rsidP="00C25D21">
      <w:pPr>
        <w:ind w:left="360"/>
        <w:rPr>
          <w:sz w:val="22"/>
          <w:szCs w:val="22"/>
          <w:lang w:val="es-ES"/>
        </w:rPr>
      </w:pPr>
      <w:r w:rsidRPr="000E63CD">
        <w:rPr>
          <w:sz w:val="22"/>
          <w:szCs w:val="22"/>
          <w:lang w:val="es-ES"/>
        </w:rPr>
        <w:t>CIDV: 0 GBTUD</w:t>
      </w:r>
    </w:p>
    <w:p w14:paraId="5E11C124" w14:textId="77777777" w:rsidR="00C25D21" w:rsidRPr="000E63CD" w:rsidRDefault="00C25D21" w:rsidP="00C25D21">
      <w:pPr>
        <w:ind w:left="360"/>
        <w:rPr>
          <w:sz w:val="22"/>
          <w:szCs w:val="22"/>
          <w:lang w:val="es-ES"/>
        </w:rPr>
      </w:pPr>
    </w:p>
    <w:p w14:paraId="6A2B60A3" w14:textId="1826442C" w:rsidR="00C25D21" w:rsidRPr="000E63CD" w:rsidRDefault="00C25D21" w:rsidP="00C25D21">
      <w:pPr>
        <w:ind w:left="360"/>
        <w:rPr>
          <w:sz w:val="22"/>
          <w:szCs w:val="22"/>
          <w:lang w:val="es-ES"/>
        </w:rPr>
      </w:pPr>
      <w:r w:rsidRPr="000E63CD">
        <w:rPr>
          <w:sz w:val="22"/>
          <w:szCs w:val="22"/>
          <w:lang w:val="es-ES"/>
        </w:rPr>
        <w:t xml:space="preserve">Entonces el cálculo </w:t>
      </w:r>
      <w:r w:rsidR="00AE724F">
        <w:rPr>
          <w:sz w:val="22"/>
          <w:szCs w:val="22"/>
          <w:lang w:val="es-ES"/>
        </w:rPr>
        <w:t>que se realiza es el siguiente</w:t>
      </w:r>
      <w:r w:rsidRPr="000E63CD">
        <w:rPr>
          <w:sz w:val="22"/>
          <w:szCs w:val="22"/>
          <w:lang w:val="es-ES"/>
        </w:rPr>
        <w:t>:</w:t>
      </w:r>
    </w:p>
    <w:p w14:paraId="1D272FE6" w14:textId="77777777" w:rsidR="00C25D21" w:rsidRPr="000E63CD" w:rsidRDefault="00C25D21" w:rsidP="00C25D21">
      <w:pPr>
        <w:rPr>
          <w:sz w:val="22"/>
          <w:szCs w:val="22"/>
          <w:lang w:val="es-ES"/>
        </w:rPr>
      </w:pPr>
    </w:p>
    <w:p w14:paraId="03654680" w14:textId="5769B118" w:rsidR="00C25D21" w:rsidRPr="000E63CD" w:rsidRDefault="00C25D21" w:rsidP="00352218">
      <w:pPr>
        <w:pStyle w:val="Prrafodelista"/>
        <w:numPr>
          <w:ilvl w:val="0"/>
          <w:numId w:val="6"/>
        </w:numPr>
        <w:rPr>
          <w:sz w:val="22"/>
          <w:szCs w:val="22"/>
          <w:lang w:val="es-ES"/>
        </w:rPr>
      </w:pPr>
      <w:r w:rsidRPr="000E63CD">
        <w:rPr>
          <w:sz w:val="22"/>
          <w:szCs w:val="22"/>
          <w:lang w:val="es-ES"/>
        </w:rPr>
        <w:t xml:space="preserve">150% X </w:t>
      </w:r>
      <w:r w:rsidR="005A5D4A" w:rsidRPr="000E63CD">
        <w:rPr>
          <w:sz w:val="22"/>
          <w:szCs w:val="22"/>
          <w:lang w:val="es-ES"/>
        </w:rPr>
        <w:t>3</w:t>
      </w:r>
      <w:r w:rsidR="008B62E5" w:rsidRPr="000E63CD">
        <w:rPr>
          <w:sz w:val="22"/>
          <w:szCs w:val="22"/>
          <w:lang w:val="es-ES"/>
        </w:rPr>
        <w:t>0,000</w:t>
      </w:r>
      <w:r w:rsidRPr="000E63CD">
        <w:rPr>
          <w:sz w:val="22"/>
          <w:szCs w:val="22"/>
          <w:lang w:val="es-ES"/>
        </w:rPr>
        <w:t xml:space="preserve"> GBTUD = </w:t>
      </w:r>
      <w:r w:rsidR="008B62E5" w:rsidRPr="000E63CD">
        <w:rPr>
          <w:sz w:val="22"/>
          <w:szCs w:val="22"/>
          <w:lang w:val="es-ES"/>
        </w:rPr>
        <w:t>45,000</w:t>
      </w:r>
      <w:r w:rsidR="00044340" w:rsidRPr="000E63CD">
        <w:rPr>
          <w:sz w:val="22"/>
          <w:szCs w:val="22"/>
          <w:lang w:val="es-ES"/>
        </w:rPr>
        <w:t xml:space="preserve"> </w:t>
      </w:r>
      <w:r w:rsidRPr="000E63CD">
        <w:rPr>
          <w:sz w:val="22"/>
          <w:szCs w:val="22"/>
          <w:lang w:val="es-ES"/>
        </w:rPr>
        <w:t>GBTUD</w:t>
      </w:r>
    </w:p>
    <w:p w14:paraId="5F4E5BF6" w14:textId="5D660501" w:rsidR="00C25D21" w:rsidRPr="000E63CD" w:rsidRDefault="00C25D21" w:rsidP="00352218">
      <w:pPr>
        <w:pStyle w:val="Prrafodelista"/>
        <w:numPr>
          <w:ilvl w:val="0"/>
          <w:numId w:val="6"/>
        </w:numPr>
        <w:rPr>
          <w:sz w:val="22"/>
          <w:szCs w:val="22"/>
          <w:lang w:val="es-ES"/>
        </w:rPr>
      </w:pPr>
      <w:r w:rsidRPr="000E63CD">
        <w:rPr>
          <w:sz w:val="22"/>
          <w:szCs w:val="22"/>
          <w:lang w:val="es-ES"/>
        </w:rPr>
        <w:t xml:space="preserve">20% X 0 GBTUD = </w:t>
      </w:r>
      <w:r w:rsidR="00A6137A" w:rsidRPr="000E63CD">
        <w:rPr>
          <w:sz w:val="22"/>
          <w:szCs w:val="22"/>
          <w:lang w:val="es-ES"/>
        </w:rPr>
        <w:t>0</w:t>
      </w:r>
      <w:r w:rsidRPr="000E63CD">
        <w:rPr>
          <w:sz w:val="22"/>
          <w:szCs w:val="22"/>
          <w:lang w:val="es-ES"/>
        </w:rPr>
        <w:t xml:space="preserve"> GBTUD</w:t>
      </w:r>
    </w:p>
    <w:p w14:paraId="5C2AE6CC" w14:textId="77777777" w:rsidR="00C25D21" w:rsidRPr="000E63CD" w:rsidRDefault="00C25D21" w:rsidP="00C25D21">
      <w:pPr>
        <w:rPr>
          <w:sz w:val="22"/>
          <w:szCs w:val="22"/>
          <w:lang w:val="es-ES"/>
        </w:rPr>
      </w:pPr>
    </w:p>
    <w:p w14:paraId="74E518AB" w14:textId="7DCCE721" w:rsidR="00C25D21" w:rsidRPr="000E63CD" w:rsidRDefault="00C25D21" w:rsidP="00C25D21">
      <w:pPr>
        <w:ind w:left="426"/>
        <w:rPr>
          <w:sz w:val="22"/>
          <w:szCs w:val="22"/>
          <w:highlight w:val="yellow"/>
          <w:lang w:val="es-ES"/>
        </w:rPr>
      </w:pPr>
      <w:r w:rsidRPr="000E63CD">
        <w:rPr>
          <w:sz w:val="22"/>
          <w:szCs w:val="22"/>
          <w:lang w:val="es-ES"/>
        </w:rPr>
        <w:t>En este caso, el vendedor podrá tener contratado como máximo en contratos con interrupciones para ser ejecutados en el mes de noviembre de 2022</w:t>
      </w:r>
      <w:r w:rsidR="00C255DC" w:rsidRPr="000E63CD">
        <w:rPr>
          <w:sz w:val="22"/>
          <w:szCs w:val="22"/>
          <w:lang w:val="es-ES"/>
        </w:rPr>
        <w:t>,</w:t>
      </w:r>
      <w:r w:rsidRPr="000E63CD">
        <w:rPr>
          <w:sz w:val="22"/>
          <w:szCs w:val="22"/>
          <w:lang w:val="es-ES"/>
        </w:rPr>
        <w:t xml:space="preserve"> hasta </w:t>
      </w:r>
      <w:r w:rsidR="00A6137A" w:rsidRPr="000E63CD">
        <w:rPr>
          <w:sz w:val="22"/>
          <w:szCs w:val="22"/>
          <w:lang w:val="es-ES"/>
        </w:rPr>
        <w:t>45,000</w:t>
      </w:r>
      <w:r w:rsidRPr="000E63CD">
        <w:rPr>
          <w:sz w:val="22"/>
          <w:szCs w:val="22"/>
          <w:lang w:val="es-ES"/>
        </w:rPr>
        <w:t xml:space="preserve"> GBTUD.</w:t>
      </w:r>
      <w:r w:rsidRPr="000E63CD">
        <w:rPr>
          <w:sz w:val="22"/>
          <w:szCs w:val="22"/>
          <w:highlight w:val="yellow"/>
          <w:lang w:val="es-ES"/>
        </w:rPr>
        <w:t xml:space="preserve"> </w:t>
      </w:r>
    </w:p>
    <w:p w14:paraId="68C64058" w14:textId="77777777" w:rsidR="00C25D21" w:rsidRPr="000E63CD" w:rsidRDefault="00C25D21" w:rsidP="00343C12">
      <w:pPr>
        <w:rPr>
          <w:sz w:val="22"/>
          <w:szCs w:val="22"/>
          <w:highlight w:val="yellow"/>
          <w:lang w:val="es-ES"/>
        </w:rPr>
      </w:pPr>
    </w:p>
    <w:p w14:paraId="7D7C9728" w14:textId="2802BB44" w:rsidR="00283820" w:rsidRDefault="00283820" w:rsidP="00343C12">
      <w:pPr>
        <w:rPr>
          <w:sz w:val="22"/>
          <w:szCs w:val="22"/>
          <w:lang w:val="es-ES"/>
        </w:rPr>
      </w:pPr>
      <w:r>
        <w:rPr>
          <w:sz w:val="22"/>
          <w:szCs w:val="22"/>
          <w:lang w:val="es-ES"/>
        </w:rPr>
        <w:t>En el caso de los vendedores del mercado secundario se propone una limitación similar a las cantidades que se negocian en el mercado secundario bajo esta modalidad de contratación. L</w:t>
      </w:r>
      <w:r w:rsidRPr="00283820">
        <w:rPr>
          <w:sz w:val="22"/>
          <w:szCs w:val="22"/>
          <w:lang w:val="es-ES"/>
        </w:rPr>
        <w:t>as cantidades que podrán ser contratadas mediante contratos con interrupciones</w:t>
      </w:r>
      <w:r>
        <w:rPr>
          <w:sz w:val="22"/>
          <w:szCs w:val="22"/>
          <w:lang w:val="es-ES"/>
        </w:rPr>
        <w:t xml:space="preserve"> para los vendedores del mercado secundario,</w:t>
      </w:r>
      <w:r w:rsidRPr="00283820">
        <w:rPr>
          <w:sz w:val="22"/>
          <w:szCs w:val="22"/>
          <w:lang w:val="es-ES"/>
        </w:rPr>
        <w:t xml:space="preserve"> podrán ser hasta </w:t>
      </w:r>
      <w:r w:rsidR="001956F6">
        <w:rPr>
          <w:sz w:val="22"/>
          <w:szCs w:val="22"/>
          <w:lang w:val="es-ES"/>
        </w:rPr>
        <w:t xml:space="preserve">por </w:t>
      </w:r>
      <w:r w:rsidRPr="00283820">
        <w:rPr>
          <w:sz w:val="22"/>
          <w:szCs w:val="22"/>
          <w:lang w:val="es-ES"/>
        </w:rPr>
        <w:t xml:space="preserve">el mayor valor resultante de comparar: i.) El veinte por ciento (20%) de la cantidad de los derechos de suministro comprados en el mercado primario y en el mercado secundario, que se encuentran registradas ante el </w:t>
      </w:r>
      <w:r w:rsidR="005114C6">
        <w:rPr>
          <w:sz w:val="22"/>
          <w:szCs w:val="22"/>
          <w:lang w:val="es-ES"/>
        </w:rPr>
        <w:t>Gestor del Mercado</w:t>
      </w:r>
      <w:r w:rsidRPr="00283820">
        <w:rPr>
          <w:sz w:val="22"/>
          <w:szCs w:val="22"/>
          <w:lang w:val="es-ES"/>
        </w:rPr>
        <w:t xml:space="preserve"> a la fecha de registro del contrato con interrupciones, mediante contratos firmes o que garantizan firmeza para el mismo período de ejecución del contrato con interrupciones que se desea registrar; y, </w:t>
      </w:r>
      <w:proofErr w:type="spellStart"/>
      <w:r w:rsidRPr="00283820">
        <w:rPr>
          <w:sz w:val="22"/>
          <w:szCs w:val="22"/>
          <w:lang w:val="es-ES"/>
        </w:rPr>
        <w:t>ii</w:t>
      </w:r>
      <w:proofErr w:type="spellEnd"/>
      <w:r w:rsidRPr="00283820">
        <w:rPr>
          <w:sz w:val="22"/>
          <w:szCs w:val="22"/>
          <w:lang w:val="es-ES"/>
        </w:rPr>
        <w:t xml:space="preserve">.) El ciento por ciento (100%) de la cantidad contratada mediante contratos con interrupciones en el mercado primario y en el mercado secundario, que se encuentran registradas ante el </w:t>
      </w:r>
      <w:r w:rsidR="005114C6">
        <w:rPr>
          <w:sz w:val="22"/>
          <w:szCs w:val="22"/>
          <w:lang w:val="es-ES"/>
        </w:rPr>
        <w:t>Gestor del Mercado</w:t>
      </w:r>
      <w:r w:rsidRPr="00283820">
        <w:rPr>
          <w:sz w:val="22"/>
          <w:szCs w:val="22"/>
          <w:lang w:val="es-ES"/>
        </w:rPr>
        <w:t xml:space="preserve"> a la fecha de registro del contrato con interrupciones para el mismo período</w:t>
      </w:r>
    </w:p>
    <w:p w14:paraId="6F2D6650" w14:textId="77777777" w:rsidR="00283820" w:rsidRDefault="00283820" w:rsidP="00343C12">
      <w:pPr>
        <w:rPr>
          <w:sz w:val="22"/>
          <w:szCs w:val="22"/>
          <w:lang w:val="es-ES"/>
        </w:rPr>
      </w:pPr>
    </w:p>
    <w:p w14:paraId="0B05E964" w14:textId="4BF4976F" w:rsidR="00CD3FB0" w:rsidRPr="000E63CD" w:rsidRDefault="00515510" w:rsidP="00343C12">
      <w:pPr>
        <w:rPr>
          <w:sz w:val="22"/>
          <w:szCs w:val="22"/>
          <w:lang w:val="es-ES"/>
        </w:rPr>
      </w:pPr>
      <w:r w:rsidRPr="000E63CD">
        <w:rPr>
          <w:sz w:val="22"/>
          <w:szCs w:val="22"/>
          <w:lang w:val="es-ES"/>
        </w:rPr>
        <w:t>Por otro lado, p</w:t>
      </w:r>
      <w:r w:rsidR="00CD3FB0" w:rsidRPr="000E63CD">
        <w:rPr>
          <w:sz w:val="22"/>
          <w:szCs w:val="22"/>
          <w:lang w:val="es-ES"/>
        </w:rPr>
        <w:t xml:space="preserve">ara la </w:t>
      </w:r>
      <w:r w:rsidR="00CC3DEA">
        <w:rPr>
          <w:sz w:val="22"/>
          <w:szCs w:val="22"/>
          <w:lang w:val="es-ES"/>
        </w:rPr>
        <w:t>debida ejecución</w:t>
      </w:r>
      <w:r w:rsidR="00CC3DEA" w:rsidRPr="000E63CD">
        <w:rPr>
          <w:sz w:val="22"/>
          <w:szCs w:val="22"/>
          <w:lang w:val="es-ES"/>
        </w:rPr>
        <w:t xml:space="preserve"> </w:t>
      </w:r>
      <w:r w:rsidR="00CD3FB0" w:rsidRPr="000E63CD">
        <w:rPr>
          <w:sz w:val="22"/>
          <w:szCs w:val="22"/>
          <w:lang w:val="es-ES"/>
        </w:rPr>
        <w:t xml:space="preserve">de dichos contratos </w:t>
      </w:r>
      <w:r w:rsidRPr="000E63CD">
        <w:rPr>
          <w:sz w:val="22"/>
          <w:szCs w:val="22"/>
          <w:lang w:val="es-ES"/>
        </w:rPr>
        <w:t xml:space="preserve">se </w:t>
      </w:r>
      <w:r w:rsidR="001B442C">
        <w:rPr>
          <w:sz w:val="22"/>
          <w:szCs w:val="22"/>
          <w:lang w:val="es-ES"/>
        </w:rPr>
        <w:t xml:space="preserve">deberán </w:t>
      </w:r>
      <w:r w:rsidR="00CD3FB0" w:rsidRPr="000E63CD">
        <w:rPr>
          <w:sz w:val="22"/>
          <w:szCs w:val="22"/>
          <w:lang w:val="es-ES"/>
        </w:rPr>
        <w:t>ten</w:t>
      </w:r>
      <w:r w:rsidR="001B442C">
        <w:rPr>
          <w:sz w:val="22"/>
          <w:szCs w:val="22"/>
          <w:lang w:val="es-ES"/>
        </w:rPr>
        <w:t>er en cuenta</w:t>
      </w:r>
      <w:r w:rsidR="00CD3FB0" w:rsidRPr="000E63CD">
        <w:rPr>
          <w:sz w:val="22"/>
          <w:szCs w:val="22"/>
          <w:lang w:val="es-ES"/>
        </w:rPr>
        <w:t xml:space="preserve"> las siguientes obligaciones:</w:t>
      </w:r>
    </w:p>
    <w:p w14:paraId="7CD74BE2" w14:textId="77777777" w:rsidR="00CD3FB0" w:rsidRPr="000E63CD" w:rsidRDefault="00CD3FB0" w:rsidP="00CD3FB0">
      <w:pPr>
        <w:rPr>
          <w:sz w:val="22"/>
          <w:szCs w:val="22"/>
          <w:lang w:val="es-ES"/>
        </w:rPr>
      </w:pPr>
    </w:p>
    <w:p w14:paraId="6A8723E5" w14:textId="7DF5D3A8" w:rsidR="00CD3FB0" w:rsidRPr="000E63CD" w:rsidRDefault="00CD3FB0">
      <w:pPr>
        <w:numPr>
          <w:ilvl w:val="0"/>
          <w:numId w:val="8"/>
        </w:numPr>
        <w:ind w:left="360" w:hanging="360"/>
        <w:rPr>
          <w:sz w:val="22"/>
          <w:szCs w:val="22"/>
          <w:lang w:val="es-ES"/>
        </w:rPr>
      </w:pPr>
      <w:r w:rsidRPr="000E63CD">
        <w:rPr>
          <w:sz w:val="22"/>
          <w:szCs w:val="22"/>
          <w:lang w:val="es-ES"/>
        </w:rPr>
        <w:t xml:space="preserve"> No </w:t>
      </w:r>
      <w:r w:rsidR="00515510" w:rsidRPr="000E63CD">
        <w:rPr>
          <w:sz w:val="22"/>
          <w:szCs w:val="22"/>
          <w:lang w:val="es-ES"/>
        </w:rPr>
        <w:t xml:space="preserve">se </w:t>
      </w:r>
      <w:r w:rsidRPr="000E63CD">
        <w:rPr>
          <w:sz w:val="22"/>
          <w:szCs w:val="22"/>
          <w:lang w:val="es-ES"/>
        </w:rPr>
        <w:t xml:space="preserve">podrán autorizar nominaciones </w:t>
      </w:r>
      <w:r w:rsidR="00D52691">
        <w:rPr>
          <w:sz w:val="22"/>
          <w:szCs w:val="22"/>
          <w:lang w:val="es-ES"/>
        </w:rPr>
        <w:t xml:space="preserve">diarias </w:t>
      </w:r>
      <w:r w:rsidRPr="000E63CD">
        <w:rPr>
          <w:sz w:val="22"/>
          <w:szCs w:val="22"/>
          <w:lang w:val="es-ES"/>
        </w:rPr>
        <w:t xml:space="preserve">de cantidades de suministro que superen el PP </w:t>
      </w:r>
      <w:r w:rsidRPr="00D52691">
        <w:rPr>
          <w:sz w:val="22"/>
          <w:szCs w:val="22"/>
          <w:lang w:val="es-ES"/>
        </w:rPr>
        <w:t>mensual declarado</w:t>
      </w:r>
      <w:r w:rsidRPr="000E63CD">
        <w:rPr>
          <w:sz w:val="22"/>
          <w:szCs w:val="22"/>
          <w:lang w:val="es-ES"/>
        </w:rPr>
        <w:t xml:space="preserve"> al MME;</w:t>
      </w:r>
    </w:p>
    <w:p w14:paraId="5D78FFB3" w14:textId="77777777" w:rsidR="00CD3FB0" w:rsidRPr="000E63CD" w:rsidRDefault="00CD3FB0" w:rsidP="00CD3FB0">
      <w:pPr>
        <w:ind w:left="708"/>
        <w:rPr>
          <w:sz w:val="22"/>
          <w:szCs w:val="22"/>
          <w:lang w:val="es-ES"/>
        </w:rPr>
      </w:pPr>
    </w:p>
    <w:p w14:paraId="05F66B5E" w14:textId="79AF5663" w:rsidR="00CD3FB0" w:rsidRPr="000E63CD" w:rsidRDefault="00CD3FB0">
      <w:pPr>
        <w:numPr>
          <w:ilvl w:val="0"/>
          <w:numId w:val="8"/>
        </w:numPr>
        <w:ind w:left="360" w:hanging="360"/>
        <w:rPr>
          <w:sz w:val="22"/>
          <w:szCs w:val="22"/>
          <w:lang w:val="es-ES"/>
        </w:rPr>
      </w:pPr>
      <w:r w:rsidRPr="000E63CD">
        <w:rPr>
          <w:sz w:val="22"/>
          <w:szCs w:val="22"/>
          <w:lang w:val="es-ES"/>
        </w:rPr>
        <w:t xml:space="preserve"> El procedimiento y los criterios para la autorización y confirmación de solicitudes de nominación de suministro a los </w:t>
      </w:r>
      <w:r w:rsidR="00AC32B5">
        <w:rPr>
          <w:sz w:val="22"/>
          <w:szCs w:val="22"/>
          <w:lang w:val="es-ES"/>
        </w:rPr>
        <w:t>Compradores</w:t>
      </w:r>
      <w:r w:rsidRPr="000E63CD">
        <w:rPr>
          <w:sz w:val="22"/>
          <w:szCs w:val="22"/>
          <w:lang w:val="es-ES"/>
        </w:rPr>
        <w:t xml:space="preserve"> de esta modalidad será determinado por cada vendedor para sus fuentes de suministro y sus Puntos de Entrega.</w:t>
      </w:r>
    </w:p>
    <w:p w14:paraId="3365E414" w14:textId="77777777" w:rsidR="00316D33" w:rsidRDefault="00316D33" w:rsidP="00170B6A">
      <w:pPr>
        <w:pStyle w:val="Prrafodelista"/>
        <w:rPr>
          <w:sz w:val="22"/>
          <w:szCs w:val="22"/>
          <w:lang w:val="es-ES"/>
        </w:rPr>
      </w:pPr>
    </w:p>
    <w:p w14:paraId="5981B9DB" w14:textId="77777777" w:rsidR="00CD3FB0" w:rsidRPr="000E63CD" w:rsidRDefault="00CD3FB0" w:rsidP="00CD3FB0">
      <w:pPr>
        <w:ind w:left="708"/>
        <w:rPr>
          <w:sz w:val="22"/>
          <w:szCs w:val="22"/>
          <w:lang w:val="es-ES"/>
        </w:rPr>
      </w:pPr>
    </w:p>
    <w:p w14:paraId="60C3F60D" w14:textId="0E6F525C" w:rsidR="00CD3FB0" w:rsidRPr="000E63CD" w:rsidRDefault="00CD3FB0">
      <w:pPr>
        <w:numPr>
          <w:ilvl w:val="0"/>
          <w:numId w:val="8"/>
        </w:numPr>
        <w:ind w:left="360" w:hanging="360"/>
        <w:rPr>
          <w:sz w:val="22"/>
          <w:szCs w:val="22"/>
          <w:lang w:val="es-ES"/>
        </w:rPr>
      </w:pPr>
      <w:r w:rsidRPr="000E63CD">
        <w:rPr>
          <w:sz w:val="22"/>
          <w:szCs w:val="22"/>
          <w:lang w:val="es-ES"/>
        </w:rPr>
        <w:t xml:space="preserve">Los </w:t>
      </w:r>
      <w:r w:rsidR="00AC32B5">
        <w:rPr>
          <w:sz w:val="22"/>
          <w:szCs w:val="22"/>
          <w:lang w:val="es-ES"/>
        </w:rPr>
        <w:t>Vendedores</w:t>
      </w:r>
      <w:r w:rsidRPr="000E63CD">
        <w:rPr>
          <w:sz w:val="22"/>
          <w:szCs w:val="22"/>
          <w:lang w:val="es-ES"/>
        </w:rPr>
        <w:t xml:space="preserve"> </w:t>
      </w:r>
      <w:r w:rsidR="00515510" w:rsidRPr="000E63CD">
        <w:rPr>
          <w:sz w:val="22"/>
          <w:szCs w:val="22"/>
          <w:lang w:val="es-ES"/>
        </w:rPr>
        <w:t xml:space="preserve">del </w:t>
      </w:r>
      <w:r w:rsidR="00AC32B5">
        <w:rPr>
          <w:sz w:val="22"/>
          <w:szCs w:val="22"/>
          <w:lang w:val="es-ES"/>
        </w:rPr>
        <w:t>Mercado Primario</w:t>
      </w:r>
      <w:r w:rsidR="00515510" w:rsidRPr="000E63CD">
        <w:rPr>
          <w:sz w:val="22"/>
          <w:szCs w:val="22"/>
          <w:lang w:val="es-ES"/>
        </w:rPr>
        <w:t xml:space="preserve"> </w:t>
      </w:r>
      <w:r w:rsidR="00283820">
        <w:rPr>
          <w:sz w:val="22"/>
          <w:szCs w:val="22"/>
          <w:lang w:val="es-ES"/>
        </w:rPr>
        <w:t xml:space="preserve">y del Mercado Secundario </w:t>
      </w:r>
      <w:r w:rsidRPr="000E63CD">
        <w:rPr>
          <w:sz w:val="22"/>
          <w:szCs w:val="22"/>
          <w:lang w:val="es-ES"/>
        </w:rPr>
        <w:t>deben asegurar la neutralidad y evitar tratos discriminatorio</w:t>
      </w:r>
      <w:r w:rsidR="0071169C" w:rsidRPr="000E63CD">
        <w:rPr>
          <w:sz w:val="22"/>
          <w:szCs w:val="22"/>
          <w:lang w:val="es-ES"/>
        </w:rPr>
        <w:t>s</w:t>
      </w:r>
      <w:r w:rsidRPr="000E63CD">
        <w:rPr>
          <w:sz w:val="22"/>
          <w:szCs w:val="22"/>
          <w:lang w:val="es-ES"/>
        </w:rPr>
        <w:t xml:space="preserve"> entre </w:t>
      </w:r>
      <w:r w:rsidR="00AC32B5">
        <w:rPr>
          <w:sz w:val="22"/>
          <w:szCs w:val="22"/>
          <w:lang w:val="es-ES"/>
        </w:rPr>
        <w:t>Compradores</w:t>
      </w:r>
      <w:r w:rsidRPr="000E63CD">
        <w:rPr>
          <w:sz w:val="22"/>
          <w:szCs w:val="22"/>
          <w:lang w:val="es-ES"/>
        </w:rPr>
        <w:t xml:space="preserve"> en el procedimiento y criterios para la autorización y confirmación de solicitudes de nominación.</w:t>
      </w:r>
    </w:p>
    <w:p w14:paraId="66EBA84F" w14:textId="77777777" w:rsidR="00316D33" w:rsidRDefault="00316D33" w:rsidP="00170B6A">
      <w:pPr>
        <w:pStyle w:val="Prrafodelista"/>
        <w:rPr>
          <w:sz w:val="22"/>
          <w:szCs w:val="22"/>
          <w:lang w:val="es-ES"/>
        </w:rPr>
      </w:pPr>
    </w:p>
    <w:p w14:paraId="58C3355A" w14:textId="77777777" w:rsidR="00CD3FB0" w:rsidRPr="000E63CD" w:rsidRDefault="00CD3FB0" w:rsidP="00CD3FB0">
      <w:pPr>
        <w:ind w:left="708"/>
        <w:rPr>
          <w:sz w:val="22"/>
          <w:szCs w:val="22"/>
          <w:lang w:val="es-ES"/>
        </w:rPr>
      </w:pPr>
    </w:p>
    <w:p w14:paraId="53E2955C" w14:textId="5AC5C672" w:rsidR="00CD3FB0" w:rsidRDefault="00CD3FB0">
      <w:pPr>
        <w:numPr>
          <w:ilvl w:val="0"/>
          <w:numId w:val="8"/>
        </w:numPr>
        <w:ind w:left="360" w:hanging="360"/>
        <w:rPr>
          <w:sz w:val="22"/>
          <w:szCs w:val="22"/>
          <w:lang w:val="es-ES"/>
        </w:rPr>
      </w:pPr>
      <w:r w:rsidRPr="000E63CD">
        <w:rPr>
          <w:sz w:val="22"/>
          <w:szCs w:val="22"/>
          <w:lang w:val="es-ES"/>
        </w:rPr>
        <w:t xml:space="preserve">El procedimiento y los criterios para la autorización de nominación de suministro bajo esta modalidad serán de conocimiento público de los contratantes actuales y potenciales </w:t>
      </w:r>
      <w:r w:rsidR="00AC32B5">
        <w:rPr>
          <w:sz w:val="22"/>
          <w:szCs w:val="22"/>
          <w:lang w:val="es-ES"/>
        </w:rPr>
        <w:t>Compradores</w:t>
      </w:r>
      <w:r w:rsidRPr="000E63CD">
        <w:rPr>
          <w:sz w:val="22"/>
          <w:szCs w:val="22"/>
          <w:lang w:val="es-ES"/>
        </w:rPr>
        <w:t xml:space="preserve"> a través de su página web.</w:t>
      </w:r>
    </w:p>
    <w:p w14:paraId="79A4BEC1" w14:textId="77777777" w:rsidR="00316D33" w:rsidRDefault="00316D33" w:rsidP="00316D33">
      <w:pPr>
        <w:pStyle w:val="Prrafodelista"/>
        <w:rPr>
          <w:sz w:val="22"/>
          <w:szCs w:val="22"/>
          <w:lang w:val="es-ES"/>
        </w:rPr>
      </w:pPr>
    </w:p>
    <w:p w14:paraId="5971FBCE" w14:textId="77777777" w:rsidR="00D52691" w:rsidRDefault="00D52691" w:rsidP="00D52691">
      <w:pPr>
        <w:pStyle w:val="Prrafodelista"/>
        <w:rPr>
          <w:sz w:val="22"/>
          <w:szCs w:val="22"/>
          <w:lang w:val="es-ES"/>
        </w:rPr>
      </w:pPr>
    </w:p>
    <w:p w14:paraId="705AEB56" w14:textId="77777777" w:rsidR="00D52691" w:rsidRPr="000E63CD" w:rsidRDefault="00D52691" w:rsidP="00D52691">
      <w:pPr>
        <w:ind w:left="360"/>
        <w:rPr>
          <w:sz w:val="22"/>
          <w:szCs w:val="22"/>
          <w:lang w:val="es-ES"/>
        </w:rPr>
      </w:pPr>
    </w:p>
    <w:p w14:paraId="3688D831" w14:textId="77777777" w:rsidR="00CD3FB0" w:rsidRPr="000E63CD" w:rsidRDefault="00CD3FB0" w:rsidP="00CD3FB0">
      <w:pPr>
        <w:ind w:left="708"/>
        <w:rPr>
          <w:sz w:val="22"/>
          <w:szCs w:val="22"/>
          <w:lang w:val="es-ES"/>
        </w:rPr>
      </w:pPr>
    </w:p>
    <w:p w14:paraId="18453FCB" w14:textId="50819745" w:rsidR="002076A2" w:rsidRPr="004E37E3" w:rsidRDefault="002076A2" w:rsidP="004E37E3">
      <w:pPr>
        <w:pStyle w:val="Ttulo2"/>
        <w:rPr>
          <w:sz w:val="22"/>
          <w:szCs w:val="22"/>
        </w:rPr>
      </w:pPr>
      <w:bookmarkStart w:id="455" w:name="_Toc95457669"/>
      <w:bookmarkStart w:id="456" w:name="_Toc140506227"/>
      <w:bookmarkEnd w:id="455"/>
      <w:r w:rsidRPr="004E37E3">
        <w:rPr>
          <w:sz w:val="22"/>
          <w:szCs w:val="22"/>
        </w:rPr>
        <w:t>Declaración de contrato de consumo propio de los productores-comercial</w:t>
      </w:r>
      <w:r w:rsidR="00A47515" w:rsidRPr="004E37E3">
        <w:rPr>
          <w:sz w:val="22"/>
          <w:szCs w:val="22"/>
        </w:rPr>
        <w:t>i</w:t>
      </w:r>
      <w:r w:rsidRPr="004E37E3">
        <w:rPr>
          <w:sz w:val="22"/>
          <w:szCs w:val="22"/>
        </w:rPr>
        <w:t>zadores y</w:t>
      </w:r>
      <w:r w:rsidR="004E37E3" w:rsidRPr="004E37E3">
        <w:rPr>
          <w:sz w:val="22"/>
          <w:szCs w:val="22"/>
        </w:rPr>
        <w:t xml:space="preserve"> </w:t>
      </w:r>
      <w:r w:rsidRPr="004E37E3">
        <w:rPr>
          <w:sz w:val="22"/>
          <w:szCs w:val="22"/>
        </w:rPr>
        <w:t xml:space="preserve">mecanismos de </w:t>
      </w:r>
      <w:r w:rsidR="00A47515" w:rsidRPr="004E37E3">
        <w:rPr>
          <w:sz w:val="22"/>
          <w:szCs w:val="22"/>
        </w:rPr>
        <w:t>comercialización ante eventos de fuer</w:t>
      </w:r>
      <w:r w:rsidR="00296454" w:rsidRPr="004E37E3">
        <w:rPr>
          <w:sz w:val="22"/>
          <w:szCs w:val="22"/>
        </w:rPr>
        <w:t>z</w:t>
      </w:r>
      <w:r w:rsidR="00A47515" w:rsidRPr="004E37E3">
        <w:rPr>
          <w:sz w:val="22"/>
          <w:szCs w:val="22"/>
        </w:rPr>
        <w:t>a mayor</w:t>
      </w:r>
      <w:bookmarkEnd w:id="456"/>
      <w:r w:rsidR="00B6308A" w:rsidRPr="004E37E3">
        <w:rPr>
          <w:noProof/>
          <w:sz w:val="22"/>
          <w:szCs w:val="22"/>
        </w:rPr>
        <w:t xml:space="preserve"> </w:t>
      </w:r>
    </w:p>
    <w:p w14:paraId="508F0B9D" w14:textId="1849AFE8" w:rsidR="00E83024" w:rsidRPr="000E63CD" w:rsidRDefault="004E0382" w:rsidP="00A47515">
      <w:pPr>
        <w:rPr>
          <w:sz w:val="22"/>
          <w:szCs w:val="22"/>
        </w:rPr>
      </w:pPr>
      <w:r w:rsidRPr="000E63CD">
        <w:rPr>
          <w:sz w:val="22"/>
          <w:szCs w:val="22"/>
        </w:rPr>
        <w:t xml:space="preserve">En función de lo establecido en el </w:t>
      </w:r>
      <w:r w:rsidR="00274696" w:rsidRPr="000E63CD">
        <w:rPr>
          <w:sz w:val="22"/>
          <w:szCs w:val="22"/>
        </w:rPr>
        <w:t xml:space="preserve">literal b) del </w:t>
      </w:r>
      <w:r w:rsidRPr="000E63CD">
        <w:rPr>
          <w:sz w:val="22"/>
          <w:szCs w:val="22"/>
        </w:rPr>
        <w:t>Artículo</w:t>
      </w:r>
      <w:r w:rsidR="00274696" w:rsidRPr="000E63CD">
        <w:rPr>
          <w:sz w:val="22"/>
          <w:szCs w:val="22"/>
        </w:rPr>
        <w:t xml:space="preserve"> 2.2.2.2.42 </w:t>
      </w:r>
      <w:r w:rsidRPr="000E63CD">
        <w:rPr>
          <w:sz w:val="22"/>
          <w:szCs w:val="22"/>
        </w:rPr>
        <w:t>del Decreto 1073 de 2015</w:t>
      </w:r>
      <w:r w:rsidR="00A16051" w:rsidRPr="000E63CD">
        <w:rPr>
          <w:rStyle w:val="Refdenotaalpie"/>
          <w:sz w:val="22"/>
          <w:szCs w:val="22"/>
        </w:rPr>
        <w:footnoteReference w:id="15"/>
      </w:r>
      <w:r w:rsidRPr="000E63CD">
        <w:rPr>
          <w:sz w:val="22"/>
          <w:szCs w:val="22"/>
        </w:rPr>
        <w:t xml:space="preserve"> y concordante con la propuesta de </w:t>
      </w:r>
      <w:r w:rsidR="00274696" w:rsidRPr="000E63CD">
        <w:rPr>
          <w:sz w:val="22"/>
          <w:szCs w:val="22"/>
        </w:rPr>
        <w:t xml:space="preserve">permitir la suscripción de contratos de suministro </w:t>
      </w:r>
      <w:r w:rsidR="00F6447A" w:rsidRPr="000E63CD">
        <w:rPr>
          <w:sz w:val="22"/>
          <w:szCs w:val="22"/>
        </w:rPr>
        <w:t xml:space="preserve">de duración semanal </w:t>
      </w:r>
      <w:r w:rsidR="00274696" w:rsidRPr="000E63CD">
        <w:rPr>
          <w:sz w:val="22"/>
          <w:szCs w:val="22"/>
        </w:rPr>
        <w:t>de parte de los productores-come</w:t>
      </w:r>
      <w:r w:rsidR="002A309D" w:rsidRPr="000E63CD">
        <w:rPr>
          <w:sz w:val="22"/>
          <w:szCs w:val="22"/>
        </w:rPr>
        <w:t>rcializadores</w:t>
      </w:r>
      <w:r w:rsidR="00274696" w:rsidRPr="000E63CD">
        <w:rPr>
          <w:sz w:val="22"/>
          <w:szCs w:val="22"/>
        </w:rPr>
        <w:t xml:space="preserve"> cuando </w:t>
      </w:r>
      <w:r w:rsidR="002E6301" w:rsidRPr="000E63CD">
        <w:rPr>
          <w:sz w:val="22"/>
          <w:szCs w:val="22"/>
        </w:rPr>
        <w:t>se presenten</w:t>
      </w:r>
      <w:r w:rsidR="002A309D" w:rsidRPr="000E63CD">
        <w:rPr>
          <w:sz w:val="22"/>
          <w:szCs w:val="22"/>
        </w:rPr>
        <w:t xml:space="preserve"> eventos de </w:t>
      </w:r>
      <w:r w:rsidR="00021431" w:rsidRPr="000E63CD">
        <w:rPr>
          <w:sz w:val="22"/>
          <w:szCs w:val="22"/>
        </w:rPr>
        <w:t>fuer</w:t>
      </w:r>
      <w:r w:rsidR="00B91AA9" w:rsidRPr="000E63CD">
        <w:rPr>
          <w:sz w:val="22"/>
          <w:szCs w:val="22"/>
        </w:rPr>
        <w:t>z</w:t>
      </w:r>
      <w:r w:rsidR="00021431" w:rsidRPr="000E63CD">
        <w:rPr>
          <w:sz w:val="22"/>
          <w:szCs w:val="22"/>
        </w:rPr>
        <w:t xml:space="preserve">a mayor, caso fortuito o causa extraña </w:t>
      </w:r>
      <w:r w:rsidR="00B91AA9" w:rsidRPr="000E63CD">
        <w:rPr>
          <w:sz w:val="22"/>
          <w:szCs w:val="22"/>
        </w:rPr>
        <w:t xml:space="preserve">que impliquen un menor consumo propio </w:t>
      </w:r>
      <w:r w:rsidR="002E6301" w:rsidRPr="000E63CD">
        <w:rPr>
          <w:sz w:val="22"/>
          <w:szCs w:val="22"/>
        </w:rPr>
        <w:t xml:space="preserve">en refinerías </w:t>
      </w:r>
      <w:r w:rsidR="00B91AA9" w:rsidRPr="000E63CD">
        <w:rPr>
          <w:sz w:val="22"/>
          <w:szCs w:val="22"/>
        </w:rPr>
        <w:t>al previsto</w:t>
      </w:r>
      <w:r w:rsidR="00E032A5" w:rsidRPr="000E63CD">
        <w:rPr>
          <w:sz w:val="22"/>
          <w:szCs w:val="22"/>
        </w:rPr>
        <w:t xml:space="preserve"> </w:t>
      </w:r>
      <w:r w:rsidR="00BB34DD" w:rsidRPr="000E63CD">
        <w:rPr>
          <w:sz w:val="22"/>
          <w:szCs w:val="22"/>
        </w:rPr>
        <w:t>de acuerdo con lo establecido en el Artículo 2.2.2.2.</w:t>
      </w:r>
      <w:r w:rsidR="00D37DF3" w:rsidRPr="000E63CD">
        <w:rPr>
          <w:sz w:val="22"/>
          <w:szCs w:val="22"/>
        </w:rPr>
        <w:t>20 del Decreto 1073 de 2015</w:t>
      </w:r>
      <w:r w:rsidR="00D37DF3" w:rsidRPr="000E63CD">
        <w:rPr>
          <w:rStyle w:val="Refdenotaalpie"/>
          <w:sz w:val="22"/>
          <w:szCs w:val="22"/>
        </w:rPr>
        <w:footnoteReference w:id="16"/>
      </w:r>
      <w:r w:rsidR="00A16051" w:rsidRPr="000E63CD">
        <w:rPr>
          <w:sz w:val="22"/>
          <w:szCs w:val="22"/>
        </w:rPr>
        <w:t xml:space="preserve">, </w:t>
      </w:r>
      <w:r w:rsidR="001E2A2D" w:rsidRPr="000E63CD">
        <w:rPr>
          <w:sz w:val="22"/>
          <w:szCs w:val="22"/>
        </w:rPr>
        <w:t xml:space="preserve">se propone que </w:t>
      </w:r>
      <w:r w:rsidR="00A16051" w:rsidRPr="000E63CD">
        <w:rPr>
          <w:sz w:val="22"/>
          <w:szCs w:val="22"/>
        </w:rPr>
        <w:t>los productor</w:t>
      </w:r>
      <w:r w:rsidR="00BB34DD" w:rsidRPr="000E63CD">
        <w:rPr>
          <w:sz w:val="22"/>
          <w:szCs w:val="22"/>
        </w:rPr>
        <w:t>e</w:t>
      </w:r>
      <w:r w:rsidR="00A16051" w:rsidRPr="000E63CD">
        <w:rPr>
          <w:sz w:val="22"/>
          <w:szCs w:val="22"/>
        </w:rPr>
        <w:t>s – comercial</w:t>
      </w:r>
      <w:r w:rsidR="00BB34DD" w:rsidRPr="000E63CD">
        <w:rPr>
          <w:sz w:val="22"/>
          <w:szCs w:val="22"/>
        </w:rPr>
        <w:t>izad</w:t>
      </w:r>
      <w:r w:rsidR="00A16051" w:rsidRPr="000E63CD">
        <w:rPr>
          <w:sz w:val="22"/>
          <w:szCs w:val="22"/>
        </w:rPr>
        <w:t xml:space="preserve">ores </w:t>
      </w:r>
      <w:r w:rsidR="00E032A5" w:rsidRPr="000E63CD">
        <w:rPr>
          <w:sz w:val="22"/>
          <w:szCs w:val="22"/>
        </w:rPr>
        <w:t xml:space="preserve">tengan la obligación de </w:t>
      </w:r>
      <w:r w:rsidR="001E2A2D" w:rsidRPr="000E63CD">
        <w:rPr>
          <w:sz w:val="22"/>
          <w:szCs w:val="22"/>
        </w:rPr>
        <w:t>registr</w:t>
      </w:r>
      <w:r w:rsidR="00E032A5" w:rsidRPr="000E63CD">
        <w:rPr>
          <w:sz w:val="22"/>
          <w:szCs w:val="22"/>
        </w:rPr>
        <w:t>ar</w:t>
      </w:r>
      <w:r w:rsidR="001E2A2D" w:rsidRPr="000E63CD">
        <w:rPr>
          <w:sz w:val="22"/>
          <w:szCs w:val="22"/>
        </w:rPr>
        <w:t xml:space="preserve"> ante el </w:t>
      </w:r>
      <w:r w:rsidR="005114C6">
        <w:rPr>
          <w:sz w:val="22"/>
          <w:szCs w:val="22"/>
        </w:rPr>
        <w:t>Gestor del Mercado</w:t>
      </w:r>
      <w:r w:rsidR="004C4F1E">
        <w:rPr>
          <w:sz w:val="22"/>
          <w:szCs w:val="22"/>
        </w:rPr>
        <w:t xml:space="preserve"> de Gas</w:t>
      </w:r>
      <w:r w:rsidR="001E2A2D" w:rsidRPr="000E63CD">
        <w:rPr>
          <w:sz w:val="22"/>
          <w:szCs w:val="22"/>
        </w:rPr>
        <w:t xml:space="preserve"> </w:t>
      </w:r>
      <w:r w:rsidR="00A16051" w:rsidRPr="000E63CD">
        <w:rPr>
          <w:sz w:val="22"/>
          <w:szCs w:val="22"/>
        </w:rPr>
        <w:t>los contratos</w:t>
      </w:r>
      <w:r w:rsidR="001367C0" w:rsidRPr="000E63CD">
        <w:rPr>
          <w:sz w:val="22"/>
          <w:szCs w:val="22"/>
        </w:rPr>
        <w:t xml:space="preserve"> o arreglos comerciales</w:t>
      </w:r>
      <w:r w:rsidR="001E2A2D" w:rsidRPr="000E63CD">
        <w:rPr>
          <w:sz w:val="22"/>
          <w:szCs w:val="22"/>
        </w:rPr>
        <w:t xml:space="preserve"> que se suscriban o pacten para</w:t>
      </w:r>
      <w:r w:rsidR="00A16051" w:rsidRPr="000E63CD">
        <w:rPr>
          <w:sz w:val="22"/>
          <w:szCs w:val="22"/>
        </w:rPr>
        <w:t xml:space="preserve"> </w:t>
      </w:r>
      <w:r w:rsidR="001E2A2D" w:rsidRPr="000E63CD">
        <w:rPr>
          <w:sz w:val="22"/>
          <w:szCs w:val="22"/>
        </w:rPr>
        <w:t xml:space="preserve">atender </w:t>
      </w:r>
      <w:r w:rsidR="00F6447A" w:rsidRPr="000E63CD">
        <w:rPr>
          <w:sz w:val="22"/>
          <w:szCs w:val="22"/>
        </w:rPr>
        <w:t xml:space="preserve">dichos </w:t>
      </w:r>
      <w:r w:rsidR="00A16051" w:rsidRPr="000E63CD">
        <w:rPr>
          <w:sz w:val="22"/>
          <w:szCs w:val="22"/>
        </w:rPr>
        <w:t>consumos propios</w:t>
      </w:r>
      <w:r w:rsidR="002E6301" w:rsidRPr="000E63CD">
        <w:rPr>
          <w:sz w:val="22"/>
          <w:szCs w:val="22"/>
        </w:rPr>
        <w:t xml:space="preserve"> en refinerías</w:t>
      </w:r>
      <w:r w:rsidR="00E032A5" w:rsidRPr="000E63CD">
        <w:rPr>
          <w:sz w:val="22"/>
          <w:szCs w:val="22"/>
        </w:rPr>
        <w:t>. Para ello deben aportar l</w:t>
      </w:r>
      <w:r w:rsidR="001E2A2D" w:rsidRPr="000E63CD">
        <w:rPr>
          <w:sz w:val="22"/>
          <w:szCs w:val="22"/>
        </w:rPr>
        <w:t xml:space="preserve">a información </w:t>
      </w:r>
      <w:r w:rsidR="00BB34DD" w:rsidRPr="000E63CD">
        <w:rPr>
          <w:sz w:val="22"/>
          <w:szCs w:val="22"/>
        </w:rPr>
        <w:t>con</w:t>
      </w:r>
      <w:r w:rsidR="00937C21" w:rsidRPr="000E63CD">
        <w:rPr>
          <w:sz w:val="22"/>
          <w:szCs w:val="22"/>
        </w:rPr>
        <w:t xml:space="preserve"> el mismo nivel de detalle que se d</w:t>
      </w:r>
      <w:r w:rsidR="00CD46B1" w:rsidRPr="000E63CD">
        <w:rPr>
          <w:sz w:val="22"/>
          <w:szCs w:val="22"/>
        </w:rPr>
        <w:t>i</w:t>
      </w:r>
      <w:r w:rsidR="00937C21" w:rsidRPr="000E63CD">
        <w:rPr>
          <w:sz w:val="22"/>
          <w:szCs w:val="22"/>
        </w:rPr>
        <w:t xml:space="preserve">spone en el Anexo </w:t>
      </w:r>
      <w:r w:rsidR="00CD46B1" w:rsidRPr="000E63CD">
        <w:rPr>
          <w:sz w:val="22"/>
          <w:szCs w:val="22"/>
        </w:rPr>
        <w:t xml:space="preserve">establecido en la propuesta de resolución para </w:t>
      </w:r>
      <w:r w:rsidR="001E2A2D" w:rsidRPr="000E63CD">
        <w:rPr>
          <w:sz w:val="22"/>
          <w:szCs w:val="22"/>
        </w:rPr>
        <w:t xml:space="preserve">cualquier contrato </w:t>
      </w:r>
      <w:r w:rsidR="00203CC2" w:rsidRPr="000E63CD">
        <w:rPr>
          <w:sz w:val="22"/>
          <w:szCs w:val="22"/>
        </w:rPr>
        <w:t xml:space="preserve">del </w:t>
      </w:r>
      <w:r w:rsidR="00AC32B5">
        <w:rPr>
          <w:sz w:val="22"/>
          <w:szCs w:val="22"/>
        </w:rPr>
        <w:t>Mercado Primario</w:t>
      </w:r>
      <w:r w:rsidR="00203CC2" w:rsidRPr="000E63CD">
        <w:rPr>
          <w:sz w:val="22"/>
          <w:szCs w:val="22"/>
        </w:rPr>
        <w:t xml:space="preserve"> que se desea registrar</w:t>
      </w:r>
      <w:r w:rsidR="00CD46B1" w:rsidRPr="000E63CD">
        <w:rPr>
          <w:sz w:val="22"/>
          <w:szCs w:val="22"/>
        </w:rPr>
        <w:t>.</w:t>
      </w:r>
      <w:r w:rsidR="00EB3829" w:rsidRPr="000E63CD">
        <w:rPr>
          <w:sz w:val="22"/>
          <w:szCs w:val="22"/>
        </w:rPr>
        <w:t xml:space="preserve"> </w:t>
      </w:r>
    </w:p>
    <w:p w14:paraId="6EE89C79" w14:textId="77777777" w:rsidR="00E83024" w:rsidRPr="000E63CD" w:rsidRDefault="00E83024" w:rsidP="00A47515">
      <w:pPr>
        <w:rPr>
          <w:sz w:val="22"/>
          <w:szCs w:val="22"/>
        </w:rPr>
      </w:pPr>
    </w:p>
    <w:p w14:paraId="71E044F1" w14:textId="64B95729" w:rsidR="001E2A2D" w:rsidRPr="000E63CD" w:rsidRDefault="00E83024" w:rsidP="00A47515">
      <w:pPr>
        <w:rPr>
          <w:sz w:val="22"/>
          <w:szCs w:val="22"/>
        </w:rPr>
      </w:pPr>
      <w:r w:rsidRPr="000E63CD">
        <w:rPr>
          <w:sz w:val="22"/>
          <w:szCs w:val="22"/>
        </w:rPr>
        <w:t xml:space="preserve">La propuesta anterior </w:t>
      </w:r>
      <w:r w:rsidR="00EB3829" w:rsidRPr="000E63CD">
        <w:rPr>
          <w:sz w:val="22"/>
          <w:szCs w:val="22"/>
        </w:rPr>
        <w:t xml:space="preserve">no </w:t>
      </w:r>
      <w:r w:rsidRPr="000E63CD">
        <w:rPr>
          <w:sz w:val="22"/>
          <w:szCs w:val="22"/>
        </w:rPr>
        <w:t>implica</w:t>
      </w:r>
      <w:r w:rsidR="00EB3829" w:rsidRPr="000E63CD">
        <w:rPr>
          <w:sz w:val="22"/>
          <w:szCs w:val="22"/>
        </w:rPr>
        <w:t xml:space="preserve"> que el contrato </w:t>
      </w:r>
      <w:r w:rsidR="005F1EBE" w:rsidRPr="000E63CD">
        <w:rPr>
          <w:sz w:val="22"/>
          <w:szCs w:val="22"/>
        </w:rPr>
        <w:t xml:space="preserve">o arreglo comercial del suministro de gas natural para consumo propio </w:t>
      </w:r>
      <w:r w:rsidR="00A71524" w:rsidRPr="000E63CD">
        <w:rPr>
          <w:sz w:val="22"/>
          <w:szCs w:val="22"/>
        </w:rPr>
        <w:t xml:space="preserve">en refinerías </w:t>
      </w:r>
      <w:r w:rsidR="005F1EBE" w:rsidRPr="000E63CD">
        <w:rPr>
          <w:sz w:val="22"/>
          <w:szCs w:val="22"/>
        </w:rPr>
        <w:t xml:space="preserve">del productor-comercializador </w:t>
      </w:r>
      <w:r w:rsidR="004B1842" w:rsidRPr="000E63CD">
        <w:rPr>
          <w:sz w:val="22"/>
          <w:szCs w:val="22"/>
        </w:rPr>
        <w:t xml:space="preserve">deba cumplir </w:t>
      </w:r>
      <w:r w:rsidR="00046A61" w:rsidRPr="000E63CD">
        <w:rPr>
          <w:sz w:val="22"/>
          <w:szCs w:val="22"/>
        </w:rPr>
        <w:t xml:space="preserve">la regulación </w:t>
      </w:r>
      <w:r w:rsidR="004B1842" w:rsidRPr="000E63CD">
        <w:rPr>
          <w:sz w:val="22"/>
          <w:szCs w:val="22"/>
        </w:rPr>
        <w:t xml:space="preserve">que se establece al respecto en el </w:t>
      </w:r>
      <w:r w:rsidR="00AC32B5">
        <w:rPr>
          <w:sz w:val="22"/>
          <w:szCs w:val="22"/>
        </w:rPr>
        <w:t>Mercado Primario</w:t>
      </w:r>
      <w:r w:rsidR="004B1842" w:rsidRPr="000E63CD">
        <w:rPr>
          <w:sz w:val="22"/>
          <w:szCs w:val="22"/>
        </w:rPr>
        <w:t xml:space="preserve">.  </w:t>
      </w:r>
      <w:r w:rsidR="00EB3829" w:rsidRPr="000E63CD">
        <w:rPr>
          <w:sz w:val="22"/>
          <w:szCs w:val="22"/>
        </w:rPr>
        <w:t xml:space="preserve"> </w:t>
      </w:r>
      <w:r w:rsidR="00BB34DD" w:rsidRPr="000E63CD">
        <w:rPr>
          <w:sz w:val="22"/>
          <w:szCs w:val="22"/>
        </w:rPr>
        <w:t xml:space="preserve"> </w:t>
      </w:r>
    </w:p>
    <w:p w14:paraId="7B5F8477" w14:textId="77777777" w:rsidR="001E2A2D" w:rsidRPr="000E63CD" w:rsidRDefault="001E2A2D" w:rsidP="00A47515">
      <w:pPr>
        <w:rPr>
          <w:sz w:val="22"/>
          <w:szCs w:val="22"/>
        </w:rPr>
      </w:pPr>
    </w:p>
    <w:p w14:paraId="67C70CB5" w14:textId="12BA6826" w:rsidR="00C82520" w:rsidRDefault="001D0764" w:rsidP="00A47515">
      <w:pPr>
        <w:rPr>
          <w:sz w:val="22"/>
          <w:szCs w:val="22"/>
        </w:rPr>
      </w:pPr>
      <w:r w:rsidRPr="000E63CD">
        <w:rPr>
          <w:sz w:val="22"/>
          <w:szCs w:val="22"/>
        </w:rPr>
        <w:t>Derivado de las propuestas mencionadas</w:t>
      </w:r>
      <w:r w:rsidR="005B544C" w:rsidRPr="000E63CD">
        <w:rPr>
          <w:sz w:val="22"/>
          <w:szCs w:val="22"/>
        </w:rPr>
        <w:t xml:space="preserve">, en </w:t>
      </w:r>
      <w:r w:rsidR="001E2A2D" w:rsidRPr="000E63CD">
        <w:rPr>
          <w:sz w:val="22"/>
          <w:szCs w:val="22"/>
        </w:rPr>
        <w:t xml:space="preserve">caso de no registrarse </w:t>
      </w:r>
      <w:r w:rsidR="00E56094" w:rsidRPr="000E63CD">
        <w:rPr>
          <w:sz w:val="22"/>
          <w:szCs w:val="22"/>
        </w:rPr>
        <w:t xml:space="preserve">ante el </w:t>
      </w:r>
      <w:r w:rsidR="005114C6">
        <w:rPr>
          <w:sz w:val="22"/>
          <w:szCs w:val="22"/>
        </w:rPr>
        <w:t>Gestor del Mercado</w:t>
      </w:r>
      <w:r w:rsidR="004C4F1E">
        <w:rPr>
          <w:sz w:val="22"/>
          <w:szCs w:val="22"/>
        </w:rPr>
        <w:t xml:space="preserve"> de Gas</w:t>
      </w:r>
      <w:r w:rsidR="00E56094" w:rsidRPr="000E63CD">
        <w:rPr>
          <w:sz w:val="22"/>
          <w:szCs w:val="22"/>
        </w:rPr>
        <w:t xml:space="preserve"> l</w:t>
      </w:r>
      <w:r w:rsidR="001E2A2D" w:rsidRPr="000E63CD">
        <w:rPr>
          <w:sz w:val="22"/>
          <w:szCs w:val="22"/>
        </w:rPr>
        <w:t>os contratos o arreglos comerciales de suministro para consumo propio</w:t>
      </w:r>
      <w:r w:rsidR="00A71524" w:rsidRPr="000E63CD">
        <w:rPr>
          <w:sz w:val="22"/>
          <w:szCs w:val="22"/>
        </w:rPr>
        <w:t xml:space="preserve"> en refinerías</w:t>
      </w:r>
      <w:r w:rsidR="00DD54AF" w:rsidRPr="000E63CD">
        <w:rPr>
          <w:sz w:val="22"/>
          <w:szCs w:val="22"/>
        </w:rPr>
        <w:t xml:space="preserve">, el productor-comercializador no podrá negociar contratos de suministro de gas en el </w:t>
      </w:r>
      <w:r w:rsidR="00AC32B5">
        <w:rPr>
          <w:sz w:val="22"/>
          <w:szCs w:val="22"/>
        </w:rPr>
        <w:t>Mercado Primario</w:t>
      </w:r>
      <w:r w:rsidR="00DD54AF" w:rsidRPr="000E63CD">
        <w:rPr>
          <w:sz w:val="22"/>
          <w:szCs w:val="22"/>
        </w:rPr>
        <w:t xml:space="preserve"> </w:t>
      </w:r>
      <w:r w:rsidR="00C82520" w:rsidRPr="000E63CD">
        <w:rPr>
          <w:sz w:val="22"/>
          <w:szCs w:val="22"/>
        </w:rPr>
        <w:t xml:space="preserve">de </w:t>
      </w:r>
      <w:r w:rsidR="00DD54AF" w:rsidRPr="000E63CD">
        <w:rPr>
          <w:sz w:val="22"/>
          <w:szCs w:val="22"/>
        </w:rPr>
        <w:t xml:space="preserve">las cantidades de gas natural que </w:t>
      </w:r>
      <w:r w:rsidR="00C82520" w:rsidRPr="000E63CD">
        <w:rPr>
          <w:sz w:val="22"/>
          <w:szCs w:val="22"/>
        </w:rPr>
        <w:t>surjan ante los efectos de los eventos mencionados.</w:t>
      </w:r>
    </w:p>
    <w:p w14:paraId="1D352EEF" w14:textId="04D5F4DE" w:rsidR="00A47515" w:rsidRDefault="00A47515" w:rsidP="00A47515">
      <w:pPr>
        <w:rPr>
          <w:sz w:val="22"/>
          <w:szCs w:val="22"/>
        </w:rPr>
      </w:pPr>
    </w:p>
    <w:p w14:paraId="1F1F92C3" w14:textId="77777777" w:rsidR="00D52691" w:rsidRPr="000E63CD" w:rsidRDefault="00D52691" w:rsidP="00A47515">
      <w:pPr>
        <w:rPr>
          <w:sz w:val="22"/>
          <w:szCs w:val="22"/>
        </w:rPr>
      </w:pPr>
    </w:p>
    <w:p w14:paraId="465B8222" w14:textId="6F17228C" w:rsidR="009D3523" w:rsidRPr="004A3DE9" w:rsidRDefault="009D3523" w:rsidP="004A3DE9">
      <w:pPr>
        <w:pStyle w:val="Ttulo2"/>
        <w:rPr>
          <w:sz w:val="22"/>
          <w:szCs w:val="22"/>
        </w:rPr>
      </w:pPr>
      <w:bookmarkStart w:id="457" w:name="_Toc140506228"/>
      <w:r w:rsidRPr="004A3DE9">
        <w:rPr>
          <w:sz w:val="22"/>
          <w:szCs w:val="22"/>
        </w:rPr>
        <w:t xml:space="preserve">Información sobre las nominaciones diarias de </w:t>
      </w:r>
      <w:r w:rsidR="00887F9C" w:rsidRPr="004A3DE9">
        <w:rPr>
          <w:sz w:val="22"/>
          <w:szCs w:val="22"/>
        </w:rPr>
        <w:t>suministro de gas natural</w:t>
      </w:r>
      <w:bookmarkEnd w:id="457"/>
    </w:p>
    <w:p w14:paraId="712CBE5D" w14:textId="097CCD5C" w:rsidR="00BB37FD" w:rsidRPr="000E63CD" w:rsidRDefault="00D255E2" w:rsidP="007916CB">
      <w:pPr>
        <w:rPr>
          <w:sz w:val="22"/>
          <w:szCs w:val="22"/>
        </w:rPr>
      </w:pPr>
      <w:r w:rsidRPr="000E63CD">
        <w:rPr>
          <w:sz w:val="22"/>
          <w:szCs w:val="22"/>
        </w:rPr>
        <w:t xml:space="preserve">Con el fin de </w:t>
      </w:r>
      <w:r w:rsidR="00BB37FD" w:rsidRPr="000E63CD">
        <w:rPr>
          <w:sz w:val="22"/>
          <w:szCs w:val="22"/>
        </w:rPr>
        <w:t xml:space="preserve">obtener la información suficiente para </w:t>
      </w:r>
      <w:r w:rsidR="00D93DC2" w:rsidRPr="000E63CD">
        <w:rPr>
          <w:sz w:val="22"/>
          <w:szCs w:val="22"/>
        </w:rPr>
        <w:t xml:space="preserve">que el </w:t>
      </w:r>
      <w:r w:rsidR="005114C6">
        <w:rPr>
          <w:sz w:val="22"/>
          <w:szCs w:val="22"/>
        </w:rPr>
        <w:t>Gestor del Mercado</w:t>
      </w:r>
      <w:r w:rsidR="004C4F1E">
        <w:rPr>
          <w:sz w:val="22"/>
          <w:szCs w:val="22"/>
        </w:rPr>
        <w:t xml:space="preserve"> de Gas</w:t>
      </w:r>
      <w:r w:rsidR="00D93DC2" w:rsidRPr="000E63CD">
        <w:rPr>
          <w:sz w:val="22"/>
          <w:szCs w:val="22"/>
        </w:rPr>
        <w:t xml:space="preserve"> pueda </w:t>
      </w:r>
      <w:r w:rsidR="00BB37FD" w:rsidRPr="000E63CD">
        <w:rPr>
          <w:sz w:val="22"/>
          <w:szCs w:val="22"/>
        </w:rPr>
        <w:t xml:space="preserve">determinar </w:t>
      </w:r>
      <w:r w:rsidR="00D93DC2" w:rsidRPr="000E63CD">
        <w:rPr>
          <w:sz w:val="22"/>
          <w:szCs w:val="22"/>
        </w:rPr>
        <w:t xml:space="preserve">información relevante del </w:t>
      </w:r>
      <w:r w:rsidR="00BB37FD" w:rsidRPr="000E63CD">
        <w:rPr>
          <w:sz w:val="22"/>
          <w:szCs w:val="22"/>
        </w:rPr>
        <w:t xml:space="preserve">destino </w:t>
      </w:r>
      <w:r w:rsidR="00D93DC2" w:rsidRPr="000E63CD">
        <w:rPr>
          <w:sz w:val="22"/>
          <w:szCs w:val="22"/>
        </w:rPr>
        <w:t xml:space="preserve">final </w:t>
      </w:r>
      <w:r w:rsidR="00BB37FD" w:rsidRPr="000E63CD">
        <w:rPr>
          <w:sz w:val="22"/>
          <w:szCs w:val="22"/>
        </w:rPr>
        <w:t xml:space="preserve">del gas natural que es nominado o </w:t>
      </w:r>
      <w:proofErr w:type="spellStart"/>
      <w:r w:rsidR="00BB37FD" w:rsidRPr="000E63CD">
        <w:rPr>
          <w:sz w:val="22"/>
          <w:szCs w:val="22"/>
        </w:rPr>
        <w:t>renominado</w:t>
      </w:r>
      <w:proofErr w:type="spellEnd"/>
      <w:r w:rsidR="00BB37FD" w:rsidRPr="000E63CD">
        <w:rPr>
          <w:sz w:val="22"/>
          <w:szCs w:val="22"/>
        </w:rPr>
        <w:t xml:space="preserve"> diariamente</w:t>
      </w:r>
      <w:r w:rsidR="00D93DC2" w:rsidRPr="000E63CD">
        <w:rPr>
          <w:sz w:val="22"/>
          <w:szCs w:val="22"/>
        </w:rPr>
        <w:t xml:space="preserve"> a los productores-comercializadores y a los comercializadores de gas importado</w:t>
      </w:r>
      <w:r w:rsidR="00873623" w:rsidRPr="000E63CD">
        <w:rPr>
          <w:sz w:val="22"/>
          <w:szCs w:val="22"/>
        </w:rPr>
        <w:t xml:space="preserve">, se propone </w:t>
      </w:r>
      <w:r w:rsidR="00BE7127" w:rsidRPr="000E63CD">
        <w:rPr>
          <w:sz w:val="22"/>
          <w:szCs w:val="22"/>
        </w:rPr>
        <w:t xml:space="preserve">requerir </w:t>
      </w:r>
      <w:r w:rsidR="00D93DC2" w:rsidRPr="000E63CD">
        <w:rPr>
          <w:sz w:val="22"/>
          <w:szCs w:val="22"/>
        </w:rPr>
        <w:t>a</w:t>
      </w:r>
      <w:r w:rsidR="00BE7127" w:rsidRPr="000E63CD">
        <w:rPr>
          <w:sz w:val="22"/>
          <w:szCs w:val="22"/>
        </w:rPr>
        <w:t xml:space="preserve"> los agentes </w:t>
      </w:r>
      <w:r w:rsidR="00D93DC2" w:rsidRPr="000E63CD">
        <w:rPr>
          <w:sz w:val="22"/>
          <w:szCs w:val="22"/>
        </w:rPr>
        <w:t xml:space="preserve">que </w:t>
      </w:r>
      <w:r w:rsidR="00BE7127" w:rsidRPr="000E63CD">
        <w:rPr>
          <w:sz w:val="22"/>
          <w:szCs w:val="22"/>
        </w:rPr>
        <w:t xml:space="preserve">entreguen </w:t>
      </w:r>
      <w:r w:rsidR="00D52691">
        <w:rPr>
          <w:sz w:val="22"/>
          <w:szCs w:val="22"/>
        </w:rPr>
        <w:t xml:space="preserve">la </w:t>
      </w:r>
      <w:r w:rsidR="00BE7127" w:rsidRPr="000E63CD">
        <w:rPr>
          <w:sz w:val="22"/>
          <w:szCs w:val="22"/>
        </w:rPr>
        <w:t>información</w:t>
      </w:r>
      <w:r w:rsidR="00BB37FD" w:rsidRPr="000E63CD">
        <w:rPr>
          <w:sz w:val="22"/>
          <w:szCs w:val="22"/>
        </w:rPr>
        <w:t xml:space="preserve"> </w:t>
      </w:r>
      <w:r w:rsidR="00BE7127" w:rsidRPr="000E63CD">
        <w:rPr>
          <w:sz w:val="22"/>
          <w:szCs w:val="22"/>
        </w:rPr>
        <w:t xml:space="preserve">al </w:t>
      </w:r>
      <w:r w:rsidR="005114C6">
        <w:rPr>
          <w:sz w:val="22"/>
          <w:szCs w:val="22"/>
        </w:rPr>
        <w:t>Gestor del Mercado</w:t>
      </w:r>
      <w:r w:rsidR="004C4F1E">
        <w:rPr>
          <w:sz w:val="22"/>
          <w:szCs w:val="22"/>
        </w:rPr>
        <w:t xml:space="preserve"> de Gas</w:t>
      </w:r>
      <w:r w:rsidR="004A117D" w:rsidRPr="000E63CD">
        <w:rPr>
          <w:sz w:val="22"/>
          <w:szCs w:val="22"/>
        </w:rPr>
        <w:t>.</w:t>
      </w:r>
      <w:r w:rsidR="005340F1" w:rsidRPr="000E63CD">
        <w:rPr>
          <w:sz w:val="22"/>
          <w:szCs w:val="22"/>
        </w:rPr>
        <w:t xml:space="preserve"> Se considera que esta información debe existir </w:t>
      </w:r>
      <w:r w:rsidR="003849C0" w:rsidRPr="000E63CD">
        <w:rPr>
          <w:sz w:val="22"/>
          <w:szCs w:val="22"/>
        </w:rPr>
        <w:t xml:space="preserve">hoy en día necesariamente </w:t>
      </w:r>
      <w:r w:rsidR="005340F1" w:rsidRPr="000E63CD">
        <w:rPr>
          <w:sz w:val="22"/>
          <w:szCs w:val="22"/>
        </w:rPr>
        <w:t>y no implica operaciones</w:t>
      </w:r>
      <w:r w:rsidR="00316D33">
        <w:rPr>
          <w:sz w:val="22"/>
          <w:szCs w:val="22"/>
        </w:rPr>
        <w:t xml:space="preserve"> o cargas</w:t>
      </w:r>
      <w:r w:rsidR="005340F1" w:rsidRPr="000E63CD">
        <w:rPr>
          <w:sz w:val="22"/>
          <w:szCs w:val="22"/>
        </w:rPr>
        <w:t xml:space="preserve"> adicionales significativas a las que actualmente </w:t>
      </w:r>
      <w:r w:rsidR="003849C0" w:rsidRPr="000E63CD">
        <w:rPr>
          <w:sz w:val="22"/>
          <w:szCs w:val="22"/>
        </w:rPr>
        <w:t>deben desarrollar autónomamente los agentes.</w:t>
      </w:r>
    </w:p>
    <w:p w14:paraId="6EDB099A" w14:textId="194DF977" w:rsidR="007916CB" w:rsidRDefault="00BB37FD" w:rsidP="007916CB">
      <w:pPr>
        <w:rPr>
          <w:sz w:val="22"/>
          <w:szCs w:val="22"/>
        </w:rPr>
      </w:pPr>
      <w:r w:rsidRPr="000E63CD">
        <w:rPr>
          <w:sz w:val="22"/>
          <w:szCs w:val="22"/>
        </w:rPr>
        <w:t xml:space="preserve"> </w:t>
      </w:r>
    </w:p>
    <w:p w14:paraId="5F680DAA" w14:textId="77777777" w:rsidR="00D52691" w:rsidRPr="000E63CD" w:rsidRDefault="00D52691" w:rsidP="007916CB">
      <w:pPr>
        <w:rPr>
          <w:sz w:val="22"/>
          <w:szCs w:val="22"/>
        </w:rPr>
      </w:pPr>
    </w:p>
    <w:p w14:paraId="640C5B3E" w14:textId="654E508E" w:rsidR="007916CB" w:rsidRPr="00256DED" w:rsidRDefault="007916CB" w:rsidP="00596D45">
      <w:pPr>
        <w:pStyle w:val="Ttulo2"/>
        <w:rPr>
          <w:sz w:val="22"/>
          <w:szCs w:val="22"/>
        </w:rPr>
      </w:pPr>
      <w:bookmarkStart w:id="458" w:name="_Toc140506229"/>
      <w:r w:rsidRPr="00256DED">
        <w:rPr>
          <w:sz w:val="22"/>
          <w:szCs w:val="22"/>
        </w:rPr>
        <w:t>Información sobre nominaciones de suministro de gas:</w:t>
      </w:r>
      <w:bookmarkEnd w:id="458"/>
    </w:p>
    <w:p w14:paraId="5A658240" w14:textId="3465CA8D" w:rsidR="000F46BD" w:rsidRPr="000E63CD" w:rsidRDefault="007916CB" w:rsidP="000F46BD">
      <w:pPr>
        <w:rPr>
          <w:sz w:val="22"/>
          <w:szCs w:val="22"/>
        </w:rPr>
      </w:pPr>
      <w:r w:rsidRPr="000E63CD">
        <w:rPr>
          <w:sz w:val="22"/>
          <w:szCs w:val="22"/>
        </w:rPr>
        <w:t xml:space="preserve">Los comercializadores y usuarios no regulados, </w:t>
      </w:r>
      <w:r w:rsidR="00AC32B5">
        <w:rPr>
          <w:sz w:val="22"/>
          <w:szCs w:val="22"/>
        </w:rPr>
        <w:t>Compradores</w:t>
      </w:r>
      <w:r w:rsidRPr="000E63CD">
        <w:rPr>
          <w:sz w:val="22"/>
          <w:szCs w:val="22"/>
        </w:rPr>
        <w:t xml:space="preserve"> en el </w:t>
      </w:r>
      <w:r w:rsidR="00AC32B5">
        <w:rPr>
          <w:sz w:val="22"/>
          <w:szCs w:val="22"/>
        </w:rPr>
        <w:t>Mercado Primario</w:t>
      </w:r>
      <w:r w:rsidRPr="000E63CD">
        <w:rPr>
          <w:sz w:val="22"/>
          <w:szCs w:val="22"/>
        </w:rPr>
        <w:t xml:space="preserve">, deberán declarar al </w:t>
      </w:r>
      <w:r w:rsidR="005114C6">
        <w:rPr>
          <w:sz w:val="22"/>
          <w:szCs w:val="22"/>
        </w:rPr>
        <w:t>Gestor del Mercado</w:t>
      </w:r>
      <w:r w:rsidR="004C4F1E">
        <w:rPr>
          <w:sz w:val="22"/>
          <w:szCs w:val="22"/>
        </w:rPr>
        <w:t xml:space="preserve"> de Gas</w:t>
      </w:r>
      <w:r w:rsidRPr="000E63CD">
        <w:rPr>
          <w:sz w:val="22"/>
          <w:szCs w:val="22"/>
        </w:rPr>
        <w:t xml:space="preserve"> la información de nominación para el día de gas, por cada contrato registrado</w:t>
      </w:r>
      <w:r w:rsidR="00C516FF">
        <w:rPr>
          <w:sz w:val="22"/>
          <w:szCs w:val="22"/>
        </w:rPr>
        <w:t xml:space="preserve">. </w:t>
      </w:r>
      <w:r w:rsidR="000F46BD" w:rsidRPr="000E63CD">
        <w:rPr>
          <w:sz w:val="22"/>
          <w:szCs w:val="22"/>
        </w:rPr>
        <w:t xml:space="preserve">Para lo anterior, el </w:t>
      </w:r>
      <w:r w:rsidR="005114C6">
        <w:rPr>
          <w:sz w:val="22"/>
          <w:szCs w:val="22"/>
        </w:rPr>
        <w:t>Gestor del Mercado</w:t>
      </w:r>
      <w:r w:rsidR="000F46BD">
        <w:rPr>
          <w:sz w:val="22"/>
          <w:szCs w:val="22"/>
        </w:rPr>
        <w:t xml:space="preserve"> de Gas</w:t>
      </w:r>
      <w:r w:rsidR="000F46BD" w:rsidRPr="000E63CD">
        <w:rPr>
          <w:sz w:val="22"/>
          <w:szCs w:val="22"/>
        </w:rPr>
        <w:t xml:space="preserve"> definirá </w:t>
      </w:r>
      <w:r w:rsidR="00C516FF">
        <w:rPr>
          <w:sz w:val="22"/>
          <w:szCs w:val="22"/>
        </w:rPr>
        <w:t>la información esp</w:t>
      </w:r>
      <w:r w:rsidR="002003B3">
        <w:rPr>
          <w:sz w:val="22"/>
          <w:szCs w:val="22"/>
        </w:rPr>
        <w:t>e</w:t>
      </w:r>
      <w:r w:rsidR="00C516FF">
        <w:rPr>
          <w:sz w:val="22"/>
          <w:szCs w:val="22"/>
        </w:rPr>
        <w:t>cífica a entregar</w:t>
      </w:r>
      <w:r w:rsidR="002003B3">
        <w:rPr>
          <w:sz w:val="22"/>
          <w:szCs w:val="22"/>
        </w:rPr>
        <w:t xml:space="preserve">, </w:t>
      </w:r>
      <w:r w:rsidR="000F46BD" w:rsidRPr="000E63CD">
        <w:rPr>
          <w:sz w:val="22"/>
          <w:szCs w:val="22"/>
        </w:rPr>
        <w:t xml:space="preserve">el </w:t>
      </w:r>
      <w:r w:rsidR="002003B3">
        <w:rPr>
          <w:sz w:val="22"/>
          <w:szCs w:val="22"/>
        </w:rPr>
        <w:t xml:space="preserve">momento oportuno para hacerlo, el </w:t>
      </w:r>
      <w:r w:rsidR="000F46BD" w:rsidRPr="000E63CD">
        <w:rPr>
          <w:sz w:val="22"/>
          <w:szCs w:val="22"/>
        </w:rPr>
        <w:t>medio y los formatos para la declaración de la información señalada</w:t>
      </w:r>
      <w:r w:rsidR="002003B3">
        <w:rPr>
          <w:sz w:val="22"/>
          <w:szCs w:val="22"/>
        </w:rPr>
        <w:t xml:space="preserve">, para lo cual </w:t>
      </w:r>
      <w:r w:rsidR="00C516FF" w:rsidRPr="00C516FF">
        <w:rPr>
          <w:sz w:val="22"/>
          <w:szCs w:val="22"/>
        </w:rPr>
        <w:t xml:space="preserve">el </w:t>
      </w:r>
      <w:r w:rsidR="005114C6">
        <w:rPr>
          <w:sz w:val="22"/>
          <w:szCs w:val="22"/>
        </w:rPr>
        <w:t>Gestor del Mercado</w:t>
      </w:r>
      <w:r w:rsidR="00C516FF" w:rsidRPr="00C516FF">
        <w:rPr>
          <w:sz w:val="22"/>
          <w:szCs w:val="22"/>
        </w:rPr>
        <w:t xml:space="preserve"> </w:t>
      </w:r>
      <w:r w:rsidR="002003B3">
        <w:rPr>
          <w:sz w:val="22"/>
          <w:szCs w:val="22"/>
        </w:rPr>
        <w:t xml:space="preserve">presentará una propuesta </w:t>
      </w:r>
      <w:r w:rsidR="00C516FF" w:rsidRPr="00C516FF">
        <w:rPr>
          <w:sz w:val="22"/>
          <w:szCs w:val="22"/>
        </w:rPr>
        <w:t xml:space="preserve">dentro del mes siguiente a la </w:t>
      </w:r>
      <w:proofErr w:type="gramStart"/>
      <w:r w:rsidR="00C516FF" w:rsidRPr="00C516FF">
        <w:rPr>
          <w:sz w:val="22"/>
          <w:szCs w:val="22"/>
        </w:rPr>
        <w:t>entrada en vigencia</w:t>
      </w:r>
      <w:proofErr w:type="gramEnd"/>
      <w:r w:rsidR="00C516FF" w:rsidRPr="00C516FF">
        <w:rPr>
          <w:sz w:val="22"/>
          <w:szCs w:val="22"/>
        </w:rPr>
        <w:t xml:space="preserve"> de la presente Resolución, la cual debe ser adoptada por la CREG mediante resolución aparte</w:t>
      </w:r>
      <w:r w:rsidR="002003B3">
        <w:rPr>
          <w:sz w:val="22"/>
          <w:szCs w:val="22"/>
        </w:rPr>
        <w:t>.</w:t>
      </w:r>
    </w:p>
    <w:p w14:paraId="2FFD0AD0" w14:textId="367D0AC7" w:rsidR="007916CB" w:rsidRDefault="007916CB" w:rsidP="006C2940">
      <w:pPr>
        <w:rPr>
          <w:sz w:val="22"/>
          <w:szCs w:val="22"/>
        </w:rPr>
      </w:pPr>
      <w:r w:rsidRPr="000E63CD">
        <w:rPr>
          <w:sz w:val="22"/>
          <w:szCs w:val="22"/>
        </w:rPr>
        <w:t xml:space="preserve"> </w:t>
      </w:r>
    </w:p>
    <w:p w14:paraId="76135493" w14:textId="77777777" w:rsidR="00256DED" w:rsidRPr="000E63CD" w:rsidRDefault="00256DED" w:rsidP="006C2940">
      <w:pPr>
        <w:rPr>
          <w:sz w:val="22"/>
          <w:szCs w:val="22"/>
        </w:rPr>
      </w:pPr>
    </w:p>
    <w:p w14:paraId="776E0602" w14:textId="45463500" w:rsidR="007916CB" w:rsidRPr="00256DED" w:rsidRDefault="007916CB" w:rsidP="00256DED">
      <w:pPr>
        <w:pStyle w:val="Ttulo2"/>
        <w:rPr>
          <w:sz w:val="22"/>
          <w:szCs w:val="22"/>
        </w:rPr>
      </w:pPr>
      <w:bookmarkStart w:id="459" w:name="_Toc95457673"/>
      <w:bookmarkStart w:id="460" w:name="_Toc140506230"/>
      <w:bookmarkEnd w:id="459"/>
      <w:r w:rsidRPr="00256DED">
        <w:rPr>
          <w:sz w:val="22"/>
          <w:szCs w:val="22"/>
        </w:rPr>
        <w:t xml:space="preserve">Información sobre </w:t>
      </w:r>
      <w:proofErr w:type="spellStart"/>
      <w:r w:rsidRPr="00256DED">
        <w:rPr>
          <w:sz w:val="22"/>
          <w:szCs w:val="22"/>
        </w:rPr>
        <w:t>renominaciones</w:t>
      </w:r>
      <w:proofErr w:type="spellEnd"/>
      <w:r w:rsidRPr="00256DED">
        <w:rPr>
          <w:sz w:val="22"/>
          <w:szCs w:val="22"/>
        </w:rPr>
        <w:t xml:space="preserve"> de suministro de gas</w:t>
      </w:r>
      <w:bookmarkEnd w:id="460"/>
    </w:p>
    <w:p w14:paraId="368BEB37" w14:textId="5B98CD74" w:rsidR="001157C1" w:rsidRPr="0030430F" w:rsidRDefault="00E10CA2" w:rsidP="00887F9C">
      <w:pPr>
        <w:rPr>
          <w:sz w:val="22"/>
          <w:szCs w:val="22"/>
        </w:rPr>
      </w:pPr>
      <w:r w:rsidRPr="0030430F">
        <w:rPr>
          <w:sz w:val="22"/>
          <w:szCs w:val="22"/>
        </w:rPr>
        <w:t xml:space="preserve">Los comercializadores y usuarios no regulados, Compradores en el Mercado Primario, deberán declarar al </w:t>
      </w:r>
      <w:r w:rsidR="005114C6">
        <w:rPr>
          <w:sz w:val="22"/>
          <w:szCs w:val="22"/>
        </w:rPr>
        <w:t>Gestor del Mercado</w:t>
      </w:r>
      <w:r w:rsidRPr="0030430F">
        <w:rPr>
          <w:sz w:val="22"/>
          <w:szCs w:val="22"/>
        </w:rPr>
        <w:t xml:space="preserve"> de Gas la información de </w:t>
      </w:r>
      <w:proofErr w:type="spellStart"/>
      <w:r w:rsidRPr="0030430F">
        <w:rPr>
          <w:sz w:val="22"/>
          <w:szCs w:val="22"/>
        </w:rPr>
        <w:t>renominaciones</w:t>
      </w:r>
      <w:proofErr w:type="spellEnd"/>
      <w:r w:rsidRPr="0030430F">
        <w:rPr>
          <w:sz w:val="22"/>
          <w:szCs w:val="22"/>
        </w:rPr>
        <w:t xml:space="preserve"> del día de gas, por cada contrato registrado. Para lo anterior, el </w:t>
      </w:r>
      <w:r w:rsidR="005114C6">
        <w:rPr>
          <w:sz w:val="22"/>
          <w:szCs w:val="22"/>
        </w:rPr>
        <w:t>Gestor del Mercado</w:t>
      </w:r>
      <w:r w:rsidRPr="0030430F">
        <w:rPr>
          <w:sz w:val="22"/>
          <w:szCs w:val="22"/>
        </w:rPr>
        <w:t xml:space="preserve"> de Gas definirá la información específica a entregar, el momento oportuno para hacerlo, el medio y los formatos para la declaración de la información señalada, para lo cual el </w:t>
      </w:r>
      <w:r w:rsidR="005114C6">
        <w:rPr>
          <w:sz w:val="22"/>
          <w:szCs w:val="22"/>
        </w:rPr>
        <w:t>Gestor del Mercado</w:t>
      </w:r>
      <w:r w:rsidRPr="0030430F">
        <w:rPr>
          <w:sz w:val="22"/>
          <w:szCs w:val="22"/>
        </w:rPr>
        <w:t xml:space="preserve"> presentará una propuesta dentro del mes siguiente a la </w:t>
      </w:r>
      <w:proofErr w:type="gramStart"/>
      <w:r w:rsidRPr="0030430F">
        <w:rPr>
          <w:sz w:val="22"/>
          <w:szCs w:val="22"/>
        </w:rPr>
        <w:t>entrada en vigencia</w:t>
      </w:r>
      <w:proofErr w:type="gramEnd"/>
      <w:r w:rsidRPr="0030430F">
        <w:rPr>
          <w:sz w:val="22"/>
          <w:szCs w:val="22"/>
        </w:rPr>
        <w:t xml:space="preserve"> de la presente Resolución, la cual debe ser adoptada por la CREG mediante resolución aparte</w:t>
      </w:r>
      <w:r w:rsidR="007916CB" w:rsidRPr="0030430F">
        <w:rPr>
          <w:sz w:val="22"/>
          <w:szCs w:val="22"/>
        </w:rPr>
        <w:t>.</w:t>
      </w:r>
    </w:p>
    <w:p w14:paraId="4E12E189" w14:textId="4654FFE6" w:rsidR="00DE14E3" w:rsidRPr="0030430F" w:rsidRDefault="00DE14E3" w:rsidP="00887F9C">
      <w:pPr>
        <w:rPr>
          <w:sz w:val="22"/>
          <w:szCs w:val="22"/>
        </w:rPr>
      </w:pPr>
    </w:p>
    <w:p w14:paraId="45E9EB54" w14:textId="77777777" w:rsidR="00DE14E3" w:rsidRPr="0030430F" w:rsidRDefault="00DE14E3" w:rsidP="00887F9C">
      <w:pPr>
        <w:rPr>
          <w:sz w:val="22"/>
          <w:szCs w:val="22"/>
        </w:rPr>
      </w:pPr>
    </w:p>
    <w:p w14:paraId="1DFFF623" w14:textId="39E1CE71" w:rsidR="00761819" w:rsidRPr="0030430F" w:rsidRDefault="009D066E" w:rsidP="00DE14E3">
      <w:pPr>
        <w:pStyle w:val="Ttulo2"/>
        <w:rPr>
          <w:sz w:val="22"/>
          <w:szCs w:val="22"/>
        </w:rPr>
      </w:pPr>
      <w:bookmarkStart w:id="461" w:name="_Toc140506231"/>
      <w:r w:rsidRPr="0030430F">
        <w:rPr>
          <w:sz w:val="22"/>
          <w:szCs w:val="22"/>
        </w:rPr>
        <w:t xml:space="preserve">Requisitos de contratos de suministro para plantas térmicas con </w:t>
      </w:r>
      <w:proofErr w:type="spellStart"/>
      <w:r w:rsidRPr="0030430F">
        <w:rPr>
          <w:sz w:val="22"/>
          <w:szCs w:val="22"/>
        </w:rPr>
        <w:t>OEFs</w:t>
      </w:r>
      <w:proofErr w:type="spellEnd"/>
      <w:r w:rsidRPr="0030430F">
        <w:rPr>
          <w:sz w:val="22"/>
          <w:szCs w:val="22"/>
        </w:rPr>
        <w:t xml:space="preserve"> y con combustible principal gas natural</w:t>
      </w:r>
      <w:bookmarkEnd w:id="461"/>
    </w:p>
    <w:p w14:paraId="2E851229" w14:textId="26B99A2C" w:rsidR="00761819" w:rsidRPr="0030430F" w:rsidRDefault="00761819" w:rsidP="00761819">
      <w:pPr>
        <w:rPr>
          <w:sz w:val="22"/>
          <w:szCs w:val="22"/>
        </w:rPr>
      </w:pPr>
      <w:r w:rsidRPr="0030430F">
        <w:rPr>
          <w:sz w:val="22"/>
          <w:szCs w:val="22"/>
        </w:rPr>
        <w:t>Todos los contratos de suministro que se destinen por los Participantes del Mercado Primario para la atención de Obligaciones de Energía en Firme, OEF, de las plantas Termoeléctricas, deben contar con Respaldo Físico, y para poder suscribir dichos contratos se deberá declarar, detallar y motivar el Respaldo Físico exigido.</w:t>
      </w:r>
    </w:p>
    <w:p w14:paraId="395C4AA6" w14:textId="24A892C8" w:rsidR="009D066E" w:rsidRPr="0030430F" w:rsidRDefault="009D066E" w:rsidP="00761819">
      <w:pPr>
        <w:rPr>
          <w:sz w:val="22"/>
          <w:szCs w:val="22"/>
        </w:rPr>
      </w:pPr>
    </w:p>
    <w:p w14:paraId="7213B947" w14:textId="01FE3E4A" w:rsidR="009D066E" w:rsidRPr="0030430F" w:rsidRDefault="009D066E" w:rsidP="00761819">
      <w:pPr>
        <w:rPr>
          <w:sz w:val="22"/>
          <w:szCs w:val="22"/>
        </w:rPr>
      </w:pPr>
      <w:r w:rsidRPr="0030430F">
        <w:rPr>
          <w:sz w:val="22"/>
          <w:szCs w:val="22"/>
        </w:rPr>
        <w:t>Se considera necesario dar señales a los usuarios del sector termoeléctrico de modo que contraten el suministro de gas importado con Respaldo Físico, con la posibilidad para estos agentes de suscribir contratos de largo plazo y así mantener disponible las infraestructuras de regasificación para el aseguramiento del abastecimiento.</w:t>
      </w:r>
    </w:p>
    <w:p w14:paraId="7371CC08" w14:textId="6FAD4D62" w:rsidR="00761819" w:rsidRPr="0030430F" w:rsidRDefault="00761819" w:rsidP="00761819">
      <w:pPr>
        <w:rPr>
          <w:sz w:val="22"/>
          <w:szCs w:val="22"/>
        </w:rPr>
      </w:pPr>
    </w:p>
    <w:p w14:paraId="667E99D1" w14:textId="77777777" w:rsidR="00761819" w:rsidRPr="0030430F" w:rsidRDefault="00761819" w:rsidP="009D066E">
      <w:pPr>
        <w:rPr>
          <w:sz w:val="22"/>
          <w:szCs w:val="22"/>
        </w:rPr>
      </w:pPr>
    </w:p>
    <w:p w14:paraId="07DC32A7" w14:textId="37B7B711" w:rsidR="00540CEE" w:rsidRPr="0030430F" w:rsidRDefault="00540CEE" w:rsidP="00DE14E3">
      <w:pPr>
        <w:pStyle w:val="Ttulo2"/>
        <w:rPr>
          <w:sz w:val="22"/>
          <w:szCs w:val="22"/>
        </w:rPr>
      </w:pPr>
      <w:bookmarkStart w:id="462" w:name="_Ref130637514"/>
      <w:bookmarkStart w:id="463" w:name="_Toc140506232"/>
      <w:r w:rsidRPr="0030430F">
        <w:rPr>
          <w:sz w:val="22"/>
          <w:szCs w:val="22"/>
        </w:rPr>
        <w:t>Registro de contratos sin necesidad de haber usado el MADE</w:t>
      </w:r>
      <w:bookmarkEnd w:id="462"/>
      <w:bookmarkEnd w:id="463"/>
    </w:p>
    <w:p w14:paraId="2C2AB2F0" w14:textId="68A9E4F8" w:rsidR="00E503E4" w:rsidRPr="0030430F" w:rsidRDefault="00E503E4" w:rsidP="00E503E4">
      <w:pPr>
        <w:rPr>
          <w:sz w:val="22"/>
          <w:szCs w:val="22"/>
        </w:rPr>
      </w:pPr>
      <w:r w:rsidRPr="0030430F">
        <w:rPr>
          <w:sz w:val="22"/>
          <w:szCs w:val="22"/>
        </w:rPr>
        <w:t>Con el fin de flexibilizar la negociación de los participantes del mercado primario con respecto a campos en exploración que se encuentran en pruebas o que no han declarado comercialidad, se propone un esquema de gestión contractual que permita a los vendedores eventualmente suscrib</w:t>
      </w:r>
      <w:r w:rsidR="001F4067" w:rsidRPr="0030430F">
        <w:rPr>
          <w:sz w:val="22"/>
          <w:szCs w:val="22"/>
        </w:rPr>
        <w:t xml:space="preserve">ir </w:t>
      </w:r>
      <w:r w:rsidRPr="0030430F">
        <w:rPr>
          <w:sz w:val="22"/>
          <w:szCs w:val="22"/>
        </w:rPr>
        <w:t xml:space="preserve">con </w:t>
      </w:r>
      <w:r w:rsidR="001F4067" w:rsidRPr="0030430F">
        <w:rPr>
          <w:sz w:val="22"/>
          <w:szCs w:val="22"/>
        </w:rPr>
        <w:t xml:space="preserve">los </w:t>
      </w:r>
      <w:r w:rsidRPr="0030430F">
        <w:rPr>
          <w:sz w:val="22"/>
          <w:szCs w:val="22"/>
        </w:rPr>
        <w:t xml:space="preserve">compradores </w:t>
      </w:r>
      <w:r w:rsidR="0041042A">
        <w:rPr>
          <w:sz w:val="22"/>
          <w:szCs w:val="22"/>
        </w:rPr>
        <w:t xml:space="preserve">que atiendan cualquier tipo de sector de consumo de gas natural así no estén incluidas en la Demanda Esencial, </w:t>
      </w:r>
      <w:r w:rsidR="001F4067" w:rsidRPr="0030430F">
        <w:rPr>
          <w:sz w:val="22"/>
          <w:szCs w:val="22"/>
        </w:rPr>
        <w:t xml:space="preserve">y registrar contratos </w:t>
      </w:r>
      <w:r w:rsidRPr="0030430F">
        <w:rPr>
          <w:sz w:val="22"/>
          <w:szCs w:val="22"/>
        </w:rPr>
        <w:t>mediante modalidades particulares adecuadas para la condición del campo</w:t>
      </w:r>
      <w:r w:rsidR="001F4067" w:rsidRPr="0030430F">
        <w:rPr>
          <w:sz w:val="22"/>
          <w:szCs w:val="22"/>
        </w:rPr>
        <w:t xml:space="preserve"> en el momento de la suscripción y registro</w:t>
      </w:r>
      <w:r w:rsidRPr="0030430F">
        <w:rPr>
          <w:sz w:val="22"/>
          <w:szCs w:val="22"/>
        </w:rPr>
        <w:t xml:space="preserve">. Lo anterior bajo el supuesto de que dichos campos no tienen declaradas Reservas de Gas Natural al momento en que suscriben </w:t>
      </w:r>
      <w:r w:rsidR="001F4067" w:rsidRPr="0030430F">
        <w:rPr>
          <w:sz w:val="22"/>
          <w:szCs w:val="22"/>
        </w:rPr>
        <w:t>los</w:t>
      </w:r>
      <w:r w:rsidRPr="0030430F">
        <w:rPr>
          <w:sz w:val="22"/>
          <w:szCs w:val="22"/>
        </w:rPr>
        <w:t xml:space="preserve"> contrato</w:t>
      </w:r>
      <w:r w:rsidR="001F4067" w:rsidRPr="0030430F">
        <w:rPr>
          <w:sz w:val="22"/>
          <w:szCs w:val="22"/>
        </w:rPr>
        <w:t>s</w:t>
      </w:r>
      <w:r w:rsidRPr="0030430F">
        <w:rPr>
          <w:sz w:val="22"/>
          <w:szCs w:val="22"/>
        </w:rPr>
        <w:t xml:space="preserve"> particular</w:t>
      </w:r>
      <w:r w:rsidR="001F4067" w:rsidRPr="0030430F">
        <w:rPr>
          <w:sz w:val="22"/>
          <w:szCs w:val="22"/>
        </w:rPr>
        <w:t>es</w:t>
      </w:r>
      <w:r w:rsidRPr="0030430F">
        <w:rPr>
          <w:sz w:val="22"/>
          <w:szCs w:val="22"/>
        </w:rPr>
        <w:t>.</w:t>
      </w:r>
    </w:p>
    <w:p w14:paraId="384D14EB" w14:textId="77777777" w:rsidR="00E503E4" w:rsidRPr="0030430F" w:rsidRDefault="00E503E4" w:rsidP="00E503E4">
      <w:pPr>
        <w:rPr>
          <w:sz w:val="22"/>
          <w:szCs w:val="22"/>
        </w:rPr>
      </w:pPr>
    </w:p>
    <w:p w14:paraId="53336D76" w14:textId="1FDA2C01" w:rsidR="003A5192" w:rsidRPr="0030430F" w:rsidRDefault="00E503E4" w:rsidP="00E503E4">
      <w:pPr>
        <w:rPr>
          <w:sz w:val="22"/>
          <w:szCs w:val="22"/>
        </w:rPr>
      </w:pPr>
      <w:r w:rsidRPr="0030430F">
        <w:rPr>
          <w:sz w:val="22"/>
          <w:szCs w:val="22"/>
        </w:rPr>
        <w:t xml:space="preserve">En </w:t>
      </w:r>
      <w:r w:rsidR="001F4067" w:rsidRPr="0030430F">
        <w:rPr>
          <w:sz w:val="22"/>
          <w:szCs w:val="22"/>
        </w:rPr>
        <w:t xml:space="preserve">desarrollo de lo anterior, </w:t>
      </w:r>
      <w:r w:rsidRPr="0030430F">
        <w:rPr>
          <w:sz w:val="22"/>
          <w:szCs w:val="22"/>
        </w:rPr>
        <w:t>los productores-comercializadores podr</w:t>
      </w:r>
      <w:r w:rsidR="006A3C08" w:rsidRPr="0030430F">
        <w:rPr>
          <w:sz w:val="22"/>
          <w:szCs w:val="22"/>
        </w:rPr>
        <w:t>ía</w:t>
      </w:r>
      <w:r w:rsidRPr="0030430F">
        <w:rPr>
          <w:sz w:val="22"/>
          <w:szCs w:val="22"/>
        </w:rPr>
        <w:t>n suscribir contratos de suministro con compradores del mercado primario por fuera de las modalidades contractuales establecidas en la propuesta de Resolución</w:t>
      </w:r>
      <w:r w:rsidR="003A5192" w:rsidRPr="0030430F">
        <w:rPr>
          <w:sz w:val="22"/>
          <w:szCs w:val="22"/>
        </w:rPr>
        <w:t>, en los que se puede establecer entre otros, compromisos de un suministro firme o con garantía de firmeza dad</w:t>
      </w:r>
      <w:r w:rsidR="006A3C08" w:rsidRPr="0030430F">
        <w:rPr>
          <w:sz w:val="22"/>
          <w:szCs w:val="22"/>
        </w:rPr>
        <w:t>o</w:t>
      </w:r>
      <w:r w:rsidR="003A5192" w:rsidRPr="0030430F">
        <w:rPr>
          <w:sz w:val="22"/>
          <w:szCs w:val="22"/>
        </w:rPr>
        <w:t xml:space="preserve"> el cumplimiento de la condición de que el campo declare posteriormente comercialidad</w:t>
      </w:r>
      <w:r w:rsidR="001F4067" w:rsidRPr="0030430F">
        <w:rPr>
          <w:sz w:val="22"/>
          <w:szCs w:val="22"/>
        </w:rPr>
        <w:t xml:space="preserve">, </w:t>
      </w:r>
      <w:r w:rsidR="003A5192" w:rsidRPr="0030430F">
        <w:rPr>
          <w:sz w:val="22"/>
          <w:szCs w:val="22"/>
        </w:rPr>
        <w:t xml:space="preserve">declare reservas y </w:t>
      </w:r>
      <w:r w:rsidR="001F4067" w:rsidRPr="0030430F">
        <w:rPr>
          <w:sz w:val="22"/>
          <w:szCs w:val="22"/>
        </w:rPr>
        <w:t>cuente con</w:t>
      </w:r>
      <w:r w:rsidR="003A5192" w:rsidRPr="0030430F">
        <w:rPr>
          <w:sz w:val="22"/>
          <w:szCs w:val="22"/>
        </w:rPr>
        <w:t xml:space="preserve"> potencial de producción </w:t>
      </w:r>
      <w:r w:rsidR="001F4067" w:rsidRPr="0030430F">
        <w:rPr>
          <w:sz w:val="22"/>
          <w:szCs w:val="22"/>
        </w:rPr>
        <w:t xml:space="preserve">disponible para la venta </w:t>
      </w:r>
      <w:r w:rsidR="003A5192" w:rsidRPr="0030430F">
        <w:rPr>
          <w:sz w:val="22"/>
          <w:szCs w:val="22"/>
        </w:rPr>
        <w:t>(PTDV)</w:t>
      </w:r>
      <w:r w:rsidRPr="0030430F">
        <w:rPr>
          <w:sz w:val="22"/>
          <w:szCs w:val="22"/>
        </w:rPr>
        <w:t xml:space="preserve">. </w:t>
      </w:r>
      <w:r w:rsidR="003A5192" w:rsidRPr="0030430F">
        <w:rPr>
          <w:sz w:val="22"/>
          <w:szCs w:val="22"/>
        </w:rPr>
        <w:t>L</w:t>
      </w:r>
      <w:r w:rsidRPr="0030430F">
        <w:rPr>
          <w:sz w:val="22"/>
          <w:szCs w:val="22"/>
        </w:rPr>
        <w:t xml:space="preserve">os contratos suscritos deberán registrarse ante el </w:t>
      </w:r>
      <w:r w:rsidR="005114C6">
        <w:rPr>
          <w:sz w:val="22"/>
          <w:szCs w:val="22"/>
        </w:rPr>
        <w:t>Gestor del Mercado</w:t>
      </w:r>
      <w:r w:rsidRPr="0030430F">
        <w:rPr>
          <w:sz w:val="22"/>
          <w:szCs w:val="22"/>
        </w:rPr>
        <w:t xml:space="preserve">, con la información que en ese momento sea posible determinar de acuerdo con el Anexo 1 de la propuesta. </w:t>
      </w:r>
    </w:p>
    <w:p w14:paraId="3451098E" w14:textId="77777777" w:rsidR="001F4067" w:rsidRPr="0030430F" w:rsidRDefault="001F4067" w:rsidP="00E503E4">
      <w:pPr>
        <w:rPr>
          <w:sz w:val="22"/>
          <w:szCs w:val="22"/>
        </w:rPr>
      </w:pPr>
    </w:p>
    <w:p w14:paraId="38D77111" w14:textId="1B153032" w:rsidR="001F4067" w:rsidRPr="0030430F" w:rsidRDefault="003A5192" w:rsidP="00E503E4">
      <w:pPr>
        <w:rPr>
          <w:sz w:val="22"/>
          <w:szCs w:val="22"/>
        </w:rPr>
      </w:pPr>
      <w:r w:rsidRPr="0030430F">
        <w:rPr>
          <w:sz w:val="22"/>
          <w:szCs w:val="22"/>
        </w:rPr>
        <w:t xml:space="preserve">Una vez declarada la comercialidad del </w:t>
      </w:r>
      <w:r w:rsidR="001F4067" w:rsidRPr="0030430F">
        <w:rPr>
          <w:sz w:val="22"/>
          <w:szCs w:val="22"/>
        </w:rPr>
        <w:t xml:space="preserve">campo </w:t>
      </w:r>
      <w:r w:rsidRPr="0030430F">
        <w:rPr>
          <w:sz w:val="22"/>
          <w:szCs w:val="22"/>
        </w:rPr>
        <w:t>de producción,</w:t>
      </w:r>
      <w:r w:rsidR="0041042A">
        <w:rPr>
          <w:sz w:val="22"/>
          <w:szCs w:val="22"/>
        </w:rPr>
        <w:t xml:space="preserve"> en caso de que se dé,</w:t>
      </w:r>
      <w:r w:rsidRPr="0030430F">
        <w:rPr>
          <w:sz w:val="22"/>
          <w:szCs w:val="22"/>
        </w:rPr>
        <w:t xml:space="preserve"> las partes del contrato previamente registrado ante el </w:t>
      </w:r>
      <w:r w:rsidR="005114C6">
        <w:rPr>
          <w:sz w:val="22"/>
          <w:szCs w:val="22"/>
        </w:rPr>
        <w:t>Gestor del Mercado</w:t>
      </w:r>
      <w:r w:rsidRPr="0030430F">
        <w:rPr>
          <w:sz w:val="22"/>
          <w:szCs w:val="22"/>
        </w:rPr>
        <w:t xml:space="preserve"> deberán registrar un </w:t>
      </w:r>
      <w:r w:rsidR="001F4067" w:rsidRPr="0030430F">
        <w:rPr>
          <w:sz w:val="22"/>
          <w:szCs w:val="22"/>
        </w:rPr>
        <w:t xml:space="preserve">nuevo </w:t>
      </w:r>
      <w:r w:rsidRPr="0030430F">
        <w:rPr>
          <w:sz w:val="22"/>
          <w:szCs w:val="22"/>
        </w:rPr>
        <w:t>contrato</w:t>
      </w:r>
      <w:r w:rsidR="001F4067" w:rsidRPr="0030430F">
        <w:rPr>
          <w:sz w:val="22"/>
          <w:szCs w:val="22"/>
        </w:rPr>
        <w:t xml:space="preserve">, que es resultado del contrato inicialmente registrado ante el </w:t>
      </w:r>
      <w:r w:rsidR="005114C6">
        <w:rPr>
          <w:sz w:val="22"/>
          <w:szCs w:val="22"/>
        </w:rPr>
        <w:t>Gestor del Mercado</w:t>
      </w:r>
      <w:r w:rsidR="001F4067" w:rsidRPr="0030430F">
        <w:rPr>
          <w:sz w:val="22"/>
          <w:szCs w:val="22"/>
        </w:rPr>
        <w:t xml:space="preserve"> antes de la declaración de comercialidad</w:t>
      </w:r>
      <w:r w:rsidR="006A3C08" w:rsidRPr="0030430F">
        <w:rPr>
          <w:sz w:val="22"/>
          <w:szCs w:val="22"/>
        </w:rPr>
        <w:t xml:space="preserve">. Sin embargo, </w:t>
      </w:r>
      <w:r w:rsidR="001F4067" w:rsidRPr="0030430F">
        <w:rPr>
          <w:sz w:val="22"/>
          <w:szCs w:val="22"/>
        </w:rPr>
        <w:t xml:space="preserve">esta vez </w:t>
      </w:r>
      <w:r w:rsidRPr="0030430F">
        <w:rPr>
          <w:sz w:val="22"/>
          <w:szCs w:val="22"/>
        </w:rPr>
        <w:t>de acuerdo con las modalidades contractuales establecidas por la CREG</w:t>
      </w:r>
      <w:r w:rsidR="001F4067" w:rsidRPr="0030430F">
        <w:rPr>
          <w:sz w:val="22"/>
          <w:szCs w:val="22"/>
        </w:rPr>
        <w:t xml:space="preserve"> </w:t>
      </w:r>
      <w:r w:rsidR="006A3C08" w:rsidRPr="0030430F">
        <w:rPr>
          <w:sz w:val="22"/>
          <w:szCs w:val="22"/>
        </w:rPr>
        <w:t xml:space="preserve">vigentes </w:t>
      </w:r>
      <w:r w:rsidR="001F4067" w:rsidRPr="0030430F">
        <w:rPr>
          <w:sz w:val="22"/>
          <w:szCs w:val="22"/>
        </w:rPr>
        <w:t>para contratos firmes o con garantía de firmeza.</w:t>
      </w:r>
      <w:r w:rsidRPr="0030430F">
        <w:rPr>
          <w:sz w:val="22"/>
          <w:szCs w:val="22"/>
        </w:rPr>
        <w:t xml:space="preserve"> </w:t>
      </w:r>
      <w:r w:rsidR="006A3C08" w:rsidRPr="0030430F">
        <w:rPr>
          <w:sz w:val="22"/>
          <w:szCs w:val="22"/>
        </w:rPr>
        <w:t xml:space="preserve">Lo anterior sin necesidad de que el productor-comercializador declare al </w:t>
      </w:r>
      <w:r w:rsidR="005114C6">
        <w:rPr>
          <w:sz w:val="22"/>
          <w:szCs w:val="22"/>
        </w:rPr>
        <w:t>Gestor del Mercado</w:t>
      </w:r>
      <w:r w:rsidR="006A3C08" w:rsidRPr="0030430F">
        <w:rPr>
          <w:sz w:val="22"/>
          <w:szCs w:val="22"/>
        </w:rPr>
        <w:t xml:space="preserve">, dentro del MADE, las cantidades que se han viabilizado con la declaración de comercialidad del campo como oferta para venta en firme, ni que el comprador declare el </w:t>
      </w:r>
      <w:r w:rsidR="005114C6">
        <w:rPr>
          <w:sz w:val="22"/>
          <w:szCs w:val="22"/>
        </w:rPr>
        <w:t>Gestor del Mercado</w:t>
      </w:r>
      <w:r w:rsidR="006A3C08" w:rsidRPr="0030430F">
        <w:rPr>
          <w:sz w:val="22"/>
          <w:szCs w:val="22"/>
        </w:rPr>
        <w:t xml:space="preserve"> dentro del MADE las cantidades de compra que se comprometieron en el contrato que se registra bajo la modalidad CREG.</w:t>
      </w:r>
    </w:p>
    <w:p w14:paraId="0EAF2856" w14:textId="0E8B2769" w:rsidR="00E503E4" w:rsidRPr="0030430F" w:rsidRDefault="00E503E4" w:rsidP="00E503E4">
      <w:pPr>
        <w:rPr>
          <w:sz w:val="22"/>
          <w:szCs w:val="22"/>
          <w:highlight w:val="magenta"/>
        </w:rPr>
      </w:pPr>
    </w:p>
    <w:p w14:paraId="0B739C0C" w14:textId="77777777" w:rsidR="00E503E4" w:rsidRPr="0030430F" w:rsidRDefault="00E503E4" w:rsidP="00E503E4">
      <w:pPr>
        <w:rPr>
          <w:sz w:val="22"/>
          <w:szCs w:val="22"/>
          <w:highlight w:val="magenta"/>
        </w:rPr>
      </w:pPr>
    </w:p>
    <w:p w14:paraId="6C02FB62" w14:textId="3BF38258" w:rsidR="007C6D36" w:rsidRPr="0030430F" w:rsidRDefault="007C6D36" w:rsidP="00DE14E3">
      <w:pPr>
        <w:pStyle w:val="Ttulo2"/>
        <w:rPr>
          <w:sz w:val="22"/>
          <w:szCs w:val="22"/>
        </w:rPr>
      </w:pPr>
      <w:bookmarkStart w:id="464" w:name="_Ref130805559"/>
      <w:bookmarkStart w:id="465" w:name="_Toc140506233"/>
      <w:r w:rsidRPr="0030430F">
        <w:rPr>
          <w:sz w:val="22"/>
          <w:szCs w:val="22"/>
        </w:rPr>
        <w:t>Ecuaciones de actualización periódica de los precios iniciales</w:t>
      </w:r>
      <w:bookmarkEnd w:id="464"/>
      <w:bookmarkEnd w:id="465"/>
    </w:p>
    <w:p w14:paraId="7BBAF0FE" w14:textId="7FFA4B35" w:rsidR="007C6D36" w:rsidRPr="0030430F" w:rsidRDefault="006A3C08" w:rsidP="007C6D36">
      <w:pPr>
        <w:rPr>
          <w:sz w:val="22"/>
          <w:szCs w:val="22"/>
        </w:rPr>
      </w:pPr>
      <w:r w:rsidRPr="0030430F">
        <w:rPr>
          <w:sz w:val="22"/>
          <w:szCs w:val="22"/>
        </w:rPr>
        <w:t>Se propone</w:t>
      </w:r>
      <w:r w:rsidR="00042A61" w:rsidRPr="0030430F">
        <w:rPr>
          <w:sz w:val="22"/>
          <w:szCs w:val="22"/>
        </w:rPr>
        <w:t>n</w:t>
      </w:r>
      <w:r w:rsidRPr="0030430F">
        <w:rPr>
          <w:sz w:val="22"/>
          <w:szCs w:val="22"/>
        </w:rPr>
        <w:t xml:space="preserve"> ajustes a las fórmulas actualmente vigentes para </w:t>
      </w:r>
      <w:r w:rsidR="00EF10DC">
        <w:rPr>
          <w:sz w:val="22"/>
          <w:szCs w:val="22"/>
        </w:rPr>
        <w:t xml:space="preserve">la </w:t>
      </w:r>
      <w:r w:rsidRPr="0030430F">
        <w:rPr>
          <w:sz w:val="22"/>
          <w:szCs w:val="22"/>
        </w:rPr>
        <w:t xml:space="preserve">actualización de precios en contratos de duración </w:t>
      </w:r>
      <w:proofErr w:type="spellStart"/>
      <w:r w:rsidRPr="0030430F">
        <w:rPr>
          <w:sz w:val="22"/>
          <w:szCs w:val="22"/>
        </w:rPr>
        <w:t>multi</w:t>
      </w:r>
      <w:r w:rsidR="00CB01A3">
        <w:rPr>
          <w:sz w:val="22"/>
          <w:szCs w:val="22"/>
        </w:rPr>
        <w:t>trimestral</w:t>
      </w:r>
      <w:proofErr w:type="spellEnd"/>
      <w:r w:rsidRPr="0030430F">
        <w:rPr>
          <w:sz w:val="22"/>
          <w:szCs w:val="22"/>
        </w:rPr>
        <w:t xml:space="preserve">, en </w:t>
      </w:r>
      <w:r w:rsidR="00042A61" w:rsidRPr="0030430F">
        <w:rPr>
          <w:sz w:val="22"/>
          <w:szCs w:val="22"/>
        </w:rPr>
        <w:t>varios</w:t>
      </w:r>
      <w:r w:rsidRPr="0030430F">
        <w:rPr>
          <w:sz w:val="22"/>
          <w:szCs w:val="22"/>
        </w:rPr>
        <w:t xml:space="preserve"> sentidos</w:t>
      </w:r>
      <w:r w:rsidR="00BE6B6B" w:rsidRPr="0030430F">
        <w:rPr>
          <w:sz w:val="22"/>
          <w:szCs w:val="22"/>
        </w:rPr>
        <w:t xml:space="preserve"> que tienen por objetivo viabilizar contratos de mayor plazo sin que al riesgo de establecer inicialmente unos índices de precios que eventualmente dejan de ser verdaderos referentes y </w:t>
      </w:r>
      <w:r w:rsidR="00EF10DC">
        <w:rPr>
          <w:sz w:val="22"/>
          <w:szCs w:val="22"/>
        </w:rPr>
        <w:t xml:space="preserve">puedan afectar el </w:t>
      </w:r>
      <w:r w:rsidR="00BE6B6B" w:rsidRPr="0030430F">
        <w:rPr>
          <w:sz w:val="22"/>
          <w:szCs w:val="22"/>
        </w:rPr>
        <w:t>equilibrio contractual de alguna de las partes, lleven a terminar los contratos de manera anticipada</w:t>
      </w:r>
      <w:r w:rsidR="002E788F" w:rsidRPr="0030430F">
        <w:rPr>
          <w:sz w:val="22"/>
          <w:szCs w:val="22"/>
        </w:rPr>
        <w:t xml:space="preserve"> o a suscribirlos de muy corto plazo</w:t>
      </w:r>
      <w:r w:rsidR="00BE6B6B" w:rsidRPr="0030430F">
        <w:rPr>
          <w:sz w:val="22"/>
          <w:szCs w:val="22"/>
        </w:rPr>
        <w:t xml:space="preserve">. Del mismo modo, en reconocimiento de la flexibilidad que se </w:t>
      </w:r>
      <w:r w:rsidR="002E788F" w:rsidRPr="0030430F">
        <w:rPr>
          <w:sz w:val="22"/>
          <w:szCs w:val="22"/>
        </w:rPr>
        <w:t>considera necesario dar</w:t>
      </w:r>
      <w:r w:rsidR="00BE6B6B" w:rsidRPr="0030430F">
        <w:rPr>
          <w:sz w:val="22"/>
          <w:szCs w:val="22"/>
        </w:rPr>
        <w:t xml:space="preserve"> para el caso del gas natural que se obtiene en el exterior en mercados internacionales de gas natural licuado particularmente</w:t>
      </w:r>
      <w:r w:rsidRPr="0030430F">
        <w:rPr>
          <w:sz w:val="22"/>
          <w:szCs w:val="22"/>
        </w:rPr>
        <w:t>:</w:t>
      </w:r>
    </w:p>
    <w:p w14:paraId="1F45CF98" w14:textId="5439AB72" w:rsidR="006A3C08" w:rsidRPr="0030430F" w:rsidRDefault="006A3C08" w:rsidP="007C6D36">
      <w:pPr>
        <w:rPr>
          <w:sz w:val="22"/>
          <w:szCs w:val="22"/>
        </w:rPr>
      </w:pPr>
    </w:p>
    <w:p w14:paraId="43731B37" w14:textId="462B4E5B" w:rsidR="006A3C08" w:rsidRPr="0030430F" w:rsidRDefault="006A3C08">
      <w:pPr>
        <w:pStyle w:val="Prrafodelista"/>
        <w:numPr>
          <w:ilvl w:val="0"/>
          <w:numId w:val="24"/>
        </w:numPr>
        <w:rPr>
          <w:sz w:val="22"/>
          <w:szCs w:val="22"/>
        </w:rPr>
      </w:pPr>
      <w:r w:rsidRPr="0030430F">
        <w:rPr>
          <w:sz w:val="22"/>
          <w:szCs w:val="22"/>
        </w:rPr>
        <w:t>Deja de ser obligatorio la aplicación de las fórmulas de actualización establecidas en el Anexo, tanto para contratos vigentes como para contratos nuevos, en donde ello hubiese así determinado por las condiciones del contrato</w:t>
      </w:r>
      <w:r w:rsidR="00042A61" w:rsidRPr="0030430F">
        <w:rPr>
          <w:sz w:val="22"/>
          <w:szCs w:val="22"/>
        </w:rPr>
        <w:t xml:space="preserve"> y de la regulación</w:t>
      </w:r>
      <w:r w:rsidRPr="0030430F">
        <w:rPr>
          <w:sz w:val="22"/>
          <w:szCs w:val="22"/>
        </w:rPr>
        <w:t xml:space="preserve">. </w:t>
      </w:r>
    </w:p>
    <w:p w14:paraId="449011B1" w14:textId="77777777" w:rsidR="006A3C08" w:rsidRPr="0030430F" w:rsidRDefault="006A3C08" w:rsidP="006A3C08">
      <w:pPr>
        <w:pStyle w:val="Prrafodelista"/>
        <w:ind w:left="360"/>
        <w:rPr>
          <w:sz w:val="22"/>
          <w:szCs w:val="22"/>
        </w:rPr>
      </w:pPr>
    </w:p>
    <w:p w14:paraId="50A8F2F9" w14:textId="70965701" w:rsidR="006A3C08" w:rsidRPr="0030430F" w:rsidRDefault="006A3C08">
      <w:pPr>
        <w:pStyle w:val="Prrafodelista"/>
        <w:numPr>
          <w:ilvl w:val="0"/>
          <w:numId w:val="24"/>
        </w:numPr>
        <w:rPr>
          <w:sz w:val="22"/>
          <w:szCs w:val="22"/>
        </w:rPr>
      </w:pPr>
      <w:r w:rsidRPr="0030430F">
        <w:rPr>
          <w:sz w:val="22"/>
          <w:szCs w:val="22"/>
        </w:rPr>
        <w:t xml:space="preserve">Se deja una sola fórmula de actualización de precios </w:t>
      </w:r>
      <w:r w:rsidR="00042A61" w:rsidRPr="0030430F">
        <w:rPr>
          <w:sz w:val="22"/>
          <w:szCs w:val="22"/>
        </w:rPr>
        <w:t>a aplicar en</w:t>
      </w:r>
      <w:r w:rsidRPr="0030430F">
        <w:rPr>
          <w:sz w:val="22"/>
          <w:szCs w:val="22"/>
        </w:rPr>
        <w:t xml:space="preserve"> contratos de duración mayor a un año, cuya aplicación podrá ser pactada entre las partes en forma voluntaria, permitiéndose que se establezcan en el contrato de suministro diferentes ecuaciones de actualización, incluso para contratos de duración menor a un año sin que en ningún caso la actualización se pueda realizar en período menores a un trimestre estándar. En todo caso, si las partes del contrato no se ponen de acuerdo en la utilización de fórmulas diferentes a las establecidas en el Anexo de la propuesta, se deberán entonces aplicar las fórmulas de actualización</w:t>
      </w:r>
      <w:r w:rsidR="00AD575E">
        <w:rPr>
          <w:sz w:val="22"/>
          <w:szCs w:val="22"/>
        </w:rPr>
        <w:t xml:space="preserve"> y condiciones</w:t>
      </w:r>
      <w:r w:rsidRPr="0030430F">
        <w:rPr>
          <w:sz w:val="22"/>
          <w:szCs w:val="22"/>
        </w:rPr>
        <w:t xml:space="preserve"> establecidas en el Anexo con un factor </w:t>
      </w:r>
      <w:r w:rsidR="00042A61" w:rsidRPr="0030430F">
        <w:rPr>
          <w:sz w:val="22"/>
          <w:szCs w:val="22"/>
        </w:rPr>
        <w:t xml:space="preserve">Beta </w:t>
      </w:r>
      <m:oMath>
        <m:r>
          <w:rPr>
            <w:rFonts w:ascii="Cambria Math" w:hAnsi="Cambria Math" w:cs="Arial"/>
            <w:color w:val="000000" w:themeColor="text1"/>
            <w:sz w:val="22"/>
            <w:szCs w:val="22"/>
            <w:lang w:val="es-CO"/>
          </w:rPr>
          <m:t>β</m:t>
        </m:r>
      </m:oMath>
      <w:r w:rsidRPr="0030430F">
        <w:rPr>
          <w:sz w:val="22"/>
          <w:szCs w:val="22"/>
        </w:rPr>
        <w:t xml:space="preserve"> </w:t>
      </w:r>
      <w:r w:rsidR="00042A61" w:rsidRPr="0030430F">
        <w:rPr>
          <w:sz w:val="22"/>
          <w:szCs w:val="22"/>
        </w:rPr>
        <w:t>igual a cero.</w:t>
      </w:r>
    </w:p>
    <w:p w14:paraId="19078675" w14:textId="77777777" w:rsidR="006A3C08" w:rsidRPr="0030430F" w:rsidRDefault="006A3C08" w:rsidP="006A3C08">
      <w:pPr>
        <w:pStyle w:val="Prrafodelista"/>
        <w:rPr>
          <w:sz w:val="22"/>
          <w:szCs w:val="22"/>
        </w:rPr>
      </w:pPr>
    </w:p>
    <w:p w14:paraId="3A6FC5DA" w14:textId="59E1A57A" w:rsidR="00042A61" w:rsidRPr="0030430F" w:rsidRDefault="00042A61">
      <w:pPr>
        <w:pStyle w:val="Prrafodelista"/>
        <w:numPr>
          <w:ilvl w:val="0"/>
          <w:numId w:val="24"/>
        </w:numPr>
        <w:rPr>
          <w:sz w:val="22"/>
          <w:szCs w:val="22"/>
        </w:rPr>
      </w:pPr>
      <w:r w:rsidRPr="0030430F">
        <w:rPr>
          <w:sz w:val="22"/>
          <w:szCs w:val="22"/>
        </w:rPr>
        <w:t xml:space="preserve">Para los precios resultantes de la asignación de cantidades mediante la subasta centralizada establecida en la Resolución que se desarrolla cuando hay trimestres deficitarios, la actualización de los precios de cierre se hará con base en la fórmula propuesta en el Anexo, con un factor Beta </w:t>
      </w:r>
      <m:oMath>
        <m:r>
          <w:rPr>
            <w:rFonts w:ascii="Cambria Math" w:hAnsi="Cambria Math" w:cs="Arial"/>
            <w:color w:val="000000" w:themeColor="text1"/>
            <w:sz w:val="22"/>
            <w:szCs w:val="22"/>
            <w:lang w:val="es-CO"/>
          </w:rPr>
          <m:t>β</m:t>
        </m:r>
      </m:oMath>
      <w:r w:rsidRPr="0030430F">
        <w:rPr>
          <w:sz w:val="22"/>
          <w:szCs w:val="22"/>
        </w:rPr>
        <w:t xml:space="preserve"> igual a cero.</w:t>
      </w:r>
    </w:p>
    <w:p w14:paraId="3D8A3A33" w14:textId="77777777" w:rsidR="00042A61" w:rsidRPr="0030430F" w:rsidRDefault="00042A61" w:rsidP="00042A61">
      <w:pPr>
        <w:pStyle w:val="Prrafodelista"/>
        <w:rPr>
          <w:sz w:val="22"/>
          <w:szCs w:val="22"/>
        </w:rPr>
      </w:pPr>
    </w:p>
    <w:p w14:paraId="21FA9BEC" w14:textId="6E37F754" w:rsidR="006A3C08" w:rsidRPr="0030430F" w:rsidRDefault="00D4768C">
      <w:pPr>
        <w:pStyle w:val="Prrafodelista"/>
        <w:numPr>
          <w:ilvl w:val="0"/>
          <w:numId w:val="24"/>
        </w:numPr>
        <w:rPr>
          <w:sz w:val="22"/>
          <w:szCs w:val="22"/>
        </w:rPr>
      </w:pPr>
      <w:r w:rsidRPr="0030430F">
        <w:rPr>
          <w:sz w:val="22"/>
          <w:szCs w:val="22"/>
        </w:rPr>
        <w:t>Se propone permitir</w:t>
      </w:r>
      <w:r w:rsidR="008D15C6" w:rsidRPr="0030430F">
        <w:rPr>
          <w:sz w:val="22"/>
          <w:szCs w:val="22"/>
        </w:rPr>
        <w:t xml:space="preserve"> que las partes de los contratos puedan acordar modificaciones al precio inicial del contrato registrado ante el </w:t>
      </w:r>
      <w:r w:rsidR="005114C6">
        <w:rPr>
          <w:sz w:val="22"/>
          <w:szCs w:val="22"/>
        </w:rPr>
        <w:t>Gestor del Mercado</w:t>
      </w:r>
      <w:r w:rsidR="008D15C6" w:rsidRPr="0030430F">
        <w:rPr>
          <w:sz w:val="22"/>
          <w:szCs w:val="22"/>
        </w:rPr>
        <w:t xml:space="preserve">, o a las ecuaciones para la actualización de los precios en forma periódica, siempre y cuando la modificación del contrato registrado ante el </w:t>
      </w:r>
      <w:r w:rsidR="005114C6">
        <w:rPr>
          <w:sz w:val="22"/>
          <w:szCs w:val="22"/>
        </w:rPr>
        <w:t>Gestor del Mercado</w:t>
      </w:r>
      <w:r w:rsidR="008D15C6" w:rsidRPr="0030430F">
        <w:rPr>
          <w:sz w:val="22"/>
          <w:szCs w:val="22"/>
        </w:rPr>
        <w:t xml:space="preserve"> no tenga la capacidad, el propósito o el efecto de ir en detrimento de los derechos e intereses de los usuarios, así como alterar los propósitos y principios establecidos en la propuesta de resolución.</w:t>
      </w:r>
    </w:p>
    <w:p w14:paraId="30BF258D" w14:textId="77777777" w:rsidR="008D15C6" w:rsidRPr="0030430F" w:rsidRDefault="008D15C6" w:rsidP="008D15C6">
      <w:pPr>
        <w:pStyle w:val="Prrafodelista"/>
        <w:rPr>
          <w:sz w:val="22"/>
          <w:szCs w:val="22"/>
        </w:rPr>
      </w:pPr>
    </w:p>
    <w:p w14:paraId="41D558DE" w14:textId="11363602" w:rsidR="008D15C6" w:rsidRPr="0030430F" w:rsidRDefault="008D15C6">
      <w:pPr>
        <w:pStyle w:val="Prrafodelista"/>
        <w:numPr>
          <w:ilvl w:val="0"/>
          <w:numId w:val="24"/>
        </w:numPr>
        <w:rPr>
          <w:sz w:val="22"/>
          <w:szCs w:val="22"/>
        </w:rPr>
      </w:pPr>
      <w:r w:rsidRPr="0030430F">
        <w:rPr>
          <w:sz w:val="22"/>
          <w:szCs w:val="22"/>
        </w:rPr>
        <w:t>El vendedor debe ofrecer a todos los compradores que suscribieron contratos de un mismo proceso de concurrencia, cualquier propuesta de cambio de fórmulas de actualización de precios, la que podrá ser aceptada por uno o varios de los compradores, sin que ello obligue a su aplicación con los demás compradores</w:t>
      </w:r>
      <w:r w:rsidR="00BE6B6B" w:rsidRPr="0030430F">
        <w:rPr>
          <w:sz w:val="22"/>
          <w:szCs w:val="22"/>
        </w:rPr>
        <w:t>.</w:t>
      </w:r>
    </w:p>
    <w:p w14:paraId="2EC37381" w14:textId="77777777" w:rsidR="002E788F" w:rsidRPr="0030430F" w:rsidRDefault="002E788F" w:rsidP="002E788F">
      <w:pPr>
        <w:pStyle w:val="Prrafodelista"/>
        <w:rPr>
          <w:sz w:val="22"/>
          <w:szCs w:val="22"/>
        </w:rPr>
      </w:pPr>
    </w:p>
    <w:p w14:paraId="67C29462" w14:textId="64966B11" w:rsidR="002E788F" w:rsidRDefault="002E788F">
      <w:pPr>
        <w:pStyle w:val="Prrafodelista"/>
        <w:numPr>
          <w:ilvl w:val="0"/>
          <w:numId w:val="24"/>
        </w:numPr>
        <w:rPr>
          <w:sz w:val="22"/>
          <w:szCs w:val="22"/>
        </w:rPr>
      </w:pPr>
      <w:r w:rsidRPr="0030430F">
        <w:rPr>
          <w:sz w:val="22"/>
          <w:szCs w:val="22"/>
        </w:rPr>
        <w:t xml:space="preserve">En Resolución aparte la CREG definirá a los comercializadores que atienden la demanda regulada, las condiciones de traslado de los costos incurridos en la contratación del suministro de gas, derivados de los precios pactados y/o de las ecuaciones de actualización de los precios pactados en los contratos registrados ante el </w:t>
      </w:r>
      <w:r w:rsidR="005114C6">
        <w:rPr>
          <w:sz w:val="22"/>
          <w:szCs w:val="22"/>
        </w:rPr>
        <w:t>Gestor del Mercado</w:t>
      </w:r>
      <w:r w:rsidRPr="0030430F">
        <w:rPr>
          <w:sz w:val="22"/>
          <w:szCs w:val="22"/>
        </w:rPr>
        <w:t>.</w:t>
      </w:r>
    </w:p>
    <w:p w14:paraId="5CA930CC" w14:textId="77777777" w:rsidR="00EF10DC" w:rsidRPr="00EF10DC" w:rsidRDefault="00EF10DC" w:rsidP="00EF10DC">
      <w:pPr>
        <w:pStyle w:val="Prrafodelista"/>
        <w:rPr>
          <w:sz w:val="22"/>
          <w:szCs w:val="22"/>
        </w:rPr>
      </w:pPr>
    </w:p>
    <w:p w14:paraId="208C96C7" w14:textId="04C6A7E7" w:rsidR="00EF10DC" w:rsidRDefault="00EF10DC">
      <w:pPr>
        <w:pStyle w:val="Prrafodelista"/>
        <w:numPr>
          <w:ilvl w:val="0"/>
          <w:numId w:val="24"/>
        </w:numPr>
        <w:rPr>
          <w:sz w:val="22"/>
          <w:szCs w:val="22"/>
        </w:rPr>
      </w:pPr>
      <w:r w:rsidRPr="0030430F">
        <w:rPr>
          <w:sz w:val="22"/>
          <w:szCs w:val="22"/>
        </w:rPr>
        <w:t xml:space="preserve">Uno de los índices de precios </w:t>
      </w:r>
      <w:r>
        <w:rPr>
          <w:sz w:val="22"/>
          <w:szCs w:val="22"/>
        </w:rPr>
        <w:t xml:space="preserve">que se utiliza en la propuesta con respecto a la fórmula vigente, </w:t>
      </w:r>
      <w:r w:rsidRPr="0030430F">
        <w:rPr>
          <w:sz w:val="22"/>
          <w:szCs w:val="22"/>
        </w:rPr>
        <w:t>se modifica</w:t>
      </w:r>
      <w:r w:rsidR="00E40975">
        <w:rPr>
          <w:sz w:val="22"/>
          <w:szCs w:val="22"/>
        </w:rPr>
        <w:t>,</w:t>
      </w:r>
      <w:r w:rsidRPr="0030430F">
        <w:rPr>
          <w:sz w:val="22"/>
          <w:szCs w:val="22"/>
        </w:rPr>
        <w:t xml:space="preserve"> pasando de ser el actual índice de precios al Productor de los Estados Unidos de América, </w:t>
      </w:r>
      <w:proofErr w:type="spellStart"/>
      <w:r w:rsidRPr="0030430F">
        <w:rPr>
          <w:sz w:val="22"/>
          <w:szCs w:val="22"/>
        </w:rPr>
        <w:t>Item</w:t>
      </w:r>
      <w:proofErr w:type="spellEnd"/>
      <w:r w:rsidRPr="0030430F">
        <w:rPr>
          <w:sz w:val="22"/>
          <w:szCs w:val="22"/>
        </w:rPr>
        <w:t xml:space="preserve">: general, serie WPSFD4 al propuesto índice de precios al productor de los Estados Unidos de América, </w:t>
      </w:r>
      <w:proofErr w:type="spellStart"/>
      <w:r w:rsidRPr="0030430F">
        <w:rPr>
          <w:sz w:val="22"/>
          <w:szCs w:val="22"/>
        </w:rPr>
        <w:t>Item</w:t>
      </w:r>
      <w:proofErr w:type="spellEnd"/>
      <w:r w:rsidRPr="0030430F">
        <w:rPr>
          <w:sz w:val="22"/>
          <w:szCs w:val="22"/>
        </w:rPr>
        <w:t xml:space="preserve">: </w:t>
      </w:r>
      <w:proofErr w:type="spellStart"/>
      <w:r w:rsidRPr="0030430F">
        <w:rPr>
          <w:sz w:val="22"/>
          <w:szCs w:val="22"/>
        </w:rPr>
        <w:t>Private</w:t>
      </w:r>
      <w:proofErr w:type="spellEnd"/>
      <w:r w:rsidRPr="0030430F">
        <w:rPr>
          <w:sz w:val="22"/>
          <w:szCs w:val="22"/>
        </w:rPr>
        <w:t xml:space="preserve"> capital </w:t>
      </w:r>
      <w:proofErr w:type="spellStart"/>
      <w:r w:rsidRPr="0030430F">
        <w:rPr>
          <w:sz w:val="22"/>
          <w:szCs w:val="22"/>
        </w:rPr>
        <w:t>equipment</w:t>
      </w:r>
      <w:proofErr w:type="spellEnd"/>
      <w:r w:rsidRPr="0030430F">
        <w:rPr>
          <w:sz w:val="22"/>
          <w:szCs w:val="22"/>
        </w:rPr>
        <w:t xml:space="preserve">, serie WPSFD41312 publicada por el Bureau </w:t>
      </w:r>
      <w:proofErr w:type="spellStart"/>
      <w:r w:rsidRPr="0030430F">
        <w:rPr>
          <w:sz w:val="22"/>
          <w:szCs w:val="22"/>
        </w:rPr>
        <w:t>of</w:t>
      </w:r>
      <w:proofErr w:type="spellEnd"/>
      <w:r w:rsidRPr="0030430F">
        <w:rPr>
          <w:sz w:val="22"/>
          <w:szCs w:val="22"/>
        </w:rPr>
        <w:t xml:space="preserve"> Labor </w:t>
      </w:r>
      <w:proofErr w:type="spellStart"/>
      <w:r w:rsidRPr="0030430F">
        <w:rPr>
          <w:sz w:val="22"/>
          <w:szCs w:val="22"/>
        </w:rPr>
        <w:t>Statistics</w:t>
      </w:r>
      <w:proofErr w:type="spellEnd"/>
      <w:r w:rsidRPr="0030430F">
        <w:rPr>
          <w:sz w:val="22"/>
          <w:szCs w:val="22"/>
        </w:rPr>
        <w:t xml:space="preserve">. Lo anterior considerando que dicho índice refleja de </w:t>
      </w:r>
      <w:r>
        <w:rPr>
          <w:sz w:val="22"/>
          <w:szCs w:val="22"/>
        </w:rPr>
        <w:t>una</w:t>
      </w:r>
      <w:r w:rsidRPr="0030430F">
        <w:rPr>
          <w:sz w:val="22"/>
          <w:szCs w:val="22"/>
        </w:rPr>
        <w:t xml:space="preserve"> manera </w:t>
      </w:r>
      <w:r>
        <w:rPr>
          <w:sz w:val="22"/>
          <w:szCs w:val="22"/>
        </w:rPr>
        <w:t xml:space="preserve">más estable </w:t>
      </w:r>
      <w:r w:rsidRPr="0030430F">
        <w:rPr>
          <w:sz w:val="22"/>
          <w:szCs w:val="22"/>
        </w:rPr>
        <w:t>la variación de costos que puede tener un productor-comercializador</w:t>
      </w:r>
      <w:r>
        <w:rPr>
          <w:sz w:val="22"/>
          <w:szCs w:val="22"/>
        </w:rPr>
        <w:t xml:space="preserve"> para la extracción, procesamiento y transporte de gas hasta un punto de entrada del SNT, o para entrega como GNC o como GNL,</w:t>
      </w:r>
      <w:r w:rsidRPr="0030430F">
        <w:rPr>
          <w:sz w:val="22"/>
          <w:szCs w:val="22"/>
        </w:rPr>
        <w:t xml:space="preserve"> en los diferentes períodos de tiempo futuros de ejecución del contrato</w:t>
      </w:r>
      <w:r>
        <w:rPr>
          <w:sz w:val="22"/>
          <w:szCs w:val="22"/>
        </w:rPr>
        <w:t xml:space="preserve">, así como para reducir la volatilidad que enfrenta el comprador del contrato. Para ello se realizó un ejercicio comparativo cuyos resultados se observan en las siguientes </w:t>
      </w:r>
      <w:r w:rsidR="007C3B66">
        <w:rPr>
          <w:sz w:val="22"/>
          <w:szCs w:val="22"/>
        </w:rPr>
        <w:fldChar w:fldCharType="begin"/>
      </w:r>
      <w:r w:rsidR="007C3B66">
        <w:rPr>
          <w:sz w:val="22"/>
          <w:szCs w:val="22"/>
        </w:rPr>
        <w:instrText xml:space="preserve"> REF _Ref133141330 \h </w:instrText>
      </w:r>
      <w:r w:rsidR="007C3B66">
        <w:rPr>
          <w:sz w:val="22"/>
          <w:szCs w:val="22"/>
        </w:rPr>
      </w:r>
      <w:r w:rsidR="007C3B66">
        <w:rPr>
          <w:sz w:val="22"/>
          <w:szCs w:val="22"/>
        </w:rPr>
        <w:fldChar w:fldCharType="separate"/>
      </w:r>
      <w:r w:rsidR="007C3B66" w:rsidRPr="00DD55B6">
        <w:rPr>
          <w:i/>
          <w:iCs/>
          <w:sz w:val="22"/>
          <w:szCs w:val="22"/>
        </w:rPr>
        <w:t xml:space="preserve">Figura </w:t>
      </w:r>
      <w:r w:rsidR="007C3B66" w:rsidRPr="00DD55B6">
        <w:rPr>
          <w:i/>
          <w:iCs/>
          <w:noProof/>
          <w:sz w:val="22"/>
          <w:szCs w:val="22"/>
        </w:rPr>
        <w:t>27</w:t>
      </w:r>
      <w:r w:rsidR="007C3B66">
        <w:rPr>
          <w:sz w:val="22"/>
          <w:szCs w:val="22"/>
        </w:rPr>
        <w:fldChar w:fldCharType="end"/>
      </w:r>
      <w:r w:rsidR="007C3B66">
        <w:rPr>
          <w:sz w:val="22"/>
          <w:szCs w:val="22"/>
        </w:rPr>
        <w:t xml:space="preserve"> y </w:t>
      </w:r>
      <w:r w:rsidR="007C3B66">
        <w:rPr>
          <w:sz w:val="22"/>
          <w:szCs w:val="22"/>
        </w:rPr>
        <w:fldChar w:fldCharType="begin"/>
      </w:r>
      <w:r w:rsidR="007C3B66">
        <w:rPr>
          <w:sz w:val="22"/>
          <w:szCs w:val="22"/>
        </w:rPr>
        <w:instrText xml:space="preserve"> REF _Ref133141550 \h </w:instrText>
      </w:r>
      <w:r w:rsidR="007C3B66">
        <w:rPr>
          <w:sz w:val="22"/>
          <w:szCs w:val="22"/>
        </w:rPr>
      </w:r>
      <w:r w:rsidR="007C3B66">
        <w:rPr>
          <w:sz w:val="22"/>
          <w:szCs w:val="22"/>
        </w:rPr>
        <w:fldChar w:fldCharType="separate"/>
      </w:r>
      <w:r w:rsidR="007C3B66" w:rsidRPr="00057E29">
        <w:rPr>
          <w:sz w:val="22"/>
          <w:szCs w:val="22"/>
        </w:rPr>
        <w:t xml:space="preserve">Figura </w:t>
      </w:r>
      <w:r w:rsidR="007C3B66">
        <w:rPr>
          <w:i/>
          <w:iCs/>
          <w:noProof/>
          <w:sz w:val="22"/>
          <w:szCs w:val="22"/>
        </w:rPr>
        <w:t>29</w:t>
      </w:r>
      <w:r w:rsidR="007C3B66">
        <w:rPr>
          <w:sz w:val="22"/>
          <w:szCs w:val="22"/>
        </w:rPr>
        <w:fldChar w:fldCharType="end"/>
      </w:r>
      <w:r w:rsidR="007C3B66">
        <w:rPr>
          <w:sz w:val="22"/>
          <w:szCs w:val="22"/>
        </w:rPr>
        <w:t>, en que se presentan los incrementos mensuales, con respecto al mes duodécimo anterior, hasta el mes de diciembre de 2022</w:t>
      </w:r>
      <w:r>
        <w:rPr>
          <w:sz w:val="22"/>
          <w:szCs w:val="22"/>
        </w:rPr>
        <w:t>:</w:t>
      </w:r>
    </w:p>
    <w:p w14:paraId="5D1763D3" w14:textId="77777777" w:rsidR="00EF10DC" w:rsidRDefault="00EF10DC" w:rsidP="00EF10DC">
      <w:pPr>
        <w:pStyle w:val="Prrafodelista"/>
        <w:rPr>
          <w:sz w:val="22"/>
          <w:szCs w:val="22"/>
        </w:rPr>
      </w:pPr>
    </w:p>
    <w:p w14:paraId="0B0A7390" w14:textId="77777777" w:rsidR="00DD55B6" w:rsidRDefault="00DD55B6" w:rsidP="00EF10DC">
      <w:pPr>
        <w:pStyle w:val="Prrafodelista"/>
        <w:rPr>
          <w:sz w:val="22"/>
          <w:szCs w:val="22"/>
        </w:rPr>
      </w:pPr>
    </w:p>
    <w:p w14:paraId="135E8AEC" w14:textId="016258F7" w:rsidR="00DD55B6" w:rsidRPr="00DD55B6" w:rsidRDefault="00DD55B6" w:rsidP="00DD55B6">
      <w:pPr>
        <w:pStyle w:val="Descripcin"/>
        <w:rPr>
          <w:i w:val="0"/>
          <w:iCs w:val="0"/>
          <w:sz w:val="22"/>
          <w:szCs w:val="22"/>
        </w:rPr>
      </w:pPr>
      <w:bookmarkStart w:id="466" w:name="_Ref133141330"/>
      <w:bookmarkStart w:id="467" w:name="_Toc140506623"/>
      <w:r w:rsidRPr="00DD55B6">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30</w:t>
      </w:r>
      <w:r w:rsidR="006B6B6C">
        <w:rPr>
          <w:i w:val="0"/>
          <w:iCs w:val="0"/>
          <w:sz w:val="22"/>
          <w:szCs w:val="22"/>
        </w:rPr>
        <w:fldChar w:fldCharType="end"/>
      </w:r>
      <w:bookmarkEnd w:id="466"/>
      <w:r w:rsidRPr="00DD55B6">
        <w:rPr>
          <w:i w:val="0"/>
          <w:iCs w:val="0"/>
          <w:sz w:val="22"/>
          <w:szCs w:val="22"/>
        </w:rPr>
        <w:t xml:space="preserve"> Comparación de incrementos porcentuales de índices de precios</w:t>
      </w:r>
      <w:bookmarkEnd w:id="467"/>
    </w:p>
    <w:p w14:paraId="67810E88" w14:textId="62A4ECB3" w:rsidR="00EF10DC" w:rsidRDefault="00DD55B6" w:rsidP="00DD55B6">
      <w:pPr>
        <w:jc w:val="center"/>
        <w:rPr>
          <w:sz w:val="22"/>
          <w:szCs w:val="22"/>
        </w:rPr>
      </w:pPr>
      <w:r w:rsidRPr="00DD55B6">
        <w:rPr>
          <w:noProof/>
        </w:rPr>
        <w:drawing>
          <wp:inline distT="0" distB="0" distL="0" distR="0" wp14:anchorId="6C197168" wp14:editId="6A3ED270">
            <wp:extent cx="4600575" cy="25969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22781" cy="2609511"/>
                    </a:xfrm>
                    <a:prstGeom prst="rect">
                      <a:avLst/>
                    </a:prstGeom>
                  </pic:spPr>
                </pic:pic>
              </a:graphicData>
            </a:graphic>
          </wp:inline>
        </w:drawing>
      </w:r>
    </w:p>
    <w:p w14:paraId="4F25E24D" w14:textId="77777777" w:rsidR="00DD55B6" w:rsidRDefault="00DD55B6" w:rsidP="00DD55B6">
      <w:pPr>
        <w:jc w:val="center"/>
        <w:rPr>
          <w:sz w:val="22"/>
          <w:szCs w:val="22"/>
        </w:rPr>
      </w:pPr>
    </w:p>
    <w:p w14:paraId="7DB8AF4B" w14:textId="5596C936" w:rsidR="00DD55B6" w:rsidRDefault="00DD55B6" w:rsidP="00DD55B6">
      <w:pPr>
        <w:rPr>
          <w:sz w:val="22"/>
          <w:szCs w:val="22"/>
        </w:rPr>
      </w:pPr>
      <w:r>
        <w:rPr>
          <w:sz w:val="22"/>
          <w:szCs w:val="22"/>
        </w:rPr>
        <w:t xml:space="preserve">En la </w:t>
      </w:r>
      <w:r>
        <w:rPr>
          <w:sz w:val="22"/>
          <w:szCs w:val="22"/>
        </w:rPr>
        <w:fldChar w:fldCharType="begin"/>
      </w:r>
      <w:r>
        <w:rPr>
          <w:sz w:val="22"/>
          <w:szCs w:val="22"/>
        </w:rPr>
        <w:instrText xml:space="preserve"> REF _Ref133141330 \h </w:instrText>
      </w:r>
      <w:r>
        <w:rPr>
          <w:sz w:val="22"/>
          <w:szCs w:val="22"/>
        </w:rPr>
      </w:r>
      <w:r>
        <w:rPr>
          <w:sz w:val="22"/>
          <w:szCs w:val="22"/>
        </w:rPr>
        <w:fldChar w:fldCharType="separate"/>
      </w:r>
      <w:r w:rsidRPr="00DD55B6">
        <w:rPr>
          <w:i/>
          <w:iCs/>
          <w:sz w:val="22"/>
          <w:szCs w:val="22"/>
        </w:rPr>
        <w:t xml:space="preserve">Figura </w:t>
      </w:r>
      <w:r w:rsidRPr="00DD55B6">
        <w:rPr>
          <w:i/>
          <w:iCs/>
          <w:noProof/>
          <w:sz w:val="22"/>
          <w:szCs w:val="22"/>
        </w:rPr>
        <w:t>27</w:t>
      </w:r>
      <w:r>
        <w:rPr>
          <w:sz w:val="22"/>
          <w:szCs w:val="22"/>
        </w:rPr>
        <w:fldChar w:fldCharType="end"/>
      </w:r>
      <w:r>
        <w:rPr>
          <w:sz w:val="22"/>
          <w:szCs w:val="22"/>
        </w:rPr>
        <w:t xml:space="preserve"> se puede observar la alta variación que se refleja en los índices de precios nacionales IPC e IPP </w:t>
      </w:r>
      <w:r w:rsidR="007C3B66">
        <w:rPr>
          <w:sz w:val="22"/>
          <w:szCs w:val="22"/>
        </w:rPr>
        <w:t>que presentan comportamientos en general similares, incrementándose o reduciéndose en los mismos momentos. Asimismo, se observa que los índices de precios actualmente usado</w:t>
      </w:r>
      <w:r w:rsidR="004D28E7">
        <w:rPr>
          <w:sz w:val="22"/>
          <w:szCs w:val="22"/>
        </w:rPr>
        <w:t>s</w:t>
      </w:r>
      <w:r w:rsidR="007C3B66">
        <w:rPr>
          <w:sz w:val="22"/>
          <w:szCs w:val="22"/>
        </w:rPr>
        <w:t xml:space="preserve"> y el propuesto, son más estables, menos volátiles, destacándose que el propuesto es más estable aún que el actualmente utilizado para la actualización de precios de los contratos multianuales. </w:t>
      </w:r>
    </w:p>
    <w:p w14:paraId="46DB8E1E" w14:textId="77777777" w:rsidR="007C3B66" w:rsidRDefault="007C3B66" w:rsidP="00DD55B6">
      <w:pPr>
        <w:rPr>
          <w:sz w:val="22"/>
          <w:szCs w:val="22"/>
        </w:rPr>
      </w:pPr>
    </w:p>
    <w:p w14:paraId="6BF478FF" w14:textId="288D9D4B" w:rsidR="007C3B66" w:rsidRDefault="007C3B66" w:rsidP="00DD55B6">
      <w:pPr>
        <w:rPr>
          <w:sz w:val="22"/>
          <w:szCs w:val="22"/>
        </w:rPr>
      </w:pPr>
      <w:r>
        <w:rPr>
          <w:sz w:val="22"/>
          <w:szCs w:val="22"/>
        </w:rPr>
        <w:t xml:space="preserve">En la </w:t>
      </w:r>
      <w:r>
        <w:rPr>
          <w:sz w:val="22"/>
          <w:szCs w:val="22"/>
        </w:rPr>
        <w:fldChar w:fldCharType="begin"/>
      </w:r>
      <w:r>
        <w:rPr>
          <w:sz w:val="22"/>
          <w:szCs w:val="22"/>
        </w:rPr>
        <w:instrText xml:space="preserve"> REF _Ref133141550 \h </w:instrText>
      </w:r>
      <w:r>
        <w:rPr>
          <w:sz w:val="22"/>
          <w:szCs w:val="22"/>
        </w:rPr>
      </w:r>
      <w:r>
        <w:rPr>
          <w:sz w:val="22"/>
          <w:szCs w:val="22"/>
        </w:rPr>
        <w:fldChar w:fldCharType="separate"/>
      </w:r>
      <w:r w:rsidRPr="00057E29">
        <w:rPr>
          <w:sz w:val="22"/>
          <w:szCs w:val="22"/>
        </w:rPr>
        <w:t xml:space="preserve">Figura </w:t>
      </w:r>
      <w:r>
        <w:rPr>
          <w:i/>
          <w:iCs/>
          <w:noProof/>
          <w:sz w:val="22"/>
          <w:szCs w:val="22"/>
        </w:rPr>
        <w:t>29</w:t>
      </w:r>
      <w:r>
        <w:rPr>
          <w:sz w:val="22"/>
          <w:szCs w:val="22"/>
        </w:rPr>
        <w:fldChar w:fldCharType="end"/>
      </w:r>
      <w:r>
        <w:rPr>
          <w:sz w:val="22"/>
          <w:szCs w:val="22"/>
        </w:rPr>
        <w:t xml:space="preserve"> se observa el precio a diciembre de 2022 que hubiese resultado de actualizar anualmente el precio de contratos de suministro de tipo firme, con cada uno de los índices mencionados, a partir de un valor asumido solo para facilitar la comparación, de USD 1/MBTU en diciembre de 2013. </w:t>
      </w:r>
    </w:p>
    <w:p w14:paraId="1521F0CF" w14:textId="77777777" w:rsidR="00DD55B6" w:rsidRDefault="00DD55B6" w:rsidP="00DD55B6">
      <w:pPr>
        <w:jc w:val="center"/>
        <w:rPr>
          <w:sz w:val="22"/>
          <w:szCs w:val="22"/>
        </w:rPr>
      </w:pPr>
    </w:p>
    <w:p w14:paraId="08997A50" w14:textId="34FBB4D4" w:rsidR="00DD55B6" w:rsidRPr="00057E29" w:rsidRDefault="00DD55B6" w:rsidP="00DD55B6">
      <w:pPr>
        <w:pStyle w:val="Descripcin"/>
        <w:keepNext/>
        <w:jc w:val="center"/>
        <w:rPr>
          <w:i w:val="0"/>
          <w:iCs w:val="0"/>
          <w:sz w:val="22"/>
          <w:szCs w:val="22"/>
        </w:rPr>
      </w:pPr>
      <w:bookmarkStart w:id="468" w:name="_Ref133141550"/>
      <w:bookmarkStart w:id="469" w:name="_Toc140506624"/>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31</w:t>
      </w:r>
      <w:r w:rsidR="006B6B6C">
        <w:rPr>
          <w:i w:val="0"/>
          <w:iCs w:val="0"/>
          <w:sz w:val="22"/>
          <w:szCs w:val="22"/>
        </w:rPr>
        <w:fldChar w:fldCharType="end"/>
      </w:r>
      <w:bookmarkEnd w:id="468"/>
      <w:r w:rsidRPr="00057E29">
        <w:rPr>
          <w:i w:val="0"/>
          <w:iCs w:val="0"/>
          <w:sz w:val="22"/>
          <w:szCs w:val="22"/>
        </w:rPr>
        <w:t xml:space="preserve"> </w:t>
      </w:r>
      <w:r w:rsidR="007C3B66">
        <w:rPr>
          <w:i w:val="0"/>
          <w:iCs w:val="0"/>
          <w:sz w:val="22"/>
          <w:szCs w:val="22"/>
        </w:rPr>
        <w:t>C</w:t>
      </w:r>
      <w:r>
        <w:rPr>
          <w:i w:val="0"/>
          <w:iCs w:val="0"/>
          <w:sz w:val="22"/>
          <w:szCs w:val="22"/>
        </w:rPr>
        <w:t>omparación de variaciones de precios con aplicación de diferentes índices</w:t>
      </w:r>
      <w:bookmarkEnd w:id="469"/>
      <w:r>
        <w:rPr>
          <w:i w:val="0"/>
          <w:iCs w:val="0"/>
          <w:sz w:val="22"/>
          <w:szCs w:val="22"/>
        </w:rPr>
        <w:t xml:space="preserve"> </w:t>
      </w:r>
    </w:p>
    <w:p w14:paraId="2F952AD8" w14:textId="77777777" w:rsidR="00DD55B6" w:rsidRDefault="00DD55B6" w:rsidP="00DD55B6">
      <w:pPr>
        <w:jc w:val="center"/>
        <w:rPr>
          <w:sz w:val="22"/>
          <w:szCs w:val="22"/>
        </w:rPr>
      </w:pPr>
    </w:p>
    <w:p w14:paraId="4C9A4300" w14:textId="09613D51" w:rsidR="00DD55B6" w:rsidRDefault="00DD55B6" w:rsidP="00DD55B6">
      <w:pPr>
        <w:jc w:val="center"/>
        <w:rPr>
          <w:sz w:val="22"/>
          <w:szCs w:val="22"/>
        </w:rPr>
      </w:pPr>
      <w:r w:rsidRPr="00DD55B6">
        <w:rPr>
          <w:noProof/>
        </w:rPr>
        <w:drawing>
          <wp:inline distT="0" distB="0" distL="0" distR="0" wp14:anchorId="7279F6AF" wp14:editId="4567D653">
            <wp:extent cx="4857750" cy="2914650"/>
            <wp:effectExtent l="0" t="0" r="0" b="0"/>
            <wp:docPr id="29" name="Imagen 2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de líneas&#10;&#10;Descripción generada automáticamente"/>
                    <pic:cNvPicPr/>
                  </pic:nvPicPr>
                  <pic:blipFill>
                    <a:blip r:embed="rId53"/>
                    <a:stretch>
                      <a:fillRect/>
                    </a:stretch>
                  </pic:blipFill>
                  <pic:spPr>
                    <a:xfrm>
                      <a:off x="0" y="0"/>
                      <a:ext cx="4860960" cy="2916576"/>
                    </a:xfrm>
                    <a:prstGeom prst="rect">
                      <a:avLst/>
                    </a:prstGeom>
                  </pic:spPr>
                </pic:pic>
              </a:graphicData>
            </a:graphic>
          </wp:inline>
        </w:drawing>
      </w:r>
    </w:p>
    <w:p w14:paraId="0202A345" w14:textId="77777777" w:rsidR="00DD55B6" w:rsidRDefault="00DD55B6" w:rsidP="00DD55B6">
      <w:pPr>
        <w:jc w:val="center"/>
        <w:rPr>
          <w:sz w:val="22"/>
          <w:szCs w:val="22"/>
        </w:rPr>
      </w:pPr>
    </w:p>
    <w:p w14:paraId="4421591F" w14:textId="77777777" w:rsidR="00DD55B6" w:rsidRDefault="00DD55B6" w:rsidP="00DD55B6">
      <w:pPr>
        <w:jc w:val="left"/>
        <w:rPr>
          <w:sz w:val="22"/>
          <w:szCs w:val="22"/>
        </w:rPr>
      </w:pPr>
    </w:p>
    <w:p w14:paraId="1AFFAA54" w14:textId="04BBB32D" w:rsidR="00DD55B6" w:rsidRDefault="007C3B66" w:rsidP="007C3B66">
      <w:pPr>
        <w:rPr>
          <w:sz w:val="22"/>
          <w:szCs w:val="22"/>
        </w:rPr>
      </w:pPr>
      <w:r>
        <w:rPr>
          <w:sz w:val="22"/>
          <w:szCs w:val="22"/>
        </w:rPr>
        <w:t>E</w:t>
      </w:r>
      <w:r w:rsidR="00DD55B6">
        <w:rPr>
          <w:sz w:val="22"/>
          <w:szCs w:val="22"/>
        </w:rPr>
        <w:t xml:space="preserve">l índice propuesto es publicado periódicamente </w:t>
      </w:r>
      <w:r>
        <w:rPr>
          <w:sz w:val="22"/>
          <w:szCs w:val="22"/>
        </w:rPr>
        <w:t xml:space="preserve">y reflejan los dos subíndices FD413121 y </w:t>
      </w:r>
      <w:r w:rsidR="001B77FB">
        <w:rPr>
          <w:sz w:val="22"/>
          <w:szCs w:val="22"/>
        </w:rPr>
        <w:t>FD</w:t>
      </w:r>
      <w:r>
        <w:rPr>
          <w:sz w:val="22"/>
          <w:szCs w:val="22"/>
        </w:rPr>
        <w:t xml:space="preserve">413122 que contienen los productos que no tendrán más procesamiento y que son utilizados para manufacturar otros bienes en el sector manufacturero y no manufacturero, que además se distinguen por el hecho de que son amortizados durante sus vidas útiles. </w:t>
      </w:r>
    </w:p>
    <w:p w14:paraId="05A38F2E" w14:textId="77777777" w:rsidR="00DD55B6" w:rsidRDefault="00DD55B6" w:rsidP="00DD55B6">
      <w:pPr>
        <w:jc w:val="left"/>
        <w:rPr>
          <w:sz w:val="22"/>
          <w:szCs w:val="22"/>
        </w:rPr>
      </w:pPr>
    </w:p>
    <w:p w14:paraId="46B518F8" w14:textId="2311901B" w:rsidR="00EF10DC" w:rsidRDefault="00EF10DC" w:rsidP="00EF10DC">
      <w:pPr>
        <w:rPr>
          <w:sz w:val="22"/>
          <w:szCs w:val="22"/>
        </w:rPr>
      </w:pPr>
      <w:r>
        <w:rPr>
          <w:sz w:val="22"/>
          <w:szCs w:val="22"/>
        </w:rPr>
        <w:t xml:space="preserve">En todo caso se debe tener en cuenta </w:t>
      </w:r>
      <w:r w:rsidR="00E40975">
        <w:rPr>
          <w:sz w:val="22"/>
          <w:szCs w:val="22"/>
        </w:rPr>
        <w:t xml:space="preserve">por los agentes </w:t>
      </w:r>
      <w:r>
        <w:rPr>
          <w:sz w:val="22"/>
          <w:szCs w:val="22"/>
        </w:rPr>
        <w:t>que el Gobierno Nacional está evaluando actualmente otros índices de precios que puedan o deban ser utilizados en las ecuaciones de actualizaciones de precios del sector energético, tanto de energía eléctrica como de gas combustible.</w:t>
      </w:r>
      <w:r w:rsidR="00883FAD">
        <w:rPr>
          <w:sz w:val="22"/>
          <w:szCs w:val="22"/>
        </w:rPr>
        <w:t xml:space="preserve"> Una vez establecidos esos índices, los mismos podrán ser parte de la resolución definitiva que eventualmente se apruebe.</w:t>
      </w:r>
    </w:p>
    <w:p w14:paraId="464A16ED" w14:textId="77777777" w:rsidR="00CB01A3" w:rsidRDefault="00CB01A3" w:rsidP="00EF10DC">
      <w:pPr>
        <w:rPr>
          <w:sz w:val="22"/>
          <w:szCs w:val="22"/>
        </w:rPr>
      </w:pPr>
    </w:p>
    <w:p w14:paraId="184542B4" w14:textId="77777777" w:rsidR="00CB01A3" w:rsidRDefault="00CB01A3" w:rsidP="00EF10DC">
      <w:pPr>
        <w:rPr>
          <w:sz w:val="22"/>
          <w:szCs w:val="22"/>
        </w:rPr>
      </w:pPr>
      <w:r>
        <w:rPr>
          <w:sz w:val="22"/>
          <w:szCs w:val="22"/>
        </w:rPr>
        <w:t xml:space="preserve">Finalmente, se propone que un contrato que se suscriba entre un mismo vendedor y un mismo comprador para una misma fuente de </w:t>
      </w:r>
      <w:proofErr w:type="gramStart"/>
      <w:r>
        <w:rPr>
          <w:sz w:val="22"/>
          <w:szCs w:val="22"/>
        </w:rPr>
        <w:t>suministro,</w:t>
      </w:r>
      <w:proofErr w:type="gramEnd"/>
      <w:r>
        <w:rPr>
          <w:sz w:val="22"/>
          <w:szCs w:val="22"/>
        </w:rPr>
        <w:t xml:space="preserve"> pueda registrarse inicialmente con base en trimestres de suministro negociados directamente y modificarse en el mismo trimestre de negociación, con base en las asignaciones de subasta realizados en ese mismo trimestre de negociación.</w:t>
      </w:r>
    </w:p>
    <w:p w14:paraId="4EC0D034" w14:textId="77777777" w:rsidR="00CB01A3" w:rsidRDefault="00CB01A3" w:rsidP="00EF10DC">
      <w:pPr>
        <w:rPr>
          <w:sz w:val="22"/>
          <w:szCs w:val="22"/>
        </w:rPr>
      </w:pPr>
    </w:p>
    <w:p w14:paraId="743C4BE7" w14:textId="2E8F5531" w:rsidR="00CB01A3" w:rsidRDefault="00CB01A3" w:rsidP="006B6B6C">
      <w:pPr>
        <w:keepNext/>
        <w:rPr>
          <w:sz w:val="22"/>
          <w:szCs w:val="22"/>
        </w:rPr>
      </w:pPr>
      <w:r>
        <w:rPr>
          <w:sz w:val="22"/>
          <w:szCs w:val="22"/>
        </w:rPr>
        <w:t xml:space="preserve">Se proponen como ejemplo, la siguiente </w:t>
      </w:r>
      <w:r w:rsidR="006B6B6C">
        <w:rPr>
          <w:sz w:val="22"/>
          <w:szCs w:val="22"/>
        </w:rPr>
        <w:fldChar w:fldCharType="begin"/>
      </w:r>
      <w:r w:rsidR="006B6B6C">
        <w:rPr>
          <w:sz w:val="22"/>
          <w:szCs w:val="22"/>
        </w:rPr>
        <w:instrText xml:space="preserve"> REF _Ref133243909 \h </w:instrText>
      </w:r>
      <w:r w:rsidR="006B6B6C">
        <w:rPr>
          <w:sz w:val="22"/>
          <w:szCs w:val="22"/>
        </w:rPr>
      </w:r>
      <w:r w:rsidR="006B6B6C">
        <w:rPr>
          <w:sz w:val="22"/>
          <w:szCs w:val="22"/>
        </w:rPr>
        <w:fldChar w:fldCharType="separate"/>
      </w:r>
      <w:r w:rsidR="006B6B6C">
        <w:rPr>
          <w:sz w:val="22"/>
          <w:szCs w:val="22"/>
        </w:rPr>
        <w:fldChar w:fldCharType="begin"/>
      </w:r>
      <w:r w:rsidR="006B6B6C">
        <w:rPr>
          <w:sz w:val="22"/>
          <w:szCs w:val="22"/>
        </w:rPr>
        <w:instrText xml:space="preserve"> REF _Ref133244151 \h </w:instrText>
      </w:r>
      <w:r w:rsidR="006B6B6C">
        <w:rPr>
          <w:sz w:val="22"/>
          <w:szCs w:val="22"/>
        </w:rPr>
      </w:r>
      <w:r w:rsidR="006B6B6C">
        <w:rPr>
          <w:sz w:val="22"/>
          <w:szCs w:val="22"/>
        </w:rPr>
        <w:fldChar w:fldCharType="separate"/>
      </w:r>
      <w:r w:rsidR="006B6B6C" w:rsidRPr="006B6B6C">
        <w:rPr>
          <w:sz w:val="22"/>
          <w:szCs w:val="22"/>
        </w:rPr>
        <w:t xml:space="preserve">Figura </w:t>
      </w:r>
      <w:r w:rsidR="006B6B6C" w:rsidRPr="006B6B6C">
        <w:rPr>
          <w:noProof/>
          <w:sz w:val="22"/>
          <w:szCs w:val="22"/>
        </w:rPr>
        <w:t>29</w:t>
      </w:r>
      <w:r w:rsidR="006B6B6C">
        <w:rPr>
          <w:sz w:val="22"/>
          <w:szCs w:val="22"/>
        </w:rPr>
        <w:fldChar w:fldCharType="end"/>
      </w:r>
      <w:r w:rsidR="006B6B6C">
        <w:rPr>
          <w:sz w:val="22"/>
          <w:szCs w:val="22"/>
        </w:rPr>
        <w:fldChar w:fldCharType="end"/>
      </w:r>
      <w:r w:rsidR="006B6B6C">
        <w:rPr>
          <w:sz w:val="22"/>
          <w:szCs w:val="22"/>
        </w:rPr>
        <w:t xml:space="preserve">, </w:t>
      </w:r>
      <w:r w:rsidR="006B6B6C">
        <w:rPr>
          <w:sz w:val="22"/>
          <w:szCs w:val="22"/>
        </w:rPr>
        <w:fldChar w:fldCharType="begin"/>
      </w:r>
      <w:r w:rsidR="006B6B6C">
        <w:rPr>
          <w:sz w:val="22"/>
          <w:szCs w:val="22"/>
        </w:rPr>
        <w:instrText xml:space="preserve"> REF _Ref133244267 \h </w:instrText>
      </w:r>
      <w:r w:rsidR="006B6B6C">
        <w:rPr>
          <w:sz w:val="22"/>
          <w:szCs w:val="22"/>
        </w:rPr>
      </w:r>
      <w:r w:rsidR="006B6B6C">
        <w:rPr>
          <w:sz w:val="22"/>
          <w:szCs w:val="22"/>
        </w:rPr>
        <w:fldChar w:fldCharType="separate"/>
      </w:r>
      <w:r w:rsidR="006B6B6C" w:rsidRPr="006B6B6C">
        <w:rPr>
          <w:sz w:val="22"/>
          <w:szCs w:val="22"/>
        </w:rPr>
        <w:t xml:space="preserve">Figura </w:t>
      </w:r>
      <w:r w:rsidR="006B6B6C" w:rsidRPr="006B6B6C">
        <w:rPr>
          <w:noProof/>
          <w:sz w:val="22"/>
          <w:szCs w:val="22"/>
        </w:rPr>
        <w:t>30</w:t>
      </w:r>
      <w:r w:rsidR="006B6B6C">
        <w:rPr>
          <w:sz w:val="22"/>
          <w:szCs w:val="22"/>
        </w:rPr>
        <w:fldChar w:fldCharType="end"/>
      </w:r>
      <w:r w:rsidR="006B6B6C">
        <w:rPr>
          <w:sz w:val="22"/>
          <w:szCs w:val="22"/>
        </w:rPr>
        <w:t xml:space="preserve"> y </w:t>
      </w:r>
      <w:r w:rsidR="006B6B6C">
        <w:rPr>
          <w:sz w:val="22"/>
          <w:szCs w:val="22"/>
        </w:rPr>
        <w:fldChar w:fldCharType="begin"/>
      </w:r>
      <w:r w:rsidR="006B6B6C">
        <w:rPr>
          <w:sz w:val="22"/>
          <w:szCs w:val="22"/>
        </w:rPr>
        <w:instrText xml:space="preserve"> REF _Ref133244360 \h </w:instrText>
      </w:r>
      <w:r w:rsidR="006B6B6C">
        <w:rPr>
          <w:sz w:val="22"/>
          <w:szCs w:val="22"/>
        </w:rPr>
      </w:r>
      <w:r w:rsidR="006B6B6C">
        <w:rPr>
          <w:sz w:val="22"/>
          <w:szCs w:val="22"/>
        </w:rPr>
        <w:fldChar w:fldCharType="separate"/>
      </w:r>
      <w:r w:rsidR="006B6B6C" w:rsidRPr="006B6B6C">
        <w:rPr>
          <w:sz w:val="22"/>
          <w:szCs w:val="22"/>
        </w:rPr>
        <w:t xml:space="preserve">Figura </w:t>
      </w:r>
      <w:r w:rsidR="006B6B6C" w:rsidRPr="006B6B6C">
        <w:rPr>
          <w:noProof/>
          <w:sz w:val="22"/>
          <w:szCs w:val="22"/>
        </w:rPr>
        <w:t>31</w:t>
      </w:r>
      <w:r w:rsidR="006B6B6C">
        <w:rPr>
          <w:sz w:val="22"/>
          <w:szCs w:val="22"/>
        </w:rPr>
        <w:fldChar w:fldCharType="end"/>
      </w:r>
      <w:r w:rsidR="006B6B6C">
        <w:rPr>
          <w:sz w:val="22"/>
          <w:szCs w:val="22"/>
        </w:rPr>
        <w:t xml:space="preserve">. En la </w:t>
      </w:r>
      <w:r w:rsidR="001B0526">
        <w:rPr>
          <w:sz w:val="22"/>
          <w:szCs w:val="22"/>
        </w:rPr>
        <w:fldChar w:fldCharType="begin"/>
      </w:r>
      <w:r w:rsidR="001B0526">
        <w:rPr>
          <w:sz w:val="22"/>
          <w:szCs w:val="22"/>
        </w:rPr>
        <w:instrText xml:space="preserve"> REF _Ref133244151 \h </w:instrText>
      </w:r>
      <w:r w:rsidR="001B0526">
        <w:rPr>
          <w:sz w:val="22"/>
          <w:szCs w:val="22"/>
        </w:rPr>
      </w:r>
      <w:r w:rsidR="001B0526">
        <w:rPr>
          <w:sz w:val="22"/>
          <w:szCs w:val="22"/>
        </w:rPr>
        <w:fldChar w:fldCharType="separate"/>
      </w:r>
      <w:r w:rsidR="001B0526" w:rsidRPr="006B6B6C">
        <w:rPr>
          <w:sz w:val="22"/>
          <w:szCs w:val="22"/>
        </w:rPr>
        <w:t xml:space="preserve">Figura </w:t>
      </w:r>
      <w:r w:rsidR="001B0526">
        <w:rPr>
          <w:noProof/>
          <w:sz w:val="22"/>
          <w:szCs w:val="22"/>
        </w:rPr>
        <w:t>29</w:t>
      </w:r>
      <w:r w:rsidR="001B0526">
        <w:rPr>
          <w:sz w:val="22"/>
          <w:szCs w:val="22"/>
        </w:rPr>
        <w:fldChar w:fldCharType="end"/>
      </w:r>
      <w:r w:rsidR="006B6B6C">
        <w:rPr>
          <w:sz w:val="22"/>
          <w:szCs w:val="22"/>
        </w:rPr>
        <w:t xml:space="preserve"> se negoció un contrato de suministro cuya ejecución inicia en el siguiente trimestre (primer </w:t>
      </w:r>
      <w:r w:rsidR="009D22E9">
        <w:rPr>
          <w:sz w:val="22"/>
          <w:szCs w:val="22"/>
        </w:rPr>
        <w:t>trimestre estándar de ejecución</w:t>
      </w:r>
      <w:r w:rsidR="006B6B6C">
        <w:rPr>
          <w:sz w:val="22"/>
          <w:szCs w:val="22"/>
        </w:rPr>
        <w:t xml:space="preserve"> 1T</w:t>
      </w:r>
      <w:r w:rsidR="001B0526">
        <w:rPr>
          <w:sz w:val="22"/>
          <w:szCs w:val="22"/>
        </w:rPr>
        <w:t>S</w:t>
      </w:r>
      <w:r w:rsidR="006B6B6C">
        <w:rPr>
          <w:sz w:val="22"/>
          <w:szCs w:val="22"/>
        </w:rPr>
        <w:t>)</w:t>
      </w:r>
      <w:r w:rsidR="001B0526">
        <w:rPr>
          <w:sz w:val="22"/>
          <w:szCs w:val="22"/>
        </w:rPr>
        <w:t>, cuyo precio de negociación fue de USD</w:t>
      </w:r>
      <w:r w:rsidR="00514B97">
        <w:rPr>
          <w:sz w:val="22"/>
          <w:szCs w:val="22"/>
        </w:rPr>
        <w:t xml:space="preserve"> </w:t>
      </w:r>
      <w:r w:rsidR="001B0526">
        <w:rPr>
          <w:sz w:val="22"/>
          <w:szCs w:val="22"/>
        </w:rPr>
        <w:t>5/MBTU</w:t>
      </w:r>
      <w:r w:rsidR="00514B97">
        <w:rPr>
          <w:sz w:val="22"/>
          <w:szCs w:val="22"/>
        </w:rPr>
        <w:t>, siendo negociados en formas directa los siguientes 16 trimestres de suministro. Además, se pactaron ecuaciones de actualización anual</w:t>
      </w:r>
      <w:r w:rsidR="006B6B6C">
        <w:rPr>
          <w:sz w:val="22"/>
          <w:szCs w:val="22"/>
        </w:rPr>
        <w:t>:</w:t>
      </w:r>
    </w:p>
    <w:p w14:paraId="1AD5DB52" w14:textId="77777777" w:rsidR="00CB01A3" w:rsidRDefault="00CB01A3" w:rsidP="00EF10DC">
      <w:pPr>
        <w:rPr>
          <w:sz w:val="22"/>
          <w:szCs w:val="22"/>
        </w:rPr>
      </w:pPr>
    </w:p>
    <w:p w14:paraId="533FE583" w14:textId="77777777" w:rsidR="006B6B6C" w:rsidRDefault="006B6B6C" w:rsidP="00EF10DC">
      <w:pPr>
        <w:rPr>
          <w:sz w:val="22"/>
          <w:szCs w:val="22"/>
        </w:rPr>
      </w:pPr>
    </w:p>
    <w:p w14:paraId="7C11C8FD" w14:textId="3754EC3A" w:rsidR="006B6B6C" w:rsidRPr="006B6B6C" w:rsidRDefault="006B6B6C" w:rsidP="006B6B6C">
      <w:pPr>
        <w:pStyle w:val="Descripcin"/>
        <w:keepNext/>
        <w:jc w:val="center"/>
        <w:rPr>
          <w:sz w:val="22"/>
          <w:szCs w:val="22"/>
        </w:rPr>
      </w:pPr>
      <w:bookmarkStart w:id="470" w:name="_Ref133244151"/>
      <w:bookmarkStart w:id="471" w:name="_Toc140506625"/>
      <w:r w:rsidRPr="006B6B6C">
        <w:rPr>
          <w:sz w:val="22"/>
          <w:szCs w:val="22"/>
        </w:rPr>
        <w:t xml:space="preserve">Figura </w:t>
      </w:r>
      <w:r w:rsidRPr="006B6B6C">
        <w:rPr>
          <w:sz w:val="22"/>
          <w:szCs w:val="22"/>
        </w:rPr>
        <w:fldChar w:fldCharType="begin"/>
      </w:r>
      <w:r w:rsidRPr="006B6B6C">
        <w:rPr>
          <w:sz w:val="22"/>
          <w:szCs w:val="22"/>
        </w:rPr>
        <w:instrText xml:space="preserve"> SEQ Figura \* ARABIC </w:instrText>
      </w:r>
      <w:r w:rsidRPr="006B6B6C">
        <w:rPr>
          <w:sz w:val="22"/>
          <w:szCs w:val="22"/>
        </w:rPr>
        <w:fldChar w:fldCharType="separate"/>
      </w:r>
      <w:r w:rsidR="006B5CAC">
        <w:rPr>
          <w:noProof/>
          <w:sz w:val="22"/>
          <w:szCs w:val="22"/>
        </w:rPr>
        <w:t>32</w:t>
      </w:r>
      <w:r w:rsidRPr="006B6B6C">
        <w:rPr>
          <w:sz w:val="22"/>
          <w:szCs w:val="22"/>
        </w:rPr>
        <w:fldChar w:fldCharType="end"/>
      </w:r>
      <w:bookmarkEnd w:id="470"/>
      <w:r w:rsidRPr="006B6B6C">
        <w:rPr>
          <w:sz w:val="22"/>
          <w:szCs w:val="22"/>
        </w:rPr>
        <w:t xml:space="preserve"> </w:t>
      </w:r>
      <w:r w:rsidRPr="006B6B6C">
        <w:rPr>
          <w:i w:val="0"/>
          <w:iCs w:val="0"/>
          <w:sz w:val="22"/>
          <w:szCs w:val="22"/>
        </w:rPr>
        <w:t>Ejemplo de actualización de precios – negociaciones directas</w:t>
      </w:r>
      <w:bookmarkEnd w:id="471"/>
    </w:p>
    <w:p w14:paraId="5005E214" w14:textId="77777777" w:rsidR="006B6B6C" w:rsidRDefault="006B6B6C" w:rsidP="006B6B6C">
      <w:pPr>
        <w:jc w:val="center"/>
        <w:rPr>
          <w:sz w:val="22"/>
          <w:szCs w:val="22"/>
        </w:rPr>
      </w:pPr>
      <w:r w:rsidRPr="006B6B6C">
        <w:rPr>
          <w:noProof/>
        </w:rPr>
        <w:drawing>
          <wp:inline distT="0" distB="0" distL="0" distR="0" wp14:anchorId="7D1CC650" wp14:editId="0A281B0E">
            <wp:extent cx="3885362" cy="4694830"/>
            <wp:effectExtent l="0" t="0" r="1270" b="0"/>
            <wp:docPr id="45" name="Imagen 4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Tabla&#10;&#10;Descripción generada automáticamente"/>
                    <pic:cNvPicPr/>
                  </pic:nvPicPr>
                  <pic:blipFill>
                    <a:blip r:embed="rId54"/>
                    <a:stretch>
                      <a:fillRect/>
                    </a:stretch>
                  </pic:blipFill>
                  <pic:spPr>
                    <a:xfrm>
                      <a:off x="0" y="0"/>
                      <a:ext cx="3890125" cy="4700585"/>
                    </a:xfrm>
                    <a:prstGeom prst="rect">
                      <a:avLst/>
                    </a:prstGeom>
                  </pic:spPr>
                </pic:pic>
              </a:graphicData>
            </a:graphic>
          </wp:inline>
        </w:drawing>
      </w:r>
    </w:p>
    <w:p w14:paraId="054D7BFA" w14:textId="77777777" w:rsidR="00CB01A3" w:rsidRDefault="00CB01A3" w:rsidP="00EF10DC">
      <w:pPr>
        <w:rPr>
          <w:sz w:val="22"/>
          <w:szCs w:val="22"/>
        </w:rPr>
      </w:pPr>
    </w:p>
    <w:p w14:paraId="6C1357EA" w14:textId="77777777" w:rsidR="00BE6B6B" w:rsidRDefault="00BE6B6B" w:rsidP="00BE6B6B">
      <w:pPr>
        <w:pStyle w:val="Prrafodelista"/>
        <w:rPr>
          <w:sz w:val="22"/>
          <w:szCs w:val="22"/>
        </w:rPr>
      </w:pPr>
    </w:p>
    <w:p w14:paraId="45185FD6" w14:textId="3B179A3E" w:rsidR="00514B97" w:rsidRDefault="00514B97" w:rsidP="00BE6B6B">
      <w:pPr>
        <w:pStyle w:val="Prrafodelista"/>
        <w:rPr>
          <w:sz w:val="22"/>
          <w:szCs w:val="22"/>
        </w:rPr>
      </w:pPr>
      <w:r>
        <w:rPr>
          <w:sz w:val="22"/>
          <w:szCs w:val="22"/>
        </w:rPr>
        <w:t xml:space="preserve">En la </w:t>
      </w:r>
      <w:r>
        <w:rPr>
          <w:sz w:val="22"/>
          <w:szCs w:val="22"/>
        </w:rPr>
        <w:fldChar w:fldCharType="begin"/>
      </w:r>
      <w:r>
        <w:rPr>
          <w:sz w:val="22"/>
          <w:szCs w:val="22"/>
        </w:rPr>
        <w:instrText xml:space="preserve"> REF _Ref133244267 \h </w:instrText>
      </w:r>
      <w:r>
        <w:rPr>
          <w:sz w:val="22"/>
          <w:szCs w:val="22"/>
        </w:rPr>
      </w:r>
      <w:r>
        <w:rPr>
          <w:sz w:val="22"/>
          <w:szCs w:val="22"/>
        </w:rPr>
        <w:fldChar w:fldCharType="separate"/>
      </w:r>
      <w:r w:rsidRPr="006B6B6C">
        <w:rPr>
          <w:sz w:val="22"/>
          <w:szCs w:val="22"/>
        </w:rPr>
        <w:t xml:space="preserve">Figura </w:t>
      </w:r>
      <w:r>
        <w:rPr>
          <w:noProof/>
          <w:sz w:val="22"/>
          <w:szCs w:val="22"/>
        </w:rPr>
        <w:t>30</w:t>
      </w:r>
      <w:r>
        <w:rPr>
          <w:sz w:val="22"/>
          <w:szCs w:val="22"/>
        </w:rPr>
        <w:fldChar w:fldCharType="end"/>
      </w:r>
      <w:r>
        <w:rPr>
          <w:sz w:val="22"/>
          <w:szCs w:val="22"/>
        </w:rPr>
        <w:t xml:space="preserve"> se negoció un contrato de suministro cuya ejecución inicia dos años después (primer </w:t>
      </w:r>
      <w:r w:rsidR="009D22E9">
        <w:rPr>
          <w:sz w:val="22"/>
          <w:szCs w:val="22"/>
        </w:rPr>
        <w:t>trimestre estándar de ejecución</w:t>
      </w:r>
      <w:r>
        <w:rPr>
          <w:sz w:val="22"/>
          <w:szCs w:val="22"/>
        </w:rPr>
        <w:t xml:space="preserve"> 1TS), cuyo precio de negociación fue de USD 5/MBTU, siendo negociados en formas directa los siguientes 8 trimestres de suministro. Además, se pactaron ecuaciones de actualización anual:</w:t>
      </w:r>
    </w:p>
    <w:p w14:paraId="033A41D6" w14:textId="4FF74FCA" w:rsidR="006B6B6C" w:rsidRPr="006B6B6C" w:rsidRDefault="006B6B6C" w:rsidP="006B6B6C">
      <w:pPr>
        <w:pStyle w:val="Descripcin"/>
        <w:keepNext/>
        <w:jc w:val="center"/>
        <w:rPr>
          <w:sz w:val="22"/>
          <w:szCs w:val="22"/>
        </w:rPr>
      </w:pPr>
      <w:bookmarkStart w:id="472" w:name="_Ref133244267"/>
      <w:bookmarkStart w:id="473" w:name="_Toc140506626"/>
      <w:r w:rsidRPr="006B6B6C">
        <w:rPr>
          <w:sz w:val="22"/>
          <w:szCs w:val="22"/>
        </w:rPr>
        <w:t xml:space="preserve">Figura </w:t>
      </w:r>
      <w:r w:rsidRPr="006B6B6C">
        <w:rPr>
          <w:sz w:val="22"/>
          <w:szCs w:val="22"/>
        </w:rPr>
        <w:fldChar w:fldCharType="begin"/>
      </w:r>
      <w:r w:rsidRPr="006B6B6C">
        <w:rPr>
          <w:sz w:val="22"/>
          <w:szCs w:val="22"/>
        </w:rPr>
        <w:instrText xml:space="preserve"> SEQ Figura \* ARABIC </w:instrText>
      </w:r>
      <w:r w:rsidRPr="006B6B6C">
        <w:rPr>
          <w:sz w:val="22"/>
          <w:szCs w:val="22"/>
        </w:rPr>
        <w:fldChar w:fldCharType="separate"/>
      </w:r>
      <w:r w:rsidR="006B5CAC">
        <w:rPr>
          <w:noProof/>
          <w:sz w:val="22"/>
          <w:szCs w:val="22"/>
        </w:rPr>
        <w:t>33</w:t>
      </w:r>
      <w:r w:rsidRPr="006B6B6C">
        <w:rPr>
          <w:sz w:val="22"/>
          <w:szCs w:val="22"/>
        </w:rPr>
        <w:fldChar w:fldCharType="end"/>
      </w:r>
      <w:bookmarkEnd w:id="472"/>
      <w:r w:rsidRPr="006B6B6C">
        <w:rPr>
          <w:sz w:val="22"/>
          <w:szCs w:val="22"/>
        </w:rPr>
        <w:t xml:space="preserve"> </w:t>
      </w:r>
      <w:r w:rsidRPr="006B6B6C">
        <w:rPr>
          <w:i w:val="0"/>
          <w:iCs w:val="0"/>
          <w:sz w:val="22"/>
          <w:szCs w:val="22"/>
        </w:rPr>
        <w:t>Ejemplo de actualización de precios – negociaciones directas</w:t>
      </w:r>
      <w:bookmarkEnd w:id="473"/>
    </w:p>
    <w:p w14:paraId="24A28A83" w14:textId="4B0FEF02" w:rsidR="006B6B6C" w:rsidRDefault="006B6B6C" w:rsidP="006B6B6C">
      <w:pPr>
        <w:pStyle w:val="Prrafodelista"/>
        <w:jc w:val="center"/>
        <w:rPr>
          <w:sz w:val="22"/>
          <w:szCs w:val="22"/>
        </w:rPr>
      </w:pPr>
      <w:r w:rsidRPr="006B6B6C">
        <w:rPr>
          <w:noProof/>
        </w:rPr>
        <w:drawing>
          <wp:inline distT="0" distB="0" distL="0" distR="0" wp14:anchorId="3D50F299" wp14:editId="2C5FD20F">
            <wp:extent cx="3675696" cy="5118974"/>
            <wp:effectExtent l="0" t="0" r="127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90417" cy="5139476"/>
                    </a:xfrm>
                    <a:prstGeom prst="rect">
                      <a:avLst/>
                    </a:prstGeom>
                  </pic:spPr>
                </pic:pic>
              </a:graphicData>
            </a:graphic>
          </wp:inline>
        </w:drawing>
      </w:r>
    </w:p>
    <w:p w14:paraId="141546A2" w14:textId="77777777" w:rsidR="006B6B6C" w:rsidRDefault="006B6B6C" w:rsidP="00BE6B6B">
      <w:pPr>
        <w:pStyle w:val="Prrafodelista"/>
        <w:rPr>
          <w:sz w:val="22"/>
          <w:szCs w:val="22"/>
        </w:rPr>
      </w:pPr>
    </w:p>
    <w:p w14:paraId="44C50FD6" w14:textId="74671791" w:rsidR="00514B97" w:rsidRDefault="00514B97" w:rsidP="00514B97">
      <w:pPr>
        <w:pStyle w:val="Prrafodelista"/>
        <w:rPr>
          <w:sz w:val="22"/>
          <w:szCs w:val="22"/>
        </w:rPr>
      </w:pPr>
      <w:r>
        <w:rPr>
          <w:sz w:val="22"/>
          <w:szCs w:val="22"/>
        </w:rPr>
        <w:t xml:space="preserve">En la </w:t>
      </w:r>
      <w:r>
        <w:rPr>
          <w:sz w:val="22"/>
          <w:szCs w:val="22"/>
        </w:rPr>
        <w:fldChar w:fldCharType="begin"/>
      </w:r>
      <w:r>
        <w:rPr>
          <w:sz w:val="22"/>
          <w:szCs w:val="22"/>
        </w:rPr>
        <w:instrText xml:space="preserve"> REF _Ref133244360 \h </w:instrText>
      </w:r>
      <w:r>
        <w:rPr>
          <w:sz w:val="22"/>
          <w:szCs w:val="22"/>
        </w:rPr>
      </w:r>
      <w:r>
        <w:rPr>
          <w:sz w:val="22"/>
          <w:szCs w:val="22"/>
        </w:rPr>
        <w:fldChar w:fldCharType="separate"/>
      </w:r>
      <w:r w:rsidRPr="006B6B6C">
        <w:rPr>
          <w:sz w:val="22"/>
          <w:szCs w:val="22"/>
        </w:rPr>
        <w:t xml:space="preserve">Figura </w:t>
      </w:r>
      <w:r w:rsidRPr="006B6B6C">
        <w:rPr>
          <w:noProof/>
          <w:sz w:val="22"/>
          <w:szCs w:val="22"/>
        </w:rPr>
        <w:t>31</w:t>
      </w:r>
      <w:r>
        <w:rPr>
          <w:sz w:val="22"/>
          <w:szCs w:val="22"/>
        </w:rPr>
        <w:fldChar w:fldCharType="end"/>
      </w:r>
      <w:r>
        <w:rPr>
          <w:sz w:val="22"/>
          <w:szCs w:val="22"/>
        </w:rPr>
        <w:t xml:space="preserve"> se negoció un contrato de suministro cuya ejecución inicia en el siguiente trimestre (primer </w:t>
      </w:r>
      <w:r w:rsidR="009D22E9">
        <w:rPr>
          <w:sz w:val="22"/>
          <w:szCs w:val="22"/>
        </w:rPr>
        <w:t>trimestre estándar de ejecución</w:t>
      </w:r>
      <w:r>
        <w:rPr>
          <w:sz w:val="22"/>
          <w:szCs w:val="22"/>
        </w:rPr>
        <w:t xml:space="preserve"> 1TS), cuyo precio de negociación fue de USD 5/MBTU, siendo negociados en formas directa 13 de los siguientes 16 trimestres de suministro y asignados en subasta los otros 3 trimestres de suministro con un precio de cierre de USD 6/MBTU. Además, se pactaron ecuaciones de actualización anual que son idénticas entre la negociación directa y la subasta:</w:t>
      </w:r>
    </w:p>
    <w:p w14:paraId="0C2D6695" w14:textId="77777777" w:rsidR="00514B97" w:rsidRDefault="00514B97" w:rsidP="00BE6B6B">
      <w:pPr>
        <w:pStyle w:val="Prrafodelista"/>
        <w:rPr>
          <w:sz w:val="22"/>
          <w:szCs w:val="22"/>
        </w:rPr>
      </w:pPr>
    </w:p>
    <w:p w14:paraId="6ACDA040" w14:textId="5DBCCAF4" w:rsidR="006B6B6C" w:rsidRPr="006B6B6C" w:rsidRDefault="006B6B6C" w:rsidP="006B6B6C">
      <w:pPr>
        <w:pStyle w:val="Descripcin"/>
        <w:keepNext/>
        <w:jc w:val="center"/>
        <w:rPr>
          <w:sz w:val="22"/>
          <w:szCs w:val="22"/>
        </w:rPr>
      </w:pPr>
      <w:bookmarkStart w:id="474" w:name="_Ref133244360"/>
      <w:bookmarkStart w:id="475" w:name="_Toc140506627"/>
      <w:r w:rsidRPr="006B6B6C">
        <w:rPr>
          <w:sz w:val="22"/>
          <w:szCs w:val="22"/>
        </w:rPr>
        <w:t xml:space="preserve">Figura </w:t>
      </w:r>
      <w:r w:rsidRPr="006B6B6C">
        <w:rPr>
          <w:sz w:val="22"/>
          <w:szCs w:val="22"/>
        </w:rPr>
        <w:fldChar w:fldCharType="begin"/>
      </w:r>
      <w:r w:rsidRPr="006B6B6C">
        <w:rPr>
          <w:sz w:val="22"/>
          <w:szCs w:val="22"/>
        </w:rPr>
        <w:instrText xml:space="preserve"> SEQ Figura \* ARABIC </w:instrText>
      </w:r>
      <w:r w:rsidRPr="006B6B6C">
        <w:rPr>
          <w:sz w:val="22"/>
          <w:szCs w:val="22"/>
        </w:rPr>
        <w:fldChar w:fldCharType="separate"/>
      </w:r>
      <w:r w:rsidR="006B5CAC">
        <w:rPr>
          <w:noProof/>
          <w:sz w:val="22"/>
          <w:szCs w:val="22"/>
        </w:rPr>
        <w:t>34</w:t>
      </w:r>
      <w:r w:rsidRPr="006B6B6C">
        <w:rPr>
          <w:sz w:val="22"/>
          <w:szCs w:val="22"/>
        </w:rPr>
        <w:fldChar w:fldCharType="end"/>
      </w:r>
      <w:bookmarkEnd w:id="474"/>
      <w:r w:rsidRPr="006B6B6C">
        <w:rPr>
          <w:i w:val="0"/>
          <w:iCs w:val="0"/>
          <w:sz w:val="22"/>
          <w:szCs w:val="22"/>
        </w:rPr>
        <w:t xml:space="preserve"> Ejemplo de actualización de precios – negociaciones directas y subasta</w:t>
      </w:r>
      <w:bookmarkEnd w:id="475"/>
    </w:p>
    <w:p w14:paraId="13094D35" w14:textId="163408CE" w:rsidR="00CB01A3" w:rsidRDefault="006B6B6C" w:rsidP="006B6B6C">
      <w:pPr>
        <w:pStyle w:val="Prrafodelista"/>
        <w:jc w:val="center"/>
        <w:rPr>
          <w:sz w:val="22"/>
          <w:szCs w:val="22"/>
        </w:rPr>
      </w:pPr>
      <w:r w:rsidRPr="006B6B6C">
        <w:rPr>
          <w:noProof/>
        </w:rPr>
        <w:drawing>
          <wp:inline distT="0" distB="0" distL="0" distR="0" wp14:anchorId="65427D3B" wp14:editId="39252415">
            <wp:extent cx="4339988" cy="4664734"/>
            <wp:effectExtent l="0" t="0" r="381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56163" cy="4682120"/>
                    </a:xfrm>
                    <a:prstGeom prst="rect">
                      <a:avLst/>
                    </a:prstGeom>
                  </pic:spPr>
                </pic:pic>
              </a:graphicData>
            </a:graphic>
          </wp:inline>
        </w:drawing>
      </w:r>
    </w:p>
    <w:p w14:paraId="37F26B92" w14:textId="77777777" w:rsidR="00CB01A3" w:rsidRDefault="00CB01A3" w:rsidP="00BE6B6B">
      <w:pPr>
        <w:pStyle w:val="Prrafodelista"/>
        <w:rPr>
          <w:sz w:val="22"/>
          <w:szCs w:val="22"/>
        </w:rPr>
      </w:pPr>
    </w:p>
    <w:p w14:paraId="10F74B2E" w14:textId="77777777" w:rsidR="00CB01A3" w:rsidRPr="0030430F" w:rsidRDefault="00CB01A3" w:rsidP="00CB01A3">
      <w:pPr>
        <w:pStyle w:val="Prrafodelista"/>
        <w:jc w:val="center"/>
        <w:rPr>
          <w:sz w:val="22"/>
          <w:szCs w:val="22"/>
        </w:rPr>
      </w:pPr>
    </w:p>
    <w:p w14:paraId="4DF6E5A8" w14:textId="7875C469" w:rsidR="007C6D36" w:rsidRPr="0030430F" w:rsidRDefault="007C6D36" w:rsidP="007C6D36">
      <w:pPr>
        <w:pStyle w:val="Ttulo2"/>
        <w:rPr>
          <w:sz w:val="22"/>
          <w:szCs w:val="22"/>
        </w:rPr>
      </w:pPr>
      <w:bookmarkStart w:id="476" w:name="_Toc140506234"/>
      <w:r w:rsidRPr="0030430F">
        <w:rPr>
          <w:sz w:val="22"/>
          <w:szCs w:val="22"/>
        </w:rPr>
        <w:t>Reg</w:t>
      </w:r>
      <w:r w:rsidR="00412DD5" w:rsidRPr="0030430F">
        <w:rPr>
          <w:sz w:val="22"/>
          <w:szCs w:val="22"/>
        </w:rPr>
        <w:t>la</w:t>
      </w:r>
      <w:r w:rsidRPr="0030430F">
        <w:rPr>
          <w:sz w:val="22"/>
          <w:szCs w:val="22"/>
        </w:rPr>
        <w:t>mento de la subasta de cantidades para trimestres deficitarios</w:t>
      </w:r>
      <w:bookmarkEnd w:id="476"/>
    </w:p>
    <w:p w14:paraId="6A8D1DB9" w14:textId="2EC2D2ED" w:rsidR="00D220FA" w:rsidRPr="0030430F" w:rsidRDefault="003D5480" w:rsidP="007C6D36">
      <w:pPr>
        <w:rPr>
          <w:sz w:val="22"/>
          <w:szCs w:val="22"/>
        </w:rPr>
      </w:pPr>
      <w:r w:rsidRPr="0030430F">
        <w:rPr>
          <w:sz w:val="22"/>
          <w:szCs w:val="22"/>
        </w:rPr>
        <w:t xml:space="preserve">Con el fin de resolver la asignación del gas natural cuando se presentan trimestres deficitarios en alguno de los veinte (20) trimestres siguientes al trimestre de negociación y existan cantidades disponibles para la comercialización después de haberse realizado los descuentos de cantidades para atender la demanda esencial requerida informada por los compradores en la segunda instancia de declaración al </w:t>
      </w:r>
      <w:r w:rsidR="005114C6">
        <w:rPr>
          <w:sz w:val="22"/>
          <w:szCs w:val="22"/>
        </w:rPr>
        <w:t>Gestor del Mercado</w:t>
      </w:r>
      <w:r w:rsidRPr="0030430F">
        <w:rPr>
          <w:sz w:val="22"/>
          <w:szCs w:val="22"/>
        </w:rPr>
        <w:t xml:space="preserve">, se establece </w:t>
      </w:r>
      <w:r w:rsidR="00BD0AB2">
        <w:rPr>
          <w:sz w:val="22"/>
          <w:szCs w:val="22"/>
        </w:rPr>
        <w:t>la</w:t>
      </w:r>
      <w:r w:rsidRPr="0030430F">
        <w:rPr>
          <w:sz w:val="22"/>
          <w:szCs w:val="22"/>
        </w:rPr>
        <w:t xml:space="preserve"> subasta</w:t>
      </w:r>
      <w:r w:rsidR="00415656">
        <w:rPr>
          <w:sz w:val="22"/>
          <w:szCs w:val="22"/>
        </w:rPr>
        <w:t xml:space="preserve"> como mecanismo de comercialización</w:t>
      </w:r>
      <w:r w:rsidRPr="0030430F">
        <w:rPr>
          <w:sz w:val="22"/>
          <w:szCs w:val="22"/>
        </w:rPr>
        <w:t>, para  la asignación de dichas cantidades disponibles en los caso en que las fuentes de suministro deben sujetarse a los mecanismos de comercialización establecidos por la CREG</w:t>
      </w:r>
      <w:r w:rsidR="00D220FA" w:rsidRPr="0030430F">
        <w:rPr>
          <w:sz w:val="22"/>
          <w:szCs w:val="22"/>
        </w:rPr>
        <w:t>.</w:t>
      </w:r>
    </w:p>
    <w:p w14:paraId="7E8FA7F1" w14:textId="77777777" w:rsidR="00D220FA" w:rsidRPr="0030430F" w:rsidRDefault="00D220FA" w:rsidP="007C6D36">
      <w:pPr>
        <w:rPr>
          <w:sz w:val="22"/>
          <w:szCs w:val="22"/>
        </w:rPr>
      </w:pPr>
    </w:p>
    <w:p w14:paraId="56D0B4AA" w14:textId="1A0F2BC5" w:rsidR="003D5480" w:rsidRPr="0030430F" w:rsidRDefault="00D220FA" w:rsidP="007C6D36">
      <w:pPr>
        <w:rPr>
          <w:sz w:val="22"/>
          <w:szCs w:val="22"/>
        </w:rPr>
      </w:pPr>
      <w:r w:rsidRPr="0030430F">
        <w:rPr>
          <w:sz w:val="22"/>
          <w:szCs w:val="22"/>
        </w:rPr>
        <w:t>La subasta que se propone es idéntica a la adoptada y reglamentada inicialmente mediante el Anexo 5 de la Resolución CREG 089 de 2013, que fue posteriormente adaptada en el Anexo 5 de la Resolución CREG 114 de 2017 y actualmente vigente como Anexo 4 de la Resolución CREG 186 de 2020, para la asignación anual de los contratos de las modalidades C1 y C2.</w:t>
      </w:r>
      <w:r w:rsidR="003D5480" w:rsidRPr="0030430F">
        <w:rPr>
          <w:sz w:val="22"/>
          <w:szCs w:val="22"/>
        </w:rPr>
        <w:t xml:space="preserve"> </w:t>
      </w:r>
    </w:p>
    <w:p w14:paraId="530ED844" w14:textId="7B8B8F47" w:rsidR="00D220FA" w:rsidRPr="0030430F" w:rsidRDefault="00D220FA" w:rsidP="007C6D36">
      <w:pPr>
        <w:rPr>
          <w:sz w:val="22"/>
          <w:szCs w:val="22"/>
        </w:rPr>
      </w:pPr>
    </w:p>
    <w:p w14:paraId="34048A2F" w14:textId="053778DF" w:rsidR="00D220FA" w:rsidRPr="0030430F" w:rsidRDefault="00254CB2" w:rsidP="007C6D36">
      <w:pPr>
        <w:rPr>
          <w:sz w:val="22"/>
          <w:szCs w:val="22"/>
        </w:rPr>
      </w:pPr>
      <w:r w:rsidRPr="0030430F">
        <w:rPr>
          <w:sz w:val="22"/>
          <w:szCs w:val="22"/>
        </w:rPr>
        <w:t xml:space="preserve">Se debe tener en cuenta que para la subasta de cantidades de los contratos con modalidad OCG, se establece el valor de pago mínimo o de la prima de la opción en </w:t>
      </w:r>
      <w:proofErr w:type="gramStart"/>
      <w:r w:rsidRPr="0030430F">
        <w:rPr>
          <w:sz w:val="22"/>
          <w:szCs w:val="22"/>
        </w:rPr>
        <w:t>cero coma</w:t>
      </w:r>
      <w:proofErr w:type="gramEnd"/>
      <w:r w:rsidRPr="0030430F">
        <w:rPr>
          <w:sz w:val="22"/>
          <w:szCs w:val="22"/>
        </w:rPr>
        <w:t xml:space="preserve"> sesenta y cinco (0,65) dólares de los Estados Unidos de América por MBTU, valor obtenido siguiendo el mismo criterio que en su momento se tuvo para el valor establecido en la Resolución CREG 089 de 2013. Con ese valor, en la subasta se negociarán los precios del gas de las cantidades para los trimestres deficitarios</w:t>
      </w:r>
      <w:r w:rsidR="00DD1A0C" w:rsidRPr="0030430F">
        <w:rPr>
          <w:sz w:val="22"/>
          <w:szCs w:val="22"/>
        </w:rPr>
        <w:t>, por lo que básicamente se propone que durante la subasta se incremente gradualmente el precio del gas y no el de la prima de la opción</w:t>
      </w:r>
      <w:r w:rsidRPr="0030430F">
        <w:rPr>
          <w:sz w:val="22"/>
          <w:szCs w:val="22"/>
        </w:rPr>
        <w:t>.</w:t>
      </w:r>
    </w:p>
    <w:p w14:paraId="3C24B896" w14:textId="67CA2775" w:rsidR="00193F7E" w:rsidRPr="0030430F" w:rsidRDefault="00193F7E" w:rsidP="007C6D36">
      <w:pPr>
        <w:rPr>
          <w:sz w:val="22"/>
          <w:szCs w:val="22"/>
        </w:rPr>
      </w:pPr>
    </w:p>
    <w:p w14:paraId="5158B2F5" w14:textId="3833146E" w:rsidR="00193F7E" w:rsidRPr="0030430F" w:rsidRDefault="00193F7E" w:rsidP="007C6D36">
      <w:pPr>
        <w:rPr>
          <w:sz w:val="22"/>
          <w:szCs w:val="22"/>
        </w:rPr>
      </w:pPr>
      <w:r w:rsidRPr="0030430F">
        <w:rPr>
          <w:sz w:val="22"/>
          <w:szCs w:val="22"/>
        </w:rPr>
        <w:t>Por lo demás, los únicos cambios a lo establecido en el Anexo 5 de la Resolución CREG 089 de 2017, tiene que ver con la duración del producto, que es de un solo semestre, y la modalidad contractual, que podrán ser CF95, OCG y CFC.</w:t>
      </w:r>
    </w:p>
    <w:p w14:paraId="4B75294F" w14:textId="6DB05A18" w:rsidR="007C6D36" w:rsidRPr="0030430F" w:rsidRDefault="007C6D36" w:rsidP="007C6D36">
      <w:pPr>
        <w:rPr>
          <w:sz w:val="22"/>
          <w:szCs w:val="22"/>
        </w:rPr>
      </w:pPr>
    </w:p>
    <w:p w14:paraId="217D3F62" w14:textId="784772FA" w:rsidR="00412DD5" w:rsidRPr="0030430F" w:rsidRDefault="00412DD5" w:rsidP="007C6D36">
      <w:pPr>
        <w:rPr>
          <w:sz w:val="22"/>
          <w:szCs w:val="22"/>
        </w:rPr>
      </w:pPr>
    </w:p>
    <w:p w14:paraId="3483B534" w14:textId="2D257B92" w:rsidR="00412DD5" w:rsidRPr="0030430F" w:rsidRDefault="00412DD5" w:rsidP="00412DD5">
      <w:pPr>
        <w:pStyle w:val="Ttulo2"/>
        <w:rPr>
          <w:sz w:val="22"/>
          <w:szCs w:val="22"/>
        </w:rPr>
      </w:pPr>
      <w:bookmarkStart w:id="477" w:name="_Ref133320593"/>
      <w:bookmarkStart w:id="478" w:name="_Toc140506235"/>
      <w:r w:rsidRPr="0030430F">
        <w:rPr>
          <w:sz w:val="22"/>
          <w:szCs w:val="22"/>
        </w:rPr>
        <w:t>Información de oferta y demanda para negociaciones directas en el Mercado Secundario</w:t>
      </w:r>
      <w:bookmarkEnd w:id="477"/>
      <w:bookmarkEnd w:id="478"/>
    </w:p>
    <w:p w14:paraId="6812CE5D" w14:textId="5FFFFDBB" w:rsidR="00412DD5" w:rsidRPr="0030430F" w:rsidRDefault="002B0748" w:rsidP="007C6D36">
      <w:pPr>
        <w:rPr>
          <w:sz w:val="22"/>
          <w:szCs w:val="22"/>
        </w:rPr>
      </w:pPr>
      <w:r w:rsidRPr="0030430F">
        <w:rPr>
          <w:sz w:val="22"/>
          <w:szCs w:val="22"/>
        </w:rPr>
        <w:t>Con el fin de dar mayor transparencia a la información para las negociaciones directas de los contratos de suministro del Mercado Secundario y ante la poca trazabilidad que se tiene al respecto</w:t>
      </w:r>
      <w:r w:rsidR="003412B6">
        <w:rPr>
          <w:sz w:val="22"/>
          <w:szCs w:val="22"/>
        </w:rPr>
        <w:t xml:space="preserve"> actualmente</w:t>
      </w:r>
      <w:r w:rsidRPr="0030430F">
        <w:rPr>
          <w:sz w:val="22"/>
          <w:szCs w:val="22"/>
        </w:rPr>
        <w:t xml:space="preserve">, se propone </w:t>
      </w:r>
      <w:r w:rsidR="005E6784" w:rsidRPr="0030430F">
        <w:rPr>
          <w:sz w:val="22"/>
          <w:szCs w:val="22"/>
        </w:rPr>
        <w:t>tal como fue analizado y recomendado en su momento (</w:t>
      </w:r>
      <w:proofErr w:type="spellStart"/>
      <w:r w:rsidR="005E6784" w:rsidRPr="0030430F">
        <w:rPr>
          <w:sz w:val="22"/>
          <w:szCs w:val="22"/>
        </w:rPr>
        <w:t>Designing</w:t>
      </w:r>
      <w:proofErr w:type="spellEnd"/>
      <w:r w:rsidR="005E6784" w:rsidRPr="0030430F">
        <w:rPr>
          <w:sz w:val="22"/>
          <w:szCs w:val="22"/>
        </w:rPr>
        <w:t xml:space="preserve"> and </w:t>
      </w:r>
      <w:proofErr w:type="spellStart"/>
      <w:r w:rsidR="005E6784" w:rsidRPr="0030430F">
        <w:rPr>
          <w:sz w:val="22"/>
          <w:szCs w:val="22"/>
        </w:rPr>
        <w:t>Structuring</w:t>
      </w:r>
      <w:proofErr w:type="spellEnd"/>
      <w:r w:rsidR="005E6784" w:rsidRPr="0030430F">
        <w:rPr>
          <w:sz w:val="22"/>
          <w:szCs w:val="22"/>
        </w:rPr>
        <w:t xml:space="preserve"> </w:t>
      </w:r>
      <w:proofErr w:type="spellStart"/>
      <w:r w:rsidR="005E6784" w:rsidRPr="0030430F">
        <w:rPr>
          <w:sz w:val="22"/>
          <w:szCs w:val="22"/>
        </w:rPr>
        <w:t>the</w:t>
      </w:r>
      <w:proofErr w:type="spellEnd"/>
      <w:r w:rsidR="005E6784" w:rsidRPr="0030430F">
        <w:rPr>
          <w:sz w:val="22"/>
          <w:szCs w:val="22"/>
        </w:rPr>
        <w:t xml:space="preserve"> </w:t>
      </w:r>
      <w:proofErr w:type="spellStart"/>
      <w:r w:rsidR="005E6784" w:rsidRPr="0030430F">
        <w:rPr>
          <w:sz w:val="22"/>
          <w:szCs w:val="22"/>
        </w:rPr>
        <w:t>Secondary</w:t>
      </w:r>
      <w:proofErr w:type="spellEnd"/>
      <w:r w:rsidR="005E6784" w:rsidRPr="0030430F">
        <w:rPr>
          <w:sz w:val="22"/>
          <w:szCs w:val="22"/>
        </w:rPr>
        <w:t xml:space="preserve"> </w:t>
      </w:r>
      <w:proofErr w:type="spellStart"/>
      <w:r w:rsidR="005E6784" w:rsidRPr="0030430F">
        <w:rPr>
          <w:sz w:val="22"/>
          <w:szCs w:val="22"/>
        </w:rPr>
        <w:t>Market</w:t>
      </w:r>
      <w:proofErr w:type="spellEnd"/>
      <w:r w:rsidR="005E6784" w:rsidRPr="0030430F">
        <w:rPr>
          <w:sz w:val="22"/>
          <w:szCs w:val="22"/>
        </w:rPr>
        <w:t xml:space="preserve">, Short </w:t>
      </w:r>
      <w:proofErr w:type="spellStart"/>
      <w:r w:rsidR="005E6784" w:rsidRPr="0030430F">
        <w:rPr>
          <w:sz w:val="22"/>
          <w:szCs w:val="22"/>
        </w:rPr>
        <w:t>term</w:t>
      </w:r>
      <w:proofErr w:type="spellEnd"/>
      <w:r w:rsidR="005E6784" w:rsidRPr="0030430F">
        <w:rPr>
          <w:sz w:val="22"/>
          <w:szCs w:val="22"/>
        </w:rPr>
        <w:t xml:space="preserve"> </w:t>
      </w:r>
      <w:proofErr w:type="spellStart"/>
      <w:r w:rsidR="005E6784" w:rsidRPr="0030430F">
        <w:rPr>
          <w:sz w:val="22"/>
          <w:szCs w:val="22"/>
        </w:rPr>
        <w:t>Markets</w:t>
      </w:r>
      <w:proofErr w:type="spellEnd"/>
      <w:r w:rsidR="005E6784" w:rsidRPr="0030430F">
        <w:rPr>
          <w:sz w:val="22"/>
          <w:szCs w:val="22"/>
        </w:rPr>
        <w:t xml:space="preserve"> and </w:t>
      </w:r>
      <w:proofErr w:type="spellStart"/>
      <w:r w:rsidR="005E6784" w:rsidRPr="0030430F">
        <w:rPr>
          <w:sz w:val="22"/>
          <w:szCs w:val="22"/>
        </w:rPr>
        <w:t>their</w:t>
      </w:r>
      <w:proofErr w:type="spellEnd"/>
      <w:r w:rsidR="005E6784" w:rsidRPr="0030430F">
        <w:rPr>
          <w:sz w:val="22"/>
          <w:szCs w:val="22"/>
        </w:rPr>
        <w:t xml:space="preserve"> Management </w:t>
      </w:r>
      <w:proofErr w:type="spellStart"/>
      <w:r w:rsidR="005E6784" w:rsidRPr="0030430F">
        <w:rPr>
          <w:sz w:val="22"/>
          <w:szCs w:val="22"/>
        </w:rPr>
        <w:t>Mechanisms</w:t>
      </w:r>
      <w:proofErr w:type="spellEnd"/>
      <w:r w:rsidR="005E6784" w:rsidRPr="0030430F">
        <w:rPr>
          <w:sz w:val="22"/>
          <w:szCs w:val="22"/>
        </w:rPr>
        <w:t xml:space="preserve"> </w:t>
      </w:r>
      <w:proofErr w:type="spellStart"/>
      <w:r w:rsidR="005E6784" w:rsidRPr="0030430F">
        <w:rPr>
          <w:sz w:val="22"/>
          <w:szCs w:val="22"/>
        </w:rPr>
        <w:t>Task</w:t>
      </w:r>
      <w:proofErr w:type="spellEnd"/>
      <w:r w:rsidR="005E6784" w:rsidRPr="0030430F">
        <w:rPr>
          <w:sz w:val="22"/>
          <w:szCs w:val="22"/>
        </w:rPr>
        <w:t xml:space="preserve"> 6 </w:t>
      </w:r>
      <w:proofErr w:type="spellStart"/>
      <w:r w:rsidR="005E6784" w:rsidRPr="0030430F">
        <w:rPr>
          <w:sz w:val="22"/>
          <w:szCs w:val="22"/>
        </w:rPr>
        <w:t>Report</w:t>
      </w:r>
      <w:proofErr w:type="spellEnd"/>
      <w:r w:rsidR="005E6784" w:rsidRPr="0030430F">
        <w:rPr>
          <w:sz w:val="22"/>
          <w:szCs w:val="22"/>
        </w:rPr>
        <w:t xml:space="preserve">) que la información de ofertas de vendedores y ofertas de compradores sea informada previo a las negociaciones directas, de manera obligatoria al </w:t>
      </w:r>
      <w:r w:rsidR="005114C6">
        <w:rPr>
          <w:sz w:val="22"/>
          <w:szCs w:val="22"/>
        </w:rPr>
        <w:t>Gestor del Mercado</w:t>
      </w:r>
      <w:r w:rsidR="005E6784" w:rsidRPr="0030430F">
        <w:rPr>
          <w:sz w:val="22"/>
          <w:szCs w:val="22"/>
        </w:rPr>
        <w:t xml:space="preserve"> y publicada oportunamente por este último para conocimiento de todos los agentes.</w:t>
      </w:r>
    </w:p>
    <w:p w14:paraId="783CBDDC" w14:textId="4D4C8780" w:rsidR="005E6784" w:rsidRPr="0030430F" w:rsidRDefault="005E6784" w:rsidP="007C6D36">
      <w:pPr>
        <w:rPr>
          <w:sz w:val="22"/>
          <w:szCs w:val="22"/>
        </w:rPr>
      </w:pPr>
    </w:p>
    <w:p w14:paraId="0BF7069B" w14:textId="6E6E8045" w:rsidR="005E6784" w:rsidRPr="0030430F" w:rsidRDefault="005E6784" w:rsidP="007C6D36">
      <w:pPr>
        <w:rPr>
          <w:sz w:val="22"/>
          <w:szCs w:val="22"/>
        </w:rPr>
      </w:pPr>
      <w:r w:rsidRPr="0030430F">
        <w:rPr>
          <w:sz w:val="22"/>
          <w:szCs w:val="22"/>
        </w:rPr>
        <w:t xml:space="preserve">Lo anterior no limita la situación dada en que, a través de la publicación de la información por el </w:t>
      </w:r>
      <w:r w:rsidR="005114C6">
        <w:rPr>
          <w:sz w:val="22"/>
          <w:szCs w:val="22"/>
        </w:rPr>
        <w:t>Gestor del Mercado</w:t>
      </w:r>
      <w:r w:rsidRPr="0030430F">
        <w:rPr>
          <w:sz w:val="22"/>
          <w:szCs w:val="22"/>
        </w:rPr>
        <w:t>, no se obtienen contrapartes de negociación directa, por lo que a partir de ello los agentes podrán acudir a otras plataformas tecn</w:t>
      </w:r>
      <w:r w:rsidR="0030430F" w:rsidRPr="0030430F">
        <w:rPr>
          <w:sz w:val="22"/>
          <w:szCs w:val="22"/>
        </w:rPr>
        <w:t>o</w:t>
      </w:r>
      <w:r w:rsidRPr="0030430F">
        <w:rPr>
          <w:sz w:val="22"/>
          <w:szCs w:val="22"/>
        </w:rPr>
        <w:t xml:space="preserve">lógicas. </w:t>
      </w:r>
    </w:p>
    <w:p w14:paraId="4D3FC8E1" w14:textId="77777777" w:rsidR="00412DD5" w:rsidRDefault="00412DD5" w:rsidP="007C6D36"/>
    <w:p w14:paraId="733C3823" w14:textId="77777777" w:rsidR="007C6D36" w:rsidRPr="007C6D36" w:rsidRDefault="007C6D36" w:rsidP="007C6D36"/>
    <w:p w14:paraId="5F1F1427" w14:textId="04EF50FF" w:rsidR="00DE14E3" w:rsidRPr="00256DED" w:rsidRDefault="00DE14E3" w:rsidP="00DE14E3">
      <w:pPr>
        <w:pStyle w:val="Ttulo2"/>
        <w:rPr>
          <w:sz w:val="22"/>
          <w:szCs w:val="22"/>
        </w:rPr>
      </w:pPr>
      <w:bookmarkStart w:id="479" w:name="_Toc140506236"/>
      <w:r>
        <w:rPr>
          <w:sz w:val="22"/>
          <w:szCs w:val="22"/>
        </w:rPr>
        <w:t>Otros aspectos de la propuesta</w:t>
      </w:r>
      <w:bookmarkEnd w:id="479"/>
    </w:p>
    <w:p w14:paraId="536DB473" w14:textId="4F30478D" w:rsidR="0032794C" w:rsidRPr="000E63CD" w:rsidRDefault="002C6DFC">
      <w:pPr>
        <w:pStyle w:val="Prrafodelista"/>
        <w:numPr>
          <w:ilvl w:val="0"/>
          <w:numId w:val="7"/>
        </w:numPr>
        <w:ind w:left="360" w:hanging="360"/>
        <w:rPr>
          <w:sz w:val="22"/>
          <w:szCs w:val="22"/>
        </w:rPr>
      </w:pPr>
      <w:r w:rsidRPr="000E63CD">
        <w:rPr>
          <w:sz w:val="22"/>
          <w:szCs w:val="22"/>
        </w:rPr>
        <w:t>Se establece en forma explícita la o</w:t>
      </w:r>
      <w:r w:rsidR="00EB1833" w:rsidRPr="000E63CD">
        <w:rPr>
          <w:sz w:val="22"/>
          <w:szCs w:val="22"/>
        </w:rPr>
        <w:t>bligación</w:t>
      </w:r>
      <w:r w:rsidR="002E6301" w:rsidRPr="000E63CD">
        <w:rPr>
          <w:sz w:val="22"/>
          <w:szCs w:val="22"/>
        </w:rPr>
        <w:t xml:space="preserve"> </w:t>
      </w:r>
      <w:r w:rsidR="000E45CA" w:rsidRPr="000E63CD">
        <w:rPr>
          <w:sz w:val="22"/>
          <w:szCs w:val="22"/>
        </w:rPr>
        <w:t>de</w:t>
      </w:r>
      <w:r w:rsidR="00EB1833" w:rsidRPr="000E63CD">
        <w:rPr>
          <w:sz w:val="22"/>
          <w:szCs w:val="22"/>
        </w:rPr>
        <w:t xml:space="preserve"> los comercializadores que atienden usuarios finales</w:t>
      </w:r>
      <w:r w:rsidR="009E4846" w:rsidRPr="000E63CD">
        <w:rPr>
          <w:sz w:val="22"/>
          <w:szCs w:val="22"/>
        </w:rPr>
        <w:t xml:space="preserve"> del servicio público domiciliario de gas combustible</w:t>
      </w:r>
      <w:r w:rsidR="00EB1833" w:rsidRPr="000E63CD">
        <w:rPr>
          <w:sz w:val="22"/>
          <w:szCs w:val="22"/>
        </w:rPr>
        <w:t xml:space="preserve">, </w:t>
      </w:r>
      <w:r w:rsidR="009E4846" w:rsidRPr="000E63CD">
        <w:rPr>
          <w:sz w:val="22"/>
          <w:szCs w:val="22"/>
        </w:rPr>
        <w:t>para que obtengan el suministro de gas natural siguiendo las disposiciones contenidas en la Resolución, y no</w:t>
      </w:r>
      <w:r w:rsidR="00026E98">
        <w:rPr>
          <w:sz w:val="22"/>
          <w:szCs w:val="22"/>
        </w:rPr>
        <w:t xml:space="preserve"> se</w:t>
      </w:r>
      <w:r w:rsidR="009E4846" w:rsidRPr="000E63CD">
        <w:rPr>
          <w:sz w:val="22"/>
          <w:szCs w:val="22"/>
        </w:rPr>
        <w:t xml:space="preserve"> utilicen otros mecanismos de obtención del suministro que no cumplen con las reglas establecidas por la CREG.</w:t>
      </w:r>
    </w:p>
    <w:p w14:paraId="300DF1E2" w14:textId="77777777" w:rsidR="00A70781" w:rsidRPr="000E63CD" w:rsidRDefault="00A70781" w:rsidP="00A70781">
      <w:pPr>
        <w:pStyle w:val="Prrafodelista"/>
        <w:ind w:left="360"/>
        <w:rPr>
          <w:sz w:val="22"/>
          <w:szCs w:val="22"/>
        </w:rPr>
      </w:pPr>
    </w:p>
    <w:p w14:paraId="1171376B" w14:textId="33119FFD" w:rsidR="007F6F82" w:rsidRPr="000E63CD" w:rsidRDefault="000E45CA">
      <w:pPr>
        <w:pStyle w:val="Prrafodelista"/>
        <w:numPr>
          <w:ilvl w:val="0"/>
          <w:numId w:val="7"/>
        </w:numPr>
        <w:ind w:left="360" w:hanging="360"/>
        <w:rPr>
          <w:sz w:val="22"/>
          <w:szCs w:val="22"/>
        </w:rPr>
      </w:pPr>
      <w:r w:rsidRPr="000E63CD">
        <w:rPr>
          <w:sz w:val="22"/>
          <w:szCs w:val="22"/>
        </w:rPr>
        <w:t xml:space="preserve">Se </w:t>
      </w:r>
      <w:r w:rsidR="00975281" w:rsidRPr="000E63CD">
        <w:rPr>
          <w:sz w:val="22"/>
          <w:szCs w:val="22"/>
        </w:rPr>
        <w:t xml:space="preserve">establece en forma explícita el </w:t>
      </w:r>
      <w:r w:rsidR="007F6F82" w:rsidRPr="000E63CD">
        <w:rPr>
          <w:sz w:val="22"/>
          <w:szCs w:val="22"/>
        </w:rPr>
        <w:t xml:space="preserve">requisito de </w:t>
      </w:r>
      <w:r w:rsidR="00975281" w:rsidRPr="000E63CD">
        <w:rPr>
          <w:sz w:val="22"/>
          <w:szCs w:val="22"/>
        </w:rPr>
        <w:t xml:space="preserve">contar con </w:t>
      </w:r>
      <w:r w:rsidR="007F6F82" w:rsidRPr="000E63CD">
        <w:rPr>
          <w:sz w:val="22"/>
          <w:szCs w:val="22"/>
        </w:rPr>
        <w:t xml:space="preserve">Respaldo Físico </w:t>
      </w:r>
      <w:r w:rsidR="00975281" w:rsidRPr="000E63CD">
        <w:rPr>
          <w:sz w:val="22"/>
          <w:szCs w:val="22"/>
        </w:rPr>
        <w:t xml:space="preserve">para </w:t>
      </w:r>
      <w:r w:rsidR="00026E98">
        <w:rPr>
          <w:sz w:val="22"/>
          <w:szCs w:val="22"/>
        </w:rPr>
        <w:t xml:space="preserve">acordar y registrar ante el </w:t>
      </w:r>
      <w:r w:rsidR="005114C6">
        <w:rPr>
          <w:sz w:val="22"/>
          <w:szCs w:val="22"/>
        </w:rPr>
        <w:t>Gestor del Mercado</w:t>
      </w:r>
      <w:r w:rsidR="00026E98">
        <w:rPr>
          <w:sz w:val="22"/>
          <w:szCs w:val="22"/>
        </w:rPr>
        <w:t xml:space="preserve"> </w:t>
      </w:r>
      <w:r w:rsidR="00026C7A" w:rsidRPr="000E63CD">
        <w:rPr>
          <w:sz w:val="22"/>
          <w:szCs w:val="22"/>
        </w:rPr>
        <w:t xml:space="preserve">en el </w:t>
      </w:r>
      <w:r w:rsidR="00AC32B5">
        <w:rPr>
          <w:sz w:val="22"/>
          <w:szCs w:val="22"/>
        </w:rPr>
        <w:t>Mercado Primario</w:t>
      </w:r>
      <w:r w:rsidR="00026E98">
        <w:rPr>
          <w:sz w:val="22"/>
          <w:szCs w:val="22"/>
        </w:rPr>
        <w:t>,</w:t>
      </w:r>
      <w:r w:rsidR="00026C7A" w:rsidRPr="000E63CD">
        <w:rPr>
          <w:sz w:val="22"/>
          <w:szCs w:val="22"/>
        </w:rPr>
        <w:t xml:space="preserve"> </w:t>
      </w:r>
      <w:r w:rsidR="00F82990">
        <w:rPr>
          <w:sz w:val="22"/>
          <w:szCs w:val="22"/>
        </w:rPr>
        <w:t>los contratos firmes o con garantía de firmeza</w:t>
      </w:r>
      <w:r w:rsidR="007F6F82" w:rsidRPr="000E63CD">
        <w:rPr>
          <w:sz w:val="22"/>
          <w:szCs w:val="22"/>
        </w:rPr>
        <w:t xml:space="preserve"> </w:t>
      </w:r>
      <w:r w:rsidR="00975281" w:rsidRPr="000E63CD">
        <w:rPr>
          <w:sz w:val="22"/>
          <w:szCs w:val="22"/>
        </w:rPr>
        <w:t>diferentes a la de contratos con interrupciones</w:t>
      </w:r>
      <w:r w:rsidR="00B9492F" w:rsidRPr="000E63CD">
        <w:rPr>
          <w:sz w:val="22"/>
          <w:szCs w:val="22"/>
        </w:rPr>
        <w:t>.</w:t>
      </w:r>
    </w:p>
    <w:p w14:paraId="5CD795A4" w14:textId="77777777" w:rsidR="00A70781" w:rsidRPr="000E63CD" w:rsidRDefault="00A70781" w:rsidP="00A70781">
      <w:pPr>
        <w:pStyle w:val="Prrafodelista"/>
        <w:rPr>
          <w:sz w:val="22"/>
          <w:szCs w:val="22"/>
        </w:rPr>
      </w:pPr>
    </w:p>
    <w:p w14:paraId="2BA836F8" w14:textId="7F2DA3A4" w:rsidR="009E4846" w:rsidRPr="000E63CD" w:rsidRDefault="00026C7A">
      <w:pPr>
        <w:pStyle w:val="Prrafodelista"/>
        <w:numPr>
          <w:ilvl w:val="0"/>
          <w:numId w:val="7"/>
        </w:numPr>
        <w:ind w:left="360" w:hanging="360"/>
        <w:rPr>
          <w:sz w:val="22"/>
          <w:szCs w:val="22"/>
        </w:rPr>
      </w:pPr>
      <w:r w:rsidRPr="000E63CD">
        <w:rPr>
          <w:sz w:val="22"/>
          <w:szCs w:val="22"/>
        </w:rPr>
        <w:t xml:space="preserve">Se </w:t>
      </w:r>
      <w:r w:rsidR="009D02DB" w:rsidRPr="000E63CD">
        <w:rPr>
          <w:sz w:val="22"/>
          <w:szCs w:val="22"/>
        </w:rPr>
        <w:t xml:space="preserve">modifican varias definiciones, entre ellas </w:t>
      </w:r>
      <w:r w:rsidR="00F82990">
        <w:rPr>
          <w:sz w:val="22"/>
          <w:szCs w:val="22"/>
        </w:rPr>
        <w:t xml:space="preserve">la </w:t>
      </w:r>
      <w:r w:rsidR="009D02DB" w:rsidRPr="000E63CD">
        <w:rPr>
          <w:sz w:val="22"/>
          <w:szCs w:val="22"/>
        </w:rPr>
        <w:t xml:space="preserve">de </w:t>
      </w:r>
      <w:r w:rsidR="00F10EA6" w:rsidRPr="000E63CD">
        <w:rPr>
          <w:sz w:val="22"/>
          <w:szCs w:val="22"/>
        </w:rPr>
        <w:t>mercado mayorista de gas natural</w:t>
      </w:r>
      <w:r w:rsidR="009D02DB" w:rsidRPr="000E63CD">
        <w:rPr>
          <w:sz w:val="22"/>
          <w:szCs w:val="22"/>
        </w:rPr>
        <w:t>,</w:t>
      </w:r>
      <w:r w:rsidR="00F10EA6" w:rsidRPr="000E63CD">
        <w:rPr>
          <w:sz w:val="22"/>
          <w:szCs w:val="22"/>
        </w:rPr>
        <w:t xml:space="preserve"> de tal manera que </w:t>
      </w:r>
      <w:r w:rsidR="00514533" w:rsidRPr="000E63CD">
        <w:rPr>
          <w:sz w:val="22"/>
          <w:szCs w:val="22"/>
        </w:rPr>
        <w:t xml:space="preserve">no quede duda de </w:t>
      </w:r>
      <w:r w:rsidR="00B9492F" w:rsidRPr="000E63CD">
        <w:rPr>
          <w:sz w:val="22"/>
          <w:szCs w:val="22"/>
        </w:rPr>
        <w:t xml:space="preserve">que el mercado minorista </w:t>
      </w:r>
      <w:r w:rsidR="00F10EA6" w:rsidRPr="000E63CD">
        <w:rPr>
          <w:sz w:val="22"/>
          <w:szCs w:val="22"/>
        </w:rPr>
        <w:t xml:space="preserve">no </w:t>
      </w:r>
      <w:r w:rsidR="00B9492F" w:rsidRPr="000E63CD">
        <w:rPr>
          <w:sz w:val="22"/>
          <w:szCs w:val="22"/>
        </w:rPr>
        <w:t>es</w:t>
      </w:r>
      <w:r w:rsidR="00F10EA6" w:rsidRPr="000E63CD">
        <w:rPr>
          <w:sz w:val="22"/>
          <w:szCs w:val="22"/>
        </w:rPr>
        <w:t xml:space="preserve"> parte de dicho mercado</w:t>
      </w:r>
      <w:r w:rsidR="00B9492F" w:rsidRPr="000E63CD">
        <w:rPr>
          <w:sz w:val="22"/>
          <w:szCs w:val="22"/>
        </w:rPr>
        <w:t xml:space="preserve"> mayorista.</w:t>
      </w:r>
    </w:p>
    <w:p w14:paraId="41389F4F" w14:textId="77777777" w:rsidR="00A70781" w:rsidRPr="000E63CD" w:rsidRDefault="00A70781" w:rsidP="00A70781">
      <w:pPr>
        <w:pStyle w:val="Prrafodelista"/>
        <w:rPr>
          <w:sz w:val="22"/>
          <w:szCs w:val="22"/>
        </w:rPr>
      </w:pPr>
    </w:p>
    <w:p w14:paraId="63E20A6A" w14:textId="460FB1D4" w:rsidR="002C027D" w:rsidRPr="000E63CD" w:rsidRDefault="002C027D">
      <w:pPr>
        <w:pStyle w:val="Prrafodelista"/>
        <w:numPr>
          <w:ilvl w:val="0"/>
          <w:numId w:val="7"/>
        </w:numPr>
        <w:ind w:left="360" w:hanging="360"/>
        <w:rPr>
          <w:sz w:val="22"/>
          <w:szCs w:val="22"/>
        </w:rPr>
      </w:pPr>
      <w:r w:rsidRPr="000E63CD">
        <w:rPr>
          <w:sz w:val="22"/>
          <w:szCs w:val="22"/>
        </w:rPr>
        <w:t xml:space="preserve">Se incluyen </w:t>
      </w:r>
      <w:r w:rsidR="003D1A19" w:rsidRPr="000E63CD">
        <w:rPr>
          <w:sz w:val="22"/>
          <w:szCs w:val="22"/>
        </w:rPr>
        <w:t xml:space="preserve">varias </w:t>
      </w:r>
      <w:r w:rsidRPr="000E63CD">
        <w:rPr>
          <w:sz w:val="22"/>
          <w:szCs w:val="22"/>
        </w:rPr>
        <w:t>definiciones</w:t>
      </w:r>
      <w:r w:rsidR="003D1A19" w:rsidRPr="000E63CD">
        <w:rPr>
          <w:sz w:val="22"/>
          <w:szCs w:val="22"/>
        </w:rPr>
        <w:t>, entre ellas la</w:t>
      </w:r>
      <w:r w:rsidRPr="000E63CD">
        <w:rPr>
          <w:sz w:val="22"/>
          <w:szCs w:val="22"/>
        </w:rPr>
        <w:t xml:space="preserve"> de Fuente de Suministro</w:t>
      </w:r>
      <w:r w:rsidR="003D1A19" w:rsidRPr="000E63CD">
        <w:rPr>
          <w:sz w:val="22"/>
          <w:szCs w:val="22"/>
        </w:rPr>
        <w:t>,</w:t>
      </w:r>
      <w:r w:rsidRPr="000E63CD">
        <w:rPr>
          <w:sz w:val="22"/>
          <w:szCs w:val="22"/>
        </w:rPr>
        <w:t xml:space="preserve"> </w:t>
      </w:r>
      <w:r w:rsidR="007A66B3" w:rsidRPr="000E63CD">
        <w:rPr>
          <w:sz w:val="22"/>
          <w:szCs w:val="22"/>
        </w:rPr>
        <w:t xml:space="preserve">Gas Natural, Gas Natural Comprimido, Gas Natural Licuado, </w:t>
      </w:r>
      <w:r w:rsidRPr="000E63CD">
        <w:rPr>
          <w:sz w:val="22"/>
          <w:szCs w:val="22"/>
        </w:rPr>
        <w:t xml:space="preserve">Infraestructura de Importación, Punto de Referencia, Punto de importación, Trimestre Estándar, con lo que se busca dar la mayor claridad a la </w:t>
      </w:r>
      <w:r w:rsidR="007A66B3" w:rsidRPr="000E63CD">
        <w:rPr>
          <w:sz w:val="22"/>
          <w:szCs w:val="22"/>
        </w:rPr>
        <w:t xml:space="preserve">aplicación de dichos términos en la </w:t>
      </w:r>
      <w:r w:rsidRPr="000E63CD">
        <w:rPr>
          <w:sz w:val="22"/>
          <w:szCs w:val="22"/>
        </w:rPr>
        <w:t>regulación establecida o por establecer</w:t>
      </w:r>
      <w:r w:rsidR="007A66B3" w:rsidRPr="000E63CD">
        <w:rPr>
          <w:sz w:val="22"/>
          <w:szCs w:val="22"/>
        </w:rPr>
        <w:t xml:space="preserve"> del mercado mayorista de gas natural</w:t>
      </w:r>
      <w:r w:rsidRPr="000E63CD">
        <w:rPr>
          <w:sz w:val="22"/>
          <w:szCs w:val="22"/>
        </w:rPr>
        <w:t>.</w:t>
      </w:r>
    </w:p>
    <w:p w14:paraId="62A46828" w14:textId="77777777" w:rsidR="00C137A1" w:rsidRPr="000E63CD" w:rsidRDefault="00C137A1" w:rsidP="00C137A1">
      <w:pPr>
        <w:pStyle w:val="Prrafodelista"/>
        <w:rPr>
          <w:sz w:val="22"/>
          <w:szCs w:val="22"/>
        </w:rPr>
      </w:pPr>
    </w:p>
    <w:p w14:paraId="33158A12" w14:textId="410A6DD4" w:rsidR="00A16891" w:rsidRPr="000E63CD" w:rsidRDefault="00C137A1">
      <w:pPr>
        <w:pStyle w:val="Prrafodelista"/>
        <w:numPr>
          <w:ilvl w:val="0"/>
          <w:numId w:val="7"/>
        </w:numPr>
        <w:ind w:left="360" w:hanging="360"/>
        <w:rPr>
          <w:sz w:val="22"/>
          <w:szCs w:val="22"/>
        </w:rPr>
      </w:pPr>
      <w:r w:rsidRPr="000E63CD">
        <w:rPr>
          <w:sz w:val="22"/>
          <w:szCs w:val="22"/>
        </w:rPr>
        <w:t xml:space="preserve">Se incluyen varias obligaciones específicas al </w:t>
      </w:r>
      <w:r w:rsidR="005114C6">
        <w:rPr>
          <w:sz w:val="22"/>
          <w:szCs w:val="22"/>
        </w:rPr>
        <w:t>Gestor del Mercado</w:t>
      </w:r>
      <w:r w:rsidR="004C4F1E">
        <w:rPr>
          <w:sz w:val="22"/>
          <w:szCs w:val="22"/>
        </w:rPr>
        <w:t xml:space="preserve"> de Gas</w:t>
      </w:r>
      <w:r w:rsidRPr="000E63CD">
        <w:rPr>
          <w:sz w:val="22"/>
          <w:szCs w:val="22"/>
        </w:rPr>
        <w:t xml:space="preserve"> a cumplir bajo los nuevos esquemas establecidos en la propuesta de Resolución y en consideración a </w:t>
      </w:r>
      <w:r w:rsidR="000F24E2" w:rsidRPr="000E63CD">
        <w:rPr>
          <w:sz w:val="22"/>
          <w:szCs w:val="22"/>
        </w:rPr>
        <w:t>procedimientos y mecanismos de comercialización actualmente vigentes que se propone eliminar de la regulación</w:t>
      </w:r>
      <w:r w:rsidRPr="000E63CD">
        <w:rPr>
          <w:sz w:val="22"/>
          <w:szCs w:val="22"/>
        </w:rPr>
        <w:t xml:space="preserve">. </w:t>
      </w:r>
    </w:p>
    <w:p w14:paraId="5C5EAA68" w14:textId="77777777" w:rsidR="00A16891" w:rsidRPr="000E63CD" w:rsidRDefault="00A16891" w:rsidP="00A16891">
      <w:pPr>
        <w:pStyle w:val="Prrafodelista"/>
        <w:rPr>
          <w:sz w:val="22"/>
          <w:szCs w:val="22"/>
        </w:rPr>
      </w:pPr>
    </w:p>
    <w:p w14:paraId="7620816B" w14:textId="3054802C" w:rsidR="00A16891" w:rsidRPr="000E63CD" w:rsidRDefault="00A16891">
      <w:pPr>
        <w:pStyle w:val="Prrafodelista"/>
        <w:numPr>
          <w:ilvl w:val="0"/>
          <w:numId w:val="7"/>
        </w:numPr>
        <w:ind w:left="360" w:hanging="360"/>
        <w:rPr>
          <w:sz w:val="22"/>
          <w:szCs w:val="22"/>
        </w:rPr>
      </w:pPr>
      <w:r w:rsidRPr="000E63CD">
        <w:rPr>
          <w:sz w:val="22"/>
          <w:szCs w:val="22"/>
        </w:rPr>
        <w:t xml:space="preserve">Se establece en forma explícita la obligación de los comercializadores </w:t>
      </w:r>
      <w:r w:rsidR="00F82990">
        <w:rPr>
          <w:sz w:val="22"/>
          <w:szCs w:val="22"/>
        </w:rPr>
        <w:t xml:space="preserve">de dar </w:t>
      </w:r>
      <w:r w:rsidRPr="000E63CD">
        <w:rPr>
          <w:sz w:val="22"/>
          <w:szCs w:val="22"/>
        </w:rPr>
        <w:t xml:space="preserve">cumplimiento de la presentación de aviso de inicio de actividades del comercializador, previo al registro de los contratos ante el </w:t>
      </w:r>
      <w:r w:rsidR="005114C6">
        <w:rPr>
          <w:sz w:val="22"/>
          <w:szCs w:val="22"/>
        </w:rPr>
        <w:t>Gestor del Mercado</w:t>
      </w:r>
      <w:r w:rsidR="004C4F1E">
        <w:rPr>
          <w:sz w:val="22"/>
          <w:szCs w:val="22"/>
        </w:rPr>
        <w:t xml:space="preserve"> de Gas</w:t>
      </w:r>
      <w:r w:rsidRPr="000E63CD">
        <w:rPr>
          <w:sz w:val="22"/>
          <w:szCs w:val="22"/>
        </w:rPr>
        <w:t>.</w:t>
      </w:r>
    </w:p>
    <w:p w14:paraId="645EA85B" w14:textId="77777777" w:rsidR="002C027D" w:rsidRPr="000E63CD" w:rsidRDefault="002C027D" w:rsidP="002C027D">
      <w:pPr>
        <w:rPr>
          <w:sz w:val="22"/>
          <w:szCs w:val="22"/>
        </w:rPr>
      </w:pPr>
    </w:p>
    <w:p w14:paraId="5D892D88" w14:textId="3C0D4761" w:rsidR="007B066D" w:rsidRPr="000E63CD" w:rsidRDefault="008477AB">
      <w:pPr>
        <w:pStyle w:val="Prrafodelista"/>
        <w:numPr>
          <w:ilvl w:val="0"/>
          <w:numId w:val="7"/>
        </w:numPr>
        <w:ind w:left="360" w:hanging="360"/>
        <w:rPr>
          <w:sz w:val="22"/>
          <w:szCs w:val="22"/>
        </w:rPr>
      </w:pPr>
      <w:r w:rsidRPr="000E63CD">
        <w:rPr>
          <w:sz w:val="22"/>
          <w:szCs w:val="22"/>
        </w:rPr>
        <w:t>Se incluye texto e</w:t>
      </w:r>
      <w:r w:rsidR="00F82990">
        <w:rPr>
          <w:sz w:val="22"/>
          <w:szCs w:val="22"/>
        </w:rPr>
        <w:t>specífico</w:t>
      </w:r>
      <w:r w:rsidRPr="000E63CD">
        <w:rPr>
          <w:sz w:val="22"/>
          <w:szCs w:val="22"/>
        </w:rPr>
        <w:t xml:space="preserve"> en cuanto a que</w:t>
      </w:r>
      <w:r w:rsidR="007B066D" w:rsidRPr="000E63CD">
        <w:rPr>
          <w:sz w:val="22"/>
          <w:szCs w:val="22"/>
        </w:rPr>
        <w:t xml:space="preserve"> los campos en pruebas o sin declaración de comercialidad no pueden </w:t>
      </w:r>
      <w:r w:rsidR="00F82990">
        <w:rPr>
          <w:sz w:val="22"/>
          <w:szCs w:val="22"/>
        </w:rPr>
        <w:t>registrar</w:t>
      </w:r>
      <w:r w:rsidR="007B066D" w:rsidRPr="000E63CD">
        <w:rPr>
          <w:sz w:val="22"/>
          <w:szCs w:val="22"/>
        </w:rPr>
        <w:t xml:space="preserve"> contratos en modalidades que requieren Respaldo Físico, a menos que hayan certificado reservas proba</w:t>
      </w:r>
      <w:r w:rsidR="000D2D04" w:rsidRPr="000E63CD">
        <w:rPr>
          <w:sz w:val="22"/>
          <w:szCs w:val="22"/>
        </w:rPr>
        <w:t>das</w:t>
      </w:r>
      <w:r w:rsidR="007B066D" w:rsidRPr="000E63CD">
        <w:rPr>
          <w:sz w:val="22"/>
          <w:szCs w:val="22"/>
        </w:rPr>
        <w:t xml:space="preserve"> y/o probables </w:t>
      </w:r>
      <w:r w:rsidR="00574A05" w:rsidRPr="000E63CD">
        <w:rPr>
          <w:sz w:val="22"/>
          <w:szCs w:val="22"/>
        </w:rPr>
        <w:t xml:space="preserve">ante la ANH </w:t>
      </w:r>
      <w:r w:rsidR="007B066D" w:rsidRPr="000E63CD">
        <w:rPr>
          <w:sz w:val="22"/>
          <w:szCs w:val="22"/>
        </w:rPr>
        <w:t>para la fuente de suministro utilizada en el contrato</w:t>
      </w:r>
      <w:r w:rsidR="00574A05" w:rsidRPr="000E63CD">
        <w:rPr>
          <w:sz w:val="22"/>
          <w:szCs w:val="22"/>
        </w:rPr>
        <w:t>.</w:t>
      </w:r>
    </w:p>
    <w:p w14:paraId="3D221A8E" w14:textId="77777777" w:rsidR="00991D80" w:rsidRPr="000E63CD" w:rsidRDefault="00991D80" w:rsidP="00991D80">
      <w:pPr>
        <w:pStyle w:val="Prrafodelista"/>
        <w:rPr>
          <w:sz w:val="22"/>
          <w:szCs w:val="22"/>
        </w:rPr>
      </w:pPr>
    </w:p>
    <w:p w14:paraId="11B111A7" w14:textId="6F901FEE" w:rsidR="00A70781" w:rsidRPr="000E63CD" w:rsidRDefault="00991D80">
      <w:pPr>
        <w:pStyle w:val="Prrafodelista"/>
        <w:numPr>
          <w:ilvl w:val="0"/>
          <w:numId w:val="7"/>
        </w:numPr>
        <w:ind w:left="360" w:hanging="360"/>
        <w:rPr>
          <w:sz w:val="22"/>
          <w:szCs w:val="22"/>
        </w:rPr>
      </w:pPr>
      <w:r w:rsidRPr="000E63CD">
        <w:rPr>
          <w:sz w:val="22"/>
          <w:szCs w:val="22"/>
        </w:rPr>
        <w:t xml:space="preserve">Se </w:t>
      </w:r>
      <w:r w:rsidR="00540CEE">
        <w:rPr>
          <w:sz w:val="22"/>
          <w:szCs w:val="22"/>
        </w:rPr>
        <w:t>establece</w:t>
      </w:r>
      <w:r w:rsidRPr="000E63CD">
        <w:rPr>
          <w:sz w:val="22"/>
          <w:szCs w:val="22"/>
        </w:rPr>
        <w:t xml:space="preserve"> </w:t>
      </w:r>
      <w:r w:rsidR="0067718E" w:rsidRPr="000E63CD">
        <w:rPr>
          <w:sz w:val="22"/>
          <w:szCs w:val="22"/>
        </w:rPr>
        <w:t>la condición de que</w:t>
      </w:r>
      <w:r w:rsidR="00F82990" w:rsidRPr="00F82990">
        <w:rPr>
          <w:sz w:val="22"/>
          <w:szCs w:val="22"/>
        </w:rPr>
        <w:t xml:space="preserve"> </w:t>
      </w:r>
      <w:r w:rsidR="00F82990" w:rsidRPr="000E63CD">
        <w:rPr>
          <w:sz w:val="22"/>
          <w:szCs w:val="22"/>
        </w:rPr>
        <w:t>solamente se puede incluir una fuente de suministro</w:t>
      </w:r>
      <w:r w:rsidR="00F82990">
        <w:rPr>
          <w:sz w:val="22"/>
          <w:szCs w:val="22"/>
        </w:rPr>
        <w:t xml:space="preserve"> en un contrato de suministro</w:t>
      </w:r>
      <w:r w:rsidR="0067718E" w:rsidRPr="000E63CD">
        <w:rPr>
          <w:sz w:val="22"/>
          <w:szCs w:val="22"/>
        </w:rPr>
        <w:t>, para que pued</w:t>
      </w:r>
      <w:r w:rsidR="00F82990">
        <w:rPr>
          <w:sz w:val="22"/>
          <w:szCs w:val="22"/>
        </w:rPr>
        <w:t>a</w:t>
      </w:r>
      <w:r w:rsidR="0067718E" w:rsidRPr="000E63CD">
        <w:rPr>
          <w:sz w:val="22"/>
          <w:szCs w:val="22"/>
        </w:rPr>
        <w:t xml:space="preserve"> </w:t>
      </w:r>
      <w:r w:rsidR="003A2EC5" w:rsidRPr="000E63CD">
        <w:rPr>
          <w:sz w:val="22"/>
          <w:szCs w:val="22"/>
        </w:rPr>
        <w:t>utiliza</w:t>
      </w:r>
      <w:r w:rsidR="0067718E" w:rsidRPr="000E63CD">
        <w:rPr>
          <w:sz w:val="22"/>
          <w:szCs w:val="22"/>
        </w:rPr>
        <w:t>r</w:t>
      </w:r>
      <w:r w:rsidR="00F82990">
        <w:rPr>
          <w:sz w:val="22"/>
          <w:szCs w:val="22"/>
        </w:rPr>
        <w:t>se</w:t>
      </w:r>
      <w:r w:rsidR="0067718E" w:rsidRPr="000E63CD">
        <w:rPr>
          <w:sz w:val="22"/>
          <w:szCs w:val="22"/>
        </w:rPr>
        <w:t xml:space="preserve"> el mecanismo de negociación directa</w:t>
      </w:r>
      <w:r w:rsidR="003A2EC5" w:rsidRPr="000E63CD">
        <w:rPr>
          <w:sz w:val="22"/>
          <w:szCs w:val="22"/>
        </w:rPr>
        <w:t xml:space="preserve"> y </w:t>
      </w:r>
      <w:r w:rsidR="00540CEE">
        <w:rPr>
          <w:sz w:val="22"/>
          <w:szCs w:val="22"/>
        </w:rPr>
        <w:t>s</w:t>
      </w:r>
      <w:r w:rsidR="00F82990">
        <w:rPr>
          <w:sz w:val="22"/>
          <w:szCs w:val="22"/>
        </w:rPr>
        <w:t xml:space="preserve">e </w:t>
      </w:r>
      <w:r w:rsidR="003A2EC5" w:rsidRPr="000E63CD">
        <w:rPr>
          <w:sz w:val="22"/>
          <w:szCs w:val="22"/>
        </w:rPr>
        <w:t>pued</w:t>
      </w:r>
      <w:r w:rsidR="00F82990">
        <w:rPr>
          <w:sz w:val="22"/>
          <w:szCs w:val="22"/>
        </w:rPr>
        <w:t>a</w:t>
      </w:r>
      <w:r w:rsidR="003A2EC5" w:rsidRPr="000E63CD">
        <w:rPr>
          <w:sz w:val="22"/>
          <w:szCs w:val="22"/>
        </w:rPr>
        <w:t xml:space="preserve"> registrar </w:t>
      </w:r>
      <w:r w:rsidR="00F82990">
        <w:rPr>
          <w:sz w:val="22"/>
          <w:szCs w:val="22"/>
        </w:rPr>
        <w:t>el contrato</w:t>
      </w:r>
      <w:r w:rsidR="003A2EC5" w:rsidRPr="000E63CD">
        <w:rPr>
          <w:sz w:val="22"/>
          <w:szCs w:val="22"/>
        </w:rPr>
        <w:t xml:space="preserve"> en cualquier momento del año. </w:t>
      </w:r>
    </w:p>
    <w:p w14:paraId="2C95DCD9" w14:textId="77777777" w:rsidR="00A70781" w:rsidRPr="000E63CD" w:rsidRDefault="00A70781" w:rsidP="00A70781">
      <w:pPr>
        <w:pStyle w:val="Prrafodelista"/>
        <w:rPr>
          <w:sz w:val="22"/>
          <w:szCs w:val="22"/>
        </w:rPr>
      </w:pPr>
    </w:p>
    <w:p w14:paraId="67A2EB18" w14:textId="32E2515F" w:rsidR="001E26A5" w:rsidRDefault="001E26A5">
      <w:pPr>
        <w:pStyle w:val="Prrafodelista"/>
        <w:numPr>
          <w:ilvl w:val="0"/>
          <w:numId w:val="7"/>
        </w:numPr>
        <w:ind w:left="360" w:hanging="360"/>
        <w:rPr>
          <w:sz w:val="22"/>
          <w:szCs w:val="22"/>
        </w:rPr>
      </w:pPr>
      <w:r>
        <w:rPr>
          <w:sz w:val="22"/>
          <w:szCs w:val="22"/>
        </w:rPr>
        <w:t xml:space="preserve">Se </w:t>
      </w:r>
      <w:r w:rsidR="00F82990">
        <w:rPr>
          <w:sz w:val="22"/>
          <w:szCs w:val="22"/>
        </w:rPr>
        <w:t>proponen</w:t>
      </w:r>
      <w:r>
        <w:rPr>
          <w:sz w:val="22"/>
          <w:szCs w:val="22"/>
        </w:rPr>
        <w:t xml:space="preserve"> </w:t>
      </w:r>
      <w:r w:rsidRPr="001E26A5">
        <w:rPr>
          <w:sz w:val="22"/>
          <w:szCs w:val="22"/>
        </w:rPr>
        <w:t>ajustes a algunos de los indicadores del Mercado Primario, con el fin de armonizar las medidas propuestas con los indicadores vigentes establecidos actualmente en el numeral 7 del Anexo 1 de la Resolución CREG 186 de 2020. Con estos indicadores se espera obtener información más precisa agregada de los vendedores y de los compradores en dicho mercado, que no solo sirva de referencia para los participantes del Mercado sino también de referencias para evaluar el cumplimiento de la regulación por parte de las entidades de vigilancia y control</w:t>
      </w:r>
      <w:r>
        <w:rPr>
          <w:sz w:val="22"/>
          <w:szCs w:val="22"/>
        </w:rPr>
        <w:t>.</w:t>
      </w:r>
    </w:p>
    <w:p w14:paraId="36C10BB5" w14:textId="77777777" w:rsidR="00F82990" w:rsidRPr="00F82990" w:rsidRDefault="00F82990" w:rsidP="00F82990">
      <w:pPr>
        <w:pStyle w:val="Prrafodelista"/>
        <w:rPr>
          <w:sz w:val="22"/>
          <w:szCs w:val="22"/>
        </w:rPr>
      </w:pPr>
    </w:p>
    <w:p w14:paraId="7FB75190" w14:textId="434C736A" w:rsidR="00F82990" w:rsidRDefault="00F82990">
      <w:pPr>
        <w:pStyle w:val="Prrafodelista"/>
        <w:numPr>
          <w:ilvl w:val="0"/>
          <w:numId w:val="7"/>
        </w:numPr>
        <w:ind w:left="360" w:hanging="360"/>
        <w:rPr>
          <w:sz w:val="22"/>
          <w:szCs w:val="22"/>
        </w:rPr>
      </w:pPr>
      <w:r>
        <w:rPr>
          <w:sz w:val="22"/>
          <w:szCs w:val="22"/>
        </w:rPr>
        <w:t>Se incluyen indicadores de desempeño del Mercado Secundario que actualmente no existen en la regulación.</w:t>
      </w:r>
    </w:p>
    <w:p w14:paraId="4BF58F4C" w14:textId="77777777" w:rsidR="00982402" w:rsidRPr="00982402" w:rsidRDefault="00982402" w:rsidP="00982402">
      <w:pPr>
        <w:pStyle w:val="Prrafodelista"/>
        <w:rPr>
          <w:sz w:val="22"/>
          <w:szCs w:val="22"/>
        </w:rPr>
      </w:pPr>
    </w:p>
    <w:p w14:paraId="66F479E7" w14:textId="3ABCA1FA" w:rsidR="00982402" w:rsidRDefault="00982402">
      <w:pPr>
        <w:pStyle w:val="Prrafodelista"/>
        <w:numPr>
          <w:ilvl w:val="0"/>
          <w:numId w:val="7"/>
        </w:numPr>
        <w:ind w:left="360" w:hanging="360"/>
        <w:rPr>
          <w:sz w:val="22"/>
          <w:szCs w:val="22"/>
        </w:rPr>
      </w:pPr>
      <w:r>
        <w:rPr>
          <w:sz w:val="22"/>
          <w:szCs w:val="22"/>
        </w:rPr>
        <w:t xml:space="preserve">Se aclara </w:t>
      </w:r>
      <w:proofErr w:type="gramStart"/>
      <w:r>
        <w:rPr>
          <w:sz w:val="22"/>
          <w:szCs w:val="22"/>
        </w:rPr>
        <w:t>que</w:t>
      </w:r>
      <w:proofErr w:type="gramEnd"/>
      <w:r>
        <w:rPr>
          <w:sz w:val="22"/>
          <w:szCs w:val="22"/>
        </w:rPr>
        <w:t xml:space="preserve"> e</w:t>
      </w:r>
      <w:r w:rsidRPr="00982402">
        <w:rPr>
          <w:sz w:val="22"/>
          <w:szCs w:val="22"/>
        </w:rPr>
        <w:t xml:space="preserve">n el caso de la aplicación de campos sin declaración de comercialidad, se debe tener en cuenta que se trata de campos que están en etapa de evaluación de la comercialidad de hallazgos de gas natural.  </w:t>
      </w:r>
    </w:p>
    <w:p w14:paraId="4732E4AF" w14:textId="152BA2F4" w:rsidR="00F82990" w:rsidRPr="00F82990" w:rsidRDefault="00F82990" w:rsidP="00F82990">
      <w:pPr>
        <w:rPr>
          <w:sz w:val="22"/>
          <w:szCs w:val="22"/>
        </w:rPr>
      </w:pPr>
    </w:p>
    <w:p w14:paraId="69859749" w14:textId="77777777" w:rsidR="0080776E" w:rsidRPr="006C2940" w:rsidRDefault="0080776E" w:rsidP="006C2940">
      <w:pPr>
        <w:pStyle w:val="Prrafodelista"/>
        <w:rPr>
          <w:sz w:val="22"/>
          <w:szCs w:val="22"/>
        </w:rPr>
      </w:pPr>
    </w:p>
    <w:p w14:paraId="50420902" w14:textId="5DE27727" w:rsidR="0070084D" w:rsidRPr="00D0576A" w:rsidRDefault="0070084D" w:rsidP="00D0576A">
      <w:pPr>
        <w:pStyle w:val="Ttulo1"/>
      </w:pPr>
      <w:bookmarkStart w:id="480" w:name="_Toc95457676"/>
      <w:bookmarkStart w:id="481" w:name="_Toc95457677"/>
      <w:bookmarkStart w:id="482" w:name="_Toc140506237"/>
      <w:bookmarkEnd w:id="480"/>
      <w:bookmarkEnd w:id="481"/>
      <w:r w:rsidRPr="00D0576A">
        <w:t>ANÁLISIS DE IMPACTOS</w:t>
      </w:r>
      <w:bookmarkEnd w:id="482"/>
    </w:p>
    <w:bookmarkEnd w:id="0"/>
    <w:bookmarkEnd w:id="1"/>
    <w:p w14:paraId="214C0BEC" w14:textId="433FE52D" w:rsidR="008652C4" w:rsidRDefault="007122DC" w:rsidP="007122DC">
      <w:pPr>
        <w:rPr>
          <w:sz w:val="22"/>
          <w:szCs w:val="22"/>
        </w:rPr>
      </w:pPr>
      <w:r w:rsidRPr="000E63CD">
        <w:rPr>
          <w:sz w:val="22"/>
          <w:szCs w:val="22"/>
        </w:rPr>
        <w:t xml:space="preserve">Las propuestas contienen </w:t>
      </w:r>
      <w:r w:rsidR="00875DE9">
        <w:rPr>
          <w:sz w:val="22"/>
          <w:szCs w:val="22"/>
        </w:rPr>
        <w:t xml:space="preserve">varias </w:t>
      </w:r>
      <w:r w:rsidRPr="000E63CD">
        <w:rPr>
          <w:sz w:val="22"/>
          <w:szCs w:val="22"/>
        </w:rPr>
        <w:t xml:space="preserve">medidas que aumentan la flexibilidad de las reglas de la comercialización de gas natural en el </w:t>
      </w:r>
      <w:r w:rsidR="00AC32B5">
        <w:rPr>
          <w:sz w:val="22"/>
          <w:szCs w:val="22"/>
        </w:rPr>
        <w:t>Mercado Primario</w:t>
      </w:r>
      <w:r w:rsidR="00B402B3" w:rsidRPr="000E63CD">
        <w:rPr>
          <w:sz w:val="22"/>
          <w:szCs w:val="22"/>
        </w:rPr>
        <w:t xml:space="preserve">, </w:t>
      </w:r>
      <w:r w:rsidR="009519E5">
        <w:rPr>
          <w:sz w:val="22"/>
          <w:szCs w:val="22"/>
        </w:rPr>
        <w:t xml:space="preserve">así como </w:t>
      </w:r>
      <w:r w:rsidR="001E45EE">
        <w:rPr>
          <w:sz w:val="22"/>
          <w:szCs w:val="22"/>
        </w:rPr>
        <w:t xml:space="preserve">con textos </w:t>
      </w:r>
      <w:r w:rsidR="00B402B3" w:rsidRPr="000E63CD">
        <w:rPr>
          <w:sz w:val="22"/>
          <w:szCs w:val="22"/>
        </w:rPr>
        <w:t>más explícit</w:t>
      </w:r>
      <w:r w:rsidR="00DB0643">
        <w:rPr>
          <w:sz w:val="22"/>
          <w:szCs w:val="22"/>
        </w:rPr>
        <w:t>o</w:t>
      </w:r>
      <w:r w:rsidR="00CC7DBF" w:rsidRPr="000E63CD">
        <w:rPr>
          <w:sz w:val="22"/>
          <w:szCs w:val="22"/>
        </w:rPr>
        <w:t>s</w:t>
      </w:r>
      <w:r w:rsidR="00B402B3" w:rsidRPr="000E63CD">
        <w:rPr>
          <w:sz w:val="22"/>
          <w:szCs w:val="22"/>
        </w:rPr>
        <w:t xml:space="preserve"> </w:t>
      </w:r>
      <w:r w:rsidR="00284B49">
        <w:rPr>
          <w:sz w:val="22"/>
          <w:szCs w:val="22"/>
        </w:rPr>
        <w:t xml:space="preserve">y detallados </w:t>
      </w:r>
      <w:r w:rsidR="00B402B3" w:rsidRPr="000E63CD">
        <w:rPr>
          <w:sz w:val="22"/>
          <w:szCs w:val="22"/>
        </w:rPr>
        <w:t>en la aplicación de algunas de las normas</w:t>
      </w:r>
      <w:r w:rsidR="009519E5">
        <w:rPr>
          <w:sz w:val="22"/>
          <w:szCs w:val="22"/>
        </w:rPr>
        <w:t xml:space="preserve"> que pudiesen resultar con diversas interpretaciones</w:t>
      </w:r>
      <w:r w:rsidR="00CC7DBF" w:rsidRPr="000E63CD">
        <w:rPr>
          <w:sz w:val="22"/>
          <w:szCs w:val="22"/>
        </w:rPr>
        <w:t>,</w:t>
      </w:r>
      <w:r w:rsidR="00B402B3" w:rsidRPr="000E63CD">
        <w:rPr>
          <w:sz w:val="22"/>
          <w:szCs w:val="22"/>
        </w:rPr>
        <w:t xml:space="preserve"> de modo que los agentes </w:t>
      </w:r>
      <w:r w:rsidR="00AC32B5">
        <w:rPr>
          <w:sz w:val="22"/>
          <w:szCs w:val="22"/>
        </w:rPr>
        <w:t>Vendedores</w:t>
      </w:r>
      <w:r w:rsidR="006070FF" w:rsidRPr="000E63CD">
        <w:rPr>
          <w:sz w:val="22"/>
          <w:szCs w:val="22"/>
        </w:rPr>
        <w:t xml:space="preserve"> y </w:t>
      </w:r>
      <w:r w:rsidR="00AC32B5">
        <w:rPr>
          <w:sz w:val="22"/>
          <w:szCs w:val="22"/>
        </w:rPr>
        <w:t>Compradores</w:t>
      </w:r>
      <w:r w:rsidR="006070FF" w:rsidRPr="000E63CD">
        <w:rPr>
          <w:sz w:val="22"/>
          <w:szCs w:val="22"/>
        </w:rPr>
        <w:t xml:space="preserve"> </w:t>
      </w:r>
      <w:r w:rsidR="00B402B3" w:rsidRPr="000E63CD">
        <w:rPr>
          <w:sz w:val="22"/>
          <w:szCs w:val="22"/>
        </w:rPr>
        <w:t>tengan total claridad en aspectos que recientemente han surgido</w:t>
      </w:r>
      <w:r w:rsidR="006070FF" w:rsidRPr="000E63CD">
        <w:rPr>
          <w:sz w:val="22"/>
          <w:szCs w:val="22"/>
        </w:rPr>
        <w:t xml:space="preserve">, no previstos </w:t>
      </w:r>
      <w:r w:rsidR="008364CA">
        <w:rPr>
          <w:sz w:val="22"/>
          <w:szCs w:val="22"/>
        </w:rPr>
        <w:t xml:space="preserve">en su totalidad </w:t>
      </w:r>
      <w:r w:rsidR="006070FF" w:rsidRPr="000E63CD">
        <w:rPr>
          <w:sz w:val="22"/>
          <w:szCs w:val="22"/>
        </w:rPr>
        <w:t>en la regulación vigente</w:t>
      </w:r>
      <w:r w:rsidR="00B402B3" w:rsidRPr="000E63CD">
        <w:rPr>
          <w:sz w:val="22"/>
          <w:szCs w:val="22"/>
        </w:rPr>
        <w:t xml:space="preserve"> y que potencialmente </w:t>
      </w:r>
      <w:r w:rsidR="005B7C7F" w:rsidRPr="000E63CD">
        <w:rPr>
          <w:sz w:val="22"/>
          <w:szCs w:val="22"/>
        </w:rPr>
        <w:t>resulta</w:t>
      </w:r>
      <w:r w:rsidR="0059540A" w:rsidRPr="000E63CD">
        <w:rPr>
          <w:sz w:val="22"/>
          <w:szCs w:val="22"/>
        </w:rPr>
        <w:t>n</w:t>
      </w:r>
      <w:r w:rsidR="005B7C7F" w:rsidRPr="000E63CD">
        <w:rPr>
          <w:sz w:val="22"/>
          <w:szCs w:val="22"/>
        </w:rPr>
        <w:t xml:space="preserve"> en mayores costos de transacción.</w:t>
      </w:r>
      <w:r w:rsidRPr="000E63CD">
        <w:rPr>
          <w:sz w:val="22"/>
          <w:szCs w:val="22"/>
        </w:rPr>
        <w:t xml:space="preserve"> </w:t>
      </w:r>
      <w:r w:rsidR="00352A1A">
        <w:rPr>
          <w:sz w:val="22"/>
          <w:szCs w:val="22"/>
        </w:rPr>
        <w:t xml:space="preserve">No se cuenta con un </w:t>
      </w:r>
      <w:r w:rsidR="00352A1A" w:rsidRPr="000E63CD">
        <w:rPr>
          <w:sz w:val="22"/>
          <w:szCs w:val="22"/>
        </w:rPr>
        <w:t xml:space="preserve">método estándar para </w:t>
      </w:r>
      <w:r w:rsidR="00352A1A">
        <w:rPr>
          <w:sz w:val="22"/>
          <w:szCs w:val="22"/>
        </w:rPr>
        <w:t>l</w:t>
      </w:r>
      <w:r w:rsidR="008411A3">
        <w:rPr>
          <w:sz w:val="22"/>
          <w:szCs w:val="22"/>
        </w:rPr>
        <w:t xml:space="preserve">a cuantificación </w:t>
      </w:r>
      <w:r w:rsidR="00352A1A">
        <w:rPr>
          <w:sz w:val="22"/>
          <w:szCs w:val="22"/>
        </w:rPr>
        <w:t xml:space="preserve">o estimación </w:t>
      </w:r>
      <w:r w:rsidR="008411A3">
        <w:rPr>
          <w:sz w:val="22"/>
          <w:szCs w:val="22"/>
        </w:rPr>
        <w:t xml:space="preserve">de </w:t>
      </w:r>
      <w:r w:rsidR="009B1D87" w:rsidRPr="000E63CD">
        <w:rPr>
          <w:sz w:val="22"/>
          <w:szCs w:val="22"/>
        </w:rPr>
        <w:t xml:space="preserve">dichos ahorros en </w:t>
      </w:r>
      <w:r w:rsidR="00352A1A">
        <w:rPr>
          <w:sz w:val="22"/>
          <w:szCs w:val="22"/>
        </w:rPr>
        <w:t xml:space="preserve">los </w:t>
      </w:r>
      <w:r w:rsidR="009B1D87" w:rsidRPr="000E63CD">
        <w:rPr>
          <w:sz w:val="22"/>
          <w:szCs w:val="22"/>
        </w:rPr>
        <w:t xml:space="preserve">costos </w:t>
      </w:r>
      <w:r w:rsidR="00352A1A">
        <w:rPr>
          <w:sz w:val="22"/>
          <w:szCs w:val="22"/>
        </w:rPr>
        <w:t>de transacción derivados de</w:t>
      </w:r>
      <w:r w:rsidR="0043067A" w:rsidRPr="000E63CD">
        <w:rPr>
          <w:sz w:val="22"/>
          <w:szCs w:val="22"/>
        </w:rPr>
        <w:t xml:space="preserve"> cada una de la</w:t>
      </w:r>
      <w:r w:rsidR="00CD42B1" w:rsidRPr="000E63CD">
        <w:rPr>
          <w:sz w:val="22"/>
          <w:szCs w:val="22"/>
        </w:rPr>
        <w:t>s flexibilidades que se proponen</w:t>
      </w:r>
      <w:r w:rsidR="00B72C58" w:rsidRPr="000E63CD">
        <w:rPr>
          <w:sz w:val="22"/>
          <w:szCs w:val="22"/>
        </w:rPr>
        <w:t xml:space="preserve"> ni de comp</w:t>
      </w:r>
      <w:r w:rsidR="00352A1A">
        <w:rPr>
          <w:sz w:val="22"/>
          <w:szCs w:val="22"/>
        </w:rPr>
        <w:t>a</w:t>
      </w:r>
      <w:r w:rsidR="00B72C58" w:rsidRPr="000E63CD">
        <w:rPr>
          <w:sz w:val="22"/>
          <w:szCs w:val="22"/>
        </w:rPr>
        <w:t>rarl</w:t>
      </w:r>
      <w:r w:rsidR="00352A1A">
        <w:rPr>
          <w:sz w:val="22"/>
          <w:szCs w:val="22"/>
        </w:rPr>
        <w:t>os</w:t>
      </w:r>
      <w:r w:rsidR="00B72C58" w:rsidRPr="000E63CD">
        <w:rPr>
          <w:sz w:val="22"/>
          <w:szCs w:val="22"/>
        </w:rPr>
        <w:t xml:space="preserve"> entre las mismas empresas que participan en el mercado mayorista</w:t>
      </w:r>
      <w:r w:rsidR="00883E5C">
        <w:rPr>
          <w:sz w:val="22"/>
          <w:szCs w:val="22"/>
        </w:rPr>
        <w:t>; sin embargo, dicha flexibilización se da en el mismo sentido que los agentes lo han comentado</w:t>
      </w:r>
      <w:r w:rsidR="008652C4">
        <w:rPr>
          <w:sz w:val="22"/>
          <w:szCs w:val="22"/>
        </w:rPr>
        <w:t xml:space="preserve"> y propuesto luego del proceso de consulta del documento </w:t>
      </w:r>
      <w:r w:rsidR="008652C4" w:rsidRPr="00577563">
        <w:rPr>
          <w:sz w:val="22"/>
          <w:szCs w:val="22"/>
        </w:rPr>
        <w:t xml:space="preserve">CREG 049 de 2021. El </w:t>
      </w:r>
      <w:r w:rsidR="005114C6">
        <w:rPr>
          <w:sz w:val="22"/>
          <w:szCs w:val="22"/>
        </w:rPr>
        <w:t>Gestor del Mercado</w:t>
      </w:r>
      <w:r w:rsidR="008652C4" w:rsidRPr="00577563">
        <w:rPr>
          <w:sz w:val="22"/>
          <w:szCs w:val="22"/>
        </w:rPr>
        <w:t xml:space="preserve"> presentará un análisis sobre la implementación de las medidas de ajuste propuestas para evaluar su efectividad y eficacia para la dinamización del mercado mayorista de </w:t>
      </w:r>
      <w:proofErr w:type="gramStart"/>
      <w:r w:rsidR="008652C4" w:rsidRPr="00577563">
        <w:rPr>
          <w:sz w:val="22"/>
          <w:szCs w:val="22"/>
        </w:rPr>
        <w:t>gas</w:t>
      </w:r>
      <w:proofErr w:type="gramEnd"/>
      <w:r w:rsidR="008652C4" w:rsidRPr="00577563">
        <w:rPr>
          <w:sz w:val="22"/>
          <w:szCs w:val="22"/>
        </w:rPr>
        <w:t xml:space="preserve"> así como del MADE como mecanismo para el aseguramiento en el corto</w:t>
      </w:r>
      <w:r w:rsidR="008652C4">
        <w:rPr>
          <w:sz w:val="22"/>
          <w:szCs w:val="22"/>
        </w:rPr>
        <w:t xml:space="preserve"> mediano y largo plazo del suministro de gas para la Demanda esencial, primordialmente.</w:t>
      </w:r>
    </w:p>
    <w:p w14:paraId="20CFC0A6" w14:textId="77777777" w:rsidR="008652C4" w:rsidRDefault="008652C4" w:rsidP="007122DC">
      <w:pPr>
        <w:rPr>
          <w:sz w:val="22"/>
          <w:szCs w:val="22"/>
        </w:rPr>
      </w:pPr>
    </w:p>
    <w:p w14:paraId="0BD64012" w14:textId="13C49328" w:rsidR="00AA6A51" w:rsidRPr="000E63CD" w:rsidRDefault="00464073" w:rsidP="00AA6A51">
      <w:pPr>
        <w:rPr>
          <w:sz w:val="22"/>
          <w:szCs w:val="22"/>
        </w:rPr>
      </w:pPr>
      <w:r w:rsidRPr="000E63CD">
        <w:rPr>
          <w:sz w:val="22"/>
          <w:szCs w:val="22"/>
        </w:rPr>
        <w:t xml:space="preserve">Las propuestas presentadas pueden </w:t>
      </w:r>
      <w:r w:rsidR="006F3F5C" w:rsidRPr="000E63CD">
        <w:rPr>
          <w:sz w:val="22"/>
          <w:szCs w:val="22"/>
        </w:rPr>
        <w:t>plantear costos en cuanto a la familiarización de los agentes y las necesidades de planeación para cumplir con algunas de ellas</w:t>
      </w:r>
      <w:r w:rsidR="00A9722C" w:rsidRPr="000E63CD">
        <w:rPr>
          <w:sz w:val="22"/>
          <w:szCs w:val="22"/>
        </w:rPr>
        <w:t>. En cuanto a aspectos de información operativa y comercial que se está requiriendo en algunas de las propuestas</w:t>
      </w:r>
      <w:r w:rsidR="00D94F89" w:rsidRPr="000E63CD">
        <w:rPr>
          <w:sz w:val="22"/>
          <w:szCs w:val="22"/>
        </w:rPr>
        <w:t xml:space="preserve"> y costos de cumplimiento</w:t>
      </w:r>
      <w:r w:rsidR="00A9722C" w:rsidRPr="000E63CD">
        <w:rPr>
          <w:sz w:val="22"/>
          <w:szCs w:val="22"/>
        </w:rPr>
        <w:t xml:space="preserve">, se considera que la gran mayoría de ellas ya se está produciendo al interior de los agentes, </w:t>
      </w:r>
      <w:r w:rsidR="00566E26" w:rsidRPr="000E63CD">
        <w:rPr>
          <w:sz w:val="22"/>
          <w:szCs w:val="22"/>
        </w:rPr>
        <w:t xml:space="preserve">solamente que hoy en día no se informa al </w:t>
      </w:r>
      <w:r w:rsidR="005114C6">
        <w:rPr>
          <w:sz w:val="22"/>
          <w:szCs w:val="22"/>
        </w:rPr>
        <w:t>Gestor del Mercado</w:t>
      </w:r>
      <w:r w:rsidR="004C4F1E">
        <w:rPr>
          <w:sz w:val="22"/>
          <w:szCs w:val="22"/>
        </w:rPr>
        <w:t xml:space="preserve"> de Gas</w:t>
      </w:r>
      <w:r w:rsidR="007122DC" w:rsidRPr="000E63CD">
        <w:rPr>
          <w:sz w:val="22"/>
          <w:szCs w:val="22"/>
        </w:rPr>
        <w:t xml:space="preserve">. Mediante </w:t>
      </w:r>
      <w:r w:rsidR="003A4DCC" w:rsidRPr="000E63CD">
        <w:rPr>
          <w:sz w:val="22"/>
          <w:szCs w:val="22"/>
        </w:rPr>
        <w:t>la publicación del documento CRE</w:t>
      </w:r>
      <w:r w:rsidR="00E35CC6" w:rsidRPr="000E63CD">
        <w:rPr>
          <w:sz w:val="22"/>
          <w:szCs w:val="22"/>
        </w:rPr>
        <w:t>G</w:t>
      </w:r>
      <w:r w:rsidR="003A4DCC" w:rsidRPr="000E63CD">
        <w:rPr>
          <w:sz w:val="22"/>
          <w:szCs w:val="22"/>
        </w:rPr>
        <w:t xml:space="preserve"> D-049 de 2021</w:t>
      </w:r>
      <w:r w:rsidR="00772B6F" w:rsidRPr="000E63CD">
        <w:rPr>
          <w:sz w:val="22"/>
          <w:szCs w:val="22"/>
        </w:rPr>
        <w:t>,</w:t>
      </w:r>
      <w:r w:rsidR="003A4DCC" w:rsidRPr="000E63CD">
        <w:rPr>
          <w:sz w:val="22"/>
          <w:szCs w:val="22"/>
        </w:rPr>
        <w:t xml:space="preserve"> en el que ya se hacía una mención general de varias de las propuestas </w:t>
      </w:r>
      <w:r w:rsidR="00E35CC6" w:rsidRPr="000E63CD">
        <w:rPr>
          <w:sz w:val="22"/>
          <w:szCs w:val="22"/>
        </w:rPr>
        <w:t xml:space="preserve">incluidas </w:t>
      </w:r>
      <w:r w:rsidR="00772B6F" w:rsidRPr="000E63CD">
        <w:rPr>
          <w:sz w:val="22"/>
          <w:szCs w:val="22"/>
        </w:rPr>
        <w:t xml:space="preserve">en el presente documento de soporte </w:t>
      </w:r>
      <w:r w:rsidR="00E35CC6" w:rsidRPr="000E63CD">
        <w:rPr>
          <w:sz w:val="22"/>
          <w:szCs w:val="22"/>
        </w:rPr>
        <w:t>en el presente documento</w:t>
      </w:r>
      <w:r w:rsidR="00772B6F" w:rsidRPr="000E63CD">
        <w:rPr>
          <w:sz w:val="22"/>
          <w:szCs w:val="22"/>
        </w:rPr>
        <w:t>,</w:t>
      </w:r>
      <w:r w:rsidR="00E35CC6" w:rsidRPr="000E63CD">
        <w:rPr>
          <w:sz w:val="22"/>
          <w:szCs w:val="22"/>
        </w:rPr>
        <w:t xml:space="preserve"> así como con </w:t>
      </w:r>
      <w:r w:rsidR="007122DC" w:rsidRPr="000E63CD">
        <w:rPr>
          <w:sz w:val="22"/>
          <w:szCs w:val="22"/>
        </w:rPr>
        <w:t xml:space="preserve">la realización de uno o varios talleres, </w:t>
      </w:r>
      <w:r w:rsidR="00E35CC6" w:rsidRPr="000E63CD">
        <w:rPr>
          <w:sz w:val="22"/>
          <w:szCs w:val="22"/>
        </w:rPr>
        <w:t>y un contenido más ejemplificado</w:t>
      </w:r>
      <w:r w:rsidR="00A47822" w:rsidRPr="000E63CD">
        <w:rPr>
          <w:sz w:val="22"/>
          <w:szCs w:val="22"/>
        </w:rPr>
        <w:t xml:space="preserve"> </w:t>
      </w:r>
      <w:r w:rsidR="00772B6F" w:rsidRPr="000E63CD">
        <w:rPr>
          <w:sz w:val="22"/>
          <w:szCs w:val="22"/>
        </w:rPr>
        <w:t>en el presente documento de soporte sobre</w:t>
      </w:r>
      <w:r w:rsidR="00A47822" w:rsidRPr="000E63CD">
        <w:rPr>
          <w:sz w:val="22"/>
          <w:szCs w:val="22"/>
        </w:rPr>
        <w:t xml:space="preserve"> la aplicación de algunas de las medidas propuestas, se busca reducir el tiempo de asimilación y comprensión de parte de los agentes</w:t>
      </w:r>
      <w:r w:rsidR="00772B6F" w:rsidRPr="000E63CD">
        <w:rPr>
          <w:sz w:val="22"/>
          <w:szCs w:val="22"/>
        </w:rPr>
        <w:t xml:space="preserve"> de las nuevas medidas</w:t>
      </w:r>
      <w:r w:rsidR="00A47822" w:rsidRPr="000E63CD">
        <w:rPr>
          <w:sz w:val="22"/>
          <w:szCs w:val="22"/>
        </w:rPr>
        <w:t>.</w:t>
      </w:r>
      <w:r w:rsidR="003A4DCC" w:rsidRPr="000E63CD">
        <w:rPr>
          <w:sz w:val="22"/>
          <w:szCs w:val="22"/>
        </w:rPr>
        <w:t xml:space="preserve"> </w:t>
      </w:r>
    </w:p>
    <w:p w14:paraId="137C098C" w14:textId="77777777" w:rsidR="0050341F" w:rsidRPr="000E63CD" w:rsidRDefault="0050341F" w:rsidP="00AA6A51">
      <w:pPr>
        <w:rPr>
          <w:sz w:val="22"/>
          <w:szCs w:val="22"/>
        </w:rPr>
      </w:pPr>
    </w:p>
    <w:p w14:paraId="17336293" w14:textId="2E3C655A" w:rsidR="00442321" w:rsidRPr="000E63CD" w:rsidRDefault="00EF31DC" w:rsidP="00AA6A51">
      <w:pPr>
        <w:rPr>
          <w:sz w:val="22"/>
          <w:szCs w:val="22"/>
        </w:rPr>
      </w:pPr>
      <w:r w:rsidRPr="000E63CD">
        <w:rPr>
          <w:sz w:val="22"/>
          <w:szCs w:val="22"/>
        </w:rPr>
        <w:t xml:space="preserve">En cuanto al precio del suministro se prevé que el mismo no se vea afectado al alza por </w:t>
      </w:r>
      <w:r w:rsidR="00D54AE0" w:rsidRPr="000E63CD">
        <w:rPr>
          <w:sz w:val="22"/>
          <w:szCs w:val="22"/>
        </w:rPr>
        <w:t xml:space="preserve">las nuevas medidas regulatorias </w:t>
      </w:r>
      <w:r w:rsidR="00EA2647" w:rsidRPr="000E63CD">
        <w:rPr>
          <w:sz w:val="22"/>
          <w:szCs w:val="22"/>
        </w:rPr>
        <w:t>que se proponen</w:t>
      </w:r>
      <w:r w:rsidR="00CD2A86">
        <w:rPr>
          <w:sz w:val="22"/>
          <w:szCs w:val="22"/>
        </w:rPr>
        <w:t xml:space="preserve"> </w:t>
      </w:r>
      <w:r w:rsidR="00D54AE0" w:rsidRPr="000E63CD">
        <w:rPr>
          <w:sz w:val="22"/>
          <w:szCs w:val="22"/>
        </w:rPr>
        <w:t xml:space="preserve">y que se </w:t>
      </w:r>
      <w:r w:rsidR="006C4CE4" w:rsidRPr="000E63CD">
        <w:rPr>
          <w:sz w:val="22"/>
          <w:szCs w:val="22"/>
        </w:rPr>
        <w:t>puedan negociar los contratos con garant</w:t>
      </w:r>
      <w:r w:rsidR="008C2671" w:rsidRPr="000E63CD">
        <w:rPr>
          <w:sz w:val="22"/>
          <w:szCs w:val="22"/>
        </w:rPr>
        <w:t>ía</w:t>
      </w:r>
      <w:r w:rsidR="006C4CE4" w:rsidRPr="000E63CD">
        <w:rPr>
          <w:sz w:val="22"/>
          <w:szCs w:val="22"/>
        </w:rPr>
        <w:t xml:space="preserve"> de firmeza de manera que aumente </w:t>
      </w:r>
      <w:r w:rsidR="003A7CEC" w:rsidRPr="000E63CD">
        <w:rPr>
          <w:sz w:val="22"/>
          <w:szCs w:val="22"/>
        </w:rPr>
        <w:t>el</w:t>
      </w:r>
      <w:r w:rsidR="006C4CE4" w:rsidRPr="000E63CD">
        <w:rPr>
          <w:sz w:val="22"/>
          <w:szCs w:val="22"/>
        </w:rPr>
        <w:t xml:space="preserve"> uso del gas natural </w:t>
      </w:r>
      <w:r w:rsidR="008C2671" w:rsidRPr="000E63CD">
        <w:rPr>
          <w:sz w:val="22"/>
          <w:szCs w:val="22"/>
        </w:rPr>
        <w:t>que se encuentra disponible</w:t>
      </w:r>
      <w:r w:rsidR="003A7CEC" w:rsidRPr="000E63CD">
        <w:rPr>
          <w:sz w:val="22"/>
          <w:szCs w:val="22"/>
        </w:rPr>
        <w:t xml:space="preserve"> o puede ser producido</w:t>
      </w:r>
      <w:r w:rsidR="00F439AA" w:rsidRPr="000E63CD">
        <w:rPr>
          <w:sz w:val="22"/>
          <w:szCs w:val="22"/>
        </w:rPr>
        <w:t>,</w:t>
      </w:r>
      <w:r w:rsidR="00EA2647" w:rsidRPr="000E63CD">
        <w:rPr>
          <w:sz w:val="22"/>
          <w:szCs w:val="22"/>
        </w:rPr>
        <w:t xml:space="preserve"> </w:t>
      </w:r>
      <w:r w:rsidR="00776D58" w:rsidRPr="000E63CD">
        <w:rPr>
          <w:sz w:val="22"/>
          <w:szCs w:val="22"/>
        </w:rPr>
        <w:t xml:space="preserve">pero a la vez reduciendo las cantidades </w:t>
      </w:r>
      <w:r w:rsidR="00F439AA" w:rsidRPr="000E63CD">
        <w:rPr>
          <w:sz w:val="22"/>
          <w:szCs w:val="22"/>
        </w:rPr>
        <w:t xml:space="preserve">de gas </w:t>
      </w:r>
      <w:r w:rsidR="00776D58" w:rsidRPr="000E63CD">
        <w:rPr>
          <w:sz w:val="22"/>
          <w:szCs w:val="22"/>
        </w:rPr>
        <w:t>contratadas que deben ser pagadas</w:t>
      </w:r>
      <w:r w:rsidR="00F439AA" w:rsidRPr="000E63CD">
        <w:rPr>
          <w:sz w:val="22"/>
          <w:szCs w:val="22"/>
        </w:rPr>
        <w:t xml:space="preserve"> por los </w:t>
      </w:r>
      <w:r w:rsidR="00AC32B5">
        <w:rPr>
          <w:sz w:val="22"/>
          <w:szCs w:val="22"/>
        </w:rPr>
        <w:t>Compradores</w:t>
      </w:r>
      <w:r w:rsidR="00F439AA" w:rsidRPr="000E63CD">
        <w:rPr>
          <w:sz w:val="22"/>
          <w:szCs w:val="22"/>
        </w:rPr>
        <w:t>,</w:t>
      </w:r>
      <w:r w:rsidR="00776D58" w:rsidRPr="000E63CD">
        <w:rPr>
          <w:sz w:val="22"/>
          <w:szCs w:val="22"/>
        </w:rPr>
        <w:t xml:space="preserve"> así finalmente no se consuman o se</w:t>
      </w:r>
      <w:r w:rsidR="00E64CFD" w:rsidRPr="000E63CD">
        <w:rPr>
          <w:sz w:val="22"/>
          <w:szCs w:val="22"/>
        </w:rPr>
        <w:t xml:space="preserve">an vendidas en el </w:t>
      </w:r>
      <w:r w:rsidR="00AC32B5">
        <w:rPr>
          <w:sz w:val="22"/>
          <w:szCs w:val="22"/>
        </w:rPr>
        <w:t>Mercado Secundario</w:t>
      </w:r>
      <w:r w:rsidR="003A7CEC" w:rsidRPr="000E63CD">
        <w:rPr>
          <w:sz w:val="22"/>
          <w:szCs w:val="22"/>
        </w:rPr>
        <w:t>.</w:t>
      </w:r>
      <w:r w:rsidR="005475DC" w:rsidRPr="000E63CD">
        <w:rPr>
          <w:sz w:val="22"/>
          <w:szCs w:val="22"/>
        </w:rPr>
        <w:t xml:space="preserve"> </w:t>
      </w:r>
      <w:r w:rsidR="00CA4F3B">
        <w:rPr>
          <w:sz w:val="22"/>
          <w:szCs w:val="22"/>
        </w:rPr>
        <w:t xml:space="preserve">Con varias de las medidas en cuanto a particularidades en las cantidades y precios, se espera como efecto que </w:t>
      </w:r>
      <w:r w:rsidR="00577284">
        <w:rPr>
          <w:sz w:val="22"/>
          <w:szCs w:val="22"/>
        </w:rPr>
        <w:t xml:space="preserve">se vea reducida </w:t>
      </w:r>
      <w:r w:rsidR="00CA4F3B">
        <w:rPr>
          <w:sz w:val="22"/>
          <w:szCs w:val="22"/>
        </w:rPr>
        <w:t xml:space="preserve">la suma de los pagos fijos más </w:t>
      </w:r>
      <w:r w:rsidR="00577284">
        <w:rPr>
          <w:sz w:val="22"/>
          <w:szCs w:val="22"/>
        </w:rPr>
        <w:t xml:space="preserve">los pagos </w:t>
      </w:r>
      <w:r w:rsidR="00CA4F3B">
        <w:rPr>
          <w:sz w:val="22"/>
          <w:szCs w:val="22"/>
        </w:rPr>
        <w:t>variables a realizar por parte del usuario final</w:t>
      </w:r>
      <w:r w:rsidR="009759D0">
        <w:rPr>
          <w:sz w:val="22"/>
          <w:szCs w:val="22"/>
        </w:rPr>
        <w:t xml:space="preserve"> o del comercializador que lo representa</w:t>
      </w:r>
      <w:r w:rsidR="00CA4F3B">
        <w:rPr>
          <w:sz w:val="22"/>
          <w:szCs w:val="22"/>
        </w:rPr>
        <w:t>.</w:t>
      </w:r>
    </w:p>
    <w:p w14:paraId="24B11F8E" w14:textId="77777777" w:rsidR="00E64CFD" w:rsidRPr="000E63CD" w:rsidRDefault="00E64CFD" w:rsidP="00AA6A51">
      <w:pPr>
        <w:rPr>
          <w:sz w:val="22"/>
          <w:szCs w:val="22"/>
        </w:rPr>
      </w:pPr>
    </w:p>
    <w:p w14:paraId="0C3FE589" w14:textId="16E5EE89" w:rsidR="00E64CFD" w:rsidRDefault="00E64CFD" w:rsidP="00AA6A51">
      <w:pPr>
        <w:rPr>
          <w:sz w:val="22"/>
          <w:szCs w:val="22"/>
        </w:rPr>
      </w:pPr>
      <w:r w:rsidRPr="000E63CD">
        <w:rPr>
          <w:sz w:val="22"/>
          <w:szCs w:val="22"/>
        </w:rPr>
        <w:t xml:space="preserve">Con la información que se propone requerir </w:t>
      </w:r>
      <w:r w:rsidR="00CE5E45" w:rsidRPr="000E63CD">
        <w:rPr>
          <w:sz w:val="22"/>
          <w:szCs w:val="22"/>
        </w:rPr>
        <w:t xml:space="preserve">a los </w:t>
      </w:r>
      <w:r w:rsidR="00AC32B5">
        <w:rPr>
          <w:sz w:val="22"/>
          <w:szCs w:val="22"/>
        </w:rPr>
        <w:t>Compradores</w:t>
      </w:r>
      <w:r w:rsidR="00CE5E45" w:rsidRPr="000E63CD">
        <w:rPr>
          <w:sz w:val="22"/>
          <w:szCs w:val="22"/>
        </w:rPr>
        <w:t xml:space="preserve"> </w:t>
      </w:r>
      <w:r w:rsidRPr="000E63CD">
        <w:rPr>
          <w:sz w:val="22"/>
          <w:szCs w:val="22"/>
        </w:rPr>
        <w:t xml:space="preserve">y el uso del </w:t>
      </w:r>
      <w:r w:rsidR="00243B6F" w:rsidRPr="000E63CD">
        <w:rPr>
          <w:sz w:val="22"/>
          <w:szCs w:val="22"/>
        </w:rPr>
        <w:t xml:space="preserve">procedimiento de </w:t>
      </w:r>
      <w:r w:rsidRPr="000E63CD">
        <w:rPr>
          <w:sz w:val="22"/>
          <w:szCs w:val="22"/>
        </w:rPr>
        <w:t>balances comerciales</w:t>
      </w:r>
      <w:r w:rsidR="00243B6F" w:rsidRPr="000E63CD">
        <w:rPr>
          <w:sz w:val="22"/>
          <w:szCs w:val="22"/>
        </w:rPr>
        <w:t xml:space="preserve"> que se realizarían cada trimestre</w:t>
      </w:r>
      <w:r w:rsidRPr="000E63CD">
        <w:rPr>
          <w:sz w:val="22"/>
          <w:szCs w:val="22"/>
        </w:rPr>
        <w:t xml:space="preserve">, se espera tener un beneficio </w:t>
      </w:r>
      <w:r w:rsidR="00CE5E45" w:rsidRPr="000E63CD">
        <w:rPr>
          <w:sz w:val="22"/>
          <w:szCs w:val="22"/>
        </w:rPr>
        <w:t>adicional</w:t>
      </w:r>
      <w:r w:rsidRPr="000E63CD">
        <w:rPr>
          <w:sz w:val="22"/>
          <w:szCs w:val="22"/>
        </w:rPr>
        <w:t xml:space="preserve"> derivado del conocimiento </w:t>
      </w:r>
      <w:r w:rsidR="00F83C0B">
        <w:rPr>
          <w:sz w:val="22"/>
          <w:szCs w:val="22"/>
        </w:rPr>
        <w:t xml:space="preserve">más confiable y transparente </w:t>
      </w:r>
      <w:r w:rsidRPr="000E63CD">
        <w:rPr>
          <w:sz w:val="22"/>
          <w:szCs w:val="22"/>
        </w:rPr>
        <w:t xml:space="preserve">que todos los </w:t>
      </w:r>
      <w:r w:rsidR="00031A34">
        <w:rPr>
          <w:sz w:val="22"/>
          <w:szCs w:val="22"/>
        </w:rPr>
        <w:t>participantes del mercado</w:t>
      </w:r>
      <w:r w:rsidR="00031A34" w:rsidRPr="000E63CD">
        <w:rPr>
          <w:sz w:val="22"/>
          <w:szCs w:val="22"/>
        </w:rPr>
        <w:t xml:space="preserve"> </w:t>
      </w:r>
      <w:r w:rsidRPr="000E63CD">
        <w:rPr>
          <w:sz w:val="22"/>
          <w:szCs w:val="22"/>
        </w:rPr>
        <w:t>p</w:t>
      </w:r>
      <w:r w:rsidR="00CE5E45" w:rsidRPr="000E63CD">
        <w:rPr>
          <w:sz w:val="22"/>
          <w:szCs w:val="22"/>
        </w:rPr>
        <w:t>odrán</w:t>
      </w:r>
      <w:r w:rsidRPr="000E63CD">
        <w:rPr>
          <w:sz w:val="22"/>
          <w:szCs w:val="22"/>
        </w:rPr>
        <w:t xml:space="preserve"> tener respecto de las expectativas de contratación </w:t>
      </w:r>
      <w:r w:rsidR="00644F10" w:rsidRPr="000E63CD">
        <w:rPr>
          <w:sz w:val="22"/>
          <w:szCs w:val="22"/>
        </w:rPr>
        <w:t xml:space="preserve">de suministro de gas natural </w:t>
      </w:r>
      <w:r w:rsidRPr="000E63CD">
        <w:rPr>
          <w:sz w:val="22"/>
          <w:szCs w:val="22"/>
        </w:rPr>
        <w:t>con garantía de firmeza en el corto, mediano y largo plazo</w:t>
      </w:r>
      <w:r w:rsidR="00CE5E45" w:rsidRPr="000E63CD">
        <w:rPr>
          <w:sz w:val="22"/>
          <w:szCs w:val="22"/>
        </w:rPr>
        <w:t>.</w:t>
      </w:r>
      <w:r w:rsidR="00A02BFA">
        <w:rPr>
          <w:sz w:val="22"/>
          <w:szCs w:val="22"/>
        </w:rPr>
        <w:t xml:space="preserve"> En este sentido, el costo adicional administrativo que puede surgir eventualmente para la entrega de la información en forma trimestral </w:t>
      </w:r>
      <w:r w:rsidR="00C752BF">
        <w:rPr>
          <w:sz w:val="22"/>
          <w:szCs w:val="22"/>
        </w:rPr>
        <w:t xml:space="preserve">por parte de los </w:t>
      </w:r>
      <w:r w:rsidR="00AC32B5">
        <w:rPr>
          <w:sz w:val="22"/>
          <w:szCs w:val="22"/>
        </w:rPr>
        <w:t>Vendedores</w:t>
      </w:r>
      <w:r w:rsidR="00C752BF">
        <w:rPr>
          <w:sz w:val="22"/>
          <w:szCs w:val="22"/>
        </w:rPr>
        <w:t xml:space="preserve"> y los </w:t>
      </w:r>
      <w:r w:rsidR="00AC32B5">
        <w:rPr>
          <w:sz w:val="22"/>
          <w:szCs w:val="22"/>
        </w:rPr>
        <w:t>Compradores</w:t>
      </w:r>
      <w:r w:rsidR="00C752BF">
        <w:rPr>
          <w:sz w:val="22"/>
          <w:szCs w:val="22"/>
        </w:rPr>
        <w:t xml:space="preserve"> del </w:t>
      </w:r>
      <w:r w:rsidR="00AC32B5">
        <w:rPr>
          <w:sz w:val="22"/>
          <w:szCs w:val="22"/>
        </w:rPr>
        <w:t>Mercado Primario</w:t>
      </w:r>
      <w:r w:rsidR="00C752BF">
        <w:rPr>
          <w:sz w:val="22"/>
          <w:szCs w:val="22"/>
        </w:rPr>
        <w:t xml:space="preserve">, </w:t>
      </w:r>
      <w:r w:rsidR="00A02BFA">
        <w:rPr>
          <w:sz w:val="22"/>
          <w:szCs w:val="22"/>
        </w:rPr>
        <w:t>de acuerdo con la propuesta</w:t>
      </w:r>
      <w:r w:rsidR="00C752BF">
        <w:rPr>
          <w:sz w:val="22"/>
          <w:szCs w:val="22"/>
        </w:rPr>
        <w:t>, es contrarrestado con el beneficio esperado derivado del conocimiento antes mencionado.</w:t>
      </w:r>
    </w:p>
    <w:p w14:paraId="561B62F5" w14:textId="77777777" w:rsidR="00165E4C" w:rsidRDefault="00165E4C" w:rsidP="00AA6A51">
      <w:pPr>
        <w:rPr>
          <w:sz w:val="22"/>
          <w:szCs w:val="22"/>
        </w:rPr>
      </w:pPr>
    </w:p>
    <w:p w14:paraId="56E11DBE" w14:textId="35187FFE" w:rsidR="00B870B1" w:rsidRDefault="00B870B1" w:rsidP="00AA6A51">
      <w:pPr>
        <w:rPr>
          <w:sz w:val="22"/>
          <w:szCs w:val="22"/>
        </w:rPr>
      </w:pPr>
      <w:r>
        <w:rPr>
          <w:sz w:val="22"/>
          <w:szCs w:val="22"/>
        </w:rPr>
        <w:t>En cuanto a</w:t>
      </w:r>
      <w:r w:rsidR="00DA01CA">
        <w:rPr>
          <w:sz w:val="22"/>
          <w:szCs w:val="22"/>
        </w:rPr>
        <w:t>l</w:t>
      </w:r>
      <w:r>
        <w:rPr>
          <w:sz w:val="22"/>
          <w:szCs w:val="22"/>
        </w:rPr>
        <w:t xml:space="preserve"> cumplimiento de políticas del Gobierno, se espera que los agentes que atienden Demanda Esencial cuenten con mecanismos </w:t>
      </w:r>
      <w:r w:rsidR="00031A34">
        <w:rPr>
          <w:sz w:val="22"/>
          <w:szCs w:val="22"/>
        </w:rPr>
        <w:t xml:space="preserve">más eficaces </w:t>
      </w:r>
      <w:r>
        <w:rPr>
          <w:sz w:val="22"/>
          <w:szCs w:val="22"/>
        </w:rPr>
        <w:t xml:space="preserve">que les den mayor garantía de acceso a los contratos </w:t>
      </w:r>
      <w:r w:rsidR="001B56B5">
        <w:rPr>
          <w:sz w:val="22"/>
          <w:szCs w:val="22"/>
        </w:rPr>
        <w:t>de tipo firme o con garantía de firmeza</w:t>
      </w:r>
      <w:r>
        <w:rPr>
          <w:sz w:val="22"/>
          <w:szCs w:val="22"/>
        </w:rPr>
        <w:t xml:space="preserve">, priorizando la continuidad del suministro en la prestación del servicio. </w:t>
      </w:r>
    </w:p>
    <w:p w14:paraId="28AD6A62" w14:textId="77777777" w:rsidR="008D01DE" w:rsidRDefault="008D01DE" w:rsidP="00AA6A51">
      <w:pPr>
        <w:rPr>
          <w:sz w:val="22"/>
          <w:szCs w:val="22"/>
        </w:rPr>
      </w:pPr>
    </w:p>
    <w:p w14:paraId="77D0E2FB" w14:textId="77777777" w:rsidR="000D2BBB" w:rsidRPr="00D0576A" w:rsidRDefault="008D01DE" w:rsidP="00D0576A">
      <w:pPr>
        <w:rPr>
          <w:sz w:val="22"/>
          <w:szCs w:val="22"/>
        </w:rPr>
      </w:pPr>
      <w:r w:rsidRPr="00D0576A">
        <w:rPr>
          <w:sz w:val="22"/>
          <w:szCs w:val="22"/>
        </w:rPr>
        <w:t xml:space="preserve">Se espera que, como resultados de los comentarios que se reciban de la propuesta publicada, se identificarán los impactos que entienden los participantes del mercado se tendrán como efecto de la implementación de </w:t>
      </w:r>
      <w:proofErr w:type="gramStart"/>
      <w:r w:rsidRPr="00D0576A">
        <w:rPr>
          <w:sz w:val="22"/>
          <w:szCs w:val="22"/>
        </w:rPr>
        <w:t>la misma</w:t>
      </w:r>
      <w:proofErr w:type="gramEnd"/>
      <w:r w:rsidRPr="00D0576A">
        <w:rPr>
          <w:sz w:val="22"/>
          <w:szCs w:val="22"/>
        </w:rPr>
        <w:t>. Estos impactos serán evaluados y tenidos en cuenta para la adopción del proyecto definitivo.</w:t>
      </w:r>
    </w:p>
    <w:p w14:paraId="63C86F67" w14:textId="77777777" w:rsidR="0057289E" w:rsidRDefault="0057289E" w:rsidP="00AA6A51">
      <w:pPr>
        <w:rPr>
          <w:sz w:val="22"/>
          <w:szCs w:val="22"/>
        </w:rPr>
      </w:pPr>
    </w:p>
    <w:p w14:paraId="4CE3E65C" w14:textId="77777777" w:rsidR="0057289E" w:rsidRDefault="0057289E" w:rsidP="00AA6A51">
      <w:pPr>
        <w:rPr>
          <w:sz w:val="22"/>
          <w:szCs w:val="22"/>
        </w:rPr>
      </w:pPr>
    </w:p>
    <w:p w14:paraId="0A7E3A53" w14:textId="1B66AC12" w:rsidR="0057289E" w:rsidRDefault="0057289E" w:rsidP="00AA6A51">
      <w:pPr>
        <w:rPr>
          <w:sz w:val="22"/>
          <w:szCs w:val="22"/>
        </w:rPr>
        <w:sectPr w:rsidR="0057289E" w:rsidSect="00B97D41">
          <w:pgSz w:w="12242" w:h="15842" w:code="1"/>
          <w:pgMar w:top="1418" w:right="1469" w:bottom="1418" w:left="1418" w:header="851" w:footer="130" w:gutter="0"/>
          <w:pgNumType w:start="4"/>
          <w:cols w:space="720"/>
          <w:titlePg/>
          <w:docGrid w:linePitch="326"/>
        </w:sectPr>
      </w:pPr>
    </w:p>
    <w:p w14:paraId="279025BF" w14:textId="6BB1E97B" w:rsidR="000D2BBB" w:rsidRPr="00045A4C" w:rsidRDefault="000D2BBB" w:rsidP="000D2BBB">
      <w:pPr>
        <w:pStyle w:val="Ttulo1"/>
        <w:numPr>
          <w:ilvl w:val="0"/>
          <w:numId w:val="0"/>
        </w:numPr>
        <w:spacing w:after="0"/>
        <w:jc w:val="center"/>
      </w:pPr>
      <w:bookmarkStart w:id="483" w:name="_Toc121145590"/>
      <w:bookmarkStart w:id="484" w:name="_Toc140506238"/>
      <w:r>
        <w:rPr>
          <w:rFonts w:cs="Arial"/>
        </w:rPr>
        <w:t xml:space="preserve">ANEXO 1. </w:t>
      </w:r>
      <w:r>
        <w:t>ANÁLISIS DE COMENTARIOS RECIBIDOS</w:t>
      </w:r>
      <w:bookmarkEnd w:id="483"/>
      <w:bookmarkEnd w:id="484"/>
    </w:p>
    <w:p w14:paraId="6004CE93" w14:textId="77777777" w:rsidR="000D2BBB" w:rsidRPr="00045A4C" w:rsidRDefault="000D2BBB" w:rsidP="000D2BBB"/>
    <w:p w14:paraId="27929E6C" w14:textId="5476D659" w:rsidR="00611EC2" w:rsidRDefault="00611EC2" w:rsidP="000D2BBB">
      <w:pPr>
        <w:pStyle w:val="Prrafodelista"/>
        <w:ind w:left="0"/>
        <w:rPr>
          <w:rFonts w:cs="Arial"/>
          <w:sz w:val="22"/>
          <w:szCs w:val="22"/>
        </w:rPr>
      </w:pPr>
      <w:r>
        <w:rPr>
          <w:rFonts w:cs="Arial"/>
          <w:sz w:val="22"/>
          <w:szCs w:val="22"/>
        </w:rPr>
        <w:t>La estadística de los comentarios recibidos se muestra a continuación:</w:t>
      </w:r>
    </w:p>
    <w:p w14:paraId="6E09F91C" w14:textId="16D16403" w:rsidR="00611EC2" w:rsidRDefault="00611EC2" w:rsidP="000D2BBB">
      <w:pPr>
        <w:pStyle w:val="Prrafodelista"/>
        <w:ind w:left="0"/>
        <w:rPr>
          <w:rFonts w:cs="Arial"/>
          <w:sz w:val="22"/>
          <w:szCs w:val="22"/>
        </w:rPr>
      </w:pPr>
    </w:p>
    <w:p w14:paraId="49830A63" w14:textId="5E08FACC" w:rsidR="00057E29" w:rsidRPr="00057E29" w:rsidRDefault="00057E29" w:rsidP="00057E29">
      <w:pPr>
        <w:pStyle w:val="Descripcin"/>
        <w:keepNext/>
        <w:jc w:val="center"/>
        <w:rPr>
          <w:i w:val="0"/>
          <w:iCs w:val="0"/>
          <w:sz w:val="22"/>
          <w:szCs w:val="22"/>
        </w:rPr>
      </w:pPr>
      <w:bookmarkStart w:id="485" w:name="_Toc140506628"/>
      <w:r w:rsidRPr="00057E29">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35</w:t>
      </w:r>
      <w:r w:rsidR="006B6B6C">
        <w:rPr>
          <w:i w:val="0"/>
          <w:iCs w:val="0"/>
          <w:sz w:val="22"/>
          <w:szCs w:val="22"/>
        </w:rPr>
        <w:fldChar w:fldCharType="end"/>
      </w:r>
      <w:r w:rsidRPr="00057E29">
        <w:rPr>
          <w:i w:val="0"/>
          <w:iCs w:val="0"/>
          <w:sz w:val="22"/>
          <w:szCs w:val="22"/>
        </w:rPr>
        <w:t xml:space="preserve"> Cantidad de comentarios recibidos por artículo propuesto</w:t>
      </w:r>
      <w:bookmarkEnd w:id="485"/>
    </w:p>
    <w:p w14:paraId="03736D76" w14:textId="525C2794" w:rsidR="00611EC2" w:rsidRDefault="00611EC2" w:rsidP="000D2BBB">
      <w:pPr>
        <w:pStyle w:val="Prrafodelista"/>
        <w:ind w:left="0"/>
        <w:rPr>
          <w:rFonts w:cs="Arial"/>
          <w:sz w:val="22"/>
          <w:szCs w:val="22"/>
        </w:rPr>
      </w:pPr>
      <w:r w:rsidRPr="00611EC2">
        <w:rPr>
          <w:noProof/>
        </w:rPr>
        <w:drawing>
          <wp:inline distT="0" distB="0" distL="0" distR="0" wp14:anchorId="34672771" wp14:editId="76E0E247">
            <wp:extent cx="5940425" cy="3591560"/>
            <wp:effectExtent l="0" t="0" r="3175" b="8890"/>
            <wp:docPr id="11" name="Imagen 1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arras, Histograma&#10;&#10;Descripción generada automáticamente"/>
                    <pic:cNvPicPr/>
                  </pic:nvPicPr>
                  <pic:blipFill>
                    <a:blip r:embed="rId57"/>
                    <a:stretch>
                      <a:fillRect/>
                    </a:stretch>
                  </pic:blipFill>
                  <pic:spPr>
                    <a:xfrm>
                      <a:off x="0" y="0"/>
                      <a:ext cx="5940425" cy="3591560"/>
                    </a:xfrm>
                    <a:prstGeom prst="rect">
                      <a:avLst/>
                    </a:prstGeom>
                  </pic:spPr>
                </pic:pic>
              </a:graphicData>
            </a:graphic>
          </wp:inline>
        </w:drawing>
      </w:r>
    </w:p>
    <w:p w14:paraId="66716742" w14:textId="5A51A8A8" w:rsidR="00611EC2" w:rsidRDefault="00611EC2" w:rsidP="000D2BBB">
      <w:pPr>
        <w:pStyle w:val="Prrafodelista"/>
        <w:ind w:left="0"/>
        <w:rPr>
          <w:rFonts w:cs="Arial"/>
          <w:sz w:val="22"/>
          <w:szCs w:val="22"/>
        </w:rPr>
      </w:pPr>
    </w:p>
    <w:p w14:paraId="09C01FF5" w14:textId="66C5C240" w:rsidR="00611EC2" w:rsidRDefault="00611EC2" w:rsidP="000D2BBB">
      <w:pPr>
        <w:pStyle w:val="Prrafodelista"/>
        <w:ind w:left="0"/>
        <w:rPr>
          <w:rFonts w:cs="Arial"/>
          <w:sz w:val="22"/>
          <w:szCs w:val="22"/>
        </w:rPr>
      </w:pPr>
    </w:p>
    <w:p w14:paraId="4BB9FB46" w14:textId="714D2D17" w:rsidR="00611EC2" w:rsidRDefault="00611EC2" w:rsidP="000D2BBB">
      <w:pPr>
        <w:pStyle w:val="Prrafodelista"/>
        <w:ind w:left="0"/>
        <w:rPr>
          <w:rFonts w:cs="Arial"/>
          <w:sz w:val="22"/>
          <w:szCs w:val="22"/>
        </w:rPr>
      </w:pPr>
      <w:r>
        <w:rPr>
          <w:rFonts w:cs="Arial"/>
          <w:sz w:val="22"/>
          <w:szCs w:val="22"/>
        </w:rPr>
        <w:t>Agentes que enviaron comentarios, por actividad y número de comentarios recibidos</w:t>
      </w:r>
    </w:p>
    <w:p w14:paraId="72B22C08" w14:textId="7020B06E" w:rsidR="00611EC2" w:rsidRDefault="00611EC2" w:rsidP="000D2BBB">
      <w:pPr>
        <w:pStyle w:val="Prrafodelista"/>
        <w:ind w:left="0"/>
        <w:rPr>
          <w:rFonts w:cs="Arial"/>
          <w:sz w:val="22"/>
          <w:szCs w:val="22"/>
        </w:rPr>
      </w:pPr>
      <w:r w:rsidRPr="00611EC2">
        <w:rPr>
          <w:noProof/>
        </w:rPr>
        <w:drawing>
          <wp:inline distT="0" distB="0" distL="0" distR="0" wp14:anchorId="311D51F1" wp14:editId="2F67DA92">
            <wp:extent cx="5940425" cy="4112895"/>
            <wp:effectExtent l="0" t="0" r="317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4112895"/>
                    </a:xfrm>
                    <a:prstGeom prst="rect">
                      <a:avLst/>
                    </a:prstGeom>
                  </pic:spPr>
                </pic:pic>
              </a:graphicData>
            </a:graphic>
          </wp:inline>
        </w:drawing>
      </w:r>
    </w:p>
    <w:p w14:paraId="1DE887C7" w14:textId="4B5432E0" w:rsidR="00611EC2" w:rsidRPr="00611EC2" w:rsidRDefault="00611EC2">
      <w:pPr>
        <w:pStyle w:val="Prrafodelista"/>
        <w:numPr>
          <w:ilvl w:val="0"/>
          <w:numId w:val="24"/>
        </w:numPr>
        <w:rPr>
          <w:rFonts w:cs="Arial"/>
          <w:sz w:val="22"/>
          <w:szCs w:val="22"/>
        </w:rPr>
      </w:pPr>
      <w:r>
        <w:rPr>
          <w:rFonts w:cs="Arial"/>
          <w:sz w:val="22"/>
          <w:szCs w:val="22"/>
        </w:rPr>
        <w:t xml:space="preserve">Se publicó para comentarios la </w:t>
      </w:r>
      <w:r w:rsidRPr="00611EC2">
        <w:rPr>
          <w:rFonts w:cs="Arial"/>
          <w:sz w:val="22"/>
          <w:szCs w:val="22"/>
        </w:rPr>
        <w:t>Resolución CREG 226 de 2021 el 29 de marzo de 2022.</w:t>
      </w:r>
    </w:p>
    <w:p w14:paraId="7CADADFD" w14:textId="77777777" w:rsidR="00611EC2" w:rsidRPr="00611EC2" w:rsidRDefault="00611EC2" w:rsidP="00611EC2">
      <w:pPr>
        <w:pStyle w:val="Prrafodelista"/>
        <w:ind w:left="0"/>
        <w:rPr>
          <w:rFonts w:cs="Arial"/>
          <w:sz w:val="22"/>
          <w:szCs w:val="22"/>
        </w:rPr>
      </w:pPr>
    </w:p>
    <w:p w14:paraId="2DF8B4CD" w14:textId="5A49879F" w:rsidR="00611EC2" w:rsidRPr="00611EC2" w:rsidRDefault="00611EC2">
      <w:pPr>
        <w:pStyle w:val="Prrafodelista"/>
        <w:numPr>
          <w:ilvl w:val="0"/>
          <w:numId w:val="24"/>
        </w:numPr>
        <w:rPr>
          <w:rFonts w:cs="Arial"/>
          <w:sz w:val="22"/>
          <w:szCs w:val="22"/>
        </w:rPr>
      </w:pPr>
      <w:r>
        <w:rPr>
          <w:rFonts w:cs="Arial"/>
          <w:sz w:val="22"/>
          <w:szCs w:val="22"/>
        </w:rPr>
        <w:t>Se recibieron co</w:t>
      </w:r>
      <w:r w:rsidRPr="00611EC2">
        <w:rPr>
          <w:rFonts w:cs="Arial"/>
          <w:sz w:val="22"/>
          <w:szCs w:val="22"/>
        </w:rPr>
        <w:t xml:space="preserve">mentarios </w:t>
      </w:r>
      <w:r>
        <w:rPr>
          <w:rFonts w:cs="Arial"/>
          <w:sz w:val="22"/>
          <w:szCs w:val="22"/>
        </w:rPr>
        <w:t>de cuarenta y tres (</w:t>
      </w:r>
      <w:r w:rsidRPr="00611EC2">
        <w:rPr>
          <w:rFonts w:cs="Arial"/>
          <w:sz w:val="22"/>
          <w:szCs w:val="22"/>
        </w:rPr>
        <w:t>43</w:t>
      </w:r>
      <w:r>
        <w:rPr>
          <w:rFonts w:cs="Arial"/>
          <w:sz w:val="22"/>
          <w:szCs w:val="22"/>
        </w:rPr>
        <w:t>)</w:t>
      </w:r>
      <w:r w:rsidRPr="00611EC2">
        <w:rPr>
          <w:rFonts w:cs="Arial"/>
          <w:sz w:val="22"/>
          <w:szCs w:val="22"/>
        </w:rPr>
        <w:t xml:space="preserve"> agentes.</w:t>
      </w:r>
    </w:p>
    <w:p w14:paraId="393CF9E9" w14:textId="77777777" w:rsidR="00611EC2" w:rsidRPr="00611EC2" w:rsidRDefault="00611EC2" w:rsidP="00611EC2">
      <w:pPr>
        <w:pStyle w:val="Prrafodelista"/>
        <w:ind w:left="0"/>
        <w:rPr>
          <w:rFonts w:cs="Arial"/>
          <w:sz w:val="22"/>
          <w:szCs w:val="22"/>
        </w:rPr>
      </w:pPr>
    </w:p>
    <w:p w14:paraId="555D96E8" w14:textId="70A0F266" w:rsidR="00611EC2" w:rsidRDefault="00611EC2">
      <w:pPr>
        <w:pStyle w:val="Prrafodelista"/>
        <w:numPr>
          <w:ilvl w:val="0"/>
          <w:numId w:val="24"/>
        </w:numPr>
        <w:rPr>
          <w:rFonts w:cs="Arial"/>
          <w:sz w:val="22"/>
          <w:szCs w:val="22"/>
        </w:rPr>
      </w:pPr>
      <w:r w:rsidRPr="00611EC2">
        <w:rPr>
          <w:rFonts w:cs="Arial"/>
          <w:sz w:val="22"/>
          <w:szCs w:val="22"/>
        </w:rPr>
        <w:t>Se recibieron 712 comentarios</w:t>
      </w:r>
      <w:r>
        <w:rPr>
          <w:rFonts w:cs="Arial"/>
          <w:sz w:val="22"/>
          <w:szCs w:val="22"/>
        </w:rPr>
        <w:t>, algunos repetidos por un mismo agente</w:t>
      </w:r>
      <w:r w:rsidRPr="00611EC2">
        <w:rPr>
          <w:rFonts w:cs="Arial"/>
          <w:sz w:val="22"/>
          <w:szCs w:val="22"/>
        </w:rPr>
        <w:t>.</w:t>
      </w:r>
    </w:p>
    <w:p w14:paraId="753A8EA4" w14:textId="77777777" w:rsidR="00611EC2" w:rsidRDefault="00611EC2" w:rsidP="000D2BBB">
      <w:pPr>
        <w:pStyle w:val="Prrafodelista"/>
        <w:ind w:left="0"/>
        <w:rPr>
          <w:rFonts w:cs="Arial"/>
          <w:sz w:val="22"/>
          <w:szCs w:val="22"/>
        </w:rPr>
      </w:pPr>
    </w:p>
    <w:p w14:paraId="3375D477" w14:textId="3DDA06D7" w:rsidR="000D2BBB" w:rsidRDefault="000C285C">
      <w:pPr>
        <w:pStyle w:val="Prrafodelista"/>
        <w:numPr>
          <w:ilvl w:val="0"/>
          <w:numId w:val="24"/>
        </w:numPr>
        <w:rPr>
          <w:rFonts w:cs="Arial"/>
          <w:sz w:val="22"/>
          <w:szCs w:val="22"/>
        </w:rPr>
      </w:pPr>
      <w:r w:rsidRPr="000C285C">
        <w:rPr>
          <w:rFonts w:cs="Arial"/>
          <w:sz w:val="22"/>
          <w:szCs w:val="22"/>
        </w:rPr>
        <w:t>Se recibieron comentarios de varias e</w:t>
      </w:r>
      <w:r w:rsidR="00095DD9">
        <w:rPr>
          <w:rFonts w:cs="Arial"/>
          <w:sz w:val="22"/>
          <w:szCs w:val="22"/>
        </w:rPr>
        <w:t>ntidades</w:t>
      </w:r>
      <w:r w:rsidRPr="000C285C">
        <w:rPr>
          <w:rFonts w:cs="Arial"/>
          <w:sz w:val="22"/>
          <w:szCs w:val="22"/>
        </w:rPr>
        <w:t xml:space="preserve">, tal como se solicitó, en formato </w:t>
      </w:r>
      <w:r w:rsidR="00095DD9">
        <w:rPr>
          <w:rFonts w:cs="Arial"/>
          <w:sz w:val="22"/>
          <w:szCs w:val="22"/>
        </w:rPr>
        <w:t xml:space="preserve">de archivo en </w:t>
      </w:r>
      <w:proofErr w:type="spellStart"/>
      <w:r w:rsidR="00095DD9">
        <w:rPr>
          <w:rFonts w:cs="Arial"/>
          <w:sz w:val="22"/>
          <w:szCs w:val="22"/>
        </w:rPr>
        <w:t>e</w:t>
      </w:r>
      <w:r w:rsidRPr="000C285C">
        <w:rPr>
          <w:rFonts w:cs="Arial"/>
          <w:sz w:val="22"/>
          <w:szCs w:val="22"/>
        </w:rPr>
        <w:t>xcel</w:t>
      </w:r>
      <w:proofErr w:type="spellEnd"/>
      <w:r w:rsidRPr="000C285C">
        <w:rPr>
          <w:rFonts w:cs="Arial"/>
          <w:sz w:val="22"/>
          <w:szCs w:val="22"/>
        </w:rPr>
        <w:t>. En este caso, los comentarios son transcritos tal cual se recibieron.</w:t>
      </w:r>
      <w:r>
        <w:rPr>
          <w:rFonts w:cs="Arial"/>
          <w:sz w:val="22"/>
          <w:szCs w:val="22"/>
        </w:rPr>
        <w:t xml:space="preserve"> En el caso de los comentarios recibidos en archivos </w:t>
      </w:r>
      <w:proofErr w:type="spellStart"/>
      <w:r>
        <w:rPr>
          <w:rFonts w:cs="Arial"/>
          <w:sz w:val="22"/>
          <w:szCs w:val="22"/>
        </w:rPr>
        <w:t>pdf</w:t>
      </w:r>
      <w:proofErr w:type="spellEnd"/>
      <w:r>
        <w:rPr>
          <w:rFonts w:cs="Arial"/>
          <w:sz w:val="22"/>
          <w:szCs w:val="22"/>
        </w:rPr>
        <w:t xml:space="preserve"> sin versión en Excel, se extrajeron los apartes </w:t>
      </w:r>
      <w:r w:rsidR="003F3B7C">
        <w:rPr>
          <w:rFonts w:cs="Arial"/>
          <w:sz w:val="22"/>
          <w:szCs w:val="22"/>
        </w:rPr>
        <w:t xml:space="preserve">de la comunicación recibida </w:t>
      </w:r>
      <w:r>
        <w:rPr>
          <w:rFonts w:cs="Arial"/>
          <w:sz w:val="22"/>
          <w:szCs w:val="22"/>
        </w:rPr>
        <w:t>que se considera</w:t>
      </w:r>
      <w:r w:rsidR="003F3B7C">
        <w:rPr>
          <w:rFonts w:cs="Arial"/>
          <w:sz w:val="22"/>
          <w:szCs w:val="22"/>
        </w:rPr>
        <w:t xml:space="preserve"> que</w:t>
      </w:r>
      <w:r>
        <w:rPr>
          <w:rFonts w:cs="Arial"/>
          <w:sz w:val="22"/>
          <w:szCs w:val="22"/>
        </w:rPr>
        <w:t xml:space="preserve"> reflejan </w:t>
      </w:r>
      <w:r w:rsidR="003F3B7C">
        <w:rPr>
          <w:rFonts w:cs="Arial"/>
          <w:sz w:val="22"/>
          <w:szCs w:val="22"/>
        </w:rPr>
        <w:t>un</w:t>
      </w:r>
      <w:r>
        <w:rPr>
          <w:rFonts w:cs="Arial"/>
          <w:sz w:val="22"/>
          <w:szCs w:val="22"/>
        </w:rPr>
        <w:t xml:space="preserve"> comentario específico</w:t>
      </w:r>
      <w:r w:rsidR="003F3B7C">
        <w:rPr>
          <w:rFonts w:cs="Arial"/>
          <w:sz w:val="22"/>
          <w:szCs w:val="22"/>
        </w:rPr>
        <w:t>, pudiendo ser que haya empresas que agruparon varios textos sobre un mismo artículo de la propuesta, pero que en realidad tiene comentarios separables</w:t>
      </w:r>
      <w:r w:rsidRPr="000C285C">
        <w:rPr>
          <w:rFonts w:cs="Arial"/>
          <w:sz w:val="22"/>
          <w:szCs w:val="22"/>
        </w:rPr>
        <w:t xml:space="preserve"> </w:t>
      </w:r>
      <w:r w:rsidR="003F3B7C">
        <w:rPr>
          <w:rFonts w:cs="Arial"/>
          <w:sz w:val="22"/>
          <w:szCs w:val="22"/>
        </w:rPr>
        <w:t>por lo que así se hizo.</w:t>
      </w:r>
    </w:p>
    <w:p w14:paraId="1B30474C" w14:textId="262BEADB" w:rsidR="00095DD9" w:rsidRDefault="00095DD9" w:rsidP="000D2BBB">
      <w:pPr>
        <w:pStyle w:val="Prrafodelista"/>
        <w:ind w:left="0"/>
        <w:rPr>
          <w:rFonts w:cs="Arial"/>
          <w:sz w:val="22"/>
          <w:szCs w:val="22"/>
        </w:rPr>
      </w:pPr>
    </w:p>
    <w:p w14:paraId="39C2FD7D" w14:textId="317A7A63" w:rsidR="00EC20DB" w:rsidRDefault="00095DD9" w:rsidP="004D7395">
      <w:pPr>
        <w:pStyle w:val="Prrafodelista"/>
        <w:numPr>
          <w:ilvl w:val="0"/>
          <w:numId w:val="24"/>
        </w:numPr>
        <w:rPr>
          <w:rFonts w:cs="Arial"/>
          <w:sz w:val="22"/>
          <w:szCs w:val="22"/>
        </w:rPr>
      </w:pPr>
      <w:r w:rsidRPr="006D44FF">
        <w:rPr>
          <w:rFonts w:cs="Arial"/>
          <w:sz w:val="22"/>
          <w:szCs w:val="22"/>
        </w:rPr>
        <w:t xml:space="preserve">Por lo anterior, es posible que un comentario asignado por la entidad que lo presenta a un </w:t>
      </w:r>
      <w:r w:rsidR="00FF0180" w:rsidRPr="006D44FF">
        <w:rPr>
          <w:rFonts w:cs="Arial"/>
          <w:sz w:val="22"/>
          <w:szCs w:val="22"/>
        </w:rPr>
        <w:t>a</w:t>
      </w:r>
      <w:r w:rsidRPr="006D44FF">
        <w:rPr>
          <w:rFonts w:cs="Arial"/>
          <w:sz w:val="22"/>
          <w:szCs w:val="22"/>
        </w:rPr>
        <w:t>rtículo</w:t>
      </w:r>
      <w:r w:rsidR="00FF0180" w:rsidRPr="006D44FF">
        <w:rPr>
          <w:rFonts w:cs="Arial"/>
          <w:sz w:val="22"/>
          <w:szCs w:val="22"/>
        </w:rPr>
        <w:t xml:space="preserve"> </w:t>
      </w:r>
      <w:r w:rsidR="00B05251" w:rsidRPr="006D44FF">
        <w:rPr>
          <w:rFonts w:cs="Arial"/>
          <w:sz w:val="22"/>
          <w:szCs w:val="22"/>
        </w:rPr>
        <w:t xml:space="preserve">en </w:t>
      </w:r>
      <w:r w:rsidRPr="006D44FF">
        <w:rPr>
          <w:rFonts w:cs="Arial"/>
          <w:sz w:val="22"/>
          <w:szCs w:val="22"/>
        </w:rPr>
        <w:t>espec</w:t>
      </w:r>
      <w:r w:rsidR="00FF0180" w:rsidRPr="006D44FF">
        <w:rPr>
          <w:rFonts w:cs="Arial"/>
          <w:sz w:val="22"/>
          <w:szCs w:val="22"/>
        </w:rPr>
        <w:t>í</w:t>
      </w:r>
      <w:r w:rsidRPr="006D44FF">
        <w:rPr>
          <w:rFonts w:cs="Arial"/>
          <w:sz w:val="22"/>
          <w:szCs w:val="22"/>
        </w:rPr>
        <w:t xml:space="preserve">fico haya sido reasignado en el listado de abajo en </w:t>
      </w:r>
      <w:r w:rsidR="00EC20DB" w:rsidRPr="006D44FF">
        <w:rPr>
          <w:rFonts w:cs="Arial"/>
          <w:sz w:val="22"/>
          <w:szCs w:val="22"/>
        </w:rPr>
        <w:t>un</w:t>
      </w:r>
      <w:r w:rsidRPr="006D44FF">
        <w:rPr>
          <w:rFonts w:cs="Arial"/>
          <w:sz w:val="22"/>
          <w:szCs w:val="22"/>
        </w:rPr>
        <w:t xml:space="preserve"> </w:t>
      </w:r>
      <w:r w:rsidR="00EC20DB" w:rsidRPr="006D44FF">
        <w:rPr>
          <w:rFonts w:cs="Arial"/>
          <w:sz w:val="22"/>
          <w:szCs w:val="22"/>
        </w:rPr>
        <w:t>a</w:t>
      </w:r>
      <w:r w:rsidRPr="006D44FF">
        <w:rPr>
          <w:rFonts w:cs="Arial"/>
          <w:sz w:val="22"/>
          <w:szCs w:val="22"/>
        </w:rPr>
        <w:t xml:space="preserve">rtículo </w:t>
      </w:r>
      <w:r w:rsidR="00EC20DB" w:rsidRPr="006D44FF">
        <w:rPr>
          <w:rFonts w:cs="Arial"/>
          <w:sz w:val="22"/>
          <w:szCs w:val="22"/>
        </w:rPr>
        <w:t>diferente</w:t>
      </w:r>
      <w:r w:rsidRPr="006D44FF">
        <w:rPr>
          <w:rFonts w:cs="Arial"/>
          <w:sz w:val="22"/>
          <w:szCs w:val="22"/>
        </w:rPr>
        <w:t>.</w:t>
      </w:r>
    </w:p>
    <w:p w14:paraId="138CB6A0" w14:textId="77777777" w:rsidR="006D44FF" w:rsidRPr="006D44FF" w:rsidRDefault="006D44FF" w:rsidP="006D44FF">
      <w:pPr>
        <w:pStyle w:val="Prrafodelista"/>
        <w:rPr>
          <w:rFonts w:cs="Arial"/>
          <w:sz w:val="22"/>
          <w:szCs w:val="22"/>
        </w:rPr>
      </w:pPr>
    </w:p>
    <w:p w14:paraId="4E6F012B" w14:textId="4753FCCA" w:rsidR="006D44FF" w:rsidRPr="006D44FF" w:rsidRDefault="006D44FF" w:rsidP="004D7395">
      <w:pPr>
        <w:pStyle w:val="Prrafodelista"/>
        <w:numPr>
          <w:ilvl w:val="0"/>
          <w:numId w:val="24"/>
        </w:numPr>
        <w:rPr>
          <w:rFonts w:cs="Arial"/>
          <w:sz w:val="22"/>
          <w:szCs w:val="22"/>
        </w:rPr>
      </w:pPr>
      <w:r>
        <w:rPr>
          <w:rFonts w:cs="Arial"/>
          <w:sz w:val="22"/>
          <w:szCs w:val="22"/>
        </w:rPr>
        <w:t>Para facilitar la lectura de respuestas a comentarios que se acogen a respuestas de un comentario anterior o posterior, se facilita que se presione en el número de la respuesta de referencia, o numeral de referencia (cuando se trata de un contenido en sección diferente de la correspondiente al Anexo de Comentarios) para redirigirse a la respuesta invocada de referencia.</w:t>
      </w:r>
    </w:p>
    <w:p w14:paraId="7848B28A" w14:textId="77777777" w:rsidR="00EC20DB" w:rsidRDefault="00EC20DB" w:rsidP="00EC20DB">
      <w:pPr>
        <w:pStyle w:val="Prrafodelista"/>
        <w:ind w:left="360"/>
        <w:rPr>
          <w:rFonts w:cs="Arial"/>
          <w:sz w:val="22"/>
          <w:szCs w:val="22"/>
        </w:rPr>
      </w:pPr>
    </w:p>
    <w:p w14:paraId="6766A56C" w14:textId="77777777" w:rsidR="00EC20DB" w:rsidRPr="00EC20DB" w:rsidRDefault="00EC20DB" w:rsidP="00EC20DB">
      <w:pPr>
        <w:pStyle w:val="Prrafodelista"/>
        <w:rPr>
          <w:rFonts w:cs="Arial"/>
          <w:sz w:val="22"/>
          <w:szCs w:val="22"/>
        </w:rPr>
      </w:pPr>
    </w:p>
    <w:p w14:paraId="121183EA" w14:textId="6F4CFA96" w:rsidR="000D2BBB" w:rsidRDefault="00371CB5">
      <w:pPr>
        <w:pStyle w:val="Ttulo1"/>
        <w:numPr>
          <w:ilvl w:val="0"/>
          <w:numId w:val="32"/>
        </w:numPr>
      </w:pPr>
      <w:bookmarkStart w:id="486" w:name="_Toc140506239"/>
      <w:r>
        <w:t>COMENTARIOS GENERALES</w:t>
      </w:r>
      <w:bookmarkEnd w:id="486"/>
    </w:p>
    <w:p w14:paraId="773637B6" w14:textId="464105BA" w:rsidR="00FF0180" w:rsidRPr="00FF0180" w:rsidRDefault="00FF0180" w:rsidP="00FF0180">
      <w:pPr>
        <w:pStyle w:val="Ttulo2"/>
      </w:pPr>
      <w:bookmarkStart w:id="487" w:name="_Toc140506240"/>
      <w:r>
        <w:t>ACOLGÉN</w:t>
      </w:r>
      <w:bookmarkEnd w:id="487"/>
    </w:p>
    <w:p w14:paraId="7951ED7D" w14:textId="77777777" w:rsidR="00371CB5" w:rsidRDefault="00371CB5" w:rsidP="00A11781">
      <w:pPr>
        <w:pStyle w:val="Ttulo4"/>
      </w:pPr>
      <w:bookmarkStart w:id="488" w:name="_Ref132031821"/>
      <w:r w:rsidRPr="00371CB5">
        <w:t>ACOLGEN</w:t>
      </w:r>
      <w:bookmarkEnd w:id="488"/>
      <w:r w:rsidRPr="00371CB5">
        <w:tab/>
      </w:r>
    </w:p>
    <w:p w14:paraId="013DDA4A" w14:textId="5710C1CE" w:rsidR="00371CB5" w:rsidRPr="00A14234" w:rsidRDefault="00371CB5" w:rsidP="00371CB5">
      <w:pPr>
        <w:rPr>
          <w:rFonts w:cs="Arial"/>
          <w:i/>
          <w:iCs/>
          <w:sz w:val="22"/>
          <w:szCs w:val="22"/>
        </w:rPr>
      </w:pPr>
      <w:r w:rsidRPr="00A14234">
        <w:rPr>
          <w:rFonts w:cs="Arial"/>
          <w:i/>
          <w:iCs/>
          <w:sz w:val="22"/>
          <w:szCs w:val="22"/>
        </w:rPr>
        <w:t>"Considerar la definición normativa de Demanda Esencial para el desarrollo del balance comercial de oferta y demanda de gas natural en el corto plazo genera distorsiones en las señales que el mercado percibe para el avance de nuevas fuentes (locales o internacionales) de gas natural teniendo en cuenta que para el año 2021, la participación del sector térmico en la demanda de gas natural estuvo en cifras cercanas al 20% del total de la demanda.</w:t>
      </w:r>
    </w:p>
    <w:p w14:paraId="3CEC0919" w14:textId="77777777" w:rsidR="00371CB5" w:rsidRPr="00A14234" w:rsidRDefault="00371CB5" w:rsidP="00371CB5">
      <w:pPr>
        <w:rPr>
          <w:rFonts w:cs="Arial"/>
          <w:i/>
          <w:iCs/>
          <w:sz w:val="22"/>
          <w:szCs w:val="22"/>
        </w:rPr>
      </w:pPr>
    </w:p>
    <w:p w14:paraId="4625D11C" w14:textId="77777777" w:rsidR="00371CB5" w:rsidRPr="00A14234" w:rsidRDefault="00371CB5" w:rsidP="00371CB5">
      <w:pPr>
        <w:rPr>
          <w:rFonts w:cs="Arial"/>
          <w:i/>
          <w:iCs/>
          <w:sz w:val="22"/>
          <w:szCs w:val="22"/>
        </w:rPr>
      </w:pPr>
      <w:r w:rsidRPr="00A14234">
        <w:rPr>
          <w:rFonts w:cs="Arial"/>
          <w:i/>
          <w:iCs/>
          <w:sz w:val="22"/>
          <w:szCs w:val="22"/>
        </w:rPr>
        <w:t xml:space="preserve">Consideramos que faltarían señalas claras desde la política pública y la regulación para que las fuentes de suministro importado, y la infraestructura que respalda dicha importación, se conviertan en mecanismos efectivos, financiera y económicamente viables para respaldar al parque generador térmico. </w:t>
      </w:r>
    </w:p>
    <w:p w14:paraId="33D3F9FC" w14:textId="77777777" w:rsidR="00371CB5" w:rsidRPr="00A14234" w:rsidRDefault="00371CB5" w:rsidP="00371CB5">
      <w:pPr>
        <w:rPr>
          <w:rFonts w:cs="Arial"/>
          <w:i/>
          <w:iCs/>
          <w:sz w:val="22"/>
          <w:szCs w:val="22"/>
        </w:rPr>
      </w:pPr>
    </w:p>
    <w:p w14:paraId="662A1814" w14:textId="77777777" w:rsidR="00371CB5" w:rsidRPr="00A14234" w:rsidRDefault="00371CB5" w:rsidP="00371CB5">
      <w:pPr>
        <w:rPr>
          <w:rFonts w:cs="Arial"/>
          <w:i/>
          <w:iCs/>
          <w:sz w:val="22"/>
          <w:szCs w:val="22"/>
        </w:rPr>
      </w:pPr>
      <w:r w:rsidRPr="00A14234">
        <w:rPr>
          <w:rFonts w:cs="Arial"/>
          <w:i/>
          <w:iCs/>
          <w:sz w:val="22"/>
          <w:szCs w:val="22"/>
        </w:rPr>
        <w:t>Es indispensable armonizar las diferentes propuestas regulatorias que actualmente están en curso como por ejemplo la resolución CREG 132 de 2021 para asegurar la disponibilidad de las fuentes de gas natural que den confiabilidad al sistema no solo en el mercado eléctrico sino también en el mercado de gas natural.</w:t>
      </w:r>
    </w:p>
    <w:p w14:paraId="77EAA7CE" w14:textId="77777777" w:rsidR="00371CB5" w:rsidRPr="00A14234" w:rsidRDefault="00371CB5" w:rsidP="00371CB5">
      <w:pPr>
        <w:rPr>
          <w:rFonts w:cs="Arial"/>
          <w:i/>
          <w:iCs/>
          <w:sz w:val="22"/>
          <w:szCs w:val="22"/>
        </w:rPr>
      </w:pPr>
    </w:p>
    <w:p w14:paraId="0034834D" w14:textId="77777777" w:rsidR="00371CB5" w:rsidRPr="00A14234" w:rsidRDefault="00371CB5" w:rsidP="00371CB5">
      <w:pPr>
        <w:rPr>
          <w:rFonts w:cs="Arial"/>
          <w:i/>
          <w:iCs/>
          <w:sz w:val="22"/>
          <w:szCs w:val="22"/>
        </w:rPr>
      </w:pPr>
      <w:r w:rsidRPr="00A14234">
        <w:rPr>
          <w:rFonts w:cs="Arial"/>
          <w:i/>
          <w:iCs/>
          <w:sz w:val="22"/>
          <w:szCs w:val="22"/>
        </w:rPr>
        <w:t>Preocupa que a partir del 1 de diciembre de 2025 finaliza el marco regulatorio para la única infraestructura existente de regasificación de GNL en el país y que aún no existe definición regulatoria y adjudicación para la infraestructura de regasificación del Pacífico contenida en el plan de abastecimiento de gas natural adoptado por el Ministerio de Minas y Energía, condiciones que generan gran incertidumbre respecto a la viabilidad de contar con gas natural importado en el corto o mediano plazo."</w:t>
      </w:r>
    </w:p>
    <w:p w14:paraId="19CBC71C" w14:textId="2B416161" w:rsidR="00371CB5" w:rsidRDefault="00371CB5" w:rsidP="00371CB5">
      <w:pPr>
        <w:rPr>
          <w:rFonts w:cs="Arial"/>
          <w:b/>
          <w:bCs/>
          <w:sz w:val="22"/>
          <w:szCs w:val="22"/>
        </w:rPr>
      </w:pPr>
    </w:p>
    <w:p w14:paraId="0641930B" w14:textId="403CBC68" w:rsidR="00BB7EB7" w:rsidRDefault="00BB7EB7" w:rsidP="00371CB5">
      <w:pPr>
        <w:rPr>
          <w:rFonts w:cs="Arial"/>
          <w:b/>
          <w:bCs/>
          <w:sz w:val="22"/>
          <w:szCs w:val="22"/>
        </w:rPr>
      </w:pPr>
      <w:r>
        <w:rPr>
          <w:rFonts w:cs="Arial"/>
          <w:b/>
          <w:bCs/>
          <w:sz w:val="22"/>
          <w:szCs w:val="22"/>
        </w:rPr>
        <w:t>Respuesta:</w:t>
      </w:r>
    </w:p>
    <w:p w14:paraId="07980704" w14:textId="65C44103" w:rsidR="00BB7EB7" w:rsidRDefault="00BB7EB7" w:rsidP="00371CB5">
      <w:pPr>
        <w:rPr>
          <w:rFonts w:cs="Arial"/>
          <w:b/>
          <w:bCs/>
          <w:sz w:val="22"/>
          <w:szCs w:val="22"/>
        </w:rPr>
      </w:pPr>
    </w:p>
    <w:p w14:paraId="34FEFB17" w14:textId="491D2280" w:rsidR="00BB7EB7" w:rsidRDefault="00BB7EB7" w:rsidP="00371CB5">
      <w:pPr>
        <w:rPr>
          <w:rFonts w:cs="Arial"/>
          <w:sz w:val="22"/>
          <w:szCs w:val="22"/>
        </w:rPr>
      </w:pPr>
      <w:r w:rsidRPr="00BB7EB7">
        <w:rPr>
          <w:rFonts w:cs="Arial"/>
          <w:sz w:val="22"/>
          <w:szCs w:val="22"/>
        </w:rPr>
        <w:t xml:space="preserve">La definición de Demanda Esencial </w:t>
      </w:r>
      <w:r>
        <w:rPr>
          <w:rFonts w:cs="Arial"/>
          <w:sz w:val="22"/>
          <w:szCs w:val="22"/>
        </w:rPr>
        <w:t xml:space="preserve">ha sido establecida por el Ministerio de Minas y Energía y no es una propuesta de la resolución puesta en consulta por la CREG. Aunque ha tomado diferentes denominaciones, el lineamiento de política energética se establece para dar cumplimiento a lo establecido en el Artículo 16 de la Ley 401 de 1997. </w:t>
      </w:r>
      <w:r w:rsidR="00102276">
        <w:rPr>
          <w:rFonts w:cs="Arial"/>
          <w:sz w:val="22"/>
          <w:szCs w:val="22"/>
        </w:rPr>
        <w:t>A</w:t>
      </w:r>
      <w:r>
        <w:rPr>
          <w:rFonts w:cs="Arial"/>
          <w:sz w:val="22"/>
          <w:szCs w:val="22"/>
        </w:rPr>
        <w:t>demás</w:t>
      </w:r>
      <w:r w:rsidR="00EE03E3">
        <w:rPr>
          <w:rFonts w:cs="Arial"/>
          <w:sz w:val="22"/>
          <w:szCs w:val="22"/>
        </w:rPr>
        <w:t>,</w:t>
      </w:r>
      <w:r>
        <w:rPr>
          <w:rFonts w:cs="Arial"/>
          <w:sz w:val="22"/>
          <w:szCs w:val="22"/>
        </w:rPr>
        <w:t xml:space="preserve"> como resultado de observar los demás desarrollos de política energética que impactan </w:t>
      </w:r>
      <w:r w:rsidR="00EC20DB">
        <w:rPr>
          <w:rFonts w:cs="Arial"/>
          <w:sz w:val="22"/>
          <w:szCs w:val="22"/>
        </w:rPr>
        <w:t xml:space="preserve">entre otros aspectos, </w:t>
      </w:r>
      <w:r>
        <w:rPr>
          <w:rFonts w:cs="Arial"/>
          <w:sz w:val="22"/>
          <w:szCs w:val="22"/>
        </w:rPr>
        <w:t xml:space="preserve">la operatividad en el abastecimiento de gas natural, las prioridades </w:t>
      </w:r>
      <w:r w:rsidR="00102276">
        <w:rPr>
          <w:rFonts w:cs="Arial"/>
          <w:sz w:val="22"/>
          <w:szCs w:val="22"/>
        </w:rPr>
        <w:t xml:space="preserve">que se establecen </w:t>
      </w:r>
      <w:r>
        <w:rPr>
          <w:rFonts w:cs="Arial"/>
          <w:sz w:val="22"/>
          <w:szCs w:val="22"/>
        </w:rPr>
        <w:t xml:space="preserve">cuando hay insuficiencia en dicho abastecimiento y la afectación en el cumplimiento de los contratos de suministro ante dicha priorización, no le es dable a la CREG modificar o sustituir aquello que afecte </w:t>
      </w:r>
      <w:r w:rsidR="00EC20DB">
        <w:rPr>
          <w:rFonts w:cs="Arial"/>
          <w:sz w:val="22"/>
          <w:szCs w:val="22"/>
        </w:rPr>
        <w:t>el cumplimiento preciso de la política energética</w:t>
      </w:r>
      <w:r>
        <w:rPr>
          <w:rFonts w:cs="Arial"/>
          <w:sz w:val="22"/>
          <w:szCs w:val="22"/>
        </w:rPr>
        <w:t>.</w:t>
      </w:r>
    </w:p>
    <w:p w14:paraId="5B3E0BA5" w14:textId="7651945A" w:rsidR="00EC20DB" w:rsidRDefault="00EC20DB" w:rsidP="00371CB5">
      <w:pPr>
        <w:rPr>
          <w:rFonts w:cs="Arial"/>
          <w:sz w:val="22"/>
          <w:szCs w:val="22"/>
        </w:rPr>
      </w:pPr>
    </w:p>
    <w:p w14:paraId="5D4F2785" w14:textId="620E2AC9" w:rsidR="00EC20DB" w:rsidRDefault="00EC20DB" w:rsidP="00371CB5">
      <w:pPr>
        <w:rPr>
          <w:rFonts w:cs="Arial"/>
          <w:sz w:val="22"/>
          <w:szCs w:val="22"/>
        </w:rPr>
      </w:pPr>
      <w:r>
        <w:rPr>
          <w:rFonts w:cs="Arial"/>
          <w:sz w:val="22"/>
          <w:szCs w:val="22"/>
        </w:rPr>
        <w:t xml:space="preserve">Por otro lado, en la propuesta presentada en la Resolución CREG 226 de 2021 se incluyeron flexibilidades en la comercialización del suministro de gas natural cuando el gas natural sea obtenido en el exterior, no solo buscando evitar que haya falta de claridad regulatoria en ello y dudas que limiten sin necesidad su contratación y uso, sino buscando incentivar el uso de gas del exterior principalmente para complementar la oferta de gas de fuentes nacionales cuando la demanda sea superior a la oferta nacional, sobre todo en condiciones de corto y mediano plazo, en que pueden haber limitaciones de infraestructura de transporte para copar con toda la demanda operativa o incertidumbre de los productores nacionales con respecto a la incorporación comercial de nuevas fuentes de suministro. </w:t>
      </w:r>
    </w:p>
    <w:p w14:paraId="20E6A855" w14:textId="77777777" w:rsidR="00EC20DB" w:rsidRDefault="00EC20DB" w:rsidP="00371CB5">
      <w:pPr>
        <w:rPr>
          <w:rFonts w:cs="Arial"/>
          <w:sz w:val="22"/>
          <w:szCs w:val="22"/>
        </w:rPr>
      </w:pPr>
    </w:p>
    <w:p w14:paraId="32B5319D" w14:textId="5B8FAC15" w:rsidR="00EC20DB" w:rsidRPr="00BB7EB7" w:rsidRDefault="00EC20DB" w:rsidP="00371CB5">
      <w:pPr>
        <w:rPr>
          <w:rFonts w:cs="Arial"/>
          <w:sz w:val="22"/>
          <w:szCs w:val="22"/>
        </w:rPr>
      </w:pPr>
      <w:r>
        <w:rPr>
          <w:rFonts w:cs="Arial"/>
          <w:sz w:val="22"/>
          <w:szCs w:val="22"/>
        </w:rPr>
        <w:t>En cuanto a señales regulatorias para la infraestructura de importación de gas natural, la CREG ya ha establecido el régimen de regulación para la ejecución y remuneración del proyecto de la Infraestructura de Importación de Gas del Pacífico</w:t>
      </w:r>
      <w:r w:rsidR="00025323">
        <w:rPr>
          <w:rFonts w:cs="Arial"/>
          <w:sz w:val="22"/>
          <w:szCs w:val="22"/>
        </w:rPr>
        <w:t xml:space="preserve">, entre otros, a través de la Resolución CREG </w:t>
      </w:r>
      <w:r w:rsidR="005433A5">
        <w:rPr>
          <w:rFonts w:cs="Arial"/>
          <w:sz w:val="22"/>
          <w:szCs w:val="22"/>
        </w:rPr>
        <w:t>1</w:t>
      </w:r>
      <w:r w:rsidR="00025323">
        <w:rPr>
          <w:rFonts w:cs="Arial"/>
          <w:sz w:val="22"/>
          <w:szCs w:val="22"/>
        </w:rPr>
        <w:t>02 008 de 2022</w:t>
      </w:r>
      <w:r>
        <w:rPr>
          <w:rFonts w:cs="Arial"/>
          <w:sz w:val="22"/>
          <w:szCs w:val="22"/>
        </w:rPr>
        <w:t xml:space="preserve"> y se encuentra avanzando los estudios de aquellos aspectos necesarios a tener en cuenta para establecer la remuneración mediante contratos de los servicios asociados, no solo a dicha infraestructura en particular, sino en general par</w:t>
      </w:r>
      <w:r w:rsidR="0012231C">
        <w:rPr>
          <w:rFonts w:cs="Arial"/>
          <w:sz w:val="22"/>
          <w:szCs w:val="22"/>
        </w:rPr>
        <w:t>a</w:t>
      </w:r>
      <w:r>
        <w:rPr>
          <w:rFonts w:cs="Arial"/>
          <w:sz w:val="22"/>
          <w:szCs w:val="22"/>
        </w:rPr>
        <w:t xml:space="preserve"> cualquier infraestructura de importación de gas natural</w:t>
      </w:r>
      <w:r w:rsidR="0012231C">
        <w:rPr>
          <w:rFonts w:cs="Arial"/>
          <w:sz w:val="22"/>
          <w:szCs w:val="22"/>
        </w:rPr>
        <w:t xml:space="preserve">, lo cual se ve reflejado en la Agenda Regulatoria </w:t>
      </w:r>
      <w:r w:rsidR="00F6460E">
        <w:rPr>
          <w:rFonts w:cs="Arial"/>
          <w:sz w:val="22"/>
          <w:szCs w:val="22"/>
        </w:rPr>
        <w:t>Indicativa de 2023</w:t>
      </w:r>
      <w:r>
        <w:rPr>
          <w:rFonts w:cs="Arial"/>
          <w:sz w:val="22"/>
          <w:szCs w:val="22"/>
        </w:rPr>
        <w:t xml:space="preserve">.  </w:t>
      </w:r>
    </w:p>
    <w:p w14:paraId="34A2D4A3" w14:textId="77777777" w:rsidR="00BB7EB7" w:rsidRDefault="00BB7EB7" w:rsidP="00371CB5">
      <w:pPr>
        <w:rPr>
          <w:rFonts w:cs="Arial"/>
          <w:b/>
          <w:bCs/>
          <w:sz w:val="22"/>
          <w:szCs w:val="22"/>
        </w:rPr>
      </w:pPr>
    </w:p>
    <w:p w14:paraId="5135EFFE" w14:textId="77777777" w:rsidR="00FF0180" w:rsidRPr="006F1229" w:rsidRDefault="00FF0180" w:rsidP="00371CB5">
      <w:pPr>
        <w:rPr>
          <w:rFonts w:cs="Arial"/>
          <w:b/>
          <w:bCs/>
          <w:sz w:val="22"/>
          <w:szCs w:val="22"/>
        </w:rPr>
      </w:pPr>
    </w:p>
    <w:p w14:paraId="1F0B9826" w14:textId="64E49968" w:rsidR="00371CB5" w:rsidRPr="006F1229" w:rsidRDefault="00FF0180" w:rsidP="00FF0180">
      <w:pPr>
        <w:pStyle w:val="Ttulo2"/>
      </w:pPr>
      <w:bookmarkStart w:id="489" w:name="_Toc140506241"/>
      <w:r>
        <w:t>ANDEG</w:t>
      </w:r>
      <w:bookmarkEnd w:id="489"/>
    </w:p>
    <w:p w14:paraId="07D3AE42" w14:textId="77777777" w:rsidR="00371CB5" w:rsidRPr="006F1229" w:rsidRDefault="00371CB5" w:rsidP="00A11781">
      <w:pPr>
        <w:pStyle w:val="Ttulo4"/>
        <w:rPr>
          <w:sz w:val="22"/>
          <w:szCs w:val="22"/>
        </w:rPr>
      </w:pPr>
      <w:bookmarkStart w:id="490" w:name="_Ref130385122"/>
      <w:r w:rsidRPr="006F1229">
        <w:rPr>
          <w:sz w:val="22"/>
          <w:szCs w:val="22"/>
        </w:rPr>
        <w:t>ANDEG</w:t>
      </w:r>
      <w:bookmarkEnd w:id="490"/>
      <w:r w:rsidRPr="006F1229">
        <w:rPr>
          <w:sz w:val="22"/>
          <w:szCs w:val="22"/>
        </w:rPr>
        <w:tab/>
      </w:r>
    </w:p>
    <w:p w14:paraId="799DBF04" w14:textId="224A8600" w:rsidR="00371CB5" w:rsidRPr="00A14234" w:rsidRDefault="0049629E" w:rsidP="00371CB5">
      <w:pPr>
        <w:rPr>
          <w:rFonts w:cs="Arial"/>
          <w:i/>
          <w:iCs/>
          <w:sz w:val="22"/>
          <w:szCs w:val="22"/>
        </w:rPr>
      </w:pPr>
      <w:r>
        <w:rPr>
          <w:rFonts w:cs="Arial"/>
          <w:i/>
          <w:iCs/>
          <w:sz w:val="22"/>
          <w:szCs w:val="22"/>
        </w:rPr>
        <w:t>“</w:t>
      </w:r>
      <w:r w:rsidR="00371CB5" w:rsidRPr="00A14234">
        <w:rPr>
          <w:rFonts w:cs="Arial"/>
          <w:i/>
          <w:iCs/>
          <w:sz w:val="22"/>
          <w:szCs w:val="22"/>
        </w:rPr>
        <w:t>Nos preocupa la visión del Regulador sobre el rol del gas natural para la generación térmica, en la medida en que el ejercicio de balance oferta/</w:t>
      </w:r>
      <w:proofErr w:type="gramStart"/>
      <w:r w:rsidR="00371CB5" w:rsidRPr="00A14234">
        <w:rPr>
          <w:rFonts w:cs="Arial"/>
          <w:i/>
          <w:iCs/>
          <w:sz w:val="22"/>
          <w:szCs w:val="22"/>
        </w:rPr>
        <w:t>demanda llevado</w:t>
      </w:r>
      <w:proofErr w:type="gramEnd"/>
      <w:r w:rsidR="00371CB5" w:rsidRPr="00A14234">
        <w:rPr>
          <w:rFonts w:cs="Arial"/>
          <w:i/>
          <w:iCs/>
          <w:sz w:val="22"/>
          <w:szCs w:val="22"/>
        </w:rPr>
        <w:t xml:space="preserve"> a cabo por la CREG no tiene en cuenta las cantidades de las demandas proyectadas del sector térmico bajo la premisa que “no son demanda esencial”. </w:t>
      </w:r>
    </w:p>
    <w:p w14:paraId="5B5D7BD4" w14:textId="2C6465FC" w:rsidR="00C43C47" w:rsidRDefault="00C43C47" w:rsidP="00371CB5">
      <w:pPr>
        <w:rPr>
          <w:rFonts w:cs="Arial"/>
          <w:sz w:val="22"/>
          <w:szCs w:val="22"/>
        </w:rPr>
      </w:pPr>
    </w:p>
    <w:p w14:paraId="22A93297" w14:textId="5B9AB7F4" w:rsidR="00C43C47" w:rsidRPr="00C43C47" w:rsidRDefault="00C43C47" w:rsidP="00371CB5">
      <w:pPr>
        <w:rPr>
          <w:rFonts w:cs="Arial"/>
          <w:b/>
          <w:bCs/>
          <w:sz w:val="22"/>
          <w:szCs w:val="22"/>
        </w:rPr>
      </w:pPr>
      <w:r w:rsidRPr="00C43C47">
        <w:rPr>
          <w:rFonts w:cs="Arial"/>
          <w:b/>
          <w:bCs/>
          <w:sz w:val="22"/>
          <w:szCs w:val="22"/>
        </w:rPr>
        <w:t>Respuesta:</w:t>
      </w:r>
    </w:p>
    <w:p w14:paraId="598FE15B" w14:textId="7FC55877" w:rsidR="00C43C47" w:rsidRDefault="00C43C47" w:rsidP="00371CB5">
      <w:pPr>
        <w:rPr>
          <w:rFonts w:cs="Arial"/>
          <w:sz w:val="22"/>
          <w:szCs w:val="22"/>
        </w:rPr>
      </w:pPr>
    </w:p>
    <w:p w14:paraId="50DFC976" w14:textId="0413F7DA" w:rsidR="00C43C47" w:rsidRDefault="00A14234" w:rsidP="00371CB5">
      <w:pPr>
        <w:rPr>
          <w:rFonts w:cs="Arial"/>
          <w:sz w:val="22"/>
          <w:szCs w:val="22"/>
        </w:rPr>
      </w:pPr>
      <w:r>
        <w:rPr>
          <w:rFonts w:cs="Arial"/>
          <w:sz w:val="22"/>
          <w:szCs w:val="22"/>
        </w:rPr>
        <w:t>Es necesario aclarar que el ejercicio presentado por la CREG en el numeral 2.2.1 del documento soporte CREG 188 de 2021, no pretende mostrar qué demanda no será atendida en el futuro por no se</w:t>
      </w:r>
      <w:r w:rsidR="000B2E9B">
        <w:rPr>
          <w:rFonts w:cs="Arial"/>
          <w:sz w:val="22"/>
          <w:szCs w:val="22"/>
        </w:rPr>
        <w:t>r</w:t>
      </w:r>
      <w:r>
        <w:rPr>
          <w:rFonts w:cs="Arial"/>
          <w:sz w:val="22"/>
          <w:szCs w:val="22"/>
        </w:rPr>
        <w:t xml:space="preserve"> de los tipos de demanda que hacen parte de la Demanda Esencial definida por el MME. Se trata de un ejercicio conservador, en que las condiciones de demanda no son las más exigentes, como es el caso</w:t>
      </w:r>
      <w:r w:rsidR="00632DB0">
        <w:rPr>
          <w:rFonts w:cs="Arial"/>
          <w:sz w:val="22"/>
          <w:szCs w:val="22"/>
        </w:rPr>
        <w:t xml:space="preserve"> que se puede presentar </w:t>
      </w:r>
      <w:r>
        <w:rPr>
          <w:rFonts w:cs="Arial"/>
          <w:sz w:val="22"/>
          <w:szCs w:val="22"/>
        </w:rPr>
        <w:t xml:space="preserve">cuando la demanda </w:t>
      </w:r>
      <w:r w:rsidR="00632DB0">
        <w:rPr>
          <w:rFonts w:cs="Arial"/>
          <w:sz w:val="22"/>
          <w:szCs w:val="22"/>
        </w:rPr>
        <w:t>del sector termoeléctrico</w:t>
      </w:r>
      <w:r>
        <w:rPr>
          <w:rFonts w:cs="Arial"/>
          <w:sz w:val="22"/>
          <w:szCs w:val="22"/>
        </w:rPr>
        <w:t xml:space="preserve"> acude a la ejecución de parte o de la totalidad de las cantidades contratadas en firme con fuentes de suministro nacionales.</w:t>
      </w:r>
      <w:r w:rsidR="001E5D54">
        <w:rPr>
          <w:rFonts w:cs="Arial"/>
          <w:sz w:val="22"/>
          <w:szCs w:val="22"/>
        </w:rPr>
        <w:t xml:space="preserve"> Sin embargo, en la elaboración de la </w:t>
      </w:r>
      <w:r w:rsidR="00057E29">
        <w:rPr>
          <w:rFonts w:cs="Arial"/>
          <w:sz w:val="22"/>
          <w:szCs w:val="22"/>
        </w:rPr>
        <w:fldChar w:fldCharType="begin"/>
      </w:r>
      <w:r w:rsidR="00057E29">
        <w:rPr>
          <w:rFonts w:cs="Arial"/>
          <w:sz w:val="22"/>
          <w:szCs w:val="22"/>
        </w:rPr>
        <w:instrText xml:space="preserve"> REF _Ref129697196 \h </w:instrText>
      </w:r>
      <w:r w:rsidR="00057E29">
        <w:rPr>
          <w:rFonts w:cs="Arial"/>
          <w:sz w:val="22"/>
          <w:szCs w:val="22"/>
        </w:rPr>
      </w:r>
      <w:r w:rsidR="00057E29">
        <w:rPr>
          <w:rFonts w:cs="Arial"/>
          <w:sz w:val="22"/>
          <w:szCs w:val="22"/>
        </w:rPr>
        <w:fldChar w:fldCharType="separate"/>
      </w:r>
      <w:r w:rsidR="007651EA" w:rsidRPr="000031CC">
        <w:rPr>
          <w:sz w:val="22"/>
          <w:szCs w:val="22"/>
        </w:rPr>
        <w:t xml:space="preserve">Figura </w:t>
      </w:r>
      <w:r w:rsidR="007651EA">
        <w:rPr>
          <w:noProof/>
          <w:sz w:val="22"/>
          <w:szCs w:val="22"/>
        </w:rPr>
        <w:t>2</w:t>
      </w:r>
      <w:r w:rsidR="00057E29">
        <w:rPr>
          <w:rFonts w:cs="Arial"/>
          <w:sz w:val="22"/>
          <w:szCs w:val="22"/>
        </w:rPr>
        <w:fldChar w:fldCharType="end"/>
      </w:r>
      <w:r w:rsidR="001E5D54">
        <w:rPr>
          <w:rFonts w:cs="Arial"/>
          <w:sz w:val="22"/>
          <w:szCs w:val="22"/>
        </w:rPr>
        <w:t xml:space="preserve"> del presente documento, sí se incluyeron las cantidades proyectadas por la UPME de demanda de dicho sector, para evitar conclusiones al respecto, como las que se presentan en el comentario recibido.</w:t>
      </w:r>
    </w:p>
    <w:p w14:paraId="1F8B3C3A" w14:textId="3B924E25" w:rsidR="00A14234" w:rsidRDefault="00A14234" w:rsidP="00371CB5">
      <w:pPr>
        <w:rPr>
          <w:rFonts w:cs="Arial"/>
          <w:sz w:val="22"/>
          <w:szCs w:val="22"/>
        </w:rPr>
      </w:pPr>
    </w:p>
    <w:p w14:paraId="2BF7FB58" w14:textId="1C195376" w:rsidR="00A14234" w:rsidRDefault="00A14234" w:rsidP="00371CB5">
      <w:pPr>
        <w:rPr>
          <w:rFonts w:cs="Arial"/>
          <w:sz w:val="22"/>
          <w:szCs w:val="22"/>
        </w:rPr>
      </w:pPr>
      <w:r>
        <w:rPr>
          <w:rFonts w:cs="Arial"/>
          <w:sz w:val="22"/>
          <w:szCs w:val="22"/>
        </w:rPr>
        <w:t>El objetivo del ejercicio es mostrar que se hace cada vez más posible que se materialice en el mediano plazo una insuficiencia de oferta en firme mediante contratos de suministro de gas natural, para atender no solo la Demanda Esencial sino la demás demanda</w:t>
      </w:r>
      <w:r w:rsidR="00752FE2">
        <w:rPr>
          <w:rFonts w:cs="Arial"/>
          <w:sz w:val="22"/>
          <w:szCs w:val="22"/>
        </w:rPr>
        <w:t>;</w:t>
      </w:r>
      <w:r>
        <w:rPr>
          <w:rFonts w:cs="Arial"/>
          <w:sz w:val="22"/>
          <w:szCs w:val="22"/>
        </w:rPr>
        <w:t xml:space="preserve"> </w:t>
      </w:r>
      <w:r w:rsidR="00752FE2">
        <w:rPr>
          <w:rFonts w:cs="Arial"/>
          <w:sz w:val="22"/>
          <w:szCs w:val="22"/>
        </w:rPr>
        <w:t>y</w:t>
      </w:r>
      <w:r>
        <w:rPr>
          <w:rFonts w:cs="Arial"/>
          <w:sz w:val="22"/>
          <w:szCs w:val="22"/>
        </w:rPr>
        <w:t xml:space="preserve"> que ante dicha situación es menester de la CREG revisar y fortalecer los mecanismos </w:t>
      </w:r>
      <w:r w:rsidR="00A12496">
        <w:rPr>
          <w:rFonts w:cs="Arial"/>
          <w:sz w:val="22"/>
          <w:szCs w:val="22"/>
        </w:rPr>
        <w:t xml:space="preserve">que permitan de manera </w:t>
      </w:r>
      <w:r>
        <w:rPr>
          <w:rFonts w:cs="Arial"/>
          <w:sz w:val="22"/>
          <w:szCs w:val="22"/>
        </w:rPr>
        <w:t>más sólid</w:t>
      </w:r>
      <w:r w:rsidR="00A12496">
        <w:rPr>
          <w:rFonts w:cs="Arial"/>
          <w:sz w:val="22"/>
          <w:szCs w:val="22"/>
        </w:rPr>
        <w:t>a</w:t>
      </w:r>
      <w:r>
        <w:rPr>
          <w:rFonts w:cs="Arial"/>
          <w:sz w:val="22"/>
          <w:szCs w:val="22"/>
        </w:rPr>
        <w:t xml:space="preserve"> y segur</w:t>
      </w:r>
      <w:r w:rsidR="00A12496">
        <w:rPr>
          <w:rFonts w:cs="Arial"/>
          <w:sz w:val="22"/>
          <w:szCs w:val="22"/>
        </w:rPr>
        <w:t>a</w:t>
      </w:r>
      <w:r>
        <w:rPr>
          <w:rFonts w:cs="Arial"/>
          <w:sz w:val="22"/>
          <w:szCs w:val="22"/>
        </w:rPr>
        <w:t xml:space="preserve"> </w:t>
      </w:r>
      <w:r w:rsidR="00A12496">
        <w:rPr>
          <w:rFonts w:cs="Arial"/>
          <w:sz w:val="22"/>
          <w:szCs w:val="22"/>
        </w:rPr>
        <w:t>l</w:t>
      </w:r>
      <w:r>
        <w:rPr>
          <w:rFonts w:cs="Arial"/>
          <w:sz w:val="22"/>
          <w:szCs w:val="22"/>
        </w:rPr>
        <w:t>e acceso a la contratación de gas con garantía de firmeza, por parte de los agentes que atienden a los usuarios incluidos en la Demanda Esencial.</w:t>
      </w:r>
      <w:r w:rsidR="00632DB0">
        <w:rPr>
          <w:rFonts w:cs="Arial"/>
          <w:sz w:val="22"/>
          <w:szCs w:val="22"/>
        </w:rPr>
        <w:t xml:space="preserve"> </w:t>
      </w:r>
    </w:p>
    <w:p w14:paraId="2E482267" w14:textId="77777777" w:rsidR="00A14234" w:rsidRDefault="00A14234" w:rsidP="00371CB5">
      <w:pPr>
        <w:rPr>
          <w:rFonts w:cs="Arial"/>
          <w:sz w:val="22"/>
          <w:szCs w:val="22"/>
        </w:rPr>
      </w:pPr>
    </w:p>
    <w:p w14:paraId="61B5DD82" w14:textId="416FBD09" w:rsidR="00DD13B8" w:rsidRDefault="00891373" w:rsidP="00371CB5">
      <w:pPr>
        <w:rPr>
          <w:rFonts w:cs="Arial"/>
          <w:sz w:val="22"/>
          <w:szCs w:val="22"/>
        </w:rPr>
      </w:pPr>
      <w:r>
        <w:rPr>
          <w:rFonts w:cs="Arial"/>
          <w:sz w:val="22"/>
          <w:szCs w:val="22"/>
        </w:rPr>
        <w:t>Se considera que dicho</w:t>
      </w:r>
      <w:r w:rsidR="001E5D54">
        <w:rPr>
          <w:rFonts w:cs="Arial"/>
          <w:sz w:val="22"/>
          <w:szCs w:val="22"/>
        </w:rPr>
        <w:t xml:space="preserve"> fortalecimiento</w:t>
      </w:r>
      <w:r w:rsidR="00A14234">
        <w:rPr>
          <w:rFonts w:cs="Arial"/>
          <w:sz w:val="22"/>
          <w:szCs w:val="22"/>
        </w:rPr>
        <w:t xml:space="preserve"> </w:t>
      </w:r>
      <w:r w:rsidR="001E5D54">
        <w:rPr>
          <w:rFonts w:cs="Arial"/>
          <w:sz w:val="22"/>
          <w:szCs w:val="22"/>
        </w:rPr>
        <w:t xml:space="preserve">regulatorio </w:t>
      </w:r>
      <w:r>
        <w:rPr>
          <w:rFonts w:cs="Arial"/>
          <w:sz w:val="22"/>
          <w:szCs w:val="22"/>
        </w:rPr>
        <w:t>es relevante para</w:t>
      </w:r>
      <w:r w:rsidR="00A14234">
        <w:rPr>
          <w:rFonts w:cs="Arial"/>
          <w:sz w:val="22"/>
          <w:szCs w:val="22"/>
        </w:rPr>
        <w:t xml:space="preserve"> que en el </w:t>
      </w:r>
      <w:r w:rsidR="001E5D54">
        <w:rPr>
          <w:rFonts w:cs="Arial"/>
          <w:sz w:val="22"/>
          <w:szCs w:val="22"/>
        </w:rPr>
        <w:t>futuro</w:t>
      </w:r>
      <w:r w:rsidR="00A14234">
        <w:rPr>
          <w:rFonts w:cs="Arial"/>
          <w:sz w:val="22"/>
          <w:szCs w:val="22"/>
        </w:rPr>
        <w:t xml:space="preserve"> los agentes que atienden la Demanda Esencial </w:t>
      </w:r>
      <w:r>
        <w:rPr>
          <w:rFonts w:cs="Arial"/>
          <w:sz w:val="22"/>
          <w:szCs w:val="22"/>
        </w:rPr>
        <w:t>tengan</w:t>
      </w:r>
      <w:r w:rsidR="00DC0CFD">
        <w:rPr>
          <w:rFonts w:cs="Arial"/>
          <w:sz w:val="22"/>
          <w:szCs w:val="22"/>
        </w:rPr>
        <w:t xml:space="preserve"> </w:t>
      </w:r>
      <w:r w:rsidR="00A14234">
        <w:rPr>
          <w:rFonts w:cs="Arial"/>
          <w:sz w:val="22"/>
          <w:szCs w:val="22"/>
        </w:rPr>
        <w:t xml:space="preserve">acceso a los contratos con garantía de firmeza (que necesariamente son los que cuentan con Respaldo Físico), </w:t>
      </w:r>
      <w:r w:rsidR="00DC0CFD">
        <w:rPr>
          <w:rFonts w:cs="Arial"/>
          <w:sz w:val="22"/>
          <w:szCs w:val="22"/>
        </w:rPr>
        <w:t>evitando que dentro de la</w:t>
      </w:r>
      <w:r w:rsidR="00A14234">
        <w:rPr>
          <w:rFonts w:cs="Arial"/>
          <w:sz w:val="22"/>
          <w:szCs w:val="22"/>
        </w:rPr>
        <w:t xml:space="preserve"> cadena </w:t>
      </w:r>
      <w:r w:rsidR="00DC0CFD">
        <w:rPr>
          <w:rFonts w:cs="Arial"/>
          <w:sz w:val="22"/>
          <w:szCs w:val="22"/>
        </w:rPr>
        <w:t xml:space="preserve">se puedan presentar </w:t>
      </w:r>
      <w:r w:rsidR="00A14234">
        <w:rPr>
          <w:rFonts w:cs="Arial"/>
          <w:sz w:val="22"/>
          <w:szCs w:val="22"/>
        </w:rPr>
        <w:t xml:space="preserve">situaciones comerciales gravosas y riesgosas en general </w:t>
      </w:r>
      <w:r w:rsidR="001E5D54">
        <w:rPr>
          <w:rFonts w:cs="Arial"/>
          <w:sz w:val="22"/>
          <w:szCs w:val="22"/>
        </w:rPr>
        <w:t xml:space="preserve">tanto </w:t>
      </w:r>
      <w:r w:rsidR="00A14234">
        <w:rPr>
          <w:rFonts w:cs="Arial"/>
          <w:sz w:val="22"/>
          <w:szCs w:val="22"/>
        </w:rPr>
        <w:t xml:space="preserve">para los </w:t>
      </w:r>
      <w:r w:rsidR="001E5D54">
        <w:rPr>
          <w:rFonts w:cs="Arial"/>
          <w:sz w:val="22"/>
          <w:szCs w:val="22"/>
        </w:rPr>
        <w:t xml:space="preserve">agentes que representan a los </w:t>
      </w:r>
      <w:r w:rsidR="00A14234">
        <w:rPr>
          <w:rFonts w:cs="Arial"/>
          <w:sz w:val="22"/>
          <w:szCs w:val="22"/>
        </w:rPr>
        <w:t xml:space="preserve">usuarios que </w:t>
      </w:r>
      <w:r w:rsidR="001E5D54">
        <w:rPr>
          <w:rFonts w:cs="Arial"/>
          <w:sz w:val="22"/>
          <w:szCs w:val="22"/>
        </w:rPr>
        <w:t xml:space="preserve">son parte </w:t>
      </w:r>
      <w:r w:rsidR="00A14234">
        <w:rPr>
          <w:rFonts w:cs="Arial"/>
          <w:sz w:val="22"/>
          <w:szCs w:val="22"/>
        </w:rPr>
        <w:t>de la Demanda Esencial</w:t>
      </w:r>
      <w:r w:rsidR="001E5D54">
        <w:rPr>
          <w:rFonts w:cs="Arial"/>
          <w:sz w:val="22"/>
          <w:szCs w:val="22"/>
        </w:rPr>
        <w:t>, como los que no lo son</w:t>
      </w:r>
      <w:r w:rsidR="00A14234">
        <w:rPr>
          <w:rFonts w:cs="Arial"/>
          <w:sz w:val="22"/>
          <w:szCs w:val="22"/>
        </w:rPr>
        <w:t xml:space="preserve">. Es decir, ante </w:t>
      </w:r>
      <w:r w:rsidR="005D0678">
        <w:rPr>
          <w:rFonts w:cs="Arial"/>
          <w:sz w:val="22"/>
          <w:szCs w:val="22"/>
        </w:rPr>
        <w:t xml:space="preserve">futuras </w:t>
      </w:r>
      <w:r w:rsidR="00A14234">
        <w:rPr>
          <w:rFonts w:cs="Arial"/>
          <w:sz w:val="22"/>
          <w:szCs w:val="22"/>
        </w:rPr>
        <w:t>insalvables restricciones en la oferta de gas natural</w:t>
      </w:r>
      <w:r w:rsidR="005D0678">
        <w:rPr>
          <w:rFonts w:cs="Arial"/>
          <w:sz w:val="22"/>
          <w:szCs w:val="22"/>
        </w:rPr>
        <w:t>,</w:t>
      </w:r>
      <w:r w:rsidR="00A14234">
        <w:rPr>
          <w:rFonts w:cs="Arial"/>
          <w:sz w:val="22"/>
          <w:szCs w:val="22"/>
        </w:rPr>
        <w:t xml:space="preserve"> situaciones de grave emergencia </w:t>
      </w:r>
      <w:r w:rsidR="005D0678">
        <w:rPr>
          <w:rFonts w:cs="Arial"/>
          <w:sz w:val="22"/>
          <w:szCs w:val="22"/>
        </w:rPr>
        <w:t>o racionamientos programados de gas natural, puede ocurrir que usuarios que no son parte de la demanda esencial y, por lo tanto, no sean prioridad de suministro en las condiciones señaladas, hayan logrado obtener contratos firmes o que garantizan firmeza que no podrán por tanto cumplirse, que adquirieron precisamente porque se adelantaron a la contratación de la Demanda Esencial</w:t>
      </w:r>
      <w:r w:rsidR="00A14234">
        <w:rPr>
          <w:rFonts w:cs="Arial"/>
          <w:sz w:val="22"/>
          <w:szCs w:val="22"/>
        </w:rPr>
        <w:t xml:space="preserve"> </w:t>
      </w:r>
      <w:r w:rsidR="005D0678">
        <w:rPr>
          <w:rFonts w:cs="Arial"/>
          <w:sz w:val="22"/>
          <w:szCs w:val="22"/>
        </w:rPr>
        <w:t xml:space="preserve">por falta de mecanismos oportunos y suficientes de acceso a  dichos contratos por parte de la Demanda Esencial. </w:t>
      </w:r>
    </w:p>
    <w:p w14:paraId="23D54787" w14:textId="77777777" w:rsidR="00DD13B8" w:rsidRDefault="00DD13B8" w:rsidP="00371CB5">
      <w:pPr>
        <w:rPr>
          <w:rFonts w:cs="Arial"/>
          <w:sz w:val="22"/>
          <w:szCs w:val="22"/>
        </w:rPr>
      </w:pPr>
    </w:p>
    <w:p w14:paraId="76CCA972" w14:textId="7AB4E31F" w:rsidR="00A14234" w:rsidRPr="006F1229" w:rsidRDefault="00DD13B8" w:rsidP="00371CB5">
      <w:pPr>
        <w:rPr>
          <w:rFonts w:cs="Arial"/>
          <w:sz w:val="22"/>
          <w:szCs w:val="22"/>
        </w:rPr>
      </w:pPr>
      <w:r>
        <w:rPr>
          <w:rFonts w:cs="Arial"/>
          <w:sz w:val="22"/>
          <w:szCs w:val="22"/>
        </w:rPr>
        <w:t xml:space="preserve">Lo anterior puede llevar entonces a que, ante la confianza de haber suscrito contratos firmes o que garantizan firmeza de suministro de gas natural, no se haya previsto la contratación de gas obtenido en el exterior posiblemente con mayores costos, y no se haya previsto en consecuencia la contratación de recursos energéticos sustitutos del gas natural ante la ocurrencia de los eventos mencionados. </w:t>
      </w:r>
      <w:r w:rsidR="003A7CE1">
        <w:rPr>
          <w:rFonts w:cs="Arial"/>
          <w:sz w:val="22"/>
          <w:szCs w:val="22"/>
        </w:rPr>
        <w:t>Por otro lado, ante la situación potencial derivada de los efectos que el Decreto 1073 de 1015</w:t>
      </w:r>
      <w:r w:rsidR="003A7CE1">
        <w:rPr>
          <w:rStyle w:val="Refdenotaalpie"/>
          <w:rFonts w:cs="Arial"/>
          <w:sz w:val="22"/>
          <w:szCs w:val="22"/>
        </w:rPr>
        <w:footnoteReference w:id="17"/>
      </w:r>
      <w:r w:rsidR="003A7CE1">
        <w:rPr>
          <w:rFonts w:cs="Arial"/>
          <w:sz w:val="22"/>
          <w:szCs w:val="22"/>
        </w:rPr>
        <w:t xml:space="preserve"> establece a aquellos agentes que atienden Demanda Esencial que no tenga respaldado el suministro en contratos firmes o que garanticen firmeza, podría ocurrir que dichos agentes asuman el riesgo de no contratar suficientemente cantidades, ya sea por el precio o por no tener acceso a dichos contratos a los que sí tendrían </w:t>
      </w:r>
      <w:proofErr w:type="gramStart"/>
      <w:r w:rsidR="003A7CE1">
        <w:rPr>
          <w:rFonts w:cs="Arial"/>
          <w:sz w:val="22"/>
          <w:szCs w:val="22"/>
        </w:rPr>
        <w:t>acceso agentes</w:t>
      </w:r>
      <w:proofErr w:type="gramEnd"/>
      <w:r w:rsidR="003A7CE1">
        <w:rPr>
          <w:rFonts w:cs="Arial"/>
          <w:sz w:val="22"/>
          <w:szCs w:val="22"/>
        </w:rPr>
        <w:t xml:space="preserve"> que no atienden demanda esencial. Ello generaría un efecto en cascada negativo, no solo para los usuarios que son parte de la Demanda Esencial y los agentes comercializadores que los atienden, sino también para los demás usuarios que no estarían eficientemente preparados.</w:t>
      </w:r>
      <w:r>
        <w:rPr>
          <w:rFonts w:cs="Arial"/>
          <w:sz w:val="22"/>
          <w:szCs w:val="22"/>
        </w:rPr>
        <w:t xml:space="preserve"> </w:t>
      </w:r>
      <w:r w:rsidR="00A14234">
        <w:rPr>
          <w:rFonts w:cs="Arial"/>
          <w:sz w:val="22"/>
          <w:szCs w:val="22"/>
        </w:rPr>
        <w:t xml:space="preserve">   </w:t>
      </w:r>
    </w:p>
    <w:p w14:paraId="5B239398" w14:textId="018E7A09" w:rsidR="00A11781" w:rsidRPr="006F1229" w:rsidRDefault="00A11781" w:rsidP="00371CB5">
      <w:pPr>
        <w:rPr>
          <w:rFonts w:cs="Arial"/>
          <w:b/>
          <w:bCs/>
          <w:sz w:val="22"/>
          <w:szCs w:val="22"/>
        </w:rPr>
      </w:pPr>
    </w:p>
    <w:p w14:paraId="51EC4F29" w14:textId="77777777" w:rsidR="00A11781" w:rsidRPr="006F1229" w:rsidRDefault="00A11781" w:rsidP="00371CB5">
      <w:pPr>
        <w:rPr>
          <w:rFonts w:cs="Arial"/>
          <w:b/>
          <w:bCs/>
          <w:sz w:val="22"/>
          <w:szCs w:val="22"/>
        </w:rPr>
      </w:pPr>
    </w:p>
    <w:p w14:paraId="4172CC94" w14:textId="77777777" w:rsidR="00A11781" w:rsidRPr="006F1229" w:rsidRDefault="00371CB5" w:rsidP="00A11781">
      <w:pPr>
        <w:pStyle w:val="Ttulo4"/>
        <w:rPr>
          <w:sz w:val="22"/>
          <w:szCs w:val="22"/>
        </w:rPr>
      </w:pPr>
      <w:r w:rsidRPr="006F1229">
        <w:rPr>
          <w:sz w:val="22"/>
          <w:szCs w:val="22"/>
        </w:rPr>
        <w:t>ANDEG</w:t>
      </w:r>
      <w:r w:rsidRPr="006F1229">
        <w:rPr>
          <w:sz w:val="22"/>
          <w:szCs w:val="22"/>
        </w:rPr>
        <w:tab/>
      </w:r>
    </w:p>
    <w:p w14:paraId="66BC03D2" w14:textId="06E726EA" w:rsidR="00371CB5" w:rsidRDefault="00371CB5" w:rsidP="00371CB5">
      <w:pPr>
        <w:rPr>
          <w:rFonts w:cs="Arial"/>
          <w:sz w:val="22"/>
          <w:szCs w:val="22"/>
        </w:rPr>
      </w:pPr>
      <w:r w:rsidRPr="006F1229">
        <w:rPr>
          <w:rFonts w:cs="Arial"/>
          <w:sz w:val="22"/>
          <w:szCs w:val="22"/>
        </w:rPr>
        <w:t>"</w:t>
      </w:r>
      <w:r w:rsidRPr="003A7CE1">
        <w:rPr>
          <w:rFonts w:cs="Arial"/>
          <w:i/>
          <w:iCs/>
          <w:sz w:val="22"/>
          <w:szCs w:val="22"/>
        </w:rPr>
        <w:t>Observamos que el Regulador no está considerando los lineamientos del Foco 2 de la Misión de Transformación Energética en cuanto al rol de gas natural como energético de transición, en la medida en que la propuesta regulatoria no tiene en cuenta el lineamiento sobre la “Planeación orientada a garantizar el abastecimiento de la demanda, haciendo una revisión además de horizonte de planeación a la demanda potencial de térmicas, industrias y transporte, en el contexto de la entrada de renovables y reducción de emisiones”. En el contexto anterior, solicitamos incorporar en los supuestos empleados para el análisis de la Comisión, lo relacionado con la participación de la demanda de gas natural para generación térmica, en los diferentes horizontes de análisis</w:t>
      </w:r>
      <w:r w:rsidRPr="006F1229">
        <w:rPr>
          <w:rFonts w:cs="Arial"/>
          <w:sz w:val="22"/>
          <w:szCs w:val="22"/>
        </w:rPr>
        <w:t>."</w:t>
      </w:r>
    </w:p>
    <w:p w14:paraId="6CCC9FE5" w14:textId="011EF993" w:rsidR="003A7CE1" w:rsidRDefault="003A7CE1" w:rsidP="00371CB5">
      <w:pPr>
        <w:rPr>
          <w:rFonts w:cs="Arial"/>
          <w:sz w:val="22"/>
          <w:szCs w:val="22"/>
        </w:rPr>
      </w:pPr>
    </w:p>
    <w:p w14:paraId="1C5926BD" w14:textId="05FF2699" w:rsidR="003A7CE1" w:rsidRPr="003A7CE1" w:rsidRDefault="003A7CE1" w:rsidP="00371CB5">
      <w:pPr>
        <w:rPr>
          <w:rFonts w:cs="Arial"/>
          <w:b/>
          <w:bCs/>
          <w:sz w:val="22"/>
          <w:szCs w:val="22"/>
        </w:rPr>
      </w:pPr>
      <w:r w:rsidRPr="003A7CE1">
        <w:rPr>
          <w:rFonts w:cs="Arial"/>
          <w:b/>
          <w:bCs/>
          <w:sz w:val="22"/>
          <w:szCs w:val="22"/>
        </w:rPr>
        <w:t>Respuesta:</w:t>
      </w:r>
    </w:p>
    <w:p w14:paraId="2878726E" w14:textId="09123805" w:rsidR="003A7CE1" w:rsidRDefault="003A7CE1" w:rsidP="00371CB5">
      <w:pPr>
        <w:rPr>
          <w:rFonts w:cs="Arial"/>
          <w:sz w:val="22"/>
          <w:szCs w:val="22"/>
        </w:rPr>
      </w:pPr>
    </w:p>
    <w:p w14:paraId="1F491519" w14:textId="0CBA3587" w:rsidR="003A7CE1" w:rsidRDefault="003A7CE1" w:rsidP="00371CB5">
      <w:pPr>
        <w:rPr>
          <w:rFonts w:cs="Arial"/>
          <w:sz w:val="22"/>
          <w:szCs w:val="22"/>
        </w:rPr>
      </w:pPr>
      <w:r>
        <w:rPr>
          <w:rFonts w:cs="Arial"/>
          <w:sz w:val="22"/>
          <w:szCs w:val="22"/>
        </w:rPr>
        <w:t xml:space="preserve">La propuesta publicada por la CREG gira precisamente </w:t>
      </w:r>
      <w:r w:rsidR="00DC7AD8">
        <w:rPr>
          <w:rFonts w:cs="Arial"/>
          <w:sz w:val="22"/>
          <w:szCs w:val="22"/>
        </w:rPr>
        <w:t>para</w:t>
      </w:r>
      <w:r>
        <w:rPr>
          <w:rFonts w:cs="Arial"/>
          <w:sz w:val="22"/>
          <w:szCs w:val="22"/>
        </w:rPr>
        <w:t xml:space="preserve"> la garant</w:t>
      </w:r>
      <w:r w:rsidR="00DC7AD8">
        <w:rPr>
          <w:rFonts w:cs="Arial"/>
          <w:sz w:val="22"/>
          <w:szCs w:val="22"/>
        </w:rPr>
        <w:t>ía</w:t>
      </w:r>
      <w:r>
        <w:rPr>
          <w:rFonts w:cs="Arial"/>
          <w:sz w:val="22"/>
          <w:szCs w:val="22"/>
        </w:rPr>
        <w:t xml:space="preserve"> del abastecimiento de la demanda de gas, para lo cual se implementan balances comerciales periódicos de largo plazo entre la oferta y la demanda de gas natural, sin que se hayan propuesto limitaciones de participación en ello. En ese sentido, son los agentes compradores del Mercado Primario los que toman las decisiones de qué cantidades de demanda deciden declarar al </w:t>
      </w:r>
      <w:r w:rsidR="005114C6">
        <w:rPr>
          <w:rFonts w:cs="Arial"/>
          <w:sz w:val="22"/>
          <w:szCs w:val="22"/>
        </w:rPr>
        <w:t>Gestor del Mercado</w:t>
      </w:r>
      <w:r>
        <w:rPr>
          <w:rFonts w:cs="Arial"/>
          <w:sz w:val="22"/>
          <w:szCs w:val="22"/>
        </w:rPr>
        <w:t>, precisamente en dos instancias, algo que es completamente nuevo en la propuesta.</w:t>
      </w:r>
    </w:p>
    <w:p w14:paraId="119F3E7A" w14:textId="77777777" w:rsidR="003A7CE1" w:rsidRDefault="003A7CE1" w:rsidP="00371CB5">
      <w:pPr>
        <w:rPr>
          <w:rFonts w:cs="Arial"/>
          <w:sz w:val="22"/>
          <w:szCs w:val="22"/>
        </w:rPr>
      </w:pPr>
    </w:p>
    <w:p w14:paraId="64A4047E" w14:textId="5CC28759" w:rsidR="003A7CE1" w:rsidRDefault="003A7CE1" w:rsidP="00371CB5">
      <w:pPr>
        <w:rPr>
          <w:rFonts w:cs="Arial"/>
          <w:sz w:val="22"/>
          <w:szCs w:val="22"/>
        </w:rPr>
      </w:pPr>
      <w:r>
        <w:rPr>
          <w:rFonts w:cs="Arial"/>
          <w:sz w:val="22"/>
          <w:szCs w:val="22"/>
        </w:rPr>
        <w:t>Actualmente</w:t>
      </w:r>
      <w:r w:rsidR="00DC7AD8">
        <w:rPr>
          <w:rFonts w:cs="Arial"/>
          <w:sz w:val="22"/>
          <w:szCs w:val="22"/>
        </w:rPr>
        <w:t>,</w:t>
      </w:r>
      <w:r>
        <w:rPr>
          <w:rFonts w:cs="Arial"/>
          <w:sz w:val="22"/>
          <w:szCs w:val="22"/>
        </w:rPr>
        <w:t xml:space="preserve"> es desconocida para la totalidad de los agentes (compradores y vendedores) del Mercado Primario e incluso para el </w:t>
      </w:r>
      <w:r w:rsidR="005114C6">
        <w:rPr>
          <w:rFonts w:cs="Arial"/>
          <w:sz w:val="22"/>
          <w:szCs w:val="22"/>
        </w:rPr>
        <w:t>Gestor del Mercado</w:t>
      </w:r>
      <w:r>
        <w:rPr>
          <w:rFonts w:cs="Arial"/>
          <w:sz w:val="22"/>
          <w:szCs w:val="22"/>
        </w:rPr>
        <w:t xml:space="preserve">, cuáles son las cantidades de gas natural que la demanda requiere de corto, mediano y largo plazo. Ello muestra el giro de las bases de negociación en el Mercado Primario en torno a la satisfacción de la demanda de gas. </w:t>
      </w:r>
    </w:p>
    <w:p w14:paraId="5AD13B9A" w14:textId="27E87C2E" w:rsidR="003A7CE1" w:rsidRDefault="003A7CE1" w:rsidP="00371CB5">
      <w:pPr>
        <w:rPr>
          <w:rFonts w:cs="Arial"/>
          <w:sz w:val="22"/>
          <w:szCs w:val="22"/>
        </w:rPr>
      </w:pPr>
    </w:p>
    <w:p w14:paraId="1CF0C682" w14:textId="10B8C6C9" w:rsidR="003A7CE1" w:rsidRDefault="003A7CE1" w:rsidP="00371CB5">
      <w:pPr>
        <w:rPr>
          <w:rFonts w:cs="Arial"/>
          <w:sz w:val="22"/>
          <w:szCs w:val="22"/>
        </w:rPr>
      </w:pPr>
      <w:r>
        <w:rPr>
          <w:rFonts w:cs="Arial"/>
          <w:sz w:val="22"/>
          <w:szCs w:val="22"/>
        </w:rPr>
        <w:t xml:space="preserve">Serán entonces los agentes que representan la demanda de gas natural para generación térmica quienes directa y activamente </w:t>
      </w:r>
      <w:r w:rsidR="00E567DD">
        <w:rPr>
          <w:rFonts w:cs="Arial"/>
          <w:sz w:val="22"/>
          <w:szCs w:val="22"/>
        </w:rPr>
        <w:t>darán las señales de participación de dicho sector</w:t>
      </w:r>
      <w:r w:rsidR="00DC7AD8">
        <w:rPr>
          <w:rFonts w:cs="Arial"/>
          <w:sz w:val="22"/>
          <w:szCs w:val="22"/>
        </w:rPr>
        <w:t xml:space="preserve"> en la demanda futura de corto, mediano y largo plazo</w:t>
      </w:r>
      <w:r w:rsidR="00E567DD">
        <w:rPr>
          <w:rFonts w:cs="Arial"/>
          <w:sz w:val="22"/>
          <w:szCs w:val="22"/>
        </w:rPr>
        <w:t>, mediante las declaraciones de demanda en los procesos periódicos trimestrales de negociación que se plantean en la propuesta.  Es por ello también que en la propuesta se plantean incentivos para la contratación de largo plazo de la demanda, particularmente la demanda no esencial, en los casos del suministro de gas de ejecución de periodos posteriores a los 5 años siguientes a los trimestres de negociación.</w:t>
      </w:r>
    </w:p>
    <w:p w14:paraId="273129A6" w14:textId="24178EBD" w:rsidR="00E567DD" w:rsidRDefault="00E567DD" w:rsidP="00371CB5">
      <w:pPr>
        <w:rPr>
          <w:rFonts w:cs="Arial"/>
          <w:sz w:val="22"/>
          <w:szCs w:val="22"/>
        </w:rPr>
      </w:pPr>
    </w:p>
    <w:p w14:paraId="36CB9C70" w14:textId="76B3E22D" w:rsidR="00E567DD" w:rsidRDefault="00E567DD" w:rsidP="00371CB5">
      <w:pPr>
        <w:rPr>
          <w:rFonts w:cs="Arial"/>
          <w:sz w:val="22"/>
          <w:szCs w:val="22"/>
        </w:rPr>
      </w:pPr>
      <w:r>
        <w:rPr>
          <w:rFonts w:cs="Arial"/>
          <w:sz w:val="22"/>
          <w:szCs w:val="22"/>
        </w:rPr>
        <w:t>Sin embargo, se han incorporado en la nueva propuesta mayores flexibilidades para l</w:t>
      </w:r>
      <w:r w:rsidR="00CB37FE">
        <w:rPr>
          <w:rFonts w:cs="Arial"/>
          <w:sz w:val="22"/>
          <w:szCs w:val="22"/>
        </w:rPr>
        <w:t>a</w:t>
      </w:r>
      <w:r>
        <w:rPr>
          <w:rFonts w:cs="Arial"/>
          <w:sz w:val="22"/>
          <w:szCs w:val="22"/>
        </w:rPr>
        <w:t xml:space="preserve"> contratación de largo plazo y el inicio de ejecución de los contratos</w:t>
      </w:r>
      <w:r w:rsidR="005C36AE">
        <w:rPr>
          <w:rFonts w:cs="Arial"/>
          <w:sz w:val="22"/>
          <w:szCs w:val="22"/>
        </w:rPr>
        <w:t>.</w:t>
      </w:r>
    </w:p>
    <w:p w14:paraId="1C58FFD4" w14:textId="1D5B3532" w:rsidR="005C36AE" w:rsidRDefault="005C36AE" w:rsidP="00371CB5">
      <w:pPr>
        <w:rPr>
          <w:rFonts w:cs="Arial"/>
          <w:sz w:val="22"/>
          <w:szCs w:val="22"/>
        </w:rPr>
      </w:pPr>
    </w:p>
    <w:p w14:paraId="4F147616" w14:textId="01D131D3" w:rsidR="005C36AE" w:rsidRDefault="005C36AE" w:rsidP="00371CB5">
      <w:pPr>
        <w:rPr>
          <w:rFonts w:cs="Arial"/>
          <w:sz w:val="22"/>
          <w:szCs w:val="22"/>
        </w:rPr>
      </w:pPr>
      <w:r>
        <w:rPr>
          <w:rFonts w:cs="Arial"/>
          <w:sz w:val="22"/>
          <w:szCs w:val="22"/>
        </w:rPr>
        <w:t>Es evidente que la incorporación de cantidades potenciales de la demanda del sector térmico en el ejercicio realizado por la CREG lo que evidenciará es que</w:t>
      </w:r>
      <w:r w:rsidR="002801A0">
        <w:rPr>
          <w:rFonts w:cs="Arial"/>
          <w:sz w:val="22"/>
          <w:szCs w:val="22"/>
        </w:rPr>
        <w:t>,</w:t>
      </w:r>
      <w:r>
        <w:rPr>
          <w:rFonts w:cs="Arial"/>
          <w:sz w:val="22"/>
          <w:szCs w:val="22"/>
        </w:rPr>
        <w:t xml:space="preserve"> en la actual situación comercial de potenciales de producción, potenciales de venta en firme y cantidades actualmente contratadas, la demanda estimada futura por la UPME no sería abastecida en su totalidad con fuentes nacionales, aún antes de lo mostrado en la </w:t>
      </w:r>
      <w:r w:rsidR="00057E29">
        <w:rPr>
          <w:rFonts w:cs="Arial"/>
          <w:sz w:val="22"/>
          <w:szCs w:val="22"/>
        </w:rPr>
        <w:fldChar w:fldCharType="begin"/>
      </w:r>
      <w:r w:rsidR="00057E29">
        <w:rPr>
          <w:rFonts w:cs="Arial"/>
          <w:sz w:val="22"/>
          <w:szCs w:val="22"/>
        </w:rPr>
        <w:instrText xml:space="preserve"> REF _Ref129697196 \h </w:instrText>
      </w:r>
      <w:r w:rsidR="00057E29">
        <w:rPr>
          <w:rFonts w:cs="Arial"/>
          <w:sz w:val="22"/>
          <w:szCs w:val="22"/>
        </w:rPr>
      </w:r>
      <w:r w:rsidR="00057E29">
        <w:rPr>
          <w:rFonts w:cs="Arial"/>
          <w:sz w:val="22"/>
          <w:szCs w:val="22"/>
        </w:rPr>
        <w:fldChar w:fldCharType="separate"/>
      </w:r>
      <w:r w:rsidR="007651EA" w:rsidRPr="000031CC">
        <w:rPr>
          <w:sz w:val="22"/>
          <w:szCs w:val="22"/>
        </w:rPr>
        <w:t xml:space="preserve">Figura </w:t>
      </w:r>
      <w:r w:rsidR="007651EA">
        <w:rPr>
          <w:noProof/>
          <w:sz w:val="22"/>
          <w:szCs w:val="22"/>
        </w:rPr>
        <w:t>2</w:t>
      </w:r>
      <w:r w:rsidR="00057E29">
        <w:rPr>
          <w:rFonts w:cs="Arial"/>
          <w:sz w:val="22"/>
          <w:szCs w:val="22"/>
        </w:rPr>
        <w:fldChar w:fldCharType="end"/>
      </w:r>
      <w:r w:rsidR="005B7424">
        <w:rPr>
          <w:rFonts w:cs="Arial"/>
          <w:sz w:val="22"/>
          <w:szCs w:val="22"/>
        </w:rPr>
        <w:t xml:space="preserve"> del presente documento.</w:t>
      </w:r>
      <w:r>
        <w:rPr>
          <w:rFonts w:cs="Arial"/>
          <w:sz w:val="22"/>
          <w:szCs w:val="22"/>
        </w:rPr>
        <w:t xml:space="preserve"> </w:t>
      </w:r>
    </w:p>
    <w:p w14:paraId="43BE2231" w14:textId="1EEFD9DC" w:rsidR="00E567DD" w:rsidRDefault="00E567DD" w:rsidP="00371CB5">
      <w:pPr>
        <w:rPr>
          <w:rFonts w:cs="Arial"/>
          <w:sz w:val="22"/>
          <w:szCs w:val="22"/>
        </w:rPr>
      </w:pPr>
    </w:p>
    <w:p w14:paraId="72859D18" w14:textId="77777777" w:rsidR="005B7424" w:rsidRDefault="005B7424" w:rsidP="00371CB5">
      <w:pPr>
        <w:rPr>
          <w:rFonts w:cs="Arial"/>
          <w:sz w:val="22"/>
          <w:szCs w:val="22"/>
        </w:rPr>
      </w:pPr>
    </w:p>
    <w:p w14:paraId="0913D548" w14:textId="77777777" w:rsidR="00426028" w:rsidRPr="006F1229" w:rsidRDefault="00371CB5" w:rsidP="00A11781">
      <w:pPr>
        <w:pStyle w:val="Ttulo4"/>
        <w:rPr>
          <w:sz w:val="22"/>
          <w:szCs w:val="22"/>
        </w:rPr>
      </w:pPr>
      <w:bookmarkStart w:id="491" w:name="_Ref129432963"/>
      <w:r w:rsidRPr="006F1229">
        <w:rPr>
          <w:sz w:val="22"/>
          <w:szCs w:val="22"/>
        </w:rPr>
        <w:t>ANDEG</w:t>
      </w:r>
      <w:bookmarkEnd w:id="491"/>
      <w:r w:rsidRPr="006F1229">
        <w:rPr>
          <w:sz w:val="22"/>
          <w:szCs w:val="22"/>
        </w:rPr>
        <w:tab/>
      </w:r>
    </w:p>
    <w:p w14:paraId="55EB8706" w14:textId="1751C12A" w:rsidR="00371CB5" w:rsidRPr="00632C9A" w:rsidRDefault="0049629E" w:rsidP="00371CB5">
      <w:pPr>
        <w:rPr>
          <w:rFonts w:cs="Arial"/>
          <w:i/>
          <w:iCs/>
          <w:sz w:val="22"/>
          <w:szCs w:val="22"/>
        </w:rPr>
      </w:pPr>
      <w:r>
        <w:rPr>
          <w:rFonts w:cs="Arial"/>
          <w:i/>
          <w:iCs/>
          <w:sz w:val="22"/>
          <w:szCs w:val="22"/>
        </w:rPr>
        <w:t>“</w:t>
      </w:r>
      <w:r w:rsidR="00371CB5" w:rsidRPr="00632C9A">
        <w:rPr>
          <w:rFonts w:cs="Arial"/>
          <w:i/>
          <w:iCs/>
          <w:sz w:val="22"/>
          <w:szCs w:val="22"/>
        </w:rPr>
        <w:t>Vemos adecuado que el balance comercial del que trata la Resolución CREG 226 tenga en cuenta la información más reciente disponible de cantidades de PTDVF y CIDVF para todas las fuentes de suministro, cuya próxima declaración será en el mes de junio de 2022, lo cual, entendemos, es acorde a lo planteado en la propuesta normativa contenida en la Resolución CREG 702003 de 20222, lo que debe contribuir a tener información sobre la situación más actualizada del balance de gas natural, que de por sí, hoy en día presenta déficit en el mediano plazo (Gráfica 1), con lo que, el Regulador podría plantear, incluso, las necesidades de inversión e infraestructura de gas que se requiere en el sistema de gas del país, de forma similar a como se determinan los requerimientos de expansión de generación en el SIN en el contexto de la confiabilidad del suministro eléctrico.</w:t>
      </w:r>
      <w:r>
        <w:rPr>
          <w:rFonts w:cs="Arial"/>
          <w:i/>
          <w:iCs/>
          <w:sz w:val="22"/>
          <w:szCs w:val="22"/>
        </w:rPr>
        <w:t>”</w:t>
      </w:r>
    </w:p>
    <w:p w14:paraId="38D1A88B" w14:textId="40CA36CD" w:rsidR="00426028" w:rsidRDefault="00426028" w:rsidP="00371CB5">
      <w:pPr>
        <w:rPr>
          <w:rFonts w:cs="Arial"/>
          <w:b/>
          <w:bCs/>
          <w:sz w:val="22"/>
          <w:szCs w:val="22"/>
        </w:rPr>
      </w:pPr>
    </w:p>
    <w:p w14:paraId="28A52A65" w14:textId="54D893A5" w:rsidR="00632C9A" w:rsidRDefault="00632C9A" w:rsidP="00371CB5">
      <w:pPr>
        <w:rPr>
          <w:rFonts w:cs="Arial"/>
          <w:b/>
          <w:bCs/>
          <w:sz w:val="22"/>
          <w:szCs w:val="22"/>
        </w:rPr>
      </w:pPr>
      <w:r>
        <w:rPr>
          <w:rFonts w:cs="Arial"/>
          <w:b/>
          <w:bCs/>
          <w:sz w:val="22"/>
          <w:szCs w:val="22"/>
        </w:rPr>
        <w:t>Respuesta:</w:t>
      </w:r>
    </w:p>
    <w:p w14:paraId="13A509FE" w14:textId="3D7D2213" w:rsidR="00632C9A" w:rsidRDefault="00632C9A" w:rsidP="00371CB5">
      <w:pPr>
        <w:rPr>
          <w:rFonts w:cs="Arial"/>
          <w:b/>
          <w:bCs/>
          <w:sz w:val="22"/>
          <w:szCs w:val="22"/>
        </w:rPr>
      </w:pPr>
    </w:p>
    <w:p w14:paraId="049113B7" w14:textId="1146FF28" w:rsidR="00632C9A" w:rsidRDefault="00632C9A" w:rsidP="00621B25">
      <w:pPr>
        <w:rPr>
          <w:rFonts w:cs="Arial"/>
          <w:sz w:val="22"/>
          <w:szCs w:val="22"/>
        </w:rPr>
      </w:pPr>
      <w:r>
        <w:rPr>
          <w:rFonts w:cs="Arial"/>
          <w:sz w:val="22"/>
          <w:szCs w:val="22"/>
        </w:rPr>
        <w:t xml:space="preserve">De acuerdo con el Artículo </w:t>
      </w:r>
      <w:r w:rsidR="00621B25">
        <w:rPr>
          <w:rFonts w:cs="Arial"/>
          <w:sz w:val="22"/>
          <w:szCs w:val="22"/>
        </w:rPr>
        <w:t xml:space="preserve">1 de la Resolución del Ministerio </w:t>
      </w:r>
      <w:r w:rsidR="00057E29">
        <w:rPr>
          <w:rFonts w:cs="Arial"/>
          <w:sz w:val="22"/>
          <w:szCs w:val="22"/>
        </w:rPr>
        <w:t>d</w:t>
      </w:r>
      <w:r w:rsidR="00621B25">
        <w:rPr>
          <w:rFonts w:cs="Arial"/>
          <w:sz w:val="22"/>
          <w:szCs w:val="22"/>
        </w:rPr>
        <w:t xml:space="preserve">e </w:t>
      </w:r>
      <w:r w:rsidR="00057E29">
        <w:rPr>
          <w:rFonts w:cs="Arial"/>
          <w:sz w:val="22"/>
          <w:szCs w:val="22"/>
        </w:rPr>
        <w:t>M</w:t>
      </w:r>
      <w:r w:rsidR="00621B25">
        <w:rPr>
          <w:rFonts w:cs="Arial"/>
          <w:sz w:val="22"/>
          <w:szCs w:val="22"/>
        </w:rPr>
        <w:t xml:space="preserve">inas y </w:t>
      </w:r>
      <w:r w:rsidR="00057E29">
        <w:rPr>
          <w:rFonts w:cs="Arial"/>
          <w:sz w:val="22"/>
          <w:szCs w:val="22"/>
        </w:rPr>
        <w:t>E</w:t>
      </w:r>
      <w:r w:rsidR="00621B25">
        <w:rPr>
          <w:rFonts w:cs="Arial"/>
          <w:sz w:val="22"/>
          <w:szCs w:val="22"/>
        </w:rPr>
        <w:t>nergía 40052 de 2016, le c</w:t>
      </w:r>
      <w:r w:rsidRPr="00632C9A">
        <w:rPr>
          <w:rFonts w:cs="Arial"/>
          <w:sz w:val="22"/>
          <w:szCs w:val="22"/>
        </w:rPr>
        <w:t>orresponde a la UPME</w:t>
      </w:r>
      <w:r>
        <w:rPr>
          <w:rFonts w:cs="Arial"/>
          <w:sz w:val="22"/>
          <w:szCs w:val="22"/>
        </w:rPr>
        <w:t xml:space="preserve"> </w:t>
      </w:r>
      <w:r w:rsidR="00621B25">
        <w:rPr>
          <w:rFonts w:cs="Arial"/>
          <w:sz w:val="22"/>
          <w:szCs w:val="22"/>
        </w:rPr>
        <w:t xml:space="preserve">elaborar el estudio técnico que tendrá en cuenta el Ministerio de Minas y energía para la adopción del Plan de Abastecimiento de Gas Natural, mediante el que se </w:t>
      </w:r>
      <w:r w:rsidR="00621B25" w:rsidRPr="00621B25">
        <w:rPr>
          <w:rFonts w:cs="Arial"/>
          <w:sz w:val="22"/>
          <w:szCs w:val="22"/>
        </w:rPr>
        <w:t xml:space="preserve"> identifica</w:t>
      </w:r>
      <w:r w:rsidR="00621B25">
        <w:rPr>
          <w:rFonts w:cs="Arial"/>
          <w:sz w:val="22"/>
          <w:szCs w:val="22"/>
        </w:rPr>
        <w:t>n</w:t>
      </w:r>
      <w:r w:rsidR="00621B25" w:rsidRPr="00621B25">
        <w:rPr>
          <w:rFonts w:cs="Arial"/>
          <w:sz w:val="22"/>
          <w:szCs w:val="22"/>
        </w:rPr>
        <w:t xml:space="preserve"> los proyectos necesarios para garantizar la</w:t>
      </w:r>
      <w:r w:rsidR="00621B25">
        <w:rPr>
          <w:rFonts w:cs="Arial"/>
          <w:sz w:val="22"/>
          <w:szCs w:val="22"/>
        </w:rPr>
        <w:t xml:space="preserve"> </w:t>
      </w:r>
      <w:r w:rsidR="00621B25" w:rsidRPr="00621B25">
        <w:rPr>
          <w:rFonts w:cs="Arial"/>
          <w:sz w:val="22"/>
          <w:szCs w:val="22"/>
        </w:rPr>
        <w:t>seguridad de abastecimiento y la confiabilidad del servicio de gas natural</w:t>
      </w:r>
      <w:r w:rsidR="00621B25">
        <w:rPr>
          <w:rFonts w:cs="Arial"/>
          <w:sz w:val="22"/>
          <w:szCs w:val="22"/>
        </w:rPr>
        <w:t>.</w:t>
      </w:r>
    </w:p>
    <w:p w14:paraId="3E0FF581" w14:textId="054A31A8" w:rsidR="00621B25" w:rsidRDefault="00621B25" w:rsidP="00621B25">
      <w:pPr>
        <w:rPr>
          <w:rFonts w:cs="Arial"/>
          <w:sz w:val="22"/>
          <w:szCs w:val="22"/>
        </w:rPr>
      </w:pPr>
    </w:p>
    <w:p w14:paraId="420F7F44" w14:textId="1C86293A" w:rsidR="001E605B" w:rsidRDefault="00621B25" w:rsidP="00621B25">
      <w:pPr>
        <w:rPr>
          <w:rFonts w:cs="Arial"/>
          <w:sz w:val="22"/>
          <w:szCs w:val="22"/>
        </w:rPr>
      </w:pPr>
      <w:r>
        <w:rPr>
          <w:rFonts w:cs="Arial"/>
          <w:sz w:val="22"/>
          <w:szCs w:val="22"/>
        </w:rPr>
        <w:t xml:space="preserve">Ahora bien, debe diferenciarse el balance comercial que analiza y propone la CREG del balance físico que hace la UPME. El balance comercial que propone la CREG es un balance más exigente que el balance físico, puesto que de por medio surgen relaciones contractuales firmes que incorporan criterios comerciales y estratégicos que no son contemplados en el balance físico. Un ejemplo de ello es el presentado en la </w:t>
      </w:r>
      <w:r w:rsidR="00057E29">
        <w:rPr>
          <w:rFonts w:cs="Arial"/>
          <w:sz w:val="22"/>
          <w:szCs w:val="22"/>
        </w:rPr>
        <w:fldChar w:fldCharType="begin"/>
      </w:r>
      <w:r w:rsidR="00057E29">
        <w:rPr>
          <w:rFonts w:cs="Arial"/>
          <w:sz w:val="22"/>
          <w:szCs w:val="22"/>
        </w:rPr>
        <w:instrText xml:space="preserve"> REF _Ref129697293 \h </w:instrText>
      </w:r>
      <w:r w:rsidR="00057E29">
        <w:rPr>
          <w:rFonts w:cs="Arial"/>
          <w:sz w:val="22"/>
          <w:szCs w:val="22"/>
        </w:rPr>
      </w:r>
      <w:r w:rsidR="00057E29">
        <w:rPr>
          <w:rFonts w:cs="Arial"/>
          <w:sz w:val="22"/>
          <w:szCs w:val="22"/>
        </w:rPr>
        <w:fldChar w:fldCharType="separate"/>
      </w:r>
      <w:r w:rsidR="007651EA" w:rsidRPr="000031CC">
        <w:rPr>
          <w:sz w:val="22"/>
          <w:szCs w:val="22"/>
        </w:rPr>
        <w:t xml:space="preserve">Figura </w:t>
      </w:r>
      <w:r w:rsidR="007651EA">
        <w:rPr>
          <w:noProof/>
          <w:sz w:val="22"/>
          <w:szCs w:val="22"/>
        </w:rPr>
        <w:t>3</w:t>
      </w:r>
      <w:r w:rsidR="00057E29">
        <w:rPr>
          <w:rFonts w:cs="Arial"/>
          <w:sz w:val="22"/>
          <w:szCs w:val="22"/>
        </w:rPr>
        <w:fldChar w:fldCharType="end"/>
      </w:r>
      <w:r w:rsidR="001E605B">
        <w:rPr>
          <w:rFonts w:cs="Arial"/>
          <w:sz w:val="22"/>
          <w:szCs w:val="22"/>
        </w:rPr>
        <w:t xml:space="preserve"> del presente documento. Además, en el balance comercial se utiliza información compromisoria directamente proveniente de los agentes del mercado y de manera más frecuente. </w:t>
      </w:r>
    </w:p>
    <w:p w14:paraId="35308682" w14:textId="21A507F0" w:rsidR="001E605B" w:rsidRDefault="001E605B" w:rsidP="00621B25">
      <w:pPr>
        <w:rPr>
          <w:rFonts w:cs="Arial"/>
          <w:sz w:val="22"/>
          <w:szCs w:val="22"/>
        </w:rPr>
      </w:pPr>
    </w:p>
    <w:p w14:paraId="532E4C71" w14:textId="0C406E5E" w:rsidR="001E605B" w:rsidRPr="00632C9A" w:rsidRDefault="001E605B" w:rsidP="00621B25">
      <w:pPr>
        <w:rPr>
          <w:rFonts w:cs="Arial"/>
          <w:sz w:val="22"/>
          <w:szCs w:val="22"/>
        </w:rPr>
      </w:pPr>
      <w:r>
        <w:rPr>
          <w:rFonts w:cs="Arial"/>
          <w:sz w:val="22"/>
          <w:szCs w:val="22"/>
        </w:rPr>
        <w:t>Estos balances comerciales finalmente no pretenden sustituir en modo alguno los balances que realiza la UPME que</w:t>
      </w:r>
      <w:r w:rsidR="0081110C">
        <w:rPr>
          <w:rFonts w:cs="Arial"/>
          <w:sz w:val="22"/>
          <w:szCs w:val="22"/>
        </w:rPr>
        <w:t>,</w:t>
      </w:r>
      <w:r>
        <w:rPr>
          <w:rFonts w:cs="Arial"/>
          <w:sz w:val="22"/>
          <w:szCs w:val="22"/>
        </w:rPr>
        <w:t xml:space="preserve"> como se observa</w:t>
      </w:r>
      <w:r w:rsidR="0081110C">
        <w:rPr>
          <w:rFonts w:cs="Arial"/>
          <w:sz w:val="22"/>
          <w:szCs w:val="22"/>
        </w:rPr>
        <w:t>,</w:t>
      </w:r>
      <w:r>
        <w:rPr>
          <w:rFonts w:cs="Arial"/>
          <w:sz w:val="22"/>
          <w:szCs w:val="22"/>
        </w:rPr>
        <w:t xml:space="preserve"> tiene fines </w:t>
      </w:r>
      <w:r w:rsidR="0081110C">
        <w:rPr>
          <w:rFonts w:cs="Arial"/>
          <w:sz w:val="22"/>
          <w:szCs w:val="22"/>
        </w:rPr>
        <w:t xml:space="preserve">sectoriales </w:t>
      </w:r>
      <w:r>
        <w:rPr>
          <w:rFonts w:cs="Arial"/>
          <w:sz w:val="22"/>
          <w:szCs w:val="22"/>
        </w:rPr>
        <w:t>diferentes a los fines comerciales del mercado mayorista que se presentan en la propuesta de resolución</w:t>
      </w:r>
      <w:r w:rsidR="0081110C">
        <w:rPr>
          <w:rFonts w:cs="Arial"/>
          <w:sz w:val="22"/>
          <w:szCs w:val="22"/>
        </w:rPr>
        <w:t>, aunque apuntan a uno de los principales objetivos que es el del aseguramiento del abastecimiento de la demanda</w:t>
      </w:r>
      <w:r>
        <w:rPr>
          <w:rFonts w:cs="Arial"/>
          <w:sz w:val="22"/>
          <w:szCs w:val="22"/>
        </w:rPr>
        <w:t>.</w:t>
      </w:r>
      <w:r w:rsidR="00F43621">
        <w:rPr>
          <w:rFonts w:cs="Arial"/>
          <w:sz w:val="22"/>
          <w:szCs w:val="22"/>
        </w:rPr>
        <w:t xml:space="preserve"> Es de tener en cuenta que adicionalmente la UPME realiza el Estudio Técnico del Plan de Abastecimiento con objetivos adicionales de confiabilidad del suministro. </w:t>
      </w:r>
    </w:p>
    <w:p w14:paraId="734B8E0B" w14:textId="089FFCBA" w:rsidR="00A11781" w:rsidRDefault="00A11781" w:rsidP="00371CB5">
      <w:pPr>
        <w:rPr>
          <w:rFonts w:cs="Arial"/>
          <w:b/>
          <w:bCs/>
          <w:sz w:val="22"/>
          <w:szCs w:val="22"/>
        </w:rPr>
      </w:pPr>
    </w:p>
    <w:p w14:paraId="7CAF2B8E" w14:textId="77777777" w:rsidR="00632C9A" w:rsidRPr="006F1229" w:rsidRDefault="00632C9A" w:rsidP="00371CB5">
      <w:pPr>
        <w:rPr>
          <w:rFonts w:cs="Arial"/>
          <w:b/>
          <w:bCs/>
          <w:sz w:val="22"/>
          <w:szCs w:val="22"/>
        </w:rPr>
      </w:pPr>
    </w:p>
    <w:p w14:paraId="318FECC8" w14:textId="77777777" w:rsidR="00426028" w:rsidRPr="006F1229" w:rsidRDefault="00371CB5" w:rsidP="00A11781">
      <w:pPr>
        <w:pStyle w:val="Ttulo4"/>
        <w:rPr>
          <w:sz w:val="22"/>
          <w:szCs w:val="22"/>
        </w:rPr>
      </w:pPr>
      <w:r w:rsidRPr="006F1229">
        <w:rPr>
          <w:sz w:val="22"/>
          <w:szCs w:val="22"/>
        </w:rPr>
        <w:t>ANDEG</w:t>
      </w:r>
      <w:r w:rsidRPr="006F1229">
        <w:rPr>
          <w:sz w:val="22"/>
          <w:szCs w:val="22"/>
        </w:rPr>
        <w:tab/>
      </w:r>
    </w:p>
    <w:p w14:paraId="47A7D50F" w14:textId="1BE36ADE" w:rsidR="00371CB5" w:rsidRPr="006F1229" w:rsidRDefault="00371CB5" w:rsidP="00371CB5">
      <w:pPr>
        <w:rPr>
          <w:rFonts w:cs="Arial"/>
          <w:sz w:val="22"/>
          <w:szCs w:val="22"/>
        </w:rPr>
      </w:pPr>
      <w:r w:rsidRPr="00AB755D">
        <w:rPr>
          <w:rFonts w:cs="Arial"/>
          <w:i/>
          <w:iCs/>
          <w:sz w:val="22"/>
          <w:szCs w:val="22"/>
        </w:rPr>
        <w:t xml:space="preserve">Entendiendo la intención de la Comisión de promover la comercialización de nuevas fuentes de suministro a través de esquemas comerciales más flexibles, es importante resaltar que los modelos de inversión que impone el desarrollo de estas fuentes, los cuales son altamente intensivos en capital, requieren una demanda sólida y abundante que apalanque en el largo plazo el crecimiento y mantenimiento de estas fuentes, que como la Comisión lo resalta, utilizan logísticas y tratamientos especiales. De acuerdo </w:t>
      </w:r>
      <w:r w:rsidR="003A7CE1" w:rsidRPr="00AB755D">
        <w:rPr>
          <w:rFonts w:cs="Arial"/>
          <w:i/>
          <w:iCs/>
          <w:sz w:val="22"/>
          <w:szCs w:val="22"/>
        </w:rPr>
        <w:t>a</w:t>
      </w:r>
      <w:r w:rsidRPr="00AB755D">
        <w:rPr>
          <w:rFonts w:cs="Arial"/>
          <w:i/>
          <w:iCs/>
          <w:sz w:val="22"/>
          <w:szCs w:val="22"/>
        </w:rPr>
        <w:t xml:space="preserve"> esto, la experiencia internacional, ha demostrado que el desarrollo de Yacimientos no Convencionales y Yacimientos costa afuera (especialmente), se ha dado por una participación activa de la demanda térmica, en donde no solo ha apalancado estas inversiones en el largo </w:t>
      </w:r>
      <w:proofErr w:type="gramStart"/>
      <w:r w:rsidRPr="00AB755D">
        <w:rPr>
          <w:rFonts w:cs="Arial"/>
          <w:i/>
          <w:iCs/>
          <w:sz w:val="22"/>
          <w:szCs w:val="22"/>
        </w:rPr>
        <w:t>plazo</w:t>
      </w:r>
      <w:proofErr w:type="gramEnd"/>
      <w:r w:rsidRPr="00AB755D">
        <w:rPr>
          <w:rFonts w:cs="Arial"/>
          <w:i/>
          <w:iCs/>
          <w:sz w:val="22"/>
          <w:szCs w:val="22"/>
        </w:rPr>
        <w:t xml:space="preserve"> sino que ha generado sinergias y eficiencias en competencia para ambos sectores</w:t>
      </w:r>
      <w:r w:rsidRPr="006F1229">
        <w:rPr>
          <w:rFonts w:cs="Arial"/>
          <w:sz w:val="22"/>
          <w:szCs w:val="22"/>
        </w:rPr>
        <w:t>.</w:t>
      </w:r>
    </w:p>
    <w:p w14:paraId="189A7718" w14:textId="77777777" w:rsidR="006F1229" w:rsidRPr="006F1229" w:rsidRDefault="006F1229" w:rsidP="00371CB5">
      <w:pPr>
        <w:rPr>
          <w:rFonts w:cs="Arial"/>
          <w:sz w:val="22"/>
          <w:szCs w:val="22"/>
        </w:rPr>
      </w:pPr>
    </w:p>
    <w:p w14:paraId="01AF00B7" w14:textId="6E64421A" w:rsidR="006F1229" w:rsidRDefault="00AB755D" w:rsidP="00371CB5">
      <w:pPr>
        <w:rPr>
          <w:rFonts w:cs="Arial"/>
          <w:b/>
          <w:bCs/>
          <w:sz w:val="22"/>
          <w:szCs w:val="22"/>
        </w:rPr>
      </w:pPr>
      <w:r w:rsidRPr="00AB755D">
        <w:rPr>
          <w:rFonts w:cs="Arial"/>
          <w:b/>
          <w:bCs/>
          <w:sz w:val="22"/>
          <w:szCs w:val="22"/>
        </w:rPr>
        <w:t>Respuesta</w:t>
      </w:r>
      <w:r>
        <w:rPr>
          <w:rFonts w:cs="Arial"/>
          <w:b/>
          <w:bCs/>
          <w:sz w:val="22"/>
          <w:szCs w:val="22"/>
        </w:rPr>
        <w:t>:</w:t>
      </w:r>
    </w:p>
    <w:p w14:paraId="1748D563" w14:textId="6FDB31D8" w:rsidR="00AB755D" w:rsidRDefault="00AB755D" w:rsidP="00371CB5">
      <w:pPr>
        <w:rPr>
          <w:rFonts w:cs="Arial"/>
          <w:b/>
          <w:bCs/>
          <w:sz w:val="22"/>
          <w:szCs w:val="22"/>
        </w:rPr>
      </w:pPr>
    </w:p>
    <w:p w14:paraId="47140E14" w14:textId="687C1063" w:rsidR="00AB755D" w:rsidRPr="00AB755D" w:rsidRDefault="00AB755D" w:rsidP="00371CB5">
      <w:pPr>
        <w:rPr>
          <w:rFonts w:cs="Arial"/>
          <w:sz w:val="22"/>
          <w:szCs w:val="22"/>
        </w:rPr>
      </w:pPr>
      <w:r w:rsidRPr="00AB755D">
        <w:rPr>
          <w:rFonts w:cs="Arial"/>
          <w:sz w:val="22"/>
          <w:szCs w:val="22"/>
        </w:rPr>
        <w:t>La propuesta tiene</w:t>
      </w:r>
      <w:r>
        <w:rPr>
          <w:rFonts w:cs="Arial"/>
          <w:sz w:val="22"/>
          <w:szCs w:val="22"/>
        </w:rPr>
        <w:t>,</w:t>
      </w:r>
      <w:r w:rsidRPr="00AB755D">
        <w:rPr>
          <w:rFonts w:cs="Arial"/>
          <w:sz w:val="22"/>
          <w:szCs w:val="22"/>
        </w:rPr>
        <w:t xml:space="preserve"> entre otros objetivos, que se haga </w:t>
      </w:r>
      <w:r>
        <w:rPr>
          <w:rFonts w:cs="Arial"/>
          <w:sz w:val="22"/>
          <w:szCs w:val="22"/>
        </w:rPr>
        <w:t xml:space="preserve">más </w:t>
      </w:r>
      <w:r w:rsidRPr="00AB755D">
        <w:rPr>
          <w:rFonts w:cs="Arial"/>
          <w:sz w:val="22"/>
          <w:szCs w:val="22"/>
        </w:rPr>
        <w:t xml:space="preserve">transparente y </w:t>
      </w:r>
      <w:r w:rsidR="00F100CE">
        <w:rPr>
          <w:rFonts w:cs="Arial"/>
          <w:sz w:val="22"/>
          <w:szCs w:val="22"/>
        </w:rPr>
        <w:t>con un mayor nivel de acceso</w:t>
      </w:r>
      <w:r w:rsidRPr="00AB755D">
        <w:rPr>
          <w:rFonts w:cs="Arial"/>
          <w:sz w:val="22"/>
          <w:szCs w:val="22"/>
        </w:rPr>
        <w:t xml:space="preserve"> la información de </w:t>
      </w:r>
      <w:r>
        <w:rPr>
          <w:rFonts w:cs="Arial"/>
          <w:sz w:val="22"/>
          <w:szCs w:val="22"/>
        </w:rPr>
        <w:t xml:space="preserve">la totalidad de </w:t>
      </w:r>
      <w:r w:rsidRPr="00AB755D">
        <w:rPr>
          <w:rFonts w:cs="Arial"/>
          <w:sz w:val="22"/>
          <w:szCs w:val="22"/>
        </w:rPr>
        <w:t xml:space="preserve">los requerimientos de la </w:t>
      </w:r>
      <w:proofErr w:type="gramStart"/>
      <w:r w:rsidRPr="00AB755D">
        <w:rPr>
          <w:rFonts w:cs="Arial"/>
          <w:sz w:val="22"/>
          <w:szCs w:val="22"/>
        </w:rPr>
        <w:t>demanda,</w:t>
      </w:r>
      <w:proofErr w:type="gramEnd"/>
      <w:r w:rsidRPr="00AB755D">
        <w:rPr>
          <w:rFonts w:cs="Arial"/>
          <w:sz w:val="22"/>
          <w:szCs w:val="22"/>
        </w:rPr>
        <w:t xml:space="preserve"> sea que corresponda a Demanda Esencial o </w:t>
      </w:r>
      <w:r w:rsidR="00063F1E">
        <w:rPr>
          <w:rFonts w:cs="Arial"/>
          <w:sz w:val="22"/>
          <w:szCs w:val="22"/>
        </w:rPr>
        <w:t xml:space="preserve">a </w:t>
      </w:r>
      <w:r w:rsidRPr="00AB755D">
        <w:rPr>
          <w:rFonts w:cs="Arial"/>
          <w:sz w:val="22"/>
          <w:szCs w:val="22"/>
        </w:rPr>
        <w:t>cualquier otro tipo de demanda</w:t>
      </w:r>
      <w:r>
        <w:rPr>
          <w:rFonts w:cs="Arial"/>
          <w:sz w:val="22"/>
          <w:szCs w:val="22"/>
        </w:rPr>
        <w:t>. Hoy en día dicha información no es conocida por la totalidad de los agentes y por quienes encuentran oportunidades de inversión en el desarrollo de medios alternativos de suministro de gas para atender las necesidades futuras de mediano y largo plazo. Como resultado de los balances trimestrales propuestos se espera lograr este objetivo</w:t>
      </w:r>
      <w:r w:rsidRPr="00AB755D">
        <w:rPr>
          <w:rFonts w:cs="Arial"/>
          <w:sz w:val="22"/>
          <w:szCs w:val="22"/>
        </w:rPr>
        <w:t>.</w:t>
      </w:r>
    </w:p>
    <w:p w14:paraId="025AC8EF" w14:textId="77777777" w:rsidR="00AB755D" w:rsidRPr="00AB755D" w:rsidRDefault="00AB755D" w:rsidP="00371CB5">
      <w:pPr>
        <w:rPr>
          <w:rFonts w:cs="Arial"/>
          <w:b/>
          <w:bCs/>
          <w:sz w:val="22"/>
          <w:szCs w:val="22"/>
        </w:rPr>
      </w:pPr>
    </w:p>
    <w:p w14:paraId="011B1740" w14:textId="0757A415" w:rsidR="00AB755D" w:rsidRDefault="00AB755D" w:rsidP="00371CB5">
      <w:pPr>
        <w:rPr>
          <w:rFonts w:cs="Arial"/>
          <w:sz w:val="22"/>
          <w:szCs w:val="22"/>
        </w:rPr>
      </w:pPr>
    </w:p>
    <w:p w14:paraId="746F3889" w14:textId="77777777" w:rsidR="006F1229" w:rsidRPr="006F1229" w:rsidRDefault="00371CB5" w:rsidP="006F1229">
      <w:pPr>
        <w:pStyle w:val="Ttulo4"/>
        <w:rPr>
          <w:sz w:val="22"/>
          <w:szCs w:val="22"/>
        </w:rPr>
      </w:pPr>
      <w:bookmarkStart w:id="492" w:name="_Ref130285959"/>
      <w:r w:rsidRPr="006F1229">
        <w:rPr>
          <w:sz w:val="22"/>
          <w:szCs w:val="22"/>
        </w:rPr>
        <w:t>ANDEG</w:t>
      </w:r>
      <w:bookmarkEnd w:id="492"/>
      <w:r w:rsidRPr="006F1229">
        <w:rPr>
          <w:sz w:val="22"/>
          <w:szCs w:val="22"/>
        </w:rPr>
        <w:tab/>
      </w:r>
    </w:p>
    <w:p w14:paraId="0CA57F29" w14:textId="69D8D40E" w:rsidR="00371CB5" w:rsidRPr="00AB755D" w:rsidRDefault="00371CB5" w:rsidP="00371CB5">
      <w:pPr>
        <w:rPr>
          <w:rFonts w:cs="Arial"/>
          <w:i/>
          <w:iCs/>
          <w:sz w:val="22"/>
          <w:szCs w:val="22"/>
        </w:rPr>
      </w:pPr>
      <w:r w:rsidRPr="00AB755D">
        <w:rPr>
          <w:rFonts w:cs="Arial"/>
          <w:i/>
          <w:iCs/>
          <w:sz w:val="22"/>
          <w:szCs w:val="22"/>
        </w:rPr>
        <w:t>"Nos preocupa que el Regulador utilice criterios preestablecidos de priorización en la asignación de gas para atención de determinados tipos de usuarios, que se hacen efectivos en condiciones críticas del sistema, en un contexto de “administración de escasez”, lo que a todas luces, consideramos que discrimina a consumidores participantes en el mercado mayorista de gas en el país, caso de los generadores térmicos, los cuales, bajo lo señalado en la propuesta normativa en lo correspondiente a la aplicación del MADE (Art 21), quedarían marginados comercialmente de participar en el mercado de gas natural, al no ser parte de lo denominado “demanda esencial”.</w:t>
      </w:r>
    </w:p>
    <w:p w14:paraId="440C1226" w14:textId="77777777" w:rsidR="00371CB5" w:rsidRPr="00AB755D" w:rsidRDefault="00371CB5" w:rsidP="00371CB5">
      <w:pPr>
        <w:rPr>
          <w:rFonts w:cs="Arial"/>
          <w:i/>
          <w:iCs/>
          <w:sz w:val="22"/>
          <w:szCs w:val="22"/>
        </w:rPr>
      </w:pPr>
    </w:p>
    <w:p w14:paraId="1E2115DF" w14:textId="77777777" w:rsidR="00371CB5" w:rsidRPr="00AB755D" w:rsidRDefault="00371CB5" w:rsidP="00371CB5">
      <w:pPr>
        <w:rPr>
          <w:rFonts w:cs="Arial"/>
          <w:i/>
          <w:iCs/>
          <w:sz w:val="22"/>
          <w:szCs w:val="22"/>
        </w:rPr>
      </w:pPr>
      <w:r w:rsidRPr="00AB755D">
        <w:rPr>
          <w:rFonts w:cs="Arial"/>
          <w:i/>
          <w:iCs/>
          <w:sz w:val="22"/>
          <w:szCs w:val="22"/>
        </w:rPr>
        <w:t xml:space="preserve">En este sentido, las modificaciones y el marco regulatorio que está promoviendo la Comisión con esta propuesta, busca migrar a un esquema de mercado netamente físico que limita y reduce la liquidez del mercado de gas, restringiendo, entre otras, y especialmente, las alternativas comerciales para la demanda térmica, forzando a los generadores térmicos a optar por una actitud pasiva y ocasional en el mercado, de forma que únicamente tengan acceso al gas que efectivamente se va a consumir frente a sus necesidades de respaldo de obligaciones del mercado eléctrico y acceder ocasionalmente y recurrentemente a cantidades determinadas ante coyunturas y requerimientos puntuales del sistema. Como se mencionó anteriormente, estas medidas, afectan de forma negativa el dinamismo y crecimiento del mercado, objetivos identificados tanto en la Ley 2128 de 2021 así como en los lineamientos de la Misión de Transformación Energética. Es por esto que, con las señales regulatorias planteadas en la Resolución CREG 226 de 2021, consideramos que se distorsionaría la formación eficiente de precios en el mercado con el mecanismo de administración de escasez planteado, </w:t>
      </w:r>
      <w:proofErr w:type="gramStart"/>
      <w:r w:rsidRPr="00AB755D">
        <w:rPr>
          <w:rFonts w:cs="Arial"/>
          <w:i/>
          <w:iCs/>
          <w:sz w:val="22"/>
          <w:szCs w:val="22"/>
        </w:rPr>
        <w:t>y</w:t>
      </w:r>
      <w:proofErr w:type="gramEnd"/>
      <w:r w:rsidRPr="00AB755D">
        <w:rPr>
          <w:rFonts w:cs="Arial"/>
          <w:i/>
          <w:iCs/>
          <w:sz w:val="22"/>
          <w:szCs w:val="22"/>
        </w:rPr>
        <w:t xml:space="preserve"> por tanto, no se desvelaría el costo de oportunidad del energético, al excluir, a través del MADE, a segmentos de la demanda en la participación en el mercado de gas, lo cual, afecta la competencia."</w:t>
      </w:r>
    </w:p>
    <w:p w14:paraId="56490219" w14:textId="04060B74" w:rsidR="00426028" w:rsidRDefault="00426028" w:rsidP="00371CB5">
      <w:pPr>
        <w:rPr>
          <w:rFonts w:cs="Arial"/>
          <w:b/>
          <w:bCs/>
          <w:sz w:val="22"/>
          <w:szCs w:val="22"/>
        </w:rPr>
      </w:pPr>
    </w:p>
    <w:p w14:paraId="76F20BB2" w14:textId="496EE7E8" w:rsidR="00AB755D" w:rsidRDefault="00AB755D" w:rsidP="00371CB5">
      <w:pPr>
        <w:rPr>
          <w:rFonts w:cs="Arial"/>
          <w:b/>
          <w:bCs/>
          <w:sz w:val="22"/>
          <w:szCs w:val="22"/>
        </w:rPr>
      </w:pPr>
      <w:r>
        <w:rPr>
          <w:rFonts w:cs="Arial"/>
          <w:b/>
          <w:bCs/>
          <w:sz w:val="22"/>
          <w:szCs w:val="22"/>
        </w:rPr>
        <w:t>Respuesta:</w:t>
      </w:r>
    </w:p>
    <w:p w14:paraId="3EC39183" w14:textId="6FB22D72" w:rsidR="00AB755D" w:rsidRDefault="00AB755D" w:rsidP="00371CB5">
      <w:pPr>
        <w:rPr>
          <w:rFonts w:cs="Arial"/>
          <w:b/>
          <w:bCs/>
          <w:sz w:val="22"/>
          <w:szCs w:val="22"/>
        </w:rPr>
      </w:pPr>
    </w:p>
    <w:p w14:paraId="4295374B" w14:textId="16A52315" w:rsidR="00093EC0" w:rsidRDefault="00AB755D" w:rsidP="00371CB5">
      <w:pPr>
        <w:rPr>
          <w:rFonts w:cs="Arial"/>
          <w:sz w:val="22"/>
          <w:szCs w:val="22"/>
        </w:rPr>
      </w:pPr>
      <w:r w:rsidRPr="00AB755D">
        <w:rPr>
          <w:rFonts w:cs="Arial"/>
          <w:sz w:val="22"/>
          <w:szCs w:val="22"/>
        </w:rPr>
        <w:t xml:space="preserve">En la propuesta </w:t>
      </w:r>
      <w:r>
        <w:rPr>
          <w:rFonts w:cs="Arial"/>
          <w:sz w:val="22"/>
          <w:szCs w:val="22"/>
        </w:rPr>
        <w:t xml:space="preserve">se incluyeron </w:t>
      </w:r>
      <w:r w:rsidRPr="00AB755D">
        <w:rPr>
          <w:rFonts w:cs="Arial"/>
          <w:sz w:val="22"/>
          <w:szCs w:val="22"/>
        </w:rPr>
        <w:t xml:space="preserve">dos instancias de declaración de los compradores </w:t>
      </w:r>
      <w:r>
        <w:rPr>
          <w:rFonts w:cs="Arial"/>
          <w:sz w:val="22"/>
          <w:szCs w:val="22"/>
        </w:rPr>
        <w:t xml:space="preserve">al </w:t>
      </w:r>
      <w:r w:rsidR="005114C6">
        <w:rPr>
          <w:rFonts w:cs="Arial"/>
          <w:sz w:val="22"/>
          <w:szCs w:val="22"/>
        </w:rPr>
        <w:t>Gestor del Mercado</w:t>
      </w:r>
      <w:r w:rsidR="00093EC0">
        <w:rPr>
          <w:rFonts w:cs="Arial"/>
          <w:sz w:val="22"/>
          <w:szCs w:val="22"/>
        </w:rPr>
        <w:t xml:space="preserve"> de cualquier tipo de sector de consumo</w:t>
      </w:r>
      <w:r>
        <w:rPr>
          <w:rFonts w:cs="Arial"/>
          <w:sz w:val="22"/>
          <w:szCs w:val="22"/>
        </w:rPr>
        <w:t xml:space="preserve">, </w:t>
      </w:r>
      <w:r w:rsidRPr="00AB755D">
        <w:rPr>
          <w:rFonts w:cs="Arial"/>
          <w:sz w:val="22"/>
          <w:szCs w:val="22"/>
        </w:rPr>
        <w:t>respecto de las cantidades que desean y requieren contratar en firme</w:t>
      </w:r>
      <w:r>
        <w:rPr>
          <w:rFonts w:cs="Arial"/>
          <w:sz w:val="22"/>
          <w:szCs w:val="22"/>
        </w:rPr>
        <w:t>, para el suministro en, como mínimo, cada uno de los veinte trimestres estándar de suministro siguientes. En la primera instancia</w:t>
      </w:r>
      <w:r w:rsidR="00D74898">
        <w:rPr>
          <w:rFonts w:cs="Arial"/>
          <w:sz w:val="22"/>
          <w:szCs w:val="22"/>
        </w:rPr>
        <w:t xml:space="preserve"> </w:t>
      </w:r>
      <w:r>
        <w:rPr>
          <w:rFonts w:cs="Arial"/>
          <w:sz w:val="22"/>
          <w:szCs w:val="22"/>
        </w:rPr>
        <w:t xml:space="preserve">de declaración, los agentes compradores declaran las cantidades que desean adquirir como máximo, en la segunda instancia los compradores declaran las cantidades requeridas como mínimo, con compromiso de compra. </w:t>
      </w:r>
    </w:p>
    <w:p w14:paraId="00C11EE0" w14:textId="77777777" w:rsidR="00093EC0" w:rsidRDefault="00093EC0" w:rsidP="00371CB5">
      <w:pPr>
        <w:rPr>
          <w:rFonts w:cs="Arial"/>
          <w:sz w:val="22"/>
          <w:szCs w:val="22"/>
        </w:rPr>
      </w:pPr>
    </w:p>
    <w:p w14:paraId="4C3B97F9" w14:textId="36B4A402" w:rsidR="00EE4B36" w:rsidRDefault="00AB755D" w:rsidP="00371CB5">
      <w:pPr>
        <w:rPr>
          <w:rFonts w:cs="Arial"/>
          <w:sz w:val="22"/>
          <w:szCs w:val="22"/>
        </w:rPr>
      </w:pPr>
      <w:r>
        <w:rPr>
          <w:rFonts w:cs="Arial"/>
          <w:sz w:val="22"/>
          <w:szCs w:val="22"/>
        </w:rPr>
        <w:t xml:space="preserve">De por medio entre los plazos de </w:t>
      </w:r>
      <w:r w:rsidR="00093EC0">
        <w:rPr>
          <w:rFonts w:cs="Arial"/>
          <w:sz w:val="22"/>
          <w:szCs w:val="22"/>
        </w:rPr>
        <w:t>l</w:t>
      </w:r>
      <w:r>
        <w:rPr>
          <w:rFonts w:cs="Arial"/>
          <w:sz w:val="22"/>
          <w:szCs w:val="22"/>
        </w:rPr>
        <w:t>as dos instancias</w:t>
      </w:r>
      <w:r w:rsidR="00093EC0">
        <w:rPr>
          <w:rFonts w:cs="Arial"/>
          <w:sz w:val="22"/>
          <w:szCs w:val="22"/>
        </w:rPr>
        <w:t xml:space="preserve"> anteriormente señaladas</w:t>
      </w:r>
      <w:r>
        <w:rPr>
          <w:rFonts w:cs="Arial"/>
          <w:sz w:val="22"/>
          <w:szCs w:val="22"/>
        </w:rPr>
        <w:t xml:space="preserve">, el </w:t>
      </w:r>
      <w:r w:rsidR="005114C6">
        <w:rPr>
          <w:rFonts w:cs="Arial"/>
          <w:sz w:val="22"/>
          <w:szCs w:val="22"/>
        </w:rPr>
        <w:t>Gestor del Mercado</w:t>
      </w:r>
      <w:r>
        <w:rPr>
          <w:rFonts w:cs="Arial"/>
          <w:sz w:val="22"/>
          <w:szCs w:val="22"/>
        </w:rPr>
        <w:t xml:space="preserve"> debe publicar </w:t>
      </w:r>
      <w:r w:rsidR="00EE4B36">
        <w:rPr>
          <w:rFonts w:cs="Arial"/>
          <w:sz w:val="22"/>
          <w:szCs w:val="22"/>
        </w:rPr>
        <w:t xml:space="preserve">la información respecto de las cantidades totales de PTDVF y CIDVF para cada punto de referencia y para cada uno de los siguientes 20 trimestres estándar siguientes, o </w:t>
      </w:r>
      <w:r w:rsidR="00EE4B36" w:rsidRPr="00EE4B36">
        <w:rPr>
          <w:rFonts w:cs="Arial"/>
          <w:sz w:val="22"/>
          <w:szCs w:val="22"/>
        </w:rPr>
        <w:t xml:space="preserve">hasta el Trimestre Estándar </w:t>
      </w:r>
      <w:r w:rsidR="00EE4B36">
        <w:rPr>
          <w:rFonts w:cs="Arial"/>
          <w:sz w:val="22"/>
          <w:szCs w:val="22"/>
        </w:rPr>
        <w:t>e</w:t>
      </w:r>
      <w:r w:rsidR="00EE4B36" w:rsidRPr="00EE4B36">
        <w:rPr>
          <w:rFonts w:cs="Arial"/>
          <w:sz w:val="22"/>
          <w:szCs w:val="22"/>
        </w:rPr>
        <w:t>n el que se cuente con información de PTDV</w:t>
      </w:r>
      <w:r w:rsidR="00EE4B36">
        <w:rPr>
          <w:rFonts w:cs="Arial"/>
          <w:sz w:val="22"/>
          <w:szCs w:val="22"/>
        </w:rPr>
        <w:t>, por el lado de la oferta; y por el lado de la demanda, para esas mismas referencias de p</w:t>
      </w:r>
      <w:r w:rsidR="00D74898">
        <w:rPr>
          <w:rFonts w:cs="Arial"/>
          <w:sz w:val="22"/>
          <w:szCs w:val="22"/>
        </w:rPr>
        <w:t>u</w:t>
      </w:r>
      <w:r w:rsidR="00EE4B36">
        <w:rPr>
          <w:rFonts w:cs="Arial"/>
          <w:sz w:val="22"/>
          <w:szCs w:val="22"/>
        </w:rPr>
        <w:t xml:space="preserve">nto de referencia y trimestre estándar, debe publicar las cantidades totales deseadas por los compradores. De este modo, para la segunda instancia de declaración que es compromisoria, los compradores podrán tener como referencia para determinar las cantidades a declarar si las cantidades ofertadas son superiores a las cantidades deseadas, lo que podría llevar a la utilización de subasta como mecanismos de comercialización de las fuentes de suministro de ese punto de referencia para cada trimestre estándar en que se observe ese resultado. </w:t>
      </w:r>
    </w:p>
    <w:p w14:paraId="7247B577" w14:textId="77777777" w:rsidR="00EE4B36" w:rsidRDefault="00EE4B36" w:rsidP="00371CB5">
      <w:pPr>
        <w:rPr>
          <w:rFonts w:cs="Arial"/>
          <w:sz w:val="22"/>
          <w:szCs w:val="22"/>
        </w:rPr>
      </w:pPr>
    </w:p>
    <w:p w14:paraId="21866CF8" w14:textId="59F46671" w:rsidR="00AB755D" w:rsidRDefault="00EE4B36" w:rsidP="00371CB5">
      <w:pPr>
        <w:rPr>
          <w:rFonts w:cs="Arial"/>
          <w:sz w:val="22"/>
          <w:szCs w:val="22"/>
        </w:rPr>
      </w:pPr>
      <w:r>
        <w:rPr>
          <w:rFonts w:cs="Arial"/>
          <w:sz w:val="22"/>
          <w:szCs w:val="22"/>
        </w:rPr>
        <w:t>A partir de lo anterior</w:t>
      </w:r>
      <w:r w:rsidR="00484FEE">
        <w:rPr>
          <w:rFonts w:cs="Arial"/>
          <w:sz w:val="22"/>
          <w:szCs w:val="22"/>
        </w:rPr>
        <w:t>,</w:t>
      </w:r>
      <w:r>
        <w:rPr>
          <w:rFonts w:cs="Arial"/>
          <w:sz w:val="22"/>
          <w:szCs w:val="22"/>
        </w:rPr>
        <w:t xml:space="preserve"> sabiendo </w:t>
      </w:r>
      <w:r w:rsidR="00484FEE">
        <w:rPr>
          <w:rFonts w:cs="Arial"/>
          <w:sz w:val="22"/>
          <w:szCs w:val="22"/>
        </w:rPr>
        <w:t xml:space="preserve">el comprador </w:t>
      </w:r>
      <w:r>
        <w:rPr>
          <w:rFonts w:cs="Arial"/>
          <w:sz w:val="22"/>
          <w:szCs w:val="22"/>
        </w:rPr>
        <w:t>que hay posibilidades que en trimestres posteriores de negociación surjan cantidades adicionales de oferta</w:t>
      </w:r>
      <w:r w:rsidR="00063F1E">
        <w:rPr>
          <w:rFonts w:cs="Arial"/>
          <w:sz w:val="22"/>
          <w:szCs w:val="22"/>
        </w:rPr>
        <w:t xml:space="preserve"> para un trimestre estándar futuro</w:t>
      </w:r>
      <w:r>
        <w:rPr>
          <w:rFonts w:cs="Arial"/>
          <w:sz w:val="22"/>
          <w:szCs w:val="22"/>
        </w:rPr>
        <w:t xml:space="preserve">, </w:t>
      </w:r>
      <w:r w:rsidR="00063F1E">
        <w:rPr>
          <w:rFonts w:cs="Arial"/>
          <w:sz w:val="22"/>
          <w:szCs w:val="22"/>
        </w:rPr>
        <w:t xml:space="preserve">o </w:t>
      </w:r>
      <w:r w:rsidR="00484FEE">
        <w:rPr>
          <w:rFonts w:cs="Arial"/>
          <w:sz w:val="22"/>
          <w:szCs w:val="22"/>
        </w:rPr>
        <w:t xml:space="preserve">que posteriormente haya necesidad de reajustarse a </w:t>
      </w:r>
      <w:r w:rsidR="00063F1E">
        <w:rPr>
          <w:rFonts w:cs="Arial"/>
          <w:sz w:val="22"/>
          <w:szCs w:val="22"/>
        </w:rPr>
        <w:t>menores cantidades requeridas</w:t>
      </w:r>
      <w:r w:rsidR="00484FEE">
        <w:rPr>
          <w:rFonts w:cs="Arial"/>
          <w:sz w:val="22"/>
          <w:szCs w:val="22"/>
        </w:rPr>
        <w:t xml:space="preserve"> proyectadas</w:t>
      </w:r>
      <w:r w:rsidR="00063F1E">
        <w:rPr>
          <w:rFonts w:cs="Arial"/>
          <w:sz w:val="22"/>
          <w:szCs w:val="22"/>
        </w:rPr>
        <w:t xml:space="preserve"> d</w:t>
      </w:r>
      <w:r>
        <w:rPr>
          <w:rFonts w:cs="Arial"/>
          <w:sz w:val="22"/>
          <w:szCs w:val="22"/>
        </w:rPr>
        <w:t xml:space="preserve">e parte de </w:t>
      </w:r>
      <w:r w:rsidR="00063F1E">
        <w:rPr>
          <w:rFonts w:cs="Arial"/>
          <w:sz w:val="22"/>
          <w:szCs w:val="22"/>
        </w:rPr>
        <w:t>la</w:t>
      </w:r>
      <w:r>
        <w:rPr>
          <w:rFonts w:cs="Arial"/>
          <w:sz w:val="22"/>
          <w:szCs w:val="22"/>
        </w:rPr>
        <w:t xml:space="preserve"> propia demanda</w:t>
      </w:r>
      <w:r w:rsidR="00484FEE">
        <w:rPr>
          <w:rFonts w:cs="Arial"/>
          <w:sz w:val="22"/>
          <w:szCs w:val="22"/>
        </w:rPr>
        <w:t>,</w:t>
      </w:r>
      <w:r>
        <w:rPr>
          <w:rFonts w:cs="Arial"/>
          <w:sz w:val="22"/>
          <w:szCs w:val="22"/>
        </w:rPr>
        <w:t xml:space="preserve"> </w:t>
      </w:r>
      <w:r w:rsidR="00484FEE">
        <w:rPr>
          <w:rFonts w:cs="Arial"/>
          <w:sz w:val="22"/>
          <w:szCs w:val="22"/>
        </w:rPr>
        <w:t>si el comprador</w:t>
      </w:r>
      <w:r>
        <w:rPr>
          <w:rFonts w:cs="Arial"/>
          <w:sz w:val="22"/>
          <w:szCs w:val="22"/>
        </w:rPr>
        <w:t xml:space="preserve"> </w:t>
      </w:r>
      <w:r w:rsidR="00484FEE">
        <w:rPr>
          <w:rFonts w:cs="Arial"/>
          <w:sz w:val="22"/>
          <w:szCs w:val="22"/>
        </w:rPr>
        <w:t xml:space="preserve">mantiene en la declaración de segunda instancia las mismas cantidades declaradas en la primera instancia, </w:t>
      </w:r>
      <w:r>
        <w:rPr>
          <w:rFonts w:cs="Arial"/>
          <w:sz w:val="22"/>
          <w:szCs w:val="22"/>
        </w:rPr>
        <w:t>exist</w:t>
      </w:r>
      <w:r w:rsidR="00484FEE">
        <w:rPr>
          <w:rFonts w:cs="Arial"/>
          <w:sz w:val="22"/>
          <w:szCs w:val="22"/>
        </w:rPr>
        <w:t>irá</w:t>
      </w:r>
      <w:r>
        <w:rPr>
          <w:rFonts w:cs="Arial"/>
          <w:sz w:val="22"/>
          <w:szCs w:val="22"/>
        </w:rPr>
        <w:t xml:space="preserve"> mayor posibilidad de que haya un déficit comercial de oferta que lleve a la realización de subasta</w:t>
      </w:r>
      <w:r w:rsidR="00484FEE">
        <w:rPr>
          <w:rFonts w:cs="Arial"/>
          <w:sz w:val="22"/>
          <w:szCs w:val="22"/>
        </w:rPr>
        <w:t xml:space="preserve">. Es por ello </w:t>
      </w:r>
      <w:proofErr w:type="gramStart"/>
      <w:r w:rsidR="00484FEE">
        <w:rPr>
          <w:rFonts w:cs="Arial"/>
          <w:sz w:val="22"/>
          <w:szCs w:val="22"/>
        </w:rPr>
        <w:t>que</w:t>
      </w:r>
      <w:proofErr w:type="gramEnd"/>
      <w:r w:rsidR="00FF28C3">
        <w:rPr>
          <w:rFonts w:cs="Arial"/>
          <w:sz w:val="22"/>
          <w:szCs w:val="22"/>
        </w:rPr>
        <w:t>,</w:t>
      </w:r>
      <w:r w:rsidR="00484FEE">
        <w:rPr>
          <w:rFonts w:cs="Arial"/>
          <w:sz w:val="22"/>
          <w:szCs w:val="22"/>
        </w:rPr>
        <w:t xml:space="preserve"> es decisión del </w:t>
      </w:r>
      <w:r>
        <w:rPr>
          <w:rFonts w:cs="Arial"/>
          <w:sz w:val="22"/>
          <w:szCs w:val="22"/>
        </w:rPr>
        <w:t xml:space="preserve">agente comprador reducir las cantidades requeridas que declarará en la segunda instancia al </w:t>
      </w:r>
      <w:r w:rsidR="005114C6">
        <w:rPr>
          <w:rFonts w:cs="Arial"/>
          <w:sz w:val="22"/>
          <w:szCs w:val="22"/>
        </w:rPr>
        <w:t>Gestor del Mercado</w:t>
      </w:r>
      <w:r w:rsidR="00484FEE">
        <w:rPr>
          <w:rFonts w:cs="Arial"/>
          <w:sz w:val="22"/>
          <w:szCs w:val="22"/>
        </w:rPr>
        <w:t xml:space="preserve"> en la etapa de segunda instancia, dejando para trimestres de negociación posteriores el requerimiento de las cantidades faltantes</w:t>
      </w:r>
      <w:r>
        <w:rPr>
          <w:rFonts w:cs="Arial"/>
          <w:sz w:val="22"/>
          <w:szCs w:val="22"/>
        </w:rPr>
        <w:t>. Finalmente</w:t>
      </w:r>
      <w:r w:rsidR="00484FEE">
        <w:rPr>
          <w:rFonts w:cs="Arial"/>
          <w:sz w:val="22"/>
          <w:szCs w:val="22"/>
        </w:rPr>
        <w:t>,</w:t>
      </w:r>
      <w:r>
        <w:rPr>
          <w:rFonts w:cs="Arial"/>
          <w:sz w:val="22"/>
          <w:szCs w:val="22"/>
        </w:rPr>
        <w:t xml:space="preserve"> el balance definitivo lo realizará el </w:t>
      </w:r>
      <w:r w:rsidR="005114C6">
        <w:rPr>
          <w:rFonts w:cs="Arial"/>
          <w:sz w:val="22"/>
          <w:szCs w:val="22"/>
        </w:rPr>
        <w:t>Gestor del Mercado</w:t>
      </w:r>
      <w:r>
        <w:rPr>
          <w:rFonts w:cs="Arial"/>
          <w:sz w:val="22"/>
          <w:szCs w:val="22"/>
        </w:rPr>
        <w:t xml:space="preserve"> con base en la información de demanda requerida declarada en la segunda instancia.</w:t>
      </w:r>
    </w:p>
    <w:p w14:paraId="18F3BA77" w14:textId="59451AEE" w:rsidR="00EE4B36" w:rsidRDefault="00EE4B36" w:rsidP="00371CB5">
      <w:pPr>
        <w:rPr>
          <w:rFonts w:cs="Arial"/>
          <w:sz w:val="22"/>
          <w:szCs w:val="22"/>
        </w:rPr>
      </w:pPr>
    </w:p>
    <w:p w14:paraId="4B27030A" w14:textId="7A8D84D2" w:rsidR="00EE4B36" w:rsidRDefault="00EE4B36" w:rsidP="00371CB5">
      <w:pPr>
        <w:rPr>
          <w:rFonts w:cs="Arial"/>
          <w:i/>
          <w:iCs/>
          <w:sz w:val="22"/>
          <w:szCs w:val="22"/>
        </w:rPr>
      </w:pPr>
      <w:r>
        <w:rPr>
          <w:rFonts w:cs="Arial"/>
          <w:sz w:val="22"/>
          <w:szCs w:val="22"/>
        </w:rPr>
        <w:t xml:space="preserve">En ninguna de las dos instancias de declaración de demanda a atender se limita la participación de ningún tipo de demanda, sea industrial en general, comercial, térmica, etc. Lo que sí se presenta luego, es </w:t>
      </w:r>
      <w:proofErr w:type="gramStart"/>
      <w:r>
        <w:rPr>
          <w:rFonts w:cs="Arial"/>
          <w:sz w:val="22"/>
          <w:szCs w:val="22"/>
        </w:rPr>
        <w:t>que</w:t>
      </w:r>
      <w:proofErr w:type="gramEnd"/>
      <w:r>
        <w:rPr>
          <w:rFonts w:cs="Arial"/>
          <w:sz w:val="22"/>
          <w:szCs w:val="22"/>
        </w:rPr>
        <w:t xml:space="preserve"> en el caso de</w:t>
      </w:r>
      <w:r w:rsidR="007E27F3">
        <w:rPr>
          <w:rFonts w:cs="Arial"/>
          <w:sz w:val="22"/>
          <w:szCs w:val="22"/>
        </w:rPr>
        <w:t xml:space="preserve"> mantenerse el balance comercial deficitario después de la declaración de segunda instancia de los compradores, se desarrollará el mecanismos de subasta, y previo a ello se descontarán las cantidades requeridas en la segunda instancia para la Demanda Esencial. Solo en el caso que la oferta no alcance a superar las cantidades requeridas en segunda instancia para atender Demanda Esencial, puede ocurrir que la demás demanda no tenga acceso a cantidades, por lo que no se está de acuerdo con la afirmación de </w:t>
      </w:r>
      <w:proofErr w:type="gramStart"/>
      <w:r w:rsidR="007E27F3">
        <w:rPr>
          <w:rFonts w:cs="Arial"/>
          <w:sz w:val="22"/>
          <w:szCs w:val="22"/>
        </w:rPr>
        <w:t>que ”</w:t>
      </w:r>
      <w:proofErr w:type="gramEnd"/>
      <w:r w:rsidR="007E27F3">
        <w:rPr>
          <w:rFonts w:cs="Arial"/>
          <w:i/>
          <w:iCs/>
          <w:sz w:val="22"/>
          <w:szCs w:val="22"/>
        </w:rPr>
        <w:t xml:space="preserve">(…) </w:t>
      </w:r>
      <w:r w:rsidR="007E27F3" w:rsidRPr="00AB755D">
        <w:rPr>
          <w:rFonts w:cs="Arial"/>
          <w:i/>
          <w:iCs/>
          <w:sz w:val="22"/>
          <w:szCs w:val="22"/>
        </w:rPr>
        <w:t xml:space="preserve">quedarían marginados comercialmente de participar en el mercado de gas natural, al no ser parte de lo denominado </w:t>
      </w:r>
      <w:r w:rsidR="0001585F">
        <w:rPr>
          <w:rFonts w:cs="Arial"/>
          <w:i/>
          <w:iCs/>
          <w:sz w:val="22"/>
          <w:szCs w:val="22"/>
        </w:rPr>
        <w:t>‘</w:t>
      </w:r>
      <w:r w:rsidR="007E27F3" w:rsidRPr="00AB755D">
        <w:rPr>
          <w:rFonts w:cs="Arial"/>
          <w:i/>
          <w:iCs/>
          <w:sz w:val="22"/>
          <w:szCs w:val="22"/>
        </w:rPr>
        <w:t>demanda esencial</w:t>
      </w:r>
      <w:r w:rsidR="0001585F">
        <w:rPr>
          <w:rFonts w:cs="Arial"/>
          <w:i/>
          <w:iCs/>
          <w:sz w:val="22"/>
          <w:szCs w:val="22"/>
        </w:rPr>
        <w:t>’</w:t>
      </w:r>
      <w:r w:rsidR="007E27F3">
        <w:rPr>
          <w:rFonts w:cs="Arial"/>
          <w:i/>
          <w:iCs/>
          <w:sz w:val="22"/>
          <w:szCs w:val="22"/>
        </w:rPr>
        <w:t>”.</w:t>
      </w:r>
    </w:p>
    <w:p w14:paraId="1926123E" w14:textId="6496A06D" w:rsidR="001921F8" w:rsidRDefault="001921F8" w:rsidP="00371CB5">
      <w:pPr>
        <w:rPr>
          <w:rFonts w:cs="Arial"/>
          <w:i/>
          <w:iCs/>
          <w:sz w:val="22"/>
          <w:szCs w:val="22"/>
        </w:rPr>
      </w:pPr>
    </w:p>
    <w:p w14:paraId="751BC3DF" w14:textId="222D6AD8" w:rsidR="007E27F3" w:rsidRDefault="001921F8" w:rsidP="00371CB5">
      <w:pPr>
        <w:rPr>
          <w:rFonts w:cs="Arial"/>
          <w:i/>
          <w:iCs/>
          <w:sz w:val="22"/>
          <w:szCs w:val="22"/>
        </w:rPr>
      </w:pPr>
      <w:r w:rsidRPr="001921F8">
        <w:rPr>
          <w:rFonts w:cs="Arial"/>
          <w:sz w:val="22"/>
          <w:szCs w:val="22"/>
        </w:rPr>
        <w:t xml:space="preserve">En caso </w:t>
      </w:r>
      <w:r>
        <w:rPr>
          <w:rFonts w:cs="Arial"/>
          <w:sz w:val="22"/>
          <w:szCs w:val="22"/>
        </w:rPr>
        <w:t xml:space="preserve">de </w:t>
      </w:r>
      <w:r w:rsidRPr="001921F8">
        <w:rPr>
          <w:rFonts w:cs="Arial"/>
          <w:sz w:val="22"/>
          <w:szCs w:val="22"/>
        </w:rPr>
        <w:t xml:space="preserve">que se </w:t>
      </w:r>
      <w:r>
        <w:rPr>
          <w:rFonts w:cs="Arial"/>
          <w:sz w:val="22"/>
          <w:szCs w:val="22"/>
        </w:rPr>
        <w:t xml:space="preserve">encuentren </w:t>
      </w:r>
      <w:r w:rsidR="00EE0A72">
        <w:rPr>
          <w:rFonts w:cs="Arial"/>
          <w:sz w:val="22"/>
          <w:szCs w:val="22"/>
        </w:rPr>
        <w:t>a pesar de lo anterior</w:t>
      </w:r>
      <w:r>
        <w:rPr>
          <w:rFonts w:cs="Arial"/>
          <w:sz w:val="22"/>
          <w:szCs w:val="22"/>
        </w:rPr>
        <w:t>, trimestres estándar de suministro con déficits de oferta, definitivamente procederá el mecanismo de subasta</w:t>
      </w:r>
      <w:r w:rsidR="00B77BF4">
        <w:rPr>
          <w:rFonts w:cs="Arial"/>
          <w:sz w:val="22"/>
          <w:szCs w:val="22"/>
        </w:rPr>
        <w:t xml:space="preserve"> para esos trimestres</w:t>
      </w:r>
      <w:r>
        <w:rPr>
          <w:rFonts w:cs="Arial"/>
          <w:sz w:val="22"/>
          <w:szCs w:val="22"/>
        </w:rPr>
        <w:t xml:space="preserve">, o los mecanismos que establezcan los vendedores de fuentes de suministro </w:t>
      </w:r>
      <w:r w:rsidR="00B77BF4">
        <w:rPr>
          <w:rFonts w:cs="Arial"/>
          <w:sz w:val="22"/>
          <w:szCs w:val="22"/>
        </w:rPr>
        <w:t xml:space="preserve">a los </w:t>
      </w:r>
      <w:r>
        <w:rPr>
          <w:rFonts w:cs="Arial"/>
          <w:sz w:val="22"/>
          <w:szCs w:val="22"/>
        </w:rPr>
        <w:t>que se les permite la negociación directa, de los cuales se esperan que surjan precios que sirvan de señal para la realización de mayores inversiones en explotación del recurso nacional</w:t>
      </w:r>
      <w:r w:rsidR="00B77BF4">
        <w:rPr>
          <w:rFonts w:cs="Arial"/>
          <w:sz w:val="22"/>
          <w:szCs w:val="22"/>
        </w:rPr>
        <w:t xml:space="preserve">, la viabilidad de la explotación de campos que no han logrado la comercialidad </w:t>
      </w:r>
      <w:r>
        <w:rPr>
          <w:rFonts w:cs="Arial"/>
          <w:sz w:val="22"/>
          <w:szCs w:val="22"/>
        </w:rPr>
        <w:t xml:space="preserve">o en el incremento de participación de gas natural importado para la atención de la demanda nacional. </w:t>
      </w:r>
    </w:p>
    <w:p w14:paraId="24BCCFBA" w14:textId="77777777" w:rsidR="001921F8" w:rsidRDefault="001921F8" w:rsidP="00371CB5">
      <w:pPr>
        <w:rPr>
          <w:rFonts w:cs="Arial"/>
          <w:sz w:val="22"/>
          <w:szCs w:val="22"/>
        </w:rPr>
      </w:pPr>
    </w:p>
    <w:p w14:paraId="4D0D0FEF" w14:textId="411C84B8" w:rsidR="007E27F3" w:rsidRDefault="007E27F3" w:rsidP="00371CB5">
      <w:pPr>
        <w:rPr>
          <w:rFonts w:cs="Arial"/>
          <w:sz w:val="22"/>
          <w:szCs w:val="22"/>
        </w:rPr>
      </w:pPr>
      <w:r w:rsidRPr="007E27F3">
        <w:rPr>
          <w:rFonts w:cs="Arial"/>
          <w:sz w:val="22"/>
          <w:szCs w:val="22"/>
        </w:rPr>
        <w:t>Como se explicó inicialmente en el presente documento, los aspectos pertinentes al acceso de la Demanda Esencial en contratos con Respaldo Físico (o lo que es lo mismo, con garantía de firmeza), no obedece</w:t>
      </w:r>
      <w:r w:rsidR="00CE186F">
        <w:rPr>
          <w:rFonts w:cs="Arial"/>
          <w:sz w:val="22"/>
          <w:szCs w:val="22"/>
        </w:rPr>
        <w:t>n</w:t>
      </w:r>
      <w:r w:rsidRPr="007E27F3">
        <w:rPr>
          <w:rFonts w:cs="Arial"/>
          <w:sz w:val="22"/>
          <w:szCs w:val="22"/>
        </w:rPr>
        <w:t xml:space="preserve"> a criterios establecidos por la CREG, sino</w:t>
      </w:r>
      <w:r w:rsidR="003F6D3D">
        <w:rPr>
          <w:rFonts w:cs="Arial"/>
          <w:sz w:val="22"/>
          <w:szCs w:val="22"/>
        </w:rPr>
        <w:t xml:space="preserve"> a mandatos legislativos y gubernamentales de</w:t>
      </w:r>
      <w:r w:rsidRPr="007E27F3">
        <w:rPr>
          <w:rFonts w:cs="Arial"/>
          <w:sz w:val="22"/>
          <w:szCs w:val="22"/>
        </w:rPr>
        <w:t xml:space="preserve"> la política energética</w:t>
      </w:r>
      <w:r w:rsidR="00CE186F">
        <w:rPr>
          <w:rFonts w:cs="Arial"/>
          <w:sz w:val="22"/>
          <w:szCs w:val="22"/>
        </w:rPr>
        <w:t xml:space="preserve">, que vienen </w:t>
      </w:r>
      <w:r w:rsidRPr="007E27F3">
        <w:rPr>
          <w:rFonts w:cs="Arial"/>
          <w:sz w:val="22"/>
          <w:szCs w:val="22"/>
        </w:rPr>
        <w:t>de tiempo atrás.</w:t>
      </w:r>
    </w:p>
    <w:p w14:paraId="1B3D1198" w14:textId="10D8C72B" w:rsidR="001E4495" w:rsidRDefault="001E4495" w:rsidP="00371CB5">
      <w:pPr>
        <w:rPr>
          <w:rFonts w:cs="Arial"/>
          <w:sz w:val="22"/>
          <w:szCs w:val="22"/>
        </w:rPr>
      </w:pPr>
    </w:p>
    <w:p w14:paraId="675D7304" w14:textId="789ABB85" w:rsidR="001E4495" w:rsidRPr="007E27F3" w:rsidRDefault="001E4495" w:rsidP="00371CB5">
      <w:pPr>
        <w:rPr>
          <w:rFonts w:cs="Arial"/>
          <w:sz w:val="22"/>
          <w:szCs w:val="22"/>
        </w:rPr>
      </w:pPr>
      <w:r>
        <w:rPr>
          <w:rFonts w:cs="Arial"/>
          <w:sz w:val="22"/>
          <w:szCs w:val="22"/>
        </w:rPr>
        <w:t xml:space="preserve">Con el esquema propuesto, la CREG considera que la participación de los compradores de cualquier tipo de demanda se vuelve más activa y de largo plazo en el Mercado Primario y permiten evidenciar señales de mercado más transparentes y públicas que permitirán dinamizar y crecer el mercado de gas natural, obviamente hasta donde los precios y costos resultantes estén dentro del rango de capacidad de pago y disponibilidad de pago de los usuarios finales. </w:t>
      </w:r>
      <w:r w:rsidR="008C463A">
        <w:rPr>
          <w:rFonts w:cs="Arial"/>
          <w:sz w:val="22"/>
          <w:szCs w:val="22"/>
        </w:rPr>
        <w:t>Ello no solo depende de la regulación del Mercado Mayorista sino del desarrollo futuro de fuentes de suministro nacionales que surjan eventualmente mediante la ejecución de los contratos de exploración y explotación de hidrocarburos. La importación de gas natural se vuelve, como varias veces se ha mencionado, una manera de complementar la suficiencia de gas natural de producción nacional, inicialmente de corto plazo y posteriormente de largo plazo, para atender la totalidad de la demanda.</w:t>
      </w:r>
    </w:p>
    <w:p w14:paraId="5B68F023" w14:textId="77777777" w:rsidR="00A11781" w:rsidRPr="006F1229" w:rsidRDefault="00A11781" w:rsidP="00371CB5">
      <w:pPr>
        <w:rPr>
          <w:rFonts w:cs="Arial"/>
          <w:b/>
          <w:bCs/>
          <w:sz w:val="22"/>
          <w:szCs w:val="22"/>
        </w:rPr>
      </w:pPr>
    </w:p>
    <w:p w14:paraId="7CA8F60B" w14:textId="77777777" w:rsidR="00A11781" w:rsidRPr="006F1229" w:rsidRDefault="00371CB5" w:rsidP="00A11781">
      <w:pPr>
        <w:pStyle w:val="Ttulo4"/>
        <w:rPr>
          <w:sz w:val="22"/>
          <w:szCs w:val="22"/>
        </w:rPr>
      </w:pPr>
      <w:bookmarkStart w:id="493" w:name="_Ref130285990"/>
      <w:r w:rsidRPr="006F1229">
        <w:rPr>
          <w:sz w:val="22"/>
          <w:szCs w:val="22"/>
        </w:rPr>
        <w:t>ANDEG</w:t>
      </w:r>
      <w:bookmarkEnd w:id="493"/>
    </w:p>
    <w:p w14:paraId="7650CC39" w14:textId="0BF7FDB5" w:rsidR="00371CB5" w:rsidRPr="00745C96" w:rsidRDefault="0049629E" w:rsidP="00371CB5">
      <w:pPr>
        <w:rPr>
          <w:rFonts w:cs="Arial"/>
          <w:i/>
          <w:iCs/>
          <w:sz w:val="22"/>
          <w:szCs w:val="22"/>
        </w:rPr>
      </w:pPr>
      <w:r>
        <w:rPr>
          <w:rFonts w:cs="Arial"/>
          <w:i/>
          <w:iCs/>
          <w:sz w:val="22"/>
          <w:szCs w:val="22"/>
        </w:rPr>
        <w:t>“</w:t>
      </w:r>
      <w:r w:rsidR="00371CB5" w:rsidRPr="00745C96">
        <w:rPr>
          <w:rFonts w:cs="Arial"/>
          <w:i/>
          <w:iCs/>
          <w:sz w:val="22"/>
          <w:szCs w:val="22"/>
        </w:rPr>
        <w:t xml:space="preserve">Al no permitir la participación de la generación térmica en el MADE, se estaría reduciendo aún más el mercado de gas natural en Colombia en cerca del 40% en la medida en que la generación térmica, a 2022, representa cerca del 30% de las cantidades contratadas en el mercado primario de gas natural (Gráfica 2), a través de productos que responden al perfil de consumo de la demanda térmica de gas natural (Grafica 3), y en consecuencia, también se afectaría el mercado secundario de gas, en donde los agentes térmicos participan con cerca del 50% (Gráfica 4). A todas luces, la propuesta regulatoria contenida en la Resolución CREG 226 de 2021 contraería el mercado de gas, </w:t>
      </w:r>
      <w:proofErr w:type="gramStart"/>
      <w:r w:rsidR="00371CB5" w:rsidRPr="00745C96">
        <w:rPr>
          <w:rFonts w:cs="Arial"/>
          <w:i/>
          <w:iCs/>
          <w:sz w:val="22"/>
          <w:szCs w:val="22"/>
        </w:rPr>
        <w:t>y</w:t>
      </w:r>
      <w:proofErr w:type="gramEnd"/>
      <w:r w:rsidR="00371CB5" w:rsidRPr="00745C96">
        <w:rPr>
          <w:rFonts w:cs="Arial"/>
          <w:i/>
          <w:iCs/>
          <w:sz w:val="22"/>
          <w:szCs w:val="22"/>
        </w:rPr>
        <w:t xml:space="preserve"> por ende, la liquidez en las transacciones.</w:t>
      </w:r>
      <w:r>
        <w:rPr>
          <w:rFonts w:cs="Arial"/>
          <w:i/>
          <w:iCs/>
          <w:sz w:val="22"/>
          <w:szCs w:val="22"/>
        </w:rPr>
        <w:t>”</w:t>
      </w:r>
    </w:p>
    <w:p w14:paraId="41388DF8" w14:textId="1F206267" w:rsidR="00A11781" w:rsidRDefault="00A11781" w:rsidP="00371CB5">
      <w:pPr>
        <w:rPr>
          <w:rFonts w:cs="Arial"/>
          <w:b/>
          <w:bCs/>
          <w:sz w:val="22"/>
          <w:szCs w:val="22"/>
        </w:rPr>
      </w:pPr>
    </w:p>
    <w:p w14:paraId="386BDCAA" w14:textId="498B3E20" w:rsidR="00745C96" w:rsidRDefault="00745C96" w:rsidP="00371CB5">
      <w:pPr>
        <w:rPr>
          <w:rFonts w:cs="Arial"/>
          <w:b/>
          <w:bCs/>
          <w:sz w:val="22"/>
          <w:szCs w:val="22"/>
        </w:rPr>
      </w:pPr>
      <w:r>
        <w:rPr>
          <w:rFonts w:cs="Arial"/>
          <w:b/>
          <w:bCs/>
          <w:sz w:val="22"/>
          <w:szCs w:val="22"/>
        </w:rPr>
        <w:t>Respuesta:</w:t>
      </w:r>
    </w:p>
    <w:p w14:paraId="7DDB2757" w14:textId="5B812D04" w:rsidR="00745C96" w:rsidRDefault="00745C96" w:rsidP="00371CB5">
      <w:pPr>
        <w:rPr>
          <w:rFonts w:cs="Arial"/>
          <w:b/>
          <w:bCs/>
          <w:sz w:val="22"/>
          <w:szCs w:val="22"/>
        </w:rPr>
      </w:pPr>
    </w:p>
    <w:p w14:paraId="61D765BF" w14:textId="0CE4C843" w:rsidR="00640789" w:rsidRDefault="00640789" w:rsidP="00371CB5">
      <w:pPr>
        <w:rPr>
          <w:rFonts w:cs="Arial"/>
          <w:sz w:val="22"/>
          <w:szCs w:val="22"/>
        </w:rPr>
      </w:pPr>
      <w:r w:rsidRPr="00640789">
        <w:rPr>
          <w:rFonts w:cs="Arial"/>
          <w:sz w:val="22"/>
          <w:szCs w:val="22"/>
        </w:rPr>
        <w:t>Derivado de lo que se explica en la respuesta a 1.2.1.5</w:t>
      </w:r>
      <w:r>
        <w:rPr>
          <w:rFonts w:cs="Arial"/>
          <w:sz w:val="22"/>
          <w:szCs w:val="22"/>
        </w:rPr>
        <w:t>,</w:t>
      </w:r>
      <w:r w:rsidRPr="00640789">
        <w:rPr>
          <w:rFonts w:cs="Arial"/>
          <w:sz w:val="22"/>
          <w:szCs w:val="22"/>
        </w:rPr>
        <w:t xml:space="preserve"> si </w:t>
      </w:r>
      <w:r>
        <w:rPr>
          <w:rFonts w:cs="Arial"/>
          <w:sz w:val="22"/>
          <w:szCs w:val="22"/>
        </w:rPr>
        <w:t xml:space="preserve">se presenta una reducción de la participación de cualquier tipo de demanda en la contratación del suministro de gas natural, sobre todo en órdenes de magnitud del 40% se haría evidente la ocurrencia de balances comerciales superavitarios que reflejarían una mayor disponibilidad de gas natural, lo que llevaría a un efecto en precios de mercado posiblemente, y, por tanto a un mayor uso del gas natural por parte de los demás tipos de la demanda. Es por ello </w:t>
      </w:r>
      <w:proofErr w:type="gramStart"/>
      <w:r>
        <w:rPr>
          <w:rFonts w:cs="Arial"/>
          <w:sz w:val="22"/>
          <w:szCs w:val="22"/>
        </w:rPr>
        <w:t>que</w:t>
      </w:r>
      <w:proofErr w:type="gramEnd"/>
      <w:r>
        <w:rPr>
          <w:rFonts w:cs="Arial"/>
          <w:sz w:val="22"/>
          <w:szCs w:val="22"/>
        </w:rPr>
        <w:t xml:space="preserve"> la periodicidad trimestral de los balances comerciales busca evidenciar la dinámica de la demanda, de manera más pronta a la totalidad de los agentes del mercado, para que las decisiones de corto y mediano plazo se reequilibren continuamente y llevan a mayor eficiencia en las negociaciones.</w:t>
      </w:r>
      <w:r w:rsidR="00A365DE">
        <w:rPr>
          <w:rFonts w:cs="Arial"/>
          <w:sz w:val="22"/>
          <w:szCs w:val="22"/>
        </w:rPr>
        <w:t xml:space="preserve"> Si el mercado se contrae, por tanto, deberá ser en razón a la disminución de la oferta y no por la aplicación del MADE. </w:t>
      </w:r>
      <w:r>
        <w:rPr>
          <w:rFonts w:cs="Arial"/>
          <w:sz w:val="22"/>
          <w:szCs w:val="22"/>
        </w:rPr>
        <w:t xml:space="preserve"> </w:t>
      </w:r>
    </w:p>
    <w:p w14:paraId="3FE35ABA" w14:textId="254B5C58" w:rsidR="00534B73" w:rsidRDefault="00534B73" w:rsidP="00371CB5">
      <w:pPr>
        <w:rPr>
          <w:rFonts w:cs="Arial"/>
          <w:sz w:val="22"/>
          <w:szCs w:val="22"/>
        </w:rPr>
      </w:pPr>
    </w:p>
    <w:p w14:paraId="57227296" w14:textId="5F92BD6E" w:rsidR="004F3AB5" w:rsidRDefault="004F3AB5" w:rsidP="00371CB5">
      <w:pPr>
        <w:rPr>
          <w:rFonts w:cs="Arial"/>
          <w:sz w:val="22"/>
          <w:szCs w:val="22"/>
        </w:rPr>
      </w:pPr>
    </w:p>
    <w:p w14:paraId="277BC4B7" w14:textId="6691053A" w:rsidR="00911724" w:rsidRPr="00911724" w:rsidRDefault="00911724" w:rsidP="00911724">
      <w:pPr>
        <w:pStyle w:val="Descripcin"/>
        <w:keepNext/>
        <w:jc w:val="center"/>
        <w:rPr>
          <w:i w:val="0"/>
          <w:iCs w:val="0"/>
          <w:sz w:val="22"/>
          <w:szCs w:val="22"/>
        </w:rPr>
      </w:pPr>
      <w:bookmarkStart w:id="494" w:name="_Ref129698367"/>
      <w:bookmarkStart w:id="495" w:name="_Toc140506629"/>
      <w:r w:rsidRPr="00911724">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36</w:t>
      </w:r>
      <w:r w:rsidR="006B6B6C">
        <w:rPr>
          <w:i w:val="0"/>
          <w:iCs w:val="0"/>
          <w:sz w:val="22"/>
          <w:szCs w:val="22"/>
        </w:rPr>
        <w:fldChar w:fldCharType="end"/>
      </w:r>
      <w:bookmarkEnd w:id="494"/>
      <w:r w:rsidRPr="00911724">
        <w:rPr>
          <w:i w:val="0"/>
          <w:iCs w:val="0"/>
          <w:sz w:val="22"/>
          <w:szCs w:val="22"/>
        </w:rPr>
        <w:t xml:space="preserve"> Participación en contratación del Mercado Primario a diciembre 2022 del sector térmico</w:t>
      </w:r>
      <w:bookmarkEnd w:id="495"/>
    </w:p>
    <w:p w14:paraId="1B7A161B" w14:textId="03EC69D3" w:rsidR="004F3AB5" w:rsidRDefault="004F3AB5" w:rsidP="004F3AB5">
      <w:pPr>
        <w:jc w:val="center"/>
        <w:rPr>
          <w:rFonts w:cs="Arial"/>
          <w:sz w:val="22"/>
          <w:szCs w:val="22"/>
        </w:rPr>
      </w:pPr>
      <w:r w:rsidRPr="00B905E2">
        <w:rPr>
          <w:noProof/>
        </w:rPr>
        <w:drawing>
          <wp:inline distT="0" distB="0" distL="0" distR="0" wp14:anchorId="5875FCF3" wp14:editId="410CDBD6">
            <wp:extent cx="5311253" cy="3186753"/>
            <wp:effectExtent l="0" t="0" r="3810" b="0"/>
            <wp:docPr id="17" name="Imagen 17" descr="Interfaz de usuario gráfica, 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Gráfico, Gráfico de líneas&#10;&#10;Descripción generada automáticamente"/>
                    <pic:cNvPicPr/>
                  </pic:nvPicPr>
                  <pic:blipFill>
                    <a:blip r:embed="rId59"/>
                    <a:stretch>
                      <a:fillRect/>
                    </a:stretch>
                  </pic:blipFill>
                  <pic:spPr>
                    <a:xfrm>
                      <a:off x="0" y="0"/>
                      <a:ext cx="5333690" cy="3200215"/>
                    </a:xfrm>
                    <a:prstGeom prst="rect">
                      <a:avLst/>
                    </a:prstGeom>
                  </pic:spPr>
                </pic:pic>
              </a:graphicData>
            </a:graphic>
          </wp:inline>
        </w:drawing>
      </w:r>
    </w:p>
    <w:p w14:paraId="1FA4660C" w14:textId="00EB9C27" w:rsidR="00D36778" w:rsidRDefault="00D36778" w:rsidP="004F3AB5">
      <w:pPr>
        <w:jc w:val="center"/>
        <w:rPr>
          <w:rFonts w:cs="Arial"/>
          <w:sz w:val="22"/>
          <w:szCs w:val="22"/>
        </w:rPr>
      </w:pPr>
    </w:p>
    <w:p w14:paraId="3DB0E904" w14:textId="1EE5A2E5" w:rsidR="00D36778" w:rsidRDefault="00D36778" w:rsidP="00D36778">
      <w:pPr>
        <w:rPr>
          <w:rFonts w:cs="Arial"/>
          <w:sz w:val="22"/>
          <w:szCs w:val="22"/>
        </w:rPr>
      </w:pPr>
      <w:r>
        <w:rPr>
          <w:rFonts w:cs="Arial"/>
          <w:sz w:val="22"/>
          <w:szCs w:val="22"/>
        </w:rPr>
        <w:t xml:space="preserve">En la </w:t>
      </w:r>
      <w:r w:rsidR="00911724">
        <w:rPr>
          <w:rFonts w:cs="Arial"/>
          <w:sz w:val="22"/>
          <w:szCs w:val="22"/>
        </w:rPr>
        <w:fldChar w:fldCharType="begin"/>
      </w:r>
      <w:r w:rsidR="00911724">
        <w:rPr>
          <w:rFonts w:cs="Arial"/>
          <w:sz w:val="22"/>
          <w:szCs w:val="22"/>
        </w:rPr>
        <w:instrText xml:space="preserve"> REF _Ref129698367 \h </w:instrText>
      </w:r>
      <w:r w:rsidR="00911724">
        <w:rPr>
          <w:rFonts w:cs="Arial"/>
          <w:sz w:val="22"/>
          <w:szCs w:val="22"/>
        </w:rPr>
      </w:r>
      <w:r w:rsidR="00911724">
        <w:rPr>
          <w:rFonts w:cs="Arial"/>
          <w:sz w:val="22"/>
          <w:szCs w:val="22"/>
        </w:rPr>
        <w:fldChar w:fldCharType="separate"/>
      </w:r>
      <w:r w:rsidR="007651EA" w:rsidRPr="00911724">
        <w:rPr>
          <w:sz w:val="22"/>
          <w:szCs w:val="22"/>
        </w:rPr>
        <w:t xml:space="preserve">Figura </w:t>
      </w:r>
      <w:r w:rsidR="007651EA">
        <w:rPr>
          <w:i/>
          <w:iCs/>
          <w:noProof/>
          <w:sz w:val="22"/>
          <w:szCs w:val="22"/>
        </w:rPr>
        <w:t>24</w:t>
      </w:r>
      <w:r w:rsidR="00911724">
        <w:rPr>
          <w:rFonts w:cs="Arial"/>
          <w:sz w:val="22"/>
          <w:szCs w:val="22"/>
        </w:rPr>
        <w:fldChar w:fldCharType="end"/>
      </w:r>
      <w:r w:rsidR="00911724">
        <w:rPr>
          <w:rFonts w:cs="Arial"/>
          <w:sz w:val="22"/>
          <w:szCs w:val="22"/>
        </w:rPr>
        <w:t xml:space="preserve"> </w:t>
      </w:r>
      <w:r>
        <w:rPr>
          <w:rFonts w:cs="Arial"/>
          <w:sz w:val="22"/>
          <w:szCs w:val="22"/>
        </w:rPr>
        <w:t xml:space="preserve">anterior se evidencia la participación del sector térmico en la contratación del Mercado Primario, tanto en contratos con interrupciones como en contratos con garantía de firmeza, dentro de los cuales se incluyen los registrados ante el </w:t>
      </w:r>
      <w:r w:rsidR="005114C6">
        <w:rPr>
          <w:rFonts w:cs="Arial"/>
          <w:sz w:val="22"/>
          <w:szCs w:val="22"/>
        </w:rPr>
        <w:t>Gestor del Mercado</w:t>
      </w:r>
      <w:r>
        <w:rPr>
          <w:rFonts w:cs="Arial"/>
          <w:sz w:val="22"/>
          <w:szCs w:val="22"/>
        </w:rPr>
        <w:t xml:space="preserve"> con la modalidad “Otras”. Como se mencionó anteriormente al inicio del presente documento, en la modalidad “Otras” puede haber cantidades que realmente son interrumpibles y/o duplicación de cantidades, </w:t>
      </w:r>
      <w:proofErr w:type="gramStart"/>
      <w:r>
        <w:rPr>
          <w:rFonts w:cs="Arial"/>
          <w:sz w:val="22"/>
          <w:szCs w:val="22"/>
        </w:rPr>
        <w:t>pues</w:t>
      </w:r>
      <w:proofErr w:type="gramEnd"/>
      <w:r>
        <w:rPr>
          <w:rFonts w:cs="Arial"/>
          <w:sz w:val="22"/>
          <w:szCs w:val="22"/>
        </w:rPr>
        <w:t xml:space="preserve"> por ejemplo, ocurren casos en que se registran dos contratos, uno que realmente corresponde a la modalidad OCG y otro, que es complementario para el mismo campo, que realmente corresponde a la modalidad CFC.</w:t>
      </w:r>
    </w:p>
    <w:p w14:paraId="7FA2A8C6" w14:textId="1E31B9C1" w:rsidR="00D36778" w:rsidRDefault="00D36778" w:rsidP="00D36778">
      <w:pPr>
        <w:rPr>
          <w:rFonts w:cs="Arial"/>
          <w:sz w:val="22"/>
          <w:szCs w:val="22"/>
        </w:rPr>
      </w:pPr>
    </w:p>
    <w:p w14:paraId="1ADCDB1D" w14:textId="06D47D03" w:rsidR="00D36778" w:rsidRDefault="00D36778" w:rsidP="00D36778">
      <w:pPr>
        <w:rPr>
          <w:rFonts w:cs="Arial"/>
          <w:sz w:val="22"/>
          <w:szCs w:val="22"/>
        </w:rPr>
      </w:pPr>
      <w:r>
        <w:rPr>
          <w:rFonts w:cs="Arial"/>
          <w:sz w:val="22"/>
          <w:szCs w:val="22"/>
        </w:rPr>
        <w:t xml:space="preserve">La siguiente </w:t>
      </w:r>
      <w:r w:rsidR="009A069F">
        <w:rPr>
          <w:rFonts w:cs="Arial"/>
          <w:sz w:val="22"/>
          <w:szCs w:val="22"/>
        </w:rPr>
        <w:fldChar w:fldCharType="begin"/>
      </w:r>
      <w:r w:rsidR="009A069F">
        <w:rPr>
          <w:rFonts w:cs="Arial"/>
          <w:sz w:val="22"/>
          <w:szCs w:val="22"/>
        </w:rPr>
        <w:instrText xml:space="preserve"> REF _Ref130285420 \h </w:instrText>
      </w:r>
      <w:r w:rsidR="009A069F">
        <w:rPr>
          <w:rFonts w:cs="Arial"/>
          <w:sz w:val="22"/>
          <w:szCs w:val="22"/>
        </w:rPr>
      </w:r>
      <w:r w:rsidR="009A069F">
        <w:rPr>
          <w:rFonts w:cs="Arial"/>
          <w:sz w:val="22"/>
          <w:szCs w:val="22"/>
        </w:rPr>
        <w:fldChar w:fldCharType="separate"/>
      </w:r>
      <w:r w:rsidR="007651EA" w:rsidRPr="009A069F">
        <w:rPr>
          <w:sz w:val="22"/>
          <w:szCs w:val="22"/>
        </w:rPr>
        <w:t xml:space="preserve">Figura </w:t>
      </w:r>
      <w:r w:rsidR="007651EA">
        <w:rPr>
          <w:i/>
          <w:iCs/>
          <w:noProof/>
          <w:sz w:val="22"/>
          <w:szCs w:val="22"/>
        </w:rPr>
        <w:t>25</w:t>
      </w:r>
      <w:r w:rsidR="009A069F">
        <w:rPr>
          <w:rFonts w:cs="Arial"/>
          <w:sz w:val="22"/>
          <w:szCs w:val="22"/>
        </w:rPr>
        <w:fldChar w:fldCharType="end"/>
      </w:r>
      <w:r w:rsidR="009A069F">
        <w:rPr>
          <w:rFonts w:cs="Arial"/>
          <w:sz w:val="22"/>
          <w:szCs w:val="22"/>
        </w:rPr>
        <w:t xml:space="preserve"> </w:t>
      </w:r>
      <w:r>
        <w:rPr>
          <w:rFonts w:cs="Arial"/>
          <w:sz w:val="22"/>
          <w:szCs w:val="22"/>
        </w:rPr>
        <w:t>se muestran los valores absolutos de las cantidades contratadas en el Mercado Primario por el sector térmico.</w:t>
      </w:r>
      <w:r w:rsidR="009A069F">
        <w:rPr>
          <w:rFonts w:cs="Arial"/>
          <w:sz w:val="22"/>
          <w:szCs w:val="22"/>
        </w:rPr>
        <w:t xml:space="preserve"> Es de tener en cuenta que no existe la modalidad de contratación “Otras” sino que se tratan de contrataciones registradas por la utilización de las excepciones del parágrafo del Artículo 20 de la Resolución CREG 186 de 2020, cuando realmente se tratan de contratos del tipo firme, con interrupciones o mixto. </w:t>
      </w:r>
    </w:p>
    <w:p w14:paraId="74AFE479" w14:textId="77777777" w:rsidR="00D36778" w:rsidRDefault="00D36778" w:rsidP="00D36778">
      <w:pPr>
        <w:rPr>
          <w:rFonts w:cs="Arial"/>
          <w:sz w:val="22"/>
          <w:szCs w:val="22"/>
        </w:rPr>
      </w:pPr>
    </w:p>
    <w:p w14:paraId="69D223B6" w14:textId="77777777" w:rsidR="00D36778" w:rsidRDefault="00D36778" w:rsidP="004F3AB5">
      <w:pPr>
        <w:jc w:val="center"/>
        <w:rPr>
          <w:rFonts w:cs="Arial"/>
          <w:sz w:val="22"/>
          <w:szCs w:val="22"/>
        </w:rPr>
      </w:pPr>
    </w:p>
    <w:p w14:paraId="309BD397" w14:textId="22C04820" w:rsidR="009A069F" w:rsidRPr="009A069F" w:rsidRDefault="009A069F" w:rsidP="009A069F">
      <w:pPr>
        <w:pStyle w:val="Descripcin"/>
        <w:keepNext/>
        <w:jc w:val="center"/>
        <w:rPr>
          <w:i w:val="0"/>
          <w:iCs w:val="0"/>
          <w:sz w:val="22"/>
          <w:szCs w:val="22"/>
        </w:rPr>
      </w:pPr>
      <w:bookmarkStart w:id="496" w:name="_Ref130285420"/>
      <w:bookmarkStart w:id="497" w:name="_Toc140506630"/>
      <w:r w:rsidRPr="009A069F">
        <w:rPr>
          <w:i w:val="0"/>
          <w:iCs w:val="0"/>
          <w:sz w:val="22"/>
          <w:szCs w:val="22"/>
        </w:rPr>
        <w:t xml:space="preserve">Figura </w:t>
      </w:r>
      <w:r w:rsidR="006B6B6C">
        <w:rPr>
          <w:i w:val="0"/>
          <w:iCs w:val="0"/>
          <w:sz w:val="22"/>
          <w:szCs w:val="22"/>
        </w:rPr>
        <w:fldChar w:fldCharType="begin"/>
      </w:r>
      <w:r w:rsidR="006B6B6C">
        <w:rPr>
          <w:i w:val="0"/>
          <w:iCs w:val="0"/>
          <w:sz w:val="22"/>
          <w:szCs w:val="22"/>
        </w:rPr>
        <w:instrText xml:space="preserve"> SEQ Figura \* ARABIC </w:instrText>
      </w:r>
      <w:r w:rsidR="006B6B6C">
        <w:rPr>
          <w:i w:val="0"/>
          <w:iCs w:val="0"/>
          <w:sz w:val="22"/>
          <w:szCs w:val="22"/>
        </w:rPr>
        <w:fldChar w:fldCharType="separate"/>
      </w:r>
      <w:r w:rsidR="006B5CAC">
        <w:rPr>
          <w:i w:val="0"/>
          <w:iCs w:val="0"/>
          <w:noProof/>
          <w:sz w:val="22"/>
          <w:szCs w:val="22"/>
        </w:rPr>
        <w:t>37</w:t>
      </w:r>
      <w:r w:rsidR="006B6B6C">
        <w:rPr>
          <w:i w:val="0"/>
          <w:iCs w:val="0"/>
          <w:sz w:val="22"/>
          <w:szCs w:val="22"/>
        </w:rPr>
        <w:fldChar w:fldCharType="end"/>
      </w:r>
      <w:bookmarkEnd w:id="496"/>
      <w:r w:rsidRPr="009A069F">
        <w:rPr>
          <w:i w:val="0"/>
          <w:iCs w:val="0"/>
          <w:sz w:val="22"/>
          <w:szCs w:val="22"/>
        </w:rPr>
        <w:t xml:space="preserve"> Cantidades contratadas en el Mercado Primario a diciembre 2022 del sector térmico</w:t>
      </w:r>
      <w:bookmarkEnd w:id="497"/>
    </w:p>
    <w:p w14:paraId="0AD6C2E4" w14:textId="77777777" w:rsidR="009A069F" w:rsidRPr="005E3006" w:rsidRDefault="009A069F" w:rsidP="005E3006">
      <w:pPr>
        <w:jc w:val="center"/>
      </w:pPr>
      <w:r w:rsidRPr="009A069F">
        <w:rPr>
          <w:noProof/>
        </w:rPr>
        <w:drawing>
          <wp:inline distT="0" distB="0" distL="0" distR="0" wp14:anchorId="4BA32C3C" wp14:editId="3878C767">
            <wp:extent cx="5603326" cy="3366655"/>
            <wp:effectExtent l="0" t="0" r="0" b="5715"/>
            <wp:docPr id="12"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pic:cNvPicPr/>
                  </pic:nvPicPr>
                  <pic:blipFill>
                    <a:blip r:embed="rId60"/>
                    <a:stretch>
                      <a:fillRect/>
                    </a:stretch>
                  </pic:blipFill>
                  <pic:spPr>
                    <a:xfrm>
                      <a:off x="0" y="0"/>
                      <a:ext cx="5626318" cy="3380469"/>
                    </a:xfrm>
                    <a:prstGeom prst="rect">
                      <a:avLst/>
                    </a:prstGeom>
                  </pic:spPr>
                </pic:pic>
              </a:graphicData>
            </a:graphic>
          </wp:inline>
        </w:drawing>
      </w:r>
    </w:p>
    <w:p w14:paraId="4245531E" w14:textId="7A3F7EB2" w:rsidR="004F3AB5" w:rsidRDefault="004F3AB5" w:rsidP="00534B73">
      <w:pPr>
        <w:rPr>
          <w:rFonts w:cs="Arial"/>
          <w:sz w:val="22"/>
          <w:szCs w:val="22"/>
        </w:rPr>
      </w:pPr>
    </w:p>
    <w:p w14:paraId="70EC703E" w14:textId="4D504A10" w:rsidR="005E3006" w:rsidRDefault="005E3006" w:rsidP="00534B73">
      <w:pPr>
        <w:rPr>
          <w:rFonts w:cs="Arial"/>
          <w:sz w:val="22"/>
          <w:szCs w:val="22"/>
        </w:rPr>
      </w:pPr>
      <w:r>
        <w:rPr>
          <w:rFonts w:cs="Arial"/>
          <w:sz w:val="22"/>
          <w:szCs w:val="22"/>
        </w:rPr>
        <w:t xml:space="preserve">Una de las razones de las propuestas que se presentan consiste en disminuir la “informalidad” que puede existir actualmente en la autorización de nominaciones de contratos con interrupciones, que como se observa, son parte importante de las cantidades contratadas por el sector térmico en el Mercado Primario. Es por ello </w:t>
      </w:r>
      <w:proofErr w:type="gramStart"/>
      <w:r>
        <w:rPr>
          <w:rFonts w:cs="Arial"/>
          <w:sz w:val="22"/>
          <w:szCs w:val="22"/>
        </w:rPr>
        <w:t>que</w:t>
      </w:r>
      <w:proofErr w:type="gramEnd"/>
      <w:r>
        <w:rPr>
          <w:rFonts w:cs="Arial"/>
          <w:sz w:val="22"/>
          <w:szCs w:val="22"/>
        </w:rPr>
        <w:t xml:space="preserve"> se propone establecer que los vendedores del Mercado Primario y del Mercado Secundario inclusive, establezcan procedimientos transparentes que le permitan saber con anticipación o que les permitan conocer los criterios a los compradores, con base en los cuales el vendedor en un contrato con interrupciones autorizará la nominación de un comprador bajo esta modalidad contractual.</w:t>
      </w:r>
    </w:p>
    <w:p w14:paraId="693DA693" w14:textId="50932027" w:rsidR="005E3006" w:rsidRDefault="005E3006" w:rsidP="00534B73">
      <w:pPr>
        <w:rPr>
          <w:rFonts w:cs="Arial"/>
          <w:sz w:val="22"/>
          <w:szCs w:val="22"/>
        </w:rPr>
      </w:pPr>
    </w:p>
    <w:p w14:paraId="28DC1495" w14:textId="77777777" w:rsidR="004F3AB5" w:rsidRDefault="004F3AB5" w:rsidP="00534B73">
      <w:pPr>
        <w:rPr>
          <w:rFonts w:cs="Arial"/>
          <w:sz w:val="22"/>
          <w:szCs w:val="22"/>
        </w:rPr>
      </w:pPr>
    </w:p>
    <w:p w14:paraId="53B0519D" w14:textId="77777777" w:rsidR="00A11781" w:rsidRPr="006F1229" w:rsidRDefault="00371CB5" w:rsidP="00A11781">
      <w:pPr>
        <w:pStyle w:val="Ttulo4"/>
        <w:rPr>
          <w:sz w:val="22"/>
          <w:szCs w:val="22"/>
        </w:rPr>
      </w:pPr>
      <w:bookmarkStart w:id="498" w:name="_Ref130286002"/>
      <w:r w:rsidRPr="006F1229">
        <w:rPr>
          <w:sz w:val="22"/>
          <w:szCs w:val="22"/>
        </w:rPr>
        <w:t>ANDEG</w:t>
      </w:r>
      <w:bookmarkEnd w:id="498"/>
      <w:r w:rsidRPr="006F1229">
        <w:rPr>
          <w:sz w:val="22"/>
          <w:szCs w:val="22"/>
        </w:rPr>
        <w:tab/>
      </w:r>
    </w:p>
    <w:p w14:paraId="629F806E" w14:textId="74F81E19" w:rsidR="00371CB5" w:rsidRDefault="00371CB5" w:rsidP="00371CB5">
      <w:pPr>
        <w:rPr>
          <w:rFonts w:cs="Arial"/>
          <w:b/>
          <w:bCs/>
          <w:sz w:val="22"/>
          <w:szCs w:val="22"/>
        </w:rPr>
      </w:pPr>
      <w:r w:rsidRPr="00C92E4A">
        <w:rPr>
          <w:rFonts w:cs="Arial"/>
          <w:i/>
          <w:iCs/>
          <w:sz w:val="22"/>
          <w:szCs w:val="22"/>
        </w:rPr>
        <w:t>"Los planteamientos de la Resolución CREG 226 de 2021 aportan a la consolidación de la posición dominante de los productores-comercializadores, al habilitar a estos agentes para el diseño y aplicación de los mecanismos de comercialización de la producción, los cuales, si bien deben estar vigilados y supervisados por la Superintendencia, podrían generar barreras de acceso a la demanda con lo que se restringiría aún más el mercado de gas natural, al no permitirle a la demanda térmica acceder a productos y cantidades que le permiten dinamizar al mercado secundario de gas.</w:t>
      </w:r>
      <w:r w:rsidRPr="006F1229">
        <w:rPr>
          <w:rFonts w:cs="Arial"/>
          <w:b/>
          <w:bCs/>
          <w:sz w:val="22"/>
          <w:szCs w:val="22"/>
        </w:rPr>
        <w:t>"</w:t>
      </w:r>
    </w:p>
    <w:p w14:paraId="6DA7A7C1" w14:textId="53DB8EEC" w:rsidR="00C92E4A" w:rsidRDefault="00C92E4A" w:rsidP="00371CB5">
      <w:pPr>
        <w:rPr>
          <w:rFonts w:cs="Arial"/>
          <w:b/>
          <w:bCs/>
          <w:sz w:val="22"/>
          <w:szCs w:val="22"/>
        </w:rPr>
      </w:pPr>
    </w:p>
    <w:p w14:paraId="2906DEA9" w14:textId="18695CB9" w:rsidR="00C92E4A" w:rsidRDefault="00C92E4A" w:rsidP="00371CB5">
      <w:pPr>
        <w:rPr>
          <w:rFonts w:cs="Arial"/>
          <w:b/>
          <w:bCs/>
          <w:sz w:val="22"/>
          <w:szCs w:val="22"/>
        </w:rPr>
      </w:pPr>
      <w:r>
        <w:rPr>
          <w:rFonts w:cs="Arial"/>
          <w:b/>
          <w:bCs/>
          <w:sz w:val="22"/>
          <w:szCs w:val="22"/>
        </w:rPr>
        <w:t>Respuesta:</w:t>
      </w:r>
    </w:p>
    <w:p w14:paraId="1D16ECD7" w14:textId="1388C076" w:rsidR="00C92E4A" w:rsidRDefault="00C92E4A" w:rsidP="00371CB5">
      <w:pPr>
        <w:rPr>
          <w:rFonts w:cs="Arial"/>
          <w:b/>
          <w:bCs/>
          <w:sz w:val="22"/>
          <w:szCs w:val="22"/>
        </w:rPr>
      </w:pPr>
    </w:p>
    <w:p w14:paraId="146A670C" w14:textId="718056D3" w:rsidR="00863F50" w:rsidRDefault="00C92E4A" w:rsidP="00371CB5">
      <w:pPr>
        <w:rPr>
          <w:rFonts w:cs="Arial"/>
          <w:sz w:val="22"/>
          <w:szCs w:val="22"/>
        </w:rPr>
      </w:pPr>
      <w:r w:rsidRPr="00C92E4A">
        <w:rPr>
          <w:rFonts w:cs="Arial"/>
          <w:sz w:val="22"/>
          <w:szCs w:val="22"/>
        </w:rPr>
        <w:t xml:space="preserve">La posición dominante de un agente no surge </w:t>
      </w:r>
      <w:r>
        <w:rPr>
          <w:rFonts w:cs="Arial"/>
          <w:sz w:val="22"/>
          <w:szCs w:val="22"/>
        </w:rPr>
        <w:t xml:space="preserve">necesariamente </w:t>
      </w:r>
      <w:r w:rsidRPr="00C92E4A">
        <w:rPr>
          <w:rFonts w:cs="Arial"/>
          <w:sz w:val="22"/>
          <w:szCs w:val="22"/>
        </w:rPr>
        <w:t xml:space="preserve">por </w:t>
      </w:r>
      <w:r>
        <w:rPr>
          <w:rFonts w:cs="Arial"/>
          <w:sz w:val="22"/>
          <w:szCs w:val="22"/>
        </w:rPr>
        <w:t xml:space="preserve">las </w:t>
      </w:r>
      <w:r w:rsidRPr="00C92E4A">
        <w:rPr>
          <w:rFonts w:cs="Arial"/>
          <w:sz w:val="22"/>
          <w:szCs w:val="22"/>
        </w:rPr>
        <w:t xml:space="preserve">actuaciones de la regulación </w:t>
      </w:r>
      <w:r>
        <w:rPr>
          <w:rFonts w:cs="Arial"/>
          <w:sz w:val="22"/>
          <w:szCs w:val="22"/>
        </w:rPr>
        <w:t xml:space="preserve">en </w:t>
      </w:r>
      <w:r w:rsidRPr="00C92E4A">
        <w:rPr>
          <w:rFonts w:cs="Arial"/>
          <w:sz w:val="22"/>
          <w:szCs w:val="22"/>
        </w:rPr>
        <w:t>el mercado</w:t>
      </w:r>
      <w:r w:rsidR="00BB7FDC">
        <w:rPr>
          <w:rFonts w:cs="Arial"/>
          <w:sz w:val="22"/>
          <w:szCs w:val="22"/>
        </w:rPr>
        <w:t>,</w:t>
      </w:r>
      <w:r w:rsidRPr="00C92E4A">
        <w:rPr>
          <w:rFonts w:cs="Arial"/>
          <w:sz w:val="22"/>
          <w:szCs w:val="22"/>
        </w:rPr>
        <w:t xml:space="preserve"> sino</w:t>
      </w:r>
      <w:r w:rsidR="00BB7FDC">
        <w:rPr>
          <w:rFonts w:cs="Arial"/>
          <w:sz w:val="22"/>
          <w:szCs w:val="22"/>
        </w:rPr>
        <w:t xml:space="preserve"> también y con mayor influencia,</w:t>
      </w:r>
      <w:r w:rsidRPr="00C92E4A">
        <w:rPr>
          <w:rFonts w:cs="Arial"/>
          <w:sz w:val="22"/>
          <w:szCs w:val="22"/>
        </w:rPr>
        <w:t xml:space="preserve"> por las condiciones </w:t>
      </w:r>
      <w:r>
        <w:rPr>
          <w:rFonts w:cs="Arial"/>
          <w:sz w:val="22"/>
          <w:szCs w:val="22"/>
        </w:rPr>
        <w:t>de participación y de competencia del mercado</w:t>
      </w:r>
      <w:r w:rsidRPr="00C92E4A">
        <w:rPr>
          <w:rFonts w:cs="Arial"/>
          <w:sz w:val="22"/>
          <w:szCs w:val="22"/>
        </w:rPr>
        <w:t xml:space="preserve"> que se regula</w:t>
      </w:r>
      <w:r>
        <w:rPr>
          <w:rFonts w:cs="Arial"/>
          <w:sz w:val="22"/>
          <w:szCs w:val="22"/>
        </w:rPr>
        <w:t>, las condiciones de la</w:t>
      </w:r>
      <w:r w:rsidR="00F6110E">
        <w:rPr>
          <w:rFonts w:cs="Arial"/>
          <w:sz w:val="22"/>
          <w:szCs w:val="22"/>
        </w:rPr>
        <w:t>s</w:t>
      </w:r>
      <w:r>
        <w:rPr>
          <w:rFonts w:cs="Arial"/>
          <w:sz w:val="22"/>
          <w:szCs w:val="22"/>
        </w:rPr>
        <w:t xml:space="preserve"> infraestructuras de transporte (</w:t>
      </w:r>
      <w:proofErr w:type="spellStart"/>
      <w:r>
        <w:rPr>
          <w:rFonts w:cs="Arial"/>
          <w:sz w:val="22"/>
          <w:szCs w:val="22"/>
        </w:rPr>
        <w:t>radialidad</w:t>
      </w:r>
      <w:proofErr w:type="spellEnd"/>
      <w:r>
        <w:rPr>
          <w:rFonts w:cs="Arial"/>
          <w:sz w:val="22"/>
          <w:szCs w:val="22"/>
        </w:rPr>
        <w:t>, disponibilidad, capacidad, metodología de remuneración, ubicación de la oferta, ubicación de la demanda, etc.)</w:t>
      </w:r>
      <w:r w:rsidR="00F6110E">
        <w:rPr>
          <w:rFonts w:cs="Arial"/>
          <w:sz w:val="22"/>
          <w:szCs w:val="22"/>
        </w:rPr>
        <w:t xml:space="preserve"> que incluyen las infraestructuras de regasificación</w:t>
      </w:r>
      <w:r w:rsidR="00DC0CCE">
        <w:rPr>
          <w:rFonts w:cs="Arial"/>
          <w:sz w:val="22"/>
          <w:szCs w:val="22"/>
        </w:rPr>
        <w:t xml:space="preserve">. </w:t>
      </w:r>
      <w:r w:rsidR="00BB7FDC">
        <w:rPr>
          <w:rFonts w:cs="Arial"/>
          <w:sz w:val="22"/>
          <w:szCs w:val="22"/>
        </w:rPr>
        <w:t>P</w:t>
      </w:r>
      <w:r w:rsidR="00DC0CCE">
        <w:rPr>
          <w:rFonts w:cs="Arial"/>
          <w:sz w:val="22"/>
          <w:szCs w:val="22"/>
        </w:rPr>
        <w:t>or otro lado, los precios de suministro son libres y no están regulados</w:t>
      </w:r>
      <w:r w:rsidR="00BB7FDC">
        <w:rPr>
          <w:rFonts w:cs="Arial"/>
          <w:sz w:val="22"/>
          <w:szCs w:val="22"/>
        </w:rPr>
        <w:t xml:space="preserve"> actualmente, lo que lleva a que la competencia en la venta no se vea limitada por regulación alguna </w:t>
      </w:r>
      <w:r w:rsidR="0084605E">
        <w:rPr>
          <w:rFonts w:cs="Arial"/>
          <w:sz w:val="22"/>
          <w:szCs w:val="22"/>
        </w:rPr>
        <w:t>q</w:t>
      </w:r>
      <w:r w:rsidR="00BB7FDC">
        <w:rPr>
          <w:rFonts w:cs="Arial"/>
          <w:sz w:val="22"/>
          <w:szCs w:val="22"/>
        </w:rPr>
        <w:t>ue distorsione el mercado en competencia</w:t>
      </w:r>
      <w:r w:rsidR="00DC0CCE">
        <w:rPr>
          <w:rFonts w:cs="Arial"/>
          <w:sz w:val="22"/>
          <w:szCs w:val="22"/>
        </w:rPr>
        <w:t>. Se presupone eso sí</w:t>
      </w:r>
      <w:r w:rsidR="00BB7FDC">
        <w:rPr>
          <w:rFonts w:cs="Arial"/>
          <w:sz w:val="22"/>
          <w:szCs w:val="22"/>
        </w:rPr>
        <w:t>,</w:t>
      </w:r>
      <w:r w:rsidR="00DC0CCE">
        <w:rPr>
          <w:rFonts w:cs="Arial"/>
          <w:sz w:val="22"/>
          <w:szCs w:val="22"/>
        </w:rPr>
        <w:t xml:space="preserve"> que a un productor-comercializador le interesa suscribir contratos firmes para comprometer la totalidad de su producción y no</w:t>
      </w:r>
      <w:r w:rsidR="00BB7FDC">
        <w:rPr>
          <w:rFonts w:cs="Arial"/>
          <w:sz w:val="22"/>
          <w:szCs w:val="22"/>
        </w:rPr>
        <w:t xml:space="preserve"> le interesa</w:t>
      </w:r>
      <w:r w:rsidR="00DC0CCE">
        <w:rPr>
          <w:rFonts w:cs="Arial"/>
          <w:sz w:val="22"/>
          <w:szCs w:val="22"/>
        </w:rPr>
        <w:t xml:space="preserve"> limitar su producción para elevar el precio de la contratación</w:t>
      </w:r>
      <w:r w:rsidR="002158C7">
        <w:rPr>
          <w:rFonts w:cs="Arial"/>
          <w:sz w:val="22"/>
          <w:szCs w:val="22"/>
        </w:rPr>
        <w:t xml:space="preserve"> (ver numeral 2 “</w:t>
      </w:r>
      <w:r w:rsidR="002158C7" w:rsidRPr="002158C7">
        <w:rPr>
          <w:rFonts w:cs="Arial"/>
          <w:i/>
          <w:iCs/>
          <w:sz w:val="22"/>
          <w:szCs w:val="22"/>
        </w:rPr>
        <w:t>Análisis económico</w:t>
      </w:r>
      <w:r w:rsidR="002158C7">
        <w:rPr>
          <w:rFonts w:cs="Arial"/>
          <w:sz w:val="22"/>
          <w:szCs w:val="22"/>
        </w:rPr>
        <w:t>” del documento soporte D-054 de 2012 de la Resolución CREG 097 de 2012</w:t>
      </w:r>
      <w:r w:rsidR="009B48FC">
        <w:rPr>
          <w:rFonts w:cs="Arial"/>
          <w:sz w:val="22"/>
          <w:szCs w:val="22"/>
        </w:rPr>
        <w:t xml:space="preserve"> sobre</w:t>
      </w:r>
      <w:r w:rsidR="009B48FC" w:rsidRPr="000E63CD">
        <w:rPr>
          <w:sz w:val="22"/>
          <w:szCs w:val="22"/>
        </w:rPr>
        <w:t xml:space="preserve"> “</w:t>
      </w:r>
      <w:r w:rsidR="009B48FC" w:rsidRPr="000E63CD">
        <w:rPr>
          <w:i/>
          <w:iCs/>
          <w:sz w:val="22"/>
          <w:szCs w:val="22"/>
        </w:rPr>
        <w:t>REVISIÓN DE LA REGULACIÓN DE GAS NATURAL EN COLOMBIA”</w:t>
      </w:r>
      <w:r w:rsidR="002158C7">
        <w:rPr>
          <w:rFonts w:cs="Arial"/>
          <w:sz w:val="22"/>
          <w:szCs w:val="22"/>
        </w:rPr>
        <w:t>)</w:t>
      </w:r>
      <w:r w:rsidR="00DC0CCE">
        <w:rPr>
          <w:rFonts w:cs="Arial"/>
          <w:sz w:val="22"/>
          <w:szCs w:val="22"/>
        </w:rPr>
        <w:t>.</w:t>
      </w:r>
    </w:p>
    <w:p w14:paraId="065F3438" w14:textId="77777777" w:rsidR="00863F50" w:rsidRDefault="00863F50" w:rsidP="00371CB5">
      <w:pPr>
        <w:rPr>
          <w:rFonts w:cs="Arial"/>
          <w:sz w:val="22"/>
          <w:szCs w:val="22"/>
        </w:rPr>
      </w:pPr>
    </w:p>
    <w:p w14:paraId="004C25DE" w14:textId="7A3DD5DA" w:rsidR="00C92E4A" w:rsidRPr="00C92E4A" w:rsidRDefault="00863F50" w:rsidP="00371CB5">
      <w:pPr>
        <w:rPr>
          <w:rFonts w:cs="Arial"/>
          <w:sz w:val="22"/>
          <w:szCs w:val="22"/>
        </w:rPr>
      </w:pPr>
      <w:r>
        <w:rPr>
          <w:rFonts w:cs="Arial"/>
          <w:sz w:val="22"/>
          <w:szCs w:val="22"/>
        </w:rPr>
        <w:t xml:space="preserve">Ahora bien, se busca incentivar desde la política energética y, por ende, en la regulación CREG, la explotación de nuevas fuentes de suministro, para lo cual se requiere aumentar la flexibilidad de la contratación de </w:t>
      </w:r>
      <w:proofErr w:type="gramStart"/>
      <w:r>
        <w:rPr>
          <w:rFonts w:cs="Arial"/>
          <w:sz w:val="22"/>
          <w:szCs w:val="22"/>
        </w:rPr>
        <w:t>las mismas</w:t>
      </w:r>
      <w:proofErr w:type="gramEnd"/>
      <w:r>
        <w:rPr>
          <w:rFonts w:cs="Arial"/>
          <w:sz w:val="22"/>
          <w:szCs w:val="22"/>
        </w:rPr>
        <w:t xml:space="preserve">, dependiendo de las condiciones de la fuente de suministro y los riesgos de inversión que debe enfrentar. Es por ello </w:t>
      </w:r>
      <w:proofErr w:type="gramStart"/>
      <w:r>
        <w:rPr>
          <w:rFonts w:cs="Arial"/>
          <w:sz w:val="22"/>
          <w:szCs w:val="22"/>
        </w:rPr>
        <w:t>que</w:t>
      </w:r>
      <w:proofErr w:type="gramEnd"/>
      <w:r>
        <w:rPr>
          <w:rFonts w:cs="Arial"/>
          <w:sz w:val="22"/>
          <w:szCs w:val="22"/>
        </w:rPr>
        <w:t xml:space="preserve"> a ciertas fuentes de suministro se les permite establecer sus propios mecanismos de comercialización, pues de no darse dicha flexibilidad la posibilidad de declarar la comercialidad de dichas fuentes se reduce y, por tanto, se reduce la posibilidad de contar con </w:t>
      </w:r>
      <w:r w:rsidR="001825FE">
        <w:rPr>
          <w:rFonts w:cs="Arial"/>
          <w:sz w:val="22"/>
          <w:szCs w:val="22"/>
        </w:rPr>
        <w:t xml:space="preserve">una nueva oferta de </w:t>
      </w:r>
      <w:r>
        <w:rPr>
          <w:rFonts w:cs="Arial"/>
          <w:sz w:val="22"/>
          <w:szCs w:val="22"/>
        </w:rPr>
        <w:t>gas adicional en el mercado mayorista. El hecho es que la flexibilidad para establecer los propios mecanismos de comercialización a ciertas fuentes de suministro logra que surjan en def</w:t>
      </w:r>
      <w:r w:rsidR="00D714F8">
        <w:rPr>
          <w:rFonts w:cs="Arial"/>
          <w:sz w:val="22"/>
          <w:szCs w:val="22"/>
        </w:rPr>
        <w:t>i</w:t>
      </w:r>
      <w:r>
        <w:rPr>
          <w:rFonts w:cs="Arial"/>
          <w:sz w:val="22"/>
          <w:szCs w:val="22"/>
        </w:rPr>
        <w:t>nitiva mayores cantid</w:t>
      </w:r>
      <w:r w:rsidR="00D714F8">
        <w:rPr>
          <w:rFonts w:cs="Arial"/>
          <w:sz w:val="22"/>
          <w:szCs w:val="22"/>
        </w:rPr>
        <w:t>a</w:t>
      </w:r>
      <w:r>
        <w:rPr>
          <w:rFonts w:cs="Arial"/>
          <w:sz w:val="22"/>
          <w:szCs w:val="22"/>
        </w:rPr>
        <w:t>des de ofert</w:t>
      </w:r>
      <w:r w:rsidR="00D714F8">
        <w:rPr>
          <w:rFonts w:cs="Arial"/>
          <w:sz w:val="22"/>
          <w:szCs w:val="22"/>
        </w:rPr>
        <w:t>a</w:t>
      </w:r>
      <w:r>
        <w:rPr>
          <w:rFonts w:cs="Arial"/>
          <w:sz w:val="22"/>
          <w:szCs w:val="22"/>
        </w:rPr>
        <w:t xml:space="preserve"> de gas en el mercado primario, </w:t>
      </w:r>
      <w:r w:rsidR="00D714F8">
        <w:rPr>
          <w:rFonts w:cs="Arial"/>
          <w:sz w:val="22"/>
          <w:szCs w:val="22"/>
        </w:rPr>
        <w:t xml:space="preserve">es decir, todo lo </w:t>
      </w:r>
      <w:proofErr w:type="gramStart"/>
      <w:r w:rsidR="00D714F8">
        <w:rPr>
          <w:rFonts w:cs="Arial"/>
          <w:sz w:val="22"/>
          <w:szCs w:val="22"/>
        </w:rPr>
        <w:t>contrario</w:t>
      </w:r>
      <w:proofErr w:type="gramEnd"/>
      <w:r w:rsidR="00D714F8">
        <w:rPr>
          <w:rFonts w:cs="Arial"/>
          <w:sz w:val="22"/>
          <w:szCs w:val="22"/>
        </w:rPr>
        <w:t xml:space="preserve"> a la restricción de cantidades como se plantea en el comentario analizado.</w:t>
      </w:r>
      <w:r>
        <w:rPr>
          <w:rFonts w:cs="Arial"/>
          <w:sz w:val="22"/>
          <w:szCs w:val="22"/>
        </w:rPr>
        <w:t xml:space="preserve"> </w:t>
      </w:r>
      <w:r w:rsidR="00DC0CCE">
        <w:rPr>
          <w:rFonts w:cs="Arial"/>
          <w:sz w:val="22"/>
          <w:szCs w:val="22"/>
        </w:rPr>
        <w:t xml:space="preserve"> </w:t>
      </w:r>
      <w:r w:rsidR="00C92E4A">
        <w:rPr>
          <w:rFonts w:cs="Arial"/>
          <w:sz w:val="22"/>
          <w:szCs w:val="22"/>
        </w:rPr>
        <w:t xml:space="preserve"> </w:t>
      </w:r>
    </w:p>
    <w:p w14:paraId="2E54D6E0" w14:textId="137A8865" w:rsidR="00A11781" w:rsidRDefault="00A11781" w:rsidP="00371CB5">
      <w:pPr>
        <w:rPr>
          <w:rFonts w:cs="Arial"/>
          <w:b/>
          <w:bCs/>
          <w:sz w:val="22"/>
          <w:szCs w:val="22"/>
        </w:rPr>
      </w:pPr>
    </w:p>
    <w:p w14:paraId="5ECF4296" w14:textId="77777777" w:rsidR="00C92E4A" w:rsidRPr="006F1229" w:rsidRDefault="00C92E4A" w:rsidP="00371CB5">
      <w:pPr>
        <w:rPr>
          <w:rFonts w:cs="Arial"/>
          <w:b/>
          <w:bCs/>
          <w:sz w:val="22"/>
          <w:szCs w:val="22"/>
        </w:rPr>
      </w:pPr>
    </w:p>
    <w:p w14:paraId="09A7C917" w14:textId="77777777" w:rsidR="00A11781" w:rsidRPr="006F1229" w:rsidRDefault="00371CB5" w:rsidP="00A11781">
      <w:pPr>
        <w:pStyle w:val="Ttulo4"/>
        <w:rPr>
          <w:sz w:val="22"/>
          <w:szCs w:val="22"/>
        </w:rPr>
      </w:pPr>
      <w:r w:rsidRPr="006F1229">
        <w:rPr>
          <w:sz w:val="22"/>
          <w:szCs w:val="22"/>
        </w:rPr>
        <w:t>ANDEG</w:t>
      </w:r>
      <w:r w:rsidRPr="006F1229">
        <w:rPr>
          <w:sz w:val="22"/>
          <w:szCs w:val="22"/>
        </w:rPr>
        <w:tab/>
      </w:r>
    </w:p>
    <w:p w14:paraId="1418C2E1" w14:textId="36A8FCBE" w:rsidR="008D5BFA" w:rsidRDefault="00371CB5" w:rsidP="00371CB5">
      <w:pPr>
        <w:rPr>
          <w:rFonts w:cs="Arial"/>
          <w:i/>
          <w:iCs/>
          <w:sz w:val="22"/>
          <w:szCs w:val="22"/>
        </w:rPr>
      </w:pPr>
      <w:r w:rsidRPr="008D5BFA">
        <w:rPr>
          <w:rFonts w:cs="Arial"/>
          <w:i/>
          <w:iCs/>
          <w:sz w:val="22"/>
          <w:szCs w:val="22"/>
        </w:rPr>
        <w:t xml:space="preserve">"Es necesario que por parte de la Comisión y del </w:t>
      </w:r>
      <w:r w:rsidR="005114C6">
        <w:rPr>
          <w:rFonts w:cs="Arial"/>
          <w:i/>
          <w:iCs/>
          <w:sz w:val="22"/>
          <w:szCs w:val="22"/>
        </w:rPr>
        <w:t>Gestor del Mercado</w:t>
      </w:r>
      <w:r w:rsidRPr="008D5BFA">
        <w:rPr>
          <w:rFonts w:cs="Arial"/>
          <w:i/>
          <w:iCs/>
          <w:sz w:val="22"/>
          <w:szCs w:val="22"/>
        </w:rPr>
        <w:t xml:space="preserve"> de gas, se den los espacios de discusión y socialización de la construcción de los balances comerciales trimestrales, al igual que la reglamentación y definición de puntos de referencia de estos, teniendo en consideración el desarrollo de simulaciones del esquema propuesto, acorde a las necesidades y condiciones reales del mercado.</w:t>
      </w:r>
      <w:r w:rsidR="008D5BFA">
        <w:rPr>
          <w:rFonts w:cs="Arial"/>
          <w:i/>
          <w:iCs/>
          <w:sz w:val="22"/>
          <w:szCs w:val="22"/>
        </w:rPr>
        <w:t>”</w:t>
      </w:r>
    </w:p>
    <w:p w14:paraId="2D166E4A" w14:textId="77777777" w:rsidR="008D5BFA" w:rsidRDefault="008D5BFA" w:rsidP="00371CB5">
      <w:pPr>
        <w:rPr>
          <w:rFonts w:cs="Arial"/>
          <w:i/>
          <w:iCs/>
          <w:sz w:val="22"/>
          <w:szCs w:val="22"/>
        </w:rPr>
      </w:pPr>
    </w:p>
    <w:p w14:paraId="32D4E309" w14:textId="77777777" w:rsidR="008D5BFA" w:rsidRPr="008D5BFA" w:rsidRDefault="008D5BFA" w:rsidP="00371CB5">
      <w:pPr>
        <w:rPr>
          <w:rFonts w:cs="Arial"/>
          <w:b/>
          <w:bCs/>
          <w:sz w:val="22"/>
          <w:szCs w:val="22"/>
        </w:rPr>
      </w:pPr>
      <w:r w:rsidRPr="008D5BFA">
        <w:rPr>
          <w:rFonts w:cs="Arial"/>
          <w:b/>
          <w:bCs/>
          <w:sz w:val="22"/>
          <w:szCs w:val="22"/>
        </w:rPr>
        <w:t>Respuesta:</w:t>
      </w:r>
    </w:p>
    <w:p w14:paraId="7D4C3D0C" w14:textId="77777777" w:rsidR="008D5BFA" w:rsidRDefault="008D5BFA" w:rsidP="00371CB5">
      <w:pPr>
        <w:rPr>
          <w:rFonts w:cs="Arial"/>
          <w:i/>
          <w:iCs/>
          <w:sz w:val="22"/>
          <w:szCs w:val="22"/>
        </w:rPr>
      </w:pPr>
    </w:p>
    <w:p w14:paraId="1C0EE384" w14:textId="0FA2E51D" w:rsidR="00371CB5" w:rsidRDefault="008D5BFA" w:rsidP="00371CB5">
      <w:pPr>
        <w:rPr>
          <w:rFonts w:cs="Arial"/>
          <w:sz w:val="22"/>
          <w:szCs w:val="22"/>
        </w:rPr>
      </w:pPr>
      <w:r>
        <w:rPr>
          <w:rFonts w:cs="Arial"/>
          <w:sz w:val="22"/>
          <w:szCs w:val="22"/>
        </w:rPr>
        <w:t>Respecto de espacios de discusión y socialización de la construcción de los balances comerciales, se desarrollarán talleres, así como se realizaron en la propuesta inicial de CREG 226 de 2021, para que los agentes puedan tener la comprensión completa del funcionamiento del esquema. Sin embargo, es en la resolución definitiva en donde se precisa la manera de realizar los balances comerciales, a partir de los comentarios que se reciban de la propuesta de resolución.</w:t>
      </w:r>
    </w:p>
    <w:p w14:paraId="773C4925" w14:textId="5ECF18CF" w:rsidR="008D5BFA" w:rsidRDefault="008D5BFA" w:rsidP="00371CB5">
      <w:pPr>
        <w:rPr>
          <w:rFonts w:cs="Arial"/>
          <w:sz w:val="22"/>
          <w:szCs w:val="22"/>
        </w:rPr>
      </w:pPr>
    </w:p>
    <w:p w14:paraId="49F7AD84" w14:textId="4B553B64" w:rsidR="008D5BFA" w:rsidRDefault="008D5BFA" w:rsidP="00371CB5">
      <w:pPr>
        <w:rPr>
          <w:rFonts w:cs="Arial"/>
          <w:sz w:val="22"/>
          <w:szCs w:val="22"/>
        </w:rPr>
      </w:pPr>
      <w:r>
        <w:rPr>
          <w:rFonts w:cs="Arial"/>
          <w:sz w:val="22"/>
          <w:szCs w:val="22"/>
        </w:rPr>
        <w:t>En cuanto a la definición o determinación de puntos de referencia, este es un proceso evolutivo y continuo. Inicialmente se podrá establecer una cantidad de p</w:t>
      </w:r>
      <w:r w:rsidR="000D0F05">
        <w:rPr>
          <w:rFonts w:cs="Arial"/>
          <w:sz w:val="22"/>
          <w:szCs w:val="22"/>
        </w:rPr>
        <w:t>u</w:t>
      </w:r>
      <w:r>
        <w:rPr>
          <w:rFonts w:cs="Arial"/>
          <w:sz w:val="22"/>
          <w:szCs w:val="22"/>
        </w:rPr>
        <w:t xml:space="preserve">ntos de referencia, que a medida que se implementen los proyectos del Plan de Abastecimiento de Gas Natural deberían irse reduciendo. Sin embargo, en </w:t>
      </w:r>
      <w:r w:rsidR="00C676D0">
        <w:rPr>
          <w:rFonts w:cs="Arial"/>
          <w:sz w:val="22"/>
          <w:szCs w:val="22"/>
        </w:rPr>
        <w:t>la</w:t>
      </w:r>
      <w:r>
        <w:rPr>
          <w:rFonts w:cs="Arial"/>
          <w:sz w:val="22"/>
          <w:szCs w:val="22"/>
        </w:rPr>
        <w:t xml:space="preserve"> propuesta se propone una mayor </w:t>
      </w:r>
      <w:proofErr w:type="gramStart"/>
      <w:r>
        <w:rPr>
          <w:rFonts w:cs="Arial"/>
          <w:sz w:val="22"/>
          <w:szCs w:val="22"/>
        </w:rPr>
        <w:t>participación activa</w:t>
      </w:r>
      <w:proofErr w:type="gramEnd"/>
      <w:r>
        <w:rPr>
          <w:rFonts w:cs="Arial"/>
          <w:sz w:val="22"/>
          <w:szCs w:val="22"/>
        </w:rPr>
        <w:t xml:space="preserve"> de los agentes para la determinación final de parte del Gestor del Mercad</w:t>
      </w:r>
      <w:r w:rsidR="00184EE2">
        <w:rPr>
          <w:rFonts w:cs="Arial"/>
          <w:sz w:val="22"/>
          <w:szCs w:val="22"/>
        </w:rPr>
        <w:t>o</w:t>
      </w:r>
      <w:r>
        <w:rPr>
          <w:rFonts w:cs="Arial"/>
          <w:sz w:val="22"/>
          <w:szCs w:val="22"/>
        </w:rPr>
        <w:t>, en donde prevalece el acuerdo</w:t>
      </w:r>
      <w:r w:rsidR="000D0F05">
        <w:rPr>
          <w:rFonts w:cs="Arial"/>
          <w:sz w:val="22"/>
          <w:szCs w:val="22"/>
        </w:rPr>
        <w:t xml:space="preserve">. Ver numeral </w:t>
      </w:r>
      <w:r w:rsidR="000D0F05">
        <w:rPr>
          <w:rFonts w:cs="Arial"/>
          <w:sz w:val="22"/>
          <w:szCs w:val="22"/>
        </w:rPr>
        <w:fldChar w:fldCharType="begin"/>
      </w:r>
      <w:r w:rsidR="000D0F05">
        <w:rPr>
          <w:rFonts w:cs="Arial"/>
          <w:sz w:val="22"/>
          <w:szCs w:val="22"/>
        </w:rPr>
        <w:instrText xml:space="preserve"> REF _Ref130304509 \r \h </w:instrText>
      </w:r>
      <w:r w:rsidR="000D0F05">
        <w:rPr>
          <w:rFonts w:cs="Arial"/>
          <w:sz w:val="22"/>
          <w:szCs w:val="22"/>
        </w:rPr>
      </w:r>
      <w:r w:rsidR="000D0F05">
        <w:rPr>
          <w:rFonts w:cs="Arial"/>
          <w:sz w:val="22"/>
          <w:szCs w:val="22"/>
        </w:rPr>
        <w:fldChar w:fldCharType="separate"/>
      </w:r>
      <w:r w:rsidR="000D0F05">
        <w:rPr>
          <w:rFonts w:cs="Arial"/>
          <w:sz w:val="22"/>
          <w:szCs w:val="22"/>
        </w:rPr>
        <w:t>4.11.1</w:t>
      </w:r>
      <w:r w:rsidR="000D0F05">
        <w:rPr>
          <w:rFonts w:cs="Arial"/>
          <w:sz w:val="22"/>
          <w:szCs w:val="22"/>
        </w:rPr>
        <w:fldChar w:fldCharType="end"/>
      </w:r>
      <w:r w:rsidR="000D0F05">
        <w:rPr>
          <w:rFonts w:cs="Arial"/>
          <w:sz w:val="22"/>
          <w:szCs w:val="22"/>
        </w:rPr>
        <w:t>.</w:t>
      </w:r>
      <w:r>
        <w:rPr>
          <w:rFonts w:cs="Arial"/>
          <w:sz w:val="22"/>
          <w:szCs w:val="22"/>
        </w:rPr>
        <w:t xml:space="preserve">  </w:t>
      </w:r>
    </w:p>
    <w:p w14:paraId="618580E8" w14:textId="59AF22EA" w:rsidR="008D5BFA" w:rsidRDefault="008D5BFA" w:rsidP="00371CB5">
      <w:pPr>
        <w:rPr>
          <w:rFonts w:cs="Arial"/>
          <w:sz w:val="22"/>
          <w:szCs w:val="22"/>
        </w:rPr>
      </w:pPr>
    </w:p>
    <w:p w14:paraId="4996E044" w14:textId="77777777" w:rsidR="006F6DE1" w:rsidRPr="006F1229" w:rsidRDefault="006F6DE1" w:rsidP="00371CB5">
      <w:pPr>
        <w:rPr>
          <w:rFonts w:cs="Arial"/>
          <w:sz w:val="22"/>
          <w:szCs w:val="22"/>
        </w:rPr>
      </w:pPr>
    </w:p>
    <w:p w14:paraId="6F88BA28" w14:textId="77777777" w:rsidR="006F1229" w:rsidRPr="00594E61" w:rsidRDefault="006F1229" w:rsidP="006F6DE1">
      <w:pPr>
        <w:pStyle w:val="Ttulo4"/>
        <w:rPr>
          <w:sz w:val="22"/>
          <w:szCs w:val="22"/>
        </w:rPr>
      </w:pPr>
      <w:r w:rsidRPr="00594E61">
        <w:rPr>
          <w:sz w:val="22"/>
          <w:szCs w:val="22"/>
        </w:rPr>
        <w:t>ANDEG</w:t>
      </w:r>
      <w:r w:rsidRPr="00594E61">
        <w:rPr>
          <w:sz w:val="22"/>
          <w:szCs w:val="22"/>
        </w:rPr>
        <w:tab/>
      </w:r>
    </w:p>
    <w:p w14:paraId="2D48C508" w14:textId="1174ACBF" w:rsidR="006F1229" w:rsidRDefault="0049629E" w:rsidP="006F1229">
      <w:pPr>
        <w:rPr>
          <w:rFonts w:cs="Arial"/>
          <w:i/>
          <w:iCs/>
          <w:sz w:val="22"/>
          <w:szCs w:val="22"/>
        </w:rPr>
      </w:pPr>
      <w:r>
        <w:rPr>
          <w:rFonts w:cs="Arial"/>
          <w:i/>
          <w:iCs/>
          <w:sz w:val="22"/>
          <w:szCs w:val="22"/>
        </w:rPr>
        <w:t>“</w:t>
      </w:r>
      <w:r w:rsidR="006F1229" w:rsidRPr="008D5BFA">
        <w:rPr>
          <w:rFonts w:cs="Arial"/>
          <w:i/>
          <w:iCs/>
          <w:sz w:val="22"/>
          <w:szCs w:val="22"/>
        </w:rPr>
        <w:t>Es necesario precisar cómo se articula la realización del balance comercial del Gestor de Gas frente a las responsabilidades y productos de la UPME en esta materia, teniendo en cuenta la actualización anual que la UPME realiza del balance, acorde a lo que se presenta en el Plan de Abastecimiento de Gas y su estudio técnico. Al respecto, es preciso llamar la atención sobre la importancia de mitigar el traslape de funciones entre las entidades del sector a fin de asegurar la articulación entre las fuentes de información.</w:t>
      </w:r>
      <w:r>
        <w:rPr>
          <w:rFonts w:cs="Arial"/>
          <w:i/>
          <w:iCs/>
          <w:sz w:val="22"/>
          <w:szCs w:val="22"/>
        </w:rPr>
        <w:t>”</w:t>
      </w:r>
    </w:p>
    <w:p w14:paraId="2EFAADC5" w14:textId="61E93661" w:rsidR="008D5BFA" w:rsidRDefault="008D5BFA" w:rsidP="006F1229">
      <w:pPr>
        <w:rPr>
          <w:rFonts w:cs="Arial"/>
          <w:i/>
          <w:iCs/>
          <w:sz w:val="22"/>
          <w:szCs w:val="22"/>
        </w:rPr>
      </w:pPr>
    </w:p>
    <w:p w14:paraId="4AD822F2" w14:textId="0E73A205" w:rsidR="008D5BFA" w:rsidRPr="008D5BFA" w:rsidRDefault="008D5BFA" w:rsidP="006F1229">
      <w:pPr>
        <w:rPr>
          <w:rFonts w:cs="Arial"/>
          <w:b/>
          <w:bCs/>
          <w:sz w:val="22"/>
          <w:szCs w:val="22"/>
        </w:rPr>
      </w:pPr>
      <w:r w:rsidRPr="008D5BFA">
        <w:rPr>
          <w:rFonts w:cs="Arial"/>
          <w:b/>
          <w:bCs/>
          <w:sz w:val="22"/>
          <w:szCs w:val="22"/>
        </w:rPr>
        <w:t>Respuesta:</w:t>
      </w:r>
    </w:p>
    <w:p w14:paraId="051B4D12" w14:textId="0368684F" w:rsidR="008D5BFA" w:rsidRDefault="008D5BFA" w:rsidP="006F1229">
      <w:pPr>
        <w:rPr>
          <w:rFonts w:cs="Arial"/>
          <w:i/>
          <w:iCs/>
          <w:sz w:val="22"/>
          <w:szCs w:val="22"/>
        </w:rPr>
      </w:pPr>
    </w:p>
    <w:p w14:paraId="57765E16" w14:textId="51A31425" w:rsidR="008D5BFA" w:rsidRDefault="002C5502" w:rsidP="006F1229">
      <w:pPr>
        <w:rPr>
          <w:rFonts w:cs="Arial"/>
          <w:sz w:val="22"/>
          <w:szCs w:val="22"/>
        </w:rPr>
      </w:pPr>
      <w:r>
        <w:rPr>
          <w:rFonts w:cs="Arial"/>
          <w:sz w:val="22"/>
          <w:szCs w:val="22"/>
        </w:rPr>
        <w:t xml:space="preserve">Se considera que la determinación y uso del balance realizado por la UPME no se traslapa en modo alguno con los balances comerciales que se </w:t>
      </w:r>
      <w:r w:rsidR="00344C7E">
        <w:rPr>
          <w:rFonts w:cs="Arial"/>
          <w:sz w:val="22"/>
          <w:szCs w:val="22"/>
        </w:rPr>
        <w:t>llevan a cabo</w:t>
      </w:r>
      <w:r>
        <w:rPr>
          <w:rFonts w:cs="Arial"/>
          <w:sz w:val="22"/>
          <w:szCs w:val="22"/>
        </w:rPr>
        <w:t xml:space="preserve"> por la CREG, ni con las funciones que desempeña cada entidad en el sector de gas natural</w:t>
      </w:r>
      <w:r w:rsidR="00AB4043">
        <w:rPr>
          <w:rFonts w:cs="Arial"/>
          <w:sz w:val="22"/>
          <w:szCs w:val="22"/>
        </w:rPr>
        <w:t xml:space="preserve"> (ver respuesta a </w:t>
      </w:r>
      <w:r w:rsidR="00CB1FDD">
        <w:rPr>
          <w:rFonts w:cs="Arial"/>
          <w:sz w:val="22"/>
          <w:szCs w:val="22"/>
        </w:rPr>
        <w:fldChar w:fldCharType="begin"/>
      </w:r>
      <w:r w:rsidR="00CB1FDD">
        <w:rPr>
          <w:rFonts w:cs="Arial"/>
          <w:sz w:val="22"/>
          <w:szCs w:val="22"/>
        </w:rPr>
        <w:instrText xml:space="preserve"> REF _Ref129432963 \r \h </w:instrText>
      </w:r>
      <w:r w:rsidR="00CB1FDD">
        <w:rPr>
          <w:rFonts w:cs="Arial"/>
          <w:sz w:val="22"/>
          <w:szCs w:val="22"/>
        </w:rPr>
      </w:r>
      <w:r w:rsidR="00CB1FDD">
        <w:rPr>
          <w:rFonts w:cs="Arial"/>
          <w:sz w:val="22"/>
          <w:szCs w:val="22"/>
        </w:rPr>
        <w:fldChar w:fldCharType="separate"/>
      </w:r>
      <w:r w:rsidR="007651EA">
        <w:rPr>
          <w:rFonts w:cs="Arial"/>
          <w:sz w:val="22"/>
          <w:szCs w:val="22"/>
        </w:rPr>
        <w:t>1.2.1.3</w:t>
      </w:r>
      <w:r w:rsidR="00CB1FDD">
        <w:rPr>
          <w:rFonts w:cs="Arial"/>
          <w:sz w:val="22"/>
          <w:szCs w:val="22"/>
        </w:rPr>
        <w:fldChar w:fldCharType="end"/>
      </w:r>
      <w:r w:rsidR="00AB4043">
        <w:rPr>
          <w:rFonts w:cs="Arial"/>
          <w:sz w:val="22"/>
          <w:szCs w:val="22"/>
        </w:rPr>
        <w:t>)</w:t>
      </w:r>
      <w:r>
        <w:rPr>
          <w:rFonts w:cs="Arial"/>
          <w:sz w:val="22"/>
          <w:szCs w:val="22"/>
        </w:rPr>
        <w:t xml:space="preserve">. Los balances comerciales </w:t>
      </w:r>
      <w:r w:rsidR="00AB4043">
        <w:rPr>
          <w:rFonts w:cs="Arial"/>
          <w:sz w:val="22"/>
          <w:szCs w:val="22"/>
        </w:rPr>
        <w:t xml:space="preserve">propuestos </w:t>
      </w:r>
      <w:r>
        <w:rPr>
          <w:rFonts w:cs="Arial"/>
          <w:sz w:val="22"/>
          <w:szCs w:val="22"/>
        </w:rPr>
        <w:t xml:space="preserve">son </w:t>
      </w:r>
      <w:r w:rsidR="00AB4043">
        <w:rPr>
          <w:rFonts w:cs="Arial"/>
          <w:sz w:val="22"/>
          <w:szCs w:val="22"/>
        </w:rPr>
        <w:t xml:space="preserve">muy </w:t>
      </w:r>
      <w:r>
        <w:rPr>
          <w:rFonts w:cs="Arial"/>
          <w:sz w:val="22"/>
          <w:szCs w:val="22"/>
        </w:rPr>
        <w:t xml:space="preserve">dinámicos y no determinan unas necesidades </w:t>
      </w:r>
      <w:r w:rsidR="00AB4043">
        <w:rPr>
          <w:rFonts w:cs="Arial"/>
          <w:sz w:val="22"/>
          <w:szCs w:val="22"/>
        </w:rPr>
        <w:t xml:space="preserve">totales </w:t>
      </w:r>
      <w:r>
        <w:rPr>
          <w:rFonts w:cs="Arial"/>
          <w:sz w:val="22"/>
          <w:szCs w:val="22"/>
        </w:rPr>
        <w:t xml:space="preserve">de la demanda de </w:t>
      </w:r>
      <w:r w:rsidR="00AB4043">
        <w:rPr>
          <w:rFonts w:cs="Arial"/>
          <w:sz w:val="22"/>
          <w:szCs w:val="22"/>
        </w:rPr>
        <w:t xml:space="preserve">corto, mediano y largo plazo necesariamente, precisamente por lo que se ha explicado en otros apartes de este documento: las declaraciones de necesidades de compra de gas natural no tienen que realizarse en un solo momento preciso del tiempo, la adquisición del gas para atender demanda en un período futuro puede separarse en diferentes períodos de negociación; es decir, si se estima una demanda del cuarto trimestre estándar del año de gas 2026, el agente no tiene que declarar la totalidad de esa estimación en un solo trimestre de negociación, puede hacerlo en diferentes trimestres de negociación, incluso en el trimestre de negociación anterior al trimestre del suministro, en el ejemplo, en el tercer trimestre del año de gas 2026. </w:t>
      </w:r>
    </w:p>
    <w:p w14:paraId="1F180A37" w14:textId="67030D52" w:rsidR="00AB4043" w:rsidRDefault="00AB4043" w:rsidP="006F1229">
      <w:pPr>
        <w:rPr>
          <w:rFonts w:cs="Arial"/>
          <w:sz w:val="22"/>
          <w:szCs w:val="22"/>
        </w:rPr>
      </w:pPr>
    </w:p>
    <w:p w14:paraId="7B2303D0" w14:textId="29AB5974" w:rsidR="00AB4043" w:rsidRDefault="00AB4043" w:rsidP="006F1229">
      <w:pPr>
        <w:rPr>
          <w:rFonts w:cs="Arial"/>
          <w:sz w:val="22"/>
          <w:szCs w:val="22"/>
        </w:rPr>
      </w:pPr>
      <w:r>
        <w:rPr>
          <w:rFonts w:cs="Arial"/>
          <w:sz w:val="22"/>
          <w:szCs w:val="22"/>
        </w:rPr>
        <w:t>Por otra parte</w:t>
      </w:r>
      <w:r w:rsidR="00445135">
        <w:rPr>
          <w:rFonts w:cs="Arial"/>
          <w:sz w:val="22"/>
          <w:szCs w:val="22"/>
        </w:rPr>
        <w:t>,</w:t>
      </w:r>
      <w:r>
        <w:rPr>
          <w:rFonts w:cs="Arial"/>
          <w:sz w:val="22"/>
          <w:szCs w:val="22"/>
        </w:rPr>
        <w:t xml:space="preserve"> se insiste en que así la proyección de la UPME fuese perfecta, las cantidades a contratar no necesariamente coinciden con dicha proyección, pues </w:t>
      </w:r>
      <w:r w:rsidR="00534B73">
        <w:rPr>
          <w:rFonts w:cs="Arial"/>
          <w:sz w:val="22"/>
          <w:szCs w:val="22"/>
        </w:rPr>
        <w:t>l</w:t>
      </w:r>
      <w:r>
        <w:rPr>
          <w:rFonts w:cs="Arial"/>
          <w:sz w:val="22"/>
          <w:szCs w:val="22"/>
        </w:rPr>
        <w:t xml:space="preserve">as cantidades </w:t>
      </w:r>
      <w:r w:rsidR="00534B73">
        <w:rPr>
          <w:rFonts w:cs="Arial"/>
          <w:sz w:val="22"/>
          <w:szCs w:val="22"/>
        </w:rPr>
        <w:t xml:space="preserve">a contratar </w:t>
      </w:r>
      <w:r>
        <w:rPr>
          <w:rFonts w:cs="Arial"/>
          <w:sz w:val="22"/>
          <w:szCs w:val="22"/>
        </w:rPr>
        <w:t>dependen de la estrategia del comprador en qué tanto se cubre comercialmente, la modalidad contractual</w:t>
      </w:r>
      <w:r w:rsidR="00534B73">
        <w:rPr>
          <w:rFonts w:cs="Arial"/>
          <w:sz w:val="22"/>
          <w:szCs w:val="22"/>
        </w:rPr>
        <w:t xml:space="preserve"> que utiliza</w:t>
      </w:r>
      <w:r>
        <w:rPr>
          <w:rFonts w:cs="Arial"/>
          <w:sz w:val="22"/>
          <w:szCs w:val="22"/>
        </w:rPr>
        <w:t xml:space="preserve">, el pico de demanda a atender en </w:t>
      </w:r>
      <w:r w:rsidR="00534B73">
        <w:rPr>
          <w:rFonts w:cs="Arial"/>
          <w:sz w:val="22"/>
          <w:szCs w:val="22"/>
        </w:rPr>
        <w:t>el</w:t>
      </w:r>
      <w:r>
        <w:rPr>
          <w:rFonts w:cs="Arial"/>
          <w:sz w:val="22"/>
          <w:szCs w:val="22"/>
        </w:rPr>
        <w:t xml:space="preserve"> período contratado, etc.</w:t>
      </w:r>
    </w:p>
    <w:p w14:paraId="4126D915" w14:textId="4443806F" w:rsidR="00823D16" w:rsidRDefault="00823D16" w:rsidP="006F1229">
      <w:pPr>
        <w:rPr>
          <w:rFonts w:cs="Arial"/>
          <w:sz w:val="22"/>
          <w:szCs w:val="22"/>
        </w:rPr>
      </w:pPr>
    </w:p>
    <w:p w14:paraId="0C94AC4A" w14:textId="77777777" w:rsidR="006F1229" w:rsidRDefault="006F1229" w:rsidP="006F1229">
      <w:pPr>
        <w:rPr>
          <w:rFonts w:cs="Arial"/>
          <w:sz w:val="22"/>
          <w:szCs w:val="22"/>
        </w:rPr>
      </w:pPr>
    </w:p>
    <w:p w14:paraId="75DBE1C7" w14:textId="77777777" w:rsidR="006F1229" w:rsidRDefault="006F1229" w:rsidP="006F6DE1">
      <w:pPr>
        <w:pStyle w:val="Ttulo4"/>
      </w:pPr>
      <w:bookmarkStart w:id="499" w:name="_Ref130285825"/>
      <w:r w:rsidRPr="006F1229">
        <w:t>ANDEG</w:t>
      </w:r>
      <w:bookmarkEnd w:id="499"/>
      <w:r w:rsidRPr="006F1229">
        <w:tab/>
      </w:r>
    </w:p>
    <w:p w14:paraId="454C74D4" w14:textId="15D2697F" w:rsidR="006F1229" w:rsidRPr="007F4285" w:rsidRDefault="0049629E" w:rsidP="006F1229">
      <w:pPr>
        <w:rPr>
          <w:rFonts w:cs="Arial"/>
          <w:i/>
          <w:iCs/>
          <w:sz w:val="22"/>
          <w:szCs w:val="22"/>
        </w:rPr>
      </w:pPr>
      <w:r>
        <w:rPr>
          <w:rFonts w:cs="Arial"/>
          <w:i/>
          <w:iCs/>
          <w:sz w:val="22"/>
          <w:szCs w:val="22"/>
        </w:rPr>
        <w:t>“</w:t>
      </w:r>
      <w:r w:rsidR="006F1229" w:rsidRPr="007F4285">
        <w:rPr>
          <w:rFonts w:cs="Arial"/>
          <w:i/>
          <w:iCs/>
          <w:sz w:val="22"/>
          <w:szCs w:val="22"/>
        </w:rPr>
        <w:t xml:space="preserve">En segundo lugar, ante la ocurrencia de eventos críticos y/o fenómenos climáticos cíclicos como lo es el Fenómeno de </w:t>
      </w:r>
      <w:r>
        <w:rPr>
          <w:rFonts w:cs="Arial"/>
          <w:i/>
          <w:iCs/>
          <w:sz w:val="22"/>
          <w:szCs w:val="22"/>
        </w:rPr>
        <w:t>‘</w:t>
      </w:r>
      <w:r w:rsidR="006F1229" w:rsidRPr="007F4285">
        <w:rPr>
          <w:rFonts w:cs="Arial"/>
          <w:i/>
          <w:iCs/>
          <w:sz w:val="22"/>
          <w:szCs w:val="22"/>
        </w:rPr>
        <w:t>El Niño</w:t>
      </w:r>
      <w:r>
        <w:rPr>
          <w:rFonts w:cs="Arial"/>
          <w:i/>
          <w:iCs/>
          <w:sz w:val="22"/>
          <w:szCs w:val="22"/>
        </w:rPr>
        <w:t>’</w:t>
      </w:r>
      <w:r w:rsidR="006F1229" w:rsidRPr="007F4285">
        <w:rPr>
          <w:rFonts w:cs="Arial"/>
          <w:i/>
          <w:iCs/>
          <w:sz w:val="22"/>
          <w:szCs w:val="22"/>
        </w:rPr>
        <w:t>, en donde se impone un estrés importante en el sistema eléctrico, aumentando la participación térmica en el despacho económico, lo que se traduce en requerimientos contractuales y físicos adicionales de gas para abastecer de forma confiable y económica a la demanda eléctrica. De esta forma observamos que se puede llegar a comprometer la suficiencia de alguno de los servicios públicos, o bien, gas natural, o electricidad, con lo que es adecuado establecer mecanismos adecuados que coordinen el suministro de ambos sectores.</w:t>
      </w:r>
    </w:p>
    <w:p w14:paraId="212ACB79" w14:textId="77777777" w:rsidR="006F1229" w:rsidRPr="007F4285" w:rsidRDefault="006F1229" w:rsidP="006F1229">
      <w:pPr>
        <w:rPr>
          <w:rFonts w:cs="Arial"/>
          <w:i/>
          <w:iCs/>
          <w:sz w:val="22"/>
          <w:szCs w:val="22"/>
        </w:rPr>
      </w:pPr>
    </w:p>
    <w:p w14:paraId="01CCAE5D" w14:textId="31FE2D85" w:rsidR="006F1229" w:rsidRDefault="006F1229" w:rsidP="006F1229">
      <w:pPr>
        <w:rPr>
          <w:rFonts w:cs="Arial"/>
          <w:sz w:val="22"/>
          <w:szCs w:val="22"/>
        </w:rPr>
      </w:pPr>
      <w:r w:rsidRPr="007F4285">
        <w:rPr>
          <w:rFonts w:cs="Arial"/>
          <w:i/>
          <w:iCs/>
          <w:sz w:val="22"/>
          <w:szCs w:val="22"/>
        </w:rPr>
        <w:t>Al respecto, es adecuado que se avance en lo definido sobre “Protocolos de coordinación de los sectores de energía eléctrica y de gas natural orientados a optimizar el despacho y redespacho de las plantas termoeléctricas a gas natural” que trata el Parágrafo 8 del Artículo 3 de la Resolución CREG 088 de 2015</w:t>
      </w:r>
      <w:r w:rsidRPr="006F1229">
        <w:rPr>
          <w:rFonts w:cs="Arial"/>
          <w:sz w:val="22"/>
          <w:szCs w:val="22"/>
        </w:rPr>
        <w:t>.</w:t>
      </w:r>
      <w:r w:rsidR="0049629E">
        <w:rPr>
          <w:rFonts w:cs="Arial"/>
          <w:sz w:val="22"/>
          <w:szCs w:val="22"/>
        </w:rPr>
        <w:t>”</w:t>
      </w:r>
    </w:p>
    <w:p w14:paraId="2B4A8EAD" w14:textId="66504336" w:rsidR="007F4285" w:rsidRDefault="007F4285" w:rsidP="006F1229">
      <w:pPr>
        <w:rPr>
          <w:rFonts w:cs="Arial"/>
          <w:sz w:val="22"/>
          <w:szCs w:val="22"/>
        </w:rPr>
      </w:pPr>
    </w:p>
    <w:p w14:paraId="302F4995" w14:textId="747F2F04" w:rsidR="007F4285" w:rsidRPr="007F4285" w:rsidRDefault="007F4285" w:rsidP="006F1229">
      <w:pPr>
        <w:rPr>
          <w:rFonts w:cs="Arial"/>
          <w:b/>
          <w:bCs/>
          <w:sz w:val="22"/>
          <w:szCs w:val="22"/>
        </w:rPr>
      </w:pPr>
      <w:r w:rsidRPr="007F4285">
        <w:rPr>
          <w:rFonts w:cs="Arial"/>
          <w:b/>
          <w:bCs/>
          <w:sz w:val="22"/>
          <w:szCs w:val="22"/>
        </w:rPr>
        <w:t>Respuesta:</w:t>
      </w:r>
    </w:p>
    <w:p w14:paraId="4E3BAFF4" w14:textId="62D9F516" w:rsidR="007F4285" w:rsidRDefault="007F4285" w:rsidP="006F1229">
      <w:pPr>
        <w:rPr>
          <w:rFonts w:cs="Arial"/>
          <w:sz w:val="22"/>
          <w:szCs w:val="22"/>
        </w:rPr>
      </w:pPr>
    </w:p>
    <w:p w14:paraId="5E9C37D7" w14:textId="5C8612BF" w:rsidR="007F4285" w:rsidRDefault="006E4170" w:rsidP="006F1229">
      <w:pPr>
        <w:rPr>
          <w:rFonts w:cs="Arial"/>
          <w:sz w:val="22"/>
          <w:szCs w:val="22"/>
        </w:rPr>
      </w:pPr>
      <w:r>
        <w:rPr>
          <w:rFonts w:cs="Arial"/>
          <w:sz w:val="22"/>
          <w:szCs w:val="22"/>
        </w:rPr>
        <w:t>Se considera que la flexibilización en aspectos contractuales propuestos tales como las cantidades trimestrales variables, las duraciones mínimas de un trimestre, los contratos de duración mensual) así como la flexibilización en la contratación de gas natural obtenido en el exterior y una mayor frecuencia de declaración de PTDVF para las negociaciones del Mercado Primario, entre otros aspectos, sirven de mejor manera para atender lo que se denomina en el comentario “</w:t>
      </w:r>
      <w:r w:rsidRPr="006E4170">
        <w:rPr>
          <w:rFonts w:cs="Arial"/>
          <w:i/>
          <w:iCs/>
          <w:sz w:val="22"/>
          <w:szCs w:val="22"/>
        </w:rPr>
        <w:t>estrés importante en el sector eléctrico</w:t>
      </w:r>
      <w:r>
        <w:rPr>
          <w:rFonts w:cs="Arial"/>
          <w:sz w:val="22"/>
          <w:szCs w:val="22"/>
        </w:rPr>
        <w:t>”.</w:t>
      </w:r>
    </w:p>
    <w:p w14:paraId="1E89FDFC" w14:textId="2EE162CC" w:rsidR="006E4170" w:rsidRDefault="006E4170" w:rsidP="006F1229">
      <w:pPr>
        <w:rPr>
          <w:rFonts w:cs="Arial"/>
          <w:sz w:val="22"/>
          <w:szCs w:val="22"/>
        </w:rPr>
      </w:pPr>
    </w:p>
    <w:p w14:paraId="05A163DB" w14:textId="4F92D608" w:rsidR="006F1229" w:rsidRDefault="006E4170" w:rsidP="006F1229">
      <w:pPr>
        <w:rPr>
          <w:rFonts w:cs="Arial"/>
          <w:sz w:val="22"/>
          <w:szCs w:val="22"/>
        </w:rPr>
      </w:pPr>
      <w:r>
        <w:rPr>
          <w:rFonts w:cs="Arial"/>
          <w:sz w:val="22"/>
          <w:szCs w:val="22"/>
        </w:rPr>
        <w:t>En cualquier caso, la determinación de qué tipo de usuarios son parte de la Demanda Esencial corresponde al Ministerio de Minas y Energía. Lo anterior puede afectar la disponibilidad de oferta de suministro para atender los demás tipos de usuarios en el mediano plazo.</w:t>
      </w:r>
    </w:p>
    <w:p w14:paraId="4F29CC8B" w14:textId="77777777" w:rsidR="006E4170" w:rsidRDefault="006E4170" w:rsidP="006F1229">
      <w:pPr>
        <w:rPr>
          <w:rFonts w:cs="Arial"/>
          <w:sz w:val="22"/>
          <w:szCs w:val="22"/>
        </w:rPr>
      </w:pPr>
    </w:p>
    <w:p w14:paraId="29B5496B" w14:textId="77777777" w:rsidR="006F6DE1" w:rsidRDefault="006F6DE1" w:rsidP="006F1229">
      <w:pPr>
        <w:rPr>
          <w:rFonts w:cs="Arial"/>
          <w:sz w:val="22"/>
          <w:szCs w:val="22"/>
        </w:rPr>
      </w:pPr>
    </w:p>
    <w:p w14:paraId="2C932664" w14:textId="77777777" w:rsidR="006F1229" w:rsidRDefault="006F1229" w:rsidP="006F6DE1">
      <w:pPr>
        <w:pStyle w:val="Ttulo4"/>
      </w:pPr>
      <w:r w:rsidRPr="006F1229">
        <w:t>ANDEG</w:t>
      </w:r>
      <w:r w:rsidRPr="006F1229">
        <w:tab/>
      </w:r>
    </w:p>
    <w:p w14:paraId="2449CB40" w14:textId="1B8085A1" w:rsidR="006F1229" w:rsidRPr="00F75079" w:rsidRDefault="006F1229" w:rsidP="006F1229">
      <w:pPr>
        <w:rPr>
          <w:rFonts w:cs="Arial"/>
          <w:i/>
          <w:iCs/>
          <w:sz w:val="22"/>
          <w:szCs w:val="22"/>
        </w:rPr>
      </w:pPr>
      <w:r w:rsidRPr="006F1229">
        <w:rPr>
          <w:rFonts w:cs="Arial"/>
          <w:sz w:val="22"/>
          <w:szCs w:val="22"/>
        </w:rPr>
        <w:t>"</w:t>
      </w:r>
      <w:r w:rsidRPr="00F75079">
        <w:rPr>
          <w:rFonts w:cs="Arial"/>
          <w:i/>
          <w:iCs/>
          <w:sz w:val="22"/>
          <w:szCs w:val="22"/>
        </w:rPr>
        <w:t>Es adecuado que la CREG precise el alcance de la definición planteada en la Resolución sobre “respaldo físico” a luz de las definiciones establecidas en el marco de política de gas natural contenida en el Decreto 2100 de 2011, toda vez que los contratos firmes o que garantizan firmeza, por su naturaleza, requieren respaldo físico; tal como la misma CREG ha conceptuado con anterioridad: “…el vendedor debe contar físicamente con las cantidades de gas que respalden sus obligaciones asociadas a un contrato firme o que garantiza firmeza….”. Concepto CREG 4031 de 2020.</w:t>
      </w:r>
    </w:p>
    <w:p w14:paraId="3E072933" w14:textId="77777777" w:rsidR="006F1229" w:rsidRPr="00F75079" w:rsidRDefault="006F1229" w:rsidP="006F1229">
      <w:pPr>
        <w:rPr>
          <w:rFonts w:cs="Arial"/>
          <w:i/>
          <w:iCs/>
          <w:sz w:val="22"/>
          <w:szCs w:val="22"/>
        </w:rPr>
      </w:pPr>
    </w:p>
    <w:p w14:paraId="33C456EE" w14:textId="77777777" w:rsidR="006F1229" w:rsidRPr="00F75079" w:rsidRDefault="006F1229" w:rsidP="006F1229">
      <w:pPr>
        <w:rPr>
          <w:rFonts w:cs="Arial"/>
          <w:i/>
          <w:iCs/>
          <w:sz w:val="22"/>
          <w:szCs w:val="22"/>
        </w:rPr>
      </w:pPr>
      <w:r w:rsidRPr="00F75079">
        <w:rPr>
          <w:rFonts w:cs="Arial"/>
          <w:i/>
          <w:iCs/>
          <w:sz w:val="22"/>
          <w:szCs w:val="22"/>
        </w:rPr>
        <w:t>Sobre el tema de “respaldo físico”, sugerimos al Regulador que las definiciones que se incorporen al marco normativo vigente, tengan en cuenta los impactos sobre: 1) el desarrollo de los contratos vigentes en la cadena de gas natural, 2) eventuales nuevos requerimientos de infraestructura a los agentes del gas natural que puedan afectar la competitividad del energético, que por lo menos, para el caso de plantas térmicas respaldadas con GNL para cobertura de sus obligaciones del Cargo por Confiabilidad, llevarían a evaluar migrar a combustibles sustitutos, potencialmente más costosos, lo que impactaría el precio de la energía, y en particular, los objetivos de la transición energética."</w:t>
      </w:r>
    </w:p>
    <w:p w14:paraId="0E29C9BC" w14:textId="61827393" w:rsidR="006F1229" w:rsidRDefault="006F1229" w:rsidP="006F1229">
      <w:pPr>
        <w:rPr>
          <w:rFonts w:cs="Arial"/>
          <w:sz w:val="22"/>
          <w:szCs w:val="22"/>
        </w:rPr>
      </w:pPr>
    </w:p>
    <w:p w14:paraId="6498CAC8" w14:textId="2F3147AB" w:rsidR="006E51E1" w:rsidRPr="006E51E1" w:rsidRDefault="006E51E1" w:rsidP="006F1229">
      <w:pPr>
        <w:rPr>
          <w:rFonts w:cs="Arial"/>
          <w:b/>
          <w:bCs/>
          <w:sz w:val="22"/>
          <w:szCs w:val="22"/>
        </w:rPr>
      </w:pPr>
      <w:r w:rsidRPr="006E51E1">
        <w:rPr>
          <w:rFonts w:cs="Arial"/>
          <w:b/>
          <w:bCs/>
          <w:sz w:val="22"/>
          <w:szCs w:val="22"/>
        </w:rPr>
        <w:t>Respuesta:</w:t>
      </w:r>
    </w:p>
    <w:p w14:paraId="10972F4F" w14:textId="7653F4A7" w:rsidR="006E51E1" w:rsidRDefault="006E51E1" w:rsidP="006F1229">
      <w:pPr>
        <w:rPr>
          <w:rFonts w:cs="Arial"/>
          <w:sz w:val="22"/>
          <w:szCs w:val="22"/>
        </w:rPr>
      </w:pPr>
    </w:p>
    <w:p w14:paraId="67732727" w14:textId="0E2D0A0A" w:rsidR="00406F8B" w:rsidRPr="00341806" w:rsidRDefault="00341806" w:rsidP="00341806">
      <w:pPr>
        <w:rPr>
          <w:rFonts w:cs="Arial"/>
          <w:sz w:val="22"/>
          <w:szCs w:val="22"/>
        </w:rPr>
      </w:pPr>
      <w:r w:rsidRPr="00341806">
        <w:rPr>
          <w:rFonts w:cs="Arial"/>
          <w:sz w:val="22"/>
          <w:szCs w:val="22"/>
        </w:rPr>
        <w:t xml:space="preserve">Ver numeral </w:t>
      </w:r>
      <w:r w:rsidR="00CA3D9D">
        <w:rPr>
          <w:rFonts w:cs="Arial"/>
          <w:sz w:val="22"/>
          <w:szCs w:val="22"/>
        </w:rPr>
        <w:fldChar w:fldCharType="begin"/>
      </w:r>
      <w:r w:rsidR="00CA3D9D">
        <w:rPr>
          <w:rFonts w:cs="Arial"/>
          <w:sz w:val="22"/>
          <w:szCs w:val="22"/>
        </w:rPr>
        <w:instrText xml:space="preserve"> REF _Ref129780418 \r \h </w:instrText>
      </w:r>
      <w:r w:rsidR="00CA3D9D">
        <w:rPr>
          <w:rFonts w:cs="Arial"/>
          <w:sz w:val="22"/>
          <w:szCs w:val="22"/>
        </w:rPr>
      </w:r>
      <w:r w:rsidR="00CA3D9D">
        <w:rPr>
          <w:rFonts w:cs="Arial"/>
          <w:sz w:val="22"/>
          <w:szCs w:val="22"/>
        </w:rPr>
        <w:fldChar w:fldCharType="separate"/>
      </w:r>
      <w:r w:rsidR="007651EA">
        <w:rPr>
          <w:rFonts w:cs="Arial"/>
          <w:sz w:val="22"/>
          <w:szCs w:val="22"/>
        </w:rPr>
        <w:t>4.4</w:t>
      </w:r>
      <w:r w:rsidR="00CA3D9D">
        <w:rPr>
          <w:rFonts w:cs="Arial"/>
          <w:sz w:val="22"/>
          <w:szCs w:val="22"/>
        </w:rPr>
        <w:fldChar w:fldCharType="end"/>
      </w:r>
      <w:r w:rsidRPr="00341806">
        <w:rPr>
          <w:rFonts w:cs="Arial"/>
          <w:sz w:val="22"/>
          <w:szCs w:val="22"/>
        </w:rPr>
        <w:t>.</w:t>
      </w:r>
    </w:p>
    <w:p w14:paraId="58D3A8E2" w14:textId="4B02DE83" w:rsidR="00406F8B" w:rsidRDefault="00406F8B" w:rsidP="00406F8B">
      <w:pPr>
        <w:ind w:left="708"/>
        <w:rPr>
          <w:rFonts w:cs="Arial"/>
          <w:i/>
          <w:iCs/>
          <w:sz w:val="22"/>
          <w:szCs w:val="22"/>
        </w:rPr>
      </w:pPr>
    </w:p>
    <w:p w14:paraId="475CF19B" w14:textId="77777777" w:rsidR="006F6DE1" w:rsidRDefault="006F6DE1" w:rsidP="006F1229">
      <w:pPr>
        <w:rPr>
          <w:rFonts w:cs="Arial"/>
          <w:sz w:val="22"/>
          <w:szCs w:val="22"/>
        </w:rPr>
      </w:pPr>
    </w:p>
    <w:p w14:paraId="78A4D95C" w14:textId="77777777" w:rsidR="006F1229" w:rsidRDefault="006F1229" w:rsidP="006F6DE1">
      <w:pPr>
        <w:pStyle w:val="Ttulo4"/>
      </w:pPr>
      <w:r w:rsidRPr="006F1229">
        <w:t>ANDEG</w:t>
      </w:r>
      <w:r w:rsidRPr="006F1229">
        <w:tab/>
      </w:r>
    </w:p>
    <w:p w14:paraId="0E47B44B" w14:textId="742CE046" w:rsidR="006F1229" w:rsidRPr="00590696" w:rsidRDefault="006F1229" w:rsidP="006F1229">
      <w:pPr>
        <w:rPr>
          <w:rFonts w:cs="Arial"/>
          <w:i/>
          <w:iCs/>
          <w:sz w:val="22"/>
          <w:szCs w:val="22"/>
        </w:rPr>
      </w:pPr>
      <w:r w:rsidRPr="00590696">
        <w:rPr>
          <w:rFonts w:cs="Arial"/>
          <w:i/>
          <w:iCs/>
          <w:sz w:val="22"/>
          <w:szCs w:val="22"/>
        </w:rPr>
        <w:t>"Consideramos que en un entorno de administración de escasez como el que se está planteando en la Resolución CREG 226 de 2021, es indispensable que el impacto normativo sea revisado integralmente en el marco de los balances comerciales que llevaría a cabo el Gestor de Gas, y la segmentación que se daría a partir de su resultado, dado que los generadores térmicos en su condición de usuarios no regulados, que no corresponden a demanda esencial, definitivamente no tendrían posibilidades de acceder a gas comercial, pues en particular, los criterios de asignación de gas a la demanda esencial priorizan especialmente la demanda regulada.</w:t>
      </w:r>
    </w:p>
    <w:p w14:paraId="6FDC4DD3" w14:textId="77777777" w:rsidR="006F1229" w:rsidRPr="00590696" w:rsidRDefault="006F1229" w:rsidP="006F1229">
      <w:pPr>
        <w:rPr>
          <w:rFonts w:cs="Arial"/>
          <w:i/>
          <w:iCs/>
          <w:sz w:val="22"/>
          <w:szCs w:val="22"/>
        </w:rPr>
      </w:pPr>
    </w:p>
    <w:p w14:paraId="71A29AC6" w14:textId="77777777" w:rsidR="006F1229" w:rsidRPr="00590696" w:rsidRDefault="006F1229" w:rsidP="006F1229">
      <w:pPr>
        <w:rPr>
          <w:rFonts w:cs="Arial"/>
          <w:i/>
          <w:iCs/>
          <w:sz w:val="22"/>
          <w:szCs w:val="22"/>
        </w:rPr>
      </w:pPr>
      <w:r w:rsidRPr="00590696">
        <w:rPr>
          <w:rFonts w:cs="Arial"/>
          <w:i/>
          <w:iCs/>
          <w:sz w:val="22"/>
          <w:szCs w:val="22"/>
        </w:rPr>
        <w:t>Esta situación, consideramos que podría ser crítica durante los eventos de estrés de la infraestructura de gas bajo las condiciones anteriormente descritas, con ocasión de los mayores requerimientos de gas para generación eléctrica, con lo cual, es adecuado que el CNO gas evalúe la propuesta regulatoria en el sentido de establecer protocolos de medición, para asignación eficiente del gas natural; en su defecto, se deberá establecer una transición adecuada que considere requisitos técnicos y tecnológicos, para la definición apropiada de la condición de usuario no regulado.</w:t>
      </w:r>
    </w:p>
    <w:p w14:paraId="06189957" w14:textId="77777777" w:rsidR="006F1229" w:rsidRPr="00590696" w:rsidRDefault="006F1229" w:rsidP="006F1229">
      <w:pPr>
        <w:rPr>
          <w:rFonts w:cs="Arial"/>
          <w:i/>
          <w:iCs/>
          <w:sz w:val="22"/>
          <w:szCs w:val="22"/>
        </w:rPr>
      </w:pPr>
    </w:p>
    <w:p w14:paraId="78BF585F" w14:textId="0C868799" w:rsidR="006F1229" w:rsidRPr="00590696" w:rsidRDefault="006F1229" w:rsidP="006F1229">
      <w:pPr>
        <w:rPr>
          <w:rFonts w:cs="Arial"/>
          <w:i/>
          <w:iCs/>
          <w:sz w:val="22"/>
          <w:szCs w:val="22"/>
        </w:rPr>
      </w:pPr>
      <w:r w:rsidRPr="00590696">
        <w:rPr>
          <w:rFonts w:cs="Arial"/>
          <w:i/>
          <w:iCs/>
          <w:sz w:val="22"/>
          <w:szCs w:val="22"/>
        </w:rPr>
        <w:t xml:space="preserve">En todo caso, la regulación debe procurar un tratamiento de usuario acorde a los objetivos de la transformación energética, en el sentido de promover incentivos para la </w:t>
      </w:r>
      <w:proofErr w:type="gramStart"/>
      <w:r w:rsidRPr="00590696">
        <w:rPr>
          <w:rFonts w:cs="Arial"/>
          <w:i/>
          <w:iCs/>
          <w:sz w:val="22"/>
          <w:szCs w:val="22"/>
        </w:rPr>
        <w:t>participación activa</w:t>
      </w:r>
      <w:proofErr w:type="gramEnd"/>
      <w:r w:rsidRPr="00590696">
        <w:rPr>
          <w:rFonts w:cs="Arial"/>
          <w:i/>
          <w:iCs/>
          <w:sz w:val="22"/>
          <w:szCs w:val="22"/>
        </w:rPr>
        <w:t xml:space="preserve"> de la demanda en el mercado de gas, lo cual, realza la oportunidad de evaluar el rol de los comercializadores de gas en un entorno de empoderamiento de la demanda."</w:t>
      </w:r>
    </w:p>
    <w:p w14:paraId="200CAF82" w14:textId="21B5C72D" w:rsidR="00590696" w:rsidRDefault="00590696" w:rsidP="006F1229">
      <w:pPr>
        <w:rPr>
          <w:rFonts w:cs="Arial"/>
          <w:sz w:val="22"/>
          <w:szCs w:val="22"/>
        </w:rPr>
      </w:pPr>
    </w:p>
    <w:p w14:paraId="55A6BE9F" w14:textId="7EA31C41" w:rsidR="00590696" w:rsidRPr="00590696" w:rsidRDefault="00590696" w:rsidP="006F1229">
      <w:pPr>
        <w:rPr>
          <w:rFonts w:cs="Arial"/>
          <w:b/>
          <w:bCs/>
          <w:sz w:val="22"/>
          <w:szCs w:val="22"/>
        </w:rPr>
      </w:pPr>
      <w:r w:rsidRPr="00590696">
        <w:rPr>
          <w:rFonts w:cs="Arial"/>
          <w:b/>
          <w:bCs/>
          <w:sz w:val="22"/>
          <w:szCs w:val="22"/>
        </w:rPr>
        <w:t>Respuesta:</w:t>
      </w:r>
    </w:p>
    <w:p w14:paraId="527FF5E1" w14:textId="120893C7" w:rsidR="00590696" w:rsidRDefault="00590696" w:rsidP="006F1229">
      <w:pPr>
        <w:rPr>
          <w:rFonts w:cs="Arial"/>
          <w:sz w:val="22"/>
          <w:szCs w:val="22"/>
        </w:rPr>
      </w:pPr>
    </w:p>
    <w:p w14:paraId="6E1A075E" w14:textId="1E2A20AE" w:rsidR="00590696" w:rsidRDefault="00434756" w:rsidP="006F1229">
      <w:pPr>
        <w:rPr>
          <w:rFonts w:cs="Arial"/>
          <w:sz w:val="22"/>
          <w:szCs w:val="22"/>
        </w:rPr>
      </w:pPr>
      <w:r>
        <w:rPr>
          <w:rFonts w:cs="Arial"/>
          <w:sz w:val="22"/>
          <w:szCs w:val="22"/>
        </w:rPr>
        <w:t xml:space="preserve">Ver respuestas a </w:t>
      </w:r>
      <w:r>
        <w:rPr>
          <w:rFonts w:cs="Arial"/>
          <w:sz w:val="22"/>
          <w:szCs w:val="22"/>
        </w:rPr>
        <w:fldChar w:fldCharType="begin"/>
      </w:r>
      <w:r>
        <w:rPr>
          <w:rFonts w:cs="Arial"/>
          <w:sz w:val="22"/>
          <w:szCs w:val="22"/>
        </w:rPr>
        <w:instrText xml:space="preserve"> REF _Ref130285959 \r \h </w:instrText>
      </w:r>
      <w:r>
        <w:rPr>
          <w:rFonts w:cs="Arial"/>
          <w:sz w:val="22"/>
          <w:szCs w:val="22"/>
        </w:rPr>
      </w:r>
      <w:r>
        <w:rPr>
          <w:rFonts w:cs="Arial"/>
          <w:sz w:val="22"/>
          <w:szCs w:val="22"/>
        </w:rPr>
        <w:fldChar w:fldCharType="separate"/>
      </w:r>
      <w:r w:rsidR="007651EA">
        <w:rPr>
          <w:rFonts w:cs="Arial"/>
          <w:sz w:val="22"/>
          <w:szCs w:val="22"/>
        </w:rPr>
        <w:t>1.2.1.5</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_Ref130285990 \r \h </w:instrText>
      </w:r>
      <w:r>
        <w:rPr>
          <w:rFonts w:cs="Arial"/>
          <w:sz w:val="22"/>
          <w:szCs w:val="22"/>
        </w:rPr>
      </w:r>
      <w:r>
        <w:rPr>
          <w:rFonts w:cs="Arial"/>
          <w:sz w:val="22"/>
          <w:szCs w:val="22"/>
        </w:rPr>
        <w:fldChar w:fldCharType="separate"/>
      </w:r>
      <w:r w:rsidR="007651EA">
        <w:rPr>
          <w:rFonts w:cs="Arial"/>
          <w:sz w:val="22"/>
          <w:szCs w:val="22"/>
        </w:rPr>
        <w:t>1.2.1.6</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_Ref130286002 \r \h </w:instrText>
      </w:r>
      <w:r>
        <w:rPr>
          <w:rFonts w:cs="Arial"/>
          <w:sz w:val="22"/>
          <w:szCs w:val="22"/>
        </w:rPr>
      </w:r>
      <w:r>
        <w:rPr>
          <w:rFonts w:cs="Arial"/>
          <w:sz w:val="22"/>
          <w:szCs w:val="22"/>
        </w:rPr>
        <w:fldChar w:fldCharType="separate"/>
      </w:r>
      <w:r w:rsidR="007651EA">
        <w:rPr>
          <w:rFonts w:cs="Arial"/>
          <w:sz w:val="22"/>
          <w:szCs w:val="22"/>
        </w:rPr>
        <w:t>1.2.1.7</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_Ref130285825 \r \h </w:instrText>
      </w:r>
      <w:r>
        <w:rPr>
          <w:rFonts w:cs="Arial"/>
          <w:sz w:val="22"/>
          <w:szCs w:val="22"/>
        </w:rPr>
      </w:r>
      <w:r>
        <w:rPr>
          <w:rFonts w:cs="Arial"/>
          <w:sz w:val="22"/>
          <w:szCs w:val="22"/>
        </w:rPr>
        <w:fldChar w:fldCharType="separate"/>
      </w:r>
      <w:r w:rsidR="007651EA">
        <w:rPr>
          <w:rFonts w:cs="Arial"/>
          <w:sz w:val="22"/>
          <w:szCs w:val="22"/>
        </w:rPr>
        <w:t>1.2.1.10</w:t>
      </w:r>
      <w:r>
        <w:rPr>
          <w:rFonts w:cs="Arial"/>
          <w:sz w:val="22"/>
          <w:szCs w:val="22"/>
        </w:rPr>
        <w:fldChar w:fldCharType="end"/>
      </w:r>
      <w:r>
        <w:rPr>
          <w:rFonts w:cs="Arial"/>
          <w:sz w:val="22"/>
          <w:szCs w:val="22"/>
        </w:rPr>
        <w:t xml:space="preserve">. </w:t>
      </w:r>
    </w:p>
    <w:p w14:paraId="465408C1" w14:textId="20E0A8B6" w:rsidR="006F6DE1" w:rsidRDefault="006F6DE1" w:rsidP="006F1229">
      <w:pPr>
        <w:rPr>
          <w:rFonts w:cs="Arial"/>
          <w:sz w:val="22"/>
          <w:szCs w:val="22"/>
        </w:rPr>
      </w:pPr>
    </w:p>
    <w:p w14:paraId="65B5045D" w14:textId="77777777" w:rsidR="006F6DE1" w:rsidRPr="006F1229" w:rsidRDefault="006F6DE1" w:rsidP="006F1229">
      <w:pPr>
        <w:rPr>
          <w:rFonts w:cs="Arial"/>
          <w:sz w:val="22"/>
          <w:szCs w:val="22"/>
        </w:rPr>
      </w:pPr>
    </w:p>
    <w:p w14:paraId="3F1D571E" w14:textId="77777777" w:rsidR="006F1229" w:rsidRDefault="006F1229" w:rsidP="006F6DE1">
      <w:pPr>
        <w:pStyle w:val="Ttulo4"/>
      </w:pPr>
      <w:bookmarkStart w:id="500" w:name="_Ref132615609"/>
      <w:r w:rsidRPr="006F1229">
        <w:t>ANDEG</w:t>
      </w:r>
      <w:bookmarkEnd w:id="500"/>
      <w:r w:rsidRPr="006F1229">
        <w:tab/>
      </w:r>
    </w:p>
    <w:p w14:paraId="5FAE3670" w14:textId="4BE89807" w:rsidR="006F1229" w:rsidRPr="00434756" w:rsidRDefault="006F1229" w:rsidP="006F1229">
      <w:pPr>
        <w:rPr>
          <w:rFonts w:cs="Arial"/>
          <w:i/>
          <w:iCs/>
          <w:sz w:val="22"/>
          <w:szCs w:val="22"/>
        </w:rPr>
      </w:pPr>
      <w:r w:rsidRPr="00434756">
        <w:rPr>
          <w:rFonts w:cs="Arial"/>
          <w:i/>
          <w:iCs/>
          <w:sz w:val="22"/>
          <w:szCs w:val="22"/>
        </w:rPr>
        <w:t xml:space="preserve">"Solicitamos que se evalúe el cronograma de implementación de la propuesta, teniendo en consideración la nueva declaración de oferta por parte de los productores – comercializadores, así como el desarrollo de un análisis de impacto regulatorio, a partir del balance comercial Oferta-Demanda, que llevaría a cabo el </w:t>
      </w:r>
      <w:r w:rsidR="005114C6">
        <w:rPr>
          <w:rFonts w:cs="Arial"/>
          <w:i/>
          <w:iCs/>
          <w:sz w:val="22"/>
          <w:szCs w:val="22"/>
        </w:rPr>
        <w:t>Gestor del Mercado</w:t>
      </w:r>
      <w:r w:rsidRPr="00434756">
        <w:rPr>
          <w:rFonts w:cs="Arial"/>
          <w:i/>
          <w:iCs/>
          <w:sz w:val="22"/>
          <w:szCs w:val="22"/>
        </w:rPr>
        <w:t xml:space="preserve"> del Gas, en donde sugerimos sea considerada la totalidad de la demanda, en especial la demanda térmica. Por su parte, es importante llevar a cabo talleres y espacios de discusión adicionales a los realizados, de carácter práctico, así como simulaciones de las iniciativas planteadas, en particular, sobre la propuesta y los impactos del MADE en la cadena de gas natural.</w:t>
      </w:r>
      <w:r w:rsidR="00434756" w:rsidRPr="00434756">
        <w:rPr>
          <w:rFonts w:cs="Arial"/>
          <w:i/>
          <w:iCs/>
          <w:sz w:val="22"/>
          <w:szCs w:val="22"/>
        </w:rPr>
        <w:t>”</w:t>
      </w:r>
    </w:p>
    <w:p w14:paraId="53ECAE11" w14:textId="39DEA323" w:rsidR="00434756" w:rsidRDefault="00434756" w:rsidP="006F1229">
      <w:pPr>
        <w:rPr>
          <w:rFonts w:cs="Arial"/>
          <w:sz w:val="22"/>
          <w:szCs w:val="22"/>
        </w:rPr>
      </w:pPr>
    </w:p>
    <w:p w14:paraId="2D2541D8" w14:textId="0FB25C59" w:rsidR="00434756" w:rsidRDefault="00434756" w:rsidP="006F1229">
      <w:pPr>
        <w:rPr>
          <w:rFonts w:cs="Arial"/>
          <w:b/>
          <w:bCs/>
          <w:sz w:val="22"/>
          <w:szCs w:val="22"/>
        </w:rPr>
      </w:pPr>
      <w:r w:rsidRPr="00434756">
        <w:rPr>
          <w:rFonts w:cs="Arial"/>
          <w:b/>
          <w:bCs/>
          <w:sz w:val="22"/>
          <w:szCs w:val="22"/>
        </w:rPr>
        <w:t>Respuesta:</w:t>
      </w:r>
    </w:p>
    <w:p w14:paraId="488D7090" w14:textId="752420EC" w:rsidR="00434756" w:rsidRDefault="00434756" w:rsidP="006F1229">
      <w:pPr>
        <w:rPr>
          <w:rFonts w:cs="Arial"/>
          <w:b/>
          <w:bCs/>
          <w:sz w:val="22"/>
          <w:szCs w:val="22"/>
        </w:rPr>
      </w:pPr>
    </w:p>
    <w:p w14:paraId="060FEB0F" w14:textId="19C770B4" w:rsidR="00434756" w:rsidRDefault="00434756" w:rsidP="006F1229">
      <w:pPr>
        <w:rPr>
          <w:rFonts w:cs="Arial"/>
          <w:sz w:val="22"/>
          <w:szCs w:val="22"/>
        </w:rPr>
      </w:pPr>
      <w:r w:rsidRPr="00434756">
        <w:rPr>
          <w:rFonts w:cs="Arial"/>
          <w:sz w:val="22"/>
          <w:szCs w:val="22"/>
        </w:rPr>
        <w:t xml:space="preserve">Ver respuesta a </w:t>
      </w:r>
      <w:r w:rsidRPr="00434756">
        <w:rPr>
          <w:rFonts w:cs="Arial"/>
          <w:sz w:val="22"/>
          <w:szCs w:val="22"/>
        </w:rPr>
        <w:fldChar w:fldCharType="begin"/>
      </w:r>
      <w:r w:rsidRPr="00434756">
        <w:rPr>
          <w:rFonts w:cs="Arial"/>
          <w:sz w:val="22"/>
          <w:szCs w:val="22"/>
        </w:rPr>
        <w:instrText xml:space="preserve"> REF _Ref130285959 \r \h </w:instrText>
      </w:r>
      <w:r>
        <w:rPr>
          <w:rFonts w:cs="Arial"/>
          <w:sz w:val="22"/>
          <w:szCs w:val="22"/>
        </w:rPr>
        <w:instrText xml:space="preserve"> \* MERGEFORMAT </w:instrText>
      </w:r>
      <w:r w:rsidRPr="00434756">
        <w:rPr>
          <w:rFonts w:cs="Arial"/>
          <w:sz w:val="22"/>
          <w:szCs w:val="22"/>
        </w:rPr>
      </w:r>
      <w:r w:rsidRPr="00434756">
        <w:rPr>
          <w:rFonts w:cs="Arial"/>
          <w:sz w:val="22"/>
          <w:szCs w:val="22"/>
        </w:rPr>
        <w:fldChar w:fldCharType="separate"/>
      </w:r>
      <w:r w:rsidR="007651EA">
        <w:rPr>
          <w:rFonts w:cs="Arial"/>
          <w:sz w:val="22"/>
          <w:szCs w:val="22"/>
        </w:rPr>
        <w:t>1.2.1.5</w:t>
      </w:r>
      <w:r w:rsidRPr="00434756">
        <w:rPr>
          <w:rFonts w:cs="Arial"/>
          <w:sz w:val="22"/>
          <w:szCs w:val="22"/>
        </w:rPr>
        <w:fldChar w:fldCharType="end"/>
      </w:r>
      <w:r>
        <w:rPr>
          <w:rFonts w:cs="Arial"/>
          <w:sz w:val="22"/>
          <w:szCs w:val="22"/>
        </w:rPr>
        <w:t>.</w:t>
      </w:r>
    </w:p>
    <w:p w14:paraId="154C85D6" w14:textId="33B722A8" w:rsidR="00434756" w:rsidRDefault="00434756" w:rsidP="006F1229">
      <w:pPr>
        <w:rPr>
          <w:rFonts w:cs="Arial"/>
          <w:sz w:val="22"/>
          <w:szCs w:val="22"/>
        </w:rPr>
      </w:pPr>
    </w:p>
    <w:p w14:paraId="13B95E8D" w14:textId="6E001191" w:rsidR="00434756" w:rsidRPr="00434756" w:rsidRDefault="00434756" w:rsidP="006F1229">
      <w:pPr>
        <w:rPr>
          <w:rFonts w:cs="Arial"/>
          <w:sz w:val="22"/>
          <w:szCs w:val="22"/>
        </w:rPr>
      </w:pPr>
      <w:r>
        <w:rPr>
          <w:rFonts w:cs="Arial"/>
          <w:sz w:val="22"/>
          <w:szCs w:val="22"/>
        </w:rPr>
        <w:t xml:space="preserve">En la propuesta se incluye la obligación de realizar previamente a su implementación, </w:t>
      </w:r>
      <w:r w:rsidR="0081464C">
        <w:rPr>
          <w:rFonts w:cs="Arial"/>
          <w:sz w:val="22"/>
          <w:szCs w:val="22"/>
        </w:rPr>
        <w:t>e</w:t>
      </w:r>
      <w:r w:rsidR="0081464C" w:rsidRPr="0081464C">
        <w:rPr>
          <w:rFonts w:cs="Arial"/>
          <w:sz w:val="22"/>
          <w:szCs w:val="22"/>
        </w:rPr>
        <w:t xml:space="preserve">l </w:t>
      </w:r>
      <w:r w:rsidR="005114C6">
        <w:rPr>
          <w:rFonts w:cs="Arial"/>
          <w:sz w:val="22"/>
          <w:szCs w:val="22"/>
        </w:rPr>
        <w:t>Gestor del Mercado</w:t>
      </w:r>
      <w:r w:rsidR="0081464C" w:rsidRPr="0081464C">
        <w:rPr>
          <w:rFonts w:cs="Arial"/>
          <w:sz w:val="22"/>
          <w:szCs w:val="22"/>
        </w:rPr>
        <w:t xml:space="preserve"> deberá coordinar y adelantar un ejercicio de simulación de la realización del balance comercial </w:t>
      </w:r>
      <w:r w:rsidR="0081464C">
        <w:rPr>
          <w:rFonts w:cs="Arial"/>
          <w:sz w:val="22"/>
          <w:szCs w:val="22"/>
        </w:rPr>
        <w:t>propuesto</w:t>
      </w:r>
      <w:r w:rsidR="0081464C" w:rsidRPr="0081464C">
        <w:rPr>
          <w:rFonts w:cs="Arial"/>
          <w:sz w:val="22"/>
          <w:szCs w:val="22"/>
        </w:rPr>
        <w:t>, dentro de los dos meses calendario siguientes a la fecha de publicación de Resolución definitiva.</w:t>
      </w:r>
      <w:r w:rsidR="000B2E9B">
        <w:rPr>
          <w:rFonts w:cs="Arial"/>
          <w:sz w:val="22"/>
          <w:szCs w:val="22"/>
        </w:rPr>
        <w:t xml:space="preserve"> Este ejercicio no es el único que puede avanzar el Gestor del Mercado, pudiendo realizar más ejercicios previos de simulación. </w:t>
      </w:r>
    </w:p>
    <w:p w14:paraId="26C80962" w14:textId="631CBAA8" w:rsidR="00434756" w:rsidRDefault="00434756" w:rsidP="006F1229">
      <w:pPr>
        <w:rPr>
          <w:rFonts w:cs="Arial"/>
          <w:sz w:val="22"/>
          <w:szCs w:val="22"/>
        </w:rPr>
      </w:pPr>
    </w:p>
    <w:p w14:paraId="6031B8DD" w14:textId="77777777" w:rsidR="00434756" w:rsidRPr="006F1229" w:rsidRDefault="00434756" w:rsidP="006F1229">
      <w:pPr>
        <w:rPr>
          <w:rFonts w:cs="Arial"/>
          <w:sz w:val="22"/>
          <w:szCs w:val="22"/>
        </w:rPr>
      </w:pPr>
    </w:p>
    <w:p w14:paraId="54F8E171" w14:textId="77777777" w:rsidR="006F1229" w:rsidRDefault="006F1229" w:rsidP="006F6DE1">
      <w:pPr>
        <w:pStyle w:val="Ttulo4"/>
      </w:pPr>
      <w:r w:rsidRPr="006F1229">
        <w:t>ANDEG</w:t>
      </w:r>
      <w:r w:rsidRPr="006F1229">
        <w:tab/>
      </w:r>
    </w:p>
    <w:p w14:paraId="62694EC8" w14:textId="4425E7CE" w:rsidR="006F1229" w:rsidRPr="0081464C" w:rsidRDefault="006A55DF" w:rsidP="006F1229">
      <w:pPr>
        <w:rPr>
          <w:rFonts w:cs="Arial"/>
          <w:i/>
          <w:iCs/>
          <w:sz w:val="22"/>
          <w:szCs w:val="22"/>
        </w:rPr>
      </w:pPr>
      <w:r>
        <w:rPr>
          <w:rFonts w:cs="Arial"/>
          <w:sz w:val="22"/>
          <w:szCs w:val="22"/>
        </w:rPr>
        <w:t>“</w:t>
      </w:r>
      <w:r w:rsidR="006F1229" w:rsidRPr="0081464C">
        <w:rPr>
          <w:rFonts w:cs="Arial"/>
          <w:i/>
          <w:iCs/>
          <w:sz w:val="22"/>
          <w:szCs w:val="22"/>
        </w:rPr>
        <w:t>En especial, sugerimos que el análisis de impacto regulatorio de la propuesta normativa se integre a los análisis de la Comisión en relación con la evaluación de la realización de una subasta de expansión del Cargo por Confiabilidad, en el contexto del balance energético de mediano plazo, pues consideramos que, frente a situaciones de estrechez de oferta de energía en firme, es necesario que se tomen las medidas para asegurar las necesidades de suministro de gas natural para abastecimiento de plantas térmicas.</w:t>
      </w:r>
    </w:p>
    <w:p w14:paraId="7D00439E" w14:textId="77777777" w:rsidR="006F1229" w:rsidRPr="0081464C" w:rsidRDefault="006F1229" w:rsidP="006F1229">
      <w:pPr>
        <w:rPr>
          <w:rFonts w:cs="Arial"/>
          <w:i/>
          <w:iCs/>
          <w:sz w:val="22"/>
          <w:szCs w:val="22"/>
        </w:rPr>
      </w:pPr>
    </w:p>
    <w:p w14:paraId="3A2CD802" w14:textId="7D3AAC4A" w:rsidR="006F1229" w:rsidRPr="0081464C" w:rsidRDefault="006F1229" w:rsidP="006F1229">
      <w:pPr>
        <w:rPr>
          <w:rFonts w:cs="Arial"/>
          <w:i/>
          <w:iCs/>
          <w:sz w:val="22"/>
          <w:szCs w:val="22"/>
        </w:rPr>
      </w:pPr>
      <w:r w:rsidRPr="0081464C">
        <w:rPr>
          <w:rFonts w:cs="Arial"/>
          <w:i/>
          <w:iCs/>
          <w:sz w:val="22"/>
          <w:szCs w:val="22"/>
        </w:rPr>
        <w:t>De igual forma, es adecuado que el Regulador precise la forma en que medidas como la propuesta en la Resolución CREG 702</w:t>
      </w:r>
      <w:r w:rsidR="0081464C">
        <w:rPr>
          <w:rFonts w:cs="Arial"/>
          <w:i/>
          <w:iCs/>
          <w:sz w:val="22"/>
          <w:szCs w:val="22"/>
        </w:rPr>
        <w:t xml:space="preserve"> </w:t>
      </w:r>
      <w:r w:rsidRPr="0081464C">
        <w:rPr>
          <w:rFonts w:cs="Arial"/>
          <w:i/>
          <w:iCs/>
          <w:sz w:val="22"/>
          <w:szCs w:val="22"/>
        </w:rPr>
        <w:t>003 se articulan con los cambios planteados en el mercado mayorista de gas natural.</w:t>
      </w:r>
      <w:r w:rsidR="006A55DF">
        <w:rPr>
          <w:rFonts w:cs="Arial"/>
          <w:i/>
          <w:iCs/>
          <w:sz w:val="22"/>
          <w:szCs w:val="22"/>
        </w:rPr>
        <w:t>”</w:t>
      </w:r>
    </w:p>
    <w:p w14:paraId="36E0E735" w14:textId="6D12ACF3" w:rsidR="0081464C" w:rsidRDefault="0081464C" w:rsidP="006F1229">
      <w:pPr>
        <w:rPr>
          <w:rFonts w:cs="Arial"/>
          <w:sz w:val="22"/>
          <w:szCs w:val="22"/>
        </w:rPr>
      </w:pPr>
    </w:p>
    <w:p w14:paraId="0081D82C" w14:textId="5BCD0BDD" w:rsidR="0081464C" w:rsidRPr="0081464C" w:rsidRDefault="0081464C" w:rsidP="006F1229">
      <w:pPr>
        <w:rPr>
          <w:rFonts w:cs="Arial"/>
          <w:b/>
          <w:bCs/>
          <w:sz w:val="22"/>
          <w:szCs w:val="22"/>
        </w:rPr>
      </w:pPr>
      <w:r w:rsidRPr="0081464C">
        <w:rPr>
          <w:rFonts w:cs="Arial"/>
          <w:b/>
          <w:bCs/>
          <w:sz w:val="22"/>
          <w:szCs w:val="22"/>
        </w:rPr>
        <w:t>Respuesta:</w:t>
      </w:r>
    </w:p>
    <w:p w14:paraId="70526EB7" w14:textId="256E4DEE" w:rsidR="00827BAA" w:rsidRDefault="00827BAA" w:rsidP="006F1229">
      <w:pPr>
        <w:rPr>
          <w:rFonts w:cs="Arial"/>
          <w:sz w:val="22"/>
          <w:szCs w:val="22"/>
        </w:rPr>
      </w:pPr>
    </w:p>
    <w:p w14:paraId="13B06939" w14:textId="05E4D5EE" w:rsidR="00827BAA" w:rsidRDefault="00827BAA" w:rsidP="006F1229">
      <w:pPr>
        <w:rPr>
          <w:rFonts w:cs="Arial"/>
          <w:sz w:val="22"/>
          <w:szCs w:val="22"/>
        </w:rPr>
      </w:pPr>
      <w:r>
        <w:rPr>
          <w:rFonts w:cs="Arial"/>
          <w:sz w:val="22"/>
          <w:szCs w:val="22"/>
        </w:rPr>
        <w:t>La regulación del Cargo por Confiabilidad, las obligaciones establecidas y su esquema de remuneración, así como las particularidades de este en el sector eléctrico</w:t>
      </w:r>
      <w:r w:rsidR="00711743">
        <w:rPr>
          <w:rFonts w:cs="Arial"/>
          <w:sz w:val="22"/>
          <w:szCs w:val="22"/>
        </w:rPr>
        <w:t>,</w:t>
      </w:r>
      <w:r>
        <w:rPr>
          <w:rFonts w:cs="Arial"/>
          <w:sz w:val="22"/>
          <w:szCs w:val="22"/>
        </w:rPr>
        <w:t xml:space="preserve"> son objeto de regulación </w:t>
      </w:r>
      <w:r w:rsidR="00711743">
        <w:rPr>
          <w:rFonts w:cs="Arial"/>
          <w:sz w:val="22"/>
          <w:szCs w:val="22"/>
        </w:rPr>
        <w:t xml:space="preserve">de la CREG </w:t>
      </w:r>
      <w:r>
        <w:rPr>
          <w:rFonts w:cs="Arial"/>
          <w:sz w:val="22"/>
          <w:szCs w:val="22"/>
        </w:rPr>
        <w:t xml:space="preserve">específica aparte. </w:t>
      </w:r>
    </w:p>
    <w:p w14:paraId="329991BE" w14:textId="4878FCF1" w:rsidR="00711743" w:rsidRDefault="00711743" w:rsidP="006F1229">
      <w:pPr>
        <w:rPr>
          <w:rFonts w:cs="Arial"/>
          <w:sz w:val="22"/>
          <w:szCs w:val="22"/>
        </w:rPr>
      </w:pPr>
    </w:p>
    <w:p w14:paraId="657707C4" w14:textId="6B57964D" w:rsidR="00711743" w:rsidRDefault="00711743" w:rsidP="00711743">
      <w:pPr>
        <w:rPr>
          <w:rFonts w:cs="Arial"/>
          <w:sz w:val="22"/>
          <w:szCs w:val="22"/>
        </w:rPr>
      </w:pPr>
      <w:r>
        <w:rPr>
          <w:rFonts w:cs="Arial"/>
          <w:sz w:val="22"/>
          <w:szCs w:val="22"/>
        </w:rPr>
        <w:t>Las políticas energéticas en torno al aseguramiento del abastecimiento futuro y a la confiabilidad del servicio para cualquier tipo de sector de demanda de gas natural es de responsabilidad del Ministerio de Minas y Energía por lo que la regulación del Mercado Mayorista de Gas Natural se desarrolla a partir de los lineamientos de la política energética, entre otros los que ya han sido analizados en</w:t>
      </w:r>
      <w:r w:rsidR="006A55DF">
        <w:rPr>
          <w:rFonts w:cs="Arial"/>
          <w:sz w:val="22"/>
          <w:szCs w:val="22"/>
        </w:rPr>
        <w:t xml:space="preserve"> los numerales</w:t>
      </w:r>
      <w:r>
        <w:rPr>
          <w:rFonts w:cs="Arial"/>
          <w:sz w:val="22"/>
          <w:szCs w:val="22"/>
        </w:rPr>
        <w:t xml:space="preserve">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_Ref130286448 \r \h </w:instrText>
      </w:r>
      <w:r>
        <w:rPr>
          <w:rFonts w:cs="Arial"/>
          <w:sz w:val="22"/>
          <w:szCs w:val="22"/>
        </w:rPr>
      </w:r>
      <w:r>
        <w:rPr>
          <w:rFonts w:cs="Arial"/>
          <w:sz w:val="22"/>
          <w:szCs w:val="22"/>
        </w:rPr>
        <w:fldChar w:fldCharType="separate"/>
      </w:r>
      <w:r w:rsidR="007651EA">
        <w:rPr>
          <w:rFonts w:cs="Arial"/>
          <w:sz w:val="22"/>
          <w:szCs w:val="22"/>
        </w:rPr>
        <w:t>2.2.4</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_Ref130286474 \r \h </w:instrText>
      </w:r>
      <w:r>
        <w:rPr>
          <w:rFonts w:cs="Arial"/>
          <w:sz w:val="22"/>
          <w:szCs w:val="22"/>
        </w:rPr>
      </w:r>
      <w:r>
        <w:rPr>
          <w:rFonts w:cs="Arial"/>
          <w:sz w:val="22"/>
          <w:szCs w:val="22"/>
        </w:rPr>
        <w:fldChar w:fldCharType="separate"/>
      </w:r>
      <w:r w:rsidR="007651EA">
        <w:rPr>
          <w:rFonts w:cs="Arial"/>
          <w:sz w:val="22"/>
          <w:szCs w:val="22"/>
        </w:rPr>
        <w:t>2.2.5</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_Ref130286465 \r \h </w:instrText>
      </w:r>
      <w:r>
        <w:rPr>
          <w:rFonts w:cs="Arial"/>
          <w:sz w:val="22"/>
          <w:szCs w:val="22"/>
        </w:rPr>
      </w:r>
      <w:r>
        <w:rPr>
          <w:rFonts w:cs="Arial"/>
          <w:sz w:val="22"/>
          <w:szCs w:val="22"/>
        </w:rPr>
        <w:fldChar w:fldCharType="separate"/>
      </w:r>
      <w:r w:rsidR="007651EA">
        <w:rPr>
          <w:rFonts w:cs="Arial"/>
          <w:sz w:val="22"/>
          <w:szCs w:val="22"/>
        </w:rPr>
        <w:t>2.2.7</w:t>
      </w:r>
      <w:r>
        <w:rPr>
          <w:rFonts w:cs="Arial"/>
          <w:sz w:val="22"/>
          <w:szCs w:val="22"/>
        </w:rPr>
        <w:fldChar w:fldCharType="end"/>
      </w:r>
      <w:r>
        <w:rPr>
          <w:rFonts w:cs="Arial"/>
          <w:sz w:val="22"/>
          <w:szCs w:val="22"/>
        </w:rPr>
        <w:t xml:space="preserve"> del presente documento.</w:t>
      </w:r>
    </w:p>
    <w:p w14:paraId="019A4A40" w14:textId="77777777" w:rsidR="00711743" w:rsidRDefault="00711743" w:rsidP="00711743">
      <w:pPr>
        <w:rPr>
          <w:rFonts w:cs="Arial"/>
          <w:sz w:val="22"/>
          <w:szCs w:val="22"/>
        </w:rPr>
      </w:pPr>
    </w:p>
    <w:p w14:paraId="3891C6D5" w14:textId="6EFB76EE" w:rsidR="006F1229" w:rsidRDefault="003D7F0A" w:rsidP="00FE148C">
      <w:pPr>
        <w:rPr>
          <w:rFonts w:cs="Arial"/>
          <w:sz w:val="22"/>
          <w:szCs w:val="22"/>
        </w:rPr>
      </w:pPr>
      <w:r>
        <w:rPr>
          <w:rFonts w:cs="Arial"/>
          <w:sz w:val="22"/>
          <w:szCs w:val="22"/>
        </w:rPr>
        <w:t xml:space="preserve">En el desarrollo de las políticas energéticas, </w:t>
      </w:r>
      <w:r w:rsidR="00FE148C">
        <w:rPr>
          <w:rFonts w:cs="Arial"/>
          <w:sz w:val="22"/>
          <w:szCs w:val="22"/>
        </w:rPr>
        <w:t>c</w:t>
      </w:r>
      <w:r w:rsidR="00FE148C" w:rsidRPr="00FE148C">
        <w:rPr>
          <w:rFonts w:cs="Arial"/>
          <w:sz w:val="22"/>
          <w:szCs w:val="22"/>
        </w:rPr>
        <w:t>on el objeto de identificar</w:t>
      </w:r>
      <w:r w:rsidR="00FE148C">
        <w:rPr>
          <w:rFonts w:cs="Arial"/>
          <w:sz w:val="22"/>
          <w:szCs w:val="22"/>
        </w:rPr>
        <w:t xml:space="preserve"> </w:t>
      </w:r>
      <w:r w:rsidR="00FE148C" w:rsidRPr="00FE148C">
        <w:rPr>
          <w:rFonts w:cs="Arial"/>
          <w:sz w:val="22"/>
          <w:szCs w:val="22"/>
        </w:rPr>
        <w:t>los proyectos</w:t>
      </w:r>
      <w:r w:rsidR="00FE148C">
        <w:rPr>
          <w:rFonts w:cs="Arial"/>
          <w:sz w:val="22"/>
          <w:szCs w:val="22"/>
        </w:rPr>
        <w:t xml:space="preserve"> </w:t>
      </w:r>
      <w:r w:rsidR="00FE148C" w:rsidRPr="00FE148C">
        <w:rPr>
          <w:rFonts w:cs="Arial"/>
          <w:sz w:val="22"/>
          <w:szCs w:val="22"/>
        </w:rPr>
        <w:t>necesarios para garantizar la seguridad de abastecimiento y la confiabilidad del servicio</w:t>
      </w:r>
      <w:r w:rsidR="00FE148C">
        <w:rPr>
          <w:rFonts w:cs="Arial"/>
          <w:sz w:val="22"/>
          <w:szCs w:val="22"/>
        </w:rPr>
        <w:t xml:space="preserve"> </w:t>
      </w:r>
      <w:r w:rsidR="00FE148C" w:rsidRPr="00FE148C">
        <w:rPr>
          <w:rFonts w:cs="Arial"/>
          <w:sz w:val="22"/>
          <w:szCs w:val="22"/>
        </w:rPr>
        <w:t>de gas natural,</w:t>
      </w:r>
      <w:r w:rsidR="00FE148C">
        <w:rPr>
          <w:rFonts w:cs="Arial"/>
          <w:sz w:val="22"/>
          <w:szCs w:val="22"/>
        </w:rPr>
        <w:t xml:space="preserve"> </w:t>
      </w:r>
      <w:r>
        <w:rPr>
          <w:rFonts w:cs="Arial"/>
          <w:sz w:val="22"/>
          <w:szCs w:val="22"/>
        </w:rPr>
        <w:t xml:space="preserve">el MME ha </w:t>
      </w:r>
      <w:r w:rsidR="00A830FC">
        <w:rPr>
          <w:rFonts w:cs="Arial"/>
          <w:sz w:val="22"/>
          <w:szCs w:val="22"/>
        </w:rPr>
        <w:t>adoptado e</w:t>
      </w:r>
      <w:r>
        <w:rPr>
          <w:rFonts w:cs="Arial"/>
          <w:sz w:val="22"/>
          <w:szCs w:val="22"/>
        </w:rPr>
        <w:t xml:space="preserve">l Plan de Abastecimiento de Gas Natural </w:t>
      </w:r>
      <w:r w:rsidR="00A830FC">
        <w:rPr>
          <w:rFonts w:cs="Arial"/>
          <w:sz w:val="22"/>
          <w:szCs w:val="22"/>
        </w:rPr>
        <w:t>mediante la Resolución 40304 de 2020, junto con la Resolución 40281 de 2022, que la modifica parcialmente.</w:t>
      </w:r>
    </w:p>
    <w:p w14:paraId="402E79B0" w14:textId="51FF2902" w:rsidR="003D7F0A" w:rsidRDefault="003D7F0A" w:rsidP="006F1229">
      <w:pPr>
        <w:rPr>
          <w:rFonts w:cs="Arial"/>
          <w:sz w:val="22"/>
          <w:szCs w:val="22"/>
        </w:rPr>
      </w:pPr>
    </w:p>
    <w:p w14:paraId="44D503EC" w14:textId="77777777" w:rsidR="003D7F0A" w:rsidRDefault="003D7F0A" w:rsidP="006F1229">
      <w:pPr>
        <w:rPr>
          <w:rFonts w:cs="Arial"/>
          <w:sz w:val="22"/>
          <w:szCs w:val="22"/>
        </w:rPr>
      </w:pPr>
    </w:p>
    <w:p w14:paraId="4E861460" w14:textId="3A6661D3" w:rsidR="00FF0180" w:rsidRDefault="00FF0180" w:rsidP="00FF0180">
      <w:pPr>
        <w:pStyle w:val="Ttulo2"/>
      </w:pPr>
      <w:bookmarkStart w:id="501" w:name="_Toc140506242"/>
      <w:r>
        <w:t>ANDESCO</w:t>
      </w:r>
      <w:bookmarkEnd w:id="501"/>
    </w:p>
    <w:p w14:paraId="627B858D" w14:textId="77777777" w:rsidR="006F1229" w:rsidRDefault="006F1229" w:rsidP="006F6DE1">
      <w:pPr>
        <w:pStyle w:val="Ttulo4"/>
      </w:pPr>
      <w:bookmarkStart w:id="502" w:name="_Ref132637992"/>
      <w:r w:rsidRPr="006F1229">
        <w:t>ANDESCO</w:t>
      </w:r>
      <w:bookmarkEnd w:id="502"/>
      <w:r w:rsidRPr="006F1229">
        <w:tab/>
      </w:r>
    </w:p>
    <w:p w14:paraId="6567A77B" w14:textId="6728E932" w:rsidR="006F1229" w:rsidRPr="006F1229" w:rsidRDefault="006F1229" w:rsidP="006F1229">
      <w:pPr>
        <w:rPr>
          <w:rFonts w:cs="Arial"/>
          <w:sz w:val="22"/>
          <w:szCs w:val="22"/>
        </w:rPr>
      </w:pPr>
      <w:r w:rsidRPr="006F1229">
        <w:rPr>
          <w:rFonts w:cs="Arial"/>
          <w:sz w:val="22"/>
          <w:szCs w:val="22"/>
        </w:rPr>
        <w:t>"</w:t>
      </w:r>
      <w:r w:rsidRPr="002B7E75">
        <w:rPr>
          <w:rFonts w:cs="Arial"/>
          <w:i/>
          <w:iCs/>
          <w:sz w:val="22"/>
          <w:szCs w:val="22"/>
        </w:rPr>
        <w:t>Observamos que faltan aún disposiciones o mecanismos que permitan atender la demanda térmica con mayor facilidad, en particular en lo relacionado con la comercialización del gas nacional.</w:t>
      </w:r>
      <w:r w:rsidR="002B7E75">
        <w:rPr>
          <w:rFonts w:cs="Arial"/>
          <w:i/>
          <w:iCs/>
          <w:sz w:val="22"/>
          <w:szCs w:val="22"/>
        </w:rPr>
        <w:t>”</w:t>
      </w:r>
    </w:p>
    <w:p w14:paraId="549102F5" w14:textId="20F76A16" w:rsidR="006F1229" w:rsidRDefault="006F1229" w:rsidP="006F1229">
      <w:pPr>
        <w:rPr>
          <w:rFonts w:cs="Arial"/>
          <w:sz w:val="22"/>
          <w:szCs w:val="22"/>
        </w:rPr>
      </w:pPr>
    </w:p>
    <w:p w14:paraId="4EAD8776" w14:textId="5A1D40DF" w:rsidR="002B7E75" w:rsidRPr="002B7E75" w:rsidRDefault="002B7E75" w:rsidP="006F1229">
      <w:pPr>
        <w:rPr>
          <w:rFonts w:cs="Arial"/>
          <w:b/>
          <w:bCs/>
          <w:sz w:val="22"/>
          <w:szCs w:val="22"/>
        </w:rPr>
      </w:pPr>
      <w:r w:rsidRPr="002B7E75">
        <w:rPr>
          <w:rFonts w:cs="Arial"/>
          <w:b/>
          <w:bCs/>
          <w:sz w:val="22"/>
          <w:szCs w:val="22"/>
        </w:rPr>
        <w:t>Respuesta:</w:t>
      </w:r>
    </w:p>
    <w:p w14:paraId="2F4E9EB4" w14:textId="68C9C385" w:rsidR="002B7E75" w:rsidRDefault="002B7E75" w:rsidP="006F1229">
      <w:pPr>
        <w:rPr>
          <w:rFonts w:cs="Arial"/>
          <w:sz w:val="22"/>
          <w:szCs w:val="22"/>
        </w:rPr>
      </w:pPr>
    </w:p>
    <w:p w14:paraId="1F5EA394" w14:textId="36AA3F2E" w:rsidR="00EC5AFA" w:rsidRDefault="00EC5AFA"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_Ref130285959 \r \h </w:instrText>
      </w:r>
      <w:r>
        <w:rPr>
          <w:rFonts w:cs="Arial"/>
          <w:sz w:val="22"/>
          <w:szCs w:val="22"/>
        </w:rPr>
      </w:r>
      <w:r>
        <w:rPr>
          <w:rFonts w:cs="Arial"/>
          <w:sz w:val="22"/>
          <w:szCs w:val="22"/>
        </w:rPr>
        <w:fldChar w:fldCharType="separate"/>
      </w:r>
      <w:r w:rsidR="007651EA">
        <w:rPr>
          <w:rFonts w:cs="Arial"/>
          <w:sz w:val="22"/>
          <w:szCs w:val="22"/>
        </w:rPr>
        <w:t>1.2.1.5</w:t>
      </w:r>
      <w:r>
        <w:rPr>
          <w:rFonts w:cs="Arial"/>
          <w:sz w:val="22"/>
          <w:szCs w:val="22"/>
        </w:rPr>
        <w:fldChar w:fldCharType="end"/>
      </w:r>
      <w:r>
        <w:rPr>
          <w:rFonts w:cs="Arial"/>
          <w:sz w:val="22"/>
          <w:szCs w:val="22"/>
        </w:rPr>
        <w:t xml:space="preserve">. </w:t>
      </w:r>
    </w:p>
    <w:p w14:paraId="0D399123" w14:textId="7481A256" w:rsidR="00EC5AFA" w:rsidRDefault="00EC5AFA" w:rsidP="006F1229">
      <w:pPr>
        <w:rPr>
          <w:rFonts w:cs="Arial"/>
          <w:sz w:val="22"/>
          <w:szCs w:val="22"/>
        </w:rPr>
      </w:pPr>
    </w:p>
    <w:p w14:paraId="2C3DA70B" w14:textId="3A8CA7FA" w:rsidR="00EC5AFA" w:rsidRDefault="00EC5AFA" w:rsidP="006F1229">
      <w:pPr>
        <w:rPr>
          <w:rFonts w:cs="Arial"/>
          <w:sz w:val="22"/>
          <w:szCs w:val="22"/>
        </w:rPr>
      </w:pPr>
      <w:r>
        <w:rPr>
          <w:rFonts w:cs="Arial"/>
          <w:sz w:val="22"/>
          <w:szCs w:val="22"/>
        </w:rPr>
        <w:t>Ante condiciones de posible insuficiencia futura de oferta nacional para atender cualquier tipo de demanda nacional, se hace necesario establecer condiciones en el Mercado Mayorista que lleven al cumplimiento de la política energética. Dentro de ello la flexibilización de condiciones para atender la demanda nacional mediante contratos con gas obtenido en el exterior, busca reducir o eliminar la posibilidad de una insuficiencia de oferta de gas natural, si solo se cuentan con fuentes de suministro nacionales.</w:t>
      </w:r>
    </w:p>
    <w:p w14:paraId="41150267" w14:textId="5E0A086D" w:rsidR="00EC5AFA" w:rsidRDefault="00EC5AFA" w:rsidP="006F1229">
      <w:pPr>
        <w:rPr>
          <w:rFonts w:cs="Arial"/>
          <w:sz w:val="22"/>
          <w:szCs w:val="22"/>
        </w:rPr>
      </w:pPr>
    </w:p>
    <w:p w14:paraId="41F223BA" w14:textId="17137D2C" w:rsidR="00EC5AFA" w:rsidRDefault="00EC5AFA" w:rsidP="006F1229">
      <w:pPr>
        <w:rPr>
          <w:rFonts w:cs="Arial"/>
          <w:sz w:val="22"/>
          <w:szCs w:val="22"/>
        </w:rPr>
      </w:pPr>
      <w:r>
        <w:rPr>
          <w:rFonts w:cs="Arial"/>
          <w:sz w:val="22"/>
          <w:szCs w:val="22"/>
        </w:rPr>
        <w:t xml:space="preserve">Con la propuesta se busca que los mecanismos de acceso y de comercialización, así como los contenidos mínimos contractuales faciliten en general que la demanda </w:t>
      </w:r>
      <w:r w:rsidR="001C79B8">
        <w:rPr>
          <w:rFonts w:cs="Arial"/>
          <w:sz w:val="22"/>
          <w:szCs w:val="22"/>
        </w:rPr>
        <w:t xml:space="preserve">actual y futura </w:t>
      </w:r>
      <w:r>
        <w:rPr>
          <w:rFonts w:cs="Arial"/>
          <w:sz w:val="22"/>
          <w:szCs w:val="22"/>
        </w:rPr>
        <w:t xml:space="preserve">a ser atendida encuentre los medios para </w:t>
      </w:r>
      <w:r w:rsidR="001C79B8">
        <w:rPr>
          <w:rFonts w:cs="Arial"/>
          <w:sz w:val="22"/>
          <w:szCs w:val="22"/>
        </w:rPr>
        <w:t>ser abastecida en su totalidad</w:t>
      </w:r>
      <w:r w:rsidR="00F86C8F">
        <w:rPr>
          <w:rFonts w:cs="Arial"/>
          <w:sz w:val="22"/>
          <w:szCs w:val="22"/>
        </w:rPr>
        <w:t xml:space="preserve"> y con precios </w:t>
      </w:r>
      <w:r w:rsidR="002C2CBA">
        <w:rPr>
          <w:rFonts w:cs="Arial"/>
          <w:sz w:val="22"/>
          <w:szCs w:val="22"/>
        </w:rPr>
        <w:t>eficientes</w:t>
      </w:r>
      <w:r>
        <w:rPr>
          <w:rFonts w:cs="Arial"/>
          <w:sz w:val="22"/>
          <w:szCs w:val="22"/>
        </w:rPr>
        <w:t xml:space="preserve">. </w:t>
      </w:r>
    </w:p>
    <w:p w14:paraId="701A8250" w14:textId="77777777" w:rsidR="002B7E75" w:rsidRDefault="002B7E75" w:rsidP="006F1229">
      <w:pPr>
        <w:rPr>
          <w:rFonts w:cs="Arial"/>
          <w:sz w:val="22"/>
          <w:szCs w:val="22"/>
        </w:rPr>
      </w:pPr>
    </w:p>
    <w:p w14:paraId="6BB5532B" w14:textId="77777777" w:rsidR="006F6DE1" w:rsidRPr="006F1229" w:rsidRDefault="006F6DE1" w:rsidP="006F1229">
      <w:pPr>
        <w:rPr>
          <w:rFonts w:cs="Arial"/>
          <w:sz w:val="22"/>
          <w:szCs w:val="22"/>
        </w:rPr>
      </w:pPr>
    </w:p>
    <w:p w14:paraId="4148CE50" w14:textId="77777777" w:rsidR="006F1229" w:rsidRDefault="006F1229" w:rsidP="006F6DE1">
      <w:pPr>
        <w:pStyle w:val="Ttulo4"/>
      </w:pPr>
      <w:r w:rsidRPr="006F1229">
        <w:t>ANDESCO</w:t>
      </w:r>
      <w:r w:rsidRPr="006F1229">
        <w:tab/>
      </w:r>
    </w:p>
    <w:p w14:paraId="4B10E490" w14:textId="51C0FBFB" w:rsidR="006F1229" w:rsidRPr="00994FD6" w:rsidRDefault="00352357" w:rsidP="006F1229">
      <w:pPr>
        <w:rPr>
          <w:rFonts w:cs="Arial"/>
          <w:i/>
          <w:iCs/>
          <w:sz w:val="22"/>
          <w:szCs w:val="22"/>
        </w:rPr>
      </w:pPr>
      <w:r>
        <w:rPr>
          <w:rFonts w:cs="Arial"/>
          <w:i/>
          <w:iCs/>
          <w:sz w:val="22"/>
          <w:szCs w:val="22"/>
        </w:rPr>
        <w:t>“</w:t>
      </w:r>
      <w:r w:rsidR="006F1229" w:rsidRPr="00994FD6">
        <w:rPr>
          <w:rFonts w:cs="Arial"/>
          <w:i/>
          <w:iCs/>
          <w:sz w:val="22"/>
          <w:szCs w:val="22"/>
        </w:rPr>
        <w:t xml:space="preserve">Por último, reiteramos la importancia de que las disposiciones que se definan </w:t>
      </w:r>
      <w:proofErr w:type="gramStart"/>
      <w:r w:rsidR="006F1229" w:rsidRPr="00994FD6">
        <w:rPr>
          <w:rFonts w:cs="Arial"/>
          <w:i/>
          <w:iCs/>
          <w:sz w:val="22"/>
          <w:szCs w:val="22"/>
        </w:rPr>
        <w:t>atienda</w:t>
      </w:r>
      <w:proofErr w:type="gramEnd"/>
      <w:r w:rsidR="006F1229" w:rsidRPr="00994FD6">
        <w:rPr>
          <w:rFonts w:cs="Arial"/>
          <w:i/>
          <w:iCs/>
          <w:sz w:val="22"/>
          <w:szCs w:val="22"/>
        </w:rPr>
        <w:t xml:space="preserve"> en objetivo de competencia y liquidez del mercado, de manera que redunde en la prestación segura y eficiente del servicio público de gas natural.</w:t>
      </w:r>
      <w:r>
        <w:rPr>
          <w:rFonts w:cs="Arial"/>
          <w:i/>
          <w:iCs/>
          <w:sz w:val="22"/>
          <w:szCs w:val="22"/>
        </w:rPr>
        <w:t>”</w:t>
      </w:r>
    </w:p>
    <w:p w14:paraId="5572C006" w14:textId="05A2E4F7" w:rsidR="006F1229" w:rsidRDefault="006F1229" w:rsidP="006F1229">
      <w:pPr>
        <w:rPr>
          <w:rFonts w:cs="Arial"/>
          <w:sz w:val="22"/>
          <w:szCs w:val="22"/>
        </w:rPr>
      </w:pPr>
    </w:p>
    <w:p w14:paraId="5536855C" w14:textId="511B2949" w:rsidR="00E91E85" w:rsidRPr="00E91E85" w:rsidRDefault="00E91E85" w:rsidP="006F1229">
      <w:pPr>
        <w:rPr>
          <w:rFonts w:cs="Arial"/>
          <w:b/>
          <w:bCs/>
          <w:sz w:val="22"/>
          <w:szCs w:val="22"/>
        </w:rPr>
      </w:pPr>
      <w:r w:rsidRPr="00E91E85">
        <w:rPr>
          <w:rFonts w:cs="Arial"/>
          <w:b/>
          <w:bCs/>
          <w:sz w:val="22"/>
          <w:szCs w:val="22"/>
        </w:rPr>
        <w:t>Respuesta:</w:t>
      </w:r>
    </w:p>
    <w:p w14:paraId="1A0BB9ED" w14:textId="4EE87BDC" w:rsidR="00E91E85" w:rsidRDefault="00E91E85" w:rsidP="006F1229">
      <w:pPr>
        <w:rPr>
          <w:rFonts w:cs="Arial"/>
          <w:sz w:val="22"/>
          <w:szCs w:val="22"/>
        </w:rPr>
      </w:pPr>
    </w:p>
    <w:p w14:paraId="092CE040" w14:textId="4710F069" w:rsidR="00E91E85" w:rsidRDefault="00E91E85" w:rsidP="00E91E85">
      <w:pPr>
        <w:rPr>
          <w:rFonts w:cs="Arial"/>
          <w:sz w:val="22"/>
          <w:szCs w:val="22"/>
        </w:rPr>
      </w:pPr>
      <w:r>
        <w:rPr>
          <w:rFonts w:cs="Arial"/>
          <w:sz w:val="22"/>
          <w:szCs w:val="22"/>
        </w:rPr>
        <w:t>En efecto, dentro de los objetivos de la regulación del Mercado Mayorista se encuentra, entre otros, el de a</w:t>
      </w:r>
      <w:r w:rsidRPr="00E91E85">
        <w:rPr>
          <w:rFonts w:cs="Arial"/>
          <w:sz w:val="22"/>
          <w:szCs w:val="22"/>
        </w:rPr>
        <w:t>doptar medidas para promover la competencia y la formación de precios eficientes</w:t>
      </w:r>
      <w:r>
        <w:rPr>
          <w:rFonts w:cs="Arial"/>
          <w:sz w:val="22"/>
          <w:szCs w:val="22"/>
        </w:rPr>
        <w:t xml:space="preserve"> y a</w:t>
      </w:r>
      <w:r w:rsidRPr="00E91E85">
        <w:rPr>
          <w:rFonts w:cs="Arial"/>
          <w:sz w:val="22"/>
          <w:szCs w:val="22"/>
        </w:rPr>
        <w:t>doptar medidas para promover la transparencia y la liquidez de los mercados secundarios y de corto plazo</w:t>
      </w:r>
      <w:r w:rsidR="00352357">
        <w:rPr>
          <w:rFonts w:cs="Arial"/>
          <w:sz w:val="22"/>
          <w:szCs w:val="22"/>
        </w:rPr>
        <w:t>, en el marco de lo dispuesto en la Ley 142 de 1994</w:t>
      </w:r>
      <w:r w:rsidRPr="00E91E85">
        <w:rPr>
          <w:rFonts w:cs="Arial"/>
          <w:sz w:val="22"/>
          <w:szCs w:val="22"/>
        </w:rPr>
        <w:t>.</w:t>
      </w:r>
    </w:p>
    <w:p w14:paraId="6451A08C" w14:textId="2A891A17" w:rsidR="00E91E85" w:rsidRDefault="00E91E85" w:rsidP="00E91E85">
      <w:pPr>
        <w:rPr>
          <w:rFonts w:cs="Arial"/>
          <w:sz w:val="22"/>
          <w:szCs w:val="22"/>
        </w:rPr>
      </w:pPr>
    </w:p>
    <w:p w14:paraId="68BAA82A" w14:textId="187D74BE" w:rsidR="00E91E85" w:rsidRPr="00E91E85" w:rsidRDefault="00E91E85" w:rsidP="00E91E85">
      <w:pPr>
        <w:rPr>
          <w:rFonts w:cs="Arial"/>
          <w:sz w:val="22"/>
          <w:szCs w:val="22"/>
        </w:rPr>
      </w:pPr>
      <w:r>
        <w:rPr>
          <w:rFonts w:cs="Arial"/>
          <w:sz w:val="22"/>
          <w:szCs w:val="22"/>
        </w:rPr>
        <w:t>Debe tener en cuenta la CREG que el mercado mayorista es limitado particularmente en la oferta</w:t>
      </w:r>
      <w:r w:rsidR="00994FD6">
        <w:rPr>
          <w:rFonts w:cs="Arial"/>
          <w:sz w:val="22"/>
          <w:szCs w:val="22"/>
        </w:rPr>
        <w:t xml:space="preserve"> nacional</w:t>
      </w:r>
      <w:r>
        <w:rPr>
          <w:rFonts w:cs="Arial"/>
          <w:sz w:val="22"/>
          <w:szCs w:val="22"/>
        </w:rPr>
        <w:t xml:space="preserve"> de</w:t>
      </w:r>
      <w:r w:rsidR="00994FD6">
        <w:rPr>
          <w:rFonts w:cs="Arial"/>
          <w:sz w:val="22"/>
          <w:szCs w:val="22"/>
        </w:rPr>
        <w:t xml:space="preserve">l mercado primario, </w:t>
      </w:r>
      <w:r>
        <w:rPr>
          <w:rFonts w:cs="Arial"/>
          <w:sz w:val="22"/>
          <w:szCs w:val="22"/>
        </w:rPr>
        <w:t xml:space="preserve">por </w:t>
      </w:r>
      <w:r w:rsidR="00994FD6">
        <w:rPr>
          <w:rFonts w:cs="Arial"/>
          <w:sz w:val="22"/>
          <w:szCs w:val="22"/>
        </w:rPr>
        <w:t>todos aquellos aspectos que afectan el desarrollo de la exploración y explotación de recursos potenciales de gas natural.</w:t>
      </w:r>
    </w:p>
    <w:p w14:paraId="4E84B704" w14:textId="77777777" w:rsidR="00E91E85" w:rsidRDefault="00E91E85" w:rsidP="006F1229">
      <w:pPr>
        <w:rPr>
          <w:rFonts w:cs="Arial"/>
          <w:sz w:val="22"/>
          <w:szCs w:val="22"/>
        </w:rPr>
      </w:pPr>
    </w:p>
    <w:p w14:paraId="1CBC0ADB" w14:textId="77777777" w:rsidR="00FF0180" w:rsidRDefault="00FF0180" w:rsidP="006F1229">
      <w:pPr>
        <w:rPr>
          <w:rFonts w:cs="Arial"/>
          <w:sz w:val="22"/>
          <w:szCs w:val="22"/>
        </w:rPr>
      </w:pPr>
    </w:p>
    <w:p w14:paraId="4D53A8CF" w14:textId="4B7F545A" w:rsidR="007611EF" w:rsidRDefault="007611EF" w:rsidP="00FF0180">
      <w:pPr>
        <w:pStyle w:val="Ttulo2"/>
      </w:pPr>
      <w:bookmarkStart w:id="503" w:name="_Toc140506243"/>
      <w:r>
        <w:t>EFIGÁS</w:t>
      </w:r>
      <w:bookmarkEnd w:id="503"/>
    </w:p>
    <w:p w14:paraId="6ED3DC68" w14:textId="17CBCE4C" w:rsidR="007611EF" w:rsidRDefault="007611EF" w:rsidP="007611EF">
      <w:pPr>
        <w:pStyle w:val="Ttulo4"/>
      </w:pPr>
      <w:bookmarkStart w:id="504" w:name="_Ref130291962"/>
      <w:r>
        <w:t>EFIGÁS</w:t>
      </w:r>
      <w:bookmarkEnd w:id="504"/>
    </w:p>
    <w:p w14:paraId="5F4D360C" w14:textId="77777777" w:rsidR="007611EF" w:rsidRPr="002B68E8" w:rsidRDefault="007611EF" w:rsidP="007611EF">
      <w:pPr>
        <w:rPr>
          <w:i/>
          <w:iCs/>
          <w:sz w:val="22"/>
          <w:szCs w:val="22"/>
        </w:rPr>
      </w:pPr>
      <w:r w:rsidRPr="007611EF">
        <w:rPr>
          <w:sz w:val="22"/>
          <w:szCs w:val="22"/>
        </w:rPr>
        <w:t>"</w:t>
      </w:r>
      <w:r w:rsidRPr="002B68E8">
        <w:rPr>
          <w:i/>
          <w:iCs/>
          <w:sz w:val="22"/>
          <w:szCs w:val="22"/>
        </w:rPr>
        <w:t>Considerando los comentarios realizados sobre el proyecto de resolución CREG 227/21 y reconociendo que el proyecto de resolución CREG 226/21 contiene aspectos positivos en la propuesta para regular las condiciones comerciales del mercado mayorista de gas natural, en términos generales se señalan a continuación, los aspectos que sobre esta última se considera necesario tener en cuenta en una nueva propuesta, fundamentada en cifras válidas y coherentes y alineada con la realidad del mercado:</w:t>
      </w:r>
    </w:p>
    <w:p w14:paraId="301F4C38" w14:textId="77777777" w:rsidR="007611EF" w:rsidRPr="002B68E8" w:rsidRDefault="007611EF" w:rsidP="007611EF">
      <w:pPr>
        <w:rPr>
          <w:i/>
          <w:iCs/>
          <w:sz w:val="22"/>
          <w:szCs w:val="22"/>
        </w:rPr>
      </w:pPr>
      <w:r w:rsidRPr="002B68E8">
        <w:rPr>
          <w:i/>
          <w:iCs/>
          <w:sz w:val="22"/>
          <w:szCs w:val="22"/>
        </w:rPr>
        <w:t xml:space="preserve"> </w:t>
      </w:r>
    </w:p>
    <w:p w14:paraId="3BBBBC5D" w14:textId="77777777" w:rsidR="007611EF" w:rsidRPr="002B68E8" w:rsidRDefault="007611EF" w:rsidP="007611EF">
      <w:pPr>
        <w:rPr>
          <w:i/>
          <w:iCs/>
          <w:sz w:val="22"/>
          <w:szCs w:val="22"/>
        </w:rPr>
      </w:pPr>
      <w:r w:rsidRPr="002B68E8">
        <w:rPr>
          <w:i/>
          <w:iCs/>
          <w:sz w:val="22"/>
          <w:szCs w:val="22"/>
        </w:rPr>
        <w:t>•</w:t>
      </w:r>
      <w:r w:rsidRPr="002B68E8">
        <w:rPr>
          <w:i/>
          <w:iCs/>
          <w:sz w:val="22"/>
          <w:szCs w:val="22"/>
        </w:rPr>
        <w:tab/>
        <w:t>El productor no debería poder participar en el mercado secundario, ya que esto desincentiva la participación de los comercializadores en este mercado.</w:t>
      </w:r>
    </w:p>
    <w:p w14:paraId="2C360238" w14:textId="77777777" w:rsidR="007611EF" w:rsidRPr="002B68E8" w:rsidRDefault="007611EF" w:rsidP="007611EF">
      <w:pPr>
        <w:rPr>
          <w:i/>
          <w:iCs/>
          <w:sz w:val="22"/>
          <w:szCs w:val="22"/>
        </w:rPr>
      </w:pPr>
    </w:p>
    <w:p w14:paraId="2EFFEE4B" w14:textId="538A6519" w:rsidR="007611EF" w:rsidRPr="002B68E8" w:rsidRDefault="007611EF" w:rsidP="007611EF">
      <w:pPr>
        <w:rPr>
          <w:i/>
          <w:iCs/>
          <w:sz w:val="22"/>
          <w:szCs w:val="22"/>
        </w:rPr>
      </w:pPr>
      <w:r w:rsidRPr="002B68E8">
        <w:rPr>
          <w:i/>
          <w:iCs/>
          <w:sz w:val="22"/>
          <w:szCs w:val="22"/>
        </w:rPr>
        <w:t>•</w:t>
      </w:r>
      <w:r w:rsidRPr="002B68E8">
        <w:rPr>
          <w:i/>
          <w:iCs/>
          <w:sz w:val="22"/>
          <w:szCs w:val="22"/>
        </w:rPr>
        <w:tab/>
        <w:t xml:space="preserve">En el momento de realizar el balance comercial y al no existir señales de precio cuando los comercializadores realicen las intenciones de compra, se puede ocasionar un déficit en las cantidades del balance comercial, teniendo como resultado la ejecución de la subasta por parte del </w:t>
      </w:r>
      <w:r w:rsidR="005114C6">
        <w:rPr>
          <w:i/>
          <w:iCs/>
          <w:sz w:val="22"/>
          <w:szCs w:val="22"/>
        </w:rPr>
        <w:t>Gestor del Mercado</w:t>
      </w:r>
      <w:r w:rsidRPr="002B68E8">
        <w:rPr>
          <w:i/>
          <w:iCs/>
          <w:sz w:val="22"/>
          <w:szCs w:val="22"/>
        </w:rPr>
        <w:t>, la cual puede resultar innecesaria, pues al revelarse el precio, los comercializadores disminuirían las cantidades requeridas, y el balance comercial sería excedentario.</w:t>
      </w:r>
    </w:p>
    <w:p w14:paraId="2B6585D2" w14:textId="77777777" w:rsidR="007611EF" w:rsidRPr="002B68E8" w:rsidRDefault="007611EF" w:rsidP="007611EF">
      <w:pPr>
        <w:rPr>
          <w:i/>
          <w:iCs/>
          <w:sz w:val="22"/>
          <w:szCs w:val="22"/>
        </w:rPr>
      </w:pPr>
    </w:p>
    <w:p w14:paraId="70CB8335" w14:textId="77777777" w:rsidR="007611EF" w:rsidRPr="002B68E8" w:rsidRDefault="007611EF" w:rsidP="007611EF">
      <w:pPr>
        <w:rPr>
          <w:i/>
          <w:iCs/>
          <w:sz w:val="22"/>
          <w:szCs w:val="22"/>
        </w:rPr>
      </w:pPr>
      <w:r w:rsidRPr="002B68E8">
        <w:rPr>
          <w:i/>
          <w:iCs/>
          <w:sz w:val="22"/>
          <w:szCs w:val="22"/>
        </w:rPr>
        <w:t>•</w:t>
      </w:r>
      <w:r w:rsidRPr="002B68E8">
        <w:rPr>
          <w:i/>
          <w:iCs/>
          <w:sz w:val="22"/>
          <w:szCs w:val="22"/>
        </w:rPr>
        <w:tab/>
        <w:t>El productor no tiene límite ni restricción de precios para las negociaciones en el mercado mayorista, por lo cual los comercializadores no tienen condiciones para negociar los contratos.</w:t>
      </w:r>
    </w:p>
    <w:p w14:paraId="4A7571C1" w14:textId="77777777" w:rsidR="007611EF" w:rsidRPr="002B68E8" w:rsidRDefault="007611EF" w:rsidP="007611EF">
      <w:pPr>
        <w:rPr>
          <w:i/>
          <w:iCs/>
          <w:sz w:val="22"/>
          <w:szCs w:val="22"/>
        </w:rPr>
      </w:pPr>
    </w:p>
    <w:p w14:paraId="00B5F375" w14:textId="1699C95D" w:rsidR="007611EF" w:rsidRPr="002B68E8" w:rsidRDefault="007611EF" w:rsidP="007611EF">
      <w:pPr>
        <w:rPr>
          <w:i/>
          <w:iCs/>
          <w:sz w:val="22"/>
          <w:szCs w:val="22"/>
        </w:rPr>
      </w:pPr>
      <w:r w:rsidRPr="002B68E8">
        <w:rPr>
          <w:i/>
          <w:iCs/>
          <w:sz w:val="22"/>
          <w:szCs w:val="22"/>
        </w:rPr>
        <w:t>•</w:t>
      </w:r>
      <w:r w:rsidRPr="002B68E8">
        <w:rPr>
          <w:i/>
          <w:iCs/>
          <w:sz w:val="22"/>
          <w:szCs w:val="22"/>
        </w:rPr>
        <w:tab/>
        <w:t>No es clara la fecha de la prueba piloto del balance comercial por parte del gestor de mercado."</w:t>
      </w:r>
    </w:p>
    <w:p w14:paraId="40999EC8" w14:textId="4DE4D1C6" w:rsidR="007611EF" w:rsidRDefault="007611EF" w:rsidP="007611EF"/>
    <w:p w14:paraId="5E508619" w14:textId="63037671" w:rsidR="002B68E8" w:rsidRPr="00BF7DFB" w:rsidRDefault="002B68E8" w:rsidP="007611EF">
      <w:pPr>
        <w:rPr>
          <w:b/>
          <w:bCs/>
          <w:sz w:val="22"/>
          <w:szCs w:val="22"/>
        </w:rPr>
      </w:pPr>
      <w:r w:rsidRPr="00BF7DFB">
        <w:rPr>
          <w:b/>
          <w:bCs/>
          <w:sz w:val="22"/>
          <w:szCs w:val="22"/>
        </w:rPr>
        <w:t>Respuesta:</w:t>
      </w:r>
    </w:p>
    <w:p w14:paraId="16E3AF36" w14:textId="1F0A94DF" w:rsidR="002B68E8" w:rsidRPr="00BF7DFB" w:rsidRDefault="002B68E8" w:rsidP="007611EF">
      <w:pPr>
        <w:rPr>
          <w:sz w:val="22"/>
          <w:szCs w:val="22"/>
        </w:rPr>
      </w:pPr>
    </w:p>
    <w:p w14:paraId="73FDE99A" w14:textId="06F14657" w:rsidR="002B68E8" w:rsidRPr="00BF7DFB" w:rsidRDefault="009E166A" w:rsidP="007611EF">
      <w:pPr>
        <w:rPr>
          <w:sz w:val="22"/>
          <w:szCs w:val="22"/>
        </w:rPr>
      </w:pPr>
      <w:r w:rsidRPr="00BF7DFB">
        <w:rPr>
          <w:sz w:val="22"/>
          <w:szCs w:val="22"/>
        </w:rPr>
        <w:t xml:space="preserve">En la propuesta publicada </w:t>
      </w:r>
      <w:r w:rsidR="00470329" w:rsidRPr="00BF7DFB">
        <w:rPr>
          <w:sz w:val="22"/>
          <w:szCs w:val="22"/>
        </w:rPr>
        <w:t xml:space="preserve">mediante la Resolución CREG 226 de 2021 </w:t>
      </w:r>
      <w:r w:rsidRPr="00BF7DFB">
        <w:rPr>
          <w:sz w:val="22"/>
          <w:szCs w:val="22"/>
        </w:rPr>
        <w:t xml:space="preserve">no se está modificando la actual participación de los productores-comercializadores en el Mercado Mayorista. El Mercado Secundario tiene como fin el de resolver de la mejor manera la comercialización de aquellos excedentes de gas contratados por los compradores del Mercado Primario, con énfasis en aquellas cantidades contratadas que se deben pagar como mínimo durante un mes de liquidación, y las necesidades de otros compradores que buscan cantidades de gas que no </w:t>
      </w:r>
      <w:r w:rsidR="00B62FB4">
        <w:rPr>
          <w:sz w:val="22"/>
          <w:szCs w:val="22"/>
        </w:rPr>
        <w:t xml:space="preserve">lograron </w:t>
      </w:r>
      <w:r w:rsidRPr="00BF7DFB">
        <w:rPr>
          <w:sz w:val="22"/>
          <w:szCs w:val="22"/>
        </w:rPr>
        <w:t>contratar en el Mercado Primario.</w:t>
      </w:r>
      <w:r w:rsidR="00227D90" w:rsidRPr="00BF7DFB">
        <w:rPr>
          <w:sz w:val="22"/>
          <w:szCs w:val="22"/>
        </w:rPr>
        <w:t xml:space="preserve"> </w:t>
      </w:r>
    </w:p>
    <w:p w14:paraId="266C06E8" w14:textId="1951C9BA" w:rsidR="00227D90" w:rsidRPr="00BF7DFB" w:rsidRDefault="00227D90" w:rsidP="007611EF">
      <w:pPr>
        <w:rPr>
          <w:sz w:val="22"/>
          <w:szCs w:val="22"/>
        </w:rPr>
      </w:pPr>
    </w:p>
    <w:p w14:paraId="71B49712" w14:textId="61B5B342" w:rsidR="00227D90" w:rsidRPr="00BF7DFB" w:rsidRDefault="00227D90" w:rsidP="007611EF">
      <w:pPr>
        <w:rPr>
          <w:sz w:val="22"/>
          <w:szCs w:val="22"/>
        </w:rPr>
      </w:pPr>
      <w:r w:rsidRPr="00BF7DFB">
        <w:rPr>
          <w:sz w:val="22"/>
          <w:szCs w:val="22"/>
        </w:rPr>
        <w:t xml:space="preserve">Con la propuesta publicada, la única participación que mantendrían los productores-comercializadores como vendedores en donde también pueden participar </w:t>
      </w:r>
      <w:r w:rsidR="00B62FB4">
        <w:rPr>
          <w:sz w:val="22"/>
          <w:szCs w:val="22"/>
        </w:rPr>
        <w:t xml:space="preserve">simultáneamente </w:t>
      </w:r>
      <w:r w:rsidRPr="00BF7DFB">
        <w:rPr>
          <w:sz w:val="22"/>
          <w:szCs w:val="22"/>
        </w:rPr>
        <w:t>los comercializadores como vendedores, sería en los casos de</w:t>
      </w:r>
      <w:r w:rsidR="005A1930" w:rsidRPr="00BF7DFB">
        <w:rPr>
          <w:sz w:val="22"/>
          <w:szCs w:val="22"/>
        </w:rPr>
        <w:t xml:space="preserve"> los</w:t>
      </w:r>
      <w:r w:rsidRPr="00BF7DFB">
        <w:rPr>
          <w:sz w:val="22"/>
          <w:szCs w:val="22"/>
        </w:rPr>
        <w:t xml:space="preserve"> contratos con interrupciones, pero en ningún caso de contratos firmes o que garantizan firmeza. </w:t>
      </w:r>
      <w:r w:rsidR="0099338B" w:rsidRPr="00BF7DFB">
        <w:rPr>
          <w:sz w:val="22"/>
          <w:szCs w:val="22"/>
        </w:rPr>
        <w:t>En l</w:t>
      </w:r>
      <w:r w:rsidRPr="00BF7DFB">
        <w:rPr>
          <w:sz w:val="22"/>
          <w:szCs w:val="22"/>
        </w:rPr>
        <w:t>os contratos con interrupciones por definición</w:t>
      </w:r>
      <w:r w:rsidR="00470329" w:rsidRPr="00BF7DFB">
        <w:rPr>
          <w:sz w:val="22"/>
          <w:szCs w:val="22"/>
        </w:rPr>
        <w:t>,</w:t>
      </w:r>
      <w:r w:rsidR="0099338B" w:rsidRPr="00BF7DFB">
        <w:rPr>
          <w:sz w:val="22"/>
          <w:szCs w:val="22"/>
        </w:rPr>
        <w:t xml:space="preserve"> el servicio puede ser interrumpido por cualquiera de las partes, en cualquier momento y bajo cualquier circunstancia, dando aviso previo a la otra parte, por lo que la venta y el pago de dicho contrato requiere realmente que se cumplan simultáneamente </w:t>
      </w:r>
      <w:r w:rsidR="00F17BCB" w:rsidRPr="00BF7DFB">
        <w:rPr>
          <w:sz w:val="22"/>
          <w:szCs w:val="22"/>
        </w:rPr>
        <w:t>varias</w:t>
      </w:r>
      <w:r w:rsidR="0099338B" w:rsidRPr="00BF7DFB">
        <w:rPr>
          <w:sz w:val="22"/>
          <w:szCs w:val="22"/>
        </w:rPr>
        <w:t xml:space="preserve"> condiciones, eso sí, limitadas a un precio máximo y </w:t>
      </w:r>
      <w:r w:rsidR="00470329" w:rsidRPr="00BF7DFB">
        <w:rPr>
          <w:sz w:val="22"/>
          <w:szCs w:val="22"/>
        </w:rPr>
        <w:t xml:space="preserve">a </w:t>
      </w:r>
      <w:r w:rsidR="0099338B" w:rsidRPr="00BF7DFB">
        <w:rPr>
          <w:sz w:val="22"/>
          <w:szCs w:val="22"/>
        </w:rPr>
        <w:t>una cantidad máxima. Es decir, no</w:t>
      </w:r>
      <w:r w:rsidR="00F17BCB" w:rsidRPr="00BF7DFB">
        <w:rPr>
          <w:sz w:val="22"/>
          <w:szCs w:val="22"/>
        </w:rPr>
        <w:t xml:space="preserve"> se pacta </w:t>
      </w:r>
      <w:r w:rsidR="0099338B" w:rsidRPr="00BF7DFB">
        <w:rPr>
          <w:sz w:val="22"/>
          <w:szCs w:val="22"/>
        </w:rPr>
        <w:t>un pago mínimo obligatorio de parte del comprador, ni una cantidad diaria garantizada por parte del vendedor. Así, las condiciones simultáneas que se deben cumplir</w:t>
      </w:r>
      <w:r w:rsidR="002D17CF" w:rsidRPr="00BF7DFB">
        <w:rPr>
          <w:sz w:val="22"/>
          <w:szCs w:val="22"/>
        </w:rPr>
        <w:t>, al menos conceptualmente,</w:t>
      </w:r>
      <w:r w:rsidR="0099338B" w:rsidRPr="00BF7DFB">
        <w:rPr>
          <w:sz w:val="22"/>
          <w:szCs w:val="22"/>
        </w:rPr>
        <w:t xml:space="preserve"> es que, </w:t>
      </w:r>
      <w:r w:rsidR="002D17CF" w:rsidRPr="00BF7DFB">
        <w:rPr>
          <w:sz w:val="22"/>
          <w:szCs w:val="22"/>
        </w:rPr>
        <w:t>las partes determinen un precio de ejecución, que debe ser menor o igual al máximo contratado, el comprador nomine una cantidad al vendedor, que debe ser menor o igual a la cantidad contratada máxima y el vendedor autorice la nominación.</w:t>
      </w:r>
      <w:r w:rsidR="0099338B" w:rsidRPr="00BF7DFB">
        <w:rPr>
          <w:sz w:val="22"/>
          <w:szCs w:val="22"/>
        </w:rPr>
        <w:t xml:space="preserve">  </w:t>
      </w:r>
    </w:p>
    <w:p w14:paraId="51913345" w14:textId="4A68C445" w:rsidR="00F17BCB" w:rsidRPr="00BF7DFB" w:rsidRDefault="00F17BCB" w:rsidP="007611EF">
      <w:pPr>
        <w:rPr>
          <w:sz w:val="22"/>
          <w:szCs w:val="22"/>
        </w:rPr>
      </w:pPr>
    </w:p>
    <w:p w14:paraId="303E5B9E" w14:textId="12AAE69D" w:rsidR="00F17BCB" w:rsidRPr="00BF7DFB" w:rsidRDefault="00F17BCB" w:rsidP="007611EF">
      <w:pPr>
        <w:rPr>
          <w:sz w:val="22"/>
          <w:szCs w:val="22"/>
        </w:rPr>
      </w:pPr>
      <w:r w:rsidRPr="00BF7DFB">
        <w:rPr>
          <w:sz w:val="22"/>
          <w:szCs w:val="22"/>
        </w:rPr>
        <w:t xml:space="preserve">Actualmente ciertas fuentes de suministro de oferta de los productores-comercializadores están limitadas por reglas de participación en subastas mensuales solamente para contratos de duración de un mes. Sin embargo, otras fuentes de suministro pueden acordar contratos con interrupciones mediante negociaciones directas, sin limitaciones en el plazo de duración. </w:t>
      </w:r>
      <w:r w:rsidR="008B386B" w:rsidRPr="00BF7DFB">
        <w:rPr>
          <w:sz w:val="22"/>
          <w:szCs w:val="22"/>
        </w:rPr>
        <w:t>Con la propuesta se igualan las condiciones de todas las fuentes de suministro</w:t>
      </w:r>
      <w:r w:rsidR="00470329" w:rsidRPr="00BF7DFB">
        <w:rPr>
          <w:sz w:val="22"/>
          <w:szCs w:val="22"/>
        </w:rPr>
        <w:t xml:space="preserve"> </w:t>
      </w:r>
      <w:r w:rsidR="00ED6A83" w:rsidRPr="00BF7DFB">
        <w:rPr>
          <w:sz w:val="22"/>
          <w:szCs w:val="22"/>
        </w:rPr>
        <w:t>par</w:t>
      </w:r>
      <w:r w:rsidR="008B386B" w:rsidRPr="00BF7DFB">
        <w:rPr>
          <w:sz w:val="22"/>
          <w:szCs w:val="22"/>
        </w:rPr>
        <w:t>a que pued</w:t>
      </w:r>
      <w:r w:rsidR="00ED6A83" w:rsidRPr="00BF7DFB">
        <w:rPr>
          <w:sz w:val="22"/>
          <w:szCs w:val="22"/>
        </w:rPr>
        <w:t>a</w:t>
      </w:r>
      <w:r w:rsidR="008B386B" w:rsidRPr="00BF7DFB">
        <w:rPr>
          <w:sz w:val="22"/>
          <w:szCs w:val="22"/>
        </w:rPr>
        <w:t>n negociar en forma directa, pero solamente contratos de duración de un mes</w:t>
      </w:r>
      <w:r w:rsidR="00470329" w:rsidRPr="00BF7DFB">
        <w:rPr>
          <w:sz w:val="22"/>
          <w:szCs w:val="22"/>
        </w:rPr>
        <w:t>, que solo podrán ser registrados en cualquier momento del mes anterior al mes de ejecución</w:t>
      </w:r>
      <w:r w:rsidR="008B386B" w:rsidRPr="00BF7DFB">
        <w:rPr>
          <w:sz w:val="22"/>
          <w:szCs w:val="22"/>
        </w:rPr>
        <w:t>.</w:t>
      </w:r>
      <w:r w:rsidR="00470329" w:rsidRPr="00BF7DFB">
        <w:rPr>
          <w:sz w:val="22"/>
          <w:szCs w:val="22"/>
        </w:rPr>
        <w:t xml:space="preserve"> Lo anterior con excepto de los casos de las fuentes de suministro que están en pruebas o no han declarado comercialidad.</w:t>
      </w:r>
    </w:p>
    <w:p w14:paraId="63C7FFA6" w14:textId="0AA7635E" w:rsidR="00ED6A83" w:rsidRPr="00BF7DFB" w:rsidRDefault="00ED6A83" w:rsidP="007611EF">
      <w:pPr>
        <w:rPr>
          <w:sz w:val="22"/>
          <w:szCs w:val="22"/>
        </w:rPr>
      </w:pPr>
    </w:p>
    <w:p w14:paraId="4805901F" w14:textId="5EF5DA86" w:rsidR="00470329" w:rsidRPr="00BF7DFB" w:rsidRDefault="00ED6A83" w:rsidP="007611EF">
      <w:pPr>
        <w:rPr>
          <w:sz w:val="22"/>
          <w:szCs w:val="22"/>
        </w:rPr>
      </w:pPr>
      <w:r w:rsidRPr="00BF7DFB">
        <w:rPr>
          <w:sz w:val="22"/>
          <w:szCs w:val="22"/>
        </w:rPr>
        <w:t xml:space="preserve">Los comercializadores mantienen las mismas flexibilidades actuales para negociar contratos con interrupciones, que les dan ciertas “ventajas” respecto a los productores-comercializadores, pues pueden negociar </w:t>
      </w:r>
      <w:r w:rsidR="00470329" w:rsidRPr="00BF7DFB">
        <w:rPr>
          <w:sz w:val="22"/>
          <w:szCs w:val="22"/>
        </w:rPr>
        <w:t xml:space="preserve">en cualquier momento del año, </w:t>
      </w:r>
      <w:r w:rsidRPr="00BF7DFB">
        <w:rPr>
          <w:sz w:val="22"/>
          <w:szCs w:val="22"/>
        </w:rPr>
        <w:t>en forma directa</w:t>
      </w:r>
      <w:r w:rsidR="00470329" w:rsidRPr="00BF7DFB">
        <w:rPr>
          <w:sz w:val="22"/>
          <w:szCs w:val="22"/>
        </w:rPr>
        <w:t>,</w:t>
      </w:r>
      <w:r w:rsidRPr="00BF7DFB">
        <w:rPr>
          <w:sz w:val="22"/>
          <w:szCs w:val="22"/>
        </w:rPr>
        <w:t xml:space="preserve"> contratos con duración de entre 1 mes y 12 meses.</w:t>
      </w:r>
      <w:r w:rsidR="00470329" w:rsidRPr="00BF7DFB">
        <w:rPr>
          <w:sz w:val="22"/>
          <w:szCs w:val="22"/>
        </w:rPr>
        <w:t xml:space="preserve"> </w:t>
      </w:r>
    </w:p>
    <w:p w14:paraId="2194E2E1" w14:textId="77777777" w:rsidR="00470329" w:rsidRPr="00BF7DFB" w:rsidRDefault="00470329" w:rsidP="007611EF">
      <w:pPr>
        <w:rPr>
          <w:sz w:val="22"/>
          <w:szCs w:val="22"/>
        </w:rPr>
      </w:pPr>
    </w:p>
    <w:p w14:paraId="529BBB61" w14:textId="76E30685" w:rsidR="00ED6A83" w:rsidRPr="00BF7DFB" w:rsidRDefault="00470329" w:rsidP="007611EF">
      <w:pPr>
        <w:rPr>
          <w:sz w:val="22"/>
          <w:szCs w:val="22"/>
        </w:rPr>
      </w:pPr>
      <w:r w:rsidRPr="00BF7DFB">
        <w:rPr>
          <w:sz w:val="22"/>
          <w:szCs w:val="22"/>
        </w:rPr>
        <w:t>Por todo lo anterior, no se entiende qué razón llevaría a un comercializador a dejar de participar en el Mercado Secundario, al menos como vendedor.</w:t>
      </w:r>
    </w:p>
    <w:p w14:paraId="7E7E1AF1" w14:textId="46DC8EDB" w:rsidR="00470329" w:rsidRPr="00BF7DFB" w:rsidRDefault="00470329" w:rsidP="007611EF">
      <w:pPr>
        <w:rPr>
          <w:sz w:val="22"/>
          <w:szCs w:val="22"/>
        </w:rPr>
      </w:pPr>
    </w:p>
    <w:p w14:paraId="1661326A" w14:textId="0851E53C" w:rsidR="00470329" w:rsidRPr="00BF7DFB" w:rsidRDefault="00470329" w:rsidP="007611EF">
      <w:pPr>
        <w:rPr>
          <w:sz w:val="22"/>
          <w:szCs w:val="22"/>
        </w:rPr>
      </w:pPr>
      <w:r w:rsidRPr="00BF7DFB">
        <w:rPr>
          <w:sz w:val="22"/>
          <w:szCs w:val="22"/>
        </w:rPr>
        <w:t xml:space="preserve">Por otra parte, los procesos de negociación trimestral permiten conocer los precios promedio en que se han negociado contratos firmes o que garantizan firmeza para una determinada fuente de un punto de referencia de un determinado trimestre futuro de ejecución, que pueden servir de referencia para determinar las cantidades que son informadas por los compradores al </w:t>
      </w:r>
      <w:r w:rsidR="005114C6">
        <w:rPr>
          <w:sz w:val="22"/>
          <w:szCs w:val="22"/>
        </w:rPr>
        <w:t>Gestor del Mercado</w:t>
      </w:r>
      <w:r w:rsidRPr="00BF7DFB">
        <w:rPr>
          <w:sz w:val="22"/>
          <w:szCs w:val="22"/>
        </w:rPr>
        <w:t xml:space="preserve"> en las dos instancias del procedimiento de obtención de información previo a la realización de los balances trimestrales.</w:t>
      </w:r>
      <w:r w:rsidR="00F76DAE" w:rsidRPr="00BF7DFB">
        <w:rPr>
          <w:sz w:val="22"/>
          <w:szCs w:val="22"/>
        </w:rPr>
        <w:t xml:space="preserve"> </w:t>
      </w:r>
    </w:p>
    <w:p w14:paraId="0FCE2A3A" w14:textId="73369C81" w:rsidR="00F76DAE" w:rsidRPr="00BF7DFB" w:rsidRDefault="00F76DAE" w:rsidP="007611EF">
      <w:pPr>
        <w:rPr>
          <w:sz w:val="22"/>
          <w:szCs w:val="22"/>
        </w:rPr>
      </w:pPr>
    </w:p>
    <w:p w14:paraId="111EEBDD" w14:textId="019CC020" w:rsidR="00F76DAE" w:rsidRPr="00BF7DFB" w:rsidRDefault="00F76DAE" w:rsidP="007611EF">
      <w:pPr>
        <w:rPr>
          <w:sz w:val="22"/>
          <w:szCs w:val="22"/>
        </w:rPr>
      </w:pPr>
      <w:r w:rsidRPr="00BF7DFB">
        <w:rPr>
          <w:sz w:val="22"/>
          <w:szCs w:val="22"/>
        </w:rPr>
        <w:t xml:space="preserve">Actualmente se observa que en años anteriores hay productores-comercializadores que desarrollan procesos de negociación directa, mediante sobre cerrado. La CREG ha utilizado el mecanismo de comercialización mediante subasta de sobre cerrado y lo ha considerado </w:t>
      </w:r>
      <w:r w:rsidR="00905179" w:rsidRPr="00BF7DFB">
        <w:rPr>
          <w:sz w:val="22"/>
          <w:szCs w:val="22"/>
        </w:rPr>
        <w:t xml:space="preserve">adecuado para las actuales </w:t>
      </w:r>
      <w:r w:rsidR="00F51333" w:rsidRPr="00BF7DFB">
        <w:rPr>
          <w:sz w:val="22"/>
          <w:szCs w:val="22"/>
        </w:rPr>
        <w:t xml:space="preserve">subastas bimestrales de contratos firmes bimestrales y subastas de contratos con interrupciones. El mecanismo de subasta establecido inicialmente en la Resolución CREG 089 de 2013 </w:t>
      </w:r>
      <w:r w:rsidR="00AC74AB" w:rsidRPr="00BF7DFB">
        <w:rPr>
          <w:sz w:val="22"/>
          <w:szCs w:val="22"/>
        </w:rPr>
        <w:t xml:space="preserve">es similar al que se establece en la nueva propuesta. Evidentemente puede ocurrir que las cantidades finalmente asignadas mediante subasta para aquellos trimestres en que se encuentra un déficit de oferta comercial sean inferiores a las cantidades requeridas informadas al </w:t>
      </w:r>
      <w:r w:rsidR="005114C6">
        <w:rPr>
          <w:sz w:val="22"/>
          <w:szCs w:val="22"/>
        </w:rPr>
        <w:t>Gestor del Mercado</w:t>
      </w:r>
      <w:r w:rsidR="00AC74AB" w:rsidRPr="00BF7DFB">
        <w:rPr>
          <w:sz w:val="22"/>
          <w:szCs w:val="22"/>
        </w:rPr>
        <w:t xml:space="preserve"> por los compradores, algo que los vendedores del Mercado Primario deben tener en cuenta al declarar el precio de reserva de cada fuente de suministro que hace parte del punto de referencia con déficit.   </w:t>
      </w:r>
    </w:p>
    <w:p w14:paraId="07DC0724" w14:textId="0D86C6E6" w:rsidR="002B68E8" w:rsidRPr="00BF7DFB" w:rsidRDefault="002B68E8" w:rsidP="007611EF">
      <w:pPr>
        <w:rPr>
          <w:sz w:val="22"/>
          <w:szCs w:val="22"/>
        </w:rPr>
      </w:pPr>
    </w:p>
    <w:p w14:paraId="7692ACCB" w14:textId="70FAA721" w:rsidR="002B68E8" w:rsidRPr="00BF7DFB" w:rsidRDefault="00BE7CF6" w:rsidP="007611EF">
      <w:pPr>
        <w:rPr>
          <w:sz w:val="22"/>
          <w:szCs w:val="22"/>
        </w:rPr>
      </w:pPr>
      <w:r w:rsidRPr="00BF7DFB">
        <w:rPr>
          <w:sz w:val="22"/>
          <w:szCs w:val="22"/>
        </w:rPr>
        <w:t>Por último</w:t>
      </w:r>
      <w:r w:rsidR="00DE20D5">
        <w:rPr>
          <w:sz w:val="22"/>
          <w:szCs w:val="22"/>
        </w:rPr>
        <w:t>,</w:t>
      </w:r>
      <w:r w:rsidRPr="00BF7DFB">
        <w:rPr>
          <w:sz w:val="22"/>
          <w:szCs w:val="22"/>
        </w:rPr>
        <w:t xml:space="preserve"> en la propuesta de </w:t>
      </w:r>
      <w:r w:rsidR="00DE20D5">
        <w:rPr>
          <w:sz w:val="22"/>
          <w:szCs w:val="22"/>
        </w:rPr>
        <w:t>R</w:t>
      </w:r>
      <w:r w:rsidRPr="00BF7DFB">
        <w:rPr>
          <w:sz w:val="22"/>
          <w:szCs w:val="22"/>
        </w:rPr>
        <w:t xml:space="preserve">esolución </w:t>
      </w:r>
      <w:r w:rsidR="00C15999" w:rsidRPr="00BF7DFB">
        <w:rPr>
          <w:sz w:val="22"/>
          <w:szCs w:val="22"/>
        </w:rPr>
        <w:t xml:space="preserve">CREG 226 de 2021 se precisó en el parágrafo 8 del Artículo 21 un plazo para el desarrollo de un ejercicio de simulación, que será coordinado y adelantado por el </w:t>
      </w:r>
      <w:r w:rsidR="005114C6">
        <w:rPr>
          <w:sz w:val="22"/>
          <w:szCs w:val="22"/>
        </w:rPr>
        <w:t>Gestor del Mercado</w:t>
      </w:r>
      <w:r w:rsidR="00C15999" w:rsidRPr="00BF7DFB">
        <w:rPr>
          <w:sz w:val="22"/>
          <w:szCs w:val="22"/>
        </w:rPr>
        <w:t xml:space="preserve">, </w:t>
      </w:r>
      <w:r w:rsidR="00B30A43">
        <w:rPr>
          <w:sz w:val="22"/>
          <w:szCs w:val="22"/>
        </w:rPr>
        <w:t>el cual</w:t>
      </w:r>
      <w:r w:rsidR="00B30A43" w:rsidRPr="00BF7DFB">
        <w:rPr>
          <w:sz w:val="22"/>
          <w:szCs w:val="22"/>
        </w:rPr>
        <w:t xml:space="preserve"> </w:t>
      </w:r>
      <w:r w:rsidR="00C15999" w:rsidRPr="00BF7DFB">
        <w:rPr>
          <w:sz w:val="22"/>
          <w:szCs w:val="22"/>
        </w:rPr>
        <w:t xml:space="preserve">debería realizarse dentro de los dos meses calendario siguientes a la fecha de publicación de la resolución definitiva. </w:t>
      </w:r>
    </w:p>
    <w:p w14:paraId="01FD76B8" w14:textId="73C01076" w:rsidR="00BE7CF6" w:rsidRDefault="00BE7CF6" w:rsidP="007611EF"/>
    <w:p w14:paraId="2A4471BC" w14:textId="77777777" w:rsidR="00BE7CF6" w:rsidRPr="007611EF" w:rsidRDefault="00BE7CF6" w:rsidP="007611EF"/>
    <w:p w14:paraId="60F44D04" w14:textId="301FC19E" w:rsidR="00FF0180" w:rsidRDefault="00FF0180" w:rsidP="00FF0180">
      <w:pPr>
        <w:pStyle w:val="Ttulo2"/>
      </w:pPr>
      <w:bookmarkStart w:id="505" w:name="_Toc140506244"/>
      <w:r>
        <w:t>GASES DE OCCIDENTE</w:t>
      </w:r>
      <w:bookmarkEnd w:id="505"/>
    </w:p>
    <w:p w14:paraId="082B9414" w14:textId="77777777" w:rsidR="006F1229" w:rsidRDefault="006F1229" w:rsidP="006F6DE1">
      <w:pPr>
        <w:pStyle w:val="Ttulo4"/>
      </w:pPr>
      <w:bookmarkStart w:id="506" w:name="_Ref130291498"/>
      <w:r w:rsidRPr="006F1229">
        <w:t>GASES DE OCCIDENTE</w:t>
      </w:r>
      <w:bookmarkEnd w:id="506"/>
      <w:r w:rsidRPr="006F1229">
        <w:tab/>
      </w:r>
    </w:p>
    <w:p w14:paraId="621D36FC" w14:textId="285FDB6E" w:rsidR="006F1229" w:rsidRPr="00F15D73" w:rsidRDefault="00B30A43" w:rsidP="006F1229">
      <w:pPr>
        <w:rPr>
          <w:rFonts w:cs="Arial"/>
          <w:i/>
          <w:iCs/>
          <w:sz w:val="22"/>
          <w:szCs w:val="22"/>
        </w:rPr>
      </w:pPr>
      <w:r>
        <w:rPr>
          <w:rFonts w:cs="Arial"/>
          <w:i/>
          <w:iCs/>
          <w:sz w:val="22"/>
          <w:szCs w:val="22"/>
        </w:rPr>
        <w:t>“</w:t>
      </w:r>
      <w:r w:rsidR="006F1229" w:rsidRPr="00F15D73">
        <w:rPr>
          <w:rFonts w:cs="Arial"/>
          <w:i/>
          <w:iCs/>
          <w:sz w:val="22"/>
          <w:szCs w:val="22"/>
        </w:rPr>
        <w:t>Se coincide con la CREG en lo referente a la eliminación de los Contratos C1 y C2 por su poca efectividad. Estas modalidades contractuales, su interdependencia en términos de firmeza y las subastas diseñadas, no se adaptan a los requerimientos de suministro de gas de los agentes sectoriales.</w:t>
      </w:r>
      <w:r w:rsidR="00385350">
        <w:rPr>
          <w:rFonts w:cs="Arial"/>
          <w:i/>
          <w:iCs/>
          <w:sz w:val="22"/>
          <w:szCs w:val="22"/>
        </w:rPr>
        <w:t>”</w:t>
      </w:r>
    </w:p>
    <w:p w14:paraId="478D5FA4" w14:textId="605E0CA5" w:rsidR="006F1229" w:rsidRDefault="006F1229" w:rsidP="006F1229">
      <w:pPr>
        <w:rPr>
          <w:rFonts w:cs="Arial"/>
          <w:sz w:val="22"/>
          <w:szCs w:val="22"/>
        </w:rPr>
      </w:pPr>
    </w:p>
    <w:p w14:paraId="13180211" w14:textId="76041469" w:rsidR="00F15D73" w:rsidRPr="00F15D73" w:rsidRDefault="00F15D73" w:rsidP="006F1229">
      <w:pPr>
        <w:rPr>
          <w:rFonts w:cs="Arial"/>
          <w:b/>
          <w:bCs/>
          <w:sz w:val="22"/>
          <w:szCs w:val="22"/>
        </w:rPr>
      </w:pPr>
      <w:r w:rsidRPr="00F15D73">
        <w:rPr>
          <w:rFonts w:cs="Arial"/>
          <w:b/>
          <w:bCs/>
          <w:sz w:val="22"/>
          <w:szCs w:val="22"/>
        </w:rPr>
        <w:t>Respuesta:</w:t>
      </w:r>
    </w:p>
    <w:p w14:paraId="158FE9B9" w14:textId="4D060F22" w:rsidR="00F15D73" w:rsidRDefault="00F15D73" w:rsidP="006F1229">
      <w:pPr>
        <w:rPr>
          <w:rFonts w:cs="Arial"/>
          <w:sz w:val="22"/>
          <w:szCs w:val="22"/>
        </w:rPr>
      </w:pPr>
    </w:p>
    <w:p w14:paraId="7C7F7CA4" w14:textId="5D5DD87C" w:rsidR="00F15D73" w:rsidRDefault="006C6599" w:rsidP="006F1229">
      <w:pPr>
        <w:rPr>
          <w:rFonts w:cs="Arial"/>
          <w:sz w:val="22"/>
          <w:szCs w:val="22"/>
        </w:rPr>
      </w:pPr>
      <w:r>
        <w:rPr>
          <w:rFonts w:cs="Arial"/>
          <w:sz w:val="22"/>
          <w:szCs w:val="22"/>
        </w:rPr>
        <w:t>La propuesta publicada en la Resolución CREG 226 de 2021 no solamente establece la eliminación de dicha</w:t>
      </w:r>
      <w:r w:rsidR="00190DED">
        <w:rPr>
          <w:rFonts w:cs="Arial"/>
          <w:sz w:val="22"/>
          <w:szCs w:val="22"/>
        </w:rPr>
        <w:t>s</w:t>
      </w:r>
      <w:r>
        <w:rPr>
          <w:rFonts w:cs="Arial"/>
          <w:sz w:val="22"/>
          <w:szCs w:val="22"/>
        </w:rPr>
        <w:t xml:space="preserve"> modalidades contractuales sino su sustitución mediante contratos de duración de como mínimo un trimestre, con cantidades variables entre los trimestres cuando son contratos de mayor duración a un trimestre, sino también contratos de duración mensual.   </w:t>
      </w:r>
    </w:p>
    <w:p w14:paraId="3E2E8E73" w14:textId="77777777" w:rsidR="006C6599" w:rsidRDefault="006C6599" w:rsidP="006F1229">
      <w:pPr>
        <w:rPr>
          <w:rFonts w:cs="Arial"/>
          <w:sz w:val="22"/>
          <w:szCs w:val="22"/>
        </w:rPr>
      </w:pPr>
    </w:p>
    <w:p w14:paraId="3103A443" w14:textId="77777777" w:rsidR="006F6DE1" w:rsidRDefault="006F6DE1" w:rsidP="006F1229">
      <w:pPr>
        <w:rPr>
          <w:rFonts w:cs="Arial"/>
          <w:sz w:val="22"/>
          <w:szCs w:val="22"/>
        </w:rPr>
      </w:pPr>
    </w:p>
    <w:p w14:paraId="76B7EB80" w14:textId="77777777" w:rsidR="006F1229" w:rsidRDefault="006F1229" w:rsidP="006F6DE1">
      <w:pPr>
        <w:pStyle w:val="Ttulo4"/>
      </w:pPr>
      <w:r w:rsidRPr="006F1229">
        <w:t>GASES DE OCCIDENTE</w:t>
      </w:r>
      <w:r w:rsidRPr="006F1229">
        <w:tab/>
      </w:r>
    </w:p>
    <w:p w14:paraId="15D3571D" w14:textId="024F1F16" w:rsidR="006F1229" w:rsidRPr="00790366" w:rsidRDefault="00385350" w:rsidP="006F1229">
      <w:pPr>
        <w:rPr>
          <w:rFonts w:cs="Arial"/>
          <w:i/>
          <w:iCs/>
          <w:sz w:val="22"/>
          <w:szCs w:val="22"/>
        </w:rPr>
      </w:pPr>
      <w:r>
        <w:rPr>
          <w:rFonts w:cs="Arial"/>
          <w:i/>
          <w:iCs/>
          <w:sz w:val="22"/>
          <w:szCs w:val="22"/>
        </w:rPr>
        <w:t>“</w:t>
      </w:r>
      <w:r w:rsidR="006F1229" w:rsidRPr="00790366">
        <w:rPr>
          <w:rFonts w:cs="Arial"/>
          <w:i/>
          <w:iCs/>
          <w:sz w:val="22"/>
          <w:szCs w:val="22"/>
        </w:rPr>
        <w:t>Se coincide con la CREG en lo referente a la eliminación de las subastas bimestrales de los contratos firmes. La propuesta de establecer contratos con duración mínima trimestral y contratos con duración mensual en el mercado primario brinda flexibilidad a las demandas con variabilidad estacional, pero dicha flexibilidad no resulta adecuada para demandas continuas o permanentes.</w:t>
      </w:r>
      <w:r>
        <w:rPr>
          <w:rFonts w:cs="Arial"/>
          <w:i/>
          <w:iCs/>
          <w:sz w:val="22"/>
          <w:szCs w:val="22"/>
        </w:rPr>
        <w:t>”</w:t>
      </w:r>
    </w:p>
    <w:p w14:paraId="11C3B66F" w14:textId="7D4EA62A" w:rsidR="006F1229" w:rsidRDefault="006F1229" w:rsidP="006F1229">
      <w:pPr>
        <w:rPr>
          <w:rFonts w:cs="Arial"/>
          <w:sz w:val="22"/>
          <w:szCs w:val="22"/>
        </w:rPr>
      </w:pPr>
    </w:p>
    <w:p w14:paraId="4D49A1DA" w14:textId="155AFEB0" w:rsidR="00790366" w:rsidRPr="00790366" w:rsidRDefault="00790366" w:rsidP="006F1229">
      <w:pPr>
        <w:rPr>
          <w:rFonts w:cs="Arial"/>
          <w:b/>
          <w:bCs/>
          <w:sz w:val="22"/>
          <w:szCs w:val="22"/>
        </w:rPr>
      </w:pPr>
      <w:r w:rsidRPr="00790366">
        <w:rPr>
          <w:rFonts w:cs="Arial"/>
          <w:b/>
          <w:bCs/>
          <w:sz w:val="22"/>
          <w:szCs w:val="22"/>
        </w:rPr>
        <w:t>Respuesta:</w:t>
      </w:r>
    </w:p>
    <w:p w14:paraId="5EE95909" w14:textId="7446F319" w:rsidR="00790366" w:rsidRDefault="00790366" w:rsidP="006F1229">
      <w:pPr>
        <w:rPr>
          <w:rFonts w:cs="Arial"/>
          <w:sz w:val="22"/>
          <w:szCs w:val="22"/>
        </w:rPr>
      </w:pPr>
    </w:p>
    <w:p w14:paraId="60E8EF0E" w14:textId="3716004E" w:rsidR="00190DED" w:rsidRDefault="00190DED"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_Ref130291498 \r \h </w:instrText>
      </w:r>
      <w:r>
        <w:rPr>
          <w:rFonts w:cs="Arial"/>
          <w:sz w:val="22"/>
          <w:szCs w:val="22"/>
        </w:rPr>
      </w:r>
      <w:r>
        <w:rPr>
          <w:rFonts w:cs="Arial"/>
          <w:sz w:val="22"/>
          <w:szCs w:val="22"/>
        </w:rPr>
        <w:fldChar w:fldCharType="separate"/>
      </w:r>
      <w:r w:rsidR="007651EA">
        <w:rPr>
          <w:rFonts w:cs="Arial"/>
          <w:sz w:val="22"/>
          <w:szCs w:val="22"/>
        </w:rPr>
        <w:t>1.5.1.1</w:t>
      </w:r>
      <w:r>
        <w:rPr>
          <w:rFonts w:cs="Arial"/>
          <w:sz w:val="22"/>
          <w:szCs w:val="22"/>
        </w:rPr>
        <w:fldChar w:fldCharType="end"/>
      </w:r>
      <w:r>
        <w:rPr>
          <w:rFonts w:cs="Arial"/>
          <w:sz w:val="22"/>
          <w:szCs w:val="22"/>
        </w:rPr>
        <w:t>.</w:t>
      </w:r>
    </w:p>
    <w:p w14:paraId="42C4F1A6" w14:textId="77777777" w:rsidR="00790366" w:rsidRDefault="00790366" w:rsidP="006F1229">
      <w:pPr>
        <w:rPr>
          <w:rFonts w:cs="Arial"/>
          <w:sz w:val="22"/>
          <w:szCs w:val="22"/>
        </w:rPr>
      </w:pPr>
    </w:p>
    <w:p w14:paraId="5EA28019" w14:textId="77777777" w:rsidR="006F6DE1" w:rsidRDefault="006F6DE1" w:rsidP="006F1229">
      <w:pPr>
        <w:rPr>
          <w:rFonts w:cs="Arial"/>
          <w:sz w:val="22"/>
          <w:szCs w:val="22"/>
        </w:rPr>
      </w:pPr>
    </w:p>
    <w:p w14:paraId="083A3F81" w14:textId="77777777" w:rsidR="006F1229" w:rsidRDefault="006F1229" w:rsidP="006F6DE1">
      <w:pPr>
        <w:pStyle w:val="Ttulo4"/>
      </w:pPr>
      <w:bookmarkStart w:id="507" w:name="_Ref130386435"/>
      <w:r w:rsidRPr="006F1229">
        <w:t>GASES DE OCCIDENTE</w:t>
      </w:r>
      <w:bookmarkEnd w:id="507"/>
      <w:r w:rsidRPr="006F1229">
        <w:tab/>
      </w:r>
    </w:p>
    <w:p w14:paraId="67C1A6C9" w14:textId="2366A660" w:rsidR="006F1229" w:rsidRPr="00CD42E7" w:rsidRDefault="00EC685E" w:rsidP="006F1229">
      <w:pPr>
        <w:rPr>
          <w:rFonts w:cs="Arial"/>
          <w:i/>
          <w:iCs/>
          <w:sz w:val="22"/>
          <w:szCs w:val="22"/>
        </w:rPr>
      </w:pPr>
      <w:r>
        <w:rPr>
          <w:rFonts w:cs="Arial"/>
          <w:i/>
          <w:iCs/>
          <w:sz w:val="22"/>
          <w:szCs w:val="22"/>
        </w:rPr>
        <w:t>“</w:t>
      </w:r>
      <w:r w:rsidR="006F1229" w:rsidRPr="00CD42E7">
        <w:rPr>
          <w:rFonts w:cs="Arial"/>
          <w:i/>
          <w:iCs/>
          <w:sz w:val="22"/>
          <w:szCs w:val="22"/>
        </w:rPr>
        <w:t>La Comisión también debe considerar, cuando adopte la decisión final en lo referente a la duración de los contratos, que entre menor es el plazo de los contratos de suministro y transporte, menor será el incentivo para desarrollar infraestructura de producción, importación y transporte. La expansión de la oferta y la expansión o extensión de gasoductos requiere contratación de largo plazo.</w:t>
      </w:r>
      <w:r>
        <w:rPr>
          <w:rFonts w:cs="Arial"/>
          <w:i/>
          <w:iCs/>
          <w:sz w:val="22"/>
          <w:szCs w:val="22"/>
        </w:rPr>
        <w:t>”</w:t>
      </w:r>
    </w:p>
    <w:p w14:paraId="2DA9E019" w14:textId="1B19340C" w:rsidR="006F1229" w:rsidRDefault="006F1229" w:rsidP="006F1229">
      <w:pPr>
        <w:rPr>
          <w:rFonts w:cs="Arial"/>
          <w:sz w:val="22"/>
          <w:szCs w:val="22"/>
        </w:rPr>
      </w:pPr>
    </w:p>
    <w:p w14:paraId="30EE7897" w14:textId="4B1FDFE8" w:rsidR="006F6DE1" w:rsidRPr="004D59F2" w:rsidRDefault="004D59F2" w:rsidP="006F1229">
      <w:pPr>
        <w:rPr>
          <w:rFonts w:cs="Arial"/>
          <w:b/>
          <w:bCs/>
          <w:sz w:val="22"/>
          <w:szCs w:val="22"/>
        </w:rPr>
      </w:pPr>
      <w:r w:rsidRPr="004D59F2">
        <w:rPr>
          <w:rFonts w:cs="Arial"/>
          <w:b/>
          <w:bCs/>
          <w:sz w:val="22"/>
          <w:szCs w:val="22"/>
        </w:rPr>
        <w:t xml:space="preserve">Respuesta: </w:t>
      </w:r>
    </w:p>
    <w:p w14:paraId="20DDB175" w14:textId="2FEAE57C" w:rsidR="004D59F2" w:rsidRDefault="004D59F2" w:rsidP="006F1229">
      <w:pPr>
        <w:rPr>
          <w:rFonts w:cs="Arial"/>
          <w:sz w:val="22"/>
          <w:szCs w:val="22"/>
        </w:rPr>
      </w:pPr>
    </w:p>
    <w:p w14:paraId="61729864" w14:textId="1FE3FE8D" w:rsidR="004D59F2" w:rsidRDefault="004D59F2" w:rsidP="006F1229">
      <w:pPr>
        <w:rPr>
          <w:rFonts w:cs="Arial"/>
          <w:sz w:val="22"/>
          <w:szCs w:val="22"/>
        </w:rPr>
      </w:pPr>
      <w:r>
        <w:rPr>
          <w:rFonts w:cs="Arial"/>
          <w:sz w:val="22"/>
          <w:szCs w:val="22"/>
        </w:rPr>
        <w:t xml:space="preserve">La nueva propuesta busca incentivar aún más la contratación del suministro de largo plazo, con medidas tales como </w:t>
      </w:r>
      <w:r w:rsidR="00CD42E7">
        <w:rPr>
          <w:rFonts w:cs="Arial"/>
          <w:sz w:val="22"/>
          <w:szCs w:val="22"/>
        </w:rPr>
        <w:t xml:space="preserve">la </w:t>
      </w:r>
      <w:r w:rsidR="0016492C">
        <w:rPr>
          <w:rFonts w:cs="Arial"/>
          <w:sz w:val="22"/>
          <w:szCs w:val="22"/>
        </w:rPr>
        <w:t xml:space="preserve">realización de  balances trimestrales para negociación  para los veinte trimestres estándar siguientes a al trimestre de negociación, </w:t>
      </w:r>
      <w:r w:rsidR="00CD42E7">
        <w:rPr>
          <w:rFonts w:cs="Arial"/>
          <w:sz w:val="22"/>
          <w:szCs w:val="22"/>
        </w:rPr>
        <w:t>excepción a la realización de balances comerciales p</w:t>
      </w:r>
      <w:r w:rsidR="001B237D">
        <w:rPr>
          <w:rFonts w:cs="Arial"/>
          <w:sz w:val="22"/>
          <w:szCs w:val="22"/>
        </w:rPr>
        <w:t>ara</w:t>
      </w:r>
      <w:r w:rsidR="00CD42E7">
        <w:rPr>
          <w:rFonts w:cs="Arial"/>
          <w:sz w:val="22"/>
          <w:szCs w:val="22"/>
        </w:rPr>
        <w:t xml:space="preserve"> aquellos períodos de contratación que superan los ve</w:t>
      </w:r>
      <w:r w:rsidR="001B237D">
        <w:rPr>
          <w:rFonts w:cs="Arial"/>
          <w:sz w:val="22"/>
          <w:szCs w:val="22"/>
        </w:rPr>
        <w:t>i</w:t>
      </w:r>
      <w:r w:rsidR="00CD42E7">
        <w:rPr>
          <w:rFonts w:cs="Arial"/>
          <w:sz w:val="22"/>
          <w:szCs w:val="22"/>
        </w:rPr>
        <w:t>nte trimestres siguientes</w:t>
      </w:r>
      <w:r w:rsidR="00F55E16">
        <w:rPr>
          <w:rFonts w:cs="Arial"/>
          <w:sz w:val="22"/>
          <w:szCs w:val="22"/>
        </w:rPr>
        <w:t>, la posibilidad de modificar los precios inicialmente pactados y las fórmulas de actualización de los precios</w:t>
      </w:r>
      <w:r w:rsidR="0039368A">
        <w:rPr>
          <w:rFonts w:cs="Arial"/>
          <w:sz w:val="22"/>
          <w:szCs w:val="22"/>
        </w:rPr>
        <w:t xml:space="preserve">, eso sí, </w:t>
      </w:r>
      <w:r w:rsidR="00F96565" w:rsidRPr="00F96565">
        <w:rPr>
          <w:rFonts w:cs="Arial"/>
          <w:sz w:val="22"/>
          <w:szCs w:val="22"/>
        </w:rPr>
        <w:t xml:space="preserve">siempre y cuando la modificación del contrato registrado ante el </w:t>
      </w:r>
      <w:r w:rsidR="005114C6">
        <w:rPr>
          <w:rFonts w:cs="Arial"/>
          <w:sz w:val="22"/>
          <w:szCs w:val="22"/>
        </w:rPr>
        <w:t>Gestor del Mercado</w:t>
      </w:r>
      <w:r w:rsidR="00F96565" w:rsidRPr="00F96565">
        <w:rPr>
          <w:rFonts w:cs="Arial"/>
          <w:sz w:val="22"/>
          <w:szCs w:val="22"/>
        </w:rPr>
        <w:t xml:space="preserve"> no tenga la capacidad, el propósito o el efecto de ir en detrimento de los derechos e intereses de los usuarios, así como alterar los propósitos y principios establecidos en </w:t>
      </w:r>
      <w:r w:rsidR="00D02426">
        <w:rPr>
          <w:rFonts w:cs="Arial"/>
          <w:sz w:val="22"/>
          <w:szCs w:val="22"/>
        </w:rPr>
        <w:t xml:space="preserve">la </w:t>
      </w:r>
      <w:r w:rsidR="00F96565" w:rsidRPr="00F96565">
        <w:rPr>
          <w:rFonts w:cs="Arial"/>
          <w:sz w:val="22"/>
          <w:szCs w:val="22"/>
        </w:rPr>
        <w:t>resolución</w:t>
      </w:r>
      <w:r w:rsidR="00D02426">
        <w:rPr>
          <w:rFonts w:cs="Arial"/>
          <w:sz w:val="22"/>
          <w:szCs w:val="22"/>
        </w:rPr>
        <w:t>.</w:t>
      </w:r>
    </w:p>
    <w:p w14:paraId="1693137B" w14:textId="77777777" w:rsidR="004D59F2" w:rsidRDefault="004D59F2" w:rsidP="006F1229">
      <w:pPr>
        <w:rPr>
          <w:rFonts w:cs="Arial"/>
          <w:sz w:val="22"/>
          <w:szCs w:val="22"/>
        </w:rPr>
      </w:pPr>
    </w:p>
    <w:p w14:paraId="7CE31D60" w14:textId="77777777" w:rsidR="004D59F2" w:rsidRDefault="004D59F2" w:rsidP="006F1229">
      <w:pPr>
        <w:rPr>
          <w:rFonts w:cs="Arial"/>
          <w:sz w:val="22"/>
          <w:szCs w:val="22"/>
        </w:rPr>
      </w:pPr>
    </w:p>
    <w:p w14:paraId="4A82B32D" w14:textId="77777777" w:rsidR="006F1229" w:rsidRDefault="006F1229" w:rsidP="006F6DE1">
      <w:pPr>
        <w:pStyle w:val="Ttulo4"/>
      </w:pPr>
      <w:r w:rsidRPr="006F1229">
        <w:t>GASES DE OCCIDENTE</w:t>
      </w:r>
      <w:r w:rsidRPr="006F1229">
        <w:tab/>
      </w:r>
    </w:p>
    <w:p w14:paraId="0B285027" w14:textId="21E4F47B" w:rsidR="006F1229" w:rsidRPr="006F1229" w:rsidRDefault="00EC685E" w:rsidP="006F1229">
      <w:pPr>
        <w:rPr>
          <w:rFonts w:cs="Arial"/>
          <w:sz w:val="22"/>
          <w:szCs w:val="22"/>
        </w:rPr>
      </w:pPr>
      <w:r>
        <w:rPr>
          <w:rFonts w:cs="Arial"/>
          <w:i/>
          <w:iCs/>
          <w:sz w:val="22"/>
          <w:szCs w:val="22"/>
        </w:rPr>
        <w:t>“</w:t>
      </w:r>
      <w:r w:rsidR="006F1229" w:rsidRPr="005F206B">
        <w:rPr>
          <w:rFonts w:cs="Arial"/>
          <w:i/>
          <w:iCs/>
          <w:sz w:val="22"/>
          <w:szCs w:val="22"/>
        </w:rPr>
        <w:t>Se coincide con la CREG en lo referente a la eliminación de las subastas mensuales de contratos interrumpibles. Así mismo, se encuentra razonable que dichos contratos se puedan negociar directamente con sujeción a algunas de las reglas planteadas por la CREG</w:t>
      </w:r>
      <w:r w:rsidR="006F1229" w:rsidRPr="006F1229">
        <w:rPr>
          <w:rFonts w:cs="Arial"/>
          <w:sz w:val="22"/>
          <w:szCs w:val="22"/>
        </w:rPr>
        <w:t>.</w:t>
      </w:r>
      <w:r>
        <w:rPr>
          <w:rFonts w:cs="Arial"/>
          <w:sz w:val="22"/>
          <w:szCs w:val="22"/>
        </w:rPr>
        <w:t>”</w:t>
      </w:r>
    </w:p>
    <w:p w14:paraId="642BF5C2" w14:textId="1DAA039E" w:rsidR="006F1229" w:rsidRDefault="006F1229" w:rsidP="006F1229">
      <w:pPr>
        <w:rPr>
          <w:rFonts w:cs="Arial"/>
          <w:sz w:val="22"/>
          <w:szCs w:val="22"/>
        </w:rPr>
      </w:pPr>
    </w:p>
    <w:p w14:paraId="1E597926" w14:textId="49ABA8A3" w:rsidR="00456522" w:rsidRPr="00456522" w:rsidRDefault="00456522" w:rsidP="006F1229">
      <w:pPr>
        <w:rPr>
          <w:rFonts w:cs="Arial"/>
          <w:b/>
          <w:bCs/>
          <w:sz w:val="22"/>
          <w:szCs w:val="22"/>
        </w:rPr>
      </w:pPr>
      <w:r w:rsidRPr="00456522">
        <w:rPr>
          <w:rFonts w:cs="Arial"/>
          <w:b/>
          <w:bCs/>
          <w:sz w:val="22"/>
          <w:szCs w:val="22"/>
        </w:rPr>
        <w:t>Respuesta:</w:t>
      </w:r>
    </w:p>
    <w:p w14:paraId="59714F6D" w14:textId="6B00FD1C" w:rsidR="00456522" w:rsidRDefault="00456522" w:rsidP="006F1229">
      <w:pPr>
        <w:rPr>
          <w:rFonts w:cs="Arial"/>
          <w:sz w:val="22"/>
          <w:szCs w:val="22"/>
        </w:rPr>
      </w:pPr>
    </w:p>
    <w:p w14:paraId="1FFB0652" w14:textId="732F6733" w:rsidR="00456522" w:rsidRDefault="00BF7DFB"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_Ref130291962 \r \h </w:instrText>
      </w:r>
      <w:r>
        <w:rPr>
          <w:rFonts w:cs="Arial"/>
          <w:sz w:val="22"/>
          <w:szCs w:val="22"/>
        </w:rPr>
      </w:r>
      <w:r>
        <w:rPr>
          <w:rFonts w:cs="Arial"/>
          <w:sz w:val="22"/>
          <w:szCs w:val="22"/>
        </w:rPr>
        <w:fldChar w:fldCharType="separate"/>
      </w:r>
      <w:r w:rsidR="007651EA">
        <w:rPr>
          <w:rFonts w:cs="Arial"/>
          <w:sz w:val="22"/>
          <w:szCs w:val="22"/>
        </w:rPr>
        <w:t>1.4.1.1</w:t>
      </w:r>
      <w:r>
        <w:rPr>
          <w:rFonts w:cs="Arial"/>
          <w:sz w:val="22"/>
          <w:szCs w:val="22"/>
        </w:rPr>
        <w:fldChar w:fldCharType="end"/>
      </w:r>
      <w:r w:rsidR="00D52D3C">
        <w:rPr>
          <w:rFonts w:cs="Arial"/>
          <w:sz w:val="22"/>
          <w:szCs w:val="22"/>
        </w:rPr>
        <w:t>.</w:t>
      </w:r>
    </w:p>
    <w:p w14:paraId="5A6113E4" w14:textId="77777777" w:rsidR="00456522" w:rsidRDefault="00456522" w:rsidP="006F1229">
      <w:pPr>
        <w:rPr>
          <w:rFonts w:cs="Arial"/>
          <w:sz w:val="22"/>
          <w:szCs w:val="22"/>
        </w:rPr>
      </w:pPr>
    </w:p>
    <w:p w14:paraId="3D90819D" w14:textId="77777777" w:rsidR="006F6DE1" w:rsidRDefault="006F6DE1" w:rsidP="006F1229">
      <w:pPr>
        <w:rPr>
          <w:rFonts w:cs="Arial"/>
          <w:sz w:val="22"/>
          <w:szCs w:val="22"/>
        </w:rPr>
      </w:pPr>
    </w:p>
    <w:p w14:paraId="17ABEF01" w14:textId="77777777" w:rsidR="006F1229" w:rsidRDefault="006F1229" w:rsidP="006F6DE1">
      <w:pPr>
        <w:pStyle w:val="Ttulo4"/>
      </w:pPr>
      <w:bookmarkStart w:id="508" w:name="_Ref130386561"/>
      <w:r w:rsidRPr="006F1229">
        <w:t>GASES DE OCCIDENTE</w:t>
      </w:r>
      <w:bookmarkEnd w:id="508"/>
      <w:r w:rsidRPr="006F1229">
        <w:tab/>
      </w:r>
    </w:p>
    <w:p w14:paraId="2497A78F" w14:textId="4A7E7EBD" w:rsidR="006F1229" w:rsidRPr="00284B20" w:rsidRDefault="007B6D6B" w:rsidP="006F1229">
      <w:pPr>
        <w:rPr>
          <w:rFonts w:cs="Arial"/>
          <w:i/>
          <w:iCs/>
          <w:sz w:val="22"/>
          <w:szCs w:val="22"/>
        </w:rPr>
      </w:pPr>
      <w:r>
        <w:rPr>
          <w:rFonts w:cs="Arial"/>
          <w:i/>
          <w:iCs/>
          <w:sz w:val="22"/>
          <w:szCs w:val="22"/>
        </w:rPr>
        <w:t>“</w:t>
      </w:r>
      <w:r w:rsidR="006F1229" w:rsidRPr="00284B20">
        <w:rPr>
          <w:rFonts w:cs="Arial"/>
          <w:i/>
          <w:iCs/>
          <w:sz w:val="22"/>
          <w:szCs w:val="22"/>
        </w:rPr>
        <w:t>La CREG ha sido reticente en introducir períodos de reposición del gas contratado bajo las modalidades CF95 (y CF80), típicamente establecidos en doce (12) meses en mercados más desarrollados.</w:t>
      </w:r>
      <w:r>
        <w:rPr>
          <w:rFonts w:cs="Arial"/>
          <w:i/>
          <w:iCs/>
          <w:sz w:val="22"/>
          <w:szCs w:val="22"/>
        </w:rPr>
        <w:t>”</w:t>
      </w:r>
    </w:p>
    <w:p w14:paraId="1C1837BC" w14:textId="681EDC92" w:rsidR="00594E61" w:rsidRDefault="00594E61" w:rsidP="006F1229">
      <w:pPr>
        <w:rPr>
          <w:rFonts w:cs="Arial"/>
          <w:sz w:val="22"/>
          <w:szCs w:val="22"/>
        </w:rPr>
      </w:pPr>
    </w:p>
    <w:p w14:paraId="0300AC80" w14:textId="2597F9F9" w:rsidR="00594E61" w:rsidRPr="00594E61" w:rsidRDefault="00594E61" w:rsidP="006F1229">
      <w:pPr>
        <w:rPr>
          <w:rFonts w:cs="Arial"/>
          <w:b/>
          <w:bCs/>
          <w:sz w:val="22"/>
          <w:szCs w:val="22"/>
        </w:rPr>
      </w:pPr>
      <w:r w:rsidRPr="00594E61">
        <w:rPr>
          <w:rFonts w:cs="Arial"/>
          <w:b/>
          <w:bCs/>
          <w:sz w:val="22"/>
          <w:szCs w:val="22"/>
        </w:rPr>
        <w:t>Respuesta:</w:t>
      </w:r>
    </w:p>
    <w:p w14:paraId="525D8538" w14:textId="68CCA549" w:rsidR="00594E61" w:rsidRDefault="00594E61" w:rsidP="006F1229">
      <w:pPr>
        <w:rPr>
          <w:rFonts w:cs="Arial"/>
          <w:sz w:val="22"/>
          <w:szCs w:val="22"/>
        </w:rPr>
      </w:pPr>
    </w:p>
    <w:p w14:paraId="0DEDC999" w14:textId="1081AA90" w:rsidR="00594E61" w:rsidRDefault="00594E61" w:rsidP="006F1229">
      <w:pPr>
        <w:rPr>
          <w:rFonts w:cs="Arial"/>
          <w:sz w:val="22"/>
          <w:szCs w:val="22"/>
        </w:rPr>
      </w:pPr>
      <w:r>
        <w:rPr>
          <w:rFonts w:cs="Arial"/>
          <w:sz w:val="22"/>
          <w:szCs w:val="22"/>
        </w:rPr>
        <w:t xml:space="preserve">Ver la respuesta dada al ítem 6 del numeral 2.5.1 del Documento soporte D-063 de 2013 de la Resolución CREG 089 de 2013. </w:t>
      </w:r>
    </w:p>
    <w:p w14:paraId="59790717" w14:textId="1311E0B7" w:rsidR="00594E61" w:rsidRDefault="00594E61" w:rsidP="006F1229">
      <w:pPr>
        <w:rPr>
          <w:rFonts w:cs="Arial"/>
          <w:sz w:val="22"/>
          <w:szCs w:val="22"/>
        </w:rPr>
      </w:pPr>
    </w:p>
    <w:p w14:paraId="3193DD76" w14:textId="47D3B26B" w:rsidR="00A94B34" w:rsidRDefault="00A94B34" w:rsidP="006F1229">
      <w:pPr>
        <w:rPr>
          <w:rFonts w:cs="Arial"/>
          <w:sz w:val="22"/>
          <w:szCs w:val="22"/>
        </w:rPr>
      </w:pPr>
      <w:r>
        <w:rPr>
          <w:rFonts w:cs="Arial"/>
          <w:sz w:val="22"/>
          <w:szCs w:val="22"/>
        </w:rPr>
        <w:t>Es importante aclarar que en la modalidad de contrato CF95 actual</w:t>
      </w:r>
      <w:r w:rsidR="009E670F">
        <w:rPr>
          <w:rFonts w:cs="Arial"/>
          <w:sz w:val="22"/>
          <w:szCs w:val="22"/>
        </w:rPr>
        <w:t xml:space="preserve">, que no existía en la Resolución CREG 089 de 2013, </w:t>
      </w:r>
      <w:r>
        <w:rPr>
          <w:rFonts w:cs="Arial"/>
          <w:sz w:val="22"/>
          <w:szCs w:val="22"/>
        </w:rPr>
        <w:t xml:space="preserve">se establece una compensación volumétrica mensual, que en todo caso se limita a que no haya nominaciones </w:t>
      </w:r>
      <w:r w:rsidR="009E670F">
        <w:rPr>
          <w:rFonts w:cs="Arial"/>
          <w:sz w:val="22"/>
          <w:szCs w:val="22"/>
        </w:rPr>
        <w:t xml:space="preserve">por el comprador </w:t>
      </w:r>
      <w:r>
        <w:rPr>
          <w:rFonts w:cs="Arial"/>
          <w:sz w:val="22"/>
          <w:szCs w:val="22"/>
        </w:rPr>
        <w:t xml:space="preserve">superiores al 100% del volumen </w:t>
      </w:r>
      <w:r w:rsidR="009E670F">
        <w:rPr>
          <w:rFonts w:cs="Arial"/>
          <w:sz w:val="22"/>
          <w:szCs w:val="22"/>
        </w:rPr>
        <w:t xml:space="preserve">diario </w:t>
      </w:r>
      <w:r>
        <w:rPr>
          <w:rFonts w:cs="Arial"/>
          <w:sz w:val="22"/>
          <w:szCs w:val="22"/>
        </w:rPr>
        <w:t>garantizado de suministro. Adicionalmente, d</w:t>
      </w:r>
      <w:r w:rsidR="00594E61">
        <w:rPr>
          <w:rFonts w:cs="Arial"/>
          <w:sz w:val="22"/>
          <w:szCs w:val="22"/>
        </w:rPr>
        <w:t xml:space="preserve">ebe tenerse en cuenta que los </w:t>
      </w:r>
      <w:r w:rsidR="009E670F">
        <w:rPr>
          <w:rFonts w:cs="Arial"/>
          <w:sz w:val="22"/>
          <w:szCs w:val="22"/>
        </w:rPr>
        <w:t>vendedores del Mercado Primario</w:t>
      </w:r>
      <w:r w:rsidR="00594E61">
        <w:rPr>
          <w:rFonts w:cs="Arial"/>
          <w:sz w:val="22"/>
          <w:szCs w:val="22"/>
        </w:rPr>
        <w:t xml:space="preserve"> dependen, para cumplir los contratos de suministro, </w:t>
      </w:r>
      <w:r w:rsidR="009E670F">
        <w:rPr>
          <w:rFonts w:cs="Arial"/>
          <w:sz w:val="22"/>
          <w:szCs w:val="22"/>
        </w:rPr>
        <w:t xml:space="preserve">tanto </w:t>
      </w:r>
      <w:r w:rsidR="00594E61">
        <w:rPr>
          <w:rFonts w:cs="Arial"/>
          <w:sz w:val="22"/>
          <w:szCs w:val="22"/>
        </w:rPr>
        <w:t xml:space="preserve">de la capacidad de producción de cada fuente, </w:t>
      </w:r>
      <w:r w:rsidR="009E670F">
        <w:rPr>
          <w:rFonts w:cs="Arial"/>
          <w:sz w:val="22"/>
          <w:szCs w:val="22"/>
        </w:rPr>
        <w:t xml:space="preserve">como </w:t>
      </w:r>
      <w:r w:rsidR="00594E61">
        <w:rPr>
          <w:rFonts w:cs="Arial"/>
          <w:sz w:val="22"/>
          <w:szCs w:val="22"/>
        </w:rPr>
        <w:t xml:space="preserve">de la capacidad de procesamiento del gas producido y </w:t>
      </w:r>
      <w:r w:rsidR="009E670F">
        <w:rPr>
          <w:rFonts w:cs="Arial"/>
          <w:sz w:val="22"/>
          <w:szCs w:val="22"/>
        </w:rPr>
        <w:t xml:space="preserve">como </w:t>
      </w:r>
      <w:r w:rsidR="00594E61">
        <w:rPr>
          <w:rFonts w:cs="Arial"/>
          <w:sz w:val="22"/>
          <w:szCs w:val="22"/>
        </w:rPr>
        <w:t xml:space="preserve">de la capacidad de almacenamiento de dicho gas procesado. </w:t>
      </w:r>
      <w:r>
        <w:rPr>
          <w:rFonts w:cs="Arial"/>
          <w:sz w:val="22"/>
          <w:szCs w:val="22"/>
        </w:rPr>
        <w:t xml:space="preserve">Los contratos TOP con compensación superior a un mes </w:t>
      </w:r>
      <w:proofErr w:type="gramStart"/>
      <w:r>
        <w:rPr>
          <w:rFonts w:cs="Arial"/>
          <w:sz w:val="22"/>
          <w:szCs w:val="22"/>
        </w:rPr>
        <w:t>pueden</w:t>
      </w:r>
      <w:proofErr w:type="gramEnd"/>
      <w:r>
        <w:rPr>
          <w:rFonts w:cs="Arial"/>
          <w:sz w:val="22"/>
          <w:szCs w:val="22"/>
        </w:rPr>
        <w:t xml:space="preserve"> por tanto, llevar a elevar los costos del suministro de modo que el beneficio esperado de dichas compensaciones superiores a un mes, sea inferior al costo resultante de la elevación del precio de suministro por las razones de la infraestructura adicional de producción, procesamiento y almacenamiento necesarias para garantizar la compensación</w:t>
      </w:r>
      <w:r w:rsidR="009E670F">
        <w:rPr>
          <w:rFonts w:cs="Arial"/>
          <w:sz w:val="22"/>
          <w:szCs w:val="22"/>
        </w:rPr>
        <w:t>,</w:t>
      </w:r>
      <w:r>
        <w:rPr>
          <w:rFonts w:cs="Arial"/>
          <w:sz w:val="22"/>
          <w:szCs w:val="22"/>
        </w:rPr>
        <w:t xml:space="preserve"> cuando se</w:t>
      </w:r>
      <w:r w:rsidR="009E670F">
        <w:rPr>
          <w:rFonts w:cs="Arial"/>
          <w:sz w:val="22"/>
          <w:szCs w:val="22"/>
        </w:rPr>
        <w:t>a</w:t>
      </w:r>
      <w:r>
        <w:rPr>
          <w:rFonts w:cs="Arial"/>
          <w:sz w:val="22"/>
          <w:szCs w:val="22"/>
        </w:rPr>
        <w:t xml:space="preserve"> nomina</w:t>
      </w:r>
      <w:r w:rsidR="009E670F">
        <w:rPr>
          <w:rFonts w:cs="Arial"/>
          <w:sz w:val="22"/>
          <w:szCs w:val="22"/>
        </w:rPr>
        <w:t>da</w:t>
      </w:r>
      <w:r>
        <w:rPr>
          <w:rFonts w:cs="Arial"/>
          <w:sz w:val="22"/>
          <w:szCs w:val="22"/>
        </w:rPr>
        <w:t xml:space="preserve">. </w:t>
      </w:r>
    </w:p>
    <w:p w14:paraId="73EDE9BF" w14:textId="77777777" w:rsidR="00A94B34" w:rsidRDefault="00A94B34" w:rsidP="006F1229">
      <w:pPr>
        <w:rPr>
          <w:rFonts w:cs="Arial"/>
          <w:sz w:val="22"/>
          <w:szCs w:val="22"/>
        </w:rPr>
      </w:pPr>
    </w:p>
    <w:p w14:paraId="2FE67A6A" w14:textId="1BDA617E" w:rsidR="00594E61" w:rsidRDefault="00594E61" w:rsidP="006F1229">
      <w:pPr>
        <w:rPr>
          <w:rFonts w:cs="Arial"/>
          <w:sz w:val="22"/>
          <w:szCs w:val="22"/>
        </w:rPr>
      </w:pPr>
      <w:r>
        <w:rPr>
          <w:rFonts w:cs="Arial"/>
          <w:sz w:val="22"/>
          <w:szCs w:val="22"/>
        </w:rPr>
        <w:t xml:space="preserve">Se espera que la introducción de infraestructuras de regasificación y las posibilidades logísticas que permite el contar con gas natural licuado, permita el desarrollo de contratos que en el futuro puedan </w:t>
      </w:r>
      <w:r w:rsidR="00E06B28">
        <w:rPr>
          <w:rFonts w:cs="Arial"/>
          <w:sz w:val="22"/>
          <w:szCs w:val="22"/>
        </w:rPr>
        <w:t>ofrecer</w:t>
      </w:r>
      <w:r>
        <w:rPr>
          <w:rFonts w:cs="Arial"/>
          <w:sz w:val="22"/>
          <w:szCs w:val="22"/>
        </w:rPr>
        <w:t xml:space="preserve"> compensaciones volumétricas de mayor plazo a los plazos de reposición mensual que actualmente se establecen en los contratos de modalidad CFXX actuales y propuestos</w:t>
      </w:r>
      <w:r w:rsidR="00E06B28">
        <w:rPr>
          <w:rFonts w:cs="Arial"/>
          <w:sz w:val="22"/>
          <w:szCs w:val="22"/>
        </w:rPr>
        <w:t>, sin incurrir en mayores costos por ello</w:t>
      </w:r>
      <w:r>
        <w:rPr>
          <w:rFonts w:cs="Arial"/>
          <w:sz w:val="22"/>
          <w:szCs w:val="22"/>
        </w:rPr>
        <w:t>.</w:t>
      </w:r>
    </w:p>
    <w:p w14:paraId="2D4FDC2D" w14:textId="6BBE7DF7" w:rsidR="00A94B34" w:rsidRDefault="00A94B34" w:rsidP="006F1229">
      <w:pPr>
        <w:rPr>
          <w:rFonts w:cs="Arial"/>
          <w:sz w:val="22"/>
          <w:szCs w:val="22"/>
        </w:rPr>
      </w:pPr>
    </w:p>
    <w:p w14:paraId="1EE7F39F" w14:textId="77777777" w:rsidR="006F6DE1" w:rsidRDefault="006F6DE1" w:rsidP="006F1229">
      <w:pPr>
        <w:rPr>
          <w:rFonts w:cs="Arial"/>
          <w:sz w:val="22"/>
          <w:szCs w:val="22"/>
        </w:rPr>
      </w:pPr>
    </w:p>
    <w:p w14:paraId="4A5450A6" w14:textId="77777777" w:rsidR="006F1229" w:rsidRDefault="006F1229" w:rsidP="006F6DE1">
      <w:pPr>
        <w:pStyle w:val="Ttulo4"/>
      </w:pPr>
      <w:bookmarkStart w:id="509" w:name="_Ref130386629"/>
      <w:r w:rsidRPr="006F1229">
        <w:t>GASES DE OCCIDENTE</w:t>
      </w:r>
      <w:bookmarkEnd w:id="509"/>
      <w:r w:rsidRPr="006F1229">
        <w:tab/>
      </w:r>
    </w:p>
    <w:p w14:paraId="6903E60C" w14:textId="527AC13E" w:rsidR="006F1229" w:rsidRPr="00284B20" w:rsidRDefault="006F1229" w:rsidP="006F1229">
      <w:pPr>
        <w:rPr>
          <w:rFonts w:cs="Arial"/>
          <w:i/>
          <w:iCs/>
          <w:sz w:val="22"/>
          <w:szCs w:val="22"/>
        </w:rPr>
      </w:pPr>
      <w:r w:rsidRPr="006F1229">
        <w:rPr>
          <w:rFonts w:cs="Arial"/>
          <w:sz w:val="22"/>
          <w:szCs w:val="22"/>
        </w:rPr>
        <w:t>"</w:t>
      </w:r>
      <w:r w:rsidRPr="00284B20">
        <w:rPr>
          <w:rFonts w:cs="Arial"/>
          <w:i/>
          <w:iCs/>
          <w:sz w:val="22"/>
          <w:szCs w:val="22"/>
        </w:rPr>
        <w:t>De una proyección de oferta signada por la incertidumbre y de una proyección de demanda seguramente subestimada, el balance resultante resultará espurio y de sus resultados no se podrá inferir la condición superavitaria o deficitaria de la oferta.</w:t>
      </w:r>
    </w:p>
    <w:p w14:paraId="559D570A" w14:textId="77777777" w:rsidR="006F1229" w:rsidRPr="00284B20" w:rsidRDefault="006F1229" w:rsidP="006F1229">
      <w:pPr>
        <w:rPr>
          <w:rFonts w:cs="Arial"/>
          <w:i/>
          <w:iCs/>
          <w:sz w:val="22"/>
          <w:szCs w:val="22"/>
        </w:rPr>
      </w:pPr>
    </w:p>
    <w:p w14:paraId="1020FE11" w14:textId="77777777" w:rsidR="006F1229" w:rsidRPr="006F1229" w:rsidRDefault="006F1229" w:rsidP="006F1229">
      <w:pPr>
        <w:rPr>
          <w:rFonts w:cs="Arial"/>
          <w:sz w:val="22"/>
          <w:szCs w:val="22"/>
        </w:rPr>
      </w:pPr>
      <w:r w:rsidRPr="00284B20">
        <w:rPr>
          <w:rFonts w:cs="Arial"/>
          <w:i/>
          <w:iCs/>
          <w:sz w:val="22"/>
          <w:szCs w:val="22"/>
        </w:rPr>
        <w:t>Consideramos que es función y competencia de la UPME y no de los agentes sectoriales, o de la CREG, definir las condiciones de superávit o déficit de oferta que puedan presentarse en el mercado de gas</w:t>
      </w:r>
      <w:r w:rsidRPr="006F1229">
        <w:rPr>
          <w:rFonts w:cs="Arial"/>
          <w:sz w:val="22"/>
          <w:szCs w:val="22"/>
        </w:rPr>
        <w:t>."</w:t>
      </w:r>
    </w:p>
    <w:p w14:paraId="5BBCE996" w14:textId="5684E281" w:rsidR="006F1229" w:rsidRDefault="006F1229" w:rsidP="006F1229">
      <w:pPr>
        <w:rPr>
          <w:rFonts w:cs="Arial"/>
          <w:sz w:val="22"/>
          <w:szCs w:val="22"/>
        </w:rPr>
      </w:pPr>
    </w:p>
    <w:p w14:paraId="42F2639A" w14:textId="03383A45" w:rsidR="00284B20" w:rsidRPr="00284B20" w:rsidRDefault="00284B20" w:rsidP="006F1229">
      <w:pPr>
        <w:rPr>
          <w:rFonts w:cs="Arial"/>
          <w:b/>
          <w:bCs/>
          <w:sz w:val="22"/>
          <w:szCs w:val="22"/>
        </w:rPr>
      </w:pPr>
      <w:r w:rsidRPr="00284B20">
        <w:rPr>
          <w:rFonts w:cs="Arial"/>
          <w:b/>
          <w:bCs/>
          <w:sz w:val="22"/>
          <w:szCs w:val="22"/>
        </w:rPr>
        <w:t>Respuesta:</w:t>
      </w:r>
    </w:p>
    <w:p w14:paraId="1F201CC5" w14:textId="2002CB39" w:rsidR="00284B20" w:rsidRDefault="00284B20" w:rsidP="006F1229">
      <w:pPr>
        <w:rPr>
          <w:rFonts w:cs="Arial"/>
          <w:sz w:val="22"/>
          <w:szCs w:val="22"/>
        </w:rPr>
      </w:pPr>
    </w:p>
    <w:p w14:paraId="3C040776" w14:textId="3DD66AE5" w:rsidR="00CC48B4" w:rsidRDefault="00B23D9D" w:rsidP="006F1229">
      <w:pPr>
        <w:rPr>
          <w:rFonts w:cs="Arial"/>
          <w:sz w:val="22"/>
          <w:szCs w:val="22"/>
        </w:rPr>
      </w:pPr>
      <w:r>
        <w:rPr>
          <w:rFonts w:cs="Arial"/>
          <w:sz w:val="22"/>
          <w:szCs w:val="22"/>
        </w:rPr>
        <w:t xml:space="preserve">Ver </w:t>
      </w:r>
      <w:r w:rsidR="00CC48B4">
        <w:rPr>
          <w:rFonts w:cs="Arial"/>
          <w:sz w:val="22"/>
          <w:szCs w:val="22"/>
        </w:rPr>
        <w:t xml:space="preserve">los numerales </w:t>
      </w:r>
      <w:r w:rsidR="00CC48B4">
        <w:rPr>
          <w:rFonts w:cs="Arial"/>
          <w:sz w:val="22"/>
          <w:szCs w:val="22"/>
        </w:rPr>
        <w:fldChar w:fldCharType="begin"/>
      </w:r>
      <w:r w:rsidR="00CC48B4">
        <w:rPr>
          <w:rFonts w:cs="Arial"/>
          <w:sz w:val="22"/>
          <w:szCs w:val="22"/>
        </w:rPr>
        <w:instrText xml:space="preserve"> REF _Ref130303721 \r \h </w:instrText>
      </w:r>
      <w:r w:rsidR="00CC48B4">
        <w:rPr>
          <w:rFonts w:cs="Arial"/>
          <w:sz w:val="22"/>
          <w:szCs w:val="22"/>
        </w:rPr>
      </w:r>
      <w:r w:rsidR="00CC48B4">
        <w:rPr>
          <w:rFonts w:cs="Arial"/>
          <w:sz w:val="22"/>
          <w:szCs w:val="22"/>
        </w:rPr>
        <w:fldChar w:fldCharType="separate"/>
      </w:r>
      <w:r w:rsidR="007651EA">
        <w:rPr>
          <w:rFonts w:cs="Arial"/>
          <w:sz w:val="22"/>
          <w:szCs w:val="22"/>
        </w:rPr>
        <w:t>2.2.1</w:t>
      </w:r>
      <w:r w:rsidR="00CC48B4">
        <w:rPr>
          <w:rFonts w:cs="Arial"/>
          <w:sz w:val="22"/>
          <w:szCs w:val="22"/>
        </w:rPr>
        <w:fldChar w:fldCharType="end"/>
      </w:r>
      <w:r w:rsidR="00CC48B4">
        <w:rPr>
          <w:rFonts w:cs="Arial"/>
          <w:sz w:val="22"/>
          <w:szCs w:val="22"/>
        </w:rPr>
        <w:t xml:space="preserve"> y la </w:t>
      </w:r>
      <w:r>
        <w:rPr>
          <w:rFonts w:cs="Arial"/>
          <w:sz w:val="22"/>
          <w:szCs w:val="22"/>
        </w:rPr>
        <w:t>respuesta a</w:t>
      </w:r>
      <w:r w:rsidR="00CC48B4">
        <w:rPr>
          <w:rFonts w:cs="Arial"/>
          <w:sz w:val="22"/>
          <w:szCs w:val="22"/>
        </w:rPr>
        <w:t xml:space="preserve">l </w:t>
      </w:r>
      <w:r>
        <w:rPr>
          <w:rFonts w:cs="Arial"/>
          <w:sz w:val="22"/>
          <w:szCs w:val="22"/>
        </w:rPr>
        <w:t xml:space="preserve">numeral </w:t>
      </w:r>
      <w:r w:rsidR="00CC48B4">
        <w:rPr>
          <w:rFonts w:cs="Arial"/>
          <w:sz w:val="22"/>
          <w:szCs w:val="22"/>
        </w:rPr>
        <w:fldChar w:fldCharType="begin"/>
      </w:r>
      <w:r w:rsidR="00CC48B4">
        <w:rPr>
          <w:rFonts w:cs="Arial"/>
          <w:sz w:val="22"/>
          <w:szCs w:val="22"/>
        </w:rPr>
        <w:instrText xml:space="preserve"> REF _Ref129432963 \r \h </w:instrText>
      </w:r>
      <w:r w:rsidR="00CC48B4">
        <w:rPr>
          <w:rFonts w:cs="Arial"/>
          <w:sz w:val="22"/>
          <w:szCs w:val="22"/>
        </w:rPr>
      </w:r>
      <w:r w:rsidR="00CC48B4">
        <w:rPr>
          <w:rFonts w:cs="Arial"/>
          <w:sz w:val="22"/>
          <w:szCs w:val="22"/>
        </w:rPr>
        <w:fldChar w:fldCharType="separate"/>
      </w:r>
      <w:r w:rsidR="007651EA">
        <w:rPr>
          <w:rFonts w:cs="Arial"/>
          <w:sz w:val="22"/>
          <w:szCs w:val="22"/>
        </w:rPr>
        <w:t>1.2.1.3</w:t>
      </w:r>
      <w:r w:rsidR="00CC48B4">
        <w:rPr>
          <w:rFonts w:cs="Arial"/>
          <w:sz w:val="22"/>
          <w:szCs w:val="22"/>
        </w:rPr>
        <w:fldChar w:fldCharType="end"/>
      </w:r>
      <w:r w:rsidR="00CC48B4">
        <w:rPr>
          <w:rFonts w:cs="Arial"/>
          <w:sz w:val="22"/>
          <w:szCs w:val="22"/>
        </w:rPr>
        <w:t>.</w:t>
      </w:r>
    </w:p>
    <w:p w14:paraId="4B45E0A5" w14:textId="77777777" w:rsidR="00CC48B4" w:rsidRDefault="00CC48B4" w:rsidP="006F1229">
      <w:pPr>
        <w:rPr>
          <w:rFonts w:cs="Arial"/>
          <w:sz w:val="22"/>
          <w:szCs w:val="22"/>
        </w:rPr>
      </w:pPr>
    </w:p>
    <w:p w14:paraId="263B0BB9" w14:textId="4D32D395" w:rsidR="00284B20" w:rsidRDefault="00CC48B4" w:rsidP="006F1229">
      <w:pPr>
        <w:rPr>
          <w:rFonts w:cs="Arial"/>
          <w:sz w:val="22"/>
          <w:szCs w:val="22"/>
        </w:rPr>
      </w:pPr>
      <w:r>
        <w:rPr>
          <w:rFonts w:cs="Arial"/>
          <w:sz w:val="22"/>
          <w:szCs w:val="22"/>
        </w:rPr>
        <w:t xml:space="preserve">Por otra parte, las declaraciones de producción de los vendedores del Mercado Primario ciertamente tienen un nivel de incertidumbre en cuanto a las variaciones de las cantidades de reservas 2P que pueden variar por los aspectos que rigen la determinación del nivel de reservas y de los recursos contingentes, por ejemplo, el precio de venta de referencia del gas natural o el precio de venta del petróleo, en los casos de gas asociado con crudo. Sin embargo, sí se puede observar tendencias en las declaraciones de potencial de producción que son publicadas por el MME, tal como se muestra en la </w:t>
      </w:r>
      <w:r>
        <w:rPr>
          <w:rFonts w:cs="Arial"/>
          <w:sz w:val="22"/>
          <w:szCs w:val="22"/>
        </w:rPr>
        <w:fldChar w:fldCharType="begin"/>
      </w:r>
      <w:r>
        <w:rPr>
          <w:rFonts w:cs="Arial"/>
          <w:sz w:val="22"/>
          <w:szCs w:val="22"/>
        </w:rPr>
        <w:instrText xml:space="preserve"> REF _Ref129849276 \h </w:instrText>
      </w:r>
      <w:r>
        <w:rPr>
          <w:rFonts w:cs="Arial"/>
          <w:sz w:val="22"/>
          <w:szCs w:val="22"/>
        </w:rPr>
      </w:r>
      <w:r>
        <w:rPr>
          <w:rFonts w:cs="Arial"/>
          <w:sz w:val="22"/>
          <w:szCs w:val="22"/>
        </w:rPr>
        <w:fldChar w:fldCharType="separate"/>
      </w:r>
      <w:r w:rsidR="007651EA" w:rsidRPr="000031CC">
        <w:rPr>
          <w:sz w:val="22"/>
          <w:szCs w:val="22"/>
        </w:rPr>
        <w:t xml:space="preserve">Figura </w:t>
      </w:r>
      <w:r w:rsidR="007651EA">
        <w:rPr>
          <w:noProof/>
          <w:sz w:val="22"/>
          <w:szCs w:val="22"/>
        </w:rPr>
        <w:t>5</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_Ref129849287 \h </w:instrText>
      </w:r>
      <w:r>
        <w:rPr>
          <w:rFonts w:cs="Arial"/>
          <w:sz w:val="22"/>
          <w:szCs w:val="22"/>
        </w:rPr>
      </w:r>
      <w:r>
        <w:rPr>
          <w:rFonts w:cs="Arial"/>
          <w:sz w:val="22"/>
          <w:szCs w:val="22"/>
        </w:rPr>
        <w:fldChar w:fldCharType="separate"/>
      </w:r>
      <w:r w:rsidR="007651EA" w:rsidRPr="000031CC">
        <w:rPr>
          <w:sz w:val="22"/>
          <w:szCs w:val="22"/>
        </w:rPr>
        <w:t xml:space="preserve">Figura </w:t>
      </w:r>
      <w:r w:rsidR="007651EA">
        <w:rPr>
          <w:noProof/>
          <w:sz w:val="22"/>
          <w:szCs w:val="22"/>
        </w:rPr>
        <w:t>6</w:t>
      </w:r>
      <w:r>
        <w:rPr>
          <w:rFonts w:cs="Arial"/>
          <w:sz w:val="22"/>
          <w:szCs w:val="22"/>
        </w:rPr>
        <w:fldChar w:fldCharType="end"/>
      </w:r>
      <w:r>
        <w:rPr>
          <w:rFonts w:cs="Arial"/>
          <w:sz w:val="22"/>
          <w:szCs w:val="22"/>
        </w:rPr>
        <w:t xml:space="preserve"> y la </w:t>
      </w:r>
      <w:r>
        <w:rPr>
          <w:rFonts w:cs="Arial"/>
          <w:sz w:val="22"/>
          <w:szCs w:val="22"/>
        </w:rPr>
        <w:fldChar w:fldCharType="begin"/>
      </w:r>
      <w:r>
        <w:rPr>
          <w:rFonts w:cs="Arial"/>
          <w:sz w:val="22"/>
          <w:szCs w:val="22"/>
        </w:rPr>
        <w:instrText xml:space="preserve"> REF _Ref130304151 \h </w:instrText>
      </w:r>
      <w:r>
        <w:rPr>
          <w:rFonts w:cs="Arial"/>
          <w:sz w:val="22"/>
          <w:szCs w:val="22"/>
        </w:rPr>
      </w:r>
      <w:r>
        <w:rPr>
          <w:rFonts w:cs="Arial"/>
          <w:sz w:val="22"/>
          <w:szCs w:val="22"/>
        </w:rPr>
        <w:fldChar w:fldCharType="separate"/>
      </w:r>
      <w:r w:rsidR="007651EA" w:rsidRPr="00AA63D2">
        <w:rPr>
          <w:sz w:val="22"/>
          <w:szCs w:val="22"/>
        </w:rPr>
        <w:t xml:space="preserve">Figura </w:t>
      </w:r>
      <w:r w:rsidR="007651EA">
        <w:rPr>
          <w:noProof/>
          <w:sz w:val="22"/>
          <w:szCs w:val="22"/>
        </w:rPr>
        <w:t>10</w:t>
      </w:r>
      <w:r>
        <w:rPr>
          <w:rFonts w:cs="Arial"/>
          <w:sz w:val="22"/>
          <w:szCs w:val="22"/>
        </w:rPr>
        <w:fldChar w:fldCharType="end"/>
      </w:r>
      <w:r>
        <w:rPr>
          <w:rFonts w:cs="Arial"/>
          <w:sz w:val="22"/>
          <w:szCs w:val="22"/>
        </w:rPr>
        <w:t xml:space="preserve">. </w:t>
      </w:r>
    </w:p>
    <w:p w14:paraId="64C55C22" w14:textId="026C7426" w:rsidR="00CC48B4" w:rsidRDefault="00CC48B4" w:rsidP="006F1229">
      <w:pPr>
        <w:rPr>
          <w:rFonts w:cs="Arial"/>
          <w:sz w:val="22"/>
          <w:szCs w:val="22"/>
        </w:rPr>
      </w:pPr>
    </w:p>
    <w:p w14:paraId="782E6DCA" w14:textId="281AE147" w:rsidR="00F62E30" w:rsidRDefault="00CC48B4" w:rsidP="006F1229">
      <w:pPr>
        <w:rPr>
          <w:rFonts w:cs="Arial"/>
          <w:sz w:val="22"/>
          <w:szCs w:val="22"/>
        </w:rPr>
      </w:pPr>
      <w:r>
        <w:rPr>
          <w:rFonts w:cs="Arial"/>
          <w:sz w:val="22"/>
          <w:szCs w:val="22"/>
        </w:rPr>
        <w:t xml:space="preserve">Por el lado de los compradores también se espera que se desarrollen continuamente estimaciones de corto, mediano y largo plazo, mediante las cuales parten de demandas actuales y futuras que son propias de su actividad, que tienen un nivel de incertidumbre que se puede mitigar conformando una estrategia de compras  de corto, mediano y largo plazo, siendo las de largo plazo aquellas, por ejemplo, que definitivamente </w:t>
      </w:r>
      <w:r w:rsidR="00FC1B1D">
        <w:rPr>
          <w:rFonts w:cs="Arial"/>
          <w:sz w:val="22"/>
          <w:szCs w:val="22"/>
        </w:rPr>
        <w:t xml:space="preserve">se deberán atender en cualquier circunstancia, como por ejemplo la Demanda Esencial.  </w:t>
      </w:r>
      <w:r w:rsidR="00F62E30">
        <w:rPr>
          <w:rFonts w:cs="Arial"/>
          <w:sz w:val="22"/>
          <w:szCs w:val="22"/>
        </w:rPr>
        <w:t>Parte de los beneficios esperados con la propuesta de realización de balances trimestrales tiene por objeto posibilitar un mejoramiento de las estrategias de compra del gas en el Mercado Primario, sobre todo par</w:t>
      </w:r>
      <w:r w:rsidR="004349AA">
        <w:rPr>
          <w:rFonts w:cs="Arial"/>
          <w:sz w:val="22"/>
          <w:szCs w:val="22"/>
        </w:rPr>
        <w:t>a</w:t>
      </w:r>
      <w:r w:rsidR="00F62E30">
        <w:rPr>
          <w:rFonts w:cs="Arial"/>
          <w:sz w:val="22"/>
          <w:szCs w:val="22"/>
        </w:rPr>
        <w:t xml:space="preserve"> el caso de los compradores</w:t>
      </w:r>
      <w:r w:rsidR="00843A16">
        <w:rPr>
          <w:rFonts w:cs="Arial"/>
          <w:sz w:val="22"/>
          <w:szCs w:val="22"/>
        </w:rPr>
        <w:t xml:space="preserve"> (ver</w:t>
      </w:r>
      <w:r w:rsidR="004349AA">
        <w:rPr>
          <w:rFonts w:cs="Arial"/>
          <w:sz w:val="22"/>
          <w:szCs w:val="22"/>
        </w:rPr>
        <w:t xml:space="preserve"> el numeral</w:t>
      </w:r>
      <w:r w:rsidR="00843A16">
        <w:rPr>
          <w:rFonts w:cs="Arial"/>
          <w:sz w:val="22"/>
          <w:szCs w:val="22"/>
        </w:rPr>
        <w:t xml:space="preserve"> </w:t>
      </w:r>
      <w:r w:rsidR="0062143F">
        <w:rPr>
          <w:rFonts w:cs="Arial"/>
          <w:sz w:val="22"/>
          <w:szCs w:val="22"/>
        </w:rPr>
        <w:fldChar w:fldCharType="begin"/>
      </w:r>
      <w:r w:rsidR="0062143F">
        <w:rPr>
          <w:rFonts w:cs="Arial"/>
          <w:sz w:val="22"/>
          <w:szCs w:val="22"/>
        </w:rPr>
        <w:instrText xml:space="preserve"> REF _Ref130304509 \r \h </w:instrText>
      </w:r>
      <w:r w:rsidR="0062143F">
        <w:rPr>
          <w:rFonts w:cs="Arial"/>
          <w:sz w:val="22"/>
          <w:szCs w:val="22"/>
        </w:rPr>
      </w:r>
      <w:r w:rsidR="0062143F">
        <w:rPr>
          <w:rFonts w:cs="Arial"/>
          <w:sz w:val="22"/>
          <w:szCs w:val="22"/>
        </w:rPr>
        <w:fldChar w:fldCharType="separate"/>
      </w:r>
      <w:r w:rsidR="007651EA">
        <w:rPr>
          <w:rFonts w:cs="Arial"/>
          <w:sz w:val="22"/>
          <w:szCs w:val="22"/>
        </w:rPr>
        <w:t>4.11.1</w:t>
      </w:r>
      <w:r w:rsidR="0062143F">
        <w:rPr>
          <w:rFonts w:cs="Arial"/>
          <w:sz w:val="22"/>
          <w:szCs w:val="22"/>
        </w:rPr>
        <w:fldChar w:fldCharType="end"/>
      </w:r>
      <w:r w:rsidR="0062143F">
        <w:rPr>
          <w:rFonts w:cs="Arial"/>
          <w:sz w:val="22"/>
          <w:szCs w:val="22"/>
        </w:rPr>
        <w:t>)</w:t>
      </w:r>
      <w:r w:rsidR="00F62E30">
        <w:rPr>
          <w:rFonts w:cs="Arial"/>
          <w:sz w:val="22"/>
          <w:szCs w:val="22"/>
        </w:rPr>
        <w:t>.</w:t>
      </w:r>
    </w:p>
    <w:p w14:paraId="123C24AB" w14:textId="28575E75" w:rsidR="0062143F" w:rsidRDefault="0062143F" w:rsidP="006F1229">
      <w:pPr>
        <w:rPr>
          <w:rFonts w:cs="Arial"/>
          <w:sz w:val="22"/>
          <w:szCs w:val="22"/>
        </w:rPr>
      </w:pPr>
    </w:p>
    <w:p w14:paraId="3ACF7A08" w14:textId="5D367DBF" w:rsidR="0062143F" w:rsidRDefault="0062143F" w:rsidP="006F1229">
      <w:pPr>
        <w:rPr>
          <w:rFonts w:cs="Arial"/>
          <w:sz w:val="22"/>
          <w:szCs w:val="22"/>
        </w:rPr>
      </w:pPr>
      <w:r>
        <w:rPr>
          <w:rFonts w:cs="Arial"/>
          <w:sz w:val="22"/>
          <w:szCs w:val="22"/>
        </w:rPr>
        <w:t>Para la propuesta también se tuvo en cuenta la propuesta realizada por la Misión de Transformación Energética</w:t>
      </w:r>
      <w:r w:rsidR="00083CF5">
        <w:rPr>
          <w:rStyle w:val="Refdenotaalpie"/>
          <w:rFonts w:cs="Arial"/>
          <w:sz w:val="22"/>
          <w:szCs w:val="22"/>
        </w:rPr>
        <w:footnoteReference w:id="18"/>
      </w:r>
      <w:r>
        <w:rPr>
          <w:rFonts w:cs="Arial"/>
          <w:sz w:val="22"/>
          <w:szCs w:val="22"/>
        </w:rPr>
        <w:t xml:space="preserve"> </w:t>
      </w:r>
      <w:r w:rsidR="00083CF5">
        <w:rPr>
          <w:rFonts w:cs="Arial"/>
          <w:sz w:val="22"/>
          <w:szCs w:val="22"/>
        </w:rPr>
        <w:t>pero se consideró dejar en libertad de cada comercializador su estrategia de aseguramiento de las compras para atender su mercado.</w:t>
      </w:r>
    </w:p>
    <w:p w14:paraId="5AB5A172" w14:textId="77777777" w:rsidR="00F62E30" w:rsidRDefault="00F62E30" w:rsidP="006F1229">
      <w:pPr>
        <w:rPr>
          <w:rFonts w:cs="Arial"/>
          <w:sz w:val="22"/>
          <w:szCs w:val="22"/>
        </w:rPr>
      </w:pPr>
    </w:p>
    <w:p w14:paraId="15B08995" w14:textId="2836D5D2" w:rsidR="00CC48B4" w:rsidRDefault="00FC1B1D" w:rsidP="006F1229">
      <w:pPr>
        <w:rPr>
          <w:rFonts w:cs="Arial"/>
          <w:sz w:val="22"/>
          <w:szCs w:val="22"/>
        </w:rPr>
      </w:pPr>
      <w:r>
        <w:rPr>
          <w:rFonts w:cs="Arial"/>
          <w:sz w:val="22"/>
          <w:szCs w:val="22"/>
        </w:rPr>
        <w:t xml:space="preserve">  </w:t>
      </w:r>
    </w:p>
    <w:p w14:paraId="48A5E9AF" w14:textId="77777777" w:rsidR="00284B20" w:rsidRDefault="00284B20" w:rsidP="006F1229">
      <w:pPr>
        <w:rPr>
          <w:rFonts w:cs="Arial"/>
          <w:sz w:val="22"/>
          <w:szCs w:val="22"/>
        </w:rPr>
      </w:pPr>
    </w:p>
    <w:p w14:paraId="37DA92EE" w14:textId="77777777" w:rsidR="006F6DE1" w:rsidRDefault="006F6DE1" w:rsidP="006F1229">
      <w:pPr>
        <w:rPr>
          <w:rFonts w:cs="Arial"/>
          <w:sz w:val="22"/>
          <w:szCs w:val="22"/>
        </w:rPr>
      </w:pPr>
    </w:p>
    <w:p w14:paraId="0FB5B5E7" w14:textId="77777777" w:rsidR="006F1229" w:rsidRDefault="006F1229" w:rsidP="006F6DE1">
      <w:pPr>
        <w:pStyle w:val="Ttulo4"/>
      </w:pPr>
      <w:bookmarkStart w:id="510" w:name="_Ref130386666"/>
      <w:r w:rsidRPr="006F1229">
        <w:t>GASES DE OCCIDENTE</w:t>
      </w:r>
      <w:bookmarkEnd w:id="510"/>
      <w:r w:rsidRPr="006F1229">
        <w:tab/>
      </w:r>
    </w:p>
    <w:p w14:paraId="5CBF8713" w14:textId="71E4212A" w:rsidR="006F1229" w:rsidRPr="006F1229" w:rsidRDefault="004349AA" w:rsidP="006F1229">
      <w:pPr>
        <w:rPr>
          <w:rFonts w:cs="Arial"/>
          <w:sz w:val="22"/>
          <w:szCs w:val="22"/>
        </w:rPr>
      </w:pPr>
      <w:r>
        <w:rPr>
          <w:rFonts w:cs="Arial"/>
          <w:i/>
          <w:iCs/>
          <w:sz w:val="22"/>
          <w:szCs w:val="22"/>
        </w:rPr>
        <w:t>“</w:t>
      </w:r>
      <w:r w:rsidR="006F1229" w:rsidRPr="00715E63">
        <w:rPr>
          <w:rFonts w:cs="Arial"/>
          <w:i/>
          <w:iCs/>
          <w:sz w:val="22"/>
          <w:szCs w:val="22"/>
        </w:rPr>
        <w:t>Una inquietud final se relaciona con la competencia que tiene la CREG para definir la forma en que se aplican eventuales racionamientos de gas. El artículo 2.2.2.2.4 del Decreto 1073 de 2015, Decreto Único Reglamentario del Sector Administrativo de Minas y Energía, modificado por el Decreto 2345 de 2015, establece que cuando se trate de un racionamiento programado de gas natural, el Ministerio de Minas y Energía fijará el orden de atención de la demanda entre los Agentes que tengan el mismo nivel de prioridad según lo dispuesto en el artículo 2.2.2.2.1 del mismo Decreto. Estas facultades y competencias deben ser revisadas por la CREG, previa cualquier decisión que adopte sobre este tema</w:t>
      </w:r>
      <w:r w:rsidR="006F1229" w:rsidRPr="006F1229">
        <w:rPr>
          <w:rFonts w:cs="Arial"/>
          <w:sz w:val="22"/>
          <w:szCs w:val="22"/>
        </w:rPr>
        <w:t>.</w:t>
      </w:r>
      <w:r>
        <w:rPr>
          <w:rFonts w:cs="Arial"/>
          <w:sz w:val="22"/>
          <w:szCs w:val="22"/>
        </w:rPr>
        <w:t>”</w:t>
      </w:r>
    </w:p>
    <w:p w14:paraId="0905F9B6" w14:textId="398C62CE" w:rsidR="006F1229" w:rsidRDefault="006F1229" w:rsidP="006F1229">
      <w:pPr>
        <w:rPr>
          <w:rFonts w:cs="Arial"/>
          <w:sz w:val="22"/>
          <w:szCs w:val="22"/>
        </w:rPr>
      </w:pPr>
    </w:p>
    <w:p w14:paraId="59B745F0" w14:textId="75AB1F8F" w:rsidR="00715E63" w:rsidRPr="00715E63" w:rsidRDefault="00715E63" w:rsidP="006F1229">
      <w:pPr>
        <w:rPr>
          <w:rFonts w:cs="Arial"/>
          <w:b/>
          <w:bCs/>
          <w:sz w:val="22"/>
          <w:szCs w:val="22"/>
        </w:rPr>
      </w:pPr>
      <w:r w:rsidRPr="00715E63">
        <w:rPr>
          <w:rFonts w:cs="Arial"/>
          <w:b/>
          <w:bCs/>
          <w:sz w:val="22"/>
          <w:szCs w:val="22"/>
        </w:rPr>
        <w:t>Respuesta:</w:t>
      </w:r>
    </w:p>
    <w:p w14:paraId="40E6AD7B" w14:textId="672BA35B" w:rsidR="00715E63" w:rsidRDefault="00715E63" w:rsidP="006F1229">
      <w:pPr>
        <w:rPr>
          <w:rFonts w:cs="Arial"/>
          <w:sz w:val="22"/>
          <w:szCs w:val="22"/>
        </w:rPr>
      </w:pPr>
    </w:p>
    <w:p w14:paraId="072BC22B" w14:textId="5AEA7FBE" w:rsidR="009D7AC2" w:rsidRDefault="00165DA8" w:rsidP="006F1229">
      <w:pPr>
        <w:rPr>
          <w:rFonts w:cs="Arial"/>
          <w:sz w:val="22"/>
          <w:szCs w:val="22"/>
        </w:rPr>
      </w:pPr>
      <w:r>
        <w:rPr>
          <w:rFonts w:cs="Arial"/>
          <w:sz w:val="22"/>
          <w:szCs w:val="22"/>
        </w:rPr>
        <w:t xml:space="preserve">No </w:t>
      </w:r>
      <w:r w:rsidR="004F537F">
        <w:rPr>
          <w:rFonts w:cs="Arial"/>
          <w:sz w:val="22"/>
          <w:szCs w:val="22"/>
        </w:rPr>
        <w:t xml:space="preserve">es claro lo que se expone dentro del </w:t>
      </w:r>
      <w:r>
        <w:rPr>
          <w:rFonts w:cs="Arial"/>
          <w:sz w:val="22"/>
          <w:szCs w:val="22"/>
        </w:rPr>
        <w:t xml:space="preserve">comentario. </w:t>
      </w:r>
    </w:p>
    <w:p w14:paraId="788DD76E" w14:textId="77777777" w:rsidR="009D7AC2" w:rsidRDefault="009D7AC2" w:rsidP="006F1229">
      <w:pPr>
        <w:rPr>
          <w:rFonts w:cs="Arial"/>
          <w:sz w:val="22"/>
          <w:szCs w:val="22"/>
        </w:rPr>
      </w:pPr>
    </w:p>
    <w:p w14:paraId="5B302B2F" w14:textId="71338572" w:rsidR="006629A6" w:rsidRDefault="00C7428E" w:rsidP="006F1229">
      <w:pPr>
        <w:rPr>
          <w:rFonts w:cs="Arial"/>
          <w:sz w:val="22"/>
          <w:szCs w:val="22"/>
        </w:rPr>
      </w:pPr>
      <w:r>
        <w:rPr>
          <w:rFonts w:cs="Arial"/>
          <w:sz w:val="22"/>
          <w:szCs w:val="22"/>
        </w:rPr>
        <w:t>Sin perjuicio de lo anterior, se sugiere v</w:t>
      </w:r>
      <w:r w:rsidR="006629A6">
        <w:rPr>
          <w:rFonts w:cs="Arial"/>
          <w:sz w:val="22"/>
          <w:szCs w:val="22"/>
        </w:rPr>
        <w:t xml:space="preserve">er numeral </w:t>
      </w:r>
      <w:r w:rsidR="006629A6">
        <w:rPr>
          <w:rFonts w:cs="Arial"/>
          <w:sz w:val="22"/>
          <w:szCs w:val="22"/>
        </w:rPr>
        <w:fldChar w:fldCharType="begin"/>
      </w:r>
      <w:r w:rsidR="006629A6">
        <w:rPr>
          <w:rFonts w:cs="Arial"/>
          <w:sz w:val="22"/>
          <w:szCs w:val="22"/>
        </w:rPr>
        <w:instrText xml:space="preserve"> REF _Ref130306142 \r \h </w:instrText>
      </w:r>
      <w:r w:rsidR="006629A6">
        <w:rPr>
          <w:rFonts w:cs="Arial"/>
          <w:sz w:val="22"/>
          <w:szCs w:val="22"/>
        </w:rPr>
      </w:r>
      <w:r w:rsidR="006629A6">
        <w:rPr>
          <w:rFonts w:cs="Arial"/>
          <w:sz w:val="22"/>
          <w:szCs w:val="22"/>
        </w:rPr>
        <w:fldChar w:fldCharType="separate"/>
      </w:r>
      <w:r w:rsidR="007651EA">
        <w:rPr>
          <w:rFonts w:cs="Arial"/>
          <w:sz w:val="22"/>
          <w:szCs w:val="22"/>
        </w:rPr>
        <w:t>2.2.3</w:t>
      </w:r>
      <w:r w:rsidR="006629A6">
        <w:rPr>
          <w:rFonts w:cs="Arial"/>
          <w:sz w:val="22"/>
          <w:szCs w:val="22"/>
        </w:rPr>
        <w:fldChar w:fldCharType="end"/>
      </w:r>
      <w:r w:rsidR="006629A6">
        <w:rPr>
          <w:rFonts w:cs="Arial"/>
          <w:sz w:val="22"/>
          <w:szCs w:val="22"/>
        </w:rPr>
        <w:t xml:space="preserve"> del presente documento.</w:t>
      </w:r>
    </w:p>
    <w:p w14:paraId="265ED0D1" w14:textId="77777777" w:rsidR="006629A6" w:rsidRDefault="006629A6" w:rsidP="006F1229">
      <w:pPr>
        <w:rPr>
          <w:rFonts w:cs="Arial"/>
          <w:sz w:val="22"/>
          <w:szCs w:val="22"/>
        </w:rPr>
      </w:pPr>
    </w:p>
    <w:p w14:paraId="1026C7AF" w14:textId="6093560E" w:rsidR="00715E63" w:rsidRDefault="00C7428E" w:rsidP="006F1229">
      <w:pPr>
        <w:rPr>
          <w:rFonts w:cs="Arial"/>
          <w:sz w:val="22"/>
          <w:szCs w:val="22"/>
        </w:rPr>
      </w:pPr>
      <w:r>
        <w:rPr>
          <w:rFonts w:cs="Arial"/>
          <w:sz w:val="22"/>
          <w:szCs w:val="22"/>
        </w:rPr>
        <w:t>Adicionalmente</w:t>
      </w:r>
      <w:r w:rsidR="009D7AC2">
        <w:rPr>
          <w:rFonts w:cs="Arial"/>
          <w:sz w:val="22"/>
          <w:szCs w:val="22"/>
        </w:rPr>
        <w:t>, en la propuesta no se incluyen</w:t>
      </w:r>
      <w:r w:rsidR="00165DA8">
        <w:rPr>
          <w:rFonts w:cs="Arial"/>
          <w:sz w:val="22"/>
          <w:szCs w:val="22"/>
        </w:rPr>
        <w:t xml:space="preserve"> aspectos </w:t>
      </w:r>
      <w:r w:rsidR="009D7AC2">
        <w:rPr>
          <w:rFonts w:cs="Arial"/>
          <w:sz w:val="22"/>
          <w:szCs w:val="22"/>
        </w:rPr>
        <w:t xml:space="preserve">operativos </w:t>
      </w:r>
      <w:r w:rsidR="00165DA8">
        <w:rPr>
          <w:rFonts w:cs="Arial"/>
          <w:sz w:val="22"/>
          <w:szCs w:val="22"/>
        </w:rPr>
        <w:t xml:space="preserve">relativos a eventuales racionamientos de gas natural y el orden de atención de la demanda, sino que utiliza la prelación establecida por el MME </w:t>
      </w:r>
      <w:r w:rsidR="005433A5">
        <w:rPr>
          <w:rFonts w:cs="Arial"/>
          <w:sz w:val="22"/>
          <w:szCs w:val="22"/>
        </w:rPr>
        <w:t xml:space="preserve">en el Decreto 1073 de 2015 </w:t>
      </w:r>
      <w:r w:rsidR="00165DA8">
        <w:rPr>
          <w:rFonts w:cs="Arial"/>
          <w:sz w:val="22"/>
          <w:szCs w:val="22"/>
        </w:rPr>
        <w:t>para dicha atención</w:t>
      </w:r>
      <w:r w:rsidR="009D7AC2">
        <w:rPr>
          <w:rFonts w:cs="Arial"/>
          <w:sz w:val="22"/>
          <w:szCs w:val="22"/>
        </w:rPr>
        <w:t>.</w:t>
      </w:r>
    </w:p>
    <w:p w14:paraId="66F75ED7" w14:textId="3AFE4941" w:rsidR="009D7AC2" w:rsidRDefault="009D7AC2" w:rsidP="006F1229">
      <w:pPr>
        <w:rPr>
          <w:rFonts w:cs="Arial"/>
          <w:sz w:val="22"/>
          <w:szCs w:val="22"/>
        </w:rPr>
      </w:pPr>
    </w:p>
    <w:p w14:paraId="541EC402" w14:textId="77777777" w:rsidR="006F6DE1" w:rsidRDefault="006F6DE1" w:rsidP="006F1229">
      <w:pPr>
        <w:rPr>
          <w:rFonts w:cs="Arial"/>
          <w:sz w:val="22"/>
          <w:szCs w:val="22"/>
        </w:rPr>
      </w:pPr>
    </w:p>
    <w:p w14:paraId="2DD6C6E0" w14:textId="77777777" w:rsidR="006F1229" w:rsidRDefault="006F1229" w:rsidP="006F6DE1">
      <w:pPr>
        <w:pStyle w:val="Ttulo4"/>
      </w:pPr>
      <w:bookmarkStart w:id="511" w:name="_Ref130386731"/>
      <w:r w:rsidRPr="006F1229">
        <w:t>GASES DE OCCIDENTE</w:t>
      </w:r>
      <w:bookmarkEnd w:id="511"/>
      <w:r w:rsidRPr="006F1229">
        <w:tab/>
      </w:r>
    </w:p>
    <w:p w14:paraId="3AADC6E2" w14:textId="6F711AD5" w:rsidR="006F1229" w:rsidRPr="006629A6" w:rsidRDefault="006F1229" w:rsidP="006F1229">
      <w:pPr>
        <w:rPr>
          <w:rFonts w:cs="Arial"/>
          <w:i/>
          <w:iCs/>
          <w:sz w:val="22"/>
          <w:szCs w:val="22"/>
        </w:rPr>
      </w:pPr>
      <w:r w:rsidRPr="006F1229">
        <w:rPr>
          <w:rFonts w:cs="Arial"/>
          <w:sz w:val="22"/>
          <w:szCs w:val="22"/>
        </w:rPr>
        <w:t>"</w:t>
      </w:r>
      <w:r w:rsidRPr="006629A6">
        <w:rPr>
          <w:rFonts w:cs="Arial"/>
          <w:i/>
          <w:iCs/>
          <w:sz w:val="22"/>
          <w:szCs w:val="22"/>
        </w:rPr>
        <w:t xml:space="preserve">Tanto en este Proyecto de Resolución, como en el Proyecto de Resolución CREG-227 de 2021, se mencionan y en este último además se definen los </w:t>
      </w:r>
      <w:r w:rsidR="003132FF">
        <w:rPr>
          <w:rFonts w:cs="Arial"/>
          <w:i/>
          <w:iCs/>
          <w:sz w:val="22"/>
          <w:szCs w:val="22"/>
        </w:rPr>
        <w:t>‘</w:t>
      </w:r>
      <w:r w:rsidRPr="006629A6">
        <w:rPr>
          <w:rFonts w:cs="Arial"/>
          <w:i/>
          <w:iCs/>
          <w:sz w:val="22"/>
          <w:szCs w:val="22"/>
        </w:rPr>
        <w:t>Pequeños usuarios comerciales inmersos en la red de distribución</w:t>
      </w:r>
      <w:r w:rsidR="003132FF">
        <w:rPr>
          <w:rFonts w:cs="Arial"/>
          <w:i/>
          <w:iCs/>
          <w:sz w:val="22"/>
          <w:szCs w:val="22"/>
        </w:rPr>
        <w:t>’</w:t>
      </w:r>
      <w:r w:rsidRPr="006629A6">
        <w:rPr>
          <w:rFonts w:cs="Arial"/>
          <w:i/>
          <w:iCs/>
          <w:sz w:val="22"/>
          <w:szCs w:val="22"/>
        </w:rPr>
        <w:t>. Propone la CREG la siguiente definición para estos usuarios:</w:t>
      </w:r>
    </w:p>
    <w:p w14:paraId="37B3A3EB" w14:textId="77777777" w:rsidR="006F1229" w:rsidRPr="006629A6" w:rsidRDefault="006F1229" w:rsidP="006F1229">
      <w:pPr>
        <w:rPr>
          <w:rFonts w:cs="Arial"/>
          <w:i/>
          <w:iCs/>
          <w:sz w:val="22"/>
          <w:szCs w:val="22"/>
        </w:rPr>
      </w:pPr>
    </w:p>
    <w:p w14:paraId="01A443B8" w14:textId="77777777" w:rsidR="006F1229" w:rsidRPr="006629A6" w:rsidRDefault="006F1229" w:rsidP="006F1229">
      <w:pPr>
        <w:rPr>
          <w:rFonts w:cs="Arial"/>
          <w:i/>
          <w:iCs/>
          <w:sz w:val="22"/>
          <w:szCs w:val="22"/>
        </w:rPr>
      </w:pPr>
      <w:r w:rsidRPr="006629A6">
        <w:rPr>
          <w:rFonts w:cs="Arial"/>
          <w:i/>
          <w:iCs/>
          <w:sz w:val="22"/>
          <w:szCs w:val="22"/>
        </w:rPr>
        <w:t>“Corresponde a los usuarios regulados que se encuentran clasificados por el CIIU como comerciales y que, a su vez, se encuentran conectados a un sistema de distribución en un Mercado Relevante de Comercialización”.</w:t>
      </w:r>
    </w:p>
    <w:p w14:paraId="15C6990D" w14:textId="77777777" w:rsidR="006F1229" w:rsidRPr="006629A6" w:rsidRDefault="006F1229" w:rsidP="006F1229">
      <w:pPr>
        <w:rPr>
          <w:rFonts w:cs="Arial"/>
          <w:i/>
          <w:iCs/>
          <w:sz w:val="22"/>
          <w:szCs w:val="22"/>
        </w:rPr>
      </w:pPr>
    </w:p>
    <w:p w14:paraId="7EEA4BD5" w14:textId="77777777" w:rsidR="006F1229" w:rsidRPr="006629A6" w:rsidRDefault="006F1229" w:rsidP="006F1229">
      <w:pPr>
        <w:rPr>
          <w:rFonts w:cs="Arial"/>
          <w:i/>
          <w:iCs/>
          <w:sz w:val="22"/>
          <w:szCs w:val="22"/>
        </w:rPr>
      </w:pPr>
      <w:r w:rsidRPr="006629A6">
        <w:rPr>
          <w:rFonts w:cs="Arial"/>
          <w:i/>
          <w:iCs/>
          <w:sz w:val="22"/>
          <w:szCs w:val="22"/>
        </w:rPr>
        <w:t>La clasificación de estos usuarios de acuerdo con el CIIU no resulta adecuada. Existen algunas actividades definidas como comercio, que pueden también ser clasificadas como industrias.</w:t>
      </w:r>
    </w:p>
    <w:p w14:paraId="7D6C13FD" w14:textId="77777777" w:rsidR="006F1229" w:rsidRPr="006629A6" w:rsidRDefault="006F1229" w:rsidP="006F1229">
      <w:pPr>
        <w:rPr>
          <w:rFonts w:cs="Arial"/>
          <w:i/>
          <w:iCs/>
          <w:sz w:val="22"/>
          <w:szCs w:val="22"/>
        </w:rPr>
      </w:pPr>
    </w:p>
    <w:p w14:paraId="3647BED5" w14:textId="53D77B3E" w:rsidR="006F1229" w:rsidRPr="006629A6" w:rsidRDefault="006F1229" w:rsidP="006F1229">
      <w:pPr>
        <w:rPr>
          <w:rFonts w:cs="Arial"/>
          <w:i/>
          <w:iCs/>
          <w:sz w:val="22"/>
          <w:szCs w:val="22"/>
        </w:rPr>
      </w:pPr>
      <w:r w:rsidRPr="006629A6">
        <w:rPr>
          <w:rFonts w:cs="Arial"/>
          <w:i/>
          <w:iCs/>
          <w:sz w:val="22"/>
          <w:szCs w:val="22"/>
        </w:rPr>
        <w:t xml:space="preserve">Se sugiere que la CREG defina a los </w:t>
      </w:r>
      <w:r w:rsidR="003132FF">
        <w:rPr>
          <w:rFonts w:cs="Arial"/>
          <w:i/>
          <w:iCs/>
          <w:sz w:val="22"/>
          <w:szCs w:val="22"/>
        </w:rPr>
        <w:t>‘</w:t>
      </w:r>
      <w:r w:rsidRPr="006629A6">
        <w:rPr>
          <w:rFonts w:cs="Arial"/>
          <w:i/>
          <w:iCs/>
          <w:sz w:val="22"/>
          <w:szCs w:val="22"/>
        </w:rPr>
        <w:t>Pequeños usuarios comerciales inmersos en la red de distribución</w:t>
      </w:r>
      <w:r w:rsidR="003132FF">
        <w:rPr>
          <w:rFonts w:cs="Arial"/>
          <w:i/>
          <w:iCs/>
          <w:sz w:val="22"/>
          <w:szCs w:val="22"/>
        </w:rPr>
        <w:t>’</w:t>
      </w:r>
      <w:r w:rsidRPr="006629A6">
        <w:rPr>
          <w:rFonts w:cs="Arial"/>
          <w:i/>
          <w:iCs/>
          <w:sz w:val="22"/>
          <w:szCs w:val="22"/>
        </w:rPr>
        <w:t xml:space="preserve"> como aquellos usuarios cuya actividad principal sea comercial y no productiva como sucede en algunos casos. Es decir, el consumo de gas se destine mayoritariamente a la actividad comercial y se establezca un tope razonable de consumo mensual, que permita su clasificación como </w:t>
      </w:r>
      <w:r w:rsidR="00525D86">
        <w:rPr>
          <w:rFonts w:cs="Arial"/>
          <w:i/>
          <w:iCs/>
          <w:sz w:val="22"/>
          <w:szCs w:val="22"/>
        </w:rPr>
        <w:t>‘</w:t>
      </w:r>
      <w:r w:rsidRPr="006629A6">
        <w:rPr>
          <w:rFonts w:cs="Arial"/>
          <w:i/>
          <w:iCs/>
          <w:sz w:val="22"/>
          <w:szCs w:val="22"/>
        </w:rPr>
        <w:t>pequeños</w:t>
      </w:r>
      <w:r w:rsidR="00525D86">
        <w:rPr>
          <w:rFonts w:cs="Arial"/>
          <w:i/>
          <w:iCs/>
          <w:sz w:val="22"/>
          <w:szCs w:val="22"/>
        </w:rPr>
        <w:t>’</w:t>
      </w:r>
      <w:r w:rsidRPr="006629A6">
        <w:rPr>
          <w:rFonts w:cs="Arial"/>
          <w:i/>
          <w:iCs/>
          <w:sz w:val="22"/>
          <w:szCs w:val="22"/>
        </w:rPr>
        <w:t>, así como también cotejar las obligaciones y restricciones establecidas tanto en este Proyecto de Resolución, como en el Proyecto de Resolución CREG-227 de 2021, con las libertades dadas a los usuarios en el Proyecto de Resolución CREG 702-002 de 2022.</w:t>
      </w:r>
      <w:r w:rsidR="006629A6" w:rsidRPr="006629A6">
        <w:rPr>
          <w:rFonts w:cs="Arial"/>
          <w:i/>
          <w:iCs/>
          <w:sz w:val="22"/>
          <w:szCs w:val="22"/>
        </w:rPr>
        <w:t>”</w:t>
      </w:r>
    </w:p>
    <w:p w14:paraId="743AD6EC" w14:textId="75A369F4" w:rsidR="006629A6" w:rsidRDefault="006629A6" w:rsidP="006F1229">
      <w:pPr>
        <w:rPr>
          <w:rFonts w:cs="Arial"/>
          <w:sz w:val="22"/>
          <w:szCs w:val="22"/>
        </w:rPr>
      </w:pPr>
    </w:p>
    <w:p w14:paraId="1924AE34" w14:textId="37061637" w:rsidR="006629A6" w:rsidRPr="006629A6" w:rsidRDefault="006629A6" w:rsidP="006F1229">
      <w:pPr>
        <w:rPr>
          <w:rFonts w:cs="Arial"/>
          <w:b/>
          <w:bCs/>
          <w:sz w:val="22"/>
          <w:szCs w:val="22"/>
        </w:rPr>
      </w:pPr>
      <w:r w:rsidRPr="006629A6">
        <w:rPr>
          <w:rFonts w:cs="Arial"/>
          <w:b/>
          <w:bCs/>
          <w:sz w:val="22"/>
          <w:szCs w:val="22"/>
        </w:rPr>
        <w:t>Respuesta:</w:t>
      </w:r>
    </w:p>
    <w:p w14:paraId="7F8F0F86" w14:textId="2E5375D3" w:rsidR="006629A6" w:rsidRDefault="006629A6" w:rsidP="006F1229">
      <w:pPr>
        <w:rPr>
          <w:rFonts w:cs="Arial"/>
          <w:sz w:val="22"/>
          <w:szCs w:val="22"/>
        </w:rPr>
      </w:pPr>
    </w:p>
    <w:p w14:paraId="22C69124" w14:textId="2AB5812A" w:rsidR="006F1229" w:rsidRDefault="00182A11" w:rsidP="006F1229">
      <w:pPr>
        <w:rPr>
          <w:rFonts w:cs="Arial"/>
          <w:sz w:val="22"/>
          <w:szCs w:val="22"/>
        </w:rPr>
      </w:pPr>
      <w:r>
        <w:rPr>
          <w:rFonts w:cs="Arial"/>
          <w:sz w:val="22"/>
          <w:szCs w:val="22"/>
        </w:rPr>
        <w:t>No se encuentra comentario a alguna propuesta realizada en la Resolución CREG 226 de 2021.</w:t>
      </w:r>
    </w:p>
    <w:p w14:paraId="1E15D0CF" w14:textId="45F8582F" w:rsidR="00182A11" w:rsidRDefault="00182A11" w:rsidP="006F1229">
      <w:pPr>
        <w:rPr>
          <w:rFonts w:cs="Arial"/>
          <w:sz w:val="22"/>
          <w:szCs w:val="22"/>
        </w:rPr>
      </w:pPr>
    </w:p>
    <w:p w14:paraId="635BEBBF" w14:textId="0C9FE2F3" w:rsidR="00182A11" w:rsidRDefault="00182A11" w:rsidP="006F1229">
      <w:pPr>
        <w:rPr>
          <w:rFonts w:cs="Arial"/>
          <w:sz w:val="22"/>
          <w:szCs w:val="22"/>
        </w:rPr>
      </w:pPr>
      <w:r>
        <w:rPr>
          <w:rFonts w:cs="Arial"/>
          <w:sz w:val="22"/>
          <w:szCs w:val="22"/>
        </w:rPr>
        <w:t>En todo caso se tendrá en cuenta el comentario para la propuesta de resolución de los usuarios no regulados y de la fórmula tarifa general para usuarios regulados</w:t>
      </w:r>
      <w:r w:rsidR="00C04630">
        <w:rPr>
          <w:rFonts w:cs="Arial"/>
          <w:sz w:val="22"/>
          <w:szCs w:val="22"/>
        </w:rPr>
        <w:t>.</w:t>
      </w:r>
    </w:p>
    <w:p w14:paraId="2CC3687D" w14:textId="77777777" w:rsidR="00525D86" w:rsidRDefault="00525D86" w:rsidP="006F1229">
      <w:pPr>
        <w:rPr>
          <w:rFonts w:cs="Arial"/>
          <w:sz w:val="22"/>
          <w:szCs w:val="22"/>
        </w:rPr>
      </w:pPr>
    </w:p>
    <w:p w14:paraId="172D00FE" w14:textId="6674FD1A" w:rsidR="00FF0180" w:rsidRDefault="00FF0180" w:rsidP="00FF0180">
      <w:pPr>
        <w:pStyle w:val="Ttulo2"/>
      </w:pPr>
      <w:bookmarkStart w:id="512" w:name="_Toc140506245"/>
      <w:r>
        <w:t>HOCOL</w:t>
      </w:r>
      <w:bookmarkEnd w:id="512"/>
    </w:p>
    <w:p w14:paraId="3BA32BEC" w14:textId="77777777" w:rsidR="006F1229" w:rsidRDefault="006F1229" w:rsidP="006F6DE1">
      <w:pPr>
        <w:pStyle w:val="Ttulo4"/>
      </w:pPr>
      <w:bookmarkStart w:id="513" w:name="_Ref130564650"/>
      <w:r w:rsidRPr="006F1229">
        <w:t>HOCOL</w:t>
      </w:r>
      <w:bookmarkEnd w:id="513"/>
      <w:r w:rsidRPr="006F1229">
        <w:tab/>
      </w:r>
    </w:p>
    <w:p w14:paraId="74231830" w14:textId="36BAE9AC" w:rsidR="006F1229" w:rsidRPr="00B05251" w:rsidRDefault="006F1229" w:rsidP="006F1229">
      <w:pPr>
        <w:rPr>
          <w:rFonts w:cs="Arial"/>
          <w:i/>
          <w:iCs/>
          <w:sz w:val="22"/>
          <w:szCs w:val="22"/>
        </w:rPr>
      </w:pPr>
      <w:r w:rsidRPr="006F1229">
        <w:rPr>
          <w:rFonts w:cs="Arial"/>
          <w:sz w:val="22"/>
          <w:szCs w:val="22"/>
        </w:rPr>
        <w:t>"</w:t>
      </w:r>
      <w:r w:rsidRPr="00B05251">
        <w:rPr>
          <w:rFonts w:cs="Arial"/>
          <w:i/>
          <w:iCs/>
          <w:sz w:val="22"/>
          <w:szCs w:val="22"/>
        </w:rPr>
        <w:t>Incorporación de mecanismos de flexibilización en la comercialización en el mercado mayorista, como los que se enumeran a continuación, y que responden a solicitudes presentadas previamente en procura de maximizar la disponibilidad de gas para atender las necesidades de la demanda y generar mayor liquidez en el mercado.</w:t>
      </w:r>
    </w:p>
    <w:p w14:paraId="0163F1BC" w14:textId="77777777" w:rsidR="006F1229" w:rsidRPr="00B05251" w:rsidRDefault="006F1229" w:rsidP="006F1229">
      <w:pPr>
        <w:rPr>
          <w:rFonts w:cs="Arial"/>
          <w:i/>
          <w:iCs/>
          <w:sz w:val="22"/>
          <w:szCs w:val="22"/>
        </w:rPr>
      </w:pPr>
      <w:r w:rsidRPr="00B05251">
        <w:rPr>
          <w:rFonts w:cs="Arial"/>
          <w:i/>
          <w:iCs/>
          <w:sz w:val="22"/>
          <w:szCs w:val="22"/>
        </w:rPr>
        <w:t>•</w:t>
      </w:r>
      <w:r w:rsidRPr="00B05251">
        <w:rPr>
          <w:rFonts w:cs="Arial"/>
          <w:i/>
          <w:iCs/>
          <w:sz w:val="22"/>
          <w:szCs w:val="22"/>
        </w:rPr>
        <w:tab/>
        <w:t xml:space="preserve">Comercialización del gas disponible de las Fuentes de Suministro que no son parte de las establecidas en el Artículo 19 de la resolución CREG 226 de 2021 (Campos mayores) en cada Trimestre Estándar, reemplazando el mecanismo de comercialización anual establecido. </w:t>
      </w:r>
    </w:p>
    <w:p w14:paraId="723D7C5B" w14:textId="77777777" w:rsidR="006F1229" w:rsidRPr="00B05251" w:rsidRDefault="006F1229" w:rsidP="006F1229">
      <w:pPr>
        <w:rPr>
          <w:rFonts w:cs="Arial"/>
          <w:i/>
          <w:iCs/>
          <w:sz w:val="22"/>
          <w:szCs w:val="22"/>
        </w:rPr>
      </w:pPr>
      <w:r w:rsidRPr="00B05251">
        <w:rPr>
          <w:rFonts w:cs="Arial"/>
          <w:i/>
          <w:iCs/>
          <w:sz w:val="22"/>
          <w:szCs w:val="22"/>
        </w:rPr>
        <w:t>•</w:t>
      </w:r>
      <w:r w:rsidRPr="00B05251">
        <w:rPr>
          <w:rFonts w:cs="Arial"/>
          <w:i/>
          <w:iCs/>
          <w:sz w:val="22"/>
          <w:szCs w:val="22"/>
        </w:rPr>
        <w:tab/>
        <w:t>Flexibilidad para suscribir contratos con duración desde un trimestre hasta 10 años.</w:t>
      </w:r>
    </w:p>
    <w:p w14:paraId="3BD89EB4" w14:textId="77777777" w:rsidR="006F1229" w:rsidRPr="00B05251" w:rsidRDefault="006F1229" w:rsidP="006F1229">
      <w:pPr>
        <w:rPr>
          <w:rFonts w:cs="Arial"/>
          <w:i/>
          <w:iCs/>
          <w:sz w:val="22"/>
          <w:szCs w:val="22"/>
        </w:rPr>
      </w:pPr>
      <w:r w:rsidRPr="00B05251">
        <w:rPr>
          <w:rFonts w:cs="Arial"/>
          <w:i/>
          <w:iCs/>
          <w:sz w:val="22"/>
          <w:szCs w:val="22"/>
        </w:rPr>
        <w:t>•</w:t>
      </w:r>
      <w:r w:rsidRPr="00B05251">
        <w:rPr>
          <w:rFonts w:cs="Arial"/>
          <w:i/>
          <w:iCs/>
          <w:sz w:val="22"/>
          <w:szCs w:val="22"/>
        </w:rPr>
        <w:tab/>
        <w:t>El inicio de los contratos podrá ocurrir el primer día calendario de cualquier Trimestre Estándar dentro de los 12 trimestres siguientes al registro del contrato.</w:t>
      </w:r>
    </w:p>
    <w:p w14:paraId="004D3723" w14:textId="77777777" w:rsidR="006F1229" w:rsidRPr="00B05251" w:rsidRDefault="006F1229" w:rsidP="006F1229">
      <w:pPr>
        <w:rPr>
          <w:rFonts w:cs="Arial"/>
          <w:i/>
          <w:iCs/>
          <w:sz w:val="22"/>
          <w:szCs w:val="22"/>
        </w:rPr>
      </w:pPr>
      <w:r w:rsidRPr="00B05251">
        <w:rPr>
          <w:rFonts w:cs="Arial"/>
          <w:i/>
          <w:iCs/>
          <w:sz w:val="22"/>
          <w:szCs w:val="22"/>
        </w:rPr>
        <w:t>•</w:t>
      </w:r>
      <w:r w:rsidRPr="00B05251">
        <w:rPr>
          <w:rFonts w:cs="Arial"/>
          <w:i/>
          <w:iCs/>
          <w:sz w:val="22"/>
          <w:szCs w:val="22"/>
        </w:rPr>
        <w:tab/>
        <w:t xml:space="preserve">Flexibilidad para comercialización de gas proveniente de campos costa afuera, yacimientos no convencionales y fuentes de suministro que requieran logísticas especiales para su comercialización, como GNC o GNL. </w:t>
      </w:r>
    </w:p>
    <w:p w14:paraId="2D48E1BA" w14:textId="77777777" w:rsidR="006F1229" w:rsidRPr="00B05251" w:rsidRDefault="006F1229" w:rsidP="006F1229">
      <w:pPr>
        <w:rPr>
          <w:rFonts w:cs="Arial"/>
          <w:i/>
          <w:iCs/>
          <w:sz w:val="22"/>
          <w:szCs w:val="22"/>
        </w:rPr>
      </w:pPr>
      <w:r w:rsidRPr="00B05251">
        <w:rPr>
          <w:rFonts w:cs="Arial"/>
          <w:i/>
          <w:iCs/>
          <w:sz w:val="22"/>
          <w:szCs w:val="22"/>
        </w:rPr>
        <w:t>•</w:t>
      </w:r>
      <w:r w:rsidRPr="00B05251">
        <w:rPr>
          <w:rFonts w:cs="Arial"/>
          <w:i/>
          <w:iCs/>
          <w:sz w:val="22"/>
          <w:szCs w:val="22"/>
        </w:rPr>
        <w:tab/>
        <w:t>Negociación directa en contratos firmes para excedentes del MADE en Campos Mayores, cuando el balance es excedentario.</w:t>
      </w:r>
    </w:p>
    <w:p w14:paraId="60087642" w14:textId="77777777" w:rsidR="006F1229" w:rsidRPr="00B05251" w:rsidRDefault="006F1229" w:rsidP="006F1229">
      <w:pPr>
        <w:rPr>
          <w:rFonts w:cs="Arial"/>
          <w:i/>
          <w:iCs/>
          <w:sz w:val="22"/>
          <w:szCs w:val="22"/>
        </w:rPr>
      </w:pPr>
      <w:r w:rsidRPr="00B05251">
        <w:rPr>
          <w:rFonts w:cs="Arial"/>
          <w:i/>
          <w:iCs/>
          <w:sz w:val="22"/>
          <w:szCs w:val="22"/>
        </w:rPr>
        <w:t>•</w:t>
      </w:r>
      <w:r w:rsidRPr="00B05251">
        <w:rPr>
          <w:rFonts w:cs="Arial"/>
          <w:i/>
          <w:iCs/>
          <w:sz w:val="22"/>
          <w:szCs w:val="22"/>
        </w:rPr>
        <w:tab/>
        <w:t xml:space="preserve">Flexibilidad para los Campos Mayores en la suscripción de Contratos con Interrupciones mediante negociaciones directas y con duración mensual. </w:t>
      </w:r>
    </w:p>
    <w:p w14:paraId="3FADBA76" w14:textId="77777777" w:rsidR="006F1229" w:rsidRPr="00B05251" w:rsidRDefault="006F1229" w:rsidP="006F1229">
      <w:pPr>
        <w:rPr>
          <w:rFonts w:cs="Arial"/>
          <w:i/>
          <w:iCs/>
          <w:sz w:val="22"/>
          <w:szCs w:val="22"/>
        </w:rPr>
      </w:pPr>
      <w:r w:rsidRPr="00B05251">
        <w:rPr>
          <w:rFonts w:cs="Arial"/>
          <w:i/>
          <w:iCs/>
          <w:sz w:val="22"/>
          <w:szCs w:val="22"/>
        </w:rPr>
        <w:t>•</w:t>
      </w:r>
      <w:r w:rsidRPr="00B05251">
        <w:rPr>
          <w:rFonts w:cs="Arial"/>
          <w:i/>
          <w:iCs/>
          <w:sz w:val="22"/>
          <w:szCs w:val="22"/>
        </w:rPr>
        <w:tab/>
        <w:t>Opción de renovación de los contratos para atención de la Demanda Esencial, una vez entre en vigencia la resolución CREG 226 de 2021.</w:t>
      </w:r>
    </w:p>
    <w:p w14:paraId="06D71DB5" w14:textId="77777777" w:rsidR="006F1229" w:rsidRPr="00B05251" w:rsidRDefault="006F1229" w:rsidP="006F1229">
      <w:pPr>
        <w:rPr>
          <w:rFonts w:cs="Arial"/>
          <w:i/>
          <w:iCs/>
          <w:sz w:val="22"/>
          <w:szCs w:val="22"/>
        </w:rPr>
      </w:pPr>
      <w:r w:rsidRPr="00B05251">
        <w:rPr>
          <w:rFonts w:cs="Arial"/>
          <w:i/>
          <w:iCs/>
          <w:sz w:val="22"/>
          <w:szCs w:val="22"/>
        </w:rPr>
        <w:t>•</w:t>
      </w:r>
      <w:r w:rsidRPr="00B05251">
        <w:rPr>
          <w:rFonts w:cs="Arial"/>
          <w:i/>
          <w:iCs/>
          <w:sz w:val="22"/>
          <w:szCs w:val="22"/>
        </w:rPr>
        <w:tab/>
        <w:t xml:space="preserve">Posibilidad de contratar cantidades variables para los diferentes Trimestres Estándar. </w:t>
      </w:r>
    </w:p>
    <w:p w14:paraId="059B5E42" w14:textId="77777777" w:rsidR="006F1229" w:rsidRPr="006F1229" w:rsidRDefault="006F1229" w:rsidP="006F1229">
      <w:pPr>
        <w:rPr>
          <w:rFonts w:cs="Arial"/>
          <w:sz w:val="22"/>
          <w:szCs w:val="22"/>
        </w:rPr>
      </w:pPr>
      <w:r w:rsidRPr="00B05251">
        <w:rPr>
          <w:rFonts w:cs="Arial"/>
          <w:i/>
          <w:iCs/>
          <w:sz w:val="22"/>
          <w:szCs w:val="22"/>
        </w:rPr>
        <w:t>•</w:t>
      </w:r>
      <w:r w:rsidRPr="00B05251">
        <w:rPr>
          <w:rFonts w:cs="Arial"/>
          <w:i/>
          <w:iCs/>
          <w:sz w:val="22"/>
          <w:szCs w:val="22"/>
        </w:rPr>
        <w:tab/>
        <w:t>Oportunidad de solicitar a la CREG la inclusión de modalidades contractuales adicionales a las establecidas en la resolución CREG 226 de 2021</w:t>
      </w:r>
      <w:r w:rsidRPr="006F1229">
        <w:rPr>
          <w:rFonts w:cs="Arial"/>
          <w:sz w:val="22"/>
          <w:szCs w:val="22"/>
        </w:rPr>
        <w:t>"</w:t>
      </w:r>
    </w:p>
    <w:p w14:paraId="03E3091C" w14:textId="28D8435B" w:rsidR="006F1229" w:rsidRDefault="006F1229" w:rsidP="006F1229">
      <w:pPr>
        <w:rPr>
          <w:rFonts w:cs="Arial"/>
          <w:sz w:val="22"/>
          <w:szCs w:val="22"/>
        </w:rPr>
      </w:pPr>
    </w:p>
    <w:p w14:paraId="0B9CCD02" w14:textId="215F64B4" w:rsidR="00B05251" w:rsidRPr="00B05251" w:rsidRDefault="00B05251" w:rsidP="006F1229">
      <w:pPr>
        <w:rPr>
          <w:rFonts w:cs="Arial"/>
          <w:b/>
          <w:bCs/>
          <w:sz w:val="22"/>
          <w:szCs w:val="22"/>
        </w:rPr>
      </w:pPr>
      <w:r w:rsidRPr="00B05251">
        <w:rPr>
          <w:rFonts w:cs="Arial"/>
          <w:b/>
          <w:bCs/>
          <w:sz w:val="22"/>
          <w:szCs w:val="22"/>
        </w:rPr>
        <w:t>Respuesta:</w:t>
      </w:r>
    </w:p>
    <w:p w14:paraId="63A713AC" w14:textId="1BEA52D5" w:rsidR="00B05251" w:rsidRDefault="00B05251" w:rsidP="006F1229">
      <w:pPr>
        <w:rPr>
          <w:rFonts w:cs="Arial"/>
          <w:sz w:val="22"/>
          <w:szCs w:val="22"/>
        </w:rPr>
      </w:pPr>
    </w:p>
    <w:p w14:paraId="07787FA3" w14:textId="508CBFF6" w:rsidR="00B05251" w:rsidRDefault="00B05251" w:rsidP="006F1229">
      <w:pPr>
        <w:rPr>
          <w:rFonts w:cs="Arial"/>
          <w:sz w:val="22"/>
          <w:szCs w:val="22"/>
        </w:rPr>
      </w:pPr>
      <w:r>
        <w:rPr>
          <w:rFonts w:cs="Arial"/>
          <w:sz w:val="22"/>
          <w:szCs w:val="22"/>
        </w:rPr>
        <w:t xml:space="preserve">Con base en los comentarios recibidos de la Resolución CREG 226 de 2021, se plantean en la nueva propuesta algunos cambios a lo inicialmente </w:t>
      </w:r>
      <w:r w:rsidR="00B26E8C">
        <w:rPr>
          <w:rFonts w:cs="Arial"/>
          <w:sz w:val="22"/>
          <w:szCs w:val="22"/>
        </w:rPr>
        <w:t>publicado</w:t>
      </w:r>
      <w:r w:rsidR="008823FF">
        <w:rPr>
          <w:rFonts w:cs="Arial"/>
          <w:sz w:val="22"/>
          <w:szCs w:val="22"/>
        </w:rPr>
        <w:t>,</w:t>
      </w:r>
      <w:r>
        <w:rPr>
          <w:rFonts w:cs="Arial"/>
          <w:sz w:val="22"/>
          <w:szCs w:val="22"/>
        </w:rPr>
        <w:t xml:space="preserve"> que es</w:t>
      </w:r>
      <w:r w:rsidR="008823FF">
        <w:rPr>
          <w:rFonts w:cs="Arial"/>
          <w:sz w:val="22"/>
          <w:szCs w:val="22"/>
        </w:rPr>
        <w:t xml:space="preserve">tá incluido en </w:t>
      </w:r>
      <w:r>
        <w:rPr>
          <w:rFonts w:cs="Arial"/>
          <w:sz w:val="22"/>
          <w:szCs w:val="22"/>
        </w:rPr>
        <w:t xml:space="preserve">el comentario recibido: </w:t>
      </w:r>
    </w:p>
    <w:p w14:paraId="293DB231" w14:textId="3EE9D1AD" w:rsidR="00B26E8C" w:rsidRDefault="00B26E8C" w:rsidP="006F1229">
      <w:pPr>
        <w:rPr>
          <w:rFonts w:cs="Arial"/>
          <w:sz w:val="22"/>
          <w:szCs w:val="22"/>
        </w:rPr>
      </w:pPr>
    </w:p>
    <w:p w14:paraId="2B1DA574" w14:textId="5A275A0F" w:rsidR="00B26E8C" w:rsidRDefault="00B26E8C" w:rsidP="00B26E8C">
      <w:pPr>
        <w:pStyle w:val="Prrafodelista"/>
        <w:numPr>
          <w:ilvl w:val="0"/>
          <w:numId w:val="24"/>
        </w:numPr>
        <w:rPr>
          <w:rFonts w:cs="Arial"/>
          <w:sz w:val="22"/>
          <w:szCs w:val="22"/>
        </w:rPr>
      </w:pPr>
      <w:r>
        <w:rPr>
          <w:rFonts w:cs="Arial"/>
          <w:sz w:val="22"/>
          <w:szCs w:val="22"/>
        </w:rPr>
        <w:t xml:space="preserve">Los contratos </w:t>
      </w:r>
      <w:r w:rsidR="008E7535">
        <w:rPr>
          <w:rFonts w:cs="Arial"/>
          <w:sz w:val="22"/>
          <w:szCs w:val="22"/>
        </w:rPr>
        <w:t xml:space="preserve">con la nueva propuesta </w:t>
      </w:r>
      <w:r>
        <w:rPr>
          <w:rFonts w:cs="Arial"/>
          <w:sz w:val="22"/>
          <w:szCs w:val="22"/>
        </w:rPr>
        <w:t xml:space="preserve">podrán suscribirse sin </w:t>
      </w:r>
      <w:r w:rsidR="008E7535">
        <w:rPr>
          <w:rFonts w:cs="Arial"/>
          <w:sz w:val="22"/>
          <w:szCs w:val="22"/>
        </w:rPr>
        <w:t xml:space="preserve">el </w:t>
      </w:r>
      <w:r>
        <w:rPr>
          <w:rFonts w:cs="Arial"/>
          <w:sz w:val="22"/>
          <w:szCs w:val="22"/>
        </w:rPr>
        <w:t>límite de 10 años, siempre y cuando se haya declarado previamente al MME por parte del productor-comercializador o por el comercializador de gas importado, PTDV</w:t>
      </w:r>
      <w:r w:rsidR="008E7535">
        <w:rPr>
          <w:rFonts w:cs="Arial"/>
          <w:sz w:val="22"/>
          <w:szCs w:val="22"/>
        </w:rPr>
        <w:t>/</w:t>
      </w:r>
      <w:r>
        <w:rPr>
          <w:rFonts w:cs="Arial"/>
          <w:sz w:val="22"/>
          <w:szCs w:val="22"/>
        </w:rPr>
        <w:t xml:space="preserve">CIDV para el período de duración del contrato y a su vez el agente vendedor haya declarado al </w:t>
      </w:r>
      <w:r w:rsidR="005114C6">
        <w:rPr>
          <w:rFonts w:cs="Arial"/>
          <w:sz w:val="22"/>
          <w:szCs w:val="22"/>
        </w:rPr>
        <w:t>Gestor del Mercado</w:t>
      </w:r>
      <w:r>
        <w:rPr>
          <w:rFonts w:cs="Arial"/>
          <w:sz w:val="22"/>
          <w:szCs w:val="22"/>
        </w:rPr>
        <w:t xml:space="preserve"> previamente, las cantidades de PTDVF/CIDVF que se ofrecen en oferta para suscribir contratos de tipo firme.</w:t>
      </w:r>
    </w:p>
    <w:p w14:paraId="7327209C" w14:textId="77777777" w:rsidR="008E7535" w:rsidRDefault="008E7535" w:rsidP="008E7535">
      <w:pPr>
        <w:pStyle w:val="Prrafodelista"/>
        <w:ind w:left="360"/>
        <w:rPr>
          <w:rFonts w:cs="Arial"/>
          <w:sz w:val="22"/>
          <w:szCs w:val="22"/>
        </w:rPr>
      </w:pPr>
    </w:p>
    <w:p w14:paraId="291F94F7" w14:textId="2E1F73D3" w:rsidR="008E7535" w:rsidRDefault="008E7535" w:rsidP="00B26E8C">
      <w:pPr>
        <w:pStyle w:val="Prrafodelista"/>
        <w:numPr>
          <w:ilvl w:val="0"/>
          <w:numId w:val="24"/>
        </w:numPr>
        <w:rPr>
          <w:rFonts w:cs="Arial"/>
          <w:sz w:val="22"/>
          <w:szCs w:val="22"/>
        </w:rPr>
      </w:pPr>
      <w:r>
        <w:rPr>
          <w:rFonts w:cs="Arial"/>
          <w:sz w:val="22"/>
          <w:szCs w:val="22"/>
        </w:rPr>
        <w:t xml:space="preserve">La comercialización (venta) del gas natural proveniente de los campos o con condiciones de suministro a los que se les permite la negociación directa y el registro de contratos en cualquier momento del año, pueden desarrollar sus mecanismos de comercialización cumpliendo con lo establecido respecto del mecanismos de acceso MADE. Esto se permite siempre y cuando </w:t>
      </w:r>
      <w:r w:rsidRPr="008E7535">
        <w:rPr>
          <w:rFonts w:cs="Arial"/>
          <w:sz w:val="22"/>
          <w:szCs w:val="22"/>
        </w:rPr>
        <w:t xml:space="preserve">el suministro </w:t>
      </w:r>
      <w:r>
        <w:rPr>
          <w:rFonts w:cs="Arial"/>
          <w:sz w:val="22"/>
          <w:szCs w:val="22"/>
        </w:rPr>
        <w:t xml:space="preserve">sea del tipo firme, que por tanto requiere de </w:t>
      </w:r>
      <w:r w:rsidRPr="008E7535">
        <w:rPr>
          <w:rFonts w:cs="Arial"/>
          <w:sz w:val="22"/>
          <w:szCs w:val="22"/>
        </w:rPr>
        <w:t>Respaldo Físico</w:t>
      </w:r>
      <w:r>
        <w:rPr>
          <w:rFonts w:cs="Arial"/>
          <w:sz w:val="22"/>
          <w:szCs w:val="22"/>
        </w:rPr>
        <w:t>,</w:t>
      </w:r>
      <w:r w:rsidRPr="008E7535">
        <w:rPr>
          <w:rFonts w:cs="Arial"/>
          <w:sz w:val="22"/>
          <w:szCs w:val="22"/>
        </w:rPr>
        <w:t xml:space="preserve"> </w:t>
      </w:r>
      <w:r w:rsidR="00083198">
        <w:rPr>
          <w:rFonts w:cs="Arial"/>
          <w:sz w:val="22"/>
          <w:szCs w:val="22"/>
        </w:rPr>
        <w:t>en</w:t>
      </w:r>
      <w:r w:rsidRPr="008E7535">
        <w:rPr>
          <w:rFonts w:cs="Arial"/>
          <w:sz w:val="22"/>
          <w:szCs w:val="22"/>
        </w:rPr>
        <w:t xml:space="preserve"> aquellos trimestres estándar en los que en el balance comercial más recientemente publicado a la fecha en que se desea registrar el contrato ante el </w:t>
      </w:r>
      <w:r w:rsidR="005114C6">
        <w:rPr>
          <w:rFonts w:cs="Arial"/>
          <w:sz w:val="22"/>
          <w:szCs w:val="22"/>
        </w:rPr>
        <w:t>Gestor del Mercado</w:t>
      </w:r>
      <w:r w:rsidRPr="008E7535">
        <w:rPr>
          <w:rFonts w:cs="Arial"/>
          <w:sz w:val="22"/>
          <w:szCs w:val="22"/>
        </w:rPr>
        <w:t xml:space="preserve">, se </w:t>
      </w:r>
      <w:r w:rsidR="00083198">
        <w:rPr>
          <w:rFonts w:cs="Arial"/>
          <w:sz w:val="22"/>
          <w:szCs w:val="22"/>
        </w:rPr>
        <w:t xml:space="preserve">haya </w:t>
      </w:r>
      <w:r w:rsidRPr="008E7535">
        <w:rPr>
          <w:rFonts w:cs="Arial"/>
          <w:sz w:val="22"/>
          <w:szCs w:val="22"/>
        </w:rPr>
        <w:t>enc</w:t>
      </w:r>
      <w:r w:rsidR="00083198">
        <w:rPr>
          <w:rFonts w:cs="Arial"/>
          <w:sz w:val="22"/>
          <w:szCs w:val="22"/>
        </w:rPr>
        <w:t>ontrado</w:t>
      </w:r>
      <w:r w:rsidRPr="008E7535">
        <w:rPr>
          <w:rFonts w:cs="Arial"/>
          <w:sz w:val="22"/>
          <w:szCs w:val="22"/>
        </w:rPr>
        <w:t xml:space="preserve"> que hay una oferta comercial firme excedentaria para el Punto de Referencia de </w:t>
      </w:r>
      <w:r w:rsidR="00083198">
        <w:rPr>
          <w:rFonts w:cs="Arial"/>
          <w:sz w:val="22"/>
          <w:szCs w:val="22"/>
        </w:rPr>
        <w:t>tal</w:t>
      </w:r>
      <w:r w:rsidRPr="008E7535">
        <w:rPr>
          <w:rFonts w:cs="Arial"/>
          <w:sz w:val="22"/>
          <w:szCs w:val="22"/>
        </w:rPr>
        <w:t xml:space="preserve"> Fuente de Suministro.</w:t>
      </w:r>
      <w:r w:rsidR="00083198">
        <w:rPr>
          <w:rFonts w:cs="Arial"/>
          <w:sz w:val="22"/>
          <w:szCs w:val="22"/>
        </w:rPr>
        <w:t xml:space="preserve"> De lo contrario, deberá aplicarse el mecanismo de acceso establecido cuando se presenta dicha situación de balance de oferta.</w:t>
      </w:r>
    </w:p>
    <w:p w14:paraId="59D98D53" w14:textId="77777777" w:rsidR="00083198" w:rsidRPr="00083198" w:rsidRDefault="00083198" w:rsidP="00083198">
      <w:pPr>
        <w:pStyle w:val="Prrafodelista"/>
        <w:rPr>
          <w:rFonts w:cs="Arial"/>
          <w:sz w:val="22"/>
          <w:szCs w:val="22"/>
        </w:rPr>
      </w:pPr>
    </w:p>
    <w:p w14:paraId="4B414284" w14:textId="6CD24D8E" w:rsidR="005972E7" w:rsidRDefault="009E0BB6" w:rsidP="005972E7">
      <w:pPr>
        <w:pStyle w:val="Prrafodelista"/>
        <w:numPr>
          <w:ilvl w:val="0"/>
          <w:numId w:val="24"/>
        </w:numPr>
        <w:rPr>
          <w:rFonts w:cs="Arial"/>
          <w:sz w:val="22"/>
          <w:szCs w:val="22"/>
        </w:rPr>
      </w:pPr>
      <w:r>
        <w:rPr>
          <w:rFonts w:cs="Arial"/>
          <w:sz w:val="22"/>
          <w:szCs w:val="22"/>
        </w:rPr>
        <w:t xml:space="preserve">Aunque en la propuesta inicial </w:t>
      </w:r>
      <w:r w:rsidR="003E471E">
        <w:rPr>
          <w:rFonts w:cs="Arial"/>
          <w:sz w:val="22"/>
          <w:szCs w:val="22"/>
        </w:rPr>
        <w:t xml:space="preserve">de </w:t>
      </w:r>
      <w:r w:rsidR="00FE240F">
        <w:rPr>
          <w:rFonts w:cs="Arial"/>
          <w:sz w:val="22"/>
          <w:szCs w:val="22"/>
        </w:rPr>
        <w:t xml:space="preserve">la Resolución </w:t>
      </w:r>
      <w:r w:rsidR="003E471E">
        <w:rPr>
          <w:rFonts w:cs="Arial"/>
          <w:sz w:val="22"/>
          <w:szCs w:val="22"/>
        </w:rPr>
        <w:t xml:space="preserve">CREG 226 de 2021 </w:t>
      </w:r>
      <w:r>
        <w:rPr>
          <w:rFonts w:cs="Arial"/>
          <w:sz w:val="22"/>
          <w:szCs w:val="22"/>
        </w:rPr>
        <w:t xml:space="preserve">se establecía que los contratos vigentes que atienden Demanda Esencial podrían prorrogarse </w:t>
      </w:r>
      <w:r w:rsidR="005972E7" w:rsidRPr="005972E7">
        <w:rPr>
          <w:rFonts w:cs="Arial"/>
          <w:sz w:val="22"/>
          <w:szCs w:val="22"/>
        </w:rPr>
        <w:t xml:space="preserve">hasta como máximo </w:t>
      </w:r>
      <w:r w:rsidR="005972E7">
        <w:rPr>
          <w:rFonts w:cs="Arial"/>
          <w:sz w:val="22"/>
          <w:szCs w:val="22"/>
        </w:rPr>
        <w:t xml:space="preserve">por </w:t>
      </w:r>
      <w:r w:rsidR="005972E7" w:rsidRPr="005972E7">
        <w:rPr>
          <w:rFonts w:cs="Arial"/>
          <w:sz w:val="22"/>
          <w:szCs w:val="22"/>
        </w:rPr>
        <w:t>cuarenta (40) Trimestres Estándar</w:t>
      </w:r>
      <w:r w:rsidR="001E3801">
        <w:rPr>
          <w:rFonts w:cs="Arial"/>
          <w:sz w:val="22"/>
          <w:szCs w:val="22"/>
        </w:rPr>
        <w:t>,</w:t>
      </w:r>
      <w:r w:rsidR="005972E7">
        <w:rPr>
          <w:rFonts w:cs="Arial"/>
          <w:sz w:val="22"/>
          <w:szCs w:val="22"/>
        </w:rPr>
        <w:t xml:space="preserve"> a partir de los comentarios recibidos </w:t>
      </w:r>
      <w:r w:rsidR="001E3801">
        <w:rPr>
          <w:rFonts w:cs="Arial"/>
          <w:sz w:val="22"/>
          <w:szCs w:val="22"/>
        </w:rPr>
        <w:t>y de los</w:t>
      </w:r>
      <w:r w:rsidR="005972E7">
        <w:rPr>
          <w:rFonts w:cs="Arial"/>
          <w:sz w:val="22"/>
          <w:szCs w:val="22"/>
        </w:rPr>
        <w:t xml:space="preserve"> ajustes propuestos al mecanismo</w:t>
      </w:r>
      <w:r w:rsidR="006F4919">
        <w:rPr>
          <w:rFonts w:cs="Arial"/>
          <w:sz w:val="22"/>
          <w:szCs w:val="22"/>
        </w:rPr>
        <w:t xml:space="preserve"> </w:t>
      </w:r>
      <w:r w:rsidR="005972E7">
        <w:rPr>
          <w:rFonts w:cs="Arial"/>
          <w:sz w:val="22"/>
          <w:szCs w:val="22"/>
        </w:rPr>
        <w:t xml:space="preserve">de acceso MADE, en la nueva propuesta no se permite la prórroga de ningún tipo de contrato para ningún tipo de demanda sea esta Esencial o no lo sea. Lo anterior porque el mecanismo MADE </w:t>
      </w:r>
      <w:r w:rsidR="003426FD">
        <w:rPr>
          <w:rFonts w:cs="Arial"/>
          <w:sz w:val="22"/>
          <w:szCs w:val="22"/>
        </w:rPr>
        <w:t xml:space="preserve">y su aplicación eficaz </w:t>
      </w:r>
      <w:r w:rsidR="005972E7">
        <w:rPr>
          <w:rFonts w:cs="Arial"/>
          <w:sz w:val="22"/>
          <w:szCs w:val="22"/>
        </w:rPr>
        <w:t xml:space="preserve">busca que la demanda en general tenga acceso en igualdad de condiciones, a las cantidades PTDVF/CIDVF declaradas por los vendedores, sin que en dichas declaraciones haya cantidades disminuidas por efecto de permitirse prórrogas de contratos vigentes. Es de tenerse en cuenta que </w:t>
      </w:r>
      <w:r w:rsidR="001E3801">
        <w:rPr>
          <w:rFonts w:cs="Arial"/>
          <w:sz w:val="22"/>
          <w:szCs w:val="22"/>
        </w:rPr>
        <w:t xml:space="preserve">con </w:t>
      </w:r>
      <w:r w:rsidR="005972E7">
        <w:rPr>
          <w:rFonts w:cs="Arial"/>
          <w:sz w:val="22"/>
          <w:szCs w:val="22"/>
        </w:rPr>
        <w:t>el MADE, cuando hay oferta comercial deficitaria</w:t>
      </w:r>
      <w:r w:rsidR="001E3801">
        <w:rPr>
          <w:rFonts w:cs="Arial"/>
          <w:sz w:val="22"/>
          <w:szCs w:val="22"/>
        </w:rPr>
        <w:t xml:space="preserve">, se </w:t>
      </w:r>
      <w:r w:rsidR="005972E7">
        <w:rPr>
          <w:rFonts w:cs="Arial"/>
          <w:sz w:val="22"/>
          <w:szCs w:val="22"/>
        </w:rPr>
        <w:t>distribuye</w:t>
      </w:r>
      <w:r w:rsidR="001E3801">
        <w:rPr>
          <w:rFonts w:cs="Arial"/>
          <w:sz w:val="22"/>
          <w:szCs w:val="22"/>
        </w:rPr>
        <w:t>n</w:t>
      </w:r>
      <w:r w:rsidR="005972E7">
        <w:rPr>
          <w:rFonts w:cs="Arial"/>
          <w:sz w:val="22"/>
          <w:szCs w:val="22"/>
        </w:rPr>
        <w:t xml:space="preserve"> a prorrata de participación tanto de la oferta como de la demanda, las cantidades disponibles</w:t>
      </w:r>
      <w:r w:rsidR="001E3801">
        <w:rPr>
          <w:rFonts w:cs="Arial"/>
          <w:sz w:val="22"/>
          <w:szCs w:val="22"/>
        </w:rPr>
        <w:t xml:space="preserve"> declaradas</w:t>
      </w:r>
      <w:r w:rsidR="005972E7">
        <w:rPr>
          <w:rFonts w:cs="Arial"/>
          <w:sz w:val="22"/>
          <w:szCs w:val="22"/>
        </w:rPr>
        <w:t xml:space="preserve">, de tal modo que al final de un proceso de contratación para el trimestre y punto de referencia con dicho déficit todos los compradores que atienden Demanda Esencial tengan el mismo precio de contratación promedio ponderada, que será resultante de contratos con precios diferentes dependiendo de </w:t>
      </w:r>
      <w:r w:rsidR="001E3801">
        <w:rPr>
          <w:rFonts w:cs="Arial"/>
          <w:sz w:val="22"/>
          <w:szCs w:val="22"/>
        </w:rPr>
        <w:t>cad</w:t>
      </w:r>
      <w:r w:rsidR="005972E7">
        <w:rPr>
          <w:rFonts w:cs="Arial"/>
          <w:sz w:val="22"/>
          <w:szCs w:val="22"/>
        </w:rPr>
        <w:t>a fuente de suministro contratada en el p</w:t>
      </w:r>
      <w:r w:rsidR="001E3801">
        <w:rPr>
          <w:rFonts w:cs="Arial"/>
          <w:sz w:val="22"/>
          <w:szCs w:val="22"/>
        </w:rPr>
        <w:t>u</w:t>
      </w:r>
      <w:r w:rsidR="005972E7">
        <w:rPr>
          <w:rFonts w:cs="Arial"/>
          <w:sz w:val="22"/>
          <w:szCs w:val="22"/>
        </w:rPr>
        <w:t xml:space="preserve">nto de referencia.  </w:t>
      </w:r>
    </w:p>
    <w:p w14:paraId="2C80E726" w14:textId="5D6886D0" w:rsidR="006F4919" w:rsidRDefault="006F4919" w:rsidP="006F4919">
      <w:pPr>
        <w:rPr>
          <w:rFonts w:cs="Arial"/>
          <w:sz w:val="22"/>
          <w:szCs w:val="22"/>
        </w:rPr>
      </w:pPr>
    </w:p>
    <w:p w14:paraId="0E08D08D" w14:textId="23F50B17" w:rsidR="006F4919" w:rsidRPr="006F4919" w:rsidRDefault="006F4919" w:rsidP="006F4919">
      <w:pPr>
        <w:ind w:left="360"/>
        <w:rPr>
          <w:rFonts w:cs="Arial"/>
          <w:sz w:val="22"/>
          <w:szCs w:val="22"/>
        </w:rPr>
      </w:pPr>
      <w:r>
        <w:rPr>
          <w:rFonts w:cs="Arial"/>
          <w:sz w:val="22"/>
          <w:szCs w:val="22"/>
        </w:rPr>
        <w:t>Ha de tenerse en cuenta que actualmente no es permitid</w:t>
      </w:r>
      <w:r w:rsidR="00FD06E2">
        <w:rPr>
          <w:rFonts w:cs="Arial"/>
          <w:sz w:val="22"/>
          <w:szCs w:val="22"/>
        </w:rPr>
        <w:t>a</w:t>
      </w:r>
      <w:r>
        <w:rPr>
          <w:rFonts w:cs="Arial"/>
          <w:sz w:val="22"/>
          <w:szCs w:val="22"/>
        </w:rPr>
        <w:t xml:space="preserve"> la prórroga de contratos registrados ante el </w:t>
      </w:r>
      <w:r w:rsidR="005114C6">
        <w:rPr>
          <w:rFonts w:cs="Arial"/>
          <w:sz w:val="22"/>
          <w:szCs w:val="22"/>
        </w:rPr>
        <w:t>Gestor del Mercado</w:t>
      </w:r>
      <w:r w:rsidR="00986979">
        <w:rPr>
          <w:rFonts w:cs="Arial"/>
          <w:sz w:val="22"/>
          <w:szCs w:val="22"/>
        </w:rPr>
        <w:t xml:space="preserve"> ya que en el Anexo 1 de la Resolución CREG 186 de 2020 se establece que los compradores y vendedores del Mercado Primario deben </w:t>
      </w:r>
      <w:r w:rsidR="00986979" w:rsidRPr="00986979">
        <w:rPr>
          <w:rFonts w:cs="Arial"/>
          <w:sz w:val="22"/>
          <w:szCs w:val="22"/>
        </w:rPr>
        <w:t xml:space="preserve">actualizar el registro </w:t>
      </w:r>
      <w:r w:rsidR="00986979">
        <w:rPr>
          <w:rFonts w:cs="Arial"/>
          <w:sz w:val="22"/>
          <w:szCs w:val="22"/>
        </w:rPr>
        <w:t>de un co</w:t>
      </w:r>
      <w:r w:rsidR="00FD06E2">
        <w:rPr>
          <w:rFonts w:cs="Arial"/>
          <w:sz w:val="22"/>
          <w:szCs w:val="22"/>
        </w:rPr>
        <w:t>n</w:t>
      </w:r>
      <w:r w:rsidR="00986979">
        <w:rPr>
          <w:rFonts w:cs="Arial"/>
          <w:sz w:val="22"/>
          <w:szCs w:val="22"/>
        </w:rPr>
        <w:t xml:space="preserve">trato </w:t>
      </w:r>
      <w:r w:rsidR="00986979" w:rsidRPr="00986979">
        <w:rPr>
          <w:rFonts w:cs="Arial"/>
          <w:sz w:val="22"/>
          <w:szCs w:val="22"/>
        </w:rPr>
        <w:t xml:space="preserve">ante el </w:t>
      </w:r>
      <w:r w:rsidR="005114C6">
        <w:rPr>
          <w:rFonts w:cs="Arial"/>
          <w:sz w:val="22"/>
          <w:szCs w:val="22"/>
        </w:rPr>
        <w:t>Gestor del Mercado</w:t>
      </w:r>
      <w:r w:rsidR="00986979" w:rsidRPr="00986979">
        <w:rPr>
          <w:rFonts w:cs="Arial"/>
          <w:sz w:val="22"/>
          <w:szCs w:val="22"/>
        </w:rPr>
        <w:t>, en los eventos en que exista cesión, terminación anticipada o modificación del contrato de suministro de gas natural</w:t>
      </w:r>
      <w:r>
        <w:rPr>
          <w:rFonts w:cs="Arial"/>
          <w:sz w:val="22"/>
          <w:szCs w:val="22"/>
        </w:rPr>
        <w:t>.</w:t>
      </w:r>
    </w:p>
    <w:p w14:paraId="02B09498" w14:textId="77777777" w:rsidR="005972E7" w:rsidRPr="00B26E8C" w:rsidRDefault="005972E7" w:rsidP="007B5188">
      <w:pPr>
        <w:pStyle w:val="Prrafodelista"/>
        <w:ind w:left="360"/>
        <w:rPr>
          <w:rFonts w:cs="Arial"/>
          <w:sz w:val="22"/>
          <w:szCs w:val="22"/>
        </w:rPr>
      </w:pPr>
    </w:p>
    <w:p w14:paraId="62CDAE4F" w14:textId="77777777" w:rsidR="006F6DE1" w:rsidRDefault="006F6DE1" w:rsidP="006F1229">
      <w:pPr>
        <w:rPr>
          <w:rFonts w:cs="Arial"/>
          <w:sz w:val="22"/>
          <w:szCs w:val="22"/>
        </w:rPr>
      </w:pPr>
    </w:p>
    <w:p w14:paraId="566CDA1C" w14:textId="77777777" w:rsidR="006F1229" w:rsidRDefault="006F1229" w:rsidP="006F6DE1">
      <w:pPr>
        <w:pStyle w:val="Ttulo4"/>
      </w:pPr>
      <w:r w:rsidRPr="006F1229">
        <w:t>HOCOL</w:t>
      </w:r>
      <w:r w:rsidRPr="006F1229">
        <w:tab/>
      </w:r>
    </w:p>
    <w:p w14:paraId="347BB19D" w14:textId="2B918802" w:rsidR="006F1229" w:rsidRPr="006F1229" w:rsidRDefault="00732D43" w:rsidP="006F1229">
      <w:pPr>
        <w:rPr>
          <w:rFonts w:cs="Arial"/>
          <w:sz w:val="22"/>
          <w:szCs w:val="22"/>
        </w:rPr>
      </w:pPr>
      <w:r>
        <w:rPr>
          <w:rFonts w:cs="Arial"/>
          <w:i/>
          <w:iCs/>
          <w:sz w:val="22"/>
          <w:szCs w:val="22"/>
        </w:rPr>
        <w:t>“</w:t>
      </w:r>
      <w:r w:rsidR="006F1229" w:rsidRPr="00F804AC">
        <w:rPr>
          <w:rFonts w:cs="Arial"/>
          <w:i/>
          <w:iCs/>
          <w:sz w:val="22"/>
          <w:szCs w:val="22"/>
        </w:rPr>
        <w:t xml:space="preserve">Aclarar y dejar explicito el régimen negocial y contractual de los Contratos de Suministro de Contingencia (CSC), en la medida en que si bien por su naturaleza y definición, el CSC guarda similitudes con los contratos en firme y requiere respaldo físico, también su naturaleza y definición marcan sus importantes diferencias tanto en mecanismos de negociación, como en las particularidades del contrato, entre ellas, la vigencia </w:t>
      </w:r>
      <w:proofErr w:type="gramStart"/>
      <w:r w:rsidR="006F1229" w:rsidRPr="00F804AC">
        <w:rPr>
          <w:rFonts w:cs="Arial"/>
          <w:i/>
          <w:iCs/>
          <w:sz w:val="22"/>
          <w:szCs w:val="22"/>
        </w:rPr>
        <w:t>del mismo</w:t>
      </w:r>
      <w:proofErr w:type="gramEnd"/>
      <w:r w:rsidR="006F1229" w:rsidRPr="00F804AC">
        <w:rPr>
          <w:rFonts w:cs="Arial"/>
          <w:i/>
          <w:iCs/>
          <w:sz w:val="22"/>
          <w:szCs w:val="22"/>
        </w:rPr>
        <w:t>. Teniendo en cuenta lo anterior, este tipo de contratos que están llamados a atender contingencias, no podrían quedar sujetos a la utilización, proceso y tiempos que implica seguir el MADE; sin embargo, en varios artículos de la propuesta, incluyendo el Artículo 21, se habla de la negociación de contratos de suministro que requieren Respaldo Físico, sin hacer exclusión al CSC que por definición requiere Respaldo Físico. Misma situación se presenta en el Artículo 22 respecto de las condiciones de negociación de los contratos de suministro de gas que requieren Respaldo Físico, condiciones que desnaturalizarían el CSC y su vocación temporal y excepcional</w:t>
      </w:r>
      <w:r w:rsidR="006F1229" w:rsidRPr="006F1229">
        <w:rPr>
          <w:rFonts w:cs="Arial"/>
          <w:sz w:val="22"/>
          <w:szCs w:val="22"/>
        </w:rPr>
        <w:t>.</w:t>
      </w:r>
      <w:r>
        <w:rPr>
          <w:rFonts w:cs="Arial"/>
          <w:sz w:val="22"/>
          <w:szCs w:val="22"/>
        </w:rPr>
        <w:t>”</w:t>
      </w:r>
    </w:p>
    <w:p w14:paraId="3CB92C05" w14:textId="5F098D5D" w:rsidR="006F1229" w:rsidRDefault="006F1229" w:rsidP="006F1229">
      <w:pPr>
        <w:rPr>
          <w:rFonts w:cs="Arial"/>
          <w:sz w:val="22"/>
          <w:szCs w:val="22"/>
        </w:rPr>
      </w:pPr>
    </w:p>
    <w:p w14:paraId="0C810A0C" w14:textId="55143A13" w:rsidR="00F804AC" w:rsidRPr="00F804AC" w:rsidRDefault="00F804AC" w:rsidP="006F1229">
      <w:pPr>
        <w:rPr>
          <w:rFonts w:cs="Arial"/>
          <w:b/>
          <w:bCs/>
          <w:sz w:val="22"/>
          <w:szCs w:val="22"/>
        </w:rPr>
      </w:pPr>
      <w:r w:rsidRPr="00F804AC">
        <w:rPr>
          <w:rFonts w:cs="Arial"/>
          <w:b/>
          <w:bCs/>
          <w:sz w:val="22"/>
          <w:szCs w:val="22"/>
        </w:rPr>
        <w:t>Respuesta:</w:t>
      </w:r>
    </w:p>
    <w:p w14:paraId="60326DC8" w14:textId="4794C06D" w:rsidR="00F804AC" w:rsidRDefault="00F804AC" w:rsidP="006F1229">
      <w:pPr>
        <w:rPr>
          <w:rFonts w:cs="Arial"/>
          <w:sz w:val="22"/>
          <w:szCs w:val="22"/>
        </w:rPr>
      </w:pPr>
    </w:p>
    <w:p w14:paraId="1FEC8AFE" w14:textId="77777777" w:rsidR="005C7C02" w:rsidRDefault="00617A9E" w:rsidP="006F1229">
      <w:pPr>
        <w:rPr>
          <w:rFonts w:cs="Arial"/>
          <w:sz w:val="22"/>
          <w:szCs w:val="22"/>
        </w:rPr>
      </w:pPr>
      <w:r>
        <w:rPr>
          <w:rFonts w:cs="Arial"/>
          <w:sz w:val="22"/>
          <w:szCs w:val="22"/>
        </w:rPr>
        <w:t>Se acoge el comentario</w:t>
      </w:r>
      <w:r w:rsidR="005C7C02">
        <w:rPr>
          <w:rFonts w:cs="Arial"/>
          <w:sz w:val="22"/>
          <w:szCs w:val="22"/>
        </w:rPr>
        <w:t>.</w:t>
      </w:r>
    </w:p>
    <w:p w14:paraId="333A0DF8" w14:textId="77777777" w:rsidR="005C7C02" w:rsidRDefault="005C7C02" w:rsidP="006F1229">
      <w:pPr>
        <w:rPr>
          <w:rFonts w:cs="Arial"/>
          <w:sz w:val="22"/>
          <w:szCs w:val="22"/>
        </w:rPr>
      </w:pPr>
    </w:p>
    <w:p w14:paraId="6A2CD5D5" w14:textId="7463C977" w:rsidR="00F804AC" w:rsidRDefault="005C7C02" w:rsidP="006F1229">
      <w:pPr>
        <w:rPr>
          <w:rFonts w:cs="Arial"/>
          <w:sz w:val="22"/>
          <w:szCs w:val="22"/>
        </w:rPr>
      </w:pPr>
      <w:r>
        <w:rPr>
          <w:rFonts w:cs="Arial"/>
          <w:sz w:val="22"/>
          <w:szCs w:val="22"/>
        </w:rPr>
        <w:t>E</w:t>
      </w:r>
      <w:r w:rsidR="00617A9E">
        <w:rPr>
          <w:rFonts w:cs="Arial"/>
          <w:sz w:val="22"/>
          <w:szCs w:val="22"/>
        </w:rPr>
        <w:t xml:space="preserve">n la nueva propuesta se deja explícito que para la negociación de los contratos de suministro de contingencia no </w:t>
      </w:r>
      <w:r w:rsidR="009E78A9">
        <w:rPr>
          <w:rFonts w:cs="Arial"/>
          <w:sz w:val="22"/>
          <w:szCs w:val="22"/>
        </w:rPr>
        <w:t xml:space="preserve">se debe dar aplicación a lo establecido </w:t>
      </w:r>
      <w:r w:rsidR="006C07A1">
        <w:rPr>
          <w:rFonts w:cs="Arial"/>
          <w:sz w:val="22"/>
          <w:szCs w:val="22"/>
        </w:rPr>
        <w:t>en</w:t>
      </w:r>
      <w:r w:rsidR="009E78A9">
        <w:rPr>
          <w:rFonts w:cs="Arial"/>
          <w:sz w:val="22"/>
          <w:szCs w:val="22"/>
        </w:rPr>
        <w:t xml:space="preserve"> el mecanismo de acceso MADE.</w:t>
      </w:r>
    </w:p>
    <w:p w14:paraId="06680828" w14:textId="77777777" w:rsidR="009E78A9" w:rsidRDefault="009E78A9" w:rsidP="006F1229">
      <w:pPr>
        <w:rPr>
          <w:rFonts w:cs="Arial"/>
          <w:sz w:val="22"/>
          <w:szCs w:val="22"/>
        </w:rPr>
      </w:pPr>
    </w:p>
    <w:p w14:paraId="02417224" w14:textId="77777777" w:rsidR="00FF0180" w:rsidRDefault="00FF0180" w:rsidP="006F1229">
      <w:pPr>
        <w:rPr>
          <w:rFonts w:cs="Arial"/>
          <w:sz w:val="22"/>
          <w:szCs w:val="22"/>
        </w:rPr>
      </w:pPr>
    </w:p>
    <w:p w14:paraId="60042193" w14:textId="37433305" w:rsidR="006F6DE1" w:rsidRDefault="00FF0180" w:rsidP="00FF0180">
      <w:pPr>
        <w:pStyle w:val="Ttulo2"/>
      </w:pPr>
      <w:bookmarkStart w:id="514" w:name="_Toc140506246"/>
      <w:r>
        <w:t>MADIGÁS</w:t>
      </w:r>
      <w:bookmarkEnd w:id="514"/>
    </w:p>
    <w:p w14:paraId="2BEB3159" w14:textId="77777777" w:rsidR="006F1229" w:rsidRDefault="006F1229" w:rsidP="006F6DE1">
      <w:pPr>
        <w:pStyle w:val="Ttulo4"/>
      </w:pPr>
      <w:r w:rsidRPr="006F1229">
        <w:t>MADIGAS INGENIEROS S.A.</w:t>
      </w:r>
      <w:r w:rsidRPr="006F1229">
        <w:tab/>
      </w:r>
    </w:p>
    <w:p w14:paraId="0859B140" w14:textId="26DA9DF9" w:rsidR="006F1229" w:rsidRPr="006C07A1" w:rsidRDefault="006F1229" w:rsidP="006F1229">
      <w:pPr>
        <w:rPr>
          <w:rFonts w:cs="Arial"/>
          <w:i/>
          <w:iCs/>
          <w:sz w:val="22"/>
          <w:szCs w:val="22"/>
        </w:rPr>
      </w:pPr>
      <w:r w:rsidRPr="006F1229">
        <w:rPr>
          <w:rFonts w:cs="Arial"/>
          <w:sz w:val="22"/>
          <w:szCs w:val="22"/>
        </w:rPr>
        <w:t>"</w:t>
      </w:r>
      <w:r w:rsidRPr="006C07A1">
        <w:rPr>
          <w:rFonts w:cs="Arial"/>
          <w:i/>
          <w:iCs/>
          <w:sz w:val="22"/>
          <w:szCs w:val="22"/>
        </w:rPr>
        <w:t xml:space="preserve">Según la Res. CREG 226 de 2021; (parágrafo 1 del Art. 27) el vendedor del Mercado Secundario deberá entregar el gas en el Punto de Entrega pactado en los contratos de derechos de suministro; el cual deberá corresponder a uno de los puntos estándar listados en la Circular que la CREG publique para esos efectos; y deberá asumir los costos para transportarlo hasta ese punto. La información de precios del gas natural que será comercializado en el mercado secundario y la de los costos de transporte que asumirá hasta el Punto Estándar de entrega deberá desagregarse; tanto en los contratos de derechos de suministro; como también informarse al Gestor de manera </w:t>
      </w:r>
      <w:proofErr w:type="gramStart"/>
      <w:r w:rsidRPr="006C07A1">
        <w:rPr>
          <w:rFonts w:cs="Arial"/>
          <w:i/>
          <w:iCs/>
          <w:sz w:val="22"/>
          <w:szCs w:val="22"/>
        </w:rPr>
        <w:t>desagregada.-</w:t>
      </w:r>
      <w:proofErr w:type="gramEnd"/>
      <w:r w:rsidRPr="006C07A1">
        <w:rPr>
          <w:rFonts w:cs="Arial"/>
          <w:i/>
          <w:iCs/>
          <w:sz w:val="22"/>
          <w:szCs w:val="22"/>
        </w:rPr>
        <w:t xml:space="preserve"> En adición a esto; la Res. CREG 185 de 2020 (Art. 27 también) el precio máximo para las capacidades firmes contratadas en estas negociaciones directas será el mismo que se haya negociado en el mercado primario para el tramo o grupo de gasoductos sobre el que se contrate la capacidad.</w:t>
      </w:r>
    </w:p>
    <w:p w14:paraId="73F19639" w14:textId="77777777" w:rsidR="006F1229" w:rsidRPr="006C07A1" w:rsidRDefault="006F1229" w:rsidP="006F1229">
      <w:pPr>
        <w:rPr>
          <w:rFonts w:cs="Arial"/>
          <w:i/>
          <w:iCs/>
          <w:sz w:val="22"/>
          <w:szCs w:val="22"/>
        </w:rPr>
      </w:pPr>
    </w:p>
    <w:p w14:paraId="161D0ED5" w14:textId="405E4143" w:rsidR="006F1229" w:rsidRPr="006F1229" w:rsidRDefault="006F1229" w:rsidP="006F1229">
      <w:pPr>
        <w:rPr>
          <w:rFonts w:cs="Arial"/>
          <w:sz w:val="22"/>
          <w:szCs w:val="22"/>
        </w:rPr>
      </w:pPr>
      <w:r w:rsidRPr="006C07A1">
        <w:rPr>
          <w:rFonts w:cs="Arial"/>
          <w:i/>
          <w:iCs/>
          <w:sz w:val="22"/>
          <w:szCs w:val="22"/>
        </w:rPr>
        <w:t xml:space="preserve">Con base en lo anterior; al ofrecer el gas con transporte existiría libertad sobre el precio de venta de la molécula (Art. 30 de la Res. 226 de 2021) no obstante el precio de oferta debe incluir el costo de transporte para entrega del gas en el punto de entrega pactado contractualmente y dicho valor debe discriminarse y solo podría corresponder a los mismos cargos regulados que estén pactados con el transportador en el contrato del mercado primario; por </w:t>
      </w:r>
      <w:proofErr w:type="gramStart"/>
      <w:r w:rsidRPr="006C07A1">
        <w:rPr>
          <w:rFonts w:cs="Arial"/>
          <w:i/>
          <w:iCs/>
          <w:sz w:val="22"/>
          <w:szCs w:val="22"/>
        </w:rPr>
        <w:t>tanto</w:t>
      </w:r>
      <w:proofErr w:type="gramEnd"/>
      <w:r w:rsidRPr="006C07A1">
        <w:rPr>
          <w:rFonts w:cs="Arial"/>
          <w:i/>
          <w:iCs/>
          <w:sz w:val="22"/>
          <w:szCs w:val="22"/>
        </w:rPr>
        <w:t xml:space="preserve"> se siguiere que exista un margen para comercialización. De manera atenta; solicitamos se incorpore un margen de intermediación por la comercialización de la capacidad de transporte en el mercado secundario como incentivo a que se pueda ofertar en el mercado dichos excedentes.</w:t>
      </w:r>
      <w:r w:rsidRPr="006F1229">
        <w:rPr>
          <w:rFonts w:cs="Arial"/>
          <w:sz w:val="22"/>
          <w:szCs w:val="22"/>
        </w:rPr>
        <w:t>"</w:t>
      </w:r>
    </w:p>
    <w:p w14:paraId="04EC2E64" w14:textId="775B814B" w:rsidR="006F1229" w:rsidRDefault="006F1229" w:rsidP="006F1229">
      <w:pPr>
        <w:rPr>
          <w:rFonts w:cs="Arial"/>
          <w:sz w:val="22"/>
          <w:szCs w:val="22"/>
        </w:rPr>
      </w:pPr>
    </w:p>
    <w:p w14:paraId="0C7C0ADE" w14:textId="381EF4BA" w:rsidR="006C07A1" w:rsidRPr="006C07A1" w:rsidRDefault="006C07A1" w:rsidP="006F1229">
      <w:pPr>
        <w:rPr>
          <w:rFonts w:cs="Arial"/>
          <w:b/>
          <w:bCs/>
          <w:sz w:val="22"/>
          <w:szCs w:val="22"/>
        </w:rPr>
      </w:pPr>
      <w:r w:rsidRPr="006C07A1">
        <w:rPr>
          <w:rFonts w:cs="Arial"/>
          <w:b/>
          <w:bCs/>
          <w:sz w:val="22"/>
          <w:szCs w:val="22"/>
        </w:rPr>
        <w:t>Respuesta:</w:t>
      </w:r>
    </w:p>
    <w:p w14:paraId="169F4510" w14:textId="7105648E" w:rsidR="006C07A1" w:rsidRDefault="006C07A1" w:rsidP="006F1229">
      <w:pPr>
        <w:rPr>
          <w:rFonts w:cs="Arial"/>
          <w:sz w:val="22"/>
          <w:szCs w:val="22"/>
        </w:rPr>
      </w:pPr>
    </w:p>
    <w:p w14:paraId="753261CA" w14:textId="11DB1864" w:rsidR="006C07A1" w:rsidRDefault="008A62D4" w:rsidP="006F1229">
      <w:pPr>
        <w:rPr>
          <w:rFonts w:cs="Arial"/>
          <w:sz w:val="22"/>
          <w:szCs w:val="22"/>
        </w:rPr>
      </w:pPr>
      <w:r>
        <w:rPr>
          <w:rFonts w:cs="Arial"/>
          <w:sz w:val="22"/>
          <w:szCs w:val="22"/>
        </w:rPr>
        <w:t>El contrato de derechos de suministro de gas natural en el Mercado Secundario se limita exclusivamente al suministro del gas. No se trata entonces de dos contratos diferentes, uno de derechos de suministro y otro de transporte, sino de un solo contrato de derechos de suministro</w:t>
      </w:r>
      <w:r w:rsidR="00B62FB4">
        <w:rPr>
          <w:rFonts w:cs="Arial"/>
          <w:sz w:val="22"/>
          <w:szCs w:val="22"/>
        </w:rPr>
        <w:t xml:space="preserve"> en un punto de entrega,</w:t>
      </w:r>
      <w:r>
        <w:rPr>
          <w:rFonts w:cs="Arial"/>
          <w:sz w:val="22"/>
          <w:szCs w:val="22"/>
        </w:rPr>
        <w:t xml:space="preserve"> en el que el transporte asumido por el vendedor es </w:t>
      </w:r>
      <w:proofErr w:type="gramStart"/>
      <w:r>
        <w:rPr>
          <w:rFonts w:cs="Arial"/>
          <w:sz w:val="22"/>
          <w:szCs w:val="22"/>
        </w:rPr>
        <w:t>un costo</w:t>
      </w:r>
      <w:r w:rsidR="00B62FB4">
        <w:rPr>
          <w:rFonts w:cs="Arial"/>
          <w:sz w:val="22"/>
          <w:szCs w:val="22"/>
        </w:rPr>
        <w:t xml:space="preserve"> a trasladar</w:t>
      </w:r>
      <w:proofErr w:type="gramEnd"/>
      <w:r w:rsidR="00B62FB4">
        <w:rPr>
          <w:rFonts w:cs="Arial"/>
          <w:sz w:val="22"/>
          <w:szCs w:val="22"/>
        </w:rPr>
        <w:t xml:space="preserve"> en el contrato</w:t>
      </w:r>
      <w:r>
        <w:rPr>
          <w:rFonts w:cs="Arial"/>
          <w:sz w:val="22"/>
          <w:szCs w:val="22"/>
        </w:rPr>
        <w:t xml:space="preserve">, por lo que el margen se ocasiona solamente por motivo del suministro. </w:t>
      </w:r>
    </w:p>
    <w:p w14:paraId="2890679A" w14:textId="46E34634" w:rsidR="008A62D4" w:rsidRDefault="008A62D4" w:rsidP="006F1229">
      <w:pPr>
        <w:rPr>
          <w:rFonts w:cs="Arial"/>
          <w:sz w:val="22"/>
          <w:szCs w:val="22"/>
        </w:rPr>
      </w:pPr>
    </w:p>
    <w:p w14:paraId="180908C4" w14:textId="5AF63326" w:rsidR="008A62D4" w:rsidRDefault="008A62D4" w:rsidP="006F1229">
      <w:pPr>
        <w:rPr>
          <w:rFonts w:cs="Arial"/>
          <w:sz w:val="22"/>
          <w:szCs w:val="22"/>
        </w:rPr>
      </w:pPr>
      <w:r>
        <w:rPr>
          <w:rFonts w:cs="Arial"/>
          <w:sz w:val="22"/>
          <w:szCs w:val="22"/>
        </w:rPr>
        <w:t xml:space="preserve">En este sentido, la propuesta de la </w:t>
      </w:r>
      <w:r w:rsidR="00F265EB">
        <w:rPr>
          <w:rFonts w:cs="Arial"/>
          <w:sz w:val="22"/>
          <w:szCs w:val="22"/>
        </w:rPr>
        <w:t>R</w:t>
      </w:r>
      <w:r>
        <w:rPr>
          <w:rFonts w:cs="Arial"/>
          <w:sz w:val="22"/>
          <w:szCs w:val="22"/>
        </w:rPr>
        <w:t xml:space="preserve">esolución CREG 226 de 2021 no incluye modificaciones a la regulación de los contratos de capacidad de transporte del mercado secundario contenida en la Resolución CREG 185 de 2020, y aquellas que la modifican. </w:t>
      </w:r>
    </w:p>
    <w:p w14:paraId="03507327" w14:textId="77777777" w:rsidR="006C07A1" w:rsidRDefault="006C07A1" w:rsidP="006F1229">
      <w:pPr>
        <w:rPr>
          <w:rFonts w:cs="Arial"/>
          <w:sz w:val="22"/>
          <w:szCs w:val="22"/>
        </w:rPr>
      </w:pPr>
    </w:p>
    <w:p w14:paraId="4293C4BC" w14:textId="77777777" w:rsidR="00FF0180" w:rsidRDefault="00FF0180" w:rsidP="006F1229">
      <w:pPr>
        <w:rPr>
          <w:rFonts w:cs="Arial"/>
          <w:sz w:val="22"/>
          <w:szCs w:val="22"/>
        </w:rPr>
      </w:pPr>
    </w:p>
    <w:p w14:paraId="3432B1A5" w14:textId="5CF034D1" w:rsidR="006F6DE1" w:rsidRDefault="00FF0180" w:rsidP="00FF0180">
      <w:pPr>
        <w:pStyle w:val="Ttulo2"/>
      </w:pPr>
      <w:bookmarkStart w:id="515" w:name="_Toc140506247"/>
      <w:r>
        <w:t>PRIME ENERGÍA</w:t>
      </w:r>
      <w:bookmarkEnd w:id="515"/>
    </w:p>
    <w:p w14:paraId="2029C406" w14:textId="77777777" w:rsidR="006F1229" w:rsidRDefault="006F1229" w:rsidP="006F6DE1">
      <w:pPr>
        <w:pStyle w:val="Ttulo4"/>
      </w:pPr>
      <w:r w:rsidRPr="006F1229">
        <w:t>PRIME ENERGIA</w:t>
      </w:r>
      <w:r w:rsidRPr="006F1229">
        <w:tab/>
      </w:r>
    </w:p>
    <w:p w14:paraId="73CEBA3F" w14:textId="06DF70B9" w:rsidR="006F1229" w:rsidRDefault="008A55B6" w:rsidP="006F1229">
      <w:pPr>
        <w:rPr>
          <w:rFonts w:cs="Arial"/>
          <w:sz w:val="22"/>
          <w:szCs w:val="22"/>
        </w:rPr>
      </w:pPr>
      <w:r>
        <w:rPr>
          <w:rFonts w:cs="Arial"/>
          <w:i/>
          <w:iCs/>
          <w:sz w:val="22"/>
          <w:szCs w:val="22"/>
        </w:rPr>
        <w:t>“</w:t>
      </w:r>
      <w:r w:rsidR="006F1229" w:rsidRPr="00E51CFF">
        <w:rPr>
          <w:rFonts w:cs="Arial"/>
          <w:i/>
          <w:iCs/>
          <w:sz w:val="22"/>
          <w:szCs w:val="22"/>
        </w:rPr>
        <w:t>De acuerdo con las conclusiones del análisis de balance comercial desarrollado por esta Comisión sobre el abastecimiento futuro de la demanda nacional de gas natural planteado en el documento CREG 188 soporte de la propuesta regulatoria en comento, para abril de 2026 se presentaría un eventual déficit continuo de oferta comercial de gas natural en firme. Del anterior análisis, preocupa la no inclusión de las demandas proyectadas para el sector termoeléctrico al considerar que la demanda de gas de generación termoeléctrica no es Demanda Esencial según la definición normativa gubernamental vigente, teniendo en cuenta que, de llegar a incluir las demandas térmicas y de petróleos se podría evidenciar un escenario más crítico</w:t>
      </w:r>
      <w:r w:rsidR="006F1229" w:rsidRPr="006F1229">
        <w:rPr>
          <w:rFonts w:cs="Arial"/>
          <w:sz w:val="22"/>
          <w:szCs w:val="22"/>
        </w:rPr>
        <w:t>.</w:t>
      </w:r>
      <w:r w:rsidR="00AC4E7A">
        <w:rPr>
          <w:rFonts w:cs="Arial"/>
          <w:sz w:val="22"/>
          <w:szCs w:val="22"/>
        </w:rPr>
        <w:t>”</w:t>
      </w:r>
    </w:p>
    <w:p w14:paraId="4F561B71" w14:textId="356799B0" w:rsidR="00E51CFF" w:rsidRDefault="00E51CFF" w:rsidP="006F1229">
      <w:pPr>
        <w:rPr>
          <w:rFonts w:cs="Arial"/>
          <w:sz w:val="22"/>
          <w:szCs w:val="22"/>
        </w:rPr>
      </w:pPr>
    </w:p>
    <w:p w14:paraId="627FD465" w14:textId="4BB74AD5" w:rsidR="00E51CFF" w:rsidRPr="00E51CFF" w:rsidRDefault="00E51CFF" w:rsidP="006F1229">
      <w:pPr>
        <w:rPr>
          <w:rFonts w:cs="Arial"/>
          <w:b/>
          <w:bCs/>
          <w:sz w:val="22"/>
          <w:szCs w:val="22"/>
        </w:rPr>
      </w:pPr>
      <w:r w:rsidRPr="00E51CFF">
        <w:rPr>
          <w:rFonts w:cs="Arial"/>
          <w:b/>
          <w:bCs/>
          <w:sz w:val="22"/>
          <w:szCs w:val="22"/>
        </w:rPr>
        <w:t>Respuesta:</w:t>
      </w:r>
    </w:p>
    <w:p w14:paraId="51BE996E" w14:textId="1810F8D0" w:rsidR="00E51CFF" w:rsidRDefault="00E51CFF" w:rsidP="006F1229">
      <w:pPr>
        <w:rPr>
          <w:rFonts w:cs="Arial"/>
          <w:sz w:val="22"/>
          <w:szCs w:val="22"/>
        </w:rPr>
      </w:pPr>
    </w:p>
    <w:p w14:paraId="5E2613F6" w14:textId="3C0D0758" w:rsidR="00E51CFF" w:rsidRPr="006F1229" w:rsidRDefault="00E51CFF" w:rsidP="006F1229">
      <w:pPr>
        <w:rPr>
          <w:rFonts w:cs="Arial"/>
          <w:sz w:val="22"/>
          <w:szCs w:val="22"/>
        </w:rPr>
      </w:pPr>
      <w:r>
        <w:rPr>
          <w:rFonts w:cs="Arial"/>
          <w:sz w:val="22"/>
          <w:szCs w:val="22"/>
        </w:rPr>
        <w:t xml:space="preserve">Ver respuesta a </w:t>
      </w:r>
      <w:r w:rsidR="00521B27">
        <w:rPr>
          <w:rFonts w:cs="Arial"/>
          <w:sz w:val="22"/>
          <w:szCs w:val="22"/>
        </w:rPr>
        <w:fldChar w:fldCharType="begin"/>
      </w:r>
      <w:r w:rsidR="00521B27">
        <w:rPr>
          <w:rFonts w:cs="Arial"/>
          <w:sz w:val="22"/>
          <w:szCs w:val="22"/>
        </w:rPr>
        <w:instrText xml:space="preserve"> REF _Ref130385122 \r \h </w:instrText>
      </w:r>
      <w:r w:rsidR="00521B27">
        <w:rPr>
          <w:rFonts w:cs="Arial"/>
          <w:sz w:val="22"/>
          <w:szCs w:val="22"/>
        </w:rPr>
      </w:r>
      <w:r w:rsidR="00521B27">
        <w:rPr>
          <w:rFonts w:cs="Arial"/>
          <w:sz w:val="22"/>
          <w:szCs w:val="22"/>
        </w:rPr>
        <w:fldChar w:fldCharType="separate"/>
      </w:r>
      <w:r w:rsidR="007651EA">
        <w:rPr>
          <w:rFonts w:cs="Arial"/>
          <w:sz w:val="22"/>
          <w:szCs w:val="22"/>
        </w:rPr>
        <w:t>1.2.1.1</w:t>
      </w:r>
      <w:r w:rsidR="00521B27">
        <w:rPr>
          <w:rFonts w:cs="Arial"/>
          <w:sz w:val="22"/>
          <w:szCs w:val="22"/>
        </w:rPr>
        <w:fldChar w:fldCharType="end"/>
      </w:r>
      <w:r w:rsidR="00521B27">
        <w:rPr>
          <w:rFonts w:cs="Arial"/>
          <w:sz w:val="22"/>
          <w:szCs w:val="22"/>
        </w:rPr>
        <w:t>.</w:t>
      </w:r>
    </w:p>
    <w:p w14:paraId="492B5698" w14:textId="17D5C390" w:rsidR="006F1229" w:rsidRDefault="006F1229" w:rsidP="006F1229">
      <w:pPr>
        <w:rPr>
          <w:rFonts w:cs="Arial"/>
          <w:sz w:val="22"/>
          <w:szCs w:val="22"/>
        </w:rPr>
      </w:pPr>
    </w:p>
    <w:p w14:paraId="7EBC1CC3" w14:textId="77777777" w:rsidR="006F6DE1" w:rsidRDefault="006F6DE1" w:rsidP="006F1229">
      <w:pPr>
        <w:rPr>
          <w:rFonts w:cs="Arial"/>
          <w:sz w:val="22"/>
          <w:szCs w:val="22"/>
        </w:rPr>
      </w:pPr>
    </w:p>
    <w:p w14:paraId="5F3F7388" w14:textId="77777777" w:rsidR="006F1229" w:rsidRDefault="006F1229" w:rsidP="006F6DE1">
      <w:pPr>
        <w:pStyle w:val="Ttulo4"/>
      </w:pPr>
      <w:bookmarkStart w:id="516" w:name="_Ref130385769"/>
      <w:r w:rsidRPr="006F1229">
        <w:t>PRIME ENERGIA</w:t>
      </w:r>
      <w:bookmarkEnd w:id="516"/>
      <w:r w:rsidRPr="006F1229">
        <w:tab/>
      </w:r>
    </w:p>
    <w:p w14:paraId="5CCBFDEB" w14:textId="67E53954" w:rsidR="006F1229" w:rsidRDefault="0073211A" w:rsidP="006F1229">
      <w:pPr>
        <w:rPr>
          <w:rFonts w:cs="Arial"/>
          <w:sz w:val="22"/>
          <w:szCs w:val="22"/>
        </w:rPr>
      </w:pPr>
      <w:r>
        <w:rPr>
          <w:rFonts w:cs="Arial"/>
          <w:i/>
          <w:iCs/>
          <w:sz w:val="22"/>
          <w:szCs w:val="22"/>
        </w:rPr>
        <w:t>“</w:t>
      </w:r>
      <w:r w:rsidR="006F1229" w:rsidRPr="00521B27">
        <w:rPr>
          <w:rFonts w:cs="Arial"/>
          <w:i/>
          <w:iCs/>
          <w:sz w:val="22"/>
          <w:szCs w:val="22"/>
        </w:rPr>
        <w:t xml:space="preserve">Respecto a las alternativas de gas natural importado, si bien la propuesta regulatoria busca incentivar su comercialización a través de varios aspectos de flexibilidad en la comercialización (negociación directa, no obligatoriedad de cumplir con los requisitos mínimos establecidos por la CREG, libre negociación y modalidad contractual, </w:t>
      </w:r>
      <w:proofErr w:type="spellStart"/>
      <w:r w:rsidR="006F1229" w:rsidRPr="00521B27">
        <w:rPr>
          <w:rFonts w:cs="Arial"/>
          <w:i/>
          <w:iCs/>
          <w:sz w:val="22"/>
          <w:szCs w:val="22"/>
        </w:rPr>
        <w:t>etc</w:t>
      </w:r>
      <w:proofErr w:type="spellEnd"/>
      <w:r w:rsidR="006F1229" w:rsidRPr="00521B27">
        <w:rPr>
          <w:rFonts w:cs="Arial"/>
          <w:i/>
          <w:iCs/>
          <w:sz w:val="22"/>
          <w:szCs w:val="22"/>
        </w:rPr>
        <w:t>) aún quedaría pendiente por definir señales regulatorias para que el sector térmico acceda al gas natural importado (fuentes de importación y facilidades de regasificación) de manera eficiente y financieramente viable y sostenible</w:t>
      </w:r>
      <w:r w:rsidR="006F1229" w:rsidRPr="006F1229">
        <w:rPr>
          <w:rFonts w:cs="Arial"/>
          <w:sz w:val="22"/>
          <w:szCs w:val="22"/>
        </w:rPr>
        <w:t>.</w:t>
      </w:r>
      <w:r>
        <w:rPr>
          <w:rFonts w:cs="Arial"/>
          <w:sz w:val="22"/>
          <w:szCs w:val="22"/>
        </w:rPr>
        <w:t>”</w:t>
      </w:r>
      <w:r w:rsidR="006F1229" w:rsidRPr="006F1229">
        <w:rPr>
          <w:rFonts w:cs="Arial"/>
          <w:sz w:val="22"/>
          <w:szCs w:val="22"/>
        </w:rPr>
        <w:t xml:space="preserve"> </w:t>
      </w:r>
    </w:p>
    <w:p w14:paraId="6BFF49A5" w14:textId="3BB93D7F" w:rsidR="00521B27" w:rsidRDefault="00521B27" w:rsidP="006F1229">
      <w:pPr>
        <w:rPr>
          <w:rFonts w:cs="Arial"/>
          <w:sz w:val="22"/>
          <w:szCs w:val="22"/>
        </w:rPr>
      </w:pPr>
    </w:p>
    <w:p w14:paraId="4C790308" w14:textId="28471433" w:rsidR="00521B27" w:rsidRPr="00521B27" w:rsidRDefault="00521B27" w:rsidP="006F1229">
      <w:pPr>
        <w:rPr>
          <w:rFonts w:cs="Arial"/>
          <w:b/>
          <w:bCs/>
          <w:sz w:val="22"/>
          <w:szCs w:val="22"/>
        </w:rPr>
      </w:pPr>
      <w:r w:rsidRPr="00521B27">
        <w:rPr>
          <w:rFonts w:cs="Arial"/>
          <w:b/>
          <w:bCs/>
          <w:sz w:val="22"/>
          <w:szCs w:val="22"/>
        </w:rPr>
        <w:t>Respuesta:</w:t>
      </w:r>
    </w:p>
    <w:p w14:paraId="49DEA06C" w14:textId="7CBD3C67" w:rsidR="00521B27" w:rsidRDefault="00521B27" w:rsidP="006F1229">
      <w:pPr>
        <w:rPr>
          <w:rFonts w:cs="Arial"/>
          <w:sz w:val="22"/>
          <w:szCs w:val="22"/>
        </w:rPr>
      </w:pPr>
    </w:p>
    <w:p w14:paraId="02C32E36" w14:textId="7653884C" w:rsidR="00521B27" w:rsidRPr="006F1229" w:rsidRDefault="00521B27" w:rsidP="003636DE">
      <w:pPr>
        <w:rPr>
          <w:rFonts w:cs="Arial"/>
          <w:sz w:val="22"/>
          <w:szCs w:val="22"/>
        </w:rPr>
      </w:pPr>
      <w:r>
        <w:rPr>
          <w:rFonts w:cs="Arial"/>
          <w:sz w:val="22"/>
          <w:szCs w:val="22"/>
        </w:rPr>
        <w:t xml:space="preserve">La regulación respecto del acceso </w:t>
      </w:r>
      <w:r w:rsidR="003636DE">
        <w:rPr>
          <w:rFonts w:cs="Arial"/>
          <w:sz w:val="22"/>
          <w:szCs w:val="22"/>
        </w:rPr>
        <w:t xml:space="preserve">de </w:t>
      </w:r>
      <w:r w:rsidR="003636DE" w:rsidRPr="003636DE">
        <w:rPr>
          <w:rFonts w:cs="Arial"/>
          <w:sz w:val="22"/>
          <w:szCs w:val="22"/>
        </w:rPr>
        <w:t>los Agentes que la</w:t>
      </w:r>
      <w:r w:rsidR="003636DE">
        <w:rPr>
          <w:rFonts w:cs="Arial"/>
          <w:sz w:val="22"/>
          <w:szCs w:val="22"/>
        </w:rPr>
        <w:t xml:space="preserve"> </w:t>
      </w:r>
      <w:r w:rsidR="003636DE" w:rsidRPr="003636DE">
        <w:rPr>
          <w:rFonts w:cs="Arial"/>
          <w:sz w:val="22"/>
          <w:szCs w:val="22"/>
        </w:rPr>
        <w:t xml:space="preserve">requieran </w:t>
      </w:r>
      <w:r>
        <w:rPr>
          <w:rFonts w:cs="Arial"/>
          <w:sz w:val="22"/>
          <w:szCs w:val="22"/>
        </w:rPr>
        <w:t xml:space="preserve">a </w:t>
      </w:r>
      <w:r w:rsidR="00A82817">
        <w:rPr>
          <w:rFonts w:cs="Arial"/>
          <w:sz w:val="22"/>
          <w:szCs w:val="22"/>
        </w:rPr>
        <w:t>las I</w:t>
      </w:r>
      <w:r w:rsidR="00A82817" w:rsidRPr="00A82817">
        <w:rPr>
          <w:rFonts w:cs="Arial"/>
          <w:sz w:val="22"/>
          <w:szCs w:val="22"/>
        </w:rPr>
        <w:t>nterconexi</w:t>
      </w:r>
      <w:r w:rsidR="00A82817">
        <w:rPr>
          <w:rFonts w:cs="Arial"/>
          <w:sz w:val="22"/>
          <w:szCs w:val="22"/>
        </w:rPr>
        <w:t>ones</w:t>
      </w:r>
      <w:r w:rsidR="00A82817" w:rsidRPr="00A82817">
        <w:rPr>
          <w:rFonts w:cs="Arial"/>
          <w:sz w:val="22"/>
          <w:szCs w:val="22"/>
        </w:rPr>
        <w:t xml:space="preserve"> Internacional</w:t>
      </w:r>
      <w:r w:rsidR="00A82817">
        <w:rPr>
          <w:rFonts w:cs="Arial"/>
          <w:sz w:val="22"/>
          <w:szCs w:val="22"/>
        </w:rPr>
        <w:t>es</w:t>
      </w:r>
      <w:r w:rsidR="00A82817" w:rsidRPr="00A82817">
        <w:rPr>
          <w:rFonts w:cs="Arial"/>
          <w:sz w:val="22"/>
          <w:szCs w:val="22"/>
        </w:rPr>
        <w:t xml:space="preserve"> de Gas Natural</w:t>
      </w:r>
      <w:r w:rsidR="003636DE">
        <w:rPr>
          <w:rFonts w:cs="Arial"/>
          <w:sz w:val="22"/>
          <w:szCs w:val="22"/>
        </w:rPr>
        <w:t xml:space="preserve">, </w:t>
      </w:r>
      <w:r w:rsidR="00A82817">
        <w:rPr>
          <w:rFonts w:cs="Arial"/>
          <w:sz w:val="22"/>
          <w:szCs w:val="22"/>
        </w:rPr>
        <w:t xml:space="preserve">a </w:t>
      </w:r>
      <w:r>
        <w:rPr>
          <w:rFonts w:cs="Arial"/>
          <w:sz w:val="22"/>
          <w:szCs w:val="22"/>
        </w:rPr>
        <w:t xml:space="preserve">la(s) infraestructura(s) de </w:t>
      </w:r>
      <w:r w:rsidR="00A82817">
        <w:rPr>
          <w:rFonts w:cs="Arial"/>
          <w:sz w:val="22"/>
          <w:szCs w:val="22"/>
        </w:rPr>
        <w:t>regasifica</w:t>
      </w:r>
      <w:r>
        <w:rPr>
          <w:rFonts w:cs="Arial"/>
          <w:sz w:val="22"/>
          <w:szCs w:val="22"/>
        </w:rPr>
        <w:t xml:space="preserve">ción que se adopte(n) en los Planes de Abastecimiento de Gas Natural actuales y futuros </w:t>
      </w:r>
      <w:r w:rsidR="003636DE">
        <w:rPr>
          <w:rFonts w:cs="Arial"/>
          <w:sz w:val="22"/>
          <w:szCs w:val="22"/>
        </w:rPr>
        <w:t>y a las capacidades n</w:t>
      </w:r>
      <w:r w:rsidR="003636DE" w:rsidRPr="003636DE">
        <w:rPr>
          <w:rFonts w:cs="Arial"/>
          <w:sz w:val="22"/>
          <w:szCs w:val="22"/>
        </w:rPr>
        <w:t>o utilizada</w:t>
      </w:r>
      <w:r w:rsidR="003636DE">
        <w:rPr>
          <w:rFonts w:cs="Arial"/>
          <w:sz w:val="22"/>
          <w:szCs w:val="22"/>
        </w:rPr>
        <w:t>s</w:t>
      </w:r>
      <w:r w:rsidR="003636DE" w:rsidRPr="003636DE">
        <w:rPr>
          <w:rFonts w:cs="Arial"/>
          <w:sz w:val="22"/>
          <w:szCs w:val="22"/>
        </w:rPr>
        <w:t xml:space="preserve"> y/o no comprometida</w:t>
      </w:r>
      <w:r w:rsidR="003636DE">
        <w:rPr>
          <w:rFonts w:cs="Arial"/>
          <w:sz w:val="22"/>
          <w:szCs w:val="22"/>
        </w:rPr>
        <w:t>s</w:t>
      </w:r>
      <w:r w:rsidR="003636DE" w:rsidRPr="003636DE">
        <w:rPr>
          <w:rFonts w:cs="Arial"/>
          <w:sz w:val="22"/>
          <w:szCs w:val="22"/>
        </w:rPr>
        <w:t xml:space="preserve"> </w:t>
      </w:r>
      <w:r w:rsidR="003636DE">
        <w:rPr>
          <w:rFonts w:cs="Arial"/>
          <w:sz w:val="22"/>
          <w:szCs w:val="22"/>
        </w:rPr>
        <w:t xml:space="preserve">por parte de los propietarios y/u operadores  de estas últimas, </w:t>
      </w:r>
      <w:r>
        <w:rPr>
          <w:rFonts w:cs="Arial"/>
          <w:sz w:val="22"/>
          <w:szCs w:val="22"/>
        </w:rPr>
        <w:t xml:space="preserve">se desarrollará en resolución aparte, </w:t>
      </w:r>
      <w:r w:rsidR="00A82817">
        <w:rPr>
          <w:rFonts w:cs="Arial"/>
          <w:sz w:val="22"/>
          <w:szCs w:val="22"/>
        </w:rPr>
        <w:t>par</w:t>
      </w:r>
      <w:r>
        <w:rPr>
          <w:rFonts w:cs="Arial"/>
          <w:sz w:val="22"/>
          <w:szCs w:val="22"/>
        </w:rPr>
        <w:t xml:space="preserve">a </w:t>
      </w:r>
      <w:r w:rsidR="004E1B77">
        <w:rPr>
          <w:rFonts w:cs="Arial"/>
          <w:sz w:val="22"/>
          <w:szCs w:val="22"/>
        </w:rPr>
        <w:t xml:space="preserve">ser </w:t>
      </w:r>
      <w:r>
        <w:rPr>
          <w:rFonts w:cs="Arial"/>
          <w:sz w:val="22"/>
          <w:szCs w:val="22"/>
        </w:rPr>
        <w:t>aplica</w:t>
      </w:r>
      <w:r w:rsidR="004E1B77">
        <w:rPr>
          <w:rFonts w:cs="Arial"/>
          <w:sz w:val="22"/>
          <w:szCs w:val="22"/>
        </w:rPr>
        <w:t>da</w:t>
      </w:r>
      <w:r>
        <w:rPr>
          <w:rFonts w:cs="Arial"/>
          <w:sz w:val="22"/>
          <w:szCs w:val="22"/>
        </w:rPr>
        <w:t xml:space="preserve"> a cualquier tipo de demanda del sector de gas natural.</w:t>
      </w:r>
    </w:p>
    <w:p w14:paraId="522A41FD" w14:textId="3A3273EE" w:rsidR="006F1229" w:rsidRDefault="006F1229" w:rsidP="006F1229">
      <w:pPr>
        <w:rPr>
          <w:rFonts w:cs="Arial"/>
          <w:sz w:val="22"/>
          <w:szCs w:val="22"/>
        </w:rPr>
      </w:pPr>
    </w:p>
    <w:p w14:paraId="3C965651" w14:textId="77777777" w:rsidR="006F1229" w:rsidRDefault="006F1229" w:rsidP="006F1229">
      <w:pPr>
        <w:rPr>
          <w:rFonts w:cs="Arial"/>
          <w:sz w:val="22"/>
          <w:szCs w:val="22"/>
        </w:rPr>
      </w:pPr>
    </w:p>
    <w:p w14:paraId="5E60129C" w14:textId="77777777" w:rsidR="006F6DE1" w:rsidRDefault="006F1229" w:rsidP="006F6DE1">
      <w:pPr>
        <w:pStyle w:val="Ttulo4"/>
      </w:pPr>
      <w:r w:rsidRPr="006F1229">
        <w:t>PRIME ENERGIA</w:t>
      </w:r>
      <w:r w:rsidRPr="006F1229">
        <w:tab/>
      </w:r>
    </w:p>
    <w:p w14:paraId="18D9041A" w14:textId="2A1E32F5" w:rsidR="006F1229" w:rsidRDefault="006F1229" w:rsidP="006F1229">
      <w:pPr>
        <w:rPr>
          <w:rFonts w:cs="Arial"/>
          <w:i/>
          <w:iCs/>
          <w:sz w:val="22"/>
          <w:szCs w:val="22"/>
        </w:rPr>
      </w:pPr>
      <w:r w:rsidRPr="006F1229">
        <w:rPr>
          <w:rFonts w:cs="Arial"/>
          <w:sz w:val="22"/>
          <w:szCs w:val="22"/>
        </w:rPr>
        <w:t>"</w:t>
      </w:r>
      <w:r w:rsidRPr="00A65DB2">
        <w:rPr>
          <w:rFonts w:cs="Arial"/>
          <w:i/>
          <w:iCs/>
          <w:sz w:val="22"/>
          <w:szCs w:val="22"/>
        </w:rPr>
        <w:t>Quedaría pendiente por definir señales regulatorias para que el sector térmico acceda al gas natural importado (fuentes de importación y facilidades de regasificación) de manera eficiente y financieramente viable y sostenible. De acuerdo con los lineamientos de política pública, el Articulo 2.2.2.2.41 del Decreto 1073 de 20153, la CREG tiene la facultad de establecer incentivos para la importación de gas natural, incentivos que deben estar armonizados con otras propuestas regulatorias como la resolución CREG 132 de 2021 con el fin de brindar señales al mercado bajo un esquema integral de respaldo del sector térmico con gas natural importado.</w:t>
      </w:r>
    </w:p>
    <w:p w14:paraId="63959EAB" w14:textId="77777777" w:rsidR="00A65DB2" w:rsidRPr="00A65DB2" w:rsidRDefault="00A65DB2" w:rsidP="006F1229">
      <w:pPr>
        <w:rPr>
          <w:rFonts w:cs="Arial"/>
          <w:i/>
          <w:iCs/>
          <w:sz w:val="22"/>
          <w:szCs w:val="22"/>
        </w:rPr>
      </w:pPr>
    </w:p>
    <w:p w14:paraId="587F2A38" w14:textId="77777777" w:rsidR="006F1229" w:rsidRPr="00A65DB2" w:rsidRDefault="006F1229" w:rsidP="006F1229">
      <w:pPr>
        <w:rPr>
          <w:rFonts w:cs="Arial"/>
          <w:i/>
          <w:iCs/>
          <w:sz w:val="22"/>
          <w:szCs w:val="22"/>
        </w:rPr>
      </w:pPr>
      <w:r w:rsidRPr="00A65DB2">
        <w:rPr>
          <w:rFonts w:cs="Arial"/>
          <w:i/>
          <w:iCs/>
          <w:sz w:val="22"/>
          <w:szCs w:val="22"/>
        </w:rPr>
        <w:t>Consideramos que lo anterior, cada día, se hace más relevante dado que Colombia cuenta con una única facilidad de regasificación y fuente de importación de gas natural cuyo esquema regulatorio vence el 30 de noviembre de 2025."</w:t>
      </w:r>
    </w:p>
    <w:p w14:paraId="5F4F5342" w14:textId="2E18ABC6" w:rsidR="006F1229" w:rsidRDefault="006F1229" w:rsidP="006F1229">
      <w:pPr>
        <w:rPr>
          <w:rFonts w:cs="Arial"/>
          <w:sz w:val="22"/>
          <w:szCs w:val="22"/>
        </w:rPr>
      </w:pPr>
    </w:p>
    <w:p w14:paraId="03829E7B" w14:textId="1AA60454" w:rsidR="00A65DB2" w:rsidRPr="00A65DB2" w:rsidRDefault="00A65DB2" w:rsidP="006F1229">
      <w:pPr>
        <w:rPr>
          <w:rFonts w:cs="Arial"/>
          <w:b/>
          <w:bCs/>
          <w:sz w:val="22"/>
          <w:szCs w:val="22"/>
        </w:rPr>
      </w:pPr>
      <w:r w:rsidRPr="00A65DB2">
        <w:rPr>
          <w:rFonts w:cs="Arial"/>
          <w:b/>
          <w:bCs/>
          <w:sz w:val="22"/>
          <w:szCs w:val="22"/>
        </w:rPr>
        <w:t>Respuesta:</w:t>
      </w:r>
    </w:p>
    <w:p w14:paraId="6E00DBBC" w14:textId="7DF4F2C3" w:rsidR="00A65DB2" w:rsidRDefault="00A65DB2" w:rsidP="006F1229">
      <w:pPr>
        <w:rPr>
          <w:rFonts w:cs="Arial"/>
          <w:sz w:val="22"/>
          <w:szCs w:val="22"/>
        </w:rPr>
      </w:pPr>
    </w:p>
    <w:p w14:paraId="7FD50498" w14:textId="625D2967" w:rsidR="00A65DB2" w:rsidRDefault="00A65DB2"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_Ref130385769 \r \h </w:instrText>
      </w:r>
      <w:r>
        <w:rPr>
          <w:rFonts w:cs="Arial"/>
          <w:sz w:val="22"/>
          <w:szCs w:val="22"/>
        </w:rPr>
      </w:r>
      <w:r>
        <w:rPr>
          <w:rFonts w:cs="Arial"/>
          <w:sz w:val="22"/>
          <w:szCs w:val="22"/>
        </w:rPr>
        <w:fldChar w:fldCharType="separate"/>
      </w:r>
      <w:r w:rsidR="007651EA">
        <w:rPr>
          <w:rFonts w:cs="Arial"/>
          <w:sz w:val="22"/>
          <w:szCs w:val="22"/>
        </w:rPr>
        <w:t>1.8.1.2</w:t>
      </w:r>
      <w:r>
        <w:rPr>
          <w:rFonts w:cs="Arial"/>
          <w:sz w:val="22"/>
          <w:szCs w:val="22"/>
        </w:rPr>
        <w:fldChar w:fldCharType="end"/>
      </w:r>
      <w:r>
        <w:rPr>
          <w:rFonts w:cs="Arial"/>
          <w:sz w:val="22"/>
          <w:szCs w:val="22"/>
        </w:rPr>
        <w:t>.</w:t>
      </w:r>
    </w:p>
    <w:p w14:paraId="7A6275F8" w14:textId="77777777" w:rsidR="00A65DB2" w:rsidRDefault="00A65DB2" w:rsidP="006F1229">
      <w:pPr>
        <w:rPr>
          <w:rFonts w:cs="Arial"/>
          <w:sz w:val="22"/>
          <w:szCs w:val="22"/>
        </w:rPr>
      </w:pPr>
    </w:p>
    <w:p w14:paraId="038CB082" w14:textId="06272054" w:rsidR="006F6DE1" w:rsidRDefault="006F6DE1" w:rsidP="006F1229">
      <w:pPr>
        <w:rPr>
          <w:rFonts w:cs="Arial"/>
          <w:sz w:val="22"/>
          <w:szCs w:val="22"/>
        </w:rPr>
      </w:pPr>
    </w:p>
    <w:p w14:paraId="260FE74C" w14:textId="32152EAB" w:rsidR="00FF0180" w:rsidRDefault="00FF0180" w:rsidP="00FF0180">
      <w:pPr>
        <w:pStyle w:val="Ttulo2"/>
      </w:pPr>
      <w:bookmarkStart w:id="517" w:name="_Toc140506248"/>
      <w:r>
        <w:t>PROMIG</w:t>
      </w:r>
      <w:r w:rsidR="00386692">
        <w:t>A</w:t>
      </w:r>
      <w:r>
        <w:t>S</w:t>
      </w:r>
      <w:bookmarkEnd w:id="517"/>
    </w:p>
    <w:p w14:paraId="25CF6ECE" w14:textId="77777777" w:rsidR="006F1229" w:rsidRDefault="006F1229" w:rsidP="00CD699D">
      <w:pPr>
        <w:pStyle w:val="Ttulo4"/>
      </w:pPr>
      <w:r w:rsidRPr="006F1229">
        <w:t>PROMIGAS</w:t>
      </w:r>
      <w:r w:rsidRPr="006F1229">
        <w:tab/>
      </w:r>
    </w:p>
    <w:p w14:paraId="218378D8" w14:textId="0185BEF6" w:rsidR="006F1229" w:rsidRPr="006F1229" w:rsidRDefault="00386692" w:rsidP="006F1229">
      <w:pPr>
        <w:rPr>
          <w:rFonts w:cs="Arial"/>
          <w:sz w:val="22"/>
          <w:szCs w:val="22"/>
        </w:rPr>
      </w:pPr>
      <w:r>
        <w:rPr>
          <w:rFonts w:cs="Arial"/>
          <w:i/>
          <w:iCs/>
          <w:sz w:val="22"/>
          <w:szCs w:val="22"/>
        </w:rPr>
        <w:t>“</w:t>
      </w:r>
      <w:r w:rsidR="006F1229" w:rsidRPr="003007AC">
        <w:rPr>
          <w:rFonts w:cs="Arial"/>
          <w:i/>
          <w:iCs/>
          <w:sz w:val="22"/>
          <w:szCs w:val="22"/>
        </w:rPr>
        <w:t>Se coincide con la CREG en lo referente a la eliminación de los Contratos C1 y C2 por su poca efectividad. Estas modalidades contractuales, su interdependencia en términos de firmeza y las subastas diseñadas, no se adaptan a los requerimientos de suministro de gas de los agentes sectoriales</w:t>
      </w:r>
      <w:r w:rsidR="006F1229" w:rsidRPr="006F1229">
        <w:rPr>
          <w:rFonts w:cs="Arial"/>
          <w:sz w:val="22"/>
          <w:szCs w:val="22"/>
        </w:rPr>
        <w:t>.</w:t>
      </w:r>
      <w:r>
        <w:rPr>
          <w:rFonts w:cs="Arial"/>
          <w:sz w:val="22"/>
          <w:szCs w:val="22"/>
        </w:rPr>
        <w:t>”</w:t>
      </w:r>
    </w:p>
    <w:p w14:paraId="5B9A54F8" w14:textId="243F8174" w:rsidR="006F1229" w:rsidRDefault="006F1229" w:rsidP="006F1229">
      <w:pPr>
        <w:rPr>
          <w:rFonts w:cs="Arial"/>
          <w:sz w:val="22"/>
          <w:szCs w:val="22"/>
        </w:rPr>
      </w:pPr>
    </w:p>
    <w:p w14:paraId="3355F6AA" w14:textId="504344FB" w:rsidR="00394FFB" w:rsidRPr="00394FFB" w:rsidRDefault="00394FFB" w:rsidP="006F1229">
      <w:pPr>
        <w:rPr>
          <w:rFonts w:cs="Arial"/>
          <w:b/>
          <w:bCs/>
          <w:sz w:val="22"/>
          <w:szCs w:val="22"/>
        </w:rPr>
      </w:pPr>
      <w:r w:rsidRPr="00394FFB">
        <w:rPr>
          <w:rFonts w:cs="Arial"/>
          <w:b/>
          <w:bCs/>
          <w:sz w:val="22"/>
          <w:szCs w:val="22"/>
        </w:rPr>
        <w:t>Respuesta:</w:t>
      </w:r>
    </w:p>
    <w:p w14:paraId="3FBA2315" w14:textId="62E0A48F" w:rsidR="00394FFB" w:rsidRDefault="00394FFB" w:rsidP="006F1229">
      <w:pPr>
        <w:rPr>
          <w:rFonts w:cs="Arial"/>
          <w:sz w:val="22"/>
          <w:szCs w:val="22"/>
        </w:rPr>
      </w:pPr>
    </w:p>
    <w:p w14:paraId="5F15EA2C" w14:textId="72FB8E20" w:rsidR="00394FFB" w:rsidRDefault="003007AC" w:rsidP="006F1229">
      <w:pPr>
        <w:rPr>
          <w:rFonts w:cs="Arial"/>
          <w:sz w:val="22"/>
          <w:szCs w:val="22"/>
        </w:rPr>
      </w:pPr>
      <w:r>
        <w:rPr>
          <w:rFonts w:cs="Arial"/>
          <w:sz w:val="22"/>
          <w:szCs w:val="22"/>
        </w:rPr>
        <w:t xml:space="preserve">Ver respuesta a </w:t>
      </w:r>
      <w:r w:rsidR="00252E65">
        <w:rPr>
          <w:rFonts w:cs="Arial"/>
          <w:sz w:val="22"/>
          <w:szCs w:val="22"/>
        </w:rPr>
        <w:fldChar w:fldCharType="begin"/>
      </w:r>
      <w:r w:rsidR="00252E65">
        <w:rPr>
          <w:rFonts w:cs="Arial"/>
          <w:sz w:val="22"/>
          <w:szCs w:val="22"/>
        </w:rPr>
        <w:instrText xml:space="preserve"> REF _Ref130291498 \r \h </w:instrText>
      </w:r>
      <w:r w:rsidR="00252E65">
        <w:rPr>
          <w:rFonts w:cs="Arial"/>
          <w:sz w:val="22"/>
          <w:szCs w:val="22"/>
        </w:rPr>
      </w:r>
      <w:r w:rsidR="00252E65">
        <w:rPr>
          <w:rFonts w:cs="Arial"/>
          <w:sz w:val="22"/>
          <w:szCs w:val="22"/>
        </w:rPr>
        <w:fldChar w:fldCharType="separate"/>
      </w:r>
      <w:r w:rsidR="007651EA">
        <w:rPr>
          <w:rFonts w:cs="Arial"/>
          <w:sz w:val="22"/>
          <w:szCs w:val="22"/>
        </w:rPr>
        <w:t>1.5.1.1</w:t>
      </w:r>
      <w:r w:rsidR="00252E65">
        <w:rPr>
          <w:rFonts w:cs="Arial"/>
          <w:sz w:val="22"/>
          <w:szCs w:val="22"/>
        </w:rPr>
        <w:fldChar w:fldCharType="end"/>
      </w:r>
      <w:r w:rsidR="00252E65">
        <w:rPr>
          <w:rFonts w:cs="Arial"/>
          <w:sz w:val="22"/>
          <w:szCs w:val="22"/>
        </w:rPr>
        <w:t>.</w:t>
      </w:r>
    </w:p>
    <w:p w14:paraId="43C7AB7C" w14:textId="77777777" w:rsidR="00394FFB" w:rsidRDefault="00394FFB" w:rsidP="006F1229">
      <w:pPr>
        <w:rPr>
          <w:rFonts w:cs="Arial"/>
          <w:sz w:val="22"/>
          <w:szCs w:val="22"/>
        </w:rPr>
      </w:pPr>
    </w:p>
    <w:p w14:paraId="31DC6A8A" w14:textId="77777777" w:rsidR="006F6DE1" w:rsidRDefault="006F6DE1" w:rsidP="006F1229">
      <w:pPr>
        <w:rPr>
          <w:rFonts w:cs="Arial"/>
          <w:sz w:val="22"/>
          <w:szCs w:val="22"/>
        </w:rPr>
      </w:pPr>
    </w:p>
    <w:p w14:paraId="756E8A62" w14:textId="77777777" w:rsidR="006F1229" w:rsidRDefault="006F1229" w:rsidP="00CD699D">
      <w:pPr>
        <w:pStyle w:val="Ttulo4"/>
      </w:pPr>
      <w:r w:rsidRPr="006F1229">
        <w:t>PROMIGAS</w:t>
      </w:r>
      <w:r w:rsidRPr="006F1229">
        <w:tab/>
      </w:r>
    </w:p>
    <w:p w14:paraId="4BBFA96B" w14:textId="3A78C3FF" w:rsidR="006F1229" w:rsidRPr="00252E65" w:rsidRDefault="00386692" w:rsidP="006F1229">
      <w:pPr>
        <w:rPr>
          <w:rFonts w:cs="Arial"/>
          <w:i/>
          <w:iCs/>
          <w:sz w:val="22"/>
          <w:szCs w:val="22"/>
        </w:rPr>
      </w:pPr>
      <w:r>
        <w:rPr>
          <w:rFonts w:cs="Arial"/>
          <w:i/>
          <w:iCs/>
          <w:sz w:val="22"/>
          <w:szCs w:val="22"/>
        </w:rPr>
        <w:t>“</w:t>
      </w:r>
      <w:r w:rsidR="006F1229" w:rsidRPr="00252E65">
        <w:rPr>
          <w:rFonts w:cs="Arial"/>
          <w:i/>
          <w:iCs/>
          <w:sz w:val="22"/>
          <w:szCs w:val="22"/>
        </w:rPr>
        <w:t>Se coincide con la CREG en lo referente a la eliminación de las subastas bimestrales de los contratos firmes. La propuesta de establecer contratos con duración mínima trimestral y contratos con duración mensual en el mercado primario brinda flexibilidad a las demandas con variabilidad estacional, pero dicha flexibilidad no resulta adecuada para demandas continuas o permanentes.</w:t>
      </w:r>
      <w:r w:rsidR="00532FDC">
        <w:rPr>
          <w:rFonts w:cs="Arial"/>
          <w:i/>
          <w:iCs/>
          <w:sz w:val="22"/>
          <w:szCs w:val="22"/>
        </w:rPr>
        <w:t>”</w:t>
      </w:r>
    </w:p>
    <w:p w14:paraId="538AB87B" w14:textId="6FF00FBD" w:rsidR="006F1229" w:rsidRDefault="006F1229" w:rsidP="006F1229">
      <w:pPr>
        <w:rPr>
          <w:rFonts w:cs="Arial"/>
          <w:sz w:val="22"/>
          <w:szCs w:val="22"/>
        </w:rPr>
      </w:pPr>
    </w:p>
    <w:p w14:paraId="6798BD2B" w14:textId="08DAF6D1" w:rsidR="006F6DE1" w:rsidRPr="00252E65" w:rsidRDefault="00252E65" w:rsidP="006F1229">
      <w:pPr>
        <w:rPr>
          <w:rFonts w:cs="Arial"/>
          <w:b/>
          <w:bCs/>
          <w:sz w:val="22"/>
          <w:szCs w:val="22"/>
        </w:rPr>
      </w:pPr>
      <w:r w:rsidRPr="00252E65">
        <w:rPr>
          <w:rFonts w:cs="Arial"/>
          <w:b/>
          <w:bCs/>
          <w:sz w:val="22"/>
          <w:szCs w:val="22"/>
        </w:rPr>
        <w:t>Respuesta:</w:t>
      </w:r>
    </w:p>
    <w:p w14:paraId="533B546A" w14:textId="262251F5" w:rsidR="00252E65" w:rsidRDefault="00252E65" w:rsidP="006F1229">
      <w:pPr>
        <w:rPr>
          <w:rFonts w:cs="Arial"/>
          <w:sz w:val="22"/>
          <w:szCs w:val="22"/>
        </w:rPr>
      </w:pPr>
    </w:p>
    <w:p w14:paraId="0DAEE99E" w14:textId="1417D026" w:rsidR="00252E65" w:rsidRDefault="00252E65"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_Ref130291498 \r \h </w:instrText>
      </w:r>
      <w:r>
        <w:rPr>
          <w:rFonts w:cs="Arial"/>
          <w:sz w:val="22"/>
          <w:szCs w:val="22"/>
        </w:rPr>
      </w:r>
      <w:r>
        <w:rPr>
          <w:rFonts w:cs="Arial"/>
          <w:sz w:val="22"/>
          <w:szCs w:val="22"/>
        </w:rPr>
        <w:fldChar w:fldCharType="separate"/>
      </w:r>
      <w:r w:rsidR="007651EA">
        <w:rPr>
          <w:rFonts w:cs="Arial"/>
          <w:sz w:val="22"/>
          <w:szCs w:val="22"/>
        </w:rPr>
        <w:t>1.5.1.1</w:t>
      </w:r>
      <w:r>
        <w:rPr>
          <w:rFonts w:cs="Arial"/>
          <w:sz w:val="22"/>
          <w:szCs w:val="22"/>
        </w:rPr>
        <w:fldChar w:fldCharType="end"/>
      </w:r>
      <w:r>
        <w:rPr>
          <w:rFonts w:cs="Arial"/>
          <w:sz w:val="22"/>
          <w:szCs w:val="22"/>
        </w:rPr>
        <w:t>.</w:t>
      </w:r>
    </w:p>
    <w:p w14:paraId="4A70A582" w14:textId="77777777" w:rsidR="00252E65" w:rsidRDefault="00252E65" w:rsidP="006F1229">
      <w:pPr>
        <w:rPr>
          <w:rFonts w:cs="Arial"/>
          <w:sz w:val="22"/>
          <w:szCs w:val="22"/>
        </w:rPr>
      </w:pPr>
    </w:p>
    <w:p w14:paraId="1386A4FE" w14:textId="77777777" w:rsidR="00252E65" w:rsidRDefault="00252E65" w:rsidP="006F1229">
      <w:pPr>
        <w:rPr>
          <w:rFonts w:cs="Arial"/>
          <w:sz w:val="22"/>
          <w:szCs w:val="22"/>
        </w:rPr>
      </w:pPr>
    </w:p>
    <w:p w14:paraId="66E48456" w14:textId="77777777" w:rsidR="006F1229" w:rsidRDefault="006F1229" w:rsidP="00CD699D">
      <w:pPr>
        <w:pStyle w:val="Ttulo4"/>
      </w:pPr>
      <w:r w:rsidRPr="006F1229">
        <w:t>PROMIGAS</w:t>
      </w:r>
      <w:r w:rsidRPr="006F1229">
        <w:tab/>
      </w:r>
    </w:p>
    <w:p w14:paraId="12D35B7F" w14:textId="7F59B8E5" w:rsidR="006F1229" w:rsidRDefault="00532FDC" w:rsidP="006F1229">
      <w:pPr>
        <w:rPr>
          <w:rFonts w:cs="Arial"/>
          <w:sz w:val="22"/>
          <w:szCs w:val="22"/>
        </w:rPr>
      </w:pPr>
      <w:r>
        <w:rPr>
          <w:rFonts w:cs="Arial"/>
          <w:sz w:val="22"/>
          <w:szCs w:val="22"/>
        </w:rPr>
        <w:t>“</w:t>
      </w:r>
      <w:r w:rsidR="006F1229" w:rsidRPr="006F1229">
        <w:rPr>
          <w:rFonts w:cs="Arial"/>
          <w:sz w:val="22"/>
          <w:szCs w:val="22"/>
        </w:rPr>
        <w:t>La Comisión también debe considerar, cuando adopte la decisión final en lo referente a la duración de los contratos, que entre menor es el plazo de los contratos de suministro y transporte, menor será el incentivo para desarrollar infraestructura de producción, importación y transporte. La expansión de la oferta y la expansión o extensión de gasoductos requiere contratación de largo plazo.</w:t>
      </w:r>
      <w:r>
        <w:rPr>
          <w:rFonts w:cs="Arial"/>
          <w:sz w:val="22"/>
          <w:szCs w:val="22"/>
        </w:rPr>
        <w:t>”</w:t>
      </w:r>
    </w:p>
    <w:p w14:paraId="77D7610E" w14:textId="1CB34728" w:rsidR="00252E65" w:rsidRDefault="00252E65" w:rsidP="006F1229">
      <w:pPr>
        <w:rPr>
          <w:rFonts w:cs="Arial"/>
          <w:sz w:val="22"/>
          <w:szCs w:val="22"/>
        </w:rPr>
      </w:pPr>
    </w:p>
    <w:p w14:paraId="24BD80C1" w14:textId="08EB2C2A" w:rsidR="00252E65" w:rsidRPr="00252E65" w:rsidRDefault="00252E65" w:rsidP="006F1229">
      <w:pPr>
        <w:rPr>
          <w:rFonts w:cs="Arial"/>
          <w:b/>
          <w:bCs/>
          <w:sz w:val="22"/>
          <w:szCs w:val="22"/>
        </w:rPr>
      </w:pPr>
      <w:r w:rsidRPr="00252E65">
        <w:rPr>
          <w:rFonts w:cs="Arial"/>
          <w:b/>
          <w:bCs/>
          <w:sz w:val="22"/>
          <w:szCs w:val="22"/>
        </w:rPr>
        <w:t>Respuesta:</w:t>
      </w:r>
    </w:p>
    <w:p w14:paraId="410A0F44" w14:textId="39F86C89" w:rsidR="00252E65" w:rsidRDefault="00252E65" w:rsidP="006F1229">
      <w:pPr>
        <w:rPr>
          <w:rFonts w:cs="Arial"/>
          <w:sz w:val="22"/>
          <w:szCs w:val="22"/>
        </w:rPr>
      </w:pPr>
    </w:p>
    <w:p w14:paraId="0A688C87" w14:textId="433ADA02" w:rsidR="00252E65" w:rsidRPr="006F1229" w:rsidRDefault="00504290"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_Ref130386435 \r \h </w:instrText>
      </w:r>
      <w:r>
        <w:rPr>
          <w:rFonts w:cs="Arial"/>
          <w:sz w:val="22"/>
          <w:szCs w:val="22"/>
        </w:rPr>
      </w:r>
      <w:r>
        <w:rPr>
          <w:rFonts w:cs="Arial"/>
          <w:sz w:val="22"/>
          <w:szCs w:val="22"/>
        </w:rPr>
        <w:fldChar w:fldCharType="separate"/>
      </w:r>
      <w:r w:rsidR="007651EA">
        <w:rPr>
          <w:rFonts w:cs="Arial"/>
          <w:sz w:val="22"/>
          <w:szCs w:val="22"/>
        </w:rPr>
        <w:t>1.5.1.3</w:t>
      </w:r>
      <w:r>
        <w:rPr>
          <w:rFonts w:cs="Arial"/>
          <w:sz w:val="22"/>
          <w:szCs w:val="22"/>
        </w:rPr>
        <w:fldChar w:fldCharType="end"/>
      </w:r>
      <w:r>
        <w:rPr>
          <w:rFonts w:cs="Arial"/>
          <w:sz w:val="22"/>
          <w:szCs w:val="22"/>
        </w:rPr>
        <w:t>.</w:t>
      </w:r>
    </w:p>
    <w:p w14:paraId="4492F38C" w14:textId="699E1008" w:rsidR="006F1229" w:rsidRDefault="006F1229" w:rsidP="006F1229">
      <w:pPr>
        <w:rPr>
          <w:rFonts w:cs="Arial"/>
          <w:sz w:val="22"/>
          <w:szCs w:val="22"/>
        </w:rPr>
      </w:pPr>
    </w:p>
    <w:p w14:paraId="6FD9F4F2" w14:textId="77777777" w:rsidR="006F6DE1" w:rsidRDefault="006F6DE1" w:rsidP="006F1229">
      <w:pPr>
        <w:rPr>
          <w:rFonts w:cs="Arial"/>
          <w:sz w:val="22"/>
          <w:szCs w:val="22"/>
        </w:rPr>
      </w:pPr>
    </w:p>
    <w:p w14:paraId="1AC33575" w14:textId="77777777" w:rsidR="006F1229" w:rsidRDefault="006F1229" w:rsidP="00CD699D">
      <w:pPr>
        <w:pStyle w:val="Ttulo4"/>
      </w:pPr>
      <w:r w:rsidRPr="006F1229">
        <w:t>PROMIGAS</w:t>
      </w:r>
      <w:r w:rsidRPr="006F1229">
        <w:tab/>
      </w:r>
    </w:p>
    <w:p w14:paraId="5169C0A5" w14:textId="31BFC6AC" w:rsidR="006F1229" w:rsidRPr="006F1229" w:rsidRDefault="00532FDC" w:rsidP="006F1229">
      <w:pPr>
        <w:rPr>
          <w:rFonts w:cs="Arial"/>
          <w:sz w:val="22"/>
          <w:szCs w:val="22"/>
        </w:rPr>
      </w:pPr>
      <w:r>
        <w:rPr>
          <w:rFonts w:cs="Arial"/>
          <w:i/>
          <w:iCs/>
          <w:sz w:val="22"/>
          <w:szCs w:val="22"/>
        </w:rPr>
        <w:t>“</w:t>
      </w:r>
      <w:r w:rsidR="006F1229" w:rsidRPr="00504290">
        <w:rPr>
          <w:rFonts w:cs="Arial"/>
          <w:i/>
          <w:iCs/>
          <w:sz w:val="22"/>
          <w:szCs w:val="22"/>
        </w:rPr>
        <w:t>Se coincide con la CREG en lo referente a la eliminación de las subastas mensuales de contratos interrumpibles. Así mismo, se encuentra razonable que dichos contratos se puedan negociar directamente con sujeción a algunas de las reglas planteadas por la CREG</w:t>
      </w:r>
      <w:r w:rsidR="006F1229" w:rsidRPr="006F1229">
        <w:rPr>
          <w:rFonts w:cs="Arial"/>
          <w:sz w:val="22"/>
          <w:szCs w:val="22"/>
        </w:rPr>
        <w:t>.</w:t>
      </w:r>
      <w:r>
        <w:rPr>
          <w:rFonts w:cs="Arial"/>
          <w:sz w:val="22"/>
          <w:szCs w:val="22"/>
        </w:rPr>
        <w:t>”</w:t>
      </w:r>
    </w:p>
    <w:p w14:paraId="1E7AD92D" w14:textId="7D2DAFB5" w:rsidR="006F1229" w:rsidRDefault="006F1229" w:rsidP="006F1229">
      <w:pPr>
        <w:rPr>
          <w:rFonts w:cs="Arial"/>
          <w:sz w:val="22"/>
          <w:szCs w:val="22"/>
        </w:rPr>
      </w:pPr>
    </w:p>
    <w:p w14:paraId="5CBAA026" w14:textId="540BC53E" w:rsidR="00504290" w:rsidRPr="00504290" w:rsidRDefault="00504290" w:rsidP="006F1229">
      <w:pPr>
        <w:rPr>
          <w:rFonts w:cs="Arial"/>
          <w:b/>
          <w:bCs/>
          <w:sz w:val="22"/>
          <w:szCs w:val="22"/>
        </w:rPr>
      </w:pPr>
      <w:r w:rsidRPr="00504290">
        <w:rPr>
          <w:rFonts w:cs="Arial"/>
          <w:b/>
          <w:bCs/>
          <w:sz w:val="22"/>
          <w:szCs w:val="22"/>
        </w:rPr>
        <w:t>Repuesta:</w:t>
      </w:r>
    </w:p>
    <w:p w14:paraId="629AD0DC" w14:textId="77777777" w:rsidR="00504290" w:rsidRDefault="00504290" w:rsidP="006F1229">
      <w:pPr>
        <w:rPr>
          <w:rFonts w:cs="Arial"/>
          <w:sz w:val="22"/>
          <w:szCs w:val="22"/>
        </w:rPr>
      </w:pPr>
    </w:p>
    <w:p w14:paraId="2DC512A6" w14:textId="58F28D5F" w:rsidR="00504290" w:rsidRDefault="00504290" w:rsidP="006F1229">
      <w:pPr>
        <w:rPr>
          <w:rFonts w:cs="Arial"/>
          <w:sz w:val="22"/>
          <w:szCs w:val="22"/>
        </w:rPr>
      </w:pPr>
      <w:r>
        <w:rPr>
          <w:rFonts w:cs="Arial"/>
          <w:sz w:val="22"/>
          <w:szCs w:val="22"/>
        </w:rPr>
        <w:t xml:space="preserve">Ver repuesta a </w:t>
      </w:r>
      <w:r>
        <w:rPr>
          <w:rFonts w:cs="Arial"/>
          <w:sz w:val="22"/>
          <w:szCs w:val="22"/>
        </w:rPr>
        <w:fldChar w:fldCharType="begin"/>
      </w:r>
      <w:r>
        <w:rPr>
          <w:rFonts w:cs="Arial"/>
          <w:sz w:val="22"/>
          <w:szCs w:val="22"/>
        </w:rPr>
        <w:instrText xml:space="preserve"> REF _Ref130291962 \r \h </w:instrText>
      </w:r>
      <w:r>
        <w:rPr>
          <w:rFonts w:cs="Arial"/>
          <w:sz w:val="22"/>
          <w:szCs w:val="22"/>
        </w:rPr>
      </w:r>
      <w:r>
        <w:rPr>
          <w:rFonts w:cs="Arial"/>
          <w:sz w:val="22"/>
          <w:szCs w:val="22"/>
        </w:rPr>
        <w:fldChar w:fldCharType="separate"/>
      </w:r>
      <w:r w:rsidR="007651EA">
        <w:rPr>
          <w:rFonts w:cs="Arial"/>
          <w:sz w:val="22"/>
          <w:szCs w:val="22"/>
        </w:rPr>
        <w:t>1.4.1.1</w:t>
      </w:r>
      <w:r>
        <w:rPr>
          <w:rFonts w:cs="Arial"/>
          <w:sz w:val="22"/>
          <w:szCs w:val="22"/>
        </w:rPr>
        <w:fldChar w:fldCharType="end"/>
      </w:r>
    </w:p>
    <w:p w14:paraId="10347C9A" w14:textId="684B72FE" w:rsidR="006F6DE1" w:rsidRDefault="006F6DE1" w:rsidP="006F1229">
      <w:pPr>
        <w:rPr>
          <w:rFonts w:cs="Arial"/>
          <w:sz w:val="22"/>
          <w:szCs w:val="22"/>
        </w:rPr>
      </w:pPr>
    </w:p>
    <w:p w14:paraId="318769C5" w14:textId="77777777" w:rsidR="00504290" w:rsidRDefault="00504290" w:rsidP="006F1229">
      <w:pPr>
        <w:rPr>
          <w:rFonts w:cs="Arial"/>
          <w:sz w:val="22"/>
          <w:szCs w:val="22"/>
        </w:rPr>
      </w:pPr>
    </w:p>
    <w:p w14:paraId="5F12D723" w14:textId="77777777" w:rsidR="006F1229" w:rsidRDefault="006F1229" w:rsidP="00CD699D">
      <w:pPr>
        <w:pStyle w:val="Ttulo4"/>
      </w:pPr>
      <w:r w:rsidRPr="006F1229">
        <w:t>PROMIGAS</w:t>
      </w:r>
      <w:r w:rsidRPr="006F1229">
        <w:tab/>
      </w:r>
    </w:p>
    <w:p w14:paraId="61106BE8" w14:textId="685B0A68" w:rsidR="006F1229" w:rsidRDefault="00532FDC" w:rsidP="006F1229">
      <w:pPr>
        <w:rPr>
          <w:rFonts w:cs="Arial"/>
          <w:sz w:val="22"/>
          <w:szCs w:val="22"/>
        </w:rPr>
      </w:pPr>
      <w:r>
        <w:rPr>
          <w:rFonts w:cs="Arial"/>
          <w:i/>
          <w:iCs/>
          <w:sz w:val="22"/>
          <w:szCs w:val="22"/>
        </w:rPr>
        <w:t>“</w:t>
      </w:r>
      <w:r w:rsidR="006F1229" w:rsidRPr="00504290">
        <w:rPr>
          <w:rFonts w:cs="Arial"/>
          <w:i/>
          <w:iCs/>
          <w:sz w:val="22"/>
          <w:szCs w:val="22"/>
        </w:rPr>
        <w:t>La CREG ha sido reticente en introducir períodos de reposición del gas contratado bajo las modalidades CF95 (y CF80), típicamente establecidos en doce (12) meses en mercados más desarrollados</w:t>
      </w:r>
      <w:r w:rsidR="006F1229" w:rsidRPr="006F1229">
        <w:rPr>
          <w:rFonts w:cs="Arial"/>
          <w:sz w:val="22"/>
          <w:szCs w:val="22"/>
        </w:rPr>
        <w:t>.</w:t>
      </w:r>
      <w:r>
        <w:rPr>
          <w:rFonts w:cs="Arial"/>
          <w:sz w:val="22"/>
          <w:szCs w:val="22"/>
        </w:rPr>
        <w:t>”</w:t>
      </w:r>
    </w:p>
    <w:p w14:paraId="52A6CF91" w14:textId="6475CC4F" w:rsidR="00504290" w:rsidRDefault="00504290" w:rsidP="006F1229">
      <w:pPr>
        <w:rPr>
          <w:rFonts w:cs="Arial"/>
          <w:sz w:val="22"/>
          <w:szCs w:val="22"/>
        </w:rPr>
      </w:pPr>
    </w:p>
    <w:p w14:paraId="162BDC5A" w14:textId="52549B2C" w:rsidR="00504290" w:rsidRPr="00504290" w:rsidRDefault="00504290" w:rsidP="006F1229">
      <w:pPr>
        <w:rPr>
          <w:rFonts w:cs="Arial"/>
          <w:b/>
          <w:bCs/>
          <w:sz w:val="22"/>
          <w:szCs w:val="22"/>
        </w:rPr>
      </w:pPr>
      <w:r w:rsidRPr="00504290">
        <w:rPr>
          <w:rFonts w:cs="Arial"/>
          <w:b/>
          <w:bCs/>
          <w:sz w:val="22"/>
          <w:szCs w:val="22"/>
        </w:rPr>
        <w:t>Respuesta:</w:t>
      </w:r>
    </w:p>
    <w:p w14:paraId="12D1B656" w14:textId="124CC26F" w:rsidR="00504290" w:rsidRDefault="00504290" w:rsidP="006F1229">
      <w:pPr>
        <w:rPr>
          <w:rFonts w:cs="Arial"/>
          <w:sz w:val="22"/>
          <w:szCs w:val="22"/>
        </w:rPr>
      </w:pPr>
    </w:p>
    <w:p w14:paraId="25CBD0DA" w14:textId="4C71D874" w:rsidR="00504290" w:rsidRPr="006F1229" w:rsidRDefault="00504290"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_Ref130386561 \r \h </w:instrText>
      </w:r>
      <w:r>
        <w:rPr>
          <w:rFonts w:cs="Arial"/>
          <w:sz w:val="22"/>
          <w:szCs w:val="22"/>
        </w:rPr>
      </w:r>
      <w:r>
        <w:rPr>
          <w:rFonts w:cs="Arial"/>
          <w:sz w:val="22"/>
          <w:szCs w:val="22"/>
        </w:rPr>
        <w:fldChar w:fldCharType="separate"/>
      </w:r>
      <w:r w:rsidR="007651EA">
        <w:rPr>
          <w:rFonts w:cs="Arial"/>
          <w:sz w:val="22"/>
          <w:szCs w:val="22"/>
        </w:rPr>
        <w:t>1.5.1.5</w:t>
      </w:r>
      <w:r>
        <w:rPr>
          <w:rFonts w:cs="Arial"/>
          <w:sz w:val="22"/>
          <w:szCs w:val="22"/>
        </w:rPr>
        <w:fldChar w:fldCharType="end"/>
      </w:r>
      <w:r>
        <w:rPr>
          <w:rFonts w:cs="Arial"/>
          <w:sz w:val="22"/>
          <w:szCs w:val="22"/>
        </w:rPr>
        <w:t>.</w:t>
      </w:r>
    </w:p>
    <w:p w14:paraId="1A516329" w14:textId="489CD4B2" w:rsidR="006F1229" w:rsidRDefault="006F1229" w:rsidP="006F1229">
      <w:pPr>
        <w:rPr>
          <w:rFonts w:cs="Arial"/>
          <w:sz w:val="22"/>
          <w:szCs w:val="22"/>
        </w:rPr>
      </w:pPr>
    </w:p>
    <w:p w14:paraId="439885B5" w14:textId="77777777" w:rsidR="006F6DE1" w:rsidRDefault="006F6DE1" w:rsidP="006F1229">
      <w:pPr>
        <w:rPr>
          <w:rFonts w:cs="Arial"/>
          <w:sz w:val="22"/>
          <w:szCs w:val="22"/>
        </w:rPr>
      </w:pPr>
    </w:p>
    <w:p w14:paraId="5EB88ADD" w14:textId="77777777" w:rsidR="006F1229" w:rsidRDefault="006F1229" w:rsidP="00CD699D">
      <w:pPr>
        <w:pStyle w:val="Ttulo4"/>
      </w:pPr>
      <w:r w:rsidRPr="006F1229">
        <w:t>PROMIGAS</w:t>
      </w:r>
      <w:r w:rsidRPr="006F1229">
        <w:tab/>
      </w:r>
    </w:p>
    <w:p w14:paraId="4E0887AF" w14:textId="3F55EED7" w:rsidR="006F1229" w:rsidRPr="00504290" w:rsidRDefault="006F1229" w:rsidP="006F1229">
      <w:pPr>
        <w:rPr>
          <w:rFonts w:cs="Arial"/>
          <w:i/>
          <w:iCs/>
          <w:sz w:val="22"/>
          <w:szCs w:val="22"/>
        </w:rPr>
      </w:pPr>
      <w:r w:rsidRPr="006F1229">
        <w:rPr>
          <w:rFonts w:cs="Arial"/>
          <w:sz w:val="22"/>
          <w:szCs w:val="22"/>
        </w:rPr>
        <w:t>"</w:t>
      </w:r>
      <w:r w:rsidRPr="00504290">
        <w:rPr>
          <w:rFonts w:cs="Arial"/>
          <w:i/>
          <w:iCs/>
          <w:sz w:val="22"/>
          <w:szCs w:val="22"/>
        </w:rPr>
        <w:t>De una proyección de oferta signada por la incertidumbre y de una proyección de demanda seguramente subestimada, el balance resultante resultará espurio y de sus resultados no se podrá inferir la condición superavitaria o deficitaria de la oferta.</w:t>
      </w:r>
    </w:p>
    <w:p w14:paraId="384A2DB3" w14:textId="77777777" w:rsidR="006F1229" w:rsidRPr="00504290" w:rsidRDefault="006F1229" w:rsidP="006F1229">
      <w:pPr>
        <w:rPr>
          <w:rFonts w:cs="Arial"/>
          <w:i/>
          <w:iCs/>
          <w:sz w:val="22"/>
          <w:szCs w:val="22"/>
        </w:rPr>
      </w:pPr>
    </w:p>
    <w:p w14:paraId="10C7FFCD" w14:textId="77777777" w:rsidR="006F1229" w:rsidRPr="006F1229" w:rsidRDefault="006F1229" w:rsidP="006F1229">
      <w:pPr>
        <w:rPr>
          <w:rFonts w:cs="Arial"/>
          <w:sz w:val="22"/>
          <w:szCs w:val="22"/>
        </w:rPr>
      </w:pPr>
      <w:r w:rsidRPr="00504290">
        <w:rPr>
          <w:rFonts w:cs="Arial"/>
          <w:i/>
          <w:iCs/>
          <w:sz w:val="22"/>
          <w:szCs w:val="22"/>
        </w:rPr>
        <w:t>Consideramos que es función y competencia de la UPME y no de los agentes sectoriales, o de la CREG, definir las condiciones de superávit o déficit de oferta que puedan presentarse en el mercado de gas</w:t>
      </w:r>
      <w:r w:rsidRPr="006F1229">
        <w:rPr>
          <w:rFonts w:cs="Arial"/>
          <w:sz w:val="22"/>
          <w:szCs w:val="22"/>
        </w:rPr>
        <w:t>."</w:t>
      </w:r>
    </w:p>
    <w:p w14:paraId="655D159E" w14:textId="72C4B96E" w:rsidR="006F1229" w:rsidRDefault="006F1229" w:rsidP="006F1229">
      <w:pPr>
        <w:rPr>
          <w:rFonts w:cs="Arial"/>
          <w:sz w:val="22"/>
          <w:szCs w:val="22"/>
        </w:rPr>
      </w:pPr>
    </w:p>
    <w:p w14:paraId="000AB1C4" w14:textId="6EA11656" w:rsidR="00504290" w:rsidRPr="00504290" w:rsidRDefault="00504290" w:rsidP="006F1229">
      <w:pPr>
        <w:rPr>
          <w:rFonts w:cs="Arial"/>
          <w:b/>
          <w:bCs/>
          <w:sz w:val="22"/>
          <w:szCs w:val="22"/>
        </w:rPr>
      </w:pPr>
      <w:r w:rsidRPr="00504290">
        <w:rPr>
          <w:rFonts w:cs="Arial"/>
          <w:b/>
          <w:bCs/>
          <w:sz w:val="22"/>
          <w:szCs w:val="22"/>
        </w:rPr>
        <w:t>Respuesta:</w:t>
      </w:r>
    </w:p>
    <w:p w14:paraId="34E2DE73" w14:textId="48BEB9D6" w:rsidR="00504290" w:rsidRDefault="00504290" w:rsidP="006F1229">
      <w:pPr>
        <w:rPr>
          <w:rFonts w:cs="Arial"/>
          <w:sz w:val="22"/>
          <w:szCs w:val="22"/>
        </w:rPr>
      </w:pPr>
    </w:p>
    <w:p w14:paraId="0F790DA1" w14:textId="79A08F0D" w:rsidR="00504290" w:rsidRDefault="00803D95" w:rsidP="006F1229">
      <w:pPr>
        <w:rPr>
          <w:rFonts w:cs="Arial"/>
          <w:sz w:val="22"/>
          <w:szCs w:val="22"/>
        </w:rPr>
      </w:pPr>
      <w:r>
        <w:rPr>
          <w:rFonts w:cs="Arial"/>
          <w:sz w:val="22"/>
          <w:szCs w:val="22"/>
        </w:rPr>
        <w:t xml:space="preserve">Ver repuesta a </w:t>
      </w:r>
      <w:r>
        <w:rPr>
          <w:rFonts w:cs="Arial"/>
          <w:sz w:val="22"/>
          <w:szCs w:val="22"/>
        </w:rPr>
        <w:fldChar w:fldCharType="begin"/>
      </w:r>
      <w:r>
        <w:rPr>
          <w:rFonts w:cs="Arial"/>
          <w:sz w:val="22"/>
          <w:szCs w:val="22"/>
        </w:rPr>
        <w:instrText xml:space="preserve"> REF _Ref130386629 \r \h </w:instrText>
      </w:r>
      <w:r>
        <w:rPr>
          <w:rFonts w:cs="Arial"/>
          <w:sz w:val="22"/>
          <w:szCs w:val="22"/>
        </w:rPr>
      </w:r>
      <w:r>
        <w:rPr>
          <w:rFonts w:cs="Arial"/>
          <w:sz w:val="22"/>
          <w:szCs w:val="22"/>
        </w:rPr>
        <w:fldChar w:fldCharType="separate"/>
      </w:r>
      <w:r w:rsidR="007651EA">
        <w:rPr>
          <w:rFonts w:cs="Arial"/>
          <w:sz w:val="22"/>
          <w:szCs w:val="22"/>
        </w:rPr>
        <w:t>1.5.1.6</w:t>
      </w:r>
      <w:r>
        <w:rPr>
          <w:rFonts w:cs="Arial"/>
          <w:sz w:val="22"/>
          <w:szCs w:val="22"/>
        </w:rPr>
        <w:fldChar w:fldCharType="end"/>
      </w:r>
      <w:r>
        <w:rPr>
          <w:rFonts w:cs="Arial"/>
          <w:sz w:val="22"/>
          <w:szCs w:val="22"/>
        </w:rPr>
        <w:t>.</w:t>
      </w:r>
    </w:p>
    <w:p w14:paraId="27B3A3F4" w14:textId="77777777" w:rsidR="00504290" w:rsidRDefault="00504290" w:rsidP="006F1229">
      <w:pPr>
        <w:rPr>
          <w:rFonts w:cs="Arial"/>
          <w:sz w:val="22"/>
          <w:szCs w:val="22"/>
        </w:rPr>
      </w:pPr>
    </w:p>
    <w:p w14:paraId="507F1028" w14:textId="77777777" w:rsidR="006F6DE1" w:rsidRDefault="006F6DE1" w:rsidP="006F1229">
      <w:pPr>
        <w:rPr>
          <w:rFonts w:cs="Arial"/>
          <w:sz w:val="22"/>
          <w:szCs w:val="22"/>
        </w:rPr>
      </w:pPr>
    </w:p>
    <w:p w14:paraId="5D6E78A8" w14:textId="77777777" w:rsidR="006F1229" w:rsidRDefault="006F1229" w:rsidP="00CD699D">
      <w:pPr>
        <w:pStyle w:val="Ttulo4"/>
      </w:pPr>
      <w:r w:rsidRPr="006F1229">
        <w:t>PROMIGAS</w:t>
      </w:r>
      <w:r w:rsidRPr="006F1229">
        <w:tab/>
      </w:r>
    </w:p>
    <w:p w14:paraId="63AD11CB" w14:textId="2CA2A845" w:rsidR="006F1229" w:rsidRDefault="00961FC8" w:rsidP="006F1229">
      <w:pPr>
        <w:rPr>
          <w:rFonts w:cs="Arial"/>
          <w:sz w:val="22"/>
          <w:szCs w:val="22"/>
        </w:rPr>
      </w:pPr>
      <w:r>
        <w:rPr>
          <w:rFonts w:cs="Arial"/>
          <w:i/>
          <w:iCs/>
          <w:sz w:val="22"/>
          <w:szCs w:val="22"/>
        </w:rPr>
        <w:t>“</w:t>
      </w:r>
      <w:r w:rsidR="006F1229" w:rsidRPr="00803D95">
        <w:rPr>
          <w:rFonts w:cs="Arial"/>
          <w:i/>
          <w:iCs/>
          <w:sz w:val="22"/>
          <w:szCs w:val="22"/>
        </w:rPr>
        <w:t>Una inquietud final se relaciona con la competencia que tiene la CREG para definir la forma en que se aplican eventuales racionamientos de gas. El artículo 2.2.2.2.4 del Decreto 1073 de 2015, Decreto Único Reglamentario del Sector Administrativo de Minas y Energía, modificado por el Decreto 2345 de 2015, establece que cuando se trate de un racionamiento programado de gas natural, el Ministerio de Minas y Energía fijará el orden de atención de la demanda entre los Agentes que tengan el mismo nivel de prioridad según lo dispuesto en el artículo 2.2.2.2.1 del mismo Decreto. Estas facultades y competencias deben ser revisadas por la CREG, previa cualquier decisión que adopte sobre este tema</w:t>
      </w:r>
      <w:r w:rsidR="006F1229" w:rsidRPr="006F1229">
        <w:rPr>
          <w:rFonts w:cs="Arial"/>
          <w:sz w:val="22"/>
          <w:szCs w:val="22"/>
        </w:rPr>
        <w:t>.</w:t>
      </w:r>
      <w:r>
        <w:rPr>
          <w:rFonts w:cs="Arial"/>
          <w:sz w:val="22"/>
          <w:szCs w:val="22"/>
        </w:rPr>
        <w:t>”</w:t>
      </w:r>
    </w:p>
    <w:p w14:paraId="57A4B05C" w14:textId="640E92A9" w:rsidR="00803D95" w:rsidRDefault="00803D95" w:rsidP="006F1229">
      <w:pPr>
        <w:rPr>
          <w:rFonts w:cs="Arial"/>
          <w:sz w:val="22"/>
          <w:szCs w:val="22"/>
        </w:rPr>
      </w:pPr>
    </w:p>
    <w:p w14:paraId="1E1D440C" w14:textId="0A9ABF39" w:rsidR="00803D95" w:rsidRPr="00803D95" w:rsidRDefault="00803D95" w:rsidP="006F1229">
      <w:pPr>
        <w:rPr>
          <w:rFonts w:cs="Arial"/>
          <w:b/>
          <w:bCs/>
          <w:sz w:val="22"/>
          <w:szCs w:val="22"/>
        </w:rPr>
      </w:pPr>
      <w:r w:rsidRPr="00803D95">
        <w:rPr>
          <w:rFonts w:cs="Arial"/>
          <w:b/>
          <w:bCs/>
          <w:sz w:val="22"/>
          <w:szCs w:val="22"/>
        </w:rPr>
        <w:t>Respuesta:</w:t>
      </w:r>
    </w:p>
    <w:p w14:paraId="6DA6A946" w14:textId="2DB8CBC8" w:rsidR="00803D95" w:rsidRDefault="00803D95" w:rsidP="006F1229">
      <w:pPr>
        <w:rPr>
          <w:rFonts w:cs="Arial"/>
          <w:sz w:val="22"/>
          <w:szCs w:val="22"/>
        </w:rPr>
      </w:pPr>
    </w:p>
    <w:p w14:paraId="256E7A1F" w14:textId="1D7E4830" w:rsidR="00803D95" w:rsidRPr="006F1229" w:rsidRDefault="00803D95"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_Ref130386666 \r \h </w:instrText>
      </w:r>
      <w:r>
        <w:rPr>
          <w:rFonts w:cs="Arial"/>
          <w:sz w:val="22"/>
          <w:szCs w:val="22"/>
        </w:rPr>
      </w:r>
      <w:r>
        <w:rPr>
          <w:rFonts w:cs="Arial"/>
          <w:sz w:val="22"/>
          <w:szCs w:val="22"/>
        </w:rPr>
        <w:fldChar w:fldCharType="separate"/>
      </w:r>
      <w:r w:rsidR="007651EA">
        <w:rPr>
          <w:rFonts w:cs="Arial"/>
          <w:sz w:val="22"/>
          <w:szCs w:val="22"/>
        </w:rPr>
        <w:t>1.5.1.7</w:t>
      </w:r>
      <w:r>
        <w:rPr>
          <w:rFonts w:cs="Arial"/>
          <w:sz w:val="22"/>
          <w:szCs w:val="22"/>
        </w:rPr>
        <w:fldChar w:fldCharType="end"/>
      </w:r>
    </w:p>
    <w:p w14:paraId="133034E8" w14:textId="359BAB25" w:rsidR="006F1229" w:rsidRDefault="006F1229" w:rsidP="006F1229">
      <w:pPr>
        <w:rPr>
          <w:rFonts w:cs="Arial"/>
          <w:sz w:val="22"/>
          <w:szCs w:val="22"/>
        </w:rPr>
      </w:pPr>
    </w:p>
    <w:p w14:paraId="30017166" w14:textId="77777777" w:rsidR="006F6DE1" w:rsidRDefault="006F6DE1" w:rsidP="006F1229">
      <w:pPr>
        <w:rPr>
          <w:rFonts w:cs="Arial"/>
          <w:sz w:val="22"/>
          <w:szCs w:val="22"/>
        </w:rPr>
      </w:pPr>
    </w:p>
    <w:p w14:paraId="7A1575BB" w14:textId="77777777" w:rsidR="006F1229" w:rsidRDefault="006F1229" w:rsidP="00CD699D">
      <w:pPr>
        <w:pStyle w:val="Ttulo4"/>
      </w:pPr>
      <w:r w:rsidRPr="006F1229">
        <w:t>PROMIGAS</w:t>
      </w:r>
      <w:r w:rsidRPr="006F1229">
        <w:tab/>
      </w:r>
    </w:p>
    <w:p w14:paraId="01908D0A" w14:textId="7E733C56" w:rsidR="006F1229" w:rsidRPr="00803D95" w:rsidRDefault="006F1229" w:rsidP="006F1229">
      <w:pPr>
        <w:rPr>
          <w:rFonts w:cs="Arial"/>
          <w:i/>
          <w:iCs/>
          <w:sz w:val="22"/>
          <w:szCs w:val="22"/>
        </w:rPr>
      </w:pPr>
      <w:r w:rsidRPr="006F1229">
        <w:rPr>
          <w:rFonts w:cs="Arial"/>
          <w:sz w:val="22"/>
          <w:szCs w:val="22"/>
        </w:rPr>
        <w:t>"</w:t>
      </w:r>
      <w:r w:rsidRPr="00803D95">
        <w:rPr>
          <w:rFonts w:cs="Arial"/>
          <w:i/>
          <w:iCs/>
          <w:sz w:val="22"/>
          <w:szCs w:val="22"/>
        </w:rPr>
        <w:t xml:space="preserve">Tanto en este Proyecto de Resolución, como en el Proyecto de Resolución CREG-227 de 2021, se mencionan y en este último además se definen los </w:t>
      </w:r>
      <w:r w:rsidR="00961FC8">
        <w:rPr>
          <w:rFonts w:cs="Arial"/>
          <w:i/>
          <w:iCs/>
          <w:sz w:val="22"/>
          <w:szCs w:val="22"/>
        </w:rPr>
        <w:t>‘</w:t>
      </w:r>
      <w:r w:rsidRPr="00803D95">
        <w:rPr>
          <w:rFonts w:cs="Arial"/>
          <w:i/>
          <w:iCs/>
          <w:sz w:val="22"/>
          <w:szCs w:val="22"/>
        </w:rPr>
        <w:t>Pequeños usuarios comerciales inmersos en la red de distribución</w:t>
      </w:r>
      <w:r w:rsidR="00961FC8">
        <w:rPr>
          <w:rFonts w:cs="Arial"/>
          <w:i/>
          <w:iCs/>
          <w:sz w:val="22"/>
          <w:szCs w:val="22"/>
        </w:rPr>
        <w:t>’</w:t>
      </w:r>
      <w:r w:rsidRPr="00803D95">
        <w:rPr>
          <w:rFonts w:cs="Arial"/>
          <w:i/>
          <w:iCs/>
          <w:sz w:val="22"/>
          <w:szCs w:val="22"/>
        </w:rPr>
        <w:t>. Propone la CREG la siguiente definición para estos usuarios:</w:t>
      </w:r>
    </w:p>
    <w:p w14:paraId="217F6884" w14:textId="77777777" w:rsidR="006F1229" w:rsidRPr="00803D95" w:rsidRDefault="006F1229" w:rsidP="006F1229">
      <w:pPr>
        <w:rPr>
          <w:rFonts w:cs="Arial"/>
          <w:i/>
          <w:iCs/>
          <w:sz w:val="22"/>
          <w:szCs w:val="22"/>
        </w:rPr>
      </w:pPr>
    </w:p>
    <w:p w14:paraId="2FD9460E" w14:textId="6C116DBE" w:rsidR="006F1229" w:rsidRPr="00803D95" w:rsidRDefault="0069048A" w:rsidP="006F1229">
      <w:pPr>
        <w:rPr>
          <w:rFonts w:cs="Arial"/>
          <w:i/>
          <w:iCs/>
          <w:sz w:val="22"/>
          <w:szCs w:val="22"/>
        </w:rPr>
      </w:pPr>
      <w:r>
        <w:rPr>
          <w:rFonts w:cs="Arial"/>
          <w:i/>
          <w:iCs/>
          <w:sz w:val="22"/>
          <w:szCs w:val="22"/>
        </w:rPr>
        <w:t>‘</w:t>
      </w:r>
      <w:r w:rsidR="006F1229" w:rsidRPr="00803D95">
        <w:rPr>
          <w:rFonts w:cs="Arial"/>
          <w:i/>
          <w:iCs/>
          <w:sz w:val="22"/>
          <w:szCs w:val="22"/>
        </w:rPr>
        <w:t>Corresponde a los usuarios regulados que se encuentran clasificados por el CIIU como comerciales y que, a su vez, se encuentran conectados a un sistema de distribución en un Mercado Relevante de Comercialización</w:t>
      </w:r>
      <w:r>
        <w:rPr>
          <w:rFonts w:cs="Arial"/>
          <w:i/>
          <w:iCs/>
          <w:sz w:val="22"/>
          <w:szCs w:val="22"/>
        </w:rPr>
        <w:t>’</w:t>
      </w:r>
      <w:r w:rsidR="006F1229" w:rsidRPr="00803D95">
        <w:rPr>
          <w:rFonts w:cs="Arial"/>
          <w:i/>
          <w:iCs/>
          <w:sz w:val="22"/>
          <w:szCs w:val="22"/>
        </w:rPr>
        <w:t>.</w:t>
      </w:r>
    </w:p>
    <w:p w14:paraId="3D614B9C" w14:textId="77777777" w:rsidR="006F1229" w:rsidRPr="00803D95" w:rsidRDefault="006F1229" w:rsidP="006F1229">
      <w:pPr>
        <w:rPr>
          <w:rFonts w:cs="Arial"/>
          <w:i/>
          <w:iCs/>
          <w:sz w:val="22"/>
          <w:szCs w:val="22"/>
        </w:rPr>
      </w:pPr>
    </w:p>
    <w:p w14:paraId="589E6A90" w14:textId="77777777" w:rsidR="006F1229" w:rsidRPr="00803D95" w:rsidRDefault="006F1229" w:rsidP="006F1229">
      <w:pPr>
        <w:rPr>
          <w:rFonts w:cs="Arial"/>
          <w:i/>
          <w:iCs/>
          <w:sz w:val="22"/>
          <w:szCs w:val="22"/>
        </w:rPr>
      </w:pPr>
      <w:r w:rsidRPr="00803D95">
        <w:rPr>
          <w:rFonts w:cs="Arial"/>
          <w:i/>
          <w:iCs/>
          <w:sz w:val="22"/>
          <w:szCs w:val="22"/>
        </w:rPr>
        <w:t>La clasificación de estos usuarios de acuerdo con el CIIU no resulta adecuada. Existen algunas actividades definidas como comercio, que pueden también ser clasificadas como industrias.</w:t>
      </w:r>
    </w:p>
    <w:p w14:paraId="506AF206" w14:textId="77777777" w:rsidR="006F1229" w:rsidRPr="00803D95" w:rsidRDefault="006F1229" w:rsidP="006F1229">
      <w:pPr>
        <w:rPr>
          <w:rFonts w:cs="Arial"/>
          <w:i/>
          <w:iCs/>
          <w:sz w:val="22"/>
          <w:szCs w:val="22"/>
        </w:rPr>
      </w:pPr>
    </w:p>
    <w:p w14:paraId="22113DC3" w14:textId="3061BB96" w:rsidR="006F1229" w:rsidRDefault="006F1229" w:rsidP="006F1229">
      <w:pPr>
        <w:rPr>
          <w:rFonts w:cs="Arial"/>
          <w:sz w:val="22"/>
          <w:szCs w:val="22"/>
        </w:rPr>
      </w:pPr>
      <w:r w:rsidRPr="00803D95">
        <w:rPr>
          <w:rFonts w:cs="Arial"/>
          <w:i/>
          <w:iCs/>
          <w:sz w:val="22"/>
          <w:szCs w:val="22"/>
        </w:rPr>
        <w:t xml:space="preserve">Se sugiere que la CREG defina a los </w:t>
      </w:r>
      <w:r w:rsidR="0069048A">
        <w:rPr>
          <w:rFonts w:cs="Arial"/>
          <w:i/>
          <w:iCs/>
          <w:sz w:val="22"/>
          <w:szCs w:val="22"/>
        </w:rPr>
        <w:t>‘</w:t>
      </w:r>
      <w:r w:rsidRPr="00803D95">
        <w:rPr>
          <w:rFonts w:cs="Arial"/>
          <w:i/>
          <w:iCs/>
          <w:sz w:val="22"/>
          <w:szCs w:val="22"/>
        </w:rPr>
        <w:t>Pequeños usuarios comerciales inmersos en la red de distribución</w:t>
      </w:r>
      <w:r w:rsidR="0069048A">
        <w:rPr>
          <w:rFonts w:cs="Arial"/>
          <w:i/>
          <w:iCs/>
          <w:sz w:val="22"/>
          <w:szCs w:val="22"/>
        </w:rPr>
        <w:t>’</w:t>
      </w:r>
      <w:r w:rsidRPr="00803D95">
        <w:rPr>
          <w:rFonts w:cs="Arial"/>
          <w:i/>
          <w:iCs/>
          <w:sz w:val="22"/>
          <w:szCs w:val="22"/>
        </w:rPr>
        <w:t xml:space="preserve"> como aquellos usuarios cuya actividad principal sea comercial y no productiva como sucede en algunos casos. Es decir, el consumo de gas se destine mayoritariamente a la actividad comercial y se establezca un tope razonable de consumo mensual, que permita su clasificación como </w:t>
      </w:r>
      <w:r w:rsidR="0069048A">
        <w:rPr>
          <w:rFonts w:cs="Arial"/>
          <w:i/>
          <w:iCs/>
          <w:sz w:val="22"/>
          <w:szCs w:val="22"/>
        </w:rPr>
        <w:t>‘</w:t>
      </w:r>
      <w:r w:rsidRPr="00803D95">
        <w:rPr>
          <w:rFonts w:cs="Arial"/>
          <w:i/>
          <w:iCs/>
          <w:sz w:val="22"/>
          <w:szCs w:val="22"/>
        </w:rPr>
        <w:t>pequeños</w:t>
      </w:r>
      <w:r w:rsidR="0069048A">
        <w:rPr>
          <w:rFonts w:cs="Arial"/>
          <w:i/>
          <w:iCs/>
          <w:sz w:val="22"/>
          <w:szCs w:val="22"/>
        </w:rPr>
        <w:t>’</w:t>
      </w:r>
      <w:r w:rsidRPr="00803D95">
        <w:rPr>
          <w:rFonts w:cs="Arial"/>
          <w:i/>
          <w:iCs/>
          <w:sz w:val="22"/>
          <w:szCs w:val="22"/>
        </w:rPr>
        <w:t>, así como también cotejar las obligaciones y restricciones establecidas tanto en este Proyecto de Resolución, como en el Proyecto de Resolución CREG-227 de 2021, con las libertades dadas a los usuarios en el Proyecto de Resolución CREG 702-002 de 2022</w:t>
      </w:r>
      <w:r w:rsidRPr="006F1229">
        <w:rPr>
          <w:rFonts w:cs="Arial"/>
          <w:sz w:val="22"/>
          <w:szCs w:val="22"/>
        </w:rPr>
        <w:t>."</w:t>
      </w:r>
    </w:p>
    <w:p w14:paraId="72EC497C" w14:textId="6DCC0112" w:rsidR="00803D95" w:rsidRDefault="00803D95" w:rsidP="006F1229">
      <w:pPr>
        <w:rPr>
          <w:rFonts w:cs="Arial"/>
          <w:sz w:val="22"/>
          <w:szCs w:val="22"/>
        </w:rPr>
      </w:pPr>
    </w:p>
    <w:p w14:paraId="46520673" w14:textId="64658FD5" w:rsidR="00803D95" w:rsidRPr="00803D95" w:rsidRDefault="00803D95" w:rsidP="006F1229">
      <w:pPr>
        <w:rPr>
          <w:rFonts w:cs="Arial"/>
          <w:b/>
          <w:bCs/>
          <w:sz w:val="22"/>
          <w:szCs w:val="22"/>
        </w:rPr>
      </w:pPr>
      <w:r w:rsidRPr="00803D95">
        <w:rPr>
          <w:rFonts w:cs="Arial"/>
          <w:b/>
          <w:bCs/>
          <w:sz w:val="22"/>
          <w:szCs w:val="22"/>
        </w:rPr>
        <w:t>Respuesta:</w:t>
      </w:r>
    </w:p>
    <w:p w14:paraId="274BC27C" w14:textId="2070DC4D" w:rsidR="00803D95" w:rsidRDefault="00803D95" w:rsidP="006F1229">
      <w:pPr>
        <w:rPr>
          <w:rFonts w:cs="Arial"/>
          <w:sz w:val="22"/>
          <w:szCs w:val="22"/>
        </w:rPr>
      </w:pPr>
    </w:p>
    <w:p w14:paraId="24C033DE" w14:textId="530B9B20" w:rsidR="00803D95" w:rsidRPr="006F1229" w:rsidRDefault="00803D95"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_Ref130386731 \r \h </w:instrText>
      </w:r>
      <w:r>
        <w:rPr>
          <w:rFonts w:cs="Arial"/>
          <w:sz w:val="22"/>
          <w:szCs w:val="22"/>
        </w:rPr>
      </w:r>
      <w:r>
        <w:rPr>
          <w:rFonts w:cs="Arial"/>
          <w:sz w:val="22"/>
          <w:szCs w:val="22"/>
        </w:rPr>
        <w:fldChar w:fldCharType="separate"/>
      </w:r>
      <w:r w:rsidR="007651EA">
        <w:rPr>
          <w:rFonts w:cs="Arial"/>
          <w:sz w:val="22"/>
          <w:szCs w:val="22"/>
        </w:rPr>
        <w:t>1.5.1.8</w:t>
      </w:r>
      <w:r>
        <w:rPr>
          <w:rFonts w:cs="Arial"/>
          <w:sz w:val="22"/>
          <w:szCs w:val="22"/>
        </w:rPr>
        <w:fldChar w:fldCharType="end"/>
      </w:r>
      <w:r>
        <w:rPr>
          <w:rFonts w:cs="Arial"/>
          <w:sz w:val="22"/>
          <w:szCs w:val="22"/>
        </w:rPr>
        <w:t>.</w:t>
      </w:r>
    </w:p>
    <w:p w14:paraId="0DE0526A" w14:textId="4483C704" w:rsidR="006F1229" w:rsidRDefault="006F1229" w:rsidP="006F1229">
      <w:pPr>
        <w:rPr>
          <w:rFonts w:cs="Arial"/>
          <w:sz w:val="22"/>
          <w:szCs w:val="22"/>
        </w:rPr>
      </w:pPr>
    </w:p>
    <w:p w14:paraId="0E76B3CE" w14:textId="77777777" w:rsidR="00FF0180" w:rsidRDefault="00FF0180" w:rsidP="006F1229">
      <w:pPr>
        <w:rPr>
          <w:rFonts w:cs="Arial"/>
          <w:sz w:val="22"/>
          <w:szCs w:val="22"/>
        </w:rPr>
      </w:pPr>
    </w:p>
    <w:p w14:paraId="298F6B5C" w14:textId="7FDFB731" w:rsidR="00FF0180" w:rsidRDefault="00FF0180" w:rsidP="00FF0180">
      <w:pPr>
        <w:pStyle w:val="Ttulo2"/>
      </w:pPr>
      <w:bookmarkStart w:id="518" w:name="_Toc140506249"/>
      <w:r>
        <w:t>SPEC</w:t>
      </w:r>
      <w:bookmarkEnd w:id="518"/>
    </w:p>
    <w:p w14:paraId="605A8F5E" w14:textId="77777777" w:rsidR="006F1229" w:rsidRDefault="006F1229" w:rsidP="00CD699D">
      <w:pPr>
        <w:pStyle w:val="Ttulo4"/>
      </w:pPr>
      <w:bookmarkStart w:id="519" w:name="_Ref130454044"/>
      <w:r w:rsidRPr="006F1229">
        <w:t>SPEC</w:t>
      </w:r>
      <w:bookmarkEnd w:id="519"/>
      <w:r w:rsidRPr="006F1229">
        <w:tab/>
      </w:r>
    </w:p>
    <w:p w14:paraId="0A7B396F" w14:textId="71C65292" w:rsidR="006F1229" w:rsidRPr="00443B47" w:rsidRDefault="006F1229" w:rsidP="006F1229">
      <w:pPr>
        <w:rPr>
          <w:rFonts w:cs="Arial"/>
          <w:i/>
          <w:iCs/>
          <w:sz w:val="22"/>
          <w:szCs w:val="22"/>
        </w:rPr>
      </w:pPr>
      <w:r w:rsidRPr="006F1229">
        <w:rPr>
          <w:rFonts w:cs="Arial"/>
          <w:sz w:val="22"/>
          <w:szCs w:val="22"/>
        </w:rPr>
        <w:t>"</w:t>
      </w:r>
      <w:r w:rsidRPr="00443B47">
        <w:rPr>
          <w:rFonts w:cs="Arial"/>
          <w:i/>
          <w:iCs/>
          <w:sz w:val="22"/>
          <w:szCs w:val="22"/>
        </w:rPr>
        <w:t>La estructura regulatoria no se ajusta a las prácticas comerciales de la mayoría de los mercados a nivel mundial, que al igual que Colombia tuvieron el interés de abrir su mercado al GNL como fuente de diversificación y complemento de la oferta de gas nacional. Si bien los países vecinos en América Latina, como México, Brasil, Chile, sin hablar de países europeos como España, cuentan con mayor desarrollo del mercado de gas importado, desde el inicio permitieron que los comercializadores y los usuarios no regulados gestionaran directamente sus compras y se convirtieran en participantes activos en el mercado internacional de GNL.</w:t>
      </w:r>
    </w:p>
    <w:p w14:paraId="345717C3" w14:textId="77777777" w:rsidR="006F1229" w:rsidRPr="00443B47" w:rsidRDefault="006F1229" w:rsidP="006F1229">
      <w:pPr>
        <w:rPr>
          <w:rFonts w:cs="Arial"/>
          <w:i/>
          <w:iCs/>
          <w:sz w:val="22"/>
          <w:szCs w:val="22"/>
        </w:rPr>
      </w:pPr>
    </w:p>
    <w:p w14:paraId="0C3775C6" w14:textId="77777777" w:rsidR="006F1229" w:rsidRPr="00443B47" w:rsidRDefault="006F1229" w:rsidP="006F1229">
      <w:pPr>
        <w:rPr>
          <w:rFonts w:cs="Arial"/>
          <w:i/>
          <w:iCs/>
          <w:sz w:val="22"/>
          <w:szCs w:val="22"/>
        </w:rPr>
      </w:pPr>
      <w:r w:rsidRPr="00443B47">
        <w:rPr>
          <w:rFonts w:cs="Arial"/>
          <w:i/>
          <w:iCs/>
          <w:sz w:val="22"/>
          <w:szCs w:val="22"/>
        </w:rPr>
        <w:t>Esta práctica debería habilitarse en el mercado mayorista de gas natural colombiano, considerando que no solo le dará una mayor dinámica al mismo, sino que cumpliría con las disposiciones de la Resolución 057 de 1996, considerando que los compradores del mercado primario no comercializarían el gas a otros remitentes. Los comercializadores utilizarían ese gas para atender su propia demanda y los usuarios no regulados lo consumirían en sus procesos productivos o para generar energía. SPEC LNG respetuosamente le sugiere analizar esta práctica para ser incorporada en la regulación, teniendo en cuenta que aportaría en la consolidación del gas natural importado en el país, sobre todo que, ha tenido buenos resultados a nivel internacional."</w:t>
      </w:r>
    </w:p>
    <w:p w14:paraId="2864C719" w14:textId="4F3E1110" w:rsidR="006F1229" w:rsidRDefault="006F1229" w:rsidP="006F1229">
      <w:pPr>
        <w:rPr>
          <w:rFonts w:cs="Arial"/>
          <w:sz w:val="22"/>
          <w:szCs w:val="22"/>
        </w:rPr>
      </w:pPr>
    </w:p>
    <w:p w14:paraId="1B217CEA" w14:textId="42C1A441" w:rsidR="00443B47" w:rsidRPr="00443B47" w:rsidRDefault="00443B47" w:rsidP="006F1229">
      <w:pPr>
        <w:rPr>
          <w:rFonts w:cs="Arial"/>
          <w:b/>
          <w:bCs/>
          <w:sz w:val="22"/>
          <w:szCs w:val="22"/>
        </w:rPr>
      </w:pPr>
      <w:r w:rsidRPr="00443B47">
        <w:rPr>
          <w:rFonts w:cs="Arial"/>
          <w:b/>
          <w:bCs/>
          <w:sz w:val="22"/>
          <w:szCs w:val="22"/>
        </w:rPr>
        <w:t>Respuesta:</w:t>
      </w:r>
    </w:p>
    <w:p w14:paraId="19C73160" w14:textId="09BDE899" w:rsidR="00443B47" w:rsidRDefault="00443B47" w:rsidP="006F1229">
      <w:pPr>
        <w:rPr>
          <w:rFonts w:cs="Arial"/>
          <w:sz w:val="22"/>
          <w:szCs w:val="22"/>
        </w:rPr>
      </w:pPr>
    </w:p>
    <w:p w14:paraId="5590FC50" w14:textId="3066268F" w:rsidR="00443B47" w:rsidRDefault="00E54CB4" w:rsidP="00E54CB4">
      <w:pPr>
        <w:rPr>
          <w:rFonts w:cs="Arial"/>
          <w:sz w:val="22"/>
          <w:szCs w:val="22"/>
        </w:rPr>
      </w:pPr>
      <w:r>
        <w:rPr>
          <w:rFonts w:cs="Arial"/>
          <w:sz w:val="22"/>
          <w:szCs w:val="22"/>
        </w:rPr>
        <w:t>Actualmente existe la definición en el Decreto 1073 de 2015 de “</w:t>
      </w:r>
      <w:r w:rsidRPr="007D2477">
        <w:rPr>
          <w:rFonts w:cs="Arial"/>
          <w:b/>
          <w:bCs/>
          <w:i/>
          <w:iCs/>
          <w:sz w:val="22"/>
          <w:szCs w:val="22"/>
        </w:rPr>
        <w:t>Agente Importador de Gas:</w:t>
      </w:r>
      <w:r w:rsidRPr="00E54CB4">
        <w:rPr>
          <w:rFonts w:cs="Arial"/>
          <w:i/>
          <w:iCs/>
          <w:sz w:val="22"/>
          <w:szCs w:val="22"/>
        </w:rPr>
        <w:t xml:space="preserve"> Persona jurídica que importa gas. Cuando el Agente Importador vende gas importado para la atención del servicio público domiciliario de gas combustible, es un comercializador</w:t>
      </w:r>
      <w:r>
        <w:rPr>
          <w:rFonts w:cs="Arial"/>
          <w:i/>
          <w:iCs/>
          <w:sz w:val="22"/>
          <w:szCs w:val="22"/>
        </w:rPr>
        <w:t>”</w:t>
      </w:r>
      <w:r w:rsidRPr="00E54CB4">
        <w:rPr>
          <w:rFonts w:cs="Arial"/>
          <w:sz w:val="22"/>
          <w:szCs w:val="22"/>
        </w:rPr>
        <w:t>.</w:t>
      </w:r>
      <w:r>
        <w:rPr>
          <w:rFonts w:cs="Arial"/>
          <w:sz w:val="22"/>
          <w:szCs w:val="22"/>
        </w:rPr>
        <w:t xml:space="preserve"> A partir de esta definición la CREG definió de manera específica en la </w:t>
      </w:r>
      <w:r w:rsidR="008F1AA6">
        <w:rPr>
          <w:rFonts w:cs="Arial"/>
          <w:sz w:val="22"/>
          <w:szCs w:val="22"/>
        </w:rPr>
        <w:t>R</w:t>
      </w:r>
      <w:r>
        <w:rPr>
          <w:rFonts w:cs="Arial"/>
          <w:sz w:val="22"/>
          <w:szCs w:val="22"/>
        </w:rPr>
        <w:t>esolución CREG 062 de 2013 modificada por la Resolución CREG 152 de 2013, de la siguiente manera:</w:t>
      </w:r>
    </w:p>
    <w:p w14:paraId="37C81A0D" w14:textId="129C2F6E" w:rsidR="00E54CB4" w:rsidRDefault="00E54CB4" w:rsidP="00E54CB4">
      <w:pPr>
        <w:rPr>
          <w:rFonts w:cs="Arial"/>
          <w:sz w:val="22"/>
          <w:szCs w:val="22"/>
        </w:rPr>
      </w:pPr>
    </w:p>
    <w:p w14:paraId="0CD4461D" w14:textId="617F01B1" w:rsidR="00E54CB4" w:rsidRDefault="00E54CB4" w:rsidP="00E54CB4">
      <w:pPr>
        <w:ind w:left="576"/>
        <w:rPr>
          <w:rFonts w:cs="Arial"/>
          <w:sz w:val="22"/>
          <w:szCs w:val="22"/>
        </w:rPr>
      </w:pPr>
      <w:r>
        <w:rPr>
          <w:rFonts w:cs="Arial"/>
          <w:b/>
          <w:bCs/>
          <w:i/>
          <w:iCs/>
          <w:sz w:val="22"/>
          <w:szCs w:val="22"/>
        </w:rPr>
        <w:t>“</w:t>
      </w:r>
      <w:r w:rsidRPr="00E54CB4">
        <w:rPr>
          <w:rFonts w:cs="Arial"/>
          <w:b/>
          <w:bCs/>
          <w:i/>
          <w:iCs/>
          <w:sz w:val="22"/>
          <w:szCs w:val="22"/>
        </w:rPr>
        <w:t>Agente comercializador - importador de Gas Natural Importado – AC.-</w:t>
      </w:r>
      <w:r w:rsidRPr="00E54CB4">
        <w:rPr>
          <w:rFonts w:cs="Arial"/>
          <w:i/>
          <w:iCs/>
          <w:sz w:val="22"/>
          <w:szCs w:val="22"/>
        </w:rPr>
        <w:t xml:space="preserve"> Persona jurídica importadora de gas natural, seleccionada o constituida, en todo caso como una sociedad S.A. E.S.P, por parte del Grupo de Generadores Térmicos – GT, y cuyo objeto social principal consistirá en efectuar las operaciones de compra de GNL de los mercados internacionales y destinado a la atención de demandas contingentes que se requieran y que se presten a través del AI, de conformidad con los contratos que celebre con del Grupo de Generadores Térmicos – GT o sus miembros individualmente considerados. Cuando el AC vende el gas natural importado – GNI para la atención del servicio público domiciliario de gas combustible, es un comercializador de gas importado. Este agente deberá cumplir con los mismos requerimientos que se establecen para los comercializadores al momento de su constitución y entrada al mercado</w:t>
      </w:r>
      <w:r>
        <w:rPr>
          <w:rFonts w:cs="Arial"/>
          <w:sz w:val="22"/>
          <w:szCs w:val="22"/>
        </w:rPr>
        <w:t>.”</w:t>
      </w:r>
    </w:p>
    <w:p w14:paraId="055E3C09" w14:textId="0B31E38A" w:rsidR="00E54CB4" w:rsidRDefault="00E54CB4" w:rsidP="00E54CB4">
      <w:pPr>
        <w:ind w:left="576"/>
        <w:rPr>
          <w:rFonts w:cs="Arial"/>
          <w:sz w:val="22"/>
          <w:szCs w:val="22"/>
        </w:rPr>
      </w:pPr>
    </w:p>
    <w:p w14:paraId="13F2D670" w14:textId="59E21736" w:rsidR="00E54CB4" w:rsidRDefault="00E54CB4" w:rsidP="00E54CB4">
      <w:pPr>
        <w:rPr>
          <w:rFonts w:cs="Arial"/>
          <w:sz w:val="22"/>
          <w:szCs w:val="22"/>
        </w:rPr>
      </w:pPr>
      <w:r>
        <w:rPr>
          <w:rFonts w:cs="Arial"/>
          <w:sz w:val="22"/>
          <w:szCs w:val="22"/>
        </w:rPr>
        <w:t>Posteriormente la CREG incluyó la siguiente definición general en la Resolución CREG 089 de 2013 que sigue siendo definido de la misma manera en la Resolución CREG186 de 2020 y sobre la cual no se propone cambios en la propuesta:</w:t>
      </w:r>
    </w:p>
    <w:p w14:paraId="5497E70A" w14:textId="628749CA" w:rsidR="00E54CB4" w:rsidRDefault="00E54CB4" w:rsidP="00E54CB4">
      <w:pPr>
        <w:ind w:left="576"/>
        <w:rPr>
          <w:rFonts w:cs="Arial"/>
          <w:sz w:val="22"/>
          <w:szCs w:val="22"/>
        </w:rPr>
      </w:pPr>
    </w:p>
    <w:p w14:paraId="7B26BE72" w14:textId="4234C176" w:rsidR="00E54CB4" w:rsidRDefault="00E54CB4" w:rsidP="00E54CB4">
      <w:pPr>
        <w:ind w:left="576"/>
        <w:rPr>
          <w:rFonts w:cs="Arial"/>
          <w:sz w:val="22"/>
          <w:szCs w:val="22"/>
        </w:rPr>
      </w:pPr>
      <w:r>
        <w:rPr>
          <w:rFonts w:cs="Arial"/>
          <w:sz w:val="22"/>
          <w:szCs w:val="22"/>
        </w:rPr>
        <w:t>“</w:t>
      </w:r>
      <w:r w:rsidRPr="00E54CB4">
        <w:rPr>
          <w:rFonts w:cs="Arial"/>
          <w:b/>
          <w:bCs/>
          <w:i/>
          <w:iCs/>
          <w:sz w:val="22"/>
          <w:szCs w:val="22"/>
        </w:rPr>
        <w:t>Comercializador de gas importado:</w:t>
      </w:r>
      <w:r w:rsidRPr="00E54CB4">
        <w:rPr>
          <w:rFonts w:cs="Arial"/>
          <w:i/>
          <w:iCs/>
          <w:sz w:val="22"/>
          <w:szCs w:val="22"/>
        </w:rPr>
        <w:t xml:space="preserve"> agente importador de gas que vende el gas importado para la atención del servicio público domiciliario de gas combustible</w:t>
      </w:r>
      <w:r>
        <w:rPr>
          <w:rFonts w:cs="Arial"/>
          <w:sz w:val="22"/>
          <w:szCs w:val="22"/>
        </w:rPr>
        <w:t>.”</w:t>
      </w:r>
    </w:p>
    <w:p w14:paraId="6A23E2FE" w14:textId="7DC82680" w:rsidR="00E54CB4" w:rsidRDefault="00E54CB4" w:rsidP="006F1229">
      <w:pPr>
        <w:rPr>
          <w:rFonts w:cs="Arial"/>
          <w:sz w:val="22"/>
          <w:szCs w:val="22"/>
        </w:rPr>
      </w:pPr>
    </w:p>
    <w:p w14:paraId="027A02DA" w14:textId="58D392CE" w:rsidR="00E54CB4" w:rsidRDefault="007D2477" w:rsidP="006F1229">
      <w:pPr>
        <w:rPr>
          <w:rFonts w:cs="Arial"/>
          <w:sz w:val="22"/>
          <w:szCs w:val="22"/>
        </w:rPr>
      </w:pPr>
      <w:r>
        <w:rPr>
          <w:rFonts w:cs="Arial"/>
          <w:sz w:val="22"/>
          <w:szCs w:val="22"/>
        </w:rPr>
        <w:t xml:space="preserve">De la definición ministerial de Agente Importador de Gas se deduce que dicho agente no puede </w:t>
      </w:r>
      <w:r w:rsidRPr="007D2477">
        <w:rPr>
          <w:rFonts w:cs="Arial"/>
          <w:sz w:val="22"/>
          <w:szCs w:val="22"/>
        </w:rPr>
        <w:t>vende</w:t>
      </w:r>
      <w:r>
        <w:rPr>
          <w:rFonts w:cs="Arial"/>
          <w:sz w:val="22"/>
          <w:szCs w:val="22"/>
        </w:rPr>
        <w:t>r</w:t>
      </w:r>
      <w:r w:rsidRPr="007D2477">
        <w:rPr>
          <w:rFonts w:cs="Arial"/>
          <w:sz w:val="22"/>
          <w:szCs w:val="22"/>
        </w:rPr>
        <w:t xml:space="preserve"> gas importado para la atención del servicio público domiciliario de gas combustible,</w:t>
      </w:r>
      <w:r>
        <w:rPr>
          <w:rFonts w:cs="Arial"/>
          <w:sz w:val="22"/>
          <w:szCs w:val="22"/>
        </w:rPr>
        <w:t xml:space="preserve"> </w:t>
      </w:r>
      <w:r w:rsidR="00302065">
        <w:rPr>
          <w:rFonts w:cs="Arial"/>
          <w:sz w:val="22"/>
          <w:szCs w:val="22"/>
        </w:rPr>
        <w:t xml:space="preserve">y </w:t>
      </w:r>
      <w:r>
        <w:rPr>
          <w:rFonts w:cs="Arial"/>
          <w:sz w:val="22"/>
          <w:szCs w:val="22"/>
        </w:rPr>
        <w:t>quien puede hacerlo debe ser un comercializador de gas importado</w:t>
      </w:r>
      <w:r w:rsidR="00A7298F">
        <w:rPr>
          <w:rFonts w:cs="Arial"/>
          <w:sz w:val="22"/>
          <w:szCs w:val="22"/>
        </w:rPr>
        <w:t>. Esto implica limitaciones al agente importador de gas</w:t>
      </w:r>
      <w:r w:rsidR="00FA4C65">
        <w:rPr>
          <w:rFonts w:cs="Arial"/>
          <w:sz w:val="22"/>
          <w:szCs w:val="22"/>
        </w:rPr>
        <w:t xml:space="preserve">, que se insiste no puede ser un comercializador de gas importado, </w:t>
      </w:r>
      <w:r w:rsidR="00A7298F">
        <w:rPr>
          <w:rFonts w:cs="Arial"/>
          <w:sz w:val="22"/>
          <w:szCs w:val="22"/>
        </w:rPr>
        <w:t>en el sentido de que cuando tiene excedentes de compras que debe pagar</w:t>
      </w:r>
      <w:r w:rsidR="00FA4C65">
        <w:rPr>
          <w:rFonts w:cs="Arial"/>
          <w:sz w:val="22"/>
          <w:szCs w:val="22"/>
        </w:rPr>
        <w:t>,</w:t>
      </w:r>
      <w:r w:rsidR="00A7298F">
        <w:rPr>
          <w:rFonts w:cs="Arial"/>
          <w:sz w:val="22"/>
          <w:szCs w:val="22"/>
        </w:rPr>
        <w:t xml:space="preserve"> así no consuma el gas, no tiene manera de vender el gas importado a usuarios o agentes del servicio público de gas combustible</w:t>
      </w:r>
      <w:r w:rsidR="0072023B">
        <w:rPr>
          <w:rFonts w:cs="Arial"/>
          <w:sz w:val="22"/>
          <w:szCs w:val="22"/>
        </w:rPr>
        <w:t>, lo cual limita sus posibilidades</w:t>
      </w:r>
      <w:r w:rsidR="00A7298F">
        <w:rPr>
          <w:rFonts w:cs="Arial"/>
          <w:sz w:val="22"/>
          <w:szCs w:val="22"/>
        </w:rPr>
        <w:t>.</w:t>
      </w:r>
    </w:p>
    <w:p w14:paraId="47B3D003" w14:textId="583FE180" w:rsidR="00FA4C65" w:rsidRDefault="00FA4C65" w:rsidP="006F1229">
      <w:pPr>
        <w:rPr>
          <w:rFonts w:cs="Arial"/>
          <w:sz w:val="22"/>
          <w:szCs w:val="22"/>
        </w:rPr>
      </w:pPr>
    </w:p>
    <w:p w14:paraId="721E18A4" w14:textId="67ABF2C4" w:rsidR="00FA4C65" w:rsidRDefault="00FA4C65" w:rsidP="006F1229">
      <w:pPr>
        <w:rPr>
          <w:rFonts w:cs="Arial"/>
          <w:sz w:val="22"/>
          <w:szCs w:val="22"/>
        </w:rPr>
      </w:pPr>
      <w:r>
        <w:rPr>
          <w:rFonts w:cs="Arial"/>
          <w:sz w:val="22"/>
          <w:szCs w:val="22"/>
        </w:rPr>
        <w:t>En este sentido hay dos aspectos que se regulan en actos diferentes por la CREG: las condiciones de comercialización del suministro de gas obtenido en el exterior para la atención del servicio público y el acceso a las infraestructuras de importación, que incluye infraestructuras de regasificación, del gas obtenido en el exterior. Sobre esto último es importante tener en cuenta lo establecido en el Decreto 1073 de 2015 en los artículos 2.2.2.2.36</w:t>
      </w:r>
      <w:r>
        <w:rPr>
          <w:rStyle w:val="Refdenotaalpie"/>
          <w:rFonts w:cs="Arial"/>
          <w:sz w:val="22"/>
          <w:szCs w:val="22"/>
        </w:rPr>
        <w:footnoteReference w:id="19"/>
      </w:r>
      <w:r>
        <w:rPr>
          <w:rFonts w:cs="Arial"/>
          <w:sz w:val="22"/>
          <w:szCs w:val="22"/>
        </w:rPr>
        <w:t xml:space="preserve"> y 2.2.2.2.40</w:t>
      </w:r>
      <w:r>
        <w:rPr>
          <w:rStyle w:val="Refdenotaalpie"/>
          <w:rFonts w:cs="Arial"/>
          <w:sz w:val="22"/>
          <w:szCs w:val="22"/>
        </w:rPr>
        <w:footnoteReference w:id="20"/>
      </w:r>
      <w:r>
        <w:rPr>
          <w:rFonts w:cs="Arial"/>
          <w:sz w:val="22"/>
          <w:szCs w:val="22"/>
        </w:rPr>
        <w:t xml:space="preserve"> :</w:t>
      </w:r>
    </w:p>
    <w:p w14:paraId="321654F6" w14:textId="4A8D33D3" w:rsidR="006F6DE1" w:rsidRDefault="006F6DE1" w:rsidP="006F1229">
      <w:pPr>
        <w:rPr>
          <w:rFonts w:cs="Arial"/>
          <w:sz w:val="22"/>
          <w:szCs w:val="22"/>
        </w:rPr>
      </w:pPr>
    </w:p>
    <w:p w14:paraId="260A11B3" w14:textId="77777777" w:rsidR="004729A2" w:rsidRDefault="004729A2" w:rsidP="006F1229">
      <w:pPr>
        <w:rPr>
          <w:rFonts w:cs="Arial"/>
          <w:sz w:val="22"/>
          <w:szCs w:val="22"/>
        </w:rPr>
      </w:pPr>
    </w:p>
    <w:p w14:paraId="7E006C10" w14:textId="3BB9FB53" w:rsidR="00FF0180" w:rsidRDefault="00FF0180" w:rsidP="00FF0180">
      <w:pPr>
        <w:pStyle w:val="Ttulo2"/>
      </w:pPr>
      <w:bookmarkStart w:id="520" w:name="_Toc140506250"/>
      <w:r>
        <w:t>SURTIGÁS</w:t>
      </w:r>
      <w:bookmarkEnd w:id="520"/>
    </w:p>
    <w:p w14:paraId="7D93693F" w14:textId="77777777" w:rsidR="006F1229" w:rsidRDefault="006F1229" w:rsidP="00CD699D">
      <w:pPr>
        <w:pStyle w:val="Ttulo4"/>
      </w:pPr>
      <w:r w:rsidRPr="006F1229">
        <w:t>SURTIGAS</w:t>
      </w:r>
      <w:r w:rsidRPr="006F1229">
        <w:tab/>
      </w:r>
    </w:p>
    <w:p w14:paraId="46ADEFEA" w14:textId="0D5B99B9" w:rsidR="006F1229" w:rsidRPr="006F1229" w:rsidRDefault="00197E0E" w:rsidP="006F1229">
      <w:pPr>
        <w:rPr>
          <w:rFonts w:cs="Arial"/>
          <w:sz w:val="22"/>
          <w:szCs w:val="22"/>
        </w:rPr>
      </w:pPr>
      <w:r>
        <w:rPr>
          <w:rFonts w:cs="Arial"/>
          <w:i/>
          <w:iCs/>
          <w:sz w:val="22"/>
          <w:szCs w:val="22"/>
        </w:rPr>
        <w:t>“</w:t>
      </w:r>
      <w:r w:rsidR="006F1229" w:rsidRPr="001C367C">
        <w:rPr>
          <w:rFonts w:cs="Arial"/>
          <w:i/>
          <w:iCs/>
          <w:sz w:val="22"/>
          <w:szCs w:val="22"/>
        </w:rPr>
        <w:t>Se coincide con la CREG en lo referente a la eliminación de los Contratos C1 y C2 por su poca efectividad. Estas modalidades contractuales, su interdependencia en términos de firmeza y las subastas diseñadas, no se adaptan a los requerimientos de suministro de gas de los agentes sectoriales</w:t>
      </w:r>
      <w:r w:rsidR="006F1229" w:rsidRPr="006F1229">
        <w:rPr>
          <w:rFonts w:cs="Arial"/>
          <w:sz w:val="22"/>
          <w:szCs w:val="22"/>
        </w:rPr>
        <w:t>.</w:t>
      </w:r>
      <w:r>
        <w:rPr>
          <w:rFonts w:cs="Arial"/>
          <w:sz w:val="22"/>
          <w:szCs w:val="22"/>
        </w:rPr>
        <w:t>”</w:t>
      </w:r>
    </w:p>
    <w:p w14:paraId="0D452AD4" w14:textId="782726FD" w:rsidR="006F1229" w:rsidRDefault="006F1229" w:rsidP="006F1229">
      <w:pPr>
        <w:rPr>
          <w:rFonts w:cs="Arial"/>
          <w:sz w:val="22"/>
          <w:szCs w:val="22"/>
        </w:rPr>
      </w:pPr>
    </w:p>
    <w:p w14:paraId="110FA8D5" w14:textId="03B8F80F" w:rsidR="001C367C" w:rsidRPr="001C367C" w:rsidRDefault="001C367C" w:rsidP="006F1229">
      <w:pPr>
        <w:rPr>
          <w:rFonts w:cs="Arial"/>
          <w:b/>
          <w:bCs/>
          <w:sz w:val="22"/>
          <w:szCs w:val="22"/>
        </w:rPr>
      </w:pPr>
      <w:r w:rsidRPr="001C367C">
        <w:rPr>
          <w:rFonts w:cs="Arial"/>
          <w:b/>
          <w:bCs/>
          <w:sz w:val="22"/>
          <w:szCs w:val="22"/>
        </w:rPr>
        <w:t>Respuesta:</w:t>
      </w:r>
    </w:p>
    <w:p w14:paraId="6A11024E" w14:textId="299266A5" w:rsidR="001C367C" w:rsidRDefault="001C367C" w:rsidP="006F1229">
      <w:pPr>
        <w:rPr>
          <w:rFonts w:cs="Arial"/>
          <w:sz w:val="22"/>
          <w:szCs w:val="22"/>
        </w:rPr>
      </w:pPr>
    </w:p>
    <w:p w14:paraId="70788887" w14:textId="4CFE9FEF" w:rsidR="001C367C" w:rsidRDefault="001C367C"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_Ref130291498 \r \h </w:instrText>
      </w:r>
      <w:r>
        <w:rPr>
          <w:rFonts w:cs="Arial"/>
          <w:sz w:val="22"/>
          <w:szCs w:val="22"/>
        </w:rPr>
      </w:r>
      <w:r>
        <w:rPr>
          <w:rFonts w:cs="Arial"/>
          <w:sz w:val="22"/>
          <w:szCs w:val="22"/>
        </w:rPr>
        <w:fldChar w:fldCharType="separate"/>
      </w:r>
      <w:r w:rsidR="007651EA">
        <w:rPr>
          <w:rFonts w:cs="Arial"/>
          <w:sz w:val="22"/>
          <w:szCs w:val="22"/>
        </w:rPr>
        <w:t>1.5.1.1</w:t>
      </w:r>
      <w:r>
        <w:rPr>
          <w:rFonts w:cs="Arial"/>
          <w:sz w:val="22"/>
          <w:szCs w:val="22"/>
        </w:rPr>
        <w:fldChar w:fldCharType="end"/>
      </w:r>
      <w:r>
        <w:rPr>
          <w:rFonts w:cs="Arial"/>
          <w:sz w:val="22"/>
          <w:szCs w:val="22"/>
        </w:rPr>
        <w:t>.</w:t>
      </w:r>
    </w:p>
    <w:p w14:paraId="2582D5D4" w14:textId="77777777" w:rsidR="001C367C" w:rsidRDefault="001C367C" w:rsidP="006F1229">
      <w:pPr>
        <w:rPr>
          <w:rFonts w:cs="Arial"/>
          <w:sz w:val="22"/>
          <w:szCs w:val="22"/>
        </w:rPr>
      </w:pPr>
    </w:p>
    <w:p w14:paraId="5476447E" w14:textId="77777777" w:rsidR="006F6DE1" w:rsidRDefault="006F6DE1" w:rsidP="006F1229">
      <w:pPr>
        <w:rPr>
          <w:rFonts w:cs="Arial"/>
          <w:sz w:val="22"/>
          <w:szCs w:val="22"/>
        </w:rPr>
      </w:pPr>
    </w:p>
    <w:p w14:paraId="6472F070" w14:textId="77777777" w:rsidR="006F1229" w:rsidRDefault="006F1229" w:rsidP="00CD699D">
      <w:pPr>
        <w:pStyle w:val="Ttulo4"/>
      </w:pPr>
      <w:r w:rsidRPr="006F1229">
        <w:t>SURTIGAS</w:t>
      </w:r>
      <w:r w:rsidRPr="006F1229">
        <w:tab/>
      </w:r>
    </w:p>
    <w:p w14:paraId="19D9CCAF" w14:textId="4323EA29" w:rsidR="006F1229" w:rsidRPr="001C367C" w:rsidRDefault="00226E55" w:rsidP="006F1229">
      <w:pPr>
        <w:rPr>
          <w:rFonts w:cs="Arial"/>
          <w:i/>
          <w:iCs/>
          <w:sz w:val="22"/>
          <w:szCs w:val="22"/>
        </w:rPr>
      </w:pPr>
      <w:r>
        <w:rPr>
          <w:rFonts w:cs="Arial"/>
          <w:i/>
          <w:iCs/>
          <w:sz w:val="22"/>
          <w:szCs w:val="22"/>
        </w:rPr>
        <w:t>“</w:t>
      </w:r>
      <w:r w:rsidR="006F1229" w:rsidRPr="001C367C">
        <w:rPr>
          <w:rFonts w:cs="Arial"/>
          <w:i/>
          <w:iCs/>
          <w:sz w:val="22"/>
          <w:szCs w:val="22"/>
        </w:rPr>
        <w:t>Se coincide con la CREG en lo referente a la eliminación de las subastas bimestrales de los contratos firmes. La propuesta de establecer contratos con duración mínima trimestral y contratos con duración mensual en el mercado primario brinda flexibilidad a las demandas con variabilidad estacional, pero dicha flexibilidad no resulta adecuada para demandas continuas o permanentes.</w:t>
      </w:r>
      <w:r>
        <w:rPr>
          <w:rFonts w:cs="Arial"/>
          <w:i/>
          <w:iCs/>
          <w:sz w:val="22"/>
          <w:szCs w:val="22"/>
        </w:rPr>
        <w:t>”</w:t>
      </w:r>
    </w:p>
    <w:p w14:paraId="598AA0DC" w14:textId="364A02D8" w:rsidR="001C367C" w:rsidRPr="001C367C" w:rsidRDefault="001C367C" w:rsidP="006F1229">
      <w:pPr>
        <w:rPr>
          <w:rFonts w:cs="Arial"/>
          <w:b/>
          <w:bCs/>
          <w:sz w:val="22"/>
          <w:szCs w:val="22"/>
        </w:rPr>
      </w:pPr>
    </w:p>
    <w:p w14:paraId="505BFA06" w14:textId="743340CC" w:rsidR="001C367C" w:rsidRPr="001C367C" w:rsidRDefault="001C367C" w:rsidP="006F1229">
      <w:pPr>
        <w:rPr>
          <w:rFonts w:cs="Arial"/>
          <w:b/>
          <w:bCs/>
          <w:sz w:val="22"/>
          <w:szCs w:val="22"/>
        </w:rPr>
      </w:pPr>
      <w:r w:rsidRPr="001C367C">
        <w:rPr>
          <w:rFonts w:cs="Arial"/>
          <w:b/>
          <w:bCs/>
          <w:sz w:val="22"/>
          <w:szCs w:val="22"/>
        </w:rPr>
        <w:t>Respuesta:</w:t>
      </w:r>
    </w:p>
    <w:p w14:paraId="6D49D861" w14:textId="48051775" w:rsidR="001C367C" w:rsidRDefault="001C367C" w:rsidP="006F1229">
      <w:pPr>
        <w:rPr>
          <w:rFonts w:cs="Arial"/>
          <w:sz w:val="22"/>
          <w:szCs w:val="22"/>
        </w:rPr>
      </w:pPr>
    </w:p>
    <w:p w14:paraId="521DAE3C" w14:textId="1E220C60" w:rsidR="001C367C" w:rsidRDefault="001C367C" w:rsidP="001C367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_Ref130291498 \r \h </w:instrText>
      </w:r>
      <w:r>
        <w:rPr>
          <w:rFonts w:cs="Arial"/>
          <w:sz w:val="22"/>
          <w:szCs w:val="22"/>
        </w:rPr>
      </w:r>
      <w:r>
        <w:rPr>
          <w:rFonts w:cs="Arial"/>
          <w:sz w:val="22"/>
          <w:szCs w:val="22"/>
        </w:rPr>
        <w:fldChar w:fldCharType="separate"/>
      </w:r>
      <w:r w:rsidR="007651EA">
        <w:rPr>
          <w:rFonts w:cs="Arial"/>
          <w:sz w:val="22"/>
          <w:szCs w:val="22"/>
        </w:rPr>
        <w:t>1.5.1.1</w:t>
      </w:r>
      <w:r>
        <w:rPr>
          <w:rFonts w:cs="Arial"/>
          <w:sz w:val="22"/>
          <w:szCs w:val="22"/>
        </w:rPr>
        <w:fldChar w:fldCharType="end"/>
      </w:r>
      <w:r>
        <w:rPr>
          <w:rFonts w:cs="Arial"/>
          <w:sz w:val="22"/>
          <w:szCs w:val="22"/>
        </w:rPr>
        <w:t>.</w:t>
      </w:r>
    </w:p>
    <w:p w14:paraId="250EAED4" w14:textId="582E6F3D" w:rsidR="006F1229" w:rsidRDefault="006F1229" w:rsidP="006F1229">
      <w:pPr>
        <w:rPr>
          <w:rFonts w:cs="Arial"/>
          <w:sz w:val="22"/>
          <w:szCs w:val="22"/>
        </w:rPr>
      </w:pPr>
    </w:p>
    <w:p w14:paraId="086E4C5B" w14:textId="77777777" w:rsidR="006F6DE1" w:rsidRDefault="006F6DE1" w:rsidP="006F1229">
      <w:pPr>
        <w:rPr>
          <w:rFonts w:cs="Arial"/>
          <w:sz w:val="22"/>
          <w:szCs w:val="22"/>
        </w:rPr>
      </w:pPr>
    </w:p>
    <w:p w14:paraId="5794EC9B" w14:textId="77777777" w:rsidR="006F1229" w:rsidRDefault="006F1229" w:rsidP="00CD699D">
      <w:pPr>
        <w:pStyle w:val="Ttulo4"/>
      </w:pPr>
      <w:r w:rsidRPr="006F1229">
        <w:t>SURTIGAS</w:t>
      </w:r>
      <w:r w:rsidRPr="006F1229">
        <w:tab/>
      </w:r>
    </w:p>
    <w:p w14:paraId="538E25E5" w14:textId="16E30D64" w:rsidR="006F1229" w:rsidRDefault="006F1229" w:rsidP="006F1229">
      <w:pPr>
        <w:rPr>
          <w:rFonts w:cs="Arial"/>
          <w:sz w:val="22"/>
          <w:szCs w:val="22"/>
        </w:rPr>
      </w:pPr>
      <w:r w:rsidRPr="001C367C">
        <w:rPr>
          <w:rFonts w:cs="Arial"/>
          <w:i/>
          <w:iCs/>
          <w:sz w:val="22"/>
          <w:szCs w:val="22"/>
        </w:rPr>
        <w:t>La Comisión también debe considerar, cuando adopte la decisión final en lo referente a la duración de los contratos, que entre menor es el plazo de los contratos de suministro y transporte, menor será el incentivo para desarrollar infraestructura de producción, importación y transporte. La expansión de la oferta y la expansión o extensión de gasoductos requiere contratación de largo plazo</w:t>
      </w:r>
      <w:r w:rsidRPr="006F1229">
        <w:rPr>
          <w:rFonts w:cs="Arial"/>
          <w:sz w:val="22"/>
          <w:szCs w:val="22"/>
        </w:rPr>
        <w:t>.</w:t>
      </w:r>
    </w:p>
    <w:p w14:paraId="1F857073" w14:textId="77777777" w:rsidR="001C367C" w:rsidRPr="006F1229" w:rsidRDefault="001C367C" w:rsidP="006F1229">
      <w:pPr>
        <w:rPr>
          <w:rFonts w:cs="Arial"/>
          <w:sz w:val="22"/>
          <w:szCs w:val="22"/>
        </w:rPr>
      </w:pPr>
    </w:p>
    <w:p w14:paraId="5387FE07" w14:textId="77777777" w:rsidR="001C367C" w:rsidRPr="00252E65" w:rsidRDefault="001C367C" w:rsidP="001C367C">
      <w:pPr>
        <w:rPr>
          <w:rFonts w:cs="Arial"/>
          <w:b/>
          <w:bCs/>
          <w:sz w:val="22"/>
          <w:szCs w:val="22"/>
        </w:rPr>
      </w:pPr>
      <w:r w:rsidRPr="00252E65">
        <w:rPr>
          <w:rFonts w:cs="Arial"/>
          <w:b/>
          <w:bCs/>
          <w:sz w:val="22"/>
          <w:szCs w:val="22"/>
        </w:rPr>
        <w:t>Respuesta:</w:t>
      </w:r>
    </w:p>
    <w:p w14:paraId="23294051" w14:textId="77777777" w:rsidR="001C367C" w:rsidRDefault="001C367C" w:rsidP="001C367C">
      <w:pPr>
        <w:rPr>
          <w:rFonts w:cs="Arial"/>
          <w:sz w:val="22"/>
          <w:szCs w:val="22"/>
        </w:rPr>
      </w:pPr>
    </w:p>
    <w:p w14:paraId="00951AE0" w14:textId="03DAB087" w:rsidR="001C367C" w:rsidRPr="006F1229" w:rsidRDefault="001C367C" w:rsidP="001C367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_Ref130386435 \r \h </w:instrText>
      </w:r>
      <w:r>
        <w:rPr>
          <w:rFonts w:cs="Arial"/>
          <w:sz w:val="22"/>
          <w:szCs w:val="22"/>
        </w:rPr>
      </w:r>
      <w:r>
        <w:rPr>
          <w:rFonts w:cs="Arial"/>
          <w:sz w:val="22"/>
          <w:szCs w:val="22"/>
        </w:rPr>
        <w:fldChar w:fldCharType="separate"/>
      </w:r>
      <w:r w:rsidR="007651EA">
        <w:rPr>
          <w:rFonts w:cs="Arial"/>
          <w:sz w:val="22"/>
          <w:szCs w:val="22"/>
        </w:rPr>
        <w:t>1.5.1.3</w:t>
      </w:r>
      <w:r>
        <w:rPr>
          <w:rFonts w:cs="Arial"/>
          <w:sz w:val="22"/>
          <w:szCs w:val="22"/>
        </w:rPr>
        <w:fldChar w:fldCharType="end"/>
      </w:r>
      <w:r>
        <w:rPr>
          <w:rFonts w:cs="Arial"/>
          <w:sz w:val="22"/>
          <w:szCs w:val="22"/>
        </w:rPr>
        <w:t>.</w:t>
      </w:r>
    </w:p>
    <w:p w14:paraId="1C7FF148" w14:textId="02C0E18A" w:rsidR="006F1229" w:rsidRDefault="006F1229" w:rsidP="006F1229">
      <w:pPr>
        <w:rPr>
          <w:rFonts w:cs="Arial"/>
          <w:sz w:val="22"/>
          <w:szCs w:val="22"/>
        </w:rPr>
      </w:pPr>
    </w:p>
    <w:p w14:paraId="3C99122C" w14:textId="77777777" w:rsidR="006F6DE1" w:rsidRDefault="006F6DE1" w:rsidP="006F1229">
      <w:pPr>
        <w:rPr>
          <w:rFonts w:cs="Arial"/>
          <w:sz w:val="22"/>
          <w:szCs w:val="22"/>
        </w:rPr>
      </w:pPr>
    </w:p>
    <w:p w14:paraId="148B4FCB" w14:textId="77777777" w:rsidR="006F1229" w:rsidRDefault="006F1229" w:rsidP="006F6DE1">
      <w:pPr>
        <w:pStyle w:val="Ttulo4"/>
      </w:pPr>
      <w:r w:rsidRPr="006F1229">
        <w:t>SURTIGAS</w:t>
      </w:r>
      <w:r w:rsidRPr="006F1229">
        <w:tab/>
      </w:r>
    </w:p>
    <w:p w14:paraId="0F50B79B" w14:textId="200201E8" w:rsidR="006F1229" w:rsidRPr="001C367C" w:rsidRDefault="00226E55" w:rsidP="006F1229">
      <w:pPr>
        <w:rPr>
          <w:rFonts w:cs="Arial"/>
          <w:i/>
          <w:iCs/>
          <w:sz w:val="22"/>
          <w:szCs w:val="22"/>
        </w:rPr>
      </w:pPr>
      <w:r>
        <w:rPr>
          <w:rFonts w:cs="Arial"/>
          <w:i/>
          <w:iCs/>
          <w:sz w:val="22"/>
          <w:szCs w:val="22"/>
        </w:rPr>
        <w:t>“</w:t>
      </w:r>
      <w:r w:rsidR="006F1229" w:rsidRPr="001C367C">
        <w:rPr>
          <w:rFonts w:cs="Arial"/>
          <w:i/>
          <w:iCs/>
          <w:sz w:val="22"/>
          <w:szCs w:val="22"/>
        </w:rPr>
        <w:t>Se coincide con la CREG en lo referente a la eliminación de las subastas mensuales de contratos interrumpibles. Así mismo, se encuentra razonable que dichos contratos se puedan negociar directamente con sujeción a algunas de las reglas planteadas por la CREG.</w:t>
      </w:r>
      <w:r>
        <w:rPr>
          <w:rFonts w:cs="Arial"/>
          <w:i/>
          <w:iCs/>
          <w:sz w:val="22"/>
          <w:szCs w:val="22"/>
        </w:rPr>
        <w:t>”</w:t>
      </w:r>
    </w:p>
    <w:p w14:paraId="4C7AE177" w14:textId="575AEDD0" w:rsidR="006F1229" w:rsidRDefault="006F1229" w:rsidP="006F1229">
      <w:pPr>
        <w:rPr>
          <w:rFonts w:cs="Arial"/>
          <w:sz w:val="22"/>
          <w:szCs w:val="22"/>
        </w:rPr>
      </w:pPr>
    </w:p>
    <w:p w14:paraId="7E3F9083" w14:textId="77777777" w:rsidR="001C367C" w:rsidRPr="00504290" w:rsidRDefault="001C367C" w:rsidP="001C367C">
      <w:pPr>
        <w:rPr>
          <w:rFonts w:cs="Arial"/>
          <w:b/>
          <w:bCs/>
          <w:sz w:val="22"/>
          <w:szCs w:val="22"/>
        </w:rPr>
      </w:pPr>
      <w:r w:rsidRPr="00504290">
        <w:rPr>
          <w:rFonts w:cs="Arial"/>
          <w:b/>
          <w:bCs/>
          <w:sz w:val="22"/>
          <w:szCs w:val="22"/>
        </w:rPr>
        <w:t>Repuesta:</w:t>
      </w:r>
    </w:p>
    <w:p w14:paraId="6797EC2C" w14:textId="77777777" w:rsidR="001C367C" w:rsidRDefault="001C367C" w:rsidP="001C367C">
      <w:pPr>
        <w:rPr>
          <w:rFonts w:cs="Arial"/>
          <w:sz w:val="22"/>
          <w:szCs w:val="22"/>
        </w:rPr>
      </w:pPr>
    </w:p>
    <w:p w14:paraId="4A4C341E" w14:textId="66526052" w:rsidR="001C367C" w:rsidRDefault="001C367C" w:rsidP="001C367C">
      <w:pPr>
        <w:rPr>
          <w:rFonts w:cs="Arial"/>
          <w:sz w:val="22"/>
          <w:szCs w:val="22"/>
        </w:rPr>
      </w:pPr>
      <w:r>
        <w:rPr>
          <w:rFonts w:cs="Arial"/>
          <w:sz w:val="22"/>
          <w:szCs w:val="22"/>
        </w:rPr>
        <w:t xml:space="preserve">Ver repuesta a </w:t>
      </w:r>
      <w:r>
        <w:rPr>
          <w:rFonts w:cs="Arial"/>
          <w:sz w:val="22"/>
          <w:szCs w:val="22"/>
        </w:rPr>
        <w:fldChar w:fldCharType="begin"/>
      </w:r>
      <w:r>
        <w:rPr>
          <w:rFonts w:cs="Arial"/>
          <w:sz w:val="22"/>
          <w:szCs w:val="22"/>
        </w:rPr>
        <w:instrText xml:space="preserve"> REF _Ref130291962 \r \h </w:instrText>
      </w:r>
      <w:r>
        <w:rPr>
          <w:rFonts w:cs="Arial"/>
          <w:sz w:val="22"/>
          <w:szCs w:val="22"/>
        </w:rPr>
      </w:r>
      <w:r>
        <w:rPr>
          <w:rFonts w:cs="Arial"/>
          <w:sz w:val="22"/>
          <w:szCs w:val="22"/>
        </w:rPr>
        <w:fldChar w:fldCharType="separate"/>
      </w:r>
      <w:r w:rsidR="007651EA">
        <w:rPr>
          <w:rFonts w:cs="Arial"/>
          <w:sz w:val="22"/>
          <w:szCs w:val="22"/>
        </w:rPr>
        <w:t>1.4.1.1</w:t>
      </w:r>
      <w:r>
        <w:rPr>
          <w:rFonts w:cs="Arial"/>
          <w:sz w:val="22"/>
          <w:szCs w:val="22"/>
        </w:rPr>
        <w:fldChar w:fldCharType="end"/>
      </w:r>
    </w:p>
    <w:p w14:paraId="56622E83" w14:textId="77777777" w:rsidR="006F6DE1" w:rsidRDefault="006F6DE1" w:rsidP="006F1229">
      <w:pPr>
        <w:rPr>
          <w:rFonts w:cs="Arial"/>
          <w:sz w:val="22"/>
          <w:szCs w:val="22"/>
        </w:rPr>
      </w:pPr>
    </w:p>
    <w:p w14:paraId="263CC66C" w14:textId="77777777" w:rsidR="006F1229" w:rsidRDefault="006F1229" w:rsidP="00CD699D">
      <w:pPr>
        <w:pStyle w:val="Ttulo4"/>
      </w:pPr>
      <w:r w:rsidRPr="006F1229">
        <w:t>SURTIGAS</w:t>
      </w:r>
      <w:r w:rsidRPr="006F1229">
        <w:tab/>
      </w:r>
    </w:p>
    <w:p w14:paraId="26A080FD" w14:textId="44F0D7F3" w:rsidR="006F1229" w:rsidRPr="001C367C" w:rsidRDefault="00226E55" w:rsidP="006F1229">
      <w:pPr>
        <w:rPr>
          <w:rFonts w:cs="Arial"/>
          <w:i/>
          <w:iCs/>
          <w:sz w:val="22"/>
          <w:szCs w:val="22"/>
        </w:rPr>
      </w:pPr>
      <w:r>
        <w:rPr>
          <w:rFonts w:cs="Arial"/>
          <w:i/>
          <w:iCs/>
          <w:sz w:val="22"/>
          <w:szCs w:val="22"/>
        </w:rPr>
        <w:t>“</w:t>
      </w:r>
      <w:r w:rsidR="006F1229" w:rsidRPr="001C367C">
        <w:rPr>
          <w:rFonts w:cs="Arial"/>
          <w:i/>
          <w:iCs/>
          <w:sz w:val="22"/>
          <w:szCs w:val="22"/>
        </w:rPr>
        <w:t>La CREG ha sido reticente en introducir períodos de reposición del gas contratado bajo las modalidades CF95 (y CF80), típicamente establecidos en doce (12) meses en mercados más desarrollados.</w:t>
      </w:r>
      <w:r>
        <w:rPr>
          <w:rFonts w:cs="Arial"/>
          <w:i/>
          <w:iCs/>
          <w:sz w:val="22"/>
          <w:szCs w:val="22"/>
        </w:rPr>
        <w:t>”</w:t>
      </w:r>
    </w:p>
    <w:p w14:paraId="5CEC5E38" w14:textId="3E203985" w:rsidR="006F1229" w:rsidRDefault="006F1229" w:rsidP="006F1229">
      <w:pPr>
        <w:rPr>
          <w:rFonts w:cs="Arial"/>
          <w:sz w:val="22"/>
          <w:szCs w:val="22"/>
        </w:rPr>
      </w:pPr>
    </w:p>
    <w:p w14:paraId="3651D572" w14:textId="77777777" w:rsidR="001C367C" w:rsidRPr="00504290" w:rsidRDefault="001C367C" w:rsidP="001C367C">
      <w:pPr>
        <w:rPr>
          <w:rFonts w:cs="Arial"/>
          <w:b/>
          <w:bCs/>
          <w:sz w:val="22"/>
          <w:szCs w:val="22"/>
        </w:rPr>
      </w:pPr>
      <w:r w:rsidRPr="00504290">
        <w:rPr>
          <w:rFonts w:cs="Arial"/>
          <w:b/>
          <w:bCs/>
          <w:sz w:val="22"/>
          <w:szCs w:val="22"/>
        </w:rPr>
        <w:t>Respuesta:</w:t>
      </w:r>
    </w:p>
    <w:p w14:paraId="7C763A39" w14:textId="77777777" w:rsidR="001C367C" w:rsidRDefault="001C367C" w:rsidP="001C367C">
      <w:pPr>
        <w:rPr>
          <w:rFonts w:cs="Arial"/>
          <w:sz w:val="22"/>
          <w:szCs w:val="22"/>
        </w:rPr>
      </w:pPr>
    </w:p>
    <w:p w14:paraId="5EA4854E" w14:textId="7AE77160" w:rsidR="001C367C" w:rsidRPr="006F1229" w:rsidRDefault="001C367C" w:rsidP="001C367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_Ref130386561 \r \h </w:instrText>
      </w:r>
      <w:r>
        <w:rPr>
          <w:rFonts w:cs="Arial"/>
          <w:sz w:val="22"/>
          <w:szCs w:val="22"/>
        </w:rPr>
      </w:r>
      <w:r>
        <w:rPr>
          <w:rFonts w:cs="Arial"/>
          <w:sz w:val="22"/>
          <w:szCs w:val="22"/>
        </w:rPr>
        <w:fldChar w:fldCharType="separate"/>
      </w:r>
      <w:r w:rsidR="007651EA">
        <w:rPr>
          <w:rFonts w:cs="Arial"/>
          <w:sz w:val="22"/>
          <w:szCs w:val="22"/>
        </w:rPr>
        <w:t>1.5.1.5</w:t>
      </w:r>
      <w:r>
        <w:rPr>
          <w:rFonts w:cs="Arial"/>
          <w:sz w:val="22"/>
          <w:szCs w:val="22"/>
        </w:rPr>
        <w:fldChar w:fldCharType="end"/>
      </w:r>
      <w:r>
        <w:rPr>
          <w:rFonts w:cs="Arial"/>
          <w:sz w:val="22"/>
          <w:szCs w:val="22"/>
        </w:rPr>
        <w:t>.</w:t>
      </w:r>
    </w:p>
    <w:p w14:paraId="754B774F" w14:textId="77777777" w:rsidR="001C367C" w:rsidRDefault="001C367C" w:rsidP="006F1229">
      <w:pPr>
        <w:rPr>
          <w:rFonts w:cs="Arial"/>
          <w:sz w:val="22"/>
          <w:szCs w:val="22"/>
        </w:rPr>
      </w:pPr>
    </w:p>
    <w:p w14:paraId="6BFC0387" w14:textId="77777777" w:rsidR="001C367C" w:rsidRDefault="001C367C" w:rsidP="006F1229">
      <w:pPr>
        <w:rPr>
          <w:rFonts w:cs="Arial"/>
          <w:sz w:val="22"/>
          <w:szCs w:val="22"/>
        </w:rPr>
      </w:pPr>
    </w:p>
    <w:p w14:paraId="684C653C" w14:textId="77777777" w:rsidR="006F6DE1" w:rsidRDefault="006F6DE1" w:rsidP="006F1229">
      <w:pPr>
        <w:rPr>
          <w:rFonts w:cs="Arial"/>
          <w:sz w:val="22"/>
          <w:szCs w:val="22"/>
        </w:rPr>
      </w:pPr>
    </w:p>
    <w:p w14:paraId="3234AE29" w14:textId="77777777" w:rsidR="006F1229" w:rsidRDefault="006F1229" w:rsidP="00CD699D">
      <w:pPr>
        <w:pStyle w:val="Ttulo4"/>
      </w:pPr>
      <w:r w:rsidRPr="006F1229">
        <w:t>SURTIGAS</w:t>
      </w:r>
      <w:r w:rsidRPr="006F1229">
        <w:tab/>
      </w:r>
    </w:p>
    <w:p w14:paraId="76812EEB" w14:textId="72E765AE" w:rsidR="006F1229" w:rsidRPr="001C367C" w:rsidRDefault="006F1229" w:rsidP="006F1229">
      <w:pPr>
        <w:rPr>
          <w:rFonts w:cs="Arial"/>
          <w:i/>
          <w:iCs/>
          <w:sz w:val="22"/>
          <w:szCs w:val="22"/>
        </w:rPr>
      </w:pPr>
      <w:r w:rsidRPr="006F1229">
        <w:rPr>
          <w:rFonts w:cs="Arial"/>
          <w:sz w:val="22"/>
          <w:szCs w:val="22"/>
        </w:rPr>
        <w:t>"</w:t>
      </w:r>
      <w:r w:rsidRPr="001C367C">
        <w:rPr>
          <w:rFonts w:cs="Arial"/>
          <w:i/>
          <w:iCs/>
          <w:sz w:val="22"/>
          <w:szCs w:val="22"/>
        </w:rPr>
        <w:t>De una proyección de oferta signada por la incertidumbre y de una proyección de demanda seguramente subestimada, el balance resultante resultará espurio y de sus resultados no se podrá inferir la condición superavitaria o deficitaria de la oferta.</w:t>
      </w:r>
    </w:p>
    <w:p w14:paraId="54F1D260" w14:textId="77777777" w:rsidR="006F1229" w:rsidRPr="001C367C" w:rsidRDefault="006F1229" w:rsidP="006F1229">
      <w:pPr>
        <w:rPr>
          <w:rFonts w:cs="Arial"/>
          <w:i/>
          <w:iCs/>
          <w:sz w:val="22"/>
          <w:szCs w:val="22"/>
        </w:rPr>
      </w:pPr>
    </w:p>
    <w:p w14:paraId="5C208105" w14:textId="77777777" w:rsidR="006F1229" w:rsidRPr="001C367C" w:rsidRDefault="006F1229" w:rsidP="006F1229">
      <w:pPr>
        <w:rPr>
          <w:rFonts w:cs="Arial"/>
          <w:i/>
          <w:iCs/>
          <w:sz w:val="22"/>
          <w:szCs w:val="22"/>
        </w:rPr>
      </w:pPr>
      <w:r w:rsidRPr="001C367C">
        <w:rPr>
          <w:rFonts w:cs="Arial"/>
          <w:i/>
          <w:iCs/>
          <w:sz w:val="22"/>
          <w:szCs w:val="22"/>
        </w:rPr>
        <w:t>Consideramos que es función y competencia de la UPME y no de los agentes sectoriales, o de la CREG, definir las condiciones de superávit o déficit de oferta que puedan presentarse en el mercado de gas."</w:t>
      </w:r>
    </w:p>
    <w:p w14:paraId="63AFEC50" w14:textId="5F16802B" w:rsidR="006F1229" w:rsidRDefault="006F1229" w:rsidP="006F1229">
      <w:pPr>
        <w:rPr>
          <w:rFonts w:cs="Arial"/>
          <w:sz w:val="22"/>
          <w:szCs w:val="22"/>
        </w:rPr>
      </w:pPr>
    </w:p>
    <w:p w14:paraId="5F0DFDF1" w14:textId="77777777" w:rsidR="001C367C" w:rsidRPr="00504290" w:rsidRDefault="001C367C" w:rsidP="001C367C">
      <w:pPr>
        <w:rPr>
          <w:rFonts w:cs="Arial"/>
          <w:b/>
          <w:bCs/>
          <w:sz w:val="22"/>
          <w:szCs w:val="22"/>
        </w:rPr>
      </w:pPr>
      <w:r w:rsidRPr="00504290">
        <w:rPr>
          <w:rFonts w:cs="Arial"/>
          <w:b/>
          <w:bCs/>
          <w:sz w:val="22"/>
          <w:szCs w:val="22"/>
        </w:rPr>
        <w:t>Respuesta:</w:t>
      </w:r>
    </w:p>
    <w:p w14:paraId="36D3E6C2" w14:textId="77777777" w:rsidR="001C367C" w:rsidRDefault="001C367C" w:rsidP="001C367C">
      <w:pPr>
        <w:rPr>
          <w:rFonts w:cs="Arial"/>
          <w:sz w:val="22"/>
          <w:szCs w:val="22"/>
        </w:rPr>
      </w:pPr>
    </w:p>
    <w:p w14:paraId="7A488301" w14:textId="754A0EF5" w:rsidR="001C367C" w:rsidRDefault="001C367C" w:rsidP="001C367C">
      <w:pPr>
        <w:rPr>
          <w:rFonts w:cs="Arial"/>
          <w:sz w:val="22"/>
          <w:szCs w:val="22"/>
        </w:rPr>
      </w:pPr>
      <w:r>
        <w:rPr>
          <w:rFonts w:cs="Arial"/>
          <w:sz w:val="22"/>
          <w:szCs w:val="22"/>
        </w:rPr>
        <w:t xml:space="preserve">Ver repuesta a </w:t>
      </w:r>
      <w:r>
        <w:rPr>
          <w:rFonts w:cs="Arial"/>
          <w:sz w:val="22"/>
          <w:szCs w:val="22"/>
        </w:rPr>
        <w:fldChar w:fldCharType="begin"/>
      </w:r>
      <w:r>
        <w:rPr>
          <w:rFonts w:cs="Arial"/>
          <w:sz w:val="22"/>
          <w:szCs w:val="22"/>
        </w:rPr>
        <w:instrText xml:space="preserve"> REF _Ref130386629 \r \h </w:instrText>
      </w:r>
      <w:r>
        <w:rPr>
          <w:rFonts w:cs="Arial"/>
          <w:sz w:val="22"/>
          <w:szCs w:val="22"/>
        </w:rPr>
      </w:r>
      <w:r>
        <w:rPr>
          <w:rFonts w:cs="Arial"/>
          <w:sz w:val="22"/>
          <w:szCs w:val="22"/>
        </w:rPr>
        <w:fldChar w:fldCharType="separate"/>
      </w:r>
      <w:r w:rsidR="007651EA">
        <w:rPr>
          <w:rFonts w:cs="Arial"/>
          <w:sz w:val="22"/>
          <w:szCs w:val="22"/>
        </w:rPr>
        <w:t>1.5.1.6</w:t>
      </w:r>
      <w:r>
        <w:rPr>
          <w:rFonts w:cs="Arial"/>
          <w:sz w:val="22"/>
          <w:szCs w:val="22"/>
        </w:rPr>
        <w:fldChar w:fldCharType="end"/>
      </w:r>
      <w:r>
        <w:rPr>
          <w:rFonts w:cs="Arial"/>
          <w:sz w:val="22"/>
          <w:szCs w:val="22"/>
        </w:rPr>
        <w:t>.</w:t>
      </w:r>
    </w:p>
    <w:p w14:paraId="68675436" w14:textId="77777777" w:rsidR="001C367C" w:rsidRDefault="001C367C" w:rsidP="006F1229">
      <w:pPr>
        <w:rPr>
          <w:rFonts w:cs="Arial"/>
          <w:sz w:val="22"/>
          <w:szCs w:val="22"/>
        </w:rPr>
      </w:pPr>
    </w:p>
    <w:p w14:paraId="5A1F721F" w14:textId="77777777" w:rsidR="006F6DE1" w:rsidRDefault="006F6DE1" w:rsidP="006F1229">
      <w:pPr>
        <w:rPr>
          <w:rFonts w:cs="Arial"/>
          <w:sz w:val="22"/>
          <w:szCs w:val="22"/>
        </w:rPr>
      </w:pPr>
    </w:p>
    <w:p w14:paraId="60AE130D" w14:textId="77777777" w:rsidR="006F1229" w:rsidRDefault="006F1229" w:rsidP="00CD699D">
      <w:pPr>
        <w:pStyle w:val="Ttulo4"/>
      </w:pPr>
      <w:r w:rsidRPr="006F1229">
        <w:t>SURTIGAS</w:t>
      </w:r>
      <w:r w:rsidRPr="006F1229">
        <w:tab/>
      </w:r>
    </w:p>
    <w:p w14:paraId="660275FB" w14:textId="6F09A93A" w:rsidR="006F1229" w:rsidRPr="006F1229" w:rsidRDefault="006F1229" w:rsidP="006F1229">
      <w:pPr>
        <w:rPr>
          <w:rFonts w:cs="Arial"/>
          <w:sz w:val="22"/>
          <w:szCs w:val="22"/>
        </w:rPr>
      </w:pPr>
      <w:r w:rsidRPr="001C367C">
        <w:rPr>
          <w:rFonts w:cs="Arial"/>
          <w:i/>
          <w:iCs/>
          <w:sz w:val="22"/>
          <w:szCs w:val="22"/>
        </w:rPr>
        <w:t>Una inquietud final se relaciona con la competencia que tiene la CREG para definir la forma en que se aplican eventuales racionamientos de gas. El artículo 2.2.2.2.4 del Decreto 1073 de 2015, Decreto Único Reglamentario del Sector Administrativo de Minas y Energía, modificado por el Decreto 2345 de 2015, establece que cuando se trate de un racionamiento programado de gas natural, el Ministerio de Minas y Energía fijará el orden de atención de la demanda entre los Agentes que tengan el mismo nivel de prioridad según lo dispuesto en el artículo 2.2.2.2.1 del mismo Decreto. Estas facultades y competencias deben ser revisadas por la CREG, previa cualquier decisión que adopte sobre este tema</w:t>
      </w:r>
      <w:r w:rsidRPr="006F1229">
        <w:rPr>
          <w:rFonts w:cs="Arial"/>
          <w:sz w:val="22"/>
          <w:szCs w:val="22"/>
        </w:rPr>
        <w:t>.</w:t>
      </w:r>
    </w:p>
    <w:p w14:paraId="3B5BEE89" w14:textId="0AB517B7" w:rsidR="006F1229" w:rsidRDefault="006F1229" w:rsidP="006F1229">
      <w:pPr>
        <w:rPr>
          <w:rFonts w:cs="Arial"/>
          <w:sz w:val="22"/>
          <w:szCs w:val="22"/>
        </w:rPr>
      </w:pPr>
    </w:p>
    <w:p w14:paraId="32940324" w14:textId="77777777" w:rsidR="001C367C" w:rsidRPr="00803D95" w:rsidRDefault="001C367C" w:rsidP="001C367C">
      <w:pPr>
        <w:rPr>
          <w:rFonts w:cs="Arial"/>
          <w:b/>
          <w:bCs/>
          <w:sz w:val="22"/>
          <w:szCs w:val="22"/>
        </w:rPr>
      </w:pPr>
      <w:r w:rsidRPr="00803D95">
        <w:rPr>
          <w:rFonts w:cs="Arial"/>
          <w:b/>
          <w:bCs/>
          <w:sz w:val="22"/>
          <w:szCs w:val="22"/>
        </w:rPr>
        <w:t>Respuesta:</w:t>
      </w:r>
    </w:p>
    <w:p w14:paraId="73494056" w14:textId="77777777" w:rsidR="001C367C" w:rsidRDefault="001C367C" w:rsidP="001C367C">
      <w:pPr>
        <w:rPr>
          <w:rFonts w:cs="Arial"/>
          <w:sz w:val="22"/>
          <w:szCs w:val="22"/>
        </w:rPr>
      </w:pPr>
    </w:p>
    <w:p w14:paraId="5C360F4A" w14:textId="0731B6AE" w:rsidR="001C367C" w:rsidRPr="006F1229" w:rsidRDefault="001C367C" w:rsidP="001C367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_Ref130386666 \r \h </w:instrText>
      </w:r>
      <w:r>
        <w:rPr>
          <w:rFonts w:cs="Arial"/>
          <w:sz w:val="22"/>
          <w:szCs w:val="22"/>
        </w:rPr>
      </w:r>
      <w:r>
        <w:rPr>
          <w:rFonts w:cs="Arial"/>
          <w:sz w:val="22"/>
          <w:szCs w:val="22"/>
        </w:rPr>
        <w:fldChar w:fldCharType="separate"/>
      </w:r>
      <w:r w:rsidR="007651EA">
        <w:rPr>
          <w:rFonts w:cs="Arial"/>
          <w:sz w:val="22"/>
          <w:szCs w:val="22"/>
        </w:rPr>
        <w:t>1.5.1.7</w:t>
      </w:r>
      <w:r>
        <w:rPr>
          <w:rFonts w:cs="Arial"/>
          <w:sz w:val="22"/>
          <w:szCs w:val="22"/>
        </w:rPr>
        <w:fldChar w:fldCharType="end"/>
      </w:r>
    </w:p>
    <w:p w14:paraId="40189912" w14:textId="77777777" w:rsidR="001C367C" w:rsidRDefault="001C367C" w:rsidP="006F1229">
      <w:pPr>
        <w:rPr>
          <w:rFonts w:cs="Arial"/>
          <w:sz w:val="22"/>
          <w:szCs w:val="22"/>
        </w:rPr>
      </w:pPr>
    </w:p>
    <w:p w14:paraId="78267AFA" w14:textId="77777777" w:rsidR="006F1229" w:rsidRDefault="006F1229" w:rsidP="006F1229">
      <w:pPr>
        <w:rPr>
          <w:rFonts w:cs="Arial"/>
          <w:sz w:val="22"/>
          <w:szCs w:val="22"/>
        </w:rPr>
      </w:pPr>
    </w:p>
    <w:p w14:paraId="4573FA59" w14:textId="77777777" w:rsidR="00CD699D" w:rsidRDefault="006F1229" w:rsidP="00CD699D">
      <w:pPr>
        <w:pStyle w:val="Ttulo4"/>
      </w:pPr>
      <w:r w:rsidRPr="006F1229">
        <w:t>SURTIGAS</w:t>
      </w:r>
      <w:r w:rsidRPr="006F1229">
        <w:tab/>
      </w:r>
    </w:p>
    <w:p w14:paraId="0774FDDF" w14:textId="355DA666" w:rsidR="006F1229" w:rsidRPr="001C367C" w:rsidRDefault="006F1229" w:rsidP="006F1229">
      <w:pPr>
        <w:rPr>
          <w:rFonts w:cs="Arial"/>
          <w:i/>
          <w:iCs/>
          <w:sz w:val="22"/>
          <w:szCs w:val="22"/>
        </w:rPr>
      </w:pPr>
      <w:r w:rsidRPr="006F1229">
        <w:rPr>
          <w:rFonts w:cs="Arial"/>
          <w:sz w:val="22"/>
          <w:szCs w:val="22"/>
        </w:rPr>
        <w:t>"</w:t>
      </w:r>
      <w:r w:rsidRPr="001C367C">
        <w:rPr>
          <w:rFonts w:cs="Arial"/>
          <w:i/>
          <w:iCs/>
          <w:sz w:val="22"/>
          <w:szCs w:val="22"/>
        </w:rPr>
        <w:t xml:space="preserve">Tanto en este Proyecto de Resolución, como en el Proyecto de Resolución CREG-227 de 2021, se mencionan y en este último además se definen los </w:t>
      </w:r>
      <w:r w:rsidR="00226E55">
        <w:rPr>
          <w:rFonts w:cs="Arial"/>
          <w:i/>
          <w:iCs/>
          <w:sz w:val="22"/>
          <w:szCs w:val="22"/>
        </w:rPr>
        <w:t>‘</w:t>
      </w:r>
      <w:r w:rsidRPr="001C367C">
        <w:rPr>
          <w:rFonts w:cs="Arial"/>
          <w:i/>
          <w:iCs/>
          <w:sz w:val="22"/>
          <w:szCs w:val="22"/>
        </w:rPr>
        <w:t>Pequeños usuarios comerciales inmersos en la red de distribución</w:t>
      </w:r>
      <w:r w:rsidR="00226E55">
        <w:rPr>
          <w:rFonts w:cs="Arial"/>
          <w:i/>
          <w:iCs/>
          <w:sz w:val="22"/>
          <w:szCs w:val="22"/>
        </w:rPr>
        <w:t>’</w:t>
      </w:r>
      <w:r w:rsidRPr="001C367C">
        <w:rPr>
          <w:rFonts w:cs="Arial"/>
          <w:i/>
          <w:iCs/>
          <w:sz w:val="22"/>
          <w:szCs w:val="22"/>
        </w:rPr>
        <w:t>. Propone la CREG la siguiente definición para estos usuarios:</w:t>
      </w:r>
    </w:p>
    <w:p w14:paraId="2E3C05C4" w14:textId="77777777" w:rsidR="006F1229" w:rsidRPr="001C367C" w:rsidRDefault="006F1229" w:rsidP="006F1229">
      <w:pPr>
        <w:rPr>
          <w:rFonts w:cs="Arial"/>
          <w:i/>
          <w:iCs/>
          <w:sz w:val="22"/>
          <w:szCs w:val="22"/>
        </w:rPr>
      </w:pPr>
    </w:p>
    <w:p w14:paraId="4FB5FB0E" w14:textId="04DC5AA0" w:rsidR="006F1229" w:rsidRPr="001C367C" w:rsidRDefault="003771BD" w:rsidP="006F1229">
      <w:pPr>
        <w:rPr>
          <w:rFonts w:cs="Arial"/>
          <w:i/>
          <w:iCs/>
          <w:sz w:val="22"/>
          <w:szCs w:val="22"/>
        </w:rPr>
      </w:pPr>
      <w:r>
        <w:rPr>
          <w:rFonts w:cs="Arial"/>
          <w:i/>
          <w:iCs/>
          <w:sz w:val="22"/>
          <w:szCs w:val="22"/>
        </w:rPr>
        <w:t>‘</w:t>
      </w:r>
      <w:r w:rsidR="006F1229" w:rsidRPr="001C367C">
        <w:rPr>
          <w:rFonts w:cs="Arial"/>
          <w:i/>
          <w:iCs/>
          <w:sz w:val="22"/>
          <w:szCs w:val="22"/>
        </w:rPr>
        <w:t>Corresponde a los usuarios regulados que se encuentran clasificados por el CIIU como comerciales y que, a su vez, se encuentran conectados a un sistema de distribución en un Mercado Relevante de Comercialización</w:t>
      </w:r>
      <w:r>
        <w:rPr>
          <w:rFonts w:cs="Arial"/>
          <w:i/>
          <w:iCs/>
          <w:sz w:val="22"/>
          <w:szCs w:val="22"/>
        </w:rPr>
        <w:t>’</w:t>
      </w:r>
      <w:r w:rsidR="006F1229" w:rsidRPr="001C367C">
        <w:rPr>
          <w:rFonts w:cs="Arial"/>
          <w:i/>
          <w:iCs/>
          <w:sz w:val="22"/>
          <w:szCs w:val="22"/>
        </w:rPr>
        <w:t>.</w:t>
      </w:r>
    </w:p>
    <w:p w14:paraId="136D3389" w14:textId="77777777" w:rsidR="006F1229" w:rsidRPr="001C367C" w:rsidRDefault="006F1229" w:rsidP="006F1229">
      <w:pPr>
        <w:rPr>
          <w:rFonts w:cs="Arial"/>
          <w:i/>
          <w:iCs/>
          <w:sz w:val="22"/>
          <w:szCs w:val="22"/>
        </w:rPr>
      </w:pPr>
    </w:p>
    <w:p w14:paraId="5F5ED460" w14:textId="77777777" w:rsidR="006F1229" w:rsidRPr="001C367C" w:rsidRDefault="006F1229" w:rsidP="006F1229">
      <w:pPr>
        <w:rPr>
          <w:rFonts w:cs="Arial"/>
          <w:i/>
          <w:iCs/>
          <w:sz w:val="22"/>
          <w:szCs w:val="22"/>
        </w:rPr>
      </w:pPr>
      <w:r w:rsidRPr="001C367C">
        <w:rPr>
          <w:rFonts w:cs="Arial"/>
          <w:i/>
          <w:iCs/>
          <w:sz w:val="22"/>
          <w:szCs w:val="22"/>
        </w:rPr>
        <w:t>La clasificación de estos usuarios de acuerdo con el CIIU no resulta adecuada. Existen algunas actividades definidas como comercio, que pueden también ser clasificadas como industrias.</w:t>
      </w:r>
    </w:p>
    <w:p w14:paraId="54065D43" w14:textId="77777777" w:rsidR="006F1229" w:rsidRPr="001C367C" w:rsidRDefault="006F1229" w:rsidP="006F1229">
      <w:pPr>
        <w:rPr>
          <w:rFonts w:cs="Arial"/>
          <w:i/>
          <w:iCs/>
          <w:sz w:val="22"/>
          <w:szCs w:val="22"/>
        </w:rPr>
      </w:pPr>
    </w:p>
    <w:p w14:paraId="66D90FE6" w14:textId="0FBBF6A0" w:rsidR="006F1229" w:rsidRDefault="006F1229" w:rsidP="006F1229">
      <w:pPr>
        <w:rPr>
          <w:rFonts w:cs="Arial"/>
          <w:sz w:val="22"/>
          <w:szCs w:val="22"/>
        </w:rPr>
      </w:pPr>
      <w:r w:rsidRPr="001C367C">
        <w:rPr>
          <w:rFonts w:cs="Arial"/>
          <w:i/>
          <w:iCs/>
          <w:sz w:val="22"/>
          <w:szCs w:val="22"/>
        </w:rPr>
        <w:t xml:space="preserve">Se sugiere que la CREG defina a los </w:t>
      </w:r>
      <w:r w:rsidR="003771BD">
        <w:rPr>
          <w:rFonts w:cs="Arial"/>
          <w:i/>
          <w:iCs/>
          <w:sz w:val="22"/>
          <w:szCs w:val="22"/>
        </w:rPr>
        <w:t>‘</w:t>
      </w:r>
      <w:r w:rsidRPr="001C367C">
        <w:rPr>
          <w:rFonts w:cs="Arial"/>
          <w:i/>
          <w:iCs/>
          <w:sz w:val="22"/>
          <w:szCs w:val="22"/>
        </w:rPr>
        <w:t>Pequeños usuarios comerciales inmersos en la red de distribución</w:t>
      </w:r>
      <w:r w:rsidR="003771BD">
        <w:rPr>
          <w:rFonts w:cs="Arial"/>
          <w:i/>
          <w:iCs/>
          <w:sz w:val="22"/>
          <w:szCs w:val="22"/>
        </w:rPr>
        <w:t>’</w:t>
      </w:r>
      <w:r w:rsidRPr="001C367C">
        <w:rPr>
          <w:rFonts w:cs="Arial"/>
          <w:i/>
          <w:iCs/>
          <w:sz w:val="22"/>
          <w:szCs w:val="22"/>
        </w:rPr>
        <w:t xml:space="preserve"> como aquellos usuarios cuya actividad principal sea comercial y no productiva como sucede en algunos casos. Es decir, el consumo de gas se destine mayoritariamente a la actividad comercial y se establezca un tope razonable de consumo mensual, que permita su clasificación como </w:t>
      </w:r>
      <w:r w:rsidR="003771BD">
        <w:rPr>
          <w:rFonts w:cs="Arial"/>
          <w:i/>
          <w:iCs/>
          <w:sz w:val="22"/>
          <w:szCs w:val="22"/>
        </w:rPr>
        <w:t>‘</w:t>
      </w:r>
      <w:r w:rsidRPr="001C367C">
        <w:rPr>
          <w:rFonts w:cs="Arial"/>
          <w:i/>
          <w:iCs/>
          <w:sz w:val="22"/>
          <w:szCs w:val="22"/>
        </w:rPr>
        <w:t>pequeños</w:t>
      </w:r>
      <w:r w:rsidR="003771BD">
        <w:rPr>
          <w:rFonts w:cs="Arial"/>
          <w:i/>
          <w:iCs/>
          <w:sz w:val="22"/>
          <w:szCs w:val="22"/>
        </w:rPr>
        <w:t>’</w:t>
      </w:r>
      <w:r w:rsidRPr="001C367C">
        <w:rPr>
          <w:rFonts w:cs="Arial"/>
          <w:i/>
          <w:iCs/>
          <w:sz w:val="22"/>
          <w:szCs w:val="22"/>
        </w:rPr>
        <w:t>, así como también cotejar las obligaciones y restricciones establecidas tanto en este Proyecto de Resolución, como en el Proyecto de Resolución CREG-227 de 2021, con las libertades dadas a los usuarios en el Proyecto de Resolución CREG 702-002 de 2022.</w:t>
      </w:r>
      <w:r w:rsidRPr="006F1229">
        <w:rPr>
          <w:rFonts w:cs="Arial"/>
          <w:sz w:val="22"/>
          <w:szCs w:val="22"/>
        </w:rPr>
        <w:t>"</w:t>
      </w:r>
    </w:p>
    <w:p w14:paraId="20DCA634" w14:textId="4BE0CB78" w:rsidR="001C367C" w:rsidRDefault="001C367C" w:rsidP="006F1229">
      <w:pPr>
        <w:rPr>
          <w:rFonts w:cs="Arial"/>
          <w:sz w:val="22"/>
          <w:szCs w:val="22"/>
        </w:rPr>
      </w:pPr>
    </w:p>
    <w:p w14:paraId="13A70D27" w14:textId="77777777" w:rsidR="001C367C" w:rsidRPr="00803D95" w:rsidRDefault="001C367C" w:rsidP="001C367C">
      <w:pPr>
        <w:rPr>
          <w:rFonts w:cs="Arial"/>
          <w:b/>
          <w:bCs/>
          <w:sz w:val="22"/>
          <w:szCs w:val="22"/>
        </w:rPr>
      </w:pPr>
      <w:r w:rsidRPr="00803D95">
        <w:rPr>
          <w:rFonts w:cs="Arial"/>
          <w:b/>
          <w:bCs/>
          <w:sz w:val="22"/>
          <w:szCs w:val="22"/>
        </w:rPr>
        <w:t>Respuesta:</w:t>
      </w:r>
    </w:p>
    <w:p w14:paraId="0AB05B93" w14:textId="77777777" w:rsidR="001C367C" w:rsidRDefault="001C367C" w:rsidP="001C367C">
      <w:pPr>
        <w:rPr>
          <w:rFonts w:cs="Arial"/>
          <w:sz w:val="22"/>
          <w:szCs w:val="22"/>
        </w:rPr>
      </w:pPr>
    </w:p>
    <w:p w14:paraId="2AB5D80B" w14:textId="5B3C8906" w:rsidR="001C367C" w:rsidRPr="006F1229" w:rsidRDefault="001C367C" w:rsidP="001C367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_Ref130386731 \r \h </w:instrText>
      </w:r>
      <w:r>
        <w:rPr>
          <w:rFonts w:cs="Arial"/>
          <w:sz w:val="22"/>
          <w:szCs w:val="22"/>
        </w:rPr>
      </w:r>
      <w:r>
        <w:rPr>
          <w:rFonts w:cs="Arial"/>
          <w:sz w:val="22"/>
          <w:szCs w:val="22"/>
        </w:rPr>
        <w:fldChar w:fldCharType="separate"/>
      </w:r>
      <w:r w:rsidR="007651EA">
        <w:rPr>
          <w:rFonts w:cs="Arial"/>
          <w:sz w:val="22"/>
          <w:szCs w:val="22"/>
        </w:rPr>
        <w:t>1.5.1.8</w:t>
      </w:r>
      <w:r>
        <w:rPr>
          <w:rFonts w:cs="Arial"/>
          <w:sz w:val="22"/>
          <w:szCs w:val="22"/>
        </w:rPr>
        <w:fldChar w:fldCharType="end"/>
      </w:r>
      <w:r>
        <w:rPr>
          <w:rFonts w:cs="Arial"/>
          <w:sz w:val="22"/>
          <w:szCs w:val="22"/>
        </w:rPr>
        <w:t>.</w:t>
      </w:r>
    </w:p>
    <w:p w14:paraId="34D073BD" w14:textId="68EB6C2D" w:rsidR="00CD699D" w:rsidRDefault="00CD699D" w:rsidP="00CD699D">
      <w:pPr>
        <w:rPr>
          <w:rFonts w:cs="Arial"/>
          <w:sz w:val="22"/>
          <w:szCs w:val="22"/>
        </w:rPr>
      </w:pPr>
    </w:p>
    <w:p w14:paraId="2AA1F010" w14:textId="21835701" w:rsidR="00FF0180" w:rsidRDefault="00FF0180" w:rsidP="00CD699D">
      <w:pPr>
        <w:rPr>
          <w:rFonts w:cs="Arial"/>
          <w:sz w:val="22"/>
          <w:szCs w:val="22"/>
        </w:rPr>
      </w:pPr>
    </w:p>
    <w:p w14:paraId="46AD75E3" w14:textId="17D3FBF1" w:rsidR="00FF0180" w:rsidRDefault="00FF0180" w:rsidP="00FF0180">
      <w:pPr>
        <w:pStyle w:val="Ttulo2"/>
      </w:pPr>
      <w:bookmarkStart w:id="521" w:name="_Toc140506251"/>
      <w:r>
        <w:t>TEBSA</w:t>
      </w:r>
      <w:bookmarkEnd w:id="521"/>
    </w:p>
    <w:p w14:paraId="2F72C155" w14:textId="606F9C6A" w:rsidR="00CD699D" w:rsidRDefault="00CD699D" w:rsidP="00CD699D">
      <w:pPr>
        <w:pStyle w:val="Ttulo4"/>
      </w:pPr>
      <w:bookmarkStart w:id="522" w:name="_Ref130723219"/>
      <w:r w:rsidRPr="00CD699D">
        <w:t>TEBSA</w:t>
      </w:r>
      <w:bookmarkEnd w:id="522"/>
      <w:r w:rsidRPr="00CD699D">
        <w:tab/>
      </w:r>
    </w:p>
    <w:p w14:paraId="19BF6207" w14:textId="3429D157" w:rsidR="00CD699D" w:rsidRPr="006E4BBB" w:rsidRDefault="003771BD" w:rsidP="00CD699D">
      <w:pPr>
        <w:rPr>
          <w:rFonts w:cs="Arial"/>
          <w:i/>
          <w:iCs/>
          <w:sz w:val="22"/>
          <w:szCs w:val="22"/>
        </w:rPr>
      </w:pPr>
      <w:r>
        <w:rPr>
          <w:rFonts w:cs="Arial"/>
          <w:i/>
          <w:iCs/>
          <w:sz w:val="22"/>
          <w:szCs w:val="22"/>
        </w:rPr>
        <w:t>“</w:t>
      </w:r>
      <w:r w:rsidR="00CD699D" w:rsidRPr="006E4BBB">
        <w:rPr>
          <w:rFonts w:cs="Arial"/>
          <w:i/>
          <w:iCs/>
          <w:sz w:val="22"/>
          <w:szCs w:val="22"/>
        </w:rPr>
        <w:t>¿Cómo la propuesta aporta para una adecuada coordinación gas</w:t>
      </w:r>
      <w:r w:rsidR="006E4BBB" w:rsidRPr="006E4BBB">
        <w:rPr>
          <w:rFonts w:cs="Arial"/>
          <w:i/>
          <w:iCs/>
          <w:sz w:val="22"/>
          <w:szCs w:val="22"/>
        </w:rPr>
        <w:t xml:space="preserve"> </w:t>
      </w:r>
      <w:r w:rsidR="00CD699D" w:rsidRPr="006E4BBB">
        <w:rPr>
          <w:rFonts w:cs="Arial"/>
          <w:i/>
          <w:iCs/>
          <w:sz w:val="22"/>
          <w:szCs w:val="22"/>
        </w:rPr>
        <w:t>electricidad para garantizar que los generadores térmicos a gas cuenten con las garantías comerciales y operativas para atender las exigencias del mercado de energía eléctrica definidas por la misma Comisión?</w:t>
      </w:r>
      <w:r>
        <w:rPr>
          <w:rFonts w:cs="Arial"/>
          <w:i/>
          <w:iCs/>
          <w:sz w:val="22"/>
          <w:szCs w:val="22"/>
        </w:rPr>
        <w:t>”</w:t>
      </w:r>
    </w:p>
    <w:p w14:paraId="3BB60F22" w14:textId="01B3805D" w:rsidR="00CD699D" w:rsidRDefault="00CD699D" w:rsidP="00CD699D">
      <w:pPr>
        <w:rPr>
          <w:rFonts w:cs="Arial"/>
          <w:sz w:val="22"/>
          <w:szCs w:val="22"/>
        </w:rPr>
      </w:pPr>
    </w:p>
    <w:p w14:paraId="5E502E93" w14:textId="3AC5B457" w:rsidR="006E4BBB" w:rsidRPr="006E4BBB" w:rsidRDefault="006E4BBB" w:rsidP="00CD699D">
      <w:pPr>
        <w:rPr>
          <w:rFonts w:cs="Arial"/>
          <w:b/>
          <w:bCs/>
          <w:sz w:val="22"/>
          <w:szCs w:val="22"/>
        </w:rPr>
      </w:pPr>
      <w:r w:rsidRPr="006E4BBB">
        <w:rPr>
          <w:rFonts w:cs="Arial"/>
          <w:b/>
          <w:bCs/>
          <w:sz w:val="22"/>
          <w:szCs w:val="22"/>
        </w:rPr>
        <w:t>Respuesta:</w:t>
      </w:r>
    </w:p>
    <w:p w14:paraId="4DA44EF0" w14:textId="0A45A1AC" w:rsidR="006E4BBB" w:rsidRDefault="006E4BBB" w:rsidP="00CD699D">
      <w:pPr>
        <w:rPr>
          <w:rFonts w:cs="Arial"/>
          <w:sz w:val="22"/>
          <w:szCs w:val="22"/>
        </w:rPr>
      </w:pPr>
    </w:p>
    <w:p w14:paraId="2C57F430" w14:textId="38A17FF8" w:rsidR="006E4BBB" w:rsidRDefault="006E4BBB" w:rsidP="00CD699D">
      <w:pPr>
        <w:rPr>
          <w:rFonts w:cs="Arial"/>
          <w:sz w:val="22"/>
          <w:szCs w:val="22"/>
        </w:rPr>
      </w:pPr>
      <w:r>
        <w:rPr>
          <w:rFonts w:cs="Arial"/>
          <w:sz w:val="22"/>
          <w:szCs w:val="22"/>
        </w:rPr>
        <w:t>La propuesta establece ajustes a las reglas de funcionamiento del Mercado Mayorista de Gas Natural</w:t>
      </w:r>
      <w:r w:rsidR="00D60D09">
        <w:rPr>
          <w:rFonts w:cs="Arial"/>
          <w:sz w:val="22"/>
          <w:szCs w:val="22"/>
        </w:rPr>
        <w:t xml:space="preserve"> que se aplican a cualquier tipo de agente o de sector de consumo</w:t>
      </w:r>
      <w:r>
        <w:rPr>
          <w:rFonts w:cs="Arial"/>
          <w:sz w:val="22"/>
          <w:szCs w:val="22"/>
        </w:rPr>
        <w:t xml:space="preserve">. </w:t>
      </w:r>
      <w:r w:rsidR="00D60D09">
        <w:rPr>
          <w:rFonts w:cs="Arial"/>
          <w:sz w:val="22"/>
          <w:szCs w:val="22"/>
        </w:rPr>
        <w:t>Por otra parte, no se entiende en el comentario a qué exigencias específicas se hace referencia cuando se enuncia “</w:t>
      </w:r>
      <w:r w:rsidR="00D60D09" w:rsidRPr="00D60D09">
        <w:rPr>
          <w:rFonts w:cs="Arial"/>
          <w:i/>
          <w:iCs/>
          <w:sz w:val="22"/>
          <w:szCs w:val="22"/>
        </w:rPr>
        <w:t>las exigencias del mercado de energía eléctrica</w:t>
      </w:r>
      <w:r w:rsidR="00D60D09">
        <w:rPr>
          <w:rFonts w:cs="Arial"/>
          <w:sz w:val="22"/>
          <w:szCs w:val="22"/>
        </w:rPr>
        <w:t>”, si es por ejemplo lo que tiene que ver con los requerimientos regulatorios sobre las Obligaciones de Energía Firme, en los que determina el tipo de contratos de suministro y transporte de los recursos energéticos que usan las centrales de generación que deben presentar para acreditar el cumplimiento de esos requisitos</w:t>
      </w:r>
      <w:r w:rsidR="00476740">
        <w:rPr>
          <w:rFonts w:cs="Arial"/>
          <w:sz w:val="22"/>
          <w:szCs w:val="22"/>
        </w:rPr>
        <w:t>;</w:t>
      </w:r>
      <w:r w:rsidR="00D60D09">
        <w:rPr>
          <w:rFonts w:cs="Arial"/>
          <w:sz w:val="22"/>
          <w:szCs w:val="22"/>
        </w:rPr>
        <w:t xml:space="preserve"> si se trata de garantías de cumplimiento de los contratos de suministro de gas natural en particular</w:t>
      </w:r>
      <w:r w:rsidR="00747BE7">
        <w:rPr>
          <w:rFonts w:cs="Arial"/>
          <w:sz w:val="22"/>
          <w:szCs w:val="22"/>
        </w:rPr>
        <w:t>;</w:t>
      </w:r>
      <w:r w:rsidR="00D60D09">
        <w:rPr>
          <w:rFonts w:cs="Arial"/>
          <w:sz w:val="22"/>
          <w:szCs w:val="22"/>
        </w:rPr>
        <w:t xml:space="preserve"> o si se trata de la coordinación operativa para las nominaciones y </w:t>
      </w:r>
      <w:proofErr w:type="spellStart"/>
      <w:r w:rsidR="00D60D09">
        <w:rPr>
          <w:rFonts w:cs="Arial"/>
          <w:sz w:val="22"/>
          <w:szCs w:val="22"/>
        </w:rPr>
        <w:t>renominaciones</w:t>
      </w:r>
      <w:proofErr w:type="spellEnd"/>
      <w:r w:rsidR="00D60D09">
        <w:rPr>
          <w:rFonts w:cs="Arial"/>
          <w:sz w:val="22"/>
          <w:szCs w:val="22"/>
        </w:rPr>
        <w:t xml:space="preserve"> de gas, así como las autorizaciones de los vendedores para cumplir con despacho, redespachos de las centrales de generación en el día de generación. </w:t>
      </w:r>
    </w:p>
    <w:p w14:paraId="1619B2B5" w14:textId="72E9816C" w:rsidR="00D60D09" w:rsidRDefault="00D60D09" w:rsidP="00CD699D">
      <w:pPr>
        <w:rPr>
          <w:rFonts w:cs="Arial"/>
          <w:sz w:val="22"/>
          <w:szCs w:val="22"/>
        </w:rPr>
      </w:pPr>
    </w:p>
    <w:p w14:paraId="03170ADE" w14:textId="707714AD" w:rsidR="00D60D09" w:rsidRDefault="00D60D09" w:rsidP="00CD699D">
      <w:pPr>
        <w:rPr>
          <w:rFonts w:cs="Arial"/>
          <w:sz w:val="22"/>
          <w:szCs w:val="22"/>
        </w:rPr>
      </w:pPr>
      <w:r>
        <w:rPr>
          <w:rFonts w:cs="Arial"/>
          <w:sz w:val="22"/>
          <w:szCs w:val="22"/>
        </w:rPr>
        <w:t xml:space="preserve">Se debe tener en cuenta eso sí que los generadores del sector eléctrico son quienes deciden qué fuente energética utilizan en sus centrales de generación para tener la capacidad de producir la energía eléctrica </w:t>
      </w:r>
      <w:r w:rsidR="004D59B0">
        <w:rPr>
          <w:rFonts w:cs="Arial"/>
          <w:sz w:val="22"/>
          <w:szCs w:val="22"/>
        </w:rPr>
        <w:t>y de hacerlo cuando sea llamado a generar</w:t>
      </w:r>
      <w:r>
        <w:rPr>
          <w:rFonts w:cs="Arial"/>
          <w:sz w:val="22"/>
          <w:szCs w:val="22"/>
        </w:rPr>
        <w:t xml:space="preserve"> y así cumplir sus obligaciones comerciales y operativas con dicho sector</w:t>
      </w:r>
      <w:r w:rsidR="004D59B0">
        <w:rPr>
          <w:rFonts w:cs="Arial"/>
          <w:sz w:val="22"/>
          <w:szCs w:val="22"/>
        </w:rPr>
        <w:t>.</w:t>
      </w:r>
    </w:p>
    <w:p w14:paraId="4E088950" w14:textId="38889130" w:rsidR="00D60D09" w:rsidRDefault="00D60D09" w:rsidP="00CD699D">
      <w:pPr>
        <w:rPr>
          <w:rFonts w:cs="Arial"/>
          <w:sz w:val="22"/>
          <w:szCs w:val="22"/>
        </w:rPr>
      </w:pPr>
    </w:p>
    <w:p w14:paraId="301F2C73" w14:textId="77777777" w:rsidR="006E4BBB" w:rsidRDefault="006E4BBB" w:rsidP="00CD699D">
      <w:pPr>
        <w:rPr>
          <w:rFonts w:cs="Arial"/>
          <w:sz w:val="22"/>
          <w:szCs w:val="22"/>
        </w:rPr>
      </w:pPr>
    </w:p>
    <w:p w14:paraId="120C1184" w14:textId="77777777" w:rsidR="006F6DE1" w:rsidRDefault="006F6DE1" w:rsidP="00CD699D">
      <w:pPr>
        <w:rPr>
          <w:rFonts w:cs="Arial"/>
          <w:sz w:val="22"/>
          <w:szCs w:val="22"/>
        </w:rPr>
      </w:pPr>
    </w:p>
    <w:p w14:paraId="17952E73" w14:textId="77777777" w:rsidR="00CD699D" w:rsidRDefault="00CD699D" w:rsidP="00CD699D">
      <w:pPr>
        <w:pStyle w:val="Ttulo4"/>
      </w:pPr>
      <w:r w:rsidRPr="00CD699D">
        <w:t>TEBSA</w:t>
      </w:r>
      <w:r w:rsidRPr="00CD699D">
        <w:tab/>
      </w:r>
    </w:p>
    <w:p w14:paraId="5E2075F7" w14:textId="39276C0A" w:rsidR="00CD699D" w:rsidRPr="004D59B0" w:rsidRDefault="00EC4AEF" w:rsidP="00CD699D">
      <w:pPr>
        <w:rPr>
          <w:rFonts w:cs="Arial"/>
          <w:i/>
          <w:iCs/>
          <w:sz w:val="22"/>
          <w:szCs w:val="22"/>
        </w:rPr>
      </w:pPr>
      <w:r>
        <w:rPr>
          <w:rFonts w:cs="Arial"/>
          <w:i/>
          <w:iCs/>
          <w:sz w:val="22"/>
          <w:szCs w:val="22"/>
        </w:rPr>
        <w:t>“</w:t>
      </w:r>
      <w:r w:rsidR="00CD699D" w:rsidRPr="004D59B0">
        <w:rPr>
          <w:rFonts w:cs="Arial"/>
          <w:i/>
          <w:iCs/>
          <w:sz w:val="22"/>
          <w:szCs w:val="22"/>
        </w:rPr>
        <w:t>¿Cómo la CREG garantizará el combustible flexible, acorde a las condiciones de uso en virtud de las altas variaciones al despacho y a la estacionalidad para la generación térmica?</w:t>
      </w:r>
      <w:r>
        <w:rPr>
          <w:rFonts w:cs="Arial"/>
          <w:i/>
          <w:iCs/>
          <w:sz w:val="22"/>
          <w:szCs w:val="22"/>
        </w:rPr>
        <w:t>”</w:t>
      </w:r>
    </w:p>
    <w:p w14:paraId="5F84A06A" w14:textId="009BDAFE" w:rsidR="00CD699D" w:rsidRDefault="00CD699D" w:rsidP="00CD699D">
      <w:pPr>
        <w:rPr>
          <w:rFonts w:cs="Arial"/>
          <w:sz w:val="22"/>
          <w:szCs w:val="22"/>
        </w:rPr>
      </w:pPr>
    </w:p>
    <w:p w14:paraId="762CFDFD" w14:textId="727D711E" w:rsidR="00D60D09" w:rsidRPr="00D60D09" w:rsidRDefault="00D60D09" w:rsidP="00CD699D">
      <w:pPr>
        <w:rPr>
          <w:rFonts w:cs="Arial"/>
          <w:b/>
          <w:bCs/>
          <w:sz w:val="22"/>
          <w:szCs w:val="22"/>
        </w:rPr>
      </w:pPr>
      <w:r w:rsidRPr="00D60D09">
        <w:rPr>
          <w:rFonts w:cs="Arial"/>
          <w:b/>
          <w:bCs/>
          <w:sz w:val="22"/>
          <w:szCs w:val="22"/>
        </w:rPr>
        <w:t>Respuesta:</w:t>
      </w:r>
    </w:p>
    <w:p w14:paraId="516984E8" w14:textId="236116E7" w:rsidR="00D60D09" w:rsidRDefault="00D60D09" w:rsidP="00CD699D">
      <w:pPr>
        <w:rPr>
          <w:rFonts w:cs="Arial"/>
          <w:sz w:val="22"/>
          <w:szCs w:val="22"/>
        </w:rPr>
      </w:pPr>
    </w:p>
    <w:p w14:paraId="5EB85EAD" w14:textId="52D47D16" w:rsidR="004D59B0" w:rsidRDefault="004D59B0" w:rsidP="00CD699D">
      <w:pPr>
        <w:rPr>
          <w:rFonts w:cs="Arial"/>
          <w:sz w:val="22"/>
          <w:szCs w:val="22"/>
        </w:rPr>
      </w:pPr>
      <w:r>
        <w:rPr>
          <w:rFonts w:cs="Arial"/>
          <w:sz w:val="22"/>
          <w:szCs w:val="22"/>
        </w:rPr>
        <w:t>La CREG determina las reglas del funcionamiento del Mercado Mayorista, entre ellas la conformación del Mercado Primario y del Mercado Secundario dentro del Mercado Mayorista, las modalidades contractuales, las condiciones mínimas de los contratos y los mecanismos de comercialización</w:t>
      </w:r>
      <w:r w:rsidR="00B073C4">
        <w:rPr>
          <w:rFonts w:cs="Arial"/>
          <w:sz w:val="22"/>
          <w:szCs w:val="22"/>
        </w:rPr>
        <w:t xml:space="preserve"> del suministro y del transporte de gas natural</w:t>
      </w:r>
      <w:r>
        <w:rPr>
          <w:rFonts w:cs="Arial"/>
          <w:sz w:val="22"/>
          <w:szCs w:val="22"/>
        </w:rPr>
        <w:t xml:space="preserve">. Corresponde a los agentes vendedores y compradores de suministro de gas natural utilizar dichas reglas para obtener el gas que requiere cada sector de consumo. </w:t>
      </w:r>
    </w:p>
    <w:p w14:paraId="5364469B" w14:textId="1A6867CB" w:rsidR="004D59B0" w:rsidRDefault="004D59B0" w:rsidP="00CD699D">
      <w:pPr>
        <w:rPr>
          <w:rFonts w:cs="Arial"/>
          <w:sz w:val="22"/>
          <w:szCs w:val="22"/>
        </w:rPr>
      </w:pPr>
    </w:p>
    <w:p w14:paraId="728C915F" w14:textId="1302BDCA" w:rsidR="004D59B0" w:rsidRDefault="004D59B0" w:rsidP="00CD699D">
      <w:pPr>
        <w:rPr>
          <w:rFonts w:cs="Arial"/>
          <w:sz w:val="22"/>
          <w:szCs w:val="22"/>
        </w:rPr>
      </w:pPr>
      <w:r>
        <w:rPr>
          <w:rFonts w:cs="Arial"/>
          <w:sz w:val="22"/>
          <w:szCs w:val="22"/>
        </w:rPr>
        <w:t xml:space="preserve">En el Mercado Secundario inicialmente se busca negociar en venta aquellas cantidades contratadas en el Mercado Primario para propio consumo o atención de usuarios propios, que no fue necesario consumir en un período determinado debido a que, por ejemplo, las condiciones de uso son de alta variación y no corresponden a un patrón </w:t>
      </w:r>
      <w:r w:rsidR="00B073C4">
        <w:rPr>
          <w:rFonts w:cs="Arial"/>
          <w:sz w:val="22"/>
          <w:szCs w:val="22"/>
        </w:rPr>
        <w:t>periódico</w:t>
      </w:r>
      <w:r>
        <w:rPr>
          <w:rFonts w:cs="Arial"/>
          <w:sz w:val="22"/>
          <w:szCs w:val="22"/>
        </w:rPr>
        <w:t xml:space="preserve">. </w:t>
      </w:r>
    </w:p>
    <w:p w14:paraId="661D9AB1" w14:textId="77777777" w:rsidR="004D59B0" w:rsidRDefault="004D59B0" w:rsidP="00CD699D">
      <w:pPr>
        <w:rPr>
          <w:rFonts w:cs="Arial"/>
          <w:sz w:val="22"/>
          <w:szCs w:val="22"/>
        </w:rPr>
      </w:pPr>
    </w:p>
    <w:p w14:paraId="52039760" w14:textId="412ABE91" w:rsidR="004D59B0" w:rsidRDefault="004D59B0" w:rsidP="00CD699D">
      <w:pPr>
        <w:rPr>
          <w:rFonts w:cs="Arial"/>
          <w:sz w:val="22"/>
          <w:szCs w:val="22"/>
        </w:rPr>
      </w:pPr>
      <w:r>
        <w:rPr>
          <w:rFonts w:cs="Arial"/>
          <w:sz w:val="22"/>
          <w:szCs w:val="22"/>
        </w:rPr>
        <w:t>En la evolución del Mercado Primario iniciada con la Resolución CREG 089 de 2013, se han establecido ajustes en las modalidades contractuales que han buscado</w:t>
      </w:r>
      <w:r w:rsidR="00B073C4">
        <w:rPr>
          <w:rFonts w:cs="Arial"/>
          <w:sz w:val="22"/>
          <w:szCs w:val="22"/>
        </w:rPr>
        <w:t xml:space="preserve"> que se puedan atender a</w:t>
      </w:r>
      <w:r>
        <w:rPr>
          <w:rFonts w:cs="Arial"/>
          <w:sz w:val="22"/>
          <w:szCs w:val="22"/>
        </w:rPr>
        <w:t xml:space="preserve"> aquellos usuarios que presentan altas variaciones de consumo, como fue el caso de la modalidad contractual C1. Sin embargo, por diferentes circunstancias la efectividad y uso de dicha modalidad fue casi nula.</w:t>
      </w:r>
    </w:p>
    <w:p w14:paraId="31D48994" w14:textId="77777777" w:rsidR="004D59B0" w:rsidRDefault="004D59B0" w:rsidP="00CD699D">
      <w:pPr>
        <w:rPr>
          <w:rFonts w:cs="Arial"/>
          <w:sz w:val="22"/>
          <w:szCs w:val="22"/>
        </w:rPr>
      </w:pPr>
    </w:p>
    <w:p w14:paraId="32628F78" w14:textId="3EDE2A34" w:rsidR="004D59B0" w:rsidRDefault="004D59B0" w:rsidP="00CD699D">
      <w:pPr>
        <w:rPr>
          <w:rFonts w:cs="Arial"/>
          <w:sz w:val="22"/>
          <w:szCs w:val="22"/>
        </w:rPr>
      </w:pPr>
      <w:r>
        <w:rPr>
          <w:rFonts w:cs="Arial"/>
          <w:sz w:val="22"/>
          <w:szCs w:val="22"/>
        </w:rPr>
        <w:t>Con la nueva propuesta de ajuste se busca dar mayor flexibilidad para que los contratos se puedan acomodar de mejor manera a consumos estacionales de ciertos usuarios, entre ellos los del sector térmico. Se trata entonces de que se puedan suscribir y registrar contratos de mediano y largo plazo (superiores a 1 año de duración) en el que se pueden establecer, entre otros aspectos, cantidades diferentes de ejecución en cada trimestre de dicho contrato y ecuaciones de actualización de precios que pueden ser modificadas en el tiempo para uso en períodos diferentes a un año. Asimismo, se proponen contratos de duración mensual para ser ejecutados en el siguiente trimestre al trimestre de negociación o incluso durante el mismo trimestre de negociación. En cuanto a los vendedores del Mercado Primario se les permite actualizaciones trimestrales de sus declaraciones de oferta de PTDVF/CIDVF.</w:t>
      </w:r>
    </w:p>
    <w:p w14:paraId="6C05E36E" w14:textId="38F2EB4C" w:rsidR="004D59B0" w:rsidRDefault="004D59B0" w:rsidP="00CD699D">
      <w:pPr>
        <w:rPr>
          <w:rFonts w:cs="Arial"/>
          <w:sz w:val="22"/>
          <w:szCs w:val="22"/>
        </w:rPr>
      </w:pPr>
    </w:p>
    <w:p w14:paraId="5A3991A8" w14:textId="1B96F36F" w:rsidR="004D59B0" w:rsidRDefault="004D59B0" w:rsidP="00CD699D">
      <w:pPr>
        <w:rPr>
          <w:rFonts w:cs="Arial"/>
          <w:sz w:val="22"/>
          <w:szCs w:val="22"/>
        </w:rPr>
      </w:pPr>
      <w:r>
        <w:rPr>
          <w:rFonts w:cs="Arial"/>
          <w:sz w:val="22"/>
          <w:szCs w:val="22"/>
        </w:rPr>
        <w:t xml:space="preserve">También con la propuesta se propone un procedimiento de información y de publicación de </w:t>
      </w:r>
      <w:r w:rsidR="00B63DAE">
        <w:rPr>
          <w:rFonts w:cs="Arial"/>
          <w:sz w:val="22"/>
          <w:szCs w:val="22"/>
        </w:rPr>
        <w:t xml:space="preserve">las </w:t>
      </w:r>
      <w:r>
        <w:rPr>
          <w:rFonts w:cs="Arial"/>
          <w:sz w:val="22"/>
          <w:szCs w:val="22"/>
        </w:rPr>
        <w:t xml:space="preserve">cantidades ofertadas en firme </w:t>
      </w:r>
      <w:r w:rsidR="00B63DAE">
        <w:rPr>
          <w:rFonts w:cs="Arial"/>
          <w:sz w:val="22"/>
          <w:szCs w:val="22"/>
        </w:rPr>
        <w:t>pero también de las</w:t>
      </w:r>
      <w:r>
        <w:rPr>
          <w:rFonts w:cs="Arial"/>
          <w:sz w:val="22"/>
          <w:szCs w:val="22"/>
        </w:rPr>
        <w:t xml:space="preserve"> cantidades requeridas por los compradores, así como el desarrollo de balances comerciales de oferta – demanda. Asimismo, se propone la negociación trimestral del suministro, dejando de lado la negociación anual actualmente establecida.</w:t>
      </w:r>
    </w:p>
    <w:p w14:paraId="2BE230A1" w14:textId="1F705F8A" w:rsidR="004D59B0" w:rsidRDefault="004D59B0" w:rsidP="00CD699D">
      <w:pPr>
        <w:rPr>
          <w:rFonts w:cs="Arial"/>
          <w:sz w:val="22"/>
          <w:szCs w:val="22"/>
        </w:rPr>
      </w:pPr>
    </w:p>
    <w:p w14:paraId="3D7E774B" w14:textId="59A2C469" w:rsidR="004D59B0" w:rsidRDefault="004D59B0" w:rsidP="00CD699D">
      <w:pPr>
        <w:rPr>
          <w:rFonts w:cs="Arial"/>
          <w:sz w:val="22"/>
          <w:szCs w:val="22"/>
        </w:rPr>
      </w:pPr>
      <w:r>
        <w:rPr>
          <w:rFonts w:cs="Arial"/>
          <w:sz w:val="22"/>
          <w:szCs w:val="22"/>
        </w:rPr>
        <w:t>Se espera que con la combinación de esto ajustes en las condiciones del contenido de los contratos, condiciones de su negociación, modalidades contractuales y el uso del Mercado Secundario</w:t>
      </w:r>
      <w:r w:rsidR="00B63DAE">
        <w:rPr>
          <w:rFonts w:cs="Arial"/>
          <w:sz w:val="22"/>
          <w:szCs w:val="22"/>
        </w:rPr>
        <w:t>,</w:t>
      </w:r>
      <w:r>
        <w:rPr>
          <w:rFonts w:cs="Arial"/>
          <w:sz w:val="22"/>
          <w:szCs w:val="22"/>
        </w:rPr>
        <w:t xml:space="preserve"> aquellos usuarios con altas variaciones en el consumo, en general y usuarios del sector térmico que pretendan la asignación de Obligaciones de Energía Firme – OEF</w:t>
      </w:r>
      <w:r w:rsidR="00B63DAE">
        <w:rPr>
          <w:rFonts w:cs="Arial"/>
          <w:sz w:val="22"/>
          <w:szCs w:val="22"/>
        </w:rPr>
        <w:t>,</w:t>
      </w:r>
      <w:r>
        <w:rPr>
          <w:rFonts w:cs="Arial"/>
          <w:sz w:val="22"/>
          <w:szCs w:val="22"/>
        </w:rPr>
        <w:t xml:space="preserve"> cuenten con mayores flexibilidades que les permitan tomar sus decisiones y viabilizar proyectos a partir de la disponibilidad y uso del gas natural</w:t>
      </w:r>
    </w:p>
    <w:p w14:paraId="74DF8D7B" w14:textId="77777777" w:rsidR="004D59B0" w:rsidRDefault="004D59B0" w:rsidP="00CD699D">
      <w:pPr>
        <w:rPr>
          <w:rFonts w:cs="Arial"/>
          <w:sz w:val="22"/>
          <w:szCs w:val="22"/>
        </w:rPr>
      </w:pPr>
    </w:p>
    <w:p w14:paraId="350DFCD0" w14:textId="5455DE5D" w:rsidR="004D59B0" w:rsidRDefault="004D59B0" w:rsidP="00CD699D">
      <w:pPr>
        <w:rPr>
          <w:rFonts w:cs="Arial"/>
          <w:sz w:val="22"/>
          <w:szCs w:val="22"/>
        </w:rPr>
      </w:pPr>
      <w:r>
        <w:rPr>
          <w:rFonts w:cs="Arial"/>
          <w:sz w:val="22"/>
          <w:szCs w:val="22"/>
        </w:rPr>
        <w:t>Por último, en la propuesta se incluye la posibilidad de que sean los mismos agentes quienes propongan modalidades contractuales, de modo que</w:t>
      </w:r>
      <w:r w:rsidR="00AF1602">
        <w:rPr>
          <w:rFonts w:cs="Arial"/>
          <w:sz w:val="22"/>
          <w:szCs w:val="22"/>
        </w:rPr>
        <w:t>,</w:t>
      </w:r>
      <w:r>
        <w:rPr>
          <w:rFonts w:cs="Arial"/>
          <w:sz w:val="22"/>
          <w:szCs w:val="22"/>
        </w:rPr>
        <w:t xml:space="preserve"> si las establecidas por la CREG no parecen suficientes, haya un</w:t>
      </w:r>
      <w:r w:rsidR="00AF1602">
        <w:rPr>
          <w:rFonts w:cs="Arial"/>
          <w:sz w:val="22"/>
          <w:szCs w:val="22"/>
        </w:rPr>
        <w:t>a</w:t>
      </w:r>
      <w:r>
        <w:rPr>
          <w:rFonts w:cs="Arial"/>
          <w:sz w:val="22"/>
          <w:szCs w:val="22"/>
        </w:rPr>
        <w:t xml:space="preserve"> </w:t>
      </w:r>
      <w:r w:rsidR="00AF1602">
        <w:rPr>
          <w:rFonts w:cs="Arial"/>
          <w:sz w:val="22"/>
          <w:szCs w:val="22"/>
        </w:rPr>
        <w:t xml:space="preserve">alternativa </w:t>
      </w:r>
      <w:r>
        <w:rPr>
          <w:rFonts w:cs="Arial"/>
          <w:sz w:val="22"/>
          <w:szCs w:val="22"/>
        </w:rPr>
        <w:t>de incorporar otras que no hayan sido de iniciativa de la CREG.</w:t>
      </w:r>
    </w:p>
    <w:p w14:paraId="5D23E9A7" w14:textId="77777777" w:rsidR="00D60D09" w:rsidRDefault="00D60D09" w:rsidP="00CD699D">
      <w:pPr>
        <w:rPr>
          <w:rFonts w:cs="Arial"/>
          <w:sz w:val="22"/>
          <w:szCs w:val="22"/>
        </w:rPr>
      </w:pPr>
    </w:p>
    <w:p w14:paraId="0C3AC9BD" w14:textId="77777777" w:rsidR="006F6DE1" w:rsidRDefault="006F6DE1" w:rsidP="00CD699D">
      <w:pPr>
        <w:rPr>
          <w:rFonts w:cs="Arial"/>
          <w:sz w:val="22"/>
          <w:szCs w:val="22"/>
        </w:rPr>
      </w:pPr>
    </w:p>
    <w:p w14:paraId="0240EDAC" w14:textId="77777777" w:rsidR="00CD699D" w:rsidRDefault="00CD699D" w:rsidP="00CD699D">
      <w:pPr>
        <w:pStyle w:val="Ttulo4"/>
      </w:pPr>
      <w:r w:rsidRPr="00CD699D">
        <w:t>TEBSA</w:t>
      </w:r>
      <w:r w:rsidRPr="00CD699D">
        <w:tab/>
      </w:r>
    </w:p>
    <w:p w14:paraId="3CCDCE84" w14:textId="123E2C0E" w:rsidR="006F1229" w:rsidRPr="00D36A76" w:rsidRDefault="0016117E" w:rsidP="00CD699D">
      <w:pPr>
        <w:rPr>
          <w:rFonts w:cs="Arial"/>
          <w:i/>
          <w:iCs/>
          <w:sz w:val="22"/>
          <w:szCs w:val="22"/>
        </w:rPr>
      </w:pPr>
      <w:r>
        <w:rPr>
          <w:rFonts w:cs="Arial"/>
          <w:i/>
          <w:iCs/>
          <w:sz w:val="22"/>
          <w:szCs w:val="22"/>
        </w:rPr>
        <w:t>“</w:t>
      </w:r>
      <w:r w:rsidR="00CD699D" w:rsidRPr="00D36A76">
        <w:rPr>
          <w:rFonts w:cs="Arial"/>
          <w:i/>
          <w:iCs/>
          <w:sz w:val="22"/>
          <w:szCs w:val="22"/>
        </w:rPr>
        <w:t>¿Considera la Comisión que se establecerán mecanismos adicionales a los existente, para garantizar la continuidad en la prestación del servicio por parte de la Terminal de Regasificación de Cartagena por lo menos por diez (10) años más?</w:t>
      </w:r>
      <w:r>
        <w:rPr>
          <w:rFonts w:cs="Arial"/>
          <w:i/>
          <w:iCs/>
          <w:sz w:val="22"/>
          <w:szCs w:val="22"/>
        </w:rPr>
        <w:t>”</w:t>
      </w:r>
    </w:p>
    <w:p w14:paraId="33824B26" w14:textId="78F08A25" w:rsidR="00CD699D" w:rsidRDefault="00CD699D" w:rsidP="006F1229">
      <w:pPr>
        <w:rPr>
          <w:rFonts w:cs="Arial"/>
          <w:sz w:val="22"/>
          <w:szCs w:val="22"/>
        </w:rPr>
      </w:pPr>
    </w:p>
    <w:p w14:paraId="3EF095E4" w14:textId="35109BA3" w:rsidR="00D36A76" w:rsidRPr="00D36A76" w:rsidRDefault="00D36A76" w:rsidP="006F1229">
      <w:pPr>
        <w:rPr>
          <w:rFonts w:cs="Arial"/>
          <w:b/>
          <w:bCs/>
          <w:sz w:val="22"/>
          <w:szCs w:val="22"/>
        </w:rPr>
      </w:pPr>
      <w:r w:rsidRPr="00D36A76">
        <w:rPr>
          <w:rFonts w:cs="Arial"/>
          <w:b/>
          <w:bCs/>
          <w:sz w:val="22"/>
          <w:szCs w:val="22"/>
        </w:rPr>
        <w:t>Respuesta:</w:t>
      </w:r>
    </w:p>
    <w:p w14:paraId="592F9467" w14:textId="4E51356A" w:rsidR="00D36A76" w:rsidRDefault="00D36A76" w:rsidP="006F1229">
      <w:pPr>
        <w:rPr>
          <w:rFonts w:cs="Arial"/>
          <w:sz w:val="22"/>
          <w:szCs w:val="22"/>
        </w:rPr>
      </w:pPr>
    </w:p>
    <w:p w14:paraId="1C7AF003" w14:textId="04C75339" w:rsidR="00D36A76" w:rsidRDefault="00D36A76" w:rsidP="006F1229">
      <w:pPr>
        <w:rPr>
          <w:rFonts w:cs="Arial"/>
          <w:sz w:val="22"/>
          <w:szCs w:val="22"/>
        </w:rPr>
      </w:pPr>
      <w:r>
        <w:rPr>
          <w:rFonts w:cs="Arial"/>
          <w:sz w:val="22"/>
          <w:szCs w:val="22"/>
        </w:rPr>
        <w:t xml:space="preserve">No es parte del alcance de las reglas del Mercado Mayorista de suministro de gas establecer mecanismos de remuneración de infraestructuras de importación de gas, incluidas las infraestructuras de regasificación. </w:t>
      </w:r>
    </w:p>
    <w:p w14:paraId="6DD073F1" w14:textId="70FCD444" w:rsidR="00D36A76" w:rsidRDefault="00D36A76" w:rsidP="006F1229">
      <w:pPr>
        <w:rPr>
          <w:rFonts w:cs="Arial"/>
          <w:sz w:val="22"/>
          <w:szCs w:val="22"/>
        </w:rPr>
      </w:pPr>
    </w:p>
    <w:p w14:paraId="2E682E50" w14:textId="7D40770A" w:rsidR="00D36A76" w:rsidRDefault="00D36A76" w:rsidP="006F1229">
      <w:pPr>
        <w:rPr>
          <w:rFonts w:cs="Arial"/>
          <w:sz w:val="22"/>
          <w:szCs w:val="22"/>
        </w:rPr>
      </w:pPr>
      <w:r>
        <w:rPr>
          <w:rFonts w:cs="Arial"/>
          <w:sz w:val="22"/>
          <w:szCs w:val="22"/>
        </w:rPr>
        <w:t>Por otro lado, la CREG en resoluciones aparte, determina las condiciones de selección y remuneración de los proyectos adoptados por el MME en los planes de abastecimiento de gas natural y las condiciones de acceso a los servicios asociados de dichos proyectos</w:t>
      </w:r>
      <w:r w:rsidR="0016117E">
        <w:rPr>
          <w:rFonts w:cs="Arial"/>
          <w:sz w:val="22"/>
          <w:szCs w:val="22"/>
        </w:rPr>
        <w:t>, de acuerdo con lo previsto en la Agenda regulatoria Indic</w:t>
      </w:r>
      <w:r w:rsidR="005433A5">
        <w:rPr>
          <w:rFonts w:cs="Arial"/>
          <w:sz w:val="22"/>
          <w:szCs w:val="22"/>
        </w:rPr>
        <w:t>a</w:t>
      </w:r>
      <w:r w:rsidR="0016117E">
        <w:rPr>
          <w:rFonts w:cs="Arial"/>
          <w:sz w:val="22"/>
          <w:szCs w:val="22"/>
        </w:rPr>
        <w:t>tiva 2023</w:t>
      </w:r>
      <w:r>
        <w:rPr>
          <w:rFonts w:cs="Arial"/>
          <w:sz w:val="22"/>
          <w:szCs w:val="22"/>
        </w:rPr>
        <w:t>.</w:t>
      </w:r>
    </w:p>
    <w:p w14:paraId="395D65C7" w14:textId="42565052" w:rsidR="00CF0A51" w:rsidRDefault="00CF0A51" w:rsidP="006F1229">
      <w:pPr>
        <w:rPr>
          <w:rFonts w:cs="Arial"/>
          <w:sz w:val="22"/>
          <w:szCs w:val="22"/>
        </w:rPr>
      </w:pPr>
    </w:p>
    <w:p w14:paraId="04542AB7" w14:textId="7DCC77C2" w:rsidR="00CF0A51" w:rsidRDefault="0016117E" w:rsidP="006F1229">
      <w:pPr>
        <w:rPr>
          <w:rFonts w:cs="Arial"/>
          <w:sz w:val="22"/>
          <w:szCs w:val="22"/>
        </w:rPr>
      </w:pPr>
      <w:r>
        <w:rPr>
          <w:rFonts w:cs="Arial"/>
          <w:sz w:val="22"/>
          <w:szCs w:val="22"/>
        </w:rPr>
        <w:t xml:space="preserve">Adicionalmente, se sugiere </w:t>
      </w:r>
      <w:r w:rsidR="00CF0A51">
        <w:rPr>
          <w:rFonts w:cs="Arial"/>
          <w:sz w:val="22"/>
          <w:szCs w:val="22"/>
        </w:rPr>
        <w:t xml:space="preserve">Ver respuesta al </w:t>
      </w:r>
      <w:r w:rsidR="00CF0A51">
        <w:rPr>
          <w:rFonts w:cs="Arial"/>
          <w:sz w:val="22"/>
          <w:szCs w:val="22"/>
        </w:rPr>
        <w:fldChar w:fldCharType="begin"/>
      </w:r>
      <w:r w:rsidR="00CF0A51">
        <w:rPr>
          <w:rFonts w:cs="Arial"/>
          <w:sz w:val="22"/>
          <w:szCs w:val="22"/>
        </w:rPr>
        <w:instrText xml:space="preserve"> REF _Ref130454044 \r \h </w:instrText>
      </w:r>
      <w:r w:rsidR="00CF0A51">
        <w:rPr>
          <w:rFonts w:cs="Arial"/>
          <w:sz w:val="22"/>
          <w:szCs w:val="22"/>
        </w:rPr>
      </w:r>
      <w:r w:rsidR="00CF0A51">
        <w:rPr>
          <w:rFonts w:cs="Arial"/>
          <w:sz w:val="22"/>
          <w:szCs w:val="22"/>
        </w:rPr>
        <w:fldChar w:fldCharType="separate"/>
      </w:r>
      <w:r w:rsidR="007651EA">
        <w:rPr>
          <w:rFonts w:cs="Arial"/>
          <w:sz w:val="22"/>
          <w:szCs w:val="22"/>
        </w:rPr>
        <w:t>1.10.1.1</w:t>
      </w:r>
      <w:r w:rsidR="00CF0A51">
        <w:rPr>
          <w:rFonts w:cs="Arial"/>
          <w:sz w:val="22"/>
          <w:szCs w:val="22"/>
        </w:rPr>
        <w:fldChar w:fldCharType="end"/>
      </w:r>
      <w:r w:rsidR="00CF0A51">
        <w:rPr>
          <w:rFonts w:cs="Arial"/>
          <w:sz w:val="22"/>
          <w:szCs w:val="22"/>
        </w:rPr>
        <w:t>.</w:t>
      </w:r>
    </w:p>
    <w:p w14:paraId="3E5E9A46" w14:textId="77777777" w:rsidR="00D36A76" w:rsidRDefault="00D36A76" w:rsidP="006F1229">
      <w:pPr>
        <w:rPr>
          <w:rFonts w:cs="Arial"/>
          <w:sz w:val="22"/>
          <w:szCs w:val="22"/>
        </w:rPr>
      </w:pPr>
    </w:p>
    <w:p w14:paraId="080B0826" w14:textId="3A75111C" w:rsidR="006F6DE1" w:rsidRDefault="006F6DE1" w:rsidP="006F1229">
      <w:pPr>
        <w:rPr>
          <w:rFonts w:cs="Arial"/>
          <w:sz w:val="22"/>
          <w:szCs w:val="22"/>
        </w:rPr>
      </w:pPr>
    </w:p>
    <w:p w14:paraId="381E40BB" w14:textId="1AF94354" w:rsidR="00FF0180" w:rsidRDefault="00FF0180" w:rsidP="00FF0180">
      <w:pPr>
        <w:pStyle w:val="Ttulo2"/>
      </w:pPr>
      <w:bookmarkStart w:id="523" w:name="_Toc140506252"/>
      <w:r>
        <w:t>TGI</w:t>
      </w:r>
      <w:bookmarkEnd w:id="523"/>
    </w:p>
    <w:p w14:paraId="2D5686E7" w14:textId="0FEA8879" w:rsidR="006F1229" w:rsidRDefault="006F1229" w:rsidP="00CD699D">
      <w:pPr>
        <w:pStyle w:val="Ttulo4"/>
      </w:pPr>
      <w:bookmarkStart w:id="524" w:name="_Ref130454767"/>
      <w:r w:rsidRPr="006F1229">
        <w:t>TGI</w:t>
      </w:r>
      <w:bookmarkEnd w:id="524"/>
      <w:r w:rsidRPr="006F1229">
        <w:tab/>
      </w:r>
    </w:p>
    <w:p w14:paraId="15F904F8" w14:textId="3E786F67" w:rsidR="006F1229" w:rsidRPr="00666932" w:rsidRDefault="006F1229" w:rsidP="006F1229">
      <w:pPr>
        <w:rPr>
          <w:rFonts w:cs="Arial"/>
          <w:i/>
          <w:iCs/>
          <w:sz w:val="22"/>
          <w:szCs w:val="22"/>
        </w:rPr>
      </w:pPr>
      <w:r w:rsidRPr="006F1229">
        <w:rPr>
          <w:rFonts w:cs="Arial"/>
          <w:sz w:val="22"/>
          <w:szCs w:val="22"/>
        </w:rPr>
        <w:t>"</w:t>
      </w:r>
      <w:r w:rsidRPr="00666932">
        <w:rPr>
          <w:rFonts w:cs="Arial"/>
          <w:i/>
          <w:iCs/>
          <w:sz w:val="22"/>
          <w:szCs w:val="22"/>
        </w:rPr>
        <w:t xml:space="preserve">Considerar dentro de los aspectos comerciales del suministro lo relacionado con los Acuerdos Operativos de Balance – OBA u alguna otra metodología para atender los desbalances en los puntos de entrada, pues se requiere una herramienta que coadyuve a las definidas en la Resolución Creg 185 de 2020 para alcanzar la estabilidad operativa en el sistema. </w:t>
      </w:r>
    </w:p>
    <w:p w14:paraId="0D405146" w14:textId="77777777" w:rsidR="006F1229" w:rsidRPr="00666932" w:rsidRDefault="006F1229" w:rsidP="006F1229">
      <w:pPr>
        <w:rPr>
          <w:rFonts w:cs="Arial"/>
          <w:i/>
          <w:iCs/>
          <w:sz w:val="22"/>
          <w:szCs w:val="22"/>
        </w:rPr>
      </w:pPr>
    </w:p>
    <w:p w14:paraId="777AA03A" w14:textId="77777777" w:rsidR="006F1229" w:rsidRPr="00666932" w:rsidRDefault="006F1229" w:rsidP="006F1229">
      <w:pPr>
        <w:rPr>
          <w:rFonts w:cs="Arial"/>
          <w:i/>
          <w:iCs/>
          <w:sz w:val="22"/>
          <w:szCs w:val="22"/>
        </w:rPr>
      </w:pPr>
      <w:r w:rsidRPr="00666932">
        <w:rPr>
          <w:rFonts w:cs="Arial"/>
          <w:i/>
          <w:iCs/>
          <w:sz w:val="22"/>
          <w:szCs w:val="22"/>
        </w:rPr>
        <w:t xml:space="preserve">Respecto a lo anterior, es preciso resaltar que desde la expedición de la Resolución Creg 089 de 2013 no se ha logrado la firma de ningún OBA con los Productores y aunque ellos entienden que independientemente de lo consumido por el cliente se paga los contratado, en la operatividad del SNT los desbalances diarios gas del productor no son tenidos en cuenta, sin </w:t>
      </w:r>
      <w:proofErr w:type="gramStart"/>
      <w:r w:rsidRPr="00666932">
        <w:rPr>
          <w:rFonts w:cs="Arial"/>
          <w:i/>
          <w:iCs/>
          <w:sz w:val="22"/>
          <w:szCs w:val="22"/>
        </w:rPr>
        <w:t>embargo</w:t>
      </w:r>
      <w:proofErr w:type="gramEnd"/>
      <w:r w:rsidRPr="00666932">
        <w:rPr>
          <w:rFonts w:cs="Arial"/>
          <w:i/>
          <w:iCs/>
          <w:sz w:val="22"/>
          <w:szCs w:val="22"/>
        </w:rPr>
        <w:t xml:space="preserve"> en los casos de perdida de gas de los remitentes este si debe ser devuelto a los productores. </w:t>
      </w:r>
    </w:p>
    <w:p w14:paraId="7B0C13DA" w14:textId="77777777" w:rsidR="006F1229" w:rsidRPr="00666932" w:rsidRDefault="006F1229" w:rsidP="006F1229">
      <w:pPr>
        <w:rPr>
          <w:rFonts w:cs="Arial"/>
          <w:i/>
          <w:iCs/>
          <w:sz w:val="22"/>
          <w:szCs w:val="22"/>
        </w:rPr>
      </w:pPr>
    </w:p>
    <w:p w14:paraId="3661BAF2" w14:textId="6B822681" w:rsidR="006F1229" w:rsidRPr="00666932" w:rsidRDefault="006F1229" w:rsidP="006F1229">
      <w:pPr>
        <w:rPr>
          <w:rFonts w:cs="Arial"/>
          <w:i/>
          <w:iCs/>
          <w:sz w:val="22"/>
          <w:szCs w:val="22"/>
        </w:rPr>
      </w:pPr>
      <w:r w:rsidRPr="00666932">
        <w:rPr>
          <w:rFonts w:cs="Arial"/>
          <w:i/>
          <w:iCs/>
          <w:sz w:val="22"/>
          <w:szCs w:val="22"/>
        </w:rPr>
        <w:t xml:space="preserve">Así mismo, el Productor parece desconocer lo establecido en el RUT en cuanto a la indicación de que debe entregar el gas a una presión de hasta 1200 </w:t>
      </w:r>
      <w:proofErr w:type="spellStart"/>
      <w:r w:rsidRPr="00666932">
        <w:rPr>
          <w:rFonts w:cs="Arial"/>
          <w:i/>
          <w:iCs/>
          <w:sz w:val="22"/>
          <w:szCs w:val="22"/>
        </w:rPr>
        <w:t>psig</w:t>
      </w:r>
      <w:proofErr w:type="spellEnd"/>
      <w:r w:rsidRPr="00666932">
        <w:rPr>
          <w:rFonts w:cs="Arial"/>
          <w:i/>
          <w:iCs/>
          <w:sz w:val="22"/>
          <w:szCs w:val="22"/>
        </w:rPr>
        <w:t xml:space="preserve">, pues ante las necesidades del Sistema de Transporte se evidencia que los productores </w:t>
      </w:r>
      <w:proofErr w:type="spellStart"/>
      <w:r w:rsidRPr="00666932">
        <w:rPr>
          <w:rFonts w:cs="Arial"/>
          <w:i/>
          <w:iCs/>
          <w:sz w:val="22"/>
          <w:szCs w:val="22"/>
        </w:rPr>
        <w:t>aún</w:t>
      </w:r>
      <w:proofErr w:type="spellEnd"/>
      <w:r w:rsidRPr="00666932">
        <w:rPr>
          <w:rFonts w:cs="Arial"/>
          <w:i/>
          <w:iCs/>
          <w:sz w:val="22"/>
          <w:szCs w:val="22"/>
        </w:rPr>
        <w:t xml:space="preserve"> teniendo posibilidad de ingresar el gas a mayor presión no lo han hecho, restando capacidad al sistema y generando variaciones significativas en los inventarios </w:t>
      </w:r>
      <w:proofErr w:type="gramStart"/>
      <w:r w:rsidRPr="00666932">
        <w:rPr>
          <w:rFonts w:cs="Arial"/>
          <w:i/>
          <w:iCs/>
          <w:sz w:val="22"/>
          <w:szCs w:val="22"/>
        </w:rPr>
        <w:t>del mismo</w:t>
      </w:r>
      <w:proofErr w:type="gramEnd"/>
      <w:r w:rsidRPr="00666932">
        <w:rPr>
          <w:rFonts w:cs="Arial"/>
          <w:i/>
          <w:iCs/>
          <w:sz w:val="22"/>
          <w:szCs w:val="22"/>
        </w:rPr>
        <w:t xml:space="preserve">. </w:t>
      </w:r>
    </w:p>
    <w:p w14:paraId="5E4DA2B7" w14:textId="77777777" w:rsidR="006F1229" w:rsidRPr="00666932" w:rsidRDefault="006F1229" w:rsidP="006F1229">
      <w:pPr>
        <w:rPr>
          <w:rFonts w:cs="Arial"/>
          <w:i/>
          <w:iCs/>
          <w:sz w:val="22"/>
          <w:szCs w:val="22"/>
        </w:rPr>
      </w:pPr>
    </w:p>
    <w:p w14:paraId="63682749" w14:textId="77777777" w:rsidR="006F1229" w:rsidRPr="00666932" w:rsidRDefault="006F1229" w:rsidP="006F1229">
      <w:pPr>
        <w:rPr>
          <w:rFonts w:cs="Arial"/>
          <w:i/>
          <w:iCs/>
          <w:sz w:val="22"/>
          <w:szCs w:val="22"/>
        </w:rPr>
      </w:pPr>
      <w:r w:rsidRPr="00666932">
        <w:rPr>
          <w:rFonts w:cs="Arial"/>
          <w:i/>
          <w:iCs/>
          <w:sz w:val="22"/>
          <w:szCs w:val="22"/>
        </w:rPr>
        <w:t xml:space="preserve">Lo anterior, ha permitido a los productores y remitentes manejar acorde a su conveniencia el gas de empaquetamiento del transportador, al punto de llevar en algunas ocasiones al límite de la operatividad del sistema. </w:t>
      </w:r>
    </w:p>
    <w:p w14:paraId="2DB80F6F" w14:textId="77777777" w:rsidR="006F1229" w:rsidRPr="00666932" w:rsidRDefault="006F1229" w:rsidP="006F1229">
      <w:pPr>
        <w:rPr>
          <w:rFonts w:cs="Arial"/>
          <w:i/>
          <w:iCs/>
          <w:sz w:val="22"/>
          <w:szCs w:val="22"/>
        </w:rPr>
      </w:pPr>
    </w:p>
    <w:p w14:paraId="0934EF18" w14:textId="2A984796" w:rsidR="006F1229" w:rsidRDefault="006F1229" w:rsidP="006F1229">
      <w:pPr>
        <w:rPr>
          <w:rFonts w:cs="Arial"/>
          <w:sz w:val="22"/>
          <w:szCs w:val="22"/>
        </w:rPr>
      </w:pPr>
      <w:r w:rsidRPr="00666932">
        <w:rPr>
          <w:rFonts w:cs="Arial"/>
          <w:i/>
          <w:iCs/>
          <w:sz w:val="22"/>
          <w:szCs w:val="22"/>
        </w:rPr>
        <w:t>Por todo lo descrito, proponemos que la resolución definitiva de los aspectos comerciales de suministro se incluya la definición de un esquema para la utilización de los desbalances por puntos de entrada, donde sea explicito el manejo en tiempo y cantidad de dichos desbalances tanto positivos como negativos que se presenten, permitiendo mantener un empaquetamiento estable en el SNT. Para poner en marcha este planteamiento será necesario hacer un reinicio de las cuentas en cero, con un acuerdo entre las partes del desbalance acumulado en la fecha de corte</w:t>
      </w:r>
      <w:r w:rsidRPr="006F1229">
        <w:rPr>
          <w:rFonts w:cs="Arial"/>
          <w:sz w:val="22"/>
          <w:szCs w:val="22"/>
        </w:rPr>
        <w:t>."</w:t>
      </w:r>
    </w:p>
    <w:p w14:paraId="039DB84B" w14:textId="54B3D336" w:rsidR="00666932" w:rsidRDefault="00666932" w:rsidP="006F1229">
      <w:pPr>
        <w:rPr>
          <w:rFonts w:cs="Arial"/>
          <w:sz w:val="22"/>
          <w:szCs w:val="22"/>
        </w:rPr>
      </w:pPr>
    </w:p>
    <w:p w14:paraId="11BAA0C7" w14:textId="22A83D7B" w:rsidR="00666932" w:rsidRPr="00666932" w:rsidRDefault="00666932" w:rsidP="006F1229">
      <w:pPr>
        <w:rPr>
          <w:rFonts w:cs="Arial"/>
          <w:b/>
          <w:bCs/>
          <w:sz w:val="22"/>
          <w:szCs w:val="22"/>
        </w:rPr>
      </w:pPr>
      <w:r w:rsidRPr="00666932">
        <w:rPr>
          <w:rFonts w:cs="Arial"/>
          <w:b/>
          <w:bCs/>
          <w:sz w:val="22"/>
          <w:szCs w:val="22"/>
        </w:rPr>
        <w:t>Respuesta:</w:t>
      </w:r>
    </w:p>
    <w:p w14:paraId="2B4B5593" w14:textId="0F615AE0" w:rsidR="00666932" w:rsidRDefault="00666932" w:rsidP="006F1229">
      <w:pPr>
        <w:rPr>
          <w:rFonts w:cs="Arial"/>
          <w:sz w:val="22"/>
          <w:szCs w:val="22"/>
        </w:rPr>
      </w:pPr>
    </w:p>
    <w:p w14:paraId="24E7EC4A" w14:textId="3A315258" w:rsidR="00CB630C" w:rsidRDefault="00F05AC4" w:rsidP="006F1229">
      <w:pPr>
        <w:rPr>
          <w:rFonts w:cs="Arial"/>
          <w:sz w:val="22"/>
          <w:szCs w:val="22"/>
        </w:rPr>
      </w:pPr>
      <w:r>
        <w:rPr>
          <w:rFonts w:cs="Arial"/>
          <w:sz w:val="22"/>
          <w:szCs w:val="22"/>
        </w:rPr>
        <w:t>De l</w:t>
      </w:r>
      <w:r w:rsidR="003427AF">
        <w:rPr>
          <w:rFonts w:cs="Arial"/>
          <w:sz w:val="22"/>
          <w:szCs w:val="22"/>
        </w:rPr>
        <w:t xml:space="preserve">os comentarios </w:t>
      </w:r>
      <w:r>
        <w:rPr>
          <w:rFonts w:cs="Arial"/>
          <w:sz w:val="22"/>
          <w:szCs w:val="22"/>
        </w:rPr>
        <w:t xml:space="preserve">se advierte que están </w:t>
      </w:r>
      <w:r w:rsidR="003427AF">
        <w:rPr>
          <w:rFonts w:cs="Arial"/>
          <w:sz w:val="22"/>
          <w:szCs w:val="22"/>
        </w:rPr>
        <w:t xml:space="preserve">orientados a aspectos operativos regulados mediante el Reglamento Único de Transporte – RUT, </w:t>
      </w:r>
      <w:r>
        <w:rPr>
          <w:rFonts w:cs="Arial"/>
          <w:sz w:val="22"/>
          <w:szCs w:val="22"/>
        </w:rPr>
        <w:t>los cuales</w:t>
      </w:r>
      <w:r w:rsidR="003427AF">
        <w:rPr>
          <w:rFonts w:cs="Arial"/>
          <w:sz w:val="22"/>
          <w:szCs w:val="22"/>
        </w:rPr>
        <w:t xml:space="preserve"> no son parte del alcance de la </w:t>
      </w:r>
      <w:r>
        <w:rPr>
          <w:rFonts w:cs="Arial"/>
          <w:sz w:val="22"/>
          <w:szCs w:val="22"/>
        </w:rPr>
        <w:t>R</w:t>
      </w:r>
      <w:r w:rsidR="003427AF">
        <w:rPr>
          <w:rFonts w:cs="Arial"/>
          <w:sz w:val="22"/>
          <w:szCs w:val="22"/>
        </w:rPr>
        <w:t>esolución CREG 186 de 2020</w:t>
      </w:r>
      <w:r>
        <w:rPr>
          <w:rFonts w:cs="Arial"/>
          <w:sz w:val="22"/>
          <w:szCs w:val="22"/>
        </w:rPr>
        <w:t>,</w:t>
      </w:r>
      <w:r w:rsidR="003427AF">
        <w:rPr>
          <w:rFonts w:cs="Arial"/>
          <w:sz w:val="22"/>
          <w:szCs w:val="22"/>
        </w:rPr>
        <w:t xml:space="preserve"> por lo que los ajustes propuestos a dicha resolución no pueden incluir aspectos de regulación establecidos en el RUT.</w:t>
      </w:r>
    </w:p>
    <w:p w14:paraId="4D12C89F" w14:textId="64A74C9C" w:rsidR="003427AF" w:rsidRDefault="003427AF" w:rsidP="006F1229">
      <w:pPr>
        <w:rPr>
          <w:rFonts w:cs="Arial"/>
          <w:sz w:val="22"/>
          <w:szCs w:val="22"/>
        </w:rPr>
      </w:pPr>
    </w:p>
    <w:p w14:paraId="0132D624" w14:textId="0D733512" w:rsidR="003427AF" w:rsidRDefault="003427AF" w:rsidP="006F1229">
      <w:pPr>
        <w:rPr>
          <w:rFonts w:cs="Arial"/>
          <w:sz w:val="22"/>
          <w:szCs w:val="22"/>
        </w:rPr>
      </w:pPr>
      <w:r>
        <w:rPr>
          <w:rFonts w:cs="Arial"/>
          <w:sz w:val="22"/>
          <w:szCs w:val="22"/>
        </w:rPr>
        <w:t xml:space="preserve">Sin embargo, para la CREG analizar el tema de ajuste al RUT se sugiere que se amplíe el comentario con ejemplos </w:t>
      </w:r>
      <w:r w:rsidR="005C3A08">
        <w:rPr>
          <w:rFonts w:cs="Arial"/>
          <w:sz w:val="22"/>
          <w:szCs w:val="22"/>
        </w:rPr>
        <w:t xml:space="preserve">numéricos </w:t>
      </w:r>
      <w:r>
        <w:rPr>
          <w:rFonts w:cs="Arial"/>
          <w:sz w:val="22"/>
          <w:szCs w:val="22"/>
        </w:rPr>
        <w:t xml:space="preserve">específicos de lo que se menciona conceptualmente. </w:t>
      </w:r>
    </w:p>
    <w:p w14:paraId="7518AA7D" w14:textId="2A444C3C" w:rsidR="006F1229" w:rsidRDefault="006F1229" w:rsidP="006F1229">
      <w:pPr>
        <w:rPr>
          <w:rFonts w:cs="Arial"/>
          <w:sz w:val="22"/>
          <w:szCs w:val="22"/>
        </w:rPr>
      </w:pPr>
    </w:p>
    <w:p w14:paraId="192D56A4" w14:textId="77777777" w:rsidR="006F6DE1" w:rsidRDefault="006F6DE1" w:rsidP="006F1229">
      <w:pPr>
        <w:rPr>
          <w:rFonts w:cs="Arial"/>
          <w:sz w:val="22"/>
          <w:szCs w:val="22"/>
        </w:rPr>
      </w:pPr>
    </w:p>
    <w:p w14:paraId="26B468B7" w14:textId="77777777" w:rsidR="006F1229" w:rsidRDefault="006F1229" w:rsidP="00CD699D">
      <w:pPr>
        <w:pStyle w:val="Ttulo4"/>
      </w:pPr>
      <w:r w:rsidRPr="006F1229">
        <w:t>TGI</w:t>
      </w:r>
      <w:r w:rsidRPr="006F1229">
        <w:tab/>
      </w:r>
    </w:p>
    <w:p w14:paraId="4EC5100F" w14:textId="32A3F625" w:rsidR="006F1229" w:rsidRPr="006F1229" w:rsidRDefault="009309CE" w:rsidP="006F1229">
      <w:pPr>
        <w:rPr>
          <w:rFonts w:cs="Arial"/>
          <w:sz w:val="22"/>
          <w:szCs w:val="22"/>
        </w:rPr>
      </w:pPr>
      <w:r>
        <w:rPr>
          <w:rFonts w:cs="Arial"/>
          <w:i/>
          <w:iCs/>
          <w:sz w:val="22"/>
          <w:szCs w:val="22"/>
        </w:rPr>
        <w:t>“</w:t>
      </w:r>
      <w:r w:rsidR="006F1229" w:rsidRPr="005C3A08">
        <w:rPr>
          <w:rFonts w:cs="Arial"/>
          <w:i/>
          <w:iCs/>
          <w:sz w:val="22"/>
          <w:szCs w:val="22"/>
        </w:rPr>
        <w:t>De otra parte y teniendo en cuenta lo establecido la resolución CREG 185 de 2020, según la cual el transportador debe recuperar a los dos días siguientes de sucedido, el desbalance, observamos que esos dos días son un tiempo insuficiente ya que si estos sobrepasan los contratos en firme de suministro de gas del Transportador, se podrían generar dificultades para la consecución del gas, ya que no existe ninguna prioridad de entrega para poder cubrir estos desbalances por parte del Transportador, ante lo cual proponemos que si el Transportador solicita gas a los productores o en el mercado secundario de suministro, estos den prioridad a lo requerido considerando que ello podría depender la estabilidad operativa del sistema</w:t>
      </w:r>
      <w:r w:rsidR="006F1229" w:rsidRPr="006F1229">
        <w:rPr>
          <w:rFonts w:cs="Arial"/>
          <w:sz w:val="22"/>
          <w:szCs w:val="22"/>
        </w:rPr>
        <w:t>.</w:t>
      </w:r>
      <w:r>
        <w:rPr>
          <w:rFonts w:cs="Arial"/>
          <w:sz w:val="22"/>
          <w:szCs w:val="22"/>
        </w:rPr>
        <w:t>”</w:t>
      </w:r>
      <w:r w:rsidR="006F1229" w:rsidRPr="006F1229">
        <w:rPr>
          <w:rFonts w:cs="Arial"/>
          <w:sz w:val="22"/>
          <w:szCs w:val="22"/>
        </w:rPr>
        <w:t xml:space="preserve"> </w:t>
      </w:r>
    </w:p>
    <w:p w14:paraId="1A0E90B4" w14:textId="7D991EF6" w:rsidR="006F1229" w:rsidRDefault="006F1229" w:rsidP="006F1229">
      <w:pPr>
        <w:rPr>
          <w:rFonts w:cs="Arial"/>
          <w:sz w:val="22"/>
          <w:szCs w:val="22"/>
        </w:rPr>
      </w:pPr>
    </w:p>
    <w:p w14:paraId="7645CD3B" w14:textId="42A807B0" w:rsidR="005C3A08" w:rsidRPr="005C3A08" w:rsidRDefault="005C3A08" w:rsidP="006F1229">
      <w:pPr>
        <w:rPr>
          <w:rFonts w:cs="Arial"/>
          <w:b/>
          <w:bCs/>
          <w:sz w:val="22"/>
          <w:szCs w:val="22"/>
        </w:rPr>
      </w:pPr>
      <w:r w:rsidRPr="005C3A08">
        <w:rPr>
          <w:rFonts w:cs="Arial"/>
          <w:b/>
          <w:bCs/>
          <w:sz w:val="22"/>
          <w:szCs w:val="22"/>
        </w:rPr>
        <w:t>Respuesta:</w:t>
      </w:r>
    </w:p>
    <w:p w14:paraId="433BCE5E" w14:textId="6868C769" w:rsidR="005C3A08" w:rsidRDefault="005C3A08" w:rsidP="006F1229">
      <w:pPr>
        <w:rPr>
          <w:rFonts w:cs="Arial"/>
          <w:sz w:val="22"/>
          <w:szCs w:val="22"/>
        </w:rPr>
      </w:pPr>
    </w:p>
    <w:p w14:paraId="16B6EA21" w14:textId="33887FF3" w:rsidR="005C3A08" w:rsidRDefault="005C3A08" w:rsidP="006F122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_Ref130454767 \r \h </w:instrText>
      </w:r>
      <w:r>
        <w:rPr>
          <w:rFonts w:cs="Arial"/>
          <w:sz w:val="22"/>
          <w:szCs w:val="22"/>
        </w:rPr>
      </w:r>
      <w:r>
        <w:rPr>
          <w:rFonts w:cs="Arial"/>
          <w:sz w:val="22"/>
          <w:szCs w:val="22"/>
        </w:rPr>
        <w:fldChar w:fldCharType="separate"/>
      </w:r>
      <w:r w:rsidR="007651EA">
        <w:rPr>
          <w:rFonts w:cs="Arial"/>
          <w:sz w:val="22"/>
          <w:szCs w:val="22"/>
        </w:rPr>
        <w:t>1.13.1.1</w:t>
      </w:r>
      <w:r>
        <w:rPr>
          <w:rFonts w:cs="Arial"/>
          <w:sz w:val="22"/>
          <w:szCs w:val="22"/>
        </w:rPr>
        <w:fldChar w:fldCharType="end"/>
      </w:r>
      <w:r>
        <w:rPr>
          <w:rFonts w:cs="Arial"/>
          <w:sz w:val="22"/>
          <w:szCs w:val="22"/>
        </w:rPr>
        <w:t>.</w:t>
      </w:r>
    </w:p>
    <w:p w14:paraId="2CFEA558" w14:textId="4019F4AA" w:rsidR="005C3A08" w:rsidRDefault="005C3A08" w:rsidP="006F1229">
      <w:pPr>
        <w:rPr>
          <w:rFonts w:cs="Arial"/>
          <w:sz w:val="22"/>
          <w:szCs w:val="22"/>
        </w:rPr>
      </w:pPr>
    </w:p>
    <w:p w14:paraId="3ECBF37A" w14:textId="0E088470" w:rsidR="005C3A08" w:rsidRDefault="005C3A08" w:rsidP="006F1229">
      <w:pPr>
        <w:rPr>
          <w:rFonts w:cs="Arial"/>
          <w:sz w:val="22"/>
          <w:szCs w:val="22"/>
        </w:rPr>
      </w:pPr>
      <w:r>
        <w:rPr>
          <w:rFonts w:cs="Arial"/>
          <w:sz w:val="22"/>
          <w:szCs w:val="22"/>
        </w:rPr>
        <w:t xml:space="preserve">Por otra parte, siendo que el agente transportador menciona que se le establecen dos días para que recupere el gas después de ocurrido un desbalance en el sistema de transporte, en la duración de los contratos de suministro que éste suscriba se debería de tener en cuenta dicha circunstancia.  </w:t>
      </w:r>
    </w:p>
    <w:p w14:paraId="76F3E238" w14:textId="77777777" w:rsidR="005C3A08" w:rsidRDefault="005C3A08" w:rsidP="006F1229">
      <w:pPr>
        <w:rPr>
          <w:rFonts w:cs="Arial"/>
          <w:sz w:val="22"/>
          <w:szCs w:val="22"/>
        </w:rPr>
      </w:pPr>
    </w:p>
    <w:p w14:paraId="6A0E9B2A" w14:textId="77777777" w:rsidR="006F6DE1" w:rsidRDefault="006F6DE1" w:rsidP="006F1229">
      <w:pPr>
        <w:rPr>
          <w:rFonts w:cs="Arial"/>
          <w:sz w:val="22"/>
          <w:szCs w:val="22"/>
        </w:rPr>
      </w:pPr>
    </w:p>
    <w:p w14:paraId="04DB3FEC" w14:textId="77777777" w:rsidR="006F1229" w:rsidRDefault="006F1229" w:rsidP="00CD699D">
      <w:pPr>
        <w:pStyle w:val="Ttulo4"/>
      </w:pPr>
      <w:r w:rsidRPr="006F1229">
        <w:t>TGI</w:t>
      </w:r>
      <w:r w:rsidRPr="006F1229">
        <w:tab/>
      </w:r>
    </w:p>
    <w:p w14:paraId="7905ECF5" w14:textId="5305A79F" w:rsidR="006F1229" w:rsidRPr="005354F4" w:rsidRDefault="00AA2A82" w:rsidP="006F1229">
      <w:pPr>
        <w:rPr>
          <w:rFonts w:cs="Arial"/>
          <w:i/>
          <w:iCs/>
          <w:sz w:val="22"/>
          <w:szCs w:val="22"/>
        </w:rPr>
      </w:pPr>
      <w:r>
        <w:rPr>
          <w:rFonts w:cs="Arial"/>
          <w:i/>
          <w:iCs/>
          <w:sz w:val="22"/>
          <w:szCs w:val="22"/>
        </w:rPr>
        <w:t>“</w:t>
      </w:r>
      <w:r w:rsidR="006F1229" w:rsidRPr="005354F4">
        <w:rPr>
          <w:rFonts w:cs="Arial"/>
          <w:i/>
          <w:iCs/>
          <w:sz w:val="22"/>
          <w:szCs w:val="22"/>
        </w:rPr>
        <w:t>Armonizar un poco más los contratos interrumpibles en suministro con la comercialización de transporte, de forma tal que se permita una duración trimestral a dichos contratos en armonía con los trimestres estándar aplicados para el transporte de gas natural.</w:t>
      </w:r>
      <w:r>
        <w:rPr>
          <w:rFonts w:cs="Arial"/>
          <w:i/>
          <w:iCs/>
          <w:sz w:val="22"/>
          <w:szCs w:val="22"/>
        </w:rPr>
        <w:t>”</w:t>
      </w:r>
    </w:p>
    <w:p w14:paraId="4F19F1DF" w14:textId="4F0AFFC6" w:rsidR="006F1229" w:rsidRDefault="006F1229" w:rsidP="006F1229">
      <w:pPr>
        <w:rPr>
          <w:rFonts w:cs="Arial"/>
          <w:sz w:val="22"/>
          <w:szCs w:val="22"/>
        </w:rPr>
      </w:pPr>
    </w:p>
    <w:p w14:paraId="7403374D" w14:textId="2384A498" w:rsidR="00587881" w:rsidRPr="00587881" w:rsidRDefault="00587881" w:rsidP="006F1229">
      <w:pPr>
        <w:rPr>
          <w:rFonts w:cs="Arial"/>
          <w:b/>
          <w:bCs/>
          <w:sz w:val="22"/>
          <w:szCs w:val="22"/>
        </w:rPr>
      </w:pPr>
      <w:r w:rsidRPr="00587881">
        <w:rPr>
          <w:rFonts w:cs="Arial"/>
          <w:b/>
          <w:bCs/>
          <w:sz w:val="22"/>
          <w:szCs w:val="22"/>
        </w:rPr>
        <w:t>Respuesta:</w:t>
      </w:r>
    </w:p>
    <w:p w14:paraId="32AB121B" w14:textId="67E25E73" w:rsidR="00587881" w:rsidRDefault="00587881" w:rsidP="006F1229">
      <w:pPr>
        <w:rPr>
          <w:rFonts w:cs="Arial"/>
          <w:sz w:val="22"/>
          <w:szCs w:val="22"/>
        </w:rPr>
      </w:pPr>
    </w:p>
    <w:p w14:paraId="724E52A7" w14:textId="1B2B071A" w:rsidR="00587881" w:rsidRDefault="00587881" w:rsidP="006F1229">
      <w:pPr>
        <w:rPr>
          <w:rFonts w:cs="Arial"/>
          <w:sz w:val="22"/>
          <w:szCs w:val="22"/>
        </w:rPr>
      </w:pPr>
      <w:r>
        <w:rPr>
          <w:rFonts w:cs="Arial"/>
          <w:sz w:val="22"/>
          <w:szCs w:val="22"/>
        </w:rPr>
        <w:t>Antes que nada</w:t>
      </w:r>
      <w:r w:rsidR="00AA2A82">
        <w:rPr>
          <w:rFonts w:cs="Arial"/>
          <w:sz w:val="22"/>
          <w:szCs w:val="22"/>
        </w:rPr>
        <w:t>,</w:t>
      </w:r>
      <w:r>
        <w:rPr>
          <w:rFonts w:cs="Arial"/>
          <w:sz w:val="22"/>
          <w:szCs w:val="22"/>
        </w:rPr>
        <w:t xml:space="preserve"> se debe tener en cuenta que la modalidad contractual establecida por la CREG se denomina “</w:t>
      </w:r>
      <w:r w:rsidR="005354F4">
        <w:rPr>
          <w:rFonts w:cs="Arial"/>
          <w:sz w:val="22"/>
          <w:szCs w:val="22"/>
        </w:rPr>
        <w:t>C</w:t>
      </w:r>
      <w:r>
        <w:rPr>
          <w:rFonts w:cs="Arial"/>
          <w:sz w:val="22"/>
          <w:szCs w:val="22"/>
        </w:rPr>
        <w:t xml:space="preserve">ontratos con </w:t>
      </w:r>
      <w:r w:rsidR="005354F4">
        <w:rPr>
          <w:rFonts w:cs="Arial"/>
          <w:sz w:val="22"/>
          <w:szCs w:val="22"/>
        </w:rPr>
        <w:t>I</w:t>
      </w:r>
      <w:r>
        <w:rPr>
          <w:rFonts w:cs="Arial"/>
          <w:sz w:val="22"/>
          <w:szCs w:val="22"/>
        </w:rPr>
        <w:t xml:space="preserve">nterrupciones”, que es diferente al tipo ministerial definido como </w:t>
      </w:r>
      <w:r w:rsidR="005354F4">
        <w:rPr>
          <w:rFonts w:cs="Arial"/>
          <w:sz w:val="22"/>
          <w:szCs w:val="22"/>
        </w:rPr>
        <w:t>“</w:t>
      </w:r>
      <w:r>
        <w:rPr>
          <w:rFonts w:cs="Arial"/>
          <w:sz w:val="22"/>
          <w:szCs w:val="22"/>
        </w:rPr>
        <w:t>Contratos Interrumpibles</w:t>
      </w:r>
      <w:r w:rsidR="005354F4">
        <w:rPr>
          <w:rFonts w:cs="Arial"/>
          <w:sz w:val="22"/>
          <w:szCs w:val="22"/>
        </w:rPr>
        <w:t>”</w:t>
      </w:r>
      <w:r>
        <w:rPr>
          <w:rFonts w:cs="Arial"/>
          <w:sz w:val="22"/>
          <w:szCs w:val="22"/>
        </w:rPr>
        <w:t>.</w:t>
      </w:r>
    </w:p>
    <w:p w14:paraId="0075FB5C" w14:textId="4938B424" w:rsidR="005354F4" w:rsidRDefault="005354F4" w:rsidP="006F1229">
      <w:pPr>
        <w:rPr>
          <w:rFonts w:cs="Arial"/>
          <w:sz w:val="22"/>
          <w:szCs w:val="22"/>
        </w:rPr>
      </w:pPr>
    </w:p>
    <w:p w14:paraId="23DE3E83" w14:textId="77777777" w:rsidR="002115C2" w:rsidRDefault="002115C2" w:rsidP="006F1229">
      <w:pPr>
        <w:rPr>
          <w:rFonts w:cs="Arial"/>
          <w:sz w:val="22"/>
          <w:szCs w:val="22"/>
        </w:rPr>
      </w:pPr>
      <w:r>
        <w:rPr>
          <w:rFonts w:cs="Arial"/>
          <w:sz w:val="22"/>
          <w:szCs w:val="22"/>
        </w:rPr>
        <w:t xml:space="preserve">Los plazos de 1 mes de duración de los contratos con interrupciones solamente se aplican para los vendedores del Mercado Primario. En los contratos con interrupciones de los vendedores del Mercado Secundario se pueden pactar plazos de ejecución de entre 1 y 12 meses. </w:t>
      </w:r>
    </w:p>
    <w:p w14:paraId="44E1481E" w14:textId="77777777" w:rsidR="002115C2" w:rsidRDefault="002115C2" w:rsidP="006F1229">
      <w:pPr>
        <w:rPr>
          <w:rFonts w:cs="Arial"/>
          <w:sz w:val="22"/>
          <w:szCs w:val="22"/>
        </w:rPr>
      </w:pPr>
    </w:p>
    <w:p w14:paraId="1F639A01" w14:textId="7D7678EB" w:rsidR="005354F4" w:rsidRDefault="002115C2" w:rsidP="006F1229">
      <w:pPr>
        <w:rPr>
          <w:rFonts w:cs="Arial"/>
          <w:sz w:val="22"/>
          <w:szCs w:val="22"/>
        </w:rPr>
      </w:pPr>
      <w:r>
        <w:rPr>
          <w:rFonts w:cs="Arial"/>
          <w:sz w:val="22"/>
          <w:szCs w:val="22"/>
        </w:rPr>
        <w:t>Por otra parte, s</w:t>
      </w:r>
      <w:r w:rsidR="005354F4">
        <w:rPr>
          <w:rFonts w:cs="Arial"/>
          <w:sz w:val="22"/>
          <w:szCs w:val="22"/>
        </w:rPr>
        <w:t>e debe tener en cuenta que</w:t>
      </w:r>
      <w:r>
        <w:rPr>
          <w:rFonts w:cs="Arial"/>
          <w:sz w:val="22"/>
          <w:szCs w:val="22"/>
        </w:rPr>
        <w:t>,</w:t>
      </w:r>
      <w:r w:rsidR="005354F4">
        <w:rPr>
          <w:rFonts w:cs="Arial"/>
          <w:sz w:val="22"/>
          <w:szCs w:val="22"/>
        </w:rPr>
        <w:t xml:space="preserve"> en el mercado primario de transporte</w:t>
      </w:r>
      <w:r>
        <w:rPr>
          <w:rFonts w:cs="Arial"/>
          <w:sz w:val="22"/>
          <w:szCs w:val="22"/>
        </w:rPr>
        <w:t>,</w:t>
      </w:r>
      <w:r w:rsidR="005354F4">
        <w:rPr>
          <w:rFonts w:cs="Arial"/>
          <w:sz w:val="22"/>
          <w:szCs w:val="22"/>
        </w:rPr>
        <w:t xml:space="preserve"> </w:t>
      </w:r>
      <w:r>
        <w:rPr>
          <w:rFonts w:cs="Arial"/>
          <w:sz w:val="22"/>
          <w:szCs w:val="22"/>
        </w:rPr>
        <w:t>e</w:t>
      </w:r>
      <w:r w:rsidRPr="002115C2">
        <w:rPr>
          <w:rFonts w:cs="Arial"/>
          <w:sz w:val="22"/>
          <w:szCs w:val="22"/>
        </w:rPr>
        <w:t>l transportador sólo podrá comprometer a través de contratos con interrupciones</w:t>
      </w:r>
      <w:r>
        <w:rPr>
          <w:rFonts w:cs="Arial"/>
          <w:sz w:val="22"/>
          <w:szCs w:val="22"/>
        </w:rPr>
        <w:t>,</w:t>
      </w:r>
      <w:r w:rsidRPr="002115C2">
        <w:rPr>
          <w:rFonts w:cs="Arial"/>
          <w:sz w:val="22"/>
          <w:szCs w:val="22"/>
        </w:rPr>
        <w:t xml:space="preserve"> una capacidad igual o inferior a la capacidad disponible primaria para contratar</w:t>
      </w:r>
      <w:r>
        <w:rPr>
          <w:rFonts w:cs="Arial"/>
          <w:sz w:val="22"/>
          <w:szCs w:val="22"/>
        </w:rPr>
        <w:t>. Lo anterior limitación no se presenta en los casos de los contratos con interrupciones de suministro, como se plantea en la propuesta, en la que las cantidades máximas a contratar podrían ser de hasta el 150% de la PTDV declarada al MME.</w:t>
      </w:r>
    </w:p>
    <w:p w14:paraId="21630450" w14:textId="6EA92403" w:rsidR="005354F4" w:rsidRDefault="005354F4" w:rsidP="006F1229">
      <w:pPr>
        <w:rPr>
          <w:rFonts w:cs="Arial"/>
          <w:sz w:val="22"/>
          <w:szCs w:val="22"/>
        </w:rPr>
      </w:pPr>
    </w:p>
    <w:p w14:paraId="69D774B5" w14:textId="77777777" w:rsidR="005354F4" w:rsidRDefault="005354F4" w:rsidP="006F1229">
      <w:pPr>
        <w:rPr>
          <w:rFonts w:cs="Arial"/>
          <w:sz w:val="22"/>
          <w:szCs w:val="22"/>
        </w:rPr>
      </w:pPr>
    </w:p>
    <w:p w14:paraId="648D6BA5" w14:textId="3C0E2AF1" w:rsidR="00FF0180" w:rsidRDefault="00FF0180" w:rsidP="00FF0180">
      <w:pPr>
        <w:pStyle w:val="Ttulo2"/>
      </w:pPr>
      <w:bookmarkStart w:id="525" w:name="_Toc140506253"/>
      <w:r>
        <w:t>VANTI</w:t>
      </w:r>
      <w:bookmarkEnd w:id="525"/>
    </w:p>
    <w:p w14:paraId="6B9B9BA4" w14:textId="77777777" w:rsidR="006F1229" w:rsidRDefault="006F1229" w:rsidP="00CD699D">
      <w:pPr>
        <w:pStyle w:val="Ttulo4"/>
      </w:pPr>
      <w:r w:rsidRPr="006F1229">
        <w:t>VANTI</w:t>
      </w:r>
      <w:r w:rsidRPr="006F1229">
        <w:tab/>
      </w:r>
    </w:p>
    <w:p w14:paraId="73606737" w14:textId="21FBFB75" w:rsidR="006F1229" w:rsidRPr="009A002D" w:rsidRDefault="000D2A08" w:rsidP="006F1229">
      <w:pPr>
        <w:rPr>
          <w:rFonts w:cs="Arial"/>
          <w:i/>
          <w:iCs/>
          <w:sz w:val="22"/>
          <w:szCs w:val="22"/>
        </w:rPr>
      </w:pPr>
      <w:r>
        <w:rPr>
          <w:rFonts w:cs="Arial"/>
          <w:i/>
          <w:iCs/>
          <w:sz w:val="22"/>
          <w:szCs w:val="22"/>
        </w:rPr>
        <w:t>“</w:t>
      </w:r>
      <w:r w:rsidR="006F1229" w:rsidRPr="009A002D">
        <w:rPr>
          <w:rFonts w:cs="Arial"/>
          <w:i/>
          <w:iCs/>
          <w:sz w:val="22"/>
          <w:szCs w:val="22"/>
        </w:rPr>
        <w:t xml:space="preserve">Consideramos que no se podrán adoptar modificaciones al marco regulatorio actual del Mercado Mayorista, hasta que: i) se atiendan de manera integral los distintos comentarios, en especial, los comentarios efectuados en relación con la Resolución 227 de 2021 en los que observamos la inviabilidad de todas sus propuestas, derivadas de análisis, información y supuestos errados viciando su legalidad. La nueva propuesta debe estar respaldada con un análisis suficientemente soportado, que incluya un análisis de impacto que permita determinar la viabilidad y efectos de las propuestas regulatorias, y </w:t>
      </w:r>
      <w:proofErr w:type="spellStart"/>
      <w:r w:rsidR="006F1229" w:rsidRPr="009A002D">
        <w:rPr>
          <w:rFonts w:cs="Arial"/>
          <w:i/>
          <w:iCs/>
          <w:sz w:val="22"/>
          <w:szCs w:val="22"/>
        </w:rPr>
        <w:t>ii</w:t>
      </w:r>
      <w:proofErr w:type="spellEnd"/>
      <w:r w:rsidR="006F1229" w:rsidRPr="009A002D">
        <w:rPr>
          <w:rFonts w:cs="Arial"/>
          <w:i/>
          <w:iCs/>
          <w:sz w:val="22"/>
          <w:szCs w:val="22"/>
        </w:rPr>
        <w:t>) se efectúen los análisis adicionales que las propuestas en curso requieren, incluyendo la Resolución 702-002</w:t>
      </w:r>
      <w:r w:rsidR="009A002D" w:rsidRPr="009A002D">
        <w:rPr>
          <w:rFonts w:cs="Arial"/>
          <w:i/>
          <w:iCs/>
          <w:sz w:val="22"/>
          <w:szCs w:val="22"/>
        </w:rPr>
        <w:t>.</w:t>
      </w:r>
      <w:r>
        <w:rPr>
          <w:rFonts w:cs="Arial"/>
          <w:i/>
          <w:iCs/>
          <w:sz w:val="22"/>
          <w:szCs w:val="22"/>
        </w:rPr>
        <w:t>”</w:t>
      </w:r>
    </w:p>
    <w:p w14:paraId="0A7C1B3E" w14:textId="42DC6DEA" w:rsidR="006F1229" w:rsidRDefault="006F1229" w:rsidP="006F1229">
      <w:pPr>
        <w:rPr>
          <w:rFonts w:cs="Arial"/>
          <w:sz w:val="22"/>
          <w:szCs w:val="22"/>
        </w:rPr>
      </w:pPr>
    </w:p>
    <w:p w14:paraId="1D718B1E" w14:textId="180D19C5" w:rsidR="009A002D" w:rsidRPr="009A002D" w:rsidRDefault="009A002D" w:rsidP="006F1229">
      <w:pPr>
        <w:rPr>
          <w:rFonts w:cs="Arial"/>
          <w:b/>
          <w:bCs/>
          <w:sz w:val="22"/>
          <w:szCs w:val="22"/>
        </w:rPr>
      </w:pPr>
      <w:r w:rsidRPr="009A002D">
        <w:rPr>
          <w:rFonts w:cs="Arial"/>
          <w:b/>
          <w:bCs/>
          <w:sz w:val="22"/>
          <w:szCs w:val="22"/>
        </w:rPr>
        <w:t>Respuesta:</w:t>
      </w:r>
    </w:p>
    <w:p w14:paraId="49A249D9" w14:textId="31B0CE89" w:rsidR="009A002D" w:rsidRDefault="009A002D" w:rsidP="006F1229">
      <w:pPr>
        <w:rPr>
          <w:rFonts w:cs="Arial"/>
          <w:sz w:val="22"/>
          <w:szCs w:val="22"/>
        </w:rPr>
      </w:pPr>
    </w:p>
    <w:p w14:paraId="66F035E2" w14:textId="2CEE48F8" w:rsidR="009A002D" w:rsidRDefault="00B71461" w:rsidP="006F1229">
      <w:pPr>
        <w:rPr>
          <w:rFonts w:cs="Arial"/>
          <w:i/>
          <w:iCs/>
          <w:sz w:val="22"/>
          <w:szCs w:val="22"/>
        </w:rPr>
      </w:pPr>
      <w:r>
        <w:rPr>
          <w:rFonts w:cs="Arial"/>
          <w:sz w:val="22"/>
          <w:szCs w:val="22"/>
        </w:rPr>
        <w:t>Mediante l</w:t>
      </w:r>
      <w:r w:rsidR="009A002D">
        <w:rPr>
          <w:rFonts w:cs="Arial"/>
          <w:sz w:val="22"/>
          <w:szCs w:val="22"/>
        </w:rPr>
        <w:t xml:space="preserve">a Resolución mencionada 227 de 2021 </w:t>
      </w:r>
      <w:r>
        <w:rPr>
          <w:rFonts w:cs="Arial"/>
          <w:sz w:val="22"/>
          <w:szCs w:val="22"/>
        </w:rPr>
        <w:t>se hizo</w:t>
      </w:r>
      <w:r w:rsidRPr="00B71461">
        <w:rPr>
          <w:rFonts w:cs="Arial"/>
          <w:sz w:val="22"/>
          <w:szCs w:val="22"/>
        </w:rPr>
        <w:t xml:space="preserve"> público un proyecto de resolución “</w:t>
      </w:r>
      <w:r w:rsidRPr="00B71461">
        <w:rPr>
          <w:rFonts w:cs="Arial"/>
          <w:i/>
          <w:iCs/>
          <w:sz w:val="22"/>
          <w:szCs w:val="22"/>
        </w:rPr>
        <w:t>Por la cual se establecen las Fórmulas Tarifarias Generales que deberán aplicar los comercializadores que atienden usuarios regulados para establecer los costos de prestación del servicio público domiciliario de gas natural por redes de tubería</w:t>
      </w:r>
      <w:r>
        <w:rPr>
          <w:rFonts w:cs="Arial"/>
          <w:sz w:val="22"/>
          <w:szCs w:val="22"/>
        </w:rPr>
        <w:t xml:space="preserve">”. A su vez, la propuesta de la Resolución CREG 226 de 2021 corresponde solamente a </w:t>
      </w:r>
      <w:r w:rsidRPr="00B71461">
        <w:rPr>
          <w:rFonts w:cs="Arial"/>
          <w:i/>
          <w:iCs/>
          <w:sz w:val="22"/>
          <w:szCs w:val="22"/>
        </w:rPr>
        <w:t>un proyecto de resolución de carácter general “Por la cual se reglamentan aspectos comerciales del suministro del Mercado Mayorista de gas natural y se deroga parcialmente la Resolución CREG 186 de 2020.”</w:t>
      </w:r>
    </w:p>
    <w:p w14:paraId="4C721827" w14:textId="501563A3" w:rsidR="00B71461" w:rsidRDefault="00B71461" w:rsidP="006F1229">
      <w:pPr>
        <w:rPr>
          <w:rFonts w:cs="Arial"/>
          <w:i/>
          <w:iCs/>
          <w:sz w:val="22"/>
          <w:szCs w:val="22"/>
        </w:rPr>
      </w:pPr>
    </w:p>
    <w:p w14:paraId="3B37D7AF" w14:textId="1130D16A" w:rsidR="00B71461" w:rsidRDefault="00B71461" w:rsidP="006F1229">
      <w:pPr>
        <w:rPr>
          <w:rFonts w:cs="Arial"/>
          <w:sz w:val="22"/>
          <w:szCs w:val="22"/>
        </w:rPr>
      </w:pPr>
      <w:r w:rsidRPr="00B71461">
        <w:rPr>
          <w:rFonts w:cs="Arial"/>
          <w:sz w:val="22"/>
          <w:szCs w:val="22"/>
        </w:rPr>
        <w:t xml:space="preserve">En la propuesta de la </w:t>
      </w:r>
      <w:r w:rsidR="00D16548">
        <w:rPr>
          <w:rFonts w:cs="Arial"/>
          <w:sz w:val="22"/>
          <w:szCs w:val="22"/>
        </w:rPr>
        <w:t>R</w:t>
      </w:r>
      <w:r w:rsidRPr="00B71461">
        <w:rPr>
          <w:rFonts w:cs="Arial"/>
          <w:sz w:val="22"/>
          <w:szCs w:val="22"/>
        </w:rPr>
        <w:t xml:space="preserve">esolución CREG 227 de 2021 se establecen </w:t>
      </w:r>
      <w:r w:rsidR="00547D17">
        <w:rPr>
          <w:rFonts w:cs="Arial"/>
          <w:sz w:val="22"/>
          <w:szCs w:val="22"/>
        </w:rPr>
        <w:t xml:space="preserve">entre otros aspectos, las </w:t>
      </w:r>
      <w:r w:rsidRPr="00B71461">
        <w:rPr>
          <w:rFonts w:cs="Arial"/>
          <w:sz w:val="22"/>
          <w:szCs w:val="22"/>
        </w:rPr>
        <w:t>condiciones de traslado a los usuarios regulados de los costos incurridos por los comercializadores de di</w:t>
      </w:r>
      <w:r>
        <w:rPr>
          <w:rFonts w:cs="Arial"/>
          <w:sz w:val="22"/>
          <w:szCs w:val="22"/>
        </w:rPr>
        <w:t>c</w:t>
      </w:r>
      <w:r w:rsidRPr="00B71461">
        <w:rPr>
          <w:rFonts w:cs="Arial"/>
          <w:sz w:val="22"/>
          <w:szCs w:val="22"/>
        </w:rPr>
        <w:t>hos usuarios en la contratación del suministro del gas natural</w:t>
      </w:r>
      <w:r>
        <w:rPr>
          <w:rFonts w:cs="Arial"/>
          <w:sz w:val="22"/>
          <w:szCs w:val="22"/>
        </w:rPr>
        <w:t xml:space="preserve"> necesario para atender la demanda regulada. Por tanto, es conveniente que la resolución definitiva de funcionamiento del Mercado Mayorista sea adoptada previamente a la adopción de la resolución definitiva de las fórmulas tarifarias para los usuarios regulados.</w:t>
      </w:r>
    </w:p>
    <w:p w14:paraId="4A7F6EDE" w14:textId="77777777" w:rsidR="00547D17" w:rsidRDefault="00547D17" w:rsidP="006F1229">
      <w:pPr>
        <w:rPr>
          <w:rFonts w:cs="Arial"/>
          <w:sz w:val="22"/>
          <w:szCs w:val="22"/>
        </w:rPr>
      </w:pPr>
    </w:p>
    <w:p w14:paraId="7D20E7CB" w14:textId="77777777" w:rsidR="006F6DE1" w:rsidRDefault="006F6DE1" w:rsidP="006F1229">
      <w:pPr>
        <w:rPr>
          <w:rFonts w:cs="Arial"/>
          <w:sz w:val="22"/>
          <w:szCs w:val="22"/>
        </w:rPr>
      </w:pPr>
    </w:p>
    <w:p w14:paraId="347D7D6D" w14:textId="77777777" w:rsidR="006F1229" w:rsidRDefault="006F1229" w:rsidP="00CD699D">
      <w:pPr>
        <w:pStyle w:val="Ttulo4"/>
      </w:pPr>
      <w:r w:rsidRPr="006F1229">
        <w:t>VANTI</w:t>
      </w:r>
      <w:r w:rsidRPr="006F1229">
        <w:tab/>
      </w:r>
    </w:p>
    <w:p w14:paraId="2C4731E3" w14:textId="4CABA63B" w:rsidR="00E64FD4" w:rsidRDefault="006517BA" w:rsidP="006F1229">
      <w:pPr>
        <w:rPr>
          <w:rFonts w:cs="Arial"/>
          <w:sz w:val="22"/>
          <w:szCs w:val="22"/>
        </w:rPr>
      </w:pPr>
      <w:r>
        <w:rPr>
          <w:rFonts w:cs="Arial"/>
          <w:i/>
          <w:iCs/>
          <w:sz w:val="22"/>
          <w:szCs w:val="22"/>
        </w:rPr>
        <w:t>“</w:t>
      </w:r>
      <w:r w:rsidR="006F1229" w:rsidRPr="00547D17">
        <w:rPr>
          <w:rFonts w:cs="Arial"/>
          <w:i/>
          <w:iCs/>
          <w:sz w:val="22"/>
          <w:szCs w:val="22"/>
        </w:rPr>
        <w:t>Como lo hemos manifestado en los comentarios de las demás propuestas regulatorias, sería inocuo desarrollar la oferta en las Fuentes de Suministro si el producto del gas, en los diferentes mercados, no logra llegar en condiciones de competitividad frente a los diferentes sustitutos. Por ello, es que para que el esfuerzo de todos los agentes involucrados en el desarrollo de esta oferta sea exitoso, es de suma importancia que se implemente lo más pronto posible, la tarifa en estampilla para el cobro del servicio de transporte. Con ella, se permitirá que se dé una real competencia entre los Vendedores de la molécula de gas, y en el caso del interior del país, se elimine la dependencia de un único oferente</w:t>
      </w:r>
      <w:r w:rsidR="006F1229" w:rsidRPr="006F1229">
        <w:rPr>
          <w:rFonts w:cs="Arial"/>
          <w:sz w:val="22"/>
          <w:szCs w:val="22"/>
        </w:rPr>
        <w:t>.</w:t>
      </w:r>
      <w:r>
        <w:rPr>
          <w:rFonts w:cs="Arial"/>
          <w:sz w:val="22"/>
          <w:szCs w:val="22"/>
        </w:rPr>
        <w:t>”</w:t>
      </w:r>
    </w:p>
    <w:p w14:paraId="78EB01D2" w14:textId="6AB1BB1D" w:rsidR="00547D17" w:rsidRDefault="00547D17" w:rsidP="006F1229">
      <w:pPr>
        <w:rPr>
          <w:rFonts w:cs="Arial"/>
          <w:sz w:val="22"/>
          <w:szCs w:val="22"/>
        </w:rPr>
      </w:pPr>
    </w:p>
    <w:p w14:paraId="3F64420B" w14:textId="7BC9B372" w:rsidR="00547D17" w:rsidRPr="00547D17" w:rsidRDefault="00547D17" w:rsidP="006F1229">
      <w:pPr>
        <w:rPr>
          <w:rFonts w:cs="Arial"/>
          <w:b/>
          <w:bCs/>
          <w:sz w:val="22"/>
          <w:szCs w:val="22"/>
        </w:rPr>
      </w:pPr>
      <w:r w:rsidRPr="00547D17">
        <w:rPr>
          <w:rFonts w:cs="Arial"/>
          <w:b/>
          <w:bCs/>
          <w:sz w:val="22"/>
          <w:szCs w:val="22"/>
        </w:rPr>
        <w:t>Respuesta:</w:t>
      </w:r>
    </w:p>
    <w:p w14:paraId="03F6083D" w14:textId="1BC26D6D" w:rsidR="00547D17" w:rsidRDefault="00547D17" w:rsidP="006F1229">
      <w:pPr>
        <w:rPr>
          <w:rFonts w:cs="Arial"/>
          <w:sz w:val="22"/>
          <w:szCs w:val="22"/>
        </w:rPr>
      </w:pPr>
    </w:p>
    <w:p w14:paraId="0CECB988" w14:textId="01ACBDC0" w:rsidR="00547D17" w:rsidRDefault="00513D08" w:rsidP="006F1229">
      <w:pPr>
        <w:rPr>
          <w:rFonts w:cs="Arial"/>
          <w:sz w:val="22"/>
          <w:szCs w:val="22"/>
        </w:rPr>
      </w:pPr>
      <w:r>
        <w:rPr>
          <w:rFonts w:cs="Arial"/>
          <w:sz w:val="22"/>
          <w:szCs w:val="22"/>
        </w:rPr>
        <w:t>La regulación del Mercado Mayorista de Gas natural actual y los ajustes propuestos no tiene como alcance aspectos regulados en l</w:t>
      </w:r>
      <w:r w:rsidR="00547D17">
        <w:rPr>
          <w:rFonts w:cs="Arial"/>
          <w:sz w:val="22"/>
          <w:szCs w:val="22"/>
        </w:rPr>
        <w:t>a metodología de remuneración de la actividad de transporte</w:t>
      </w:r>
      <w:r>
        <w:rPr>
          <w:rFonts w:cs="Arial"/>
          <w:sz w:val="22"/>
          <w:szCs w:val="22"/>
        </w:rPr>
        <w:t>. Sin embargo, la propuesta de ajuste busca que se materialice mediante contratos, el potencial de producción de gas natural de las fuentes nacionales e incluso que se hagan mayores inversiones por parte de los productores-comercializadores con el fin de aumentar dicho potencial mediante las señales de mercado propuestas.</w:t>
      </w:r>
    </w:p>
    <w:p w14:paraId="5AF81B08" w14:textId="7B31E928" w:rsidR="00513D08" w:rsidRDefault="00513D08" w:rsidP="006F1229">
      <w:pPr>
        <w:rPr>
          <w:rFonts w:cs="Arial"/>
          <w:sz w:val="22"/>
          <w:szCs w:val="22"/>
        </w:rPr>
      </w:pPr>
    </w:p>
    <w:p w14:paraId="44CA9FEA" w14:textId="09EE9002" w:rsidR="00513D08" w:rsidRDefault="00513D08" w:rsidP="006F1229">
      <w:pPr>
        <w:rPr>
          <w:rFonts w:cs="Arial"/>
          <w:sz w:val="22"/>
          <w:szCs w:val="22"/>
        </w:rPr>
      </w:pPr>
      <w:r>
        <w:rPr>
          <w:rFonts w:cs="Arial"/>
          <w:sz w:val="22"/>
          <w:szCs w:val="22"/>
        </w:rPr>
        <w:t xml:space="preserve">Asimismo, como parte de los efectos de la implementación de los proyectos adoptados por el MME en el Plan de Abastecimiento de Gas Natural se espera que haya mayor competencia en el suministro para atender la demanda, que actualmente es limitada a ser atendida por muy pocos vendedores al no existir mayor comunicación mediante los sistemas de gasoductos existentes. </w:t>
      </w:r>
    </w:p>
    <w:p w14:paraId="6EBB71CC" w14:textId="28098191" w:rsidR="00513D08" w:rsidRDefault="00513D08" w:rsidP="006F1229">
      <w:pPr>
        <w:rPr>
          <w:rFonts w:cs="Arial"/>
          <w:sz w:val="22"/>
          <w:szCs w:val="22"/>
        </w:rPr>
      </w:pPr>
    </w:p>
    <w:p w14:paraId="0FBC653B" w14:textId="69D6F21A" w:rsidR="00513D08" w:rsidRDefault="00513D08" w:rsidP="006F1229">
      <w:pPr>
        <w:rPr>
          <w:rFonts w:cs="Arial"/>
          <w:sz w:val="22"/>
          <w:szCs w:val="22"/>
        </w:rPr>
      </w:pPr>
      <w:r>
        <w:rPr>
          <w:rFonts w:cs="Arial"/>
          <w:sz w:val="22"/>
          <w:szCs w:val="22"/>
        </w:rPr>
        <w:t xml:space="preserve">La </w:t>
      </w:r>
      <w:r w:rsidR="00F132D7">
        <w:rPr>
          <w:rFonts w:cs="Arial"/>
          <w:sz w:val="22"/>
          <w:szCs w:val="22"/>
        </w:rPr>
        <w:t>potencia</w:t>
      </w:r>
      <w:r>
        <w:rPr>
          <w:rFonts w:cs="Arial"/>
          <w:sz w:val="22"/>
          <w:szCs w:val="22"/>
        </w:rPr>
        <w:t xml:space="preserve">l competitividad </w:t>
      </w:r>
      <w:r w:rsidR="00F132D7">
        <w:rPr>
          <w:rFonts w:cs="Arial"/>
          <w:sz w:val="22"/>
          <w:szCs w:val="22"/>
        </w:rPr>
        <w:t>que pueden presentar</w:t>
      </w:r>
      <w:r>
        <w:rPr>
          <w:rFonts w:cs="Arial"/>
          <w:sz w:val="22"/>
          <w:szCs w:val="22"/>
        </w:rPr>
        <w:t xml:space="preserve"> energéticos sustitutos del gas </w:t>
      </w:r>
      <w:proofErr w:type="gramStart"/>
      <w:r>
        <w:rPr>
          <w:rFonts w:cs="Arial"/>
          <w:sz w:val="22"/>
          <w:szCs w:val="22"/>
        </w:rPr>
        <w:t>natural,</w:t>
      </w:r>
      <w:proofErr w:type="gramEnd"/>
      <w:r>
        <w:rPr>
          <w:rFonts w:cs="Arial"/>
          <w:sz w:val="22"/>
          <w:szCs w:val="22"/>
        </w:rPr>
        <w:t xml:space="preserve"> debe llevar en el marco mencionado arriba, a que los productores-comercializadores aumenten la competitividad de los precios ofrecidos ante el riesgo de perder compradores de gas natural existentes o potenciales</w:t>
      </w:r>
      <w:r w:rsidR="00F132D7">
        <w:rPr>
          <w:rFonts w:cs="Arial"/>
          <w:sz w:val="22"/>
          <w:szCs w:val="22"/>
        </w:rPr>
        <w:t xml:space="preserve"> que serán atendidos con sustitutos</w:t>
      </w:r>
      <w:r>
        <w:rPr>
          <w:rFonts w:cs="Arial"/>
          <w:sz w:val="22"/>
          <w:szCs w:val="22"/>
        </w:rPr>
        <w:t>.</w:t>
      </w:r>
    </w:p>
    <w:p w14:paraId="4E8C4C92" w14:textId="77624D95" w:rsidR="00547D17" w:rsidRDefault="00547D17" w:rsidP="006F1229">
      <w:pPr>
        <w:rPr>
          <w:rFonts w:cs="Arial"/>
          <w:sz w:val="22"/>
          <w:szCs w:val="22"/>
        </w:rPr>
      </w:pPr>
    </w:p>
    <w:p w14:paraId="2902FEA7" w14:textId="77777777" w:rsidR="006F1229" w:rsidRPr="006F1229" w:rsidRDefault="006F1229" w:rsidP="00371CB5">
      <w:pPr>
        <w:rPr>
          <w:rFonts w:cs="Arial"/>
          <w:b/>
          <w:bCs/>
          <w:sz w:val="22"/>
          <w:szCs w:val="22"/>
        </w:rPr>
      </w:pPr>
    </w:p>
    <w:p w14:paraId="07604ED1" w14:textId="77777777" w:rsidR="00426028" w:rsidRPr="006F1229" w:rsidRDefault="00426028" w:rsidP="00371CB5">
      <w:pPr>
        <w:rPr>
          <w:rFonts w:cs="Arial"/>
          <w:b/>
          <w:bCs/>
          <w:sz w:val="22"/>
          <w:szCs w:val="22"/>
        </w:rPr>
      </w:pPr>
    </w:p>
    <w:p w14:paraId="1A27E34A" w14:textId="487E0A0D" w:rsidR="00426028" w:rsidRDefault="008009B6" w:rsidP="008009B6">
      <w:pPr>
        <w:pStyle w:val="Ttulo1"/>
      </w:pPr>
      <w:bookmarkStart w:id="526" w:name="_Toc140506254"/>
      <w:r>
        <w:t>ARTÍCULO 1. OBJETO</w:t>
      </w:r>
      <w:bookmarkEnd w:id="526"/>
    </w:p>
    <w:p w14:paraId="11C8CD6B" w14:textId="77777777" w:rsidR="00E02FFC" w:rsidRDefault="00E02FFC" w:rsidP="00E02FFC">
      <w:pPr>
        <w:pStyle w:val="Ttulo2"/>
      </w:pPr>
      <w:bookmarkStart w:id="527" w:name="_Toc140506255"/>
      <w:r w:rsidRPr="00E02FFC">
        <w:t>ISAGEN</w:t>
      </w:r>
      <w:bookmarkEnd w:id="527"/>
      <w:r w:rsidRPr="00E02FFC">
        <w:tab/>
      </w:r>
    </w:p>
    <w:p w14:paraId="62C2A1C7" w14:textId="77777777" w:rsidR="00E02FFC" w:rsidRDefault="00E02FFC" w:rsidP="00E02FFC">
      <w:pPr>
        <w:pStyle w:val="Ttulo4"/>
      </w:pPr>
      <w:r w:rsidRPr="00E02FFC">
        <w:t>ISAGEN</w:t>
      </w:r>
      <w:r w:rsidRPr="00E02FFC">
        <w:tab/>
      </w:r>
    </w:p>
    <w:p w14:paraId="23F11D59" w14:textId="7A9D2616" w:rsidR="00E02FFC" w:rsidRPr="00FE5648" w:rsidRDefault="000C57E9" w:rsidP="00E02FFC">
      <w:pPr>
        <w:rPr>
          <w:rFonts w:cs="Arial"/>
          <w:i/>
          <w:iCs/>
          <w:sz w:val="22"/>
          <w:szCs w:val="22"/>
        </w:rPr>
      </w:pPr>
      <w:r>
        <w:rPr>
          <w:rFonts w:cs="Arial"/>
          <w:i/>
          <w:iCs/>
          <w:sz w:val="22"/>
          <w:szCs w:val="22"/>
        </w:rPr>
        <w:t>“</w:t>
      </w:r>
      <w:r w:rsidR="00E02FFC" w:rsidRPr="00FE5648">
        <w:rPr>
          <w:rFonts w:cs="Arial"/>
          <w:i/>
          <w:iCs/>
          <w:sz w:val="22"/>
          <w:szCs w:val="22"/>
        </w:rPr>
        <w:t>Actualizar al decreto vigente 1073-2015</w:t>
      </w:r>
      <w:r w:rsidR="00C35155" w:rsidRPr="00FE5648">
        <w:rPr>
          <w:rFonts w:cs="Arial"/>
          <w:i/>
          <w:iCs/>
          <w:sz w:val="22"/>
          <w:szCs w:val="22"/>
        </w:rPr>
        <w:t>.</w:t>
      </w:r>
      <w:r>
        <w:rPr>
          <w:rFonts w:cs="Arial"/>
          <w:i/>
          <w:iCs/>
          <w:sz w:val="22"/>
          <w:szCs w:val="22"/>
        </w:rPr>
        <w:t>”</w:t>
      </w:r>
    </w:p>
    <w:p w14:paraId="12AF239C" w14:textId="63F5C347" w:rsidR="00C35155" w:rsidRDefault="00C35155" w:rsidP="00E02FFC">
      <w:pPr>
        <w:rPr>
          <w:rFonts w:cs="Arial"/>
          <w:sz w:val="22"/>
          <w:szCs w:val="22"/>
        </w:rPr>
      </w:pPr>
    </w:p>
    <w:p w14:paraId="6651700E" w14:textId="30BF9151" w:rsidR="00C35155" w:rsidRPr="00C35155" w:rsidRDefault="00C35155" w:rsidP="00E02FFC">
      <w:pPr>
        <w:rPr>
          <w:rFonts w:cs="Arial"/>
          <w:b/>
          <w:bCs/>
          <w:sz w:val="22"/>
          <w:szCs w:val="22"/>
        </w:rPr>
      </w:pPr>
      <w:r w:rsidRPr="00C35155">
        <w:rPr>
          <w:rFonts w:cs="Arial"/>
          <w:b/>
          <w:bCs/>
          <w:sz w:val="22"/>
          <w:szCs w:val="22"/>
        </w:rPr>
        <w:t>Respuesta:</w:t>
      </w:r>
    </w:p>
    <w:p w14:paraId="40369B21" w14:textId="09EA1E81" w:rsidR="00C35155" w:rsidRDefault="00C35155" w:rsidP="00E02FFC">
      <w:pPr>
        <w:rPr>
          <w:rFonts w:cs="Arial"/>
          <w:sz w:val="22"/>
          <w:szCs w:val="22"/>
        </w:rPr>
      </w:pPr>
    </w:p>
    <w:p w14:paraId="75A0E259" w14:textId="71C03063" w:rsidR="00C35155" w:rsidRDefault="00C35155" w:rsidP="00E02FFC">
      <w:pPr>
        <w:rPr>
          <w:rFonts w:cs="Arial"/>
          <w:sz w:val="22"/>
          <w:szCs w:val="22"/>
        </w:rPr>
      </w:pPr>
      <w:r>
        <w:rPr>
          <w:rFonts w:cs="Arial"/>
          <w:sz w:val="22"/>
          <w:szCs w:val="22"/>
        </w:rPr>
        <w:t>Se acoge el comentario.</w:t>
      </w:r>
    </w:p>
    <w:p w14:paraId="750D3CB9" w14:textId="77777777" w:rsidR="00C35155" w:rsidRPr="00E02FFC" w:rsidRDefault="00C35155" w:rsidP="00E02FFC">
      <w:pPr>
        <w:rPr>
          <w:rFonts w:cs="Arial"/>
          <w:sz w:val="22"/>
          <w:szCs w:val="22"/>
        </w:rPr>
      </w:pPr>
    </w:p>
    <w:p w14:paraId="620142AA" w14:textId="187437E5" w:rsidR="00E02FFC" w:rsidRDefault="00E02FFC" w:rsidP="00E02FFC">
      <w:pPr>
        <w:pStyle w:val="Ttulo2"/>
      </w:pPr>
      <w:bookmarkStart w:id="528" w:name="_Toc140506256"/>
      <w:r w:rsidRPr="00E02FFC">
        <w:t>OILGAS ENERGY</w:t>
      </w:r>
      <w:bookmarkEnd w:id="528"/>
      <w:r w:rsidRPr="00E02FFC">
        <w:tab/>
      </w:r>
    </w:p>
    <w:p w14:paraId="7D9C0113" w14:textId="77777777" w:rsidR="00E02FFC" w:rsidRDefault="00E02FFC" w:rsidP="00E02FFC">
      <w:pPr>
        <w:pStyle w:val="Ttulo4"/>
      </w:pPr>
      <w:bookmarkStart w:id="529" w:name="_Ref130462284"/>
      <w:r w:rsidRPr="00E02FFC">
        <w:t>OILGAS ENERGY</w:t>
      </w:r>
      <w:bookmarkEnd w:id="529"/>
      <w:r w:rsidRPr="00E02FFC">
        <w:tab/>
      </w:r>
    </w:p>
    <w:p w14:paraId="16A61DEB" w14:textId="3D4BF049" w:rsidR="008009B6" w:rsidRPr="006F1229" w:rsidRDefault="00E02FFC" w:rsidP="00E02FFC">
      <w:pPr>
        <w:rPr>
          <w:rFonts w:cs="Arial"/>
          <w:b/>
          <w:bCs/>
          <w:sz w:val="22"/>
          <w:szCs w:val="22"/>
        </w:rPr>
      </w:pPr>
      <w:r w:rsidRPr="00E02FFC">
        <w:rPr>
          <w:rFonts w:cs="Arial"/>
          <w:sz w:val="22"/>
          <w:szCs w:val="22"/>
        </w:rPr>
        <w:t>"</w:t>
      </w:r>
      <w:r w:rsidRPr="00FE5648">
        <w:rPr>
          <w:rFonts w:cs="Arial"/>
          <w:i/>
          <w:iCs/>
          <w:sz w:val="22"/>
          <w:szCs w:val="22"/>
        </w:rPr>
        <w:t xml:space="preserve">En atención a que los usuarios residenciales y los pequeños usuarios comerciales que no están </w:t>
      </w:r>
      <w:r w:rsidRPr="00C07824">
        <w:rPr>
          <w:rFonts w:cs="Arial"/>
          <w:i/>
          <w:iCs/>
          <w:sz w:val="22"/>
          <w:szCs w:val="22"/>
        </w:rPr>
        <w:t>inmersos en la red de distribución; no son considerados demanda esencial.</w:t>
      </w:r>
      <w:r w:rsidR="00C07824" w:rsidRPr="00C07824">
        <w:rPr>
          <w:rFonts w:cs="Arial"/>
          <w:i/>
          <w:iCs/>
          <w:sz w:val="22"/>
          <w:szCs w:val="22"/>
        </w:rPr>
        <w:t xml:space="preserve"> </w:t>
      </w:r>
      <w:r w:rsidR="00C07824">
        <w:rPr>
          <w:rFonts w:cs="Arial"/>
          <w:i/>
          <w:iCs/>
          <w:sz w:val="22"/>
          <w:szCs w:val="22"/>
        </w:rPr>
        <w:t>S</w:t>
      </w:r>
      <w:r w:rsidR="00C07824" w:rsidRPr="00C07824">
        <w:rPr>
          <w:rFonts w:cs="Arial"/>
          <w:i/>
          <w:iCs/>
          <w:sz w:val="22"/>
          <w:szCs w:val="22"/>
        </w:rPr>
        <w:t>e sugiere incluir en el artículo 1 que a ese tipo de demanda no le son aplicables las disposiciones de la resolución a ser expedida</w:t>
      </w:r>
      <w:r w:rsidR="00C07824" w:rsidRPr="00C07824">
        <w:rPr>
          <w:rFonts w:cs="Arial"/>
          <w:sz w:val="22"/>
          <w:szCs w:val="22"/>
        </w:rPr>
        <w:t>.</w:t>
      </w:r>
      <w:r w:rsidRPr="00C07824">
        <w:rPr>
          <w:rFonts w:cs="Arial"/>
          <w:sz w:val="22"/>
          <w:szCs w:val="22"/>
        </w:rPr>
        <w:t>"</w:t>
      </w:r>
    </w:p>
    <w:p w14:paraId="55AB80AF" w14:textId="56F21AC2" w:rsidR="00426028" w:rsidRDefault="00426028" w:rsidP="00371CB5">
      <w:pPr>
        <w:rPr>
          <w:rFonts w:cs="Arial"/>
          <w:b/>
          <w:bCs/>
          <w:sz w:val="22"/>
          <w:szCs w:val="22"/>
        </w:rPr>
      </w:pPr>
    </w:p>
    <w:p w14:paraId="20F95FE4" w14:textId="708596A0" w:rsidR="00FE5648" w:rsidRDefault="00FE5648" w:rsidP="00371CB5">
      <w:pPr>
        <w:rPr>
          <w:rFonts w:cs="Arial"/>
          <w:b/>
          <w:bCs/>
          <w:sz w:val="22"/>
          <w:szCs w:val="22"/>
        </w:rPr>
      </w:pPr>
      <w:r>
        <w:rPr>
          <w:rFonts w:cs="Arial"/>
          <w:b/>
          <w:bCs/>
          <w:sz w:val="22"/>
          <w:szCs w:val="22"/>
        </w:rPr>
        <w:t>Respuesta:</w:t>
      </w:r>
    </w:p>
    <w:p w14:paraId="4FF0637F" w14:textId="254DEF6C" w:rsidR="00FE5648" w:rsidRDefault="00FE5648" w:rsidP="00371CB5">
      <w:pPr>
        <w:rPr>
          <w:rFonts w:cs="Arial"/>
          <w:b/>
          <w:bCs/>
          <w:sz w:val="22"/>
          <w:szCs w:val="22"/>
        </w:rPr>
      </w:pPr>
    </w:p>
    <w:p w14:paraId="39E6BFFA" w14:textId="0F864D5E" w:rsidR="00C07824" w:rsidRPr="00C07824" w:rsidRDefault="00C07824" w:rsidP="00371CB5">
      <w:pPr>
        <w:rPr>
          <w:rFonts w:cs="Arial"/>
          <w:sz w:val="22"/>
          <w:szCs w:val="22"/>
        </w:rPr>
      </w:pPr>
      <w:r w:rsidRPr="00C07824">
        <w:rPr>
          <w:rFonts w:cs="Arial"/>
          <w:sz w:val="22"/>
          <w:szCs w:val="22"/>
        </w:rPr>
        <w:t>No se acoge el comentario.</w:t>
      </w:r>
    </w:p>
    <w:p w14:paraId="711FACB9" w14:textId="67323389" w:rsidR="00C07824" w:rsidRDefault="00C07824" w:rsidP="00371CB5">
      <w:pPr>
        <w:rPr>
          <w:rFonts w:cs="Arial"/>
          <w:b/>
          <w:bCs/>
          <w:sz w:val="22"/>
          <w:szCs w:val="22"/>
        </w:rPr>
      </w:pPr>
    </w:p>
    <w:p w14:paraId="17C6CDF1" w14:textId="21680194" w:rsidR="00F62A37" w:rsidRDefault="00C07824" w:rsidP="00371CB5">
      <w:pPr>
        <w:rPr>
          <w:rFonts w:cs="Arial"/>
          <w:sz w:val="22"/>
          <w:szCs w:val="22"/>
        </w:rPr>
      </w:pPr>
      <w:r w:rsidRPr="00C07824">
        <w:rPr>
          <w:rFonts w:cs="Arial"/>
          <w:sz w:val="22"/>
          <w:szCs w:val="22"/>
        </w:rPr>
        <w:t>La regulación del Mercado Mayorista debe ser aplicada para la atención de todos los usuarios del servicio público de gas combustible</w:t>
      </w:r>
      <w:r>
        <w:rPr>
          <w:rFonts w:cs="Arial"/>
          <w:sz w:val="22"/>
          <w:szCs w:val="22"/>
        </w:rPr>
        <w:t>, independientemente del medio de transporte en que el gas es entregado al usuario final</w:t>
      </w:r>
      <w:r w:rsidRPr="00C07824">
        <w:rPr>
          <w:rFonts w:cs="Arial"/>
          <w:sz w:val="22"/>
          <w:szCs w:val="22"/>
        </w:rPr>
        <w:t>.</w:t>
      </w:r>
      <w:r w:rsidR="001550A2">
        <w:rPr>
          <w:rFonts w:cs="Arial"/>
          <w:sz w:val="22"/>
          <w:szCs w:val="22"/>
        </w:rPr>
        <w:t xml:space="preserve"> Los ajustes que se proponen para la atención de la Demanda Esencial no </w:t>
      </w:r>
      <w:proofErr w:type="gramStart"/>
      <w:r w:rsidR="001550A2">
        <w:rPr>
          <w:rFonts w:cs="Arial"/>
          <w:sz w:val="22"/>
          <w:szCs w:val="22"/>
        </w:rPr>
        <w:t>implica</w:t>
      </w:r>
      <w:proofErr w:type="gramEnd"/>
      <w:r w:rsidR="001550A2">
        <w:rPr>
          <w:rFonts w:cs="Arial"/>
          <w:sz w:val="22"/>
          <w:szCs w:val="22"/>
        </w:rPr>
        <w:t xml:space="preserve"> que quienes no son parte de la misma según definici</w:t>
      </w:r>
      <w:r w:rsidR="00F62A37">
        <w:rPr>
          <w:rFonts w:cs="Arial"/>
          <w:sz w:val="22"/>
          <w:szCs w:val="22"/>
        </w:rPr>
        <w:t xml:space="preserve">ón </w:t>
      </w:r>
      <w:r w:rsidR="001550A2">
        <w:rPr>
          <w:rFonts w:cs="Arial"/>
          <w:sz w:val="22"/>
          <w:szCs w:val="22"/>
        </w:rPr>
        <w:t>del MME, no sean parte de los usuarios del servicio público de gas combustible.</w:t>
      </w:r>
    </w:p>
    <w:p w14:paraId="1D6829EB" w14:textId="77777777" w:rsidR="00F62A37" w:rsidRDefault="00F62A37" w:rsidP="00371CB5">
      <w:pPr>
        <w:rPr>
          <w:rFonts w:cs="Arial"/>
          <w:sz w:val="22"/>
          <w:szCs w:val="22"/>
        </w:rPr>
      </w:pPr>
    </w:p>
    <w:p w14:paraId="0BEFF234" w14:textId="6C3D36A5" w:rsidR="00C07824" w:rsidRDefault="00F62A37" w:rsidP="00371CB5">
      <w:pPr>
        <w:rPr>
          <w:rFonts w:cs="Arial"/>
          <w:sz w:val="22"/>
          <w:szCs w:val="22"/>
        </w:rPr>
      </w:pPr>
      <w:r>
        <w:rPr>
          <w:rFonts w:cs="Arial"/>
          <w:sz w:val="22"/>
          <w:szCs w:val="22"/>
        </w:rPr>
        <w:t xml:space="preserve">Por otro lado, entendemos de la definición del MME de Demanda Esencial que, cuando se hace referencia a “red de distribución”, </w:t>
      </w:r>
      <w:r w:rsidR="00F043B0">
        <w:rPr>
          <w:rFonts w:cs="Arial"/>
          <w:sz w:val="22"/>
          <w:szCs w:val="22"/>
        </w:rPr>
        <w:t>se hace en función de la definición del servicio público domiciliario de gas combustible dada en el numeral 28 del Artículo 14 de la Ley 142 de 1994 que inicia diciendo “</w:t>
      </w:r>
      <w:r w:rsidR="00F043B0" w:rsidRPr="00F043B0">
        <w:rPr>
          <w:rFonts w:cs="Arial"/>
          <w:i/>
          <w:iCs/>
          <w:sz w:val="22"/>
          <w:szCs w:val="22"/>
        </w:rPr>
        <w:t xml:space="preserve">Es el conjunto de actividades ordenadas a la distribución de gas combustible, </w:t>
      </w:r>
      <w:r w:rsidR="00F043B0" w:rsidRPr="00F043B0">
        <w:rPr>
          <w:rFonts w:cs="Arial"/>
          <w:b/>
          <w:bCs/>
          <w:i/>
          <w:iCs/>
          <w:sz w:val="22"/>
          <w:szCs w:val="22"/>
          <w:u w:val="single"/>
        </w:rPr>
        <w:t>por tubería u otro medio</w:t>
      </w:r>
      <w:r w:rsidR="00F043B0" w:rsidRPr="00F043B0">
        <w:rPr>
          <w:rFonts w:cs="Arial"/>
          <w:i/>
          <w:iCs/>
          <w:sz w:val="22"/>
          <w:szCs w:val="22"/>
        </w:rPr>
        <w:t>, desde un sitio de acopio de grandes volúmenes o desde un gasoducto central hasta la instalación de un consumidor final</w:t>
      </w:r>
      <w:r>
        <w:rPr>
          <w:rFonts w:cs="Arial"/>
          <w:sz w:val="22"/>
          <w:szCs w:val="22"/>
        </w:rPr>
        <w:t xml:space="preserve"> </w:t>
      </w:r>
      <w:r w:rsidR="00F043B0">
        <w:rPr>
          <w:rFonts w:cs="Arial"/>
          <w:sz w:val="22"/>
          <w:szCs w:val="22"/>
        </w:rPr>
        <w:t>(…)” (subrayado con resaltado fuera de texto).</w:t>
      </w:r>
    </w:p>
    <w:p w14:paraId="036652C1" w14:textId="07815E81" w:rsidR="00F043B0" w:rsidRDefault="00F043B0" w:rsidP="00371CB5">
      <w:pPr>
        <w:rPr>
          <w:rFonts w:cs="Arial"/>
          <w:sz w:val="22"/>
          <w:szCs w:val="22"/>
        </w:rPr>
      </w:pPr>
    </w:p>
    <w:p w14:paraId="4CB0ED18" w14:textId="2FAE1028" w:rsidR="00FE5648" w:rsidRPr="006F1229" w:rsidRDefault="00F043B0" w:rsidP="00371CB5">
      <w:pPr>
        <w:rPr>
          <w:rFonts w:cs="Arial"/>
          <w:b/>
          <w:bCs/>
          <w:sz w:val="22"/>
          <w:szCs w:val="22"/>
        </w:rPr>
      </w:pPr>
      <w:r>
        <w:rPr>
          <w:rFonts w:cs="Arial"/>
          <w:sz w:val="22"/>
          <w:szCs w:val="22"/>
        </w:rPr>
        <w:t xml:space="preserve">De lo anterior entendemos que son parte de la Demanda Esencial los </w:t>
      </w:r>
      <w:r w:rsidRPr="00F043B0">
        <w:rPr>
          <w:rFonts w:cs="Arial"/>
          <w:sz w:val="22"/>
          <w:szCs w:val="22"/>
        </w:rPr>
        <w:t>usuarios residenciales y pequeños usuarios comerciales inmersos en la red de distribución,</w:t>
      </w:r>
      <w:r>
        <w:rPr>
          <w:rFonts w:cs="Arial"/>
          <w:sz w:val="22"/>
          <w:szCs w:val="22"/>
        </w:rPr>
        <w:t xml:space="preserve"> así la red de distribución en la que estén inmersos no sea mediante gasoducto, sino por otro medio.</w:t>
      </w:r>
      <w:r w:rsidR="004D0553">
        <w:rPr>
          <w:rFonts w:cs="Arial"/>
          <w:sz w:val="22"/>
          <w:szCs w:val="22"/>
        </w:rPr>
        <w:t xml:space="preserve"> Un entendimiento como el propuesto implicaría una incorrecta aplicación de la definición hecha en el Decreto 1073 de 2015, así como adelantar un tratam</w:t>
      </w:r>
      <w:r w:rsidR="005433A5">
        <w:rPr>
          <w:rFonts w:cs="Arial"/>
          <w:sz w:val="22"/>
          <w:szCs w:val="22"/>
        </w:rPr>
        <w:t>i</w:t>
      </w:r>
      <w:r w:rsidR="004D0553">
        <w:rPr>
          <w:rFonts w:cs="Arial"/>
          <w:sz w:val="22"/>
          <w:szCs w:val="22"/>
        </w:rPr>
        <w:t>ento desigual por parte de la Comisión sin ninguna justificación.</w:t>
      </w:r>
    </w:p>
    <w:p w14:paraId="296A1719" w14:textId="77777777" w:rsidR="00426028" w:rsidRPr="006F1229" w:rsidRDefault="00426028" w:rsidP="00371CB5">
      <w:pPr>
        <w:rPr>
          <w:rFonts w:cs="Arial"/>
          <w:b/>
          <w:bCs/>
          <w:sz w:val="22"/>
          <w:szCs w:val="22"/>
        </w:rPr>
      </w:pPr>
    </w:p>
    <w:p w14:paraId="6728553D" w14:textId="77777777" w:rsidR="00426028" w:rsidRPr="006F1229" w:rsidRDefault="00426028" w:rsidP="00371CB5">
      <w:pPr>
        <w:rPr>
          <w:rFonts w:cs="Arial"/>
          <w:b/>
          <w:bCs/>
          <w:sz w:val="22"/>
          <w:szCs w:val="22"/>
        </w:rPr>
      </w:pPr>
    </w:p>
    <w:p w14:paraId="08268287" w14:textId="4C5D5D88" w:rsidR="00093139" w:rsidRDefault="00093139" w:rsidP="00093139">
      <w:pPr>
        <w:pStyle w:val="Ttulo1"/>
        <w:numPr>
          <w:ilvl w:val="0"/>
          <w:numId w:val="1"/>
        </w:numPr>
      </w:pPr>
      <w:bookmarkStart w:id="530" w:name="_Toc140506257"/>
      <w:r>
        <w:t>ARTÍCULO 2. ÁMBITO DE APLICACIÓN</w:t>
      </w:r>
      <w:bookmarkEnd w:id="530"/>
    </w:p>
    <w:p w14:paraId="34D9F88F" w14:textId="29214ABC" w:rsidR="00093139" w:rsidRDefault="00093139" w:rsidP="00093139"/>
    <w:p w14:paraId="1FFFEC7A" w14:textId="77777777" w:rsidR="00093139" w:rsidRDefault="00093139" w:rsidP="00ED021C">
      <w:pPr>
        <w:pStyle w:val="Ttulo2"/>
      </w:pPr>
      <w:bookmarkStart w:id="531" w:name="_Toc140506258"/>
      <w:r>
        <w:t>ECOPETROL</w:t>
      </w:r>
      <w:bookmarkEnd w:id="531"/>
      <w:r>
        <w:tab/>
      </w:r>
    </w:p>
    <w:p w14:paraId="3D774F07" w14:textId="77777777" w:rsidR="00ED021C" w:rsidRDefault="00ED021C" w:rsidP="00ED021C">
      <w:pPr>
        <w:pStyle w:val="Ttulo4"/>
      </w:pPr>
      <w:bookmarkStart w:id="532" w:name="_Ref130536969"/>
      <w:r>
        <w:t>ECOPETROL</w:t>
      </w:r>
      <w:bookmarkEnd w:id="532"/>
      <w:r>
        <w:tab/>
      </w:r>
    </w:p>
    <w:p w14:paraId="2066E71E" w14:textId="1C05B2A3" w:rsidR="00093139" w:rsidRPr="008359EC" w:rsidRDefault="00093139" w:rsidP="00093139">
      <w:pPr>
        <w:rPr>
          <w:i/>
          <w:iCs/>
          <w:sz w:val="22"/>
          <w:szCs w:val="22"/>
        </w:rPr>
      </w:pPr>
      <w:r>
        <w:t>"</w:t>
      </w:r>
      <w:r w:rsidRPr="008359EC">
        <w:rPr>
          <w:i/>
          <w:iCs/>
          <w:sz w:val="22"/>
          <w:szCs w:val="22"/>
        </w:rPr>
        <w:t xml:space="preserve">En cuanto al ámbito de aplicación de la norma, en la propuesta regulatoria se plantea lo siguiente: </w:t>
      </w:r>
      <w:r w:rsidR="00D56A5C">
        <w:rPr>
          <w:i/>
          <w:iCs/>
          <w:sz w:val="22"/>
          <w:szCs w:val="22"/>
        </w:rPr>
        <w:t>‘</w:t>
      </w:r>
      <w:r w:rsidRPr="008359EC">
        <w:rPr>
          <w:i/>
          <w:iCs/>
          <w:sz w:val="22"/>
          <w:szCs w:val="22"/>
        </w:rPr>
        <w:t>La presente Resolución aplica a todos los Participantes del mercado de gas natural. Para todos los efectos previstos en esta Resolución, le aplican al Gas Metano en depósitos de carbón (GMCD) que se comercialice con destino al Servicio público de gas combustible.</w:t>
      </w:r>
      <w:r w:rsidR="00D11A5F">
        <w:rPr>
          <w:i/>
          <w:iCs/>
          <w:sz w:val="22"/>
          <w:szCs w:val="22"/>
        </w:rPr>
        <w:t>’</w:t>
      </w:r>
      <w:r w:rsidRPr="008359EC">
        <w:rPr>
          <w:i/>
          <w:iCs/>
          <w:sz w:val="22"/>
          <w:szCs w:val="22"/>
        </w:rPr>
        <w:t xml:space="preserve"> (subrayas propias).</w:t>
      </w:r>
    </w:p>
    <w:p w14:paraId="26BD25C5" w14:textId="77777777" w:rsidR="00093139" w:rsidRPr="008359EC" w:rsidRDefault="00093139" w:rsidP="00093139">
      <w:pPr>
        <w:rPr>
          <w:i/>
          <w:iCs/>
          <w:sz w:val="22"/>
          <w:szCs w:val="22"/>
        </w:rPr>
      </w:pPr>
    </w:p>
    <w:p w14:paraId="415EAF10" w14:textId="77777777" w:rsidR="00093139" w:rsidRPr="008359EC" w:rsidRDefault="00093139" w:rsidP="00093139">
      <w:pPr>
        <w:rPr>
          <w:i/>
          <w:iCs/>
          <w:sz w:val="22"/>
          <w:szCs w:val="22"/>
        </w:rPr>
      </w:pPr>
      <w:r w:rsidRPr="008359EC">
        <w:rPr>
          <w:i/>
          <w:iCs/>
          <w:sz w:val="22"/>
          <w:szCs w:val="22"/>
        </w:rPr>
        <w:t>Consideramos que la disposición subrayada es innecesaria, pues todo el gas natural de origen termogénico está sujeto a las mismas reglas, sin importar su origen. Además, su inclusión pudiera llevar a confusiones o interpretaciones sobre la aplicación diferencial de normas para estas fuentes en específico. Las disposiciones específicas para ciertas fuentes de suministro de desarrollan en el artículo 19 de la presente resolución.</w:t>
      </w:r>
    </w:p>
    <w:p w14:paraId="5EFA883B" w14:textId="77777777" w:rsidR="00901630" w:rsidRPr="008359EC" w:rsidRDefault="00901630" w:rsidP="00093139">
      <w:pPr>
        <w:rPr>
          <w:i/>
          <w:iCs/>
          <w:sz w:val="22"/>
          <w:szCs w:val="22"/>
        </w:rPr>
      </w:pPr>
    </w:p>
    <w:p w14:paraId="686ED100" w14:textId="55B6C042" w:rsidR="00093139" w:rsidRPr="008359EC" w:rsidRDefault="00093139" w:rsidP="00093139">
      <w:pPr>
        <w:rPr>
          <w:sz w:val="22"/>
          <w:szCs w:val="22"/>
        </w:rPr>
      </w:pPr>
      <w:r w:rsidRPr="008359EC">
        <w:rPr>
          <w:i/>
          <w:iCs/>
          <w:sz w:val="22"/>
          <w:szCs w:val="22"/>
        </w:rPr>
        <w:t>En tal sentido, sugerimos eliminar</w:t>
      </w:r>
      <w:r w:rsidRPr="008359EC">
        <w:rPr>
          <w:sz w:val="22"/>
          <w:szCs w:val="22"/>
        </w:rPr>
        <w:t>."</w:t>
      </w:r>
    </w:p>
    <w:p w14:paraId="43D0F92A" w14:textId="4C491A9F" w:rsidR="00093139" w:rsidRDefault="00093139" w:rsidP="00093139"/>
    <w:p w14:paraId="2B8F21C6" w14:textId="52B988AE" w:rsidR="00901630" w:rsidRPr="00901630" w:rsidRDefault="00901630" w:rsidP="00093139">
      <w:pPr>
        <w:rPr>
          <w:b/>
          <w:bCs/>
        </w:rPr>
      </w:pPr>
      <w:r w:rsidRPr="00901630">
        <w:rPr>
          <w:b/>
          <w:bCs/>
        </w:rPr>
        <w:t>Respuesta:</w:t>
      </w:r>
    </w:p>
    <w:p w14:paraId="32BD5799" w14:textId="24D66100" w:rsidR="00901630" w:rsidRDefault="00901630" w:rsidP="00093139"/>
    <w:p w14:paraId="4F53FD5D" w14:textId="55418E73" w:rsidR="00901630" w:rsidRPr="00D05AEF" w:rsidRDefault="00D05AEF" w:rsidP="00093139">
      <w:pPr>
        <w:rPr>
          <w:sz w:val="22"/>
          <w:szCs w:val="22"/>
        </w:rPr>
      </w:pPr>
      <w:r w:rsidRPr="00D05AEF">
        <w:rPr>
          <w:sz w:val="22"/>
          <w:szCs w:val="22"/>
        </w:rPr>
        <w:t>Se ac</w:t>
      </w:r>
      <w:r>
        <w:rPr>
          <w:sz w:val="22"/>
          <w:szCs w:val="22"/>
        </w:rPr>
        <w:t>o</w:t>
      </w:r>
      <w:r w:rsidRPr="00D05AEF">
        <w:rPr>
          <w:sz w:val="22"/>
          <w:szCs w:val="22"/>
        </w:rPr>
        <w:t>ge el comentario.</w:t>
      </w:r>
    </w:p>
    <w:p w14:paraId="5A03E919" w14:textId="63123B99" w:rsidR="00D05AEF" w:rsidRPr="00D05AEF" w:rsidRDefault="00D05AEF" w:rsidP="00093139">
      <w:pPr>
        <w:rPr>
          <w:sz w:val="22"/>
          <w:szCs w:val="22"/>
        </w:rPr>
      </w:pPr>
    </w:p>
    <w:p w14:paraId="4D853C6A" w14:textId="6CF246E1" w:rsidR="00D05AEF" w:rsidRPr="00D05AEF" w:rsidRDefault="00D05AEF" w:rsidP="00093139">
      <w:pPr>
        <w:rPr>
          <w:sz w:val="22"/>
          <w:szCs w:val="22"/>
        </w:rPr>
      </w:pPr>
      <w:r w:rsidRPr="00D05AEF">
        <w:rPr>
          <w:sz w:val="22"/>
          <w:szCs w:val="22"/>
        </w:rPr>
        <w:t xml:space="preserve">Por otro lado, </w:t>
      </w:r>
      <w:r>
        <w:rPr>
          <w:sz w:val="22"/>
          <w:szCs w:val="22"/>
        </w:rPr>
        <w:t xml:space="preserve">se entiende que para la comercialización del Gas metano en depósitos de carbón, se puede aplicar lo establecido </w:t>
      </w:r>
      <w:r w:rsidR="001A1FEA">
        <w:rPr>
          <w:sz w:val="22"/>
          <w:szCs w:val="22"/>
        </w:rPr>
        <w:t>para los Yacimientos No Convencionales.</w:t>
      </w:r>
      <w:r>
        <w:rPr>
          <w:sz w:val="22"/>
          <w:szCs w:val="22"/>
        </w:rPr>
        <w:t xml:space="preserve"> </w:t>
      </w:r>
    </w:p>
    <w:p w14:paraId="5C5222A1" w14:textId="77777777" w:rsidR="008359EC" w:rsidRDefault="008359EC" w:rsidP="00093139"/>
    <w:p w14:paraId="18EC85EB" w14:textId="77777777" w:rsidR="00093139" w:rsidRDefault="00093139" w:rsidP="00093139"/>
    <w:p w14:paraId="0367A34F" w14:textId="20B747E5" w:rsidR="00093139" w:rsidRDefault="00093139" w:rsidP="00ED021C">
      <w:pPr>
        <w:pStyle w:val="Ttulo2"/>
      </w:pPr>
      <w:bookmarkStart w:id="533" w:name="_Toc140506259"/>
      <w:r>
        <w:t>OILGAS ENERGY</w:t>
      </w:r>
      <w:bookmarkEnd w:id="533"/>
      <w:r>
        <w:tab/>
      </w:r>
    </w:p>
    <w:p w14:paraId="3F9037E8" w14:textId="77777777" w:rsidR="00ED021C" w:rsidRDefault="00ED021C" w:rsidP="00ED021C">
      <w:pPr>
        <w:pStyle w:val="Ttulo4"/>
      </w:pPr>
      <w:r>
        <w:t>OILGAS ENERGY</w:t>
      </w:r>
      <w:r>
        <w:tab/>
      </w:r>
    </w:p>
    <w:p w14:paraId="7D3CDE64" w14:textId="27C2652F" w:rsidR="00093139" w:rsidRPr="006E399F" w:rsidRDefault="008C330D" w:rsidP="00093139">
      <w:pPr>
        <w:rPr>
          <w:i/>
          <w:iCs/>
          <w:sz w:val="22"/>
          <w:szCs w:val="22"/>
        </w:rPr>
      </w:pPr>
      <w:r>
        <w:rPr>
          <w:i/>
          <w:iCs/>
          <w:sz w:val="22"/>
          <w:szCs w:val="22"/>
        </w:rPr>
        <w:t>“</w:t>
      </w:r>
      <w:r w:rsidR="00093139" w:rsidRPr="006E399F">
        <w:rPr>
          <w:i/>
          <w:iCs/>
          <w:sz w:val="22"/>
          <w:szCs w:val="22"/>
        </w:rPr>
        <w:t>En atención a que los usuarios residenciales y los pequeños usuarios comerciales que no están inmersos en la red de distribución; no son considerados demanda esencial.</w:t>
      </w:r>
      <w:r w:rsidR="009552B7">
        <w:rPr>
          <w:i/>
          <w:iCs/>
          <w:sz w:val="22"/>
          <w:szCs w:val="22"/>
        </w:rPr>
        <w:t>”</w:t>
      </w:r>
    </w:p>
    <w:p w14:paraId="6C093108" w14:textId="77777777" w:rsidR="00426028" w:rsidRPr="006F1229" w:rsidRDefault="00426028" w:rsidP="00371CB5">
      <w:pPr>
        <w:rPr>
          <w:rFonts w:cs="Arial"/>
          <w:b/>
          <w:bCs/>
          <w:sz w:val="22"/>
          <w:szCs w:val="22"/>
        </w:rPr>
      </w:pPr>
    </w:p>
    <w:p w14:paraId="351370A6" w14:textId="13D8E2A7" w:rsidR="00426028" w:rsidRDefault="001A1FEA" w:rsidP="00371CB5">
      <w:pPr>
        <w:rPr>
          <w:rFonts w:cs="Arial"/>
          <w:b/>
          <w:bCs/>
          <w:sz w:val="22"/>
          <w:szCs w:val="22"/>
        </w:rPr>
      </w:pPr>
      <w:r>
        <w:rPr>
          <w:rFonts w:cs="Arial"/>
          <w:b/>
          <w:bCs/>
          <w:sz w:val="22"/>
          <w:szCs w:val="22"/>
        </w:rPr>
        <w:t>Respuesta:</w:t>
      </w:r>
    </w:p>
    <w:p w14:paraId="027BEE26" w14:textId="676BD43C" w:rsidR="001A1FEA" w:rsidRDefault="001A1FEA" w:rsidP="00371CB5">
      <w:pPr>
        <w:rPr>
          <w:rFonts w:cs="Arial"/>
          <w:b/>
          <w:bCs/>
          <w:sz w:val="22"/>
          <w:szCs w:val="22"/>
        </w:rPr>
      </w:pPr>
    </w:p>
    <w:p w14:paraId="2EB9F6FD" w14:textId="0978FA3F" w:rsidR="001A1FEA" w:rsidRPr="001A1FEA" w:rsidRDefault="001A1FEA" w:rsidP="00371CB5">
      <w:pPr>
        <w:rPr>
          <w:rFonts w:cs="Arial"/>
          <w:sz w:val="22"/>
          <w:szCs w:val="22"/>
        </w:rPr>
      </w:pPr>
      <w:r w:rsidRPr="001A1FEA">
        <w:rPr>
          <w:rFonts w:cs="Arial"/>
          <w:sz w:val="22"/>
          <w:szCs w:val="22"/>
        </w:rPr>
        <w:t xml:space="preserve">Ver respuesta a </w:t>
      </w:r>
      <w:r w:rsidRPr="001A1FEA">
        <w:rPr>
          <w:rFonts w:cs="Arial"/>
          <w:sz w:val="22"/>
          <w:szCs w:val="22"/>
        </w:rPr>
        <w:fldChar w:fldCharType="begin"/>
      </w:r>
      <w:r w:rsidRPr="001A1FEA">
        <w:rPr>
          <w:rFonts w:cs="Arial"/>
          <w:sz w:val="22"/>
          <w:szCs w:val="22"/>
        </w:rPr>
        <w:instrText xml:space="preserve"> REF _Ref130462284 \r \h </w:instrText>
      </w:r>
      <w:r>
        <w:rPr>
          <w:rFonts w:cs="Arial"/>
          <w:sz w:val="22"/>
          <w:szCs w:val="22"/>
        </w:rPr>
        <w:instrText xml:space="preserve"> \* MERGEFORMAT </w:instrText>
      </w:r>
      <w:r w:rsidRPr="001A1FEA">
        <w:rPr>
          <w:rFonts w:cs="Arial"/>
          <w:sz w:val="22"/>
          <w:szCs w:val="22"/>
        </w:rPr>
      </w:r>
      <w:r w:rsidRPr="001A1FEA">
        <w:rPr>
          <w:rFonts w:cs="Arial"/>
          <w:sz w:val="22"/>
          <w:szCs w:val="22"/>
        </w:rPr>
        <w:fldChar w:fldCharType="separate"/>
      </w:r>
      <w:r w:rsidR="007651EA">
        <w:rPr>
          <w:rFonts w:cs="Arial"/>
          <w:sz w:val="22"/>
          <w:szCs w:val="22"/>
        </w:rPr>
        <w:t>2.2.1.1</w:t>
      </w:r>
      <w:r w:rsidRPr="001A1FEA">
        <w:rPr>
          <w:rFonts w:cs="Arial"/>
          <w:sz w:val="22"/>
          <w:szCs w:val="22"/>
        </w:rPr>
        <w:fldChar w:fldCharType="end"/>
      </w:r>
      <w:r w:rsidRPr="001A1FEA">
        <w:rPr>
          <w:rFonts w:cs="Arial"/>
          <w:sz w:val="22"/>
          <w:szCs w:val="22"/>
        </w:rPr>
        <w:t>.</w:t>
      </w:r>
    </w:p>
    <w:p w14:paraId="252B1813" w14:textId="77777777" w:rsidR="00426028" w:rsidRPr="006F1229" w:rsidRDefault="00426028" w:rsidP="00371CB5">
      <w:pPr>
        <w:rPr>
          <w:rFonts w:cs="Arial"/>
          <w:b/>
          <w:bCs/>
          <w:sz w:val="22"/>
          <w:szCs w:val="22"/>
        </w:rPr>
      </w:pPr>
    </w:p>
    <w:p w14:paraId="2A3BBF31" w14:textId="77777777" w:rsidR="00426028" w:rsidRPr="006F1229" w:rsidRDefault="00426028" w:rsidP="00371CB5">
      <w:pPr>
        <w:rPr>
          <w:rFonts w:cs="Arial"/>
          <w:b/>
          <w:bCs/>
          <w:sz w:val="22"/>
          <w:szCs w:val="22"/>
        </w:rPr>
      </w:pPr>
    </w:p>
    <w:p w14:paraId="0CC5C718" w14:textId="40A564E7" w:rsidR="00ED021C" w:rsidRDefault="00ED021C" w:rsidP="00ED021C">
      <w:pPr>
        <w:pStyle w:val="Ttulo1"/>
        <w:numPr>
          <w:ilvl w:val="0"/>
          <w:numId w:val="1"/>
        </w:numPr>
      </w:pPr>
      <w:bookmarkStart w:id="534" w:name="_Toc140506260"/>
      <w:r>
        <w:t xml:space="preserve">ARTÍCULO 3. </w:t>
      </w:r>
      <w:r w:rsidRPr="00ED021C">
        <w:rPr>
          <w:caps/>
        </w:rPr>
        <w:t>Definiciones</w:t>
      </w:r>
      <w:bookmarkEnd w:id="534"/>
    </w:p>
    <w:p w14:paraId="781BDD6E" w14:textId="77777777" w:rsidR="00426028" w:rsidRPr="006F1229" w:rsidRDefault="00426028" w:rsidP="00371CB5">
      <w:pPr>
        <w:rPr>
          <w:rFonts w:cs="Arial"/>
          <w:b/>
          <w:bCs/>
          <w:sz w:val="22"/>
          <w:szCs w:val="22"/>
        </w:rPr>
      </w:pPr>
    </w:p>
    <w:p w14:paraId="085501EA" w14:textId="13CEA7E4" w:rsidR="00ED021C" w:rsidRDefault="00ED021C" w:rsidP="00536D4C">
      <w:pPr>
        <w:pStyle w:val="Ttulo2"/>
      </w:pPr>
      <w:bookmarkStart w:id="535" w:name="_Toc140506261"/>
      <w:r w:rsidRPr="00ED021C">
        <w:t>ACP</w:t>
      </w:r>
      <w:bookmarkEnd w:id="535"/>
      <w:r w:rsidRPr="00ED021C">
        <w:tab/>
      </w:r>
    </w:p>
    <w:p w14:paraId="2BA178D7" w14:textId="77777777" w:rsidR="00536D4C" w:rsidRDefault="00536D4C" w:rsidP="00536D4C">
      <w:pPr>
        <w:pStyle w:val="Ttulo4"/>
      </w:pPr>
      <w:bookmarkStart w:id="536" w:name="_Ref130534561"/>
      <w:r w:rsidRPr="00ED021C">
        <w:t>ACP</w:t>
      </w:r>
      <w:bookmarkEnd w:id="536"/>
      <w:r w:rsidRPr="00ED021C">
        <w:tab/>
      </w:r>
    </w:p>
    <w:p w14:paraId="3FDE6BCC" w14:textId="3C2298DF" w:rsidR="00ED021C" w:rsidRPr="006E399F" w:rsidRDefault="009552B7" w:rsidP="00ED021C">
      <w:pPr>
        <w:rPr>
          <w:rFonts w:cs="Arial"/>
          <w:i/>
          <w:iCs/>
          <w:sz w:val="22"/>
          <w:szCs w:val="22"/>
        </w:rPr>
      </w:pPr>
      <w:r>
        <w:rPr>
          <w:rFonts w:cs="Arial"/>
          <w:i/>
          <w:iCs/>
          <w:sz w:val="22"/>
          <w:szCs w:val="22"/>
        </w:rPr>
        <w:t>“</w:t>
      </w:r>
      <w:r w:rsidR="00ED021C" w:rsidRPr="006E399F">
        <w:rPr>
          <w:rFonts w:cs="Arial"/>
          <w:i/>
          <w:iCs/>
          <w:sz w:val="22"/>
          <w:szCs w:val="22"/>
        </w:rPr>
        <w:t>En la definición de mercado mayorista de gas natural, al especificar que los compradores adquieren el gas con Respaldo Físico para la atención del servicio público de gas combustible, se desconoce que en este mercado mayorista también se celebran contratos con interrupciones que no necesariamente están sujetos a respaldo físico.</w:t>
      </w:r>
      <w:r>
        <w:rPr>
          <w:rFonts w:cs="Arial"/>
          <w:i/>
          <w:iCs/>
          <w:sz w:val="22"/>
          <w:szCs w:val="22"/>
        </w:rPr>
        <w:t>”</w:t>
      </w:r>
    </w:p>
    <w:p w14:paraId="4A7D241F" w14:textId="3DDF8564" w:rsidR="006E399F" w:rsidRDefault="006E399F" w:rsidP="00ED021C">
      <w:pPr>
        <w:rPr>
          <w:rFonts w:cs="Arial"/>
          <w:sz w:val="22"/>
          <w:szCs w:val="22"/>
        </w:rPr>
      </w:pPr>
    </w:p>
    <w:p w14:paraId="430D15C9" w14:textId="0CF70BB4" w:rsidR="006E399F" w:rsidRPr="006E399F" w:rsidRDefault="006E399F" w:rsidP="00ED021C">
      <w:pPr>
        <w:rPr>
          <w:rFonts w:cs="Arial"/>
          <w:b/>
          <w:bCs/>
          <w:sz w:val="22"/>
          <w:szCs w:val="22"/>
        </w:rPr>
      </w:pPr>
      <w:r w:rsidRPr="006E399F">
        <w:rPr>
          <w:rFonts w:cs="Arial"/>
          <w:b/>
          <w:bCs/>
          <w:sz w:val="22"/>
          <w:szCs w:val="22"/>
        </w:rPr>
        <w:t>Respuesta:</w:t>
      </w:r>
    </w:p>
    <w:p w14:paraId="7C88B980" w14:textId="73590BD6" w:rsidR="006E399F" w:rsidRDefault="006E399F" w:rsidP="00ED021C">
      <w:pPr>
        <w:rPr>
          <w:rFonts w:cs="Arial"/>
          <w:sz w:val="22"/>
          <w:szCs w:val="22"/>
        </w:rPr>
      </w:pPr>
    </w:p>
    <w:p w14:paraId="3A280E3F" w14:textId="48D268CE" w:rsidR="006E399F" w:rsidRDefault="003315C9" w:rsidP="00ED021C">
      <w:pPr>
        <w:rPr>
          <w:rFonts w:cs="Arial"/>
          <w:sz w:val="22"/>
          <w:szCs w:val="22"/>
        </w:rPr>
      </w:pPr>
      <w:r>
        <w:rPr>
          <w:rFonts w:cs="Arial"/>
          <w:sz w:val="22"/>
          <w:szCs w:val="22"/>
        </w:rPr>
        <w:t>Se acoge el comentario.</w:t>
      </w:r>
    </w:p>
    <w:p w14:paraId="04401D5B" w14:textId="2AB2F0EB" w:rsidR="003315C9" w:rsidRDefault="003315C9" w:rsidP="00ED021C">
      <w:pPr>
        <w:rPr>
          <w:rFonts w:cs="Arial"/>
          <w:sz w:val="22"/>
          <w:szCs w:val="22"/>
        </w:rPr>
      </w:pPr>
    </w:p>
    <w:p w14:paraId="2DD13E70" w14:textId="776641A2" w:rsidR="003315C9" w:rsidRDefault="005C7C02" w:rsidP="00ED021C">
      <w:pPr>
        <w:rPr>
          <w:rFonts w:cs="Arial"/>
          <w:sz w:val="22"/>
          <w:szCs w:val="22"/>
        </w:rPr>
      </w:pPr>
      <w:r>
        <w:rPr>
          <w:rFonts w:cs="Arial"/>
          <w:sz w:val="22"/>
          <w:szCs w:val="22"/>
        </w:rPr>
        <w:t>En la nueva propuesta s</w:t>
      </w:r>
      <w:r w:rsidR="003315C9">
        <w:rPr>
          <w:rFonts w:cs="Arial"/>
          <w:sz w:val="22"/>
          <w:szCs w:val="22"/>
        </w:rPr>
        <w:t>e propone el ajuste correspondiente.</w:t>
      </w:r>
    </w:p>
    <w:p w14:paraId="7AB7AC47" w14:textId="77777777" w:rsidR="006E399F" w:rsidRPr="00ED021C" w:rsidRDefault="006E399F" w:rsidP="00ED021C">
      <w:pPr>
        <w:rPr>
          <w:rFonts w:cs="Arial"/>
          <w:sz w:val="22"/>
          <w:szCs w:val="22"/>
        </w:rPr>
      </w:pPr>
    </w:p>
    <w:p w14:paraId="1C51B7A3" w14:textId="77777777" w:rsidR="00ED021C" w:rsidRDefault="00ED021C" w:rsidP="00ED021C">
      <w:pPr>
        <w:rPr>
          <w:rFonts w:cs="Arial"/>
          <w:sz w:val="22"/>
          <w:szCs w:val="22"/>
        </w:rPr>
      </w:pPr>
    </w:p>
    <w:p w14:paraId="16B583CD" w14:textId="77777777" w:rsidR="00ED021C" w:rsidRDefault="00ED021C" w:rsidP="00536D4C">
      <w:pPr>
        <w:pStyle w:val="Ttulo4"/>
      </w:pPr>
      <w:r w:rsidRPr="00ED021C">
        <w:t>ACP</w:t>
      </w:r>
    </w:p>
    <w:p w14:paraId="52DA50DE" w14:textId="241EC5A9" w:rsidR="00ED021C" w:rsidRPr="00434C25" w:rsidRDefault="00052166" w:rsidP="00ED021C">
      <w:pPr>
        <w:rPr>
          <w:rFonts w:cs="Arial"/>
          <w:i/>
          <w:iCs/>
          <w:sz w:val="22"/>
          <w:szCs w:val="22"/>
        </w:rPr>
      </w:pPr>
      <w:r>
        <w:rPr>
          <w:rFonts w:cs="Arial"/>
          <w:i/>
          <w:iCs/>
          <w:sz w:val="22"/>
          <w:szCs w:val="22"/>
        </w:rPr>
        <w:t>“</w:t>
      </w:r>
      <w:r w:rsidR="00ED021C" w:rsidRPr="00434C25">
        <w:rPr>
          <w:rFonts w:cs="Arial"/>
          <w:i/>
          <w:iCs/>
          <w:sz w:val="22"/>
          <w:szCs w:val="22"/>
        </w:rPr>
        <w:t xml:space="preserve">En la definición de Comercialización Minorista de gas natural, ¿Necesariamente debe tener intermediación de las tres actividades (compra, transporte y distribución de </w:t>
      </w:r>
      <w:proofErr w:type="gramStart"/>
      <w:r w:rsidR="00ED021C" w:rsidRPr="00434C25">
        <w:rPr>
          <w:rFonts w:cs="Arial"/>
          <w:i/>
          <w:iCs/>
          <w:sz w:val="22"/>
          <w:szCs w:val="22"/>
        </w:rPr>
        <w:t>gas)  para</w:t>
      </w:r>
      <w:proofErr w:type="gramEnd"/>
      <w:r w:rsidR="00ED021C" w:rsidRPr="00434C25">
        <w:rPr>
          <w:rFonts w:cs="Arial"/>
          <w:i/>
          <w:iCs/>
          <w:sz w:val="22"/>
          <w:szCs w:val="22"/>
        </w:rPr>
        <w:t xml:space="preserve"> clasificarse como comercializador minorista? </w:t>
      </w:r>
      <w:proofErr w:type="gramStart"/>
      <w:r w:rsidR="00ED021C" w:rsidRPr="00434C25">
        <w:rPr>
          <w:rFonts w:cs="Arial"/>
          <w:i/>
          <w:iCs/>
          <w:sz w:val="22"/>
          <w:szCs w:val="22"/>
        </w:rPr>
        <w:t xml:space="preserve">O este </w:t>
      </w:r>
      <w:proofErr w:type="spellStart"/>
      <w:r w:rsidR="00ED021C" w:rsidRPr="00434C25">
        <w:rPr>
          <w:rFonts w:cs="Arial"/>
          <w:i/>
          <w:iCs/>
          <w:sz w:val="22"/>
          <w:szCs w:val="22"/>
        </w:rPr>
        <w:t>termino</w:t>
      </w:r>
      <w:proofErr w:type="spellEnd"/>
      <w:r w:rsidR="00ED021C" w:rsidRPr="00434C25">
        <w:rPr>
          <w:rFonts w:cs="Arial"/>
          <w:i/>
          <w:iCs/>
          <w:sz w:val="22"/>
          <w:szCs w:val="22"/>
        </w:rPr>
        <w:t xml:space="preserve"> también aplica para el intermediario de compra de gas y transporte?</w:t>
      </w:r>
      <w:proofErr w:type="gramEnd"/>
      <w:r>
        <w:rPr>
          <w:rFonts w:cs="Arial"/>
          <w:i/>
          <w:iCs/>
          <w:sz w:val="22"/>
          <w:szCs w:val="22"/>
        </w:rPr>
        <w:t>”</w:t>
      </w:r>
    </w:p>
    <w:p w14:paraId="1D3680CA" w14:textId="4EF77F3A" w:rsidR="00434C25" w:rsidRDefault="00434C25" w:rsidP="00ED021C">
      <w:pPr>
        <w:rPr>
          <w:rFonts w:cs="Arial"/>
          <w:sz w:val="22"/>
          <w:szCs w:val="22"/>
        </w:rPr>
      </w:pPr>
    </w:p>
    <w:p w14:paraId="07D8B69B" w14:textId="08DE6134" w:rsidR="00434C25" w:rsidRPr="00434C25" w:rsidRDefault="00434C25" w:rsidP="00ED021C">
      <w:pPr>
        <w:rPr>
          <w:rFonts w:cs="Arial"/>
          <w:b/>
          <w:bCs/>
          <w:sz w:val="22"/>
          <w:szCs w:val="22"/>
        </w:rPr>
      </w:pPr>
      <w:r w:rsidRPr="00434C25">
        <w:rPr>
          <w:rFonts w:cs="Arial"/>
          <w:b/>
          <w:bCs/>
          <w:sz w:val="22"/>
          <w:szCs w:val="22"/>
        </w:rPr>
        <w:t>Respuesta:</w:t>
      </w:r>
    </w:p>
    <w:p w14:paraId="5643B525" w14:textId="349D53C2" w:rsidR="00434C25" w:rsidRDefault="00434C25" w:rsidP="00ED021C">
      <w:pPr>
        <w:rPr>
          <w:rFonts w:cs="Arial"/>
          <w:sz w:val="22"/>
          <w:szCs w:val="22"/>
        </w:rPr>
      </w:pPr>
    </w:p>
    <w:p w14:paraId="138D9AD3" w14:textId="27A050C6" w:rsidR="00434C25" w:rsidRDefault="00434C25" w:rsidP="00ED021C">
      <w:pPr>
        <w:rPr>
          <w:rFonts w:cs="Arial"/>
          <w:sz w:val="22"/>
          <w:szCs w:val="22"/>
        </w:rPr>
      </w:pPr>
      <w:r>
        <w:rPr>
          <w:rFonts w:cs="Arial"/>
          <w:sz w:val="22"/>
          <w:szCs w:val="22"/>
        </w:rPr>
        <w:t>Se acoge el comentario</w:t>
      </w:r>
    </w:p>
    <w:p w14:paraId="5A11EDD5" w14:textId="77777777" w:rsidR="00434C25" w:rsidRDefault="00434C25" w:rsidP="00ED021C">
      <w:pPr>
        <w:rPr>
          <w:rFonts w:cs="Arial"/>
          <w:sz w:val="22"/>
          <w:szCs w:val="22"/>
        </w:rPr>
      </w:pPr>
    </w:p>
    <w:p w14:paraId="12A304A2" w14:textId="21A2E285" w:rsidR="00434C25" w:rsidRDefault="00434C25" w:rsidP="00ED021C">
      <w:pPr>
        <w:rPr>
          <w:rFonts w:cs="Arial"/>
          <w:sz w:val="22"/>
          <w:szCs w:val="22"/>
        </w:rPr>
      </w:pPr>
      <w:r>
        <w:rPr>
          <w:rFonts w:cs="Arial"/>
          <w:sz w:val="22"/>
          <w:szCs w:val="22"/>
        </w:rPr>
        <w:t>En la nueva propuesta se ajusta la definición de comercialización minorista.</w:t>
      </w:r>
    </w:p>
    <w:p w14:paraId="72A4BAC0" w14:textId="77777777" w:rsidR="00434C25" w:rsidRPr="00ED021C" w:rsidRDefault="00434C25" w:rsidP="00ED021C">
      <w:pPr>
        <w:rPr>
          <w:rFonts w:cs="Arial"/>
          <w:sz w:val="22"/>
          <w:szCs w:val="22"/>
        </w:rPr>
      </w:pPr>
    </w:p>
    <w:p w14:paraId="675A7591" w14:textId="77777777" w:rsidR="00ED021C" w:rsidRDefault="00ED021C" w:rsidP="00ED021C">
      <w:pPr>
        <w:rPr>
          <w:rFonts w:cs="Arial"/>
          <w:sz w:val="22"/>
          <w:szCs w:val="22"/>
        </w:rPr>
      </w:pPr>
    </w:p>
    <w:p w14:paraId="5534166A" w14:textId="77777777" w:rsidR="00ED021C" w:rsidRDefault="00ED021C" w:rsidP="00536D4C">
      <w:pPr>
        <w:pStyle w:val="Ttulo4"/>
      </w:pPr>
      <w:bookmarkStart w:id="537" w:name="_Ref130464947"/>
      <w:r w:rsidRPr="00ED021C">
        <w:t>ACP</w:t>
      </w:r>
      <w:bookmarkEnd w:id="537"/>
      <w:r w:rsidRPr="00ED021C">
        <w:tab/>
      </w:r>
    </w:p>
    <w:p w14:paraId="1C5D33BC" w14:textId="62734E33" w:rsidR="00ED021C" w:rsidRPr="00434C25" w:rsidRDefault="00EB6D67" w:rsidP="00ED021C">
      <w:pPr>
        <w:rPr>
          <w:rFonts w:cs="Arial"/>
          <w:i/>
          <w:iCs/>
          <w:sz w:val="22"/>
          <w:szCs w:val="22"/>
        </w:rPr>
      </w:pPr>
      <w:r>
        <w:rPr>
          <w:rFonts w:cs="Arial"/>
          <w:i/>
          <w:iCs/>
          <w:sz w:val="22"/>
          <w:szCs w:val="22"/>
        </w:rPr>
        <w:t>“</w:t>
      </w:r>
      <w:r w:rsidR="00ED021C" w:rsidRPr="00434C25">
        <w:rPr>
          <w:rFonts w:cs="Arial"/>
          <w:i/>
          <w:iCs/>
          <w:sz w:val="22"/>
          <w:szCs w:val="22"/>
        </w:rPr>
        <w:t>En la definición de Comercializador Minorista, ¿Un mismo comercializador puede ser mayorista y minorista? ¿</w:t>
      </w:r>
      <w:proofErr w:type="spellStart"/>
      <w:r w:rsidR="00ED021C" w:rsidRPr="00434C25">
        <w:rPr>
          <w:rFonts w:cs="Arial"/>
          <w:i/>
          <w:iCs/>
          <w:sz w:val="22"/>
          <w:szCs w:val="22"/>
        </w:rPr>
        <w:t>Cual</w:t>
      </w:r>
      <w:proofErr w:type="spellEnd"/>
      <w:r w:rsidR="00ED021C" w:rsidRPr="00434C25">
        <w:rPr>
          <w:rFonts w:cs="Arial"/>
          <w:i/>
          <w:iCs/>
          <w:sz w:val="22"/>
          <w:szCs w:val="22"/>
        </w:rPr>
        <w:t xml:space="preserve"> es la principal diferencia?</w:t>
      </w:r>
      <w:r>
        <w:rPr>
          <w:rFonts w:cs="Arial"/>
          <w:i/>
          <w:iCs/>
          <w:sz w:val="22"/>
          <w:szCs w:val="22"/>
        </w:rPr>
        <w:t>”</w:t>
      </w:r>
    </w:p>
    <w:p w14:paraId="2D890CB7" w14:textId="7DB99AE6" w:rsidR="00434C25" w:rsidRDefault="00434C25" w:rsidP="00ED021C">
      <w:pPr>
        <w:rPr>
          <w:rFonts w:cs="Arial"/>
          <w:sz w:val="22"/>
          <w:szCs w:val="22"/>
        </w:rPr>
      </w:pPr>
    </w:p>
    <w:p w14:paraId="54786243" w14:textId="56F647DF" w:rsidR="00434C25" w:rsidRPr="00434C25" w:rsidRDefault="00434C25" w:rsidP="00ED021C">
      <w:pPr>
        <w:rPr>
          <w:rFonts w:cs="Arial"/>
          <w:b/>
          <w:bCs/>
          <w:sz w:val="22"/>
          <w:szCs w:val="22"/>
        </w:rPr>
      </w:pPr>
      <w:r w:rsidRPr="00434C25">
        <w:rPr>
          <w:rFonts w:cs="Arial"/>
          <w:b/>
          <w:bCs/>
          <w:sz w:val="22"/>
          <w:szCs w:val="22"/>
        </w:rPr>
        <w:t>Respuesta:</w:t>
      </w:r>
    </w:p>
    <w:p w14:paraId="413016E5" w14:textId="27334DFF" w:rsidR="00434C25" w:rsidRDefault="00434C25" w:rsidP="00ED021C">
      <w:pPr>
        <w:rPr>
          <w:rFonts w:cs="Arial"/>
          <w:sz w:val="22"/>
          <w:szCs w:val="22"/>
        </w:rPr>
      </w:pPr>
    </w:p>
    <w:p w14:paraId="7643EA3A" w14:textId="5525CE13" w:rsidR="00434C25" w:rsidRDefault="00434C25" w:rsidP="00ED021C">
      <w:pPr>
        <w:rPr>
          <w:rFonts w:cs="Arial"/>
          <w:sz w:val="22"/>
          <w:szCs w:val="22"/>
        </w:rPr>
      </w:pPr>
      <w:r>
        <w:rPr>
          <w:rFonts w:cs="Arial"/>
          <w:sz w:val="22"/>
          <w:szCs w:val="22"/>
        </w:rPr>
        <w:t>Se acoge el comentario.</w:t>
      </w:r>
    </w:p>
    <w:p w14:paraId="265FA0CC" w14:textId="3DA8692F" w:rsidR="00434C25" w:rsidRDefault="00434C25" w:rsidP="00ED021C">
      <w:pPr>
        <w:rPr>
          <w:rFonts w:cs="Arial"/>
          <w:sz w:val="22"/>
          <w:szCs w:val="22"/>
        </w:rPr>
      </w:pPr>
    </w:p>
    <w:p w14:paraId="00D7F6F6" w14:textId="6C26F475" w:rsidR="00434C25" w:rsidRDefault="00434C25" w:rsidP="00ED021C">
      <w:pPr>
        <w:rPr>
          <w:rFonts w:cs="Arial"/>
          <w:sz w:val="22"/>
          <w:szCs w:val="22"/>
        </w:rPr>
      </w:pPr>
      <w:r>
        <w:rPr>
          <w:rFonts w:cs="Arial"/>
          <w:sz w:val="22"/>
          <w:szCs w:val="22"/>
        </w:rPr>
        <w:t>En la nueva propuesta se retira la definición de Comercializador Mayorista y se deja solamente la de Comercializador.</w:t>
      </w:r>
    </w:p>
    <w:p w14:paraId="13C5D2C3" w14:textId="77777777" w:rsidR="00434C25" w:rsidRPr="00ED021C" w:rsidRDefault="00434C25" w:rsidP="00ED021C">
      <w:pPr>
        <w:rPr>
          <w:rFonts w:cs="Arial"/>
          <w:sz w:val="22"/>
          <w:szCs w:val="22"/>
        </w:rPr>
      </w:pPr>
    </w:p>
    <w:p w14:paraId="7C117FF3" w14:textId="77777777" w:rsidR="00ED021C" w:rsidRDefault="00ED021C" w:rsidP="00ED021C">
      <w:pPr>
        <w:rPr>
          <w:rFonts w:cs="Arial"/>
          <w:sz w:val="22"/>
          <w:szCs w:val="22"/>
        </w:rPr>
      </w:pPr>
    </w:p>
    <w:p w14:paraId="66E6FE16" w14:textId="77777777" w:rsidR="00ED021C" w:rsidRDefault="00ED021C" w:rsidP="00536D4C">
      <w:pPr>
        <w:pStyle w:val="Ttulo4"/>
      </w:pPr>
      <w:r w:rsidRPr="00ED021C">
        <w:t>ACP</w:t>
      </w:r>
      <w:r w:rsidRPr="00ED021C">
        <w:tab/>
      </w:r>
    </w:p>
    <w:p w14:paraId="3E967A08" w14:textId="00D8D0DA" w:rsidR="00ED021C" w:rsidRPr="00434C25" w:rsidRDefault="00EB6D67" w:rsidP="00ED021C">
      <w:pPr>
        <w:rPr>
          <w:rFonts w:cs="Arial"/>
          <w:i/>
          <w:iCs/>
          <w:sz w:val="22"/>
          <w:szCs w:val="22"/>
        </w:rPr>
      </w:pPr>
      <w:r>
        <w:rPr>
          <w:rFonts w:cs="Arial"/>
          <w:i/>
          <w:iCs/>
          <w:sz w:val="22"/>
          <w:szCs w:val="22"/>
        </w:rPr>
        <w:t>“</w:t>
      </w:r>
      <w:r w:rsidR="00ED021C" w:rsidRPr="00434C25">
        <w:rPr>
          <w:rFonts w:cs="Arial"/>
          <w:i/>
          <w:iCs/>
          <w:sz w:val="22"/>
          <w:szCs w:val="22"/>
        </w:rPr>
        <w:t xml:space="preserve">En la definición de Participantes del Mercado Mayorista, por favor indicar cual es la definición de </w:t>
      </w:r>
      <w:r>
        <w:rPr>
          <w:rFonts w:cs="Arial"/>
          <w:i/>
          <w:iCs/>
          <w:sz w:val="22"/>
          <w:szCs w:val="22"/>
        </w:rPr>
        <w:t>‘</w:t>
      </w:r>
      <w:r w:rsidR="00ED021C" w:rsidRPr="00434C25">
        <w:rPr>
          <w:rFonts w:cs="Arial"/>
          <w:i/>
          <w:iCs/>
          <w:sz w:val="22"/>
          <w:szCs w:val="22"/>
        </w:rPr>
        <w:t>Comercializador de GNVC</w:t>
      </w:r>
      <w:r>
        <w:rPr>
          <w:rFonts w:cs="Arial"/>
          <w:i/>
          <w:iCs/>
          <w:sz w:val="22"/>
          <w:szCs w:val="22"/>
        </w:rPr>
        <w:t>’</w:t>
      </w:r>
      <w:r w:rsidR="00ED021C" w:rsidRPr="00434C25">
        <w:rPr>
          <w:rFonts w:cs="Arial"/>
          <w:i/>
          <w:iCs/>
          <w:sz w:val="22"/>
          <w:szCs w:val="22"/>
        </w:rPr>
        <w:t>".</w:t>
      </w:r>
    </w:p>
    <w:p w14:paraId="32A5360E" w14:textId="07178FF4" w:rsidR="00434C25" w:rsidRDefault="00434C25" w:rsidP="00ED021C">
      <w:pPr>
        <w:rPr>
          <w:rFonts w:cs="Arial"/>
          <w:sz w:val="22"/>
          <w:szCs w:val="22"/>
        </w:rPr>
      </w:pPr>
    </w:p>
    <w:p w14:paraId="2DFA4774" w14:textId="7C84BCC7" w:rsidR="00434C25" w:rsidRPr="00434C25" w:rsidRDefault="00434C25" w:rsidP="00ED021C">
      <w:pPr>
        <w:rPr>
          <w:rFonts w:cs="Arial"/>
          <w:b/>
          <w:bCs/>
          <w:sz w:val="22"/>
          <w:szCs w:val="22"/>
        </w:rPr>
      </w:pPr>
      <w:r w:rsidRPr="00434C25">
        <w:rPr>
          <w:rFonts w:cs="Arial"/>
          <w:b/>
          <w:bCs/>
          <w:sz w:val="22"/>
          <w:szCs w:val="22"/>
        </w:rPr>
        <w:t>Respuesta:</w:t>
      </w:r>
    </w:p>
    <w:p w14:paraId="0B4B0686" w14:textId="24073517" w:rsidR="00434C25" w:rsidRDefault="00434C25" w:rsidP="00ED021C">
      <w:pPr>
        <w:rPr>
          <w:rFonts w:cs="Arial"/>
          <w:sz w:val="22"/>
          <w:szCs w:val="22"/>
        </w:rPr>
      </w:pPr>
    </w:p>
    <w:p w14:paraId="438C6781" w14:textId="44297772" w:rsidR="00434C25" w:rsidRDefault="00434C25" w:rsidP="00ED021C">
      <w:pPr>
        <w:rPr>
          <w:rFonts w:cs="Arial"/>
          <w:sz w:val="22"/>
          <w:szCs w:val="22"/>
        </w:rPr>
      </w:pPr>
      <w:r>
        <w:rPr>
          <w:rFonts w:cs="Arial"/>
          <w:sz w:val="22"/>
          <w:szCs w:val="22"/>
        </w:rPr>
        <w:t>Se acoge el comentario.</w:t>
      </w:r>
    </w:p>
    <w:p w14:paraId="05D819EC" w14:textId="4E672D7A" w:rsidR="00434C25" w:rsidRDefault="00434C25" w:rsidP="00ED021C">
      <w:pPr>
        <w:rPr>
          <w:rFonts w:cs="Arial"/>
          <w:sz w:val="22"/>
          <w:szCs w:val="22"/>
        </w:rPr>
      </w:pPr>
    </w:p>
    <w:p w14:paraId="67488ABE" w14:textId="305CA36C" w:rsidR="00434C25" w:rsidRDefault="00434C25" w:rsidP="00ED021C">
      <w:pPr>
        <w:rPr>
          <w:rFonts w:cs="Arial"/>
          <w:sz w:val="22"/>
          <w:szCs w:val="22"/>
        </w:rPr>
      </w:pPr>
      <w:r>
        <w:rPr>
          <w:rFonts w:cs="Arial"/>
          <w:sz w:val="22"/>
          <w:szCs w:val="22"/>
        </w:rPr>
        <w:t>En la nueva propuesta se incluye la definición comentada, que se utiliza tal como está establecida en el Decreto 1073 de 2015.</w:t>
      </w:r>
    </w:p>
    <w:p w14:paraId="0D12C473" w14:textId="77777777" w:rsidR="00434C25" w:rsidRPr="00ED021C" w:rsidRDefault="00434C25" w:rsidP="00ED021C">
      <w:pPr>
        <w:rPr>
          <w:rFonts w:cs="Arial"/>
          <w:sz w:val="22"/>
          <w:szCs w:val="22"/>
        </w:rPr>
      </w:pPr>
    </w:p>
    <w:p w14:paraId="2CA23998" w14:textId="77777777" w:rsidR="00ED021C" w:rsidRDefault="00ED021C" w:rsidP="00ED021C">
      <w:pPr>
        <w:rPr>
          <w:rFonts w:cs="Arial"/>
          <w:sz w:val="22"/>
          <w:szCs w:val="22"/>
        </w:rPr>
      </w:pPr>
    </w:p>
    <w:p w14:paraId="170CB29E" w14:textId="77777777" w:rsidR="00ED021C" w:rsidRDefault="00ED021C" w:rsidP="00ED021C">
      <w:pPr>
        <w:rPr>
          <w:rFonts w:cs="Arial"/>
          <w:sz w:val="22"/>
          <w:szCs w:val="22"/>
        </w:rPr>
      </w:pPr>
    </w:p>
    <w:p w14:paraId="23632C6C" w14:textId="77777777" w:rsidR="00ED021C" w:rsidRDefault="00ED021C" w:rsidP="00536D4C">
      <w:pPr>
        <w:pStyle w:val="Ttulo2"/>
      </w:pPr>
      <w:bookmarkStart w:id="538" w:name="_Toc140506262"/>
      <w:r w:rsidRPr="00ED021C">
        <w:t>ANDESCO</w:t>
      </w:r>
      <w:bookmarkEnd w:id="538"/>
      <w:r w:rsidRPr="00ED021C">
        <w:tab/>
      </w:r>
    </w:p>
    <w:p w14:paraId="0FD17272" w14:textId="77777777" w:rsidR="00536D4C" w:rsidRDefault="00536D4C" w:rsidP="00536D4C">
      <w:pPr>
        <w:pStyle w:val="Ttulo4"/>
      </w:pPr>
      <w:r w:rsidRPr="00ED021C">
        <w:t>ANDESCO</w:t>
      </w:r>
      <w:r w:rsidRPr="00ED021C">
        <w:tab/>
      </w:r>
    </w:p>
    <w:p w14:paraId="2DD44A5E" w14:textId="55C5524C" w:rsidR="00ED021C" w:rsidRPr="00434C25" w:rsidRDefault="00B324F9" w:rsidP="00ED021C">
      <w:pPr>
        <w:rPr>
          <w:rFonts w:cs="Arial"/>
          <w:i/>
          <w:iCs/>
          <w:sz w:val="22"/>
          <w:szCs w:val="22"/>
        </w:rPr>
      </w:pPr>
      <w:r>
        <w:rPr>
          <w:rFonts w:cs="Arial"/>
          <w:i/>
          <w:iCs/>
          <w:sz w:val="22"/>
          <w:szCs w:val="22"/>
        </w:rPr>
        <w:t>“</w:t>
      </w:r>
      <w:r w:rsidR="00ED021C" w:rsidRPr="00434C25">
        <w:rPr>
          <w:rFonts w:cs="Arial"/>
          <w:i/>
          <w:iCs/>
          <w:sz w:val="22"/>
          <w:szCs w:val="22"/>
        </w:rPr>
        <w:t>Solicitamos aclarar cómo se entendería la definición de Respaldo Físico en el caso de importación de gas, que incluye actividades de almacenamiento y regasificación. Esto considerando las particularidades del gas importado en comparación con las características de operación del respaldo físico en campos de producción del país.</w:t>
      </w:r>
      <w:r>
        <w:rPr>
          <w:rFonts w:cs="Arial"/>
          <w:i/>
          <w:iCs/>
          <w:sz w:val="22"/>
          <w:szCs w:val="22"/>
        </w:rPr>
        <w:t>”</w:t>
      </w:r>
    </w:p>
    <w:p w14:paraId="132F966C" w14:textId="77777777" w:rsidR="00ED021C" w:rsidRDefault="00ED021C" w:rsidP="00ED021C">
      <w:pPr>
        <w:rPr>
          <w:rFonts w:cs="Arial"/>
          <w:sz w:val="22"/>
          <w:szCs w:val="22"/>
        </w:rPr>
      </w:pPr>
    </w:p>
    <w:p w14:paraId="5986A0B6" w14:textId="4DB4F255" w:rsidR="00ED021C" w:rsidRPr="00434C25" w:rsidRDefault="00434C25" w:rsidP="00ED021C">
      <w:pPr>
        <w:rPr>
          <w:rFonts w:cs="Arial"/>
          <w:b/>
          <w:bCs/>
          <w:sz w:val="22"/>
          <w:szCs w:val="22"/>
        </w:rPr>
      </w:pPr>
      <w:r w:rsidRPr="00434C25">
        <w:rPr>
          <w:rFonts w:cs="Arial"/>
          <w:b/>
          <w:bCs/>
          <w:sz w:val="22"/>
          <w:szCs w:val="22"/>
        </w:rPr>
        <w:t>Respuesta:</w:t>
      </w:r>
    </w:p>
    <w:p w14:paraId="31C18A63" w14:textId="4217BAC1" w:rsidR="00434C25" w:rsidRDefault="00434C25" w:rsidP="00ED021C">
      <w:pPr>
        <w:rPr>
          <w:rFonts w:cs="Arial"/>
          <w:sz w:val="22"/>
          <w:szCs w:val="22"/>
        </w:rPr>
      </w:pPr>
    </w:p>
    <w:p w14:paraId="23645841" w14:textId="1E09E814" w:rsidR="00BA52BF" w:rsidRDefault="00BA52BF" w:rsidP="00ED021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_Ref129780388 \r \h </w:instrText>
      </w:r>
      <w:r>
        <w:rPr>
          <w:rFonts w:cs="Arial"/>
          <w:sz w:val="22"/>
          <w:szCs w:val="22"/>
        </w:rPr>
      </w:r>
      <w:r>
        <w:rPr>
          <w:rFonts w:cs="Arial"/>
          <w:sz w:val="22"/>
          <w:szCs w:val="22"/>
        </w:rPr>
        <w:fldChar w:fldCharType="separate"/>
      </w:r>
      <w:r w:rsidR="007651EA">
        <w:rPr>
          <w:rFonts w:cs="Arial"/>
          <w:sz w:val="22"/>
          <w:szCs w:val="22"/>
        </w:rPr>
        <w:t>4.4</w:t>
      </w:r>
      <w:r>
        <w:rPr>
          <w:rFonts w:cs="Arial"/>
          <w:sz w:val="22"/>
          <w:szCs w:val="22"/>
        </w:rPr>
        <w:fldChar w:fldCharType="end"/>
      </w:r>
      <w:r>
        <w:rPr>
          <w:rFonts w:cs="Arial"/>
          <w:sz w:val="22"/>
          <w:szCs w:val="22"/>
        </w:rPr>
        <w:t>.</w:t>
      </w:r>
    </w:p>
    <w:p w14:paraId="758DD13C" w14:textId="77777777" w:rsidR="00434C25" w:rsidRDefault="00434C25" w:rsidP="00ED021C">
      <w:pPr>
        <w:rPr>
          <w:rFonts w:cs="Arial"/>
          <w:sz w:val="22"/>
          <w:szCs w:val="22"/>
        </w:rPr>
      </w:pPr>
    </w:p>
    <w:p w14:paraId="7E7FB129" w14:textId="77777777" w:rsidR="00ED021C" w:rsidRDefault="00ED021C" w:rsidP="00536D4C">
      <w:pPr>
        <w:pStyle w:val="Ttulo2"/>
      </w:pPr>
      <w:bookmarkStart w:id="539" w:name="_Toc140506263"/>
      <w:r w:rsidRPr="00ED021C">
        <w:t>BOLSA MERCANTIL DE COLOMBIA</w:t>
      </w:r>
      <w:bookmarkEnd w:id="539"/>
      <w:r w:rsidRPr="00ED021C">
        <w:tab/>
      </w:r>
    </w:p>
    <w:p w14:paraId="2592CA6E" w14:textId="77777777" w:rsidR="00536D4C" w:rsidRDefault="00536D4C" w:rsidP="00536D4C">
      <w:pPr>
        <w:pStyle w:val="Ttulo4"/>
      </w:pPr>
      <w:r w:rsidRPr="00ED021C">
        <w:t>BOLSA MERCANTIL DE COLOMBIA</w:t>
      </w:r>
      <w:r w:rsidRPr="00ED021C">
        <w:tab/>
      </w:r>
    </w:p>
    <w:p w14:paraId="4435BA3C" w14:textId="18D0E815" w:rsidR="00ED021C" w:rsidRDefault="001B4E90" w:rsidP="00ED021C">
      <w:pPr>
        <w:rPr>
          <w:rFonts w:cs="Arial"/>
          <w:sz w:val="22"/>
          <w:szCs w:val="22"/>
        </w:rPr>
      </w:pPr>
      <w:r>
        <w:rPr>
          <w:rFonts w:cs="Arial"/>
          <w:i/>
          <w:iCs/>
          <w:sz w:val="22"/>
          <w:szCs w:val="22"/>
        </w:rPr>
        <w:t>“</w:t>
      </w:r>
      <w:r w:rsidR="00ED021C" w:rsidRPr="001B4E90">
        <w:rPr>
          <w:rFonts w:cs="Arial"/>
          <w:i/>
          <w:iCs/>
          <w:sz w:val="22"/>
          <w:szCs w:val="22"/>
        </w:rPr>
        <w:t xml:space="preserve">En la Resolución no se encuentra incluida la definición de contrato mixto, que según el Decreto 1073 de 2015 es: </w:t>
      </w:r>
      <w:r w:rsidR="00B324F9">
        <w:rPr>
          <w:rFonts w:cs="Arial"/>
          <w:i/>
          <w:iCs/>
          <w:sz w:val="22"/>
          <w:szCs w:val="22"/>
        </w:rPr>
        <w:t>‘</w:t>
      </w:r>
      <w:r w:rsidR="00ED021C" w:rsidRPr="001B4E90">
        <w:rPr>
          <w:rFonts w:cs="Arial"/>
          <w:i/>
          <w:iCs/>
          <w:sz w:val="22"/>
          <w:szCs w:val="22"/>
        </w:rPr>
        <w:t>Contrato Mixto: Contrato escrito para prestar el servicio de suministro o de transporte de gas natural que involucra simultáneamente compromisos en Firme e Interrumpibles de volúmenes y/o capacidades de transporte de gas natural</w:t>
      </w:r>
      <w:r w:rsidR="00B324F9">
        <w:rPr>
          <w:rFonts w:cs="Arial"/>
          <w:i/>
          <w:iCs/>
          <w:sz w:val="22"/>
          <w:szCs w:val="22"/>
        </w:rPr>
        <w:t>’</w:t>
      </w:r>
      <w:r w:rsidR="00ED021C" w:rsidRPr="00ED021C">
        <w:rPr>
          <w:rFonts w:cs="Arial"/>
          <w:sz w:val="22"/>
          <w:szCs w:val="22"/>
        </w:rPr>
        <w:t>".</w:t>
      </w:r>
    </w:p>
    <w:p w14:paraId="22D24879" w14:textId="78331FBF" w:rsidR="001B4E90" w:rsidRDefault="001B4E90" w:rsidP="00ED021C">
      <w:pPr>
        <w:rPr>
          <w:rFonts w:cs="Arial"/>
          <w:sz w:val="22"/>
          <w:szCs w:val="22"/>
        </w:rPr>
      </w:pPr>
    </w:p>
    <w:p w14:paraId="5C55E1C3" w14:textId="27FF2935" w:rsidR="001B4E90" w:rsidRPr="001B4E90" w:rsidRDefault="001B4E90" w:rsidP="00ED021C">
      <w:pPr>
        <w:rPr>
          <w:rFonts w:cs="Arial"/>
          <w:b/>
          <w:bCs/>
          <w:sz w:val="22"/>
          <w:szCs w:val="22"/>
        </w:rPr>
      </w:pPr>
      <w:r w:rsidRPr="001B4E90">
        <w:rPr>
          <w:rFonts w:cs="Arial"/>
          <w:b/>
          <w:bCs/>
          <w:sz w:val="22"/>
          <w:szCs w:val="22"/>
        </w:rPr>
        <w:t>Respuesta:</w:t>
      </w:r>
    </w:p>
    <w:p w14:paraId="02DC8BC2" w14:textId="01ACB1B6" w:rsidR="001B4E90" w:rsidRDefault="001B4E90" w:rsidP="00ED021C">
      <w:pPr>
        <w:rPr>
          <w:rFonts w:cs="Arial"/>
          <w:sz w:val="22"/>
          <w:szCs w:val="22"/>
        </w:rPr>
      </w:pPr>
    </w:p>
    <w:p w14:paraId="592A526E" w14:textId="3C7245D2" w:rsidR="001B4E90" w:rsidRDefault="001B4E90" w:rsidP="00ED021C">
      <w:pPr>
        <w:rPr>
          <w:rFonts w:cs="Arial"/>
          <w:sz w:val="22"/>
          <w:szCs w:val="22"/>
        </w:rPr>
      </w:pPr>
      <w:r>
        <w:rPr>
          <w:rFonts w:cs="Arial"/>
          <w:sz w:val="22"/>
          <w:szCs w:val="22"/>
        </w:rPr>
        <w:t xml:space="preserve">En la propuesta no se incluye la definición de </w:t>
      </w:r>
      <w:r w:rsidR="00017D04">
        <w:rPr>
          <w:rFonts w:cs="Arial"/>
          <w:sz w:val="22"/>
          <w:szCs w:val="22"/>
        </w:rPr>
        <w:t>C</w:t>
      </w:r>
      <w:r>
        <w:rPr>
          <w:rFonts w:cs="Arial"/>
          <w:sz w:val="22"/>
          <w:szCs w:val="22"/>
        </w:rPr>
        <w:t xml:space="preserve">ontrato </w:t>
      </w:r>
      <w:r w:rsidR="00017D04">
        <w:rPr>
          <w:rFonts w:cs="Arial"/>
          <w:sz w:val="22"/>
          <w:szCs w:val="22"/>
        </w:rPr>
        <w:t>M</w:t>
      </w:r>
      <w:r>
        <w:rPr>
          <w:rFonts w:cs="Arial"/>
          <w:sz w:val="22"/>
          <w:szCs w:val="22"/>
        </w:rPr>
        <w:t xml:space="preserve">ixto </w:t>
      </w:r>
      <w:r w:rsidR="00017D04">
        <w:rPr>
          <w:rFonts w:cs="Arial"/>
          <w:sz w:val="22"/>
          <w:szCs w:val="22"/>
        </w:rPr>
        <w:t xml:space="preserve">ni de Contrato Interrumpible </w:t>
      </w:r>
      <w:r>
        <w:rPr>
          <w:rFonts w:cs="Arial"/>
          <w:sz w:val="22"/>
          <w:szCs w:val="22"/>
        </w:rPr>
        <w:t xml:space="preserve">porque no tiene utilización en el desarrollo de los ajustes al Mercado Mayorista. </w:t>
      </w:r>
      <w:r w:rsidR="00017D04">
        <w:rPr>
          <w:rFonts w:cs="Arial"/>
          <w:sz w:val="22"/>
          <w:szCs w:val="22"/>
        </w:rPr>
        <w:t>En ese caso se debe acudir a la definición del Decreto 1073 de 2015.</w:t>
      </w:r>
    </w:p>
    <w:p w14:paraId="719DEABF" w14:textId="77777777" w:rsidR="001B4E90" w:rsidRPr="00ED021C" w:rsidRDefault="001B4E90" w:rsidP="00ED021C">
      <w:pPr>
        <w:rPr>
          <w:rFonts w:cs="Arial"/>
          <w:sz w:val="22"/>
          <w:szCs w:val="22"/>
        </w:rPr>
      </w:pPr>
    </w:p>
    <w:p w14:paraId="6F411D1A" w14:textId="77777777" w:rsidR="00ED021C" w:rsidRDefault="00ED021C" w:rsidP="00ED021C">
      <w:pPr>
        <w:rPr>
          <w:rFonts w:cs="Arial"/>
          <w:sz w:val="22"/>
          <w:szCs w:val="22"/>
        </w:rPr>
      </w:pPr>
    </w:p>
    <w:p w14:paraId="7D157E92" w14:textId="77777777" w:rsidR="00ED021C" w:rsidRDefault="00ED021C" w:rsidP="00536D4C">
      <w:pPr>
        <w:pStyle w:val="Ttulo4"/>
      </w:pPr>
      <w:r w:rsidRPr="00ED021C">
        <w:t>BOLSA MERCANTIL DE COLOMBIA</w:t>
      </w:r>
      <w:r w:rsidRPr="00ED021C">
        <w:tab/>
      </w:r>
    </w:p>
    <w:p w14:paraId="5C367194" w14:textId="461BDEFA" w:rsidR="00ED021C" w:rsidRDefault="00484414" w:rsidP="00ED021C">
      <w:pPr>
        <w:rPr>
          <w:rFonts w:cs="Arial"/>
          <w:sz w:val="22"/>
          <w:szCs w:val="22"/>
        </w:rPr>
      </w:pPr>
      <w:r>
        <w:rPr>
          <w:rFonts w:cs="Arial"/>
          <w:i/>
          <w:iCs/>
          <w:sz w:val="22"/>
          <w:szCs w:val="22"/>
        </w:rPr>
        <w:t>“</w:t>
      </w:r>
      <w:r w:rsidR="00ED021C" w:rsidRPr="00017D04">
        <w:rPr>
          <w:rFonts w:cs="Arial"/>
          <w:i/>
          <w:iCs/>
          <w:sz w:val="22"/>
          <w:szCs w:val="22"/>
        </w:rPr>
        <w:t>En el artículo 3 no están las siguientes definiciones: Importación de GN, regasificación e Infraestructura de Importación de Gas</w:t>
      </w:r>
      <w:r w:rsidR="00017D04">
        <w:rPr>
          <w:rFonts w:cs="Arial"/>
          <w:sz w:val="22"/>
          <w:szCs w:val="22"/>
        </w:rPr>
        <w:t>.</w:t>
      </w:r>
      <w:r>
        <w:rPr>
          <w:rFonts w:cs="Arial"/>
          <w:sz w:val="22"/>
          <w:szCs w:val="22"/>
        </w:rPr>
        <w:t>”</w:t>
      </w:r>
    </w:p>
    <w:p w14:paraId="11A98000" w14:textId="2EA02BE9" w:rsidR="00017D04" w:rsidRDefault="00017D04" w:rsidP="00ED021C">
      <w:pPr>
        <w:rPr>
          <w:rFonts w:cs="Arial"/>
          <w:sz w:val="22"/>
          <w:szCs w:val="22"/>
        </w:rPr>
      </w:pPr>
    </w:p>
    <w:p w14:paraId="51C14E0E" w14:textId="1016088D" w:rsidR="00017D04" w:rsidRPr="00017D04" w:rsidRDefault="00017D04" w:rsidP="00ED021C">
      <w:pPr>
        <w:rPr>
          <w:rFonts w:cs="Arial"/>
          <w:b/>
          <w:bCs/>
          <w:sz w:val="22"/>
          <w:szCs w:val="22"/>
        </w:rPr>
      </w:pPr>
      <w:r w:rsidRPr="00017D04">
        <w:rPr>
          <w:rFonts w:cs="Arial"/>
          <w:b/>
          <w:bCs/>
          <w:sz w:val="22"/>
          <w:szCs w:val="22"/>
        </w:rPr>
        <w:t>Respuesta:</w:t>
      </w:r>
    </w:p>
    <w:p w14:paraId="3852D32D" w14:textId="5C2DBFED" w:rsidR="00017D04" w:rsidRDefault="00017D04" w:rsidP="00ED021C">
      <w:pPr>
        <w:rPr>
          <w:rFonts w:cs="Arial"/>
          <w:sz w:val="22"/>
          <w:szCs w:val="22"/>
        </w:rPr>
      </w:pPr>
    </w:p>
    <w:p w14:paraId="6228C488" w14:textId="5667EC70" w:rsidR="00017D04" w:rsidRDefault="00017D04" w:rsidP="00ED021C">
      <w:pPr>
        <w:rPr>
          <w:rFonts w:cs="Arial"/>
          <w:sz w:val="22"/>
          <w:szCs w:val="22"/>
        </w:rPr>
      </w:pPr>
      <w:r>
        <w:rPr>
          <w:rFonts w:cs="Arial"/>
          <w:sz w:val="22"/>
          <w:szCs w:val="22"/>
        </w:rPr>
        <w:t>Se acoge el comentario parcialmente.</w:t>
      </w:r>
    </w:p>
    <w:p w14:paraId="33405F90" w14:textId="479EED7B" w:rsidR="00017D04" w:rsidRDefault="00017D04" w:rsidP="00ED021C">
      <w:pPr>
        <w:rPr>
          <w:rFonts w:cs="Arial"/>
          <w:sz w:val="22"/>
          <w:szCs w:val="22"/>
        </w:rPr>
      </w:pPr>
    </w:p>
    <w:p w14:paraId="37095D2D" w14:textId="2EF9638C" w:rsidR="00017D04" w:rsidRDefault="00017D04" w:rsidP="00ED021C">
      <w:pPr>
        <w:rPr>
          <w:rFonts w:cs="Arial"/>
          <w:sz w:val="22"/>
          <w:szCs w:val="22"/>
        </w:rPr>
      </w:pPr>
      <w:r>
        <w:rPr>
          <w:rFonts w:cs="Arial"/>
          <w:sz w:val="22"/>
          <w:szCs w:val="22"/>
        </w:rPr>
        <w:t>La definición de la actividad de importación no es de competencia de la CREG. Por otra parte, en los ajustes no se propone el uso de la expresión “regasificación” sino de “infraestructura de regasificación”, cuya definición se incluye.</w:t>
      </w:r>
    </w:p>
    <w:p w14:paraId="272BF39E" w14:textId="77777777" w:rsidR="00017D04" w:rsidRPr="00ED021C" w:rsidRDefault="00017D04" w:rsidP="00ED021C">
      <w:pPr>
        <w:rPr>
          <w:rFonts w:cs="Arial"/>
          <w:sz w:val="22"/>
          <w:szCs w:val="22"/>
        </w:rPr>
      </w:pPr>
    </w:p>
    <w:p w14:paraId="379E0369" w14:textId="77777777" w:rsidR="00ED021C" w:rsidRDefault="00ED021C" w:rsidP="00ED021C">
      <w:pPr>
        <w:rPr>
          <w:rFonts w:cs="Arial"/>
          <w:sz w:val="22"/>
          <w:szCs w:val="22"/>
        </w:rPr>
      </w:pPr>
    </w:p>
    <w:p w14:paraId="4108C798" w14:textId="77777777" w:rsidR="00ED021C" w:rsidRDefault="00ED021C" w:rsidP="00536D4C">
      <w:pPr>
        <w:pStyle w:val="Ttulo4"/>
      </w:pPr>
      <w:r w:rsidRPr="00ED021C">
        <w:t>BOLSA MERCANTIL DE COLOMBIA</w:t>
      </w:r>
      <w:r w:rsidRPr="00ED021C">
        <w:tab/>
      </w:r>
    </w:p>
    <w:p w14:paraId="2FB0162E" w14:textId="23CF6B36" w:rsidR="00ED021C" w:rsidRPr="00B419F9" w:rsidRDefault="00484414" w:rsidP="00ED021C">
      <w:pPr>
        <w:rPr>
          <w:rFonts w:cs="Arial"/>
          <w:i/>
          <w:iCs/>
          <w:sz w:val="22"/>
          <w:szCs w:val="22"/>
        </w:rPr>
      </w:pPr>
      <w:r>
        <w:rPr>
          <w:rFonts w:cs="Arial"/>
          <w:i/>
          <w:iCs/>
          <w:sz w:val="22"/>
          <w:szCs w:val="22"/>
        </w:rPr>
        <w:t>“</w:t>
      </w:r>
      <w:r w:rsidR="00ED021C" w:rsidRPr="00B419F9">
        <w:rPr>
          <w:rFonts w:cs="Arial"/>
          <w:i/>
          <w:iCs/>
          <w:sz w:val="22"/>
          <w:szCs w:val="22"/>
        </w:rPr>
        <w:t>En el artículo 3 no están las siguientes definiciones: Trimestre estándar de negociación y trimestre estándar de ejecución</w:t>
      </w:r>
      <w:r w:rsidR="00B419F9">
        <w:rPr>
          <w:rFonts w:cs="Arial"/>
          <w:i/>
          <w:iCs/>
          <w:sz w:val="22"/>
          <w:szCs w:val="22"/>
        </w:rPr>
        <w:t>.</w:t>
      </w:r>
      <w:r>
        <w:rPr>
          <w:rFonts w:cs="Arial"/>
          <w:i/>
          <w:iCs/>
          <w:sz w:val="22"/>
          <w:szCs w:val="22"/>
        </w:rPr>
        <w:t>”</w:t>
      </w:r>
    </w:p>
    <w:p w14:paraId="5711D7BE" w14:textId="628E865D" w:rsidR="00017D04" w:rsidRDefault="00017D04" w:rsidP="00ED021C">
      <w:pPr>
        <w:rPr>
          <w:rFonts w:cs="Arial"/>
          <w:sz w:val="22"/>
          <w:szCs w:val="22"/>
        </w:rPr>
      </w:pPr>
    </w:p>
    <w:p w14:paraId="10C57EAC" w14:textId="49AB108A" w:rsidR="00017D04" w:rsidRPr="00017D04" w:rsidRDefault="00017D04" w:rsidP="00ED021C">
      <w:pPr>
        <w:rPr>
          <w:rFonts w:cs="Arial"/>
          <w:b/>
          <w:bCs/>
          <w:sz w:val="22"/>
          <w:szCs w:val="22"/>
        </w:rPr>
      </w:pPr>
      <w:r w:rsidRPr="00017D04">
        <w:rPr>
          <w:rFonts w:cs="Arial"/>
          <w:b/>
          <w:bCs/>
          <w:sz w:val="22"/>
          <w:szCs w:val="22"/>
        </w:rPr>
        <w:t>Respuesta:</w:t>
      </w:r>
    </w:p>
    <w:p w14:paraId="48F04587" w14:textId="77777777" w:rsidR="00B419F9" w:rsidRDefault="00B419F9" w:rsidP="00ED021C">
      <w:pPr>
        <w:rPr>
          <w:rFonts w:cs="Arial"/>
          <w:sz w:val="22"/>
          <w:szCs w:val="22"/>
        </w:rPr>
      </w:pPr>
    </w:p>
    <w:p w14:paraId="42A6532D" w14:textId="513A698E" w:rsidR="00017D04" w:rsidRDefault="00B419F9" w:rsidP="00ED021C">
      <w:pPr>
        <w:rPr>
          <w:rFonts w:cs="Arial"/>
          <w:sz w:val="22"/>
          <w:szCs w:val="22"/>
        </w:rPr>
      </w:pPr>
      <w:r>
        <w:rPr>
          <w:rFonts w:cs="Arial"/>
          <w:sz w:val="22"/>
          <w:szCs w:val="22"/>
        </w:rPr>
        <w:t>Se acoge el comentario.</w:t>
      </w:r>
    </w:p>
    <w:p w14:paraId="678EFB60" w14:textId="734E6E7C" w:rsidR="00017D04" w:rsidRDefault="00017D04" w:rsidP="00ED021C">
      <w:pPr>
        <w:rPr>
          <w:rFonts w:cs="Arial"/>
          <w:sz w:val="22"/>
          <w:szCs w:val="22"/>
        </w:rPr>
      </w:pPr>
    </w:p>
    <w:p w14:paraId="42404972" w14:textId="77777777" w:rsidR="00ED021C" w:rsidRDefault="00ED021C" w:rsidP="00ED021C">
      <w:pPr>
        <w:rPr>
          <w:rFonts w:cs="Arial"/>
          <w:sz w:val="22"/>
          <w:szCs w:val="22"/>
        </w:rPr>
      </w:pPr>
    </w:p>
    <w:p w14:paraId="5502F37C" w14:textId="77777777" w:rsidR="00ED021C" w:rsidRDefault="00ED021C" w:rsidP="00536D4C">
      <w:pPr>
        <w:pStyle w:val="Ttulo4"/>
      </w:pPr>
      <w:bookmarkStart w:id="540" w:name="_Ref130464341"/>
      <w:r w:rsidRPr="00ED021C">
        <w:t>BOLSA MERCANTIL DE COLOMBIA</w:t>
      </w:r>
      <w:bookmarkEnd w:id="540"/>
      <w:r w:rsidRPr="00ED021C">
        <w:tab/>
      </w:r>
    </w:p>
    <w:p w14:paraId="114FAD45" w14:textId="5D811790" w:rsidR="00ED021C" w:rsidRPr="00B419F9" w:rsidRDefault="00484414" w:rsidP="00ED021C">
      <w:pPr>
        <w:rPr>
          <w:rFonts w:cs="Arial"/>
          <w:i/>
          <w:iCs/>
          <w:sz w:val="22"/>
          <w:szCs w:val="22"/>
        </w:rPr>
      </w:pPr>
      <w:r>
        <w:rPr>
          <w:rFonts w:cs="Arial"/>
          <w:i/>
          <w:iCs/>
          <w:sz w:val="22"/>
          <w:szCs w:val="22"/>
        </w:rPr>
        <w:t>“</w:t>
      </w:r>
      <w:r w:rsidR="00ED021C" w:rsidRPr="00B419F9">
        <w:rPr>
          <w:rFonts w:cs="Arial"/>
          <w:i/>
          <w:iCs/>
          <w:sz w:val="22"/>
          <w:szCs w:val="22"/>
        </w:rPr>
        <w:t>La definición de mercado secundario sólo considera a los Comercializadores Mayoristas como agentes que puedan negociar sus derechos contractuales, mientras en el artículo 28 (vendedores de gas natural del mercado secundario) prevé que son vendedores en dicha instancia de negociación los Comercializadores Mayoristas, Comercializadores Minoristas con excedentes de gas en sus mercados de comercialización y Usuarios No Regulados que no consuman el gas contratado en el Mercado Primario.</w:t>
      </w:r>
      <w:r>
        <w:rPr>
          <w:rFonts w:cs="Arial"/>
          <w:i/>
          <w:iCs/>
          <w:sz w:val="22"/>
          <w:szCs w:val="22"/>
        </w:rPr>
        <w:t>”</w:t>
      </w:r>
    </w:p>
    <w:p w14:paraId="5DE14661" w14:textId="45699042" w:rsidR="00ED021C" w:rsidRDefault="00ED021C" w:rsidP="00ED021C">
      <w:pPr>
        <w:rPr>
          <w:rFonts w:cs="Arial"/>
          <w:sz w:val="22"/>
          <w:szCs w:val="22"/>
        </w:rPr>
      </w:pPr>
    </w:p>
    <w:p w14:paraId="7DD0111C" w14:textId="14B5E5BE" w:rsidR="00B419F9" w:rsidRDefault="00B419F9" w:rsidP="00ED021C">
      <w:pPr>
        <w:rPr>
          <w:rFonts w:cs="Arial"/>
          <w:b/>
          <w:bCs/>
          <w:sz w:val="22"/>
          <w:szCs w:val="22"/>
        </w:rPr>
      </w:pPr>
      <w:r w:rsidRPr="00B419F9">
        <w:rPr>
          <w:rFonts w:cs="Arial"/>
          <w:b/>
          <w:bCs/>
          <w:sz w:val="22"/>
          <w:szCs w:val="22"/>
        </w:rPr>
        <w:t>Respuesta:</w:t>
      </w:r>
    </w:p>
    <w:p w14:paraId="213B6CDD" w14:textId="43421B78" w:rsidR="00B419F9" w:rsidRDefault="00B419F9" w:rsidP="00ED021C">
      <w:pPr>
        <w:rPr>
          <w:rFonts w:cs="Arial"/>
          <w:sz w:val="22"/>
          <w:szCs w:val="22"/>
        </w:rPr>
      </w:pPr>
      <w:r w:rsidRPr="00B419F9">
        <w:rPr>
          <w:rFonts w:cs="Arial"/>
          <w:sz w:val="22"/>
          <w:szCs w:val="22"/>
        </w:rPr>
        <w:t>Se acoge el comentario.</w:t>
      </w:r>
    </w:p>
    <w:p w14:paraId="5A249080" w14:textId="47C86A66" w:rsidR="00B419F9" w:rsidRDefault="00B419F9" w:rsidP="00ED021C">
      <w:pPr>
        <w:rPr>
          <w:rFonts w:cs="Arial"/>
          <w:sz w:val="22"/>
          <w:szCs w:val="22"/>
        </w:rPr>
      </w:pPr>
    </w:p>
    <w:p w14:paraId="6EA6941B" w14:textId="5C0B9376" w:rsidR="00B419F9" w:rsidRPr="00B419F9" w:rsidRDefault="00B419F9" w:rsidP="00ED021C">
      <w:pPr>
        <w:rPr>
          <w:rFonts w:cs="Arial"/>
          <w:sz w:val="22"/>
          <w:szCs w:val="22"/>
        </w:rPr>
      </w:pPr>
      <w:r>
        <w:rPr>
          <w:rFonts w:cs="Arial"/>
          <w:sz w:val="22"/>
          <w:szCs w:val="22"/>
        </w:rPr>
        <w:t>En la nueva propuesta se retira la definición de Comercializador Mayorista y la de Comercializador Minorista.</w:t>
      </w:r>
    </w:p>
    <w:p w14:paraId="36C2F820" w14:textId="70B5B9CA" w:rsidR="00B419F9" w:rsidRDefault="00B419F9" w:rsidP="00ED021C">
      <w:pPr>
        <w:rPr>
          <w:rFonts w:cs="Arial"/>
          <w:sz w:val="22"/>
          <w:szCs w:val="22"/>
        </w:rPr>
      </w:pPr>
    </w:p>
    <w:p w14:paraId="06A5763E" w14:textId="77777777" w:rsidR="00B419F9" w:rsidRDefault="00B419F9" w:rsidP="00ED021C">
      <w:pPr>
        <w:rPr>
          <w:rFonts w:cs="Arial"/>
          <w:sz w:val="22"/>
          <w:szCs w:val="22"/>
        </w:rPr>
      </w:pPr>
    </w:p>
    <w:p w14:paraId="48171D59" w14:textId="77777777" w:rsidR="00ED021C" w:rsidRPr="00311482" w:rsidRDefault="00ED021C" w:rsidP="00536D4C">
      <w:pPr>
        <w:pStyle w:val="Ttulo4"/>
        <w:rPr>
          <w:sz w:val="22"/>
          <w:szCs w:val="22"/>
        </w:rPr>
      </w:pPr>
      <w:r w:rsidRPr="00311482">
        <w:rPr>
          <w:sz w:val="22"/>
          <w:szCs w:val="22"/>
        </w:rPr>
        <w:t>BOLSA MERCANTIL DE COLOMBIA</w:t>
      </w:r>
      <w:r w:rsidRPr="00311482">
        <w:rPr>
          <w:sz w:val="22"/>
          <w:szCs w:val="22"/>
        </w:rPr>
        <w:tab/>
      </w:r>
    </w:p>
    <w:p w14:paraId="38B6D947" w14:textId="1834930C" w:rsidR="00ED021C" w:rsidRPr="00B419F9" w:rsidRDefault="00ED021C" w:rsidP="00ED021C">
      <w:pPr>
        <w:rPr>
          <w:rFonts w:cs="Arial"/>
          <w:i/>
          <w:iCs/>
          <w:sz w:val="22"/>
          <w:szCs w:val="22"/>
        </w:rPr>
      </w:pPr>
      <w:r w:rsidRPr="00ED021C">
        <w:rPr>
          <w:rFonts w:cs="Arial"/>
          <w:sz w:val="22"/>
          <w:szCs w:val="22"/>
        </w:rPr>
        <w:t>"</w:t>
      </w:r>
      <w:r w:rsidRPr="00B419F9">
        <w:rPr>
          <w:rFonts w:cs="Arial"/>
          <w:i/>
          <w:iCs/>
          <w:sz w:val="22"/>
          <w:szCs w:val="22"/>
        </w:rPr>
        <w:t xml:space="preserve">1- Dado que se está precisando que los Comercializadores de GNCV son Participantes del Mercado, queda la inquietud de si estos deberán modificar su rol ante el </w:t>
      </w:r>
      <w:r w:rsidR="005114C6">
        <w:rPr>
          <w:rFonts w:cs="Arial"/>
          <w:i/>
          <w:iCs/>
          <w:sz w:val="22"/>
          <w:szCs w:val="22"/>
        </w:rPr>
        <w:t>Gestor del Mercado</w:t>
      </w:r>
      <w:r w:rsidRPr="00B419F9">
        <w:rPr>
          <w:rFonts w:cs="Arial"/>
          <w:i/>
          <w:iCs/>
          <w:sz w:val="22"/>
          <w:szCs w:val="22"/>
        </w:rPr>
        <w:t xml:space="preserve"> a Comercializador Mayorista o si deberá crearse expresamente dicho rol como </w:t>
      </w:r>
      <w:r w:rsidR="0017650A">
        <w:rPr>
          <w:rFonts w:cs="Arial"/>
          <w:i/>
          <w:iCs/>
          <w:sz w:val="22"/>
          <w:szCs w:val="22"/>
        </w:rPr>
        <w:t>‘</w:t>
      </w:r>
      <w:r w:rsidRPr="00B419F9">
        <w:rPr>
          <w:rFonts w:cs="Arial"/>
          <w:i/>
          <w:iCs/>
          <w:sz w:val="22"/>
          <w:szCs w:val="22"/>
        </w:rPr>
        <w:t>Comercializador de GNCV</w:t>
      </w:r>
      <w:r w:rsidR="0017650A">
        <w:rPr>
          <w:rFonts w:cs="Arial"/>
          <w:i/>
          <w:iCs/>
          <w:sz w:val="22"/>
          <w:szCs w:val="22"/>
        </w:rPr>
        <w:t>’</w:t>
      </w:r>
      <w:r w:rsidRPr="00B419F9">
        <w:rPr>
          <w:rFonts w:cs="Arial"/>
          <w:i/>
          <w:iCs/>
          <w:sz w:val="22"/>
          <w:szCs w:val="22"/>
        </w:rPr>
        <w:t xml:space="preserve">. </w:t>
      </w:r>
    </w:p>
    <w:p w14:paraId="59BA4EE2" w14:textId="77777777" w:rsidR="00ED021C" w:rsidRPr="00B419F9" w:rsidRDefault="00ED021C" w:rsidP="00ED021C">
      <w:pPr>
        <w:rPr>
          <w:rFonts w:cs="Arial"/>
          <w:i/>
          <w:iCs/>
          <w:sz w:val="22"/>
          <w:szCs w:val="22"/>
        </w:rPr>
      </w:pPr>
    </w:p>
    <w:p w14:paraId="5B7128FD" w14:textId="0212519A" w:rsidR="00ED021C" w:rsidRDefault="00ED021C" w:rsidP="00ED021C">
      <w:pPr>
        <w:rPr>
          <w:rFonts w:cs="Arial"/>
          <w:sz w:val="22"/>
          <w:szCs w:val="22"/>
        </w:rPr>
      </w:pPr>
      <w:r w:rsidRPr="00B419F9">
        <w:rPr>
          <w:rFonts w:cs="Arial"/>
          <w:i/>
          <w:iCs/>
          <w:sz w:val="22"/>
          <w:szCs w:val="22"/>
        </w:rPr>
        <w:t>2- Existen Comercializadores Minoristas que presentan de manera simultánea la condición de Comercializadores Mayoristas, por lo que no es claro si dichos agentes deben estar registrados con ambos roles para el reporte de la información transaccional del mercado minorista a que hace referencia el numeral 3 del Anexo 1 de la propuesta regulatoria</w:t>
      </w:r>
      <w:r w:rsidRPr="00ED021C">
        <w:rPr>
          <w:rFonts w:cs="Arial"/>
          <w:sz w:val="22"/>
          <w:szCs w:val="22"/>
        </w:rPr>
        <w:t>."</w:t>
      </w:r>
    </w:p>
    <w:p w14:paraId="2DDC7481" w14:textId="7D6E516D" w:rsidR="00B419F9" w:rsidRDefault="00B419F9" w:rsidP="00ED021C">
      <w:pPr>
        <w:rPr>
          <w:rFonts w:cs="Arial"/>
          <w:sz w:val="22"/>
          <w:szCs w:val="22"/>
        </w:rPr>
      </w:pPr>
    </w:p>
    <w:p w14:paraId="0C36B744" w14:textId="06053BD6" w:rsidR="00B419F9" w:rsidRPr="00B419F9" w:rsidRDefault="00B419F9" w:rsidP="00ED021C">
      <w:pPr>
        <w:rPr>
          <w:rFonts w:cs="Arial"/>
          <w:b/>
          <w:bCs/>
          <w:sz w:val="22"/>
          <w:szCs w:val="22"/>
        </w:rPr>
      </w:pPr>
      <w:r w:rsidRPr="00B419F9">
        <w:rPr>
          <w:rFonts w:cs="Arial"/>
          <w:b/>
          <w:bCs/>
          <w:sz w:val="22"/>
          <w:szCs w:val="22"/>
        </w:rPr>
        <w:t>Respuesta:</w:t>
      </w:r>
    </w:p>
    <w:p w14:paraId="11D52D54" w14:textId="3A38A5EA" w:rsidR="00B419F9" w:rsidRDefault="00B419F9" w:rsidP="00ED021C">
      <w:pPr>
        <w:rPr>
          <w:rFonts w:cs="Arial"/>
          <w:sz w:val="22"/>
          <w:szCs w:val="22"/>
        </w:rPr>
      </w:pPr>
    </w:p>
    <w:p w14:paraId="2A41D6E7" w14:textId="434F5193" w:rsidR="00B419F9" w:rsidRDefault="006629B5"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_Ref130464341 \r \h </w:instrText>
      </w:r>
      <w:r>
        <w:rPr>
          <w:rFonts w:cs="Arial"/>
          <w:sz w:val="22"/>
          <w:szCs w:val="22"/>
        </w:rPr>
      </w:r>
      <w:r>
        <w:rPr>
          <w:rFonts w:cs="Arial"/>
          <w:sz w:val="22"/>
          <w:szCs w:val="22"/>
        </w:rPr>
        <w:fldChar w:fldCharType="separate"/>
      </w:r>
      <w:r w:rsidR="007651EA">
        <w:rPr>
          <w:rFonts w:cs="Arial"/>
          <w:sz w:val="22"/>
          <w:szCs w:val="22"/>
        </w:rPr>
        <w:t>4.3.1.4</w:t>
      </w:r>
      <w:r>
        <w:rPr>
          <w:rFonts w:cs="Arial"/>
          <w:sz w:val="22"/>
          <w:szCs w:val="22"/>
        </w:rPr>
        <w:fldChar w:fldCharType="end"/>
      </w:r>
      <w:r>
        <w:rPr>
          <w:rFonts w:cs="Arial"/>
          <w:sz w:val="22"/>
          <w:szCs w:val="22"/>
        </w:rPr>
        <w:t>.</w:t>
      </w:r>
    </w:p>
    <w:p w14:paraId="71B53E81" w14:textId="512BCC61" w:rsidR="006629B5" w:rsidRDefault="006629B5" w:rsidP="00ED021C">
      <w:pPr>
        <w:rPr>
          <w:rFonts w:cs="Arial"/>
          <w:sz w:val="22"/>
          <w:szCs w:val="22"/>
        </w:rPr>
      </w:pPr>
    </w:p>
    <w:p w14:paraId="184C8646" w14:textId="3E893D3A" w:rsidR="006629B5" w:rsidRDefault="006629B5" w:rsidP="00ED021C">
      <w:pPr>
        <w:rPr>
          <w:rFonts w:cs="Arial"/>
          <w:sz w:val="22"/>
          <w:szCs w:val="22"/>
        </w:rPr>
      </w:pPr>
      <w:r>
        <w:rPr>
          <w:rFonts w:cs="Arial"/>
          <w:sz w:val="22"/>
          <w:szCs w:val="22"/>
        </w:rPr>
        <w:t xml:space="preserve">Por otra parte, el comercializador de GNCV </w:t>
      </w:r>
      <w:r w:rsidR="0072416A">
        <w:rPr>
          <w:rFonts w:cs="Arial"/>
          <w:sz w:val="22"/>
          <w:szCs w:val="22"/>
        </w:rPr>
        <w:t xml:space="preserve">puede participar como </w:t>
      </w:r>
      <w:r>
        <w:rPr>
          <w:rFonts w:cs="Arial"/>
          <w:sz w:val="22"/>
          <w:szCs w:val="22"/>
        </w:rPr>
        <w:t xml:space="preserve">un usuario no regulado </w:t>
      </w:r>
      <w:r w:rsidR="0072416A">
        <w:rPr>
          <w:rFonts w:cs="Arial"/>
          <w:sz w:val="22"/>
          <w:szCs w:val="22"/>
        </w:rPr>
        <w:t xml:space="preserve">en el Mercado Mayorista </w:t>
      </w:r>
      <w:r>
        <w:rPr>
          <w:rFonts w:cs="Arial"/>
          <w:sz w:val="22"/>
          <w:szCs w:val="22"/>
        </w:rPr>
        <w:t>para efectos de la resolución propuesta.</w:t>
      </w:r>
    </w:p>
    <w:p w14:paraId="31FEBB8E" w14:textId="146DF621" w:rsidR="0072416A" w:rsidRDefault="0072416A" w:rsidP="00ED021C">
      <w:pPr>
        <w:rPr>
          <w:rFonts w:cs="Arial"/>
          <w:sz w:val="22"/>
          <w:szCs w:val="22"/>
        </w:rPr>
      </w:pPr>
    </w:p>
    <w:p w14:paraId="5227BBD5" w14:textId="77777777" w:rsidR="0072416A" w:rsidRDefault="0072416A" w:rsidP="0072416A">
      <w:pPr>
        <w:rPr>
          <w:rFonts w:cs="Arial"/>
          <w:sz w:val="22"/>
          <w:szCs w:val="22"/>
        </w:rPr>
      </w:pPr>
      <w:r>
        <w:rPr>
          <w:rFonts w:cs="Arial"/>
          <w:sz w:val="22"/>
          <w:szCs w:val="22"/>
        </w:rPr>
        <w:t>Se debe tener en cuenta en todo caso que al comercializador de GNCV le aplica lo dispuesto en la Resolución CREG 08 de 1998 o aquellas que la modifiquen o sustituyan.</w:t>
      </w:r>
    </w:p>
    <w:p w14:paraId="0BBE2CDF" w14:textId="77777777" w:rsidR="006629B5" w:rsidRPr="00ED021C" w:rsidRDefault="006629B5" w:rsidP="00ED021C">
      <w:pPr>
        <w:rPr>
          <w:rFonts w:cs="Arial"/>
          <w:sz w:val="22"/>
          <w:szCs w:val="22"/>
        </w:rPr>
      </w:pPr>
    </w:p>
    <w:p w14:paraId="61140A89" w14:textId="77777777" w:rsidR="00ED021C" w:rsidRDefault="00ED021C" w:rsidP="00ED021C">
      <w:pPr>
        <w:rPr>
          <w:rFonts w:cs="Arial"/>
          <w:sz w:val="22"/>
          <w:szCs w:val="22"/>
        </w:rPr>
      </w:pPr>
    </w:p>
    <w:p w14:paraId="68EA19C0" w14:textId="77777777" w:rsidR="00ED021C" w:rsidRDefault="00ED021C" w:rsidP="00536D4C">
      <w:pPr>
        <w:pStyle w:val="Ttulo4"/>
      </w:pPr>
      <w:bookmarkStart w:id="541" w:name="_Ref132615934"/>
      <w:r w:rsidRPr="00ED021C">
        <w:t>BOLSA MERCANTIL DE COLOMBIA</w:t>
      </w:r>
      <w:bookmarkEnd w:id="541"/>
      <w:r w:rsidRPr="00ED021C">
        <w:tab/>
      </w:r>
    </w:p>
    <w:p w14:paraId="1F3E598A" w14:textId="58E51F2E" w:rsidR="00ED021C" w:rsidRPr="00A76528" w:rsidRDefault="00ED021C" w:rsidP="00ED021C">
      <w:pPr>
        <w:rPr>
          <w:rFonts w:cs="Arial"/>
          <w:i/>
          <w:iCs/>
          <w:sz w:val="22"/>
          <w:szCs w:val="22"/>
        </w:rPr>
      </w:pPr>
      <w:r w:rsidRPr="00ED021C">
        <w:rPr>
          <w:rFonts w:cs="Arial"/>
          <w:sz w:val="22"/>
          <w:szCs w:val="22"/>
        </w:rPr>
        <w:t>"</w:t>
      </w:r>
      <w:r w:rsidRPr="00A76528">
        <w:rPr>
          <w:rFonts w:cs="Arial"/>
          <w:i/>
          <w:iCs/>
          <w:sz w:val="22"/>
          <w:szCs w:val="22"/>
        </w:rPr>
        <w:t xml:space="preserve">El documento soporte señala que los puntos de referencia servirán a manera de nodos de agregación de oferta, de manera </w:t>
      </w:r>
      <w:proofErr w:type="gramStart"/>
      <w:r w:rsidRPr="00A76528">
        <w:rPr>
          <w:rFonts w:cs="Arial"/>
          <w:i/>
          <w:iCs/>
          <w:sz w:val="22"/>
          <w:szCs w:val="22"/>
        </w:rPr>
        <w:t>que</w:t>
      </w:r>
      <w:proofErr w:type="gramEnd"/>
      <w:r w:rsidRPr="00A76528">
        <w:rPr>
          <w:rFonts w:cs="Arial"/>
          <w:i/>
          <w:iCs/>
          <w:sz w:val="22"/>
          <w:szCs w:val="22"/>
        </w:rPr>
        <w:t xml:space="preserve"> a futuro, cuando se cuente con mayor interconexión entre los sistemas de la costa y el interior, el balance pueda ser cada vez más agregado permitiendo la realización de balances regionales y luego un balance nacional. Así mismo, establece que una de las condiciones es que se agregue la oferta disponible en firme – PTDVF de aquellas fuentes que compartan el punto de entrega:</w:t>
      </w:r>
    </w:p>
    <w:p w14:paraId="35FDBEA0" w14:textId="5AA8826C" w:rsidR="00ED021C" w:rsidRPr="00A76528" w:rsidRDefault="00CE5C5A" w:rsidP="00ED021C">
      <w:pPr>
        <w:rPr>
          <w:rFonts w:cs="Arial"/>
          <w:i/>
          <w:iCs/>
          <w:sz w:val="22"/>
          <w:szCs w:val="22"/>
        </w:rPr>
      </w:pPr>
      <w:r>
        <w:rPr>
          <w:rFonts w:cs="Arial"/>
          <w:i/>
          <w:iCs/>
          <w:sz w:val="22"/>
          <w:szCs w:val="22"/>
        </w:rPr>
        <w:t>‘</w:t>
      </w:r>
      <w:r w:rsidR="00ED021C" w:rsidRPr="00A76528">
        <w:rPr>
          <w:rFonts w:cs="Arial"/>
          <w:i/>
          <w:iCs/>
          <w:sz w:val="22"/>
          <w:szCs w:val="22"/>
        </w:rPr>
        <w:t xml:space="preserve">b) Con base en lo anterior, el </w:t>
      </w:r>
      <w:r w:rsidR="005114C6">
        <w:rPr>
          <w:rFonts w:cs="Arial"/>
          <w:i/>
          <w:iCs/>
          <w:sz w:val="22"/>
          <w:szCs w:val="22"/>
        </w:rPr>
        <w:t>Gestor del Mercado</w:t>
      </w:r>
      <w:r w:rsidR="00ED021C" w:rsidRPr="00A76528">
        <w:rPr>
          <w:rFonts w:cs="Arial"/>
          <w:i/>
          <w:iCs/>
          <w:sz w:val="22"/>
          <w:szCs w:val="22"/>
        </w:rPr>
        <w:t xml:space="preserve"> de Gas agrega las fuentes de suministro que presentan los mismos puntos de entrega (que se llamarán “puntos de referencia”), con base en las declaraciones de los Vendedores y otra información relevante y pública, para cada uno de los puntos de referencia obtenidos, las cantidades totales de PTDVF y/o CIDVF declaradas.</w:t>
      </w:r>
      <w:r>
        <w:rPr>
          <w:rFonts w:cs="Arial"/>
          <w:i/>
          <w:iCs/>
          <w:sz w:val="22"/>
          <w:szCs w:val="22"/>
        </w:rPr>
        <w:t>’</w:t>
      </w:r>
    </w:p>
    <w:p w14:paraId="6286E281" w14:textId="77777777" w:rsidR="00ED021C" w:rsidRPr="00A76528" w:rsidRDefault="00ED021C" w:rsidP="00ED021C">
      <w:pPr>
        <w:rPr>
          <w:rFonts w:cs="Arial"/>
          <w:i/>
          <w:iCs/>
          <w:sz w:val="22"/>
          <w:szCs w:val="22"/>
        </w:rPr>
      </w:pPr>
    </w:p>
    <w:p w14:paraId="6BAC5BA8" w14:textId="0280D0CF" w:rsidR="00ED021C" w:rsidRDefault="00ED021C" w:rsidP="00ED021C">
      <w:pPr>
        <w:rPr>
          <w:rFonts w:cs="Arial"/>
          <w:sz w:val="22"/>
          <w:szCs w:val="22"/>
        </w:rPr>
      </w:pPr>
      <w:r w:rsidRPr="00A76528">
        <w:rPr>
          <w:rFonts w:cs="Arial"/>
          <w:i/>
          <w:iCs/>
          <w:sz w:val="22"/>
          <w:szCs w:val="22"/>
        </w:rPr>
        <w:t xml:space="preserve">No </w:t>
      </w:r>
      <w:proofErr w:type="gramStart"/>
      <w:r w:rsidRPr="00A76528">
        <w:rPr>
          <w:rFonts w:cs="Arial"/>
          <w:i/>
          <w:iCs/>
          <w:sz w:val="22"/>
          <w:szCs w:val="22"/>
        </w:rPr>
        <w:t>obstante</w:t>
      </w:r>
      <w:proofErr w:type="gramEnd"/>
      <w:r w:rsidRPr="00A76528">
        <w:rPr>
          <w:rFonts w:cs="Arial"/>
          <w:i/>
          <w:iCs/>
          <w:sz w:val="22"/>
          <w:szCs w:val="22"/>
        </w:rPr>
        <w:t xml:space="preserve"> lo anterior, en las mesas de trabajo de socialización de la propuesta regulatoria adelantadas con el equipo de la Comisión se manifestó que adicionalmente para la definición de los Puntos de Referencia debía considerarse la condición de precio de suministro de gas pactado en estos puntos de entrega, de manera que consideren aquellos puntos de entrega o fuentes respecto a los cuales el precio de suministro sea indiferente</w:t>
      </w:r>
      <w:r w:rsidRPr="00ED021C">
        <w:rPr>
          <w:rFonts w:cs="Arial"/>
          <w:sz w:val="22"/>
          <w:szCs w:val="22"/>
        </w:rPr>
        <w:t>."</w:t>
      </w:r>
    </w:p>
    <w:p w14:paraId="22D7550A" w14:textId="39E6312F" w:rsidR="00A76528" w:rsidRDefault="00A76528" w:rsidP="00ED021C">
      <w:pPr>
        <w:rPr>
          <w:rFonts w:cs="Arial"/>
          <w:sz w:val="22"/>
          <w:szCs w:val="22"/>
        </w:rPr>
      </w:pPr>
    </w:p>
    <w:p w14:paraId="4EF9ACAB" w14:textId="6658DC34" w:rsidR="00A76528" w:rsidRPr="00A76528" w:rsidRDefault="00A76528" w:rsidP="00ED021C">
      <w:pPr>
        <w:rPr>
          <w:rFonts w:cs="Arial"/>
          <w:b/>
          <w:bCs/>
          <w:sz w:val="22"/>
          <w:szCs w:val="22"/>
        </w:rPr>
      </w:pPr>
      <w:r w:rsidRPr="00A76528">
        <w:rPr>
          <w:rFonts w:cs="Arial"/>
          <w:b/>
          <w:bCs/>
          <w:sz w:val="22"/>
          <w:szCs w:val="22"/>
        </w:rPr>
        <w:t>Respuesta:</w:t>
      </w:r>
    </w:p>
    <w:p w14:paraId="7A049AB1" w14:textId="1DAF7668" w:rsidR="00A76528" w:rsidRDefault="00A76528" w:rsidP="00ED021C">
      <w:pPr>
        <w:rPr>
          <w:rFonts w:cs="Arial"/>
          <w:sz w:val="22"/>
          <w:szCs w:val="22"/>
        </w:rPr>
      </w:pPr>
    </w:p>
    <w:p w14:paraId="6F5E423B" w14:textId="4D6109D7" w:rsidR="00A76528" w:rsidRDefault="00A76528" w:rsidP="00ED021C">
      <w:pPr>
        <w:rPr>
          <w:rFonts w:cs="Arial"/>
          <w:sz w:val="22"/>
          <w:szCs w:val="22"/>
        </w:rPr>
      </w:pPr>
      <w:r>
        <w:rPr>
          <w:rFonts w:cs="Arial"/>
          <w:sz w:val="22"/>
          <w:szCs w:val="22"/>
        </w:rPr>
        <w:t>Se acoge el comentario.</w:t>
      </w:r>
    </w:p>
    <w:p w14:paraId="1EC35346" w14:textId="465E79EC" w:rsidR="00A76528" w:rsidRDefault="00A76528" w:rsidP="00ED021C">
      <w:pPr>
        <w:rPr>
          <w:rFonts w:cs="Arial"/>
          <w:sz w:val="22"/>
          <w:szCs w:val="22"/>
        </w:rPr>
      </w:pPr>
    </w:p>
    <w:p w14:paraId="1902E172" w14:textId="076B0878" w:rsidR="00A76528" w:rsidRDefault="00A76528" w:rsidP="00ED021C">
      <w:pPr>
        <w:rPr>
          <w:rFonts w:cs="Arial"/>
          <w:sz w:val="22"/>
          <w:szCs w:val="22"/>
        </w:rPr>
      </w:pPr>
      <w:r>
        <w:rPr>
          <w:rFonts w:cs="Arial"/>
          <w:sz w:val="22"/>
          <w:szCs w:val="22"/>
        </w:rPr>
        <w:t xml:space="preserve">En la nueva propuesta se establece mayor flexibilidad al </w:t>
      </w:r>
      <w:r w:rsidR="005114C6">
        <w:rPr>
          <w:rFonts w:cs="Arial"/>
          <w:sz w:val="22"/>
          <w:szCs w:val="22"/>
        </w:rPr>
        <w:t>Gestor del Mercado</w:t>
      </w:r>
      <w:r>
        <w:rPr>
          <w:rFonts w:cs="Arial"/>
          <w:sz w:val="22"/>
          <w:szCs w:val="22"/>
        </w:rPr>
        <w:t xml:space="preserve"> para determinar los puntos de referencia, de modo que al respecto haya interacción con los vendedores y compradores.</w:t>
      </w:r>
      <w:r w:rsidR="000D0F05">
        <w:rPr>
          <w:rFonts w:cs="Arial"/>
          <w:sz w:val="22"/>
          <w:szCs w:val="22"/>
        </w:rPr>
        <w:t xml:space="preserve"> Ver numeral </w:t>
      </w:r>
      <w:r w:rsidR="000D0F05">
        <w:rPr>
          <w:rFonts w:cs="Arial"/>
          <w:sz w:val="22"/>
          <w:szCs w:val="22"/>
        </w:rPr>
        <w:fldChar w:fldCharType="begin"/>
      </w:r>
      <w:r w:rsidR="000D0F05">
        <w:rPr>
          <w:rFonts w:cs="Arial"/>
          <w:sz w:val="22"/>
          <w:szCs w:val="22"/>
        </w:rPr>
        <w:instrText xml:space="preserve"> REF _Ref130304509 \r \h </w:instrText>
      </w:r>
      <w:r w:rsidR="000D0F05">
        <w:rPr>
          <w:rFonts w:cs="Arial"/>
          <w:sz w:val="22"/>
          <w:szCs w:val="22"/>
        </w:rPr>
      </w:r>
      <w:r w:rsidR="000D0F05">
        <w:rPr>
          <w:rFonts w:cs="Arial"/>
          <w:sz w:val="22"/>
          <w:szCs w:val="22"/>
        </w:rPr>
        <w:fldChar w:fldCharType="separate"/>
      </w:r>
      <w:r w:rsidR="000D0F05">
        <w:rPr>
          <w:rFonts w:cs="Arial"/>
          <w:sz w:val="22"/>
          <w:szCs w:val="22"/>
        </w:rPr>
        <w:t>4.11.1</w:t>
      </w:r>
      <w:r w:rsidR="000D0F05">
        <w:rPr>
          <w:rFonts w:cs="Arial"/>
          <w:sz w:val="22"/>
          <w:szCs w:val="22"/>
        </w:rPr>
        <w:fldChar w:fldCharType="end"/>
      </w:r>
      <w:r w:rsidR="000D0F05">
        <w:rPr>
          <w:rFonts w:cs="Arial"/>
          <w:sz w:val="22"/>
          <w:szCs w:val="22"/>
        </w:rPr>
        <w:t>.</w:t>
      </w:r>
    </w:p>
    <w:p w14:paraId="3178363E" w14:textId="77C34389" w:rsidR="00A76528" w:rsidRPr="00ED021C" w:rsidRDefault="00A76528" w:rsidP="00ED021C">
      <w:pPr>
        <w:rPr>
          <w:rFonts w:cs="Arial"/>
          <w:sz w:val="22"/>
          <w:szCs w:val="22"/>
        </w:rPr>
      </w:pPr>
      <w:r>
        <w:rPr>
          <w:rFonts w:cs="Arial"/>
          <w:sz w:val="22"/>
          <w:szCs w:val="22"/>
        </w:rPr>
        <w:t xml:space="preserve"> </w:t>
      </w:r>
    </w:p>
    <w:p w14:paraId="23CCE417" w14:textId="77777777" w:rsidR="00ED021C" w:rsidRDefault="00ED021C" w:rsidP="00ED021C">
      <w:pPr>
        <w:rPr>
          <w:rFonts w:cs="Arial"/>
          <w:sz w:val="22"/>
          <w:szCs w:val="22"/>
        </w:rPr>
      </w:pPr>
    </w:p>
    <w:p w14:paraId="549B10F1" w14:textId="77777777" w:rsidR="00ED021C" w:rsidRDefault="00ED021C" w:rsidP="00536D4C">
      <w:pPr>
        <w:pStyle w:val="Ttulo4"/>
      </w:pPr>
      <w:bookmarkStart w:id="542" w:name="_Ref130534737"/>
      <w:r w:rsidRPr="00ED021C">
        <w:t>BOLSA MERCANTIL DE COLOMBIA</w:t>
      </w:r>
      <w:bookmarkEnd w:id="542"/>
      <w:r w:rsidRPr="00ED021C">
        <w:tab/>
      </w:r>
    </w:p>
    <w:p w14:paraId="4E453258" w14:textId="2E557D32" w:rsidR="00ED021C" w:rsidRPr="00B57FB0" w:rsidRDefault="00602310" w:rsidP="00ED021C">
      <w:pPr>
        <w:rPr>
          <w:rFonts w:cs="Arial"/>
          <w:i/>
          <w:iCs/>
          <w:sz w:val="22"/>
          <w:szCs w:val="22"/>
        </w:rPr>
      </w:pPr>
      <w:r>
        <w:rPr>
          <w:rFonts w:cs="Arial"/>
          <w:i/>
          <w:iCs/>
          <w:sz w:val="22"/>
          <w:szCs w:val="22"/>
        </w:rPr>
        <w:t>“</w:t>
      </w:r>
      <w:r w:rsidR="00ED021C" w:rsidRPr="00B57FB0">
        <w:rPr>
          <w:rFonts w:cs="Arial"/>
          <w:i/>
          <w:iCs/>
          <w:sz w:val="22"/>
          <w:szCs w:val="22"/>
        </w:rPr>
        <w:t>En la Resolución se indica que la declaración se expresa en GBTUD y con tres (3) decimales de precisión.</w:t>
      </w:r>
      <w:r>
        <w:rPr>
          <w:rFonts w:cs="Arial"/>
          <w:i/>
          <w:iCs/>
          <w:sz w:val="22"/>
          <w:szCs w:val="22"/>
        </w:rPr>
        <w:t>”</w:t>
      </w:r>
      <w:r w:rsidR="00ED021C" w:rsidRPr="00B57FB0">
        <w:rPr>
          <w:rFonts w:cs="Arial"/>
          <w:i/>
          <w:iCs/>
          <w:sz w:val="22"/>
          <w:szCs w:val="22"/>
        </w:rPr>
        <w:t xml:space="preserve">  </w:t>
      </w:r>
    </w:p>
    <w:p w14:paraId="1BEDB8AC" w14:textId="51B6B643" w:rsidR="00ED021C" w:rsidRDefault="00ED021C" w:rsidP="00ED021C">
      <w:pPr>
        <w:rPr>
          <w:rFonts w:cs="Arial"/>
          <w:sz w:val="22"/>
          <w:szCs w:val="22"/>
        </w:rPr>
      </w:pPr>
    </w:p>
    <w:p w14:paraId="697B1B0E" w14:textId="7C24B26B" w:rsidR="00B57FB0" w:rsidRPr="00B57FB0" w:rsidRDefault="00B57FB0" w:rsidP="00ED021C">
      <w:pPr>
        <w:rPr>
          <w:rFonts w:cs="Arial"/>
          <w:b/>
          <w:bCs/>
          <w:sz w:val="22"/>
          <w:szCs w:val="22"/>
        </w:rPr>
      </w:pPr>
      <w:r w:rsidRPr="00B57FB0">
        <w:rPr>
          <w:rFonts w:cs="Arial"/>
          <w:b/>
          <w:bCs/>
          <w:sz w:val="22"/>
          <w:szCs w:val="22"/>
        </w:rPr>
        <w:t>Respuesta:</w:t>
      </w:r>
    </w:p>
    <w:p w14:paraId="26DDA570" w14:textId="429ECEF8" w:rsidR="00B57FB0" w:rsidRDefault="00B57FB0" w:rsidP="00ED021C">
      <w:pPr>
        <w:rPr>
          <w:rFonts w:cs="Arial"/>
          <w:sz w:val="22"/>
          <w:szCs w:val="22"/>
        </w:rPr>
      </w:pPr>
    </w:p>
    <w:p w14:paraId="6176E685" w14:textId="79D596E1" w:rsidR="00B57FB0" w:rsidRDefault="00B57FB0" w:rsidP="00ED021C">
      <w:pPr>
        <w:rPr>
          <w:rFonts w:cs="Arial"/>
          <w:sz w:val="22"/>
          <w:szCs w:val="22"/>
        </w:rPr>
      </w:pPr>
      <w:r>
        <w:rPr>
          <w:rFonts w:cs="Arial"/>
          <w:sz w:val="22"/>
          <w:szCs w:val="22"/>
        </w:rPr>
        <w:t>Se acoge el comentario.</w:t>
      </w:r>
    </w:p>
    <w:p w14:paraId="120A3C76" w14:textId="2DBE451F" w:rsidR="00B57FB0" w:rsidRDefault="00B57FB0" w:rsidP="00ED021C">
      <w:pPr>
        <w:rPr>
          <w:rFonts w:cs="Arial"/>
          <w:sz w:val="22"/>
          <w:szCs w:val="22"/>
        </w:rPr>
      </w:pPr>
    </w:p>
    <w:p w14:paraId="776E9053" w14:textId="0EF2C66F" w:rsidR="00B57FB0" w:rsidRDefault="00B57FB0" w:rsidP="00ED021C">
      <w:pPr>
        <w:rPr>
          <w:rFonts w:cs="Arial"/>
          <w:sz w:val="22"/>
          <w:szCs w:val="22"/>
        </w:rPr>
      </w:pPr>
      <w:r>
        <w:rPr>
          <w:rFonts w:cs="Arial"/>
          <w:sz w:val="22"/>
          <w:szCs w:val="22"/>
        </w:rPr>
        <w:t>Las unidades de medición e información seguirán siendo las actuales, en MBTUD.</w:t>
      </w:r>
    </w:p>
    <w:p w14:paraId="6D85D73A" w14:textId="77777777" w:rsidR="00B57FB0" w:rsidRDefault="00B57FB0" w:rsidP="00ED021C">
      <w:pPr>
        <w:rPr>
          <w:rFonts w:cs="Arial"/>
          <w:sz w:val="22"/>
          <w:szCs w:val="22"/>
        </w:rPr>
      </w:pPr>
    </w:p>
    <w:p w14:paraId="4D585331" w14:textId="77777777" w:rsidR="00ED021C" w:rsidRDefault="00ED021C" w:rsidP="00ED021C">
      <w:pPr>
        <w:rPr>
          <w:rFonts w:cs="Arial"/>
          <w:sz w:val="22"/>
          <w:szCs w:val="22"/>
        </w:rPr>
      </w:pPr>
    </w:p>
    <w:p w14:paraId="4FA04362" w14:textId="77777777" w:rsidR="00ED021C" w:rsidRDefault="00ED021C" w:rsidP="00536D4C">
      <w:pPr>
        <w:pStyle w:val="Ttulo4"/>
      </w:pPr>
      <w:r w:rsidRPr="00ED021C">
        <w:t>BOLSA MERCANTIL DE COLOMBIA</w:t>
      </w:r>
      <w:r w:rsidRPr="00ED021C">
        <w:tab/>
      </w:r>
    </w:p>
    <w:p w14:paraId="28216A4A" w14:textId="0DA04F1A" w:rsidR="00ED021C" w:rsidRPr="00CE74FF" w:rsidRDefault="00602310" w:rsidP="00ED021C">
      <w:pPr>
        <w:rPr>
          <w:rFonts w:cs="Arial"/>
          <w:i/>
          <w:iCs/>
          <w:sz w:val="22"/>
          <w:szCs w:val="22"/>
        </w:rPr>
      </w:pPr>
      <w:r>
        <w:rPr>
          <w:rFonts w:cs="Arial"/>
          <w:i/>
          <w:iCs/>
          <w:sz w:val="22"/>
          <w:szCs w:val="22"/>
        </w:rPr>
        <w:t>“</w:t>
      </w:r>
      <w:r w:rsidR="00ED021C" w:rsidRPr="00CE74FF">
        <w:rPr>
          <w:rFonts w:cs="Arial"/>
          <w:i/>
          <w:iCs/>
          <w:sz w:val="22"/>
          <w:szCs w:val="22"/>
        </w:rPr>
        <w:t xml:space="preserve">No hay definición para </w:t>
      </w:r>
      <w:r>
        <w:rPr>
          <w:rFonts w:cs="Arial"/>
          <w:i/>
          <w:iCs/>
          <w:sz w:val="22"/>
          <w:szCs w:val="22"/>
        </w:rPr>
        <w:t>‘</w:t>
      </w:r>
      <w:r w:rsidR="00ED021C" w:rsidRPr="00CE74FF">
        <w:rPr>
          <w:rFonts w:cs="Arial"/>
          <w:i/>
          <w:iCs/>
          <w:sz w:val="22"/>
          <w:szCs w:val="22"/>
        </w:rPr>
        <w:t>Punto de Venta</w:t>
      </w:r>
      <w:r>
        <w:rPr>
          <w:rFonts w:cs="Arial"/>
          <w:i/>
          <w:iCs/>
          <w:sz w:val="22"/>
          <w:szCs w:val="22"/>
        </w:rPr>
        <w:t>’</w:t>
      </w:r>
      <w:r w:rsidR="00ED021C" w:rsidRPr="00CE74FF">
        <w:rPr>
          <w:rFonts w:cs="Arial"/>
          <w:i/>
          <w:iCs/>
          <w:sz w:val="22"/>
          <w:szCs w:val="22"/>
        </w:rPr>
        <w:t>"</w:t>
      </w:r>
      <w:r w:rsidR="00B57FB0" w:rsidRPr="00CE74FF">
        <w:rPr>
          <w:rFonts w:cs="Arial"/>
          <w:i/>
          <w:iCs/>
          <w:sz w:val="22"/>
          <w:szCs w:val="22"/>
        </w:rPr>
        <w:t>.</w:t>
      </w:r>
    </w:p>
    <w:p w14:paraId="3FF3F7FE" w14:textId="0D7D9BE6" w:rsidR="00B57FB0" w:rsidRDefault="00B57FB0" w:rsidP="00ED021C">
      <w:pPr>
        <w:rPr>
          <w:rFonts w:cs="Arial"/>
          <w:sz w:val="22"/>
          <w:szCs w:val="22"/>
        </w:rPr>
      </w:pPr>
    </w:p>
    <w:p w14:paraId="26D28B1E" w14:textId="227288FD" w:rsidR="00B57FB0" w:rsidRPr="00B57FB0" w:rsidRDefault="00B57FB0" w:rsidP="00ED021C">
      <w:pPr>
        <w:rPr>
          <w:rFonts w:cs="Arial"/>
          <w:b/>
          <w:bCs/>
          <w:sz w:val="22"/>
          <w:szCs w:val="22"/>
        </w:rPr>
      </w:pPr>
      <w:r w:rsidRPr="00B57FB0">
        <w:rPr>
          <w:rFonts w:cs="Arial"/>
          <w:b/>
          <w:bCs/>
          <w:sz w:val="22"/>
          <w:szCs w:val="22"/>
        </w:rPr>
        <w:t>Respuesta:</w:t>
      </w:r>
    </w:p>
    <w:p w14:paraId="1EFE1C17" w14:textId="15887174" w:rsidR="00B57FB0" w:rsidRDefault="00B57FB0" w:rsidP="00ED021C">
      <w:pPr>
        <w:rPr>
          <w:rFonts w:cs="Arial"/>
          <w:sz w:val="22"/>
          <w:szCs w:val="22"/>
        </w:rPr>
      </w:pPr>
    </w:p>
    <w:p w14:paraId="2E75337A" w14:textId="299E7817" w:rsidR="00B57FB0" w:rsidRDefault="00CE74FF" w:rsidP="00ED021C">
      <w:pPr>
        <w:rPr>
          <w:rFonts w:cs="Arial"/>
          <w:sz w:val="22"/>
          <w:szCs w:val="22"/>
        </w:rPr>
      </w:pPr>
      <w:r>
        <w:rPr>
          <w:rFonts w:cs="Arial"/>
          <w:sz w:val="22"/>
          <w:szCs w:val="22"/>
        </w:rPr>
        <w:t>No se acoge el comentario.</w:t>
      </w:r>
    </w:p>
    <w:p w14:paraId="3F71D07D" w14:textId="0C5825DA" w:rsidR="00CE74FF" w:rsidRDefault="00CE74FF" w:rsidP="00ED021C">
      <w:pPr>
        <w:rPr>
          <w:rFonts w:cs="Arial"/>
          <w:sz w:val="22"/>
          <w:szCs w:val="22"/>
        </w:rPr>
      </w:pPr>
    </w:p>
    <w:p w14:paraId="2CB0D8E4" w14:textId="31516809" w:rsidR="00CE74FF" w:rsidRDefault="00CE74FF" w:rsidP="00ED021C">
      <w:pPr>
        <w:rPr>
          <w:rFonts w:cs="Arial"/>
          <w:sz w:val="22"/>
          <w:szCs w:val="22"/>
        </w:rPr>
      </w:pPr>
      <w:r>
        <w:rPr>
          <w:rFonts w:cs="Arial"/>
          <w:sz w:val="22"/>
          <w:szCs w:val="22"/>
        </w:rPr>
        <w:t>En la propuesta presentada y en la nueva, no se establece utilización de</w:t>
      </w:r>
      <w:r w:rsidR="00602310">
        <w:rPr>
          <w:rFonts w:cs="Arial"/>
          <w:sz w:val="22"/>
          <w:szCs w:val="22"/>
        </w:rPr>
        <w:t>l término</w:t>
      </w:r>
      <w:r>
        <w:rPr>
          <w:rFonts w:cs="Arial"/>
          <w:sz w:val="22"/>
          <w:szCs w:val="22"/>
        </w:rPr>
        <w:t xml:space="preserve"> “punto de venta”.</w:t>
      </w:r>
    </w:p>
    <w:p w14:paraId="1FDC943B" w14:textId="77777777" w:rsidR="00B57FB0" w:rsidRPr="00ED021C" w:rsidRDefault="00B57FB0" w:rsidP="00ED021C">
      <w:pPr>
        <w:rPr>
          <w:rFonts w:cs="Arial"/>
          <w:sz w:val="22"/>
          <w:szCs w:val="22"/>
        </w:rPr>
      </w:pPr>
    </w:p>
    <w:p w14:paraId="60A5BF5B" w14:textId="77777777" w:rsidR="00ED021C" w:rsidRDefault="00ED021C" w:rsidP="00ED021C">
      <w:pPr>
        <w:rPr>
          <w:rFonts w:cs="Arial"/>
          <w:sz w:val="22"/>
          <w:szCs w:val="22"/>
        </w:rPr>
      </w:pPr>
    </w:p>
    <w:p w14:paraId="24EEBA1F" w14:textId="77777777" w:rsidR="00ED021C" w:rsidRDefault="00ED021C" w:rsidP="00536D4C">
      <w:pPr>
        <w:pStyle w:val="Ttulo2"/>
      </w:pPr>
      <w:bookmarkStart w:id="543" w:name="_Toc140506264"/>
      <w:r w:rsidRPr="00ED021C">
        <w:t>CANACOL</w:t>
      </w:r>
      <w:bookmarkEnd w:id="543"/>
      <w:r w:rsidRPr="00ED021C">
        <w:tab/>
      </w:r>
    </w:p>
    <w:p w14:paraId="484AF5D8" w14:textId="77777777" w:rsidR="00536D4C" w:rsidRDefault="00536D4C" w:rsidP="00536D4C">
      <w:pPr>
        <w:pStyle w:val="Ttulo4"/>
      </w:pPr>
      <w:r w:rsidRPr="00ED021C">
        <w:t>CANACOL</w:t>
      </w:r>
      <w:r w:rsidRPr="00ED021C">
        <w:tab/>
      </w:r>
    </w:p>
    <w:p w14:paraId="0A5F2046" w14:textId="0DBD277C" w:rsidR="00ED021C" w:rsidRPr="00CC3556" w:rsidRDefault="00ED021C" w:rsidP="00ED021C">
      <w:pPr>
        <w:rPr>
          <w:rFonts w:cs="Arial"/>
          <w:i/>
          <w:iCs/>
          <w:sz w:val="22"/>
          <w:szCs w:val="22"/>
        </w:rPr>
      </w:pPr>
      <w:r w:rsidRPr="00ED021C">
        <w:rPr>
          <w:rFonts w:cs="Arial"/>
          <w:sz w:val="22"/>
          <w:szCs w:val="22"/>
        </w:rPr>
        <w:t>"</w:t>
      </w:r>
      <w:r w:rsidRPr="00CC3556">
        <w:rPr>
          <w:rFonts w:cs="Arial"/>
          <w:i/>
          <w:iCs/>
          <w:sz w:val="22"/>
          <w:szCs w:val="22"/>
        </w:rPr>
        <w:t>La Definición no establece con claridad, cuál es la obligación de respaldo físico para los comercializadores de gas importado.</w:t>
      </w:r>
    </w:p>
    <w:p w14:paraId="7E65D89F" w14:textId="77777777" w:rsidR="00ED021C" w:rsidRPr="00CC3556" w:rsidRDefault="00ED021C" w:rsidP="00ED021C">
      <w:pPr>
        <w:rPr>
          <w:rFonts w:cs="Arial"/>
          <w:i/>
          <w:iCs/>
          <w:sz w:val="22"/>
          <w:szCs w:val="22"/>
        </w:rPr>
      </w:pPr>
    </w:p>
    <w:p w14:paraId="243438A2" w14:textId="5A075CC7" w:rsidR="00ED021C" w:rsidRDefault="00ED021C" w:rsidP="00ED021C">
      <w:pPr>
        <w:rPr>
          <w:rFonts w:cs="Arial"/>
          <w:sz w:val="22"/>
          <w:szCs w:val="22"/>
        </w:rPr>
      </w:pPr>
      <w:r w:rsidRPr="00CC3556">
        <w:rPr>
          <w:rFonts w:cs="Arial"/>
          <w:i/>
          <w:iCs/>
          <w:sz w:val="22"/>
          <w:szCs w:val="22"/>
        </w:rPr>
        <w:t xml:space="preserve">Esta definición deja claro cómo debe entenderse el Respaldo Físico tanto de los Productores- Comercializadores como de los  Comercializadores Mayoristas, pero no hace ninguna referencia a  cómo debe entenderse dicho concepto de cara al Comercializador de Gas Importado quien está habilitado para vender en firme en el MADE. Ello es de la mayor relevancia toda vez que si se </w:t>
      </w:r>
      <w:r w:rsidR="00A039FB" w:rsidRPr="00CC3556">
        <w:rPr>
          <w:rFonts w:cs="Arial"/>
          <w:i/>
          <w:iCs/>
          <w:sz w:val="22"/>
          <w:szCs w:val="22"/>
        </w:rPr>
        <w:t>incluye</w:t>
      </w:r>
      <w:r w:rsidRPr="00CC3556">
        <w:rPr>
          <w:rFonts w:cs="Arial"/>
          <w:i/>
          <w:iCs/>
          <w:sz w:val="22"/>
          <w:szCs w:val="22"/>
        </w:rPr>
        <w:t xml:space="preserve"> una nueva fuente de gas que competirá con el gas local, </w:t>
      </w:r>
      <w:proofErr w:type="gramStart"/>
      <w:r w:rsidRPr="00CC3556">
        <w:rPr>
          <w:rFonts w:cs="Arial"/>
          <w:i/>
          <w:iCs/>
          <w:sz w:val="22"/>
          <w:szCs w:val="22"/>
        </w:rPr>
        <w:t>el nivel de igualdad en las condiciones para competir por el mercado deben</w:t>
      </w:r>
      <w:proofErr w:type="gramEnd"/>
      <w:r w:rsidRPr="00CC3556">
        <w:rPr>
          <w:rFonts w:cs="Arial"/>
          <w:i/>
          <w:iCs/>
          <w:sz w:val="22"/>
          <w:szCs w:val="22"/>
        </w:rPr>
        <w:t xml:space="preserve"> tener una coherencia verificable</w:t>
      </w:r>
      <w:r w:rsidRPr="00ED021C">
        <w:rPr>
          <w:rFonts w:cs="Arial"/>
          <w:sz w:val="22"/>
          <w:szCs w:val="22"/>
        </w:rPr>
        <w:t>"</w:t>
      </w:r>
    </w:p>
    <w:p w14:paraId="5814C5FC" w14:textId="2FFC495D" w:rsidR="00CC3556" w:rsidRDefault="00CC3556" w:rsidP="00ED021C">
      <w:pPr>
        <w:rPr>
          <w:rFonts w:cs="Arial"/>
          <w:sz w:val="22"/>
          <w:szCs w:val="22"/>
        </w:rPr>
      </w:pPr>
    </w:p>
    <w:p w14:paraId="7C972F13" w14:textId="1E00E262" w:rsidR="00CC3556" w:rsidRPr="00CC3556" w:rsidRDefault="00CC3556" w:rsidP="00ED021C">
      <w:pPr>
        <w:rPr>
          <w:rFonts w:cs="Arial"/>
          <w:b/>
          <w:bCs/>
          <w:sz w:val="22"/>
          <w:szCs w:val="22"/>
        </w:rPr>
      </w:pPr>
      <w:r w:rsidRPr="00CC3556">
        <w:rPr>
          <w:rFonts w:cs="Arial"/>
          <w:b/>
          <w:bCs/>
          <w:sz w:val="22"/>
          <w:szCs w:val="22"/>
        </w:rPr>
        <w:t>Respuesta:</w:t>
      </w:r>
    </w:p>
    <w:p w14:paraId="22F992A9" w14:textId="2C1A8764" w:rsidR="00CC3556" w:rsidRDefault="00CC3556" w:rsidP="00ED021C">
      <w:pPr>
        <w:rPr>
          <w:rFonts w:cs="Arial"/>
          <w:sz w:val="22"/>
          <w:szCs w:val="22"/>
        </w:rPr>
      </w:pPr>
    </w:p>
    <w:p w14:paraId="4232A617" w14:textId="79CB82BF" w:rsidR="00CC3556" w:rsidRDefault="00CC3556" w:rsidP="00ED021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_Ref129780388 \r \h </w:instrText>
      </w:r>
      <w:r>
        <w:rPr>
          <w:rFonts w:cs="Arial"/>
          <w:sz w:val="22"/>
          <w:szCs w:val="22"/>
        </w:rPr>
      </w:r>
      <w:r>
        <w:rPr>
          <w:rFonts w:cs="Arial"/>
          <w:sz w:val="22"/>
          <w:szCs w:val="22"/>
        </w:rPr>
        <w:fldChar w:fldCharType="separate"/>
      </w:r>
      <w:r w:rsidR="007651EA">
        <w:rPr>
          <w:rFonts w:cs="Arial"/>
          <w:sz w:val="22"/>
          <w:szCs w:val="22"/>
        </w:rPr>
        <w:t>4.4</w:t>
      </w:r>
      <w:r>
        <w:rPr>
          <w:rFonts w:cs="Arial"/>
          <w:sz w:val="22"/>
          <w:szCs w:val="22"/>
        </w:rPr>
        <w:fldChar w:fldCharType="end"/>
      </w:r>
      <w:r>
        <w:rPr>
          <w:rFonts w:cs="Arial"/>
          <w:sz w:val="22"/>
          <w:szCs w:val="22"/>
        </w:rPr>
        <w:t>.</w:t>
      </w:r>
    </w:p>
    <w:p w14:paraId="0E75531A" w14:textId="77777777" w:rsidR="00CC3556" w:rsidRPr="00ED021C" w:rsidRDefault="00CC3556" w:rsidP="00ED021C">
      <w:pPr>
        <w:rPr>
          <w:rFonts w:cs="Arial"/>
          <w:sz w:val="22"/>
          <w:szCs w:val="22"/>
        </w:rPr>
      </w:pPr>
    </w:p>
    <w:p w14:paraId="213ABBD7" w14:textId="77777777" w:rsidR="00ED021C" w:rsidRDefault="00ED021C" w:rsidP="00ED021C">
      <w:pPr>
        <w:rPr>
          <w:rFonts w:cs="Arial"/>
          <w:sz w:val="22"/>
          <w:szCs w:val="22"/>
        </w:rPr>
      </w:pPr>
    </w:p>
    <w:p w14:paraId="1D9F1683" w14:textId="77777777" w:rsidR="00ED021C" w:rsidRDefault="00ED021C" w:rsidP="00536D4C">
      <w:pPr>
        <w:pStyle w:val="Ttulo4"/>
      </w:pPr>
      <w:r w:rsidRPr="00ED021C">
        <w:t>CANACOL</w:t>
      </w:r>
      <w:r w:rsidRPr="00ED021C">
        <w:tab/>
      </w:r>
    </w:p>
    <w:p w14:paraId="026D75D9" w14:textId="3FFC403E" w:rsidR="00ED021C" w:rsidRPr="00CC3556" w:rsidRDefault="00ED021C" w:rsidP="00ED021C">
      <w:pPr>
        <w:rPr>
          <w:rFonts w:cs="Arial"/>
          <w:i/>
          <w:iCs/>
          <w:sz w:val="22"/>
          <w:szCs w:val="22"/>
        </w:rPr>
      </w:pPr>
      <w:r w:rsidRPr="00ED021C">
        <w:rPr>
          <w:rFonts w:cs="Arial"/>
          <w:sz w:val="22"/>
          <w:szCs w:val="22"/>
        </w:rPr>
        <w:t>"</w:t>
      </w:r>
      <w:r w:rsidRPr="00CC3556">
        <w:rPr>
          <w:rFonts w:cs="Arial"/>
          <w:i/>
          <w:iCs/>
          <w:sz w:val="22"/>
          <w:szCs w:val="22"/>
        </w:rPr>
        <w:t>Esta definición excluiría del mercado mayorista a las transacciones de contratos con interrupciones que haga en el mercado primario el productor. Actualmente la defi</w:t>
      </w:r>
      <w:r w:rsidR="006C6645">
        <w:rPr>
          <w:rFonts w:cs="Arial"/>
          <w:i/>
          <w:iCs/>
          <w:sz w:val="22"/>
          <w:szCs w:val="22"/>
        </w:rPr>
        <w:t>ni</w:t>
      </w:r>
      <w:r w:rsidRPr="00CC3556">
        <w:rPr>
          <w:rFonts w:cs="Arial"/>
          <w:i/>
          <w:iCs/>
          <w:sz w:val="22"/>
          <w:szCs w:val="22"/>
        </w:rPr>
        <w:t xml:space="preserve">ción es la siguiente a la cual la CREG incluyó la parte final que resaltamos en negrilla tal y como está en la Resolución CREG 226: </w:t>
      </w:r>
    </w:p>
    <w:p w14:paraId="3C4EB4E3" w14:textId="77777777" w:rsidR="00ED021C" w:rsidRPr="00CC3556" w:rsidRDefault="00ED021C" w:rsidP="00ED021C">
      <w:pPr>
        <w:rPr>
          <w:rFonts w:cs="Arial"/>
          <w:i/>
          <w:iCs/>
          <w:sz w:val="22"/>
          <w:szCs w:val="22"/>
        </w:rPr>
      </w:pPr>
    </w:p>
    <w:p w14:paraId="327E4501" w14:textId="4601CA90" w:rsidR="00ED021C" w:rsidRDefault="00ED021C" w:rsidP="00ED021C">
      <w:pPr>
        <w:rPr>
          <w:rFonts w:cs="Arial"/>
          <w:sz w:val="22"/>
          <w:szCs w:val="22"/>
        </w:rPr>
      </w:pPr>
      <w:r w:rsidRPr="00CC3556">
        <w:rPr>
          <w:rFonts w:cs="Arial"/>
          <w:i/>
          <w:iCs/>
          <w:sz w:val="22"/>
          <w:szCs w:val="22"/>
        </w:rPr>
        <w:t>Mercado Mayorista de gas natural: conjunto de transacciones de compraventa de gas natural y/o de capacidad de transporte en el mercado primario y en el mercado secundario. Estas transacciones se harán con sujeción al Reglamento de Operación de gas natural y los compradores lo adquieren con Respaldo Físico para la atención del servicio público de gas combustible</w:t>
      </w:r>
      <w:r w:rsidRPr="00ED021C">
        <w:rPr>
          <w:rFonts w:cs="Arial"/>
          <w:sz w:val="22"/>
          <w:szCs w:val="22"/>
        </w:rPr>
        <w:t>."</w:t>
      </w:r>
    </w:p>
    <w:p w14:paraId="4DC4C00B" w14:textId="100835A6" w:rsidR="00CC3556" w:rsidRDefault="00CC3556" w:rsidP="00ED021C">
      <w:pPr>
        <w:rPr>
          <w:rFonts w:cs="Arial"/>
          <w:sz w:val="22"/>
          <w:szCs w:val="22"/>
        </w:rPr>
      </w:pPr>
    </w:p>
    <w:p w14:paraId="25FED801" w14:textId="7F86122D" w:rsidR="00CC3556" w:rsidRPr="00CC3556" w:rsidRDefault="00CC3556" w:rsidP="00ED021C">
      <w:pPr>
        <w:rPr>
          <w:rFonts w:cs="Arial"/>
          <w:b/>
          <w:bCs/>
          <w:sz w:val="22"/>
          <w:szCs w:val="22"/>
        </w:rPr>
      </w:pPr>
      <w:r w:rsidRPr="00CC3556">
        <w:rPr>
          <w:rFonts w:cs="Arial"/>
          <w:b/>
          <w:bCs/>
          <w:sz w:val="22"/>
          <w:szCs w:val="22"/>
        </w:rPr>
        <w:t>Respuesta:</w:t>
      </w:r>
    </w:p>
    <w:p w14:paraId="557449BF" w14:textId="65633B7D" w:rsidR="00CC3556" w:rsidRDefault="00CC3556" w:rsidP="00ED021C">
      <w:pPr>
        <w:rPr>
          <w:rFonts w:cs="Arial"/>
          <w:sz w:val="22"/>
          <w:szCs w:val="22"/>
        </w:rPr>
      </w:pPr>
    </w:p>
    <w:p w14:paraId="2AEE0AEB" w14:textId="1AE094A9" w:rsidR="00CC3556" w:rsidRDefault="006C6645" w:rsidP="00ED021C">
      <w:pPr>
        <w:rPr>
          <w:rFonts w:cs="Arial"/>
          <w:sz w:val="22"/>
          <w:szCs w:val="22"/>
        </w:rPr>
      </w:pPr>
      <w:r>
        <w:rPr>
          <w:rFonts w:cs="Arial"/>
          <w:sz w:val="22"/>
          <w:szCs w:val="22"/>
        </w:rPr>
        <w:t>Se acoge el comentario.</w:t>
      </w:r>
    </w:p>
    <w:p w14:paraId="79C84440" w14:textId="12EF538C" w:rsidR="006C6645" w:rsidRDefault="006C6645" w:rsidP="00ED021C">
      <w:pPr>
        <w:rPr>
          <w:rFonts w:cs="Arial"/>
          <w:sz w:val="22"/>
          <w:szCs w:val="22"/>
        </w:rPr>
      </w:pPr>
    </w:p>
    <w:p w14:paraId="0E4E1AB5" w14:textId="2B29F4D3" w:rsidR="00CC3556" w:rsidRPr="00ED021C" w:rsidRDefault="006C6645" w:rsidP="00ED021C">
      <w:pPr>
        <w:rPr>
          <w:rFonts w:cs="Arial"/>
          <w:sz w:val="22"/>
          <w:szCs w:val="22"/>
        </w:rPr>
      </w:pPr>
      <w:r>
        <w:rPr>
          <w:rFonts w:cs="Arial"/>
          <w:sz w:val="22"/>
          <w:szCs w:val="22"/>
        </w:rPr>
        <w:t>En la nueva propuesta se ajusta la redacción.</w:t>
      </w:r>
    </w:p>
    <w:p w14:paraId="04BF7845" w14:textId="77777777" w:rsidR="00ED021C" w:rsidRDefault="00ED021C" w:rsidP="00ED021C">
      <w:pPr>
        <w:rPr>
          <w:rFonts w:cs="Arial"/>
          <w:sz w:val="22"/>
          <w:szCs w:val="22"/>
        </w:rPr>
      </w:pPr>
    </w:p>
    <w:p w14:paraId="7B0F09FE" w14:textId="77777777" w:rsidR="00ED021C" w:rsidRDefault="00ED021C" w:rsidP="00ED021C">
      <w:pPr>
        <w:rPr>
          <w:rFonts w:cs="Arial"/>
          <w:sz w:val="22"/>
          <w:szCs w:val="22"/>
        </w:rPr>
      </w:pPr>
    </w:p>
    <w:p w14:paraId="015F30FC" w14:textId="77777777" w:rsidR="00ED021C" w:rsidRDefault="00ED021C" w:rsidP="00536D4C">
      <w:pPr>
        <w:pStyle w:val="Ttulo2"/>
      </w:pPr>
      <w:bookmarkStart w:id="544" w:name="_Toc140506265"/>
      <w:r w:rsidRPr="00ED021C">
        <w:t>ECOPETROL</w:t>
      </w:r>
      <w:bookmarkEnd w:id="544"/>
      <w:r w:rsidRPr="00ED021C">
        <w:tab/>
      </w:r>
    </w:p>
    <w:p w14:paraId="46C75DCC" w14:textId="77777777" w:rsidR="00536D4C" w:rsidRDefault="00536D4C" w:rsidP="00536D4C">
      <w:pPr>
        <w:pStyle w:val="Ttulo4"/>
      </w:pPr>
      <w:r w:rsidRPr="00ED021C">
        <w:t>ECOPETROL</w:t>
      </w:r>
      <w:r w:rsidRPr="00ED021C">
        <w:tab/>
      </w:r>
    </w:p>
    <w:p w14:paraId="312A0E5B" w14:textId="0AFF5B53" w:rsidR="00ED021C" w:rsidRPr="00340523" w:rsidRDefault="00ED021C" w:rsidP="00ED021C">
      <w:pPr>
        <w:rPr>
          <w:rFonts w:cs="Arial"/>
          <w:i/>
          <w:iCs/>
          <w:sz w:val="22"/>
          <w:szCs w:val="22"/>
        </w:rPr>
      </w:pPr>
      <w:r w:rsidRPr="00ED021C">
        <w:rPr>
          <w:rFonts w:cs="Arial"/>
          <w:sz w:val="22"/>
          <w:szCs w:val="22"/>
        </w:rPr>
        <w:t>"</w:t>
      </w:r>
      <w:r w:rsidRPr="00340523">
        <w:rPr>
          <w:rFonts w:cs="Arial"/>
          <w:i/>
          <w:iCs/>
          <w:sz w:val="22"/>
          <w:szCs w:val="22"/>
        </w:rPr>
        <w:t>En el proyecto de resolución se proponen las definiciones de ‘comercialización mayorista de gas natural’ y ‘comercialización minorista de gas natural’.</w:t>
      </w:r>
    </w:p>
    <w:p w14:paraId="7DAD399F" w14:textId="77777777" w:rsidR="006C6645" w:rsidRPr="00340523" w:rsidRDefault="006C6645" w:rsidP="00ED021C">
      <w:pPr>
        <w:rPr>
          <w:rFonts w:cs="Arial"/>
          <w:i/>
          <w:iCs/>
          <w:sz w:val="22"/>
          <w:szCs w:val="22"/>
        </w:rPr>
      </w:pPr>
    </w:p>
    <w:p w14:paraId="35758E7A" w14:textId="79888EE1" w:rsidR="00ED021C" w:rsidRPr="00340523" w:rsidRDefault="00ED021C" w:rsidP="00ED021C">
      <w:pPr>
        <w:rPr>
          <w:rFonts w:cs="Arial"/>
          <w:i/>
          <w:iCs/>
          <w:sz w:val="22"/>
          <w:szCs w:val="22"/>
        </w:rPr>
      </w:pPr>
      <w:r w:rsidRPr="00340523">
        <w:rPr>
          <w:rFonts w:cs="Arial"/>
          <w:i/>
          <w:iCs/>
          <w:sz w:val="22"/>
          <w:szCs w:val="22"/>
        </w:rPr>
        <w:t>Como lo exponemos en la sección III del cuerpo principal de la presente comunicación, consideramos que las definiciones mencionadas no son compatibles con otras disposiciones de la resolución propuesta, como la definición de ‘comercializador mayorista’."</w:t>
      </w:r>
    </w:p>
    <w:p w14:paraId="06DE5357" w14:textId="1A2FDEFD" w:rsidR="006C6645" w:rsidRDefault="006C6645" w:rsidP="00ED021C">
      <w:pPr>
        <w:rPr>
          <w:rFonts w:cs="Arial"/>
          <w:sz w:val="22"/>
          <w:szCs w:val="22"/>
        </w:rPr>
      </w:pPr>
    </w:p>
    <w:p w14:paraId="398A5418" w14:textId="120D5DDE" w:rsidR="006C6645" w:rsidRPr="006C6645" w:rsidRDefault="006C6645" w:rsidP="00ED021C">
      <w:pPr>
        <w:rPr>
          <w:rFonts w:cs="Arial"/>
          <w:b/>
          <w:bCs/>
          <w:sz w:val="22"/>
          <w:szCs w:val="22"/>
        </w:rPr>
      </w:pPr>
      <w:r w:rsidRPr="006C6645">
        <w:rPr>
          <w:rFonts w:cs="Arial"/>
          <w:b/>
          <w:bCs/>
          <w:sz w:val="22"/>
          <w:szCs w:val="22"/>
        </w:rPr>
        <w:t>Respuesta:</w:t>
      </w:r>
    </w:p>
    <w:p w14:paraId="25D6D548" w14:textId="3DC0F782" w:rsidR="006C6645" w:rsidRDefault="006C6645" w:rsidP="00ED021C">
      <w:pPr>
        <w:rPr>
          <w:rFonts w:cs="Arial"/>
          <w:sz w:val="22"/>
          <w:szCs w:val="22"/>
        </w:rPr>
      </w:pPr>
    </w:p>
    <w:p w14:paraId="2EE41397" w14:textId="44E7E246" w:rsidR="006C6645" w:rsidRDefault="00340523"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_Ref130464947 \r \h </w:instrText>
      </w:r>
      <w:r>
        <w:rPr>
          <w:rFonts w:cs="Arial"/>
          <w:sz w:val="22"/>
          <w:szCs w:val="22"/>
        </w:rPr>
      </w:r>
      <w:r>
        <w:rPr>
          <w:rFonts w:cs="Arial"/>
          <w:sz w:val="22"/>
          <w:szCs w:val="22"/>
        </w:rPr>
        <w:fldChar w:fldCharType="separate"/>
      </w:r>
      <w:r w:rsidR="007651EA">
        <w:rPr>
          <w:rFonts w:cs="Arial"/>
          <w:sz w:val="22"/>
          <w:szCs w:val="22"/>
        </w:rPr>
        <w:t>4.1.1.3</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_Ref130464341 \r \h </w:instrText>
      </w:r>
      <w:r>
        <w:rPr>
          <w:rFonts w:cs="Arial"/>
          <w:sz w:val="22"/>
          <w:szCs w:val="22"/>
        </w:rPr>
      </w:r>
      <w:r>
        <w:rPr>
          <w:rFonts w:cs="Arial"/>
          <w:sz w:val="22"/>
          <w:szCs w:val="22"/>
        </w:rPr>
        <w:fldChar w:fldCharType="separate"/>
      </w:r>
      <w:r w:rsidR="007651EA">
        <w:rPr>
          <w:rFonts w:cs="Arial"/>
          <w:sz w:val="22"/>
          <w:szCs w:val="22"/>
        </w:rPr>
        <w:t>4.3.1.4</w:t>
      </w:r>
      <w:r>
        <w:rPr>
          <w:rFonts w:cs="Arial"/>
          <w:sz w:val="22"/>
          <w:szCs w:val="22"/>
        </w:rPr>
        <w:fldChar w:fldCharType="end"/>
      </w:r>
      <w:r>
        <w:rPr>
          <w:rFonts w:cs="Arial"/>
          <w:sz w:val="22"/>
          <w:szCs w:val="22"/>
        </w:rPr>
        <w:t>.</w:t>
      </w:r>
    </w:p>
    <w:p w14:paraId="5C56CA39" w14:textId="77777777" w:rsidR="006C6645" w:rsidRPr="00ED021C" w:rsidRDefault="006C6645" w:rsidP="00ED021C">
      <w:pPr>
        <w:rPr>
          <w:rFonts w:cs="Arial"/>
          <w:sz w:val="22"/>
          <w:szCs w:val="22"/>
        </w:rPr>
      </w:pPr>
    </w:p>
    <w:p w14:paraId="230610B1" w14:textId="77777777" w:rsidR="00ED021C" w:rsidRDefault="00ED021C" w:rsidP="00ED021C">
      <w:pPr>
        <w:rPr>
          <w:rFonts w:cs="Arial"/>
          <w:sz w:val="22"/>
          <w:szCs w:val="22"/>
        </w:rPr>
      </w:pPr>
    </w:p>
    <w:p w14:paraId="38F0B53C" w14:textId="77777777" w:rsidR="00ED021C" w:rsidRDefault="00ED021C" w:rsidP="00536D4C">
      <w:pPr>
        <w:pStyle w:val="Ttulo4"/>
      </w:pPr>
      <w:r w:rsidRPr="00ED021C">
        <w:t>ECOPETROL</w:t>
      </w:r>
      <w:r w:rsidRPr="00ED021C">
        <w:tab/>
      </w:r>
    </w:p>
    <w:p w14:paraId="79E7BADB" w14:textId="15937693" w:rsidR="00ED021C" w:rsidRPr="00217954" w:rsidRDefault="00ED021C" w:rsidP="00ED021C">
      <w:pPr>
        <w:rPr>
          <w:rFonts w:cs="Arial"/>
          <w:i/>
          <w:iCs/>
          <w:sz w:val="22"/>
          <w:szCs w:val="22"/>
        </w:rPr>
      </w:pPr>
      <w:r w:rsidRPr="00ED021C">
        <w:rPr>
          <w:rFonts w:cs="Arial"/>
          <w:sz w:val="22"/>
          <w:szCs w:val="22"/>
        </w:rPr>
        <w:t>"</w:t>
      </w:r>
      <w:r w:rsidRPr="00217954">
        <w:rPr>
          <w:rFonts w:cs="Arial"/>
          <w:i/>
          <w:iCs/>
          <w:sz w:val="22"/>
          <w:szCs w:val="22"/>
        </w:rPr>
        <w:t xml:space="preserve">En la definición de respaldo físico se plantea que </w:t>
      </w:r>
      <w:r w:rsidR="00E95059">
        <w:rPr>
          <w:rFonts w:cs="Arial"/>
          <w:i/>
          <w:iCs/>
          <w:sz w:val="22"/>
          <w:szCs w:val="22"/>
        </w:rPr>
        <w:t>‘</w:t>
      </w:r>
      <w:r w:rsidRPr="00217954">
        <w:rPr>
          <w:rFonts w:cs="Arial"/>
          <w:i/>
          <w:iCs/>
          <w:sz w:val="22"/>
          <w:szCs w:val="22"/>
        </w:rPr>
        <w:t xml:space="preserve">(…) de acuerdo con lo dispuesto en el Artículo 2.2.2.1.3 del Decreto 1073 de 2015 o aquellos que lo modifiquen, adicionen o sustituyan, es la garantía de que un Productor cuenta con Reservas de Gas Natural para asumir y cumplir compromisos contractuales Firmes, o que Garantizan Firmeza, desde el momento en que se inicien las entregas hasta el cese de </w:t>
      </w:r>
      <w:proofErr w:type="gramStart"/>
      <w:r w:rsidRPr="00217954">
        <w:rPr>
          <w:rFonts w:cs="Arial"/>
          <w:i/>
          <w:iCs/>
          <w:sz w:val="22"/>
          <w:szCs w:val="22"/>
        </w:rPr>
        <w:t>las mismas</w:t>
      </w:r>
      <w:proofErr w:type="gramEnd"/>
      <w:r w:rsidRPr="00217954">
        <w:rPr>
          <w:rFonts w:cs="Arial"/>
          <w:i/>
          <w:iCs/>
          <w:sz w:val="22"/>
          <w:szCs w:val="22"/>
        </w:rPr>
        <w:t xml:space="preserve">. Además, se entenderá que un comercializador mayorista de gas natural cuenta con Respaldo Físico cuando tenga derechos de suministro derivados de sus contratos firmes o que garantizan firmeza, suscritos en el Mercado Primario y registrados en el </w:t>
      </w:r>
      <w:r w:rsidR="005114C6">
        <w:rPr>
          <w:rFonts w:cs="Arial"/>
          <w:i/>
          <w:iCs/>
          <w:sz w:val="22"/>
          <w:szCs w:val="22"/>
        </w:rPr>
        <w:t>Gestor del Mercado</w:t>
      </w:r>
      <w:r w:rsidRPr="00217954">
        <w:rPr>
          <w:rFonts w:cs="Arial"/>
          <w:i/>
          <w:iCs/>
          <w:sz w:val="22"/>
          <w:szCs w:val="22"/>
        </w:rPr>
        <w:t>.</w:t>
      </w:r>
      <w:r w:rsidR="00E95059">
        <w:rPr>
          <w:rFonts w:cs="Arial"/>
          <w:i/>
          <w:iCs/>
          <w:sz w:val="22"/>
          <w:szCs w:val="22"/>
        </w:rPr>
        <w:t>’</w:t>
      </w:r>
    </w:p>
    <w:p w14:paraId="49F849E9" w14:textId="77777777" w:rsidR="00ED021C" w:rsidRPr="00217954" w:rsidRDefault="00ED021C" w:rsidP="00ED021C">
      <w:pPr>
        <w:rPr>
          <w:rFonts w:cs="Arial"/>
          <w:i/>
          <w:iCs/>
          <w:sz w:val="22"/>
          <w:szCs w:val="22"/>
        </w:rPr>
      </w:pPr>
    </w:p>
    <w:p w14:paraId="55384E47" w14:textId="6402B850" w:rsidR="00ED021C" w:rsidRDefault="00ED021C" w:rsidP="00ED021C">
      <w:pPr>
        <w:rPr>
          <w:rFonts w:cs="Arial"/>
          <w:sz w:val="22"/>
          <w:szCs w:val="22"/>
        </w:rPr>
      </w:pPr>
      <w:r w:rsidRPr="00217954">
        <w:rPr>
          <w:rFonts w:cs="Arial"/>
          <w:i/>
          <w:iCs/>
          <w:sz w:val="22"/>
          <w:szCs w:val="22"/>
        </w:rPr>
        <w:t>Como lo planteamos en la sección I del cuerpo principal de la presente comunicación, esta definición puede afectar el desarrollo de nueva oferta de gas natural y por consiguiente el abastecimiento de la demanda en el mediano y largo plazo</w:t>
      </w:r>
      <w:r w:rsidRPr="00ED021C">
        <w:rPr>
          <w:rFonts w:cs="Arial"/>
          <w:sz w:val="22"/>
          <w:szCs w:val="22"/>
        </w:rPr>
        <w:t>."</w:t>
      </w:r>
    </w:p>
    <w:p w14:paraId="5765B0B3" w14:textId="7338A27C" w:rsidR="00217954" w:rsidRDefault="00217954" w:rsidP="00ED021C">
      <w:pPr>
        <w:rPr>
          <w:rFonts w:cs="Arial"/>
          <w:sz w:val="22"/>
          <w:szCs w:val="22"/>
        </w:rPr>
      </w:pPr>
    </w:p>
    <w:p w14:paraId="5EBE589F" w14:textId="600E7FF1" w:rsidR="00217954" w:rsidRPr="00217954" w:rsidRDefault="00217954" w:rsidP="00ED021C">
      <w:pPr>
        <w:rPr>
          <w:rFonts w:cs="Arial"/>
          <w:b/>
          <w:bCs/>
          <w:sz w:val="22"/>
          <w:szCs w:val="22"/>
        </w:rPr>
      </w:pPr>
      <w:r w:rsidRPr="00217954">
        <w:rPr>
          <w:rFonts w:cs="Arial"/>
          <w:b/>
          <w:bCs/>
          <w:sz w:val="22"/>
          <w:szCs w:val="22"/>
        </w:rPr>
        <w:t>Respuesta:</w:t>
      </w:r>
    </w:p>
    <w:p w14:paraId="274F2FD2" w14:textId="0704798C" w:rsidR="00217954" w:rsidRDefault="00217954" w:rsidP="00ED021C">
      <w:pPr>
        <w:rPr>
          <w:rFonts w:cs="Arial"/>
          <w:sz w:val="22"/>
          <w:szCs w:val="22"/>
        </w:rPr>
      </w:pPr>
    </w:p>
    <w:p w14:paraId="70B2661E" w14:textId="50C59400" w:rsidR="00217954" w:rsidRPr="00ED021C" w:rsidRDefault="00AD72DC" w:rsidP="00ED021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_Ref129780388 \r \h </w:instrText>
      </w:r>
      <w:r>
        <w:rPr>
          <w:rFonts w:cs="Arial"/>
          <w:sz w:val="22"/>
          <w:szCs w:val="22"/>
        </w:rPr>
      </w:r>
      <w:r>
        <w:rPr>
          <w:rFonts w:cs="Arial"/>
          <w:sz w:val="22"/>
          <w:szCs w:val="22"/>
        </w:rPr>
        <w:fldChar w:fldCharType="separate"/>
      </w:r>
      <w:r w:rsidR="007651EA">
        <w:rPr>
          <w:rFonts w:cs="Arial"/>
          <w:sz w:val="22"/>
          <w:szCs w:val="22"/>
        </w:rPr>
        <w:t>4.4</w:t>
      </w:r>
      <w:r>
        <w:rPr>
          <w:rFonts w:cs="Arial"/>
          <w:sz w:val="22"/>
          <w:szCs w:val="22"/>
        </w:rPr>
        <w:fldChar w:fldCharType="end"/>
      </w:r>
      <w:r>
        <w:rPr>
          <w:rFonts w:cs="Arial"/>
          <w:sz w:val="22"/>
          <w:szCs w:val="22"/>
        </w:rPr>
        <w:t>.</w:t>
      </w:r>
    </w:p>
    <w:p w14:paraId="63BCB0CF" w14:textId="77777777" w:rsidR="00ED021C" w:rsidRDefault="00ED021C" w:rsidP="00ED021C">
      <w:pPr>
        <w:rPr>
          <w:rFonts w:cs="Arial"/>
          <w:sz w:val="22"/>
          <w:szCs w:val="22"/>
        </w:rPr>
      </w:pPr>
    </w:p>
    <w:p w14:paraId="0715617E" w14:textId="77777777" w:rsidR="00ED021C" w:rsidRDefault="00ED021C" w:rsidP="00ED021C">
      <w:pPr>
        <w:rPr>
          <w:rFonts w:cs="Arial"/>
          <w:sz w:val="22"/>
          <w:szCs w:val="22"/>
        </w:rPr>
      </w:pPr>
    </w:p>
    <w:p w14:paraId="4C4F09AC" w14:textId="4AA65FDE" w:rsidR="00536D4C" w:rsidRDefault="00ED021C" w:rsidP="00536D4C">
      <w:pPr>
        <w:pStyle w:val="Ttulo2"/>
      </w:pPr>
      <w:bookmarkStart w:id="545" w:name="_Toc140506266"/>
      <w:r w:rsidRPr="00ED021C">
        <w:t>E</w:t>
      </w:r>
      <w:r w:rsidR="00536D4C">
        <w:t xml:space="preserve">NEL COLOMBIA </w:t>
      </w:r>
      <w:r w:rsidRPr="00ED021C">
        <w:t>S.A. E.S.P</w:t>
      </w:r>
      <w:bookmarkEnd w:id="545"/>
    </w:p>
    <w:p w14:paraId="71E4543C" w14:textId="6266AAB2" w:rsidR="00536D4C" w:rsidRDefault="00536D4C" w:rsidP="00536D4C">
      <w:pPr>
        <w:pStyle w:val="Ttulo4"/>
      </w:pPr>
      <w:r w:rsidRPr="00ED021C">
        <w:t>E</w:t>
      </w:r>
      <w:r>
        <w:t>NEL COLOMBIA</w:t>
      </w:r>
      <w:r w:rsidRPr="00ED021C">
        <w:t xml:space="preserve"> S.A. E.S.P</w:t>
      </w:r>
    </w:p>
    <w:p w14:paraId="6C1FE371" w14:textId="748A1551" w:rsidR="00ED021C" w:rsidRPr="00AD72DC" w:rsidRDefault="00B72739" w:rsidP="00ED021C">
      <w:pPr>
        <w:rPr>
          <w:rFonts w:cs="Arial"/>
          <w:i/>
          <w:iCs/>
          <w:sz w:val="22"/>
          <w:szCs w:val="22"/>
        </w:rPr>
      </w:pPr>
      <w:r>
        <w:rPr>
          <w:rFonts w:cs="Arial"/>
          <w:i/>
          <w:iCs/>
          <w:sz w:val="22"/>
          <w:szCs w:val="22"/>
        </w:rPr>
        <w:t>“</w:t>
      </w:r>
      <w:r w:rsidR="00ED021C" w:rsidRPr="00AD72DC">
        <w:rPr>
          <w:rFonts w:cs="Arial"/>
          <w:i/>
          <w:iCs/>
          <w:sz w:val="22"/>
          <w:szCs w:val="22"/>
        </w:rPr>
        <w:t xml:space="preserve">Respaldo de una </w:t>
      </w:r>
      <w:proofErr w:type="spellStart"/>
      <w:r w:rsidR="00ED021C" w:rsidRPr="00AD72DC">
        <w:rPr>
          <w:rFonts w:cs="Arial"/>
          <w:i/>
          <w:iCs/>
          <w:sz w:val="22"/>
          <w:szCs w:val="22"/>
        </w:rPr>
        <w:t>Opcion</w:t>
      </w:r>
      <w:proofErr w:type="spellEnd"/>
      <w:r w:rsidR="00ED021C" w:rsidRPr="00AD72DC">
        <w:rPr>
          <w:rFonts w:cs="Arial"/>
          <w:i/>
          <w:iCs/>
          <w:sz w:val="22"/>
          <w:szCs w:val="22"/>
        </w:rPr>
        <w:t xml:space="preserve"> de Compra de Gas: Conociendo que una Opción de Compra de Gas (OCG), es un contrato que garantiza dadas ciertas circunstancias una firmeza y requiere respaldo físico (Art 3, Resolución CREG 226 de 2021), se quisiera entender en el nuevo contexto dado a partir del proyecto de resolución si: ¿Se considerara para fines prácticos que una Opción de Compra de Gas vendida en el mercado secundario se puede respaldar con una Opción de Compra de Gas vendida en el mercado primario?, si esto es afirmativo, quisiéramos que quedara de forma explícita en la resolución. Si la respuesta es contraria, pensaríamos que se estaría limitando las posibilidades de negociación imponiendo un riesgo asimétrico a los Comercializadores.</w:t>
      </w:r>
      <w:r>
        <w:rPr>
          <w:rFonts w:cs="Arial"/>
          <w:i/>
          <w:iCs/>
          <w:sz w:val="22"/>
          <w:szCs w:val="22"/>
        </w:rPr>
        <w:t>”</w:t>
      </w:r>
      <w:r w:rsidR="00ED021C" w:rsidRPr="00AD72DC">
        <w:rPr>
          <w:rFonts w:cs="Arial"/>
          <w:i/>
          <w:iCs/>
          <w:sz w:val="22"/>
          <w:szCs w:val="22"/>
        </w:rPr>
        <w:t xml:space="preserve"> </w:t>
      </w:r>
    </w:p>
    <w:p w14:paraId="25BA3598" w14:textId="522579EF" w:rsidR="00ED021C" w:rsidRDefault="00ED021C" w:rsidP="00ED021C">
      <w:pPr>
        <w:rPr>
          <w:rFonts w:cs="Arial"/>
          <w:sz w:val="22"/>
          <w:szCs w:val="22"/>
        </w:rPr>
      </w:pPr>
    </w:p>
    <w:p w14:paraId="02C3B2B3" w14:textId="4C11A771" w:rsidR="00AD72DC" w:rsidRPr="00AD72DC" w:rsidRDefault="00AD72DC" w:rsidP="00ED021C">
      <w:pPr>
        <w:rPr>
          <w:rFonts w:cs="Arial"/>
          <w:b/>
          <w:bCs/>
          <w:sz w:val="22"/>
          <w:szCs w:val="22"/>
        </w:rPr>
      </w:pPr>
      <w:r w:rsidRPr="00AD72DC">
        <w:rPr>
          <w:rFonts w:cs="Arial"/>
          <w:b/>
          <w:bCs/>
          <w:sz w:val="22"/>
          <w:szCs w:val="22"/>
        </w:rPr>
        <w:t>Respuesta:</w:t>
      </w:r>
    </w:p>
    <w:p w14:paraId="5C516BA5" w14:textId="32ECAF1E" w:rsidR="00AD72DC" w:rsidRDefault="00AD72DC" w:rsidP="00ED021C">
      <w:pPr>
        <w:rPr>
          <w:rFonts w:cs="Arial"/>
          <w:sz w:val="22"/>
          <w:szCs w:val="22"/>
        </w:rPr>
      </w:pPr>
    </w:p>
    <w:p w14:paraId="3D06DC4E" w14:textId="3D058905" w:rsidR="00AD72DC" w:rsidRDefault="00AD72DC" w:rsidP="00ED021C">
      <w:pPr>
        <w:rPr>
          <w:rFonts w:cs="Arial"/>
          <w:sz w:val="22"/>
          <w:szCs w:val="22"/>
        </w:rPr>
      </w:pPr>
      <w:r>
        <w:rPr>
          <w:rFonts w:cs="Arial"/>
          <w:sz w:val="22"/>
          <w:szCs w:val="22"/>
        </w:rPr>
        <w:t>El contrato de Opción de Compra de Gas no tiene diferenciación</w:t>
      </w:r>
      <w:r w:rsidR="004D16DA">
        <w:rPr>
          <w:rFonts w:cs="Arial"/>
          <w:sz w:val="22"/>
          <w:szCs w:val="22"/>
        </w:rPr>
        <w:t>,</w:t>
      </w:r>
      <w:r>
        <w:rPr>
          <w:rFonts w:cs="Arial"/>
          <w:sz w:val="22"/>
          <w:szCs w:val="22"/>
        </w:rPr>
        <w:t xml:space="preserve"> en cuanto sea utilizado por vendedores y compradores del Mercado Primario o del Mercado Secundario. Son contratos eso sí, separados, es decir que no se requiere firmar un contrato OCG como comprador en el Mercado Primario para poder firmar un contrato OCG como vendedor en el Mercado Secundario. En ambos casos la condición para suscribirlos es que el vendedor cuente con Respaldo Físico, por lo que </w:t>
      </w:r>
      <w:proofErr w:type="spellStart"/>
      <w:r>
        <w:rPr>
          <w:rFonts w:cs="Arial"/>
          <w:sz w:val="22"/>
          <w:szCs w:val="22"/>
        </w:rPr>
        <w:t>si</w:t>
      </w:r>
      <w:proofErr w:type="spellEnd"/>
      <w:r>
        <w:rPr>
          <w:rFonts w:cs="Arial"/>
          <w:sz w:val="22"/>
          <w:szCs w:val="22"/>
        </w:rPr>
        <w:t xml:space="preserve"> es vendedor del primario debe contar con reservas de gas 2P y oferta de PTDVF y si se trata de un vendedor del Mercado Secundario debe contar con contratos </w:t>
      </w:r>
      <w:r w:rsidR="00C07F85">
        <w:rPr>
          <w:rFonts w:cs="Arial"/>
          <w:sz w:val="22"/>
          <w:szCs w:val="22"/>
        </w:rPr>
        <w:t xml:space="preserve">de suministro </w:t>
      </w:r>
      <w:r>
        <w:rPr>
          <w:rFonts w:cs="Arial"/>
          <w:sz w:val="22"/>
          <w:szCs w:val="22"/>
        </w:rPr>
        <w:t>firmes o que garantizan firmeza</w:t>
      </w:r>
      <w:r w:rsidR="00C07F85">
        <w:rPr>
          <w:rFonts w:cs="Arial"/>
          <w:sz w:val="22"/>
          <w:szCs w:val="22"/>
        </w:rPr>
        <w:t xml:space="preserve"> bien sea suscritos como comprador en el Mercado Primario o en el Mercado Secundario</w:t>
      </w:r>
      <w:r w:rsidR="004D16DA">
        <w:rPr>
          <w:rFonts w:cs="Arial"/>
          <w:sz w:val="22"/>
          <w:szCs w:val="22"/>
        </w:rPr>
        <w:t>, tales como el CF95</w:t>
      </w:r>
      <w:r w:rsidR="00C07F85">
        <w:rPr>
          <w:rFonts w:cs="Arial"/>
          <w:sz w:val="22"/>
          <w:szCs w:val="22"/>
        </w:rPr>
        <w:t>,</w:t>
      </w:r>
      <w:r w:rsidR="004D16DA">
        <w:rPr>
          <w:rFonts w:cs="Arial"/>
          <w:sz w:val="22"/>
          <w:szCs w:val="22"/>
        </w:rPr>
        <w:t xml:space="preserve"> el OCG </w:t>
      </w:r>
      <w:r w:rsidR="00C07F85">
        <w:rPr>
          <w:rFonts w:cs="Arial"/>
          <w:sz w:val="22"/>
          <w:szCs w:val="22"/>
        </w:rPr>
        <w:t>o el Firme</w:t>
      </w:r>
      <w:r>
        <w:rPr>
          <w:rFonts w:cs="Arial"/>
          <w:sz w:val="22"/>
          <w:szCs w:val="22"/>
        </w:rPr>
        <w:t>.</w:t>
      </w:r>
    </w:p>
    <w:p w14:paraId="6FA69835" w14:textId="652A21BD" w:rsidR="00AD72DC" w:rsidRDefault="00AD72DC" w:rsidP="00ED021C">
      <w:pPr>
        <w:rPr>
          <w:rFonts w:cs="Arial"/>
          <w:sz w:val="22"/>
          <w:szCs w:val="22"/>
        </w:rPr>
      </w:pPr>
    </w:p>
    <w:p w14:paraId="1C5D2C80" w14:textId="4088FDEB" w:rsidR="00AD72DC" w:rsidRDefault="00AD72DC" w:rsidP="00ED021C">
      <w:pPr>
        <w:rPr>
          <w:rFonts w:cs="Arial"/>
          <w:sz w:val="22"/>
          <w:szCs w:val="22"/>
        </w:rPr>
      </w:pPr>
      <w:r>
        <w:rPr>
          <w:rFonts w:cs="Arial"/>
          <w:sz w:val="22"/>
          <w:szCs w:val="22"/>
        </w:rPr>
        <w:t xml:space="preserve">Eso sí, las cantidades PTDVF </w:t>
      </w:r>
      <w:r w:rsidR="004D16DA">
        <w:rPr>
          <w:rFonts w:cs="Arial"/>
          <w:sz w:val="22"/>
          <w:szCs w:val="22"/>
        </w:rPr>
        <w:t xml:space="preserve">(o cantidades disponibles respaldadas con contratos firmes de derechos de suministro) </w:t>
      </w:r>
      <w:r>
        <w:rPr>
          <w:rFonts w:cs="Arial"/>
          <w:sz w:val="22"/>
          <w:szCs w:val="22"/>
        </w:rPr>
        <w:t xml:space="preserve">se utilizan plenamente </w:t>
      </w:r>
      <w:r w:rsidR="004D16DA">
        <w:rPr>
          <w:rFonts w:cs="Arial"/>
          <w:sz w:val="22"/>
          <w:szCs w:val="22"/>
        </w:rPr>
        <w:t xml:space="preserve">al registrar el contrato OCG </w:t>
      </w:r>
      <w:r>
        <w:rPr>
          <w:rFonts w:cs="Arial"/>
          <w:sz w:val="22"/>
          <w:szCs w:val="22"/>
        </w:rPr>
        <w:t xml:space="preserve">y, por tanto, se descuentan de modo que la capacidad del vendedor de suscribir </w:t>
      </w:r>
      <w:r w:rsidR="004D16DA">
        <w:rPr>
          <w:rFonts w:cs="Arial"/>
          <w:sz w:val="22"/>
          <w:szCs w:val="22"/>
        </w:rPr>
        <w:t xml:space="preserve">otros </w:t>
      </w:r>
      <w:r>
        <w:rPr>
          <w:rFonts w:cs="Arial"/>
          <w:sz w:val="22"/>
          <w:szCs w:val="22"/>
        </w:rPr>
        <w:t>contratos firmes o que garantizan firmeza</w:t>
      </w:r>
      <w:r w:rsidR="004D16DA">
        <w:rPr>
          <w:rFonts w:cs="Arial"/>
          <w:sz w:val="22"/>
          <w:szCs w:val="22"/>
        </w:rPr>
        <w:t xml:space="preserve"> se reduce. En donde sí hay complemento contractual en el uso de PTDVF </w:t>
      </w:r>
      <w:r w:rsidR="00C07F85">
        <w:rPr>
          <w:rFonts w:cs="Arial"/>
          <w:sz w:val="22"/>
          <w:szCs w:val="22"/>
        </w:rPr>
        <w:t xml:space="preserve">en el Mercado Primario </w:t>
      </w:r>
      <w:r w:rsidR="004D16DA">
        <w:rPr>
          <w:rFonts w:cs="Arial"/>
          <w:sz w:val="22"/>
          <w:szCs w:val="22"/>
        </w:rPr>
        <w:t xml:space="preserve">de cantidades contratadas en firme como soporte de compromisos de contratos OCG, es con la modalidad CFC. Esto implica </w:t>
      </w:r>
      <w:proofErr w:type="gramStart"/>
      <w:r w:rsidR="004D16DA">
        <w:rPr>
          <w:rFonts w:cs="Arial"/>
          <w:sz w:val="22"/>
          <w:szCs w:val="22"/>
        </w:rPr>
        <w:t>que</w:t>
      </w:r>
      <w:proofErr w:type="gramEnd"/>
      <w:r w:rsidR="004D16DA">
        <w:rPr>
          <w:rFonts w:cs="Arial"/>
          <w:sz w:val="22"/>
          <w:szCs w:val="22"/>
        </w:rPr>
        <w:t xml:space="preserve"> si un vendedor</w:t>
      </w:r>
      <w:r w:rsidR="00C07F85">
        <w:rPr>
          <w:rFonts w:cs="Arial"/>
          <w:sz w:val="22"/>
          <w:szCs w:val="22"/>
        </w:rPr>
        <w:t xml:space="preserve"> del </w:t>
      </w:r>
      <w:r w:rsidR="004D16DA">
        <w:rPr>
          <w:rFonts w:cs="Arial"/>
          <w:sz w:val="22"/>
          <w:szCs w:val="22"/>
        </w:rPr>
        <w:t xml:space="preserve">MP suscribe un contrato OCG por una cantidad </w:t>
      </w:r>
      <w:r w:rsidR="00C07F85">
        <w:rPr>
          <w:rFonts w:cs="Arial"/>
          <w:sz w:val="22"/>
          <w:szCs w:val="22"/>
        </w:rPr>
        <w:t xml:space="preserve">máxima </w:t>
      </w:r>
      <w:r w:rsidR="004D16DA">
        <w:rPr>
          <w:rFonts w:cs="Arial"/>
          <w:sz w:val="22"/>
          <w:szCs w:val="22"/>
        </w:rPr>
        <w:t xml:space="preserve">determinada, ese mismo vendedor puede suscribir un contrato CFC por esa misma cantidad y la PTDVF o cantidad disponible para venta en firme no se le reduce, más allá de la cantidad del OCG. </w:t>
      </w:r>
      <w:r w:rsidR="00C07F85">
        <w:rPr>
          <w:rFonts w:cs="Arial"/>
          <w:sz w:val="22"/>
          <w:szCs w:val="22"/>
        </w:rPr>
        <w:t xml:space="preserve">Si las cantidades vendidas son diferentes, </w:t>
      </w:r>
      <w:r w:rsidR="004D16DA">
        <w:rPr>
          <w:rFonts w:cs="Arial"/>
          <w:sz w:val="22"/>
          <w:szCs w:val="22"/>
        </w:rPr>
        <w:t xml:space="preserve">la cantidad disponible </w:t>
      </w:r>
      <w:r w:rsidR="00C07F85">
        <w:rPr>
          <w:rFonts w:cs="Arial"/>
          <w:sz w:val="22"/>
          <w:szCs w:val="22"/>
        </w:rPr>
        <w:t xml:space="preserve">de PTDVF </w:t>
      </w:r>
      <w:r w:rsidR="004D16DA">
        <w:rPr>
          <w:rFonts w:cs="Arial"/>
          <w:sz w:val="22"/>
          <w:szCs w:val="22"/>
        </w:rPr>
        <w:t xml:space="preserve">se le reduce en el mayor valor que se obtenga entre </w:t>
      </w:r>
      <w:r w:rsidR="00C07F85">
        <w:rPr>
          <w:rFonts w:cs="Arial"/>
          <w:sz w:val="22"/>
          <w:szCs w:val="22"/>
        </w:rPr>
        <w:t xml:space="preserve">la comparación de </w:t>
      </w:r>
      <w:r w:rsidR="004D16DA">
        <w:rPr>
          <w:rFonts w:cs="Arial"/>
          <w:sz w:val="22"/>
          <w:szCs w:val="22"/>
        </w:rPr>
        <w:t>las cantidades contratadas bajo la modalidad OCG y las cantidades contratadas bajo la modalidad CFC.</w:t>
      </w:r>
    </w:p>
    <w:p w14:paraId="6281F14B" w14:textId="2E12AAAE" w:rsidR="00C07F85" w:rsidRDefault="00C07F85" w:rsidP="00ED021C">
      <w:pPr>
        <w:rPr>
          <w:rFonts w:cs="Arial"/>
          <w:sz w:val="22"/>
          <w:szCs w:val="22"/>
        </w:rPr>
      </w:pPr>
    </w:p>
    <w:p w14:paraId="1D2AA649" w14:textId="5510138C" w:rsidR="00C07F85" w:rsidRDefault="00C07F85" w:rsidP="00ED021C">
      <w:pPr>
        <w:rPr>
          <w:rFonts w:cs="Arial"/>
          <w:sz w:val="22"/>
          <w:szCs w:val="22"/>
        </w:rPr>
      </w:pPr>
      <w:r>
        <w:rPr>
          <w:rFonts w:cs="Arial"/>
          <w:sz w:val="22"/>
          <w:szCs w:val="22"/>
        </w:rPr>
        <w:t xml:space="preserve">En el </w:t>
      </w:r>
      <w:r w:rsidR="00702ABE">
        <w:rPr>
          <w:rFonts w:cs="Arial"/>
          <w:sz w:val="22"/>
          <w:szCs w:val="22"/>
        </w:rPr>
        <w:t xml:space="preserve">caso de vendedores del </w:t>
      </w:r>
      <w:r>
        <w:rPr>
          <w:rFonts w:cs="Arial"/>
          <w:sz w:val="22"/>
          <w:szCs w:val="22"/>
        </w:rPr>
        <w:t xml:space="preserve">Mercado Secundario lo anterior funciona de manera similar si las cantidades de Respaldo Físico se basan en cantidades de contratos de suministro del Mercado Primario </w:t>
      </w:r>
      <w:r w:rsidR="00702ABE">
        <w:rPr>
          <w:rFonts w:cs="Arial"/>
          <w:sz w:val="22"/>
          <w:szCs w:val="22"/>
        </w:rPr>
        <w:t xml:space="preserve">suscritos </w:t>
      </w:r>
      <w:r>
        <w:rPr>
          <w:rFonts w:cs="Arial"/>
          <w:sz w:val="22"/>
          <w:szCs w:val="22"/>
        </w:rPr>
        <w:t xml:space="preserve">bajo la modalidad CF95/CF80 o en cantidades obtenidas mediante contratos de la modalidad Firme del Mercado Secundario. Pero si el origen de la cantidad que se desea vender en el Mercado Secundario </w:t>
      </w:r>
      <w:r w:rsidR="00CE4485">
        <w:rPr>
          <w:rFonts w:cs="Arial"/>
          <w:sz w:val="22"/>
          <w:szCs w:val="22"/>
        </w:rPr>
        <w:t xml:space="preserve">surge de contratos OCG, suscritos como comprador ya sea en el Mercado Primario o en el Mercado Secundario, dicho comprador solo podrá suscribir </w:t>
      </w:r>
      <w:r w:rsidR="00702ABE">
        <w:rPr>
          <w:rFonts w:cs="Arial"/>
          <w:sz w:val="22"/>
          <w:szCs w:val="22"/>
        </w:rPr>
        <w:t xml:space="preserve">como vendedor </w:t>
      </w:r>
      <w:r w:rsidR="00CE4485">
        <w:rPr>
          <w:rFonts w:cs="Arial"/>
          <w:sz w:val="22"/>
          <w:szCs w:val="22"/>
        </w:rPr>
        <w:t>contratos de esa misma modalidad OCG en el Mercado Secundario; igual ocurre con la modalidad CFC.</w:t>
      </w:r>
    </w:p>
    <w:p w14:paraId="12E66C17" w14:textId="0A6868AB" w:rsidR="004D16DA" w:rsidRDefault="004D16DA" w:rsidP="00ED021C">
      <w:pPr>
        <w:rPr>
          <w:rFonts w:cs="Arial"/>
          <w:sz w:val="22"/>
          <w:szCs w:val="22"/>
        </w:rPr>
      </w:pPr>
    </w:p>
    <w:p w14:paraId="48B1AA4C" w14:textId="77777777" w:rsidR="00ED021C" w:rsidRDefault="00ED021C" w:rsidP="00ED021C">
      <w:pPr>
        <w:rPr>
          <w:rFonts w:cs="Arial"/>
          <w:sz w:val="22"/>
          <w:szCs w:val="22"/>
        </w:rPr>
      </w:pPr>
    </w:p>
    <w:p w14:paraId="5D4490B9" w14:textId="77777777" w:rsidR="00ED021C" w:rsidRDefault="00ED021C" w:rsidP="00536D4C">
      <w:pPr>
        <w:pStyle w:val="Ttulo2"/>
      </w:pPr>
      <w:bookmarkStart w:id="546" w:name="_Toc140506267"/>
      <w:r w:rsidRPr="00ED021C">
        <w:t>GASES DE LA GUAJIRA</w:t>
      </w:r>
      <w:bookmarkEnd w:id="546"/>
      <w:r w:rsidRPr="00ED021C">
        <w:tab/>
      </w:r>
    </w:p>
    <w:p w14:paraId="0186B67B" w14:textId="77777777" w:rsidR="00536D4C" w:rsidRDefault="00536D4C" w:rsidP="00536D4C">
      <w:pPr>
        <w:pStyle w:val="Ttulo4"/>
      </w:pPr>
      <w:bookmarkStart w:id="547" w:name="_Ref130533620"/>
      <w:r w:rsidRPr="00ED021C">
        <w:t>GASES DE LA GUAJIRA</w:t>
      </w:r>
      <w:bookmarkEnd w:id="547"/>
      <w:r w:rsidRPr="00ED021C">
        <w:tab/>
      </w:r>
    </w:p>
    <w:p w14:paraId="1E65443D" w14:textId="5A49D386" w:rsidR="00ED021C" w:rsidRPr="008E730A" w:rsidRDefault="00ED021C" w:rsidP="00ED021C">
      <w:pPr>
        <w:rPr>
          <w:rFonts w:cs="Arial"/>
          <w:i/>
          <w:iCs/>
          <w:sz w:val="22"/>
          <w:szCs w:val="22"/>
        </w:rPr>
      </w:pPr>
      <w:r w:rsidRPr="00ED021C">
        <w:rPr>
          <w:rFonts w:cs="Arial"/>
          <w:sz w:val="22"/>
          <w:szCs w:val="22"/>
        </w:rPr>
        <w:t>"</w:t>
      </w:r>
      <w:r w:rsidRPr="008E730A">
        <w:rPr>
          <w:rFonts w:cs="Arial"/>
          <w:i/>
          <w:iCs/>
          <w:sz w:val="22"/>
          <w:szCs w:val="22"/>
        </w:rPr>
        <w:t>La definición resulta tremendamente confusa, si se considera que en la resolución 186 de 2020, el regulador prohíbe que el productor comercializador pueda tener una posición propia en materia de transporte, salvo que se trate de nuevas fuentes de suministro, y de expansiones del sistema de transporte</w:t>
      </w:r>
    </w:p>
    <w:p w14:paraId="2DF79813" w14:textId="77777777" w:rsidR="00ED021C" w:rsidRPr="008E730A" w:rsidRDefault="00ED021C" w:rsidP="00ED021C">
      <w:pPr>
        <w:rPr>
          <w:rFonts w:cs="Arial"/>
          <w:i/>
          <w:iCs/>
          <w:sz w:val="22"/>
          <w:szCs w:val="22"/>
        </w:rPr>
      </w:pPr>
    </w:p>
    <w:p w14:paraId="0E91E86C" w14:textId="07068C45" w:rsidR="00ED021C" w:rsidRDefault="00ED021C" w:rsidP="00ED021C">
      <w:pPr>
        <w:rPr>
          <w:rFonts w:cs="Arial"/>
          <w:sz w:val="22"/>
          <w:szCs w:val="22"/>
        </w:rPr>
      </w:pPr>
      <w:r w:rsidRPr="008E730A">
        <w:rPr>
          <w:rFonts w:cs="Arial"/>
          <w:i/>
          <w:iCs/>
          <w:sz w:val="22"/>
          <w:szCs w:val="22"/>
        </w:rPr>
        <w:t xml:space="preserve">La definición en la forma como está </w:t>
      </w:r>
      <w:proofErr w:type="gramStart"/>
      <w:r w:rsidRPr="008E730A">
        <w:rPr>
          <w:rFonts w:cs="Arial"/>
          <w:i/>
          <w:iCs/>
          <w:sz w:val="22"/>
          <w:szCs w:val="22"/>
        </w:rPr>
        <w:t>prevista,</w:t>
      </w:r>
      <w:proofErr w:type="gramEnd"/>
      <w:r w:rsidRPr="008E730A">
        <w:rPr>
          <w:rFonts w:cs="Arial"/>
          <w:i/>
          <w:iCs/>
          <w:sz w:val="22"/>
          <w:szCs w:val="22"/>
        </w:rPr>
        <w:t xml:space="preserve"> pareciera derogar la prohibición de la 186, considerando que el productor comercializador puede entregar el gas en cualquier punto del sistema nacional de transporte</w:t>
      </w:r>
      <w:r w:rsidRPr="00ED021C">
        <w:rPr>
          <w:rFonts w:cs="Arial"/>
          <w:sz w:val="22"/>
          <w:szCs w:val="22"/>
        </w:rPr>
        <w:t>."</w:t>
      </w:r>
    </w:p>
    <w:p w14:paraId="213FE0DA" w14:textId="7A720F8A" w:rsidR="008E730A" w:rsidRDefault="008E730A" w:rsidP="00ED021C">
      <w:pPr>
        <w:rPr>
          <w:rFonts w:cs="Arial"/>
          <w:sz w:val="22"/>
          <w:szCs w:val="22"/>
        </w:rPr>
      </w:pPr>
    </w:p>
    <w:p w14:paraId="04CB216A" w14:textId="11A0E391" w:rsidR="008E730A" w:rsidRPr="008E730A" w:rsidRDefault="008E730A" w:rsidP="00ED021C">
      <w:pPr>
        <w:rPr>
          <w:rFonts w:cs="Arial"/>
          <w:b/>
          <w:bCs/>
          <w:sz w:val="22"/>
          <w:szCs w:val="22"/>
        </w:rPr>
      </w:pPr>
      <w:r w:rsidRPr="008E730A">
        <w:rPr>
          <w:rFonts w:cs="Arial"/>
          <w:b/>
          <w:bCs/>
          <w:sz w:val="22"/>
          <w:szCs w:val="22"/>
        </w:rPr>
        <w:t>Respuesta:</w:t>
      </w:r>
    </w:p>
    <w:p w14:paraId="6446F389" w14:textId="10F9C203" w:rsidR="008E730A" w:rsidRDefault="008E730A" w:rsidP="00ED021C">
      <w:pPr>
        <w:rPr>
          <w:rFonts w:cs="Arial"/>
          <w:sz w:val="22"/>
          <w:szCs w:val="22"/>
        </w:rPr>
      </w:pPr>
    </w:p>
    <w:p w14:paraId="5894AE80" w14:textId="55EE0350" w:rsidR="008E730A" w:rsidRDefault="007A01C2" w:rsidP="00ED021C">
      <w:pPr>
        <w:rPr>
          <w:rFonts w:cs="Arial"/>
          <w:sz w:val="22"/>
          <w:szCs w:val="22"/>
        </w:rPr>
      </w:pPr>
      <w:r>
        <w:rPr>
          <w:rFonts w:cs="Arial"/>
          <w:sz w:val="22"/>
          <w:szCs w:val="22"/>
        </w:rPr>
        <w:t>Se acoge el comentario.</w:t>
      </w:r>
    </w:p>
    <w:p w14:paraId="2701E86F" w14:textId="0F3EB209" w:rsidR="007A01C2" w:rsidRDefault="007A01C2" w:rsidP="00ED021C">
      <w:pPr>
        <w:rPr>
          <w:rFonts w:cs="Arial"/>
          <w:sz w:val="22"/>
          <w:szCs w:val="22"/>
        </w:rPr>
      </w:pPr>
    </w:p>
    <w:p w14:paraId="22618323" w14:textId="1FF9C263" w:rsidR="008E730A" w:rsidRDefault="001A7CAD" w:rsidP="00ED021C">
      <w:pPr>
        <w:rPr>
          <w:rFonts w:cs="Arial"/>
          <w:sz w:val="22"/>
          <w:szCs w:val="22"/>
        </w:rPr>
      </w:pPr>
      <w:r>
        <w:rPr>
          <w:rFonts w:cs="Arial"/>
          <w:sz w:val="22"/>
          <w:szCs w:val="22"/>
        </w:rPr>
        <w:t>Cabe aclarar que lo que se manifiesta que prohíbe la regulación al productor-comercializador es en la Resolución CREG 185 de 2020. Por otro lado, s</w:t>
      </w:r>
      <w:r w:rsidR="007A01C2">
        <w:rPr>
          <w:rFonts w:cs="Arial"/>
          <w:sz w:val="22"/>
          <w:szCs w:val="22"/>
        </w:rPr>
        <w:t xml:space="preserve">e añadió </w:t>
      </w:r>
      <w:r>
        <w:rPr>
          <w:rFonts w:cs="Arial"/>
          <w:sz w:val="22"/>
          <w:szCs w:val="22"/>
        </w:rPr>
        <w:t>en</w:t>
      </w:r>
      <w:r w:rsidR="007A01C2">
        <w:rPr>
          <w:rFonts w:cs="Arial"/>
          <w:sz w:val="22"/>
          <w:szCs w:val="22"/>
        </w:rPr>
        <w:t xml:space="preserve"> la definición de Productor-comercializador la aclaración de que cuando se expresa que el punto de entrega puede ser o no </w:t>
      </w:r>
      <w:r>
        <w:rPr>
          <w:rFonts w:cs="Arial"/>
          <w:sz w:val="22"/>
          <w:szCs w:val="22"/>
        </w:rPr>
        <w:t>un punto de entrada al SNT, es dependiendo de si la fuente de suministro está conectada o no al SNT, no se trata por lo mismo que se menciona en el comentario, que podría ser un punto de salida del SNT.</w:t>
      </w:r>
    </w:p>
    <w:p w14:paraId="56724FF3" w14:textId="77777777" w:rsidR="008E730A" w:rsidRPr="00ED021C" w:rsidRDefault="008E730A" w:rsidP="00ED021C">
      <w:pPr>
        <w:rPr>
          <w:rFonts w:cs="Arial"/>
          <w:sz w:val="22"/>
          <w:szCs w:val="22"/>
        </w:rPr>
      </w:pPr>
    </w:p>
    <w:p w14:paraId="20650BAB" w14:textId="77777777" w:rsidR="00ED021C" w:rsidRDefault="00ED021C" w:rsidP="00ED021C">
      <w:pPr>
        <w:rPr>
          <w:rFonts w:cs="Arial"/>
          <w:sz w:val="22"/>
          <w:szCs w:val="22"/>
        </w:rPr>
      </w:pPr>
    </w:p>
    <w:p w14:paraId="65EAA859" w14:textId="77777777" w:rsidR="00ED021C" w:rsidRDefault="00ED021C" w:rsidP="00536D4C">
      <w:pPr>
        <w:pStyle w:val="Ttulo4"/>
      </w:pPr>
      <w:bookmarkStart w:id="548" w:name="_Ref130533678"/>
      <w:r w:rsidRPr="00ED021C">
        <w:t>GASES DE LA GUAJIRA</w:t>
      </w:r>
      <w:bookmarkEnd w:id="548"/>
      <w:r w:rsidRPr="00ED021C">
        <w:tab/>
      </w:r>
    </w:p>
    <w:p w14:paraId="0E8E30B5" w14:textId="5F7D531F" w:rsidR="00ED021C" w:rsidRPr="001A7CAD" w:rsidRDefault="00ED021C" w:rsidP="00ED021C">
      <w:pPr>
        <w:rPr>
          <w:rFonts w:cs="Arial"/>
          <w:i/>
          <w:iCs/>
          <w:sz w:val="22"/>
          <w:szCs w:val="22"/>
        </w:rPr>
      </w:pPr>
      <w:r w:rsidRPr="00ED021C">
        <w:rPr>
          <w:rFonts w:cs="Arial"/>
          <w:sz w:val="22"/>
          <w:szCs w:val="22"/>
        </w:rPr>
        <w:t>"</w:t>
      </w:r>
      <w:r w:rsidRPr="001A7CAD">
        <w:rPr>
          <w:rFonts w:cs="Arial"/>
          <w:i/>
          <w:iCs/>
          <w:sz w:val="22"/>
          <w:szCs w:val="22"/>
        </w:rPr>
        <w:t xml:space="preserve">No es claro la forma como el regulador espera que </w:t>
      </w:r>
      <w:proofErr w:type="gramStart"/>
      <w:r w:rsidRPr="001A7CAD">
        <w:rPr>
          <w:rFonts w:cs="Arial"/>
          <w:i/>
          <w:iCs/>
          <w:sz w:val="22"/>
          <w:szCs w:val="22"/>
        </w:rPr>
        <w:t>funciona</w:t>
      </w:r>
      <w:proofErr w:type="gramEnd"/>
      <w:r w:rsidRPr="001A7CAD">
        <w:rPr>
          <w:rFonts w:cs="Arial"/>
          <w:i/>
          <w:iCs/>
          <w:sz w:val="22"/>
          <w:szCs w:val="22"/>
        </w:rPr>
        <w:t xml:space="preserve"> la definición de punto de entrega, en la forma como está propuesta.</w:t>
      </w:r>
    </w:p>
    <w:p w14:paraId="7FEF4F70" w14:textId="77777777" w:rsidR="00ED021C" w:rsidRPr="001A7CAD" w:rsidRDefault="00ED021C" w:rsidP="00ED021C">
      <w:pPr>
        <w:rPr>
          <w:rFonts w:cs="Arial"/>
          <w:i/>
          <w:iCs/>
          <w:sz w:val="22"/>
          <w:szCs w:val="22"/>
        </w:rPr>
      </w:pPr>
    </w:p>
    <w:p w14:paraId="1AC78B07" w14:textId="76B28864" w:rsidR="00ED021C" w:rsidRDefault="00ED021C" w:rsidP="00ED021C">
      <w:pPr>
        <w:rPr>
          <w:rFonts w:cs="Arial"/>
          <w:sz w:val="22"/>
          <w:szCs w:val="22"/>
        </w:rPr>
      </w:pPr>
      <w:r w:rsidRPr="001A7CAD">
        <w:rPr>
          <w:rFonts w:cs="Arial"/>
          <w:i/>
          <w:iCs/>
          <w:sz w:val="22"/>
          <w:szCs w:val="22"/>
        </w:rPr>
        <w:t xml:space="preserve">En efecto, es evidente que el punto de entrega es un elemento fundamental en la distribución de los riesgos de un contrato de suministro, y en ese sentido, es evidente que debe estar claramente establecido dentro del acuerdo que suscriba en las partes; sin embargo, no es claro a qué se refiere el regulador cuando señala que el punto de entrega </w:t>
      </w:r>
      <w:r w:rsidR="009D773C">
        <w:rPr>
          <w:rFonts w:cs="Arial"/>
          <w:i/>
          <w:iCs/>
          <w:sz w:val="22"/>
          <w:szCs w:val="22"/>
        </w:rPr>
        <w:t>‘</w:t>
      </w:r>
      <w:r w:rsidRPr="001A7CAD">
        <w:rPr>
          <w:rFonts w:cs="Arial"/>
          <w:i/>
          <w:iCs/>
          <w:sz w:val="22"/>
          <w:szCs w:val="22"/>
        </w:rPr>
        <w:t>determinan los precios de venta del gas natural</w:t>
      </w:r>
      <w:r w:rsidR="00023444">
        <w:rPr>
          <w:rFonts w:cs="Arial"/>
          <w:i/>
          <w:iCs/>
          <w:sz w:val="22"/>
          <w:szCs w:val="22"/>
        </w:rPr>
        <w:t>’</w:t>
      </w:r>
      <w:r w:rsidRPr="001A7CAD">
        <w:rPr>
          <w:rFonts w:cs="Arial"/>
          <w:i/>
          <w:iCs/>
          <w:sz w:val="22"/>
          <w:szCs w:val="22"/>
        </w:rPr>
        <w:t xml:space="preserve">; si el regulador lo que quiere decir es que el precio del gas involucra todas las actividades que tiene que hacer el productor hasta el punto de entrega, debería aclararlo de esa manera. Si lo que se busca </w:t>
      </w:r>
      <w:proofErr w:type="gramStart"/>
      <w:r w:rsidRPr="001A7CAD">
        <w:rPr>
          <w:rFonts w:cs="Arial"/>
          <w:i/>
          <w:iCs/>
          <w:sz w:val="22"/>
          <w:szCs w:val="22"/>
        </w:rPr>
        <w:t>es</w:t>
      </w:r>
      <w:proofErr w:type="gramEnd"/>
      <w:r w:rsidRPr="001A7CAD">
        <w:rPr>
          <w:rFonts w:cs="Arial"/>
          <w:i/>
          <w:iCs/>
          <w:sz w:val="22"/>
          <w:szCs w:val="22"/>
        </w:rPr>
        <w:t xml:space="preserve"> por el contrario, hacer una conexión con los puntos de referencia, es necesario que se aclare la forma como los puntos de referencia funcionan respecto de los puntos de entrega, como se expondrá más adelante en esa definición</w:t>
      </w:r>
      <w:r w:rsidRPr="00ED021C">
        <w:rPr>
          <w:rFonts w:cs="Arial"/>
          <w:sz w:val="22"/>
          <w:szCs w:val="22"/>
        </w:rPr>
        <w:t>"</w:t>
      </w:r>
    </w:p>
    <w:p w14:paraId="49FB3E60" w14:textId="4694C02B" w:rsidR="001A7CAD" w:rsidRDefault="001A7CAD" w:rsidP="00ED021C">
      <w:pPr>
        <w:rPr>
          <w:rFonts w:cs="Arial"/>
          <w:sz w:val="22"/>
          <w:szCs w:val="22"/>
        </w:rPr>
      </w:pPr>
    </w:p>
    <w:p w14:paraId="539CFC8C" w14:textId="381FE745" w:rsidR="001A7CAD" w:rsidRPr="001A7CAD" w:rsidRDefault="001A7CAD" w:rsidP="00ED021C">
      <w:pPr>
        <w:rPr>
          <w:rFonts w:cs="Arial"/>
          <w:b/>
          <w:bCs/>
          <w:sz w:val="22"/>
          <w:szCs w:val="22"/>
        </w:rPr>
      </w:pPr>
      <w:r w:rsidRPr="001A7CAD">
        <w:rPr>
          <w:rFonts w:cs="Arial"/>
          <w:b/>
          <w:bCs/>
          <w:sz w:val="22"/>
          <w:szCs w:val="22"/>
        </w:rPr>
        <w:t>Respuesta:</w:t>
      </w:r>
    </w:p>
    <w:p w14:paraId="3AF81649" w14:textId="5A7BCEA7" w:rsidR="001A7CAD" w:rsidRDefault="001A7CAD" w:rsidP="00ED021C">
      <w:pPr>
        <w:rPr>
          <w:rFonts w:cs="Arial"/>
          <w:sz w:val="22"/>
          <w:szCs w:val="22"/>
        </w:rPr>
      </w:pPr>
    </w:p>
    <w:p w14:paraId="5AB3B83B" w14:textId="4BFF7681" w:rsidR="001A7CAD" w:rsidRDefault="001A7CAD" w:rsidP="00ED021C">
      <w:pPr>
        <w:rPr>
          <w:rFonts w:cs="Arial"/>
          <w:sz w:val="22"/>
          <w:szCs w:val="22"/>
        </w:rPr>
      </w:pPr>
      <w:r>
        <w:rPr>
          <w:rFonts w:cs="Arial"/>
          <w:sz w:val="22"/>
          <w:szCs w:val="22"/>
        </w:rPr>
        <w:t>Se acoge el comentario.</w:t>
      </w:r>
    </w:p>
    <w:p w14:paraId="78E5329C" w14:textId="77777777" w:rsidR="001A7CAD" w:rsidRDefault="001A7CAD" w:rsidP="00ED021C">
      <w:pPr>
        <w:rPr>
          <w:rFonts w:cs="Arial"/>
          <w:sz w:val="22"/>
          <w:szCs w:val="22"/>
        </w:rPr>
      </w:pPr>
    </w:p>
    <w:p w14:paraId="20520ED8" w14:textId="66C33B55" w:rsidR="001A7CAD" w:rsidRDefault="001A7CAD" w:rsidP="00ED021C">
      <w:pPr>
        <w:rPr>
          <w:rFonts w:cs="Arial"/>
          <w:sz w:val="22"/>
          <w:szCs w:val="22"/>
        </w:rPr>
      </w:pPr>
      <w:r>
        <w:rPr>
          <w:rFonts w:cs="Arial"/>
          <w:sz w:val="22"/>
          <w:szCs w:val="22"/>
        </w:rPr>
        <w:t>Se realizaron ajustes a la definición en la nueva propuesta.</w:t>
      </w:r>
      <w:r w:rsidR="000D0F05">
        <w:rPr>
          <w:rFonts w:cs="Arial"/>
          <w:sz w:val="22"/>
          <w:szCs w:val="22"/>
        </w:rPr>
        <w:t xml:space="preserve"> </w:t>
      </w:r>
    </w:p>
    <w:p w14:paraId="184DC179" w14:textId="77777777" w:rsidR="000D0F05" w:rsidRDefault="000D0F05" w:rsidP="00ED021C">
      <w:pPr>
        <w:rPr>
          <w:rFonts w:cs="Arial"/>
          <w:sz w:val="22"/>
          <w:szCs w:val="22"/>
        </w:rPr>
      </w:pPr>
    </w:p>
    <w:p w14:paraId="066C877F" w14:textId="0E530DDE" w:rsidR="000D0F05" w:rsidRPr="00ED021C" w:rsidRDefault="000D0F05" w:rsidP="00ED021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Pr>
          <w:rFonts w:cs="Arial"/>
          <w:sz w:val="22"/>
          <w:szCs w:val="22"/>
        </w:rPr>
        <w:t>.</w:t>
      </w:r>
    </w:p>
    <w:p w14:paraId="73589201" w14:textId="77777777" w:rsidR="00ED021C" w:rsidRDefault="00ED021C" w:rsidP="00ED021C">
      <w:pPr>
        <w:rPr>
          <w:rFonts w:cs="Arial"/>
          <w:sz w:val="22"/>
          <w:szCs w:val="22"/>
        </w:rPr>
      </w:pPr>
    </w:p>
    <w:p w14:paraId="508E1CD3" w14:textId="77777777" w:rsidR="000D0F05" w:rsidRDefault="000D0F05" w:rsidP="00ED021C">
      <w:pPr>
        <w:rPr>
          <w:rFonts w:cs="Arial"/>
          <w:sz w:val="22"/>
          <w:szCs w:val="22"/>
        </w:rPr>
      </w:pPr>
    </w:p>
    <w:p w14:paraId="44D67CF1" w14:textId="77777777" w:rsidR="00ED021C" w:rsidRDefault="00ED021C" w:rsidP="00536D4C">
      <w:pPr>
        <w:pStyle w:val="Ttulo4"/>
      </w:pPr>
      <w:bookmarkStart w:id="549" w:name="_Ref130533713"/>
      <w:r w:rsidRPr="00ED021C">
        <w:t>GASES DE LA GUAJIRA</w:t>
      </w:r>
      <w:bookmarkEnd w:id="549"/>
      <w:r w:rsidRPr="00ED021C">
        <w:tab/>
      </w:r>
    </w:p>
    <w:p w14:paraId="742D5173" w14:textId="27E63045" w:rsidR="00ED021C" w:rsidRPr="001A7CAD" w:rsidRDefault="00ED021C" w:rsidP="00ED021C">
      <w:pPr>
        <w:rPr>
          <w:rFonts w:cs="Arial"/>
          <w:i/>
          <w:iCs/>
          <w:sz w:val="22"/>
          <w:szCs w:val="22"/>
        </w:rPr>
      </w:pPr>
      <w:r w:rsidRPr="00ED021C">
        <w:rPr>
          <w:rFonts w:cs="Arial"/>
          <w:sz w:val="22"/>
          <w:szCs w:val="22"/>
        </w:rPr>
        <w:t>"</w:t>
      </w:r>
      <w:r w:rsidRPr="001A7CAD">
        <w:rPr>
          <w:rFonts w:cs="Arial"/>
          <w:i/>
          <w:iCs/>
          <w:sz w:val="22"/>
          <w:szCs w:val="22"/>
        </w:rPr>
        <w:t xml:space="preserve">En consideración a que la propuesta del regulador resulta </w:t>
      </w:r>
      <w:proofErr w:type="gramStart"/>
      <w:r w:rsidRPr="001A7CAD">
        <w:rPr>
          <w:rFonts w:cs="Arial"/>
          <w:i/>
          <w:iCs/>
          <w:sz w:val="22"/>
          <w:szCs w:val="22"/>
        </w:rPr>
        <w:t>crítico</w:t>
      </w:r>
      <w:proofErr w:type="gramEnd"/>
      <w:r w:rsidRPr="001A7CAD">
        <w:rPr>
          <w:rFonts w:cs="Arial"/>
          <w:i/>
          <w:iCs/>
          <w:sz w:val="22"/>
          <w:szCs w:val="22"/>
        </w:rPr>
        <w:t xml:space="preserve"> la definición de punto de referencia, es necesario que ésta sea regulada de manera más específica, de manera que el gestor de mercado, tengan los parámetros claros que le permitan acertar en la ejecución de su función. De manera particular, debe determinarse como es que en un punto de referencia se pueden agrupar diferentes oferentes, o si el punto de referencia puede involucrar una sola fuente. </w:t>
      </w:r>
    </w:p>
    <w:p w14:paraId="099A94AD" w14:textId="77777777" w:rsidR="00ED021C" w:rsidRPr="001A7CAD" w:rsidRDefault="00ED021C" w:rsidP="00ED021C">
      <w:pPr>
        <w:rPr>
          <w:rFonts w:cs="Arial"/>
          <w:i/>
          <w:iCs/>
          <w:sz w:val="22"/>
          <w:szCs w:val="22"/>
        </w:rPr>
      </w:pPr>
    </w:p>
    <w:p w14:paraId="0A4679E8" w14:textId="32173CC2" w:rsidR="00ED021C" w:rsidRDefault="00ED021C" w:rsidP="00ED021C">
      <w:pPr>
        <w:rPr>
          <w:rFonts w:cs="Arial"/>
          <w:sz w:val="22"/>
          <w:szCs w:val="22"/>
        </w:rPr>
      </w:pPr>
      <w:r w:rsidRPr="001A7CAD">
        <w:rPr>
          <w:rFonts w:cs="Arial"/>
          <w:i/>
          <w:iCs/>
          <w:sz w:val="22"/>
          <w:szCs w:val="22"/>
        </w:rPr>
        <w:t>En el evento que sólo involucre una sola fuente, se requiere que el regulador ajuste las señales respecto de las opciones que tienen los compradores, que el a un solo punto</w:t>
      </w:r>
      <w:r w:rsidRPr="00ED021C">
        <w:rPr>
          <w:rFonts w:cs="Arial"/>
          <w:sz w:val="22"/>
          <w:szCs w:val="22"/>
        </w:rPr>
        <w:t>."</w:t>
      </w:r>
    </w:p>
    <w:p w14:paraId="4082BE03" w14:textId="72C04344" w:rsidR="001A7CAD" w:rsidRDefault="001A7CAD" w:rsidP="00ED021C">
      <w:pPr>
        <w:rPr>
          <w:rFonts w:cs="Arial"/>
          <w:sz w:val="22"/>
          <w:szCs w:val="22"/>
        </w:rPr>
      </w:pPr>
    </w:p>
    <w:p w14:paraId="54E18129" w14:textId="0179E4E0" w:rsidR="001A7CAD" w:rsidRPr="001A7CAD" w:rsidRDefault="001A7CAD" w:rsidP="00ED021C">
      <w:pPr>
        <w:rPr>
          <w:rFonts w:cs="Arial"/>
          <w:b/>
          <w:bCs/>
          <w:sz w:val="22"/>
          <w:szCs w:val="22"/>
        </w:rPr>
      </w:pPr>
      <w:r w:rsidRPr="001A7CAD">
        <w:rPr>
          <w:rFonts w:cs="Arial"/>
          <w:b/>
          <w:bCs/>
          <w:sz w:val="22"/>
          <w:szCs w:val="22"/>
        </w:rPr>
        <w:t>Respuesta:</w:t>
      </w:r>
    </w:p>
    <w:p w14:paraId="3C4E049F" w14:textId="42073D53" w:rsidR="001A7CAD" w:rsidRDefault="001A7CAD" w:rsidP="00ED021C">
      <w:pPr>
        <w:rPr>
          <w:rFonts w:cs="Arial"/>
          <w:sz w:val="22"/>
          <w:szCs w:val="22"/>
        </w:rPr>
      </w:pPr>
    </w:p>
    <w:p w14:paraId="2AC87252" w14:textId="341AFB37" w:rsidR="001A7CAD" w:rsidRDefault="001A7CAD" w:rsidP="00ED021C">
      <w:pPr>
        <w:rPr>
          <w:rFonts w:cs="Arial"/>
          <w:sz w:val="22"/>
          <w:szCs w:val="22"/>
        </w:rPr>
      </w:pPr>
      <w:r>
        <w:rPr>
          <w:rFonts w:cs="Arial"/>
          <w:sz w:val="22"/>
          <w:szCs w:val="22"/>
        </w:rPr>
        <w:t>Se acoge el comentario parcialmente.</w:t>
      </w:r>
    </w:p>
    <w:p w14:paraId="000EA6D8" w14:textId="4D236F3B" w:rsidR="001A7CAD" w:rsidRDefault="001A7CAD" w:rsidP="00ED021C">
      <w:pPr>
        <w:rPr>
          <w:rFonts w:cs="Arial"/>
          <w:sz w:val="22"/>
          <w:szCs w:val="22"/>
        </w:rPr>
      </w:pPr>
    </w:p>
    <w:p w14:paraId="636EFE34" w14:textId="4CA107D9" w:rsidR="001A7CAD" w:rsidRDefault="001A7CAD" w:rsidP="00ED021C">
      <w:pPr>
        <w:rPr>
          <w:rFonts w:cs="Arial"/>
          <w:sz w:val="22"/>
          <w:szCs w:val="22"/>
        </w:rPr>
      </w:pPr>
      <w:r>
        <w:rPr>
          <w:rFonts w:cs="Arial"/>
          <w:sz w:val="22"/>
          <w:szCs w:val="22"/>
        </w:rPr>
        <w:t xml:space="preserve">Todo contrato de suministro debe tener especificado uno o varios puntos de entrega, si es que las demás condiciones esenciales son idénticas (cantidad máxima garantizada y precio). Ahora bien, para efectos de realizar los balances comerciales se establece la figura de “Puntos de referencia” que, como se aclara en la propuesta inicial y se mantiene en la nueva propuesta, pueden reunir uno o varios puntos de entrega actuales o futuros. </w:t>
      </w:r>
      <w:r w:rsidR="000D0F05">
        <w:rPr>
          <w:rFonts w:cs="Arial"/>
          <w:sz w:val="22"/>
          <w:szCs w:val="22"/>
        </w:rPr>
        <w:t xml:space="preserve">Ver numeral </w:t>
      </w:r>
      <w:r w:rsidR="000D0F05">
        <w:rPr>
          <w:rFonts w:cs="Arial"/>
          <w:sz w:val="22"/>
          <w:szCs w:val="22"/>
        </w:rPr>
        <w:fldChar w:fldCharType="begin"/>
      </w:r>
      <w:r w:rsidR="000D0F05">
        <w:rPr>
          <w:rFonts w:cs="Arial"/>
          <w:sz w:val="22"/>
          <w:szCs w:val="22"/>
        </w:rPr>
        <w:instrText xml:space="preserve"> REF _Ref130304509 \r \h </w:instrText>
      </w:r>
      <w:r w:rsidR="000D0F05">
        <w:rPr>
          <w:rFonts w:cs="Arial"/>
          <w:sz w:val="22"/>
          <w:szCs w:val="22"/>
        </w:rPr>
      </w:r>
      <w:r w:rsidR="000D0F05">
        <w:rPr>
          <w:rFonts w:cs="Arial"/>
          <w:sz w:val="22"/>
          <w:szCs w:val="22"/>
        </w:rPr>
        <w:fldChar w:fldCharType="separate"/>
      </w:r>
      <w:r w:rsidR="000D0F05">
        <w:rPr>
          <w:rFonts w:cs="Arial"/>
          <w:sz w:val="22"/>
          <w:szCs w:val="22"/>
        </w:rPr>
        <w:t>4.11.1</w:t>
      </w:r>
      <w:r w:rsidR="000D0F05">
        <w:rPr>
          <w:rFonts w:cs="Arial"/>
          <w:sz w:val="22"/>
          <w:szCs w:val="22"/>
        </w:rPr>
        <w:fldChar w:fldCharType="end"/>
      </w:r>
      <w:r w:rsidR="000D0F05">
        <w:rPr>
          <w:rFonts w:cs="Arial"/>
          <w:sz w:val="22"/>
          <w:szCs w:val="22"/>
        </w:rPr>
        <w:t>.</w:t>
      </w:r>
    </w:p>
    <w:p w14:paraId="4CD2003B" w14:textId="57E7179C" w:rsidR="001A7CAD" w:rsidRDefault="001A7CAD" w:rsidP="00ED021C">
      <w:pPr>
        <w:rPr>
          <w:rFonts w:cs="Arial"/>
          <w:sz w:val="22"/>
          <w:szCs w:val="22"/>
        </w:rPr>
      </w:pPr>
    </w:p>
    <w:p w14:paraId="5781B2BB" w14:textId="3A275C70" w:rsidR="001A7CAD" w:rsidRDefault="001A7CAD" w:rsidP="00ED021C">
      <w:pPr>
        <w:rPr>
          <w:rFonts w:cs="Arial"/>
          <w:sz w:val="22"/>
          <w:szCs w:val="22"/>
        </w:rPr>
      </w:pPr>
      <w:r>
        <w:rPr>
          <w:rFonts w:cs="Arial"/>
          <w:sz w:val="22"/>
          <w:szCs w:val="22"/>
        </w:rPr>
        <w:t>Lo anterior no implica que en un punto de referencia se deba negociar un solo precio de suministro que se aplique a todas las fuente</w:t>
      </w:r>
      <w:r w:rsidR="002E2487">
        <w:rPr>
          <w:rFonts w:cs="Arial"/>
          <w:sz w:val="22"/>
          <w:szCs w:val="22"/>
        </w:rPr>
        <w:t>s</w:t>
      </w:r>
      <w:r>
        <w:rPr>
          <w:rFonts w:cs="Arial"/>
          <w:sz w:val="22"/>
          <w:szCs w:val="22"/>
        </w:rPr>
        <w:t xml:space="preserve"> de suministro que tiene</w:t>
      </w:r>
      <w:r w:rsidR="002E2487">
        <w:rPr>
          <w:rFonts w:cs="Arial"/>
          <w:sz w:val="22"/>
          <w:szCs w:val="22"/>
        </w:rPr>
        <w:t>n</w:t>
      </w:r>
      <w:r>
        <w:rPr>
          <w:rFonts w:cs="Arial"/>
          <w:sz w:val="22"/>
          <w:szCs w:val="22"/>
        </w:rPr>
        <w:t xml:space="preserve"> punto de entrega en ese punto de referencia. </w:t>
      </w:r>
      <w:r w:rsidR="002E2487">
        <w:rPr>
          <w:rFonts w:cs="Arial"/>
          <w:sz w:val="22"/>
          <w:szCs w:val="22"/>
        </w:rPr>
        <w:t xml:space="preserve">Para </w:t>
      </w:r>
      <w:r>
        <w:rPr>
          <w:rFonts w:cs="Arial"/>
          <w:sz w:val="22"/>
          <w:szCs w:val="22"/>
        </w:rPr>
        <w:t xml:space="preserve">cada fuente de suministro se puede negociar un precio diferente a </w:t>
      </w:r>
      <w:r w:rsidR="002E2487">
        <w:rPr>
          <w:rFonts w:cs="Arial"/>
          <w:sz w:val="22"/>
          <w:szCs w:val="22"/>
        </w:rPr>
        <w:t xml:space="preserve">las </w:t>
      </w:r>
      <w:r>
        <w:rPr>
          <w:rFonts w:cs="Arial"/>
          <w:sz w:val="22"/>
          <w:szCs w:val="22"/>
        </w:rPr>
        <w:t>otras fuentes de suministro del mismo punto de referencia</w:t>
      </w:r>
      <w:r w:rsidR="000D0F05">
        <w:rPr>
          <w:rFonts w:cs="Arial"/>
          <w:sz w:val="22"/>
          <w:szCs w:val="22"/>
        </w:rPr>
        <w:t xml:space="preserve"> y en caso de requerirse subasta centralizada, cada fuente de suministro podrá tener su precio de reserva diferente a las demás fuentes del mismo punto de referencia, y la subasta de sus productos será independiente</w:t>
      </w:r>
      <w:r>
        <w:rPr>
          <w:rFonts w:cs="Arial"/>
          <w:sz w:val="22"/>
          <w:szCs w:val="22"/>
        </w:rPr>
        <w:t>.</w:t>
      </w:r>
    </w:p>
    <w:p w14:paraId="2CC0DF70" w14:textId="7E489018" w:rsidR="002E2487" w:rsidRDefault="002E2487" w:rsidP="00ED021C">
      <w:pPr>
        <w:rPr>
          <w:rFonts w:cs="Arial"/>
          <w:sz w:val="22"/>
          <w:szCs w:val="22"/>
        </w:rPr>
      </w:pPr>
    </w:p>
    <w:p w14:paraId="40CCE2B4" w14:textId="309D6143" w:rsidR="002E2487" w:rsidRDefault="002E2487" w:rsidP="00ED021C">
      <w:pPr>
        <w:rPr>
          <w:rFonts w:cs="Arial"/>
          <w:sz w:val="22"/>
          <w:szCs w:val="22"/>
        </w:rPr>
      </w:pPr>
      <w:r>
        <w:rPr>
          <w:rFonts w:cs="Arial"/>
          <w:sz w:val="22"/>
          <w:szCs w:val="22"/>
        </w:rPr>
        <w:t>Ahora b</w:t>
      </w:r>
      <w:r w:rsidR="00035687">
        <w:rPr>
          <w:rFonts w:cs="Arial"/>
          <w:sz w:val="22"/>
          <w:szCs w:val="22"/>
        </w:rPr>
        <w:t>i</w:t>
      </w:r>
      <w:r>
        <w:rPr>
          <w:rFonts w:cs="Arial"/>
          <w:sz w:val="22"/>
          <w:szCs w:val="22"/>
        </w:rPr>
        <w:t xml:space="preserve">en, en la nueva propuesta </w:t>
      </w:r>
      <w:r w:rsidR="00035687">
        <w:rPr>
          <w:rFonts w:cs="Arial"/>
          <w:sz w:val="22"/>
          <w:szCs w:val="22"/>
        </w:rPr>
        <w:t xml:space="preserve">se da mayor flexibilidad al </w:t>
      </w:r>
      <w:r w:rsidR="005114C6">
        <w:rPr>
          <w:rFonts w:cs="Arial"/>
          <w:sz w:val="22"/>
          <w:szCs w:val="22"/>
        </w:rPr>
        <w:t>Gestor del Mercado</w:t>
      </w:r>
      <w:r w:rsidR="00035687">
        <w:rPr>
          <w:rFonts w:cs="Arial"/>
          <w:sz w:val="22"/>
          <w:szCs w:val="22"/>
        </w:rPr>
        <w:t xml:space="preserve"> para que utilice criterios adicionales de conformación de puntos de referencia acordados con los vendedores y consultados con los compradores. Esta flexibilidad es necesaria para adecuarse más efectiva y oportunamente a los cambios que se espera que resulten de la implementación de los proyectos del Plan de Abastecimiento de Gas Natural adoptados por el MME. No implica que por ello se ceda la función regulatoria en absoluto, ni que se trate de alguna forma de autorregulación pues se deben seguir las condiciones establecidas en la resolución que deben cumplirse por parte del </w:t>
      </w:r>
      <w:r w:rsidR="005114C6">
        <w:rPr>
          <w:rFonts w:cs="Arial"/>
          <w:sz w:val="22"/>
          <w:szCs w:val="22"/>
        </w:rPr>
        <w:t>Gestor del Mercado</w:t>
      </w:r>
      <w:r w:rsidR="00035687">
        <w:rPr>
          <w:rFonts w:cs="Arial"/>
          <w:sz w:val="22"/>
          <w:szCs w:val="22"/>
        </w:rPr>
        <w:t xml:space="preserve"> y de los agentes.</w:t>
      </w:r>
    </w:p>
    <w:p w14:paraId="55E15F06" w14:textId="77777777" w:rsidR="001A7CAD" w:rsidRPr="00ED021C" w:rsidRDefault="001A7CAD" w:rsidP="00ED021C">
      <w:pPr>
        <w:rPr>
          <w:rFonts w:cs="Arial"/>
          <w:sz w:val="22"/>
          <w:szCs w:val="22"/>
        </w:rPr>
      </w:pPr>
    </w:p>
    <w:p w14:paraId="28359F83" w14:textId="77777777" w:rsidR="00ED021C" w:rsidRDefault="00ED021C" w:rsidP="00ED021C">
      <w:pPr>
        <w:rPr>
          <w:rFonts w:cs="Arial"/>
          <w:sz w:val="22"/>
          <w:szCs w:val="22"/>
        </w:rPr>
      </w:pPr>
    </w:p>
    <w:p w14:paraId="11BA12DC" w14:textId="77777777" w:rsidR="00ED021C" w:rsidRDefault="00ED021C" w:rsidP="00536D4C">
      <w:pPr>
        <w:pStyle w:val="Ttulo4"/>
      </w:pPr>
      <w:bookmarkStart w:id="550" w:name="_Ref130533899"/>
      <w:r w:rsidRPr="00ED021C">
        <w:t>GASES DE LA GUAJIRA</w:t>
      </w:r>
      <w:bookmarkEnd w:id="550"/>
      <w:r w:rsidRPr="00ED021C">
        <w:tab/>
      </w:r>
    </w:p>
    <w:p w14:paraId="4CBF7094" w14:textId="3D0A720F" w:rsidR="00ED021C" w:rsidRPr="00ED021C" w:rsidRDefault="00972EEA" w:rsidP="00ED021C">
      <w:pPr>
        <w:rPr>
          <w:rFonts w:cs="Arial"/>
          <w:sz w:val="22"/>
          <w:szCs w:val="22"/>
        </w:rPr>
      </w:pPr>
      <w:r>
        <w:rPr>
          <w:rFonts w:cs="Arial"/>
          <w:i/>
          <w:iCs/>
          <w:sz w:val="22"/>
          <w:szCs w:val="22"/>
        </w:rPr>
        <w:t>“</w:t>
      </w:r>
      <w:proofErr w:type="gramStart"/>
      <w:r w:rsidR="00570390">
        <w:rPr>
          <w:rFonts w:cs="Arial"/>
          <w:i/>
          <w:iCs/>
          <w:sz w:val="22"/>
          <w:szCs w:val="22"/>
        </w:rPr>
        <w:t>Responsable</w:t>
      </w:r>
      <w:proofErr w:type="gramEnd"/>
      <w:r w:rsidR="00570390">
        <w:rPr>
          <w:rFonts w:cs="Arial"/>
          <w:i/>
          <w:iCs/>
          <w:sz w:val="22"/>
          <w:szCs w:val="22"/>
        </w:rPr>
        <w:t xml:space="preserve"> de la nominación de gas: </w:t>
      </w:r>
      <w:r w:rsidR="00ED021C" w:rsidRPr="0022786C">
        <w:rPr>
          <w:rFonts w:cs="Arial"/>
          <w:i/>
          <w:iCs/>
          <w:sz w:val="22"/>
          <w:szCs w:val="22"/>
        </w:rPr>
        <w:t>La propuesta del regulador, determina un cambio importante en la forma como se viene aplicando, que puede tener repercusiones importante en los contratos tanto de suministro de gas como de transporte. El obligado a realizar la nominación, y por lo mismo, el responsable de asuntos como las variaciones y los desbalances. Esta modificación debe evaluarse considerando la responsabilidad contractual del comprador y del remitente primario</w:t>
      </w:r>
      <w:r w:rsidR="00ED021C" w:rsidRPr="00ED021C">
        <w:rPr>
          <w:rFonts w:cs="Arial"/>
          <w:sz w:val="22"/>
          <w:szCs w:val="22"/>
        </w:rPr>
        <w:t>.</w:t>
      </w:r>
      <w:r>
        <w:rPr>
          <w:rFonts w:cs="Arial"/>
          <w:sz w:val="22"/>
          <w:szCs w:val="22"/>
        </w:rPr>
        <w:t>”</w:t>
      </w:r>
      <w:r w:rsidR="00ED021C" w:rsidRPr="00ED021C">
        <w:rPr>
          <w:rFonts w:cs="Arial"/>
          <w:sz w:val="22"/>
          <w:szCs w:val="22"/>
        </w:rPr>
        <w:t xml:space="preserve"> </w:t>
      </w:r>
    </w:p>
    <w:p w14:paraId="7C7144F6" w14:textId="77777777" w:rsidR="00ED021C" w:rsidRDefault="00ED021C" w:rsidP="00ED021C">
      <w:pPr>
        <w:rPr>
          <w:rFonts w:cs="Arial"/>
          <w:sz w:val="22"/>
          <w:szCs w:val="22"/>
        </w:rPr>
      </w:pPr>
    </w:p>
    <w:p w14:paraId="73A91A5A" w14:textId="23DC354D" w:rsidR="00ED021C" w:rsidRPr="0022786C" w:rsidRDefault="0022786C" w:rsidP="00ED021C">
      <w:pPr>
        <w:rPr>
          <w:rFonts w:cs="Arial"/>
          <w:b/>
          <w:bCs/>
          <w:sz w:val="22"/>
          <w:szCs w:val="22"/>
        </w:rPr>
      </w:pPr>
      <w:r w:rsidRPr="0022786C">
        <w:rPr>
          <w:rFonts w:cs="Arial"/>
          <w:b/>
          <w:bCs/>
          <w:sz w:val="22"/>
          <w:szCs w:val="22"/>
        </w:rPr>
        <w:t>Respuesta:</w:t>
      </w:r>
    </w:p>
    <w:p w14:paraId="51F59E5E" w14:textId="56C95C5B" w:rsidR="0022786C" w:rsidRDefault="0022786C" w:rsidP="00ED021C">
      <w:pPr>
        <w:rPr>
          <w:rFonts w:cs="Arial"/>
          <w:sz w:val="22"/>
          <w:szCs w:val="22"/>
        </w:rPr>
      </w:pPr>
    </w:p>
    <w:p w14:paraId="05E8F198" w14:textId="14F92371" w:rsidR="0022786C" w:rsidRDefault="0022786C" w:rsidP="00ED021C">
      <w:pPr>
        <w:rPr>
          <w:rFonts w:cs="Arial"/>
          <w:sz w:val="22"/>
          <w:szCs w:val="22"/>
        </w:rPr>
      </w:pPr>
      <w:r>
        <w:rPr>
          <w:rFonts w:cs="Arial"/>
          <w:sz w:val="22"/>
          <w:szCs w:val="22"/>
        </w:rPr>
        <w:t>Se acoge el comentario.</w:t>
      </w:r>
    </w:p>
    <w:p w14:paraId="34D16A50" w14:textId="60E844BE" w:rsidR="0022786C" w:rsidRDefault="0022786C" w:rsidP="00ED021C">
      <w:pPr>
        <w:rPr>
          <w:rFonts w:cs="Arial"/>
          <w:sz w:val="22"/>
          <w:szCs w:val="22"/>
        </w:rPr>
      </w:pPr>
    </w:p>
    <w:p w14:paraId="49A22A61" w14:textId="2BF2E858" w:rsidR="0022786C" w:rsidRDefault="0022786C" w:rsidP="00ED021C">
      <w:pPr>
        <w:rPr>
          <w:rFonts w:cs="Arial"/>
          <w:sz w:val="22"/>
          <w:szCs w:val="22"/>
        </w:rPr>
      </w:pPr>
      <w:r>
        <w:rPr>
          <w:rFonts w:cs="Arial"/>
          <w:sz w:val="22"/>
          <w:szCs w:val="22"/>
        </w:rPr>
        <w:t xml:space="preserve">En la nueva propuesta se hacen los ajustes necesarios para que no quede duda </w:t>
      </w:r>
      <w:r w:rsidR="00570390">
        <w:rPr>
          <w:rFonts w:cs="Arial"/>
          <w:sz w:val="22"/>
          <w:szCs w:val="22"/>
        </w:rPr>
        <w:t xml:space="preserve">en la definición mencionada </w:t>
      </w:r>
      <w:r>
        <w:rPr>
          <w:rFonts w:cs="Arial"/>
          <w:sz w:val="22"/>
          <w:szCs w:val="22"/>
        </w:rPr>
        <w:t xml:space="preserve">de cuándo hay incumplimiento en la </w:t>
      </w:r>
      <w:r w:rsidR="00570390">
        <w:rPr>
          <w:rFonts w:cs="Arial"/>
          <w:sz w:val="22"/>
          <w:szCs w:val="22"/>
        </w:rPr>
        <w:t xml:space="preserve">cantidad </w:t>
      </w:r>
      <w:r>
        <w:rPr>
          <w:rFonts w:cs="Arial"/>
          <w:sz w:val="22"/>
          <w:szCs w:val="22"/>
        </w:rPr>
        <w:t>autoriza</w:t>
      </w:r>
      <w:r w:rsidR="00570390">
        <w:rPr>
          <w:rFonts w:cs="Arial"/>
          <w:sz w:val="22"/>
          <w:szCs w:val="22"/>
        </w:rPr>
        <w:t>da</w:t>
      </w:r>
      <w:r>
        <w:rPr>
          <w:rFonts w:cs="Arial"/>
          <w:sz w:val="22"/>
          <w:szCs w:val="22"/>
        </w:rPr>
        <w:t xml:space="preserve"> por el vendedor </w:t>
      </w:r>
      <w:r w:rsidR="00570390">
        <w:rPr>
          <w:rFonts w:cs="Arial"/>
          <w:sz w:val="22"/>
          <w:szCs w:val="22"/>
        </w:rPr>
        <w:t xml:space="preserve">respecto </w:t>
      </w:r>
      <w:r>
        <w:rPr>
          <w:rFonts w:cs="Arial"/>
          <w:sz w:val="22"/>
          <w:szCs w:val="22"/>
        </w:rPr>
        <w:t>de la nomina</w:t>
      </w:r>
      <w:r w:rsidR="00570390">
        <w:rPr>
          <w:rFonts w:cs="Arial"/>
          <w:sz w:val="22"/>
          <w:szCs w:val="22"/>
        </w:rPr>
        <w:t>da</w:t>
      </w:r>
      <w:r>
        <w:rPr>
          <w:rFonts w:cs="Arial"/>
          <w:sz w:val="22"/>
          <w:szCs w:val="22"/>
        </w:rPr>
        <w:t xml:space="preserve"> de</w:t>
      </w:r>
      <w:r w:rsidR="00570390">
        <w:rPr>
          <w:rFonts w:cs="Arial"/>
          <w:sz w:val="22"/>
          <w:szCs w:val="22"/>
        </w:rPr>
        <w:t>l</w:t>
      </w:r>
      <w:r>
        <w:rPr>
          <w:rFonts w:cs="Arial"/>
          <w:sz w:val="22"/>
          <w:szCs w:val="22"/>
        </w:rPr>
        <w:t xml:space="preserve"> comprador.</w:t>
      </w:r>
    </w:p>
    <w:p w14:paraId="2DE9E11E" w14:textId="006E08DB" w:rsidR="0022786C" w:rsidRDefault="0022786C" w:rsidP="00ED021C">
      <w:pPr>
        <w:rPr>
          <w:rFonts w:cs="Arial"/>
          <w:sz w:val="22"/>
          <w:szCs w:val="22"/>
        </w:rPr>
      </w:pPr>
    </w:p>
    <w:p w14:paraId="18565B94" w14:textId="77777777" w:rsidR="0022786C" w:rsidRDefault="0022786C" w:rsidP="00ED021C">
      <w:pPr>
        <w:rPr>
          <w:rFonts w:cs="Arial"/>
          <w:sz w:val="22"/>
          <w:szCs w:val="22"/>
        </w:rPr>
      </w:pPr>
    </w:p>
    <w:p w14:paraId="6E36B5DB" w14:textId="77777777" w:rsidR="00ED021C" w:rsidRDefault="00ED021C" w:rsidP="00536D4C">
      <w:pPr>
        <w:pStyle w:val="Ttulo2"/>
      </w:pPr>
      <w:bookmarkStart w:id="551" w:name="_Toc140506268"/>
      <w:r w:rsidRPr="00ED021C">
        <w:t>GASES DE OCCIDENTE</w:t>
      </w:r>
      <w:bookmarkEnd w:id="551"/>
      <w:r w:rsidRPr="00ED021C">
        <w:tab/>
      </w:r>
    </w:p>
    <w:p w14:paraId="53A26A57" w14:textId="77777777" w:rsidR="00536D4C" w:rsidRDefault="00536D4C" w:rsidP="00536D4C">
      <w:pPr>
        <w:pStyle w:val="Ttulo4"/>
      </w:pPr>
      <w:bookmarkStart w:id="552" w:name="_Ref130537089"/>
      <w:r w:rsidRPr="00ED021C">
        <w:t>GASES DE OCCIDENTE</w:t>
      </w:r>
      <w:bookmarkEnd w:id="552"/>
      <w:r w:rsidRPr="00ED021C">
        <w:tab/>
      </w:r>
    </w:p>
    <w:p w14:paraId="674EB98D" w14:textId="3964E1C9" w:rsidR="00ED021C" w:rsidRPr="00994ECF" w:rsidRDefault="00ED021C" w:rsidP="00ED021C">
      <w:pPr>
        <w:rPr>
          <w:rFonts w:cs="Arial"/>
          <w:i/>
          <w:iCs/>
          <w:sz w:val="22"/>
          <w:szCs w:val="22"/>
        </w:rPr>
      </w:pPr>
      <w:r w:rsidRPr="00994ECF">
        <w:rPr>
          <w:rFonts w:cs="Arial"/>
          <w:sz w:val="22"/>
          <w:szCs w:val="22"/>
        </w:rPr>
        <w:t>"</w:t>
      </w:r>
      <w:r w:rsidRPr="00994ECF">
        <w:rPr>
          <w:rFonts w:cs="Arial"/>
          <w:i/>
          <w:iCs/>
          <w:sz w:val="22"/>
          <w:szCs w:val="22"/>
        </w:rPr>
        <w:t>El Proyecto de Resolución separa la actividad de comercialización, según se actúe en el mercado mayorista o en el mercado minorista y establece las siguientes definiciones:</w:t>
      </w:r>
    </w:p>
    <w:p w14:paraId="5231439E" w14:textId="77777777" w:rsidR="00ED021C" w:rsidRPr="00994ECF" w:rsidRDefault="00ED021C" w:rsidP="00ED021C">
      <w:pPr>
        <w:rPr>
          <w:rFonts w:cs="Arial"/>
          <w:i/>
          <w:iCs/>
          <w:sz w:val="22"/>
          <w:szCs w:val="22"/>
        </w:rPr>
      </w:pPr>
    </w:p>
    <w:p w14:paraId="46FBE5BB" w14:textId="13121520" w:rsidR="00ED021C" w:rsidRPr="00994ECF" w:rsidRDefault="002A3660" w:rsidP="00ED021C">
      <w:pPr>
        <w:rPr>
          <w:rFonts w:cs="Arial"/>
          <w:i/>
          <w:iCs/>
          <w:sz w:val="22"/>
          <w:szCs w:val="22"/>
        </w:rPr>
      </w:pPr>
      <w:r>
        <w:rPr>
          <w:rFonts w:cs="Arial"/>
          <w:i/>
          <w:iCs/>
          <w:sz w:val="22"/>
          <w:szCs w:val="22"/>
        </w:rPr>
        <w:t>‘</w:t>
      </w:r>
      <w:r w:rsidR="00ED021C" w:rsidRPr="00994ECF">
        <w:rPr>
          <w:rFonts w:cs="Arial"/>
          <w:i/>
          <w:iCs/>
          <w:sz w:val="22"/>
          <w:szCs w:val="22"/>
        </w:rPr>
        <w:t>Comercialización Mayorista de Gas Natural: (...)</w:t>
      </w:r>
    </w:p>
    <w:p w14:paraId="48A90EE6" w14:textId="77777777" w:rsidR="00ED021C" w:rsidRPr="00994ECF" w:rsidRDefault="00ED021C" w:rsidP="00ED021C">
      <w:pPr>
        <w:rPr>
          <w:rFonts w:cs="Arial"/>
          <w:i/>
          <w:iCs/>
          <w:sz w:val="22"/>
          <w:szCs w:val="22"/>
        </w:rPr>
      </w:pPr>
      <w:r w:rsidRPr="00994ECF">
        <w:rPr>
          <w:rFonts w:cs="Arial"/>
          <w:i/>
          <w:iCs/>
          <w:sz w:val="22"/>
          <w:szCs w:val="22"/>
        </w:rPr>
        <w:t xml:space="preserve">Comercialización Minorista de gas natural: </w:t>
      </w:r>
      <w:proofErr w:type="gramStart"/>
      <w:r w:rsidRPr="00994ECF">
        <w:rPr>
          <w:rFonts w:cs="Arial"/>
          <w:i/>
          <w:iCs/>
          <w:sz w:val="22"/>
          <w:szCs w:val="22"/>
        </w:rPr>
        <w:t>(...) .</w:t>
      </w:r>
      <w:proofErr w:type="gramEnd"/>
    </w:p>
    <w:p w14:paraId="18AD70D6" w14:textId="77777777" w:rsidR="00ED021C" w:rsidRPr="00994ECF" w:rsidRDefault="00ED021C" w:rsidP="00ED021C">
      <w:pPr>
        <w:rPr>
          <w:rFonts w:cs="Arial"/>
          <w:i/>
          <w:iCs/>
          <w:sz w:val="22"/>
          <w:szCs w:val="22"/>
        </w:rPr>
      </w:pPr>
      <w:r w:rsidRPr="00994ECF">
        <w:rPr>
          <w:rFonts w:cs="Arial"/>
          <w:i/>
          <w:iCs/>
          <w:sz w:val="22"/>
          <w:szCs w:val="22"/>
        </w:rPr>
        <w:t>Si bien estas definiciones resultan adecuadas para diferenciar y precisar la actividad que desarrollan los Comercializadores, consideramos que se deben eliminar las siguientes definiciones:</w:t>
      </w:r>
    </w:p>
    <w:p w14:paraId="50CE8F11" w14:textId="37C11756" w:rsidR="00ED021C" w:rsidRPr="00994ECF" w:rsidRDefault="00ED021C" w:rsidP="00ED021C">
      <w:pPr>
        <w:rPr>
          <w:rFonts w:cs="Arial"/>
          <w:i/>
          <w:iCs/>
          <w:sz w:val="22"/>
          <w:szCs w:val="22"/>
        </w:rPr>
      </w:pPr>
      <w:r w:rsidRPr="00994ECF">
        <w:rPr>
          <w:rFonts w:cs="Arial"/>
          <w:i/>
          <w:iCs/>
          <w:sz w:val="22"/>
          <w:szCs w:val="22"/>
        </w:rPr>
        <w:t>Comercializador Mayorista: (...).</w:t>
      </w:r>
    </w:p>
    <w:p w14:paraId="1F536A67" w14:textId="57735134" w:rsidR="00ED021C" w:rsidRPr="00994ECF" w:rsidRDefault="00ED021C" w:rsidP="00ED021C">
      <w:pPr>
        <w:rPr>
          <w:rFonts w:cs="Arial"/>
          <w:i/>
          <w:iCs/>
          <w:sz w:val="22"/>
          <w:szCs w:val="22"/>
        </w:rPr>
      </w:pPr>
      <w:r w:rsidRPr="00994ECF">
        <w:rPr>
          <w:rFonts w:cs="Arial"/>
          <w:i/>
          <w:iCs/>
          <w:sz w:val="22"/>
          <w:szCs w:val="22"/>
        </w:rPr>
        <w:t xml:space="preserve">Comercializador Minorista: </w:t>
      </w:r>
      <w:proofErr w:type="gramStart"/>
      <w:r w:rsidRPr="00994ECF">
        <w:rPr>
          <w:rFonts w:cs="Arial"/>
          <w:i/>
          <w:iCs/>
          <w:sz w:val="22"/>
          <w:szCs w:val="22"/>
        </w:rPr>
        <w:t>(...) .</w:t>
      </w:r>
      <w:proofErr w:type="gramEnd"/>
      <w:r w:rsidR="00BD6AF2">
        <w:rPr>
          <w:rFonts w:cs="Arial"/>
          <w:i/>
          <w:iCs/>
          <w:sz w:val="22"/>
          <w:szCs w:val="22"/>
        </w:rPr>
        <w:t>’</w:t>
      </w:r>
    </w:p>
    <w:p w14:paraId="5E25A21F" w14:textId="77777777" w:rsidR="00ED021C" w:rsidRPr="00994ECF" w:rsidRDefault="00ED021C" w:rsidP="00ED021C">
      <w:pPr>
        <w:rPr>
          <w:rFonts w:cs="Arial"/>
          <w:i/>
          <w:iCs/>
          <w:sz w:val="22"/>
          <w:szCs w:val="22"/>
        </w:rPr>
      </w:pPr>
    </w:p>
    <w:p w14:paraId="1BCDC7B9" w14:textId="094AC4F0" w:rsidR="00ED021C" w:rsidRPr="00994ECF" w:rsidRDefault="00ED021C" w:rsidP="00ED021C">
      <w:pPr>
        <w:rPr>
          <w:rFonts w:cs="Arial"/>
          <w:i/>
          <w:iCs/>
          <w:sz w:val="22"/>
          <w:szCs w:val="22"/>
        </w:rPr>
      </w:pPr>
      <w:r w:rsidRPr="00994ECF">
        <w:rPr>
          <w:rFonts w:cs="Arial"/>
          <w:i/>
          <w:iCs/>
          <w:sz w:val="22"/>
          <w:szCs w:val="22"/>
        </w:rPr>
        <w:t>Esta sugerencia se presenta para evitar confusiones porque podría interpretarse que se trata de dos (2) agentes diferentes y que para actuar en uno u otro mercado se deben constituir como empresas independientes según desarrollen actividades de comercialización en el mercado mayorista o en el mercado minorista. Consideramos conveniente que ambas definiciones se sustituyan por una sola definición de Comercializador, indicando las limitaciones en materia de interés económico que le aplican a estos agentes, e indicando con que otros agentes puede desarrollar conjuntamente esta actividad."</w:t>
      </w:r>
    </w:p>
    <w:p w14:paraId="1471E183" w14:textId="6FE52C83" w:rsidR="00994ECF" w:rsidRDefault="00994ECF" w:rsidP="00ED021C">
      <w:pPr>
        <w:rPr>
          <w:rFonts w:cs="Arial"/>
          <w:sz w:val="22"/>
          <w:szCs w:val="22"/>
        </w:rPr>
      </w:pPr>
    </w:p>
    <w:p w14:paraId="45E99A32" w14:textId="2DE61C78" w:rsidR="00994ECF" w:rsidRPr="00994ECF" w:rsidRDefault="00994ECF" w:rsidP="00ED021C">
      <w:pPr>
        <w:rPr>
          <w:rFonts w:cs="Arial"/>
          <w:b/>
          <w:bCs/>
          <w:sz w:val="22"/>
          <w:szCs w:val="22"/>
        </w:rPr>
      </w:pPr>
      <w:r w:rsidRPr="00994ECF">
        <w:rPr>
          <w:rFonts w:cs="Arial"/>
          <w:b/>
          <w:bCs/>
          <w:sz w:val="22"/>
          <w:szCs w:val="22"/>
        </w:rPr>
        <w:t>Respuesta:</w:t>
      </w:r>
    </w:p>
    <w:p w14:paraId="6FDEF7EA" w14:textId="57D9C16B" w:rsidR="00994ECF" w:rsidRDefault="00994ECF" w:rsidP="00ED021C">
      <w:pPr>
        <w:rPr>
          <w:rFonts w:cs="Arial"/>
          <w:sz w:val="22"/>
          <w:szCs w:val="22"/>
        </w:rPr>
      </w:pPr>
    </w:p>
    <w:p w14:paraId="20D3B559" w14:textId="4AC055C7" w:rsidR="00994ECF" w:rsidRPr="00ED021C" w:rsidRDefault="00994ECF"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_Ref130464947 \r \h </w:instrText>
      </w:r>
      <w:r>
        <w:rPr>
          <w:rFonts w:cs="Arial"/>
          <w:sz w:val="22"/>
          <w:szCs w:val="22"/>
        </w:rPr>
      </w:r>
      <w:r>
        <w:rPr>
          <w:rFonts w:cs="Arial"/>
          <w:sz w:val="22"/>
          <w:szCs w:val="22"/>
        </w:rPr>
        <w:fldChar w:fldCharType="separate"/>
      </w:r>
      <w:r w:rsidR="007651EA">
        <w:rPr>
          <w:rFonts w:cs="Arial"/>
          <w:sz w:val="22"/>
          <w:szCs w:val="22"/>
        </w:rPr>
        <w:t>4.1.1.3</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_Ref130464341 \r \h </w:instrText>
      </w:r>
      <w:r>
        <w:rPr>
          <w:rFonts w:cs="Arial"/>
          <w:sz w:val="22"/>
          <w:szCs w:val="22"/>
        </w:rPr>
      </w:r>
      <w:r>
        <w:rPr>
          <w:rFonts w:cs="Arial"/>
          <w:sz w:val="22"/>
          <w:szCs w:val="22"/>
        </w:rPr>
        <w:fldChar w:fldCharType="separate"/>
      </w:r>
      <w:r w:rsidR="007651EA">
        <w:rPr>
          <w:rFonts w:cs="Arial"/>
          <w:sz w:val="22"/>
          <w:szCs w:val="22"/>
        </w:rPr>
        <w:t>4.3.1.4</w:t>
      </w:r>
      <w:r>
        <w:rPr>
          <w:rFonts w:cs="Arial"/>
          <w:sz w:val="22"/>
          <w:szCs w:val="22"/>
        </w:rPr>
        <w:fldChar w:fldCharType="end"/>
      </w:r>
      <w:r>
        <w:rPr>
          <w:rFonts w:cs="Arial"/>
          <w:sz w:val="22"/>
          <w:szCs w:val="22"/>
        </w:rPr>
        <w:t>.</w:t>
      </w:r>
    </w:p>
    <w:p w14:paraId="3E30C2C2" w14:textId="77777777" w:rsidR="00ED021C" w:rsidRDefault="00ED021C" w:rsidP="00ED021C">
      <w:pPr>
        <w:rPr>
          <w:rFonts w:cs="Arial"/>
          <w:sz w:val="22"/>
          <w:szCs w:val="22"/>
        </w:rPr>
      </w:pPr>
    </w:p>
    <w:p w14:paraId="44371F17" w14:textId="77777777" w:rsidR="00ED021C" w:rsidRDefault="00ED021C" w:rsidP="00ED021C">
      <w:pPr>
        <w:rPr>
          <w:rFonts w:cs="Arial"/>
          <w:sz w:val="22"/>
          <w:szCs w:val="22"/>
        </w:rPr>
      </w:pPr>
    </w:p>
    <w:p w14:paraId="3B7E1957" w14:textId="77777777" w:rsidR="00ED021C" w:rsidRDefault="00ED021C" w:rsidP="00536D4C">
      <w:pPr>
        <w:pStyle w:val="Ttulo2"/>
      </w:pPr>
      <w:bookmarkStart w:id="553" w:name="_Toc140506269"/>
      <w:r w:rsidRPr="00ED021C">
        <w:t>GASES DEL CARIBE</w:t>
      </w:r>
      <w:bookmarkEnd w:id="553"/>
      <w:r w:rsidRPr="00ED021C">
        <w:tab/>
      </w:r>
    </w:p>
    <w:p w14:paraId="0241BA5E" w14:textId="77777777" w:rsidR="00536D4C" w:rsidRDefault="00536D4C" w:rsidP="00536D4C">
      <w:pPr>
        <w:pStyle w:val="Ttulo4"/>
      </w:pPr>
      <w:r w:rsidRPr="00ED021C">
        <w:t>GASES DEL CARIBE</w:t>
      </w:r>
      <w:r w:rsidRPr="00ED021C">
        <w:tab/>
      </w:r>
    </w:p>
    <w:p w14:paraId="4073C492" w14:textId="171354D6" w:rsidR="00ED021C" w:rsidRPr="00994ECF" w:rsidRDefault="00ED021C" w:rsidP="00ED021C">
      <w:pPr>
        <w:rPr>
          <w:rFonts w:cs="Arial"/>
          <w:i/>
          <w:iCs/>
          <w:sz w:val="22"/>
          <w:szCs w:val="22"/>
        </w:rPr>
      </w:pPr>
      <w:r w:rsidRPr="00ED021C">
        <w:rPr>
          <w:rFonts w:cs="Arial"/>
          <w:sz w:val="22"/>
          <w:szCs w:val="22"/>
        </w:rPr>
        <w:t>"</w:t>
      </w:r>
      <w:r w:rsidRPr="00994ECF">
        <w:rPr>
          <w:rFonts w:cs="Arial"/>
          <w:i/>
          <w:iCs/>
          <w:sz w:val="22"/>
          <w:szCs w:val="22"/>
        </w:rPr>
        <w:t>La definición resulta confusa, si se considera que en la resolución 186 de 2020, el regulador prohíbe que el productor comercializador pueda tener una posición propia en materia de transporte, salvo que se trate de nuevas fuentes de suministro, y de expansiones del sistema de transporte</w:t>
      </w:r>
    </w:p>
    <w:p w14:paraId="3448F001" w14:textId="77777777" w:rsidR="00ED021C" w:rsidRPr="00994ECF" w:rsidRDefault="00ED021C" w:rsidP="00ED021C">
      <w:pPr>
        <w:rPr>
          <w:rFonts w:cs="Arial"/>
          <w:i/>
          <w:iCs/>
          <w:sz w:val="22"/>
          <w:szCs w:val="22"/>
        </w:rPr>
      </w:pPr>
    </w:p>
    <w:p w14:paraId="6D2C1D78" w14:textId="103283B9" w:rsidR="00ED021C" w:rsidRDefault="00ED021C" w:rsidP="00ED021C">
      <w:pPr>
        <w:rPr>
          <w:rFonts w:cs="Arial"/>
          <w:sz w:val="22"/>
          <w:szCs w:val="22"/>
        </w:rPr>
      </w:pPr>
      <w:r w:rsidRPr="00994ECF">
        <w:rPr>
          <w:rFonts w:cs="Arial"/>
          <w:i/>
          <w:iCs/>
          <w:sz w:val="22"/>
          <w:szCs w:val="22"/>
        </w:rPr>
        <w:t xml:space="preserve">La definición en la forma como está </w:t>
      </w:r>
      <w:proofErr w:type="gramStart"/>
      <w:r w:rsidRPr="00994ECF">
        <w:rPr>
          <w:rFonts w:cs="Arial"/>
          <w:i/>
          <w:iCs/>
          <w:sz w:val="22"/>
          <w:szCs w:val="22"/>
        </w:rPr>
        <w:t>prevista,</w:t>
      </w:r>
      <w:proofErr w:type="gramEnd"/>
      <w:r w:rsidRPr="00994ECF">
        <w:rPr>
          <w:rFonts w:cs="Arial"/>
          <w:i/>
          <w:iCs/>
          <w:sz w:val="22"/>
          <w:szCs w:val="22"/>
        </w:rPr>
        <w:t xml:space="preserve"> pareciera derogar la prohibición de la 186, considerando que el productor comercializador puede entregar el gas en cualquier punto del sistema nacional de transporte</w:t>
      </w:r>
      <w:r w:rsidRPr="00ED021C">
        <w:rPr>
          <w:rFonts w:cs="Arial"/>
          <w:sz w:val="22"/>
          <w:szCs w:val="22"/>
        </w:rPr>
        <w:t>."</w:t>
      </w:r>
    </w:p>
    <w:p w14:paraId="7CF40388" w14:textId="38386281" w:rsidR="00994ECF" w:rsidRDefault="00994ECF" w:rsidP="00ED021C">
      <w:pPr>
        <w:rPr>
          <w:rFonts w:cs="Arial"/>
          <w:sz w:val="22"/>
          <w:szCs w:val="22"/>
        </w:rPr>
      </w:pPr>
    </w:p>
    <w:p w14:paraId="6627D07E" w14:textId="564E40DB" w:rsidR="00994ECF" w:rsidRPr="00994ECF" w:rsidRDefault="00994ECF" w:rsidP="00ED021C">
      <w:pPr>
        <w:rPr>
          <w:rFonts w:cs="Arial"/>
          <w:b/>
          <w:bCs/>
          <w:sz w:val="22"/>
          <w:szCs w:val="22"/>
        </w:rPr>
      </w:pPr>
      <w:r w:rsidRPr="00994ECF">
        <w:rPr>
          <w:rFonts w:cs="Arial"/>
          <w:b/>
          <w:bCs/>
          <w:sz w:val="22"/>
          <w:szCs w:val="22"/>
        </w:rPr>
        <w:t>Respuesta:</w:t>
      </w:r>
    </w:p>
    <w:p w14:paraId="131AF750" w14:textId="0C8E852B" w:rsidR="00994ECF" w:rsidRDefault="00994ECF" w:rsidP="00ED021C">
      <w:pPr>
        <w:rPr>
          <w:rFonts w:cs="Arial"/>
          <w:sz w:val="22"/>
          <w:szCs w:val="22"/>
        </w:rPr>
      </w:pPr>
    </w:p>
    <w:p w14:paraId="52977293" w14:textId="6879B30F" w:rsidR="00994ECF" w:rsidRPr="00ED021C" w:rsidRDefault="00994ECF"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_Ref130533620 \r \h </w:instrText>
      </w:r>
      <w:r>
        <w:rPr>
          <w:rFonts w:cs="Arial"/>
          <w:sz w:val="22"/>
          <w:szCs w:val="22"/>
        </w:rPr>
      </w:r>
      <w:r>
        <w:rPr>
          <w:rFonts w:cs="Arial"/>
          <w:sz w:val="22"/>
          <w:szCs w:val="22"/>
        </w:rPr>
        <w:fldChar w:fldCharType="separate"/>
      </w:r>
      <w:r w:rsidR="007651EA">
        <w:rPr>
          <w:rFonts w:cs="Arial"/>
          <w:sz w:val="22"/>
          <w:szCs w:val="22"/>
        </w:rPr>
        <w:t>4.7.1.1</w:t>
      </w:r>
      <w:r>
        <w:rPr>
          <w:rFonts w:cs="Arial"/>
          <w:sz w:val="22"/>
          <w:szCs w:val="22"/>
        </w:rPr>
        <w:fldChar w:fldCharType="end"/>
      </w:r>
      <w:r>
        <w:rPr>
          <w:rFonts w:cs="Arial"/>
          <w:sz w:val="22"/>
          <w:szCs w:val="22"/>
        </w:rPr>
        <w:t>.</w:t>
      </w:r>
    </w:p>
    <w:p w14:paraId="3ED6944C" w14:textId="77777777" w:rsidR="00ED021C" w:rsidRDefault="00ED021C" w:rsidP="00ED021C">
      <w:pPr>
        <w:rPr>
          <w:rFonts w:cs="Arial"/>
          <w:sz w:val="22"/>
          <w:szCs w:val="22"/>
        </w:rPr>
      </w:pPr>
    </w:p>
    <w:p w14:paraId="37798451" w14:textId="77777777" w:rsidR="00ED021C" w:rsidRDefault="00ED021C" w:rsidP="00536D4C">
      <w:pPr>
        <w:pStyle w:val="Ttulo4"/>
      </w:pPr>
      <w:r w:rsidRPr="00ED021C">
        <w:t>GASES DEL CARIBE</w:t>
      </w:r>
      <w:r w:rsidRPr="00ED021C">
        <w:tab/>
      </w:r>
    </w:p>
    <w:p w14:paraId="50736CE5" w14:textId="4903F276" w:rsidR="00ED021C" w:rsidRPr="00994ECF" w:rsidRDefault="00ED021C" w:rsidP="00ED021C">
      <w:pPr>
        <w:rPr>
          <w:rFonts w:cs="Arial"/>
          <w:i/>
          <w:iCs/>
          <w:sz w:val="22"/>
          <w:szCs w:val="22"/>
        </w:rPr>
      </w:pPr>
      <w:r w:rsidRPr="00ED021C">
        <w:rPr>
          <w:rFonts w:cs="Arial"/>
          <w:sz w:val="22"/>
          <w:szCs w:val="22"/>
        </w:rPr>
        <w:t>"</w:t>
      </w:r>
      <w:r w:rsidRPr="00994ECF">
        <w:rPr>
          <w:rFonts w:cs="Arial"/>
          <w:i/>
          <w:iCs/>
          <w:sz w:val="22"/>
          <w:szCs w:val="22"/>
        </w:rPr>
        <w:t xml:space="preserve">No es claro la forma como el regulador espera que </w:t>
      </w:r>
      <w:proofErr w:type="gramStart"/>
      <w:r w:rsidRPr="00994ECF">
        <w:rPr>
          <w:rFonts w:cs="Arial"/>
          <w:i/>
          <w:iCs/>
          <w:sz w:val="22"/>
          <w:szCs w:val="22"/>
        </w:rPr>
        <w:t>funciona</w:t>
      </w:r>
      <w:proofErr w:type="gramEnd"/>
      <w:r w:rsidRPr="00994ECF">
        <w:rPr>
          <w:rFonts w:cs="Arial"/>
          <w:i/>
          <w:iCs/>
          <w:sz w:val="22"/>
          <w:szCs w:val="22"/>
        </w:rPr>
        <w:t xml:space="preserve"> la definición de punto de entrega, en la forma como está propuesta.</w:t>
      </w:r>
    </w:p>
    <w:p w14:paraId="77256108" w14:textId="77777777" w:rsidR="00ED021C" w:rsidRPr="00994ECF" w:rsidRDefault="00ED021C" w:rsidP="00ED021C">
      <w:pPr>
        <w:rPr>
          <w:rFonts w:cs="Arial"/>
          <w:i/>
          <w:iCs/>
          <w:sz w:val="22"/>
          <w:szCs w:val="22"/>
        </w:rPr>
      </w:pPr>
    </w:p>
    <w:p w14:paraId="700879EC" w14:textId="0B4B4F57" w:rsidR="00ED021C" w:rsidRDefault="00ED021C" w:rsidP="00ED021C">
      <w:pPr>
        <w:rPr>
          <w:rFonts w:cs="Arial"/>
          <w:sz w:val="22"/>
          <w:szCs w:val="22"/>
        </w:rPr>
      </w:pPr>
      <w:r w:rsidRPr="00994ECF">
        <w:rPr>
          <w:rFonts w:cs="Arial"/>
          <w:i/>
          <w:iCs/>
          <w:sz w:val="22"/>
          <w:szCs w:val="22"/>
        </w:rPr>
        <w:t xml:space="preserve">En efecto, es evidente que el punto de entrega es un elemento fundamental en la distribución de los riesgos de un contrato de suministro, y en ese sentido, es evidente que debe estar claramente establecido dentro del acuerdo que suscriba en las partes; sin embargo, no es claro a qué se refiere el regulador cuando señala que el punto de entrega “determinan los precios de venta del gas natural”; si el regulador lo que quiere decir es que el precio del gas involucra todas las actividades que tiene que hacer el productor hasta el punto de entrega, debería aclararlo de esa manera. Si lo que se busca </w:t>
      </w:r>
      <w:proofErr w:type="gramStart"/>
      <w:r w:rsidRPr="00994ECF">
        <w:rPr>
          <w:rFonts w:cs="Arial"/>
          <w:i/>
          <w:iCs/>
          <w:sz w:val="22"/>
          <w:szCs w:val="22"/>
        </w:rPr>
        <w:t>es</w:t>
      </w:r>
      <w:proofErr w:type="gramEnd"/>
      <w:r w:rsidRPr="00994ECF">
        <w:rPr>
          <w:rFonts w:cs="Arial"/>
          <w:i/>
          <w:iCs/>
          <w:sz w:val="22"/>
          <w:szCs w:val="22"/>
        </w:rPr>
        <w:t xml:space="preserve"> por el contrario, hacer una conexión con los puntos de referencia, es necesario que se aclare la forma como los puntos de referencia funcionan respecto de los puntos de entrega, como se expondrá más adelante en esa definición</w:t>
      </w:r>
      <w:r w:rsidRPr="00ED021C">
        <w:rPr>
          <w:rFonts w:cs="Arial"/>
          <w:sz w:val="22"/>
          <w:szCs w:val="22"/>
        </w:rPr>
        <w:t>"</w:t>
      </w:r>
      <w:r w:rsidR="00994ECF">
        <w:rPr>
          <w:rFonts w:cs="Arial"/>
          <w:sz w:val="22"/>
          <w:szCs w:val="22"/>
        </w:rPr>
        <w:t>.</w:t>
      </w:r>
    </w:p>
    <w:p w14:paraId="632F6F55" w14:textId="2DCEE898" w:rsidR="00994ECF" w:rsidRDefault="00994ECF" w:rsidP="00ED021C">
      <w:pPr>
        <w:rPr>
          <w:rFonts w:cs="Arial"/>
          <w:sz w:val="22"/>
          <w:szCs w:val="22"/>
        </w:rPr>
      </w:pPr>
    </w:p>
    <w:p w14:paraId="75BDEB74" w14:textId="4E6C5248" w:rsidR="00994ECF" w:rsidRDefault="00994ECF" w:rsidP="00ED021C">
      <w:pPr>
        <w:rPr>
          <w:rFonts w:cs="Arial"/>
          <w:sz w:val="22"/>
          <w:szCs w:val="22"/>
        </w:rPr>
      </w:pPr>
      <w:r>
        <w:rPr>
          <w:rFonts w:cs="Arial"/>
          <w:sz w:val="22"/>
          <w:szCs w:val="22"/>
        </w:rPr>
        <w:t>Respuesta:</w:t>
      </w:r>
    </w:p>
    <w:p w14:paraId="2C9D6CF3" w14:textId="2E69631F" w:rsidR="00994ECF" w:rsidRDefault="00994ECF" w:rsidP="00ED021C">
      <w:pPr>
        <w:rPr>
          <w:rFonts w:cs="Arial"/>
          <w:sz w:val="22"/>
          <w:szCs w:val="22"/>
        </w:rPr>
      </w:pPr>
    </w:p>
    <w:p w14:paraId="1C0C629F" w14:textId="1CC4B420" w:rsidR="00994ECF" w:rsidRDefault="00994ECF"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_Ref130533678 \r \h </w:instrText>
      </w:r>
      <w:r>
        <w:rPr>
          <w:rFonts w:cs="Arial"/>
          <w:sz w:val="22"/>
          <w:szCs w:val="22"/>
        </w:rPr>
      </w:r>
      <w:r>
        <w:rPr>
          <w:rFonts w:cs="Arial"/>
          <w:sz w:val="22"/>
          <w:szCs w:val="22"/>
        </w:rPr>
        <w:fldChar w:fldCharType="separate"/>
      </w:r>
      <w:r w:rsidR="007651EA">
        <w:rPr>
          <w:rFonts w:cs="Arial"/>
          <w:sz w:val="22"/>
          <w:szCs w:val="22"/>
        </w:rPr>
        <w:t>4.7.1.2</w:t>
      </w:r>
      <w:r>
        <w:rPr>
          <w:rFonts w:cs="Arial"/>
          <w:sz w:val="22"/>
          <w:szCs w:val="22"/>
        </w:rPr>
        <w:fldChar w:fldCharType="end"/>
      </w:r>
      <w:r>
        <w:rPr>
          <w:rFonts w:cs="Arial"/>
          <w:sz w:val="22"/>
          <w:szCs w:val="22"/>
        </w:rPr>
        <w:t>.</w:t>
      </w:r>
    </w:p>
    <w:p w14:paraId="2EB0EDB8" w14:textId="77777777" w:rsidR="00994ECF" w:rsidRPr="00ED021C" w:rsidRDefault="00994ECF" w:rsidP="00ED021C">
      <w:pPr>
        <w:rPr>
          <w:rFonts w:cs="Arial"/>
          <w:sz w:val="22"/>
          <w:szCs w:val="22"/>
        </w:rPr>
      </w:pPr>
    </w:p>
    <w:p w14:paraId="22FAB5D9" w14:textId="77777777" w:rsidR="00536D4C" w:rsidRDefault="00536D4C" w:rsidP="00ED021C">
      <w:pPr>
        <w:rPr>
          <w:rFonts w:cs="Arial"/>
          <w:sz w:val="22"/>
          <w:szCs w:val="22"/>
        </w:rPr>
      </w:pPr>
    </w:p>
    <w:p w14:paraId="4E0C524E" w14:textId="77777777" w:rsidR="00536D4C" w:rsidRDefault="00ED021C" w:rsidP="00536D4C">
      <w:pPr>
        <w:pStyle w:val="Ttulo4"/>
      </w:pPr>
      <w:r w:rsidRPr="00ED021C">
        <w:t>GASES DEL CARIBE</w:t>
      </w:r>
      <w:r w:rsidRPr="00ED021C">
        <w:tab/>
      </w:r>
    </w:p>
    <w:p w14:paraId="103A430E" w14:textId="071F1243" w:rsidR="00ED021C" w:rsidRPr="00994ECF" w:rsidRDefault="00ED021C" w:rsidP="00ED021C">
      <w:pPr>
        <w:rPr>
          <w:rFonts w:cs="Arial"/>
          <w:i/>
          <w:iCs/>
          <w:sz w:val="22"/>
          <w:szCs w:val="22"/>
        </w:rPr>
      </w:pPr>
      <w:r w:rsidRPr="00ED021C">
        <w:rPr>
          <w:rFonts w:cs="Arial"/>
          <w:sz w:val="22"/>
          <w:szCs w:val="22"/>
        </w:rPr>
        <w:t>"</w:t>
      </w:r>
      <w:r w:rsidRPr="00994ECF">
        <w:rPr>
          <w:rFonts w:cs="Arial"/>
          <w:i/>
          <w:iCs/>
          <w:sz w:val="22"/>
          <w:szCs w:val="22"/>
        </w:rPr>
        <w:t xml:space="preserve">En consideración a que la propuesta del regulador resulta </w:t>
      </w:r>
      <w:proofErr w:type="gramStart"/>
      <w:r w:rsidRPr="00994ECF">
        <w:rPr>
          <w:rFonts w:cs="Arial"/>
          <w:i/>
          <w:iCs/>
          <w:sz w:val="22"/>
          <w:szCs w:val="22"/>
        </w:rPr>
        <w:t>crítico</w:t>
      </w:r>
      <w:proofErr w:type="gramEnd"/>
      <w:r w:rsidRPr="00994ECF">
        <w:rPr>
          <w:rFonts w:cs="Arial"/>
          <w:i/>
          <w:iCs/>
          <w:sz w:val="22"/>
          <w:szCs w:val="22"/>
        </w:rPr>
        <w:t xml:space="preserve"> la definición de punto de referencia, es necesario que ésta sea regulada de manera más específica, de manera que el gestor de mercado, tengan los parámetros claros que le permitan acertar en la ejecución de su función. De manera particular, debe determinarse como es que en un punto de referencia se pueden agrupar diferentes oferentes, o si el punto de referencia puede involucrar una sola fuente. </w:t>
      </w:r>
    </w:p>
    <w:p w14:paraId="262B2E5A" w14:textId="77777777" w:rsidR="00ED021C" w:rsidRPr="00994ECF" w:rsidRDefault="00ED021C" w:rsidP="00ED021C">
      <w:pPr>
        <w:rPr>
          <w:rFonts w:cs="Arial"/>
          <w:i/>
          <w:iCs/>
          <w:sz w:val="22"/>
          <w:szCs w:val="22"/>
        </w:rPr>
      </w:pPr>
    </w:p>
    <w:p w14:paraId="619E0A5C" w14:textId="17A3DB26" w:rsidR="00ED021C" w:rsidRDefault="00ED021C" w:rsidP="00ED021C">
      <w:pPr>
        <w:rPr>
          <w:rFonts w:cs="Arial"/>
          <w:sz w:val="22"/>
          <w:szCs w:val="22"/>
        </w:rPr>
      </w:pPr>
      <w:r w:rsidRPr="00994ECF">
        <w:rPr>
          <w:rFonts w:cs="Arial"/>
          <w:i/>
          <w:iCs/>
          <w:sz w:val="22"/>
          <w:szCs w:val="22"/>
        </w:rPr>
        <w:t>En el evento que sólo involucre una sola fuente, se requiere que el regulador ajuste las señales respecto de las opciones que tienen los compradores, que el a un solo punto</w:t>
      </w:r>
      <w:r w:rsidRPr="00ED021C">
        <w:rPr>
          <w:rFonts w:cs="Arial"/>
          <w:sz w:val="22"/>
          <w:szCs w:val="22"/>
        </w:rPr>
        <w:t>."</w:t>
      </w:r>
    </w:p>
    <w:p w14:paraId="041B0D3C" w14:textId="1CD774C4" w:rsidR="00994ECF" w:rsidRDefault="00994ECF" w:rsidP="00ED021C">
      <w:pPr>
        <w:rPr>
          <w:rFonts w:cs="Arial"/>
          <w:sz w:val="22"/>
          <w:szCs w:val="22"/>
        </w:rPr>
      </w:pPr>
    </w:p>
    <w:p w14:paraId="10A73F00" w14:textId="70814706" w:rsidR="00994ECF" w:rsidRDefault="00994ECF" w:rsidP="00ED021C">
      <w:pPr>
        <w:rPr>
          <w:rFonts w:cs="Arial"/>
          <w:sz w:val="22"/>
          <w:szCs w:val="22"/>
        </w:rPr>
      </w:pPr>
      <w:r>
        <w:rPr>
          <w:rFonts w:cs="Arial"/>
          <w:sz w:val="22"/>
          <w:szCs w:val="22"/>
        </w:rPr>
        <w:t>Respuesta:</w:t>
      </w:r>
    </w:p>
    <w:p w14:paraId="2A8E9895" w14:textId="3B805915" w:rsidR="00994ECF" w:rsidRDefault="00994ECF" w:rsidP="00ED021C">
      <w:pPr>
        <w:rPr>
          <w:rFonts w:cs="Arial"/>
          <w:sz w:val="22"/>
          <w:szCs w:val="22"/>
        </w:rPr>
      </w:pPr>
    </w:p>
    <w:p w14:paraId="45E64302" w14:textId="24B22D16" w:rsidR="00994ECF" w:rsidRDefault="00994ECF"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_Ref130533713 \r \h </w:instrText>
      </w:r>
      <w:r>
        <w:rPr>
          <w:rFonts w:cs="Arial"/>
          <w:sz w:val="22"/>
          <w:szCs w:val="22"/>
        </w:rPr>
      </w:r>
      <w:r>
        <w:rPr>
          <w:rFonts w:cs="Arial"/>
          <w:sz w:val="22"/>
          <w:szCs w:val="22"/>
        </w:rPr>
        <w:fldChar w:fldCharType="separate"/>
      </w:r>
      <w:r w:rsidR="007651EA">
        <w:rPr>
          <w:rFonts w:cs="Arial"/>
          <w:sz w:val="22"/>
          <w:szCs w:val="22"/>
        </w:rPr>
        <w:t>4.7.1.3</w:t>
      </w:r>
      <w:r>
        <w:rPr>
          <w:rFonts w:cs="Arial"/>
          <w:sz w:val="22"/>
          <w:szCs w:val="22"/>
        </w:rPr>
        <w:fldChar w:fldCharType="end"/>
      </w:r>
      <w:r>
        <w:rPr>
          <w:rFonts w:cs="Arial"/>
          <w:sz w:val="22"/>
          <w:szCs w:val="22"/>
        </w:rPr>
        <w:t>.</w:t>
      </w:r>
    </w:p>
    <w:p w14:paraId="79EAD9EE" w14:textId="77777777" w:rsidR="00994ECF" w:rsidRPr="00ED021C" w:rsidRDefault="00994ECF" w:rsidP="00ED021C">
      <w:pPr>
        <w:rPr>
          <w:rFonts w:cs="Arial"/>
          <w:sz w:val="22"/>
          <w:szCs w:val="22"/>
        </w:rPr>
      </w:pPr>
    </w:p>
    <w:p w14:paraId="668D724A" w14:textId="77777777" w:rsidR="00ED021C" w:rsidRDefault="00ED021C" w:rsidP="00ED021C">
      <w:pPr>
        <w:rPr>
          <w:rFonts w:cs="Arial"/>
          <w:sz w:val="22"/>
          <w:szCs w:val="22"/>
        </w:rPr>
      </w:pPr>
    </w:p>
    <w:p w14:paraId="06677B2F" w14:textId="77777777" w:rsidR="00ED021C" w:rsidRDefault="00ED021C" w:rsidP="00536D4C">
      <w:pPr>
        <w:pStyle w:val="Ttulo4"/>
      </w:pPr>
      <w:r w:rsidRPr="00ED021C">
        <w:t>GASES DEL CARIBE</w:t>
      </w:r>
      <w:r w:rsidRPr="00ED021C">
        <w:tab/>
      </w:r>
    </w:p>
    <w:p w14:paraId="07005932" w14:textId="5B6680C9" w:rsidR="00ED021C" w:rsidRPr="00ED021C" w:rsidRDefault="00ED021C" w:rsidP="00ED021C">
      <w:pPr>
        <w:rPr>
          <w:rFonts w:cs="Arial"/>
          <w:sz w:val="22"/>
          <w:szCs w:val="22"/>
        </w:rPr>
      </w:pPr>
      <w:r w:rsidRPr="00994ECF">
        <w:rPr>
          <w:rFonts w:cs="Arial"/>
          <w:i/>
          <w:iCs/>
          <w:sz w:val="22"/>
          <w:szCs w:val="22"/>
        </w:rPr>
        <w:t xml:space="preserve">La propuesta del </w:t>
      </w:r>
      <w:proofErr w:type="gramStart"/>
      <w:r w:rsidRPr="00994ECF">
        <w:rPr>
          <w:rFonts w:cs="Arial"/>
          <w:i/>
          <w:iCs/>
          <w:sz w:val="22"/>
          <w:szCs w:val="22"/>
        </w:rPr>
        <w:t>regulador,</w:t>
      </w:r>
      <w:proofErr w:type="gramEnd"/>
      <w:r w:rsidRPr="00994ECF">
        <w:rPr>
          <w:rFonts w:cs="Arial"/>
          <w:i/>
          <w:iCs/>
          <w:sz w:val="22"/>
          <w:szCs w:val="22"/>
        </w:rPr>
        <w:t xml:space="preserve"> determina un cambio importante en la forma como se viene aplicando, que puede tener repercusiones importante en los contratos tanto de suministro de gas como de transporte. El obligado a realizar la nominación, y por lo mismo, el responsable de asuntos como las variaciones y los desbalances. Esta modificación debe evaluarse considerando la responsabilidad contractual del comprador y del remitente primario</w:t>
      </w:r>
      <w:r w:rsidRPr="00ED021C">
        <w:rPr>
          <w:rFonts w:cs="Arial"/>
          <w:sz w:val="22"/>
          <w:szCs w:val="22"/>
        </w:rPr>
        <w:t xml:space="preserve">. </w:t>
      </w:r>
    </w:p>
    <w:p w14:paraId="13F7B039" w14:textId="41B76AAF" w:rsidR="00ED021C" w:rsidRDefault="00ED021C" w:rsidP="00ED021C">
      <w:pPr>
        <w:rPr>
          <w:rFonts w:cs="Arial"/>
          <w:sz w:val="22"/>
          <w:szCs w:val="22"/>
        </w:rPr>
      </w:pPr>
    </w:p>
    <w:p w14:paraId="348492B8" w14:textId="34F03A40" w:rsidR="00994ECF" w:rsidRPr="00994ECF" w:rsidRDefault="00994ECF" w:rsidP="00ED021C">
      <w:pPr>
        <w:rPr>
          <w:rFonts w:cs="Arial"/>
          <w:b/>
          <w:bCs/>
          <w:sz w:val="22"/>
          <w:szCs w:val="22"/>
        </w:rPr>
      </w:pPr>
      <w:r w:rsidRPr="00994ECF">
        <w:rPr>
          <w:rFonts w:cs="Arial"/>
          <w:b/>
          <w:bCs/>
          <w:sz w:val="22"/>
          <w:szCs w:val="22"/>
        </w:rPr>
        <w:t>Respuesta:</w:t>
      </w:r>
    </w:p>
    <w:p w14:paraId="7EF77C7E" w14:textId="776FE668" w:rsidR="00994ECF" w:rsidRDefault="00994ECF" w:rsidP="00ED021C">
      <w:pPr>
        <w:rPr>
          <w:rFonts w:cs="Arial"/>
          <w:sz w:val="22"/>
          <w:szCs w:val="22"/>
        </w:rPr>
      </w:pPr>
    </w:p>
    <w:p w14:paraId="736892BE" w14:textId="3EA47CBB" w:rsidR="00ED021C" w:rsidRDefault="00994ECF"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24A59FB4" w14:textId="77777777" w:rsidR="002F5D98" w:rsidRDefault="002F5D98" w:rsidP="00ED021C">
      <w:pPr>
        <w:rPr>
          <w:rFonts w:cs="Arial"/>
          <w:sz w:val="22"/>
          <w:szCs w:val="22"/>
        </w:rPr>
      </w:pPr>
    </w:p>
    <w:p w14:paraId="5FEFDA97" w14:textId="77777777" w:rsidR="00ED021C" w:rsidRDefault="00ED021C" w:rsidP="00536D4C">
      <w:pPr>
        <w:pStyle w:val="Ttulo2"/>
      </w:pPr>
      <w:bookmarkStart w:id="554" w:name="_Toc140506270"/>
      <w:r w:rsidRPr="00ED021C">
        <w:t>GECELCA</w:t>
      </w:r>
      <w:bookmarkEnd w:id="554"/>
      <w:r w:rsidRPr="00ED021C">
        <w:tab/>
      </w:r>
    </w:p>
    <w:p w14:paraId="6A41C273" w14:textId="77777777" w:rsidR="00536D4C" w:rsidRDefault="00536D4C" w:rsidP="00536D4C">
      <w:pPr>
        <w:pStyle w:val="Ttulo4"/>
      </w:pPr>
      <w:r w:rsidRPr="00ED021C">
        <w:t>GECELCA</w:t>
      </w:r>
      <w:r w:rsidRPr="00ED021C">
        <w:tab/>
      </w:r>
    </w:p>
    <w:p w14:paraId="336A8A9D" w14:textId="40618E15" w:rsidR="00ED021C" w:rsidRPr="00994ECF" w:rsidRDefault="002F5D98" w:rsidP="00ED021C">
      <w:pPr>
        <w:rPr>
          <w:rFonts w:cs="Arial"/>
          <w:i/>
          <w:iCs/>
          <w:sz w:val="22"/>
          <w:szCs w:val="22"/>
        </w:rPr>
      </w:pPr>
      <w:r>
        <w:rPr>
          <w:rFonts w:cs="Arial"/>
          <w:i/>
          <w:iCs/>
          <w:sz w:val="22"/>
          <w:szCs w:val="22"/>
        </w:rPr>
        <w:t>“</w:t>
      </w:r>
      <w:r w:rsidR="00ED021C" w:rsidRPr="00994ECF">
        <w:rPr>
          <w:rFonts w:cs="Arial"/>
          <w:i/>
          <w:iCs/>
          <w:sz w:val="22"/>
          <w:szCs w:val="22"/>
        </w:rPr>
        <w:t xml:space="preserve">Con la redacción indicada en el artículo 25 y en la definición de </w:t>
      </w:r>
      <w:r>
        <w:rPr>
          <w:rFonts w:cs="Arial"/>
          <w:i/>
          <w:iCs/>
          <w:sz w:val="22"/>
          <w:szCs w:val="22"/>
        </w:rPr>
        <w:t>‘</w:t>
      </w:r>
      <w:r w:rsidR="00ED021C" w:rsidRPr="00994ECF">
        <w:rPr>
          <w:rFonts w:cs="Arial"/>
          <w:i/>
          <w:iCs/>
          <w:sz w:val="22"/>
          <w:szCs w:val="22"/>
        </w:rPr>
        <w:t>Mercado secundario</w:t>
      </w:r>
      <w:r>
        <w:rPr>
          <w:rFonts w:cs="Arial"/>
          <w:i/>
          <w:iCs/>
          <w:sz w:val="22"/>
          <w:szCs w:val="22"/>
        </w:rPr>
        <w:t>’</w:t>
      </w:r>
      <w:r w:rsidR="00ED021C" w:rsidRPr="00994ECF">
        <w:rPr>
          <w:rFonts w:cs="Arial"/>
          <w:i/>
          <w:iCs/>
          <w:sz w:val="22"/>
          <w:szCs w:val="22"/>
        </w:rPr>
        <w:t xml:space="preserve"> se entendería que solo es posible vender cantidades de gas en el mercado secundario si éstas fueron adquiridas en el mercado primario, con lo que se estarían restringiendo las transacciones en el mercado secundario</w:t>
      </w:r>
      <w:r w:rsidR="00994ECF" w:rsidRPr="00994ECF">
        <w:rPr>
          <w:rFonts w:cs="Arial"/>
          <w:i/>
          <w:iCs/>
          <w:sz w:val="22"/>
          <w:szCs w:val="22"/>
        </w:rPr>
        <w:t>.</w:t>
      </w:r>
      <w:r w:rsidR="00E20077">
        <w:rPr>
          <w:rFonts w:cs="Arial"/>
          <w:i/>
          <w:iCs/>
          <w:sz w:val="22"/>
          <w:szCs w:val="22"/>
        </w:rPr>
        <w:t>”</w:t>
      </w:r>
    </w:p>
    <w:p w14:paraId="7AB7EAC3" w14:textId="7CB63F03" w:rsidR="00994ECF" w:rsidRDefault="00994ECF" w:rsidP="00ED021C">
      <w:pPr>
        <w:rPr>
          <w:rFonts w:cs="Arial"/>
          <w:sz w:val="22"/>
          <w:szCs w:val="22"/>
        </w:rPr>
      </w:pPr>
    </w:p>
    <w:p w14:paraId="769C3FD0" w14:textId="54EEB74B" w:rsidR="00994ECF" w:rsidRPr="00994ECF" w:rsidRDefault="00994ECF" w:rsidP="00ED021C">
      <w:pPr>
        <w:rPr>
          <w:rFonts w:cs="Arial"/>
          <w:b/>
          <w:bCs/>
          <w:sz w:val="22"/>
          <w:szCs w:val="22"/>
        </w:rPr>
      </w:pPr>
      <w:r w:rsidRPr="00994ECF">
        <w:rPr>
          <w:rFonts w:cs="Arial"/>
          <w:b/>
          <w:bCs/>
          <w:sz w:val="22"/>
          <w:szCs w:val="22"/>
        </w:rPr>
        <w:t>Respuesta:</w:t>
      </w:r>
    </w:p>
    <w:p w14:paraId="64FA9EF9" w14:textId="389B28FB" w:rsidR="00994ECF" w:rsidRDefault="00994ECF" w:rsidP="00ED021C">
      <w:pPr>
        <w:rPr>
          <w:rFonts w:cs="Arial"/>
          <w:sz w:val="22"/>
          <w:szCs w:val="22"/>
        </w:rPr>
      </w:pPr>
    </w:p>
    <w:p w14:paraId="337FFFFF" w14:textId="7A33D5A8" w:rsidR="00994ECF" w:rsidRDefault="00994ECF" w:rsidP="00ED021C">
      <w:pPr>
        <w:rPr>
          <w:rFonts w:cs="Arial"/>
          <w:sz w:val="22"/>
          <w:szCs w:val="22"/>
        </w:rPr>
      </w:pPr>
      <w:r>
        <w:rPr>
          <w:rFonts w:cs="Arial"/>
          <w:sz w:val="22"/>
          <w:szCs w:val="22"/>
        </w:rPr>
        <w:t>Se acoge el comentario.</w:t>
      </w:r>
    </w:p>
    <w:p w14:paraId="16EE0116" w14:textId="49EAD76F" w:rsidR="00994ECF" w:rsidRDefault="00994ECF" w:rsidP="00ED021C">
      <w:pPr>
        <w:rPr>
          <w:rFonts w:cs="Arial"/>
          <w:sz w:val="22"/>
          <w:szCs w:val="22"/>
        </w:rPr>
      </w:pPr>
    </w:p>
    <w:p w14:paraId="51579DFB" w14:textId="5FA536FE" w:rsidR="00994ECF" w:rsidRDefault="00994ECF" w:rsidP="00ED021C">
      <w:pPr>
        <w:rPr>
          <w:rFonts w:cs="Arial"/>
          <w:sz w:val="22"/>
          <w:szCs w:val="22"/>
        </w:rPr>
      </w:pPr>
      <w:r>
        <w:rPr>
          <w:rFonts w:cs="Arial"/>
          <w:sz w:val="22"/>
          <w:szCs w:val="22"/>
        </w:rPr>
        <w:t>En la nueva propuesta se incluyen ajustes a la definición de Mercado Secundario</w:t>
      </w:r>
      <w:r w:rsidR="00C249C8">
        <w:rPr>
          <w:rFonts w:cs="Arial"/>
          <w:sz w:val="22"/>
          <w:szCs w:val="22"/>
        </w:rPr>
        <w:t xml:space="preserve">, de modo que quede claro que la venta en dicho Mercado puede ser originada por derechos de suministro de volúmenes adquiridos </w:t>
      </w:r>
      <w:r w:rsidR="00C249C8" w:rsidRPr="00C249C8">
        <w:rPr>
          <w:rFonts w:cs="Arial"/>
          <w:sz w:val="22"/>
          <w:szCs w:val="22"/>
        </w:rPr>
        <w:t>bien sea en el Mercado Primario o en el Mercado Secundario</w:t>
      </w:r>
      <w:r>
        <w:rPr>
          <w:rFonts w:cs="Arial"/>
          <w:sz w:val="22"/>
          <w:szCs w:val="22"/>
        </w:rPr>
        <w:t>.</w:t>
      </w:r>
    </w:p>
    <w:p w14:paraId="2024A358" w14:textId="77777777" w:rsidR="00994ECF" w:rsidRPr="00ED021C" w:rsidRDefault="00994ECF" w:rsidP="00ED021C">
      <w:pPr>
        <w:rPr>
          <w:rFonts w:cs="Arial"/>
          <w:sz w:val="22"/>
          <w:szCs w:val="22"/>
        </w:rPr>
      </w:pPr>
    </w:p>
    <w:p w14:paraId="4D19A468" w14:textId="5B0CBAF7" w:rsidR="00ED021C" w:rsidRDefault="00ED021C" w:rsidP="00ED021C">
      <w:pPr>
        <w:rPr>
          <w:rFonts w:cs="Arial"/>
          <w:sz w:val="22"/>
          <w:szCs w:val="22"/>
        </w:rPr>
      </w:pPr>
    </w:p>
    <w:p w14:paraId="01454FA2" w14:textId="77777777" w:rsidR="00ED021C" w:rsidRDefault="00ED021C" w:rsidP="00536D4C">
      <w:pPr>
        <w:pStyle w:val="Ttulo2"/>
      </w:pPr>
      <w:bookmarkStart w:id="555" w:name="_Toc140506271"/>
      <w:r w:rsidRPr="00ED021C">
        <w:t>GIGAS ENERGY</w:t>
      </w:r>
      <w:bookmarkEnd w:id="555"/>
      <w:r w:rsidRPr="00ED021C">
        <w:tab/>
      </w:r>
    </w:p>
    <w:p w14:paraId="14071264" w14:textId="77777777" w:rsidR="00536D4C" w:rsidRDefault="00536D4C" w:rsidP="00536D4C">
      <w:pPr>
        <w:pStyle w:val="Ttulo4"/>
      </w:pPr>
      <w:bookmarkStart w:id="556" w:name="_Ref130534686"/>
      <w:r w:rsidRPr="00ED021C">
        <w:t>GIGAS ENERGY</w:t>
      </w:r>
      <w:bookmarkEnd w:id="556"/>
      <w:r w:rsidRPr="00ED021C">
        <w:tab/>
      </w:r>
    </w:p>
    <w:p w14:paraId="19546C66" w14:textId="24C37ED6" w:rsidR="00ED021C" w:rsidRPr="00C249C8" w:rsidRDefault="00E20077" w:rsidP="00ED021C">
      <w:pPr>
        <w:rPr>
          <w:rFonts w:cs="Arial"/>
          <w:i/>
          <w:iCs/>
          <w:sz w:val="22"/>
          <w:szCs w:val="22"/>
        </w:rPr>
      </w:pPr>
      <w:r>
        <w:rPr>
          <w:rFonts w:cs="Arial"/>
          <w:i/>
          <w:iCs/>
          <w:sz w:val="22"/>
          <w:szCs w:val="22"/>
        </w:rPr>
        <w:t>“</w:t>
      </w:r>
      <w:r w:rsidR="00ED021C" w:rsidRPr="00C249C8">
        <w:rPr>
          <w:rFonts w:cs="Arial"/>
          <w:i/>
          <w:iCs/>
          <w:sz w:val="22"/>
          <w:szCs w:val="22"/>
        </w:rPr>
        <w:t xml:space="preserve">En el </w:t>
      </w:r>
      <w:proofErr w:type="spellStart"/>
      <w:r w:rsidR="00ED021C" w:rsidRPr="00C249C8">
        <w:rPr>
          <w:rFonts w:cs="Arial"/>
          <w:i/>
          <w:iCs/>
          <w:sz w:val="22"/>
          <w:szCs w:val="22"/>
        </w:rPr>
        <w:t>titulo</w:t>
      </w:r>
      <w:proofErr w:type="spellEnd"/>
      <w:r w:rsidR="00ED021C" w:rsidRPr="00C249C8">
        <w:rPr>
          <w:rFonts w:cs="Arial"/>
          <w:i/>
          <w:iCs/>
          <w:sz w:val="22"/>
          <w:szCs w:val="22"/>
        </w:rPr>
        <w:t xml:space="preserve"> I, artículo 3 de la Res. 226/21 se define </w:t>
      </w:r>
      <w:r>
        <w:rPr>
          <w:rFonts w:cs="Arial"/>
          <w:i/>
          <w:iCs/>
          <w:sz w:val="22"/>
          <w:szCs w:val="22"/>
        </w:rPr>
        <w:t>‘</w:t>
      </w:r>
      <w:r w:rsidR="00ED021C" w:rsidRPr="00C249C8">
        <w:rPr>
          <w:rFonts w:cs="Arial"/>
          <w:i/>
          <w:iCs/>
          <w:sz w:val="22"/>
          <w:szCs w:val="22"/>
        </w:rPr>
        <w:t>Comercialización Minorista</w:t>
      </w:r>
      <w:r>
        <w:rPr>
          <w:rFonts w:cs="Arial"/>
          <w:i/>
          <w:iCs/>
          <w:sz w:val="22"/>
          <w:szCs w:val="22"/>
        </w:rPr>
        <w:t>’</w:t>
      </w:r>
      <w:r w:rsidR="00ED021C" w:rsidRPr="00C249C8">
        <w:rPr>
          <w:rFonts w:cs="Arial"/>
          <w:i/>
          <w:iCs/>
          <w:sz w:val="22"/>
          <w:szCs w:val="22"/>
        </w:rPr>
        <w:t xml:space="preserve">. Sin embargo, se observa que la definición solo incluye </w:t>
      </w:r>
      <w:r>
        <w:rPr>
          <w:rFonts w:cs="Arial"/>
          <w:i/>
          <w:iCs/>
          <w:sz w:val="22"/>
          <w:szCs w:val="22"/>
        </w:rPr>
        <w:t>‘</w:t>
      </w:r>
      <w:r w:rsidR="00ED021C" w:rsidRPr="00C249C8">
        <w:rPr>
          <w:rFonts w:cs="Arial"/>
          <w:i/>
          <w:iCs/>
          <w:sz w:val="22"/>
          <w:szCs w:val="22"/>
        </w:rPr>
        <w:t xml:space="preserve">las redes de </w:t>
      </w:r>
      <w:proofErr w:type="spellStart"/>
      <w:r w:rsidR="00ED021C" w:rsidRPr="00C249C8">
        <w:rPr>
          <w:rFonts w:cs="Arial"/>
          <w:i/>
          <w:iCs/>
          <w:sz w:val="22"/>
          <w:szCs w:val="22"/>
        </w:rPr>
        <w:t>tuberia</w:t>
      </w:r>
      <w:proofErr w:type="spellEnd"/>
      <w:r>
        <w:rPr>
          <w:rFonts w:cs="Arial"/>
          <w:i/>
          <w:iCs/>
          <w:sz w:val="22"/>
          <w:szCs w:val="22"/>
        </w:rPr>
        <w:t>’</w:t>
      </w:r>
      <w:r w:rsidR="00ED021C" w:rsidRPr="00C249C8">
        <w:rPr>
          <w:rFonts w:cs="Arial"/>
          <w:i/>
          <w:iCs/>
          <w:sz w:val="22"/>
          <w:szCs w:val="22"/>
        </w:rPr>
        <w:t xml:space="preserve"> como medio para la intermediación comercial, dejando por fuera otros mecanismos de transporte y </w:t>
      </w:r>
      <w:r w:rsidR="00DC4DEC" w:rsidRPr="00C249C8">
        <w:rPr>
          <w:rFonts w:cs="Arial"/>
          <w:i/>
          <w:iCs/>
          <w:sz w:val="22"/>
          <w:szCs w:val="22"/>
        </w:rPr>
        <w:t>distribución</w:t>
      </w:r>
      <w:r w:rsidR="00ED021C" w:rsidRPr="00C249C8">
        <w:rPr>
          <w:rFonts w:cs="Arial"/>
          <w:i/>
          <w:iCs/>
          <w:sz w:val="22"/>
          <w:szCs w:val="22"/>
        </w:rPr>
        <w:t xml:space="preserve"> como son los gasoductos virtuales. Lo anterior implicaría una </w:t>
      </w:r>
      <w:r w:rsidR="00DC4DEC" w:rsidRPr="00C249C8">
        <w:rPr>
          <w:rFonts w:cs="Arial"/>
          <w:i/>
          <w:iCs/>
          <w:sz w:val="22"/>
          <w:szCs w:val="22"/>
        </w:rPr>
        <w:t>exclusión</w:t>
      </w:r>
      <w:r w:rsidR="00ED021C" w:rsidRPr="00C249C8">
        <w:rPr>
          <w:rFonts w:cs="Arial"/>
          <w:i/>
          <w:iCs/>
          <w:sz w:val="22"/>
          <w:szCs w:val="22"/>
        </w:rPr>
        <w:t xml:space="preserve"> de los comercializadores puros o comercializadores no distribuidores del mercado.</w:t>
      </w:r>
      <w:r w:rsidR="00DC4DEC">
        <w:rPr>
          <w:rFonts w:cs="Arial"/>
          <w:i/>
          <w:iCs/>
          <w:sz w:val="22"/>
          <w:szCs w:val="22"/>
        </w:rPr>
        <w:t>”</w:t>
      </w:r>
    </w:p>
    <w:p w14:paraId="2B0B0F5C" w14:textId="23E6AF66" w:rsidR="00ED021C" w:rsidRDefault="00ED021C" w:rsidP="00ED021C">
      <w:pPr>
        <w:rPr>
          <w:rFonts w:cs="Arial"/>
          <w:sz w:val="22"/>
          <w:szCs w:val="22"/>
        </w:rPr>
      </w:pPr>
    </w:p>
    <w:p w14:paraId="63E395E6" w14:textId="7C93A4F9" w:rsidR="00C249C8" w:rsidRPr="00C249C8" w:rsidRDefault="00C249C8" w:rsidP="00ED021C">
      <w:pPr>
        <w:rPr>
          <w:rFonts w:cs="Arial"/>
          <w:b/>
          <w:bCs/>
          <w:sz w:val="22"/>
          <w:szCs w:val="22"/>
        </w:rPr>
      </w:pPr>
      <w:r w:rsidRPr="00C249C8">
        <w:rPr>
          <w:rFonts w:cs="Arial"/>
          <w:b/>
          <w:bCs/>
          <w:sz w:val="22"/>
          <w:szCs w:val="22"/>
        </w:rPr>
        <w:t>Respuesta:</w:t>
      </w:r>
    </w:p>
    <w:p w14:paraId="472CD7B2" w14:textId="51F75B9A" w:rsidR="00C249C8" w:rsidRDefault="00C249C8" w:rsidP="00ED021C">
      <w:pPr>
        <w:rPr>
          <w:rFonts w:cs="Arial"/>
          <w:sz w:val="22"/>
          <w:szCs w:val="22"/>
        </w:rPr>
      </w:pPr>
    </w:p>
    <w:p w14:paraId="1982113E" w14:textId="4F50074A" w:rsidR="00C249C8" w:rsidRDefault="00C249C8" w:rsidP="00ED021C">
      <w:pPr>
        <w:rPr>
          <w:rFonts w:cs="Arial"/>
          <w:sz w:val="22"/>
          <w:szCs w:val="22"/>
        </w:rPr>
      </w:pPr>
      <w:r>
        <w:rPr>
          <w:rFonts w:cs="Arial"/>
          <w:sz w:val="22"/>
          <w:szCs w:val="22"/>
        </w:rPr>
        <w:t>Se acoge el comentario.</w:t>
      </w:r>
    </w:p>
    <w:p w14:paraId="69692462" w14:textId="01A5A324" w:rsidR="00C249C8" w:rsidRDefault="00C249C8" w:rsidP="00ED021C">
      <w:pPr>
        <w:rPr>
          <w:rFonts w:cs="Arial"/>
          <w:sz w:val="22"/>
          <w:szCs w:val="22"/>
        </w:rPr>
      </w:pPr>
    </w:p>
    <w:p w14:paraId="355E40EC" w14:textId="1A9CC58E" w:rsidR="00C249C8" w:rsidRDefault="00C249C8" w:rsidP="00C249C8">
      <w:pPr>
        <w:rPr>
          <w:rFonts w:cs="Arial"/>
          <w:sz w:val="22"/>
          <w:szCs w:val="22"/>
        </w:rPr>
      </w:pPr>
      <w:r>
        <w:rPr>
          <w:rFonts w:cs="Arial"/>
          <w:sz w:val="22"/>
          <w:szCs w:val="22"/>
        </w:rPr>
        <w:t>En la nueva propuesta se hacen ajustes a la definición para incorporar otros medios de transporte o distribución en dicha actividad, en armonía con la definición del servicio público domiciliario de gas combustible dada en el numeral 28 del Artículo 14 de la Ley 142 de 1994, que inicia diciendo “</w:t>
      </w:r>
      <w:r w:rsidRPr="00F043B0">
        <w:rPr>
          <w:rFonts w:cs="Arial"/>
          <w:i/>
          <w:iCs/>
          <w:sz w:val="22"/>
          <w:szCs w:val="22"/>
        </w:rPr>
        <w:t xml:space="preserve">Es el conjunto de actividades ordenadas a la distribución de gas combustible, </w:t>
      </w:r>
      <w:r w:rsidRPr="00F043B0">
        <w:rPr>
          <w:rFonts w:cs="Arial"/>
          <w:b/>
          <w:bCs/>
          <w:i/>
          <w:iCs/>
          <w:sz w:val="22"/>
          <w:szCs w:val="22"/>
          <w:u w:val="single"/>
        </w:rPr>
        <w:t>por tubería u otro medio</w:t>
      </w:r>
      <w:r w:rsidRPr="00F043B0">
        <w:rPr>
          <w:rFonts w:cs="Arial"/>
          <w:i/>
          <w:iCs/>
          <w:sz w:val="22"/>
          <w:szCs w:val="22"/>
        </w:rPr>
        <w:t>, desde un sitio de acopio de grandes volúmenes o desde un gasoducto central hasta la instalación de un consumidor final</w:t>
      </w:r>
      <w:r>
        <w:rPr>
          <w:rFonts w:cs="Arial"/>
          <w:sz w:val="22"/>
          <w:szCs w:val="22"/>
        </w:rPr>
        <w:t xml:space="preserve"> (…)” (subrayado con resaltado fuera de texto).</w:t>
      </w:r>
    </w:p>
    <w:p w14:paraId="4A703FE5" w14:textId="7BED62D1" w:rsidR="00C249C8" w:rsidRDefault="00C249C8" w:rsidP="00ED021C">
      <w:pPr>
        <w:rPr>
          <w:rFonts w:cs="Arial"/>
          <w:sz w:val="22"/>
          <w:szCs w:val="22"/>
        </w:rPr>
      </w:pPr>
    </w:p>
    <w:p w14:paraId="0BC99BC5" w14:textId="77777777" w:rsidR="00ED021C" w:rsidRDefault="00ED021C" w:rsidP="00ED021C">
      <w:pPr>
        <w:rPr>
          <w:rFonts w:cs="Arial"/>
          <w:sz w:val="22"/>
          <w:szCs w:val="22"/>
        </w:rPr>
      </w:pPr>
    </w:p>
    <w:p w14:paraId="7BBA3DFC" w14:textId="77777777" w:rsidR="00ED021C" w:rsidRDefault="00ED021C" w:rsidP="00536D4C">
      <w:pPr>
        <w:pStyle w:val="Ttulo2"/>
      </w:pPr>
      <w:bookmarkStart w:id="557" w:name="_Toc140506272"/>
      <w:r w:rsidRPr="00ED021C">
        <w:t>HOCOL</w:t>
      </w:r>
      <w:bookmarkEnd w:id="557"/>
      <w:r w:rsidRPr="00ED021C">
        <w:tab/>
      </w:r>
    </w:p>
    <w:p w14:paraId="1A5DEFF9" w14:textId="77777777" w:rsidR="00536D4C" w:rsidRDefault="00536D4C" w:rsidP="00536D4C">
      <w:pPr>
        <w:pStyle w:val="Ttulo4"/>
      </w:pPr>
      <w:r w:rsidRPr="00ED021C">
        <w:t>HOCOL</w:t>
      </w:r>
      <w:r w:rsidRPr="00ED021C">
        <w:tab/>
      </w:r>
    </w:p>
    <w:p w14:paraId="56CF43D8" w14:textId="5816FB98" w:rsidR="00ED021C" w:rsidRPr="00C249C8" w:rsidRDefault="00DC4DEC" w:rsidP="00ED021C">
      <w:pPr>
        <w:rPr>
          <w:rFonts w:cs="Arial"/>
          <w:i/>
          <w:iCs/>
          <w:sz w:val="22"/>
          <w:szCs w:val="22"/>
        </w:rPr>
      </w:pPr>
      <w:r>
        <w:rPr>
          <w:rFonts w:cs="Arial"/>
          <w:i/>
          <w:iCs/>
          <w:sz w:val="22"/>
          <w:szCs w:val="22"/>
        </w:rPr>
        <w:t>“</w:t>
      </w:r>
      <w:r w:rsidR="00ED021C" w:rsidRPr="00C249C8">
        <w:rPr>
          <w:rFonts w:cs="Arial"/>
          <w:i/>
          <w:iCs/>
          <w:sz w:val="22"/>
          <w:szCs w:val="22"/>
        </w:rPr>
        <w:t xml:space="preserve">Revisar y aclarar la modificación a la definición de Mercado Mayorista de gas natural que incluye </w:t>
      </w:r>
      <w:r>
        <w:rPr>
          <w:rFonts w:cs="Arial"/>
          <w:i/>
          <w:iCs/>
          <w:sz w:val="22"/>
          <w:szCs w:val="22"/>
        </w:rPr>
        <w:t>‘</w:t>
      </w:r>
      <w:r w:rsidR="00ED021C" w:rsidRPr="00C249C8">
        <w:rPr>
          <w:rFonts w:cs="Arial"/>
          <w:i/>
          <w:iCs/>
          <w:sz w:val="22"/>
          <w:szCs w:val="22"/>
        </w:rPr>
        <w:t>los compradores lo adquieren con Respaldo Físico para la atención del servicio público de gas combustible</w:t>
      </w:r>
      <w:r>
        <w:rPr>
          <w:rFonts w:cs="Arial"/>
          <w:i/>
          <w:iCs/>
          <w:sz w:val="22"/>
          <w:szCs w:val="22"/>
        </w:rPr>
        <w:t>’</w:t>
      </w:r>
      <w:r w:rsidR="00ED021C" w:rsidRPr="00C249C8">
        <w:rPr>
          <w:rFonts w:cs="Arial"/>
          <w:i/>
          <w:iCs/>
          <w:sz w:val="22"/>
          <w:szCs w:val="22"/>
        </w:rPr>
        <w:t>, ya que si se refiere a las transacciones de compraventa realizadas en este mercado, no todas contemplan Respaldo Físico como es el caso de los contratos con interrupciones; de  modo que se pide aclarar y ajustar esta definición para no generar confusión o contradicciones en la reglamentación del mercado mayorista</w:t>
      </w:r>
      <w:r w:rsidR="00C249C8" w:rsidRPr="00C249C8">
        <w:rPr>
          <w:rFonts w:cs="Arial"/>
          <w:i/>
          <w:iCs/>
          <w:sz w:val="22"/>
          <w:szCs w:val="22"/>
        </w:rPr>
        <w:t>.</w:t>
      </w:r>
      <w:r>
        <w:rPr>
          <w:rFonts w:cs="Arial"/>
          <w:i/>
          <w:iCs/>
          <w:sz w:val="22"/>
          <w:szCs w:val="22"/>
        </w:rPr>
        <w:t>”</w:t>
      </w:r>
    </w:p>
    <w:p w14:paraId="770E80A3" w14:textId="07AFC9D8" w:rsidR="00C249C8" w:rsidRDefault="00C249C8" w:rsidP="00ED021C">
      <w:pPr>
        <w:rPr>
          <w:rFonts w:cs="Arial"/>
          <w:sz w:val="22"/>
          <w:szCs w:val="22"/>
        </w:rPr>
      </w:pPr>
    </w:p>
    <w:p w14:paraId="7DDF1837" w14:textId="153432DE" w:rsidR="00C249C8" w:rsidRPr="00C249C8" w:rsidRDefault="00C249C8" w:rsidP="00ED021C">
      <w:pPr>
        <w:rPr>
          <w:rFonts w:cs="Arial"/>
          <w:b/>
          <w:bCs/>
          <w:sz w:val="22"/>
          <w:szCs w:val="22"/>
        </w:rPr>
      </w:pPr>
      <w:r w:rsidRPr="00C249C8">
        <w:rPr>
          <w:rFonts w:cs="Arial"/>
          <w:b/>
          <w:bCs/>
          <w:sz w:val="22"/>
          <w:szCs w:val="22"/>
        </w:rPr>
        <w:t>Respuesta:</w:t>
      </w:r>
    </w:p>
    <w:p w14:paraId="0E903037" w14:textId="4611CC58" w:rsidR="00C249C8" w:rsidRDefault="00C249C8" w:rsidP="00ED021C">
      <w:pPr>
        <w:rPr>
          <w:rFonts w:cs="Arial"/>
          <w:sz w:val="22"/>
          <w:szCs w:val="22"/>
        </w:rPr>
      </w:pPr>
    </w:p>
    <w:p w14:paraId="3FC6BB72" w14:textId="2C396354" w:rsidR="00C249C8" w:rsidRPr="00ED021C" w:rsidRDefault="00CD54D3"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_Ref130534561 \r \h </w:instrText>
      </w:r>
      <w:r>
        <w:rPr>
          <w:rFonts w:cs="Arial"/>
          <w:sz w:val="22"/>
          <w:szCs w:val="22"/>
        </w:rPr>
      </w:r>
      <w:r>
        <w:rPr>
          <w:rFonts w:cs="Arial"/>
          <w:sz w:val="22"/>
          <w:szCs w:val="22"/>
        </w:rPr>
        <w:fldChar w:fldCharType="separate"/>
      </w:r>
      <w:r w:rsidR="007651EA">
        <w:rPr>
          <w:rFonts w:cs="Arial"/>
          <w:sz w:val="22"/>
          <w:szCs w:val="22"/>
        </w:rPr>
        <w:t>4.1.1.1</w:t>
      </w:r>
      <w:r>
        <w:rPr>
          <w:rFonts w:cs="Arial"/>
          <w:sz w:val="22"/>
          <w:szCs w:val="22"/>
        </w:rPr>
        <w:fldChar w:fldCharType="end"/>
      </w:r>
      <w:r>
        <w:rPr>
          <w:rFonts w:cs="Arial"/>
          <w:sz w:val="22"/>
          <w:szCs w:val="22"/>
        </w:rPr>
        <w:t>.</w:t>
      </w:r>
    </w:p>
    <w:p w14:paraId="2A768E9A" w14:textId="77777777" w:rsidR="00ED021C" w:rsidRDefault="00ED021C" w:rsidP="00ED021C">
      <w:pPr>
        <w:rPr>
          <w:rFonts w:cs="Arial"/>
          <w:sz w:val="22"/>
          <w:szCs w:val="22"/>
        </w:rPr>
      </w:pPr>
    </w:p>
    <w:p w14:paraId="1B2F34C1" w14:textId="77777777" w:rsidR="00ED021C" w:rsidRDefault="00ED021C" w:rsidP="00ED021C">
      <w:pPr>
        <w:rPr>
          <w:rFonts w:cs="Arial"/>
          <w:sz w:val="22"/>
          <w:szCs w:val="22"/>
        </w:rPr>
      </w:pPr>
    </w:p>
    <w:p w14:paraId="2921320C" w14:textId="77777777" w:rsidR="00ED021C" w:rsidRDefault="00ED021C" w:rsidP="00536D4C">
      <w:pPr>
        <w:pStyle w:val="Ttulo2"/>
      </w:pPr>
      <w:bookmarkStart w:id="558" w:name="_Toc140506273"/>
      <w:r w:rsidRPr="00ED021C">
        <w:t>ISAGEN</w:t>
      </w:r>
      <w:bookmarkEnd w:id="558"/>
      <w:r w:rsidRPr="00ED021C">
        <w:tab/>
      </w:r>
    </w:p>
    <w:p w14:paraId="1FD9A714" w14:textId="77777777" w:rsidR="00536D4C" w:rsidRDefault="00536D4C" w:rsidP="00536D4C">
      <w:pPr>
        <w:pStyle w:val="Ttulo4"/>
      </w:pPr>
      <w:r w:rsidRPr="00ED021C">
        <w:t>ISAGEN</w:t>
      </w:r>
      <w:r w:rsidRPr="00ED021C">
        <w:tab/>
      </w:r>
    </w:p>
    <w:p w14:paraId="686A978C" w14:textId="261FA2B7" w:rsidR="00ED021C" w:rsidRPr="00CD54D3" w:rsidRDefault="00AE548D" w:rsidP="00ED021C">
      <w:pPr>
        <w:rPr>
          <w:rFonts w:cs="Arial"/>
          <w:i/>
          <w:iCs/>
          <w:sz w:val="22"/>
          <w:szCs w:val="22"/>
        </w:rPr>
      </w:pPr>
      <w:r>
        <w:rPr>
          <w:rFonts w:cs="Arial"/>
          <w:i/>
          <w:iCs/>
          <w:sz w:val="22"/>
          <w:szCs w:val="22"/>
        </w:rPr>
        <w:t>“</w:t>
      </w:r>
      <w:r w:rsidR="00ED021C" w:rsidRPr="00CD54D3">
        <w:rPr>
          <w:rFonts w:cs="Arial"/>
          <w:i/>
          <w:iCs/>
          <w:sz w:val="22"/>
          <w:szCs w:val="22"/>
        </w:rPr>
        <w:t xml:space="preserve">Solicitamos se cambie la redacción de </w:t>
      </w:r>
      <w:r>
        <w:rPr>
          <w:rFonts w:cs="Arial"/>
          <w:i/>
          <w:iCs/>
          <w:sz w:val="22"/>
          <w:szCs w:val="22"/>
        </w:rPr>
        <w:t>‘</w:t>
      </w:r>
      <w:r w:rsidR="00ED021C" w:rsidRPr="00CD54D3">
        <w:rPr>
          <w:rFonts w:cs="Arial"/>
          <w:i/>
          <w:iCs/>
          <w:sz w:val="22"/>
          <w:szCs w:val="22"/>
        </w:rPr>
        <w:t>transporte y distribución</w:t>
      </w:r>
      <w:r>
        <w:rPr>
          <w:rFonts w:cs="Arial"/>
          <w:i/>
          <w:iCs/>
          <w:sz w:val="22"/>
          <w:szCs w:val="22"/>
        </w:rPr>
        <w:t>’</w:t>
      </w:r>
      <w:r w:rsidR="00ED021C" w:rsidRPr="00CD54D3">
        <w:rPr>
          <w:rFonts w:cs="Arial"/>
          <w:i/>
          <w:iCs/>
          <w:sz w:val="22"/>
          <w:szCs w:val="22"/>
        </w:rPr>
        <w:t xml:space="preserve"> a </w:t>
      </w:r>
      <w:r>
        <w:rPr>
          <w:rFonts w:cs="Arial"/>
          <w:i/>
          <w:iCs/>
          <w:sz w:val="22"/>
          <w:szCs w:val="22"/>
        </w:rPr>
        <w:t>‘</w:t>
      </w:r>
      <w:r w:rsidR="00ED021C" w:rsidRPr="00CD54D3">
        <w:rPr>
          <w:rFonts w:cs="Arial"/>
          <w:i/>
          <w:iCs/>
          <w:sz w:val="22"/>
          <w:szCs w:val="22"/>
        </w:rPr>
        <w:t>transporte y/o distribución</w:t>
      </w:r>
      <w:r>
        <w:rPr>
          <w:rFonts w:cs="Arial"/>
          <w:i/>
          <w:iCs/>
          <w:sz w:val="22"/>
          <w:szCs w:val="22"/>
        </w:rPr>
        <w:t>’</w:t>
      </w:r>
      <w:r w:rsidR="00ED021C" w:rsidRPr="00CD54D3">
        <w:rPr>
          <w:rFonts w:cs="Arial"/>
          <w:i/>
          <w:iCs/>
          <w:sz w:val="22"/>
          <w:szCs w:val="22"/>
        </w:rPr>
        <w:t xml:space="preserve"> toda vez que hay usuarios finales que no están dentro de un sistema de distribución, como los generadores térmicos que están conectados directamente al SNT</w:t>
      </w:r>
      <w:r w:rsidR="00CD54D3" w:rsidRPr="00CD54D3">
        <w:rPr>
          <w:rFonts w:cs="Arial"/>
          <w:i/>
          <w:iCs/>
          <w:sz w:val="22"/>
          <w:szCs w:val="22"/>
        </w:rPr>
        <w:t>.</w:t>
      </w:r>
      <w:r>
        <w:rPr>
          <w:rFonts w:cs="Arial"/>
          <w:i/>
          <w:iCs/>
          <w:sz w:val="22"/>
          <w:szCs w:val="22"/>
        </w:rPr>
        <w:t>”</w:t>
      </w:r>
    </w:p>
    <w:p w14:paraId="61AA303A" w14:textId="590913DC" w:rsidR="00CD54D3" w:rsidRDefault="00CD54D3" w:rsidP="00ED021C">
      <w:pPr>
        <w:rPr>
          <w:rFonts w:cs="Arial"/>
          <w:sz w:val="22"/>
          <w:szCs w:val="22"/>
        </w:rPr>
      </w:pPr>
    </w:p>
    <w:p w14:paraId="4C4BC340" w14:textId="2B436A61" w:rsidR="00CD54D3" w:rsidRPr="00CD54D3" w:rsidRDefault="00CD54D3" w:rsidP="00ED021C">
      <w:pPr>
        <w:rPr>
          <w:rFonts w:cs="Arial"/>
          <w:b/>
          <w:bCs/>
          <w:sz w:val="22"/>
          <w:szCs w:val="22"/>
        </w:rPr>
      </w:pPr>
      <w:r w:rsidRPr="00CD54D3">
        <w:rPr>
          <w:rFonts w:cs="Arial"/>
          <w:b/>
          <w:bCs/>
          <w:sz w:val="22"/>
          <w:szCs w:val="22"/>
        </w:rPr>
        <w:t>Respuesta:</w:t>
      </w:r>
    </w:p>
    <w:p w14:paraId="5454DFC2" w14:textId="5718EB1E" w:rsidR="00CD54D3" w:rsidRDefault="00CD54D3" w:rsidP="00ED021C">
      <w:pPr>
        <w:rPr>
          <w:rFonts w:cs="Arial"/>
          <w:sz w:val="22"/>
          <w:szCs w:val="22"/>
        </w:rPr>
      </w:pPr>
    </w:p>
    <w:p w14:paraId="00CA4F6C" w14:textId="2BAB3BED" w:rsidR="00CD54D3" w:rsidRDefault="00E74E94"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_Ref130534686 \r \h </w:instrText>
      </w:r>
      <w:r>
        <w:rPr>
          <w:rFonts w:cs="Arial"/>
          <w:sz w:val="22"/>
          <w:szCs w:val="22"/>
        </w:rPr>
      </w:r>
      <w:r>
        <w:rPr>
          <w:rFonts w:cs="Arial"/>
          <w:sz w:val="22"/>
          <w:szCs w:val="22"/>
        </w:rPr>
        <w:fldChar w:fldCharType="separate"/>
      </w:r>
      <w:r w:rsidR="007651EA">
        <w:rPr>
          <w:rFonts w:cs="Arial"/>
          <w:sz w:val="22"/>
          <w:szCs w:val="22"/>
        </w:rPr>
        <w:t>4.11.1.1</w:t>
      </w:r>
      <w:r>
        <w:rPr>
          <w:rFonts w:cs="Arial"/>
          <w:sz w:val="22"/>
          <w:szCs w:val="22"/>
        </w:rPr>
        <w:fldChar w:fldCharType="end"/>
      </w:r>
      <w:r>
        <w:rPr>
          <w:rFonts w:cs="Arial"/>
          <w:sz w:val="22"/>
          <w:szCs w:val="22"/>
        </w:rPr>
        <w:t>.</w:t>
      </w:r>
    </w:p>
    <w:p w14:paraId="57B2A4E7" w14:textId="77777777" w:rsidR="00CD54D3" w:rsidRPr="00ED021C" w:rsidRDefault="00CD54D3" w:rsidP="00ED021C">
      <w:pPr>
        <w:rPr>
          <w:rFonts w:cs="Arial"/>
          <w:sz w:val="22"/>
          <w:szCs w:val="22"/>
        </w:rPr>
      </w:pPr>
    </w:p>
    <w:p w14:paraId="367B0C68" w14:textId="77777777" w:rsidR="00ED021C" w:rsidRDefault="00ED021C" w:rsidP="00ED021C">
      <w:pPr>
        <w:rPr>
          <w:rFonts w:cs="Arial"/>
          <w:sz w:val="22"/>
          <w:szCs w:val="22"/>
        </w:rPr>
      </w:pPr>
    </w:p>
    <w:p w14:paraId="4045DA9B" w14:textId="77777777" w:rsidR="00ED021C" w:rsidRDefault="00ED021C" w:rsidP="00536D4C">
      <w:pPr>
        <w:pStyle w:val="Ttulo4"/>
      </w:pPr>
      <w:r w:rsidRPr="00ED021C">
        <w:t>ISAGEN</w:t>
      </w:r>
      <w:r w:rsidRPr="00ED021C">
        <w:tab/>
      </w:r>
    </w:p>
    <w:p w14:paraId="5C44CD25" w14:textId="3CBA5291" w:rsidR="00ED021C" w:rsidRPr="00E74E94" w:rsidRDefault="002960A4" w:rsidP="00ED021C">
      <w:pPr>
        <w:rPr>
          <w:rFonts w:cs="Arial"/>
          <w:i/>
          <w:iCs/>
          <w:sz w:val="22"/>
          <w:szCs w:val="22"/>
        </w:rPr>
      </w:pPr>
      <w:r>
        <w:rPr>
          <w:rFonts w:cs="Arial"/>
          <w:i/>
          <w:iCs/>
          <w:sz w:val="22"/>
          <w:szCs w:val="22"/>
        </w:rPr>
        <w:t>“</w:t>
      </w:r>
      <w:r w:rsidR="00ED021C" w:rsidRPr="00E74E94">
        <w:rPr>
          <w:rFonts w:cs="Arial"/>
          <w:i/>
          <w:iCs/>
          <w:sz w:val="22"/>
          <w:szCs w:val="22"/>
        </w:rPr>
        <w:t xml:space="preserve">Por lo general, y tal como se evidencia en otras partes del proyecto, reportes ante el </w:t>
      </w:r>
      <w:r w:rsidR="005114C6">
        <w:rPr>
          <w:rFonts w:cs="Arial"/>
          <w:i/>
          <w:iCs/>
          <w:sz w:val="22"/>
          <w:szCs w:val="22"/>
        </w:rPr>
        <w:t>Gestor del Mercado</w:t>
      </w:r>
      <w:r w:rsidR="00ED021C" w:rsidRPr="00E74E94">
        <w:rPr>
          <w:rFonts w:cs="Arial"/>
          <w:i/>
          <w:iCs/>
          <w:sz w:val="22"/>
          <w:szCs w:val="22"/>
        </w:rPr>
        <w:t xml:space="preserve"> y demás información del mercado, la unidad de medida más usada para definir las cantidades en los contratos es MBTUD.</w:t>
      </w:r>
      <w:r>
        <w:rPr>
          <w:rFonts w:cs="Arial"/>
          <w:i/>
          <w:iCs/>
          <w:sz w:val="22"/>
          <w:szCs w:val="22"/>
        </w:rPr>
        <w:t>”</w:t>
      </w:r>
    </w:p>
    <w:p w14:paraId="55F0F802" w14:textId="18675592" w:rsidR="00E74E94" w:rsidRDefault="00E74E94" w:rsidP="00ED021C">
      <w:pPr>
        <w:rPr>
          <w:rFonts w:cs="Arial"/>
          <w:sz w:val="22"/>
          <w:szCs w:val="22"/>
        </w:rPr>
      </w:pPr>
    </w:p>
    <w:p w14:paraId="4F4A8AA5" w14:textId="3D82187F" w:rsidR="00E74E94" w:rsidRPr="00E74E94" w:rsidRDefault="00E74E94" w:rsidP="00ED021C">
      <w:pPr>
        <w:rPr>
          <w:rFonts w:cs="Arial"/>
          <w:b/>
          <w:bCs/>
          <w:sz w:val="22"/>
          <w:szCs w:val="22"/>
        </w:rPr>
      </w:pPr>
      <w:r w:rsidRPr="00E74E94">
        <w:rPr>
          <w:rFonts w:cs="Arial"/>
          <w:b/>
          <w:bCs/>
          <w:sz w:val="22"/>
          <w:szCs w:val="22"/>
        </w:rPr>
        <w:t>Respuesta:</w:t>
      </w:r>
    </w:p>
    <w:p w14:paraId="42F29CF9" w14:textId="707CD851" w:rsidR="00E74E94" w:rsidRDefault="00E74E94" w:rsidP="00ED021C">
      <w:pPr>
        <w:rPr>
          <w:rFonts w:cs="Arial"/>
          <w:sz w:val="22"/>
          <w:szCs w:val="22"/>
        </w:rPr>
      </w:pPr>
    </w:p>
    <w:p w14:paraId="00838FCB" w14:textId="5F270C2C" w:rsidR="00E74E94" w:rsidRPr="00ED021C" w:rsidRDefault="008317F8"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_Ref130534737 \r \h </w:instrText>
      </w:r>
      <w:r>
        <w:rPr>
          <w:rFonts w:cs="Arial"/>
          <w:sz w:val="22"/>
          <w:szCs w:val="22"/>
        </w:rPr>
      </w:r>
      <w:r>
        <w:rPr>
          <w:rFonts w:cs="Arial"/>
          <w:sz w:val="22"/>
          <w:szCs w:val="22"/>
        </w:rPr>
        <w:fldChar w:fldCharType="separate"/>
      </w:r>
      <w:r w:rsidR="007651EA">
        <w:rPr>
          <w:rFonts w:cs="Arial"/>
          <w:sz w:val="22"/>
          <w:szCs w:val="22"/>
        </w:rPr>
        <w:t>4.3.1.7</w:t>
      </w:r>
      <w:r>
        <w:rPr>
          <w:rFonts w:cs="Arial"/>
          <w:sz w:val="22"/>
          <w:szCs w:val="22"/>
        </w:rPr>
        <w:fldChar w:fldCharType="end"/>
      </w:r>
      <w:r>
        <w:rPr>
          <w:rFonts w:cs="Arial"/>
          <w:sz w:val="22"/>
          <w:szCs w:val="22"/>
        </w:rPr>
        <w:t>.</w:t>
      </w:r>
    </w:p>
    <w:p w14:paraId="7FED3D1D" w14:textId="77777777" w:rsidR="00ED021C" w:rsidRDefault="00ED021C" w:rsidP="00ED021C">
      <w:pPr>
        <w:rPr>
          <w:rFonts w:cs="Arial"/>
          <w:sz w:val="22"/>
          <w:szCs w:val="22"/>
        </w:rPr>
      </w:pPr>
    </w:p>
    <w:p w14:paraId="1BDA182C" w14:textId="77777777" w:rsidR="00ED021C" w:rsidRDefault="00ED021C" w:rsidP="00ED021C">
      <w:pPr>
        <w:rPr>
          <w:rFonts w:cs="Arial"/>
          <w:sz w:val="22"/>
          <w:szCs w:val="22"/>
        </w:rPr>
      </w:pPr>
    </w:p>
    <w:p w14:paraId="18A7B27F" w14:textId="77777777" w:rsidR="00ED021C" w:rsidRDefault="00ED021C" w:rsidP="00536D4C">
      <w:pPr>
        <w:pStyle w:val="Ttulo4"/>
      </w:pPr>
      <w:r w:rsidRPr="00ED021C">
        <w:t>ISAGEN</w:t>
      </w:r>
      <w:r w:rsidRPr="00ED021C">
        <w:tab/>
      </w:r>
    </w:p>
    <w:p w14:paraId="567EE4E0" w14:textId="50F13FE8" w:rsidR="00ED021C" w:rsidRPr="008317F8" w:rsidRDefault="002960A4" w:rsidP="00ED021C">
      <w:pPr>
        <w:rPr>
          <w:rFonts w:cs="Arial"/>
          <w:i/>
          <w:iCs/>
          <w:sz w:val="22"/>
          <w:szCs w:val="22"/>
        </w:rPr>
      </w:pPr>
      <w:r>
        <w:rPr>
          <w:rFonts w:cs="Arial"/>
          <w:i/>
          <w:iCs/>
          <w:sz w:val="22"/>
          <w:szCs w:val="22"/>
        </w:rPr>
        <w:t>“</w:t>
      </w:r>
      <w:r w:rsidR="00ED021C" w:rsidRPr="008317F8">
        <w:rPr>
          <w:rFonts w:cs="Arial"/>
          <w:i/>
          <w:iCs/>
          <w:sz w:val="22"/>
          <w:szCs w:val="22"/>
        </w:rPr>
        <w:t>Solicitamos aclarar que los cinco (5) días calendario adicionales definidos a discreción del comprador son por cada año de vigencia del contrato, toda vez que se pueden presentar contratos OCG con vigencia mayores a un año y tenie</w:t>
      </w:r>
      <w:r w:rsidR="008317F8" w:rsidRPr="008317F8">
        <w:rPr>
          <w:rFonts w:cs="Arial"/>
          <w:i/>
          <w:iCs/>
          <w:sz w:val="22"/>
          <w:szCs w:val="22"/>
        </w:rPr>
        <w:t>n</w:t>
      </w:r>
      <w:r w:rsidR="00ED021C" w:rsidRPr="008317F8">
        <w:rPr>
          <w:rFonts w:cs="Arial"/>
          <w:i/>
          <w:iCs/>
          <w:sz w:val="22"/>
          <w:szCs w:val="22"/>
        </w:rPr>
        <w:t>do en cuenta la posibilidad de asignación de pruebas de disponibilidad del Cargo por Confiabilidad que se renuevan para cada período.</w:t>
      </w:r>
      <w:r>
        <w:rPr>
          <w:rFonts w:cs="Arial"/>
          <w:i/>
          <w:iCs/>
          <w:sz w:val="22"/>
          <w:szCs w:val="22"/>
        </w:rPr>
        <w:t>”</w:t>
      </w:r>
    </w:p>
    <w:p w14:paraId="2819B4D1" w14:textId="77777777" w:rsidR="00ED021C" w:rsidRDefault="00ED021C" w:rsidP="00ED021C">
      <w:pPr>
        <w:rPr>
          <w:rFonts w:cs="Arial"/>
          <w:sz w:val="22"/>
          <w:szCs w:val="22"/>
        </w:rPr>
      </w:pPr>
    </w:p>
    <w:p w14:paraId="453AE278" w14:textId="2B7DDC4D" w:rsidR="00ED021C" w:rsidRPr="008317F8" w:rsidRDefault="008317F8" w:rsidP="00ED021C">
      <w:pPr>
        <w:rPr>
          <w:rFonts w:cs="Arial"/>
          <w:b/>
          <w:bCs/>
          <w:sz w:val="22"/>
          <w:szCs w:val="22"/>
        </w:rPr>
      </w:pPr>
      <w:r w:rsidRPr="008317F8">
        <w:rPr>
          <w:rFonts w:cs="Arial"/>
          <w:b/>
          <w:bCs/>
          <w:sz w:val="22"/>
          <w:szCs w:val="22"/>
        </w:rPr>
        <w:t>Respuesta:</w:t>
      </w:r>
    </w:p>
    <w:p w14:paraId="1679379D" w14:textId="24BDBB75" w:rsidR="008317F8" w:rsidRDefault="008317F8" w:rsidP="00ED021C">
      <w:pPr>
        <w:rPr>
          <w:rFonts w:cs="Arial"/>
          <w:sz w:val="22"/>
          <w:szCs w:val="22"/>
        </w:rPr>
      </w:pPr>
    </w:p>
    <w:p w14:paraId="1DCD4548" w14:textId="3E8A8B4F" w:rsidR="008317F8" w:rsidRDefault="008317F8" w:rsidP="00ED021C">
      <w:pPr>
        <w:rPr>
          <w:rFonts w:cs="Arial"/>
          <w:sz w:val="22"/>
          <w:szCs w:val="22"/>
        </w:rPr>
      </w:pPr>
      <w:r>
        <w:rPr>
          <w:rFonts w:cs="Arial"/>
          <w:sz w:val="22"/>
          <w:szCs w:val="22"/>
        </w:rPr>
        <w:t>Se acoge el comentario.</w:t>
      </w:r>
    </w:p>
    <w:p w14:paraId="640F1E27" w14:textId="3304B0CF" w:rsidR="008317F8" w:rsidRDefault="008317F8" w:rsidP="00ED021C">
      <w:pPr>
        <w:rPr>
          <w:rFonts w:cs="Arial"/>
          <w:sz w:val="22"/>
          <w:szCs w:val="22"/>
        </w:rPr>
      </w:pPr>
    </w:p>
    <w:p w14:paraId="55FFCB97" w14:textId="4211046C" w:rsidR="008317F8" w:rsidRDefault="008317F8" w:rsidP="00ED021C">
      <w:pPr>
        <w:rPr>
          <w:rFonts w:cs="Arial"/>
          <w:sz w:val="22"/>
          <w:szCs w:val="22"/>
        </w:rPr>
      </w:pPr>
      <w:r>
        <w:rPr>
          <w:rFonts w:cs="Arial"/>
          <w:sz w:val="22"/>
          <w:szCs w:val="22"/>
        </w:rPr>
        <w:t xml:space="preserve">En la nueva propuesta se hacen los ajustes, de tal modo </w:t>
      </w:r>
      <w:proofErr w:type="gramStart"/>
      <w:r>
        <w:rPr>
          <w:rFonts w:cs="Arial"/>
          <w:sz w:val="22"/>
          <w:szCs w:val="22"/>
        </w:rPr>
        <w:t>que</w:t>
      </w:r>
      <w:proofErr w:type="gramEnd"/>
      <w:r>
        <w:rPr>
          <w:rFonts w:cs="Arial"/>
          <w:sz w:val="22"/>
          <w:szCs w:val="22"/>
        </w:rPr>
        <w:t xml:space="preserve"> si el contrato tiene ejecución en períodos anuales, los cinco (5) días sean asequibles en cada año. asimismo, si la duración del contrato no coincide con años de duración sin decimales (por </w:t>
      </w:r>
      <w:proofErr w:type="gramStart"/>
      <w:r>
        <w:rPr>
          <w:rFonts w:cs="Arial"/>
          <w:sz w:val="22"/>
          <w:szCs w:val="22"/>
        </w:rPr>
        <w:t>ejemplo</w:t>
      </w:r>
      <w:proofErr w:type="gramEnd"/>
      <w:r>
        <w:rPr>
          <w:rFonts w:cs="Arial"/>
          <w:sz w:val="22"/>
          <w:szCs w:val="22"/>
        </w:rPr>
        <w:t xml:space="preserve"> un trimestre estándar, tres trimestres estándar, 14 trimestres estándar) los días adicionales del año incompleto sean calculados en proporción a un año.</w:t>
      </w:r>
    </w:p>
    <w:p w14:paraId="04592C82" w14:textId="6C0D192B" w:rsidR="008317F8" w:rsidRDefault="008317F8" w:rsidP="00ED021C">
      <w:pPr>
        <w:rPr>
          <w:rFonts w:cs="Arial"/>
          <w:sz w:val="22"/>
          <w:szCs w:val="22"/>
        </w:rPr>
      </w:pPr>
    </w:p>
    <w:p w14:paraId="7AED4807" w14:textId="77777777" w:rsidR="00ED021C" w:rsidRDefault="00ED021C" w:rsidP="00536D4C">
      <w:pPr>
        <w:pStyle w:val="Ttulo4"/>
      </w:pPr>
      <w:r w:rsidRPr="00ED021C">
        <w:t>ISAGEN</w:t>
      </w:r>
      <w:r w:rsidRPr="00ED021C">
        <w:tab/>
      </w:r>
    </w:p>
    <w:p w14:paraId="5D1F3672" w14:textId="27EF842D" w:rsidR="00ED021C" w:rsidRPr="008317F8" w:rsidRDefault="00047D2B" w:rsidP="00ED021C">
      <w:pPr>
        <w:rPr>
          <w:rFonts w:cs="Arial"/>
          <w:i/>
          <w:iCs/>
          <w:sz w:val="22"/>
          <w:szCs w:val="22"/>
        </w:rPr>
      </w:pPr>
      <w:r>
        <w:rPr>
          <w:rFonts w:cs="Arial"/>
          <w:i/>
          <w:iCs/>
          <w:sz w:val="22"/>
          <w:szCs w:val="22"/>
        </w:rPr>
        <w:t>“</w:t>
      </w:r>
      <w:r w:rsidR="00ED021C" w:rsidRPr="008317F8">
        <w:rPr>
          <w:rFonts w:cs="Arial"/>
          <w:i/>
          <w:iCs/>
          <w:sz w:val="22"/>
          <w:szCs w:val="22"/>
        </w:rPr>
        <w:t xml:space="preserve">Solicitamos aclarar que los cinco (5) días calendario definidos a discreción del vendedor son por cada año de vigencia del contrato toda vez que, como se </w:t>
      </w:r>
      <w:r w:rsidR="008317F8" w:rsidRPr="008317F8">
        <w:rPr>
          <w:rFonts w:cs="Arial"/>
          <w:i/>
          <w:iCs/>
          <w:sz w:val="22"/>
          <w:szCs w:val="22"/>
        </w:rPr>
        <w:t>men</w:t>
      </w:r>
      <w:r w:rsidR="00ED021C" w:rsidRPr="008317F8">
        <w:rPr>
          <w:rFonts w:cs="Arial"/>
          <w:i/>
          <w:iCs/>
          <w:sz w:val="22"/>
          <w:szCs w:val="22"/>
        </w:rPr>
        <w:t>cionó en el numeral anterior, se pueden suscribir contratos OCG y CFC con vigencias mayores a un año.</w:t>
      </w:r>
      <w:r>
        <w:rPr>
          <w:rFonts w:cs="Arial"/>
          <w:i/>
          <w:iCs/>
          <w:sz w:val="22"/>
          <w:szCs w:val="22"/>
        </w:rPr>
        <w:t>”</w:t>
      </w:r>
    </w:p>
    <w:p w14:paraId="64F62D7B" w14:textId="533BABC9" w:rsidR="008317F8" w:rsidRDefault="008317F8" w:rsidP="00ED021C">
      <w:pPr>
        <w:rPr>
          <w:rFonts w:cs="Arial"/>
          <w:sz w:val="22"/>
          <w:szCs w:val="22"/>
        </w:rPr>
      </w:pPr>
    </w:p>
    <w:p w14:paraId="333A31A3" w14:textId="214D9796" w:rsidR="008317F8" w:rsidRPr="008317F8" w:rsidRDefault="008317F8" w:rsidP="00ED021C">
      <w:pPr>
        <w:rPr>
          <w:rFonts w:cs="Arial"/>
          <w:b/>
          <w:bCs/>
          <w:sz w:val="22"/>
          <w:szCs w:val="22"/>
        </w:rPr>
      </w:pPr>
      <w:r w:rsidRPr="008317F8">
        <w:rPr>
          <w:rFonts w:cs="Arial"/>
          <w:b/>
          <w:bCs/>
          <w:sz w:val="22"/>
          <w:szCs w:val="22"/>
        </w:rPr>
        <w:t>Respuesta:</w:t>
      </w:r>
    </w:p>
    <w:p w14:paraId="38BD2478" w14:textId="4B2CD44D" w:rsidR="008317F8" w:rsidRDefault="008317F8" w:rsidP="00ED021C">
      <w:pPr>
        <w:rPr>
          <w:rFonts w:cs="Arial"/>
          <w:sz w:val="22"/>
          <w:szCs w:val="22"/>
        </w:rPr>
      </w:pPr>
    </w:p>
    <w:p w14:paraId="3CE92EE3" w14:textId="77777777" w:rsidR="001D0929" w:rsidRDefault="001D0929" w:rsidP="001D0929">
      <w:pPr>
        <w:rPr>
          <w:rFonts w:cs="Arial"/>
          <w:sz w:val="22"/>
          <w:szCs w:val="22"/>
        </w:rPr>
      </w:pPr>
      <w:r>
        <w:rPr>
          <w:rFonts w:cs="Arial"/>
          <w:sz w:val="22"/>
          <w:szCs w:val="22"/>
        </w:rPr>
        <w:t>Se acoge el comentario.</w:t>
      </w:r>
    </w:p>
    <w:p w14:paraId="58B87C40" w14:textId="77777777" w:rsidR="001D0929" w:rsidRDefault="001D0929" w:rsidP="001D0929">
      <w:pPr>
        <w:rPr>
          <w:rFonts w:cs="Arial"/>
          <w:sz w:val="22"/>
          <w:szCs w:val="22"/>
        </w:rPr>
      </w:pPr>
    </w:p>
    <w:p w14:paraId="38838F86" w14:textId="26B21408" w:rsidR="001D0929" w:rsidRDefault="001D0929" w:rsidP="001D0929">
      <w:pPr>
        <w:rPr>
          <w:rFonts w:cs="Arial"/>
          <w:sz w:val="22"/>
          <w:szCs w:val="22"/>
        </w:rPr>
      </w:pPr>
      <w:r>
        <w:rPr>
          <w:rFonts w:cs="Arial"/>
          <w:sz w:val="22"/>
          <w:szCs w:val="22"/>
        </w:rPr>
        <w:t xml:space="preserve">En la nueva propuesta se hacen los ajustes, de tal modo </w:t>
      </w:r>
      <w:proofErr w:type="gramStart"/>
      <w:r>
        <w:rPr>
          <w:rFonts w:cs="Arial"/>
          <w:sz w:val="22"/>
          <w:szCs w:val="22"/>
        </w:rPr>
        <w:t>que</w:t>
      </w:r>
      <w:proofErr w:type="gramEnd"/>
      <w:r>
        <w:rPr>
          <w:rFonts w:cs="Arial"/>
          <w:sz w:val="22"/>
          <w:szCs w:val="22"/>
        </w:rPr>
        <w:t xml:space="preserve"> si el contrato tiene ejecución en períodos anuales, los cinco (5) días definidos a discreción del vendedor en cada año. </w:t>
      </w:r>
      <w:r w:rsidR="00047D2B">
        <w:rPr>
          <w:rFonts w:cs="Arial"/>
          <w:sz w:val="22"/>
          <w:szCs w:val="22"/>
        </w:rPr>
        <w:t>A</w:t>
      </w:r>
      <w:r>
        <w:rPr>
          <w:rFonts w:cs="Arial"/>
          <w:sz w:val="22"/>
          <w:szCs w:val="22"/>
        </w:rPr>
        <w:t xml:space="preserve">simismo, si la duración del contrato no coincide con años de duración sin decimales (por </w:t>
      </w:r>
      <w:proofErr w:type="gramStart"/>
      <w:r>
        <w:rPr>
          <w:rFonts w:cs="Arial"/>
          <w:sz w:val="22"/>
          <w:szCs w:val="22"/>
        </w:rPr>
        <w:t>ejemplo</w:t>
      </w:r>
      <w:proofErr w:type="gramEnd"/>
      <w:r>
        <w:rPr>
          <w:rFonts w:cs="Arial"/>
          <w:sz w:val="22"/>
          <w:szCs w:val="22"/>
        </w:rPr>
        <w:t xml:space="preserve"> un trimestre estándar, tres trimestres estándar, 14 trimestres estándar) los días adicionales del año incompleto sean calculados en proporción a un año.</w:t>
      </w:r>
    </w:p>
    <w:p w14:paraId="6EA6DEF6" w14:textId="77777777" w:rsidR="00ED021C" w:rsidRDefault="00ED021C" w:rsidP="00ED021C">
      <w:pPr>
        <w:rPr>
          <w:rFonts w:cs="Arial"/>
          <w:sz w:val="22"/>
          <w:szCs w:val="22"/>
        </w:rPr>
      </w:pPr>
    </w:p>
    <w:p w14:paraId="1426F5C2" w14:textId="77777777" w:rsidR="00ED021C" w:rsidRDefault="00ED021C" w:rsidP="00ED021C">
      <w:pPr>
        <w:rPr>
          <w:rFonts w:cs="Arial"/>
          <w:sz w:val="22"/>
          <w:szCs w:val="22"/>
        </w:rPr>
      </w:pPr>
    </w:p>
    <w:p w14:paraId="110FC268" w14:textId="77777777" w:rsidR="00ED021C" w:rsidRDefault="00ED021C" w:rsidP="00536D4C">
      <w:pPr>
        <w:pStyle w:val="Ttulo2"/>
      </w:pPr>
      <w:bookmarkStart w:id="559" w:name="_Toc140506274"/>
      <w:r w:rsidRPr="00ED021C">
        <w:t>LEWIS ENERGY</w:t>
      </w:r>
      <w:bookmarkEnd w:id="559"/>
      <w:r w:rsidRPr="00ED021C">
        <w:tab/>
      </w:r>
    </w:p>
    <w:p w14:paraId="205872CA" w14:textId="77777777" w:rsidR="00536D4C" w:rsidRDefault="00536D4C" w:rsidP="00536D4C">
      <w:pPr>
        <w:pStyle w:val="Ttulo4"/>
      </w:pPr>
      <w:r w:rsidRPr="00ED021C">
        <w:t>LEWIS ENERGY</w:t>
      </w:r>
      <w:r w:rsidRPr="00ED021C">
        <w:tab/>
      </w:r>
    </w:p>
    <w:p w14:paraId="1178A1C9" w14:textId="35AEE18E" w:rsidR="00ED021C" w:rsidRPr="001D0929" w:rsidRDefault="00ED021C" w:rsidP="00ED021C">
      <w:pPr>
        <w:rPr>
          <w:rFonts w:cs="Arial"/>
          <w:i/>
          <w:iCs/>
          <w:sz w:val="22"/>
          <w:szCs w:val="22"/>
        </w:rPr>
      </w:pPr>
      <w:r w:rsidRPr="00ED021C">
        <w:rPr>
          <w:rFonts w:cs="Arial"/>
          <w:sz w:val="22"/>
          <w:szCs w:val="22"/>
        </w:rPr>
        <w:t>"</w:t>
      </w:r>
      <w:r w:rsidRPr="001D0929">
        <w:rPr>
          <w:rFonts w:cs="Arial"/>
          <w:i/>
          <w:iCs/>
          <w:sz w:val="22"/>
          <w:szCs w:val="22"/>
        </w:rPr>
        <w:t xml:space="preserve">Definición mercado mayorista de gas natural: Tal y como está estructurada esta definición, dejaría por fuera de las transacciones del Mercado Mayorista aquellas transacciones de contratos con interrupciones que los productores - Comercializadores, están habilitados para realizar en el mercado primario, con compradores que son usuarios </w:t>
      </w:r>
      <w:proofErr w:type="gramStart"/>
      <w:r w:rsidRPr="001D0929">
        <w:rPr>
          <w:rFonts w:cs="Arial"/>
          <w:i/>
          <w:iCs/>
          <w:sz w:val="22"/>
          <w:szCs w:val="22"/>
        </w:rPr>
        <w:t>y</w:t>
      </w:r>
      <w:proofErr w:type="gramEnd"/>
      <w:r w:rsidRPr="001D0929">
        <w:rPr>
          <w:rFonts w:cs="Arial"/>
          <w:i/>
          <w:iCs/>
          <w:sz w:val="22"/>
          <w:szCs w:val="22"/>
        </w:rPr>
        <w:t xml:space="preserve"> en consecuencia, parte de la cadena del servicio público de gas combustible.</w:t>
      </w:r>
    </w:p>
    <w:p w14:paraId="5BE364D9" w14:textId="77777777" w:rsidR="00ED021C" w:rsidRPr="001D0929" w:rsidRDefault="00ED021C" w:rsidP="00ED021C">
      <w:pPr>
        <w:rPr>
          <w:rFonts w:cs="Arial"/>
          <w:i/>
          <w:iCs/>
          <w:sz w:val="22"/>
          <w:szCs w:val="22"/>
        </w:rPr>
      </w:pPr>
    </w:p>
    <w:p w14:paraId="3DA0C7F3" w14:textId="5E92E9DF" w:rsidR="00ED021C" w:rsidRPr="001D0929" w:rsidRDefault="00ED021C" w:rsidP="00ED021C">
      <w:pPr>
        <w:rPr>
          <w:rFonts w:cs="Arial"/>
          <w:i/>
          <w:iCs/>
          <w:sz w:val="22"/>
          <w:szCs w:val="22"/>
        </w:rPr>
      </w:pPr>
      <w:r w:rsidRPr="001D0929">
        <w:rPr>
          <w:rFonts w:cs="Arial"/>
          <w:i/>
          <w:iCs/>
          <w:sz w:val="22"/>
          <w:szCs w:val="22"/>
        </w:rPr>
        <w:t>Se solicita a la comisión eliminar la última parte de la definición o ajustarla."</w:t>
      </w:r>
    </w:p>
    <w:p w14:paraId="4522FCF5" w14:textId="6A4F20E3" w:rsidR="001D0929" w:rsidRDefault="001D0929" w:rsidP="00ED021C">
      <w:pPr>
        <w:rPr>
          <w:rFonts w:cs="Arial"/>
          <w:sz w:val="22"/>
          <w:szCs w:val="22"/>
        </w:rPr>
      </w:pPr>
    </w:p>
    <w:p w14:paraId="78AD9527" w14:textId="4C75D4CE" w:rsidR="001D0929" w:rsidRPr="001D0929" w:rsidRDefault="001D0929" w:rsidP="00ED021C">
      <w:pPr>
        <w:rPr>
          <w:rFonts w:cs="Arial"/>
          <w:b/>
          <w:bCs/>
          <w:sz w:val="22"/>
          <w:szCs w:val="22"/>
        </w:rPr>
      </w:pPr>
      <w:r w:rsidRPr="001D0929">
        <w:rPr>
          <w:rFonts w:cs="Arial"/>
          <w:b/>
          <w:bCs/>
          <w:sz w:val="22"/>
          <w:szCs w:val="22"/>
        </w:rPr>
        <w:t>Respuesta:</w:t>
      </w:r>
    </w:p>
    <w:p w14:paraId="12DFF297" w14:textId="346A5616" w:rsidR="001D0929" w:rsidRDefault="001D0929" w:rsidP="00ED021C">
      <w:pPr>
        <w:rPr>
          <w:rFonts w:cs="Arial"/>
          <w:sz w:val="22"/>
          <w:szCs w:val="22"/>
        </w:rPr>
      </w:pPr>
    </w:p>
    <w:p w14:paraId="6E754B8D" w14:textId="553B7EA5" w:rsidR="001D0929" w:rsidRPr="00ED021C" w:rsidRDefault="00BD1B8D"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_Ref130534561 \r \h </w:instrText>
      </w:r>
      <w:r>
        <w:rPr>
          <w:rFonts w:cs="Arial"/>
          <w:sz w:val="22"/>
          <w:szCs w:val="22"/>
        </w:rPr>
      </w:r>
      <w:r>
        <w:rPr>
          <w:rFonts w:cs="Arial"/>
          <w:sz w:val="22"/>
          <w:szCs w:val="22"/>
        </w:rPr>
        <w:fldChar w:fldCharType="separate"/>
      </w:r>
      <w:r w:rsidR="007651EA">
        <w:rPr>
          <w:rFonts w:cs="Arial"/>
          <w:sz w:val="22"/>
          <w:szCs w:val="22"/>
        </w:rPr>
        <w:t>4.1.1.1</w:t>
      </w:r>
      <w:r>
        <w:rPr>
          <w:rFonts w:cs="Arial"/>
          <w:sz w:val="22"/>
          <w:szCs w:val="22"/>
        </w:rPr>
        <w:fldChar w:fldCharType="end"/>
      </w:r>
      <w:r>
        <w:rPr>
          <w:rFonts w:cs="Arial"/>
          <w:sz w:val="22"/>
          <w:szCs w:val="22"/>
        </w:rPr>
        <w:t>.</w:t>
      </w:r>
    </w:p>
    <w:p w14:paraId="6BF4F658" w14:textId="77777777" w:rsidR="00ED021C" w:rsidRDefault="00ED021C" w:rsidP="00ED021C">
      <w:pPr>
        <w:rPr>
          <w:rFonts w:cs="Arial"/>
          <w:sz w:val="22"/>
          <w:szCs w:val="22"/>
        </w:rPr>
      </w:pPr>
    </w:p>
    <w:p w14:paraId="7DEC1CD4" w14:textId="77777777" w:rsidR="00ED021C" w:rsidRDefault="00ED021C" w:rsidP="00ED021C">
      <w:pPr>
        <w:rPr>
          <w:rFonts w:cs="Arial"/>
          <w:sz w:val="22"/>
          <w:szCs w:val="22"/>
        </w:rPr>
      </w:pPr>
    </w:p>
    <w:p w14:paraId="31F56B0E" w14:textId="77777777" w:rsidR="00ED021C" w:rsidRDefault="00ED021C" w:rsidP="00536D4C">
      <w:pPr>
        <w:pStyle w:val="Ttulo2"/>
      </w:pPr>
      <w:bookmarkStart w:id="560" w:name="_Toc140506275"/>
      <w:r w:rsidRPr="00ED021C">
        <w:t>MC2 S.A. E.S.P.</w:t>
      </w:r>
      <w:bookmarkEnd w:id="560"/>
      <w:r w:rsidRPr="00ED021C">
        <w:tab/>
      </w:r>
    </w:p>
    <w:p w14:paraId="72339BFC" w14:textId="77777777" w:rsidR="00536D4C" w:rsidRDefault="00536D4C" w:rsidP="00536D4C">
      <w:pPr>
        <w:pStyle w:val="Ttulo4"/>
      </w:pPr>
      <w:r w:rsidRPr="00ED021C">
        <w:t>MC2 S.A. E.S.P.</w:t>
      </w:r>
      <w:r w:rsidRPr="00ED021C">
        <w:tab/>
      </w:r>
    </w:p>
    <w:p w14:paraId="5C239D6D" w14:textId="4B9EA130" w:rsidR="00ED021C" w:rsidRPr="00BD1B8D" w:rsidRDefault="00ED021C" w:rsidP="00ED021C">
      <w:pPr>
        <w:rPr>
          <w:rFonts w:cs="Arial"/>
          <w:i/>
          <w:iCs/>
          <w:sz w:val="22"/>
          <w:szCs w:val="22"/>
        </w:rPr>
      </w:pPr>
      <w:r w:rsidRPr="00ED021C">
        <w:rPr>
          <w:rFonts w:cs="Arial"/>
          <w:sz w:val="22"/>
          <w:szCs w:val="22"/>
        </w:rPr>
        <w:t>"</w:t>
      </w:r>
      <w:r w:rsidRPr="00BD1B8D">
        <w:rPr>
          <w:rFonts w:cs="Arial"/>
          <w:i/>
          <w:iCs/>
          <w:sz w:val="22"/>
          <w:szCs w:val="22"/>
        </w:rPr>
        <w:t xml:space="preserve">Sobre la definición de Comercialización Minorista de gas natural: </w:t>
      </w:r>
      <w:r w:rsidR="008D7565">
        <w:rPr>
          <w:rFonts w:cs="Arial"/>
          <w:i/>
          <w:iCs/>
          <w:sz w:val="22"/>
          <w:szCs w:val="22"/>
        </w:rPr>
        <w:t>‘</w:t>
      </w:r>
      <w:r w:rsidRPr="00BD1B8D">
        <w:rPr>
          <w:rFonts w:cs="Arial"/>
          <w:i/>
          <w:iCs/>
          <w:sz w:val="22"/>
          <w:szCs w:val="22"/>
        </w:rPr>
        <w:t>actividad que consiste en la intermediación comercial de la compra, transporte y distribución de gas natural por redes de tubería y su venta a usuarios finales. Incluye la celebración de los contratos de servicios públicos y la atención comercial de los usuarios finales.</w:t>
      </w:r>
      <w:r w:rsidR="008D7565">
        <w:rPr>
          <w:rFonts w:cs="Arial"/>
          <w:i/>
          <w:iCs/>
          <w:sz w:val="22"/>
          <w:szCs w:val="22"/>
        </w:rPr>
        <w:t>’</w:t>
      </w:r>
      <w:r w:rsidRPr="00BD1B8D">
        <w:rPr>
          <w:rFonts w:cs="Arial"/>
          <w:i/>
          <w:iCs/>
          <w:sz w:val="22"/>
          <w:szCs w:val="22"/>
        </w:rPr>
        <w:t xml:space="preserve"> </w:t>
      </w:r>
    </w:p>
    <w:p w14:paraId="5D5B4ADE" w14:textId="77777777" w:rsidR="00ED021C" w:rsidRPr="00BD1B8D" w:rsidRDefault="00ED021C" w:rsidP="00ED021C">
      <w:pPr>
        <w:rPr>
          <w:rFonts w:cs="Arial"/>
          <w:i/>
          <w:iCs/>
          <w:sz w:val="22"/>
          <w:szCs w:val="22"/>
        </w:rPr>
      </w:pPr>
    </w:p>
    <w:p w14:paraId="1254128C" w14:textId="77777777" w:rsidR="00ED021C" w:rsidRPr="00BD1B8D" w:rsidRDefault="00ED021C" w:rsidP="00ED021C">
      <w:pPr>
        <w:rPr>
          <w:rFonts w:cs="Arial"/>
          <w:i/>
          <w:iCs/>
          <w:sz w:val="22"/>
          <w:szCs w:val="22"/>
        </w:rPr>
      </w:pPr>
      <w:r w:rsidRPr="00BD1B8D">
        <w:rPr>
          <w:rFonts w:cs="Arial"/>
          <w:i/>
          <w:iCs/>
          <w:sz w:val="22"/>
          <w:szCs w:val="22"/>
        </w:rPr>
        <w:t>La definición no incluye la actividad de intermediación a través de otros medios diferentes a redes de tubería, como cuando se comprime y se transporta por vía terrestre a través de gasoductos virtuales. Por lo tanto, es posible que se incurra en la exclusión de los comercializadores no distribuidores o puros, en tanto la atención comercial a usuarios finales puede darse a través de mecanismos diferentes a las redes de tubería.</w:t>
      </w:r>
    </w:p>
    <w:p w14:paraId="3E584DEA" w14:textId="77777777" w:rsidR="00ED021C" w:rsidRPr="00BD1B8D" w:rsidRDefault="00ED021C" w:rsidP="00ED021C">
      <w:pPr>
        <w:rPr>
          <w:rFonts w:cs="Arial"/>
          <w:i/>
          <w:iCs/>
          <w:sz w:val="22"/>
          <w:szCs w:val="22"/>
        </w:rPr>
      </w:pPr>
    </w:p>
    <w:p w14:paraId="5CB1E7AB" w14:textId="06F7B722" w:rsidR="00ED021C" w:rsidRDefault="00ED021C" w:rsidP="00ED021C">
      <w:pPr>
        <w:rPr>
          <w:rFonts w:cs="Arial"/>
          <w:sz w:val="22"/>
          <w:szCs w:val="22"/>
        </w:rPr>
      </w:pPr>
      <w:r w:rsidRPr="00BD1B8D">
        <w:rPr>
          <w:rFonts w:cs="Arial"/>
          <w:i/>
          <w:iCs/>
          <w:sz w:val="22"/>
          <w:szCs w:val="22"/>
        </w:rPr>
        <w:t xml:space="preserve">De no aceptarse el cambio en relación con la definición </w:t>
      </w:r>
      <w:r w:rsidR="008D7565">
        <w:rPr>
          <w:rFonts w:cs="Arial"/>
          <w:i/>
          <w:iCs/>
          <w:sz w:val="22"/>
          <w:szCs w:val="22"/>
        </w:rPr>
        <w:t>‘</w:t>
      </w:r>
      <w:r w:rsidRPr="00BD1B8D">
        <w:rPr>
          <w:rFonts w:cs="Arial"/>
          <w:i/>
          <w:iCs/>
          <w:sz w:val="22"/>
          <w:szCs w:val="22"/>
        </w:rPr>
        <w:t>Participantes del Mercado Mayorista</w:t>
      </w:r>
      <w:r w:rsidR="008D7565">
        <w:rPr>
          <w:rFonts w:cs="Arial"/>
          <w:i/>
          <w:iCs/>
          <w:sz w:val="22"/>
          <w:szCs w:val="22"/>
        </w:rPr>
        <w:t>’</w:t>
      </w:r>
      <w:r w:rsidRPr="00BD1B8D">
        <w:rPr>
          <w:rFonts w:cs="Arial"/>
          <w:i/>
          <w:iCs/>
          <w:sz w:val="22"/>
          <w:szCs w:val="22"/>
        </w:rPr>
        <w:t xml:space="preserve"> que incluye a Comercializadores Mayoristas y a Comercializadores Minoristas, puede incurrirse en el equívoco según el cual los comercializadores que no cuentan con redes de distribución y utilizan otros medios para la prestación del servicio público de gas combustible, no participan en el mercado mayorista de gas natural</w:t>
      </w:r>
      <w:r w:rsidRPr="00ED021C">
        <w:rPr>
          <w:rFonts w:cs="Arial"/>
          <w:sz w:val="22"/>
          <w:szCs w:val="22"/>
        </w:rPr>
        <w:t>."</w:t>
      </w:r>
    </w:p>
    <w:p w14:paraId="270CB642" w14:textId="2DB8DBD1" w:rsidR="00BD1B8D" w:rsidRDefault="00BD1B8D" w:rsidP="00ED021C">
      <w:pPr>
        <w:rPr>
          <w:rFonts w:cs="Arial"/>
          <w:sz w:val="22"/>
          <w:szCs w:val="22"/>
        </w:rPr>
      </w:pPr>
    </w:p>
    <w:p w14:paraId="27D5B299" w14:textId="74E68100" w:rsidR="00BD1B8D" w:rsidRPr="00BD1B8D" w:rsidRDefault="00BD1B8D" w:rsidP="00ED021C">
      <w:pPr>
        <w:rPr>
          <w:rFonts w:cs="Arial"/>
          <w:b/>
          <w:bCs/>
          <w:sz w:val="22"/>
          <w:szCs w:val="22"/>
        </w:rPr>
      </w:pPr>
      <w:r w:rsidRPr="00BD1B8D">
        <w:rPr>
          <w:rFonts w:cs="Arial"/>
          <w:b/>
          <w:bCs/>
          <w:sz w:val="22"/>
          <w:szCs w:val="22"/>
        </w:rPr>
        <w:t>Respuesta:</w:t>
      </w:r>
    </w:p>
    <w:p w14:paraId="49EFD436" w14:textId="5109FF2C" w:rsidR="00BD1B8D" w:rsidRDefault="00BD1B8D" w:rsidP="00ED021C">
      <w:pPr>
        <w:rPr>
          <w:rFonts w:cs="Arial"/>
          <w:sz w:val="22"/>
          <w:szCs w:val="22"/>
        </w:rPr>
      </w:pPr>
    </w:p>
    <w:p w14:paraId="078F2E14" w14:textId="68787BA2" w:rsidR="00BD1B8D" w:rsidRDefault="00BD1B8D"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_Ref130534686 \r \h </w:instrText>
      </w:r>
      <w:r>
        <w:rPr>
          <w:rFonts w:cs="Arial"/>
          <w:sz w:val="22"/>
          <w:szCs w:val="22"/>
        </w:rPr>
      </w:r>
      <w:r>
        <w:rPr>
          <w:rFonts w:cs="Arial"/>
          <w:sz w:val="22"/>
          <w:szCs w:val="22"/>
        </w:rPr>
        <w:fldChar w:fldCharType="separate"/>
      </w:r>
      <w:r w:rsidR="007651EA">
        <w:rPr>
          <w:rFonts w:cs="Arial"/>
          <w:sz w:val="22"/>
          <w:szCs w:val="22"/>
        </w:rPr>
        <w:t>4.11.1.1</w:t>
      </w:r>
      <w:r>
        <w:rPr>
          <w:rFonts w:cs="Arial"/>
          <w:sz w:val="22"/>
          <w:szCs w:val="22"/>
        </w:rPr>
        <w:fldChar w:fldCharType="end"/>
      </w:r>
      <w:r>
        <w:rPr>
          <w:rFonts w:cs="Arial"/>
          <w:sz w:val="22"/>
          <w:szCs w:val="22"/>
        </w:rPr>
        <w:t>.</w:t>
      </w:r>
    </w:p>
    <w:p w14:paraId="5645DBB1" w14:textId="77777777" w:rsidR="00BD1B8D" w:rsidRPr="00ED021C" w:rsidRDefault="00BD1B8D" w:rsidP="00ED021C">
      <w:pPr>
        <w:rPr>
          <w:rFonts w:cs="Arial"/>
          <w:sz w:val="22"/>
          <w:szCs w:val="22"/>
        </w:rPr>
      </w:pPr>
    </w:p>
    <w:p w14:paraId="65AD691B" w14:textId="77777777" w:rsidR="00ED021C" w:rsidRDefault="00ED021C" w:rsidP="00ED021C">
      <w:pPr>
        <w:rPr>
          <w:rFonts w:cs="Arial"/>
          <w:sz w:val="22"/>
          <w:szCs w:val="22"/>
        </w:rPr>
      </w:pPr>
    </w:p>
    <w:p w14:paraId="2666234C" w14:textId="77777777" w:rsidR="00ED021C" w:rsidRDefault="00ED021C" w:rsidP="00536D4C">
      <w:pPr>
        <w:pStyle w:val="Ttulo4"/>
      </w:pPr>
      <w:r w:rsidRPr="00ED021C">
        <w:t>MC2 S.A. E.S.P.</w:t>
      </w:r>
      <w:r w:rsidRPr="00ED021C">
        <w:tab/>
      </w:r>
    </w:p>
    <w:p w14:paraId="301166E9" w14:textId="76C9B6EB" w:rsidR="00ED021C" w:rsidRPr="00BD1B8D" w:rsidRDefault="00ED021C" w:rsidP="00ED021C">
      <w:pPr>
        <w:rPr>
          <w:rFonts w:cs="Arial"/>
          <w:i/>
          <w:iCs/>
          <w:sz w:val="22"/>
          <w:szCs w:val="22"/>
        </w:rPr>
      </w:pPr>
      <w:r w:rsidRPr="00ED021C">
        <w:rPr>
          <w:rFonts w:cs="Arial"/>
          <w:sz w:val="22"/>
          <w:szCs w:val="22"/>
        </w:rPr>
        <w:t>"</w:t>
      </w:r>
      <w:r w:rsidRPr="00BD1B8D">
        <w:rPr>
          <w:rFonts w:cs="Arial"/>
          <w:i/>
          <w:iCs/>
          <w:sz w:val="22"/>
          <w:szCs w:val="22"/>
        </w:rPr>
        <w:t xml:space="preserve">El inciso final de la definición en cuestión establece que </w:t>
      </w:r>
      <w:r w:rsidR="006C0A41">
        <w:rPr>
          <w:rFonts w:cs="Arial"/>
          <w:i/>
          <w:iCs/>
          <w:sz w:val="22"/>
          <w:szCs w:val="22"/>
        </w:rPr>
        <w:t>‘</w:t>
      </w:r>
      <w:r w:rsidRPr="00BD1B8D">
        <w:rPr>
          <w:rFonts w:cs="Arial"/>
          <w:i/>
          <w:iCs/>
          <w:sz w:val="22"/>
          <w:szCs w:val="22"/>
        </w:rPr>
        <w:t>Para los efectos de esta resolución, el Comercializador de GNVC es un Participante del Mercado.</w:t>
      </w:r>
      <w:r w:rsidR="006C0A41">
        <w:rPr>
          <w:rFonts w:cs="Arial"/>
          <w:i/>
          <w:iCs/>
          <w:sz w:val="22"/>
          <w:szCs w:val="22"/>
        </w:rPr>
        <w:t>’</w:t>
      </w:r>
      <w:r w:rsidRPr="00BD1B8D">
        <w:rPr>
          <w:rFonts w:cs="Arial"/>
          <w:i/>
          <w:iCs/>
          <w:sz w:val="22"/>
          <w:szCs w:val="22"/>
        </w:rPr>
        <w:t xml:space="preserve"> Le solicitamos exponer las razones que justifican la inclusión de esta aclaración teniendo en cuenta que estos agentes, los comercializadores de GNCV, desde antaño participan en el mercado en su calidad de usuarios no regulados. Adicionalmente, el proyecto de resolución 702 002 define de manera clara los usuarios no regulados por consumo y por actividad.</w:t>
      </w:r>
    </w:p>
    <w:p w14:paraId="26A5BFAE" w14:textId="77777777" w:rsidR="00ED021C" w:rsidRPr="00BD1B8D" w:rsidRDefault="00ED021C" w:rsidP="00ED021C">
      <w:pPr>
        <w:rPr>
          <w:rFonts w:cs="Arial"/>
          <w:i/>
          <w:iCs/>
          <w:sz w:val="22"/>
          <w:szCs w:val="22"/>
        </w:rPr>
      </w:pPr>
    </w:p>
    <w:p w14:paraId="3FB7312E" w14:textId="1621A8B4" w:rsidR="00ED021C" w:rsidRDefault="00ED021C" w:rsidP="00ED021C">
      <w:pPr>
        <w:rPr>
          <w:rFonts w:cs="Arial"/>
          <w:sz w:val="22"/>
          <w:szCs w:val="22"/>
        </w:rPr>
      </w:pPr>
      <w:r w:rsidRPr="00BD1B8D">
        <w:rPr>
          <w:rFonts w:cs="Arial"/>
          <w:i/>
          <w:iCs/>
          <w:sz w:val="22"/>
          <w:szCs w:val="22"/>
        </w:rPr>
        <w:t>En caso de que, de acuerdo con su exposición, se trate de una aclaración para hacer más explícita y clara la regulación, le solicitamos considerar la inclusión del Comercializador no distribuidor o puro</w:t>
      </w:r>
      <w:r w:rsidRPr="00ED021C">
        <w:rPr>
          <w:rFonts w:cs="Arial"/>
          <w:sz w:val="22"/>
          <w:szCs w:val="22"/>
        </w:rPr>
        <w:t>."</w:t>
      </w:r>
    </w:p>
    <w:p w14:paraId="2451CD5F" w14:textId="71407007" w:rsidR="00BD1B8D" w:rsidRDefault="00BD1B8D" w:rsidP="00ED021C">
      <w:pPr>
        <w:rPr>
          <w:rFonts w:cs="Arial"/>
          <w:sz w:val="22"/>
          <w:szCs w:val="22"/>
        </w:rPr>
      </w:pPr>
    </w:p>
    <w:p w14:paraId="5016B76D" w14:textId="3764B75B" w:rsidR="00BD1B8D" w:rsidRPr="00BD1B8D" w:rsidRDefault="00BD1B8D" w:rsidP="00ED021C">
      <w:pPr>
        <w:rPr>
          <w:rFonts w:cs="Arial"/>
          <w:b/>
          <w:bCs/>
          <w:sz w:val="22"/>
          <w:szCs w:val="22"/>
        </w:rPr>
      </w:pPr>
      <w:r w:rsidRPr="00BD1B8D">
        <w:rPr>
          <w:rFonts w:cs="Arial"/>
          <w:b/>
          <w:bCs/>
          <w:sz w:val="22"/>
          <w:szCs w:val="22"/>
        </w:rPr>
        <w:t>Respuesta:</w:t>
      </w:r>
    </w:p>
    <w:p w14:paraId="2DDAE192" w14:textId="410C763B" w:rsidR="00BD1B8D" w:rsidRDefault="00BD1B8D" w:rsidP="00ED021C">
      <w:pPr>
        <w:rPr>
          <w:rFonts w:cs="Arial"/>
          <w:sz w:val="22"/>
          <w:szCs w:val="22"/>
        </w:rPr>
      </w:pPr>
    </w:p>
    <w:p w14:paraId="16208742" w14:textId="4786FD1C" w:rsidR="00BD1B8D" w:rsidRDefault="00AA0B80" w:rsidP="00ED021C">
      <w:pPr>
        <w:rPr>
          <w:rFonts w:cs="Arial"/>
          <w:sz w:val="22"/>
          <w:szCs w:val="22"/>
        </w:rPr>
      </w:pPr>
      <w:r>
        <w:rPr>
          <w:rFonts w:cs="Arial"/>
          <w:sz w:val="22"/>
          <w:szCs w:val="22"/>
        </w:rPr>
        <w:t>Se acoge parcialmente el comentario.</w:t>
      </w:r>
    </w:p>
    <w:p w14:paraId="22DAB47C" w14:textId="3B4ABFB4" w:rsidR="00AA0B80" w:rsidRDefault="00AA0B80" w:rsidP="00ED021C">
      <w:pPr>
        <w:rPr>
          <w:rFonts w:cs="Arial"/>
          <w:sz w:val="22"/>
          <w:szCs w:val="22"/>
        </w:rPr>
      </w:pPr>
    </w:p>
    <w:p w14:paraId="3DA9413F" w14:textId="3698040A" w:rsidR="00AA0B80" w:rsidRDefault="00AA0B80" w:rsidP="00ED021C">
      <w:pPr>
        <w:rPr>
          <w:rFonts w:cs="Arial"/>
          <w:sz w:val="22"/>
          <w:szCs w:val="22"/>
        </w:rPr>
      </w:pPr>
      <w:r>
        <w:rPr>
          <w:rFonts w:cs="Arial"/>
          <w:sz w:val="22"/>
          <w:szCs w:val="22"/>
        </w:rPr>
        <w:t xml:space="preserve">En la nueva propuesta se hacen ajustes a la definición de tal manera que se limite a aquella contemplada en el Decreto 1073 de 2015, puesto que </w:t>
      </w:r>
      <w:r w:rsidR="0072416A">
        <w:rPr>
          <w:rFonts w:cs="Arial"/>
          <w:sz w:val="22"/>
          <w:szCs w:val="22"/>
        </w:rPr>
        <w:t xml:space="preserve">el comercializador de GNCV puede participar en el Mercado Primario como </w:t>
      </w:r>
      <w:r>
        <w:rPr>
          <w:rFonts w:cs="Arial"/>
          <w:sz w:val="22"/>
          <w:szCs w:val="22"/>
        </w:rPr>
        <w:t>un usuario no regulado</w:t>
      </w:r>
      <w:r w:rsidR="0072416A">
        <w:rPr>
          <w:rFonts w:cs="Arial"/>
          <w:sz w:val="22"/>
          <w:szCs w:val="22"/>
        </w:rPr>
        <w:t>,</w:t>
      </w:r>
      <w:r>
        <w:rPr>
          <w:rFonts w:cs="Arial"/>
          <w:sz w:val="22"/>
          <w:szCs w:val="22"/>
        </w:rPr>
        <w:t xml:space="preserve"> que particularmente tiene como objeto la prestación de otro servicio público directamente con el gas que adquiere en el Mercado Primario.</w:t>
      </w:r>
    </w:p>
    <w:p w14:paraId="00DFB1D4" w14:textId="20B5BC5A" w:rsidR="0072416A" w:rsidRDefault="0072416A" w:rsidP="00ED021C">
      <w:pPr>
        <w:rPr>
          <w:rFonts w:cs="Arial"/>
          <w:sz w:val="22"/>
          <w:szCs w:val="22"/>
        </w:rPr>
      </w:pPr>
    </w:p>
    <w:p w14:paraId="77079439" w14:textId="66FE5768" w:rsidR="0072416A" w:rsidRDefault="0072416A" w:rsidP="00ED021C">
      <w:pPr>
        <w:rPr>
          <w:rFonts w:cs="Arial"/>
          <w:sz w:val="22"/>
          <w:szCs w:val="22"/>
        </w:rPr>
      </w:pPr>
      <w:r>
        <w:rPr>
          <w:rFonts w:cs="Arial"/>
          <w:sz w:val="22"/>
          <w:szCs w:val="22"/>
        </w:rPr>
        <w:t>Se debe tener en cuenta en todo caso que al comercializador de GNCV le aplica lo dispuesto en la Resolución CREG 08 de 1998 o aquellas que la modifiquen o sustituyan.</w:t>
      </w:r>
    </w:p>
    <w:p w14:paraId="39E2914C" w14:textId="43ECDFF5" w:rsidR="00AA0B80" w:rsidRDefault="00AA0B80" w:rsidP="00ED021C">
      <w:pPr>
        <w:rPr>
          <w:rFonts w:cs="Arial"/>
          <w:sz w:val="22"/>
          <w:szCs w:val="22"/>
        </w:rPr>
      </w:pPr>
    </w:p>
    <w:p w14:paraId="6D416F9D" w14:textId="77777777" w:rsidR="00ED021C" w:rsidRDefault="00ED021C" w:rsidP="00ED021C">
      <w:pPr>
        <w:rPr>
          <w:rFonts w:cs="Arial"/>
          <w:sz w:val="22"/>
          <w:szCs w:val="22"/>
        </w:rPr>
      </w:pPr>
    </w:p>
    <w:p w14:paraId="48BE6A41" w14:textId="77777777" w:rsidR="00ED021C" w:rsidRDefault="00ED021C" w:rsidP="00536D4C">
      <w:pPr>
        <w:pStyle w:val="Ttulo2"/>
      </w:pPr>
      <w:bookmarkStart w:id="561" w:name="_Toc140506276"/>
      <w:r w:rsidRPr="00ED021C">
        <w:t>OILGAS ENERGY</w:t>
      </w:r>
      <w:bookmarkEnd w:id="561"/>
      <w:r w:rsidRPr="00ED021C">
        <w:tab/>
      </w:r>
    </w:p>
    <w:p w14:paraId="11A271C9" w14:textId="77777777" w:rsidR="00536D4C" w:rsidRDefault="00536D4C" w:rsidP="00536D4C">
      <w:pPr>
        <w:pStyle w:val="Ttulo4"/>
      </w:pPr>
      <w:r w:rsidRPr="00ED021C">
        <w:t>OILGAS ENERGY</w:t>
      </w:r>
      <w:r w:rsidRPr="00ED021C">
        <w:tab/>
      </w:r>
    </w:p>
    <w:p w14:paraId="71E689AD" w14:textId="0263C663" w:rsidR="00ED021C" w:rsidRPr="0072416A" w:rsidRDefault="00ED021C" w:rsidP="00ED021C">
      <w:pPr>
        <w:rPr>
          <w:rFonts w:cs="Arial"/>
          <w:i/>
          <w:iCs/>
          <w:sz w:val="22"/>
          <w:szCs w:val="22"/>
        </w:rPr>
      </w:pPr>
      <w:r w:rsidRPr="00ED021C">
        <w:rPr>
          <w:rFonts w:cs="Arial"/>
          <w:sz w:val="22"/>
          <w:szCs w:val="22"/>
        </w:rPr>
        <w:t>"</w:t>
      </w:r>
      <w:r w:rsidRPr="0072416A">
        <w:rPr>
          <w:rFonts w:cs="Arial"/>
          <w:i/>
          <w:iCs/>
          <w:sz w:val="22"/>
          <w:szCs w:val="22"/>
        </w:rPr>
        <w:t>Se sugiere incluir que la comercialización minorista también se puede realizar a través de redes o transporte virtuales porque la redacción actual solo hace referencia a redes de tubería.</w:t>
      </w:r>
    </w:p>
    <w:p w14:paraId="13750BD9" w14:textId="77777777" w:rsidR="00ED021C" w:rsidRPr="0072416A" w:rsidRDefault="00ED021C" w:rsidP="00ED021C">
      <w:pPr>
        <w:rPr>
          <w:rFonts w:cs="Arial"/>
          <w:i/>
          <w:iCs/>
          <w:sz w:val="22"/>
          <w:szCs w:val="22"/>
        </w:rPr>
      </w:pPr>
    </w:p>
    <w:p w14:paraId="343C9521" w14:textId="3DEE746D" w:rsidR="00ED021C" w:rsidRPr="0072416A" w:rsidRDefault="00ED021C" w:rsidP="00ED021C">
      <w:pPr>
        <w:rPr>
          <w:rFonts w:cs="Arial"/>
          <w:i/>
          <w:iCs/>
          <w:sz w:val="22"/>
          <w:szCs w:val="22"/>
        </w:rPr>
      </w:pPr>
      <w:r w:rsidRPr="0072416A">
        <w:rPr>
          <w:rFonts w:cs="Arial"/>
          <w:i/>
          <w:iCs/>
          <w:sz w:val="22"/>
          <w:szCs w:val="22"/>
        </w:rPr>
        <w:t>En atención a que uno de los objetivos con los cambios propuestos con el Borrador CREG 226 de 2021 es flexibilizar el GNC y el GNL, y dado que las redes virtuales permiten la atención de demanda final no atendida a través de redes de tubería, se sugiere incluir que en el mercado minorista también se puede realizar la distribución a través de redes o transporte virtual."</w:t>
      </w:r>
    </w:p>
    <w:p w14:paraId="7FF53FE0" w14:textId="27AC77D0" w:rsidR="0072416A" w:rsidRDefault="0072416A" w:rsidP="00ED021C">
      <w:pPr>
        <w:rPr>
          <w:rFonts w:cs="Arial"/>
          <w:sz w:val="22"/>
          <w:szCs w:val="22"/>
        </w:rPr>
      </w:pPr>
    </w:p>
    <w:p w14:paraId="1E7D33AB" w14:textId="19F6EE44" w:rsidR="0072416A" w:rsidRPr="0072416A" w:rsidRDefault="0072416A" w:rsidP="00ED021C">
      <w:pPr>
        <w:rPr>
          <w:rFonts w:cs="Arial"/>
          <w:b/>
          <w:bCs/>
          <w:sz w:val="22"/>
          <w:szCs w:val="22"/>
        </w:rPr>
      </w:pPr>
      <w:r w:rsidRPr="0072416A">
        <w:rPr>
          <w:rFonts w:cs="Arial"/>
          <w:b/>
          <w:bCs/>
          <w:sz w:val="22"/>
          <w:szCs w:val="22"/>
        </w:rPr>
        <w:t>Respuesta:</w:t>
      </w:r>
    </w:p>
    <w:p w14:paraId="311F633F" w14:textId="1C2F38BD" w:rsidR="0072416A" w:rsidRDefault="0072416A" w:rsidP="00ED021C">
      <w:pPr>
        <w:rPr>
          <w:rFonts w:cs="Arial"/>
          <w:sz w:val="22"/>
          <w:szCs w:val="22"/>
        </w:rPr>
      </w:pPr>
    </w:p>
    <w:p w14:paraId="5AA05DC3" w14:textId="3ABFB478" w:rsidR="0072416A" w:rsidRDefault="0072416A"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_Ref130534686 \r \h </w:instrText>
      </w:r>
      <w:r>
        <w:rPr>
          <w:rFonts w:cs="Arial"/>
          <w:sz w:val="22"/>
          <w:szCs w:val="22"/>
        </w:rPr>
      </w:r>
      <w:r>
        <w:rPr>
          <w:rFonts w:cs="Arial"/>
          <w:sz w:val="22"/>
          <w:szCs w:val="22"/>
        </w:rPr>
        <w:fldChar w:fldCharType="separate"/>
      </w:r>
      <w:r w:rsidR="007651EA">
        <w:rPr>
          <w:rFonts w:cs="Arial"/>
          <w:sz w:val="22"/>
          <w:szCs w:val="22"/>
        </w:rPr>
        <w:t>4.11.1.1</w:t>
      </w:r>
      <w:r>
        <w:rPr>
          <w:rFonts w:cs="Arial"/>
          <w:sz w:val="22"/>
          <w:szCs w:val="22"/>
        </w:rPr>
        <w:fldChar w:fldCharType="end"/>
      </w:r>
      <w:r>
        <w:rPr>
          <w:rFonts w:cs="Arial"/>
          <w:sz w:val="22"/>
          <w:szCs w:val="22"/>
        </w:rPr>
        <w:t>.</w:t>
      </w:r>
    </w:p>
    <w:p w14:paraId="26FB3BE7" w14:textId="77777777" w:rsidR="0072416A" w:rsidRPr="00ED021C" w:rsidRDefault="0072416A" w:rsidP="00ED021C">
      <w:pPr>
        <w:rPr>
          <w:rFonts w:cs="Arial"/>
          <w:sz w:val="22"/>
          <w:szCs w:val="22"/>
        </w:rPr>
      </w:pPr>
    </w:p>
    <w:p w14:paraId="145F3472" w14:textId="77777777" w:rsidR="00ED021C" w:rsidRDefault="00ED021C" w:rsidP="00ED021C">
      <w:pPr>
        <w:rPr>
          <w:rFonts w:cs="Arial"/>
          <w:sz w:val="22"/>
          <w:szCs w:val="22"/>
        </w:rPr>
      </w:pPr>
    </w:p>
    <w:p w14:paraId="75CBAD60" w14:textId="77777777" w:rsidR="00ED021C" w:rsidRDefault="00ED021C" w:rsidP="00536D4C">
      <w:pPr>
        <w:pStyle w:val="Ttulo4"/>
      </w:pPr>
      <w:r w:rsidRPr="00ED021C">
        <w:t>OILGAS ENERGY</w:t>
      </w:r>
      <w:r w:rsidRPr="00ED021C">
        <w:tab/>
      </w:r>
    </w:p>
    <w:p w14:paraId="1331E064" w14:textId="6D2658E6" w:rsidR="00ED021C" w:rsidRPr="0072416A" w:rsidRDefault="00196D95" w:rsidP="00ED021C">
      <w:pPr>
        <w:rPr>
          <w:rFonts w:cs="Arial"/>
          <w:i/>
          <w:iCs/>
          <w:sz w:val="22"/>
          <w:szCs w:val="22"/>
        </w:rPr>
      </w:pPr>
      <w:r>
        <w:rPr>
          <w:rFonts w:cs="Arial"/>
          <w:i/>
          <w:iCs/>
          <w:sz w:val="22"/>
          <w:szCs w:val="22"/>
        </w:rPr>
        <w:t>“</w:t>
      </w:r>
      <w:r w:rsidR="00ED021C" w:rsidRPr="0072416A">
        <w:rPr>
          <w:rFonts w:cs="Arial"/>
          <w:i/>
          <w:iCs/>
          <w:sz w:val="22"/>
          <w:szCs w:val="22"/>
        </w:rPr>
        <w:t>En atención a que los usuarios residenciales y los pequeños usuarios comerciales que no están inmersos en la red de distribución; no son considerados demanda esencial, se sugiere incluir en la definición de demanda esencial que las disposiciones contenidas en la resolución no le son aplicable a los usuarios que no están conectados o inmersos en la red de distribución.</w:t>
      </w:r>
      <w:r w:rsidR="008862ED">
        <w:rPr>
          <w:rFonts w:cs="Arial"/>
          <w:i/>
          <w:iCs/>
          <w:sz w:val="22"/>
          <w:szCs w:val="22"/>
        </w:rPr>
        <w:t>”</w:t>
      </w:r>
    </w:p>
    <w:p w14:paraId="59E9B8E0" w14:textId="76664D7A" w:rsidR="0072416A" w:rsidRDefault="0072416A" w:rsidP="00ED021C">
      <w:pPr>
        <w:rPr>
          <w:rFonts w:cs="Arial"/>
          <w:sz w:val="22"/>
          <w:szCs w:val="22"/>
        </w:rPr>
      </w:pPr>
    </w:p>
    <w:p w14:paraId="4DB734EF" w14:textId="5C0743E6" w:rsidR="0072416A" w:rsidRPr="0072416A" w:rsidRDefault="0072416A" w:rsidP="00ED021C">
      <w:pPr>
        <w:rPr>
          <w:rFonts w:cs="Arial"/>
          <w:b/>
          <w:bCs/>
          <w:sz w:val="22"/>
          <w:szCs w:val="22"/>
        </w:rPr>
      </w:pPr>
      <w:r w:rsidRPr="0072416A">
        <w:rPr>
          <w:rFonts w:cs="Arial"/>
          <w:b/>
          <w:bCs/>
          <w:sz w:val="22"/>
          <w:szCs w:val="22"/>
        </w:rPr>
        <w:t>Respuesta:</w:t>
      </w:r>
    </w:p>
    <w:p w14:paraId="1DC4C2C5" w14:textId="1EC0B4F3" w:rsidR="0072416A" w:rsidRDefault="0072416A" w:rsidP="00ED021C">
      <w:pPr>
        <w:rPr>
          <w:rFonts w:cs="Arial"/>
          <w:sz w:val="22"/>
          <w:szCs w:val="22"/>
        </w:rPr>
      </w:pPr>
    </w:p>
    <w:p w14:paraId="5702EDA0" w14:textId="7F0C1556" w:rsidR="00165AA9" w:rsidRPr="001A1FEA" w:rsidRDefault="00165AA9" w:rsidP="00165AA9">
      <w:pPr>
        <w:rPr>
          <w:rFonts w:cs="Arial"/>
          <w:sz w:val="22"/>
          <w:szCs w:val="22"/>
        </w:rPr>
      </w:pPr>
      <w:r w:rsidRPr="001A1FEA">
        <w:rPr>
          <w:rFonts w:cs="Arial"/>
          <w:sz w:val="22"/>
          <w:szCs w:val="22"/>
        </w:rPr>
        <w:t xml:space="preserve">Ver respuesta a </w:t>
      </w:r>
      <w:r w:rsidRPr="001A1FEA">
        <w:rPr>
          <w:rFonts w:cs="Arial"/>
          <w:sz w:val="22"/>
          <w:szCs w:val="22"/>
        </w:rPr>
        <w:fldChar w:fldCharType="begin"/>
      </w:r>
      <w:r w:rsidRPr="001A1FEA">
        <w:rPr>
          <w:rFonts w:cs="Arial"/>
          <w:sz w:val="22"/>
          <w:szCs w:val="22"/>
        </w:rPr>
        <w:instrText xml:space="preserve"> REF _Ref130462284 \r \h </w:instrText>
      </w:r>
      <w:r>
        <w:rPr>
          <w:rFonts w:cs="Arial"/>
          <w:sz w:val="22"/>
          <w:szCs w:val="22"/>
        </w:rPr>
        <w:instrText xml:space="preserve"> \* MERGEFORMAT </w:instrText>
      </w:r>
      <w:r w:rsidRPr="001A1FEA">
        <w:rPr>
          <w:rFonts w:cs="Arial"/>
          <w:sz w:val="22"/>
          <w:szCs w:val="22"/>
        </w:rPr>
      </w:r>
      <w:r w:rsidRPr="001A1FEA">
        <w:rPr>
          <w:rFonts w:cs="Arial"/>
          <w:sz w:val="22"/>
          <w:szCs w:val="22"/>
        </w:rPr>
        <w:fldChar w:fldCharType="separate"/>
      </w:r>
      <w:r w:rsidR="007651EA">
        <w:rPr>
          <w:rFonts w:cs="Arial"/>
          <w:sz w:val="22"/>
          <w:szCs w:val="22"/>
        </w:rPr>
        <w:t>2.2.1.1</w:t>
      </w:r>
      <w:r w:rsidRPr="001A1FEA">
        <w:rPr>
          <w:rFonts w:cs="Arial"/>
          <w:sz w:val="22"/>
          <w:szCs w:val="22"/>
        </w:rPr>
        <w:fldChar w:fldCharType="end"/>
      </w:r>
      <w:r w:rsidRPr="001A1FEA">
        <w:rPr>
          <w:rFonts w:cs="Arial"/>
          <w:sz w:val="22"/>
          <w:szCs w:val="22"/>
        </w:rPr>
        <w:t>.</w:t>
      </w:r>
    </w:p>
    <w:p w14:paraId="22BBEEB1" w14:textId="77777777" w:rsidR="0072416A" w:rsidRPr="00ED021C" w:rsidRDefault="0072416A" w:rsidP="00ED021C">
      <w:pPr>
        <w:rPr>
          <w:rFonts w:cs="Arial"/>
          <w:sz w:val="22"/>
          <w:szCs w:val="22"/>
        </w:rPr>
      </w:pPr>
    </w:p>
    <w:p w14:paraId="71E8AD90" w14:textId="77777777" w:rsidR="00ED021C" w:rsidRDefault="00ED021C" w:rsidP="00ED021C">
      <w:pPr>
        <w:rPr>
          <w:rFonts w:cs="Arial"/>
          <w:sz w:val="22"/>
          <w:szCs w:val="22"/>
        </w:rPr>
      </w:pPr>
    </w:p>
    <w:p w14:paraId="629B5813" w14:textId="77777777" w:rsidR="00ED021C" w:rsidRDefault="00ED021C" w:rsidP="00536D4C">
      <w:pPr>
        <w:pStyle w:val="Ttulo4"/>
      </w:pPr>
      <w:r w:rsidRPr="00ED021C">
        <w:t>OILGAS ENERGY</w:t>
      </w:r>
      <w:r w:rsidRPr="00ED021C">
        <w:tab/>
      </w:r>
    </w:p>
    <w:p w14:paraId="7B7A2827" w14:textId="1E551127" w:rsidR="00ED021C" w:rsidRPr="00165AA9" w:rsidRDefault="00ED021C" w:rsidP="00ED021C">
      <w:pPr>
        <w:rPr>
          <w:rFonts w:cs="Arial"/>
          <w:i/>
          <w:iCs/>
          <w:sz w:val="22"/>
          <w:szCs w:val="22"/>
        </w:rPr>
      </w:pPr>
      <w:r w:rsidRPr="00ED021C">
        <w:rPr>
          <w:rFonts w:cs="Arial"/>
          <w:sz w:val="22"/>
          <w:szCs w:val="22"/>
        </w:rPr>
        <w:t>"</w:t>
      </w:r>
      <w:r w:rsidRPr="00165AA9">
        <w:rPr>
          <w:rFonts w:cs="Arial"/>
          <w:i/>
          <w:iCs/>
          <w:sz w:val="22"/>
          <w:szCs w:val="22"/>
        </w:rPr>
        <w:t xml:space="preserve">En la definición de </w:t>
      </w:r>
      <w:r w:rsidR="008862ED">
        <w:rPr>
          <w:rFonts w:cs="Arial"/>
          <w:i/>
          <w:iCs/>
          <w:sz w:val="22"/>
          <w:szCs w:val="22"/>
        </w:rPr>
        <w:t>‘</w:t>
      </w:r>
      <w:r w:rsidRPr="00165AA9">
        <w:rPr>
          <w:rFonts w:cs="Arial"/>
          <w:i/>
          <w:iCs/>
          <w:sz w:val="22"/>
          <w:szCs w:val="22"/>
        </w:rPr>
        <w:t>Participantes del Mercado Mayorista</w:t>
      </w:r>
      <w:r w:rsidR="008862ED">
        <w:rPr>
          <w:rFonts w:cs="Arial"/>
          <w:i/>
          <w:iCs/>
          <w:sz w:val="22"/>
          <w:szCs w:val="22"/>
        </w:rPr>
        <w:t>’</w:t>
      </w:r>
      <w:r w:rsidRPr="00165AA9">
        <w:rPr>
          <w:rFonts w:cs="Arial"/>
          <w:i/>
          <w:iCs/>
          <w:sz w:val="22"/>
          <w:szCs w:val="22"/>
        </w:rPr>
        <w:t xml:space="preserve">, se incluye la de los Comercializadores Minoristas, al respecto se pregunta: </w:t>
      </w:r>
    </w:p>
    <w:p w14:paraId="1863597B" w14:textId="77777777" w:rsidR="00ED021C" w:rsidRPr="00165AA9" w:rsidRDefault="00ED021C" w:rsidP="00ED021C">
      <w:pPr>
        <w:rPr>
          <w:rFonts w:cs="Arial"/>
          <w:i/>
          <w:iCs/>
          <w:sz w:val="22"/>
          <w:szCs w:val="22"/>
        </w:rPr>
      </w:pPr>
      <w:r w:rsidRPr="00165AA9">
        <w:rPr>
          <w:rFonts w:cs="Arial"/>
          <w:i/>
          <w:iCs/>
          <w:sz w:val="22"/>
          <w:szCs w:val="22"/>
        </w:rPr>
        <w:t>• ¿Esto significa que a las transacciones del mercado minorista le son aplicables las reglas y condiciones señaladas en el Borrador CREG 226 de 2021?</w:t>
      </w:r>
    </w:p>
    <w:p w14:paraId="366C7A28" w14:textId="77777777" w:rsidR="00ED021C" w:rsidRPr="00165AA9" w:rsidRDefault="00ED021C" w:rsidP="00ED021C">
      <w:pPr>
        <w:rPr>
          <w:rFonts w:cs="Arial"/>
          <w:i/>
          <w:iCs/>
          <w:sz w:val="22"/>
          <w:szCs w:val="22"/>
        </w:rPr>
      </w:pPr>
      <w:r w:rsidRPr="00165AA9">
        <w:rPr>
          <w:rFonts w:cs="Arial"/>
          <w:i/>
          <w:iCs/>
          <w:sz w:val="22"/>
          <w:szCs w:val="22"/>
        </w:rPr>
        <w:t>• ¿El Comercializador de GNCV es un Participante del Mercado Mayorista o Minorista?</w:t>
      </w:r>
    </w:p>
    <w:p w14:paraId="7A972C64" w14:textId="0DDD9096" w:rsidR="00ED021C" w:rsidRPr="00165AA9" w:rsidRDefault="00ED021C" w:rsidP="00ED021C">
      <w:pPr>
        <w:rPr>
          <w:rFonts w:cs="Arial"/>
          <w:i/>
          <w:iCs/>
          <w:sz w:val="22"/>
          <w:szCs w:val="22"/>
        </w:rPr>
      </w:pPr>
      <w:r w:rsidRPr="00165AA9">
        <w:rPr>
          <w:rFonts w:cs="Arial"/>
          <w:i/>
          <w:iCs/>
          <w:sz w:val="22"/>
          <w:szCs w:val="22"/>
        </w:rPr>
        <w:t>• El Usuario Final del GNCV son los vehículos que reciben el combustible del Comercializador de GNCV. Por lo anterior se pregunta: ¿El Usuario Final del GNCV hace parte del Mercado Mayorista o Minorista?"</w:t>
      </w:r>
    </w:p>
    <w:p w14:paraId="08007940" w14:textId="15384CEB" w:rsidR="00165AA9" w:rsidRDefault="00165AA9" w:rsidP="00ED021C">
      <w:pPr>
        <w:rPr>
          <w:rFonts w:cs="Arial"/>
          <w:sz w:val="22"/>
          <w:szCs w:val="22"/>
        </w:rPr>
      </w:pPr>
    </w:p>
    <w:p w14:paraId="5C0CFF82" w14:textId="77777777" w:rsidR="00165AA9" w:rsidRPr="006C6645" w:rsidRDefault="00165AA9" w:rsidP="00165AA9">
      <w:pPr>
        <w:rPr>
          <w:rFonts w:cs="Arial"/>
          <w:b/>
          <w:bCs/>
          <w:sz w:val="22"/>
          <w:szCs w:val="22"/>
        </w:rPr>
      </w:pPr>
      <w:r w:rsidRPr="006C6645">
        <w:rPr>
          <w:rFonts w:cs="Arial"/>
          <w:b/>
          <w:bCs/>
          <w:sz w:val="22"/>
          <w:szCs w:val="22"/>
        </w:rPr>
        <w:t>Respuesta:</w:t>
      </w:r>
    </w:p>
    <w:p w14:paraId="79B2FF8E" w14:textId="77777777" w:rsidR="00165AA9" w:rsidRDefault="00165AA9" w:rsidP="00165AA9">
      <w:pPr>
        <w:rPr>
          <w:rFonts w:cs="Arial"/>
          <w:sz w:val="22"/>
          <w:szCs w:val="22"/>
        </w:rPr>
      </w:pPr>
    </w:p>
    <w:p w14:paraId="6302E8EA" w14:textId="4C0DC870" w:rsidR="00165AA9" w:rsidRDefault="00165AA9" w:rsidP="00165AA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_Ref130464947 \r \h </w:instrText>
      </w:r>
      <w:r>
        <w:rPr>
          <w:rFonts w:cs="Arial"/>
          <w:sz w:val="22"/>
          <w:szCs w:val="22"/>
        </w:rPr>
      </w:r>
      <w:r>
        <w:rPr>
          <w:rFonts w:cs="Arial"/>
          <w:sz w:val="22"/>
          <w:szCs w:val="22"/>
        </w:rPr>
        <w:fldChar w:fldCharType="separate"/>
      </w:r>
      <w:r w:rsidR="007651EA">
        <w:rPr>
          <w:rFonts w:cs="Arial"/>
          <w:sz w:val="22"/>
          <w:szCs w:val="22"/>
        </w:rPr>
        <w:t>4.1.1.3</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_Ref130464341 \r \h </w:instrText>
      </w:r>
      <w:r>
        <w:rPr>
          <w:rFonts w:cs="Arial"/>
          <w:sz w:val="22"/>
          <w:szCs w:val="22"/>
        </w:rPr>
      </w:r>
      <w:r>
        <w:rPr>
          <w:rFonts w:cs="Arial"/>
          <w:sz w:val="22"/>
          <w:szCs w:val="22"/>
        </w:rPr>
        <w:fldChar w:fldCharType="separate"/>
      </w:r>
      <w:r w:rsidR="007651EA">
        <w:rPr>
          <w:rFonts w:cs="Arial"/>
          <w:sz w:val="22"/>
          <w:szCs w:val="22"/>
        </w:rPr>
        <w:t>4.3.1.4</w:t>
      </w:r>
      <w:r>
        <w:rPr>
          <w:rFonts w:cs="Arial"/>
          <w:sz w:val="22"/>
          <w:szCs w:val="22"/>
        </w:rPr>
        <w:fldChar w:fldCharType="end"/>
      </w:r>
      <w:r>
        <w:rPr>
          <w:rFonts w:cs="Arial"/>
          <w:sz w:val="22"/>
          <w:szCs w:val="22"/>
        </w:rPr>
        <w:t>.</w:t>
      </w:r>
    </w:p>
    <w:p w14:paraId="586BE51E" w14:textId="19FC1EC8" w:rsidR="00165AA9" w:rsidRDefault="00165AA9" w:rsidP="00ED021C">
      <w:pPr>
        <w:rPr>
          <w:rFonts w:cs="Arial"/>
          <w:sz w:val="22"/>
          <w:szCs w:val="22"/>
        </w:rPr>
      </w:pPr>
    </w:p>
    <w:p w14:paraId="7835AF20" w14:textId="407FCEBF" w:rsidR="00165AA9" w:rsidRDefault="00165AA9" w:rsidP="00ED021C">
      <w:pPr>
        <w:rPr>
          <w:rFonts w:cs="Arial"/>
          <w:sz w:val="22"/>
          <w:szCs w:val="22"/>
        </w:rPr>
      </w:pPr>
      <w:r>
        <w:rPr>
          <w:rFonts w:cs="Arial"/>
          <w:sz w:val="22"/>
          <w:szCs w:val="22"/>
        </w:rPr>
        <w:t>Por otro lado, las transacciones de suministro de gas del Mercado Minorista no están sujetas del reglamento del Mercado Mayorista de Gas Natural. Precisamente una de</w:t>
      </w:r>
      <w:r w:rsidR="008862ED">
        <w:rPr>
          <w:rFonts w:cs="Arial"/>
          <w:sz w:val="22"/>
          <w:szCs w:val="22"/>
        </w:rPr>
        <w:t xml:space="preserve"> </w:t>
      </w:r>
      <w:r w:rsidR="00E5447A">
        <w:rPr>
          <w:rFonts w:cs="Arial"/>
          <w:sz w:val="22"/>
          <w:szCs w:val="22"/>
        </w:rPr>
        <w:t xml:space="preserve">las razones de </w:t>
      </w:r>
      <w:r>
        <w:rPr>
          <w:rFonts w:cs="Arial"/>
          <w:sz w:val="22"/>
          <w:szCs w:val="22"/>
        </w:rPr>
        <w:t>los ajustes que se han propuesto es el de no seguir utilizando la expresión de “</w:t>
      </w:r>
      <w:r w:rsidR="007F1A46">
        <w:rPr>
          <w:rFonts w:cs="Arial"/>
          <w:sz w:val="22"/>
          <w:szCs w:val="22"/>
        </w:rPr>
        <w:t>’</w:t>
      </w:r>
      <w:r>
        <w:rPr>
          <w:rFonts w:cs="Arial"/>
          <w:sz w:val="22"/>
          <w:szCs w:val="22"/>
        </w:rPr>
        <w:t>Otras transacciones del mercado mayorista</w:t>
      </w:r>
      <w:r w:rsidR="007F1A46">
        <w:rPr>
          <w:rFonts w:cs="Arial"/>
          <w:sz w:val="22"/>
          <w:szCs w:val="22"/>
        </w:rPr>
        <w:t>’</w:t>
      </w:r>
      <w:r>
        <w:rPr>
          <w:rFonts w:cs="Arial"/>
          <w:sz w:val="22"/>
          <w:szCs w:val="22"/>
        </w:rPr>
        <w:t xml:space="preserve"> </w:t>
      </w:r>
      <w:r w:rsidR="00FE6CA1">
        <w:rPr>
          <w:rFonts w:cs="Arial"/>
          <w:sz w:val="22"/>
          <w:szCs w:val="22"/>
        </w:rPr>
        <w:t>y la modificación de la definición de Mercado Mayorista, que podían llevar a la confusión de lo que se pregunta en el comentario por parte de los usuarios no regulados que participan en el Mercado Minorista.</w:t>
      </w:r>
    </w:p>
    <w:p w14:paraId="44F93900" w14:textId="280C962F" w:rsidR="00FE6CA1" w:rsidRDefault="00FE6CA1" w:rsidP="00ED021C">
      <w:pPr>
        <w:rPr>
          <w:rFonts w:cs="Arial"/>
          <w:sz w:val="22"/>
          <w:szCs w:val="22"/>
        </w:rPr>
      </w:pPr>
    </w:p>
    <w:p w14:paraId="05EA531B" w14:textId="56B71D9F" w:rsidR="00FE6CA1" w:rsidRDefault="00FE6CA1" w:rsidP="00ED021C">
      <w:pPr>
        <w:rPr>
          <w:rFonts w:cs="Arial"/>
          <w:sz w:val="22"/>
          <w:szCs w:val="22"/>
        </w:rPr>
      </w:pPr>
      <w:r>
        <w:rPr>
          <w:rFonts w:cs="Arial"/>
          <w:sz w:val="22"/>
          <w:szCs w:val="22"/>
        </w:rPr>
        <w:t>Asimismo, el comercializador de GNCV, al igual que en el caso de cualquier usuario no regulado, puede participar tanto en el Mercado Mayorista como en el Mercado Minorista.</w:t>
      </w:r>
      <w:r w:rsidR="00EE10A0">
        <w:rPr>
          <w:rFonts w:cs="Arial"/>
          <w:sz w:val="22"/>
          <w:szCs w:val="22"/>
        </w:rPr>
        <w:t xml:space="preserve"> Ciertamente los efectos son diferentes en cada mercado.</w:t>
      </w:r>
    </w:p>
    <w:p w14:paraId="49F8504D" w14:textId="562D7742" w:rsidR="00EE10A0" w:rsidRDefault="00EE10A0" w:rsidP="00ED021C">
      <w:pPr>
        <w:rPr>
          <w:rFonts w:cs="Arial"/>
          <w:sz w:val="22"/>
          <w:szCs w:val="22"/>
        </w:rPr>
      </w:pPr>
    </w:p>
    <w:p w14:paraId="2944FE49" w14:textId="1103815E" w:rsidR="00EE10A0" w:rsidRDefault="00EE10A0" w:rsidP="00ED021C">
      <w:pPr>
        <w:rPr>
          <w:rFonts w:cs="Arial"/>
          <w:sz w:val="22"/>
          <w:szCs w:val="22"/>
        </w:rPr>
      </w:pPr>
      <w:r>
        <w:rPr>
          <w:rFonts w:cs="Arial"/>
          <w:sz w:val="22"/>
          <w:szCs w:val="22"/>
        </w:rPr>
        <w:t>El usuario final del GNCV</w:t>
      </w:r>
      <w:r w:rsidR="00D54A20">
        <w:rPr>
          <w:rFonts w:cs="Arial"/>
          <w:sz w:val="22"/>
          <w:szCs w:val="22"/>
        </w:rPr>
        <w:t>, es decir, quien compra GNCV en una estación de servicio,</w:t>
      </w:r>
      <w:r>
        <w:rPr>
          <w:rFonts w:cs="Arial"/>
          <w:sz w:val="22"/>
          <w:szCs w:val="22"/>
        </w:rPr>
        <w:t xml:space="preserve"> es un usuario del comercializador </w:t>
      </w:r>
      <w:r w:rsidR="00D54A20">
        <w:rPr>
          <w:rFonts w:cs="Arial"/>
          <w:sz w:val="22"/>
          <w:szCs w:val="22"/>
        </w:rPr>
        <w:t>de GNCV, más no es un usuario ni del Mercado Mayorista ni del Mercado Minorista de Gas Natural.</w:t>
      </w:r>
    </w:p>
    <w:p w14:paraId="29DB9C1C" w14:textId="6900A56D" w:rsidR="00FE6CA1" w:rsidRDefault="00FE6CA1" w:rsidP="00ED021C">
      <w:pPr>
        <w:rPr>
          <w:rFonts w:cs="Arial"/>
          <w:sz w:val="22"/>
          <w:szCs w:val="22"/>
        </w:rPr>
      </w:pPr>
    </w:p>
    <w:p w14:paraId="0C917AA6" w14:textId="441AF5D1" w:rsidR="00ED021C" w:rsidRDefault="00ED021C" w:rsidP="00ED021C">
      <w:pPr>
        <w:rPr>
          <w:rFonts w:cs="Arial"/>
          <w:sz w:val="22"/>
          <w:szCs w:val="22"/>
        </w:rPr>
      </w:pPr>
    </w:p>
    <w:p w14:paraId="33DB03E6" w14:textId="77777777" w:rsidR="00ED021C" w:rsidRDefault="00ED021C" w:rsidP="00536D4C">
      <w:pPr>
        <w:pStyle w:val="Ttulo4"/>
      </w:pPr>
      <w:r w:rsidRPr="00ED021C">
        <w:t>OILGAS ENERGY</w:t>
      </w:r>
      <w:r w:rsidRPr="00ED021C">
        <w:tab/>
      </w:r>
    </w:p>
    <w:p w14:paraId="148EECB2" w14:textId="2ED8DFBF" w:rsidR="00ED021C" w:rsidRDefault="006E278D" w:rsidP="00ED021C">
      <w:pPr>
        <w:rPr>
          <w:rFonts w:cs="Arial"/>
          <w:sz w:val="22"/>
          <w:szCs w:val="22"/>
        </w:rPr>
      </w:pPr>
      <w:r>
        <w:rPr>
          <w:rFonts w:cs="Arial"/>
          <w:i/>
          <w:iCs/>
          <w:sz w:val="22"/>
          <w:szCs w:val="22"/>
        </w:rPr>
        <w:t>“</w:t>
      </w:r>
      <w:r w:rsidR="00ED021C" w:rsidRPr="005706CF">
        <w:rPr>
          <w:rFonts w:cs="Arial"/>
          <w:i/>
          <w:iCs/>
          <w:sz w:val="22"/>
          <w:szCs w:val="22"/>
        </w:rPr>
        <w:t>Se sugiere incluir en la definición de GMDC que le aplicarán las mismas reglas que al Gas Natural cuando se destine al servicio público de gas natural y cuando se destine para la atención de usuarios conectados a las redes de distribución de gas natural</w:t>
      </w:r>
      <w:r w:rsidR="00ED021C" w:rsidRPr="00ED021C">
        <w:rPr>
          <w:rFonts w:cs="Arial"/>
          <w:sz w:val="22"/>
          <w:szCs w:val="22"/>
        </w:rPr>
        <w:t>.</w:t>
      </w:r>
      <w:r>
        <w:rPr>
          <w:rFonts w:cs="Arial"/>
          <w:sz w:val="22"/>
          <w:szCs w:val="22"/>
        </w:rPr>
        <w:t>”</w:t>
      </w:r>
    </w:p>
    <w:p w14:paraId="726C0FBC" w14:textId="55E187C2" w:rsidR="005706CF" w:rsidRDefault="005706CF" w:rsidP="00ED021C">
      <w:pPr>
        <w:rPr>
          <w:rFonts w:cs="Arial"/>
          <w:sz w:val="22"/>
          <w:szCs w:val="22"/>
        </w:rPr>
      </w:pPr>
    </w:p>
    <w:p w14:paraId="4822124A" w14:textId="6EF5B5F5" w:rsidR="005706CF" w:rsidRPr="005706CF" w:rsidRDefault="005706CF" w:rsidP="00ED021C">
      <w:pPr>
        <w:rPr>
          <w:rFonts w:cs="Arial"/>
          <w:b/>
          <w:bCs/>
          <w:sz w:val="22"/>
          <w:szCs w:val="22"/>
        </w:rPr>
      </w:pPr>
      <w:r w:rsidRPr="005706CF">
        <w:rPr>
          <w:rFonts w:cs="Arial"/>
          <w:b/>
          <w:bCs/>
          <w:sz w:val="22"/>
          <w:szCs w:val="22"/>
        </w:rPr>
        <w:t>Respuesta:</w:t>
      </w:r>
    </w:p>
    <w:p w14:paraId="44DBA152" w14:textId="38C8B366" w:rsidR="005706CF" w:rsidRDefault="005706CF" w:rsidP="00ED021C">
      <w:pPr>
        <w:rPr>
          <w:rFonts w:cs="Arial"/>
          <w:sz w:val="22"/>
          <w:szCs w:val="22"/>
        </w:rPr>
      </w:pPr>
    </w:p>
    <w:p w14:paraId="069721BB" w14:textId="7437880F" w:rsidR="005706CF" w:rsidRPr="00ED021C" w:rsidRDefault="005706CF"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_Ref130536969 \r \h </w:instrText>
      </w:r>
      <w:r>
        <w:rPr>
          <w:rFonts w:cs="Arial"/>
          <w:sz w:val="22"/>
          <w:szCs w:val="22"/>
        </w:rPr>
      </w:r>
      <w:r>
        <w:rPr>
          <w:rFonts w:cs="Arial"/>
          <w:sz w:val="22"/>
          <w:szCs w:val="22"/>
        </w:rPr>
        <w:fldChar w:fldCharType="separate"/>
      </w:r>
      <w:r w:rsidR="007651EA">
        <w:rPr>
          <w:rFonts w:cs="Arial"/>
          <w:sz w:val="22"/>
          <w:szCs w:val="22"/>
        </w:rPr>
        <w:t>3.1.1.1</w:t>
      </w:r>
      <w:r>
        <w:rPr>
          <w:rFonts w:cs="Arial"/>
          <w:sz w:val="22"/>
          <w:szCs w:val="22"/>
        </w:rPr>
        <w:fldChar w:fldCharType="end"/>
      </w:r>
      <w:r>
        <w:rPr>
          <w:rFonts w:cs="Arial"/>
          <w:sz w:val="22"/>
          <w:szCs w:val="22"/>
        </w:rPr>
        <w:t>.</w:t>
      </w:r>
    </w:p>
    <w:p w14:paraId="266D7D24" w14:textId="77777777" w:rsidR="00ED021C" w:rsidRDefault="00ED021C" w:rsidP="00ED021C">
      <w:pPr>
        <w:rPr>
          <w:rFonts w:cs="Arial"/>
          <w:sz w:val="22"/>
          <w:szCs w:val="22"/>
        </w:rPr>
      </w:pPr>
    </w:p>
    <w:p w14:paraId="68284C5B" w14:textId="77777777" w:rsidR="00ED021C" w:rsidRDefault="00ED021C" w:rsidP="00ED021C">
      <w:pPr>
        <w:rPr>
          <w:rFonts w:cs="Arial"/>
          <w:sz w:val="22"/>
          <w:szCs w:val="22"/>
        </w:rPr>
      </w:pPr>
    </w:p>
    <w:p w14:paraId="1F043512" w14:textId="77777777" w:rsidR="00ED021C" w:rsidRDefault="00ED021C" w:rsidP="00536D4C">
      <w:pPr>
        <w:pStyle w:val="Ttulo2"/>
      </w:pPr>
      <w:bookmarkStart w:id="562" w:name="_Toc140506277"/>
      <w:r w:rsidRPr="00ED021C">
        <w:t>PRIME ENERGIA</w:t>
      </w:r>
      <w:bookmarkEnd w:id="562"/>
      <w:r w:rsidRPr="00ED021C">
        <w:tab/>
      </w:r>
    </w:p>
    <w:p w14:paraId="35079BA2" w14:textId="77777777" w:rsidR="00536D4C" w:rsidRDefault="00536D4C" w:rsidP="00536D4C">
      <w:pPr>
        <w:pStyle w:val="Ttulo4"/>
      </w:pPr>
      <w:r w:rsidRPr="00ED021C">
        <w:t>PRIME ENERGIA</w:t>
      </w:r>
      <w:r w:rsidRPr="00ED021C">
        <w:tab/>
      </w:r>
    </w:p>
    <w:p w14:paraId="4A1B1F96" w14:textId="248CCFCC" w:rsidR="00ED021C" w:rsidRPr="008B4AB9" w:rsidRDefault="006E278D" w:rsidP="00ED021C">
      <w:pPr>
        <w:rPr>
          <w:rFonts w:cs="Arial"/>
          <w:i/>
          <w:iCs/>
          <w:sz w:val="22"/>
          <w:szCs w:val="22"/>
        </w:rPr>
      </w:pPr>
      <w:r>
        <w:rPr>
          <w:rFonts w:cs="Arial"/>
          <w:i/>
          <w:iCs/>
          <w:sz w:val="22"/>
          <w:szCs w:val="22"/>
        </w:rPr>
        <w:t>“</w:t>
      </w:r>
      <w:r w:rsidR="00ED021C" w:rsidRPr="008B4AB9">
        <w:rPr>
          <w:rFonts w:cs="Arial"/>
          <w:i/>
          <w:iCs/>
          <w:sz w:val="22"/>
          <w:szCs w:val="22"/>
        </w:rPr>
        <w:t xml:space="preserve">En cuanto a los requisitos de contratos de suministro para plantas térmicas con </w:t>
      </w:r>
      <w:proofErr w:type="spellStart"/>
      <w:r w:rsidR="00ED021C" w:rsidRPr="008B4AB9">
        <w:rPr>
          <w:rFonts w:cs="Arial"/>
          <w:i/>
          <w:iCs/>
          <w:sz w:val="22"/>
          <w:szCs w:val="22"/>
        </w:rPr>
        <w:t>OEFs</w:t>
      </w:r>
      <w:proofErr w:type="spellEnd"/>
      <w:r w:rsidR="00ED021C" w:rsidRPr="008B4AB9">
        <w:rPr>
          <w:rFonts w:cs="Arial"/>
          <w:i/>
          <w:iCs/>
          <w:sz w:val="22"/>
          <w:szCs w:val="22"/>
        </w:rPr>
        <w:t xml:space="preserve"> y con combustible principal gas natural, es necesario que las señales respecto al respaldo físico estén acordes con la realidad del mercado de gas importado y no se conviertan en barreras de entrada a ese energético</w:t>
      </w:r>
      <w:r w:rsidR="002B7458">
        <w:rPr>
          <w:rFonts w:cs="Arial"/>
          <w:i/>
          <w:iCs/>
          <w:sz w:val="22"/>
          <w:szCs w:val="22"/>
        </w:rPr>
        <w:t>”</w:t>
      </w:r>
      <w:r w:rsidR="00ED021C" w:rsidRPr="008B4AB9">
        <w:rPr>
          <w:rFonts w:cs="Arial"/>
          <w:i/>
          <w:iCs/>
          <w:sz w:val="22"/>
          <w:szCs w:val="22"/>
        </w:rPr>
        <w:t xml:space="preserve">.  </w:t>
      </w:r>
    </w:p>
    <w:p w14:paraId="39F89A37" w14:textId="114103FA" w:rsidR="008B4AB9" w:rsidRDefault="008B4AB9" w:rsidP="00ED021C">
      <w:pPr>
        <w:rPr>
          <w:rFonts w:cs="Arial"/>
          <w:sz w:val="22"/>
          <w:szCs w:val="22"/>
        </w:rPr>
      </w:pPr>
    </w:p>
    <w:p w14:paraId="0642590D" w14:textId="2CAF6650" w:rsidR="008B4AB9" w:rsidRPr="008B4AB9" w:rsidRDefault="008B4AB9" w:rsidP="00ED021C">
      <w:pPr>
        <w:rPr>
          <w:rFonts w:cs="Arial"/>
          <w:b/>
          <w:bCs/>
          <w:sz w:val="22"/>
          <w:szCs w:val="22"/>
        </w:rPr>
      </w:pPr>
      <w:r w:rsidRPr="008B4AB9">
        <w:rPr>
          <w:rFonts w:cs="Arial"/>
          <w:b/>
          <w:bCs/>
          <w:sz w:val="22"/>
          <w:szCs w:val="22"/>
        </w:rPr>
        <w:t>Respuesta:</w:t>
      </w:r>
    </w:p>
    <w:p w14:paraId="5FF4E6C6" w14:textId="59A3012E" w:rsidR="008B4AB9" w:rsidRDefault="008B4AB9" w:rsidP="00ED021C">
      <w:pPr>
        <w:rPr>
          <w:rFonts w:cs="Arial"/>
          <w:sz w:val="22"/>
          <w:szCs w:val="22"/>
        </w:rPr>
      </w:pPr>
    </w:p>
    <w:p w14:paraId="0A542884" w14:textId="6A4AC091" w:rsidR="008B4AB9" w:rsidRPr="00ED021C" w:rsidRDefault="008B4AB9" w:rsidP="00ED021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_Ref129780388 \r \h </w:instrText>
      </w:r>
      <w:r>
        <w:rPr>
          <w:rFonts w:cs="Arial"/>
          <w:sz w:val="22"/>
          <w:szCs w:val="22"/>
        </w:rPr>
      </w:r>
      <w:r>
        <w:rPr>
          <w:rFonts w:cs="Arial"/>
          <w:sz w:val="22"/>
          <w:szCs w:val="22"/>
        </w:rPr>
        <w:fldChar w:fldCharType="separate"/>
      </w:r>
      <w:r w:rsidR="007651EA">
        <w:rPr>
          <w:rFonts w:cs="Arial"/>
          <w:sz w:val="22"/>
          <w:szCs w:val="22"/>
        </w:rPr>
        <w:t>4.4</w:t>
      </w:r>
      <w:r>
        <w:rPr>
          <w:rFonts w:cs="Arial"/>
          <w:sz w:val="22"/>
          <w:szCs w:val="22"/>
        </w:rPr>
        <w:fldChar w:fldCharType="end"/>
      </w:r>
      <w:r>
        <w:rPr>
          <w:rFonts w:cs="Arial"/>
          <w:sz w:val="22"/>
          <w:szCs w:val="22"/>
        </w:rPr>
        <w:t>.</w:t>
      </w:r>
    </w:p>
    <w:p w14:paraId="3E56DB27" w14:textId="77777777" w:rsidR="00ED021C" w:rsidRDefault="00ED021C" w:rsidP="00ED021C">
      <w:pPr>
        <w:rPr>
          <w:rFonts w:cs="Arial"/>
          <w:sz w:val="22"/>
          <w:szCs w:val="22"/>
        </w:rPr>
      </w:pPr>
    </w:p>
    <w:p w14:paraId="2E303AE2" w14:textId="77777777" w:rsidR="00ED021C" w:rsidRDefault="00ED021C" w:rsidP="00ED021C">
      <w:pPr>
        <w:rPr>
          <w:rFonts w:cs="Arial"/>
          <w:sz w:val="22"/>
          <w:szCs w:val="22"/>
        </w:rPr>
      </w:pPr>
    </w:p>
    <w:p w14:paraId="0C795174" w14:textId="77777777" w:rsidR="00ED021C" w:rsidRDefault="00ED021C" w:rsidP="00536D4C">
      <w:pPr>
        <w:pStyle w:val="Ttulo2"/>
      </w:pPr>
      <w:bookmarkStart w:id="563" w:name="_Toc140506278"/>
      <w:r w:rsidRPr="00ED021C">
        <w:t>PROMIGAS</w:t>
      </w:r>
      <w:bookmarkEnd w:id="563"/>
      <w:r w:rsidRPr="00ED021C">
        <w:tab/>
      </w:r>
    </w:p>
    <w:p w14:paraId="4A722D29" w14:textId="77777777" w:rsidR="00536D4C" w:rsidRDefault="00536D4C" w:rsidP="00536D4C">
      <w:pPr>
        <w:pStyle w:val="Ttulo4"/>
      </w:pPr>
      <w:r w:rsidRPr="00ED021C">
        <w:t>PROMIGAS</w:t>
      </w:r>
      <w:r w:rsidRPr="00ED021C">
        <w:tab/>
      </w:r>
    </w:p>
    <w:p w14:paraId="0D979CCE" w14:textId="0B4FB903" w:rsidR="00ED021C" w:rsidRPr="008B4AB9" w:rsidRDefault="00ED021C" w:rsidP="00ED021C">
      <w:pPr>
        <w:rPr>
          <w:rFonts w:cs="Arial"/>
          <w:i/>
          <w:iCs/>
          <w:sz w:val="22"/>
          <w:szCs w:val="22"/>
        </w:rPr>
      </w:pPr>
      <w:r w:rsidRPr="00ED021C">
        <w:rPr>
          <w:rFonts w:cs="Arial"/>
          <w:sz w:val="22"/>
          <w:szCs w:val="22"/>
        </w:rPr>
        <w:t>"</w:t>
      </w:r>
      <w:r w:rsidRPr="008B4AB9">
        <w:rPr>
          <w:rFonts w:cs="Arial"/>
          <w:i/>
          <w:iCs/>
          <w:sz w:val="22"/>
          <w:szCs w:val="22"/>
        </w:rPr>
        <w:t>El Proyecto de Resolución separa la actividad de comercialización, según se actúe en el</w:t>
      </w:r>
      <w:r w:rsidRPr="00ED021C">
        <w:rPr>
          <w:rFonts w:cs="Arial"/>
          <w:sz w:val="22"/>
          <w:szCs w:val="22"/>
        </w:rPr>
        <w:t xml:space="preserve"> </w:t>
      </w:r>
      <w:r w:rsidRPr="008B4AB9">
        <w:rPr>
          <w:rFonts w:cs="Arial"/>
          <w:i/>
          <w:iCs/>
          <w:sz w:val="22"/>
          <w:szCs w:val="22"/>
        </w:rPr>
        <w:t>mercado mayorista o en el mercado minorista y establece las siguientes definiciones:</w:t>
      </w:r>
    </w:p>
    <w:p w14:paraId="0C67401D" w14:textId="77777777" w:rsidR="00ED021C" w:rsidRPr="008B4AB9" w:rsidRDefault="00ED021C" w:rsidP="00ED021C">
      <w:pPr>
        <w:rPr>
          <w:rFonts w:cs="Arial"/>
          <w:i/>
          <w:iCs/>
          <w:sz w:val="22"/>
          <w:szCs w:val="22"/>
        </w:rPr>
      </w:pPr>
    </w:p>
    <w:p w14:paraId="701351A1" w14:textId="022B5D77" w:rsidR="00ED021C" w:rsidRPr="008B4AB9" w:rsidRDefault="002B7458" w:rsidP="00ED021C">
      <w:pPr>
        <w:rPr>
          <w:rFonts w:cs="Arial"/>
          <w:i/>
          <w:iCs/>
          <w:sz w:val="22"/>
          <w:szCs w:val="22"/>
        </w:rPr>
      </w:pPr>
      <w:r>
        <w:rPr>
          <w:rFonts w:cs="Arial"/>
          <w:i/>
          <w:iCs/>
          <w:sz w:val="22"/>
          <w:szCs w:val="22"/>
        </w:rPr>
        <w:t>‘</w:t>
      </w:r>
      <w:r w:rsidR="00ED021C" w:rsidRPr="008B4AB9">
        <w:rPr>
          <w:rFonts w:cs="Arial"/>
          <w:i/>
          <w:iCs/>
          <w:sz w:val="22"/>
          <w:szCs w:val="22"/>
        </w:rPr>
        <w:t>Comercialización Mayorista de Gas Natural: (...)</w:t>
      </w:r>
    </w:p>
    <w:p w14:paraId="302F7710" w14:textId="77777777" w:rsidR="00ED021C" w:rsidRPr="008B4AB9" w:rsidRDefault="00ED021C" w:rsidP="00ED021C">
      <w:pPr>
        <w:rPr>
          <w:rFonts w:cs="Arial"/>
          <w:i/>
          <w:iCs/>
          <w:sz w:val="22"/>
          <w:szCs w:val="22"/>
        </w:rPr>
      </w:pPr>
      <w:r w:rsidRPr="008B4AB9">
        <w:rPr>
          <w:rFonts w:cs="Arial"/>
          <w:i/>
          <w:iCs/>
          <w:sz w:val="22"/>
          <w:szCs w:val="22"/>
        </w:rPr>
        <w:t xml:space="preserve">Comercialización Minorista de gas natural: </w:t>
      </w:r>
      <w:proofErr w:type="gramStart"/>
      <w:r w:rsidRPr="008B4AB9">
        <w:rPr>
          <w:rFonts w:cs="Arial"/>
          <w:i/>
          <w:iCs/>
          <w:sz w:val="22"/>
          <w:szCs w:val="22"/>
        </w:rPr>
        <w:t>(...) .</w:t>
      </w:r>
      <w:proofErr w:type="gramEnd"/>
    </w:p>
    <w:p w14:paraId="27F7781B" w14:textId="77777777" w:rsidR="00ED021C" w:rsidRPr="008B4AB9" w:rsidRDefault="00ED021C" w:rsidP="00ED021C">
      <w:pPr>
        <w:rPr>
          <w:rFonts w:cs="Arial"/>
          <w:i/>
          <w:iCs/>
          <w:sz w:val="22"/>
          <w:szCs w:val="22"/>
        </w:rPr>
      </w:pPr>
      <w:r w:rsidRPr="008B4AB9">
        <w:rPr>
          <w:rFonts w:cs="Arial"/>
          <w:i/>
          <w:iCs/>
          <w:sz w:val="22"/>
          <w:szCs w:val="22"/>
        </w:rPr>
        <w:t>Si bien estas definiciones resultan adecuadas para diferenciar y precisar la actividad que desarrollan los Comercializadores, consideramos que se deben eliminar las siguientes definiciones:</w:t>
      </w:r>
    </w:p>
    <w:p w14:paraId="5BC76EBC" w14:textId="54AD5D2B" w:rsidR="00ED021C" w:rsidRPr="008B4AB9" w:rsidRDefault="00ED021C" w:rsidP="00ED021C">
      <w:pPr>
        <w:rPr>
          <w:rFonts w:cs="Arial"/>
          <w:i/>
          <w:iCs/>
          <w:sz w:val="22"/>
          <w:szCs w:val="22"/>
        </w:rPr>
      </w:pPr>
      <w:r w:rsidRPr="008B4AB9">
        <w:rPr>
          <w:rFonts w:cs="Arial"/>
          <w:i/>
          <w:iCs/>
          <w:sz w:val="22"/>
          <w:szCs w:val="22"/>
        </w:rPr>
        <w:t>Comercializador Mayorista: (...).</w:t>
      </w:r>
    </w:p>
    <w:p w14:paraId="0CF014B7" w14:textId="390D8349" w:rsidR="00ED021C" w:rsidRPr="008B4AB9" w:rsidRDefault="00ED021C" w:rsidP="00ED021C">
      <w:pPr>
        <w:rPr>
          <w:rFonts w:cs="Arial"/>
          <w:i/>
          <w:iCs/>
          <w:sz w:val="22"/>
          <w:szCs w:val="22"/>
        </w:rPr>
      </w:pPr>
      <w:r w:rsidRPr="008B4AB9">
        <w:rPr>
          <w:rFonts w:cs="Arial"/>
          <w:i/>
          <w:iCs/>
          <w:sz w:val="22"/>
          <w:szCs w:val="22"/>
        </w:rPr>
        <w:t xml:space="preserve">Comercializador Minorista: </w:t>
      </w:r>
      <w:proofErr w:type="gramStart"/>
      <w:r w:rsidRPr="008B4AB9">
        <w:rPr>
          <w:rFonts w:cs="Arial"/>
          <w:i/>
          <w:iCs/>
          <w:sz w:val="22"/>
          <w:szCs w:val="22"/>
        </w:rPr>
        <w:t>(...) .</w:t>
      </w:r>
      <w:proofErr w:type="gramEnd"/>
      <w:r w:rsidR="002B7458">
        <w:rPr>
          <w:rFonts w:cs="Arial"/>
          <w:i/>
          <w:iCs/>
          <w:sz w:val="22"/>
          <w:szCs w:val="22"/>
        </w:rPr>
        <w:t>’</w:t>
      </w:r>
    </w:p>
    <w:p w14:paraId="715771F7" w14:textId="77777777" w:rsidR="00ED021C" w:rsidRPr="008B4AB9" w:rsidRDefault="00ED021C" w:rsidP="00ED021C">
      <w:pPr>
        <w:rPr>
          <w:rFonts w:cs="Arial"/>
          <w:i/>
          <w:iCs/>
          <w:sz w:val="22"/>
          <w:szCs w:val="22"/>
        </w:rPr>
      </w:pPr>
    </w:p>
    <w:p w14:paraId="427842DE" w14:textId="1C5A1772" w:rsidR="00ED021C" w:rsidRDefault="00ED021C" w:rsidP="00ED021C">
      <w:pPr>
        <w:rPr>
          <w:rFonts w:cs="Arial"/>
          <w:sz w:val="22"/>
          <w:szCs w:val="22"/>
        </w:rPr>
      </w:pPr>
      <w:r w:rsidRPr="008B4AB9">
        <w:rPr>
          <w:rFonts w:cs="Arial"/>
          <w:i/>
          <w:iCs/>
          <w:sz w:val="22"/>
          <w:szCs w:val="22"/>
        </w:rPr>
        <w:t>Esta sugerencia se presenta para evitar confusiones porque podría interpretarse que se trata de dos (2) agentes diferentes y que para actuar en uno u otro mercado se deben constituir como empresas independientes según desarrollen actividades de comercialización en el mercado mayorista o en el mercado minorista. Consideramos conveniente que ambas definiciones se sustituyan por una sola definición de Comercializador, indicando las limitaciones en materia de interés económico que le aplican a estos agentes, e indicando con que otros agentes puede desarrollar conjuntamente esta actividad</w:t>
      </w:r>
      <w:r w:rsidRPr="00ED021C">
        <w:rPr>
          <w:rFonts w:cs="Arial"/>
          <w:sz w:val="22"/>
          <w:szCs w:val="22"/>
        </w:rPr>
        <w:t>."</w:t>
      </w:r>
    </w:p>
    <w:p w14:paraId="47422B15" w14:textId="507BA716" w:rsidR="008B4AB9" w:rsidRDefault="008B4AB9" w:rsidP="00ED021C">
      <w:pPr>
        <w:rPr>
          <w:rFonts w:cs="Arial"/>
          <w:sz w:val="22"/>
          <w:szCs w:val="22"/>
        </w:rPr>
      </w:pPr>
    </w:p>
    <w:p w14:paraId="32C5C465" w14:textId="49D298E1" w:rsidR="008B4AB9" w:rsidRPr="008B4AB9" w:rsidRDefault="008B4AB9" w:rsidP="00ED021C">
      <w:pPr>
        <w:rPr>
          <w:rFonts w:cs="Arial"/>
          <w:b/>
          <w:bCs/>
          <w:sz w:val="22"/>
          <w:szCs w:val="22"/>
        </w:rPr>
      </w:pPr>
      <w:r w:rsidRPr="008B4AB9">
        <w:rPr>
          <w:rFonts w:cs="Arial"/>
          <w:b/>
          <w:bCs/>
          <w:sz w:val="22"/>
          <w:szCs w:val="22"/>
        </w:rPr>
        <w:t xml:space="preserve">Respuesta: </w:t>
      </w:r>
    </w:p>
    <w:p w14:paraId="2F3FD977" w14:textId="3F866905" w:rsidR="008B4AB9" w:rsidRDefault="008B4AB9" w:rsidP="00ED021C">
      <w:pPr>
        <w:rPr>
          <w:rFonts w:cs="Arial"/>
          <w:sz w:val="22"/>
          <w:szCs w:val="22"/>
        </w:rPr>
      </w:pPr>
    </w:p>
    <w:p w14:paraId="2277C6E6" w14:textId="01BC4838" w:rsidR="008B4AB9" w:rsidRDefault="008B4AB9"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_Ref130537089 \r \h </w:instrText>
      </w:r>
      <w:r>
        <w:rPr>
          <w:rFonts w:cs="Arial"/>
          <w:sz w:val="22"/>
          <w:szCs w:val="22"/>
        </w:rPr>
      </w:r>
      <w:r>
        <w:rPr>
          <w:rFonts w:cs="Arial"/>
          <w:sz w:val="22"/>
          <w:szCs w:val="22"/>
        </w:rPr>
        <w:fldChar w:fldCharType="separate"/>
      </w:r>
      <w:r w:rsidR="007651EA">
        <w:rPr>
          <w:rFonts w:cs="Arial"/>
          <w:sz w:val="22"/>
          <w:szCs w:val="22"/>
        </w:rPr>
        <w:t>4.8.1.1</w:t>
      </w:r>
      <w:r>
        <w:rPr>
          <w:rFonts w:cs="Arial"/>
          <w:sz w:val="22"/>
          <w:szCs w:val="22"/>
        </w:rPr>
        <w:fldChar w:fldCharType="end"/>
      </w:r>
      <w:r>
        <w:rPr>
          <w:rFonts w:cs="Arial"/>
          <w:sz w:val="22"/>
          <w:szCs w:val="22"/>
        </w:rPr>
        <w:t>.</w:t>
      </w:r>
    </w:p>
    <w:p w14:paraId="791012F7" w14:textId="77777777" w:rsidR="008B4AB9" w:rsidRPr="00ED021C" w:rsidRDefault="008B4AB9" w:rsidP="00ED021C">
      <w:pPr>
        <w:rPr>
          <w:rFonts w:cs="Arial"/>
          <w:sz w:val="22"/>
          <w:szCs w:val="22"/>
        </w:rPr>
      </w:pPr>
    </w:p>
    <w:p w14:paraId="38C4A77C" w14:textId="77777777" w:rsidR="00ED021C" w:rsidRDefault="00ED021C" w:rsidP="00ED021C">
      <w:pPr>
        <w:rPr>
          <w:rFonts w:cs="Arial"/>
          <w:sz w:val="22"/>
          <w:szCs w:val="22"/>
        </w:rPr>
      </w:pPr>
    </w:p>
    <w:p w14:paraId="1C332DF0" w14:textId="77777777" w:rsidR="00536D4C" w:rsidRDefault="00ED021C" w:rsidP="00536D4C">
      <w:pPr>
        <w:pStyle w:val="Ttulo4"/>
      </w:pPr>
      <w:r w:rsidRPr="00ED021C">
        <w:t>PROMIGAS</w:t>
      </w:r>
      <w:r w:rsidRPr="00ED021C">
        <w:tab/>
      </w:r>
    </w:p>
    <w:p w14:paraId="1AAA0D2D" w14:textId="2A0BA7DA" w:rsidR="00ED021C" w:rsidRPr="0043713A" w:rsidRDefault="00ED021C" w:rsidP="00ED021C">
      <w:pPr>
        <w:rPr>
          <w:rFonts w:cs="Arial"/>
          <w:i/>
          <w:iCs/>
          <w:sz w:val="22"/>
          <w:szCs w:val="22"/>
        </w:rPr>
      </w:pPr>
      <w:r w:rsidRPr="00ED021C">
        <w:rPr>
          <w:rFonts w:cs="Arial"/>
          <w:sz w:val="22"/>
          <w:szCs w:val="22"/>
        </w:rPr>
        <w:t>"</w:t>
      </w:r>
      <w:r w:rsidRPr="0043713A">
        <w:rPr>
          <w:rFonts w:cs="Arial"/>
          <w:i/>
          <w:iCs/>
          <w:sz w:val="22"/>
          <w:szCs w:val="22"/>
        </w:rPr>
        <w:t>La definición de Productor-Comercializador incluida en la Resolución CREG-226 de 2021 establece:</w:t>
      </w:r>
    </w:p>
    <w:p w14:paraId="770DD442" w14:textId="77777777" w:rsidR="00ED021C" w:rsidRPr="0043713A" w:rsidRDefault="00ED021C" w:rsidP="00ED021C">
      <w:pPr>
        <w:rPr>
          <w:rFonts w:cs="Arial"/>
          <w:i/>
          <w:iCs/>
          <w:sz w:val="22"/>
          <w:szCs w:val="22"/>
        </w:rPr>
      </w:pPr>
    </w:p>
    <w:p w14:paraId="08C8389D" w14:textId="2E5CB543" w:rsidR="00ED021C" w:rsidRPr="0043713A" w:rsidRDefault="002B7458" w:rsidP="00ED021C">
      <w:pPr>
        <w:rPr>
          <w:rFonts w:cs="Arial"/>
          <w:i/>
          <w:iCs/>
          <w:sz w:val="22"/>
          <w:szCs w:val="22"/>
        </w:rPr>
      </w:pPr>
      <w:r>
        <w:rPr>
          <w:rFonts w:cs="Arial"/>
          <w:i/>
          <w:iCs/>
          <w:sz w:val="22"/>
          <w:szCs w:val="22"/>
        </w:rPr>
        <w:t>‘</w:t>
      </w:r>
      <w:r w:rsidR="00ED021C" w:rsidRPr="0043713A">
        <w:rPr>
          <w:rFonts w:cs="Arial"/>
          <w:i/>
          <w:iCs/>
          <w:sz w:val="22"/>
          <w:szCs w:val="22"/>
        </w:rPr>
        <w:t>Productor-comercializador: es el productor de gas natural que vende gas en el mercado primario, en un Punto de Entrega que puede ser o no un punto de entrada al SNT. Además, puede ser un comprador de gas natural en el Mercado Secundario. (…)</w:t>
      </w:r>
      <w:r w:rsidR="00B40B48">
        <w:rPr>
          <w:rFonts w:cs="Arial"/>
          <w:i/>
          <w:iCs/>
          <w:sz w:val="22"/>
          <w:szCs w:val="22"/>
        </w:rPr>
        <w:t>’</w:t>
      </w:r>
    </w:p>
    <w:p w14:paraId="04309A88" w14:textId="77777777" w:rsidR="00ED021C" w:rsidRPr="0043713A" w:rsidRDefault="00ED021C" w:rsidP="00ED021C">
      <w:pPr>
        <w:rPr>
          <w:rFonts w:cs="Arial"/>
          <w:i/>
          <w:iCs/>
          <w:sz w:val="22"/>
          <w:szCs w:val="22"/>
        </w:rPr>
      </w:pPr>
      <w:r w:rsidRPr="0043713A">
        <w:rPr>
          <w:rFonts w:cs="Arial"/>
          <w:i/>
          <w:iCs/>
          <w:sz w:val="22"/>
          <w:szCs w:val="22"/>
        </w:rPr>
        <w:t>Por otra parte, la Resolución CREG-185 de 2020 incluye la siguiente definición para este mismo agente:</w:t>
      </w:r>
    </w:p>
    <w:p w14:paraId="57A50F6C" w14:textId="3B658A5C" w:rsidR="00ED021C" w:rsidRPr="0043713A" w:rsidRDefault="00B40B48" w:rsidP="00ED021C">
      <w:pPr>
        <w:rPr>
          <w:rFonts w:cs="Arial"/>
          <w:i/>
          <w:iCs/>
          <w:sz w:val="22"/>
          <w:szCs w:val="22"/>
        </w:rPr>
      </w:pPr>
      <w:r>
        <w:rPr>
          <w:rFonts w:cs="Arial"/>
          <w:i/>
          <w:iCs/>
          <w:sz w:val="22"/>
          <w:szCs w:val="22"/>
        </w:rPr>
        <w:t>‘</w:t>
      </w:r>
      <w:r w:rsidR="00ED021C" w:rsidRPr="0043713A">
        <w:rPr>
          <w:rFonts w:cs="Arial"/>
          <w:i/>
          <w:iCs/>
          <w:sz w:val="22"/>
          <w:szCs w:val="22"/>
        </w:rPr>
        <w:t>Productor-comercializador: es el productor de gas natural que vende gas en el mercado primario, con entrega al comprador en el campo en un punto de entrada al SNT. Puede comprar gas en el mercado secundario, sin ser considerado un comercializador. (…)</w:t>
      </w:r>
      <w:r>
        <w:rPr>
          <w:rFonts w:cs="Arial"/>
          <w:i/>
          <w:iCs/>
          <w:sz w:val="22"/>
          <w:szCs w:val="22"/>
        </w:rPr>
        <w:t>’</w:t>
      </w:r>
    </w:p>
    <w:p w14:paraId="724D8F07" w14:textId="77777777" w:rsidR="00ED021C" w:rsidRPr="0043713A" w:rsidRDefault="00ED021C" w:rsidP="00ED021C">
      <w:pPr>
        <w:rPr>
          <w:rFonts w:cs="Arial"/>
          <w:i/>
          <w:iCs/>
          <w:sz w:val="22"/>
          <w:szCs w:val="22"/>
        </w:rPr>
      </w:pPr>
    </w:p>
    <w:p w14:paraId="2474F5DB" w14:textId="77777777" w:rsidR="00ED021C" w:rsidRPr="0043713A" w:rsidRDefault="00ED021C" w:rsidP="00ED021C">
      <w:pPr>
        <w:rPr>
          <w:rFonts w:cs="Arial"/>
          <w:i/>
          <w:iCs/>
          <w:sz w:val="22"/>
          <w:szCs w:val="22"/>
        </w:rPr>
      </w:pPr>
      <w:r w:rsidRPr="0043713A">
        <w:rPr>
          <w:rFonts w:cs="Arial"/>
          <w:i/>
          <w:iCs/>
          <w:sz w:val="22"/>
          <w:szCs w:val="22"/>
        </w:rPr>
        <w:t>Considerando que la Comisión incluye dos definiciones distintas en dos resoluciones diferentes, se le pregunta a la Comisión ¿la definición de la Resolución CREG-226 de 2021 deroga la definición de la Resolución CREG-185 de 2020? Lo anterior teniendo en cuenta que, en el caso de la resolución en consulta el Productor podría entregar el gas en cualquier punto del SNT, mientras que, de acuerdo con la resolución de comercialización de transporte, el Productor debe entregar el gas únicamente en un punto de entrada al SNT.</w:t>
      </w:r>
    </w:p>
    <w:p w14:paraId="3608A535" w14:textId="77777777" w:rsidR="00ED021C" w:rsidRPr="0043713A" w:rsidRDefault="00ED021C" w:rsidP="00ED021C">
      <w:pPr>
        <w:rPr>
          <w:rFonts w:cs="Arial"/>
          <w:i/>
          <w:iCs/>
          <w:sz w:val="22"/>
          <w:szCs w:val="22"/>
        </w:rPr>
      </w:pPr>
    </w:p>
    <w:p w14:paraId="04B6A325" w14:textId="5F2AB4C8" w:rsidR="00ED021C" w:rsidRDefault="00ED021C" w:rsidP="00ED021C">
      <w:pPr>
        <w:rPr>
          <w:rFonts w:cs="Arial"/>
          <w:i/>
          <w:iCs/>
          <w:sz w:val="22"/>
          <w:szCs w:val="22"/>
        </w:rPr>
      </w:pPr>
      <w:r w:rsidRPr="0043713A">
        <w:rPr>
          <w:rFonts w:cs="Arial"/>
          <w:i/>
          <w:iCs/>
          <w:sz w:val="22"/>
          <w:szCs w:val="22"/>
        </w:rPr>
        <w:t>Asimismo, ¿cómo se alinea la definición de la Resolución CREG-226 de 2021, en la que el Productor puede entregar el gas en cualquier punto del SNT, con las restricciones en la contratación de capacidad de transporte por parte de estos agentes para la prestación del servicio público de gas combustible? Se solicita a la CREG dar claridad al respecto."</w:t>
      </w:r>
    </w:p>
    <w:p w14:paraId="4309F5A8" w14:textId="77777777" w:rsidR="00106960" w:rsidRDefault="00106960" w:rsidP="00106960">
      <w:pPr>
        <w:rPr>
          <w:rFonts w:cs="Arial"/>
          <w:b/>
          <w:bCs/>
          <w:sz w:val="22"/>
          <w:szCs w:val="22"/>
        </w:rPr>
      </w:pPr>
    </w:p>
    <w:p w14:paraId="7B44CBBE" w14:textId="3F8DEEAB" w:rsidR="00106960" w:rsidRPr="0043713A" w:rsidRDefault="00106960" w:rsidP="00106960">
      <w:pPr>
        <w:rPr>
          <w:rFonts w:cs="Arial"/>
          <w:b/>
          <w:bCs/>
          <w:sz w:val="22"/>
          <w:szCs w:val="22"/>
        </w:rPr>
      </w:pPr>
      <w:r w:rsidRPr="0043713A">
        <w:rPr>
          <w:rFonts w:cs="Arial"/>
          <w:b/>
          <w:bCs/>
          <w:sz w:val="22"/>
          <w:szCs w:val="22"/>
        </w:rPr>
        <w:t>Respuesta:</w:t>
      </w:r>
    </w:p>
    <w:p w14:paraId="1949330F" w14:textId="77777777" w:rsidR="00106960" w:rsidRDefault="00106960" w:rsidP="00106960">
      <w:pPr>
        <w:rPr>
          <w:rFonts w:cs="Arial"/>
          <w:sz w:val="22"/>
          <w:szCs w:val="22"/>
        </w:rPr>
      </w:pPr>
    </w:p>
    <w:p w14:paraId="283883D1" w14:textId="4179B082" w:rsidR="00106960" w:rsidRDefault="00106960" w:rsidP="00106960">
      <w:pPr>
        <w:rPr>
          <w:rFonts w:cs="Arial"/>
          <w:sz w:val="22"/>
          <w:szCs w:val="22"/>
        </w:rPr>
      </w:pPr>
      <w:r>
        <w:rPr>
          <w:rFonts w:cs="Arial"/>
          <w:sz w:val="22"/>
          <w:szCs w:val="22"/>
        </w:rPr>
        <w:t xml:space="preserve">La definición de Productor-comercializador que se incluye en la Resolución CREG 185 de 2020 tiene un alcance específico por cuanto en dicha resolución se </w:t>
      </w:r>
      <w:r w:rsidRPr="0043713A">
        <w:rPr>
          <w:rFonts w:cs="Arial"/>
          <w:sz w:val="22"/>
          <w:szCs w:val="22"/>
        </w:rPr>
        <w:t>regulan aspectos comerciales del mercado mayorista de gas natural, como parte del reglamento de operación de gas natural, relacionados con la comercialización de capacidad de transporte de gas natural.</w:t>
      </w:r>
      <w:r>
        <w:rPr>
          <w:rFonts w:cs="Arial"/>
          <w:sz w:val="22"/>
          <w:szCs w:val="22"/>
        </w:rPr>
        <w:t xml:space="preserve"> Adicionalmente, la comercialización de la capacidad de transporte se refiere a transporte por gasoductos físicos. Este último aspecto hace que la definición de productor-comercializador de la resolución propuesta no sea la misma, porque en esta última</w:t>
      </w:r>
      <w:r w:rsidR="00042F41">
        <w:rPr>
          <w:rFonts w:cs="Arial"/>
          <w:sz w:val="22"/>
          <w:szCs w:val="22"/>
        </w:rPr>
        <w:t xml:space="preserve"> (i.e. mercado mayorista de suministro)</w:t>
      </w:r>
      <w:r>
        <w:rPr>
          <w:rFonts w:cs="Arial"/>
          <w:sz w:val="22"/>
          <w:szCs w:val="22"/>
        </w:rPr>
        <w:t xml:space="preserve"> la definición debe considerar que la venta de un productor-comercializador no necesariamente solo se hace entregando el gas en un punto de entrada al SNT, pues el comprador puede contar con otros medios de transporte (terrestre, fluvial, marítimo, aéreo, férreo) para recibir el gas (</w:t>
      </w:r>
      <w:r w:rsidR="00042F41">
        <w:rPr>
          <w:rFonts w:cs="Arial"/>
          <w:sz w:val="22"/>
          <w:szCs w:val="22"/>
        </w:rPr>
        <w:t xml:space="preserve">ej. </w:t>
      </w:r>
      <w:r>
        <w:rPr>
          <w:rFonts w:cs="Arial"/>
          <w:sz w:val="22"/>
          <w:szCs w:val="22"/>
        </w:rPr>
        <w:t>gas natural licuado, gas natural comprimido) que vende el productor-comercializador y transportarlo a su sitio de consumo. En ese caso, el gas se entrega en un punto que no es un punto de entrada al SNT.</w:t>
      </w:r>
    </w:p>
    <w:p w14:paraId="4EBBC053" w14:textId="77777777" w:rsidR="00106960" w:rsidRDefault="00106960" w:rsidP="00106960">
      <w:pPr>
        <w:rPr>
          <w:rFonts w:cs="Arial"/>
          <w:sz w:val="22"/>
          <w:szCs w:val="22"/>
        </w:rPr>
      </w:pPr>
    </w:p>
    <w:p w14:paraId="623C02B6" w14:textId="271165ED" w:rsidR="00106960" w:rsidRPr="00ED021C" w:rsidRDefault="00106960" w:rsidP="00106960">
      <w:pPr>
        <w:rPr>
          <w:rFonts w:cs="Arial"/>
          <w:sz w:val="22"/>
          <w:szCs w:val="22"/>
        </w:rPr>
      </w:pPr>
      <w:r>
        <w:rPr>
          <w:rFonts w:cs="Arial"/>
          <w:sz w:val="22"/>
          <w:szCs w:val="22"/>
        </w:rPr>
        <w:t xml:space="preserve">Por último, ver respuesta a </w:t>
      </w:r>
      <w:r>
        <w:rPr>
          <w:rFonts w:cs="Arial"/>
          <w:sz w:val="22"/>
          <w:szCs w:val="22"/>
        </w:rPr>
        <w:fldChar w:fldCharType="begin"/>
      </w:r>
      <w:r>
        <w:rPr>
          <w:rFonts w:cs="Arial"/>
          <w:sz w:val="22"/>
          <w:szCs w:val="22"/>
        </w:rPr>
        <w:instrText xml:space="preserve"> REF _Ref130533678 \r \h </w:instrText>
      </w:r>
      <w:r>
        <w:rPr>
          <w:rFonts w:cs="Arial"/>
          <w:sz w:val="22"/>
          <w:szCs w:val="22"/>
        </w:rPr>
      </w:r>
      <w:r>
        <w:rPr>
          <w:rFonts w:cs="Arial"/>
          <w:sz w:val="22"/>
          <w:szCs w:val="22"/>
        </w:rPr>
        <w:fldChar w:fldCharType="separate"/>
      </w:r>
      <w:r w:rsidR="007651EA">
        <w:rPr>
          <w:rFonts w:cs="Arial"/>
          <w:sz w:val="22"/>
          <w:szCs w:val="22"/>
        </w:rPr>
        <w:t>4.7.1.2</w:t>
      </w:r>
      <w:r>
        <w:rPr>
          <w:rFonts w:cs="Arial"/>
          <w:sz w:val="22"/>
          <w:szCs w:val="22"/>
        </w:rPr>
        <w:fldChar w:fldCharType="end"/>
      </w:r>
      <w:r>
        <w:rPr>
          <w:rFonts w:cs="Arial"/>
          <w:sz w:val="22"/>
          <w:szCs w:val="22"/>
        </w:rPr>
        <w:t xml:space="preserve">. </w:t>
      </w:r>
    </w:p>
    <w:p w14:paraId="046651FF" w14:textId="64646858" w:rsidR="00106960" w:rsidRDefault="00106960" w:rsidP="00ED021C">
      <w:pPr>
        <w:rPr>
          <w:rFonts w:cs="Arial"/>
          <w:i/>
          <w:iCs/>
          <w:sz w:val="22"/>
          <w:szCs w:val="22"/>
        </w:rPr>
      </w:pPr>
    </w:p>
    <w:p w14:paraId="0BF963DA" w14:textId="77777777" w:rsidR="00ED021C" w:rsidRDefault="00ED021C" w:rsidP="00536D4C">
      <w:pPr>
        <w:pStyle w:val="Ttulo2"/>
      </w:pPr>
      <w:bookmarkStart w:id="564" w:name="_Toc140506279"/>
      <w:r w:rsidRPr="00ED021C">
        <w:t>SPEC</w:t>
      </w:r>
      <w:bookmarkEnd w:id="564"/>
      <w:r w:rsidRPr="00ED021C">
        <w:tab/>
      </w:r>
    </w:p>
    <w:p w14:paraId="6BD4F3D1" w14:textId="7132D94A" w:rsidR="00106960" w:rsidRDefault="00106960" w:rsidP="00106960">
      <w:pPr>
        <w:pStyle w:val="Ttulo4"/>
      </w:pPr>
      <w:r>
        <w:t>SPEC</w:t>
      </w:r>
    </w:p>
    <w:p w14:paraId="75A2F181" w14:textId="4EDF51C4" w:rsidR="00106960" w:rsidRPr="0043713A" w:rsidRDefault="00106960" w:rsidP="00106960">
      <w:pPr>
        <w:rPr>
          <w:rFonts w:cs="Arial"/>
          <w:i/>
          <w:iCs/>
          <w:sz w:val="22"/>
          <w:szCs w:val="22"/>
        </w:rPr>
      </w:pPr>
      <w:r w:rsidRPr="0043713A">
        <w:rPr>
          <w:rFonts w:cs="Arial"/>
          <w:i/>
          <w:iCs/>
          <w:sz w:val="22"/>
          <w:szCs w:val="22"/>
        </w:rPr>
        <w:t xml:space="preserve">"La Comisión incluye en la Resolución 226 de 2022 la definición de Infraestructura de Importación y Punto de Importación, sobre lo cual menciona en su documento soporte que tiene como objetivo </w:t>
      </w:r>
      <w:r w:rsidR="00813145">
        <w:rPr>
          <w:rFonts w:cs="Arial"/>
          <w:i/>
          <w:iCs/>
          <w:sz w:val="22"/>
          <w:szCs w:val="22"/>
        </w:rPr>
        <w:t>‘</w:t>
      </w:r>
      <w:r w:rsidRPr="0043713A">
        <w:rPr>
          <w:rFonts w:cs="Arial"/>
          <w:i/>
          <w:iCs/>
          <w:sz w:val="22"/>
          <w:szCs w:val="22"/>
        </w:rPr>
        <w:t>separar la actividad de adquisición del gas en el exterior de aquella donde inicia la comercialización del gas importado con destino al Servicio Público Domiciliario</w:t>
      </w:r>
      <w:r w:rsidR="00813145">
        <w:rPr>
          <w:rFonts w:cs="Arial"/>
          <w:i/>
          <w:iCs/>
          <w:sz w:val="22"/>
          <w:szCs w:val="22"/>
        </w:rPr>
        <w:t>’</w:t>
      </w:r>
      <w:r w:rsidRPr="0043713A">
        <w:rPr>
          <w:rFonts w:cs="Arial"/>
          <w:i/>
          <w:iCs/>
          <w:sz w:val="22"/>
          <w:szCs w:val="22"/>
        </w:rPr>
        <w:t>.</w:t>
      </w:r>
    </w:p>
    <w:p w14:paraId="0717E990" w14:textId="77777777" w:rsidR="00106960" w:rsidRPr="0043713A" w:rsidRDefault="00106960" w:rsidP="00106960">
      <w:pPr>
        <w:rPr>
          <w:rFonts w:cs="Arial"/>
          <w:i/>
          <w:iCs/>
          <w:sz w:val="22"/>
          <w:szCs w:val="22"/>
        </w:rPr>
      </w:pPr>
    </w:p>
    <w:p w14:paraId="3B67EAFE" w14:textId="77777777" w:rsidR="00106960" w:rsidRPr="0043713A" w:rsidRDefault="00106960" w:rsidP="00106960">
      <w:pPr>
        <w:rPr>
          <w:rFonts w:cs="Arial"/>
          <w:i/>
          <w:iCs/>
          <w:sz w:val="22"/>
          <w:szCs w:val="22"/>
        </w:rPr>
      </w:pPr>
      <w:r w:rsidRPr="0043713A">
        <w:rPr>
          <w:rFonts w:cs="Arial"/>
          <w:i/>
          <w:iCs/>
          <w:sz w:val="22"/>
          <w:szCs w:val="22"/>
        </w:rPr>
        <w:t xml:space="preserve">Sobre este punto, es importante precisar que, en el caso de plantas de almacenamiento y regasificación, como la de SPEC LNG, la actividad de importación y regasificación coinciden en un mismo punto, a diferencia de, por ejemplo, de terminales instaladas en muchas partes del mundo en la que importan y almacenan el GNL y este se transporta en camiones ISO contenedores hasta que es </w:t>
      </w:r>
      <w:proofErr w:type="spellStart"/>
      <w:r w:rsidRPr="0043713A">
        <w:rPr>
          <w:rFonts w:cs="Arial"/>
          <w:i/>
          <w:iCs/>
          <w:sz w:val="22"/>
          <w:szCs w:val="22"/>
        </w:rPr>
        <w:t>regasificado</w:t>
      </w:r>
      <w:proofErr w:type="spellEnd"/>
      <w:r w:rsidRPr="0043713A">
        <w:rPr>
          <w:rFonts w:cs="Arial"/>
          <w:i/>
          <w:iCs/>
          <w:sz w:val="22"/>
          <w:szCs w:val="22"/>
        </w:rPr>
        <w:t xml:space="preserve"> en los puntos de consumo como industrias y centrales termoeléctricas. Si bien se ajustan las definiciones de la Comisión para el caso de terminales donde no se realiza la regasificación, es importante que la Comisión precise que, para el caso de las terminales FSRU como SPEC, o la planteada por la UPME en Buenaventura, la actividad de importación y regasificación se realiza en un mismo punto."</w:t>
      </w:r>
    </w:p>
    <w:p w14:paraId="46C6E9C3" w14:textId="2C546336" w:rsidR="00106960" w:rsidRDefault="00106960" w:rsidP="00106960"/>
    <w:p w14:paraId="3C6ED01B" w14:textId="6618AE8A" w:rsidR="00106960" w:rsidRPr="00106960" w:rsidRDefault="00106960" w:rsidP="00106960">
      <w:pPr>
        <w:rPr>
          <w:b/>
          <w:bCs/>
          <w:sz w:val="22"/>
          <w:szCs w:val="22"/>
        </w:rPr>
      </w:pPr>
      <w:r w:rsidRPr="00106960">
        <w:rPr>
          <w:b/>
          <w:bCs/>
          <w:sz w:val="22"/>
          <w:szCs w:val="22"/>
        </w:rPr>
        <w:t>Respuesta:</w:t>
      </w:r>
    </w:p>
    <w:p w14:paraId="5BECD473" w14:textId="279F2455" w:rsidR="00106960" w:rsidRDefault="00106960" w:rsidP="00106960"/>
    <w:p w14:paraId="1F41A194" w14:textId="6C60FE9B" w:rsidR="00106960" w:rsidRPr="000704B9" w:rsidRDefault="000704B9" w:rsidP="00106960">
      <w:pPr>
        <w:rPr>
          <w:sz w:val="22"/>
          <w:szCs w:val="22"/>
        </w:rPr>
      </w:pPr>
      <w:r w:rsidRPr="000704B9">
        <w:rPr>
          <w:sz w:val="22"/>
          <w:szCs w:val="22"/>
        </w:rPr>
        <w:t>No se acoge el comentario.</w:t>
      </w:r>
    </w:p>
    <w:p w14:paraId="26FCA20E" w14:textId="65C2CC16" w:rsidR="000704B9" w:rsidRPr="000704B9" w:rsidRDefault="000704B9" w:rsidP="00106960">
      <w:pPr>
        <w:rPr>
          <w:sz w:val="22"/>
          <w:szCs w:val="22"/>
        </w:rPr>
      </w:pPr>
    </w:p>
    <w:p w14:paraId="7D1C67F7" w14:textId="628167C8" w:rsidR="000704B9" w:rsidRPr="000704B9" w:rsidRDefault="0062621B" w:rsidP="00106960">
      <w:pPr>
        <w:rPr>
          <w:sz w:val="22"/>
          <w:szCs w:val="22"/>
        </w:rPr>
      </w:pPr>
      <w:r>
        <w:rPr>
          <w:sz w:val="22"/>
          <w:szCs w:val="22"/>
        </w:rPr>
        <w:t>Entendemos que l</w:t>
      </w:r>
      <w:r w:rsidR="000704B9" w:rsidRPr="000704B9">
        <w:rPr>
          <w:sz w:val="22"/>
          <w:szCs w:val="22"/>
        </w:rPr>
        <w:t xml:space="preserve">a actividad de importación </w:t>
      </w:r>
      <w:r>
        <w:rPr>
          <w:sz w:val="22"/>
          <w:szCs w:val="22"/>
        </w:rPr>
        <w:t xml:space="preserve">de gas natural (en estado natural o licuado) consiste en </w:t>
      </w:r>
      <w:r w:rsidR="006A2678">
        <w:rPr>
          <w:sz w:val="22"/>
          <w:szCs w:val="22"/>
        </w:rPr>
        <w:t>la nacionalización de gas natural obtenido en el exterior</w:t>
      </w:r>
      <w:r>
        <w:rPr>
          <w:sz w:val="22"/>
          <w:szCs w:val="22"/>
        </w:rPr>
        <w:t>,</w:t>
      </w:r>
      <w:r w:rsidR="006A2678">
        <w:rPr>
          <w:sz w:val="22"/>
          <w:szCs w:val="22"/>
        </w:rPr>
        <w:t xml:space="preserve"> que se encuentra en territorio nacional</w:t>
      </w:r>
      <w:r w:rsidR="00A86FEA">
        <w:rPr>
          <w:sz w:val="22"/>
          <w:szCs w:val="22"/>
        </w:rPr>
        <w:t xml:space="preserve"> de acuerdo con las normas tributarias y aduaneras</w:t>
      </w:r>
      <w:r w:rsidR="006A2678">
        <w:rPr>
          <w:sz w:val="22"/>
          <w:szCs w:val="22"/>
        </w:rPr>
        <w:t>,</w:t>
      </w:r>
      <w:r>
        <w:rPr>
          <w:sz w:val="22"/>
          <w:szCs w:val="22"/>
        </w:rPr>
        <w:t xml:space="preserve"> lo cual</w:t>
      </w:r>
      <w:r w:rsidR="006A2678">
        <w:rPr>
          <w:sz w:val="22"/>
          <w:szCs w:val="22"/>
        </w:rPr>
        <w:t xml:space="preserve"> </w:t>
      </w:r>
      <w:r w:rsidR="000704B9" w:rsidRPr="000704B9">
        <w:rPr>
          <w:sz w:val="22"/>
          <w:szCs w:val="22"/>
        </w:rPr>
        <w:t>no es regulada por la CREG</w:t>
      </w:r>
      <w:r w:rsidR="009D701F">
        <w:rPr>
          <w:sz w:val="22"/>
          <w:szCs w:val="22"/>
        </w:rPr>
        <w:t>. Ex</w:t>
      </w:r>
      <w:r w:rsidR="000704B9" w:rsidRPr="000704B9">
        <w:rPr>
          <w:sz w:val="22"/>
          <w:szCs w:val="22"/>
        </w:rPr>
        <w:t>isten otras autoridades con competencias en ello</w:t>
      </w:r>
      <w:r w:rsidR="000704B9">
        <w:rPr>
          <w:sz w:val="22"/>
          <w:szCs w:val="22"/>
        </w:rPr>
        <w:t xml:space="preserve">, por lo que la CREG no puede limitar o precisar la ubicación </w:t>
      </w:r>
      <w:r w:rsidR="006A2678">
        <w:rPr>
          <w:sz w:val="22"/>
          <w:szCs w:val="22"/>
        </w:rPr>
        <w:t xml:space="preserve">obligatoria </w:t>
      </w:r>
      <w:r w:rsidR="000704B9">
        <w:rPr>
          <w:sz w:val="22"/>
          <w:szCs w:val="22"/>
        </w:rPr>
        <w:t>de los puntos de importación del gas natural.</w:t>
      </w:r>
    </w:p>
    <w:p w14:paraId="23FE431A" w14:textId="77777777" w:rsidR="000704B9" w:rsidRDefault="000704B9" w:rsidP="00106960"/>
    <w:p w14:paraId="7C335589" w14:textId="77777777" w:rsidR="00106960" w:rsidRPr="00106960" w:rsidRDefault="00106960" w:rsidP="00106960"/>
    <w:p w14:paraId="43AF6C6D" w14:textId="5444BB5E" w:rsidR="00106960" w:rsidRPr="00106960" w:rsidRDefault="00536D4C" w:rsidP="00106960">
      <w:pPr>
        <w:pStyle w:val="Ttulo4"/>
      </w:pPr>
      <w:r w:rsidRPr="00ED021C">
        <w:t>SPEC</w:t>
      </w:r>
      <w:r w:rsidRPr="00ED021C">
        <w:tab/>
      </w:r>
    </w:p>
    <w:p w14:paraId="2EF9606B" w14:textId="18D0F51F" w:rsidR="00ED021C" w:rsidRPr="0037690D" w:rsidRDefault="00282760" w:rsidP="00ED021C">
      <w:pPr>
        <w:rPr>
          <w:rFonts w:cs="Arial"/>
          <w:i/>
          <w:iCs/>
          <w:sz w:val="22"/>
          <w:szCs w:val="22"/>
        </w:rPr>
      </w:pPr>
      <w:r>
        <w:rPr>
          <w:rFonts w:cs="Arial"/>
          <w:i/>
          <w:iCs/>
          <w:sz w:val="22"/>
          <w:szCs w:val="22"/>
        </w:rPr>
        <w:t>“</w:t>
      </w:r>
      <w:r w:rsidR="00ED021C" w:rsidRPr="0037690D">
        <w:rPr>
          <w:rFonts w:cs="Arial"/>
          <w:i/>
          <w:iCs/>
          <w:sz w:val="22"/>
          <w:szCs w:val="22"/>
        </w:rPr>
        <w:t>No es claro en la norma de la Comisión y en el Decreto 1073 de 2015 del Ministerio de Minas y Energía, como las Cantidades Disponibles para la Venta en Firme (CIDVF) cumplirían el requisito de respaldo físico. Se solicita a la Comisión precisar y aclarar este requisito para el gas natural importado</w:t>
      </w:r>
      <w:r>
        <w:rPr>
          <w:rFonts w:cs="Arial"/>
          <w:i/>
          <w:iCs/>
          <w:sz w:val="22"/>
          <w:szCs w:val="22"/>
        </w:rPr>
        <w:t>”</w:t>
      </w:r>
      <w:r w:rsidR="00ED021C" w:rsidRPr="0037690D">
        <w:rPr>
          <w:rFonts w:cs="Arial"/>
          <w:i/>
          <w:iCs/>
          <w:sz w:val="22"/>
          <w:szCs w:val="22"/>
        </w:rPr>
        <w:t>.</w:t>
      </w:r>
    </w:p>
    <w:p w14:paraId="2A5814DE" w14:textId="1025560D" w:rsidR="0037690D" w:rsidRDefault="0037690D" w:rsidP="00ED021C">
      <w:pPr>
        <w:rPr>
          <w:rFonts w:cs="Arial"/>
          <w:sz w:val="22"/>
          <w:szCs w:val="22"/>
        </w:rPr>
      </w:pPr>
    </w:p>
    <w:p w14:paraId="0362FC8E" w14:textId="509826BD" w:rsidR="0037690D" w:rsidRPr="0037690D" w:rsidRDefault="0037690D" w:rsidP="00ED021C">
      <w:pPr>
        <w:rPr>
          <w:rFonts w:cs="Arial"/>
          <w:b/>
          <w:bCs/>
          <w:sz w:val="22"/>
          <w:szCs w:val="22"/>
        </w:rPr>
      </w:pPr>
      <w:r w:rsidRPr="0037690D">
        <w:rPr>
          <w:rFonts w:cs="Arial"/>
          <w:b/>
          <w:bCs/>
          <w:sz w:val="22"/>
          <w:szCs w:val="22"/>
        </w:rPr>
        <w:t>Respuesta:</w:t>
      </w:r>
    </w:p>
    <w:p w14:paraId="78130FA0" w14:textId="0E4B6DB5" w:rsidR="0037690D" w:rsidRDefault="0037690D" w:rsidP="00ED021C">
      <w:pPr>
        <w:rPr>
          <w:rFonts w:cs="Arial"/>
          <w:sz w:val="22"/>
          <w:szCs w:val="22"/>
        </w:rPr>
      </w:pPr>
    </w:p>
    <w:p w14:paraId="7EBC608A" w14:textId="04E18BDE" w:rsidR="0037690D" w:rsidRPr="00ED021C" w:rsidRDefault="0037690D" w:rsidP="00ED021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_Ref129780388 \r \h </w:instrText>
      </w:r>
      <w:r>
        <w:rPr>
          <w:rFonts w:cs="Arial"/>
          <w:sz w:val="22"/>
          <w:szCs w:val="22"/>
        </w:rPr>
      </w:r>
      <w:r>
        <w:rPr>
          <w:rFonts w:cs="Arial"/>
          <w:sz w:val="22"/>
          <w:szCs w:val="22"/>
        </w:rPr>
        <w:fldChar w:fldCharType="separate"/>
      </w:r>
      <w:r w:rsidR="007651EA">
        <w:rPr>
          <w:rFonts w:cs="Arial"/>
          <w:sz w:val="22"/>
          <w:szCs w:val="22"/>
        </w:rPr>
        <w:t>4.4</w:t>
      </w:r>
      <w:r>
        <w:rPr>
          <w:rFonts w:cs="Arial"/>
          <w:sz w:val="22"/>
          <w:szCs w:val="22"/>
        </w:rPr>
        <w:fldChar w:fldCharType="end"/>
      </w:r>
      <w:r>
        <w:rPr>
          <w:rFonts w:cs="Arial"/>
          <w:sz w:val="22"/>
          <w:szCs w:val="22"/>
        </w:rPr>
        <w:t>.</w:t>
      </w:r>
    </w:p>
    <w:p w14:paraId="1A89817E" w14:textId="77777777" w:rsidR="00ED021C" w:rsidRDefault="00ED021C" w:rsidP="00ED021C">
      <w:pPr>
        <w:rPr>
          <w:rFonts w:cs="Arial"/>
          <w:sz w:val="22"/>
          <w:szCs w:val="22"/>
        </w:rPr>
      </w:pPr>
    </w:p>
    <w:p w14:paraId="40C97CF0" w14:textId="77777777" w:rsidR="00ED021C" w:rsidRDefault="00ED021C" w:rsidP="00ED021C">
      <w:pPr>
        <w:rPr>
          <w:rFonts w:cs="Arial"/>
          <w:sz w:val="22"/>
          <w:szCs w:val="22"/>
        </w:rPr>
      </w:pPr>
    </w:p>
    <w:p w14:paraId="5BFBB952" w14:textId="77777777" w:rsidR="00ED021C" w:rsidRDefault="00ED021C" w:rsidP="00536D4C">
      <w:pPr>
        <w:pStyle w:val="Ttulo2"/>
      </w:pPr>
      <w:bookmarkStart w:id="565" w:name="_Toc140506280"/>
      <w:r w:rsidRPr="00ED021C">
        <w:t>SURTIGAS</w:t>
      </w:r>
      <w:bookmarkEnd w:id="565"/>
      <w:r w:rsidRPr="00ED021C">
        <w:tab/>
      </w:r>
    </w:p>
    <w:p w14:paraId="72299E20" w14:textId="77777777" w:rsidR="00536D4C" w:rsidRDefault="00536D4C" w:rsidP="00536D4C">
      <w:pPr>
        <w:pStyle w:val="Ttulo4"/>
      </w:pPr>
      <w:r w:rsidRPr="00ED021C">
        <w:t>SURTIGAS</w:t>
      </w:r>
      <w:r w:rsidRPr="00ED021C">
        <w:tab/>
      </w:r>
    </w:p>
    <w:p w14:paraId="2FF4AF61" w14:textId="0CCAD28A" w:rsidR="00ED021C" w:rsidRPr="0037690D" w:rsidRDefault="00ED021C" w:rsidP="00ED021C">
      <w:pPr>
        <w:rPr>
          <w:rFonts w:cs="Arial"/>
          <w:i/>
          <w:iCs/>
          <w:sz w:val="22"/>
          <w:szCs w:val="22"/>
        </w:rPr>
      </w:pPr>
      <w:r w:rsidRPr="00ED021C">
        <w:rPr>
          <w:rFonts w:cs="Arial"/>
          <w:sz w:val="22"/>
          <w:szCs w:val="22"/>
        </w:rPr>
        <w:t>"</w:t>
      </w:r>
      <w:r w:rsidRPr="0037690D">
        <w:rPr>
          <w:rFonts w:cs="Arial"/>
          <w:i/>
          <w:iCs/>
          <w:sz w:val="22"/>
          <w:szCs w:val="22"/>
        </w:rPr>
        <w:t>El Proyecto de Resolución separa la actividad de comercialización, según se actúe en el mercado mayorista o en el mercado minorista y establece las siguientes definiciones:</w:t>
      </w:r>
    </w:p>
    <w:p w14:paraId="58F8F327" w14:textId="77777777" w:rsidR="00ED021C" w:rsidRPr="0037690D" w:rsidRDefault="00ED021C" w:rsidP="00ED021C">
      <w:pPr>
        <w:rPr>
          <w:rFonts w:cs="Arial"/>
          <w:i/>
          <w:iCs/>
          <w:sz w:val="22"/>
          <w:szCs w:val="22"/>
        </w:rPr>
      </w:pPr>
    </w:p>
    <w:p w14:paraId="619513FB" w14:textId="6850A5BE" w:rsidR="00ED021C" w:rsidRPr="0037690D" w:rsidRDefault="00282760" w:rsidP="00ED021C">
      <w:pPr>
        <w:rPr>
          <w:rFonts w:cs="Arial"/>
          <w:i/>
          <w:iCs/>
          <w:sz w:val="22"/>
          <w:szCs w:val="22"/>
        </w:rPr>
      </w:pPr>
      <w:r>
        <w:rPr>
          <w:rFonts w:cs="Arial"/>
          <w:i/>
          <w:iCs/>
          <w:sz w:val="22"/>
          <w:szCs w:val="22"/>
        </w:rPr>
        <w:t>‘</w:t>
      </w:r>
      <w:r w:rsidR="00ED021C" w:rsidRPr="0037690D">
        <w:rPr>
          <w:rFonts w:cs="Arial"/>
          <w:i/>
          <w:iCs/>
          <w:sz w:val="22"/>
          <w:szCs w:val="22"/>
        </w:rPr>
        <w:t>Comercialización Mayorista de Gas Natural: (...)</w:t>
      </w:r>
    </w:p>
    <w:p w14:paraId="2F2C64D8" w14:textId="77777777" w:rsidR="00ED021C" w:rsidRPr="0037690D" w:rsidRDefault="00ED021C" w:rsidP="00ED021C">
      <w:pPr>
        <w:rPr>
          <w:rFonts w:cs="Arial"/>
          <w:i/>
          <w:iCs/>
          <w:sz w:val="22"/>
          <w:szCs w:val="22"/>
        </w:rPr>
      </w:pPr>
      <w:r w:rsidRPr="0037690D">
        <w:rPr>
          <w:rFonts w:cs="Arial"/>
          <w:i/>
          <w:iCs/>
          <w:sz w:val="22"/>
          <w:szCs w:val="22"/>
        </w:rPr>
        <w:t xml:space="preserve">Comercialización Minorista de gas natural: </w:t>
      </w:r>
      <w:proofErr w:type="gramStart"/>
      <w:r w:rsidRPr="0037690D">
        <w:rPr>
          <w:rFonts w:cs="Arial"/>
          <w:i/>
          <w:iCs/>
          <w:sz w:val="22"/>
          <w:szCs w:val="22"/>
        </w:rPr>
        <w:t>(...) .</w:t>
      </w:r>
      <w:proofErr w:type="gramEnd"/>
    </w:p>
    <w:p w14:paraId="55257215" w14:textId="77777777" w:rsidR="00ED021C" w:rsidRPr="0037690D" w:rsidRDefault="00ED021C" w:rsidP="00ED021C">
      <w:pPr>
        <w:rPr>
          <w:rFonts w:cs="Arial"/>
          <w:i/>
          <w:iCs/>
          <w:sz w:val="22"/>
          <w:szCs w:val="22"/>
        </w:rPr>
      </w:pPr>
      <w:r w:rsidRPr="0037690D">
        <w:rPr>
          <w:rFonts w:cs="Arial"/>
          <w:i/>
          <w:iCs/>
          <w:sz w:val="22"/>
          <w:szCs w:val="22"/>
        </w:rPr>
        <w:t>Si bien estas definiciones resultan adecuadas para diferenciar y precisar la actividad que desarrollan los Comercializadores, consideramos que se deben eliminar las siguientes definiciones:</w:t>
      </w:r>
    </w:p>
    <w:p w14:paraId="189671A3" w14:textId="78F3462F" w:rsidR="00ED021C" w:rsidRPr="0037690D" w:rsidRDefault="00ED021C" w:rsidP="00ED021C">
      <w:pPr>
        <w:rPr>
          <w:rFonts w:cs="Arial"/>
          <w:i/>
          <w:iCs/>
          <w:sz w:val="22"/>
          <w:szCs w:val="22"/>
        </w:rPr>
      </w:pPr>
      <w:r w:rsidRPr="0037690D">
        <w:rPr>
          <w:rFonts w:cs="Arial"/>
          <w:i/>
          <w:iCs/>
          <w:sz w:val="22"/>
          <w:szCs w:val="22"/>
        </w:rPr>
        <w:t>Comercializador Mayorista: (...).</w:t>
      </w:r>
    </w:p>
    <w:p w14:paraId="5E92442B" w14:textId="4D4E30ED" w:rsidR="00ED021C" w:rsidRPr="0037690D" w:rsidRDefault="00ED021C" w:rsidP="00ED021C">
      <w:pPr>
        <w:rPr>
          <w:rFonts w:cs="Arial"/>
          <w:i/>
          <w:iCs/>
          <w:sz w:val="22"/>
          <w:szCs w:val="22"/>
        </w:rPr>
      </w:pPr>
      <w:r w:rsidRPr="0037690D">
        <w:rPr>
          <w:rFonts w:cs="Arial"/>
          <w:i/>
          <w:iCs/>
          <w:sz w:val="22"/>
          <w:szCs w:val="22"/>
        </w:rPr>
        <w:t xml:space="preserve">Comercializador Minorista: </w:t>
      </w:r>
      <w:proofErr w:type="gramStart"/>
      <w:r w:rsidRPr="0037690D">
        <w:rPr>
          <w:rFonts w:cs="Arial"/>
          <w:i/>
          <w:iCs/>
          <w:sz w:val="22"/>
          <w:szCs w:val="22"/>
        </w:rPr>
        <w:t>(...) .</w:t>
      </w:r>
      <w:proofErr w:type="gramEnd"/>
      <w:r w:rsidR="00282760">
        <w:rPr>
          <w:rFonts w:cs="Arial"/>
          <w:i/>
          <w:iCs/>
          <w:sz w:val="22"/>
          <w:szCs w:val="22"/>
        </w:rPr>
        <w:t>’</w:t>
      </w:r>
    </w:p>
    <w:p w14:paraId="2C4E0A2D" w14:textId="77777777" w:rsidR="00ED021C" w:rsidRPr="0037690D" w:rsidRDefault="00ED021C" w:rsidP="00ED021C">
      <w:pPr>
        <w:rPr>
          <w:rFonts w:cs="Arial"/>
          <w:i/>
          <w:iCs/>
          <w:sz w:val="22"/>
          <w:szCs w:val="22"/>
        </w:rPr>
      </w:pPr>
    </w:p>
    <w:p w14:paraId="350B64E3" w14:textId="48514CF5" w:rsidR="00ED021C" w:rsidRDefault="00ED021C" w:rsidP="00ED021C">
      <w:pPr>
        <w:rPr>
          <w:rFonts w:cs="Arial"/>
          <w:sz w:val="22"/>
          <w:szCs w:val="22"/>
        </w:rPr>
      </w:pPr>
      <w:r w:rsidRPr="0037690D">
        <w:rPr>
          <w:rFonts w:cs="Arial"/>
          <w:i/>
          <w:iCs/>
          <w:sz w:val="22"/>
          <w:szCs w:val="22"/>
        </w:rPr>
        <w:t>Esta sugerencia se presenta para evitar confusiones porque podría interpretarse que se trata de dos (2) agentes diferentes y que para actuar en uno u otro mercado se deben constituir como empresas independientes según desarrollen actividades de comercialización en el mercado mayorista o en el mercado minorista. Consideramos conveniente que ambas definiciones se sustituyan por una sola definición de Comercializador, indicando las limitaciones en materia de interés económico que le aplican a estos agentes, e indicando con que otros agentes puede desarrollar conjuntamente esta actividad</w:t>
      </w:r>
      <w:r w:rsidRPr="00ED021C">
        <w:rPr>
          <w:rFonts w:cs="Arial"/>
          <w:sz w:val="22"/>
          <w:szCs w:val="22"/>
        </w:rPr>
        <w:t>."</w:t>
      </w:r>
    </w:p>
    <w:p w14:paraId="72023C93" w14:textId="5ADAD0FB" w:rsidR="0037690D" w:rsidRDefault="0037690D" w:rsidP="00ED021C">
      <w:pPr>
        <w:rPr>
          <w:rFonts w:cs="Arial"/>
          <w:sz w:val="22"/>
          <w:szCs w:val="22"/>
        </w:rPr>
      </w:pPr>
    </w:p>
    <w:p w14:paraId="17901782" w14:textId="43632833" w:rsidR="0037690D" w:rsidRPr="0037690D" w:rsidRDefault="0037690D" w:rsidP="00ED021C">
      <w:pPr>
        <w:rPr>
          <w:rFonts w:cs="Arial"/>
          <w:b/>
          <w:bCs/>
          <w:sz w:val="22"/>
          <w:szCs w:val="22"/>
        </w:rPr>
      </w:pPr>
      <w:r w:rsidRPr="0037690D">
        <w:rPr>
          <w:rFonts w:cs="Arial"/>
          <w:b/>
          <w:bCs/>
          <w:sz w:val="22"/>
          <w:szCs w:val="22"/>
        </w:rPr>
        <w:t>Respuesta:</w:t>
      </w:r>
    </w:p>
    <w:p w14:paraId="4E0A022B" w14:textId="71021D0F" w:rsidR="0037690D" w:rsidRDefault="0037690D" w:rsidP="00ED021C">
      <w:pPr>
        <w:rPr>
          <w:rFonts w:cs="Arial"/>
          <w:sz w:val="22"/>
          <w:szCs w:val="22"/>
        </w:rPr>
      </w:pPr>
    </w:p>
    <w:p w14:paraId="7921C8CC" w14:textId="5D6BFFB9" w:rsidR="0037690D" w:rsidRPr="00ED021C" w:rsidRDefault="0037690D"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_Ref130537089 \r \h </w:instrText>
      </w:r>
      <w:r>
        <w:rPr>
          <w:rFonts w:cs="Arial"/>
          <w:sz w:val="22"/>
          <w:szCs w:val="22"/>
        </w:rPr>
      </w:r>
      <w:r>
        <w:rPr>
          <w:rFonts w:cs="Arial"/>
          <w:sz w:val="22"/>
          <w:szCs w:val="22"/>
        </w:rPr>
        <w:fldChar w:fldCharType="separate"/>
      </w:r>
      <w:r w:rsidR="007651EA">
        <w:rPr>
          <w:rFonts w:cs="Arial"/>
          <w:sz w:val="22"/>
          <w:szCs w:val="22"/>
        </w:rPr>
        <w:t>4.8.1.1</w:t>
      </w:r>
      <w:r>
        <w:rPr>
          <w:rFonts w:cs="Arial"/>
          <w:sz w:val="22"/>
          <w:szCs w:val="22"/>
        </w:rPr>
        <w:fldChar w:fldCharType="end"/>
      </w:r>
      <w:r>
        <w:rPr>
          <w:rFonts w:cs="Arial"/>
          <w:sz w:val="22"/>
          <w:szCs w:val="22"/>
        </w:rPr>
        <w:t>.</w:t>
      </w:r>
    </w:p>
    <w:p w14:paraId="45DA2859" w14:textId="77777777" w:rsidR="00ED021C" w:rsidRDefault="00ED021C" w:rsidP="00ED021C">
      <w:pPr>
        <w:rPr>
          <w:rFonts w:cs="Arial"/>
          <w:sz w:val="22"/>
          <w:szCs w:val="22"/>
        </w:rPr>
      </w:pPr>
    </w:p>
    <w:p w14:paraId="19512196" w14:textId="77777777" w:rsidR="00ED021C" w:rsidRDefault="00ED021C" w:rsidP="00ED021C">
      <w:pPr>
        <w:rPr>
          <w:rFonts w:cs="Arial"/>
          <w:sz w:val="22"/>
          <w:szCs w:val="22"/>
        </w:rPr>
      </w:pPr>
    </w:p>
    <w:p w14:paraId="16B6E6C0" w14:textId="77777777" w:rsidR="00ED021C" w:rsidRDefault="00ED021C" w:rsidP="00536D4C">
      <w:pPr>
        <w:pStyle w:val="Ttulo2"/>
      </w:pPr>
      <w:bookmarkStart w:id="566" w:name="_Toc140506281"/>
      <w:r w:rsidRPr="00ED021C">
        <w:t>TEBSA</w:t>
      </w:r>
      <w:bookmarkEnd w:id="566"/>
      <w:r w:rsidRPr="00ED021C">
        <w:tab/>
      </w:r>
    </w:p>
    <w:p w14:paraId="0BE8A179" w14:textId="77777777" w:rsidR="00536D4C" w:rsidRDefault="00536D4C" w:rsidP="00536D4C">
      <w:pPr>
        <w:pStyle w:val="Ttulo4"/>
      </w:pPr>
      <w:bookmarkStart w:id="567" w:name="_Ref130545261"/>
      <w:r w:rsidRPr="00ED021C">
        <w:t>TEBSA</w:t>
      </w:r>
      <w:bookmarkEnd w:id="567"/>
      <w:r w:rsidRPr="00ED021C">
        <w:tab/>
      </w:r>
    </w:p>
    <w:p w14:paraId="112A35E7" w14:textId="557FD661" w:rsidR="00ED021C" w:rsidRPr="0037690D" w:rsidRDefault="00282760" w:rsidP="00ED021C">
      <w:pPr>
        <w:rPr>
          <w:rFonts w:cs="Arial"/>
          <w:i/>
          <w:iCs/>
          <w:sz w:val="22"/>
          <w:szCs w:val="22"/>
        </w:rPr>
      </w:pPr>
      <w:r>
        <w:rPr>
          <w:rFonts w:cs="Arial"/>
          <w:i/>
          <w:iCs/>
          <w:sz w:val="22"/>
          <w:szCs w:val="22"/>
        </w:rPr>
        <w:t>“</w:t>
      </w:r>
      <w:r w:rsidR="00ED021C" w:rsidRPr="0037690D">
        <w:rPr>
          <w:rFonts w:cs="Arial"/>
          <w:i/>
          <w:iCs/>
          <w:sz w:val="22"/>
          <w:szCs w:val="22"/>
        </w:rPr>
        <w:t>Como la OCG es una opción, una herramienta, es una figura que va sobre unos mercados forward, entonces pueden o no tener respaldo físico, solo debería tener respaldo al momento de la entrega. De igual manera tener presente el considerando de demanda esencial que requiere respaldo físico, pero no se menciona a la generación térmica, que es la demanda que realmente se contrata con esta modalidad</w:t>
      </w:r>
      <w:r w:rsidR="0037690D" w:rsidRPr="0037690D">
        <w:rPr>
          <w:rFonts w:cs="Arial"/>
          <w:i/>
          <w:iCs/>
          <w:sz w:val="22"/>
          <w:szCs w:val="22"/>
        </w:rPr>
        <w:t>.</w:t>
      </w:r>
      <w:r w:rsidR="00851625">
        <w:rPr>
          <w:rFonts w:cs="Arial"/>
          <w:i/>
          <w:iCs/>
          <w:sz w:val="22"/>
          <w:szCs w:val="22"/>
        </w:rPr>
        <w:t>”</w:t>
      </w:r>
    </w:p>
    <w:p w14:paraId="6C506446" w14:textId="6323BCF3" w:rsidR="0037690D" w:rsidRDefault="0037690D" w:rsidP="00ED021C">
      <w:pPr>
        <w:rPr>
          <w:rFonts w:cs="Arial"/>
          <w:sz w:val="22"/>
          <w:szCs w:val="22"/>
        </w:rPr>
      </w:pPr>
    </w:p>
    <w:p w14:paraId="6D14A94A" w14:textId="272C23C1" w:rsidR="0037690D" w:rsidRPr="0037690D" w:rsidRDefault="0037690D" w:rsidP="00ED021C">
      <w:pPr>
        <w:rPr>
          <w:rFonts w:cs="Arial"/>
          <w:b/>
          <w:bCs/>
          <w:sz w:val="22"/>
          <w:szCs w:val="22"/>
        </w:rPr>
      </w:pPr>
      <w:r w:rsidRPr="0037690D">
        <w:rPr>
          <w:rFonts w:cs="Arial"/>
          <w:b/>
          <w:bCs/>
          <w:sz w:val="22"/>
          <w:szCs w:val="22"/>
        </w:rPr>
        <w:t>Respuesta:</w:t>
      </w:r>
    </w:p>
    <w:p w14:paraId="63646520" w14:textId="1D885771" w:rsidR="0037690D" w:rsidRDefault="0037690D" w:rsidP="00ED021C">
      <w:pPr>
        <w:rPr>
          <w:rFonts w:cs="Arial"/>
          <w:sz w:val="22"/>
          <w:szCs w:val="22"/>
        </w:rPr>
      </w:pPr>
    </w:p>
    <w:p w14:paraId="128F4339" w14:textId="7A529966" w:rsidR="0037690D" w:rsidRDefault="00F77D25" w:rsidP="00ED021C">
      <w:pPr>
        <w:rPr>
          <w:rFonts w:cs="Arial"/>
          <w:sz w:val="22"/>
          <w:szCs w:val="22"/>
        </w:rPr>
      </w:pPr>
      <w:r>
        <w:rPr>
          <w:rFonts w:cs="Arial"/>
          <w:sz w:val="22"/>
          <w:szCs w:val="22"/>
        </w:rPr>
        <w:t>No se acoge el comentario.</w:t>
      </w:r>
    </w:p>
    <w:p w14:paraId="7F02AFF4" w14:textId="4DD3CF1F" w:rsidR="00F77D25" w:rsidRDefault="00F77D25" w:rsidP="00ED021C">
      <w:pPr>
        <w:rPr>
          <w:rFonts w:cs="Arial"/>
          <w:sz w:val="22"/>
          <w:szCs w:val="22"/>
        </w:rPr>
      </w:pPr>
    </w:p>
    <w:p w14:paraId="51BDB5D9" w14:textId="042568EE" w:rsidR="00F77D25" w:rsidRDefault="00F77D25" w:rsidP="00F77D25">
      <w:pPr>
        <w:rPr>
          <w:rFonts w:cs="Arial"/>
          <w:sz w:val="22"/>
          <w:szCs w:val="22"/>
        </w:rPr>
      </w:pPr>
      <w:r>
        <w:rPr>
          <w:rFonts w:cs="Arial"/>
          <w:sz w:val="22"/>
          <w:szCs w:val="22"/>
        </w:rPr>
        <w:t>La modalidad contractual establecida por la CREG como Opción de Compra de G</w:t>
      </w:r>
      <w:r w:rsidR="00177A22">
        <w:rPr>
          <w:rFonts w:cs="Arial"/>
          <w:sz w:val="22"/>
          <w:szCs w:val="22"/>
        </w:rPr>
        <w:t>a</w:t>
      </w:r>
      <w:r>
        <w:rPr>
          <w:rFonts w:cs="Arial"/>
          <w:sz w:val="22"/>
          <w:szCs w:val="22"/>
        </w:rPr>
        <w:t>s – OCG es una modalidad del tipo firme o que garantiza firmeza, solo que sujeta a una condición para su ejecución. Al ser de tipo firme o que garantiza firmeza, es decir, en la que el vendedor del Mercado Primario</w:t>
      </w:r>
      <w:r w:rsidRPr="00F77D25">
        <w:rPr>
          <w:rFonts w:cs="Arial"/>
          <w:sz w:val="22"/>
          <w:szCs w:val="22"/>
        </w:rPr>
        <w:t xml:space="preserve"> garantiza el servicio de suministro de una cantidad máxima</w:t>
      </w:r>
      <w:r>
        <w:rPr>
          <w:rFonts w:cs="Arial"/>
          <w:sz w:val="22"/>
          <w:szCs w:val="22"/>
        </w:rPr>
        <w:t xml:space="preserve"> </w:t>
      </w:r>
      <w:r w:rsidRPr="00F77D25">
        <w:rPr>
          <w:rFonts w:cs="Arial"/>
          <w:sz w:val="22"/>
          <w:szCs w:val="22"/>
        </w:rPr>
        <w:t>de gas natural sin interrupciones, durante un período determinado</w:t>
      </w:r>
      <w:r>
        <w:rPr>
          <w:rFonts w:cs="Arial"/>
          <w:sz w:val="22"/>
          <w:szCs w:val="22"/>
        </w:rPr>
        <w:t xml:space="preserve"> (la condición de ejecución)</w:t>
      </w:r>
      <w:r w:rsidRPr="00F77D25">
        <w:rPr>
          <w:rFonts w:cs="Arial"/>
          <w:sz w:val="22"/>
          <w:szCs w:val="22"/>
        </w:rPr>
        <w:t xml:space="preserve">, </w:t>
      </w:r>
      <w:r>
        <w:rPr>
          <w:rFonts w:cs="Arial"/>
          <w:sz w:val="22"/>
          <w:szCs w:val="22"/>
        </w:rPr>
        <w:t xml:space="preserve">se requiere para su firma y registro posterior ante el </w:t>
      </w:r>
      <w:r w:rsidR="005114C6">
        <w:rPr>
          <w:rFonts w:cs="Arial"/>
          <w:sz w:val="22"/>
          <w:szCs w:val="22"/>
        </w:rPr>
        <w:t>Gestor del Mercado</w:t>
      </w:r>
      <w:r>
        <w:rPr>
          <w:rFonts w:cs="Arial"/>
          <w:sz w:val="22"/>
          <w:szCs w:val="22"/>
        </w:rPr>
        <w:t xml:space="preserve">, que el vendedor cuente con Respaldo Físico al momento de la firma del contrato, no con posterioridad a ella. </w:t>
      </w:r>
    </w:p>
    <w:p w14:paraId="1B21FE2E" w14:textId="0220DBB8" w:rsidR="00F77D25" w:rsidRDefault="00F77D25" w:rsidP="00F77D25">
      <w:pPr>
        <w:rPr>
          <w:rFonts w:cs="Arial"/>
          <w:sz w:val="22"/>
          <w:szCs w:val="22"/>
        </w:rPr>
      </w:pPr>
    </w:p>
    <w:p w14:paraId="52F9B53B" w14:textId="57FF15C0" w:rsidR="00AF6523" w:rsidRDefault="00F77D25" w:rsidP="00F77D25">
      <w:pPr>
        <w:rPr>
          <w:rFonts w:cs="Arial"/>
          <w:sz w:val="22"/>
          <w:szCs w:val="22"/>
        </w:rPr>
      </w:pPr>
      <w:r>
        <w:rPr>
          <w:rFonts w:cs="Arial"/>
          <w:sz w:val="22"/>
          <w:szCs w:val="22"/>
        </w:rPr>
        <w:t xml:space="preserve">Una de las razones de la exigencia del Respaldo Físico </w:t>
      </w:r>
      <w:r w:rsidR="00A52E7E">
        <w:rPr>
          <w:rFonts w:cs="Arial"/>
          <w:sz w:val="22"/>
          <w:szCs w:val="22"/>
        </w:rPr>
        <w:t xml:space="preserve">en el Mercado Primario, y derivado de ello en el Mercado Secundario, es que los compradores del gas de origen, y el sector en general, cuenten con una mayor confianza de que el contrato se cumplirá efectivamente puesto que el vendedor cuenta con infraestructura y reservas para ello (ver numeral </w:t>
      </w:r>
      <w:r w:rsidR="00A52E7E">
        <w:rPr>
          <w:rFonts w:cs="Arial"/>
          <w:sz w:val="22"/>
          <w:szCs w:val="22"/>
        </w:rPr>
        <w:fldChar w:fldCharType="begin"/>
      </w:r>
      <w:r w:rsidR="00A52E7E">
        <w:rPr>
          <w:rFonts w:cs="Arial"/>
          <w:sz w:val="22"/>
          <w:szCs w:val="22"/>
        </w:rPr>
        <w:instrText xml:space="preserve"> REF _Ref129780388 \r \h </w:instrText>
      </w:r>
      <w:r w:rsidR="00A52E7E">
        <w:rPr>
          <w:rFonts w:cs="Arial"/>
          <w:sz w:val="22"/>
          <w:szCs w:val="22"/>
        </w:rPr>
      </w:r>
      <w:r w:rsidR="00A52E7E">
        <w:rPr>
          <w:rFonts w:cs="Arial"/>
          <w:sz w:val="22"/>
          <w:szCs w:val="22"/>
        </w:rPr>
        <w:fldChar w:fldCharType="separate"/>
      </w:r>
      <w:r w:rsidR="007651EA">
        <w:rPr>
          <w:rFonts w:cs="Arial"/>
          <w:sz w:val="22"/>
          <w:szCs w:val="22"/>
        </w:rPr>
        <w:t>4.4</w:t>
      </w:r>
      <w:r w:rsidR="00A52E7E">
        <w:rPr>
          <w:rFonts w:cs="Arial"/>
          <w:sz w:val="22"/>
          <w:szCs w:val="22"/>
        </w:rPr>
        <w:fldChar w:fldCharType="end"/>
      </w:r>
      <w:r w:rsidR="00A52E7E">
        <w:rPr>
          <w:rFonts w:cs="Arial"/>
          <w:sz w:val="22"/>
          <w:szCs w:val="22"/>
        </w:rPr>
        <w:t>) y que las cantidades que vende en firme o con garantía de firmeza no están superando las capacidades de dicha infraestructura y de dichas reservas.</w:t>
      </w:r>
      <w:r w:rsidR="00AF6523">
        <w:rPr>
          <w:rFonts w:cs="Arial"/>
          <w:sz w:val="22"/>
          <w:szCs w:val="22"/>
        </w:rPr>
        <w:t xml:space="preserve"> Lo anterior, más aún cuando se trata del contrato OCG cuya ejecución se da cuando </w:t>
      </w:r>
      <w:r w:rsidR="00B4552C">
        <w:rPr>
          <w:rFonts w:cs="Arial"/>
          <w:sz w:val="22"/>
          <w:szCs w:val="22"/>
        </w:rPr>
        <w:t>precisamente es más probable que ocurra la nominación simultánea por parte de los compradores, de todos los contratos firmes o que garantizan firmeza</w:t>
      </w:r>
      <w:r w:rsidR="00C21224">
        <w:rPr>
          <w:rFonts w:cs="Arial"/>
          <w:sz w:val="22"/>
          <w:szCs w:val="22"/>
        </w:rPr>
        <w:t>, es decir, cuando se requiere la infraestructura de producción y de transporte de gas al máximo</w:t>
      </w:r>
      <w:r w:rsidR="00B4552C">
        <w:rPr>
          <w:rFonts w:cs="Arial"/>
          <w:sz w:val="22"/>
          <w:szCs w:val="22"/>
        </w:rPr>
        <w:t>.</w:t>
      </w:r>
      <w:r w:rsidR="00371561">
        <w:rPr>
          <w:rFonts w:cs="Arial"/>
          <w:sz w:val="22"/>
          <w:szCs w:val="22"/>
        </w:rPr>
        <w:t xml:space="preserve"> No puede el comprador su</w:t>
      </w:r>
      <w:r w:rsidR="00F8601B">
        <w:rPr>
          <w:rFonts w:cs="Arial"/>
          <w:sz w:val="22"/>
          <w:szCs w:val="22"/>
        </w:rPr>
        <w:t>s</w:t>
      </w:r>
      <w:r w:rsidR="00371561">
        <w:rPr>
          <w:rFonts w:cs="Arial"/>
          <w:sz w:val="22"/>
          <w:szCs w:val="22"/>
        </w:rPr>
        <w:t xml:space="preserve">cribir un contrato OCG o en general del tipo firme o que garantiza firmeza, en el que realmente se cuentan con dos condiciones de ejecución: i.) Que con posterioridad a la firma del contrato el vendedor logre contar con reservas 2P con las que no contaba al momento de la firma del contrato; y, </w:t>
      </w:r>
      <w:proofErr w:type="spellStart"/>
      <w:r w:rsidR="00371561">
        <w:rPr>
          <w:rFonts w:cs="Arial"/>
          <w:sz w:val="22"/>
          <w:szCs w:val="22"/>
        </w:rPr>
        <w:t>ii</w:t>
      </w:r>
      <w:proofErr w:type="spellEnd"/>
      <w:r w:rsidR="00371561">
        <w:rPr>
          <w:rFonts w:cs="Arial"/>
          <w:sz w:val="22"/>
          <w:szCs w:val="22"/>
        </w:rPr>
        <w:t>.) Que se presente la condición regulatoria para su ejecución</w:t>
      </w:r>
      <w:r w:rsidR="007D11EA">
        <w:rPr>
          <w:rFonts w:cs="Arial"/>
          <w:sz w:val="22"/>
          <w:szCs w:val="22"/>
        </w:rPr>
        <w:t xml:space="preserve"> (</w:t>
      </w:r>
      <w:r w:rsidR="0066212E" w:rsidRPr="0066212E">
        <w:rPr>
          <w:rFonts w:cs="Arial"/>
          <w:sz w:val="22"/>
          <w:szCs w:val="22"/>
        </w:rPr>
        <w:t>cuando se presente la condición de probable escasez y en hasta cinco (5) días calendario adicionales definidos a discreción del comprador</w:t>
      </w:r>
      <w:r w:rsidR="0066212E">
        <w:rPr>
          <w:rFonts w:cs="Arial"/>
          <w:sz w:val="22"/>
          <w:szCs w:val="22"/>
        </w:rPr>
        <w:t>).</w:t>
      </w:r>
    </w:p>
    <w:p w14:paraId="56F76571" w14:textId="5CE5C37D" w:rsidR="0026782C" w:rsidRDefault="0026782C" w:rsidP="00F77D25">
      <w:pPr>
        <w:rPr>
          <w:rFonts w:cs="Arial"/>
          <w:sz w:val="22"/>
          <w:szCs w:val="22"/>
        </w:rPr>
      </w:pPr>
    </w:p>
    <w:p w14:paraId="758989D8" w14:textId="221E89B2" w:rsidR="0026782C" w:rsidRDefault="0026782C" w:rsidP="00F77D25">
      <w:pPr>
        <w:rPr>
          <w:rFonts w:cs="Arial"/>
          <w:sz w:val="22"/>
          <w:szCs w:val="22"/>
        </w:rPr>
      </w:pPr>
      <w:r>
        <w:rPr>
          <w:rFonts w:cs="Arial"/>
          <w:sz w:val="22"/>
          <w:szCs w:val="22"/>
        </w:rPr>
        <w:t>Por otro lado, todo contrato del tipo firme o que garantiza firmeza debe contar con Respaldo Físico</w:t>
      </w:r>
      <w:r w:rsidR="00177A22">
        <w:rPr>
          <w:rFonts w:cs="Arial"/>
          <w:sz w:val="22"/>
          <w:szCs w:val="22"/>
        </w:rPr>
        <w:t xml:space="preserve"> al momento de la negociación y posterior registro del contrato ante el </w:t>
      </w:r>
      <w:r w:rsidR="005114C6">
        <w:rPr>
          <w:rFonts w:cs="Arial"/>
          <w:sz w:val="22"/>
          <w:szCs w:val="22"/>
        </w:rPr>
        <w:t>Gestor del Mercado</w:t>
      </w:r>
      <w:r>
        <w:rPr>
          <w:rFonts w:cs="Arial"/>
          <w:sz w:val="22"/>
          <w:szCs w:val="22"/>
        </w:rPr>
        <w:t>, tal como se desprende de la definición de dich</w:t>
      </w:r>
      <w:r w:rsidR="005B4C9C">
        <w:rPr>
          <w:rFonts w:cs="Arial"/>
          <w:sz w:val="22"/>
          <w:szCs w:val="22"/>
        </w:rPr>
        <w:t>a expresión</w:t>
      </w:r>
      <w:r>
        <w:rPr>
          <w:rFonts w:cs="Arial"/>
          <w:sz w:val="22"/>
          <w:szCs w:val="22"/>
        </w:rPr>
        <w:t xml:space="preserve"> en el Decreto 1073 de 2015.</w:t>
      </w:r>
      <w:r w:rsidR="00710AF0">
        <w:rPr>
          <w:rFonts w:cs="Arial"/>
          <w:sz w:val="22"/>
          <w:szCs w:val="22"/>
        </w:rPr>
        <w:t xml:space="preserve"> </w:t>
      </w:r>
      <w:r w:rsidR="005B4C9C">
        <w:rPr>
          <w:rFonts w:cs="Arial"/>
          <w:sz w:val="22"/>
          <w:szCs w:val="22"/>
        </w:rPr>
        <w:t>Asimismo, n</w:t>
      </w:r>
      <w:r w:rsidR="00710AF0">
        <w:rPr>
          <w:rFonts w:cs="Arial"/>
          <w:sz w:val="22"/>
          <w:szCs w:val="22"/>
        </w:rPr>
        <w:t>o es solamente la contratación de la Demanda Esencial que debe cumplir con esa política energética sino todo aquel usuario final o agente que representa usuarios finales, que tienen la mayor confianza de que el contrato de suministro firme o que garantiza firmeza del Mercado Primario le sea cumplido</w:t>
      </w:r>
      <w:r w:rsidR="00B834A5">
        <w:rPr>
          <w:rFonts w:cs="Arial"/>
          <w:sz w:val="22"/>
          <w:szCs w:val="22"/>
        </w:rPr>
        <w:t xml:space="preserve"> no solo a él mismo, sino a todo aquel que los haya suscrito</w:t>
      </w:r>
      <w:r w:rsidR="00710AF0">
        <w:rPr>
          <w:rFonts w:cs="Arial"/>
          <w:sz w:val="22"/>
          <w:szCs w:val="22"/>
        </w:rPr>
        <w:t>.</w:t>
      </w:r>
    </w:p>
    <w:p w14:paraId="38283BF7" w14:textId="7A913A5C" w:rsidR="00BA6613" w:rsidRDefault="00BA6613" w:rsidP="00F77D25">
      <w:pPr>
        <w:rPr>
          <w:rFonts w:cs="Arial"/>
          <w:sz w:val="22"/>
          <w:szCs w:val="22"/>
        </w:rPr>
      </w:pPr>
    </w:p>
    <w:p w14:paraId="3078CE23" w14:textId="510652B8" w:rsidR="00BA6613" w:rsidRDefault="00BA6613" w:rsidP="00F77D25">
      <w:pPr>
        <w:rPr>
          <w:rFonts w:cs="Arial"/>
          <w:sz w:val="22"/>
          <w:szCs w:val="22"/>
        </w:rPr>
      </w:pPr>
      <w:r>
        <w:rPr>
          <w:rFonts w:cs="Arial"/>
          <w:sz w:val="22"/>
          <w:szCs w:val="22"/>
        </w:rPr>
        <w:t xml:space="preserve">Ahora bien, </w:t>
      </w:r>
      <w:r w:rsidR="00F15F15">
        <w:rPr>
          <w:rFonts w:cs="Arial"/>
          <w:sz w:val="22"/>
          <w:szCs w:val="22"/>
        </w:rPr>
        <w:t xml:space="preserve">la modalidad contractual OCG es complementaria a la CFC, porque las condiciones de ejecución son complementarias, es decir, la ejecución simultánea de los dos contratos no es obligatoria para el vendedor. Ello no implica que alguno de ellos, OCG o CFC, no requiera Respaldo Físico al momento de la firma y de registro del contrato; ambos lo requieren, solo que el mismo Respaldo Físico sirve para ambos contratos siempre y cuando las cantidades contratadas </w:t>
      </w:r>
      <w:r w:rsidR="00C70CA5">
        <w:rPr>
          <w:rFonts w:cs="Arial"/>
          <w:sz w:val="22"/>
          <w:szCs w:val="22"/>
        </w:rPr>
        <w:t xml:space="preserve">entre las dos modalidades </w:t>
      </w:r>
      <w:r w:rsidR="00F15F15">
        <w:rPr>
          <w:rFonts w:cs="Arial"/>
          <w:sz w:val="22"/>
          <w:szCs w:val="22"/>
        </w:rPr>
        <w:t>sean idénticas.</w:t>
      </w:r>
    </w:p>
    <w:p w14:paraId="1B645816" w14:textId="77777777" w:rsidR="00F77D25" w:rsidRDefault="00F77D25" w:rsidP="00ED021C">
      <w:pPr>
        <w:rPr>
          <w:rFonts w:cs="Arial"/>
          <w:sz w:val="22"/>
          <w:szCs w:val="22"/>
        </w:rPr>
      </w:pPr>
    </w:p>
    <w:p w14:paraId="4E296FCF" w14:textId="26B33BDB" w:rsidR="0037690D" w:rsidRDefault="0037690D" w:rsidP="00ED021C">
      <w:pPr>
        <w:rPr>
          <w:rFonts w:cs="Arial"/>
          <w:sz w:val="22"/>
          <w:szCs w:val="22"/>
        </w:rPr>
      </w:pPr>
    </w:p>
    <w:p w14:paraId="691678F2" w14:textId="77777777" w:rsidR="00ED021C" w:rsidRDefault="00ED021C" w:rsidP="00536D4C">
      <w:pPr>
        <w:pStyle w:val="Ttulo4"/>
      </w:pPr>
      <w:r w:rsidRPr="00ED021C">
        <w:t>TEBSA</w:t>
      </w:r>
      <w:r w:rsidRPr="00ED021C">
        <w:tab/>
      </w:r>
    </w:p>
    <w:p w14:paraId="1B62A5CD" w14:textId="24954EE7" w:rsidR="00ED021C" w:rsidRPr="009C5EBA" w:rsidRDefault="008F6B84" w:rsidP="00ED021C">
      <w:pPr>
        <w:rPr>
          <w:rFonts w:cs="Arial"/>
          <w:i/>
          <w:iCs/>
          <w:sz w:val="22"/>
          <w:szCs w:val="22"/>
        </w:rPr>
      </w:pPr>
      <w:r>
        <w:rPr>
          <w:rFonts w:cs="Arial"/>
          <w:i/>
          <w:iCs/>
          <w:sz w:val="22"/>
          <w:szCs w:val="22"/>
        </w:rPr>
        <w:t>“</w:t>
      </w:r>
      <w:r w:rsidR="00ED021C" w:rsidRPr="009C5EBA">
        <w:rPr>
          <w:rFonts w:cs="Arial"/>
          <w:i/>
          <w:iCs/>
          <w:sz w:val="22"/>
          <w:szCs w:val="22"/>
        </w:rPr>
        <w:t>Incluir eventos pandémicos, terremotos</w:t>
      </w:r>
      <w:r w:rsidR="009C5EBA" w:rsidRPr="009C5EBA">
        <w:rPr>
          <w:rFonts w:cs="Arial"/>
          <w:sz w:val="22"/>
          <w:szCs w:val="22"/>
        </w:rPr>
        <w:t xml:space="preserve"> [en definiciones de eve</w:t>
      </w:r>
      <w:r w:rsidR="009C5EBA">
        <w:rPr>
          <w:rFonts w:cs="Arial"/>
          <w:sz w:val="22"/>
          <w:szCs w:val="22"/>
        </w:rPr>
        <w:t>nto</w:t>
      </w:r>
      <w:r w:rsidR="009C5EBA" w:rsidRPr="009C5EBA">
        <w:rPr>
          <w:rFonts w:cs="Arial"/>
          <w:sz w:val="22"/>
          <w:szCs w:val="22"/>
        </w:rPr>
        <w:t>s de fuerza mayor</w:t>
      </w:r>
      <w:r w:rsidR="009C5EBA">
        <w:rPr>
          <w:rFonts w:cs="Arial"/>
          <w:i/>
          <w:iCs/>
          <w:sz w:val="22"/>
          <w:szCs w:val="22"/>
        </w:rPr>
        <w:t>]</w:t>
      </w:r>
      <w:r w:rsidR="00FA75A0" w:rsidRPr="009C5EBA">
        <w:rPr>
          <w:rFonts w:cs="Arial"/>
          <w:i/>
          <w:iCs/>
          <w:sz w:val="22"/>
          <w:szCs w:val="22"/>
        </w:rPr>
        <w:t>.</w:t>
      </w:r>
      <w:r>
        <w:rPr>
          <w:rFonts w:cs="Arial"/>
          <w:i/>
          <w:iCs/>
          <w:sz w:val="22"/>
          <w:szCs w:val="22"/>
        </w:rPr>
        <w:t>”</w:t>
      </w:r>
    </w:p>
    <w:p w14:paraId="0856EE6B" w14:textId="5981CAEC" w:rsidR="00FA75A0" w:rsidRDefault="00FA75A0" w:rsidP="00ED021C">
      <w:pPr>
        <w:rPr>
          <w:rFonts w:cs="Arial"/>
          <w:sz w:val="22"/>
          <w:szCs w:val="22"/>
        </w:rPr>
      </w:pPr>
    </w:p>
    <w:p w14:paraId="6352A975" w14:textId="393C8D2C" w:rsidR="00FA75A0" w:rsidRPr="00FA75A0" w:rsidRDefault="00FA75A0" w:rsidP="00ED021C">
      <w:pPr>
        <w:rPr>
          <w:rFonts w:cs="Arial"/>
          <w:b/>
          <w:bCs/>
          <w:sz w:val="22"/>
          <w:szCs w:val="22"/>
        </w:rPr>
      </w:pPr>
      <w:r w:rsidRPr="00FA75A0">
        <w:rPr>
          <w:rFonts w:cs="Arial"/>
          <w:b/>
          <w:bCs/>
          <w:sz w:val="22"/>
          <w:szCs w:val="22"/>
        </w:rPr>
        <w:t>Respuesta:</w:t>
      </w:r>
    </w:p>
    <w:p w14:paraId="432847C1" w14:textId="7B55949F" w:rsidR="00FA75A0" w:rsidRDefault="00FA75A0" w:rsidP="00ED021C">
      <w:pPr>
        <w:rPr>
          <w:rFonts w:cs="Arial"/>
          <w:sz w:val="22"/>
          <w:szCs w:val="22"/>
        </w:rPr>
      </w:pPr>
    </w:p>
    <w:p w14:paraId="1D338BFA" w14:textId="77BCAF52" w:rsidR="00FA75A0" w:rsidRDefault="00FA75A0" w:rsidP="00ED021C">
      <w:pPr>
        <w:rPr>
          <w:rFonts w:cs="Arial"/>
          <w:sz w:val="22"/>
          <w:szCs w:val="22"/>
        </w:rPr>
      </w:pPr>
      <w:r>
        <w:rPr>
          <w:rFonts w:cs="Arial"/>
          <w:sz w:val="22"/>
          <w:szCs w:val="22"/>
        </w:rPr>
        <w:t>No se acoge el comentario.</w:t>
      </w:r>
    </w:p>
    <w:p w14:paraId="1C9EC5D7" w14:textId="1218960F" w:rsidR="009C5EBA" w:rsidRDefault="009C5EBA" w:rsidP="00ED021C">
      <w:pPr>
        <w:rPr>
          <w:rFonts w:cs="Arial"/>
          <w:sz w:val="22"/>
          <w:szCs w:val="22"/>
        </w:rPr>
      </w:pPr>
    </w:p>
    <w:p w14:paraId="0112A898" w14:textId="27D862F3" w:rsidR="00FA75A0" w:rsidRDefault="009C5EBA" w:rsidP="00ED021C">
      <w:pPr>
        <w:rPr>
          <w:rFonts w:cs="Arial"/>
          <w:sz w:val="22"/>
          <w:szCs w:val="22"/>
        </w:rPr>
      </w:pPr>
      <w:r>
        <w:rPr>
          <w:rFonts w:cs="Arial"/>
          <w:sz w:val="22"/>
          <w:szCs w:val="22"/>
        </w:rPr>
        <w:t xml:space="preserve">La condición mínima de contenido de contratos establecida por la CREG como como eventos de fuerza mayor, caso fortuito o causa extraña y la definición de </w:t>
      </w:r>
      <w:proofErr w:type="gramStart"/>
      <w:r>
        <w:rPr>
          <w:rFonts w:cs="Arial"/>
          <w:sz w:val="22"/>
          <w:szCs w:val="22"/>
        </w:rPr>
        <w:t>los mismos</w:t>
      </w:r>
      <w:proofErr w:type="gramEnd"/>
      <w:r>
        <w:rPr>
          <w:rFonts w:cs="Arial"/>
          <w:sz w:val="22"/>
          <w:szCs w:val="22"/>
        </w:rPr>
        <w:t xml:space="preserve"> no tiene por objeto determinarlos</w:t>
      </w:r>
      <w:r w:rsidR="004F490A">
        <w:rPr>
          <w:rFonts w:cs="Arial"/>
          <w:sz w:val="22"/>
          <w:szCs w:val="22"/>
        </w:rPr>
        <w:t xml:space="preserve">. Lo que se busca en la propuesta regulatoria es </w:t>
      </w:r>
      <w:r>
        <w:rPr>
          <w:rFonts w:cs="Arial"/>
          <w:sz w:val="22"/>
          <w:szCs w:val="22"/>
        </w:rPr>
        <w:t>establecer las consecuencias derivadas de su ocurrencia durante la ejecución de los contratos.</w:t>
      </w:r>
    </w:p>
    <w:p w14:paraId="2E097A91" w14:textId="77777777" w:rsidR="00FA75A0" w:rsidRPr="00ED021C" w:rsidRDefault="00FA75A0" w:rsidP="00ED021C">
      <w:pPr>
        <w:rPr>
          <w:rFonts w:cs="Arial"/>
          <w:sz w:val="22"/>
          <w:szCs w:val="22"/>
        </w:rPr>
      </w:pPr>
    </w:p>
    <w:p w14:paraId="6B3A545D" w14:textId="77777777" w:rsidR="00ED021C" w:rsidRDefault="00ED021C" w:rsidP="00ED021C">
      <w:pPr>
        <w:rPr>
          <w:rFonts w:cs="Arial"/>
          <w:sz w:val="22"/>
          <w:szCs w:val="22"/>
        </w:rPr>
      </w:pPr>
    </w:p>
    <w:p w14:paraId="63DA17E2" w14:textId="77777777" w:rsidR="00ED021C" w:rsidRDefault="00ED021C" w:rsidP="00536D4C">
      <w:pPr>
        <w:pStyle w:val="Ttulo4"/>
      </w:pPr>
      <w:bookmarkStart w:id="568" w:name="_Ref130792638"/>
      <w:r w:rsidRPr="00ED021C">
        <w:t>TEBSA</w:t>
      </w:r>
      <w:bookmarkEnd w:id="568"/>
      <w:r w:rsidRPr="00ED021C">
        <w:tab/>
      </w:r>
    </w:p>
    <w:p w14:paraId="327F7CDE" w14:textId="3350920A" w:rsidR="00ED021C" w:rsidRPr="007D681F" w:rsidRDefault="008F6B84" w:rsidP="00ED021C">
      <w:pPr>
        <w:rPr>
          <w:rFonts w:cs="Arial"/>
          <w:sz w:val="22"/>
          <w:szCs w:val="22"/>
        </w:rPr>
      </w:pPr>
      <w:r>
        <w:rPr>
          <w:rFonts w:cs="Arial"/>
          <w:i/>
          <w:iCs/>
          <w:sz w:val="22"/>
          <w:szCs w:val="22"/>
        </w:rPr>
        <w:t>“</w:t>
      </w:r>
      <w:r w:rsidR="00ED021C" w:rsidRPr="00D97CCE">
        <w:rPr>
          <w:rFonts w:cs="Arial"/>
          <w:i/>
          <w:iCs/>
          <w:sz w:val="22"/>
          <w:szCs w:val="22"/>
        </w:rPr>
        <w:t>Aviso con tiempo m</w:t>
      </w:r>
      <w:r w:rsidR="00D97CCE" w:rsidRPr="00D97CCE">
        <w:rPr>
          <w:rFonts w:cs="Arial"/>
          <w:i/>
          <w:iCs/>
          <w:sz w:val="22"/>
          <w:szCs w:val="22"/>
        </w:rPr>
        <w:t>í</w:t>
      </w:r>
      <w:r w:rsidR="00ED021C" w:rsidRPr="00D97CCE">
        <w:rPr>
          <w:rFonts w:cs="Arial"/>
          <w:i/>
          <w:iCs/>
          <w:sz w:val="22"/>
          <w:szCs w:val="22"/>
        </w:rPr>
        <w:t xml:space="preserve">nimo a la realidad de mercado y sean </w:t>
      </w:r>
      <w:r w:rsidR="00D97CCE" w:rsidRPr="00D97CCE">
        <w:rPr>
          <w:rFonts w:cs="Arial"/>
          <w:i/>
          <w:iCs/>
          <w:sz w:val="22"/>
          <w:szCs w:val="22"/>
        </w:rPr>
        <w:t>simétricos</w:t>
      </w:r>
      <w:r w:rsidR="007D681F">
        <w:rPr>
          <w:rFonts w:cs="Arial"/>
          <w:i/>
          <w:iCs/>
          <w:sz w:val="22"/>
          <w:szCs w:val="22"/>
        </w:rPr>
        <w:t xml:space="preserve">. </w:t>
      </w:r>
      <w:r w:rsidR="007D681F" w:rsidRPr="007D681F">
        <w:rPr>
          <w:rFonts w:cs="Arial"/>
          <w:sz w:val="22"/>
          <w:szCs w:val="22"/>
        </w:rPr>
        <w:t>[eventos eximentes de responsabilidad]</w:t>
      </w:r>
      <w:r>
        <w:rPr>
          <w:rFonts w:cs="Arial"/>
          <w:sz w:val="22"/>
          <w:szCs w:val="22"/>
        </w:rPr>
        <w:t>”</w:t>
      </w:r>
    </w:p>
    <w:p w14:paraId="719AA9E0" w14:textId="224FB93D" w:rsidR="00D97CCE" w:rsidRDefault="00D97CCE" w:rsidP="00ED021C">
      <w:pPr>
        <w:rPr>
          <w:rFonts w:cs="Arial"/>
          <w:sz w:val="22"/>
          <w:szCs w:val="22"/>
        </w:rPr>
      </w:pPr>
    </w:p>
    <w:p w14:paraId="67821254" w14:textId="372805F5" w:rsidR="00D97CCE" w:rsidRPr="00D97CCE" w:rsidRDefault="00D97CCE" w:rsidP="00ED021C">
      <w:pPr>
        <w:rPr>
          <w:rFonts w:cs="Arial"/>
          <w:b/>
          <w:bCs/>
          <w:sz w:val="22"/>
          <w:szCs w:val="22"/>
        </w:rPr>
      </w:pPr>
      <w:r w:rsidRPr="00D97CCE">
        <w:rPr>
          <w:rFonts w:cs="Arial"/>
          <w:b/>
          <w:bCs/>
          <w:sz w:val="22"/>
          <w:szCs w:val="22"/>
        </w:rPr>
        <w:t>Respuesta:</w:t>
      </w:r>
    </w:p>
    <w:p w14:paraId="15794633" w14:textId="6886BCDC" w:rsidR="00D97CCE" w:rsidRDefault="00D97CCE" w:rsidP="00ED021C">
      <w:pPr>
        <w:rPr>
          <w:rFonts w:cs="Arial"/>
          <w:sz w:val="22"/>
          <w:szCs w:val="22"/>
        </w:rPr>
      </w:pPr>
    </w:p>
    <w:p w14:paraId="140835D1" w14:textId="3D9894B5" w:rsidR="00D97CCE" w:rsidRDefault="007D681F" w:rsidP="00ED021C">
      <w:pPr>
        <w:rPr>
          <w:rFonts w:cs="Arial"/>
          <w:sz w:val="22"/>
          <w:szCs w:val="22"/>
        </w:rPr>
      </w:pPr>
      <w:r>
        <w:rPr>
          <w:rFonts w:cs="Arial"/>
          <w:sz w:val="22"/>
          <w:szCs w:val="22"/>
        </w:rPr>
        <w:t>No se acoge el comentario.</w:t>
      </w:r>
    </w:p>
    <w:p w14:paraId="218DB4D4" w14:textId="545EF105" w:rsidR="007D681F" w:rsidRDefault="007D681F" w:rsidP="00ED021C">
      <w:pPr>
        <w:rPr>
          <w:rFonts w:cs="Arial"/>
          <w:sz w:val="22"/>
          <w:szCs w:val="22"/>
        </w:rPr>
      </w:pPr>
    </w:p>
    <w:p w14:paraId="59513C02" w14:textId="2DBB6CD3" w:rsidR="007D681F" w:rsidRDefault="007D681F" w:rsidP="00ED021C">
      <w:pPr>
        <w:rPr>
          <w:rFonts w:cs="Arial"/>
          <w:sz w:val="22"/>
          <w:szCs w:val="22"/>
        </w:rPr>
      </w:pPr>
      <w:r>
        <w:rPr>
          <w:rFonts w:cs="Arial"/>
          <w:sz w:val="22"/>
          <w:szCs w:val="22"/>
        </w:rPr>
        <w:t>En los ajustes propuestos en la Resolución CREG 226 de 2021 no se establecen modificaciones respecto de condiciones de aviso entre las partes de los contratos para aplicar a situaciones eximentes de responsabilidad, porque actualmente dichos aspectos no son contenido de la regulación a ajustar.</w:t>
      </w:r>
    </w:p>
    <w:p w14:paraId="0A4AB671" w14:textId="6F45D415" w:rsidR="007D681F" w:rsidRDefault="007D681F" w:rsidP="00ED021C">
      <w:pPr>
        <w:rPr>
          <w:rFonts w:cs="Arial"/>
          <w:sz w:val="22"/>
          <w:szCs w:val="22"/>
        </w:rPr>
      </w:pPr>
    </w:p>
    <w:p w14:paraId="64E60AF5" w14:textId="496F5E03" w:rsidR="007D681F" w:rsidRDefault="007D681F" w:rsidP="00ED021C">
      <w:pPr>
        <w:rPr>
          <w:rFonts w:cs="Arial"/>
          <w:sz w:val="22"/>
          <w:szCs w:val="22"/>
        </w:rPr>
      </w:pPr>
      <w:r>
        <w:rPr>
          <w:rFonts w:cs="Arial"/>
          <w:sz w:val="22"/>
          <w:szCs w:val="22"/>
        </w:rPr>
        <w:t>Es de tener en cuenta que entre las partes de un contrato hay diferencia significativa entre los efectos de las circunstancias derivadas de la ocurrencia de eventos eximentes entre el productor-comercializador</w:t>
      </w:r>
      <w:r w:rsidR="0010772E">
        <w:rPr>
          <w:rFonts w:cs="Arial"/>
          <w:sz w:val="22"/>
          <w:szCs w:val="22"/>
        </w:rPr>
        <w:t xml:space="preserve">, que puede afectar normalmente a pluralidad de agentes que tiene contratado el suministro, </w:t>
      </w:r>
      <w:r>
        <w:rPr>
          <w:rFonts w:cs="Arial"/>
          <w:sz w:val="22"/>
          <w:szCs w:val="22"/>
        </w:rPr>
        <w:t>y el comprador del Mercado Primario particularmente</w:t>
      </w:r>
      <w:r w:rsidR="0010772E">
        <w:rPr>
          <w:rFonts w:cs="Arial"/>
          <w:sz w:val="22"/>
          <w:szCs w:val="22"/>
        </w:rPr>
        <w:t xml:space="preserve"> cuyas afectaciones normalmente no afectan a los demás agentes que tiene contratado el suministro con el mismo vendedor</w:t>
      </w:r>
      <w:r>
        <w:rPr>
          <w:rFonts w:cs="Arial"/>
          <w:sz w:val="22"/>
          <w:szCs w:val="22"/>
        </w:rPr>
        <w:t>.</w:t>
      </w:r>
    </w:p>
    <w:p w14:paraId="1A3624D1" w14:textId="77777777" w:rsidR="00D97CCE" w:rsidRPr="00ED021C" w:rsidRDefault="00D97CCE" w:rsidP="00ED021C">
      <w:pPr>
        <w:rPr>
          <w:rFonts w:cs="Arial"/>
          <w:sz w:val="22"/>
          <w:szCs w:val="22"/>
        </w:rPr>
      </w:pPr>
    </w:p>
    <w:p w14:paraId="7DBE0B62" w14:textId="77777777" w:rsidR="00ED021C" w:rsidRDefault="00ED021C" w:rsidP="00ED021C">
      <w:pPr>
        <w:rPr>
          <w:rFonts w:cs="Arial"/>
          <w:sz w:val="22"/>
          <w:szCs w:val="22"/>
        </w:rPr>
      </w:pPr>
    </w:p>
    <w:p w14:paraId="4AA16801" w14:textId="77777777" w:rsidR="00ED021C" w:rsidRDefault="00ED021C" w:rsidP="00536D4C">
      <w:pPr>
        <w:pStyle w:val="Ttulo4"/>
      </w:pPr>
      <w:r w:rsidRPr="00ED021C">
        <w:t>TEBSA</w:t>
      </w:r>
      <w:r w:rsidRPr="00ED021C">
        <w:tab/>
      </w:r>
    </w:p>
    <w:p w14:paraId="5FE630DB" w14:textId="79BCBBDB" w:rsidR="00ED021C" w:rsidRPr="007D681F" w:rsidRDefault="00543C70" w:rsidP="00ED021C">
      <w:pPr>
        <w:rPr>
          <w:rFonts w:cs="Arial"/>
          <w:i/>
          <w:iCs/>
          <w:sz w:val="22"/>
          <w:szCs w:val="22"/>
        </w:rPr>
      </w:pPr>
      <w:r>
        <w:rPr>
          <w:rFonts w:cs="Arial"/>
          <w:i/>
          <w:iCs/>
          <w:sz w:val="22"/>
          <w:szCs w:val="22"/>
        </w:rPr>
        <w:t>“</w:t>
      </w:r>
      <w:r w:rsidR="00ED021C" w:rsidRPr="007D681F">
        <w:rPr>
          <w:rFonts w:cs="Arial"/>
          <w:i/>
          <w:iCs/>
          <w:sz w:val="22"/>
          <w:szCs w:val="22"/>
        </w:rPr>
        <w:t>La demanda esencial es la que se debe contratar con respaldo físico, no toda la demanda</w:t>
      </w:r>
      <w:r>
        <w:rPr>
          <w:rFonts w:cs="Arial"/>
          <w:i/>
          <w:iCs/>
          <w:sz w:val="22"/>
          <w:szCs w:val="22"/>
        </w:rPr>
        <w:t>”</w:t>
      </w:r>
    </w:p>
    <w:p w14:paraId="363C50FB" w14:textId="40EEA3EE" w:rsidR="00ED021C" w:rsidRDefault="00ED021C" w:rsidP="00ED021C">
      <w:pPr>
        <w:rPr>
          <w:rFonts w:cs="Arial"/>
          <w:sz w:val="22"/>
          <w:szCs w:val="22"/>
        </w:rPr>
      </w:pPr>
    </w:p>
    <w:p w14:paraId="1E13C8B7" w14:textId="6C004824" w:rsidR="007D681F" w:rsidRPr="007D681F" w:rsidRDefault="007D681F" w:rsidP="00ED021C">
      <w:pPr>
        <w:rPr>
          <w:rFonts w:cs="Arial"/>
          <w:b/>
          <w:bCs/>
          <w:sz w:val="22"/>
          <w:szCs w:val="22"/>
        </w:rPr>
      </w:pPr>
      <w:r w:rsidRPr="007D681F">
        <w:rPr>
          <w:rFonts w:cs="Arial"/>
          <w:b/>
          <w:bCs/>
          <w:sz w:val="22"/>
          <w:szCs w:val="22"/>
        </w:rPr>
        <w:t>Respuesta:</w:t>
      </w:r>
    </w:p>
    <w:p w14:paraId="61DC6D82" w14:textId="5A7DA7B3" w:rsidR="007D681F" w:rsidRDefault="007D681F" w:rsidP="00ED021C">
      <w:pPr>
        <w:rPr>
          <w:rFonts w:cs="Arial"/>
          <w:sz w:val="22"/>
          <w:szCs w:val="22"/>
        </w:rPr>
      </w:pPr>
    </w:p>
    <w:p w14:paraId="219755B2" w14:textId="0A606A63" w:rsidR="007D681F" w:rsidRDefault="007D681F" w:rsidP="00ED021C">
      <w:pPr>
        <w:rPr>
          <w:rFonts w:cs="Arial"/>
          <w:sz w:val="22"/>
          <w:szCs w:val="22"/>
        </w:rPr>
      </w:pPr>
      <w:r>
        <w:rPr>
          <w:rFonts w:cs="Arial"/>
          <w:sz w:val="22"/>
          <w:szCs w:val="22"/>
        </w:rPr>
        <w:t>No se acoge el comentario.</w:t>
      </w:r>
    </w:p>
    <w:p w14:paraId="2FDE1E8C" w14:textId="7746BEBE" w:rsidR="007D681F" w:rsidRDefault="007D681F" w:rsidP="00ED021C">
      <w:pPr>
        <w:rPr>
          <w:rFonts w:cs="Arial"/>
          <w:sz w:val="22"/>
          <w:szCs w:val="22"/>
        </w:rPr>
      </w:pPr>
    </w:p>
    <w:p w14:paraId="2C6920A3" w14:textId="3CBE65DB" w:rsidR="007D681F" w:rsidRDefault="007D681F" w:rsidP="00ED021C">
      <w:pPr>
        <w:rPr>
          <w:rFonts w:cs="Arial"/>
          <w:sz w:val="22"/>
          <w:szCs w:val="22"/>
        </w:rPr>
      </w:pPr>
      <w:r>
        <w:rPr>
          <w:rFonts w:cs="Arial"/>
          <w:sz w:val="22"/>
          <w:szCs w:val="22"/>
        </w:rPr>
        <w:t xml:space="preserve">Ver respuesta a </w:t>
      </w:r>
      <w:r w:rsidR="007F194C">
        <w:rPr>
          <w:rFonts w:cs="Arial"/>
          <w:sz w:val="22"/>
          <w:szCs w:val="22"/>
        </w:rPr>
        <w:fldChar w:fldCharType="begin"/>
      </w:r>
      <w:r w:rsidR="007F194C">
        <w:rPr>
          <w:rFonts w:cs="Arial"/>
          <w:sz w:val="22"/>
          <w:szCs w:val="22"/>
        </w:rPr>
        <w:instrText xml:space="preserve"> REF _Ref130545261 \r \h </w:instrText>
      </w:r>
      <w:r w:rsidR="007F194C">
        <w:rPr>
          <w:rFonts w:cs="Arial"/>
          <w:sz w:val="22"/>
          <w:szCs w:val="22"/>
        </w:rPr>
      </w:r>
      <w:r w:rsidR="007F194C">
        <w:rPr>
          <w:rFonts w:cs="Arial"/>
          <w:sz w:val="22"/>
          <w:szCs w:val="22"/>
        </w:rPr>
        <w:fldChar w:fldCharType="separate"/>
      </w:r>
      <w:r w:rsidR="007651EA">
        <w:rPr>
          <w:rFonts w:cs="Arial"/>
          <w:sz w:val="22"/>
          <w:szCs w:val="22"/>
        </w:rPr>
        <w:t>4.21.1.1</w:t>
      </w:r>
      <w:r w:rsidR="007F194C">
        <w:rPr>
          <w:rFonts w:cs="Arial"/>
          <w:sz w:val="22"/>
          <w:szCs w:val="22"/>
        </w:rPr>
        <w:fldChar w:fldCharType="end"/>
      </w:r>
      <w:r w:rsidR="007F194C">
        <w:rPr>
          <w:rFonts w:cs="Arial"/>
          <w:sz w:val="22"/>
          <w:szCs w:val="22"/>
        </w:rPr>
        <w:t>.</w:t>
      </w:r>
    </w:p>
    <w:p w14:paraId="58233A3A" w14:textId="77777777" w:rsidR="007D681F" w:rsidRDefault="007D681F" w:rsidP="00ED021C">
      <w:pPr>
        <w:rPr>
          <w:rFonts w:cs="Arial"/>
          <w:sz w:val="22"/>
          <w:szCs w:val="22"/>
        </w:rPr>
      </w:pPr>
    </w:p>
    <w:p w14:paraId="1BCD6621" w14:textId="77777777" w:rsidR="00ED021C" w:rsidRDefault="00ED021C" w:rsidP="00ED021C">
      <w:pPr>
        <w:rPr>
          <w:rFonts w:cs="Arial"/>
          <w:sz w:val="22"/>
          <w:szCs w:val="22"/>
        </w:rPr>
      </w:pPr>
    </w:p>
    <w:p w14:paraId="4F577BA0" w14:textId="77777777" w:rsidR="00647C5A" w:rsidRDefault="00ED021C" w:rsidP="00536D4C">
      <w:pPr>
        <w:pStyle w:val="Ttulo4"/>
      </w:pPr>
      <w:r w:rsidRPr="00ED021C">
        <w:t>TEBSA</w:t>
      </w:r>
      <w:r w:rsidRPr="00ED021C">
        <w:tab/>
      </w:r>
    </w:p>
    <w:p w14:paraId="7FDCCC1C" w14:textId="1CBB1662" w:rsidR="00ED021C" w:rsidRPr="007F194C" w:rsidRDefault="00543C70" w:rsidP="00ED021C">
      <w:pPr>
        <w:rPr>
          <w:rFonts w:cs="Arial"/>
          <w:i/>
          <w:iCs/>
          <w:sz w:val="22"/>
          <w:szCs w:val="22"/>
        </w:rPr>
      </w:pPr>
      <w:r>
        <w:rPr>
          <w:rFonts w:cs="Arial"/>
          <w:i/>
          <w:iCs/>
          <w:sz w:val="22"/>
          <w:szCs w:val="22"/>
        </w:rPr>
        <w:t>“</w:t>
      </w:r>
      <w:r w:rsidR="00ED021C" w:rsidRPr="007F194C">
        <w:rPr>
          <w:rFonts w:cs="Arial"/>
          <w:i/>
          <w:iCs/>
          <w:sz w:val="22"/>
          <w:szCs w:val="22"/>
        </w:rPr>
        <w:t xml:space="preserve">¿Por qué se requiere esta </w:t>
      </w:r>
      <w:proofErr w:type="gramStart"/>
      <w:r w:rsidR="00ED021C" w:rsidRPr="007F194C">
        <w:rPr>
          <w:rFonts w:cs="Arial"/>
          <w:i/>
          <w:iCs/>
          <w:sz w:val="22"/>
          <w:szCs w:val="22"/>
        </w:rPr>
        <w:t>claridad?.</w:t>
      </w:r>
      <w:proofErr w:type="gramEnd"/>
      <w:r w:rsidR="00ED021C" w:rsidRPr="007F194C">
        <w:rPr>
          <w:rFonts w:cs="Arial"/>
          <w:i/>
          <w:iCs/>
          <w:sz w:val="22"/>
          <w:szCs w:val="22"/>
        </w:rPr>
        <w:t xml:space="preserve"> ¿Es la térmica una demanda esencial? ¿Se refiere a respaldo físico solo los días de probable escasez o una reserva durante la probable escasez?</w:t>
      </w:r>
      <w:r>
        <w:rPr>
          <w:rFonts w:cs="Arial"/>
          <w:i/>
          <w:iCs/>
          <w:sz w:val="22"/>
          <w:szCs w:val="22"/>
        </w:rPr>
        <w:t>”</w:t>
      </w:r>
    </w:p>
    <w:p w14:paraId="15E35ED7" w14:textId="4EBA18EC" w:rsidR="007F194C" w:rsidRDefault="007F194C" w:rsidP="00ED021C">
      <w:pPr>
        <w:rPr>
          <w:rFonts w:cs="Arial"/>
          <w:sz w:val="22"/>
          <w:szCs w:val="22"/>
        </w:rPr>
      </w:pPr>
    </w:p>
    <w:p w14:paraId="545B0620" w14:textId="5180FFC8" w:rsidR="007F194C" w:rsidRPr="007F194C" w:rsidRDefault="007F194C" w:rsidP="00ED021C">
      <w:pPr>
        <w:rPr>
          <w:rFonts w:cs="Arial"/>
          <w:b/>
          <w:bCs/>
          <w:sz w:val="22"/>
          <w:szCs w:val="22"/>
        </w:rPr>
      </w:pPr>
      <w:r w:rsidRPr="007F194C">
        <w:rPr>
          <w:rFonts w:cs="Arial"/>
          <w:b/>
          <w:bCs/>
          <w:sz w:val="22"/>
          <w:szCs w:val="22"/>
        </w:rPr>
        <w:t>Respuesta:</w:t>
      </w:r>
    </w:p>
    <w:p w14:paraId="5CE17651" w14:textId="5084F963" w:rsidR="007F194C" w:rsidRDefault="007F194C" w:rsidP="00ED021C">
      <w:pPr>
        <w:rPr>
          <w:rFonts w:cs="Arial"/>
          <w:sz w:val="22"/>
          <w:szCs w:val="22"/>
        </w:rPr>
      </w:pPr>
    </w:p>
    <w:p w14:paraId="56AF8869" w14:textId="5C0A2A6B" w:rsidR="00DC591C" w:rsidRDefault="00DC591C" w:rsidP="00DC59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_Ref130545261 \r \h </w:instrText>
      </w:r>
      <w:r>
        <w:rPr>
          <w:rFonts w:cs="Arial"/>
          <w:sz w:val="22"/>
          <w:szCs w:val="22"/>
        </w:rPr>
      </w:r>
      <w:r>
        <w:rPr>
          <w:rFonts w:cs="Arial"/>
          <w:sz w:val="22"/>
          <w:szCs w:val="22"/>
        </w:rPr>
        <w:fldChar w:fldCharType="separate"/>
      </w:r>
      <w:r w:rsidR="007651EA">
        <w:rPr>
          <w:rFonts w:cs="Arial"/>
          <w:sz w:val="22"/>
          <w:szCs w:val="22"/>
        </w:rPr>
        <w:t>4.21.1.1</w:t>
      </w:r>
      <w:r>
        <w:rPr>
          <w:rFonts w:cs="Arial"/>
          <w:sz w:val="22"/>
          <w:szCs w:val="22"/>
        </w:rPr>
        <w:fldChar w:fldCharType="end"/>
      </w:r>
      <w:r>
        <w:rPr>
          <w:rFonts w:cs="Arial"/>
          <w:sz w:val="22"/>
          <w:szCs w:val="22"/>
        </w:rPr>
        <w:t>.</w:t>
      </w:r>
    </w:p>
    <w:p w14:paraId="4AF49571" w14:textId="121E26E2" w:rsidR="007F194C" w:rsidRDefault="007F194C" w:rsidP="00ED021C">
      <w:pPr>
        <w:rPr>
          <w:rFonts w:cs="Arial"/>
          <w:sz w:val="22"/>
          <w:szCs w:val="22"/>
        </w:rPr>
      </w:pPr>
    </w:p>
    <w:p w14:paraId="29C66041" w14:textId="50FDA568" w:rsidR="00DC591C" w:rsidRDefault="00DC591C" w:rsidP="00ED021C">
      <w:pPr>
        <w:rPr>
          <w:rFonts w:cs="Arial"/>
          <w:sz w:val="22"/>
          <w:szCs w:val="22"/>
        </w:rPr>
      </w:pPr>
      <w:r>
        <w:rPr>
          <w:rFonts w:cs="Arial"/>
          <w:sz w:val="22"/>
          <w:szCs w:val="22"/>
        </w:rPr>
        <w:t xml:space="preserve">Por otro lado, entendemos de la definición de Demanda Esencial contenida en el Decreto 1073 de 2015, que la demanda del sector térmico no hace parte de la Demanda Esencial. </w:t>
      </w:r>
    </w:p>
    <w:p w14:paraId="7AD79B51" w14:textId="77777777" w:rsidR="00DC591C" w:rsidRPr="00ED021C" w:rsidRDefault="00DC591C" w:rsidP="00ED021C">
      <w:pPr>
        <w:rPr>
          <w:rFonts w:cs="Arial"/>
          <w:sz w:val="22"/>
          <w:szCs w:val="22"/>
        </w:rPr>
      </w:pPr>
    </w:p>
    <w:p w14:paraId="2472CD0E" w14:textId="77777777" w:rsidR="00ED021C" w:rsidRDefault="00ED021C" w:rsidP="00ED021C">
      <w:pPr>
        <w:rPr>
          <w:rFonts w:cs="Arial"/>
          <w:sz w:val="22"/>
          <w:szCs w:val="22"/>
        </w:rPr>
      </w:pPr>
    </w:p>
    <w:p w14:paraId="0B42862F" w14:textId="77777777" w:rsidR="00647C5A" w:rsidRDefault="00ED021C" w:rsidP="00536D4C">
      <w:pPr>
        <w:pStyle w:val="Ttulo4"/>
      </w:pPr>
      <w:bookmarkStart w:id="569" w:name="_Ref132019370"/>
      <w:r w:rsidRPr="00ED021C">
        <w:t>TEBSA</w:t>
      </w:r>
      <w:bookmarkEnd w:id="569"/>
      <w:r w:rsidRPr="00ED021C">
        <w:tab/>
      </w:r>
    </w:p>
    <w:p w14:paraId="548F4DC6" w14:textId="3358D114" w:rsidR="00ED021C" w:rsidRPr="00DC591C" w:rsidRDefault="00543C70" w:rsidP="00ED021C">
      <w:pPr>
        <w:rPr>
          <w:rFonts w:cs="Arial"/>
          <w:i/>
          <w:iCs/>
          <w:sz w:val="22"/>
          <w:szCs w:val="22"/>
        </w:rPr>
      </w:pPr>
      <w:r>
        <w:rPr>
          <w:rFonts w:cs="Arial"/>
          <w:i/>
          <w:iCs/>
          <w:sz w:val="22"/>
          <w:szCs w:val="22"/>
        </w:rPr>
        <w:t>“</w:t>
      </w:r>
      <w:r w:rsidR="00ED021C" w:rsidRPr="00DC591C">
        <w:rPr>
          <w:rFonts w:cs="Arial"/>
          <w:i/>
          <w:iCs/>
          <w:sz w:val="22"/>
          <w:szCs w:val="22"/>
        </w:rPr>
        <w:t>¿Debe obligarse a los productores del mercado nacional contratar esta modalidad para atender sus eventos eximentes o fuerza mayor incluido los mantenimientos? Dando verdaderamente una garantía de firmeza y respaldo físico.</w:t>
      </w:r>
      <w:r>
        <w:rPr>
          <w:rFonts w:cs="Arial"/>
          <w:i/>
          <w:iCs/>
          <w:sz w:val="22"/>
          <w:szCs w:val="22"/>
        </w:rPr>
        <w:t>”</w:t>
      </w:r>
    </w:p>
    <w:p w14:paraId="21830A17" w14:textId="3B26E8A7" w:rsidR="00DC591C" w:rsidRPr="00DC591C" w:rsidRDefault="00DC591C" w:rsidP="00ED021C">
      <w:pPr>
        <w:rPr>
          <w:rFonts w:cs="Arial"/>
          <w:b/>
          <w:bCs/>
          <w:sz w:val="22"/>
          <w:szCs w:val="22"/>
        </w:rPr>
      </w:pPr>
    </w:p>
    <w:p w14:paraId="5EB80F68" w14:textId="49050ADB" w:rsidR="00DC591C" w:rsidRPr="00DC591C" w:rsidRDefault="00DC591C" w:rsidP="00ED021C">
      <w:pPr>
        <w:rPr>
          <w:rFonts w:cs="Arial"/>
          <w:b/>
          <w:bCs/>
          <w:sz w:val="22"/>
          <w:szCs w:val="22"/>
        </w:rPr>
      </w:pPr>
      <w:r w:rsidRPr="00DC591C">
        <w:rPr>
          <w:rFonts w:cs="Arial"/>
          <w:b/>
          <w:bCs/>
          <w:sz w:val="22"/>
          <w:szCs w:val="22"/>
        </w:rPr>
        <w:t>Respuesta:</w:t>
      </w:r>
    </w:p>
    <w:p w14:paraId="617E472D" w14:textId="447D7E76" w:rsidR="00DC591C" w:rsidRDefault="00DC591C" w:rsidP="00ED021C">
      <w:pPr>
        <w:rPr>
          <w:rFonts w:cs="Arial"/>
          <w:sz w:val="22"/>
          <w:szCs w:val="22"/>
        </w:rPr>
      </w:pPr>
    </w:p>
    <w:p w14:paraId="1D694B0A" w14:textId="2CA92F0A" w:rsidR="00DC591C" w:rsidRDefault="004C664E" w:rsidP="00ED021C">
      <w:pPr>
        <w:rPr>
          <w:rFonts w:cs="Arial"/>
          <w:sz w:val="22"/>
          <w:szCs w:val="22"/>
        </w:rPr>
      </w:pPr>
      <w:r>
        <w:rPr>
          <w:rFonts w:cs="Arial"/>
          <w:sz w:val="22"/>
          <w:szCs w:val="22"/>
        </w:rPr>
        <w:t>No se acoge el comentario.</w:t>
      </w:r>
    </w:p>
    <w:p w14:paraId="717E4EFC" w14:textId="15A91286" w:rsidR="004C664E" w:rsidRDefault="004C664E" w:rsidP="00ED021C">
      <w:pPr>
        <w:rPr>
          <w:rFonts w:cs="Arial"/>
          <w:sz w:val="22"/>
          <w:szCs w:val="22"/>
        </w:rPr>
      </w:pPr>
    </w:p>
    <w:p w14:paraId="142F0C4F" w14:textId="7A2B89DF" w:rsidR="004C664E" w:rsidRDefault="004C664E" w:rsidP="00542342">
      <w:pPr>
        <w:rPr>
          <w:rFonts w:cs="Arial"/>
          <w:sz w:val="22"/>
          <w:szCs w:val="22"/>
        </w:rPr>
      </w:pPr>
      <w:r>
        <w:rPr>
          <w:rFonts w:cs="Arial"/>
          <w:sz w:val="22"/>
          <w:szCs w:val="22"/>
        </w:rPr>
        <w:t>La condici</w:t>
      </w:r>
      <w:r w:rsidR="00542342">
        <w:rPr>
          <w:rFonts w:cs="Arial"/>
          <w:sz w:val="22"/>
          <w:szCs w:val="22"/>
        </w:rPr>
        <w:t xml:space="preserve">ón </w:t>
      </w:r>
      <w:r>
        <w:rPr>
          <w:rFonts w:cs="Arial"/>
          <w:sz w:val="22"/>
          <w:szCs w:val="22"/>
        </w:rPr>
        <w:t>de firmeza en los contratos firmes o que garantizan firmeza están definidos por la política energética</w:t>
      </w:r>
      <w:r w:rsidR="00542342">
        <w:rPr>
          <w:rFonts w:cs="Arial"/>
          <w:sz w:val="22"/>
          <w:szCs w:val="22"/>
        </w:rPr>
        <w:t xml:space="preserve"> que incluye como excepción </w:t>
      </w:r>
      <w:r w:rsidR="00542342" w:rsidRPr="00542342">
        <w:rPr>
          <w:rFonts w:cs="Arial"/>
          <w:sz w:val="22"/>
          <w:szCs w:val="22"/>
        </w:rPr>
        <w:t>los días</w:t>
      </w:r>
      <w:r w:rsidR="00542342">
        <w:rPr>
          <w:rFonts w:cs="Arial"/>
          <w:sz w:val="22"/>
          <w:szCs w:val="22"/>
        </w:rPr>
        <w:t xml:space="preserve"> </w:t>
      </w:r>
      <w:r w:rsidR="00542342" w:rsidRPr="00542342">
        <w:rPr>
          <w:rFonts w:cs="Arial"/>
          <w:sz w:val="22"/>
          <w:szCs w:val="22"/>
        </w:rPr>
        <w:t>establecidos para mantenimiento y labores programadas</w:t>
      </w:r>
      <w:r>
        <w:rPr>
          <w:rFonts w:cs="Arial"/>
          <w:sz w:val="22"/>
          <w:szCs w:val="22"/>
        </w:rPr>
        <w:t>, como en apartes anteriores de este documento se ha mostrado</w:t>
      </w:r>
      <w:r w:rsidR="00542342">
        <w:rPr>
          <w:rFonts w:cs="Arial"/>
          <w:sz w:val="22"/>
          <w:szCs w:val="22"/>
        </w:rPr>
        <w:t>, en la que se incluye</w:t>
      </w:r>
      <w:r>
        <w:rPr>
          <w:rFonts w:cs="Arial"/>
          <w:sz w:val="22"/>
          <w:szCs w:val="22"/>
        </w:rPr>
        <w:t xml:space="preserve">. </w:t>
      </w:r>
      <w:r w:rsidR="00542342">
        <w:rPr>
          <w:rFonts w:cs="Arial"/>
          <w:sz w:val="22"/>
          <w:szCs w:val="22"/>
        </w:rPr>
        <w:t>Por otro lado, l</w:t>
      </w:r>
      <w:r>
        <w:rPr>
          <w:rFonts w:cs="Arial"/>
          <w:sz w:val="22"/>
          <w:szCs w:val="22"/>
        </w:rPr>
        <w:t>os eventos de fuerza mayor y eventos eximentes son parte de</w:t>
      </w:r>
      <w:r w:rsidR="00542342">
        <w:rPr>
          <w:rFonts w:cs="Arial"/>
          <w:sz w:val="22"/>
          <w:szCs w:val="22"/>
        </w:rPr>
        <w:t>l contenido contractual habitual en</w:t>
      </w:r>
      <w:r>
        <w:rPr>
          <w:rFonts w:cs="Arial"/>
          <w:sz w:val="22"/>
          <w:szCs w:val="22"/>
        </w:rPr>
        <w:t xml:space="preserve"> la contratación internacional y </w:t>
      </w:r>
      <w:r w:rsidR="00542342">
        <w:rPr>
          <w:rFonts w:cs="Arial"/>
          <w:sz w:val="22"/>
          <w:szCs w:val="22"/>
        </w:rPr>
        <w:t xml:space="preserve">lo han sido en la contratación </w:t>
      </w:r>
      <w:r>
        <w:rPr>
          <w:rFonts w:cs="Arial"/>
          <w:sz w:val="22"/>
          <w:szCs w:val="22"/>
        </w:rPr>
        <w:t xml:space="preserve">nacional de gas natural, que evitan que se declare incumplimiento contractual </w:t>
      </w:r>
      <w:r w:rsidR="00542342">
        <w:rPr>
          <w:rFonts w:cs="Arial"/>
          <w:sz w:val="22"/>
          <w:szCs w:val="22"/>
        </w:rPr>
        <w:t xml:space="preserve">(por razones ajenas a la gestión de la parte afectada por el evento) </w:t>
      </w:r>
      <w:r>
        <w:rPr>
          <w:rFonts w:cs="Arial"/>
          <w:sz w:val="22"/>
          <w:szCs w:val="22"/>
        </w:rPr>
        <w:t xml:space="preserve">y que se activen las consecuencias de dicha declaración cuando el agente vendedor que no puede cumplir el contrato o el comprador que no puede recibir o utilizar el gas que se </w:t>
      </w:r>
      <w:r w:rsidR="00542342">
        <w:rPr>
          <w:rFonts w:cs="Arial"/>
          <w:sz w:val="22"/>
          <w:szCs w:val="22"/>
        </w:rPr>
        <w:t xml:space="preserve">puede </w:t>
      </w:r>
      <w:r>
        <w:rPr>
          <w:rFonts w:cs="Arial"/>
          <w:sz w:val="22"/>
          <w:szCs w:val="22"/>
        </w:rPr>
        <w:t>entrega</w:t>
      </w:r>
      <w:r w:rsidR="00542342">
        <w:rPr>
          <w:rFonts w:cs="Arial"/>
          <w:sz w:val="22"/>
          <w:szCs w:val="22"/>
        </w:rPr>
        <w:t>r</w:t>
      </w:r>
      <w:r>
        <w:rPr>
          <w:rFonts w:cs="Arial"/>
          <w:sz w:val="22"/>
          <w:szCs w:val="22"/>
        </w:rPr>
        <w:t>, se enfrenta a dichas circunstancias.</w:t>
      </w:r>
    </w:p>
    <w:p w14:paraId="2093BA88" w14:textId="77777777" w:rsidR="004C664E" w:rsidRDefault="004C664E" w:rsidP="00ED021C">
      <w:pPr>
        <w:rPr>
          <w:rFonts w:cs="Arial"/>
          <w:sz w:val="22"/>
          <w:szCs w:val="22"/>
        </w:rPr>
      </w:pPr>
    </w:p>
    <w:p w14:paraId="7A2D067B" w14:textId="7159CD12" w:rsidR="005C7C02" w:rsidRDefault="003035EC" w:rsidP="005C7C02">
      <w:pPr>
        <w:rPr>
          <w:rFonts w:cs="Arial"/>
          <w:sz w:val="22"/>
          <w:szCs w:val="22"/>
        </w:rPr>
      </w:pPr>
      <w:r>
        <w:rPr>
          <w:rFonts w:cs="Arial"/>
          <w:sz w:val="22"/>
          <w:szCs w:val="22"/>
        </w:rPr>
        <w:t>Por otra parte, e</w:t>
      </w:r>
      <w:r w:rsidR="00B0648F">
        <w:rPr>
          <w:rFonts w:cs="Arial"/>
          <w:sz w:val="22"/>
          <w:szCs w:val="22"/>
        </w:rPr>
        <w:t>n la nueva propuesta de resolución se está dejando explícito</w:t>
      </w:r>
      <w:r w:rsidR="0010772E">
        <w:rPr>
          <w:rFonts w:cs="Arial"/>
          <w:sz w:val="22"/>
          <w:szCs w:val="22"/>
        </w:rPr>
        <w:t>,</w:t>
      </w:r>
      <w:r w:rsidR="00B0648F">
        <w:rPr>
          <w:rFonts w:cs="Arial"/>
          <w:sz w:val="22"/>
          <w:szCs w:val="22"/>
        </w:rPr>
        <w:t xml:space="preserve"> para que no haya dudas entre los agentes y buscando la flexibilidad en el cumplimiento de los contratos, </w:t>
      </w:r>
      <w:r w:rsidR="00D8125A">
        <w:rPr>
          <w:rFonts w:cs="Arial"/>
          <w:sz w:val="22"/>
          <w:szCs w:val="22"/>
        </w:rPr>
        <w:t>que</w:t>
      </w:r>
      <w:r w:rsidR="00D8125A" w:rsidRPr="00D8125A">
        <w:rPr>
          <w:rFonts w:cs="Arial"/>
          <w:sz w:val="22"/>
          <w:szCs w:val="22"/>
        </w:rPr>
        <w:t xml:space="preserve"> no habrá incumplimiento cuando el vendedor atienda el contrato con el suministro de gas natural proveniente de otra fuente de suministro, propia o de un tercero, diferente a la que se previó en el contrato de suministro, siempre y cuando esto no le implique al comprador asumir mayores costos en las demás actividades de la cadena de prestación del servicio</w:t>
      </w:r>
      <w:r w:rsidR="005C7C02">
        <w:rPr>
          <w:rFonts w:cs="Arial"/>
          <w:sz w:val="22"/>
          <w:szCs w:val="22"/>
        </w:rPr>
        <w:t xml:space="preserve">. Lo anterior porque ya la CREG se ha manifestado al respecto </w:t>
      </w:r>
      <w:r w:rsidR="005C7C02" w:rsidRPr="005C7C02">
        <w:rPr>
          <w:rFonts w:cs="Arial"/>
          <w:sz w:val="22"/>
          <w:szCs w:val="22"/>
        </w:rPr>
        <w:t xml:space="preserve">en la </w:t>
      </w:r>
      <w:r w:rsidR="00466974">
        <w:rPr>
          <w:rFonts w:cs="Arial"/>
          <w:sz w:val="22"/>
          <w:szCs w:val="22"/>
        </w:rPr>
        <w:t>C</w:t>
      </w:r>
      <w:r w:rsidR="005C7C02" w:rsidRPr="005C7C02">
        <w:rPr>
          <w:rFonts w:cs="Arial"/>
          <w:sz w:val="22"/>
          <w:szCs w:val="22"/>
        </w:rPr>
        <w:t>ircular CREG 065 de 2013, en el que se emitió concepto sobre inquietudes recibidas en relación con las disposiciones de la Resolución CREG 089 de 2013, en el que se señala:</w:t>
      </w:r>
    </w:p>
    <w:p w14:paraId="5CB5EACC" w14:textId="49FD6A47" w:rsidR="005C7C02" w:rsidRDefault="005C7C02" w:rsidP="005C7C02">
      <w:pPr>
        <w:rPr>
          <w:rFonts w:cs="Arial"/>
          <w:sz w:val="22"/>
          <w:szCs w:val="22"/>
        </w:rPr>
      </w:pPr>
    </w:p>
    <w:p w14:paraId="4B4E4871" w14:textId="6AB0B2D0" w:rsidR="005C7C02" w:rsidRPr="005C7C02" w:rsidRDefault="005C7C02" w:rsidP="005C7C02">
      <w:pPr>
        <w:ind w:left="708"/>
        <w:jc w:val="left"/>
        <w:rPr>
          <w:rFonts w:cs="Arial"/>
          <w:i/>
          <w:iCs/>
          <w:sz w:val="22"/>
          <w:szCs w:val="22"/>
        </w:rPr>
      </w:pPr>
      <w:r>
        <w:rPr>
          <w:rFonts w:cs="Arial"/>
          <w:sz w:val="22"/>
          <w:szCs w:val="22"/>
        </w:rPr>
        <w:t>“</w:t>
      </w:r>
      <w:r w:rsidRPr="005C7C02">
        <w:rPr>
          <w:rFonts w:cs="Arial"/>
          <w:i/>
          <w:iCs/>
          <w:sz w:val="22"/>
          <w:szCs w:val="22"/>
        </w:rPr>
        <w:t>En conclusión, del anterior análisis entendemos que:</w:t>
      </w:r>
    </w:p>
    <w:p w14:paraId="153DEE6C" w14:textId="77777777" w:rsidR="005C7C02" w:rsidRPr="005C7C02" w:rsidRDefault="005C7C02" w:rsidP="005C7C02">
      <w:pPr>
        <w:ind w:left="708"/>
        <w:jc w:val="left"/>
        <w:rPr>
          <w:rFonts w:cs="Arial"/>
          <w:i/>
          <w:iCs/>
          <w:sz w:val="22"/>
          <w:szCs w:val="22"/>
        </w:rPr>
      </w:pPr>
    </w:p>
    <w:p w14:paraId="73AAB95C" w14:textId="141A4B03" w:rsidR="005C7C02" w:rsidRPr="005C7C02" w:rsidRDefault="005C7C02" w:rsidP="005C7C02">
      <w:pPr>
        <w:ind w:left="708"/>
        <w:jc w:val="left"/>
        <w:rPr>
          <w:rFonts w:cs="Arial"/>
          <w:i/>
          <w:iCs/>
          <w:sz w:val="22"/>
          <w:szCs w:val="22"/>
        </w:rPr>
      </w:pPr>
      <w:r w:rsidRPr="005C7C02">
        <w:rPr>
          <w:rFonts w:cs="Arial"/>
          <w:i/>
          <w:iCs/>
          <w:sz w:val="22"/>
          <w:szCs w:val="22"/>
        </w:rPr>
        <w:t>(…)</w:t>
      </w:r>
    </w:p>
    <w:p w14:paraId="7795F1A9" w14:textId="77777777" w:rsidR="005C7C02" w:rsidRPr="005C7C02" w:rsidRDefault="005C7C02" w:rsidP="005C7C02">
      <w:pPr>
        <w:ind w:left="708"/>
        <w:jc w:val="left"/>
        <w:rPr>
          <w:rFonts w:cs="Arial"/>
          <w:i/>
          <w:iCs/>
          <w:sz w:val="22"/>
          <w:szCs w:val="22"/>
        </w:rPr>
      </w:pPr>
    </w:p>
    <w:p w14:paraId="4E64C852" w14:textId="77777777" w:rsidR="005C7C02" w:rsidRPr="005C7C02" w:rsidRDefault="005C7C02" w:rsidP="005C7C02">
      <w:pPr>
        <w:ind w:left="708"/>
        <w:jc w:val="left"/>
        <w:rPr>
          <w:rFonts w:cs="Arial"/>
          <w:i/>
          <w:iCs/>
          <w:sz w:val="22"/>
          <w:szCs w:val="22"/>
        </w:rPr>
      </w:pPr>
      <w:r w:rsidRPr="005C7C02">
        <w:rPr>
          <w:rFonts w:cs="Arial"/>
          <w:i/>
          <w:iCs/>
          <w:sz w:val="22"/>
          <w:szCs w:val="22"/>
        </w:rPr>
        <w:t>c)</w:t>
      </w:r>
      <w:r w:rsidRPr="005C7C02">
        <w:rPr>
          <w:rFonts w:cs="Arial"/>
          <w:i/>
          <w:iCs/>
          <w:sz w:val="22"/>
          <w:szCs w:val="22"/>
        </w:rPr>
        <w:tab/>
        <w:t>En la regulación no existe ninguna restricción para que un productor honre sus obligaciones contractuales con gas propio proveniente de una fuente diferente a la que pudo haber previsto como fuente de suministro. Lo anterior siempre y cuando esto resulte indiferente para el comprador frente a lo pactado en el respectivo contrato de suministro.</w:t>
      </w:r>
    </w:p>
    <w:p w14:paraId="0B65C93C" w14:textId="77777777" w:rsidR="005C7C02" w:rsidRPr="005C7C02" w:rsidRDefault="005C7C02" w:rsidP="005C7C02">
      <w:pPr>
        <w:ind w:left="708"/>
        <w:jc w:val="left"/>
        <w:rPr>
          <w:rFonts w:cs="Arial"/>
          <w:i/>
          <w:iCs/>
          <w:sz w:val="22"/>
          <w:szCs w:val="22"/>
        </w:rPr>
      </w:pPr>
    </w:p>
    <w:p w14:paraId="57E213E4" w14:textId="17220931" w:rsidR="005C7C02" w:rsidRPr="005C7C02" w:rsidRDefault="005C7C02" w:rsidP="005C7C02">
      <w:pPr>
        <w:pStyle w:val="Prrafodelista"/>
        <w:numPr>
          <w:ilvl w:val="0"/>
          <w:numId w:val="8"/>
        </w:numPr>
        <w:jc w:val="left"/>
        <w:rPr>
          <w:rFonts w:cs="Arial"/>
          <w:i/>
          <w:iCs/>
          <w:sz w:val="22"/>
          <w:szCs w:val="22"/>
        </w:rPr>
      </w:pPr>
      <w:r w:rsidRPr="005C7C02">
        <w:rPr>
          <w:rFonts w:cs="Arial"/>
          <w:i/>
          <w:iCs/>
          <w:sz w:val="22"/>
          <w:szCs w:val="22"/>
        </w:rPr>
        <w:t>En la regulación no existe ninguna restricción para que un productor honre sus obligaciones contractuales con gas de terceros proveniente de la fuente que pudo haber previsto como fuente de suministro o de una fuente diferente a la que pudo haber previsto como fuente de suministro, siempre y cuando esto resulte indiferente para el comprador frente a lo pactado en el respectivo contrato de suministro. Por el contrario, ésta es precisamente la razón por la cual el productor-comercializador puede realizar compras de gas natural en el mercado secundario.</w:t>
      </w:r>
    </w:p>
    <w:p w14:paraId="15461CD7" w14:textId="77777777" w:rsidR="005C7C02" w:rsidRPr="005C7C02" w:rsidRDefault="005C7C02" w:rsidP="005C7C02">
      <w:pPr>
        <w:pStyle w:val="Prrafodelista"/>
        <w:jc w:val="left"/>
        <w:rPr>
          <w:rFonts w:cs="Arial"/>
          <w:i/>
          <w:iCs/>
          <w:sz w:val="22"/>
          <w:szCs w:val="22"/>
        </w:rPr>
      </w:pPr>
    </w:p>
    <w:p w14:paraId="542BBE52" w14:textId="398FA3F7" w:rsidR="00E223F0" w:rsidRPr="005C7C02" w:rsidRDefault="005C7C02" w:rsidP="005C7C02">
      <w:pPr>
        <w:ind w:left="708"/>
        <w:jc w:val="left"/>
        <w:rPr>
          <w:rFonts w:cs="Arial"/>
          <w:i/>
          <w:iCs/>
          <w:sz w:val="22"/>
          <w:szCs w:val="22"/>
        </w:rPr>
      </w:pPr>
      <w:r w:rsidRPr="005C7C02">
        <w:rPr>
          <w:rFonts w:cs="Arial"/>
          <w:sz w:val="22"/>
          <w:szCs w:val="22"/>
        </w:rPr>
        <w:t>(…)</w:t>
      </w:r>
      <w:r w:rsidR="00E223F0" w:rsidRPr="005C7C02">
        <w:rPr>
          <w:rFonts w:cs="Arial"/>
          <w:sz w:val="22"/>
          <w:szCs w:val="22"/>
        </w:rPr>
        <w:t>.</w:t>
      </w:r>
      <w:r w:rsidRPr="005C7C02">
        <w:rPr>
          <w:rFonts w:cs="Arial"/>
          <w:sz w:val="22"/>
          <w:szCs w:val="22"/>
        </w:rPr>
        <w:t>”</w:t>
      </w:r>
    </w:p>
    <w:p w14:paraId="7851486D" w14:textId="77777777" w:rsidR="00ED021C" w:rsidRDefault="00ED021C" w:rsidP="00ED021C">
      <w:pPr>
        <w:rPr>
          <w:rFonts w:cs="Arial"/>
          <w:sz w:val="22"/>
          <w:szCs w:val="22"/>
        </w:rPr>
      </w:pPr>
    </w:p>
    <w:p w14:paraId="7D7CE07B" w14:textId="77777777" w:rsidR="00ED021C" w:rsidRDefault="00ED021C" w:rsidP="00ED021C">
      <w:pPr>
        <w:rPr>
          <w:rFonts w:cs="Arial"/>
          <w:sz w:val="22"/>
          <w:szCs w:val="22"/>
        </w:rPr>
      </w:pPr>
    </w:p>
    <w:p w14:paraId="0CF2BA47" w14:textId="77777777" w:rsidR="00647C5A" w:rsidRDefault="00ED021C" w:rsidP="00536D4C">
      <w:pPr>
        <w:pStyle w:val="Ttulo2"/>
      </w:pPr>
      <w:bookmarkStart w:id="570" w:name="_Toc140506282"/>
      <w:r w:rsidRPr="00ED021C">
        <w:t>TERMOYOPAL</w:t>
      </w:r>
      <w:bookmarkEnd w:id="570"/>
      <w:r w:rsidRPr="00ED021C">
        <w:tab/>
      </w:r>
    </w:p>
    <w:p w14:paraId="189743D3" w14:textId="77777777" w:rsidR="00536D4C" w:rsidRDefault="00536D4C" w:rsidP="00536D4C">
      <w:pPr>
        <w:pStyle w:val="Ttulo4"/>
      </w:pPr>
      <w:r w:rsidRPr="00ED021C">
        <w:t>TERMOYOPAL</w:t>
      </w:r>
      <w:r w:rsidRPr="00ED021C">
        <w:tab/>
      </w:r>
    </w:p>
    <w:p w14:paraId="18A79A0C" w14:textId="02AB5295" w:rsidR="00ED021C" w:rsidRPr="00542342" w:rsidRDefault="00C72C2C" w:rsidP="00ED021C">
      <w:pPr>
        <w:rPr>
          <w:rFonts w:cs="Arial"/>
          <w:i/>
          <w:iCs/>
          <w:sz w:val="22"/>
          <w:szCs w:val="22"/>
        </w:rPr>
      </w:pPr>
      <w:r>
        <w:rPr>
          <w:rFonts w:cs="Arial"/>
          <w:i/>
          <w:iCs/>
          <w:sz w:val="22"/>
          <w:szCs w:val="22"/>
        </w:rPr>
        <w:t>“</w:t>
      </w:r>
      <w:r w:rsidR="00ED021C" w:rsidRPr="00542342">
        <w:rPr>
          <w:rFonts w:cs="Arial"/>
          <w:i/>
          <w:iCs/>
          <w:sz w:val="22"/>
          <w:szCs w:val="22"/>
        </w:rPr>
        <w:t>En la definición de Demanda Esencial no está contemplada la generación eléctrica: consideramos que el suministro de Energía Eléctrica al ser un servicio Público esencial se debe contemplar como prioridad en el suministro de gas natural, para garantizar la prestación del servicio público energía eléctrica para plantas cuyo objetivo sea minimizar los riesgos en el sistema eléctrico o plantas con precios de oferta competitivos.</w:t>
      </w:r>
      <w:r>
        <w:rPr>
          <w:rFonts w:cs="Arial"/>
          <w:i/>
          <w:iCs/>
          <w:sz w:val="22"/>
          <w:szCs w:val="22"/>
        </w:rPr>
        <w:t>”</w:t>
      </w:r>
    </w:p>
    <w:p w14:paraId="67EE143A" w14:textId="338AD5A7" w:rsidR="00542342" w:rsidRDefault="00542342" w:rsidP="00ED021C">
      <w:pPr>
        <w:rPr>
          <w:rFonts w:cs="Arial"/>
          <w:sz w:val="22"/>
          <w:szCs w:val="22"/>
        </w:rPr>
      </w:pPr>
    </w:p>
    <w:p w14:paraId="703346AD" w14:textId="49898216" w:rsidR="00542342" w:rsidRPr="00542342" w:rsidRDefault="00542342" w:rsidP="00ED021C">
      <w:pPr>
        <w:rPr>
          <w:rFonts w:cs="Arial"/>
          <w:b/>
          <w:bCs/>
          <w:sz w:val="22"/>
          <w:szCs w:val="22"/>
        </w:rPr>
      </w:pPr>
      <w:r w:rsidRPr="00542342">
        <w:rPr>
          <w:rFonts w:cs="Arial"/>
          <w:b/>
          <w:bCs/>
          <w:sz w:val="22"/>
          <w:szCs w:val="22"/>
        </w:rPr>
        <w:t>Respuesta:</w:t>
      </w:r>
    </w:p>
    <w:p w14:paraId="3B505EB5" w14:textId="10B3CFB9" w:rsidR="00542342" w:rsidRDefault="00542342" w:rsidP="00ED021C">
      <w:pPr>
        <w:rPr>
          <w:rFonts w:cs="Arial"/>
          <w:sz w:val="22"/>
          <w:szCs w:val="22"/>
        </w:rPr>
      </w:pPr>
    </w:p>
    <w:p w14:paraId="5D34A022" w14:textId="39400263" w:rsidR="00542342" w:rsidRDefault="004F236A" w:rsidP="00ED021C">
      <w:pPr>
        <w:rPr>
          <w:rFonts w:cs="Arial"/>
          <w:sz w:val="22"/>
          <w:szCs w:val="22"/>
        </w:rPr>
      </w:pPr>
      <w:r>
        <w:rPr>
          <w:rFonts w:cs="Arial"/>
          <w:sz w:val="22"/>
          <w:szCs w:val="22"/>
        </w:rPr>
        <w:t>No se acoge el comentario.</w:t>
      </w:r>
    </w:p>
    <w:p w14:paraId="67A8671B" w14:textId="42885A2A" w:rsidR="004F236A" w:rsidRDefault="004F236A" w:rsidP="00ED021C">
      <w:pPr>
        <w:rPr>
          <w:rFonts w:cs="Arial"/>
          <w:sz w:val="22"/>
          <w:szCs w:val="22"/>
        </w:rPr>
      </w:pPr>
    </w:p>
    <w:p w14:paraId="42B54A7B" w14:textId="6184EC3A" w:rsidR="00C27AAF" w:rsidRDefault="004F236A" w:rsidP="00153F5B">
      <w:pPr>
        <w:rPr>
          <w:rFonts w:cs="Arial"/>
          <w:sz w:val="22"/>
          <w:szCs w:val="22"/>
        </w:rPr>
      </w:pPr>
      <w:r>
        <w:rPr>
          <w:rFonts w:cs="Arial"/>
          <w:sz w:val="22"/>
          <w:szCs w:val="22"/>
        </w:rPr>
        <w:t>En la propuesta de resolución se incluyó la definición de Demanda Esencial porque es actualmente necesaria para los procedimientos de información y de negociación de gas natural en el Mercado Primario</w:t>
      </w:r>
      <w:r w:rsidR="00C27AAF">
        <w:rPr>
          <w:rFonts w:cs="Arial"/>
          <w:sz w:val="22"/>
          <w:szCs w:val="22"/>
        </w:rPr>
        <w:t xml:space="preserve"> que se proponen</w:t>
      </w:r>
      <w:r>
        <w:rPr>
          <w:rFonts w:cs="Arial"/>
          <w:sz w:val="22"/>
          <w:szCs w:val="22"/>
        </w:rPr>
        <w:t xml:space="preserve">. Sin embargo, dicha definición </w:t>
      </w:r>
      <w:r w:rsidR="00C27AAF">
        <w:rPr>
          <w:rFonts w:cs="Arial"/>
          <w:sz w:val="22"/>
          <w:szCs w:val="22"/>
        </w:rPr>
        <w:t>es parte de</w:t>
      </w:r>
      <w:r>
        <w:rPr>
          <w:rFonts w:cs="Arial"/>
          <w:sz w:val="22"/>
          <w:szCs w:val="22"/>
        </w:rPr>
        <w:t xml:space="preserve"> la política energética </w:t>
      </w:r>
      <w:r w:rsidR="00847AFA">
        <w:rPr>
          <w:rFonts w:cs="Arial"/>
          <w:sz w:val="22"/>
          <w:szCs w:val="22"/>
        </w:rPr>
        <w:t>desarrollada por el MME y no por la CREG</w:t>
      </w:r>
      <w:r w:rsidR="00C27AAF">
        <w:rPr>
          <w:rFonts w:cs="Arial"/>
          <w:sz w:val="22"/>
          <w:szCs w:val="22"/>
        </w:rPr>
        <w:t xml:space="preserve">, </w:t>
      </w:r>
      <w:r w:rsidR="00153F5B">
        <w:rPr>
          <w:rFonts w:cs="Arial"/>
          <w:sz w:val="22"/>
          <w:szCs w:val="22"/>
        </w:rPr>
        <w:t xml:space="preserve">política </w:t>
      </w:r>
      <w:r w:rsidR="00C27AAF">
        <w:rPr>
          <w:rFonts w:cs="Arial"/>
          <w:sz w:val="22"/>
          <w:szCs w:val="22"/>
        </w:rPr>
        <w:t xml:space="preserve">que a su vez asigna funciones a la CREG con el fin de </w:t>
      </w:r>
      <w:r w:rsidR="00153F5B">
        <w:rPr>
          <w:rFonts w:cs="Arial"/>
          <w:sz w:val="22"/>
          <w:szCs w:val="22"/>
        </w:rPr>
        <w:t xml:space="preserve">que defina mecanismos que </w:t>
      </w:r>
      <w:r w:rsidR="00C27AAF" w:rsidRPr="00C27AAF">
        <w:rPr>
          <w:rFonts w:cs="Arial"/>
          <w:sz w:val="22"/>
          <w:szCs w:val="22"/>
        </w:rPr>
        <w:t>permitan a los Agentes que atiendan a la Demanda Esencial tener acceso a los contratos de suministro y/o transporte de gas natural</w:t>
      </w:r>
      <w:r w:rsidR="00153F5B">
        <w:rPr>
          <w:rFonts w:cs="Arial"/>
          <w:sz w:val="22"/>
          <w:szCs w:val="22"/>
        </w:rPr>
        <w:t xml:space="preserve">. </w:t>
      </w:r>
    </w:p>
    <w:p w14:paraId="05F3C1B4" w14:textId="29F234CC" w:rsidR="00C27AAF" w:rsidRDefault="00C27AAF" w:rsidP="00ED021C">
      <w:pPr>
        <w:rPr>
          <w:rFonts w:cs="Arial"/>
          <w:sz w:val="22"/>
          <w:szCs w:val="22"/>
        </w:rPr>
      </w:pPr>
    </w:p>
    <w:p w14:paraId="4BE04F93" w14:textId="4BBE61A3" w:rsidR="00153F5B" w:rsidRDefault="00153F5B" w:rsidP="00153F5B">
      <w:pPr>
        <w:rPr>
          <w:rFonts w:cs="Arial"/>
          <w:sz w:val="22"/>
          <w:szCs w:val="22"/>
        </w:rPr>
      </w:pPr>
      <w:r>
        <w:rPr>
          <w:rFonts w:cs="Arial"/>
          <w:sz w:val="22"/>
          <w:szCs w:val="22"/>
        </w:rPr>
        <w:t>Adicionalmente por política energética, la Demanda Esencial tiene prioridades de asignación del gas disponible c</w:t>
      </w:r>
      <w:r w:rsidRPr="00153F5B">
        <w:rPr>
          <w:rFonts w:cs="Arial"/>
          <w:sz w:val="22"/>
          <w:szCs w:val="22"/>
        </w:rPr>
        <w:t>uando se presenten Insalvables Restricciones en la Oferta de Gas Natural o Situaciones de Grave Emergencia</w:t>
      </w:r>
      <w:r>
        <w:rPr>
          <w:rFonts w:cs="Arial"/>
          <w:sz w:val="22"/>
          <w:szCs w:val="22"/>
        </w:rPr>
        <w:t xml:space="preserve"> </w:t>
      </w:r>
      <w:r w:rsidRPr="00153F5B">
        <w:rPr>
          <w:rFonts w:cs="Arial"/>
          <w:sz w:val="22"/>
          <w:szCs w:val="22"/>
        </w:rPr>
        <w:t>Transitorias y No Transitorias o Racionamiento Programado de gas natural</w:t>
      </w:r>
      <w:r>
        <w:rPr>
          <w:rFonts w:cs="Arial"/>
          <w:sz w:val="22"/>
          <w:szCs w:val="22"/>
        </w:rPr>
        <w:t>.</w:t>
      </w:r>
    </w:p>
    <w:p w14:paraId="6F981751" w14:textId="77777777" w:rsidR="00153F5B" w:rsidRDefault="00153F5B" w:rsidP="00ED021C">
      <w:pPr>
        <w:rPr>
          <w:rFonts w:cs="Arial"/>
          <w:sz w:val="22"/>
          <w:szCs w:val="22"/>
        </w:rPr>
      </w:pPr>
    </w:p>
    <w:p w14:paraId="1E1E560F" w14:textId="115600A5" w:rsidR="00ED021C" w:rsidRDefault="00153F5B" w:rsidP="00ED021C">
      <w:pPr>
        <w:rPr>
          <w:rFonts w:cs="Arial"/>
          <w:sz w:val="22"/>
          <w:szCs w:val="22"/>
        </w:rPr>
      </w:pPr>
      <w:r>
        <w:rPr>
          <w:rFonts w:cs="Arial"/>
          <w:sz w:val="22"/>
          <w:szCs w:val="22"/>
        </w:rPr>
        <w:t>Por lo anterior no le es dable a la CREG modificar qué clase de demanda hace parte de la Demanda Esencial</w:t>
      </w:r>
      <w:r w:rsidR="00847AFA">
        <w:rPr>
          <w:rFonts w:cs="Arial"/>
          <w:sz w:val="22"/>
          <w:szCs w:val="22"/>
        </w:rPr>
        <w:t>.</w:t>
      </w:r>
    </w:p>
    <w:p w14:paraId="09CB99AA" w14:textId="77777777" w:rsidR="00C72C2C" w:rsidRDefault="00C72C2C" w:rsidP="00ED021C">
      <w:pPr>
        <w:rPr>
          <w:rFonts w:cs="Arial"/>
          <w:sz w:val="22"/>
          <w:szCs w:val="22"/>
        </w:rPr>
      </w:pPr>
    </w:p>
    <w:p w14:paraId="6CE70E45" w14:textId="77777777" w:rsidR="00536D4C" w:rsidRDefault="00ED021C" w:rsidP="00536D4C">
      <w:pPr>
        <w:pStyle w:val="Ttulo2"/>
      </w:pPr>
      <w:bookmarkStart w:id="571" w:name="_Toc140506283"/>
      <w:r w:rsidRPr="00ED021C">
        <w:t>TERPEL</w:t>
      </w:r>
      <w:bookmarkEnd w:id="571"/>
      <w:r w:rsidRPr="00ED021C">
        <w:tab/>
      </w:r>
    </w:p>
    <w:p w14:paraId="2DB9017A" w14:textId="77777777" w:rsidR="00536D4C" w:rsidRDefault="00536D4C" w:rsidP="00536D4C">
      <w:pPr>
        <w:pStyle w:val="Ttulo4"/>
      </w:pPr>
      <w:r w:rsidRPr="00ED021C">
        <w:t>TERPEL</w:t>
      </w:r>
      <w:r w:rsidRPr="00ED021C">
        <w:tab/>
      </w:r>
    </w:p>
    <w:p w14:paraId="70CD6E29" w14:textId="58F52AE6" w:rsidR="00ED021C" w:rsidRPr="004E415E" w:rsidRDefault="00C72C2C" w:rsidP="00ED021C">
      <w:pPr>
        <w:rPr>
          <w:rFonts w:cs="Arial"/>
          <w:i/>
          <w:iCs/>
          <w:sz w:val="22"/>
          <w:szCs w:val="22"/>
        </w:rPr>
      </w:pPr>
      <w:r>
        <w:rPr>
          <w:rFonts w:cs="Arial"/>
          <w:i/>
          <w:iCs/>
          <w:sz w:val="22"/>
          <w:szCs w:val="22"/>
        </w:rPr>
        <w:t>“</w:t>
      </w:r>
      <w:r w:rsidR="00ED021C" w:rsidRPr="004E415E">
        <w:rPr>
          <w:rFonts w:cs="Arial"/>
          <w:i/>
          <w:iCs/>
          <w:sz w:val="22"/>
          <w:szCs w:val="22"/>
        </w:rPr>
        <w:t>En la definición de mercado mayorista de gas natural, al especificar que los compradores adquieren el gas con Respaldo Físico para la atención del servicio público de gas combustible, se desconoce que en este mercado mayorista también se celebran contratos con interrupciones que no necesariamente están sujetos a respaldo físico.</w:t>
      </w:r>
      <w:r>
        <w:rPr>
          <w:rFonts w:cs="Arial"/>
          <w:i/>
          <w:iCs/>
          <w:sz w:val="22"/>
          <w:szCs w:val="22"/>
        </w:rPr>
        <w:t>”</w:t>
      </w:r>
    </w:p>
    <w:p w14:paraId="6B979687" w14:textId="61AE1F79" w:rsidR="004E415E" w:rsidRDefault="004E415E" w:rsidP="00ED021C">
      <w:pPr>
        <w:rPr>
          <w:rFonts w:cs="Arial"/>
          <w:sz w:val="22"/>
          <w:szCs w:val="22"/>
        </w:rPr>
      </w:pPr>
    </w:p>
    <w:p w14:paraId="6FFA3E58" w14:textId="42CC0BA3" w:rsidR="004E415E" w:rsidRPr="004E415E" w:rsidRDefault="004E415E" w:rsidP="00ED021C">
      <w:pPr>
        <w:rPr>
          <w:rFonts w:cs="Arial"/>
          <w:b/>
          <w:bCs/>
          <w:sz w:val="22"/>
          <w:szCs w:val="22"/>
        </w:rPr>
      </w:pPr>
      <w:r w:rsidRPr="004E415E">
        <w:rPr>
          <w:rFonts w:cs="Arial"/>
          <w:b/>
          <w:bCs/>
          <w:sz w:val="22"/>
          <w:szCs w:val="22"/>
        </w:rPr>
        <w:t>Respuesta:</w:t>
      </w:r>
    </w:p>
    <w:p w14:paraId="28E73C2A" w14:textId="039D2F1D" w:rsidR="004E415E" w:rsidRDefault="004E415E" w:rsidP="00ED021C">
      <w:pPr>
        <w:rPr>
          <w:rFonts w:cs="Arial"/>
          <w:sz w:val="22"/>
          <w:szCs w:val="22"/>
        </w:rPr>
      </w:pPr>
    </w:p>
    <w:p w14:paraId="4025156C" w14:textId="5CDE015E" w:rsidR="004E415E" w:rsidRDefault="00714790" w:rsidP="00ED021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_Ref130534561 \r \h </w:instrText>
      </w:r>
      <w:r>
        <w:rPr>
          <w:rFonts w:cs="Arial"/>
          <w:sz w:val="22"/>
          <w:szCs w:val="22"/>
        </w:rPr>
      </w:r>
      <w:r>
        <w:rPr>
          <w:rFonts w:cs="Arial"/>
          <w:sz w:val="22"/>
          <w:szCs w:val="22"/>
        </w:rPr>
        <w:fldChar w:fldCharType="separate"/>
      </w:r>
      <w:r w:rsidR="007651EA">
        <w:rPr>
          <w:rFonts w:cs="Arial"/>
          <w:sz w:val="22"/>
          <w:szCs w:val="22"/>
        </w:rPr>
        <w:t>4.1.1.1</w:t>
      </w:r>
      <w:r>
        <w:rPr>
          <w:rFonts w:cs="Arial"/>
          <w:sz w:val="22"/>
          <w:szCs w:val="22"/>
        </w:rPr>
        <w:fldChar w:fldCharType="end"/>
      </w:r>
      <w:r>
        <w:rPr>
          <w:rFonts w:cs="Arial"/>
          <w:sz w:val="22"/>
          <w:szCs w:val="22"/>
        </w:rPr>
        <w:t>.</w:t>
      </w:r>
    </w:p>
    <w:p w14:paraId="60464A4C" w14:textId="77777777" w:rsidR="004E415E" w:rsidRPr="00ED021C" w:rsidRDefault="004E415E" w:rsidP="00ED021C">
      <w:pPr>
        <w:rPr>
          <w:rFonts w:cs="Arial"/>
          <w:sz w:val="22"/>
          <w:szCs w:val="22"/>
        </w:rPr>
      </w:pPr>
    </w:p>
    <w:p w14:paraId="5C63EB12" w14:textId="77777777" w:rsidR="00ED021C" w:rsidRDefault="00ED021C" w:rsidP="00ED021C">
      <w:pPr>
        <w:rPr>
          <w:rFonts w:cs="Arial"/>
          <w:sz w:val="22"/>
          <w:szCs w:val="22"/>
        </w:rPr>
      </w:pPr>
    </w:p>
    <w:p w14:paraId="462A8441" w14:textId="77777777" w:rsidR="00ED021C" w:rsidRDefault="00ED021C" w:rsidP="00536D4C">
      <w:pPr>
        <w:pStyle w:val="Ttulo4"/>
      </w:pPr>
      <w:r w:rsidRPr="00ED021C">
        <w:t>TERPEL</w:t>
      </w:r>
      <w:r w:rsidRPr="00ED021C">
        <w:tab/>
      </w:r>
    </w:p>
    <w:p w14:paraId="140816C1" w14:textId="014C7EFC" w:rsidR="00ED021C" w:rsidRPr="00170B6A" w:rsidRDefault="001C5133" w:rsidP="00ED021C">
      <w:pPr>
        <w:rPr>
          <w:rFonts w:cs="Arial"/>
          <w:i/>
          <w:iCs/>
          <w:sz w:val="22"/>
          <w:szCs w:val="22"/>
        </w:rPr>
      </w:pPr>
      <w:r>
        <w:rPr>
          <w:rFonts w:cs="Arial"/>
          <w:i/>
          <w:iCs/>
          <w:sz w:val="22"/>
          <w:szCs w:val="22"/>
        </w:rPr>
        <w:t>“</w:t>
      </w:r>
      <w:r w:rsidR="00ED021C" w:rsidRPr="00170B6A">
        <w:rPr>
          <w:rFonts w:cs="Arial"/>
          <w:i/>
          <w:iCs/>
          <w:sz w:val="22"/>
          <w:szCs w:val="22"/>
        </w:rPr>
        <w:t xml:space="preserve">En la definición de Comercialización Minorista de gas natural, ¿Necesariamente debe tener intermediación de las tres actividades (compra, transporte y distribución de gas) para clasificarse como comercializador minorista? </w:t>
      </w:r>
      <w:r>
        <w:rPr>
          <w:rFonts w:cs="Arial"/>
          <w:i/>
          <w:iCs/>
          <w:sz w:val="22"/>
          <w:szCs w:val="22"/>
        </w:rPr>
        <w:t>¿</w:t>
      </w:r>
      <w:r w:rsidR="00ED021C" w:rsidRPr="00170B6A">
        <w:rPr>
          <w:rFonts w:cs="Arial"/>
          <w:i/>
          <w:iCs/>
          <w:sz w:val="22"/>
          <w:szCs w:val="22"/>
        </w:rPr>
        <w:t xml:space="preserve">O este </w:t>
      </w:r>
      <w:r w:rsidRPr="001C5133">
        <w:rPr>
          <w:rFonts w:cs="Arial"/>
          <w:i/>
          <w:iCs/>
          <w:sz w:val="22"/>
          <w:szCs w:val="22"/>
        </w:rPr>
        <w:t>término</w:t>
      </w:r>
      <w:r w:rsidR="00ED021C" w:rsidRPr="00170B6A">
        <w:rPr>
          <w:rFonts w:cs="Arial"/>
          <w:i/>
          <w:iCs/>
          <w:sz w:val="22"/>
          <w:szCs w:val="22"/>
        </w:rPr>
        <w:t xml:space="preserve"> también aplica para el intermediario de compra de gas y transporte?</w:t>
      </w:r>
      <w:r>
        <w:rPr>
          <w:rFonts w:cs="Arial"/>
          <w:i/>
          <w:iCs/>
          <w:sz w:val="22"/>
          <w:szCs w:val="22"/>
        </w:rPr>
        <w:t>”</w:t>
      </w:r>
    </w:p>
    <w:p w14:paraId="3853DAAC" w14:textId="03F8B914" w:rsidR="00714790" w:rsidRDefault="00714790" w:rsidP="00ED021C">
      <w:pPr>
        <w:rPr>
          <w:rFonts w:cs="Arial"/>
          <w:sz w:val="22"/>
          <w:szCs w:val="22"/>
        </w:rPr>
      </w:pPr>
    </w:p>
    <w:p w14:paraId="77E0D767" w14:textId="6915896E" w:rsidR="00714790" w:rsidRPr="00714790" w:rsidRDefault="00714790" w:rsidP="00ED021C">
      <w:pPr>
        <w:rPr>
          <w:rFonts w:cs="Arial"/>
          <w:b/>
          <w:bCs/>
          <w:sz w:val="22"/>
          <w:szCs w:val="22"/>
        </w:rPr>
      </w:pPr>
      <w:r w:rsidRPr="00714790">
        <w:rPr>
          <w:rFonts w:cs="Arial"/>
          <w:b/>
          <w:bCs/>
          <w:sz w:val="22"/>
          <w:szCs w:val="22"/>
        </w:rPr>
        <w:t>Respuesta:</w:t>
      </w:r>
    </w:p>
    <w:p w14:paraId="16FB3E4A" w14:textId="3F91481E" w:rsidR="00714790" w:rsidRDefault="00714790" w:rsidP="00ED021C">
      <w:pPr>
        <w:rPr>
          <w:rFonts w:cs="Arial"/>
          <w:sz w:val="22"/>
          <w:szCs w:val="22"/>
        </w:rPr>
      </w:pPr>
    </w:p>
    <w:p w14:paraId="43889053" w14:textId="5B706B68" w:rsidR="00714790" w:rsidRDefault="00714790" w:rsidP="00ED021C">
      <w:pPr>
        <w:rPr>
          <w:rFonts w:cs="Arial"/>
          <w:sz w:val="22"/>
          <w:szCs w:val="22"/>
        </w:rPr>
      </w:pPr>
      <w:r>
        <w:rPr>
          <w:rFonts w:cs="Arial"/>
          <w:sz w:val="22"/>
          <w:szCs w:val="22"/>
        </w:rPr>
        <w:t>No se acoge el comentario.</w:t>
      </w:r>
    </w:p>
    <w:p w14:paraId="02D56B9F" w14:textId="508E6962" w:rsidR="00714790" w:rsidRDefault="00714790" w:rsidP="00ED021C">
      <w:pPr>
        <w:rPr>
          <w:rFonts w:cs="Arial"/>
          <w:sz w:val="22"/>
          <w:szCs w:val="22"/>
        </w:rPr>
      </w:pPr>
    </w:p>
    <w:p w14:paraId="026DBE68" w14:textId="352A1B3C" w:rsidR="00714790" w:rsidRDefault="00714790" w:rsidP="00ED021C">
      <w:pPr>
        <w:rPr>
          <w:rFonts w:cs="Arial"/>
          <w:sz w:val="22"/>
          <w:szCs w:val="22"/>
        </w:rPr>
      </w:pPr>
      <w:r>
        <w:rPr>
          <w:rFonts w:cs="Arial"/>
          <w:sz w:val="22"/>
          <w:szCs w:val="22"/>
        </w:rPr>
        <w:t xml:space="preserve">En la </w:t>
      </w:r>
      <w:r w:rsidR="00B95337">
        <w:rPr>
          <w:rFonts w:cs="Arial"/>
          <w:sz w:val="22"/>
          <w:szCs w:val="22"/>
        </w:rPr>
        <w:t>C</w:t>
      </w:r>
      <w:r>
        <w:rPr>
          <w:rFonts w:cs="Arial"/>
          <w:sz w:val="22"/>
          <w:szCs w:val="22"/>
        </w:rPr>
        <w:t xml:space="preserve">omercialización </w:t>
      </w:r>
      <w:r w:rsidR="00B95337">
        <w:rPr>
          <w:rFonts w:cs="Arial"/>
          <w:sz w:val="22"/>
          <w:szCs w:val="22"/>
        </w:rPr>
        <w:t>M</w:t>
      </w:r>
      <w:r>
        <w:rPr>
          <w:rFonts w:cs="Arial"/>
          <w:sz w:val="22"/>
          <w:szCs w:val="22"/>
        </w:rPr>
        <w:t>inorista se presenta una relación contractual que no se limita a ser intermediario de actividades, sino a la prestación del servicio público</w:t>
      </w:r>
      <w:r w:rsidR="00A75438">
        <w:rPr>
          <w:rFonts w:cs="Arial"/>
          <w:sz w:val="22"/>
          <w:szCs w:val="22"/>
        </w:rPr>
        <w:t xml:space="preserve"> lo que implica la atención</w:t>
      </w:r>
      <w:r>
        <w:rPr>
          <w:rFonts w:cs="Arial"/>
          <w:sz w:val="22"/>
          <w:szCs w:val="22"/>
        </w:rPr>
        <w:t xml:space="preserve"> al usuario final. De tal modo que, independientemente de qué actividades de la cadena de prestación del servicio se incluyen en la prestación del servicio, el Comercializador del mercado Minorista presta el servicio público, no se limita a ser intermediario.</w:t>
      </w:r>
    </w:p>
    <w:p w14:paraId="311CF4D5" w14:textId="3EE963AC" w:rsidR="00714790" w:rsidRDefault="00714790" w:rsidP="00ED021C">
      <w:pPr>
        <w:rPr>
          <w:rFonts w:cs="Arial"/>
          <w:sz w:val="22"/>
          <w:szCs w:val="22"/>
        </w:rPr>
      </w:pPr>
    </w:p>
    <w:p w14:paraId="1AA1A497" w14:textId="1958A33B" w:rsidR="00714790" w:rsidRDefault="00CE14BC" w:rsidP="00ED021C">
      <w:pPr>
        <w:rPr>
          <w:rFonts w:cs="Arial"/>
          <w:sz w:val="22"/>
          <w:szCs w:val="22"/>
        </w:rPr>
      </w:pPr>
      <w:r>
        <w:rPr>
          <w:rFonts w:cs="Arial"/>
          <w:sz w:val="22"/>
          <w:szCs w:val="22"/>
        </w:rPr>
        <w:t xml:space="preserve">En la nueva propuesta se ajustó la definición de </w:t>
      </w:r>
      <w:r w:rsidR="00940D6B">
        <w:rPr>
          <w:rFonts w:cs="Arial"/>
          <w:sz w:val="22"/>
          <w:szCs w:val="22"/>
        </w:rPr>
        <w:t xml:space="preserve">Comercialización </w:t>
      </w:r>
      <w:r>
        <w:rPr>
          <w:rFonts w:cs="Arial"/>
          <w:sz w:val="22"/>
          <w:szCs w:val="22"/>
        </w:rPr>
        <w:t xml:space="preserve">Minorista para que quede claro </w:t>
      </w:r>
      <w:r w:rsidR="008017F9">
        <w:rPr>
          <w:rFonts w:cs="Arial"/>
          <w:sz w:val="22"/>
          <w:szCs w:val="22"/>
        </w:rPr>
        <w:t>las actividades de la cadena que se incluyen en dicha gestión.</w:t>
      </w:r>
      <w:r>
        <w:rPr>
          <w:rFonts w:cs="Arial"/>
          <w:sz w:val="22"/>
          <w:szCs w:val="22"/>
        </w:rPr>
        <w:t xml:space="preserve"> </w:t>
      </w:r>
    </w:p>
    <w:p w14:paraId="354D9AE4" w14:textId="77777777" w:rsidR="00714790" w:rsidRPr="00ED021C" w:rsidRDefault="00714790" w:rsidP="00ED021C">
      <w:pPr>
        <w:rPr>
          <w:rFonts w:cs="Arial"/>
          <w:sz w:val="22"/>
          <w:szCs w:val="22"/>
        </w:rPr>
      </w:pPr>
    </w:p>
    <w:p w14:paraId="64BD7FEA" w14:textId="77777777" w:rsidR="00ED021C" w:rsidRDefault="00ED021C" w:rsidP="00ED021C">
      <w:pPr>
        <w:rPr>
          <w:rFonts w:cs="Arial"/>
          <w:sz w:val="22"/>
          <w:szCs w:val="22"/>
        </w:rPr>
      </w:pPr>
    </w:p>
    <w:p w14:paraId="1C17B7C2" w14:textId="77777777" w:rsidR="00ED021C" w:rsidRDefault="00ED021C" w:rsidP="00536D4C">
      <w:pPr>
        <w:pStyle w:val="Ttulo4"/>
      </w:pPr>
      <w:r w:rsidRPr="00ED021C">
        <w:t>TERPEL</w:t>
      </w:r>
      <w:r w:rsidRPr="00ED021C">
        <w:tab/>
      </w:r>
    </w:p>
    <w:p w14:paraId="155DA755" w14:textId="3B0E02D0" w:rsidR="00ED021C" w:rsidRDefault="00A75438" w:rsidP="00ED021C">
      <w:pPr>
        <w:rPr>
          <w:rFonts w:cs="Arial"/>
          <w:sz w:val="22"/>
          <w:szCs w:val="22"/>
        </w:rPr>
      </w:pPr>
      <w:r>
        <w:rPr>
          <w:rFonts w:cs="Arial"/>
          <w:sz w:val="22"/>
          <w:szCs w:val="22"/>
        </w:rPr>
        <w:t>“</w:t>
      </w:r>
      <w:r w:rsidR="00ED021C" w:rsidRPr="00ED021C">
        <w:rPr>
          <w:rFonts w:cs="Arial"/>
          <w:sz w:val="22"/>
          <w:szCs w:val="22"/>
        </w:rPr>
        <w:t>En la definición de Comercializador Minorista, ¿Un mismo comercializador puede ser mayorista y minorista? ¿</w:t>
      </w:r>
      <w:proofErr w:type="spellStart"/>
      <w:r w:rsidR="00ED021C" w:rsidRPr="00ED021C">
        <w:rPr>
          <w:rFonts w:cs="Arial"/>
          <w:sz w:val="22"/>
          <w:szCs w:val="22"/>
        </w:rPr>
        <w:t>Cual</w:t>
      </w:r>
      <w:proofErr w:type="spellEnd"/>
      <w:r w:rsidR="00ED021C" w:rsidRPr="00ED021C">
        <w:rPr>
          <w:rFonts w:cs="Arial"/>
          <w:sz w:val="22"/>
          <w:szCs w:val="22"/>
        </w:rPr>
        <w:t xml:space="preserve"> es la principal diferencia?</w:t>
      </w:r>
      <w:r w:rsidR="003419E2">
        <w:rPr>
          <w:rFonts w:cs="Arial"/>
          <w:sz w:val="22"/>
          <w:szCs w:val="22"/>
        </w:rPr>
        <w:t>”</w:t>
      </w:r>
    </w:p>
    <w:p w14:paraId="599D62B7" w14:textId="05E0F035" w:rsidR="00313E9C" w:rsidRDefault="00313E9C" w:rsidP="00ED021C">
      <w:pPr>
        <w:rPr>
          <w:rFonts w:cs="Arial"/>
          <w:sz w:val="22"/>
          <w:szCs w:val="22"/>
        </w:rPr>
      </w:pPr>
    </w:p>
    <w:p w14:paraId="216BE00C" w14:textId="20AFCAEF" w:rsidR="00313E9C" w:rsidRPr="00313E9C" w:rsidRDefault="00313E9C" w:rsidP="00ED021C">
      <w:pPr>
        <w:rPr>
          <w:rFonts w:cs="Arial"/>
          <w:b/>
          <w:bCs/>
          <w:sz w:val="22"/>
          <w:szCs w:val="22"/>
        </w:rPr>
      </w:pPr>
      <w:r w:rsidRPr="00313E9C">
        <w:rPr>
          <w:rFonts w:cs="Arial"/>
          <w:b/>
          <w:bCs/>
          <w:sz w:val="22"/>
          <w:szCs w:val="22"/>
        </w:rPr>
        <w:t>Respuesta:</w:t>
      </w:r>
    </w:p>
    <w:p w14:paraId="13090972" w14:textId="5CBC0CFD" w:rsidR="00313E9C" w:rsidRDefault="00313E9C" w:rsidP="00ED021C">
      <w:pPr>
        <w:rPr>
          <w:rFonts w:cs="Arial"/>
          <w:sz w:val="22"/>
          <w:szCs w:val="22"/>
        </w:rPr>
      </w:pPr>
    </w:p>
    <w:p w14:paraId="6EEA9207" w14:textId="4F6F52CF" w:rsidR="006741D4" w:rsidRDefault="006741D4" w:rsidP="006741D4">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_Ref130464947 \r \h </w:instrText>
      </w:r>
      <w:r>
        <w:rPr>
          <w:rFonts w:cs="Arial"/>
          <w:sz w:val="22"/>
          <w:szCs w:val="22"/>
        </w:rPr>
      </w:r>
      <w:r>
        <w:rPr>
          <w:rFonts w:cs="Arial"/>
          <w:sz w:val="22"/>
          <w:szCs w:val="22"/>
        </w:rPr>
        <w:fldChar w:fldCharType="separate"/>
      </w:r>
      <w:r w:rsidR="007651EA">
        <w:rPr>
          <w:rFonts w:cs="Arial"/>
          <w:sz w:val="22"/>
          <w:szCs w:val="22"/>
        </w:rPr>
        <w:t>4.1.1.3</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_Ref130464341 \r \h </w:instrText>
      </w:r>
      <w:r>
        <w:rPr>
          <w:rFonts w:cs="Arial"/>
          <w:sz w:val="22"/>
          <w:szCs w:val="22"/>
        </w:rPr>
      </w:r>
      <w:r>
        <w:rPr>
          <w:rFonts w:cs="Arial"/>
          <w:sz w:val="22"/>
          <w:szCs w:val="22"/>
        </w:rPr>
        <w:fldChar w:fldCharType="separate"/>
      </w:r>
      <w:r w:rsidR="007651EA">
        <w:rPr>
          <w:rFonts w:cs="Arial"/>
          <w:sz w:val="22"/>
          <w:szCs w:val="22"/>
        </w:rPr>
        <w:t>4.3.1.4</w:t>
      </w:r>
      <w:r>
        <w:rPr>
          <w:rFonts w:cs="Arial"/>
          <w:sz w:val="22"/>
          <w:szCs w:val="22"/>
        </w:rPr>
        <w:fldChar w:fldCharType="end"/>
      </w:r>
      <w:r>
        <w:rPr>
          <w:rFonts w:cs="Arial"/>
          <w:sz w:val="22"/>
          <w:szCs w:val="22"/>
        </w:rPr>
        <w:t>.</w:t>
      </w:r>
    </w:p>
    <w:p w14:paraId="354B370E" w14:textId="77777777" w:rsidR="00313E9C" w:rsidRDefault="00313E9C" w:rsidP="00ED021C">
      <w:pPr>
        <w:rPr>
          <w:rFonts w:cs="Arial"/>
          <w:sz w:val="22"/>
          <w:szCs w:val="22"/>
        </w:rPr>
      </w:pPr>
    </w:p>
    <w:p w14:paraId="5B24A3A3" w14:textId="77777777" w:rsidR="00ED021C" w:rsidRDefault="00ED021C" w:rsidP="00ED021C">
      <w:pPr>
        <w:rPr>
          <w:rFonts w:cs="Arial"/>
          <w:sz w:val="22"/>
          <w:szCs w:val="22"/>
        </w:rPr>
      </w:pPr>
    </w:p>
    <w:p w14:paraId="39920D02" w14:textId="77777777" w:rsidR="00ED021C" w:rsidRDefault="00ED021C" w:rsidP="00536D4C">
      <w:pPr>
        <w:pStyle w:val="Ttulo4"/>
      </w:pPr>
      <w:r w:rsidRPr="00ED021C">
        <w:t>TERPEL</w:t>
      </w:r>
      <w:r w:rsidRPr="00ED021C">
        <w:tab/>
      </w:r>
    </w:p>
    <w:p w14:paraId="19124462" w14:textId="6EB034DA" w:rsidR="00426028" w:rsidRPr="00E5447A" w:rsidRDefault="003419E2" w:rsidP="00ED021C">
      <w:pPr>
        <w:rPr>
          <w:rFonts w:cs="Arial"/>
          <w:i/>
          <w:iCs/>
          <w:sz w:val="22"/>
          <w:szCs w:val="22"/>
        </w:rPr>
      </w:pPr>
      <w:r>
        <w:rPr>
          <w:rFonts w:cs="Arial"/>
          <w:i/>
          <w:iCs/>
          <w:sz w:val="22"/>
          <w:szCs w:val="22"/>
        </w:rPr>
        <w:t>“</w:t>
      </w:r>
      <w:r w:rsidR="00ED021C" w:rsidRPr="00E5447A">
        <w:rPr>
          <w:rFonts w:cs="Arial"/>
          <w:i/>
          <w:iCs/>
          <w:sz w:val="22"/>
          <w:szCs w:val="22"/>
        </w:rPr>
        <w:t xml:space="preserve">En la definición de Participantes del Mercado Mayorista, por favor indicar cual es la definición de </w:t>
      </w:r>
      <w:r>
        <w:rPr>
          <w:rFonts w:cs="Arial"/>
          <w:i/>
          <w:iCs/>
          <w:sz w:val="22"/>
          <w:szCs w:val="22"/>
        </w:rPr>
        <w:t>‘</w:t>
      </w:r>
      <w:r w:rsidR="00ED021C" w:rsidRPr="00E5447A">
        <w:rPr>
          <w:rFonts w:cs="Arial"/>
          <w:i/>
          <w:iCs/>
          <w:sz w:val="22"/>
          <w:szCs w:val="22"/>
        </w:rPr>
        <w:t>Comercializador de GNVC</w:t>
      </w:r>
      <w:r>
        <w:rPr>
          <w:rFonts w:cs="Arial"/>
          <w:i/>
          <w:iCs/>
          <w:sz w:val="22"/>
          <w:szCs w:val="22"/>
        </w:rPr>
        <w:t>’</w:t>
      </w:r>
      <w:r w:rsidR="00ED021C" w:rsidRPr="00E5447A">
        <w:rPr>
          <w:rFonts w:cs="Arial"/>
          <w:i/>
          <w:iCs/>
          <w:sz w:val="22"/>
          <w:szCs w:val="22"/>
        </w:rPr>
        <w:t>".</w:t>
      </w:r>
    </w:p>
    <w:p w14:paraId="52407AD3" w14:textId="77777777" w:rsidR="00E5447A" w:rsidRDefault="00E5447A" w:rsidP="00ED021C">
      <w:pPr>
        <w:rPr>
          <w:rFonts w:cs="Arial"/>
          <w:sz w:val="22"/>
          <w:szCs w:val="22"/>
        </w:rPr>
      </w:pPr>
    </w:p>
    <w:p w14:paraId="4B5BC479" w14:textId="5C615308" w:rsidR="00E5447A" w:rsidRPr="00E5447A" w:rsidRDefault="00E5447A" w:rsidP="00ED021C">
      <w:pPr>
        <w:rPr>
          <w:rFonts w:cs="Arial"/>
          <w:b/>
          <w:bCs/>
          <w:sz w:val="22"/>
          <w:szCs w:val="22"/>
        </w:rPr>
      </w:pPr>
      <w:r w:rsidRPr="00E5447A">
        <w:rPr>
          <w:rFonts w:cs="Arial"/>
          <w:b/>
          <w:bCs/>
          <w:sz w:val="22"/>
          <w:szCs w:val="22"/>
        </w:rPr>
        <w:t>Respuesta:</w:t>
      </w:r>
    </w:p>
    <w:p w14:paraId="1CBB315A" w14:textId="5460FC32" w:rsidR="00E5447A" w:rsidRDefault="00E5447A" w:rsidP="00ED021C">
      <w:pPr>
        <w:rPr>
          <w:rFonts w:cs="Arial"/>
          <w:sz w:val="22"/>
          <w:szCs w:val="22"/>
        </w:rPr>
      </w:pPr>
    </w:p>
    <w:p w14:paraId="27B7F457" w14:textId="7280ED60" w:rsidR="00E5447A" w:rsidRDefault="00E5447A" w:rsidP="00ED021C">
      <w:pPr>
        <w:rPr>
          <w:rFonts w:cs="Arial"/>
          <w:sz w:val="22"/>
          <w:szCs w:val="22"/>
        </w:rPr>
      </w:pPr>
      <w:r>
        <w:rPr>
          <w:rFonts w:cs="Arial"/>
          <w:sz w:val="22"/>
          <w:szCs w:val="22"/>
        </w:rPr>
        <w:t>Se acoge el comentario.</w:t>
      </w:r>
    </w:p>
    <w:p w14:paraId="571F6FF0" w14:textId="6C1631F6" w:rsidR="00E5447A" w:rsidRPr="003522E3" w:rsidRDefault="00E5447A" w:rsidP="00ED021C">
      <w:pPr>
        <w:rPr>
          <w:rFonts w:cs="Arial"/>
          <w:sz w:val="22"/>
          <w:szCs w:val="22"/>
        </w:rPr>
      </w:pPr>
    </w:p>
    <w:p w14:paraId="2A879A29" w14:textId="5D7C82A5" w:rsidR="00E5447A" w:rsidRPr="003522E3" w:rsidRDefault="00E5447A" w:rsidP="00ED021C">
      <w:pPr>
        <w:rPr>
          <w:rFonts w:cs="Arial"/>
          <w:sz w:val="22"/>
          <w:szCs w:val="22"/>
        </w:rPr>
      </w:pPr>
      <w:r w:rsidRPr="003522E3">
        <w:rPr>
          <w:rFonts w:cs="Arial"/>
          <w:sz w:val="22"/>
          <w:szCs w:val="22"/>
        </w:rPr>
        <w:t xml:space="preserve">En la nueva propuesta se incluye la definición de Comercializador de GNVC </w:t>
      </w:r>
      <w:r w:rsidR="003419E2">
        <w:rPr>
          <w:rFonts w:cs="Arial"/>
          <w:sz w:val="22"/>
          <w:szCs w:val="22"/>
        </w:rPr>
        <w:t>la cual corresponde a la prevista en</w:t>
      </w:r>
      <w:r w:rsidRPr="003522E3">
        <w:rPr>
          <w:rFonts w:cs="Arial"/>
          <w:sz w:val="22"/>
          <w:szCs w:val="22"/>
        </w:rPr>
        <w:t xml:space="preserve"> el Decreto 1073 de 2015.</w:t>
      </w:r>
    </w:p>
    <w:p w14:paraId="6A3CD79F" w14:textId="3B28DB1C" w:rsidR="00D926ED" w:rsidRPr="003522E3" w:rsidRDefault="00D926ED" w:rsidP="00ED021C">
      <w:pPr>
        <w:rPr>
          <w:rFonts w:cs="Arial"/>
          <w:sz w:val="22"/>
          <w:szCs w:val="22"/>
        </w:rPr>
      </w:pPr>
    </w:p>
    <w:p w14:paraId="41FE3EFD" w14:textId="77777777" w:rsidR="00426028" w:rsidRPr="003522E3" w:rsidRDefault="00426028" w:rsidP="00371CB5">
      <w:pPr>
        <w:rPr>
          <w:rFonts w:cs="Arial"/>
          <w:b/>
          <w:bCs/>
          <w:sz w:val="22"/>
          <w:szCs w:val="22"/>
        </w:rPr>
      </w:pPr>
    </w:p>
    <w:p w14:paraId="5B5AECD6" w14:textId="5FF7A2A2" w:rsidR="004930A0" w:rsidRPr="003522E3" w:rsidRDefault="004930A0" w:rsidP="004930A0">
      <w:pPr>
        <w:pStyle w:val="Ttulo1"/>
        <w:numPr>
          <w:ilvl w:val="0"/>
          <w:numId w:val="1"/>
        </w:numPr>
        <w:rPr>
          <w:caps/>
          <w:sz w:val="22"/>
          <w:szCs w:val="22"/>
        </w:rPr>
      </w:pPr>
      <w:bookmarkStart w:id="572" w:name="_Toc140506284"/>
      <w:r w:rsidRPr="003522E3">
        <w:rPr>
          <w:sz w:val="22"/>
          <w:szCs w:val="22"/>
        </w:rPr>
        <w:t xml:space="preserve">ARTÍCULO 5. </w:t>
      </w:r>
      <w:r w:rsidRPr="003522E3">
        <w:rPr>
          <w:caps/>
          <w:sz w:val="22"/>
          <w:szCs w:val="22"/>
        </w:rPr>
        <w:t xml:space="preserve">Servicios a cargo del </w:t>
      </w:r>
      <w:r w:rsidR="005114C6">
        <w:rPr>
          <w:caps/>
          <w:sz w:val="22"/>
          <w:szCs w:val="22"/>
        </w:rPr>
        <w:t>Gestor del Mercado</w:t>
      </w:r>
      <w:bookmarkEnd w:id="572"/>
    </w:p>
    <w:p w14:paraId="30BCE634" w14:textId="77777777" w:rsidR="004930A0" w:rsidRPr="003522E3" w:rsidRDefault="004930A0" w:rsidP="004A53B8">
      <w:pPr>
        <w:pStyle w:val="Ttulo2"/>
        <w:rPr>
          <w:sz w:val="22"/>
          <w:szCs w:val="22"/>
        </w:rPr>
      </w:pPr>
      <w:bookmarkStart w:id="573" w:name="_Toc140506285"/>
      <w:r w:rsidRPr="003522E3">
        <w:rPr>
          <w:sz w:val="22"/>
          <w:szCs w:val="22"/>
        </w:rPr>
        <w:t>ACP</w:t>
      </w:r>
      <w:bookmarkEnd w:id="573"/>
      <w:r w:rsidRPr="003522E3">
        <w:rPr>
          <w:sz w:val="22"/>
          <w:szCs w:val="22"/>
        </w:rPr>
        <w:tab/>
      </w:r>
    </w:p>
    <w:p w14:paraId="10281467" w14:textId="77777777" w:rsidR="004A53B8" w:rsidRPr="003522E3" w:rsidRDefault="004A53B8" w:rsidP="004A53B8">
      <w:pPr>
        <w:pStyle w:val="Ttulo4"/>
        <w:rPr>
          <w:sz w:val="22"/>
          <w:szCs w:val="22"/>
        </w:rPr>
      </w:pPr>
      <w:bookmarkStart w:id="574" w:name="_Ref130555775"/>
      <w:r w:rsidRPr="003522E3">
        <w:rPr>
          <w:sz w:val="22"/>
          <w:szCs w:val="22"/>
        </w:rPr>
        <w:t>ACP</w:t>
      </w:r>
      <w:bookmarkEnd w:id="574"/>
      <w:r w:rsidRPr="003522E3">
        <w:rPr>
          <w:sz w:val="22"/>
          <w:szCs w:val="22"/>
        </w:rPr>
        <w:tab/>
      </w:r>
    </w:p>
    <w:p w14:paraId="183244B0" w14:textId="435CD614" w:rsidR="004930A0" w:rsidRPr="003522E3" w:rsidRDefault="00705EE0" w:rsidP="004930A0">
      <w:pPr>
        <w:rPr>
          <w:i/>
          <w:iCs/>
          <w:sz w:val="22"/>
          <w:szCs w:val="22"/>
        </w:rPr>
      </w:pPr>
      <w:r>
        <w:rPr>
          <w:i/>
          <w:iCs/>
          <w:sz w:val="22"/>
          <w:szCs w:val="22"/>
        </w:rPr>
        <w:t>“</w:t>
      </w:r>
      <w:r w:rsidR="004930A0" w:rsidRPr="003522E3">
        <w:rPr>
          <w:i/>
          <w:iCs/>
          <w:sz w:val="22"/>
          <w:szCs w:val="22"/>
        </w:rPr>
        <w:t xml:space="preserve">Entendiendo la importancia y valor de la información que reporta y publica el </w:t>
      </w:r>
      <w:r w:rsidR="005114C6">
        <w:rPr>
          <w:i/>
          <w:iCs/>
          <w:sz w:val="22"/>
          <w:szCs w:val="22"/>
        </w:rPr>
        <w:t>Gestor del Mercado</w:t>
      </w:r>
      <w:r w:rsidR="004930A0" w:rsidRPr="003522E3">
        <w:rPr>
          <w:i/>
          <w:iCs/>
          <w:sz w:val="22"/>
          <w:szCs w:val="22"/>
        </w:rPr>
        <w:t xml:space="preserve">, sugerimos que se incluya un servicio de descarga automática de la información, más </w:t>
      </w:r>
      <w:r w:rsidR="00D926ED" w:rsidRPr="003522E3">
        <w:rPr>
          <w:i/>
          <w:iCs/>
          <w:sz w:val="22"/>
          <w:szCs w:val="22"/>
        </w:rPr>
        <w:t>á</w:t>
      </w:r>
      <w:r w:rsidR="004930A0" w:rsidRPr="003522E3">
        <w:rPr>
          <w:i/>
          <w:iCs/>
          <w:sz w:val="22"/>
          <w:szCs w:val="22"/>
        </w:rPr>
        <w:t>gil y sencillo para los agentes del mercado.</w:t>
      </w:r>
      <w:r>
        <w:rPr>
          <w:i/>
          <w:iCs/>
          <w:sz w:val="22"/>
          <w:szCs w:val="22"/>
        </w:rPr>
        <w:t>”</w:t>
      </w:r>
    </w:p>
    <w:p w14:paraId="568FA804" w14:textId="602D7B24" w:rsidR="00D926ED" w:rsidRPr="003522E3" w:rsidRDefault="00D926ED" w:rsidP="004930A0">
      <w:pPr>
        <w:rPr>
          <w:sz w:val="22"/>
          <w:szCs w:val="22"/>
        </w:rPr>
      </w:pPr>
    </w:p>
    <w:p w14:paraId="4BD9FE2D" w14:textId="71A5C12E" w:rsidR="00D926ED" w:rsidRPr="003522E3" w:rsidRDefault="00D926ED" w:rsidP="004930A0">
      <w:pPr>
        <w:rPr>
          <w:b/>
          <w:bCs/>
          <w:sz w:val="22"/>
          <w:szCs w:val="22"/>
        </w:rPr>
      </w:pPr>
      <w:r w:rsidRPr="003522E3">
        <w:rPr>
          <w:b/>
          <w:bCs/>
          <w:sz w:val="22"/>
          <w:szCs w:val="22"/>
        </w:rPr>
        <w:t>Respuesta:</w:t>
      </w:r>
    </w:p>
    <w:p w14:paraId="7EF0FBB1" w14:textId="7DF4AA69" w:rsidR="00F54EA6" w:rsidRPr="003522E3" w:rsidRDefault="00F54EA6" w:rsidP="004930A0">
      <w:pPr>
        <w:rPr>
          <w:b/>
          <w:bCs/>
          <w:sz w:val="22"/>
          <w:szCs w:val="22"/>
        </w:rPr>
      </w:pPr>
    </w:p>
    <w:p w14:paraId="2E3A7AC0" w14:textId="00E7727C" w:rsidR="00F54EA6" w:rsidRPr="003522E3" w:rsidRDefault="00F54EA6" w:rsidP="004930A0">
      <w:pPr>
        <w:rPr>
          <w:sz w:val="22"/>
          <w:szCs w:val="22"/>
        </w:rPr>
      </w:pPr>
      <w:r w:rsidRPr="003522E3">
        <w:rPr>
          <w:sz w:val="22"/>
          <w:szCs w:val="22"/>
        </w:rPr>
        <w:t>No se acoge el comentario.</w:t>
      </w:r>
    </w:p>
    <w:p w14:paraId="4A1FB1EC" w14:textId="3CF99163" w:rsidR="00F54EA6" w:rsidRPr="003522E3" w:rsidRDefault="00F54EA6" w:rsidP="004930A0">
      <w:pPr>
        <w:rPr>
          <w:sz w:val="22"/>
          <w:szCs w:val="22"/>
        </w:rPr>
      </w:pPr>
    </w:p>
    <w:p w14:paraId="4D4B626C" w14:textId="63D2C97B" w:rsidR="00F54EA6" w:rsidRPr="003522E3" w:rsidRDefault="00F54EA6" w:rsidP="004930A0">
      <w:pPr>
        <w:rPr>
          <w:sz w:val="22"/>
          <w:szCs w:val="22"/>
        </w:rPr>
      </w:pPr>
      <w:r w:rsidRPr="003522E3">
        <w:rPr>
          <w:sz w:val="22"/>
          <w:szCs w:val="22"/>
        </w:rPr>
        <w:t xml:space="preserve">Las publicaciones y herramientas informáticas desarrolladas por el </w:t>
      </w:r>
      <w:r w:rsidR="005114C6">
        <w:rPr>
          <w:sz w:val="22"/>
          <w:szCs w:val="22"/>
        </w:rPr>
        <w:t>Gestor del Mercado</w:t>
      </w:r>
      <w:r w:rsidRPr="003522E3">
        <w:rPr>
          <w:sz w:val="22"/>
          <w:szCs w:val="22"/>
        </w:rPr>
        <w:t xml:space="preserve"> pueden ser sujeto de mejoramiento en varios aspectos, pero se considera ineficaz que haya un servicio de descarga automática de la información, cuando hay cantidades de información descargable en forma manual, que a diferentes tipos de usuarios les puede parecer innecesaria para la actividad que ellos desarrollan.</w:t>
      </w:r>
    </w:p>
    <w:p w14:paraId="2AAD7530" w14:textId="5B758887" w:rsidR="00F54EA6" w:rsidRPr="003522E3" w:rsidRDefault="00F54EA6" w:rsidP="004930A0">
      <w:pPr>
        <w:rPr>
          <w:b/>
          <w:bCs/>
          <w:sz w:val="22"/>
          <w:szCs w:val="22"/>
        </w:rPr>
      </w:pPr>
    </w:p>
    <w:p w14:paraId="205A9211" w14:textId="77777777" w:rsidR="004930A0" w:rsidRPr="003522E3" w:rsidRDefault="004930A0" w:rsidP="004930A0">
      <w:pPr>
        <w:rPr>
          <w:sz w:val="22"/>
          <w:szCs w:val="22"/>
        </w:rPr>
      </w:pPr>
    </w:p>
    <w:p w14:paraId="67774BC0" w14:textId="77777777" w:rsidR="004930A0" w:rsidRPr="003522E3" w:rsidRDefault="004930A0" w:rsidP="004A53B8">
      <w:pPr>
        <w:pStyle w:val="Ttulo2"/>
        <w:rPr>
          <w:sz w:val="22"/>
          <w:szCs w:val="22"/>
        </w:rPr>
      </w:pPr>
      <w:bookmarkStart w:id="575" w:name="_Toc140506286"/>
      <w:r w:rsidRPr="003522E3">
        <w:rPr>
          <w:sz w:val="22"/>
          <w:szCs w:val="22"/>
        </w:rPr>
        <w:t>BOLSA MERCANTIL DE COLOMBIA</w:t>
      </w:r>
      <w:bookmarkEnd w:id="575"/>
      <w:r w:rsidRPr="003522E3">
        <w:rPr>
          <w:sz w:val="22"/>
          <w:szCs w:val="22"/>
        </w:rPr>
        <w:tab/>
      </w:r>
    </w:p>
    <w:p w14:paraId="65EDEDF2" w14:textId="77777777" w:rsidR="004A53B8" w:rsidRPr="003522E3" w:rsidRDefault="004A53B8" w:rsidP="004A53B8">
      <w:pPr>
        <w:pStyle w:val="Ttulo4"/>
        <w:rPr>
          <w:sz w:val="22"/>
          <w:szCs w:val="22"/>
        </w:rPr>
      </w:pPr>
      <w:r w:rsidRPr="003522E3">
        <w:rPr>
          <w:sz w:val="22"/>
          <w:szCs w:val="22"/>
        </w:rPr>
        <w:t>BOLSA MERCANTIL DE COLOMBIA</w:t>
      </w:r>
      <w:r w:rsidRPr="003522E3">
        <w:rPr>
          <w:sz w:val="22"/>
          <w:szCs w:val="22"/>
        </w:rPr>
        <w:tab/>
      </w:r>
    </w:p>
    <w:p w14:paraId="5B81DCC4" w14:textId="4837CB8C" w:rsidR="004930A0" w:rsidRPr="003522E3" w:rsidRDefault="00705EE0" w:rsidP="004930A0">
      <w:pPr>
        <w:rPr>
          <w:i/>
          <w:iCs/>
          <w:sz w:val="22"/>
          <w:szCs w:val="22"/>
        </w:rPr>
      </w:pPr>
      <w:r>
        <w:rPr>
          <w:i/>
          <w:iCs/>
          <w:sz w:val="22"/>
          <w:szCs w:val="22"/>
        </w:rPr>
        <w:t>“</w:t>
      </w:r>
      <w:r w:rsidR="004930A0" w:rsidRPr="003522E3">
        <w:rPr>
          <w:i/>
          <w:iCs/>
          <w:sz w:val="22"/>
          <w:szCs w:val="22"/>
        </w:rPr>
        <w:t>Entre las copias digitales de los contratos a entregar, es pertinente que quede explicito la copia digital de los contratos de capacidad de transporte de gas natural pactados en el mercado mayorista de gas natural.</w:t>
      </w:r>
      <w:r>
        <w:rPr>
          <w:i/>
          <w:iCs/>
          <w:sz w:val="22"/>
          <w:szCs w:val="22"/>
        </w:rPr>
        <w:t>”</w:t>
      </w:r>
    </w:p>
    <w:p w14:paraId="6D12BF70" w14:textId="77777777" w:rsidR="004930A0" w:rsidRPr="003522E3" w:rsidRDefault="004930A0" w:rsidP="004930A0">
      <w:pPr>
        <w:rPr>
          <w:sz w:val="22"/>
          <w:szCs w:val="22"/>
        </w:rPr>
      </w:pPr>
    </w:p>
    <w:p w14:paraId="578653F6" w14:textId="2112C176" w:rsidR="004930A0" w:rsidRPr="003522E3" w:rsidRDefault="003522E3" w:rsidP="004930A0">
      <w:pPr>
        <w:rPr>
          <w:b/>
          <w:bCs/>
          <w:sz w:val="22"/>
          <w:szCs w:val="22"/>
        </w:rPr>
      </w:pPr>
      <w:r w:rsidRPr="003522E3">
        <w:rPr>
          <w:b/>
          <w:bCs/>
          <w:sz w:val="22"/>
          <w:szCs w:val="22"/>
        </w:rPr>
        <w:t>Respuesta:</w:t>
      </w:r>
    </w:p>
    <w:p w14:paraId="6794949F" w14:textId="1DC171E8" w:rsidR="003522E3" w:rsidRDefault="003522E3" w:rsidP="004930A0">
      <w:pPr>
        <w:rPr>
          <w:sz w:val="22"/>
          <w:szCs w:val="22"/>
        </w:rPr>
      </w:pPr>
    </w:p>
    <w:p w14:paraId="213B9A57" w14:textId="2A5068EA" w:rsidR="003522E3" w:rsidRDefault="001D1804" w:rsidP="004930A0">
      <w:pPr>
        <w:rPr>
          <w:sz w:val="22"/>
          <w:szCs w:val="22"/>
        </w:rPr>
      </w:pPr>
      <w:r>
        <w:rPr>
          <w:sz w:val="22"/>
          <w:szCs w:val="22"/>
        </w:rPr>
        <w:t>No se acoge el comentario.</w:t>
      </w:r>
    </w:p>
    <w:p w14:paraId="69D5A655" w14:textId="445AF61A" w:rsidR="001D1804" w:rsidRDefault="001D1804" w:rsidP="004930A0">
      <w:pPr>
        <w:rPr>
          <w:sz w:val="22"/>
          <w:szCs w:val="22"/>
        </w:rPr>
      </w:pPr>
    </w:p>
    <w:p w14:paraId="01B49F17" w14:textId="40F42BB0" w:rsidR="001D1804" w:rsidRDefault="001D1804" w:rsidP="004930A0">
      <w:pPr>
        <w:rPr>
          <w:sz w:val="22"/>
          <w:szCs w:val="22"/>
        </w:rPr>
      </w:pPr>
      <w:r>
        <w:rPr>
          <w:sz w:val="22"/>
          <w:szCs w:val="22"/>
        </w:rPr>
        <w:t>La resolución propuesta tiene como fin y alcance establecer las reglas del el Mercado Mayorista de suministro de gas natural, por lo que no tiene incorporados aspectos de información específica de los contratos de capacidad de transporte que se debe entregar de acuerdo con la Resolución CREG 185 de 2020.</w:t>
      </w:r>
    </w:p>
    <w:p w14:paraId="08F0A072" w14:textId="77777777" w:rsidR="00705EE0" w:rsidRPr="003522E3" w:rsidRDefault="00705EE0" w:rsidP="004930A0">
      <w:pPr>
        <w:rPr>
          <w:sz w:val="22"/>
          <w:szCs w:val="22"/>
        </w:rPr>
      </w:pPr>
    </w:p>
    <w:p w14:paraId="2E151F8B" w14:textId="77777777" w:rsidR="004930A0" w:rsidRPr="003522E3" w:rsidRDefault="004930A0" w:rsidP="004A53B8">
      <w:pPr>
        <w:pStyle w:val="Ttulo2"/>
        <w:rPr>
          <w:sz w:val="22"/>
          <w:szCs w:val="22"/>
        </w:rPr>
      </w:pPr>
      <w:bookmarkStart w:id="576" w:name="_Toc140506287"/>
      <w:r w:rsidRPr="003522E3">
        <w:rPr>
          <w:sz w:val="22"/>
          <w:szCs w:val="22"/>
        </w:rPr>
        <w:t>ECOPETROL</w:t>
      </w:r>
      <w:bookmarkEnd w:id="576"/>
      <w:r w:rsidRPr="003522E3">
        <w:rPr>
          <w:sz w:val="22"/>
          <w:szCs w:val="22"/>
        </w:rPr>
        <w:tab/>
      </w:r>
    </w:p>
    <w:p w14:paraId="1718FAE0" w14:textId="77777777" w:rsidR="004A53B8" w:rsidRPr="003522E3" w:rsidRDefault="004A53B8" w:rsidP="004A53B8">
      <w:pPr>
        <w:pStyle w:val="Ttulo4"/>
        <w:rPr>
          <w:sz w:val="22"/>
          <w:szCs w:val="22"/>
        </w:rPr>
      </w:pPr>
      <w:bookmarkStart w:id="577" w:name="_Ref130553543"/>
      <w:r w:rsidRPr="003522E3">
        <w:rPr>
          <w:sz w:val="22"/>
          <w:szCs w:val="22"/>
        </w:rPr>
        <w:t>ECOPETROL</w:t>
      </w:r>
      <w:bookmarkEnd w:id="577"/>
      <w:r w:rsidRPr="003522E3">
        <w:rPr>
          <w:sz w:val="22"/>
          <w:szCs w:val="22"/>
        </w:rPr>
        <w:tab/>
      </w:r>
    </w:p>
    <w:p w14:paraId="1FFF3A53" w14:textId="5D595813" w:rsidR="004930A0" w:rsidRPr="001D1804" w:rsidRDefault="0043555F" w:rsidP="004930A0">
      <w:pPr>
        <w:rPr>
          <w:i/>
          <w:iCs/>
          <w:sz w:val="22"/>
          <w:szCs w:val="22"/>
        </w:rPr>
      </w:pPr>
      <w:r>
        <w:rPr>
          <w:i/>
          <w:iCs/>
          <w:sz w:val="22"/>
          <w:szCs w:val="22"/>
        </w:rPr>
        <w:t>“</w:t>
      </w:r>
      <w:r w:rsidR="004930A0" w:rsidRPr="001D1804">
        <w:rPr>
          <w:i/>
          <w:iCs/>
          <w:sz w:val="22"/>
          <w:szCs w:val="22"/>
        </w:rPr>
        <w:t xml:space="preserve">En el parágrafo 1 del artículo 5 se propone la obligación de </w:t>
      </w:r>
      <w:r>
        <w:rPr>
          <w:i/>
          <w:iCs/>
          <w:sz w:val="22"/>
          <w:szCs w:val="22"/>
        </w:rPr>
        <w:t>‘</w:t>
      </w:r>
      <w:r w:rsidR="004930A0" w:rsidRPr="001D1804">
        <w:rPr>
          <w:i/>
          <w:iCs/>
          <w:sz w:val="22"/>
          <w:szCs w:val="22"/>
        </w:rPr>
        <w:t>(…) entregar copia digital de todos los contratos de suministro del mercado mayorista, así como la información de transporte prevista</w:t>
      </w:r>
      <w:r>
        <w:rPr>
          <w:i/>
          <w:iCs/>
          <w:sz w:val="22"/>
          <w:szCs w:val="22"/>
        </w:rPr>
        <w:t>’</w:t>
      </w:r>
      <w:r w:rsidR="004930A0" w:rsidRPr="001D1804">
        <w:rPr>
          <w:i/>
          <w:iCs/>
          <w:sz w:val="22"/>
          <w:szCs w:val="22"/>
        </w:rPr>
        <w:t>. Al respecto, si bien consideramos adecuada esta propuesta, agradecemos a la Comisión establecer de manera explícita un plazo para el cumplimiento de la disposición, de tal forma que considere los tiempos requeridos para surtir los procesos y trámites requeridos para el perfeccionamiento de los contratos.</w:t>
      </w:r>
      <w:r>
        <w:rPr>
          <w:i/>
          <w:iCs/>
          <w:sz w:val="22"/>
          <w:szCs w:val="22"/>
        </w:rPr>
        <w:t>”</w:t>
      </w:r>
    </w:p>
    <w:p w14:paraId="39CD1255" w14:textId="5EE525A0" w:rsidR="001D1804" w:rsidRDefault="001D1804" w:rsidP="004930A0">
      <w:pPr>
        <w:rPr>
          <w:sz w:val="22"/>
          <w:szCs w:val="22"/>
        </w:rPr>
      </w:pPr>
    </w:p>
    <w:p w14:paraId="17E1462A" w14:textId="74313213" w:rsidR="001D1804" w:rsidRPr="001D1804" w:rsidRDefault="001D1804" w:rsidP="004930A0">
      <w:pPr>
        <w:rPr>
          <w:b/>
          <w:bCs/>
          <w:sz w:val="22"/>
          <w:szCs w:val="22"/>
        </w:rPr>
      </w:pPr>
      <w:r w:rsidRPr="001D1804">
        <w:rPr>
          <w:b/>
          <w:bCs/>
          <w:sz w:val="22"/>
          <w:szCs w:val="22"/>
        </w:rPr>
        <w:t>Respuesta:</w:t>
      </w:r>
    </w:p>
    <w:p w14:paraId="6ACC1B19" w14:textId="33388CDD" w:rsidR="001D1804" w:rsidRDefault="001D1804" w:rsidP="004930A0">
      <w:pPr>
        <w:rPr>
          <w:sz w:val="22"/>
          <w:szCs w:val="22"/>
        </w:rPr>
      </w:pPr>
    </w:p>
    <w:p w14:paraId="1B80BAA7" w14:textId="0F1F575D" w:rsidR="001D1804" w:rsidRDefault="001D1804" w:rsidP="004930A0">
      <w:pPr>
        <w:rPr>
          <w:sz w:val="22"/>
          <w:szCs w:val="22"/>
        </w:rPr>
      </w:pPr>
      <w:r>
        <w:rPr>
          <w:sz w:val="22"/>
          <w:szCs w:val="22"/>
        </w:rPr>
        <w:t>Se acoge el comentario.</w:t>
      </w:r>
    </w:p>
    <w:p w14:paraId="406733B2" w14:textId="5237143F" w:rsidR="001D1804" w:rsidRDefault="001D1804" w:rsidP="004930A0">
      <w:pPr>
        <w:rPr>
          <w:sz w:val="22"/>
          <w:szCs w:val="22"/>
        </w:rPr>
      </w:pPr>
    </w:p>
    <w:p w14:paraId="261093E6" w14:textId="1135324B" w:rsidR="001D1804" w:rsidRDefault="001D1804" w:rsidP="004930A0">
      <w:pPr>
        <w:rPr>
          <w:sz w:val="22"/>
          <w:szCs w:val="22"/>
        </w:rPr>
      </w:pPr>
      <w:r>
        <w:rPr>
          <w:sz w:val="22"/>
          <w:szCs w:val="22"/>
        </w:rPr>
        <w:t xml:space="preserve">En la nueva propuesta se especifica </w:t>
      </w:r>
      <w:r w:rsidR="00485B14">
        <w:rPr>
          <w:sz w:val="22"/>
          <w:szCs w:val="22"/>
        </w:rPr>
        <w:t xml:space="preserve">un </w:t>
      </w:r>
      <w:r w:rsidR="00485B14" w:rsidRPr="00485B14">
        <w:rPr>
          <w:sz w:val="22"/>
          <w:szCs w:val="22"/>
        </w:rPr>
        <w:t>plazo para completar</w:t>
      </w:r>
      <w:r w:rsidR="00485B14">
        <w:rPr>
          <w:sz w:val="22"/>
          <w:szCs w:val="22"/>
        </w:rPr>
        <w:t xml:space="preserve"> </w:t>
      </w:r>
      <w:r w:rsidR="00485B14" w:rsidRPr="00485B14">
        <w:rPr>
          <w:sz w:val="22"/>
          <w:szCs w:val="22"/>
        </w:rPr>
        <w:t>la</w:t>
      </w:r>
      <w:r w:rsidR="00485B14">
        <w:rPr>
          <w:sz w:val="22"/>
          <w:szCs w:val="22"/>
        </w:rPr>
        <w:t xml:space="preserve"> información requerida en la propuesta</w:t>
      </w:r>
      <w:r w:rsidR="00485B14" w:rsidRPr="00485B14">
        <w:rPr>
          <w:sz w:val="22"/>
          <w:szCs w:val="22"/>
        </w:rPr>
        <w:t xml:space="preserve">, hasta máximo treinta (30) días hábiles, contados a partir de la fecha del requerimiento realizado por el </w:t>
      </w:r>
      <w:r w:rsidR="005114C6">
        <w:rPr>
          <w:sz w:val="22"/>
          <w:szCs w:val="22"/>
        </w:rPr>
        <w:t>Gestor del Mercado</w:t>
      </w:r>
      <w:r w:rsidR="00485B14">
        <w:rPr>
          <w:sz w:val="22"/>
          <w:szCs w:val="22"/>
        </w:rPr>
        <w:t>.</w:t>
      </w:r>
    </w:p>
    <w:p w14:paraId="1945672D" w14:textId="77777777" w:rsidR="001D1804" w:rsidRPr="003522E3" w:rsidRDefault="001D1804" w:rsidP="004930A0">
      <w:pPr>
        <w:rPr>
          <w:sz w:val="22"/>
          <w:szCs w:val="22"/>
        </w:rPr>
      </w:pPr>
    </w:p>
    <w:p w14:paraId="5A5AE7AD" w14:textId="77777777" w:rsidR="004930A0" w:rsidRPr="003522E3" w:rsidRDefault="004930A0" w:rsidP="004930A0">
      <w:pPr>
        <w:rPr>
          <w:sz w:val="22"/>
          <w:szCs w:val="22"/>
        </w:rPr>
      </w:pPr>
    </w:p>
    <w:p w14:paraId="423F9917" w14:textId="77777777" w:rsidR="004930A0" w:rsidRPr="003522E3" w:rsidRDefault="004930A0" w:rsidP="004A53B8">
      <w:pPr>
        <w:pStyle w:val="Ttulo2"/>
        <w:rPr>
          <w:sz w:val="22"/>
          <w:szCs w:val="22"/>
        </w:rPr>
      </w:pPr>
      <w:bookmarkStart w:id="578" w:name="_Toc140506288"/>
      <w:r w:rsidRPr="003522E3">
        <w:rPr>
          <w:sz w:val="22"/>
          <w:szCs w:val="22"/>
        </w:rPr>
        <w:t>GASES DE LA GUAJIRA</w:t>
      </w:r>
      <w:bookmarkEnd w:id="578"/>
      <w:r w:rsidRPr="003522E3">
        <w:rPr>
          <w:sz w:val="22"/>
          <w:szCs w:val="22"/>
        </w:rPr>
        <w:tab/>
      </w:r>
    </w:p>
    <w:p w14:paraId="00CDFA0B" w14:textId="77777777" w:rsidR="004A53B8" w:rsidRPr="003522E3" w:rsidRDefault="004A53B8" w:rsidP="004A53B8">
      <w:pPr>
        <w:pStyle w:val="Ttulo4"/>
        <w:rPr>
          <w:sz w:val="22"/>
          <w:szCs w:val="22"/>
        </w:rPr>
      </w:pPr>
      <w:bookmarkStart w:id="579" w:name="_Ref130551518"/>
      <w:r w:rsidRPr="003522E3">
        <w:rPr>
          <w:sz w:val="22"/>
          <w:szCs w:val="22"/>
        </w:rPr>
        <w:t>GASES DE LA GUAJIRA</w:t>
      </w:r>
      <w:bookmarkEnd w:id="579"/>
      <w:r w:rsidRPr="003522E3">
        <w:rPr>
          <w:sz w:val="22"/>
          <w:szCs w:val="22"/>
        </w:rPr>
        <w:tab/>
      </w:r>
    </w:p>
    <w:p w14:paraId="1D6D43F1" w14:textId="65211C17" w:rsidR="004930A0" w:rsidRPr="00AB515E" w:rsidRDefault="004930A0" w:rsidP="004930A0">
      <w:pPr>
        <w:rPr>
          <w:i/>
          <w:iCs/>
          <w:sz w:val="22"/>
          <w:szCs w:val="22"/>
        </w:rPr>
      </w:pPr>
      <w:r w:rsidRPr="003522E3">
        <w:rPr>
          <w:sz w:val="22"/>
          <w:szCs w:val="22"/>
        </w:rPr>
        <w:t>"</w:t>
      </w:r>
      <w:r w:rsidRPr="00AB515E">
        <w:rPr>
          <w:i/>
          <w:iCs/>
          <w:sz w:val="22"/>
          <w:szCs w:val="22"/>
        </w:rPr>
        <w:t>Si bien es claro que el regulador le asigna unas nuevas funciones al gestor de mercado, es necesario que le determina de manera clara cuáles son los parámetros que debe utilizar para cada una de las funciones asignadas, de manera tal que el gestor no quede con una función regulatoria que claramente no puede ejercer a la luz de la ley y de la Constitución.</w:t>
      </w:r>
    </w:p>
    <w:p w14:paraId="03D43A76" w14:textId="77777777" w:rsidR="004930A0" w:rsidRPr="00AB515E" w:rsidRDefault="004930A0" w:rsidP="004930A0">
      <w:pPr>
        <w:rPr>
          <w:i/>
          <w:iCs/>
          <w:sz w:val="22"/>
          <w:szCs w:val="22"/>
        </w:rPr>
      </w:pPr>
    </w:p>
    <w:p w14:paraId="7FD38666" w14:textId="28E5A0F3" w:rsidR="004930A0" w:rsidRDefault="004930A0" w:rsidP="004930A0">
      <w:pPr>
        <w:rPr>
          <w:sz w:val="22"/>
          <w:szCs w:val="22"/>
        </w:rPr>
      </w:pPr>
      <w:r w:rsidRPr="00AB515E">
        <w:rPr>
          <w:i/>
          <w:iCs/>
          <w:sz w:val="22"/>
          <w:szCs w:val="22"/>
        </w:rPr>
        <w:t>En ese sentido, cada una de las funciones asignadas debe tener una forma de ser desarrollada, incluyendo parámetros para el cumplimiento de la función asignada, así como los mecanismos para prevenir cualquier tipo de error mucho más considerando que se le está delegando al gestor de mercado, elementos esenciales de la propuesta regulatoria</w:t>
      </w:r>
      <w:r w:rsidRPr="003522E3">
        <w:rPr>
          <w:sz w:val="22"/>
          <w:szCs w:val="22"/>
        </w:rPr>
        <w:t>."</w:t>
      </w:r>
    </w:p>
    <w:p w14:paraId="0C5C4673" w14:textId="14E08FE5" w:rsidR="00AB515E" w:rsidRDefault="00AB515E" w:rsidP="004930A0">
      <w:pPr>
        <w:rPr>
          <w:sz w:val="22"/>
          <w:szCs w:val="22"/>
        </w:rPr>
      </w:pPr>
    </w:p>
    <w:p w14:paraId="05FCF712" w14:textId="43EB1587" w:rsidR="00AB515E" w:rsidRPr="00AB515E" w:rsidRDefault="00AB515E" w:rsidP="004930A0">
      <w:pPr>
        <w:rPr>
          <w:b/>
          <w:bCs/>
          <w:sz w:val="22"/>
          <w:szCs w:val="22"/>
        </w:rPr>
      </w:pPr>
      <w:r w:rsidRPr="00AB515E">
        <w:rPr>
          <w:b/>
          <w:bCs/>
          <w:sz w:val="22"/>
          <w:szCs w:val="22"/>
        </w:rPr>
        <w:t>Respuesta:</w:t>
      </w:r>
    </w:p>
    <w:p w14:paraId="2CA5B62F" w14:textId="12901103" w:rsidR="00AB515E" w:rsidRDefault="00AB515E" w:rsidP="004930A0">
      <w:pPr>
        <w:rPr>
          <w:sz w:val="22"/>
          <w:szCs w:val="22"/>
        </w:rPr>
      </w:pPr>
    </w:p>
    <w:p w14:paraId="3BE94DDF" w14:textId="70835592" w:rsidR="00397A3C" w:rsidRDefault="00DF4550" w:rsidP="004930A0">
      <w:pPr>
        <w:rPr>
          <w:sz w:val="22"/>
          <w:szCs w:val="22"/>
        </w:rPr>
      </w:pPr>
      <w:r>
        <w:rPr>
          <w:sz w:val="22"/>
          <w:szCs w:val="22"/>
        </w:rPr>
        <w:t>No se acoge el comentario.</w:t>
      </w:r>
    </w:p>
    <w:p w14:paraId="7976AFE1" w14:textId="59465607" w:rsidR="00DF4550" w:rsidRDefault="00DF4550" w:rsidP="004930A0">
      <w:pPr>
        <w:rPr>
          <w:sz w:val="22"/>
          <w:szCs w:val="22"/>
        </w:rPr>
      </w:pPr>
    </w:p>
    <w:p w14:paraId="13A7A919" w14:textId="43E6879C" w:rsidR="00AB515E" w:rsidRPr="003522E3" w:rsidRDefault="00DF4550" w:rsidP="004930A0">
      <w:pPr>
        <w:rPr>
          <w:sz w:val="22"/>
          <w:szCs w:val="22"/>
        </w:rPr>
      </w:pPr>
      <w:r>
        <w:rPr>
          <w:sz w:val="22"/>
          <w:szCs w:val="22"/>
        </w:rPr>
        <w:t xml:space="preserve">Se debe tener en cuenta que </w:t>
      </w:r>
      <w:r w:rsidR="000A4D25">
        <w:rPr>
          <w:sz w:val="22"/>
          <w:szCs w:val="22"/>
        </w:rPr>
        <w:t xml:space="preserve">es </w:t>
      </w:r>
      <w:r w:rsidR="003C10E7">
        <w:rPr>
          <w:sz w:val="22"/>
          <w:szCs w:val="22"/>
        </w:rPr>
        <w:t xml:space="preserve">mediante la Resolución CREG 076 de 2019 </w:t>
      </w:r>
      <w:r w:rsidR="000A4D25">
        <w:rPr>
          <w:sz w:val="22"/>
          <w:szCs w:val="22"/>
        </w:rPr>
        <w:t xml:space="preserve">que </w:t>
      </w:r>
      <w:r w:rsidR="003C10E7">
        <w:rPr>
          <w:sz w:val="22"/>
          <w:szCs w:val="22"/>
        </w:rPr>
        <w:t xml:space="preserve">se </w:t>
      </w:r>
      <w:r w:rsidR="003C10E7" w:rsidRPr="003C10E7">
        <w:rPr>
          <w:sz w:val="22"/>
          <w:szCs w:val="22"/>
        </w:rPr>
        <w:t xml:space="preserve">determinan </w:t>
      </w:r>
      <w:r w:rsidR="000A4D25">
        <w:rPr>
          <w:sz w:val="22"/>
          <w:szCs w:val="22"/>
        </w:rPr>
        <w:t xml:space="preserve">y desarrollan </w:t>
      </w:r>
      <w:r w:rsidR="003C10E7" w:rsidRPr="003C10E7">
        <w:rPr>
          <w:sz w:val="22"/>
          <w:szCs w:val="22"/>
        </w:rPr>
        <w:t xml:space="preserve">los servicios a ser prestados por el </w:t>
      </w:r>
      <w:r w:rsidR="005114C6">
        <w:rPr>
          <w:sz w:val="22"/>
          <w:szCs w:val="22"/>
        </w:rPr>
        <w:t>Gestor del Mercado</w:t>
      </w:r>
      <w:r w:rsidR="003C10E7" w:rsidRPr="003C10E7">
        <w:rPr>
          <w:sz w:val="22"/>
          <w:szCs w:val="22"/>
        </w:rPr>
        <w:t xml:space="preserve"> de Gas Natural</w:t>
      </w:r>
      <w:r w:rsidR="003C10E7">
        <w:rPr>
          <w:sz w:val="22"/>
          <w:szCs w:val="22"/>
        </w:rPr>
        <w:t>.</w:t>
      </w:r>
      <w:r w:rsidR="000A4D25">
        <w:rPr>
          <w:sz w:val="22"/>
          <w:szCs w:val="22"/>
        </w:rPr>
        <w:t xml:space="preserve"> Parte de la contextualización del detalle de los servicios a cargo del </w:t>
      </w:r>
      <w:r w:rsidR="005114C6">
        <w:rPr>
          <w:sz w:val="22"/>
          <w:szCs w:val="22"/>
        </w:rPr>
        <w:t>Gestor del Mercado</w:t>
      </w:r>
      <w:r w:rsidR="000A4D25">
        <w:rPr>
          <w:sz w:val="22"/>
          <w:szCs w:val="22"/>
        </w:rPr>
        <w:t xml:space="preserve"> del Artículo 3 de la resolución en mención.</w:t>
      </w:r>
    </w:p>
    <w:p w14:paraId="6D8457B5" w14:textId="77777777" w:rsidR="004930A0" w:rsidRPr="003522E3" w:rsidRDefault="004930A0" w:rsidP="004930A0">
      <w:pPr>
        <w:rPr>
          <w:sz w:val="22"/>
          <w:szCs w:val="22"/>
        </w:rPr>
      </w:pPr>
    </w:p>
    <w:p w14:paraId="05F3FCB4" w14:textId="77777777" w:rsidR="004930A0" w:rsidRPr="003522E3" w:rsidRDefault="004930A0" w:rsidP="004930A0">
      <w:pPr>
        <w:rPr>
          <w:sz w:val="22"/>
          <w:szCs w:val="22"/>
        </w:rPr>
      </w:pPr>
    </w:p>
    <w:p w14:paraId="2E888524" w14:textId="77777777" w:rsidR="004930A0" w:rsidRPr="003522E3" w:rsidRDefault="004930A0" w:rsidP="004A53B8">
      <w:pPr>
        <w:pStyle w:val="Ttulo4"/>
        <w:rPr>
          <w:sz w:val="22"/>
          <w:szCs w:val="22"/>
        </w:rPr>
      </w:pPr>
      <w:bookmarkStart w:id="580" w:name="_Ref130553468"/>
      <w:r w:rsidRPr="003522E3">
        <w:rPr>
          <w:sz w:val="22"/>
          <w:szCs w:val="22"/>
        </w:rPr>
        <w:t>GASES DE LA GUAJIRA</w:t>
      </w:r>
      <w:bookmarkEnd w:id="580"/>
      <w:r w:rsidRPr="003522E3">
        <w:rPr>
          <w:sz w:val="22"/>
          <w:szCs w:val="22"/>
        </w:rPr>
        <w:tab/>
      </w:r>
    </w:p>
    <w:p w14:paraId="70D7E678" w14:textId="7C323E2F" w:rsidR="004930A0" w:rsidRPr="000A4D25" w:rsidRDefault="004930A0" w:rsidP="004930A0">
      <w:pPr>
        <w:rPr>
          <w:i/>
          <w:iCs/>
          <w:sz w:val="22"/>
          <w:szCs w:val="22"/>
        </w:rPr>
      </w:pPr>
      <w:r w:rsidRPr="000A4D25">
        <w:rPr>
          <w:i/>
          <w:iCs/>
          <w:sz w:val="22"/>
          <w:szCs w:val="22"/>
        </w:rPr>
        <w:t>"Si bien la resolución no propone un cambio a la primera parte del texto, es evidente que ésta no es necesaria, ya que sólo el legislador pudiera asignarle al gestor de mercado alguna de las facultades a las que se hace referencia en ese sentido.</w:t>
      </w:r>
    </w:p>
    <w:p w14:paraId="25B18DB2" w14:textId="77777777" w:rsidR="004930A0" w:rsidRPr="000A4D25" w:rsidRDefault="004930A0" w:rsidP="004930A0">
      <w:pPr>
        <w:rPr>
          <w:i/>
          <w:iCs/>
          <w:sz w:val="22"/>
          <w:szCs w:val="22"/>
        </w:rPr>
      </w:pPr>
    </w:p>
    <w:p w14:paraId="2795A222" w14:textId="7CBADB58" w:rsidR="004930A0" w:rsidRPr="000A4D25" w:rsidRDefault="004930A0" w:rsidP="004930A0">
      <w:pPr>
        <w:rPr>
          <w:i/>
          <w:iCs/>
          <w:sz w:val="22"/>
          <w:szCs w:val="22"/>
        </w:rPr>
      </w:pPr>
      <w:r w:rsidRPr="000A4D25">
        <w:rPr>
          <w:i/>
          <w:iCs/>
          <w:sz w:val="22"/>
          <w:szCs w:val="22"/>
        </w:rPr>
        <w:t>Por lo anterior, se sugiere que ante la ocurrencia de un evento que el gestor de mercado pueda considerar como contrario a la regulación, deba preguntárselo primero al agente o agentes involucrados, para posteriormente evaluar si se traslada a las entidades de control"</w:t>
      </w:r>
    </w:p>
    <w:p w14:paraId="4CA2F0EB" w14:textId="22014136" w:rsidR="000A4D25" w:rsidRDefault="000A4D25" w:rsidP="004930A0">
      <w:pPr>
        <w:rPr>
          <w:sz w:val="22"/>
          <w:szCs w:val="22"/>
        </w:rPr>
      </w:pPr>
    </w:p>
    <w:p w14:paraId="252F864A" w14:textId="76C40125" w:rsidR="000A4D25" w:rsidRPr="000A4D25" w:rsidRDefault="000A4D25" w:rsidP="004930A0">
      <w:pPr>
        <w:rPr>
          <w:b/>
          <w:bCs/>
          <w:sz w:val="22"/>
          <w:szCs w:val="22"/>
        </w:rPr>
      </w:pPr>
      <w:r w:rsidRPr="000A4D25">
        <w:rPr>
          <w:b/>
          <w:bCs/>
          <w:sz w:val="22"/>
          <w:szCs w:val="22"/>
        </w:rPr>
        <w:t>Respuesta:</w:t>
      </w:r>
    </w:p>
    <w:p w14:paraId="586CD7EF" w14:textId="4293D19B" w:rsidR="000A4D25" w:rsidRDefault="000A4D25" w:rsidP="004930A0">
      <w:pPr>
        <w:rPr>
          <w:sz w:val="22"/>
          <w:szCs w:val="22"/>
        </w:rPr>
      </w:pPr>
    </w:p>
    <w:p w14:paraId="3BDD051F" w14:textId="681907DF" w:rsidR="000A4D25" w:rsidRDefault="000A4D25" w:rsidP="004930A0">
      <w:pPr>
        <w:rPr>
          <w:sz w:val="22"/>
          <w:szCs w:val="22"/>
        </w:rPr>
      </w:pPr>
      <w:r>
        <w:rPr>
          <w:sz w:val="22"/>
          <w:szCs w:val="22"/>
        </w:rPr>
        <w:t>Se acoge el comentario parcialmente.</w:t>
      </w:r>
    </w:p>
    <w:p w14:paraId="6EBBBEE5" w14:textId="33974FD4" w:rsidR="000A4D25" w:rsidRDefault="000A4D25" w:rsidP="004930A0">
      <w:pPr>
        <w:rPr>
          <w:sz w:val="22"/>
          <w:szCs w:val="22"/>
        </w:rPr>
      </w:pPr>
    </w:p>
    <w:p w14:paraId="5D79B4FC" w14:textId="133A1CA2" w:rsidR="004930A0" w:rsidRDefault="000A4D25" w:rsidP="004930A0">
      <w:pPr>
        <w:rPr>
          <w:sz w:val="22"/>
          <w:szCs w:val="22"/>
        </w:rPr>
      </w:pPr>
      <w:r>
        <w:rPr>
          <w:sz w:val="22"/>
          <w:szCs w:val="22"/>
        </w:rPr>
        <w:t xml:space="preserve">Se hicieron ajustes al texto para que no haya duda de que no le corresponde al </w:t>
      </w:r>
      <w:r w:rsidR="005114C6">
        <w:rPr>
          <w:sz w:val="22"/>
          <w:szCs w:val="22"/>
        </w:rPr>
        <w:t>Gestor del Mercado</w:t>
      </w:r>
      <w:r>
        <w:rPr>
          <w:sz w:val="22"/>
          <w:szCs w:val="22"/>
        </w:rPr>
        <w:t xml:space="preserve"> </w:t>
      </w:r>
      <w:r w:rsidR="00D74210">
        <w:rPr>
          <w:sz w:val="22"/>
          <w:szCs w:val="22"/>
        </w:rPr>
        <w:t>determinar incumplimientos de la regulación, sino de informar lo que considere posibles incumplimientos a la regulación. Corresponderá a la autoridad competente de vigilancia investigar, determinar y declarar si hubo incumplimiento.</w:t>
      </w:r>
    </w:p>
    <w:p w14:paraId="349C7386" w14:textId="77C53DA0" w:rsidR="00D74210" w:rsidRDefault="00D74210" w:rsidP="004930A0">
      <w:pPr>
        <w:rPr>
          <w:sz w:val="22"/>
          <w:szCs w:val="22"/>
        </w:rPr>
      </w:pPr>
    </w:p>
    <w:p w14:paraId="64DA2353" w14:textId="5BB04AFE" w:rsidR="00D74210" w:rsidRPr="003522E3" w:rsidRDefault="00D74210" w:rsidP="004930A0">
      <w:pPr>
        <w:rPr>
          <w:sz w:val="22"/>
          <w:szCs w:val="22"/>
        </w:rPr>
      </w:pPr>
      <w:r>
        <w:rPr>
          <w:sz w:val="22"/>
          <w:szCs w:val="22"/>
        </w:rPr>
        <w:t xml:space="preserve">Eso es necesario porque solamente el </w:t>
      </w:r>
      <w:r w:rsidR="005114C6">
        <w:rPr>
          <w:sz w:val="22"/>
          <w:szCs w:val="22"/>
        </w:rPr>
        <w:t>Gestor del Mercado</w:t>
      </w:r>
      <w:r>
        <w:rPr>
          <w:sz w:val="22"/>
          <w:szCs w:val="22"/>
        </w:rPr>
        <w:t xml:space="preserve"> obtiene información que ningún otro agente del mercado puede conocer, excepto las partes de los contratos.   </w:t>
      </w:r>
    </w:p>
    <w:p w14:paraId="0A087E1A" w14:textId="02DA56FC" w:rsidR="004930A0" w:rsidRPr="003522E3" w:rsidRDefault="004930A0" w:rsidP="004930A0">
      <w:pPr>
        <w:rPr>
          <w:sz w:val="22"/>
          <w:szCs w:val="22"/>
        </w:rPr>
      </w:pPr>
    </w:p>
    <w:p w14:paraId="0D47A31E" w14:textId="77777777" w:rsidR="004930A0" w:rsidRPr="003522E3" w:rsidRDefault="004930A0" w:rsidP="004930A0">
      <w:pPr>
        <w:rPr>
          <w:sz w:val="22"/>
          <w:szCs w:val="22"/>
        </w:rPr>
      </w:pPr>
    </w:p>
    <w:p w14:paraId="5A71438E" w14:textId="77777777" w:rsidR="004A53B8" w:rsidRPr="003522E3" w:rsidRDefault="004930A0" w:rsidP="004A53B8">
      <w:pPr>
        <w:pStyle w:val="Ttulo2"/>
        <w:rPr>
          <w:sz w:val="22"/>
          <w:szCs w:val="22"/>
        </w:rPr>
      </w:pPr>
      <w:bookmarkStart w:id="581" w:name="_Toc140506289"/>
      <w:r w:rsidRPr="003522E3">
        <w:rPr>
          <w:sz w:val="22"/>
          <w:szCs w:val="22"/>
        </w:rPr>
        <w:t>GASES DEL CARIBE</w:t>
      </w:r>
      <w:bookmarkEnd w:id="581"/>
      <w:r w:rsidRPr="003522E3">
        <w:rPr>
          <w:sz w:val="22"/>
          <w:szCs w:val="22"/>
        </w:rPr>
        <w:tab/>
      </w:r>
    </w:p>
    <w:p w14:paraId="420D0BEF" w14:textId="77777777" w:rsidR="004A53B8" w:rsidRPr="003522E3" w:rsidRDefault="004A53B8" w:rsidP="004A53B8">
      <w:pPr>
        <w:pStyle w:val="Ttulo4"/>
        <w:rPr>
          <w:sz w:val="22"/>
          <w:szCs w:val="22"/>
        </w:rPr>
      </w:pPr>
      <w:r w:rsidRPr="003522E3">
        <w:rPr>
          <w:sz w:val="22"/>
          <w:szCs w:val="22"/>
        </w:rPr>
        <w:t>GASES DEL CARIBE</w:t>
      </w:r>
      <w:r w:rsidRPr="003522E3">
        <w:rPr>
          <w:sz w:val="22"/>
          <w:szCs w:val="22"/>
        </w:rPr>
        <w:tab/>
      </w:r>
    </w:p>
    <w:p w14:paraId="3279BC3B" w14:textId="2F57E823" w:rsidR="004930A0" w:rsidRPr="00E738D5" w:rsidRDefault="004930A0" w:rsidP="004930A0">
      <w:pPr>
        <w:rPr>
          <w:i/>
          <w:iCs/>
          <w:sz w:val="22"/>
          <w:szCs w:val="22"/>
        </w:rPr>
      </w:pPr>
      <w:r w:rsidRPr="003522E3">
        <w:rPr>
          <w:sz w:val="22"/>
          <w:szCs w:val="22"/>
        </w:rPr>
        <w:t>"</w:t>
      </w:r>
      <w:r w:rsidRPr="00E738D5">
        <w:rPr>
          <w:i/>
          <w:iCs/>
          <w:sz w:val="22"/>
          <w:szCs w:val="22"/>
        </w:rPr>
        <w:t>Si bien es claro que el regulador le asigna unas nuevas funciones al gestor de mercado, es necesario que le determina de manera clara cuáles son los parámetros que debe utilizar para cada una de las funciones asignadas, de manera tal que el gestor no quede con una función regulatoria que claramente no puede ejercer a la luz de la ley y de la Constitución.</w:t>
      </w:r>
    </w:p>
    <w:p w14:paraId="03370106" w14:textId="77777777" w:rsidR="004930A0" w:rsidRPr="00E738D5" w:rsidRDefault="004930A0" w:rsidP="004930A0">
      <w:pPr>
        <w:rPr>
          <w:i/>
          <w:iCs/>
          <w:sz w:val="22"/>
          <w:szCs w:val="22"/>
        </w:rPr>
      </w:pPr>
    </w:p>
    <w:p w14:paraId="702EF1A2" w14:textId="11BDE080" w:rsidR="004930A0" w:rsidRPr="00E738D5" w:rsidRDefault="004930A0" w:rsidP="004930A0">
      <w:pPr>
        <w:rPr>
          <w:i/>
          <w:iCs/>
          <w:sz w:val="22"/>
          <w:szCs w:val="22"/>
        </w:rPr>
      </w:pPr>
      <w:r w:rsidRPr="00E738D5">
        <w:rPr>
          <w:i/>
          <w:iCs/>
          <w:sz w:val="22"/>
          <w:szCs w:val="22"/>
        </w:rPr>
        <w:t>En ese sentido, cada una de las funciones asignadas debe tener una forma de ser desarrollada, incluyendo parámetros para el cumplimiento de la función asignada, así como los mecanismos para prevenir cualquier tipo de error mucho más considerando que se le está delegando al gestor de mercado, elementos esenciales de la propuesta regulatoria."</w:t>
      </w:r>
    </w:p>
    <w:p w14:paraId="3C5A469F" w14:textId="6E541D79" w:rsidR="00E738D5" w:rsidRDefault="00E738D5" w:rsidP="004930A0">
      <w:pPr>
        <w:rPr>
          <w:sz w:val="22"/>
          <w:szCs w:val="22"/>
        </w:rPr>
      </w:pPr>
    </w:p>
    <w:p w14:paraId="2BFB9163" w14:textId="6DE6018D" w:rsidR="00E738D5" w:rsidRPr="00E738D5" w:rsidRDefault="00E738D5" w:rsidP="004930A0">
      <w:pPr>
        <w:rPr>
          <w:b/>
          <w:bCs/>
          <w:sz w:val="22"/>
          <w:szCs w:val="22"/>
        </w:rPr>
      </w:pPr>
      <w:r w:rsidRPr="00E738D5">
        <w:rPr>
          <w:b/>
          <w:bCs/>
          <w:sz w:val="22"/>
          <w:szCs w:val="22"/>
        </w:rPr>
        <w:t>Respuesta:</w:t>
      </w:r>
    </w:p>
    <w:p w14:paraId="2BD66121" w14:textId="13B6D155" w:rsidR="00E738D5" w:rsidRDefault="00E738D5" w:rsidP="004930A0">
      <w:pPr>
        <w:rPr>
          <w:sz w:val="22"/>
          <w:szCs w:val="22"/>
        </w:rPr>
      </w:pPr>
    </w:p>
    <w:p w14:paraId="235B8E35" w14:textId="3A2EE91D" w:rsidR="00E738D5" w:rsidRDefault="00311482" w:rsidP="004930A0">
      <w:pPr>
        <w:rPr>
          <w:sz w:val="22"/>
          <w:szCs w:val="22"/>
        </w:rPr>
      </w:pPr>
      <w:r>
        <w:rPr>
          <w:sz w:val="22"/>
          <w:szCs w:val="22"/>
        </w:rPr>
        <w:t xml:space="preserve">Ver respuesta a </w:t>
      </w:r>
      <w:r>
        <w:rPr>
          <w:sz w:val="22"/>
          <w:szCs w:val="22"/>
        </w:rPr>
        <w:fldChar w:fldCharType="begin"/>
      </w:r>
      <w:r>
        <w:rPr>
          <w:sz w:val="22"/>
          <w:szCs w:val="22"/>
        </w:rPr>
        <w:instrText xml:space="preserve"> REF _Ref130551518 \r \h </w:instrText>
      </w:r>
      <w:r>
        <w:rPr>
          <w:sz w:val="22"/>
          <w:szCs w:val="22"/>
        </w:rPr>
      </w:r>
      <w:r>
        <w:rPr>
          <w:sz w:val="22"/>
          <w:szCs w:val="22"/>
        </w:rPr>
        <w:fldChar w:fldCharType="separate"/>
      </w:r>
      <w:r w:rsidR="007651EA">
        <w:rPr>
          <w:sz w:val="22"/>
          <w:szCs w:val="22"/>
        </w:rPr>
        <w:t>5.4.1.1</w:t>
      </w:r>
      <w:r>
        <w:rPr>
          <w:sz w:val="22"/>
          <w:szCs w:val="22"/>
        </w:rPr>
        <w:fldChar w:fldCharType="end"/>
      </w:r>
      <w:r>
        <w:rPr>
          <w:sz w:val="22"/>
          <w:szCs w:val="22"/>
        </w:rPr>
        <w:t>.</w:t>
      </w:r>
    </w:p>
    <w:p w14:paraId="53C66F68" w14:textId="77777777" w:rsidR="00E738D5" w:rsidRPr="003522E3" w:rsidRDefault="00E738D5" w:rsidP="004930A0">
      <w:pPr>
        <w:rPr>
          <w:sz w:val="22"/>
          <w:szCs w:val="22"/>
        </w:rPr>
      </w:pPr>
    </w:p>
    <w:p w14:paraId="77746C21" w14:textId="77777777" w:rsidR="004930A0" w:rsidRPr="003522E3" w:rsidRDefault="004930A0" w:rsidP="004930A0">
      <w:pPr>
        <w:rPr>
          <w:sz w:val="22"/>
          <w:szCs w:val="22"/>
        </w:rPr>
      </w:pPr>
    </w:p>
    <w:p w14:paraId="29C4EC0C" w14:textId="1CE0CF10" w:rsidR="004930A0" w:rsidRPr="003522E3" w:rsidRDefault="004930A0" w:rsidP="004A53B8">
      <w:pPr>
        <w:pStyle w:val="Ttulo4"/>
        <w:rPr>
          <w:sz w:val="22"/>
          <w:szCs w:val="22"/>
        </w:rPr>
      </w:pPr>
      <w:r w:rsidRPr="003522E3">
        <w:rPr>
          <w:sz w:val="22"/>
          <w:szCs w:val="22"/>
        </w:rPr>
        <w:t>GASES DEL CARIBE</w:t>
      </w:r>
      <w:r w:rsidRPr="003522E3">
        <w:rPr>
          <w:sz w:val="22"/>
          <w:szCs w:val="22"/>
        </w:rPr>
        <w:tab/>
      </w:r>
    </w:p>
    <w:p w14:paraId="53F8C55F" w14:textId="1141F0F0" w:rsidR="004930A0" w:rsidRPr="00311482" w:rsidRDefault="004930A0" w:rsidP="004930A0">
      <w:pPr>
        <w:rPr>
          <w:i/>
          <w:iCs/>
          <w:sz w:val="22"/>
          <w:szCs w:val="22"/>
        </w:rPr>
      </w:pPr>
      <w:r w:rsidRPr="00311482">
        <w:rPr>
          <w:i/>
          <w:iCs/>
          <w:sz w:val="22"/>
          <w:szCs w:val="22"/>
        </w:rPr>
        <w:t>"Si bien la resolución no propone un cambio a la primera parte del texto, es evidente que ésta no es necesaria, ya que sólo el legislador pudiera asignarle al gestor de mercado alguna de las facultades a las que se hace referencia en ese sentido.</w:t>
      </w:r>
    </w:p>
    <w:p w14:paraId="09B89F1D" w14:textId="77777777" w:rsidR="004930A0" w:rsidRPr="00311482" w:rsidRDefault="004930A0" w:rsidP="004930A0">
      <w:pPr>
        <w:rPr>
          <w:i/>
          <w:iCs/>
          <w:sz w:val="22"/>
          <w:szCs w:val="22"/>
        </w:rPr>
      </w:pPr>
    </w:p>
    <w:p w14:paraId="0ABCC799" w14:textId="0CCE75B9" w:rsidR="004930A0" w:rsidRPr="00311482" w:rsidRDefault="004930A0" w:rsidP="004930A0">
      <w:pPr>
        <w:rPr>
          <w:i/>
          <w:iCs/>
          <w:sz w:val="22"/>
          <w:szCs w:val="22"/>
        </w:rPr>
      </w:pPr>
      <w:r w:rsidRPr="00311482">
        <w:rPr>
          <w:i/>
          <w:iCs/>
          <w:sz w:val="22"/>
          <w:szCs w:val="22"/>
        </w:rPr>
        <w:t>Por lo anterior, se sugiere que ante la ocurrencia de un evento que el gestor de mercado pueda considerar como contrario a la regulación, deba preguntárselo primero al agente o agentes involucrados, para posteriormente evaluar si se traslada a las entidades de control"</w:t>
      </w:r>
      <w:r w:rsidR="00311482" w:rsidRPr="00311482">
        <w:rPr>
          <w:i/>
          <w:iCs/>
          <w:sz w:val="22"/>
          <w:szCs w:val="22"/>
        </w:rPr>
        <w:t>.</w:t>
      </w:r>
    </w:p>
    <w:p w14:paraId="6786EC42" w14:textId="3E2286B4" w:rsidR="00311482" w:rsidRDefault="00311482" w:rsidP="004930A0">
      <w:pPr>
        <w:rPr>
          <w:sz w:val="22"/>
          <w:szCs w:val="22"/>
        </w:rPr>
      </w:pPr>
    </w:p>
    <w:p w14:paraId="4D96825A" w14:textId="47C0B5A3" w:rsidR="00311482" w:rsidRPr="00311482" w:rsidRDefault="00311482" w:rsidP="004930A0">
      <w:pPr>
        <w:rPr>
          <w:b/>
          <w:bCs/>
          <w:sz w:val="22"/>
          <w:szCs w:val="22"/>
        </w:rPr>
      </w:pPr>
      <w:r w:rsidRPr="00311482">
        <w:rPr>
          <w:b/>
          <w:bCs/>
          <w:sz w:val="22"/>
          <w:szCs w:val="22"/>
        </w:rPr>
        <w:t>Respuesta:</w:t>
      </w:r>
    </w:p>
    <w:p w14:paraId="47050B47" w14:textId="278E6D33" w:rsidR="00311482" w:rsidRDefault="00311482" w:rsidP="004930A0">
      <w:pPr>
        <w:rPr>
          <w:sz w:val="22"/>
          <w:szCs w:val="22"/>
        </w:rPr>
      </w:pPr>
    </w:p>
    <w:p w14:paraId="1DFFFF2B" w14:textId="2D948F6D" w:rsidR="00311482" w:rsidRDefault="009E359E" w:rsidP="004930A0">
      <w:pPr>
        <w:rPr>
          <w:sz w:val="22"/>
          <w:szCs w:val="22"/>
        </w:rPr>
      </w:pPr>
      <w:r>
        <w:rPr>
          <w:sz w:val="22"/>
          <w:szCs w:val="22"/>
        </w:rPr>
        <w:t>No se acoge al comentario.</w:t>
      </w:r>
    </w:p>
    <w:p w14:paraId="374F097D" w14:textId="6E2BBF6C" w:rsidR="009E359E" w:rsidRDefault="009E359E" w:rsidP="004930A0">
      <w:pPr>
        <w:rPr>
          <w:sz w:val="22"/>
          <w:szCs w:val="22"/>
        </w:rPr>
      </w:pPr>
    </w:p>
    <w:p w14:paraId="1F5B8939" w14:textId="4794C365" w:rsidR="009E359E" w:rsidRDefault="009E359E" w:rsidP="004930A0">
      <w:pPr>
        <w:rPr>
          <w:sz w:val="22"/>
          <w:szCs w:val="22"/>
        </w:rPr>
      </w:pPr>
      <w:r>
        <w:rPr>
          <w:sz w:val="22"/>
          <w:szCs w:val="22"/>
        </w:rPr>
        <w:t>No l</w:t>
      </w:r>
      <w:r w:rsidR="00976EE9">
        <w:rPr>
          <w:sz w:val="22"/>
          <w:szCs w:val="22"/>
        </w:rPr>
        <w:t>e</w:t>
      </w:r>
      <w:r>
        <w:rPr>
          <w:sz w:val="22"/>
          <w:szCs w:val="22"/>
        </w:rPr>
        <w:t xml:space="preserve"> corresponde al </w:t>
      </w:r>
      <w:r w:rsidR="005114C6">
        <w:rPr>
          <w:sz w:val="22"/>
          <w:szCs w:val="22"/>
        </w:rPr>
        <w:t>Gestor del Mercado</w:t>
      </w:r>
      <w:r>
        <w:rPr>
          <w:sz w:val="22"/>
          <w:szCs w:val="22"/>
        </w:rPr>
        <w:t xml:space="preserve"> realizar labores de investigación respecto de un posible incumplimiento de la regulación, pues ello es de competencia de las entidades de vigilancia y control dentro de un debido proceso. </w:t>
      </w:r>
    </w:p>
    <w:p w14:paraId="6D52146C" w14:textId="00E66CFF" w:rsidR="009E359E" w:rsidRDefault="009E359E" w:rsidP="004930A0">
      <w:pPr>
        <w:rPr>
          <w:sz w:val="22"/>
          <w:szCs w:val="22"/>
        </w:rPr>
      </w:pPr>
    </w:p>
    <w:p w14:paraId="22F02C8F" w14:textId="25CE4D7B" w:rsidR="009E359E" w:rsidRPr="003522E3" w:rsidRDefault="009E359E" w:rsidP="004930A0">
      <w:pPr>
        <w:rPr>
          <w:sz w:val="22"/>
          <w:szCs w:val="22"/>
        </w:rPr>
      </w:pPr>
      <w:r>
        <w:rPr>
          <w:sz w:val="22"/>
          <w:szCs w:val="22"/>
        </w:rPr>
        <w:t xml:space="preserve">Ver respuesta a </w:t>
      </w:r>
      <w:r>
        <w:rPr>
          <w:sz w:val="22"/>
          <w:szCs w:val="22"/>
        </w:rPr>
        <w:fldChar w:fldCharType="begin"/>
      </w:r>
      <w:r>
        <w:rPr>
          <w:sz w:val="22"/>
          <w:szCs w:val="22"/>
        </w:rPr>
        <w:instrText xml:space="preserve"> REF _Ref130553468 \r \h </w:instrText>
      </w:r>
      <w:r>
        <w:rPr>
          <w:sz w:val="22"/>
          <w:szCs w:val="22"/>
        </w:rPr>
      </w:r>
      <w:r>
        <w:rPr>
          <w:sz w:val="22"/>
          <w:szCs w:val="22"/>
        </w:rPr>
        <w:fldChar w:fldCharType="separate"/>
      </w:r>
      <w:r w:rsidR="007651EA">
        <w:rPr>
          <w:sz w:val="22"/>
          <w:szCs w:val="22"/>
        </w:rPr>
        <w:t>5.4.1.2</w:t>
      </w:r>
      <w:r>
        <w:rPr>
          <w:sz w:val="22"/>
          <w:szCs w:val="22"/>
        </w:rPr>
        <w:fldChar w:fldCharType="end"/>
      </w:r>
      <w:r>
        <w:rPr>
          <w:sz w:val="22"/>
          <w:szCs w:val="22"/>
        </w:rPr>
        <w:t>.</w:t>
      </w:r>
    </w:p>
    <w:p w14:paraId="67360105" w14:textId="4F5A418E" w:rsidR="004930A0" w:rsidRPr="003522E3" w:rsidRDefault="004930A0" w:rsidP="004930A0">
      <w:pPr>
        <w:rPr>
          <w:sz w:val="22"/>
          <w:szCs w:val="22"/>
        </w:rPr>
      </w:pPr>
    </w:p>
    <w:p w14:paraId="5491D6ED" w14:textId="77777777" w:rsidR="004930A0" w:rsidRPr="003522E3" w:rsidRDefault="004930A0" w:rsidP="004930A0">
      <w:pPr>
        <w:rPr>
          <w:sz w:val="22"/>
          <w:szCs w:val="22"/>
        </w:rPr>
      </w:pPr>
    </w:p>
    <w:p w14:paraId="202EC04F" w14:textId="77777777" w:rsidR="004930A0" w:rsidRPr="003522E3" w:rsidRDefault="004930A0" w:rsidP="004A53B8">
      <w:pPr>
        <w:pStyle w:val="Ttulo2"/>
        <w:rPr>
          <w:sz w:val="22"/>
          <w:szCs w:val="22"/>
        </w:rPr>
      </w:pPr>
      <w:bookmarkStart w:id="582" w:name="_Toc140506290"/>
      <w:r w:rsidRPr="003522E3">
        <w:rPr>
          <w:sz w:val="22"/>
          <w:szCs w:val="22"/>
        </w:rPr>
        <w:t>HOCOL</w:t>
      </w:r>
      <w:bookmarkEnd w:id="582"/>
      <w:r w:rsidRPr="003522E3">
        <w:rPr>
          <w:sz w:val="22"/>
          <w:szCs w:val="22"/>
        </w:rPr>
        <w:tab/>
      </w:r>
    </w:p>
    <w:p w14:paraId="032E06B2" w14:textId="77777777" w:rsidR="004A53B8" w:rsidRPr="003522E3" w:rsidRDefault="004A53B8" w:rsidP="004A53B8">
      <w:pPr>
        <w:pStyle w:val="Ttulo4"/>
        <w:rPr>
          <w:sz w:val="22"/>
          <w:szCs w:val="22"/>
        </w:rPr>
      </w:pPr>
      <w:r w:rsidRPr="003522E3">
        <w:rPr>
          <w:sz w:val="22"/>
          <w:szCs w:val="22"/>
        </w:rPr>
        <w:t>HOCOL</w:t>
      </w:r>
      <w:r w:rsidRPr="003522E3">
        <w:rPr>
          <w:sz w:val="22"/>
          <w:szCs w:val="22"/>
        </w:rPr>
        <w:tab/>
      </w:r>
    </w:p>
    <w:p w14:paraId="0741E492" w14:textId="3134BC7C" w:rsidR="004930A0" w:rsidRPr="009E359E" w:rsidRDefault="004320B3" w:rsidP="004930A0">
      <w:pPr>
        <w:rPr>
          <w:i/>
          <w:iCs/>
          <w:sz w:val="22"/>
          <w:szCs w:val="22"/>
        </w:rPr>
      </w:pPr>
      <w:r>
        <w:rPr>
          <w:i/>
          <w:iCs/>
          <w:sz w:val="22"/>
          <w:szCs w:val="22"/>
        </w:rPr>
        <w:t>“</w:t>
      </w:r>
      <w:r w:rsidR="004930A0" w:rsidRPr="009E359E">
        <w:rPr>
          <w:i/>
          <w:iCs/>
          <w:sz w:val="22"/>
          <w:szCs w:val="22"/>
        </w:rPr>
        <w:t xml:space="preserve">Considerar establecer un plazo de al menos 5 días hábiles, por ejemplo, para remitir al </w:t>
      </w:r>
      <w:r w:rsidR="005114C6">
        <w:rPr>
          <w:i/>
          <w:iCs/>
          <w:sz w:val="22"/>
          <w:szCs w:val="22"/>
        </w:rPr>
        <w:t>Gestor del Mercado</w:t>
      </w:r>
      <w:r w:rsidR="004930A0" w:rsidRPr="009E359E">
        <w:rPr>
          <w:i/>
          <w:iCs/>
          <w:sz w:val="22"/>
          <w:szCs w:val="22"/>
        </w:rPr>
        <w:t>, copia digital de todos los contratos de suministro del mercado mayorista, por las exigencias operativas necesarias para realizar este envío y manteniendo los plazos actuales para el registro de los contratos.</w:t>
      </w:r>
      <w:r>
        <w:rPr>
          <w:i/>
          <w:iCs/>
          <w:sz w:val="22"/>
          <w:szCs w:val="22"/>
        </w:rPr>
        <w:t>”</w:t>
      </w:r>
      <w:r w:rsidR="004930A0" w:rsidRPr="009E359E">
        <w:rPr>
          <w:i/>
          <w:iCs/>
          <w:sz w:val="22"/>
          <w:szCs w:val="22"/>
        </w:rPr>
        <w:t xml:space="preserve"> </w:t>
      </w:r>
    </w:p>
    <w:p w14:paraId="4E4B88B2" w14:textId="42C7F83E" w:rsidR="009E359E" w:rsidRDefault="009E359E" w:rsidP="004930A0">
      <w:pPr>
        <w:rPr>
          <w:sz w:val="22"/>
          <w:szCs w:val="22"/>
        </w:rPr>
      </w:pPr>
    </w:p>
    <w:p w14:paraId="0C8B4BBA" w14:textId="556701D5" w:rsidR="009E359E" w:rsidRPr="009E359E" w:rsidRDefault="009E359E" w:rsidP="004930A0">
      <w:pPr>
        <w:rPr>
          <w:b/>
          <w:bCs/>
          <w:sz w:val="22"/>
          <w:szCs w:val="22"/>
        </w:rPr>
      </w:pPr>
      <w:r w:rsidRPr="009E359E">
        <w:rPr>
          <w:b/>
          <w:bCs/>
          <w:sz w:val="22"/>
          <w:szCs w:val="22"/>
        </w:rPr>
        <w:t>Respuesta:</w:t>
      </w:r>
    </w:p>
    <w:p w14:paraId="6BBE22E4" w14:textId="6D795876" w:rsidR="009E359E" w:rsidRDefault="009E359E" w:rsidP="004930A0">
      <w:pPr>
        <w:rPr>
          <w:sz w:val="22"/>
          <w:szCs w:val="22"/>
        </w:rPr>
      </w:pPr>
    </w:p>
    <w:p w14:paraId="4DA27BEF" w14:textId="06CE73B9" w:rsidR="009E359E" w:rsidRPr="003522E3" w:rsidRDefault="0038704C" w:rsidP="004930A0">
      <w:pPr>
        <w:rPr>
          <w:sz w:val="22"/>
          <w:szCs w:val="22"/>
        </w:rPr>
      </w:pPr>
      <w:r>
        <w:rPr>
          <w:sz w:val="22"/>
          <w:szCs w:val="22"/>
        </w:rPr>
        <w:t xml:space="preserve">Ver respuesta a </w:t>
      </w:r>
      <w:r>
        <w:rPr>
          <w:sz w:val="22"/>
          <w:szCs w:val="22"/>
        </w:rPr>
        <w:fldChar w:fldCharType="begin"/>
      </w:r>
      <w:r>
        <w:rPr>
          <w:sz w:val="22"/>
          <w:szCs w:val="22"/>
        </w:rPr>
        <w:instrText xml:space="preserve"> REF _Ref130553543 \r \h </w:instrText>
      </w:r>
      <w:r>
        <w:rPr>
          <w:sz w:val="22"/>
          <w:szCs w:val="22"/>
        </w:rPr>
      </w:r>
      <w:r>
        <w:rPr>
          <w:sz w:val="22"/>
          <w:szCs w:val="22"/>
        </w:rPr>
        <w:fldChar w:fldCharType="separate"/>
      </w:r>
      <w:r w:rsidR="007651EA">
        <w:rPr>
          <w:sz w:val="22"/>
          <w:szCs w:val="22"/>
        </w:rPr>
        <w:t>5.3.1.1</w:t>
      </w:r>
      <w:r>
        <w:rPr>
          <w:sz w:val="22"/>
          <w:szCs w:val="22"/>
        </w:rPr>
        <w:fldChar w:fldCharType="end"/>
      </w:r>
      <w:r>
        <w:rPr>
          <w:sz w:val="22"/>
          <w:szCs w:val="22"/>
        </w:rPr>
        <w:t>.</w:t>
      </w:r>
    </w:p>
    <w:p w14:paraId="24A89B93" w14:textId="39DF26DC" w:rsidR="004930A0" w:rsidRPr="003522E3" w:rsidRDefault="004930A0" w:rsidP="004930A0">
      <w:pPr>
        <w:rPr>
          <w:sz w:val="22"/>
          <w:szCs w:val="22"/>
        </w:rPr>
      </w:pPr>
    </w:p>
    <w:p w14:paraId="40E29426" w14:textId="77777777" w:rsidR="004930A0" w:rsidRPr="003522E3" w:rsidRDefault="004930A0" w:rsidP="004930A0">
      <w:pPr>
        <w:rPr>
          <w:sz w:val="22"/>
          <w:szCs w:val="22"/>
        </w:rPr>
      </w:pPr>
    </w:p>
    <w:p w14:paraId="29AEBEDB" w14:textId="3A1206DB" w:rsidR="00384D24" w:rsidRDefault="00384D24" w:rsidP="004A53B8">
      <w:pPr>
        <w:pStyle w:val="Ttulo2"/>
        <w:rPr>
          <w:sz w:val="22"/>
          <w:szCs w:val="22"/>
        </w:rPr>
      </w:pPr>
      <w:bookmarkStart w:id="583" w:name="_Toc140506291"/>
      <w:r>
        <w:rPr>
          <w:sz w:val="22"/>
          <w:szCs w:val="22"/>
        </w:rPr>
        <w:t>LEWIS ENERGY</w:t>
      </w:r>
      <w:bookmarkEnd w:id="583"/>
    </w:p>
    <w:p w14:paraId="234AE87D" w14:textId="77777777" w:rsidR="00384D24" w:rsidRPr="00384D24" w:rsidRDefault="00384D24" w:rsidP="00384D24">
      <w:pPr>
        <w:pStyle w:val="Ttulo4"/>
        <w:numPr>
          <w:ilvl w:val="3"/>
          <w:numId w:val="1"/>
        </w:numPr>
        <w:rPr>
          <w:sz w:val="22"/>
          <w:szCs w:val="22"/>
        </w:rPr>
      </w:pPr>
      <w:r w:rsidRPr="00384D24">
        <w:rPr>
          <w:sz w:val="22"/>
          <w:szCs w:val="22"/>
        </w:rPr>
        <w:t>LEWIS ENERGY</w:t>
      </w:r>
      <w:r w:rsidRPr="00384D24">
        <w:rPr>
          <w:sz w:val="22"/>
          <w:szCs w:val="22"/>
        </w:rPr>
        <w:tab/>
      </w:r>
    </w:p>
    <w:p w14:paraId="0BC5B5D7" w14:textId="7BFA8118" w:rsidR="00384D24" w:rsidRPr="009F3F80" w:rsidRDefault="00384D24" w:rsidP="00384D24">
      <w:pPr>
        <w:rPr>
          <w:rFonts w:cs="Arial"/>
          <w:i/>
          <w:iCs/>
          <w:sz w:val="22"/>
          <w:szCs w:val="22"/>
        </w:rPr>
      </w:pPr>
      <w:r w:rsidRPr="00AD24CA">
        <w:rPr>
          <w:rFonts w:cs="Arial"/>
          <w:sz w:val="22"/>
          <w:szCs w:val="22"/>
        </w:rPr>
        <w:t>"</w:t>
      </w:r>
      <w:r w:rsidRPr="009F3F80">
        <w:rPr>
          <w:rFonts w:cs="Arial"/>
          <w:i/>
          <w:iCs/>
          <w:sz w:val="22"/>
          <w:szCs w:val="22"/>
        </w:rPr>
        <w:t xml:space="preserve">Según el parágrafo </w:t>
      </w:r>
      <w:r w:rsidR="00A35363" w:rsidRPr="00A35363">
        <w:rPr>
          <w:rFonts w:cs="Arial"/>
          <w:sz w:val="22"/>
          <w:szCs w:val="22"/>
        </w:rPr>
        <w:t>[2]</w:t>
      </w:r>
      <w:r w:rsidR="00A35363">
        <w:rPr>
          <w:rFonts w:cs="Arial"/>
          <w:i/>
          <w:iCs/>
          <w:sz w:val="22"/>
          <w:szCs w:val="22"/>
        </w:rPr>
        <w:t xml:space="preserve"> </w:t>
      </w:r>
      <w:r w:rsidRPr="009F3F80">
        <w:rPr>
          <w:rFonts w:cs="Arial"/>
          <w:i/>
          <w:iCs/>
          <w:sz w:val="22"/>
          <w:szCs w:val="22"/>
        </w:rPr>
        <w:t xml:space="preserve">se debe entregar al gestor copia de todos los contratos de suministro del mercado mayorista, así como la información de transporte prevista en la Resolución CREG 185 de 2020 y la no entrega de esta información o entrega de manera inconsistente puede ser considerada como una práctica restrictiva de la competencia. </w:t>
      </w:r>
    </w:p>
    <w:p w14:paraId="3ADDB5F3" w14:textId="77777777" w:rsidR="00384D24" w:rsidRPr="009F3F80" w:rsidRDefault="00384D24" w:rsidP="00384D24">
      <w:pPr>
        <w:rPr>
          <w:rFonts w:cs="Arial"/>
          <w:i/>
          <w:iCs/>
          <w:sz w:val="22"/>
          <w:szCs w:val="22"/>
        </w:rPr>
      </w:pPr>
    </w:p>
    <w:p w14:paraId="6699F1A2" w14:textId="77777777" w:rsidR="00384D24" w:rsidRDefault="00384D24" w:rsidP="00384D24">
      <w:pPr>
        <w:rPr>
          <w:rFonts w:cs="Arial"/>
          <w:sz w:val="22"/>
          <w:szCs w:val="22"/>
        </w:rPr>
      </w:pPr>
      <w:r w:rsidRPr="009F3F80">
        <w:rPr>
          <w:rFonts w:cs="Arial"/>
          <w:i/>
          <w:iCs/>
          <w:sz w:val="22"/>
          <w:szCs w:val="22"/>
        </w:rPr>
        <w:t>La expresión en rojo resulta subjetiva por lo que al no haber claridad sobre qué significa una entrega inexacta o inconsistente sugerimos que se elimine dicha expresión</w:t>
      </w:r>
      <w:r w:rsidRPr="00AD24CA">
        <w:rPr>
          <w:rFonts w:cs="Arial"/>
          <w:sz w:val="22"/>
          <w:szCs w:val="22"/>
        </w:rPr>
        <w:t>."</w:t>
      </w:r>
    </w:p>
    <w:p w14:paraId="3AD7C332" w14:textId="77777777" w:rsidR="00384D24" w:rsidRDefault="00384D24" w:rsidP="00384D24">
      <w:pPr>
        <w:rPr>
          <w:rFonts w:cs="Arial"/>
          <w:sz w:val="22"/>
          <w:szCs w:val="22"/>
        </w:rPr>
      </w:pPr>
    </w:p>
    <w:p w14:paraId="02682BDC" w14:textId="77ED8650" w:rsidR="00384D24" w:rsidRDefault="00384D24" w:rsidP="00384D24">
      <w:pPr>
        <w:rPr>
          <w:rFonts w:cs="Arial"/>
          <w:b/>
          <w:bCs/>
          <w:sz w:val="22"/>
          <w:szCs w:val="22"/>
        </w:rPr>
      </w:pPr>
      <w:r w:rsidRPr="009F3F80">
        <w:rPr>
          <w:rFonts w:cs="Arial"/>
          <w:b/>
          <w:bCs/>
          <w:sz w:val="22"/>
          <w:szCs w:val="22"/>
        </w:rPr>
        <w:t>Respuesta:</w:t>
      </w:r>
    </w:p>
    <w:p w14:paraId="6E46A950" w14:textId="24F0D86B" w:rsidR="00384D24" w:rsidRDefault="00384D24" w:rsidP="00384D24">
      <w:pPr>
        <w:rPr>
          <w:rFonts w:cs="Arial"/>
          <w:b/>
          <w:bCs/>
          <w:sz w:val="22"/>
          <w:szCs w:val="22"/>
        </w:rPr>
      </w:pPr>
    </w:p>
    <w:p w14:paraId="5BA97FE8" w14:textId="77777777" w:rsidR="00A35363" w:rsidRDefault="00A35363" w:rsidP="00384D24">
      <w:pPr>
        <w:rPr>
          <w:rFonts w:cs="Arial"/>
          <w:b/>
          <w:bCs/>
          <w:sz w:val="22"/>
          <w:szCs w:val="22"/>
        </w:rPr>
      </w:pPr>
      <w:r w:rsidRPr="00A35363">
        <w:rPr>
          <w:rFonts w:cs="Arial"/>
          <w:sz w:val="22"/>
          <w:szCs w:val="22"/>
        </w:rPr>
        <w:t>No se acoge el comentario</w:t>
      </w:r>
      <w:r>
        <w:rPr>
          <w:rFonts w:cs="Arial"/>
          <w:b/>
          <w:bCs/>
          <w:sz w:val="22"/>
          <w:szCs w:val="22"/>
        </w:rPr>
        <w:t>.</w:t>
      </w:r>
    </w:p>
    <w:p w14:paraId="6BA071CA" w14:textId="77777777" w:rsidR="00A35363" w:rsidRPr="00A35363" w:rsidRDefault="00A35363" w:rsidP="00384D24">
      <w:pPr>
        <w:rPr>
          <w:rFonts w:cs="Arial"/>
          <w:sz w:val="22"/>
          <w:szCs w:val="22"/>
        </w:rPr>
      </w:pPr>
    </w:p>
    <w:p w14:paraId="46AB57B7" w14:textId="0F18BAFD" w:rsidR="00384D24" w:rsidRPr="00A35363" w:rsidRDefault="00A35363" w:rsidP="00384D24">
      <w:pPr>
        <w:rPr>
          <w:rFonts w:cs="Arial"/>
          <w:sz w:val="22"/>
          <w:szCs w:val="22"/>
        </w:rPr>
      </w:pPr>
      <w:r w:rsidRPr="00A35363">
        <w:rPr>
          <w:rFonts w:cs="Arial"/>
          <w:sz w:val="22"/>
          <w:szCs w:val="22"/>
        </w:rPr>
        <w:t xml:space="preserve">La expresión que se subraya se encuentra adoptada en la Resolución CREG 186 de 2020, texto sobre el cual no se proponen ajustes en la propuesta. </w:t>
      </w:r>
    </w:p>
    <w:p w14:paraId="6EFE6D1E" w14:textId="77777777" w:rsidR="00A35363" w:rsidRPr="009F3F80" w:rsidRDefault="00A35363" w:rsidP="00384D24">
      <w:pPr>
        <w:rPr>
          <w:rFonts w:cs="Arial"/>
          <w:b/>
          <w:bCs/>
          <w:sz w:val="22"/>
          <w:szCs w:val="22"/>
        </w:rPr>
      </w:pPr>
    </w:p>
    <w:p w14:paraId="609DDD98" w14:textId="77777777" w:rsidR="00384D24" w:rsidRPr="00384D24" w:rsidRDefault="00384D24" w:rsidP="00384D24"/>
    <w:p w14:paraId="0A9CBBD9" w14:textId="2445ED56" w:rsidR="004930A0" w:rsidRPr="003522E3" w:rsidRDefault="004930A0" w:rsidP="004A53B8">
      <w:pPr>
        <w:pStyle w:val="Ttulo2"/>
        <w:rPr>
          <w:sz w:val="22"/>
          <w:szCs w:val="22"/>
        </w:rPr>
      </w:pPr>
      <w:bookmarkStart w:id="584" w:name="_Toc140506292"/>
      <w:r w:rsidRPr="003522E3">
        <w:rPr>
          <w:sz w:val="22"/>
          <w:szCs w:val="22"/>
        </w:rPr>
        <w:t>OILGAS ENERGY</w:t>
      </w:r>
      <w:bookmarkEnd w:id="584"/>
      <w:r w:rsidRPr="003522E3">
        <w:rPr>
          <w:sz w:val="22"/>
          <w:szCs w:val="22"/>
        </w:rPr>
        <w:tab/>
      </w:r>
    </w:p>
    <w:p w14:paraId="50D5BBCD" w14:textId="77777777" w:rsidR="004A53B8" w:rsidRPr="003522E3" w:rsidRDefault="004A53B8" w:rsidP="004A53B8">
      <w:pPr>
        <w:pStyle w:val="Ttulo4"/>
        <w:rPr>
          <w:sz w:val="22"/>
          <w:szCs w:val="22"/>
        </w:rPr>
      </w:pPr>
      <w:r w:rsidRPr="003522E3">
        <w:rPr>
          <w:sz w:val="22"/>
          <w:szCs w:val="22"/>
        </w:rPr>
        <w:t>OILGAS ENERGY</w:t>
      </w:r>
      <w:r w:rsidRPr="003522E3">
        <w:rPr>
          <w:sz w:val="22"/>
          <w:szCs w:val="22"/>
        </w:rPr>
        <w:tab/>
      </w:r>
    </w:p>
    <w:p w14:paraId="05EA5A0F" w14:textId="0C9E7239" w:rsidR="004930A0" w:rsidRPr="0038704C" w:rsidRDefault="004930A0" w:rsidP="004930A0">
      <w:pPr>
        <w:rPr>
          <w:i/>
          <w:iCs/>
          <w:sz w:val="22"/>
          <w:szCs w:val="22"/>
        </w:rPr>
      </w:pPr>
      <w:r w:rsidRPr="003522E3">
        <w:rPr>
          <w:sz w:val="22"/>
          <w:szCs w:val="22"/>
        </w:rPr>
        <w:t>"</w:t>
      </w:r>
      <w:r w:rsidRPr="0038704C">
        <w:rPr>
          <w:i/>
          <w:iCs/>
          <w:sz w:val="22"/>
          <w:szCs w:val="22"/>
        </w:rPr>
        <w:t xml:space="preserve">El parágrafo 1 indica que ninguna de las cláusulas de confidencialidad será oponible al </w:t>
      </w:r>
      <w:r w:rsidR="005114C6">
        <w:rPr>
          <w:i/>
          <w:iCs/>
          <w:sz w:val="22"/>
          <w:szCs w:val="22"/>
        </w:rPr>
        <w:t>Gestor del Mercado</w:t>
      </w:r>
      <w:r w:rsidRPr="0038704C">
        <w:rPr>
          <w:i/>
          <w:iCs/>
          <w:sz w:val="22"/>
          <w:szCs w:val="22"/>
        </w:rPr>
        <w:t xml:space="preserve">, por lo que se sugiere, que toda la documentación contractual se consigne en un sistema externo al cual pueda acceder el gestor de mercado cuando las autoridades de regulación, vigilancia y control lo estimen conveniente para la protección del mercado y de los consumidores. Evitando situaciones de corrupción o de ventilación de información privilegiada por parte del </w:t>
      </w:r>
      <w:r w:rsidR="005114C6">
        <w:rPr>
          <w:i/>
          <w:iCs/>
          <w:sz w:val="22"/>
          <w:szCs w:val="22"/>
        </w:rPr>
        <w:t>Gestor del Mercado</w:t>
      </w:r>
      <w:r w:rsidRPr="0038704C">
        <w:rPr>
          <w:i/>
          <w:iCs/>
          <w:sz w:val="22"/>
          <w:szCs w:val="22"/>
        </w:rPr>
        <w:t xml:space="preserve"> o </w:t>
      </w:r>
      <w:proofErr w:type="spellStart"/>
      <w:r w:rsidRPr="0038704C">
        <w:rPr>
          <w:i/>
          <w:iCs/>
          <w:sz w:val="22"/>
          <w:szCs w:val="22"/>
        </w:rPr>
        <w:t>ex-gestores</w:t>
      </w:r>
      <w:proofErr w:type="spellEnd"/>
      <w:r w:rsidRPr="0038704C">
        <w:rPr>
          <w:i/>
          <w:iCs/>
          <w:sz w:val="22"/>
          <w:szCs w:val="22"/>
        </w:rPr>
        <w:t xml:space="preserve"> a posteriori.</w:t>
      </w:r>
    </w:p>
    <w:p w14:paraId="661DCBB3" w14:textId="77777777" w:rsidR="004930A0" w:rsidRPr="0038704C" w:rsidRDefault="004930A0" w:rsidP="004930A0">
      <w:pPr>
        <w:rPr>
          <w:i/>
          <w:iCs/>
          <w:sz w:val="22"/>
          <w:szCs w:val="22"/>
        </w:rPr>
      </w:pPr>
    </w:p>
    <w:p w14:paraId="0A8D9A97" w14:textId="1DDCF816" w:rsidR="004930A0" w:rsidRPr="0038704C" w:rsidRDefault="004930A0" w:rsidP="004930A0">
      <w:pPr>
        <w:rPr>
          <w:i/>
          <w:iCs/>
          <w:sz w:val="22"/>
          <w:szCs w:val="22"/>
        </w:rPr>
      </w:pPr>
      <w:r w:rsidRPr="0038704C">
        <w:rPr>
          <w:i/>
          <w:iCs/>
          <w:sz w:val="22"/>
          <w:szCs w:val="22"/>
        </w:rPr>
        <w:t xml:space="preserve">El aparte parágrafo que reza que: </w:t>
      </w:r>
      <w:r w:rsidR="008922B8">
        <w:rPr>
          <w:i/>
          <w:iCs/>
          <w:sz w:val="22"/>
          <w:szCs w:val="22"/>
        </w:rPr>
        <w:t>‘</w:t>
      </w:r>
      <w:r w:rsidRPr="0038704C">
        <w:rPr>
          <w:i/>
          <w:iCs/>
          <w:sz w:val="22"/>
          <w:szCs w:val="22"/>
        </w:rPr>
        <w:t xml:space="preserve">ninguna cláusula de confidencialidad en los contratos celebrados entre los Participantes del mercado será oponible al </w:t>
      </w:r>
      <w:r w:rsidR="005114C6">
        <w:rPr>
          <w:i/>
          <w:iCs/>
          <w:sz w:val="22"/>
          <w:szCs w:val="22"/>
        </w:rPr>
        <w:t>Gestor del Mercado</w:t>
      </w:r>
      <w:r w:rsidR="008922B8">
        <w:rPr>
          <w:i/>
          <w:iCs/>
          <w:sz w:val="22"/>
          <w:szCs w:val="22"/>
        </w:rPr>
        <w:t>’</w:t>
      </w:r>
      <w:r w:rsidRPr="0038704C">
        <w:rPr>
          <w:i/>
          <w:iCs/>
          <w:sz w:val="22"/>
          <w:szCs w:val="22"/>
        </w:rPr>
        <w:t>. Puede considerarse inconstitucional, para lo cual se deberá tener en cuenta las disposiciones jurisprudenciales de la Sentencia C-591 de 2014, de la Corte Constitucional.</w:t>
      </w:r>
    </w:p>
    <w:p w14:paraId="0281BA5A" w14:textId="77777777" w:rsidR="004930A0" w:rsidRPr="0038704C" w:rsidRDefault="004930A0" w:rsidP="004930A0">
      <w:pPr>
        <w:rPr>
          <w:i/>
          <w:iCs/>
          <w:sz w:val="22"/>
          <w:szCs w:val="22"/>
        </w:rPr>
      </w:pPr>
    </w:p>
    <w:p w14:paraId="75703B9D" w14:textId="41261405" w:rsidR="004930A0" w:rsidRPr="0038704C" w:rsidRDefault="004930A0" w:rsidP="004930A0">
      <w:pPr>
        <w:rPr>
          <w:i/>
          <w:iCs/>
          <w:sz w:val="22"/>
          <w:szCs w:val="22"/>
        </w:rPr>
      </w:pPr>
      <w:r w:rsidRPr="0038704C">
        <w:rPr>
          <w:i/>
          <w:iCs/>
          <w:sz w:val="22"/>
          <w:szCs w:val="22"/>
        </w:rPr>
        <w:t xml:space="preserve">Se sugiere adicionarle un inciso al parágrafo que manifieste: </w:t>
      </w:r>
      <w:r w:rsidR="001C6F58">
        <w:rPr>
          <w:i/>
          <w:iCs/>
          <w:sz w:val="22"/>
          <w:szCs w:val="22"/>
        </w:rPr>
        <w:t>‘</w:t>
      </w:r>
      <w:r w:rsidRPr="0038704C">
        <w:rPr>
          <w:i/>
          <w:iCs/>
          <w:sz w:val="22"/>
          <w:szCs w:val="22"/>
        </w:rPr>
        <w:t xml:space="preserve">Si alguno de los participantes se negara a declarar algún tipo de información por estar revestida de carácter privado, esta decisión que rechace la petición de informaciones o documentos será motivada, indicará en forma precisa las disposiciones legales que impiden la entrega de información o documentos pertinentes y deberá notificarse al </w:t>
      </w:r>
      <w:r w:rsidR="005114C6">
        <w:rPr>
          <w:i/>
          <w:iCs/>
          <w:sz w:val="22"/>
          <w:szCs w:val="22"/>
        </w:rPr>
        <w:t>Gestor del Mercado</w:t>
      </w:r>
      <w:r w:rsidRPr="0038704C">
        <w:rPr>
          <w:i/>
          <w:iCs/>
          <w:sz w:val="22"/>
          <w:szCs w:val="22"/>
        </w:rPr>
        <w:t>.</w:t>
      </w:r>
    </w:p>
    <w:p w14:paraId="578F11EC" w14:textId="77777777" w:rsidR="00755E78" w:rsidRDefault="00755E78" w:rsidP="004930A0">
      <w:pPr>
        <w:rPr>
          <w:i/>
          <w:iCs/>
          <w:sz w:val="22"/>
          <w:szCs w:val="22"/>
        </w:rPr>
      </w:pPr>
    </w:p>
    <w:p w14:paraId="6DABEF0B" w14:textId="6CDAEE36" w:rsidR="004930A0" w:rsidRPr="0038704C" w:rsidRDefault="004930A0" w:rsidP="004930A0">
      <w:pPr>
        <w:rPr>
          <w:i/>
          <w:iCs/>
          <w:sz w:val="22"/>
          <w:szCs w:val="22"/>
        </w:rPr>
      </w:pPr>
      <w:r w:rsidRPr="0038704C">
        <w:rPr>
          <w:i/>
          <w:iCs/>
          <w:sz w:val="22"/>
          <w:szCs w:val="22"/>
        </w:rPr>
        <w:t xml:space="preserve">Si el </w:t>
      </w:r>
      <w:r w:rsidR="005114C6">
        <w:rPr>
          <w:i/>
          <w:iCs/>
          <w:sz w:val="22"/>
          <w:szCs w:val="22"/>
        </w:rPr>
        <w:t>Gestor del Mercado</w:t>
      </w:r>
      <w:r w:rsidRPr="0038704C">
        <w:rPr>
          <w:i/>
          <w:iCs/>
          <w:sz w:val="22"/>
          <w:szCs w:val="22"/>
        </w:rPr>
        <w:t xml:space="preserve"> insistiere en su petición de información o de documentos ante la autoridad que invoca la reserva, corresponderá al juez administrativo decidir en única instancia si se niega o se acepta, total o parcialmente la petición formulada de acuerdo con la ley 1755 de 2015.</w:t>
      </w:r>
      <w:r w:rsidR="001C6F58">
        <w:rPr>
          <w:i/>
          <w:iCs/>
          <w:sz w:val="22"/>
          <w:szCs w:val="22"/>
        </w:rPr>
        <w:t>’</w:t>
      </w:r>
      <w:r w:rsidRPr="0038704C">
        <w:rPr>
          <w:i/>
          <w:iCs/>
          <w:sz w:val="22"/>
          <w:szCs w:val="22"/>
        </w:rPr>
        <w:t>"</w:t>
      </w:r>
    </w:p>
    <w:p w14:paraId="5AE9A366" w14:textId="77777777" w:rsidR="004930A0" w:rsidRPr="003522E3" w:rsidRDefault="004930A0" w:rsidP="004930A0">
      <w:pPr>
        <w:rPr>
          <w:sz w:val="22"/>
          <w:szCs w:val="22"/>
        </w:rPr>
      </w:pPr>
    </w:p>
    <w:p w14:paraId="1F607F2A" w14:textId="1A8C0374" w:rsidR="004930A0" w:rsidRPr="0038704C" w:rsidRDefault="0038704C" w:rsidP="004930A0">
      <w:pPr>
        <w:rPr>
          <w:b/>
          <w:bCs/>
          <w:sz w:val="22"/>
          <w:szCs w:val="22"/>
        </w:rPr>
      </w:pPr>
      <w:r w:rsidRPr="0038704C">
        <w:rPr>
          <w:b/>
          <w:bCs/>
          <w:sz w:val="22"/>
          <w:szCs w:val="22"/>
        </w:rPr>
        <w:t>Respuesta:</w:t>
      </w:r>
    </w:p>
    <w:p w14:paraId="086D474B" w14:textId="26AF5CC8" w:rsidR="0038704C" w:rsidRDefault="0038704C" w:rsidP="004930A0">
      <w:pPr>
        <w:rPr>
          <w:sz w:val="22"/>
          <w:szCs w:val="22"/>
        </w:rPr>
      </w:pPr>
    </w:p>
    <w:p w14:paraId="30873A86" w14:textId="6675F839" w:rsidR="00755E78" w:rsidRDefault="00755E78" w:rsidP="004930A0">
      <w:pPr>
        <w:rPr>
          <w:sz w:val="22"/>
          <w:szCs w:val="22"/>
        </w:rPr>
      </w:pPr>
      <w:r>
        <w:rPr>
          <w:sz w:val="22"/>
          <w:szCs w:val="22"/>
        </w:rPr>
        <w:t>No se acoge el comentario.</w:t>
      </w:r>
    </w:p>
    <w:p w14:paraId="53CBEEAF" w14:textId="77777777" w:rsidR="00755E78" w:rsidRDefault="00755E78" w:rsidP="004930A0">
      <w:pPr>
        <w:rPr>
          <w:sz w:val="22"/>
          <w:szCs w:val="22"/>
        </w:rPr>
      </w:pPr>
    </w:p>
    <w:p w14:paraId="37285B11" w14:textId="56BDB970" w:rsidR="00755E78" w:rsidRDefault="00755E78" w:rsidP="004930A0">
      <w:pPr>
        <w:rPr>
          <w:sz w:val="22"/>
          <w:szCs w:val="22"/>
        </w:rPr>
      </w:pPr>
      <w:r>
        <w:rPr>
          <w:sz w:val="22"/>
          <w:szCs w:val="22"/>
        </w:rPr>
        <w:t xml:space="preserve">En la nueva propuesta se hace necesario para el </w:t>
      </w:r>
      <w:r w:rsidR="005114C6">
        <w:rPr>
          <w:sz w:val="22"/>
          <w:szCs w:val="22"/>
        </w:rPr>
        <w:t>Gestor del Mercado</w:t>
      </w:r>
      <w:r>
        <w:rPr>
          <w:sz w:val="22"/>
          <w:szCs w:val="22"/>
        </w:rPr>
        <w:t xml:space="preserve"> contar con la copia de los contratos, ya sea para efectos de evidenciar entre otros aspectos, condiciones de registro del contrato, o para efectos de determinar condiciones de regulación de los contratos, o para efectos de vigilancia y control por parte de la autoridad competente.</w:t>
      </w:r>
    </w:p>
    <w:p w14:paraId="3665FA9C" w14:textId="77777777" w:rsidR="00755E78" w:rsidRDefault="00755E78" w:rsidP="004930A0">
      <w:pPr>
        <w:rPr>
          <w:sz w:val="22"/>
          <w:szCs w:val="22"/>
        </w:rPr>
      </w:pPr>
    </w:p>
    <w:p w14:paraId="34504C73" w14:textId="12087EDA" w:rsidR="00755E78" w:rsidRDefault="00755E78" w:rsidP="004930A0">
      <w:pPr>
        <w:rPr>
          <w:sz w:val="22"/>
          <w:szCs w:val="22"/>
        </w:rPr>
      </w:pPr>
      <w:r>
        <w:rPr>
          <w:sz w:val="22"/>
          <w:szCs w:val="22"/>
        </w:rPr>
        <w:t xml:space="preserve">En todo caso, ningún contenido de los contratos es sujeto de publicación específica por parte del </w:t>
      </w:r>
      <w:r w:rsidR="005114C6">
        <w:rPr>
          <w:sz w:val="22"/>
          <w:szCs w:val="22"/>
        </w:rPr>
        <w:t>Gestor del Mercado</w:t>
      </w:r>
      <w:r>
        <w:rPr>
          <w:sz w:val="22"/>
          <w:szCs w:val="22"/>
        </w:rPr>
        <w:t xml:space="preserve">, dentro de las obligaciones impuestas por la regulación CREG.  </w:t>
      </w:r>
    </w:p>
    <w:p w14:paraId="7B1B6EC8" w14:textId="77777777" w:rsidR="00755E78" w:rsidRDefault="00755E78" w:rsidP="004930A0">
      <w:pPr>
        <w:rPr>
          <w:sz w:val="22"/>
          <w:szCs w:val="22"/>
        </w:rPr>
      </w:pPr>
    </w:p>
    <w:p w14:paraId="474A7C01" w14:textId="77777777" w:rsidR="0038704C" w:rsidRPr="003522E3" w:rsidRDefault="0038704C" w:rsidP="004930A0">
      <w:pPr>
        <w:rPr>
          <w:sz w:val="22"/>
          <w:szCs w:val="22"/>
        </w:rPr>
      </w:pPr>
    </w:p>
    <w:p w14:paraId="66FEBBCD" w14:textId="77777777" w:rsidR="004930A0" w:rsidRPr="003522E3" w:rsidRDefault="004930A0" w:rsidP="004A53B8">
      <w:pPr>
        <w:pStyle w:val="Ttulo4"/>
        <w:rPr>
          <w:sz w:val="22"/>
          <w:szCs w:val="22"/>
        </w:rPr>
      </w:pPr>
      <w:bookmarkStart w:id="585" w:name="_Ref130554855"/>
      <w:r w:rsidRPr="003522E3">
        <w:rPr>
          <w:sz w:val="22"/>
          <w:szCs w:val="22"/>
        </w:rPr>
        <w:t>OILGAS ENERGY</w:t>
      </w:r>
      <w:bookmarkEnd w:id="585"/>
      <w:r w:rsidRPr="003522E3">
        <w:rPr>
          <w:sz w:val="22"/>
          <w:szCs w:val="22"/>
        </w:rPr>
        <w:tab/>
      </w:r>
    </w:p>
    <w:p w14:paraId="77FE6052" w14:textId="53FB33CA" w:rsidR="004930A0" w:rsidRPr="00755E78" w:rsidRDefault="004930A0" w:rsidP="004930A0">
      <w:pPr>
        <w:rPr>
          <w:i/>
          <w:iCs/>
          <w:sz w:val="22"/>
          <w:szCs w:val="22"/>
        </w:rPr>
      </w:pPr>
      <w:r w:rsidRPr="003522E3">
        <w:rPr>
          <w:sz w:val="22"/>
          <w:szCs w:val="22"/>
        </w:rPr>
        <w:t>"</w:t>
      </w:r>
      <w:r w:rsidRPr="00755E78">
        <w:rPr>
          <w:i/>
          <w:iCs/>
          <w:sz w:val="22"/>
          <w:szCs w:val="22"/>
        </w:rPr>
        <w:t>El parágrafo 5, del artículo 5 del Borrador CREG 226 de 2021 resalta el dar aviso al inicio de actividades a los entes reguladores a los comercializadores con el objetivo de registrar sus contratos. Se sugiere recalcar la importancia que tendrá el registro de información para el mercado, dado que con la vigilancia de cada entidad a los contratos de suministro se podrá identificar cuando los mismos tengan precios fuera de mercado o que puedan ser desarrollados mediante una práctica contraria a la libre competencia.</w:t>
      </w:r>
    </w:p>
    <w:p w14:paraId="653B4523" w14:textId="77777777" w:rsidR="004930A0" w:rsidRPr="00755E78" w:rsidRDefault="004930A0" w:rsidP="004930A0">
      <w:pPr>
        <w:rPr>
          <w:i/>
          <w:iCs/>
          <w:sz w:val="22"/>
          <w:szCs w:val="22"/>
        </w:rPr>
      </w:pPr>
    </w:p>
    <w:p w14:paraId="74C21635" w14:textId="663E8611" w:rsidR="004930A0" w:rsidRPr="00755E78" w:rsidRDefault="004930A0" w:rsidP="004930A0">
      <w:pPr>
        <w:rPr>
          <w:i/>
          <w:iCs/>
          <w:sz w:val="22"/>
          <w:szCs w:val="22"/>
        </w:rPr>
      </w:pPr>
      <w:r w:rsidRPr="00755E78">
        <w:rPr>
          <w:i/>
          <w:iCs/>
          <w:sz w:val="22"/>
          <w:szCs w:val="22"/>
        </w:rPr>
        <w:t>Se sugiere adecuar el numeral (i) del parágrafo 5° de la siguiente manera: “(i) A la Superintendencia de Servicios Públicos Domiciliarios, de conformidad con el artículo 11.8 de la Ley 142 de 1994. Para ello deberán cumplir los requisitos que defina la Superintendencia de Servicios Públicos Domiciliarios para ser inscrito en el Sistema Único de Información, SUI.”"</w:t>
      </w:r>
    </w:p>
    <w:p w14:paraId="07AA2554" w14:textId="054B1E85" w:rsidR="00755E78" w:rsidRDefault="00755E78" w:rsidP="004930A0">
      <w:pPr>
        <w:rPr>
          <w:sz w:val="22"/>
          <w:szCs w:val="22"/>
        </w:rPr>
      </w:pPr>
    </w:p>
    <w:p w14:paraId="2DDE9847" w14:textId="57CAB67D" w:rsidR="00755E78" w:rsidRPr="00755E78" w:rsidRDefault="00755E78" w:rsidP="004930A0">
      <w:pPr>
        <w:rPr>
          <w:b/>
          <w:bCs/>
          <w:sz w:val="22"/>
          <w:szCs w:val="22"/>
        </w:rPr>
      </w:pPr>
      <w:r w:rsidRPr="00755E78">
        <w:rPr>
          <w:b/>
          <w:bCs/>
          <w:sz w:val="22"/>
          <w:szCs w:val="22"/>
        </w:rPr>
        <w:t>Respuesta:</w:t>
      </w:r>
    </w:p>
    <w:p w14:paraId="16C7BFD7" w14:textId="08175A33" w:rsidR="00755E78" w:rsidRDefault="00755E78" w:rsidP="004930A0">
      <w:pPr>
        <w:rPr>
          <w:sz w:val="22"/>
          <w:szCs w:val="22"/>
        </w:rPr>
      </w:pPr>
    </w:p>
    <w:p w14:paraId="02EC07C2" w14:textId="538F9DFB" w:rsidR="00755E78" w:rsidRDefault="007B1047" w:rsidP="004930A0">
      <w:pPr>
        <w:rPr>
          <w:sz w:val="22"/>
          <w:szCs w:val="22"/>
        </w:rPr>
      </w:pPr>
      <w:r>
        <w:rPr>
          <w:sz w:val="22"/>
          <w:szCs w:val="22"/>
        </w:rPr>
        <w:t>De acuerdo con comentarios recibidos y a los análisis adicionales realizados al interior de la CREG, en la nueva propuesta no se incluyen aspectos relacionados con el inicio de actividades de un nuevo agente del Mercado, que están regulados mediante la Resolución CREG 123 de 2013 específicamente.</w:t>
      </w:r>
    </w:p>
    <w:p w14:paraId="2C2DA57A" w14:textId="77777777" w:rsidR="007B1047" w:rsidRPr="003522E3" w:rsidRDefault="007B1047" w:rsidP="004930A0">
      <w:pPr>
        <w:rPr>
          <w:sz w:val="22"/>
          <w:szCs w:val="22"/>
        </w:rPr>
      </w:pPr>
    </w:p>
    <w:p w14:paraId="3ADF4D16" w14:textId="77777777" w:rsidR="004930A0" w:rsidRPr="003522E3" w:rsidRDefault="004930A0" w:rsidP="004930A0">
      <w:pPr>
        <w:rPr>
          <w:sz w:val="22"/>
          <w:szCs w:val="22"/>
        </w:rPr>
      </w:pPr>
    </w:p>
    <w:p w14:paraId="5EC5B6C3" w14:textId="77777777" w:rsidR="004930A0" w:rsidRPr="003522E3" w:rsidRDefault="004930A0" w:rsidP="004A53B8">
      <w:pPr>
        <w:pStyle w:val="Ttulo4"/>
        <w:rPr>
          <w:sz w:val="22"/>
          <w:szCs w:val="22"/>
        </w:rPr>
      </w:pPr>
      <w:r w:rsidRPr="003522E3">
        <w:rPr>
          <w:sz w:val="22"/>
          <w:szCs w:val="22"/>
        </w:rPr>
        <w:t>OILGAS ENERGY</w:t>
      </w:r>
      <w:r w:rsidRPr="003522E3">
        <w:rPr>
          <w:sz w:val="22"/>
          <w:szCs w:val="22"/>
        </w:rPr>
        <w:tab/>
      </w:r>
    </w:p>
    <w:p w14:paraId="54DAE929" w14:textId="2685E950" w:rsidR="004930A0" w:rsidRPr="007B1047" w:rsidRDefault="004930A0" w:rsidP="004930A0">
      <w:pPr>
        <w:rPr>
          <w:i/>
          <w:iCs/>
          <w:sz w:val="22"/>
          <w:szCs w:val="22"/>
        </w:rPr>
      </w:pPr>
      <w:r w:rsidRPr="003522E3">
        <w:rPr>
          <w:sz w:val="22"/>
          <w:szCs w:val="22"/>
        </w:rPr>
        <w:t>"</w:t>
      </w:r>
      <w:r w:rsidRPr="007B1047">
        <w:rPr>
          <w:i/>
          <w:iCs/>
          <w:sz w:val="22"/>
          <w:szCs w:val="22"/>
        </w:rPr>
        <w:t xml:space="preserve">En el Parágrafo del Borrador CREG 226 de 2021 se evidencia una posible violación al principio constitucional de la libre competencia cuando se indica que el </w:t>
      </w:r>
      <w:r w:rsidR="005114C6">
        <w:rPr>
          <w:i/>
          <w:iCs/>
          <w:sz w:val="22"/>
          <w:szCs w:val="22"/>
        </w:rPr>
        <w:t>Gestor del Mercado</w:t>
      </w:r>
      <w:r w:rsidRPr="007B1047">
        <w:rPr>
          <w:i/>
          <w:iCs/>
          <w:sz w:val="22"/>
          <w:szCs w:val="22"/>
        </w:rPr>
        <w:t xml:space="preserve"> no permitirá el registro de los contratos. Lo anterior se convierte en una negación al derecho de participar en el mercado mayorista de gas natural.</w:t>
      </w:r>
    </w:p>
    <w:p w14:paraId="5BAD3C81" w14:textId="77777777" w:rsidR="004930A0" w:rsidRPr="007B1047" w:rsidRDefault="004930A0" w:rsidP="004930A0">
      <w:pPr>
        <w:rPr>
          <w:i/>
          <w:iCs/>
          <w:sz w:val="22"/>
          <w:szCs w:val="22"/>
        </w:rPr>
      </w:pPr>
    </w:p>
    <w:p w14:paraId="6D2FB81D" w14:textId="3E7307B1" w:rsidR="004930A0" w:rsidRPr="007B1047" w:rsidRDefault="004930A0" w:rsidP="004930A0">
      <w:pPr>
        <w:rPr>
          <w:i/>
          <w:iCs/>
          <w:sz w:val="22"/>
          <w:szCs w:val="22"/>
        </w:rPr>
      </w:pPr>
      <w:r w:rsidRPr="007B1047">
        <w:rPr>
          <w:i/>
          <w:iCs/>
          <w:sz w:val="22"/>
          <w:szCs w:val="22"/>
        </w:rPr>
        <w:t xml:space="preserve">En tal sentido se presentan dos sugerencias: La primera es retirar la siguiente expresión: </w:t>
      </w:r>
      <w:r w:rsidR="00791F4E">
        <w:rPr>
          <w:i/>
          <w:iCs/>
          <w:sz w:val="22"/>
          <w:szCs w:val="22"/>
        </w:rPr>
        <w:t>‘</w:t>
      </w:r>
      <w:r w:rsidRPr="007B1047">
        <w:rPr>
          <w:i/>
          <w:iCs/>
          <w:sz w:val="22"/>
          <w:szCs w:val="22"/>
        </w:rPr>
        <w:t>Además, no permitirá que los Participantes del Mercado Mayorista incumplidos puedan registrar sus contratos, lo que conlleva a que no puedan ser ejecutados.</w:t>
      </w:r>
      <w:r w:rsidR="00FA6F0E">
        <w:rPr>
          <w:i/>
          <w:iCs/>
          <w:sz w:val="22"/>
          <w:szCs w:val="22"/>
        </w:rPr>
        <w:t>’</w:t>
      </w:r>
    </w:p>
    <w:p w14:paraId="60B4C04B" w14:textId="77777777" w:rsidR="004930A0" w:rsidRPr="007B1047" w:rsidRDefault="004930A0" w:rsidP="004930A0">
      <w:pPr>
        <w:rPr>
          <w:i/>
          <w:iCs/>
          <w:sz w:val="22"/>
          <w:szCs w:val="22"/>
        </w:rPr>
      </w:pPr>
    </w:p>
    <w:p w14:paraId="5AB711CA" w14:textId="34CEB7EC" w:rsidR="004930A0" w:rsidRDefault="004930A0" w:rsidP="004930A0">
      <w:pPr>
        <w:rPr>
          <w:sz w:val="22"/>
          <w:szCs w:val="22"/>
        </w:rPr>
      </w:pPr>
      <w:r w:rsidRPr="007B1047">
        <w:rPr>
          <w:i/>
          <w:iCs/>
          <w:sz w:val="22"/>
          <w:szCs w:val="22"/>
        </w:rPr>
        <w:t xml:space="preserve">La segunda sugerencia es que si se mantiene esa facultad en el </w:t>
      </w:r>
      <w:r w:rsidR="005114C6">
        <w:rPr>
          <w:i/>
          <w:iCs/>
          <w:sz w:val="22"/>
          <w:szCs w:val="22"/>
        </w:rPr>
        <w:t>Gestor del Mercado</w:t>
      </w:r>
      <w:r w:rsidRPr="007B1047">
        <w:rPr>
          <w:i/>
          <w:iCs/>
          <w:sz w:val="22"/>
          <w:szCs w:val="22"/>
        </w:rPr>
        <w:t xml:space="preserve"> se le brinde al interesado la oportunidad de ejercer su derecho de defensa. En este caso, se puede incluir un plazo para que el interesado subsane o presente recurso de reposición contra la decisión del </w:t>
      </w:r>
      <w:r w:rsidR="005114C6">
        <w:rPr>
          <w:i/>
          <w:iCs/>
          <w:sz w:val="22"/>
          <w:szCs w:val="22"/>
        </w:rPr>
        <w:t>Gestor del Mercado</w:t>
      </w:r>
      <w:r w:rsidRPr="003522E3">
        <w:rPr>
          <w:sz w:val="22"/>
          <w:szCs w:val="22"/>
        </w:rPr>
        <w:t>."</w:t>
      </w:r>
    </w:p>
    <w:p w14:paraId="4467413E" w14:textId="483ECF13" w:rsidR="007B1047" w:rsidRDefault="007B1047" w:rsidP="004930A0">
      <w:pPr>
        <w:rPr>
          <w:sz w:val="22"/>
          <w:szCs w:val="22"/>
        </w:rPr>
      </w:pPr>
    </w:p>
    <w:p w14:paraId="2C9AF242" w14:textId="575328E8" w:rsidR="007B1047" w:rsidRDefault="007B1047" w:rsidP="004930A0">
      <w:pPr>
        <w:rPr>
          <w:b/>
          <w:bCs/>
          <w:sz w:val="22"/>
          <w:szCs w:val="22"/>
        </w:rPr>
      </w:pPr>
      <w:r w:rsidRPr="007B1047">
        <w:rPr>
          <w:b/>
          <w:bCs/>
          <w:sz w:val="22"/>
          <w:szCs w:val="22"/>
        </w:rPr>
        <w:t>Respuesta:</w:t>
      </w:r>
    </w:p>
    <w:p w14:paraId="2C5525F9" w14:textId="599E8531" w:rsidR="007B1047" w:rsidRDefault="007B1047" w:rsidP="004930A0">
      <w:pPr>
        <w:rPr>
          <w:b/>
          <w:bCs/>
          <w:sz w:val="22"/>
          <w:szCs w:val="22"/>
        </w:rPr>
      </w:pPr>
    </w:p>
    <w:p w14:paraId="5C56C959" w14:textId="3DEBACA7" w:rsidR="007B1047" w:rsidRDefault="00317AB4" w:rsidP="004930A0">
      <w:pPr>
        <w:rPr>
          <w:sz w:val="22"/>
          <w:szCs w:val="22"/>
        </w:rPr>
      </w:pPr>
      <w:r>
        <w:rPr>
          <w:sz w:val="22"/>
          <w:szCs w:val="22"/>
        </w:rPr>
        <w:t>En la nueva propuesta se hacen ajustes al respecto de lo que se comenta</w:t>
      </w:r>
      <w:r w:rsidR="007B1047">
        <w:rPr>
          <w:sz w:val="22"/>
          <w:szCs w:val="22"/>
        </w:rPr>
        <w:t>.</w:t>
      </w:r>
    </w:p>
    <w:p w14:paraId="154B49C7" w14:textId="045A193C" w:rsidR="00317AB4" w:rsidRDefault="00317AB4" w:rsidP="004930A0">
      <w:pPr>
        <w:rPr>
          <w:sz w:val="22"/>
          <w:szCs w:val="22"/>
        </w:rPr>
      </w:pPr>
    </w:p>
    <w:p w14:paraId="768CC216" w14:textId="09CF0763" w:rsidR="007B1047" w:rsidRDefault="00317AB4" w:rsidP="004930A0">
      <w:pPr>
        <w:rPr>
          <w:sz w:val="22"/>
          <w:szCs w:val="22"/>
        </w:rPr>
      </w:pPr>
      <w:r>
        <w:rPr>
          <w:sz w:val="22"/>
          <w:szCs w:val="22"/>
        </w:rPr>
        <w:t xml:space="preserve">Ver respuesta a </w:t>
      </w:r>
      <w:r>
        <w:rPr>
          <w:sz w:val="22"/>
          <w:szCs w:val="22"/>
        </w:rPr>
        <w:fldChar w:fldCharType="begin"/>
      </w:r>
      <w:r>
        <w:rPr>
          <w:sz w:val="22"/>
          <w:szCs w:val="22"/>
        </w:rPr>
        <w:instrText xml:space="preserve"> REF _Ref130554855 \r \h </w:instrText>
      </w:r>
      <w:r>
        <w:rPr>
          <w:sz w:val="22"/>
          <w:szCs w:val="22"/>
        </w:rPr>
      </w:r>
      <w:r>
        <w:rPr>
          <w:sz w:val="22"/>
          <w:szCs w:val="22"/>
        </w:rPr>
        <w:fldChar w:fldCharType="separate"/>
      </w:r>
      <w:r w:rsidR="007651EA">
        <w:rPr>
          <w:sz w:val="22"/>
          <w:szCs w:val="22"/>
        </w:rPr>
        <w:t>5.8.1.2</w:t>
      </w:r>
      <w:r>
        <w:rPr>
          <w:sz w:val="22"/>
          <w:szCs w:val="22"/>
        </w:rPr>
        <w:fldChar w:fldCharType="end"/>
      </w:r>
      <w:r>
        <w:rPr>
          <w:sz w:val="22"/>
          <w:szCs w:val="22"/>
        </w:rPr>
        <w:t>.</w:t>
      </w:r>
    </w:p>
    <w:p w14:paraId="15040C28" w14:textId="77777777" w:rsidR="007B1047" w:rsidRPr="003522E3" w:rsidRDefault="007B1047" w:rsidP="004930A0">
      <w:pPr>
        <w:rPr>
          <w:sz w:val="22"/>
          <w:szCs w:val="22"/>
        </w:rPr>
      </w:pPr>
    </w:p>
    <w:p w14:paraId="19CED45A" w14:textId="28C3CFE2" w:rsidR="004930A0" w:rsidRPr="003522E3" w:rsidRDefault="004930A0" w:rsidP="004930A0">
      <w:pPr>
        <w:rPr>
          <w:sz w:val="22"/>
          <w:szCs w:val="22"/>
        </w:rPr>
      </w:pPr>
    </w:p>
    <w:p w14:paraId="7BFAC6FC" w14:textId="77777777" w:rsidR="004930A0" w:rsidRPr="003522E3" w:rsidRDefault="004930A0" w:rsidP="004A53B8">
      <w:pPr>
        <w:pStyle w:val="Ttulo2"/>
        <w:rPr>
          <w:sz w:val="22"/>
          <w:szCs w:val="22"/>
        </w:rPr>
      </w:pPr>
      <w:bookmarkStart w:id="586" w:name="_Toc140506293"/>
      <w:r w:rsidRPr="003522E3">
        <w:rPr>
          <w:sz w:val="22"/>
          <w:szCs w:val="22"/>
        </w:rPr>
        <w:t>SSPD</w:t>
      </w:r>
      <w:bookmarkEnd w:id="586"/>
      <w:r w:rsidRPr="003522E3">
        <w:rPr>
          <w:sz w:val="22"/>
          <w:szCs w:val="22"/>
        </w:rPr>
        <w:tab/>
      </w:r>
    </w:p>
    <w:p w14:paraId="7533C380" w14:textId="77777777" w:rsidR="004A53B8" w:rsidRPr="003522E3" w:rsidRDefault="004A53B8" w:rsidP="004A53B8">
      <w:pPr>
        <w:pStyle w:val="Ttulo4"/>
        <w:rPr>
          <w:sz w:val="22"/>
          <w:szCs w:val="22"/>
        </w:rPr>
      </w:pPr>
      <w:r w:rsidRPr="003522E3">
        <w:rPr>
          <w:sz w:val="22"/>
          <w:szCs w:val="22"/>
        </w:rPr>
        <w:t>SSPD</w:t>
      </w:r>
      <w:r w:rsidRPr="003522E3">
        <w:rPr>
          <w:sz w:val="22"/>
          <w:szCs w:val="22"/>
        </w:rPr>
        <w:tab/>
      </w:r>
    </w:p>
    <w:p w14:paraId="3C3269E5" w14:textId="66E001F4" w:rsidR="004930A0" w:rsidRPr="00B64524" w:rsidRDefault="00893983" w:rsidP="004930A0">
      <w:pPr>
        <w:rPr>
          <w:i/>
          <w:iCs/>
          <w:sz w:val="22"/>
          <w:szCs w:val="22"/>
        </w:rPr>
      </w:pPr>
      <w:r>
        <w:rPr>
          <w:i/>
          <w:iCs/>
          <w:sz w:val="22"/>
          <w:szCs w:val="22"/>
        </w:rPr>
        <w:t>“</w:t>
      </w:r>
      <w:r w:rsidR="004930A0" w:rsidRPr="00B64524">
        <w:rPr>
          <w:i/>
          <w:iCs/>
          <w:sz w:val="22"/>
          <w:szCs w:val="22"/>
        </w:rPr>
        <w:t>Se hace referencia erróneamente al numeral 0, el cual debe ser reemplazado por el numeral 5.</w:t>
      </w:r>
      <w:r>
        <w:rPr>
          <w:i/>
          <w:iCs/>
          <w:sz w:val="22"/>
          <w:szCs w:val="22"/>
        </w:rPr>
        <w:t>”</w:t>
      </w:r>
    </w:p>
    <w:p w14:paraId="62663AEA" w14:textId="1CB4F21B" w:rsidR="00B64524" w:rsidRDefault="00B64524" w:rsidP="004930A0">
      <w:pPr>
        <w:rPr>
          <w:sz w:val="22"/>
          <w:szCs w:val="22"/>
        </w:rPr>
      </w:pPr>
    </w:p>
    <w:p w14:paraId="64B8B57F" w14:textId="1BDA89A4" w:rsidR="00B64524" w:rsidRPr="00B64524" w:rsidRDefault="00B64524" w:rsidP="004930A0">
      <w:pPr>
        <w:rPr>
          <w:b/>
          <w:bCs/>
          <w:sz w:val="22"/>
          <w:szCs w:val="22"/>
        </w:rPr>
      </w:pPr>
      <w:r w:rsidRPr="00B64524">
        <w:rPr>
          <w:b/>
          <w:bCs/>
          <w:sz w:val="22"/>
          <w:szCs w:val="22"/>
        </w:rPr>
        <w:t>Respuesta:</w:t>
      </w:r>
    </w:p>
    <w:p w14:paraId="29DF0EE6" w14:textId="5F2B1C86" w:rsidR="00B64524" w:rsidRDefault="00B64524" w:rsidP="004930A0">
      <w:pPr>
        <w:rPr>
          <w:sz w:val="22"/>
          <w:szCs w:val="22"/>
        </w:rPr>
      </w:pPr>
    </w:p>
    <w:p w14:paraId="13F23426" w14:textId="095DA35C" w:rsidR="00B64524" w:rsidRDefault="00B64524" w:rsidP="004930A0">
      <w:pPr>
        <w:rPr>
          <w:sz w:val="22"/>
          <w:szCs w:val="22"/>
        </w:rPr>
      </w:pPr>
      <w:r>
        <w:rPr>
          <w:sz w:val="22"/>
          <w:szCs w:val="22"/>
        </w:rPr>
        <w:t>Se acoge el comentario.</w:t>
      </w:r>
    </w:p>
    <w:p w14:paraId="5A4214F8" w14:textId="342B47EF" w:rsidR="00B64524" w:rsidRDefault="00B64524" w:rsidP="004930A0">
      <w:pPr>
        <w:rPr>
          <w:sz w:val="22"/>
          <w:szCs w:val="22"/>
        </w:rPr>
      </w:pPr>
    </w:p>
    <w:p w14:paraId="7B736D7E" w14:textId="4C66ACF8" w:rsidR="00B64524" w:rsidRDefault="00B64524" w:rsidP="004930A0">
      <w:pPr>
        <w:rPr>
          <w:sz w:val="22"/>
          <w:szCs w:val="22"/>
        </w:rPr>
      </w:pPr>
      <w:r>
        <w:rPr>
          <w:sz w:val="22"/>
          <w:szCs w:val="22"/>
        </w:rPr>
        <w:t>En la nueva propuesta se corrige el error de redacción.</w:t>
      </w:r>
    </w:p>
    <w:p w14:paraId="78E14398" w14:textId="74EB119B" w:rsidR="00B64524" w:rsidRDefault="00B64524" w:rsidP="004930A0">
      <w:pPr>
        <w:rPr>
          <w:sz w:val="22"/>
          <w:szCs w:val="22"/>
        </w:rPr>
      </w:pPr>
    </w:p>
    <w:p w14:paraId="5EA43D86" w14:textId="77777777" w:rsidR="004930A0" w:rsidRPr="003522E3" w:rsidRDefault="004930A0" w:rsidP="004930A0">
      <w:pPr>
        <w:rPr>
          <w:sz w:val="22"/>
          <w:szCs w:val="22"/>
        </w:rPr>
      </w:pPr>
    </w:p>
    <w:p w14:paraId="6D0633DF" w14:textId="77777777" w:rsidR="004930A0" w:rsidRPr="003522E3" w:rsidRDefault="004930A0" w:rsidP="004A53B8">
      <w:pPr>
        <w:pStyle w:val="Ttulo4"/>
        <w:rPr>
          <w:sz w:val="22"/>
          <w:szCs w:val="22"/>
        </w:rPr>
      </w:pPr>
      <w:r w:rsidRPr="003522E3">
        <w:rPr>
          <w:sz w:val="22"/>
          <w:szCs w:val="22"/>
        </w:rPr>
        <w:t>SSPD</w:t>
      </w:r>
      <w:r w:rsidRPr="003522E3">
        <w:rPr>
          <w:sz w:val="22"/>
          <w:szCs w:val="22"/>
        </w:rPr>
        <w:tab/>
      </w:r>
    </w:p>
    <w:p w14:paraId="7515452A" w14:textId="3DE58C67" w:rsidR="004930A0" w:rsidRPr="00B64524" w:rsidRDefault="00893983" w:rsidP="004930A0">
      <w:pPr>
        <w:rPr>
          <w:i/>
          <w:iCs/>
          <w:sz w:val="22"/>
          <w:szCs w:val="22"/>
        </w:rPr>
      </w:pPr>
      <w:r>
        <w:rPr>
          <w:i/>
          <w:iCs/>
          <w:sz w:val="22"/>
          <w:szCs w:val="22"/>
        </w:rPr>
        <w:t>“</w:t>
      </w:r>
      <w:r w:rsidR="004930A0" w:rsidRPr="00B64524">
        <w:rPr>
          <w:i/>
          <w:iCs/>
          <w:sz w:val="22"/>
          <w:szCs w:val="22"/>
        </w:rPr>
        <w:t xml:space="preserve">Se considera pertinente que en la resolución se establezca cuál es el termino de tiempo con el que cuenta el </w:t>
      </w:r>
      <w:r w:rsidR="005114C6">
        <w:rPr>
          <w:i/>
          <w:iCs/>
          <w:sz w:val="22"/>
          <w:szCs w:val="22"/>
        </w:rPr>
        <w:t>Gestor del Mercado</w:t>
      </w:r>
      <w:r w:rsidR="004930A0" w:rsidRPr="00B64524">
        <w:rPr>
          <w:i/>
          <w:iCs/>
          <w:sz w:val="22"/>
          <w:szCs w:val="22"/>
        </w:rPr>
        <w:t xml:space="preserve"> para reportar dicha información.</w:t>
      </w:r>
      <w:r>
        <w:rPr>
          <w:i/>
          <w:iCs/>
          <w:sz w:val="22"/>
          <w:szCs w:val="22"/>
        </w:rPr>
        <w:t>”</w:t>
      </w:r>
    </w:p>
    <w:p w14:paraId="083AE8A5" w14:textId="56FBBF3B" w:rsidR="00B64524" w:rsidRDefault="00B64524" w:rsidP="004930A0">
      <w:pPr>
        <w:rPr>
          <w:sz w:val="22"/>
          <w:szCs w:val="22"/>
        </w:rPr>
      </w:pPr>
    </w:p>
    <w:p w14:paraId="12E42A9B" w14:textId="0C49843F" w:rsidR="00B64524" w:rsidRPr="00B64524" w:rsidRDefault="00B64524" w:rsidP="004930A0">
      <w:pPr>
        <w:rPr>
          <w:b/>
          <w:bCs/>
          <w:sz w:val="22"/>
          <w:szCs w:val="22"/>
        </w:rPr>
      </w:pPr>
      <w:r w:rsidRPr="00B64524">
        <w:rPr>
          <w:b/>
          <w:bCs/>
          <w:sz w:val="22"/>
          <w:szCs w:val="22"/>
        </w:rPr>
        <w:t>Respuesta:</w:t>
      </w:r>
    </w:p>
    <w:p w14:paraId="7B6319EF" w14:textId="23E6D6BE" w:rsidR="00B64524" w:rsidRDefault="00B64524" w:rsidP="004930A0">
      <w:pPr>
        <w:rPr>
          <w:sz w:val="22"/>
          <w:szCs w:val="22"/>
        </w:rPr>
      </w:pPr>
    </w:p>
    <w:p w14:paraId="69C906AC" w14:textId="0AAB085D" w:rsidR="00B64524" w:rsidRDefault="00E21FF1" w:rsidP="004930A0">
      <w:pPr>
        <w:rPr>
          <w:sz w:val="22"/>
          <w:szCs w:val="22"/>
        </w:rPr>
      </w:pPr>
      <w:r>
        <w:rPr>
          <w:sz w:val="22"/>
          <w:szCs w:val="22"/>
        </w:rPr>
        <w:t>Se acoge el comentario.</w:t>
      </w:r>
    </w:p>
    <w:p w14:paraId="5E6C80C5" w14:textId="0394ED1F" w:rsidR="00E21FF1" w:rsidRDefault="00E21FF1" w:rsidP="004930A0">
      <w:pPr>
        <w:rPr>
          <w:sz w:val="22"/>
          <w:szCs w:val="22"/>
        </w:rPr>
      </w:pPr>
    </w:p>
    <w:p w14:paraId="035972CA" w14:textId="4BDF6315" w:rsidR="00E21FF1" w:rsidRDefault="00E21FF1" w:rsidP="004930A0">
      <w:pPr>
        <w:rPr>
          <w:sz w:val="22"/>
          <w:szCs w:val="22"/>
        </w:rPr>
      </w:pPr>
      <w:r>
        <w:rPr>
          <w:sz w:val="22"/>
          <w:szCs w:val="22"/>
        </w:rPr>
        <w:t xml:space="preserve">En la nueva propuesta se establece un plazo máximo para que el </w:t>
      </w:r>
      <w:r w:rsidR="005114C6">
        <w:rPr>
          <w:sz w:val="22"/>
          <w:szCs w:val="22"/>
        </w:rPr>
        <w:t>Gestor del Mercado</w:t>
      </w:r>
      <w:r>
        <w:rPr>
          <w:sz w:val="22"/>
          <w:szCs w:val="22"/>
        </w:rPr>
        <w:t xml:space="preserve"> reporte la información </w:t>
      </w:r>
      <w:r w:rsidRPr="00E21FF1">
        <w:rPr>
          <w:sz w:val="22"/>
          <w:szCs w:val="22"/>
        </w:rPr>
        <w:t>de cualquier posible incumplimiento de la regulación en la que, en cumplimiento de sus funciones</w:t>
      </w:r>
      <w:r>
        <w:rPr>
          <w:sz w:val="22"/>
          <w:szCs w:val="22"/>
        </w:rPr>
        <w:t xml:space="preserve"> como Gestor</w:t>
      </w:r>
      <w:r w:rsidRPr="00E21FF1">
        <w:rPr>
          <w:sz w:val="22"/>
          <w:szCs w:val="22"/>
        </w:rPr>
        <w:t>, considere que podría haber incurrido un agente del mercado</w:t>
      </w:r>
      <w:r>
        <w:rPr>
          <w:sz w:val="22"/>
          <w:szCs w:val="22"/>
        </w:rPr>
        <w:t>.</w:t>
      </w:r>
    </w:p>
    <w:p w14:paraId="6A116940" w14:textId="77777777" w:rsidR="00B64524" w:rsidRPr="003522E3" w:rsidRDefault="00B64524" w:rsidP="004930A0">
      <w:pPr>
        <w:rPr>
          <w:sz w:val="22"/>
          <w:szCs w:val="22"/>
        </w:rPr>
      </w:pPr>
    </w:p>
    <w:p w14:paraId="6CA61682" w14:textId="77777777" w:rsidR="004930A0" w:rsidRPr="003522E3" w:rsidRDefault="004930A0" w:rsidP="004930A0">
      <w:pPr>
        <w:rPr>
          <w:sz w:val="22"/>
          <w:szCs w:val="22"/>
        </w:rPr>
      </w:pPr>
    </w:p>
    <w:p w14:paraId="1D899174" w14:textId="77777777" w:rsidR="004930A0" w:rsidRPr="003522E3" w:rsidRDefault="004930A0" w:rsidP="004A53B8">
      <w:pPr>
        <w:pStyle w:val="Ttulo4"/>
        <w:rPr>
          <w:sz w:val="22"/>
          <w:szCs w:val="22"/>
        </w:rPr>
      </w:pPr>
      <w:r w:rsidRPr="003522E3">
        <w:rPr>
          <w:sz w:val="22"/>
          <w:szCs w:val="22"/>
        </w:rPr>
        <w:t>SSPD</w:t>
      </w:r>
      <w:r w:rsidRPr="003522E3">
        <w:rPr>
          <w:sz w:val="22"/>
          <w:szCs w:val="22"/>
        </w:rPr>
        <w:tab/>
      </w:r>
    </w:p>
    <w:p w14:paraId="4C0B4754" w14:textId="05132B08" w:rsidR="004930A0" w:rsidRPr="00E21FF1" w:rsidRDefault="00893983" w:rsidP="004930A0">
      <w:pPr>
        <w:rPr>
          <w:i/>
          <w:iCs/>
          <w:sz w:val="22"/>
          <w:szCs w:val="22"/>
        </w:rPr>
      </w:pPr>
      <w:r>
        <w:rPr>
          <w:i/>
          <w:iCs/>
          <w:sz w:val="22"/>
          <w:szCs w:val="22"/>
        </w:rPr>
        <w:t>“</w:t>
      </w:r>
      <w:r w:rsidR="004930A0" w:rsidRPr="00E21FF1">
        <w:rPr>
          <w:i/>
          <w:iCs/>
          <w:sz w:val="22"/>
          <w:szCs w:val="22"/>
        </w:rPr>
        <w:t>De acuerdo con el entendimiento de este proyecto de resolución, el registro de los contratos del mercado mayorista que suscriban los comercializadores debe ser carácter obligatorio y no opcional.</w:t>
      </w:r>
      <w:r>
        <w:rPr>
          <w:i/>
          <w:iCs/>
          <w:sz w:val="22"/>
          <w:szCs w:val="22"/>
        </w:rPr>
        <w:t>”</w:t>
      </w:r>
    </w:p>
    <w:p w14:paraId="64B3835F" w14:textId="55C3C2C7" w:rsidR="00E21FF1" w:rsidRDefault="00E21FF1" w:rsidP="004930A0">
      <w:pPr>
        <w:rPr>
          <w:sz w:val="22"/>
          <w:szCs w:val="22"/>
        </w:rPr>
      </w:pPr>
    </w:p>
    <w:p w14:paraId="52144261" w14:textId="1B7F8879" w:rsidR="00E21FF1" w:rsidRPr="00E21FF1" w:rsidRDefault="00E21FF1" w:rsidP="004930A0">
      <w:pPr>
        <w:rPr>
          <w:b/>
          <w:bCs/>
          <w:sz w:val="22"/>
          <w:szCs w:val="22"/>
        </w:rPr>
      </w:pPr>
      <w:r w:rsidRPr="00E21FF1">
        <w:rPr>
          <w:b/>
          <w:bCs/>
          <w:sz w:val="22"/>
          <w:szCs w:val="22"/>
        </w:rPr>
        <w:t>Respuesta:</w:t>
      </w:r>
    </w:p>
    <w:p w14:paraId="06A34F58" w14:textId="42279E16" w:rsidR="00E21FF1" w:rsidRDefault="00E21FF1" w:rsidP="004930A0">
      <w:pPr>
        <w:rPr>
          <w:sz w:val="22"/>
          <w:szCs w:val="22"/>
        </w:rPr>
      </w:pPr>
    </w:p>
    <w:p w14:paraId="04E897E6" w14:textId="30E0C543" w:rsidR="00E21FF1" w:rsidRDefault="006B61DA" w:rsidP="004930A0">
      <w:pPr>
        <w:rPr>
          <w:sz w:val="22"/>
          <w:szCs w:val="22"/>
        </w:rPr>
      </w:pPr>
      <w:r>
        <w:rPr>
          <w:sz w:val="22"/>
          <w:szCs w:val="22"/>
        </w:rPr>
        <w:t>En el literal a) del numeral 1.1 del Anexo 1 de la Resolución CREG 186 de 2020, actualmente vigente, se establece que:</w:t>
      </w:r>
    </w:p>
    <w:p w14:paraId="3439328C" w14:textId="1154FC4E" w:rsidR="006B61DA" w:rsidRDefault="006B61DA" w:rsidP="004930A0">
      <w:pPr>
        <w:rPr>
          <w:sz w:val="22"/>
          <w:szCs w:val="22"/>
        </w:rPr>
      </w:pPr>
    </w:p>
    <w:p w14:paraId="045FEED7" w14:textId="2E800605" w:rsidR="006B61DA" w:rsidRDefault="006B61DA" w:rsidP="006B61DA">
      <w:pPr>
        <w:ind w:left="576"/>
        <w:rPr>
          <w:sz w:val="22"/>
          <w:szCs w:val="22"/>
        </w:rPr>
      </w:pPr>
      <w:r>
        <w:rPr>
          <w:sz w:val="22"/>
          <w:szCs w:val="22"/>
        </w:rPr>
        <w:t>“</w:t>
      </w:r>
      <w:r w:rsidRPr="006B61DA">
        <w:rPr>
          <w:i/>
          <w:iCs/>
          <w:sz w:val="22"/>
          <w:szCs w:val="22"/>
        </w:rPr>
        <w:t xml:space="preserve">Los Participantes del Mercado Primario a los que se hace referencia en el Artículo 16 y en el Artículo 17 de esta Resolución </w:t>
      </w:r>
      <w:r w:rsidRPr="00721371">
        <w:rPr>
          <w:b/>
          <w:bCs/>
          <w:i/>
          <w:iCs/>
          <w:sz w:val="22"/>
          <w:szCs w:val="22"/>
          <w:u w:val="single"/>
        </w:rPr>
        <w:t xml:space="preserve">deberán registrar ante el </w:t>
      </w:r>
      <w:r w:rsidR="005114C6">
        <w:rPr>
          <w:b/>
          <w:bCs/>
          <w:i/>
          <w:iCs/>
          <w:sz w:val="22"/>
          <w:szCs w:val="22"/>
          <w:u w:val="single"/>
        </w:rPr>
        <w:t>Gestor del Mercado</w:t>
      </w:r>
      <w:r w:rsidRPr="006B61DA">
        <w:rPr>
          <w:i/>
          <w:iCs/>
          <w:sz w:val="22"/>
          <w:szCs w:val="22"/>
        </w:rPr>
        <w:t xml:space="preserve"> los contratos de suministro de gas natural que suscriban en el mercado primario</w:t>
      </w:r>
      <w:r w:rsidRPr="006B61DA">
        <w:rPr>
          <w:sz w:val="22"/>
          <w:szCs w:val="22"/>
        </w:rPr>
        <w:t>.</w:t>
      </w:r>
      <w:r>
        <w:rPr>
          <w:sz w:val="22"/>
          <w:szCs w:val="22"/>
        </w:rPr>
        <w:t>”</w:t>
      </w:r>
      <w:r w:rsidR="00721371">
        <w:rPr>
          <w:sz w:val="22"/>
          <w:szCs w:val="22"/>
        </w:rPr>
        <w:t xml:space="preserve"> (subrayado con resaltado fuera de texto)</w:t>
      </w:r>
    </w:p>
    <w:p w14:paraId="2073CD93" w14:textId="15A233CE" w:rsidR="006B61DA" w:rsidRDefault="006B61DA" w:rsidP="006B61DA">
      <w:pPr>
        <w:ind w:left="576"/>
        <w:rPr>
          <w:sz w:val="22"/>
          <w:szCs w:val="22"/>
        </w:rPr>
      </w:pPr>
    </w:p>
    <w:p w14:paraId="0AAA308B" w14:textId="44952EA9" w:rsidR="006B61DA" w:rsidRDefault="006B61DA" w:rsidP="006B61DA">
      <w:pPr>
        <w:rPr>
          <w:sz w:val="22"/>
          <w:szCs w:val="22"/>
        </w:rPr>
      </w:pPr>
      <w:r>
        <w:rPr>
          <w:sz w:val="22"/>
          <w:szCs w:val="22"/>
        </w:rPr>
        <w:t>Asimismo, en el numeral 2.1 del Anexo 1 de la resolución en mención, se establece que:</w:t>
      </w:r>
    </w:p>
    <w:p w14:paraId="7A3099B7" w14:textId="3586062E" w:rsidR="006B61DA" w:rsidRDefault="006B61DA" w:rsidP="006B61DA">
      <w:pPr>
        <w:ind w:left="576"/>
        <w:rPr>
          <w:sz w:val="22"/>
          <w:szCs w:val="22"/>
        </w:rPr>
      </w:pPr>
    </w:p>
    <w:p w14:paraId="71A7E08F" w14:textId="750A0656" w:rsidR="006B61DA" w:rsidRDefault="006B61DA" w:rsidP="006B61DA">
      <w:pPr>
        <w:ind w:left="576"/>
        <w:rPr>
          <w:sz w:val="22"/>
          <w:szCs w:val="22"/>
        </w:rPr>
      </w:pPr>
      <w:r>
        <w:rPr>
          <w:sz w:val="22"/>
          <w:szCs w:val="22"/>
        </w:rPr>
        <w:t>“</w:t>
      </w:r>
      <w:r w:rsidRPr="006B61DA">
        <w:rPr>
          <w:i/>
          <w:iCs/>
          <w:sz w:val="22"/>
          <w:szCs w:val="22"/>
        </w:rPr>
        <w:t xml:space="preserve">Los vendedores y los compradores de gas natural a los que se hace referencia en el Artículo 29 y el Artículo 30 de esta Resolución </w:t>
      </w:r>
      <w:r w:rsidRPr="00721371">
        <w:rPr>
          <w:b/>
          <w:bCs/>
          <w:i/>
          <w:iCs/>
          <w:sz w:val="22"/>
          <w:szCs w:val="22"/>
          <w:u w:val="single"/>
        </w:rPr>
        <w:t xml:space="preserve">deberán registrar ante el </w:t>
      </w:r>
      <w:r w:rsidR="005114C6">
        <w:rPr>
          <w:b/>
          <w:bCs/>
          <w:i/>
          <w:iCs/>
          <w:sz w:val="22"/>
          <w:szCs w:val="22"/>
          <w:u w:val="single"/>
        </w:rPr>
        <w:t>Gestor del Mercado</w:t>
      </w:r>
      <w:r w:rsidRPr="006B61DA">
        <w:rPr>
          <w:i/>
          <w:iCs/>
          <w:sz w:val="22"/>
          <w:szCs w:val="22"/>
        </w:rPr>
        <w:t xml:space="preserve"> los contratos de suministro de gas natural que suscriban en el mercado secundario.”</w:t>
      </w:r>
      <w:r w:rsidR="00721371" w:rsidRPr="00721371">
        <w:rPr>
          <w:sz w:val="22"/>
          <w:szCs w:val="22"/>
        </w:rPr>
        <w:t xml:space="preserve"> </w:t>
      </w:r>
      <w:r w:rsidR="00721371">
        <w:rPr>
          <w:sz w:val="22"/>
          <w:szCs w:val="22"/>
        </w:rPr>
        <w:t>(subrayado con resaltado fuera de texto)</w:t>
      </w:r>
    </w:p>
    <w:p w14:paraId="36DA3082" w14:textId="2A2BDCB7" w:rsidR="00E21FF1" w:rsidRDefault="00E21FF1" w:rsidP="004930A0">
      <w:pPr>
        <w:rPr>
          <w:sz w:val="22"/>
          <w:szCs w:val="22"/>
        </w:rPr>
      </w:pPr>
    </w:p>
    <w:p w14:paraId="6FBF31B8" w14:textId="074DE79B" w:rsidR="006B61DA" w:rsidRPr="003522E3" w:rsidRDefault="00721371" w:rsidP="004930A0">
      <w:pPr>
        <w:rPr>
          <w:sz w:val="22"/>
          <w:szCs w:val="22"/>
        </w:rPr>
      </w:pPr>
      <w:r>
        <w:rPr>
          <w:sz w:val="22"/>
          <w:szCs w:val="22"/>
        </w:rPr>
        <w:t xml:space="preserve">Los textos anteriores no se están modificando en la propuesta presentada. </w:t>
      </w:r>
    </w:p>
    <w:p w14:paraId="57AD572E" w14:textId="0FD36448" w:rsidR="004930A0" w:rsidRPr="003522E3" w:rsidRDefault="004930A0" w:rsidP="004930A0">
      <w:pPr>
        <w:rPr>
          <w:sz w:val="22"/>
          <w:szCs w:val="22"/>
        </w:rPr>
      </w:pPr>
    </w:p>
    <w:p w14:paraId="3BBAE9C2" w14:textId="77777777" w:rsidR="004A53B8" w:rsidRPr="003522E3" w:rsidRDefault="004A53B8" w:rsidP="004930A0">
      <w:pPr>
        <w:rPr>
          <w:sz w:val="22"/>
          <w:szCs w:val="22"/>
        </w:rPr>
      </w:pPr>
    </w:p>
    <w:p w14:paraId="3AF40492" w14:textId="77777777" w:rsidR="004930A0" w:rsidRPr="003522E3" w:rsidRDefault="004930A0" w:rsidP="004A53B8">
      <w:pPr>
        <w:pStyle w:val="Ttulo2"/>
        <w:rPr>
          <w:sz w:val="22"/>
          <w:szCs w:val="22"/>
        </w:rPr>
      </w:pPr>
      <w:bookmarkStart w:id="587" w:name="_Toc140506294"/>
      <w:r w:rsidRPr="003522E3">
        <w:rPr>
          <w:sz w:val="22"/>
          <w:szCs w:val="22"/>
        </w:rPr>
        <w:t>TEBSA</w:t>
      </w:r>
      <w:bookmarkEnd w:id="587"/>
      <w:r w:rsidRPr="003522E3">
        <w:rPr>
          <w:sz w:val="22"/>
          <w:szCs w:val="22"/>
        </w:rPr>
        <w:tab/>
      </w:r>
    </w:p>
    <w:p w14:paraId="2A800780" w14:textId="77777777" w:rsidR="004A53B8" w:rsidRPr="003522E3" w:rsidRDefault="004A53B8" w:rsidP="004A53B8">
      <w:pPr>
        <w:pStyle w:val="Ttulo4"/>
        <w:rPr>
          <w:sz w:val="22"/>
          <w:szCs w:val="22"/>
        </w:rPr>
      </w:pPr>
      <w:r w:rsidRPr="003522E3">
        <w:rPr>
          <w:sz w:val="22"/>
          <w:szCs w:val="22"/>
        </w:rPr>
        <w:t>TEBSA</w:t>
      </w:r>
      <w:r w:rsidRPr="003522E3">
        <w:rPr>
          <w:sz w:val="22"/>
          <w:szCs w:val="22"/>
        </w:rPr>
        <w:tab/>
      </w:r>
    </w:p>
    <w:p w14:paraId="67BC5115" w14:textId="11C2AD58" w:rsidR="004930A0" w:rsidRPr="00721371" w:rsidRDefault="00D50D9B" w:rsidP="004930A0">
      <w:pPr>
        <w:rPr>
          <w:i/>
          <w:iCs/>
          <w:sz w:val="22"/>
          <w:szCs w:val="22"/>
        </w:rPr>
      </w:pPr>
      <w:r>
        <w:rPr>
          <w:i/>
          <w:iCs/>
          <w:sz w:val="22"/>
          <w:szCs w:val="22"/>
        </w:rPr>
        <w:t>“</w:t>
      </w:r>
      <w:r w:rsidR="004930A0" w:rsidRPr="00721371">
        <w:rPr>
          <w:i/>
          <w:iCs/>
          <w:sz w:val="22"/>
          <w:szCs w:val="22"/>
        </w:rPr>
        <w:t xml:space="preserve">En el parágrafo 3 del artículo 5, CREG le </w:t>
      </w:r>
      <w:proofErr w:type="spellStart"/>
      <w:r w:rsidR="004930A0" w:rsidRPr="00721371">
        <w:rPr>
          <w:i/>
          <w:iCs/>
          <w:sz w:val="22"/>
          <w:szCs w:val="22"/>
        </w:rPr>
        <w:t>esta</w:t>
      </w:r>
      <w:proofErr w:type="spellEnd"/>
      <w:r w:rsidR="004930A0" w:rsidRPr="00721371">
        <w:rPr>
          <w:i/>
          <w:iCs/>
          <w:sz w:val="22"/>
          <w:szCs w:val="22"/>
        </w:rPr>
        <w:t xml:space="preserve"> dando competencia al Gestor de Mercado de evaluar el incumplimiento o no, cuya competencia </w:t>
      </w:r>
      <w:proofErr w:type="spellStart"/>
      <w:r w:rsidR="004930A0" w:rsidRPr="00721371">
        <w:rPr>
          <w:i/>
          <w:iCs/>
          <w:sz w:val="22"/>
          <w:szCs w:val="22"/>
        </w:rPr>
        <w:t>esta</w:t>
      </w:r>
      <w:proofErr w:type="spellEnd"/>
      <w:r w:rsidR="004930A0" w:rsidRPr="00721371">
        <w:rPr>
          <w:i/>
          <w:iCs/>
          <w:sz w:val="22"/>
          <w:szCs w:val="22"/>
        </w:rPr>
        <w:t xml:space="preserve"> dada por la Ley 192 de 1994, para la Superintendencia de Servicios Públicos Domiciliarios.</w:t>
      </w:r>
      <w:r>
        <w:rPr>
          <w:i/>
          <w:iCs/>
          <w:sz w:val="22"/>
          <w:szCs w:val="22"/>
        </w:rPr>
        <w:t>”</w:t>
      </w:r>
    </w:p>
    <w:p w14:paraId="7898FAAA" w14:textId="1FD54CC9" w:rsidR="00721371" w:rsidRDefault="00721371" w:rsidP="004930A0">
      <w:pPr>
        <w:rPr>
          <w:sz w:val="22"/>
          <w:szCs w:val="22"/>
        </w:rPr>
      </w:pPr>
    </w:p>
    <w:p w14:paraId="54EF8CC4" w14:textId="26BA2803" w:rsidR="00721371" w:rsidRPr="00721371" w:rsidRDefault="00721371" w:rsidP="004930A0">
      <w:pPr>
        <w:rPr>
          <w:b/>
          <w:bCs/>
          <w:sz w:val="22"/>
          <w:szCs w:val="22"/>
        </w:rPr>
      </w:pPr>
      <w:r w:rsidRPr="00721371">
        <w:rPr>
          <w:b/>
          <w:bCs/>
          <w:sz w:val="22"/>
          <w:szCs w:val="22"/>
        </w:rPr>
        <w:t>Respuesta:</w:t>
      </w:r>
    </w:p>
    <w:p w14:paraId="09CAAA85" w14:textId="3EFC6298" w:rsidR="00721371" w:rsidRDefault="00721371" w:rsidP="004930A0">
      <w:pPr>
        <w:rPr>
          <w:sz w:val="22"/>
          <w:szCs w:val="22"/>
        </w:rPr>
      </w:pPr>
    </w:p>
    <w:p w14:paraId="18E7871F" w14:textId="4EF8470D" w:rsidR="004930A0" w:rsidRDefault="00721371" w:rsidP="004930A0">
      <w:pPr>
        <w:rPr>
          <w:sz w:val="22"/>
          <w:szCs w:val="22"/>
        </w:rPr>
      </w:pPr>
      <w:r>
        <w:rPr>
          <w:sz w:val="22"/>
          <w:szCs w:val="22"/>
        </w:rPr>
        <w:t xml:space="preserve">Ver respuesta a </w:t>
      </w:r>
      <w:r w:rsidR="00DF35D9">
        <w:rPr>
          <w:sz w:val="22"/>
          <w:szCs w:val="22"/>
        </w:rPr>
        <w:fldChar w:fldCharType="begin"/>
      </w:r>
      <w:r w:rsidR="00DF35D9">
        <w:rPr>
          <w:sz w:val="22"/>
          <w:szCs w:val="22"/>
        </w:rPr>
        <w:instrText xml:space="preserve"> REF _Ref130553468 \r \h </w:instrText>
      </w:r>
      <w:r w:rsidR="00DF35D9">
        <w:rPr>
          <w:sz w:val="22"/>
          <w:szCs w:val="22"/>
        </w:rPr>
      </w:r>
      <w:r w:rsidR="00DF35D9">
        <w:rPr>
          <w:sz w:val="22"/>
          <w:szCs w:val="22"/>
        </w:rPr>
        <w:fldChar w:fldCharType="separate"/>
      </w:r>
      <w:r w:rsidR="007651EA">
        <w:rPr>
          <w:sz w:val="22"/>
          <w:szCs w:val="22"/>
        </w:rPr>
        <w:t>5.4.1.2</w:t>
      </w:r>
      <w:r w:rsidR="00DF35D9">
        <w:rPr>
          <w:sz w:val="22"/>
          <w:szCs w:val="22"/>
        </w:rPr>
        <w:fldChar w:fldCharType="end"/>
      </w:r>
      <w:r w:rsidR="00DF35D9">
        <w:rPr>
          <w:sz w:val="22"/>
          <w:szCs w:val="22"/>
        </w:rPr>
        <w:t>.</w:t>
      </w:r>
    </w:p>
    <w:p w14:paraId="6E95E37A" w14:textId="77777777" w:rsidR="00A35363" w:rsidRPr="003522E3" w:rsidRDefault="00A35363" w:rsidP="004930A0">
      <w:pPr>
        <w:rPr>
          <w:sz w:val="22"/>
          <w:szCs w:val="22"/>
        </w:rPr>
      </w:pPr>
    </w:p>
    <w:p w14:paraId="5E9A1D5E" w14:textId="77777777" w:rsidR="00135755" w:rsidRPr="003522E3" w:rsidRDefault="00135755" w:rsidP="004930A0">
      <w:pPr>
        <w:rPr>
          <w:sz w:val="22"/>
          <w:szCs w:val="22"/>
        </w:rPr>
      </w:pPr>
    </w:p>
    <w:p w14:paraId="0B6BF9FB" w14:textId="77777777" w:rsidR="004930A0" w:rsidRPr="003522E3" w:rsidRDefault="004930A0" w:rsidP="004A53B8">
      <w:pPr>
        <w:pStyle w:val="Ttulo2"/>
        <w:rPr>
          <w:sz w:val="22"/>
          <w:szCs w:val="22"/>
        </w:rPr>
      </w:pPr>
      <w:bookmarkStart w:id="588" w:name="_Toc140506295"/>
      <w:r w:rsidRPr="003522E3">
        <w:rPr>
          <w:sz w:val="22"/>
          <w:szCs w:val="22"/>
        </w:rPr>
        <w:t>TERPEL</w:t>
      </w:r>
      <w:bookmarkEnd w:id="588"/>
      <w:r w:rsidRPr="003522E3">
        <w:rPr>
          <w:sz w:val="22"/>
          <w:szCs w:val="22"/>
        </w:rPr>
        <w:tab/>
      </w:r>
    </w:p>
    <w:p w14:paraId="237DF2AA" w14:textId="77777777" w:rsidR="004A53B8" w:rsidRPr="003522E3" w:rsidRDefault="004A53B8" w:rsidP="004A53B8">
      <w:pPr>
        <w:pStyle w:val="Ttulo4"/>
        <w:rPr>
          <w:sz w:val="22"/>
          <w:szCs w:val="22"/>
        </w:rPr>
      </w:pPr>
      <w:r w:rsidRPr="003522E3">
        <w:rPr>
          <w:sz w:val="22"/>
          <w:szCs w:val="22"/>
        </w:rPr>
        <w:t>TERPEL</w:t>
      </w:r>
      <w:r w:rsidRPr="003522E3">
        <w:rPr>
          <w:sz w:val="22"/>
          <w:szCs w:val="22"/>
        </w:rPr>
        <w:tab/>
      </w:r>
    </w:p>
    <w:p w14:paraId="5902BB7E" w14:textId="5DFAEC90" w:rsidR="004930A0" w:rsidRPr="00DF35D9" w:rsidRDefault="00D50D9B" w:rsidP="004930A0">
      <w:pPr>
        <w:rPr>
          <w:i/>
          <w:iCs/>
          <w:sz w:val="22"/>
          <w:szCs w:val="22"/>
        </w:rPr>
      </w:pPr>
      <w:r>
        <w:rPr>
          <w:i/>
          <w:iCs/>
          <w:sz w:val="22"/>
          <w:szCs w:val="22"/>
        </w:rPr>
        <w:t>“</w:t>
      </w:r>
      <w:r w:rsidR="004930A0" w:rsidRPr="00DF35D9">
        <w:rPr>
          <w:i/>
          <w:iCs/>
          <w:sz w:val="22"/>
          <w:szCs w:val="22"/>
        </w:rPr>
        <w:t xml:space="preserve">Entendiendo la importancia y valor de la información que reporta y publica el </w:t>
      </w:r>
      <w:r w:rsidR="005114C6">
        <w:rPr>
          <w:i/>
          <w:iCs/>
          <w:sz w:val="22"/>
          <w:szCs w:val="22"/>
        </w:rPr>
        <w:t>Gestor del Mercado</w:t>
      </w:r>
      <w:r w:rsidR="004930A0" w:rsidRPr="00DF35D9">
        <w:rPr>
          <w:i/>
          <w:iCs/>
          <w:sz w:val="22"/>
          <w:szCs w:val="22"/>
        </w:rPr>
        <w:t xml:space="preserve">, sugerimos que se incluya un servicio de descarga automática de la información, más </w:t>
      </w:r>
      <w:r w:rsidRPr="00DF35D9">
        <w:rPr>
          <w:i/>
          <w:iCs/>
          <w:sz w:val="22"/>
          <w:szCs w:val="22"/>
        </w:rPr>
        <w:t>ágil</w:t>
      </w:r>
      <w:r w:rsidR="004930A0" w:rsidRPr="00DF35D9">
        <w:rPr>
          <w:i/>
          <w:iCs/>
          <w:sz w:val="22"/>
          <w:szCs w:val="22"/>
        </w:rPr>
        <w:t xml:space="preserve"> y sencillo para los agentes del mercado.</w:t>
      </w:r>
      <w:r>
        <w:rPr>
          <w:i/>
          <w:iCs/>
          <w:sz w:val="22"/>
          <w:szCs w:val="22"/>
        </w:rPr>
        <w:t>”</w:t>
      </w:r>
    </w:p>
    <w:p w14:paraId="5C22370C" w14:textId="27A6BCB3" w:rsidR="00DF35D9" w:rsidRDefault="00DF35D9" w:rsidP="004930A0">
      <w:pPr>
        <w:rPr>
          <w:sz w:val="22"/>
          <w:szCs w:val="22"/>
        </w:rPr>
      </w:pPr>
    </w:p>
    <w:p w14:paraId="42A1E3BD" w14:textId="1D063147" w:rsidR="00DF35D9" w:rsidRPr="00DF35D9" w:rsidRDefault="00DF35D9" w:rsidP="004930A0">
      <w:pPr>
        <w:rPr>
          <w:b/>
          <w:bCs/>
          <w:sz w:val="22"/>
          <w:szCs w:val="22"/>
        </w:rPr>
      </w:pPr>
      <w:r w:rsidRPr="00DF35D9">
        <w:rPr>
          <w:b/>
          <w:bCs/>
          <w:sz w:val="22"/>
          <w:szCs w:val="22"/>
        </w:rPr>
        <w:t>Respuesta:</w:t>
      </w:r>
    </w:p>
    <w:p w14:paraId="119D398D" w14:textId="57B59802" w:rsidR="00DF35D9" w:rsidRDefault="00DF35D9" w:rsidP="004930A0">
      <w:pPr>
        <w:rPr>
          <w:sz w:val="22"/>
          <w:szCs w:val="22"/>
        </w:rPr>
      </w:pPr>
    </w:p>
    <w:p w14:paraId="4B1F45DD" w14:textId="67B24628" w:rsidR="00426028" w:rsidRPr="006F1229" w:rsidRDefault="00DF35D9" w:rsidP="00371CB5">
      <w:pPr>
        <w:rPr>
          <w:rFonts w:cs="Arial"/>
          <w:b/>
          <w:bCs/>
          <w:sz w:val="22"/>
          <w:szCs w:val="22"/>
        </w:rPr>
      </w:pPr>
      <w:r>
        <w:rPr>
          <w:sz w:val="22"/>
          <w:szCs w:val="22"/>
        </w:rPr>
        <w:t xml:space="preserve">Ver respuesta a </w:t>
      </w:r>
      <w:r>
        <w:rPr>
          <w:sz w:val="22"/>
          <w:szCs w:val="22"/>
        </w:rPr>
        <w:fldChar w:fldCharType="begin"/>
      </w:r>
      <w:r>
        <w:rPr>
          <w:sz w:val="22"/>
          <w:szCs w:val="22"/>
        </w:rPr>
        <w:instrText xml:space="preserve"> REF _Ref130555775 \r \h </w:instrText>
      </w:r>
      <w:r>
        <w:rPr>
          <w:sz w:val="22"/>
          <w:szCs w:val="22"/>
        </w:rPr>
      </w:r>
      <w:r>
        <w:rPr>
          <w:sz w:val="22"/>
          <w:szCs w:val="22"/>
        </w:rPr>
        <w:fldChar w:fldCharType="separate"/>
      </w:r>
      <w:r w:rsidR="007651EA">
        <w:rPr>
          <w:sz w:val="22"/>
          <w:szCs w:val="22"/>
        </w:rPr>
        <w:t>5.1.1.1</w:t>
      </w:r>
      <w:r>
        <w:rPr>
          <w:sz w:val="22"/>
          <w:szCs w:val="22"/>
        </w:rPr>
        <w:fldChar w:fldCharType="end"/>
      </w:r>
      <w:r>
        <w:rPr>
          <w:sz w:val="22"/>
          <w:szCs w:val="22"/>
        </w:rPr>
        <w:t>.</w:t>
      </w:r>
    </w:p>
    <w:p w14:paraId="5918CD8C" w14:textId="0C16AC06" w:rsidR="00426028" w:rsidRDefault="00426028" w:rsidP="00371CB5">
      <w:pPr>
        <w:rPr>
          <w:rFonts w:cs="Arial"/>
          <w:b/>
          <w:bCs/>
          <w:sz w:val="22"/>
          <w:szCs w:val="22"/>
        </w:rPr>
      </w:pPr>
    </w:p>
    <w:p w14:paraId="5CD20E9C" w14:textId="77777777" w:rsidR="00AD24CA" w:rsidRPr="006F1229" w:rsidRDefault="00AD24CA" w:rsidP="00371CB5">
      <w:pPr>
        <w:rPr>
          <w:rFonts w:cs="Arial"/>
          <w:b/>
          <w:bCs/>
          <w:sz w:val="22"/>
          <w:szCs w:val="22"/>
        </w:rPr>
      </w:pPr>
    </w:p>
    <w:p w14:paraId="59658D4B" w14:textId="4A601428" w:rsidR="00135755" w:rsidRDefault="00135755" w:rsidP="00135755">
      <w:pPr>
        <w:pStyle w:val="Ttulo1"/>
        <w:numPr>
          <w:ilvl w:val="0"/>
          <w:numId w:val="1"/>
        </w:numPr>
        <w:rPr>
          <w:caps/>
        </w:rPr>
      </w:pPr>
      <w:bookmarkStart w:id="589" w:name="_Toc140506296"/>
      <w:r>
        <w:t xml:space="preserve">ARTÍCULO 6. </w:t>
      </w:r>
      <w:r w:rsidRPr="00135755">
        <w:rPr>
          <w:caps/>
        </w:rPr>
        <w:t xml:space="preserve">Selección del </w:t>
      </w:r>
      <w:r w:rsidR="005114C6">
        <w:rPr>
          <w:caps/>
        </w:rPr>
        <w:t>Gestor del Mercado</w:t>
      </w:r>
      <w:bookmarkEnd w:id="589"/>
    </w:p>
    <w:p w14:paraId="34A72796" w14:textId="77777777" w:rsidR="00426028" w:rsidRPr="006F1229" w:rsidRDefault="00426028" w:rsidP="00371CB5">
      <w:pPr>
        <w:rPr>
          <w:rFonts w:cs="Arial"/>
          <w:b/>
          <w:bCs/>
          <w:sz w:val="22"/>
          <w:szCs w:val="22"/>
        </w:rPr>
      </w:pPr>
    </w:p>
    <w:p w14:paraId="3CD28E66" w14:textId="77777777" w:rsidR="00AD24CA" w:rsidRDefault="00AD24CA" w:rsidP="00AD24CA">
      <w:pPr>
        <w:pStyle w:val="Ttulo2"/>
      </w:pPr>
      <w:bookmarkStart w:id="590" w:name="_Toc140506297"/>
      <w:r w:rsidRPr="00AD24CA">
        <w:t>ALCANOS</w:t>
      </w:r>
      <w:bookmarkEnd w:id="590"/>
      <w:r w:rsidRPr="00AD24CA">
        <w:tab/>
      </w:r>
    </w:p>
    <w:p w14:paraId="1ACCDA76" w14:textId="77777777" w:rsidR="00AD24CA" w:rsidRDefault="00AD24CA" w:rsidP="00AD24CA">
      <w:pPr>
        <w:pStyle w:val="Ttulo4"/>
      </w:pPr>
      <w:r w:rsidRPr="00AD24CA">
        <w:t>ALCANOS</w:t>
      </w:r>
      <w:r w:rsidRPr="00AD24CA">
        <w:tab/>
      </w:r>
    </w:p>
    <w:p w14:paraId="6C92B7B3" w14:textId="77777777" w:rsidR="009F3F80" w:rsidRDefault="00AD24CA" w:rsidP="00AD24CA">
      <w:pPr>
        <w:rPr>
          <w:rFonts w:cs="Arial"/>
          <w:i/>
          <w:iCs/>
          <w:sz w:val="22"/>
          <w:szCs w:val="22"/>
        </w:rPr>
      </w:pPr>
      <w:r w:rsidRPr="00AD24CA">
        <w:rPr>
          <w:rFonts w:cs="Arial"/>
          <w:sz w:val="22"/>
          <w:szCs w:val="22"/>
        </w:rPr>
        <w:t>"4</w:t>
      </w:r>
      <w:r w:rsidRPr="009F3F80">
        <w:rPr>
          <w:rFonts w:cs="Arial"/>
          <w:i/>
          <w:iCs/>
          <w:sz w:val="22"/>
          <w:szCs w:val="22"/>
        </w:rPr>
        <w:t>.</w:t>
      </w:r>
      <w:r w:rsidRPr="009F3F80">
        <w:rPr>
          <w:rFonts w:cs="Arial"/>
          <w:i/>
          <w:iCs/>
          <w:sz w:val="22"/>
          <w:szCs w:val="22"/>
        </w:rPr>
        <w:tab/>
        <w:t>Si un Usuario No Regulado disminuye sus consumos sin causa previamente justificada y se clasifica como Usuario Regulado, su nueva condición será efectiva de forma inmediata, esto es, a partir del siguiente período de facturación. Como consecuencia, la facturación de los consumos se realizará con las tarifas aplicables a los Usuarios Regulados</w:t>
      </w:r>
      <w:r w:rsidR="009F3F80">
        <w:rPr>
          <w:rFonts w:cs="Arial"/>
          <w:i/>
          <w:iCs/>
          <w:sz w:val="22"/>
          <w:szCs w:val="22"/>
        </w:rPr>
        <w:t>.</w:t>
      </w:r>
    </w:p>
    <w:p w14:paraId="7BA799B1" w14:textId="77777777" w:rsidR="009F3F80" w:rsidRPr="009F3F80" w:rsidRDefault="009F3F80" w:rsidP="00AD24CA">
      <w:pPr>
        <w:rPr>
          <w:rFonts w:cs="Arial"/>
          <w:i/>
          <w:iCs/>
          <w:sz w:val="22"/>
          <w:szCs w:val="22"/>
        </w:rPr>
      </w:pPr>
    </w:p>
    <w:p w14:paraId="13E1D47E" w14:textId="597533D5" w:rsidR="00AD24CA" w:rsidRPr="00AD24CA" w:rsidRDefault="009F3F80" w:rsidP="00AD24CA">
      <w:pPr>
        <w:rPr>
          <w:rFonts w:cs="Arial"/>
          <w:sz w:val="22"/>
          <w:szCs w:val="22"/>
        </w:rPr>
      </w:pPr>
      <w:r w:rsidRPr="009F3F80">
        <w:rPr>
          <w:rFonts w:cs="Arial"/>
          <w:i/>
          <w:iCs/>
          <w:sz w:val="22"/>
          <w:szCs w:val="22"/>
        </w:rPr>
        <w:t>Como prever este riesgo, dado que la resolución CREG 226 de 2021 limita que las capacidades de los contratos varíen dentro de los trimestres</w:t>
      </w:r>
      <w:r w:rsidRPr="009F3F80">
        <w:rPr>
          <w:rFonts w:cs="Arial"/>
          <w:sz w:val="22"/>
          <w:szCs w:val="22"/>
        </w:rPr>
        <w:t>.</w:t>
      </w:r>
      <w:r w:rsidR="00AD24CA" w:rsidRPr="00AD24CA">
        <w:rPr>
          <w:rFonts w:cs="Arial"/>
          <w:sz w:val="22"/>
          <w:szCs w:val="22"/>
        </w:rPr>
        <w:t>"</w:t>
      </w:r>
    </w:p>
    <w:p w14:paraId="4994E41A" w14:textId="77777777" w:rsidR="00AD24CA" w:rsidRDefault="00AD24CA" w:rsidP="00AD24CA">
      <w:pPr>
        <w:rPr>
          <w:rFonts w:cs="Arial"/>
          <w:sz w:val="22"/>
          <w:szCs w:val="22"/>
        </w:rPr>
      </w:pPr>
    </w:p>
    <w:p w14:paraId="3B40A380" w14:textId="709B0EB5" w:rsidR="00AD24CA" w:rsidRPr="009F3F80" w:rsidRDefault="009F3F80" w:rsidP="00AD24CA">
      <w:pPr>
        <w:rPr>
          <w:rFonts w:cs="Arial"/>
          <w:b/>
          <w:bCs/>
          <w:sz w:val="22"/>
          <w:szCs w:val="22"/>
        </w:rPr>
      </w:pPr>
      <w:r w:rsidRPr="009F3F80">
        <w:rPr>
          <w:rFonts w:cs="Arial"/>
          <w:b/>
          <w:bCs/>
          <w:sz w:val="22"/>
          <w:szCs w:val="22"/>
        </w:rPr>
        <w:t>Respuesta:</w:t>
      </w:r>
    </w:p>
    <w:p w14:paraId="07901FB5" w14:textId="0052481A" w:rsidR="009F3F80" w:rsidRDefault="009F3F80" w:rsidP="00AD24CA">
      <w:pPr>
        <w:rPr>
          <w:rFonts w:cs="Arial"/>
          <w:sz w:val="22"/>
          <w:szCs w:val="22"/>
        </w:rPr>
      </w:pPr>
    </w:p>
    <w:p w14:paraId="6FA4B920" w14:textId="7EDF8F36" w:rsidR="009F3F80" w:rsidRDefault="009F3F80" w:rsidP="00AD24CA">
      <w:pPr>
        <w:rPr>
          <w:rFonts w:cs="Arial"/>
          <w:sz w:val="22"/>
          <w:szCs w:val="22"/>
        </w:rPr>
      </w:pPr>
      <w:r>
        <w:rPr>
          <w:rFonts w:cs="Arial"/>
          <w:sz w:val="22"/>
          <w:szCs w:val="22"/>
        </w:rPr>
        <w:t>No se acoge el comentario.</w:t>
      </w:r>
    </w:p>
    <w:p w14:paraId="6186001A" w14:textId="6CBEDE74" w:rsidR="009F3F80" w:rsidRDefault="009F3F80" w:rsidP="00AD24CA">
      <w:pPr>
        <w:rPr>
          <w:rFonts w:cs="Arial"/>
          <w:sz w:val="22"/>
          <w:szCs w:val="22"/>
        </w:rPr>
      </w:pPr>
    </w:p>
    <w:p w14:paraId="7EDFD9A0" w14:textId="77777777" w:rsidR="009F3F80" w:rsidRDefault="009F3F80" w:rsidP="00AD24CA">
      <w:pPr>
        <w:rPr>
          <w:rFonts w:cs="Arial"/>
          <w:sz w:val="22"/>
          <w:szCs w:val="22"/>
        </w:rPr>
      </w:pPr>
      <w:r>
        <w:rPr>
          <w:rFonts w:cs="Arial"/>
          <w:sz w:val="22"/>
          <w:szCs w:val="22"/>
        </w:rPr>
        <w:t xml:space="preserve">Al permitirse la negociación de contratos con cantidades trimestrales diferentes con la propuesta, en sustitución de los contratos de duración de tres o más años con cantidades mensuales fijas iguales para toda la ejecución del contrato, que son los que se permiten negociar directamente actualmente, le es más viable al comercializador administrar de manera más eficaz el riesgo de incremento de cantidades a atender de usuarios finales que antes eran usuarios no regulados o de lo contrario, de reducción de esas cantidades. </w:t>
      </w:r>
    </w:p>
    <w:p w14:paraId="3C3E9F67" w14:textId="77777777" w:rsidR="009F3F80" w:rsidRDefault="009F3F80" w:rsidP="00AD24CA">
      <w:pPr>
        <w:rPr>
          <w:rFonts w:cs="Arial"/>
          <w:sz w:val="22"/>
          <w:szCs w:val="22"/>
        </w:rPr>
      </w:pPr>
    </w:p>
    <w:p w14:paraId="7168EF64" w14:textId="6CACCCED" w:rsidR="009F3F80" w:rsidRDefault="009F3F80" w:rsidP="00AD24CA">
      <w:pPr>
        <w:rPr>
          <w:rFonts w:cs="Arial"/>
          <w:sz w:val="22"/>
          <w:szCs w:val="22"/>
        </w:rPr>
      </w:pPr>
      <w:r>
        <w:rPr>
          <w:rFonts w:cs="Arial"/>
          <w:sz w:val="22"/>
          <w:szCs w:val="22"/>
        </w:rPr>
        <w:t>En el mismo sentido la propuesta de la nueva modalidad CF80 incrementa la flexibilidad de contratación para mejorar la gestión del riesgo.</w:t>
      </w:r>
    </w:p>
    <w:p w14:paraId="66E34BF0" w14:textId="77777777" w:rsidR="00426028" w:rsidRPr="006F1229" w:rsidRDefault="00426028" w:rsidP="00371CB5">
      <w:pPr>
        <w:rPr>
          <w:rFonts w:cs="Arial"/>
          <w:b/>
          <w:bCs/>
          <w:sz w:val="22"/>
          <w:szCs w:val="22"/>
        </w:rPr>
      </w:pPr>
    </w:p>
    <w:p w14:paraId="4A73225F" w14:textId="2B8F1932" w:rsidR="00426028" w:rsidRDefault="00426028" w:rsidP="00371CB5">
      <w:pPr>
        <w:rPr>
          <w:rFonts w:cs="Arial"/>
          <w:b/>
          <w:bCs/>
          <w:sz w:val="22"/>
          <w:szCs w:val="22"/>
        </w:rPr>
      </w:pPr>
    </w:p>
    <w:p w14:paraId="765370E7" w14:textId="7D065C61" w:rsidR="00AD24CA" w:rsidRDefault="00AD24CA" w:rsidP="00AD24CA">
      <w:pPr>
        <w:pStyle w:val="Ttulo1"/>
        <w:numPr>
          <w:ilvl w:val="0"/>
          <w:numId w:val="1"/>
        </w:numPr>
        <w:rPr>
          <w:caps/>
        </w:rPr>
      </w:pPr>
      <w:bookmarkStart w:id="591" w:name="_Toc140506298"/>
      <w:r>
        <w:t xml:space="preserve">ARTÍCULO 7. </w:t>
      </w:r>
      <w:r w:rsidRPr="00AD24CA">
        <w:rPr>
          <w:caps/>
        </w:rPr>
        <w:t xml:space="preserve">Remuneración del </w:t>
      </w:r>
      <w:r w:rsidR="005114C6">
        <w:rPr>
          <w:caps/>
        </w:rPr>
        <w:t>Gestor del Mercado</w:t>
      </w:r>
      <w:bookmarkEnd w:id="591"/>
    </w:p>
    <w:p w14:paraId="7E377923" w14:textId="77777777" w:rsidR="00AD24CA" w:rsidRDefault="00AD24CA" w:rsidP="00AD24CA">
      <w:pPr>
        <w:pStyle w:val="Ttulo2"/>
      </w:pPr>
      <w:bookmarkStart w:id="592" w:name="_Toc140506299"/>
      <w:r w:rsidRPr="00AD24CA">
        <w:t>ACOLGEN</w:t>
      </w:r>
      <w:bookmarkEnd w:id="592"/>
      <w:r w:rsidRPr="00AD24CA">
        <w:tab/>
      </w:r>
    </w:p>
    <w:p w14:paraId="4F6892E2" w14:textId="77777777" w:rsidR="00AD24CA" w:rsidRDefault="00AD24CA" w:rsidP="00AD24CA">
      <w:pPr>
        <w:pStyle w:val="Ttulo4"/>
      </w:pPr>
      <w:bookmarkStart w:id="593" w:name="_Ref130561048"/>
      <w:r w:rsidRPr="00AD24CA">
        <w:t>ACOLGEN</w:t>
      </w:r>
      <w:bookmarkEnd w:id="593"/>
      <w:r w:rsidRPr="00AD24CA">
        <w:tab/>
      </w:r>
    </w:p>
    <w:p w14:paraId="4C1944F9" w14:textId="7E578287" w:rsidR="00AD24CA" w:rsidRPr="00031E91" w:rsidRDefault="00AD24CA" w:rsidP="00AD24CA">
      <w:pPr>
        <w:rPr>
          <w:rFonts w:cs="Arial"/>
          <w:i/>
          <w:iCs/>
          <w:sz w:val="22"/>
          <w:szCs w:val="22"/>
        </w:rPr>
      </w:pPr>
      <w:r w:rsidRPr="00AD24CA">
        <w:rPr>
          <w:rFonts w:cs="Arial"/>
          <w:sz w:val="22"/>
          <w:szCs w:val="22"/>
        </w:rPr>
        <w:t>"</w:t>
      </w:r>
      <w:r w:rsidRPr="00031E91">
        <w:rPr>
          <w:rFonts w:cs="Arial"/>
          <w:i/>
          <w:iCs/>
          <w:sz w:val="22"/>
          <w:szCs w:val="22"/>
        </w:rPr>
        <w:t xml:space="preserve">Al momento de calcular la remuneración del gestor, no es posible considerar de manera simultánea los contratos OCG y los de firmeza condicionada, toda vez que los dos tipos de contratos son complementarios en las cantidades de gas que venden activándose en distintos momentos. </w:t>
      </w:r>
    </w:p>
    <w:p w14:paraId="0077EA97" w14:textId="77777777" w:rsidR="00AD24CA" w:rsidRPr="00031E91" w:rsidRDefault="00AD24CA" w:rsidP="00AD24CA">
      <w:pPr>
        <w:rPr>
          <w:rFonts w:cs="Arial"/>
          <w:i/>
          <w:iCs/>
          <w:sz w:val="22"/>
          <w:szCs w:val="22"/>
        </w:rPr>
      </w:pPr>
    </w:p>
    <w:p w14:paraId="136F4613" w14:textId="094DAE03" w:rsidR="00AD24CA" w:rsidRPr="00031E91" w:rsidRDefault="00AD24CA" w:rsidP="00AD24CA">
      <w:pPr>
        <w:rPr>
          <w:rFonts w:cs="Arial"/>
          <w:i/>
          <w:iCs/>
          <w:sz w:val="22"/>
          <w:szCs w:val="22"/>
        </w:rPr>
      </w:pPr>
      <w:r w:rsidRPr="00031E91">
        <w:rPr>
          <w:rFonts w:cs="Arial"/>
          <w:i/>
          <w:iCs/>
          <w:sz w:val="22"/>
          <w:szCs w:val="22"/>
        </w:rPr>
        <w:t xml:space="preserve">Se ha identificado que existe el riesgo de que el gestor realice como en pasado, una suma simple de las cantidades de los contratos negociados interrumpibles, desconociendo que se puede tratar de varias transacciones para una misma cantidad e incrementando artificialmente la posible contribución en la remuneración del </w:t>
      </w:r>
      <w:r w:rsidR="005114C6">
        <w:rPr>
          <w:rFonts w:cs="Arial"/>
          <w:i/>
          <w:iCs/>
          <w:sz w:val="22"/>
          <w:szCs w:val="22"/>
        </w:rPr>
        <w:t>Gestor del Mercado</w:t>
      </w:r>
      <w:r w:rsidRPr="00031E91">
        <w:rPr>
          <w:rFonts w:cs="Arial"/>
          <w:i/>
          <w:iCs/>
          <w:sz w:val="22"/>
          <w:szCs w:val="22"/>
        </w:rPr>
        <w:t xml:space="preserve"> y generando distorsiones en la remuneración del Gestor. </w:t>
      </w:r>
    </w:p>
    <w:p w14:paraId="2EE0089E" w14:textId="77777777" w:rsidR="00AD24CA" w:rsidRPr="00031E91" w:rsidRDefault="00AD24CA" w:rsidP="00AD24CA">
      <w:pPr>
        <w:rPr>
          <w:rFonts w:cs="Arial"/>
          <w:i/>
          <w:iCs/>
          <w:sz w:val="22"/>
          <w:szCs w:val="22"/>
        </w:rPr>
      </w:pPr>
    </w:p>
    <w:p w14:paraId="63B75FD6" w14:textId="56D8EC1B" w:rsidR="00AD24CA" w:rsidRPr="00031E91" w:rsidRDefault="00AD24CA" w:rsidP="00AD24CA">
      <w:pPr>
        <w:rPr>
          <w:rFonts w:cs="Arial"/>
          <w:i/>
          <w:iCs/>
          <w:sz w:val="22"/>
          <w:szCs w:val="22"/>
        </w:rPr>
      </w:pPr>
      <w:r w:rsidRPr="00031E91">
        <w:rPr>
          <w:rFonts w:cs="Arial"/>
          <w:i/>
          <w:iCs/>
          <w:sz w:val="22"/>
          <w:szCs w:val="22"/>
        </w:rPr>
        <w:t>Sobre lo anterior, desde la Asociación proponemos simplificar el cálculo de la remuneración del sector, estableciendo que se considerarán, como entendemos ocurre hoy en día, todos los contratos firmes o que garanticen firmeza bajo una suma ponderado de acuerdo con sus cantidades y duraciones más las cantidades finales que efectivamente se despachen en contratos interrumpibles en un determinado mes."</w:t>
      </w:r>
    </w:p>
    <w:p w14:paraId="5AE6A95D" w14:textId="5DFC41A8" w:rsidR="00031E91" w:rsidRDefault="00031E91" w:rsidP="00AD24CA">
      <w:pPr>
        <w:rPr>
          <w:rFonts w:cs="Arial"/>
          <w:sz w:val="22"/>
          <w:szCs w:val="22"/>
        </w:rPr>
      </w:pPr>
    </w:p>
    <w:p w14:paraId="316FA0F3" w14:textId="18D8DC15" w:rsidR="00031E91" w:rsidRPr="00031E91" w:rsidRDefault="00031E91" w:rsidP="00AD24CA">
      <w:pPr>
        <w:rPr>
          <w:rFonts w:cs="Arial"/>
          <w:b/>
          <w:bCs/>
          <w:sz w:val="22"/>
          <w:szCs w:val="22"/>
        </w:rPr>
      </w:pPr>
      <w:r w:rsidRPr="00031E91">
        <w:rPr>
          <w:rFonts w:cs="Arial"/>
          <w:b/>
          <w:bCs/>
          <w:sz w:val="22"/>
          <w:szCs w:val="22"/>
        </w:rPr>
        <w:t>Respuesta:</w:t>
      </w:r>
    </w:p>
    <w:p w14:paraId="527FC75A" w14:textId="0B0FAA9B" w:rsidR="00031E91" w:rsidRDefault="00031E91" w:rsidP="00AD24CA">
      <w:pPr>
        <w:rPr>
          <w:rFonts w:cs="Arial"/>
          <w:sz w:val="22"/>
          <w:szCs w:val="22"/>
        </w:rPr>
      </w:pPr>
    </w:p>
    <w:p w14:paraId="7310A6CA" w14:textId="5D206B6A" w:rsidR="00031E91" w:rsidRDefault="00031E91" w:rsidP="00AD24CA">
      <w:pPr>
        <w:rPr>
          <w:rFonts w:cs="Arial"/>
          <w:sz w:val="22"/>
          <w:szCs w:val="22"/>
        </w:rPr>
      </w:pPr>
      <w:r>
        <w:rPr>
          <w:rFonts w:cs="Arial"/>
          <w:sz w:val="22"/>
          <w:szCs w:val="22"/>
        </w:rPr>
        <w:t>En la nueva propuesta se realiza un ajuste al texto de modo que se haga referencia directa al origen de la remuneración de l</w:t>
      </w:r>
      <w:r w:rsidRPr="00031E91">
        <w:rPr>
          <w:rFonts w:cs="Arial"/>
          <w:sz w:val="22"/>
          <w:szCs w:val="22"/>
        </w:rPr>
        <w:t xml:space="preserve">a remuneración del </w:t>
      </w:r>
      <w:r w:rsidR="005114C6">
        <w:rPr>
          <w:rFonts w:cs="Arial"/>
          <w:sz w:val="22"/>
          <w:szCs w:val="22"/>
        </w:rPr>
        <w:t>Gestor del Mercado</w:t>
      </w:r>
      <w:r w:rsidRPr="00031E91">
        <w:rPr>
          <w:rFonts w:cs="Arial"/>
          <w:sz w:val="22"/>
          <w:szCs w:val="22"/>
        </w:rPr>
        <w:t xml:space="preserve"> </w:t>
      </w:r>
      <w:r>
        <w:rPr>
          <w:rFonts w:cs="Arial"/>
          <w:sz w:val="22"/>
          <w:szCs w:val="22"/>
        </w:rPr>
        <w:t xml:space="preserve">que </w:t>
      </w:r>
      <w:r w:rsidRPr="00031E91">
        <w:rPr>
          <w:rFonts w:cs="Arial"/>
          <w:sz w:val="22"/>
          <w:szCs w:val="22"/>
        </w:rPr>
        <w:t>se realizará conforme a lo establecido en el Artículo 22 de la Resolución CREG 055 de 2019 o aquella que la modifique o sustituya</w:t>
      </w:r>
      <w:r>
        <w:rPr>
          <w:rFonts w:cs="Arial"/>
          <w:sz w:val="22"/>
          <w:szCs w:val="22"/>
        </w:rPr>
        <w:t xml:space="preserve">. </w:t>
      </w:r>
    </w:p>
    <w:p w14:paraId="7C408098" w14:textId="77777777" w:rsidR="00AD24CA" w:rsidRDefault="00AD24CA" w:rsidP="00AD24CA">
      <w:pPr>
        <w:rPr>
          <w:rFonts w:cs="Arial"/>
          <w:sz w:val="22"/>
          <w:szCs w:val="22"/>
        </w:rPr>
      </w:pPr>
    </w:p>
    <w:p w14:paraId="7565D98F" w14:textId="77777777" w:rsidR="00AD24CA" w:rsidRDefault="00AD24CA" w:rsidP="00AD24CA">
      <w:pPr>
        <w:rPr>
          <w:rFonts w:cs="Arial"/>
          <w:sz w:val="22"/>
          <w:szCs w:val="22"/>
        </w:rPr>
      </w:pPr>
    </w:p>
    <w:p w14:paraId="5806A1A3" w14:textId="77777777" w:rsidR="00AD24CA" w:rsidRDefault="00AD24CA" w:rsidP="00AD24CA">
      <w:pPr>
        <w:pStyle w:val="Ttulo2"/>
      </w:pPr>
      <w:bookmarkStart w:id="594" w:name="_Toc140506300"/>
      <w:r w:rsidRPr="00AD24CA">
        <w:t>ACP</w:t>
      </w:r>
      <w:bookmarkEnd w:id="594"/>
      <w:r w:rsidRPr="00AD24CA">
        <w:tab/>
      </w:r>
    </w:p>
    <w:p w14:paraId="595BF88C" w14:textId="77777777" w:rsidR="00AD24CA" w:rsidRDefault="00AD24CA" w:rsidP="00AD24CA">
      <w:pPr>
        <w:pStyle w:val="Ttulo4"/>
      </w:pPr>
      <w:r w:rsidRPr="00AD24CA">
        <w:t>ACP</w:t>
      </w:r>
      <w:r w:rsidRPr="00AD24CA">
        <w:tab/>
      </w:r>
    </w:p>
    <w:p w14:paraId="0CE49369" w14:textId="3DAB3991" w:rsidR="00AD24CA" w:rsidRPr="00031E91" w:rsidRDefault="0020274A" w:rsidP="00AD24CA">
      <w:pPr>
        <w:rPr>
          <w:rFonts w:cs="Arial"/>
          <w:i/>
          <w:iCs/>
          <w:sz w:val="22"/>
          <w:szCs w:val="22"/>
        </w:rPr>
      </w:pPr>
      <w:r>
        <w:rPr>
          <w:rFonts w:cs="Arial"/>
          <w:i/>
          <w:iCs/>
          <w:sz w:val="22"/>
          <w:szCs w:val="22"/>
        </w:rPr>
        <w:t>“</w:t>
      </w:r>
      <w:r w:rsidR="00AD24CA" w:rsidRPr="00031E91">
        <w:rPr>
          <w:rFonts w:cs="Arial"/>
          <w:i/>
          <w:iCs/>
          <w:sz w:val="22"/>
          <w:szCs w:val="22"/>
        </w:rPr>
        <w:t>En el caso de contratos interrumpibles, ¿</w:t>
      </w:r>
      <w:proofErr w:type="spellStart"/>
      <w:r w:rsidR="00AD24CA" w:rsidRPr="00031E91">
        <w:rPr>
          <w:rFonts w:cs="Arial"/>
          <w:i/>
          <w:iCs/>
          <w:sz w:val="22"/>
          <w:szCs w:val="22"/>
        </w:rPr>
        <w:t>cuando</w:t>
      </w:r>
      <w:proofErr w:type="spellEnd"/>
      <w:r w:rsidR="00AD24CA" w:rsidRPr="00031E91">
        <w:rPr>
          <w:rFonts w:cs="Arial"/>
          <w:i/>
          <w:iCs/>
          <w:sz w:val="22"/>
          <w:szCs w:val="22"/>
        </w:rPr>
        <w:t xml:space="preserve"> no se nomine por ese contrato, se entendería que no se paga </w:t>
      </w:r>
      <w:proofErr w:type="gramStart"/>
      <w:r w:rsidR="00AD24CA" w:rsidRPr="00031E91">
        <w:rPr>
          <w:rFonts w:cs="Arial"/>
          <w:i/>
          <w:iCs/>
          <w:sz w:val="22"/>
          <w:szCs w:val="22"/>
        </w:rPr>
        <w:t>remuneración?.</w:t>
      </w:r>
      <w:proofErr w:type="gramEnd"/>
      <w:r w:rsidR="00AD24CA" w:rsidRPr="00031E91">
        <w:rPr>
          <w:rFonts w:cs="Arial"/>
          <w:i/>
          <w:iCs/>
          <w:sz w:val="22"/>
          <w:szCs w:val="22"/>
        </w:rPr>
        <w:t xml:space="preserve"> En el caso que si aplique pago de remuneración independientemente de que se utilice o </w:t>
      </w:r>
      <w:proofErr w:type="gramStart"/>
      <w:r w:rsidR="00AD24CA" w:rsidRPr="00031E91">
        <w:rPr>
          <w:rFonts w:cs="Arial"/>
          <w:i/>
          <w:iCs/>
          <w:sz w:val="22"/>
          <w:szCs w:val="22"/>
        </w:rPr>
        <w:t>no,  ¿</w:t>
      </w:r>
      <w:proofErr w:type="gramEnd"/>
      <w:r w:rsidR="00AD24CA" w:rsidRPr="00031E91">
        <w:rPr>
          <w:rFonts w:cs="Arial"/>
          <w:i/>
          <w:iCs/>
          <w:sz w:val="22"/>
          <w:szCs w:val="22"/>
        </w:rPr>
        <w:t>con base a que valor se realizaría el cálculo?</w:t>
      </w:r>
      <w:r>
        <w:rPr>
          <w:rFonts w:cs="Arial"/>
          <w:i/>
          <w:iCs/>
          <w:sz w:val="22"/>
          <w:szCs w:val="22"/>
        </w:rPr>
        <w:t>”</w:t>
      </w:r>
    </w:p>
    <w:p w14:paraId="31797FBF" w14:textId="1D268B8F" w:rsidR="00031E91" w:rsidRDefault="00031E91" w:rsidP="00AD24CA">
      <w:pPr>
        <w:rPr>
          <w:rFonts w:cs="Arial"/>
          <w:sz w:val="22"/>
          <w:szCs w:val="22"/>
        </w:rPr>
      </w:pPr>
    </w:p>
    <w:p w14:paraId="6AC49B84" w14:textId="721704EA" w:rsidR="00031E91" w:rsidRPr="00031E91" w:rsidRDefault="00031E91" w:rsidP="00AD24CA">
      <w:pPr>
        <w:rPr>
          <w:rFonts w:cs="Arial"/>
          <w:b/>
          <w:bCs/>
          <w:sz w:val="22"/>
          <w:szCs w:val="22"/>
        </w:rPr>
      </w:pPr>
      <w:r w:rsidRPr="00031E91">
        <w:rPr>
          <w:rFonts w:cs="Arial"/>
          <w:b/>
          <w:bCs/>
          <w:sz w:val="22"/>
          <w:szCs w:val="22"/>
        </w:rPr>
        <w:t>Respuesta:</w:t>
      </w:r>
    </w:p>
    <w:p w14:paraId="78248B0D" w14:textId="2CF77047" w:rsidR="00031E91" w:rsidRDefault="00031E91" w:rsidP="00AD24CA">
      <w:pPr>
        <w:rPr>
          <w:rFonts w:cs="Arial"/>
          <w:sz w:val="22"/>
          <w:szCs w:val="22"/>
        </w:rPr>
      </w:pPr>
    </w:p>
    <w:p w14:paraId="20914622" w14:textId="014E294E" w:rsidR="00AD24CA" w:rsidRDefault="00C7200A" w:rsidP="00AD24CA">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3BA17977" w14:textId="77777777" w:rsidR="00C7200A" w:rsidRDefault="00C7200A" w:rsidP="00AD24CA">
      <w:pPr>
        <w:rPr>
          <w:rFonts w:cs="Arial"/>
          <w:sz w:val="22"/>
          <w:szCs w:val="22"/>
        </w:rPr>
      </w:pPr>
    </w:p>
    <w:p w14:paraId="22272451" w14:textId="77777777" w:rsidR="00AD24CA" w:rsidRDefault="00AD24CA" w:rsidP="00AD24CA">
      <w:pPr>
        <w:rPr>
          <w:rFonts w:cs="Arial"/>
          <w:sz w:val="22"/>
          <w:szCs w:val="22"/>
        </w:rPr>
      </w:pPr>
    </w:p>
    <w:p w14:paraId="3A41E6AF" w14:textId="77777777" w:rsidR="00AD24CA" w:rsidRDefault="00AD24CA" w:rsidP="00AD24CA">
      <w:pPr>
        <w:pStyle w:val="Ttulo2"/>
      </w:pPr>
      <w:bookmarkStart w:id="595" w:name="_Toc140506301"/>
      <w:r w:rsidRPr="00AD24CA">
        <w:t>BOLSA MERCANTIL DE COLOMBIA</w:t>
      </w:r>
      <w:bookmarkEnd w:id="595"/>
      <w:r w:rsidRPr="00AD24CA">
        <w:tab/>
      </w:r>
    </w:p>
    <w:p w14:paraId="646E6E32" w14:textId="77777777" w:rsidR="00AD24CA" w:rsidRDefault="00AD24CA" w:rsidP="00AD24CA">
      <w:pPr>
        <w:pStyle w:val="Ttulo4"/>
      </w:pPr>
      <w:r w:rsidRPr="00AD24CA">
        <w:t>BOLSA MERCANTIL DE COLOMBIA</w:t>
      </w:r>
      <w:r w:rsidRPr="00AD24CA">
        <w:tab/>
      </w:r>
    </w:p>
    <w:p w14:paraId="37F7EC46" w14:textId="7E52334A" w:rsidR="00AD24CA" w:rsidRPr="006E1669" w:rsidRDefault="00AD24CA" w:rsidP="00AD24CA">
      <w:pPr>
        <w:rPr>
          <w:rFonts w:cs="Arial"/>
          <w:i/>
          <w:iCs/>
          <w:sz w:val="22"/>
          <w:szCs w:val="22"/>
        </w:rPr>
      </w:pPr>
      <w:r w:rsidRPr="00AD24CA">
        <w:rPr>
          <w:rFonts w:cs="Arial"/>
          <w:sz w:val="22"/>
          <w:szCs w:val="22"/>
        </w:rPr>
        <w:t>"</w:t>
      </w:r>
      <w:r w:rsidRPr="006E1669">
        <w:rPr>
          <w:rFonts w:cs="Arial"/>
          <w:i/>
          <w:iCs/>
          <w:sz w:val="22"/>
          <w:szCs w:val="22"/>
        </w:rPr>
        <w:t xml:space="preserve">Considerando que la propuesta regulatoria ha previsto que los contratos pactados bajo la modalidad con interrupciones sean considerados para efectos de determinar la remuneración de los servicios prestados por el </w:t>
      </w:r>
      <w:r w:rsidR="005114C6">
        <w:rPr>
          <w:rFonts w:cs="Arial"/>
          <w:i/>
          <w:iCs/>
          <w:sz w:val="22"/>
          <w:szCs w:val="22"/>
        </w:rPr>
        <w:t>Gestor del Mercado</w:t>
      </w:r>
      <w:r w:rsidRPr="006E1669">
        <w:rPr>
          <w:rFonts w:cs="Arial"/>
          <w:i/>
          <w:iCs/>
          <w:sz w:val="22"/>
          <w:szCs w:val="22"/>
        </w:rPr>
        <w:t xml:space="preserve">, sugerimos articular dicha disposición con respecto a lo previsto en la Resolución CREG 055 de 2019 que dispuso en su Anexo 6 las modalidades contractuales que se deberán considerar para la estimación del pago a realizar por los vendedores por los servicios prestados por el </w:t>
      </w:r>
      <w:r w:rsidR="005114C6">
        <w:rPr>
          <w:rFonts w:cs="Arial"/>
          <w:i/>
          <w:iCs/>
          <w:sz w:val="22"/>
          <w:szCs w:val="22"/>
        </w:rPr>
        <w:t>Gestor del Mercado</w:t>
      </w:r>
      <w:r w:rsidRPr="006E1669">
        <w:rPr>
          <w:rFonts w:cs="Arial"/>
          <w:i/>
          <w:iCs/>
          <w:sz w:val="22"/>
          <w:szCs w:val="22"/>
        </w:rPr>
        <w:t>.</w:t>
      </w:r>
    </w:p>
    <w:p w14:paraId="3D301E0F" w14:textId="77777777" w:rsidR="00AD24CA" w:rsidRPr="006E1669" w:rsidRDefault="00AD24CA" w:rsidP="00AD24CA">
      <w:pPr>
        <w:rPr>
          <w:rFonts w:cs="Arial"/>
          <w:i/>
          <w:iCs/>
          <w:sz w:val="22"/>
          <w:szCs w:val="22"/>
        </w:rPr>
      </w:pPr>
    </w:p>
    <w:p w14:paraId="79FDFD1D" w14:textId="6F4D7F04" w:rsidR="00AD24CA" w:rsidRPr="006E1669" w:rsidRDefault="00AD24CA" w:rsidP="00AD24CA">
      <w:pPr>
        <w:rPr>
          <w:rFonts w:cs="Arial"/>
          <w:i/>
          <w:iCs/>
          <w:sz w:val="22"/>
          <w:szCs w:val="22"/>
        </w:rPr>
      </w:pPr>
      <w:r w:rsidRPr="006E1669">
        <w:rPr>
          <w:rFonts w:cs="Arial"/>
          <w:i/>
          <w:iCs/>
          <w:sz w:val="22"/>
          <w:szCs w:val="22"/>
        </w:rPr>
        <w:t xml:space="preserve">En el mismo sentido solicitamos precisar para efectos de la estimación del valor a remunerar por los servicios del </w:t>
      </w:r>
      <w:r w:rsidR="005114C6">
        <w:rPr>
          <w:rFonts w:cs="Arial"/>
          <w:i/>
          <w:iCs/>
          <w:sz w:val="22"/>
          <w:szCs w:val="22"/>
        </w:rPr>
        <w:t>Gestor del Mercado</w:t>
      </w:r>
      <w:r w:rsidRPr="006E1669">
        <w:rPr>
          <w:rFonts w:cs="Arial"/>
          <w:i/>
          <w:iCs/>
          <w:sz w:val="22"/>
          <w:szCs w:val="22"/>
        </w:rPr>
        <w:t xml:space="preserve"> cual deberá ser el tratamiento que deberá darse en términos de la duración de los contratos (</w:t>
      </w:r>
      <w:proofErr w:type="spellStart"/>
      <w:r w:rsidRPr="006E1669">
        <w:rPr>
          <w:rFonts w:cs="Arial"/>
          <w:i/>
          <w:iCs/>
          <w:sz w:val="22"/>
          <w:szCs w:val="22"/>
        </w:rPr>
        <w:t>p.e</w:t>
      </w:r>
      <w:proofErr w:type="spellEnd"/>
      <w:r w:rsidRPr="006E1669">
        <w:rPr>
          <w:rFonts w:cs="Arial"/>
          <w:i/>
          <w:iCs/>
          <w:sz w:val="22"/>
          <w:szCs w:val="22"/>
        </w:rPr>
        <w:t xml:space="preserve">. de duraciones diarias) y respecto de aquellos contratos que se registren ante el </w:t>
      </w:r>
      <w:r w:rsidR="005114C6">
        <w:rPr>
          <w:rFonts w:cs="Arial"/>
          <w:i/>
          <w:iCs/>
          <w:sz w:val="22"/>
          <w:szCs w:val="22"/>
        </w:rPr>
        <w:t>Gestor del Mercado</w:t>
      </w:r>
      <w:r w:rsidRPr="006E1669">
        <w:rPr>
          <w:rFonts w:cs="Arial"/>
          <w:i/>
          <w:iCs/>
          <w:sz w:val="22"/>
          <w:szCs w:val="22"/>
        </w:rPr>
        <w:t xml:space="preserve"> en cumplimiento de las previsiones del Artículo 38 de la propuesta regulatoria con destino a consumos propios de los productores – comercializadores (refinerías y otros consumos)."</w:t>
      </w:r>
    </w:p>
    <w:p w14:paraId="2E3458FA" w14:textId="29462A9D" w:rsidR="006E1669" w:rsidRDefault="006E1669" w:rsidP="00AD24CA">
      <w:pPr>
        <w:rPr>
          <w:rFonts w:cs="Arial"/>
          <w:sz w:val="22"/>
          <w:szCs w:val="22"/>
        </w:rPr>
      </w:pPr>
    </w:p>
    <w:p w14:paraId="03DDA0EE" w14:textId="33BFFBA2" w:rsidR="006E1669" w:rsidRPr="006E1669" w:rsidRDefault="006E1669" w:rsidP="00AD24CA">
      <w:pPr>
        <w:rPr>
          <w:rFonts w:cs="Arial"/>
          <w:b/>
          <w:bCs/>
          <w:sz w:val="22"/>
          <w:szCs w:val="22"/>
        </w:rPr>
      </w:pPr>
      <w:r w:rsidRPr="006E1669">
        <w:rPr>
          <w:rFonts w:cs="Arial"/>
          <w:b/>
          <w:bCs/>
          <w:sz w:val="22"/>
          <w:szCs w:val="22"/>
        </w:rPr>
        <w:t>Respuesta:</w:t>
      </w:r>
    </w:p>
    <w:p w14:paraId="67253F81" w14:textId="32A96643" w:rsidR="006E1669" w:rsidRDefault="006E1669" w:rsidP="00AD24CA">
      <w:pPr>
        <w:rPr>
          <w:rFonts w:cs="Arial"/>
          <w:sz w:val="22"/>
          <w:szCs w:val="22"/>
        </w:rPr>
      </w:pPr>
    </w:p>
    <w:p w14:paraId="548980D4" w14:textId="651D910F" w:rsidR="006E1669" w:rsidRDefault="006E1669" w:rsidP="006E166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45417EF2" w14:textId="77777777" w:rsidR="00AD24CA" w:rsidRDefault="00AD24CA" w:rsidP="00AD24CA">
      <w:pPr>
        <w:rPr>
          <w:rFonts w:cs="Arial"/>
          <w:sz w:val="22"/>
          <w:szCs w:val="22"/>
        </w:rPr>
      </w:pPr>
    </w:p>
    <w:p w14:paraId="01D85F44" w14:textId="77777777" w:rsidR="00AD24CA" w:rsidRDefault="00AD24CA" w:rsidP="00AD24CA">
      <w:pPr>
        <w:rPr>
          <w:rFonts w:cs="Arial"/>
          <w:sz w:val="22"/>
          <w:szCs w:val="22"/>
        </w:rPr>
      </w:pPr>
    </w:p>
    <w:p w14:paraId="687BF5D1" w14:textId="77777777" w:rsidR="00AD24CA" w:rsidRDefault="00AD24CA" w:rsidP="00AD24CA">
      <w:pPr>
        <w:pStyle w:val="Ttulo2"/>
      </w:pPr>
      <w:bookmarkStart w:id="596" w:name="_Toc140506302"/>
      <w:r w:rsidRPr="00AD24CA">
        <w:t>ECOPETROL</w:t>
      </w:r>
      <w:bookmarkEnd w:id="596"/>
      <w:r w:rsidRPr="00AD24CA">
        <w:tab/>
      </w:r>
    </w:p>
    <w:p w14:paraId="7FFBEED9" w14:textId="77777777" w:rsidR="00AD24CA" w:rsidRDefault="00AD24CA" w:rsidP="00AD24CA">
      <w:pPr>
        <w:pStyle w:val="Ttulo4"/>
      </w:pPr>
      <w:r w:rsidRPr="00AD24CA">
        <w:t>ECOPETROL</w:t>
      </w:r>
      <w:r w:rsidRPr="00AD24CA">
        <w:tab/>
      </w:r>
    </w:p>
    <w:p w14:paraId="1FE42F4F" w14:textId="711DE727" w:rsidR="00AD24CA" w:rsidRPr="006E1669" w:rsidRDefault="00AD24CA" w:rsidP="00AD24CA">
      <w:pPr>
        <w:rPr>
          <w:rFonts w:cs="Arial"/>
          <w:i/>
          <w:iCs/>
          <w:sz w:val="22"/>
          <w:szCs w:val="22"/>
        </w:rPr>
      </w:pPr>
      <w:r w:rsidRPr="00AD24CA">
        <w:rPr>
          <w:rFonts w:cs="Arial"/>
          <w:sz w:val="22"/>
          <w:szCs w:val="22"/>
        </w:rPr>
        <w:t>"</w:t>
      </w:r>
      <w:r w:rsidRPr="006E1669">
        <w:rPr>
          <w:rFonts w:cs="Arial"/>
          <w:i/>
          <w:iCs/>
          <w:sz w:val="22"/>
          <w:szCs w:val="22"/>
        </w:rPr>
        <w:t xml:space="preserve">En el proyecto de resolución se plantea que </w:t>
      </w:r>
      <w:r w:rsidR="009B7605">
        <w:rPr>
          <w:rFonts w:cs="Arial"/>
          <w:i/>
          <w:iCs/>
          <w:sz w:val="22"/>
          <w:szCs w:val="22"/>
        </w:rPr>
        <w:t>‘</w:t>
      </w:r>
      <w:r w:rsidRPr="006E1669">
        <w:rPr>
          <w:rFonts w:cs="Arial"/>
          <w:i/>
          <w:iCs/>
          <w:sz w:val="22"/>
          <w:szCs w:val="22"/>
        </w:rPr>
        <w:t xml:space="preserve">(…) el ingreso regulado será pagado al </w:t>
      </w:r>
      <w:r w:rsidR="005114C6">
        <w:rPr>
          <w:rFonts w:cs="Arial"/>
          <w:i/>
          <w:iCs/>
          <w:sz w:val="22"/>
          <w:szCs w:val="22"/>
        </w:rPr>
        <w:t>Gestor del Mercado</w:t>
      </w:r>
      <w:r w:rsidRPr="006E1669">
        <w:rPr>
          <w:rFonts w:cs="Arial"/>
          <w:i/>
          <w:iCs/>
          <w:sz w:val="22"/>
          <w:szCs w:val="22"/>
        </w:rPr>
        <w:t xml:space="preserve"> por los vendedores a los que se hace referencia en el Artículo 16 de la presente resolución que hayan suscrito contratos de suministro firmes, CF-95, CF-80, OCG, OCGX, con firmeza condicionada o Contratos con Interrupciones</w:t>
      </w:r>
      <w:r w:rsidR="009B7605">
        <w:rPr>
          <w:rFonts w:cs="Arial"/>
          <w:i/>
          <w:iCs/>
          <w:sz w:val="22"/>
          <w:szCs w:val="22"/>
        </w:rPr>
        <w:t>’</w:t>
      </w:r>
      <w:r w:rsidRPr="006E1669">
        <w:rPr>
          <w:rFonts w:cs="Arial"/>
          <w:i/>
          <w:iCs/>
          <w:sz w:val="22"/>
          <w:szCs w:val="22"/>
        </w:rPr>
        <w:t>.</w:t>
      </w:r>
    </w:p>
    <w:p w14:paraId="640527C2" w14:textId="77777777" w:rsidR="00AD24CA" w:rsidRPr="006E1669" w:rsidRDefault="00AD24CA" w:rsidP="00AD24CA">
      <w:pPr>
        <w:rPr>
          <w:rFonts w:cs="Arial"/>
          <w:i/>
          <w:iCs/>
          <w:sz w:val="22"/>
          <w:szCs w:val="22"/>
        </w:rPr>
      </w:pPr>
    </w:p>
    <w:p w14:paraId="0FF7A139" w14:textId="36FECA5E" w:rsidR="00AD24CA" w:rsidRPr="006E1669" w:rsidRDefault="00AD24CA" w:rsidP="00AD24CA">
      <w:pPr>
        <w:rPr>
          <w:rFonts w:cs="Arial"/>
          <w:i/>
          <w:iCs/>
          <w:sz w:val="22"/>
          <w:szCs w:val="22"/>
        </w:rPr>
      </w:pPr>
      <w:r w:rsidRPr="006E1669">
        <w:rPr>
          <w:rFonts w:cs="Arial"/>
          <w:i/>
          <w:iCs/>
          <w:sz w:val="22"/>
          <w:szCs w:val="22"/>
        </w:rPr>
        <w:t>Sugerimos este texto por uno más general, pues estas no son las únicas modalidades contractuales permitidas por la regulación para la comercialización del gas natural. Además, en la medida en que la CREG establece la posibilidad de que los agentes propongan nuevas modalidades contractuales, sería adecuado dejar abierta la redacción ante la inclusión de nuevas modalidades contractuales."</w:t>
      </w:r>
    </w:p>
    <w:p w14:paraId="67A65907" w14:textId="73B25C6C" w:rsidR="006E1669" w:rsidRDefault="006E1669" w:rsidP="00AD24CA">
      <w:pPr>
        <w:rPr>
          <w:rFonts w:cs="Arial"/>
          <w:sz w:val="22"/>
          <w:szCs w:val="22"/>
        </w:rPr>
      </w:pPr>
    </w:p>
    <w:p w14:paraId="79BFADCE" w14:textId="77777777" w:rsidR="0095462C" w:rsidRPr="006E1669" w:rsidRDefault="0095462C" w:rsidP="0095462C">
      <w:pPr>
        <w:rPr>
          <w:rFonts w:cs="Arial"/>
          <w:b/>
          <w:bCs/>
          <w:sz w:val="22"/>
          <w:szCs w:val="22"/>
        </w:rPr>
      </w:pPr>
      <w:r w:rsidRPr="006E1669">
        <w:rPr>
          <w:rFonts w:cs="Arial"/>
          <w:b/>
          <w:bCs/>
          <w:sz w:val="22"/>
          <w:szCs w:val="22"/>
        </w:rPr>
        <w:t>Respuesta:</w:t>
      </w:r>
    </w:p>
    <w:p w14:paraId="497BBB8F" w14:textId="77777777" w:rsidR="0095462C" w:rsidRDefault="0095462C" w:rsidP="0095462C">
      <w:pPr>
        <w:rPr>
          <w:rFonts w:cs="Arial"/>
          <w:sz w:val="22"/>
          <w:szCs w:val="22"/>
        </w:rPr>
      </w:pPr>
    </w:p>
    <w:p w14:paraId="2AD74361" w14:textId="179A437C" w:rsidR="0095462C" w:rsidRDefault="0095462C" w:rsidP="0095462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221E057F" w14:textId="77777777" w:rsidR="00AD24CA" w:rsidRDefault="00AD24CA" w:rsidP="00AD24CA">
      <w:pPr>
        <w:rPr>
          <w:rFonts w:cs="Arial"/>
          <w:sz w:val="22"/>
          <w:szCs w:val="22"/>
        </w:rPr>
      </w:pPr>
    </w:p>
    <w:p w14:paraId="5AB8A8CF" w14:textId="77777777" w:rsidR="00AD24CA" w:rsidRDefault="00AD24CA" w:rsidP="00AD24CA">
      <w:pPr>
        <w:rPr>
          <w:rFonts w:cs="Arial"/>
          <w:sz w:val="22"/>
          <w:szCs w:val="22"/>
        </w:rPr>
      </w:pPr>
    </w:p>
    <w:p w14:paraId="64BD350F" w14:textId="77777777" w:rsidR="00AD24CA" w:rsidRDefault="00AD24CA" w:rsidP="00AD24CA">
      <w:pPr>
        <w:pStyle w:val="Ttulo2"/>
      </w:pPr>
      <w:bookmarkStart w:id="597" w:name="_Toc140506303"/>
      <w:r w:rsidRPr="00AD24CA">
        <w:t>GASES DE OCCIDENTE</w:t>
      </w:r>
      <w:bookmarkEnd w:id="597"/>
      <w:r w:rsidRPr="00AD24CA">
        <w:tab/>
      </w:r>
    </w:p>
    <w:p w14:paraId="6E04864A" w14:textId="77777777" w:rsidR="00AD24CA" w:rsidRDefault="00AD24CA" w:rsidP="00AD24CA">
      <w:pPr>
        <w:pStyle w:val="Ttulo4"/>
      </w:pPr>
      <w:r w:rsidRPr="00AD24CA">
        <w:t>GASES DE OCCIDENTE</w:t>
      </w:r>
      <w:r w:rsidRPr="00AD24CA">
        <w:tab/>
      </w:r>
    </w:p>
    <w:p w14:paraId="29F0D20A" w14:textId="11AC3F12" w:rsidR="00AD24CA" w:rsidRDefault="009B7605" w:rsidP="00AD24CA">
      <w:pPr>
        <w:rPr>
          <w:rFonts w:cs="Arial"/>
          <w:sz w:val="22"/>
          <w:szCs w:val="22"/>
        </w:rPr>
      </w:pPr>
      <w:r>
        <w:rPr>
          <w:rFonts w:cs="Arial"/>
          <w:i/>
          <w:iCs/>
          <w:sz w:val="22"/>
          <w:szCs w:val="22"/>
        </w:rPr>
        <w:t>“</w:t>
      </w:r>
      <w:r w:rsidR="00AD24CA" w:rsidRPr="0095462C">
        <w:rPr>
          <w:rFonts w:cs="Arial"/>
          <w:i/>
          <w:iCs/>
          <w:sz w:val="22"/>
          <w:szCs w:val="22"/>
        </w:rPr>
        <w:t>En la medida en que en los Contratos con Interrupciones la oferta y/o demanda de cantidades a suministrar es incierta y el servicio puede ser interrumpido por cualquiera de las partes, en cualquier momento y bajo cualquier circunstancia, el costo del Gestor imputable al vendedor no debería ser transferido en el precio del gas de este tipo de Contratos</w:t>
      </w:r>
      <w:r w:rsidR="00AD24CA" w:rsidRPr="00AD24CA">
        <w:rPr>
          <w:rFonts w:cs="Arial"/>
          <w:sz w:val="22"/>
          <w:szCs w:val="22"/>
        </w:rPr>
        <w:t>.</w:t>
      </w:r>
      <w:r>
        <w:rPr>
          <w:rFonts w:cs="Arial"/>
          <w:sz w:val="22"/>
          <w:szCs w:val="22"/>
        </w:rPr>
        <w:t>”</w:t>
      </w:r>
    </w:p>
    <w:p w14:paraId="04DDDD0E" w14:textId="4E760A3F" w:rsidR="0095462C" w:rsidRDefault="0095462C" w:rsidP="00AD24CA">
      <w:pPr>
        <w:rPr>
          <w:rFonts w:cs="Arial"/>
          <w:sz w:val="22"/>
          <w:szCs w:val="22"/>
        </w:rPr>
      </w:pPr>
    </w:p>
    <w:p w14:paraId="2173FA84" w14:textId="3DF39069" w:rsidR="0095462C" w:rsidRPr="0095462C" w:rsidRDefault="0095462C" w:rsidP="00AD24CA">
      <w:pPr>
        <w:rPr>
          <w:rFonts w:cs="Arial"/>
          <w:b/>
          <w:bCs/>
          <w:sz w:val="22"/>
          <w:szCs w:val="22"/>
        </w:rPr>
      </w:pPr>
      <w:r w:rsidRPr="0095462C">
        <w:rPr>
          <w:rFonts w:cs="Arial"/>
          <w:b/>
          <w:bCs/>
          <w:sz w:val="22"/>
          <w:szCs w:val="22"/>
        </w:rPr>
        <w:t>Respuesta:</w:t>
      </w:r>
    </w:p>
    <w:p w14:paraId="1FBFE40B" w14:textId="77777777" w:rsidR="0095462C" w:rsidRDefault="0095462C" w:rsidP="0095462C">
      <w:pPr>
        <w:rPr>
          <w:rFonts w:cs="Arial"/>
          <w:sz w:val="22"/>
          <w:szCs w:val="22"/>
        </w:rPr>
      </w:pPr>
    </w:p>
    <w:p w14:paraId="1F9C4A3F" w14:textId="02452F0C" w:rsidR="0095462C" w:rsidRDefault="0095462C" w:rsidP="0095462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7D7990BB" w14:textId="77777777" w:rsidR="00AD24CA" w:rsidRDefault="00AD24CA" w:rsidP="00AD24CA">
      <w:pPr>
        <w:rPr>
          <w:rFonts w:cs="Arial"/>
          <w:sz w:val="22"/>
          <w:szCs w:val="22"/>
        </w:rPr>
      </w:pPr>
    </w:p>
    <w:p w14:paraId="414F291A" w14:textId="77777777" w:rsidR="00AD24CA" w:rsidRDefault="00AD24CA" w:rsidP="00AD24CA">
      <w:pPr>
        <w:rPr>
          <w:rFonts w:cs="Arial"/>
          <w:sz w:val="22"/>
          <w:szCs w:val="22"/>
        </w:rPr>
      </w:pPr>
    </w:p>
    <w:p w14:paraId="091DA547" w14:textId="77777777" w:rsidR="00AD24CA" w:rsidRDefault="00AD24CA" w:rsidP="00AD24CA">
      <w:pPr>
        <w:pStyle w:val="Ttulo2"/>
      </w:pPr>
      <w:bookmarkStart w:id="598" w:name="_Toc140506304"/>
      <w:r w:rsidRPr="00AD24CA">
        <w:t>ISAGEN</w:t>
      </w:r>
      <w:bookmarkEnd w:id="598"/>
      <w:r w:rsidRPr="00AD24CA">
        <w:tab/>
      </w:r>
    </w:p>
    <w:p w14:paraId="58AB59AA" w14:textId="77777777" w:rsidR="00AD24CA" w:rsidRDefault="00AD24CA" w:rsidP="00AD24CA">
      <w:pPr>
        <w:pStyle w:val="Ttulo4"/>
      </w:pPr>
      <w:r w:rsidRPr="00AD24CA">
        <w:t>ISAGEN</w:t>
      </w:r>
      <w:r w:rsidRPr="00AD24CA">
        <w:tab/>
      </w:r>
    </w:p>
    <w:p w14:paraId="16B6844E" w14:textId="481C84C0" w:rsidR="00AD24CA" w:rsidRPr="0095462C" w:rsidRDefault="00AD24CA" w:rsidP="00AD24CA">
      <w:pPr>
        <w:rPr>
          <w:rFonts w:cs="Arial"/>
          <w:i/>
          <w:iCs/>
          <w:sz w:val="22"/>
          <w:szCs w:val="22"/>
        </w:rPr>
      </w:pPr>
      <w:r w:rsidRPr="0095462C">
        <w:rPr>
          <w:rFonts w:cs="Arial"/>
          <w:i/>
          <w:iCs/>
          <w:sz w:val="22"/>
          <w:szCs w:val="22"/>
        </w:rPr>
        <w:t xml:space="preserve">"Solicitamos que se mantenga la metodología actual para el cálculo del ingreso regulado, en el cual se tienen en cuenta los contratos firmes (CF95, CF80) y de firmeza condicionada (CFC). Considerando que los contratos OCG y CFC son complementarios y transan una misma cantidad de gas, que se entrega a un contrato o al otro, sería conveniente que se tenga en cuenta el contrato con más alta probabilidad de entrega en el tiempo, que para este caso sería el contrato con firmeza condicionada CFC. </w:t>
      </w:r>
    </w:p>
    <w:p w14:paraId="0696D9E5" w14:textId="77777777" w:rsidR="00AD24CA" w:rsidRPr="0095462C" w:rsidRDefault="00AD24CA" w:rsidP="00AD24CA">
      <w:pPr>
        <w:rPr>
          <w:rFonts w:cs="Arial"/>
          <w:i/>
          <w:iCs/>
          <w:sz w:val="22"/>
          <w:szCs w:val="22"/>
        </w:rPr>
      </w:pPr>
    </w:p>
    <w:p w14:paraId="72FE606D" w14:textId="2339BF1A" w:rsidR="00AD24CA" w:rsidRPr="0095462C" w:rsidRDefault="00AD24CA" w:rsidP="00AD24CA">
      <w:pPr>
        <w:rPr>
          <w:rFonts w:cs="Arial"/>
          <w:i/>
          <w:iCs/>
          <w:sz w:val="22"/>
          <w:szCs w:val="22"/>
        </w:rPr>
      </w:pPr>
      <w:r w:rsidRPr="0095462C">
        <w:rPr>
          <w:rFonts w:cs="Arial"/>
          <w:i/>
          <w:iCs/>
          <w:sz w:val="22"/>
          <w:szCs w:val="22"/>
        </w:rPr>
        <w:t xml:space="preserve">En cuanto a los contratos con interrupciones, y teniendo en cuenta que estos contratos generalmente se negocian en el corto plazo, en contratos diarios, semanales, mensuales o menores a un año, al </w:t>
      </w:r>
      <w:r w:rsidR="007C635B" w:rsidRPr="0095462C">
        <w:rPr>
          <w:rFonts w:cs="Arial"/>
          <w:i/>
          <w:iCs/>
          <w:sz w:val="22"/>
          <w:szCs w:val="22"/>
        </w:rPr>
        <w:t>considerarlos</w:t>
      </w:r>
      <w:r w:rsidRPr="0095462C">
        <w:rPr>
          <w:rFonts w:cs="Arial"/>
          <w:i/>
          <w:iCs/>
          <w:sz w:val="22"/>
          <w:szCs w:val="22"/>
        </w:rPr>
        <w:t xml:space="preserve"> en el cálculo podría ocurrir que se sume la misma cantidad de gas varias veces, como se muestra a continuación:</w:t>
      </w:r>
    </w:p>
    <w:p w14:paraId="6910746D" w14:textId="77777777" w:rsidR="00AD24CA" w:rsidRPr="0095462C" w:rsidRDefault="00AD24CA" w:rsidP="00AD24CA">
      <w:pPr>
        <w:rPr>
          <w:rFonts w:cs="Arial"/>
          <w:i/>
          <w:iCs/>
          <w:sz w:val="22"/>
          <w:szCs w:val="22"/>
        </w:rPr>
      </w:pPr>
    </w:p>
    <w:p w14:paraId="23C6295D" w14:textId="25124215" w:rsidR="00AD24CA" w:rsidRPr="0095462C" w:rsidRDefault="00AD24CA" w:rsidP="00AD24CA">
      <w:pPr>
        <w:rPr>
          <w:rFonts w:cs="Arial"/>
          <w:i/>
          <w:iCs/>
          <w:sz w:val="22"/>
          <w:szCs w:val="22"/>
        </w:rPr>
      </w:pPr>
      <w:r w:rsidRPr="0095462C">
        <w:rPr>
          <w:rFonts w:cs="Arial"/>
          <w:i/>
          <w:iCs/>
          <w:sz w:val="22"/>
          <w:szCs w:val="22"/>
        </w:rPr>
        <w:t xml:space="preserve">Caso 1: negociación de 1 contrato mensual por 1,000 MBTUD, Caso 2: negociación de 30 contratos diarios con interrupciones por 1,000 MBTUD, desde el punto de vista operativo o de despachos para el mismo periodo de tiempo (1 mes) los 30 contratos diarios son equivalente al contrato mensual, pero para el cálculo del ingreso regulado del </w:t>
      </w:r>
      <w:r w:rsidR="005114C6">
        <w:rPr>
          <w:rFonts w:cs="Arial"/>
          <w:i/>
          <w:iCs/>
          <w:sz w:val="22"/>
          <w:szCs w:val="22"/>
        </w:rPr>
        <w:t>Gestor del Mercado</w:t>
      </w:r>
      <w:r w:rsidRPr="0095462C">
        <w:rPr>
          <w:rFonts w:cs="Arial"/>
          <w:i/>
          <w:iCs/>
          <w:sz w:val="22"/>
          <w:szCs w:val="22"/>
        </w:rPr>
        <w:t xml:space="preserve"> no son equivalentes porque se tiene en cuenta la cantidad de gas negociada y no lo estandariza a un mismo periodo de tiempo. Para el caso 1 la cantidad </w:t>
      </w:r>
      <w:proofErr w:type="gramStart"/>
      <w:r w:rsidRPr="0095462C">
        <w:rPr>
          <w:rFonts w:cs="Arial"/>
          <w:i/>
          <w:iCs/>
          <w:sz w:val="22"/>
          <w:szCs w:val="22"/>
        </w:rPr>
        <w:t>a</w:t>
      </w:r>
      <w:proofErr w:type="gramEnd"/>
      <w:r w:rsidRPr="0095462C">
        <w:rPr>
          <w:rFonts w:cs="Arial"/>
          <w:i/>
          <w:iCs/>
          <w:sz w:val="22"/>
          <w:szCs w:val="22"/>
        </w:rPr>
        <w:t xml:space="preserve"> tener en cuenta seria únicamente 1,000 MBTU, por el contrario, para el caso 2 se tendrían en cuenta los 30 contratos diarias negociados que representan 30,000 MBTU lo cual distorsiona el cálculo del ingreso regulado.</w:t>
      </w:r>
    </w:p>
    <w:p w14:paraId="0D9687A2" w14:textId="77777777" w:rsidR="00AD24CA" w:rsidRPr="0095462C" w:rsidRDefault="00AD24CA" w:rsidP="00AD24CA">
      <w:pPr>
        <w:rPr>
          <w:rFonts w:cs="Arial"/>
          <w:i/>
          <w:iCs/>
          <w:sz w:val="22"/>
          <w:szCs w:val="22"/>
        </w:rPr>
      </w:pPr>
    </w:p>
    <w:p w14:paraId="042DA0B1" w14:textId="21720C90" w:rsidR="00AD24CA" w:rsidRDefault="00AD24CA" w:rsidP="00AD24CA">
      <w:pPr>
        <w:rPr>
          <w:rFonts w:cs="Arial"/>
          <w:sz w:val="22"/>
          <w:szCs w:val="22"/>
        </w:rPr>
      </w:pPr>
      <w:r w:rsidRPr="0095462C">
        <w:rPr>
          <w:rFonts w:cs="Arial"/>
          <w:i/>
          <w:iCs/>
          <w:sz w:val="22"/>
          <w:szCs w:val="22"/>
        </w:rPr>
        <w:t>Adicionalmente, por lo general los contratos con interrupciones son contratos marginales y se firman para negocios de oportunidad en los cuales el precio es representativo, por lo cual cualquier valor adicional o incremento en la tarifa final inviabiliza la negociación por el aumento en los costos de transacción</w:t>
      </w:r>
      <w:r w:rsidRPr="00AD24CA">
        <w:rPr>
          <w:rFonts w:cs="Arial"/>
          <w:sz w:val="22"/>
          <w:szCs w:val="22"/>
        </w:rPr>
        <w:t>."</w:t>
      </w:r>
    </w:p>
    <w:p w14:paraId="2F58B04D" w14:textId="78705874" w:rsidR="0095462C" w:rsidRDefault="0095462C" w:rsidP="00AD24CA">
      <w:pPr>
        <w:rPr>
          <w:rFonts w:cs="Arial"/>
          <w:sz w:val="22"/>
          <w:szCs w:val="22"/>
        </w:rPr>
      </w:pPr>
    </w:p>
    <w:p w14:paraId="08FE5C38" w14:textId="7EC80B7A" w:rsidR="0095462C" w:rsidRPr="0095462C" w:rsidRDefault="0095462C" w:rsidP="00AD24CA">
      <w:pPr>
        <w:rPr>
          <w:rFonts w:cs="Arial"/>
          <w:b/>
          <w:bCs/>
          <w:sz w:val="22"/>
          <w:szCs w:val="22"/>
        </w:rPr>
      </w:pPr>
      <w:r w:rsidRPr="0095462C">
        <w:rPr>
          <w:rFonts w:cs="Arial"/>
          <w:b/>
          <w:bCs/>
          <w:sz w:val="22"/>
          <w:szCs w:val="22"/>
        </w:rPr>
        <w:t>Respuesta:</w:t>
      </w:r>
    </w:p>
    <w:p w14:paraId="5B6D55D5" w14:textId="0C82B8CE" w:rsidR="0095462C" w:rsidRDefault="0095462C" w:rsidP="00AD24CA">
      <w:pPr>
        <w:rPr>
          <w:rFonts w:cs="Arial"/>
          <w:sz w:val="22"/>
          <w:szCs w:val="22"/>
        </w:rPr>
      </w:pPr>
    </w:p>
    <w:p w14:paraId="78ABECFA" w14:textId="01AC404D" w:rsidR="0095462C" w:rsidRDefault="0095462C" w:rsidP="0095462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7A82190E" w14:textId="77777777" w:rsidR="00AD24CA" w:rsidRDefault="00AD24CA" w:rsidP="00AD24CA">
      <w:pPr>
        <w:rPr>
          <w:rFonts w:cs="Arial"/>
          <w:sz w:val="22"/>
          <w:szCs w:val="22"/>
        </w:rPr>
      </w:pPr>
    </w:p>
    <w:p w14:paraId="10354699" w14:textId="77777777" w:rsidR="00AD24CA" w:rsidRDefault="00AD24CA" w:rsidP="00AD24CA">
      <w:pPr>
        <w:rPr>
          <w:rFonts w:cs="Arial"/>
          <w:sz w:val="22"/>
          <w:szCs w:val="22"/>
        </w:rPr>
      </w:pPr>
    </w:p>
    <w:p w14:paraId="08DE8A55" w14:textId="77777777" w:rsidR="00AD24CA" w:rsidRDefault="00AD24CA" w:rsidP="00AD24CA">
      <w:pPr>
        <w:pStyle w:val="Ttulo2"/>
      </w:pPr>
      <w:bookmarkStart w:id="599" w:name="_Toc140506305"/>
      <w:r w:rsidRPr="00AD24CA">
        <w:t>PROMIGAS</w:t>
      </w:r>
      <w:bookmarkEnd w:id="599"/>
      <w:r w:rsidRPr="00AD24CA">
        <w:tab/>
      </w:r>
    </w:p>
    <w:p w14:paraId="7CD48006" w14:textId="77777777" w:rsidR="00AD24CA" w:rsidRDefault="00AD24CA" w:rsidP="00AD24CA">
      <w:pPr>
        <w:pStyle w:val="Ttulo4"/>
      </w:pPr>
      <w:r w:rsidRPr="00AD24CA">
        <w:t>PROMIGAS</w:t>
      </w:r>
      <w:r w:rsidRPr="00AD24CA">
        <w:tab/>
      </w:r>
    </w:p>
    <w:p w14:paraId="657A59D9" w14:textId="403DD845" w:rsidR="00AD24CA" w:rsidRPr="008F2738" w:rsidRDefault="00216A6E" w:rsidP="00AD24CA">
      <w:pPr>
        <w:rPr>
          <w:rFonts w:cs="Arial"/>
          <w:i/>
          <w:iCs/>
          <w:sz w:val="22"/>
          <w:szCs w:val="22"/>
        </w:rPr>
      </w:pPr>
      <w:r>
        <w:rPr>
          <w:rFonts w:cs="Arial"/>
          <w:i/>
          <w:iCs/>
          <w:sz w:val="22"/>
          <w:szCs w:val="22"/>
        </w:rPr>
        <w:t>“</w:t>
      </w:r>
      <w:r w:rsidR="00AD24CA" w:rsidRPr="008F2738">
        <w:rPr>
          <w:rFonts w:cs="Arial"/>
          <w:i/>
          <w:iCs/>
          <w:sz w:val="22"/>
          <w:szCs w:val="22"/>
        </w:rPr>
        <w:t>En la medida en que en los Contratos con Interrupciones la oferta y/o demanda de cantidades a suministrar es incierta y el servicio puede ser interrumpido por cualquiera de las partes, en cualquier momento y bajo cualquier circunstancia, el costo del Gestor imputable al vendedor no debería ser transferido en el precio del gas de este tipo de Contratos.</w:t>
      </w:r>
      <w:r>
        <w:rPr>
          <w:rFonts w:cs="Arial"/>
          <w:i/>
          <w:iCs/>
          <w:sz w:val="22"/>
          <w:szCs w:val="22"/>
        </w:rPr>
        <w:t>”</w:t>
      </w:r>
    </w:p>
    <w:p w14:paraId="69DC68E4" w14:textId="47B0D775" w:rsidR="008F2738" w:rsidRDefault="008F2738" w:rsidP="00AD24CA">
      <w:pPr>
        <w:rPr>
          <w:rFonts w:cs="Arial"/>
          <w:sz w:val="22"/>
          <w:szCs w:val="22"/>
        </w:rPr>
      </w:pPr>
    </w:p>
    <w:p w14:paraId="66467B2B" w14:textId="26D33EA8" w:rsidR="008F2738" w:rsidRPr="008F2738" w:rsidRDefault="008F2738" w:rsidP="00AD24CA">
      <w:pPr>
        <w:rPr>
          <w:rFonts w:cs="Arial"/>
          <w:b/>
          <w:bCs/>
          <w:sz w:val="22"/>
          <w:szCs w:val="22"/>
        </w:rPr>
      </w:pPr>
      <w:r w:rsidRPr="008F2738">
        <w:rPr>
          <w:rFonts w:cs="Arial"/>
          <w:b/>
          <w:bCs/>
          <w:sz w:val="22"/>
          <w:szCs w:val="22"/>
        </w:rPr>
        <w:t>Respuesta:</w:t>
      </w:r>
    </w:p>
    <w:p w14:paraId="1117769F" w14:textId="4DF527BC" w:rsidR="008F2738" w:rsidRDefault="008F2738" w:rsidP="00AD24CA">
      <w:pPr>
        <w:rPr>
          <w:rFonts w:cs="Arial"/>
          <w:sz w:val="22"/>
          <w:szCs w:val="22"/>
        </w:rPr>
      </w:pPr>
    </w:p>
    <w:p w14:paraId="125D0C27" w14:textId="4908047A" w:rsidR="008F2738" w:rsidRDefault="008F2738" w:rsidP="008F2738">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73693528" w14:textId="77777777" w:rsidR="00AD24CA" w:rsidRDefault="00AD24CA" w:rsidP="00AD24CA">
      <w:pPr>
        <w:rPr>
          <w:rFonts w:cs="Arial"/>
          <w:sz w:val="22"/>
          <w:szCs w:val="22"/>
        </w:rPr>
      </w:pPr>
    </w:p>
    <w:p w14:paraId="17B85E76" w14:textId="77777777" w:rsidR="00AD24CA" w:rsidRDefault="00AD24CA" w:rsidP="00AD24CA">
      <w:pPr>
        <w:rPr>
          <w:rFonts w:cs="Arial"/>
          <w:sz w:val="22"/>
          <w:szCs w:val="22"/>
        </w:rPr>
      </w:pPr>
    </w:p>
    <w:p w14:paraId="56F70838" w14:textId="77777777" w:rsidR="00AD24CA" w:rsidRDefault="00AD24CA" w:rsidP="00AD24CA">
      <w:pPr>
        <w:pStyle w:val="Ttulo2"/>
      </w:pPr>
      <w:bookmarkStart w:id="600" w:name="_Toc140506306"/>
      <w:r w:rsidRPr="00AD24CA">
        <w:t>SURTIGAS</w:t>
      </w:r>
      <w:bookmarkEnd w:id="600"/>
      <w:r w:rsidRPr="00AD24CA">
        <w:tab/>
      </w:r>
    </w:p>
    <w:p w14:paraId="691597E0" w14:textId="77777777" w:rsidR="00AD24CA" w:rsidRDefault="00AD24CA" w:rsidP="00AD24CA">
      <w:pPr>
        <w:pStyle w:val="Ttulo4"/>
      </w:pPr>
      <w:r w:rsidRPr="00AD24CA">
        <w:t>SURTIGAS</w:t>
      </w:r>
      <w:r w:rsidRPr="00AD24CA">
        <w:tab/>
      </w:r>
    </w:p>
    <w:p w14:paraId="21D5D8D6" w14:textId="02DB855C" w:rsidR="00AD24CA" w:rsidRPr="008F2738" w:rsidRDefault="00216A6E" w:rsidP="00AD24CA">
      <w:pPr>
        <w:rPr>
          <w:rFonts w:cs="Arial"/>
          <w:i/>
          <w:iCs/>
          <w:sz w:val="22"/>
          <w:szCs w:val="22"/>
        </w:rPr>
      </w:pPr>
      <w:r>
        <w:rPr>
          <w:rFonts w:cs="Arial"/>
          <w:i/>
          <w:iCs/>
          <w:sz w:val="22"/>
          <w:szCs w:val="22"/>
        </w:rPr>
        <w:t>“</w:t>
      </w:r>
      <w:r w:rsidR="00AD24CA" w:rsidRPr="008F2738">
        <w:rPr>
          <w:rFonts w:cs="Arial"/>
          <w:i/>
          <w:iCs/>
          <w:sz w:val="22"/>
          <w:szCs w:val="22"/>
        </w:rPr>
        <w:t>En la medida en que en los Contratos con Interrupciones la oferta y/o demanda de cantidades a suministrar es incierta y el servicio puede ser interrumpido por cualquiera de las partes, en cualquier momento y bajo cualquier circunstancia, el costo del Gestor imputable al vendedor no debería ser transferido en el precio del gas de este tipo de Contratos.</w:t>
      </w:r>
      <w:r>
        <w:rPr>
          <w:rFonts w:cs="Arial"/>
          <w:i/>
          <w:iCs/>
          <w:sz w:val="22"/>
          <w:szCs w:val="22"/>
        </w:rPr>
        <w:t>”</w:t>
      </w:r>
    </w:p>
    <w:p w14:paraId="0684C39B" w14:textId="77777777" w:rsidR="008F2738" w:rsidRDefault="008F2738" w:rsidP="008F2738">
      <w:pPr>
        <w:rPr>
          <w:rFonts w:cs="Arial"/>
          <w:b/>
          <w:bCs/>
          <w:sz w:val="22"/>
          <w:szCs w:val="22"/>
        </w:rPr>
      </w:pPr>
    </w:p>
    <w:p w14:paraId="6026F7CA" w14:textId="5657EF50" w:rsidR="008F2738" w:rsidRPr="008F2738" w:rsidRDefault="008F2738" w:rsidP="008F2738">
      <w:pPr>
        <w:rPr>
          <w:rFonts w:cs="Arial"/>
          <w:b/>
          <w:bCs/>
          <w:sz w:val="22"/>
          <w:szCs w:val="22"/>
        </w:rPr>
      </w:pPr>
      <w:r w:rsidRPr="008F2738">
        <w:rPr>
          <w:rFonts w:cs="Arial"/>
          <w:b/>
          <w:bCs/>
          <w:sz w:val="22"/>
          <w:szCs w:val="22"/>
        </w:rPr>
        <w:t>Respuesta:</w:t>
      </w:r>
    </w:p>
    <w:p w14:paraId="51FCFB90" w14:textId="77777777" w:rsidR="008F2738" w:rsidRDefault="008F2738" w:rsidP="008F2738">
      <w:pPr>
        <w:rPr>
          <w:rFonts w:cs="Arial"/>
          <w:sz w:val="22"/>
          <w:szCs w:val="22"/>
        </w:rPr>
      </w:pPr>
    </w:p>
    <w:p w14:paraId="714BB4D4" w14:textId="50B38B54" w:rsidR="008F2738" w:rsidRDefault="008F2738" w:rsidP="008F2738">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38C0178D" w14:textId="77777777" w:rsidR="00AD24CA" w:rsidRDefault="00AD24CA" w:rsidP="00AD24CA">
      <w:pPr>
        <w:rPr>
          <w:rFonts w:cs="Arial"/>
          <w:sz w:val="22"/>
          <w:szCs w:val="22"/>
        </w:rPr>
      </w:pPr>
    </w:p>
    <w:p w14:paraId="084BAE73" w14:textId="77777777" w:rsidR="00AD24CA" w:rsidRDefault="00AD24CA" w:rsidP="00AD24CA">
      <w:pPr>
        <w:rPr>
          <w:rFonts w:cs="Arial"/>
          <w:sz w:val="22"/>
          <w:szCs w:val="22"/>
        </w:rPr>
      </w:pPr>
    </w:p>
    <w:p w14:paraId="19B6F2C8" w14:textId="77777777" w:rsidR="00AD24CA" w:rsidRDefault="00AD24CA" w:rsidP="00AD24CA">
      <w:pPr>
        <w:pStyle w:val="Ttulo2"/>
      </w:pPr>
      <w:bookmarkStart w:id="601" w:name="_Toc140506307"/>
      <w:r w:rsidRPr="00AD24CA">
        <w:t>TEBSA</w:t>
      </w:r>
      <w:bookmarkEnd w:id="601"/>
      <w:r w:rsidRPr="00AD24CA">
        <w:tab/>
      </w:r>
    </w:p>
    <w:p w14:paraId="4058C555" w14:textId="77777777" w:rsidR="00AD24CA" w:rsidRDefault="00AD24CA" w:rsidP="00AD24CA">
      <w:pPr>
        <w:pStyle w:val="Ttulo4"/>
      </w:pPr>
      <w:r w:rsidRPr="00AD24CA">
        <w:t>TEBSA</w:t>
      </w:r>
      <w:r w:rsidRPr="00AD24CA">
        <w:tab/>
      </w:r>
    </w:p>
    <w:p w14:paraId="23EC5F03" w14:textId="2C3F2299" w:rsidR="00AD24CA" w:rsidRDefault="008F2738" w:rsidP="00AD24CA">
      <w:pPr>
        <w:rPr>
          <w:rFonts w:cs="Arial"/>
          <w:sz w:val="22"/>
          <w:szCs w:val="22"/>
        </w:rPr>
      </w:pPr>
      <w:r>
        <w:rPr>
          <w:rFonts w:cs="Arial"/>
          <w:sz w:val="22"/>
          <w:szCs w:val="22"/>
        </w:rPr>
        <w:t>“</w:t>
      </w:r>
      <w:r w:rsidR="00AD24CA" w:rsidRPr="00B14A9D">
        <w:rPr>
          <w:rFonts w:cs="Arial"/>
          <w:i/>
          <w:iCs/>
          <w:sz w:val="22"/>
          <w:szCs w:val="22"/>
        </w:rPr>
        <w:t>En cuanto a la remuneración del gestor de mercado, no vemos viable incluir la modalidad Con Interrupciones, dado que son contratos que no se ejecutan todos los días</w:t>
      </w:r>
      <w:r>
        <w:rPr>
          <w:rFonts w:cs="Arial"/>
          <w:sz w:val="22"/>
          <w:szCs w:val="22"/>
        </w:rPr>
        <w:t>.”</w:t>
      </w:r>
    </w:p>
    <w:p w14:paraId="0D1F1656" w14:textId="7CA8910B" w:rsidR="008F2738" w:rsidRDefault="008F2738" w:rsidP="00AD24CA">
      <w:pPr>
        <w:rPr>
          <w:rFonts w:cs="Arial"/>
          <w:sz w:val="22"/>
          <w:szCs w:val="22"/>
        </w:rPr>
      </w:pPr>
    </w:p>
    <w:p w14:paraId="076E4524" w14:textId="77777777" w:rsidR="008F2738" w:rsidRPr="008F2738" w:rsidRDefault="008F2738" w:rsidP="008F2738">
      <w:pPr>
        <w:rPr>
          <w:rFonts w:cs="Arial"/>
          <w:b/>
          <w:bCs/>
          <w:sz w:val="22"/>
          <w:szCs w:val="22"/>
        </w:rPr>
      </w:pPr>
      <w:r w:rsidRPr="008F2738">
        <w:rPr>
          <w:rFonts w:cs="Arial"/>
          <w:b/>
          <w:bCs/>
          <w:sz w:val="22"/>
          <w:szCs w:val="22"/>
        </w:rPr>
        <w:t>Respuesta:</w:t>
      </w:r>
    </w:p>
    <w:p w14:paraId="2C5F1E04" w14:textId="77777777" w:rsidR="008F2738" w:rsidRDefault="008F2738" w:rsidP="008F2738">
      <w:pPr>
        <w:rPr>
          <w:rFonts w:cs="Arial"/>
          <w:sz w:val="22"/>
          <w:szCs w:val="22"/>
        </w:rPr>
      </w:pPr>
    </w:p>
    <w:p w14:paraId="580F522C" w14:textId="58F40EB6" w:rsidR="008F2738" w:rsidRDefault="008F2738" w:rsidP="008F2738">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206AF0E0" w14:textId="77777777" w:rsidR="00AD24CA" w:rsidRDefault="00AD24CA" w:rsidP="00AD24CA">
      <w:pPr>
        <w:rPr>
          <w:rFonts w:cs="Arial"/>
          <w:sz w:val="22"/>
          <w:szCs w:val="22"/>
        </w:rPr>
      </w:pPr>
    </w:p>
    <w:p w14:paraId="5498CE8F" w14:textId="77777777" w:rsidR="00AD24CA" w:rsidRDefault="00AD24CA" w:rsidP="00AD24CA">
      <w:pPr>
        <w:rPr>
          <w:rFonts w:cs="Arial"/>
          <w:sz w:val="22"/>
          <w:szCs w:val="22"/>
        </w:rPr>
      </w:pPr>
    </w:p>
    <w:p w14:paraId="7C60B2BB" w14:textId="77777777" w:rsidR="00AD24CA" w:rsidRDefault="00AD24CA" w:rsidP="00AD24CA">
      <w:pPr>
        <w:pStyle w:val="Ttulo2"/>
      </w:pPr>
      <w:bookmarkStart w:id="602" w:name="_Toc140506308"/>
      <w:r w:rsidRPr="00AD24CA">
        <w:t>TERPEL</w:t>
      </w:r>
      <w:bookmarkEnd w:id="602"/>
      <w:r w:rsidRPr="00AD24CA">
        <w:tab/>
      </w:r>
    </w:p>
    <w:p w14:paraId="4E0A4BE3" w14:textId="77777777" w:rsidR="00AD24CA" w:rsidRDefault="00AD24CA" w:rsidP="00AD24CA">
      <w:pPr>
        <w:pStyle w:val="Ttulo4"/>
      </w:pPr>
      <w:r w:rsidRPr="00AD24CA">
        <w:t>TERPEL</w:t>
      </w:r>
      <w:r w:rsidRPr="00AD24CA">
        <w:tab/>
      </w:r>
    </w:p>
    <w:p w14:paraId="3AD49D8D" w14:textId="7B7B6FAD" w:rsidR="00AD24CA" w:rsidRPr="00B14A9D" w:rsidRDefault="00C42E6D" w:rsidP="00AD24CA">
      <w:pPr>
        <w:rPr>
          <w:rFonts w:cs="Arial"/>
          <w:i/>
          <w:iCs/>
          <w:sz w:val="22"/>
          <w:szCs w:val="22"/>
        </w:rPr>
      </w:pPr>
      <w:r>
        <w:rPr>
          <w:rFonts w:cs="Arial"/>
          <w:i/>
          <w:iCs/>
          <w:sz w:val="22"/>
          <w:szCs w:val="22"/>
        </w:rPr>
        <w:t>“</w:t>
      </w:r>
      <w:r w:rsidR="00AD24CA" w:rsidRPr="00B14A9D">
        <w:rPr>
          <w:rFonts w:cs="Arial"/>
          <w:i/>
          <w:iCs/>
          <w:sz w:val="22"/>
          <w:szCs w:val="22"/>
        </w:rPr>
        <w:t>En el caso de contratos interrumpibles, ¿</w:t>
      </w:r>
      <w:proofErr w:type="spellStart"/>
      <w:r w:rsidR="00AD24CA" w:rsidRPr="00B14A9D">
        <w:rPr>
          <w:rFonts w:cs="Arial"/>
          <w:i/>
          <w:iCs/>
          <w:sz w:val="22"/>
          <w:szCs w:val="22"/>
        </w:rPr>
        <w:t>cuando</w:t>
      </w:r>
      <w:proofErr w:type="spellEnd"/>
      <w:r w:rsidR="00AD24CA" w:rsidRPr="00B14A9D">
        <w:rPr>
          <w:rFonts w:cs="Arial"/>
          <w:i/>
          <w:iCs/>
          <w:sz w:val="22"/>
          <w:szCs w:val="22"/>
        </w:rPr>
        <w:t xml:space="preserve"> no se nomine por ese contrato, se entendería que no se paga </w:t>
      </w:r>
      <w:proofErr w:type="gramStart"/>
      <w:r w:rsidR="00AD24CA" w:rsidRPr="00B14A9D">
        <w:rPr>
          <w:rFonts w:cs="Arial"/>
          <w:i/>
          <w:iCs/>
          <w:sz w:val="22"/>
          <w:szCs w:val="22"/>
        </w:rPr>
        <w:t>remuneración?.</w:t>
      </w:r>
      <w:proofErr w:type="gramEnd"/>
      <w:r w:rsidR="00AD24CA" w:rsidRPr="00B14A9D">
        <w:rPr>
          <w:rFonts w:cs="Arial"/>
          <w:i/>
          <w:iCs/>
          <w:sz w:val="22"/>
          <w:szCs w:val="22"/>
        </w:rPr>
        <w:t xml:space="preserve"> En el caso que si aplique pago de remuneración independientemente de que se utilice o </w:t>
      </w:r>
      <w:proofErr w:type="gramStart"/>
      <w:r w:rsidR="00AD24CA" w:rsidRPr="00B14A9D">
        <w:rPr>
          <w:rFonts w:cs="Arial"/>
          <w:i/>
          <w:iCs/>
          <w:sz w:val="22"/>
          <w:szCs w:val="22"/>
        </w:rPr>
        <w:t>no,  ¿</w:t>
      </w:r>
      <w:proofErr w:type="gramEnd"/>
      <w:r w:rsidR="00AD24CA" w:rsidRPr="00B14A9D">
        <w:rPr>
          <w:rFonts w:cs="Arial"/>
          <w:i/>
          <w:iCs/>
          <w:sz w:val="22"/>
          <w:szCs w:val="22"/>
        </w:rPr>
        <w:t>con base a que valor se realizaría el cálculo?</w:t>
      </w:r>
      <w:r>
        <w:rPr>
          <w:rFonts w:cs="Arial"/>
          <w:i/>
          <w:iCs/>
          <w:sz w:val="22"/>
          <w:szCs w:val="22"/>
        </w:rPr>
        <w:t>”</w:t>
      </w:r>
    </w:p>
    <w:p w14:paraId="4EFF3879" w14:textId="77777777" w:rsidR="00426028" w:rsidRPr="006F1229" w:rsidRDefault="00426028" w:rsidP="00371CB5">
      <w:pPr>
        <w:rPr>
          <w:rFonts w:cs="Arial"/>
          <w:b/>
          <w:bCs/>
          <w:sz w:val="22"/>
          <w:szCs w:val="22"/>
        </w:rPr>
      </w:pPr>
    </w:p>
    <w:p w14:paraId="4C5D88C5" w14:textId="0B93D024" w:rsidR="00426028" w:rsidRDefault="008F2738" w:rsidP="00371CB5">
      <w:pPr>
        <w:rPr>
          <w:rFonts w:cs="Arial"/>
          <w:b/>
          <w:bCs/>
          <w:sz w:val="22"/>
          <w:szCs w:val="22"/>
        </w:rPr>
      </w:pPr>
      <w:r>
        <w:rPr>
          <w:rFonts w:cs="Arial"/>
          <w:b/>
          <w:bCs/>
          <w:sz w:val="22"/>
          <w:szCs w:val="22"/>
        </w:rPr>
        <w:t>Respuesta:</w:t>
      </w:r>
    </w:p>
    <w:p w14:paraId="40A4B152" w14:textId="56D57ACD" w:rsidR="008F2738" w:rsidRDefault="008F2738" w:rsidP="00371CB5">
      <w:pPr>
        <w:rPr>
          <w:rFonts w:cs="Arial"/>
          <w:b/>
          <w:bCs/>
          <w:sz w:val="22"/>
          <w:szCs w:val="22"/>
        </w:rPr>
      </w:pPr>
    </w:p>
    <w:p w14:paraId="3F1CB02F" w14:textId="69DD156D" w:rsidR="008F2738" w:rsidRDefault="008F2738" w:rsidP="008F2738">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_Ref130561048 \r \h </w:instrText>
      </w:r>
      <w:r>
        <w:rPr>
          <w:rFonts w:cs="Arial"/>
          <w:sz w:val="22"/>
          <w:szCs w:val="22"/>
        </w:rPr>
      </w:r>
      <w:r>
        <w:rPr>
          <w:rFonts w:cs="Arial"/>
          <w:sz w:val="22"/>
          <w:szCs w:val="22"/>
        </w:rPr>
        <w:fldChar w:fldCharType="separate"/>
      </w:r>
      <w:r w:rsidR="007651EA">
        <w:rPr>
          <w:rFonts w:cs="Arial"/>
          <w:sz w:val="22"/>
          <w:szCs w:val="22"/>
        </w:rPr>
        <w:t>7.1.1.1</w:t>
      </w:r>
      <w:r>
        <w:rPr>
          <w:rFonts w:cs="Arial"/>
          <w:sz w:val="22"/>
          <w:szCs w:val="22"/>
        </w:rPr>
        <w:fldChar w:fldCharType="end"/>
      </w:r>
      <w:r>
        <w:rPr>
          <w:rFonts w:cs="Arial"/>
          <w:sz w:val="22"/>
          <w:szCs w:val="22"/>
        </w:rPr>
        <w:t>.</w:t>
      </w:r>
    </w:p>
    <w:p w14:paraId="500BA7EA" w14:textId="77777777" w:rsidR="00426028" w:rsidRPr="006F1229" w:rsidRDefault="00426028" w:rsidP="00371CB5">
      <w:pPr>
        <w:rPr>
          <w:rFonts w:cs="Arial"/>
          <w:b/>
          <w:bCs/>
          <w:sz w:val="22"/>
          <w:szCs w:val="22"/>
        </w:rPr>
      </w:pPr>
    </w:p>
    <w:p w14:paraId="0954CAB8" w14:textId="6F7DEFD3" w:rsidR="00D26961" w:rsidRDefault="00D26961" w:rsidP="00D26961">
      <w:pPr>
        <w:pStyle w:val="Ttulo1"/>
        <w:numPr>
          <w:ilvl w:val="0"/>
          <w:numId w:val="1"/>
        </w:numPr>
        <w:rPr>
          <w:caps/>
        </w:rPr>
      </w:pPr>
      <w:bookmarkStart w:id="603" w:name="_Toc140506309"/>
      <w:r>
        <w:t xml:space="preserve">ARTÍCULO </w:t>
      </w:r>
      <w:r w:rsidR="00EF1C07">
        <w:t>8</w:t>
      </w:r>
      <w:r>
        <w:t>.</w:t>
      </w:r>
      <w:r w:rsidR="0070732E">
        <w:t xml:space="preserve"> </w:t>
      </w:r>
      <w:r w:rsidR="0070732E" w:rsidRPr="0070732E">
        <w:rPr>
          <w:caps/>
        </w:rPr>
        <w:t>Modalidades de contratos de suministro permitidos</w:t>
      </w:r>
      <w:bookmarkEnd w:id="603"/>
    </w:p>
    <w:p w14:paraId="0353D9F1" w14:textId="77777777" w:rsidR="00C741B5" w:rsidRDefault="00501DB9" w:rsidP="00C741B5">
      <w:pPr>
        <w:pStyle w:val="Ttulo2"/>
      </w:pPr>
      <w:bookmarkStart w:id="604" w:name="_Toc140506310"/>
      <w:r w:rsidRPr="00501DB9">
        <w:t>ACP</w:t>
      </w:r>
      <w:bookmarkEnd w:id="604"/>
      <w:r w:rsidRPr="00501DB9">
        <w:tab/>
      </w:r>
    </w:p>
    <w:p w14:paraId="16DF97A2" w14:textId="77777777" w:rsidR="00C741B5" w:rsidRDefault="00C741B5" w:rsidP="00C741B5">
      <w:pPr>
        <w:pStyle w:val="Ttulo4"/>
      </w:pPr>
      <w:bookmarkStart w:id="605" w:name="_Ref130636528"/>
      <w:r w:rsidRPr="00501DB9">
        <w:t>ACP</w:t>
      </w:r>
      <w:bookmarkEnd w:id="605"/>
      <w:r w:rsidRPr="00501DB9">
        <w:tab/>
      </w:r>
    </w:p>
    <w:p w14:paraId="7824AF30" w14:textId="3E0BC9ED" w:rsidR="00501DB9" w:rsidRPr="00623898" w:rsidRDefault="00C42E6D" w:rsidP="00501DB9">
      <w:pPr>
        <w:rPr>
          <w:rFonts w:cs="Arial"/>
          <w:i/>
          <w:iCs/>
          <w:sz w:val="22"/>
          <w:szCs w:val="22"/>
        </w:rPr>
      </w:pPr>
      <w:r>
        <w:rPr>
          <w:rFonts w:cs="Arial"/>
          <w:i/>
          <w:iCs/>
          <w:sz w:val="22"/>
          <w:szCs w:val="22"/>
        </w:rPr>
        <w:t>“</w:t>
      </w:r>
      <w:r w:rsidR="00501DB9" w:rsidRPr="00623898">
        <w:rPr>
          <w:rFonts w:cs="Arial"/>
          <w:i/>
          <w:iCs/>
          <w:sz w:val="22"/>
          <w:szCs w:val="22"/>
        </w:rPr>
        <w:t>Es positivo que tanto oferta como demanda tengan la posibilidad proponer nuevas modalidades contractuales. Es importante aprovechar la flexibilidad para poner en práctica nuevos productos sin esperar años para su implementación.</w:t>
      </w:r>
      <w:r>
        <w:rPr>
          <w:rFonts w:cs="Arial"/>
          <w:i/>
          <w:iCs/>
          <w:sz w:val="22"/>
          <w:szCs w:val="22"/>
        </w:rPr>
        <w:t>”</w:t>
      </w:r>
    </w:p>
    <w:p w14:paraId="4EE03EFF" w14:textId="0BDDAD42" w:rsidR="00623898" w:rsidRDefault="00623898" w:rsidP="00501DB9">
      <w:pPr>
        <w:rPr>
          <w:rFonts w:cs="Arial"/>
          <w:sz w:val="22"/>
          <w:szCs w:val="22"/>
        </w:rPr>
      </w:pPr>
    </w:p>
    <w:p w14:paraId="524C70AD" w14:textId="49192411" w:rsidR="00623898" w:rsidRPr="00623898" w:rsidRDefault="00623898" w:rsidP="00501DB9">
      <w:pPr>
        <w:rPr>
          <w:rFonts w:cs="Arial"/>
          <w:b/>
          <w:bCs/>
          <w:sz w:val="22"/>
          <w:szCs w:val="22"/>
        </w:rPr>
      </w:pPr>
      <w:r w:rsidRPr="00623898">
        <w:rPr>
          <w:rFonts w:cs="Arial"/>
          <w:b/>
          <w:bCs/>
          <w:sz w:val="22"/>
          <w:szCs w:val="22"/>
        </w:rPr>
        <w:t>Respuesta:</w:t>
      </w:r>
    </w:p>
    <w:p w14:paraId="64898AB9" w14:textId="0B9BC04A" w:rsidR="00623898" w:rsidRDefault="00623898" w:rsidP="00501DB9">
      <w:pPr>
        <w:rPr>
          <w:rFonts w:cs="Arial"/>
          <w:sz w:val="22"/>
          <w:szCs w:val="22"/>
        </w:rPr>
      </w:pPr>
    </w:p>
    <w:p w14:paraId="6E35507C" w14:textId="381D77F7" w:rsidR="00623898" w:rsidRPr="00501DB9" w:rsidRDefault="00623898" w:rsidP="00501DB9">
      <w:pPr>
        <w:rPr>
          <w:rFonts w:cs="Arial"/>
          <w:sz w:val="22"/>
          <w:szCs w:val="22"/>
        </w:rPr>
      </w:pPr>
      <w:r>
        <w:rPr>
          <w:rFonts w:cs="Arial"/>
          <w:sz w:val="22"/>
          <w:szCs w:val="22"/>
        </w:rPr>
        <w:t xml:space="preserve">Se debe tener en cuenta que las modalidades contractuales que se propongan serán acogidas para adopción </w:t>
      </w:r>
      <w:r w:rsidR="002F48EA">
        <w:rPr>
          <w:rFonts w:cs="Arial"/>
          <w:sz w:val="22"/>
          <w:szCs w:val="22"/>
        </w:rPr>
        <w:t xml:space="preserve">mediante regulación de </w:t>
      </w:r>
      <w:r>
        <w:rPr>
          <w:rFonts w:cs="Arial"/>
          <w:sz w:val="22"/>
          <w:szCs w:val="22"/>
        </w:rPr>
        <w:t xml:space="preserve">general </w:t>
      </w:r>
      <w:r w:rsidR="002F48EA">
        <w:rPr>
          <w:rFonts w:cs="Arial"/>
          <w:sz w:val="22"/>
          <w:szCs w:val="22"/>
        </w:rPr>
        <w:t>aplicables</w:t>
      </w:r>
      <w:r>
        <w:rPr>
          <w:rFonts w:cs="Arial"/>
          <w:sz w:val="22"/>
          <w:szCs w:val="22"/>
        </w:rPr>
        <w:t xml:space="preserve"> por quienes la</w:t>
      </w:r>
      <w:r w:rsidR="002F48EA">
        <w:rPr>
          <w:rFonts w:cs="Arial"/>
          <w:sz w:val="22"/>
          <w:szCs w:val="22"/>
        </w:rPr>
        <w:t>s</w:t>
      </w:r>
      <w:r>
        <w:rPr>
          <w:rFonts w:cs="Arial"/>
          <w:sz w:val="22"/>
          <w:szCs w:val="22"/>
        </w:rPr>
        <w:t xml:space="preserve"> proponen</w:t>
      </w:r>
      <w:r w:rsidR="00263F95">
        <w:rPr>
          <w:rFonts w:cs="Arial"/>
          <w:sz w:val="22"/>
          <w:szCs w:val="22"/>
        </w:rPr>
        <w:t xml:space="preserve">. Por ello se seguirá </w:t>
      </w:r>
      <w:r>
        <w:rPr>
          <w:rFonts w:cs="Arial"/>
          <w:sz w:val="22"/>
          <w:szCs w:val="22"/>
        </w:rPr>
        <w:t>el proceso de adopción de regulación normal para propuestas de origen en la CREG</w:t>
      </w:r>
      <w:r w:rsidR="00263F95">
        <w:rPr>
          <w:rFonts w:cs="Arial"/>
          <w:sz w:val="22"/>
          <w:szCs w:val="22"/>
        </w:rPr>
        <w:t xml:space="preserve"> (en general publicación para comentarios y publicación definitiva)</w:t>
      </w:r>
      <w:r>
        <w:rPr>
          <w:rFonts w:cs="Arial"/>
          <w:sz w:val="22"/>
          <w:szCs w:val="22"/>
        </w:rPr>
        <w:t>.</w:t>
      </w:r>
    </w:p>
    <w:p w14:paraId="2558D20A" w14:textId="77777777" w:rsidR="00C741B5" w:rsidRDefault="00C741B5" w:rsidP="00501DB9">
      <w:pPr>
        <w:rPr>
          <w:rFonts w:cs="Arial"/>
          <w:sz w:val="22"/>
          <w:szCs w:val="22"/>
        </w:rPr>
      </w:pPr>
    </w:p>
    <w:p w14:paraId="20FF50E9" w14:textId="77777777" w:rsidR="00C741B5" w:rsidRDefault="00C741B5" w:rsidP="00501DB9">
      <w:pPr>
        <w:rPr>
          <w:rFonts w:cs="Arial"/>
          <w:sz w:val="22"/>
          <w:szCs w:val="22"/>
        </w:rPr>
      </w:pPr>
    </w:p>
    <w:p w14:paraId="27DB38F2" w14:textId="77777777" w:rsidR="00C741B5" w:rsidRDefault="00501DB9" w:rsidP="00C741B5">
      <w:pPr>
        <w:pStyle w:val="Ttulo2"/>
      </w:pPr>
      <w:bookmarkStart w:id="606" w:name="_Toc140506311"/>
      <w:r w:rsidRPr="00501DB9">
        <w:t>ALCANOS</w:t>
      </w:r>
      <w:bookmarkEnd w:id="606"/>
      <w:r w:rsidRPr="00501DB9">
        <w:tab/>
      </w:r>
    </w:p>
    <w:p w14:paraId="009B2E18" w14:textId="77777777" w:rsidR="00C741B5" w:rsidRDefault="00C741B5" w:rsidP="00C741B5">
      <w:pPr>
        <w:pStyle w:val="Ttulo4"/>
      </w:pPr>
      <w:bookmarkStart w:id="607" w:name="_Ref130637819"/>
      <w:r w:rsidRPr="00501DB9">
        <w:t>ALCANOS</w:t>
      </w:r>
      <w:bookmarkEnd w:id="607"/>
      <w:r w:rsidRPr="00501DB9">
        <w:tab/>
      </w:r>
    </w:p>
    <w:p w14:paraId="3261B38F" w14:textId="6EACBAE9" w:rsidR="00501DB9" w:rsidRPr="00B02A5C" w:rsidRDefault="001243CD" w:rsidP="00501DB9">
      <w:pPr>
        <w:rPr>
          <w:rFonts w:cs="Arial"/>
          <w:i/>
          <w:iCs/>
          <w:sz w:val="22"/>
          <w:szCs w:val="22"/>
        </w:rPr>
      </w:pPr>
      <w:r>
        <w:rPr>
          <w:rFonts w:cs="Arial"/>
          <w:i/>
          <w:iCs/>
          <w:sz w:val="22"/>
          <w:szCs w:val="22"/>
        </w:rPr>
        <w:t>“</w:t>
      </w:r>
      <w:r w:rsidR="00501DB9" w:rsidRPr="00B02A5C">
        <w:rPr>
          <w:rFonts w:cs="Arial"/>
          <w:i/>
          <w:iCs/>
          <w:sz w:val="22"/>
          <w:szCs w:val="22"/>
        </w:rPr>
        <w:t>Las excepciones que se proponen a la aplicación del parágrafo uno, resultan confusas, si se tiene en cuenta que los contratos no se construyen para la atención de la demanda esencial exclusivamente sino, tal y como se señala en las resoluciones actualmente vigentes.</w:t>
      </w:r>
      <w:r>
        <w:rPr>
          <w:rFonts w:cs="Arial"/>
          <w:i/>
          <w:iCs/>
          <w:sz w:val="22"/>
          <w:szCs w:val="22"/>
        </w:rPr>
        <w:t>”</w:t>
      </w:r>
    </w:p>
    <w:p w14:paraId="519A401B" w14:textId="259A281F" w:rsidR="00263F95" w:rsidRDefault="00263F95" w:rsidP="00501DB9">
      <w:pPr>
        <w:rPr>
          <w:rFonts w:cs="Arial"/>
          <w:sz w:val="22"/>
          <w:szCs w:val="22"/>
        </w:rPr>
      </w:pPr>
    </w:p>
    <w:p w14:paraId="2601FEB6" w14:textId="1473806D" w:rsidR="00263F95" w:rsidRPr="00263F95" w:rsidRDefault="00263F95" w:rsidP="00501DB9">
      <w:pPr>
        <w:rPr>
          <w:rFonts w:cs="Arial"/>
          <w:b/>
          <w:bCs/>
          <w:sz w:val="22"/>
          <w:szCs w:val="22"/>
        </w:rPr>
      </w:pPr>
      <w:r w:rsidRPr="00263F95">
        <w:rPr>
          <w:rFonts w:cs="Arial"/>
          <w:b/>
          <w:bCs/>
          <w:sz w:val="22"/>
          <w:szCs w:val="22"/>
        </w:rPr>
        <w:t>Solución:</w:t>
      </w:r>
    </w:p>
    <w:p w14:paraId="2E128448" w14:textId="176977DB" w:rsidR="00263F95" w:rsidRDefault="00263F95" w:rsidP="00501DB9">
      <w:pPr>
        <w:rPr>
          <w:rFonts w:cs="Arial"/>
          <w:sz w:val="22"/>
          <w:szCs w:val="22"/>
        </w:rPr>
      </w:pPr>
    </w:p>
    <w:p w14:paraId="4427BACA" w14:textId="098DB263" w:rsidR="00263F95" w:rsidRDefault="00B02A5C" w:rsidP="00501DB9">
      <w:pPr>
        <w:rPr>
          <w:rFonts w:cs="Arial"/>
          <w:sz w:val="22"/>
          <w:szCs w:val="22"/>
        </w:rPr>
      </w:pPr>
      <w:r>
        <w:rPr>
          <w:rFonts w:cs="Arial"/>
          <w:sz w:val="22"/>
          <w:szCs w:val="22"/>
        </w:rPr>
        <w:t>Se acoge el comentario.</w:t>
      </w:r>
    </w:p>
    <w:p w14:paraId="1C01268E" w14:textId="7330DDF7" w:rsidR="00B02A5C" w:rsidRDefault="00B02A5C" w:rsidP="00501DB9">
      <w:pPr>
        <w:rPr>
          <w:rFonts w:cs="Arial"/>
          <w:sz w:val="22"/>
          <w:szCs w:val="22"/>
        </w:rPr>
      </w:pPr>
    </w:p>
    <w:p w14:paraId="34C03867" w14:textId="163D2E25" w:rsidR="00B02A5C" w:rsidRPr="00501DB9" w:rsidRDefault="00B02A5C" w:rsidP="00501DB9">
      <w:pPr>
        <w:rPr>
          <w:rFonts w:cs="Arial"/>
          <w:sz w:val="22"/>
          <w:szCs w:val="22"/>
        </w:rPr>
      </w:pPr>
      <w:r>
        <w:rPr>
          <w:rFonts w:cs="Arial"/>
          <w:sz w:val="22"/>
          <w:szCs w:val="22"/>
        </w:rPr>
        <w:t>En la nueva propuesta se simplifica el texto del parágrafo 1, dejando claro que no se podrá prorrogar la vigencia de contratos vigentes, sin excepción ninguna, a diferencia de lo actualmente establecido que permite dos casos que se exceptúan de dicha prohibición.</w:t>
      </w:r>
    </w:p>
    <w:p w14:paraId="30A6CBB8" w14:textId="77777777" w:rsidR="00C741B5" w:rsidRDefault="00C741B5" w:rsidP="00501DB9">
      <w:pPr>
        <w:rPr>
          <w:rFonts w:cs="Arial"/>
          <w:sz w:val="22"/>
          <w:szCs w:val="22"/>
        </w:rPr>
      </w:pPr>
    </w:p>
    <w:p w14:paraId="4325FC18" w14:textId="77777777" w:rsidR="00C741B5" w:rsidRDefault="00C741B5" w:rsidP="00501DB9">
      <w:pPr>
        <w:rPr>
          <w:rFonts w:cs="Arial"/>
          <w:sz w:val="22"/>
          <w:szCs w:val="22"/>
        </w:rPr>
      </w:pPr>
    </w:p>
    <w:p w14:paraId="27D2920A" w14:textId="77777777" w:rsidR="00C741B5" w:rsidRDefault="00501DB9" w:rsidP="00C741B5">
      <w:pPr>
        <w:pStyle w:val="Ttulo2"/>
      </w:pPr>
      <w:bookmarkStart w:id="608" w:name="_Toc140506312"/>
      <w:r w:rsidRPr="00501DB9">
        <w:t>ASOENERGIA</w:t>
      </w:r>
      <w:bookmarkEnd w:id="608"/>
      <w:r w:rsidRPr="00501DB9">
        <w:tab/>
      </w:r>
    </w:p>
    <w:p w14:paraId="16F00FFF" w14:textId="77777777" w:rsidR="00C741B5" w:rsidRDefault="00C741B5" w:rsidP="00C741B5">
      <w:pPr>
        <w:pStyle w:val="Ttulo4"/>
      </w:pPr>
      <w:bookmarkStart w:id="609" w:name="_Ref132635800"/>
      <w:r w:rsidRPr="00501DB9">
        <w:t>ASOENERGIA</w:t>
      </w:r>
      <w:bookmarkEnd w:id="609"/>
      <w:r w:rsidRPr="00501DB9">
        <w:tab/>
      </w:r>
    </w:p>
    <w:p w14:paraId="693236CF" w14:textId="1EA2EFB8" w:rsidR="00501DB9" w:rsidRPr="00B02A5C" w:rsidRDefault="007C0209" w:rsidP="00501DB9">
      <w:pPr>
        <w:rPr>
          <w:rFonts w:cs="Arial"/>
          <w:i/>
          <w:iCs/>
          <w:sz w:val="22"/>
          <w:szCs w:val="22"/>
        </w:rPr>
      </w:pPr>
      <w:r>
        <w:rPr>
          <w:rFonts w:cs="Arial"/>
          <w:i/>
          <w:iCs/>
          <w:sz w:val="22"/>
          <w:szCs w:val="22"/>
        </w:rPr>
        <w:t>“</w:t>
      </w:r>
      <w:r w:rsidR="00501DB9" w:rsidRPr="00B02A5C">
        <w:rPr>
          <w:rFonts w:cs="Arial"/>
          <w:i/>
          <w:iCs/>
          <w:sz w:val="22"/>
          <w:szCs w:val="22"/>
        </w:rPr>
        <w:t>No estamos de acuerdo en permitir que se dé la opción de prorrogar los contratos, que tengan destino la Demanda Esencial, en cualquier momento del tiempo. El mecanismo planteado, el MADE, ya de por sí es un mecanismo que le da absoluta prioridad a la contratación de la Demanda Esencial, por encima del mercado regulado, y, en ese sentido, es suficiente para cumplir con lo estipulado en el Decreto Único Reglamentario del MME en cuanto al aseguramiento de dicha Demanda. Es nuestra consideración que el hecho de incluir prórrogas a los contratos mencionados no está asegurando la contratación la Demanda Esencial, sino que está limitando y obstruyendo la libre competencia y la participación de los agentes en el Mercado Mayorista. Lo anterior, en primera instancia, porque algunos participantes tendrían ventajas de contratación por encima de los otros y, segundo, porque, al considerar lo mencionado anteriormente, dicha ventaja de contratación restringiría la competencia para que otro comercializador, diferente al comercializador-distribuidor que atiende a una Demanda Esencial específica, pueda atender a dicha demanda específica.</w:t>
      </w:r>
      <w:r>
        <w:rPr>
          <w:rFonts w:cs="Arial"/>
          <w:i/>
          <w:iCs/>
          <w:sz w:val="22"/>
          <w:szCs w:val="22"/>
        </w:rPr>
        <w:t>”</w:t>
      </w:r>
      <w:r w:rsidR="00501DB9" w:rsidRPr="00B02A5C">
        <w:rPr>
          <w:rFonts w:cs="Arial"/>
          <w:i/>
          <w:iCs/>
          <w:sz w:val="22"/>
          <w:szCs w:val="22"/>
        </w:rPr>
        <w:t xml:space="preserve"> </w:t>
      </w:r>
    </w:p>
    <w:p w14:paraId="192ECB1B" w14:textId="33328CBF" w:rsidR="00B02A5C" w:rsidRDefault="00B02A5C" w:rsidP="00501DB9">
      <w:pPr>
        <w:rPr>
          <w:rFonts w:cs="Arial"/>
          <w:sz w:val="22"/>
          <w:szCs w:val="22"/>
        </w:rPr>
      </w:pPr>
    </w:p>
    <w:p w14:paraId="354E4F3C" w14:textId="3E01E013" w:rsidR="00B02A5C" w:rsidRPr="00B02A5C" w:rsidRDefault="00B02A5C" w:rsidP="00501DB9">
      <w:pPr>
        <w:rPr>
          <w:rFonts w:cs="Arial"/>
          <w:b/>
          <w:bCs/>
          <w:sz w:val="22"/>
          <w:szCs w:val="22"/>
        </w:rPr>
      </w:pPr>
      <w:r w:rsidRPr="00B02A5C">
        <w:rPr>
          <w:rFonts w:cs="Arial"/>
          <w:b/>
          <w:bCs/>
          <w:sz w:val="22"/>
          <w:szCs w:val="22"/>
        </w:rPr>
        <w:t>Respuesta:</w:t>
      </w:r>
    </w:p>
    <w:p w14:paraId="68FE15D0" w14:textId="439AE1C6" w:rsidR="00B02A5C" w:rsidRDefault="00B02A5C" w:rsidP="00501DB9">
      <w:pPr>
        <w:rPr>
          <w:rFonts w:cs="Arial"/>
          <w:sz w:val="22"/>
          <w:szCs w:val="22"/>
        </w:rPr>
      </w:pPr>
    </w:p>
    <w:p w14:paraId="27D44BB0" w14:textId="53541A33" w:rsidR="00B02A5C" w:rsidRDefault="00B02A5C" w:rsidP="00501DB9">
      <w:pPr>
        <w:rPr>
          <w:rFonts w:cs="Arial"/>
          <w:sz w:val="22"/>
          <w:szCs w:val="22"/>
        </w:rPr>
      </w:pPr>
      <w:r>
        <w:rPr>
          <w:rFonts w:cs="Arial"/>
          <w:sz w:val="22"/>
          <w:szCs w:val="22"/>
        </w:rPr>
        <w:t>Se acoge el comentario.</w:t>
      </w:r>
    </w:p>
    <w:p w14:paraId="5C7DEDD1" w14:textId="66195C37" w:rsidR="000D10E5" w:rsidRDefault="000D10E5" w:rsidP="00501DB9">
      <w:pPr>
        <w:rPr>
          <w:rFonts w:cs="Arial"/>
          <w:sz w:val="22"/>
          <w:szCs w:val="22"/>
        </w:rPr>
      </w:pPr>
    </w:p>
    <w:p w14:paraId="47863229" w14:textId="4F2C434D" w:rsidR="00B02A5C" w:rsidRDefault="000D10E5" w:rsidP="00501DB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_Ref130564650 \r \h </w:instrText>
      </w:r>
      <w:r>
        <w:rPr>
          <w:rFonts w:cs="Arial"/>
          <w:sz w:val="22"/>
          <w:szCs w:val="22"/>
        </w:rPr>
      </w:r>
      <w:r>
        <w:rPr>
          <w:rFonts w:cs="Arial"/>
          <w:sz w:val="22"/>
          <w:szCs w:val="22"/>
        </w:rPr>
        <w:fldChar w:fldCharType="separate"/>
      </w:r>
      <w:r w:rsidR="007651EA">
        <w:rPr>
          <w:rFonts w:cs="Arial"/>
          <w:sz w:val="22"/>
          <w:szCs w:val="22"/>
        </w:rPr>
        <w:t>1.6.1.1</w:t>
      </w:r>
      <w:r>
        <w:rPr>
          <w:rFonts w:cs="Arial"/>
          <w:sz w:val="22"/>
          <w:szCs w:val="22"/>
        </w:rPr>
        <w:fldChar w:fldCharType="end"/>
      </w:r>
      <w:r>
        <w:rPr>
          <w:rFonts w:cs="Arial"/>
          <w:sz w:val="22"/>
          <w:szCs w:val="22"/>
        </w:rPr>
        <w:t>.</w:t>
      </w:r>
    </w:p>
    <w:p w14:paraId="34307F92" w14:textId="77777777" w:rsidR="00B02A5C" w:rsidRPr="00501DB9" w:rsidRDefault="00B02A5C" w:rsidP="00501DB9">
      <w:pPr>
        <w:rPr>
          <w:rFonts w:cs="Arial"/>
          <w:sz w:val="22"/>
          <w:szCs w:val="22"/>
        </w:rPr>
      </w:pPr>
    </w:p>
    <w:p w14:paraId="34A4D8EE" w14:textId="77777777" w:rsidR="00C741B5" w:rsidRDefault="00C741B5" w:rsidP="00501DB9">
      <w:pPr>
        <w:rPr>
          <w:rFonts w:cs="Arial"/>
          <w:sz w:val="22"/>
          <w:szCs w:val="22"/>
        </w:rPr>
      </w:pPr>
    </w:p>
    <w:p w14:paraId="1DCBEE64" w14:textId="77777777" w:rsidR="00C741B5" w:rsidRDefault="00C741B5" w:rsidP="00C741B5">
      <w:pPr>
        <w:pStyle w:val="Ttulo4"/>
      </w:pPr>
      <w:bookmarkStart w:id="610" w:name="_Ref130639877"/>
      <w:r w:rsidRPr="00501DB9">
        <w:t>ASOENERGIA</w:t>
      </w:r>
      <w:bookmarkEnd w:id="610"/>
      <w:r w:rsidRPr="00501DB9">
        <w:tab/>
      </w:r>
    </w:p>
    <w:p w14:paraId="466D9670" w14:textId="1AC621AC" w:rsidR="00501DB9" w:rsidRPr="000D10E5" w:rsidRDefault="007C0209" w:rsidP="00501DB9">
      <w:pPr>
        <w:rPr>
          <w:rFonts w:cs="Arial"/>
          <w:i/>
          <w:iCs/>
          <w:sz w:val="22"/>
          <w:szCs w:val="22"/>
        </w:rPr>
      </w:pPr>
      <w:r>
        <w:rPr>
          <w:rFonts w:cs="Arial"/>
          <w:i/>
          <w:iCs/>
          <w:sz w:val="22"/>
          <w:szCs w:val="22"/>
        </w:rPr>
        <w:t>“</w:t>
      </w:r>
      <w:r w:rsidR="00501DB9" w:rsidRPr="000D10E5">
        <w:rPr>
          <w:rFonts w:cs="Arial"/>
          <w:i/>
          <w:iCs/>
          <w:sz w:val="22"/>
          <w:szCs w:val="22"/>
        </w:rPr>
        <w:t>Celebramos el cambio en el sentido de que flexibiliza el mecanismo de contratación y se ajusta a la realidad de variación de consumos de los usuarios finales, sin tener que asumir los sobrecostos por dichas volatilidades.</w:t>
      </w:r>
      <w:r>
        <w:rPr>
          <w:rFonts w:cs="Arial"/>
          <w:i/>
          <w:iCs/>
          <w:sz w:val="22"/>
          <w:szCs w:val="22"/>
        </w:rPr>
        <w:t>”</w:t>
      </w:r>
      <w:r w:rsidR="00501DB9" w:rsidRPr="000D10E5">
        <w:rPr>
          <w:rFonts w:cs="Arial"/>
          <w:i/>
          <w:iCs/>
          <w:sz w:val="22"/>
          <w:szCs w:val="22"/>
        </w:rPr>
        <w:t xml:space="preserve"> </w:t>
      </w:r>
    </w:p>
    <w:p w14:paraId="6D48B07C" w14:textId="18A763C2" w:rsidR="000D10E5" w:rsidRDefault="000D10E5" w:rsidP="00501DB9">
      <w:pPr>
        <w:rPr>
          <w:rFonts w:cs="Arial"/>
          <w:sz w:val="22"/>
          <w:szCs w:val="22"/>
        </w:rPr>
      </w:pPr>
    </w:p>
    <w:p w14:paraId="68AAD3BA" w14:textId="26C2239B" w:rsidR="000D10E5" w:rsidRPr="000D10E5" w:rsidRDefault="000D10E5" w:rsidP="00501DB9">
      <w:pPr>
        <w:rPr>
          <w:rFonts w:cs="Arial"/>
          <w:b/>
          <w:bCs/>
          <w:sz w:val="22"/>
          <w:szCs w:val="22"/>
        </w:rPr>
      </w:pPr>
      <w:r w:rsidRPr="000D10E5">
        <w:rPr>
          <w:rFonts w:cs="Arial"/>
          <w:b/>
          <w:bCs/>
          <w:sz w:val="22"/>
          <w:szCs w:val="22"/>
        </w:rPr>
        <w:t>Respuesta:</w:t>
      </w:r>
    </w:p>
    <w:p w14:paraId="00DCA636" w14:textId="2BE1223C" w:rsidR="000D10E5" w:rsidRDefault="000D10E5" w:rsidP="00501DB9">
      <w:pPr>
        <w:rPr>
          <w:rFonts w:cs="Arial"/>
          <w:sz w:val="22"/>
          <w:szCs w:val="22"/>
        </w:rPr>
      </w:pPr>
    </w:p>
    <w:p w14:paraId="76EB2F9C" w14:textId="4C839224" w:rsidR="000D10E5" w:rsidRDefault="001551E4" w:rsidP="00501DB9">
      <w:pPr>
        <w:rPr>
          <w:rFonts w:cs="Arial"/>
          <w:sz w:val="22"/>
          <w:szCs w:val="22"/>
        </w:rPr>
      </w:pPr>
      <w:r>
        <w:rPr>
          <w:rFonts w:cs="Arial"/>
          <w:sz w:val="22"/>
          <w:szCs w:val="22"/>
        </w:rPr>
        <w:t xml:space="preserve">Se debe tener en cuenta que es potestativo de los vendedores del Mercado Primario el negociar contratos de la modalidad propuesta CF80, y que el mayor riesgo de ingreso mínimo que implica para el vendedor dicha modalidad podría buscar mitigarse con un mayor precio unitario del gas a suministrar. </w:t>
      </w:r>
    </w:p>
    <w:p w14:paraId="1D23FBCB" w14:textId="087F6E25" w:rsidR="00D55A1A" w:rsidRDefault="00D55A1A" w:rsidP="00501DB9">
      <w:pPr>
        <w:rPr>
          <w:rFonts w:cs="Arial"/>
          <w:sz w:val="22"/>
          <w:szCs w:val="22"/>
        </w:rPr>
      </w:pPr>
    </w:p>
    <w:p w14:paraId="1BB13B4A" w14:textId="373C517B" w:rsidR="00D55A1A" w:rsidRPr="00501DB9" w:rsidRDefault="00D55A1A" w:rsidP="00501DB9">
      <w:pPr>
        <w:rPr>
          <w:rFonts w:cs="Arial"/>
          <w:sz w:val="22"/>
          <w:szCs w:val="22"/>
        </w:rPr>
      </w:pPr>
      <w:r>
        <w:rPr>
          <w:rFonts w:cs="Arial"/>
          <w:sz w:val="22"/>
          <w:szCs w:val="22"/>
        </w:rPr>
        <w:t xml:space="preserve">Por lo anterior, corresponde a cada comprador aumentar la efectividad del cálculo del volumen máximo a contratar y de qué modalidad, si CF95 o CF80, minimiza la suma que se obtiene del pago mínimo y del consumo real. </w:t>
      </w:r>
    </w:p>
    <w:p w14:paraId="11C65786" w14:textId="77777777" w:rsidR="00C741B5" w:rsidRDefault="00C741B5" w:rsidP="00501DB9">
      <w:pPr>
        <w:rPr>
          <w:rFonts w:cs="Arial"/>
          <w:sz w:val="22"/>
          <w:szCs w:val="22"/>
        </w:rPr>
      </w:pPr>
    </w:p>
    <w:p w14:paraId="1DEBDADD" w14:textId="77777777" w:rsidR="00C741B5" w:rsidRDefault="00C741B5" w:rsidP="00501DB9">
      <w:pPr>
        <w:rPr>
          <w:rFonts w:cs="Arial"/>
          <w:sz w:val="22"/>
          <w:szCs w:val="22"/>
        </w:rPr>
      </w:pPr>
    </w:p>
    <w:p w14:paraId="0DC6D811" w14:textId="77777777" w:rsidR="00C741B5" w:rsidRDefault="00501DB9" w:rsidP="00C741B5">
      <w:pPr>
        <w:pStyle w:val="Ttulo2"/>
      </w:pPr>
      <w:bookmarkStart w:id="611" w:name="_Toc140506313"/>
      <w:r w:rsidRPr="00501DB9">
        <w:t>BOLSA MERCANTIL DE COLOMBIA</w:t>
      </w:r>
      <w:bookmarkEnd w:id="611"/>
      <w:r w:rsidRPr="00501DB9">
        <w:tab/>
      </w:r>
    </w:p>
    <w:p w14:paraId="2F772CC4" w14:textId="77777777" w:rsidR="00C741B5" w:rsidRDefault="00C741B5" w:rsidP="00C741B5">
      <w:pPr>
        <w:pStyle w:val="Ttulo4"/>
      </w:pPr>
      <w:r w:rsidRPr="00501DB9">
        <w:t>BOLSA MERCANTIL DE COLOMBIA</w:t>
      </w:r>
      <w:r w:rsidRPr="00501DB9">
        <w:tab/>
      </w:r>
    </w:p>
    <w:p w14:paraId="75312E76" w14:textId="7C380FE6" w:rsidR="00501DB9" w:rsidRPr="00112E38" w:rsidRDefault="00501DB9" w:rsidP="00501DB9">
      <w:pPr>
        <w:rPr>
          <w:rFonts w:cs="Arial"/>
          <w:i/>
          <w:iCs/>
          <w:sz w:val="22"/>
          <w:szCs w:val="22"/>
        </w:rPr>
      </w:pPr>
      <w:r w:rsidRPr="00501DB9">
        <w:rPr>
          <w:rFonts w:cs="Arial"/>
          <w:sz w:val="22"/>
          <w:szCs w:val="22"/>
        </w:rPr>
        <w:t>"</w:t>
      </w:r>
      <w:r w:rsidRPr="00112E38">
        <w:rPr>
          <w:rFonts w:cs="Arial"/>
          <w:i/>
          <w:iCs/>
          <w:sz w:val="22"/>
          <w:szCs w:val="22"/>
        </w:rPr>
        <w:t xml:space="preserve">No se está considerando la prórroga de los contratos con destino a la demanda termoeléctrica de manera que se articule con lo desarrollado en el Artículo 21. </w:t>
      </w:r>
    </w:p>
    <w:p w14:paraId="7AD054A8" w14:textId="77777777" w:rsidR="00501DB9" w:rsidRPr="00112E38" w:rsidRDefault="00501DB9" w:rsidP="00501DB9">
      <w:pPr>
        <w:rPr>
          <w:rFonts w:cs="Arial"/>
          <w:i/>
          <w:iCs/>
          <w:sz w:val="22"/>
          <w:szCs w:val="22"/>
        </w:rPr>
      </w:pPr>
    </w:p>
    <w:p w14:paraId="254CB189" w14:textId="217F7D4C" w:rsidR="00501DB9" w:rsidRDefault="00501DB9" w:rsidP="00501DB9">
      <w:pPr>
        <w:rPr>
          <w:rFonts w:cs="Arial"/>
          <w:sz w:val="22"/>
          <w:szCs w:val="22"/>
        </w:rPr>
      </w:pPr>
      <w:r w:rsidRPr="00112E38">
        <w:rPr>
          <w:rFonts w:cs="Arial"/>
          <w:i/>
          <w:iCs/>
          <w:sz w:val="22"/>
          <w:szCs w:val="22"/>
        </w:rPr>
        <w:t xml:space="preserve">El Artículo 21 no aclara que las prórrogas a registrar ante el </w:t>
      </w:r>
      <w:r w:rsidR="005114C6">
        <w:rPr>
          <w:rFonts w:cs="Arial"/>
          <w:i/>
          <w:iCs/>
          <w:sz w:val="22"/>
          <w:szCs w:val="22"/>
        </w:rPr>
        <w:t>Gestor del Mercado</w:t>
      </w:r>
      <w:r w:rsidRPr="00112E38">
        <w:rPr>
          <w:rFonts w:cs="Arial"/>
          <w:i/>
          <w:iCs/>
          <w:sz w:val="22"/>
          <w:szCs w:val="22"/>
        </w:rPr>
        <w:t xml:space="preserve"> corresponden a aquellas celebradas en virtud de lo previsto en el literal a) del parágrafo 1 del Artículo 8 de la propuesta regulatoria</w:t>
      </w:r>
      <w:r w:rsidRPr="00501DB9">
        <w:rPr>
          <w:rFonts w:cs="Arial"/>
          <w:sz w:val="22"/>
          <w:szCs w:val="22"/>
        </w:rPr>
        <w:t>."</w:t>
      </w:r>
    </w:p>
    <w:p w14:paraId="78DD3CD0" w14:textId="5A72EA80" w:rsidR="00112E38" w:rsidRDefault="00112E38" w:rsidP="00501DB9">
      <w:pPr>
        <w:rPr>
          <w:rFonts w:cs="Arial"/>
          <w:sz w:val="22"/>
          <w:szCs w:val="22"/>
        </w:rPr>
      </w:pPr>
    </w:p>
    <w:p w14:paraId="059B22EB" w14:textId="79F14561" w:rsidR="00112E38" w:rsidRPr="00112E38" w:rsidRDefault="00112E38" w:rsidP="00501DB9">
      <w:pPr>
        <w:rPr>
          <w:rFonts w:cs="Arial"/>
          <w:b/>
          <w:bCs/>
          <w:sz w:val="22"/>
          <w:szCs w:val="22"/>
        </w:rPr>
      </w:pPr>
      <w:r w:rsidRPr="00112E38">
        <w:rPr>
          <w:rFonts w:cs="Arial"/>
          <w:b/>
          <w:bCs/>
          <w:sz w:val="22"/>
          <w:szCs w:val="22"/>
        </w:rPr>
        <w:t>Res</w:t>
      </w:r>
      <w:r w:rsidR="002F7FCC">
        <w:rPr>
          <w:rFonts w:cs="Arial"/>
          <w:b/>
          <w:bCs/>
          <w:sz w:val="22"/>
          <w:szCs w:val="22"/>
        </w:rPr>
        <w:t>puesta:</w:t>
      </w:r>
    </w:p>
    <w:p w14:paraId="62800767" w14:textId="64A8F107" w:rsidR="00112E38" w:rsidRDefault="00112E38" w:rsidP="00501DB9">
      <w:pPr>
        <w:rPr>
          <w:rFonts w:cs="Arial"/>
          <w:sz w:val="22"/>
          <w:szCs w:val="22"/>
        </w:rPr>
      </w:pPr>
    </w:p>
    <w:p w14:paraId="37FF8EC1" w14:textId="69166B05" w:rsidR="002F7FCC" w:rsidRDefault="002F7FCC" w:rsidP="002F7FC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_Ref130564650 \r \h </w:instrText>
      </w:r>
      <w:r>
        <w:rPr>
          <w:rFonts w:cs="Arial"/>
          <w:sz w:val="22"/>
          <w:szCs w:val="22"/>
        </w:rPr>
      </w:r>
      <w:r>
        <w:rPr>
          <w:rFonts w:cs="Arial"/>
          <w:sz w:val="22"/>
          <w:szCs w:val="22"/>
        </w:rPr>
        <w:fldChar w:fldCharType="separate"/>
      </w:r>
      <w:r w:rsidR="007651EA">
        <w:rPr>
          <w:rFonts w:cs="Arial"/>
          <w:sz w:val="22"/>
          <w:szCs w:val="22"/>
        </w:rPr>
        <w:t>1.6.1.1</w:t>
      </w:r>
      <w:r>
        <w:rPr>
          <w:rFonts w:cs="Arial"/>
          <w:sz w:val="22"/>
          <w:szCs w:val="22"/>
        </w:rPr>
        <w:fldChar w:fldCharType="end"/>
      </w:r>
      <w:r>
        <w:rPr>
          <w:rFonts w:cs="Arial"/>
          <w:sz w:val="22"/>
          <w:szCs w:val="22"/>
        </w:rPr>
        <w:t>.</w:t>
      </w:r>
    </w:p>
    <w:p w14:paraId="302B3EC1" w14:textId="77777777" w:rsidR="00112E38" w:rsidRPr="00501DB9" w:rsidRDefault="00112E38" w:rsidP="00501DB9">
      <w:pPr>
        <w:rPr>
          <w:rFonts w:cs="Arial"/>
          <w:sz w:val="22"/>
          <w:szCs w:val="22"/>
        </w:rPr>
      </w:pPr>
    </w:p>
    <w:p w14:paraId="79735568" w14:textId="77777777" w:rsidR="00C741B5" w:rsidRDefault="00C741B5" w:rsidP="00501DB9">
      <w:pPr>
        <w:rPr>
          <w:rFonts w:cs="Arial"/>
          <w:sz w:val="22"/>
          <w:szCs w:val="22"/>
        </w:rPr>
      </w:pPr>
    </w:p>
    <w:p w14:paraId="1D5246B2" w14:textId="77777777" w:rsidR="00C741B5" w:rsidRDefault="00501DB9" w:rsidP="005D1E12">
      <w:pPr>
        <w:pStyle w:val="Ttulo4"/>
      </w:pPr>
      <w:bookmarkStart w:id="612" w:name="_Ref133414152"/>
      <w:r w:rsidRPr="00501DB9">
        <w:t>BOLSA MERCANTIL DE COLOMBIA</w:t>
      </w:r>
      <w:bookmarkEnd w:id="612"/>
      <w:r w:rsidRPr="00501DB9">
        <w:tab/>
      </w:r>
    </w:p>
    <w:p w14:paraId="0A439C08" w14:textId="0CBFF1DC" w:rsidR="00501DB9" w:rsidRPr="002F7FCC" w:rsidRDefault="008974C0" w:rsidP="00501DB9">
      <w:pPr>
        <w:rPr>
          <w:rFonts w:cs="Arial"/>
          <w:i/>
          <w:iCs/>
          <w:sz w:val="22"/>
          <w:szCs w:val="22"/>
        </w:rPr>
      </w:pPr>
      <w:r>
        <w:rPr>
          <w:rFonts w:cs="Arial"/>
          <w:i/>
          <w:iCs/>
          <w:sz w:val="22"/>
          <w:szCs w:val="22"/>
        </w:rPr>
        <w:t>“</w:t>
      </w:r>
      <w:r w:rsidR="00501DB9" w:rsidRPr="002F7FCC">
        <w:rPr>
          <w:rFonts w:cs="Arial"/>
          <w:i/>
          <w:iCs/>
          <w:sz w:val="22"/>
          <w:szCs w:val="22"/>
        </w:rPr>
        <w:t xml:space="preserve">Se menciona </w:t>
      </w:r>
      <w:r>
        <w:rPr>
          <w:rFonts w:cs="Arial"/>
          <w:i/>
          <w:iCs/>
          <w:sz w:val="22"/>
          <w:szCs w:val="22"/>
        </w:rPr>
        <w:t>‘</w:t>
      </w:r>
      <w:r w:rsidR="00501DB9" w:rsidRPr="002F7FCC">
        <w:rPr>
          <w:rFonts w:cs="Arial"/>
          <w:i/>
          <w:iCs/>
          <w:sz w:val="22"/>
          <w:szCs w:val="22"/>
        </w:rPr>
        <w:t>tipos de contratos</w:t>
      </w:r>
      <w:r>
        <w:rPr>
          <w:rFonts w:cs="Arial"/>
          <w:i/>
          <w:iCs/>
          <w:sz w:val="22"/>
          <w:szCs w:val="22"/>
        </w:rPr>
        <w:t>’</w:t>
      </w:r>
      <w:r w:rsidR="00501DB9" w:rsidRPr="002F7FCC">
        <w:rPr>
          <w:rFonts w:cs="Arial"/>
          <w:i/>
          <w:iCs/>
          <w:sz w:val="22"/>
          <w:szCs w:val="22"/>
        </w:rPr>
        <w:t xml:space="preserve">, cuando el término correcto es </w:t>
      </w:r>
      <w:r>
        <w:rPr>
          <w:rFonts w:cs="Arial"/>
          <w:i/>
          <w:iCs/>
          <w:sz w:val="22"/>
          <w:szCs w:val="22"/>
        </w:rPr>
        <w:t>‘</w:t>
      </w:r>
      <w:r w:rsidR="00501DB9" w:rsidRPr="002F7FCC">
        <w:rPr>
          <w:rFonts w:cs="Arial"/>
          <w:i/>
          <w:iCs/>
          <w:sz w:val="22"/>
          <w:szCs w:val="22"/>
        </w:rPr>
        <w:t>modalidades de contratos</w:t>
      </w:r>
      <w:r w:rsidR="00FE6630">
        <w:rPr>
          <w:rFonts w:cs="Arial"/>
          <w:i/>
          <w:iCs/>
          <w:sz w:val="22"/>
          <w:szCs w:val="22"/>
        </w:rPr>
        <w:t>’</w:t>
      </w:r>
      <w:r w:rsidR="00501DB9" w:rsidRPr="002F7FCC">
        <w:rPr>
          <w:rFonts w:cs="Arial"/>
          <w:i/>
          <w:iCs/>
          <w:sz w:val="22"/>
          <w:szCs w:val="22"/>
        </w:rPr>
        <w:t>".</w:t>
      </w:r>
    </w:p>
    <w:p w14:paraId="647C03C5" w14:textId="04A97CC7" w:rsidR="002F7FCC" w:rsidRDefault="002F7FCC" w:rsidP="00501DB9">
      <w:pPr>
        <w:rPr>
          <w:rFonts w:cs="Arial"/>
          <w:sz w:val="22"/>
          <w:szCs w:val="22"/>
        </w:rPr>
      </w:pPr>
    </w:p>
    <w:p w14:paraId="75249A75" w14:textId="1090A595" w:rsidR="002F7FCC" w:rsidRPr="002F7FCC" w:rsidRDefault="002F7FCC" w:rsidP="00501DB9">
      <w:pPr>
        <w:rPr>
          <w:rFonts w:cs="Arial"/>
          <w:b/>
          <w:bCs/>
          <w:sz w:val="22"/>
          <w:szCs w:val="22"/>
        </w:rPr>
      </w:pPr>
      <w:r w:rsidRPr="002F7FCC">
        <w:rPr>
          <w:rFonts w:cs="Arial"/>
          <w:b/>
          <w:bCs/>
          <w:sz w:val="22"/>
          <w:szCs w:val="22"/>
        </w:rPr>
        <w:t>Respuesta:</w:t>
      </w:r>
    </w:p>
    <w:p w14:paraId="7926DBBB" w14:textId="77777777" w:rsidR="00FE6630" w:rsidRDefault="00FE6630" w:rsidP="00501DB9">
      <w:pPr>
        <w:rPr>
          <w:rFonts w:cs="Arial"/>
          <w:sz w:val="22"/>
          <w:szCs w:val="22"/>
        </w:rPr>
      </w:pPr>
    </w:p>
    <w:p w14:paraId="182CF084" w14:textId="67D1DD62" w:rsidR="002F7FCC" w:rsidRDefault="002F7FCC" w:rsidP="00501DB9">
      <w:pPr>
        <w:rPr>
          <w:rFonts w:cs="Arial"/>
          <w:sz w:val="22"/>
          <w:szCs w:val="22"/>
        </w:rPr>
      </w:pPr>
      <w:r>
        <w:rPr>
          <w:rFonts w:cs="Arial"/>
          <w:sz w:val="22"/>
          <w:szCs w:val="22"/>
        </w:rPr>
        <w:t xml:space="preserve">No se </w:t>
      </w:r>
      <w:r w:rsidR="00016AA2">
        <w:rPr>
          <w:rFonts w:cs="Arial"/>
          <w:sz w:val="22"/>
          <w:szCs w:val="22"/>
        </w:rPr>
        <w:t>a</w:t>
      </w:r>
      <w:r>
        <w:rPr>
          <w:rFonts w:cs="Arial"/>
          <w:sz w:val="22"/>
          <w:szCs w:val="22"/>
        </w:rPr>
        <w:t>coge el comentario.</w:t>
      </w:r>
    </w:p>
    <w:p w14:paraId="25812D24" w14:textId="67AD8A0E" w:rsidR="002F7FCC" w:rsidRDefault="002F7FCC" w:rsidP="00501DB9">
      <w:pPr>
        <w:rPr>
          <w:rFonts w:cs="Arial"/>
          <w:sz w:val="22"/>
          <w:szCs w:val="22"/>
        </w:rPr>
      </w:pPr>
    </w:p>
    <w:p w14:paraId="5090FF42" w14:textId="3AAE4596" w:rsidR="002F7FCC" w:rsidRDefault="002F7FCC" w:rsidP="00501DB9">
      <w:pPr>
        <w:rPr>
          <w:rFonts w:cs="Arial"/>
          <w:sz w:val="22"/>
          <w:szCs w:val="22"/>
        </w:rPr>
      </w:pPr>
      <w:r>
        <w:rPr>
          <w:rFonts w:cs="Arial"/>
          <w:sz w:val="22"/>
          <w:szCs w:val="22"/>
        </w:rPr>
        <w:t xml:space="preserve">La utilización de la expresión “tipo de contratos” </w:t>
      </w:r>
      <w:r w:rsidR="00FE6630">
        <w:rPr>
          <w:rFonts w:cs="Arial"/>
          <w:sz w:val="22"/>
          <w:szCs w:val="22"/>
        </w:rPr>
        <w:t>se hace con el fin de diferenciarla de</w:t>
      </w:r>
      <w:r w:rsidR="00DD2819">
        <w:rPr>
          <w:rFonts w:cs="Arial"/>
          <w:sz w:val="22"/>
          <w:szCs w:val="22"/>
        </w:rPr>
        <w:t xml:space="preserve"> </w:t>
      </w:r>
      <w:r w:rsidR="00FE6630">
        <w:rPr>
          <w:rFonts w:cs="Arial"/>
          <w:sz w:val="22"/>
          <w:szCs w:val="22"/>
        </w:rPr>
        <w:t>l</w:t>
      </w:r>
      <w:r w:rsidR="00DD2819">
        <w:rPr>
          <w:rFonts w:cs="Arial"/>
          <w:sz w:val="22"/>
          <w:szCs w:val="22"/>
        </w:rPr>
        <w:t>a</w:t>
      </w:r>
      <w:r w:rsidR="00FE6630">
        <w:rPr>
          <w:rFonts w:cs="Arial"/>
          <w:sz w:val="22"/>
          <w:szCs w:val="22"/>
        </w:rPr>
        <w:t xml:space="preserve"> </w:t>
      </w:r>
      <w:r w:rsidR="00DD2819">
        <w:rPr>
          <w:rFonts w:cs="Arial"/>
          <w:sz w:val="22"/>
          <w:szCs w:val="22"/>
        </w:rPr>
        <w:t>expresión</w:t>
      </w:r>
      <w:r>
        <w:rPr>
          <w:rFonts w:cs="Arial"/>
          <w:sz w:val="22"/>
          <w:szCs w:val="22"/>
        </w:rPr>
        <w:t xml:space="preserve"> de “modalidades contractuales” que son las que establece la CREG. Las modalidades contractuales CREG se originan en los tipos de los contratos que establece el MME (firmes o que garantizan firmeza e interrumpibles). Lo anterior por cuanto se propone identificar de mejor manera la necesidad de contar con PTDVF de parte de un vendedor del Mercado Primario</w:t>
      </w:r>
      <w:r w:rsidR="005969EC">
        <w:rPr>
          <w:rFonts w:cs="Arial"/>
          <w:sz w:val="22"/>
          <w:szCs w:val="22"/>
        </w:rPr>
        <w:t>,</w:t>
      </w:r>
      <w:r>
        <w:rPr>
          <w:rFonts w:cs="Arial"/>
          <w:sz w:val="22"/>
          <w:szCs w:val="22"/>
        </w:rPr>
        <w:t xml:space="preserve"> para poder suscribir un contrato que, independientemente del nombre que se le coloque al contrato, corresponde a un tipo de contrato firme o que garantiza firmeza</w:t>
      </w:r>
      <w:r w:rsidR="005969EC">
        <w:rPr>
          <w:rFonts w:cs="Arial"/>
          <w:sz w:val="22"/>
          <w:szCs w:val="22"/>
        </w:rPr>
        <w:t xml:space="preserve"> que por lo tanto requiere Respaldo Físico</w:t>
      </w:r>
      <w:r>
        <w:rPr>
          <w:rFonts w:cs="Arial"/>
          <w:sz w:val="22"/>
          <w:szCs w:val="22"/>
        </w:rPr>
        <w:t>.</w:t>
      </w:r>
    </w:p>
    <w:p w14:paraId="1647FFC0" w14:textId="632B1508" w:rsidR="002F7FCC" w:rsidRDefault="002F7FCC" w:rsidP="00501DB9">
      <w:pPr>
        <w:rPr>
          <w:rFonts w:cs="Arial"/>
          <w:sz w:val="22"/>
          <w:szCs w:val="22"/>
        </w:rPr>
      </w:pPr>
    </w:p>
    <w:p w14:paraId="06D2BB29" w14:textId="0F300C53" w:rsidR="002F7FCC" w:rsidRDefault="002F7FCC" w:rsidP="00501DB9">
      <w:pPr>
        <w:rPr>
          <w:rFonts w:cs="Arial"/>
          <w:sz w:val="22"/>
          <w:szCs w:val="22"/>
        </w:rPr>
      </w:pPr>
      <w:r>
        <w:rPr>
          <w:rFonts w:cs="Arial"/>
          <w:sz w:val="22"/>
          <w:szCs w:val="22"/>
        </w:rPr>
        <w:t>Lo anterior cobra especial relevancia cuando se da aplicación a lo establecido en el parágrafo del Artículo 20 de la Resolución CREG 186 de 2020, en el caso actual, que permite sen casos excepcionales específicos, suscribir contratos sin que se acojan a las condiciones mínimas y modalidades establecidas por la CREG.</w:t>
      </w:r>
    </w:p>
    <w:p w14:paraId="62641A6A" w14:textId="77777777" w:rsidR="002F7FCC" w:rsidRDefault="002F7FCC" w:rsidP="00501DB9">
      <w:pPr>
        <w:rPr>
          <w:rFonts w:cs="Arial"/>
          <w:sz w:val="22"/>
          <w:szCs w:val="22"/>
        </w:rPr>
      </w:pPr>
    </w:p>
    <w:p w14:paraId="019E8163" w14:textId="5DA6DA2D" w:rsidR="002F7FCC" w:rsidRPr="00501DB9" w:rsidRDefault="00850EC9" w:rsidP="00501DB9">
      <w:pPr>
        <w:rPr>
          <w:rFonts w:cs="Arial"/>
          <w:sz w:val="22"/>
          <w:szCs w:val="22"/>
        </w:rPr>
      </w:pPr>
      <w:r>
        <w:rPr>
          <w:rFonts w:cs="Arial"/>
          <w:sz w:val="22"/>
          <w:szCs w:val="22"/>
        </w:rPr>
        <w:t xml:space="preserve">Ver numeral </w:t>
      </w:r>
      <w:r w:rsidR="00DA0803">
        <w:rPr>
          <w:rFonts w:cs="Arial"/>
          <w:sz w:val="22"/>
          <w:szCs w:val="22"/>
        </w:rPr>
        <w:fldChar w:fldCharType="begin"/>
      </w:r>
      <w:r w:rsidR="00DA0803">
        <w:rPr>
          <w:rFonts w:cs="Arial"/>
          <w:sz w:val="22"/>
          <w:szCs w:val="22"/>
        </w:rPr>
        <w:instrText xml:space="preserve"> REF _Ref130565711 \r \h </w:instrText>
      </w:r>
      <w:r w:rsidR="00DA0803">
        <w:rPr>
          <w:rFonts w:cs="Arial"/>
          <w:sz w:val="22"/>
          <w:szCs w:val="22"/>
        </w:rPr>
      </w:r>
      <w:r w:rsidR="00DA0803">
        <w:rPr>
          <w:rFonts w:cs="Arial"/>
          <w:sz w:val="22"/>
          <w:szCs w:val="22"/>
        </w:rPr>
        <w:fldChar w:fldCharType="separate"/>
      </w:r>
      <w:r w:rsidR="007651EA">
        <w:rPr>
          <w:rFonts w:cs="Arial"/>
          <w:sz w:val="22"/>
          <w:szCs w:val="22"/>
        </w:rPr>
        <w:t>2.2.8</w:t>
      </w:r>
      <w:r w:rsidR="00DA0803">
        <w:rPr>
          <w:rFonts w:cs="Arial"/>
          <w:sz w:val="22"/>
          <w:szCs w:val="22"/>
        </w:rPr>
        <w:fldChar w:fldCharType="end"/>
      </w:r>
      <w:r w:rsidR="00DA0803">
        <w:rPr>
          <w:rFonts w:cs="Arial"/>
          <w:sz w:val="22"/>
          <w:szCs w:val="22"/>
        </w:rPr>
        <w:t>.</w:t>
      </w:r>
    </w:p>
    <w:p w14:paraId="4F87D9FF" w14:textId="6866A32B" w:rsidR="00C741B5" w:rsidRDefault="00C741B5" w:rsidP="00501DB9">
      <w:pPr>
        <w:rPr>
          <w:rFonts w:cs="Arial"/>
          <w:sz w:val="22"/>
          <w:szCs w:val="22"/>
        </w:rPr>
      </w:pPr>
    </w:p>
    <w:p w14:paraId="448EA813" w14:textId="77777777" w:rsidR="002F7FCC" w:rsidRDefault="002F7FCC" w:rsidP="00501DB9">
      <w:pPr>
        <w:rPr>
          <w:rFonts w:cs="Arial"/>
          <w:sz w:val="22"/>
          <w:szCs w:val="22"/>
        </w:rPr>
      </w:pPr>
    </w:p>
    <w:p w14:paraId="374BAF93" w14:textId="77777777" w:rsidR="00C741B5" w:rsidRDefault="00501DB9" w:rsidP="005D1E12">
      <w:pPr>
        <w:pStyle w:val="Ttulo4"/>
      </w:pPr>
      <w:bookmarkStart w:id="613" w:name="_Ref130639959"/>
      <w:r w:rsidRPr="00501DB9">
        <w:t>BOLSA MERCANTIL DE COLOMBIA</w:t>
      </w:r>
      <w:bookmarkEnd w:id="613"/>
      <w:r w:rsidRPr="00501DB9">
        <w:tab/>
      </w:r>
    </w:p>
    <w:p w14:paraId="5EC5886A" w14:textId="6A86A6FD" w:rsidR="00501DB9" w:rsidRPr="00DA0803" w:rsidRDefault="00CF20CF" w:rsidP="00501DB9">
      <w:pPr>
        <w:rPr>
          <w:rFonts w:cs="Arial"/>
          <w:i/>
          <w:iCs/>
          <w:sz w:val="22"/>
          <w:szCs w:val="22"/>
        </w:rPr>
      </w:pPr>
      <w:r>
        <w:rPr>
          <w:rFonts w:cs="Arial"/>
          <w:i/>
          <w:iCs/>
          <w:sz w:val="22"/>
          <w:szCs w:val="22"/>
        </w:rPr>
        <w:t>“</w:t>
      </w:r>
      <w:r w:rsidR="00501DB9" w:rsidRPr="00DA0803">
        <w:rPr>
          <w:rFonts w:cs="Arial"/>
          <w:i/>
          <w:iCs/>
          <w:sz w:val="22"/>
          <w:szCs w:val="22"/>
        </w:rPr>
        <w:t>Parece haber inconsistencia en que se debe contar con Respaldo Físico para pactar los contratos de suministro del artículo 8, entre los cuales está el Contrato de Suministro con Interrupciones CSI, modalidad para la cual no aplica la condición de respaldo físico.</w:t>
      </w:r>
      <w:r>
        <w:rPr>
          <w:rFonts w:cs="Arial"/>
          <w:i/>
          <w:iCs/>
          <w:sz w:val="22"/>
          <w:szCs w:val="22"/>
        </w:rPr>
        <w:t>”</w:t>
      </w:r>
      <w:r w:rsidR="00501DB9" w:rsidRPr="00DA0803">
        <w:rPr>
          <w:rFonts w:cs="Arial"/>
          <w:i/>
          <w:iCs/>
          <w:sz w:val="22"/>
          <w:szCs w:val="22"/>
        </w:rPr>
        <w:t xml:space="preserve"> </w:t>
      </w:r>
    </w:p>
    <w:p w14:paraId="3F14F924" w14:textId="22A6B1D2" w:rsidR="00DA0803" w:rsidRDefault="00DA0803" w:rsidP="00501DB9">
      <w:pPr>
        <w:rPr>
          <w:rFonts w:cs="Arial"/>
          <w:sz w:val="22"/>
          <w:szCs w:val="22"/>
        </w:rPr>
      </w:pPr>
    </w:p>
    <w:p w14:paraId="700093A9" w14:textId="218A6534" w:rsidR="00DA0803" w:rsidRPr="00DA0803" w:rsidRDefault="00DA0803" w:rsidP="00501DB9">
      <w:pPr>
        <w:rPr>
          <w:rFonts w:cs="Arial"/>
          <w:b/>
          <w:bCs/>
          <w:sz w:val="22"/>
          <w:szCs w:val="22"/>
        </w:rPr>
      </w:pPr>
      <w:r w:rsidRPr="00DA0803">
        <w:rPr>
          <w:rFonts w:cs="Arial"/>
          <w:b/>
          <w:bCs/>
          <w:sz w:val="22"/>
          <w:szCs w:val="22"/>
        </w:rPr>
        <w:t>Respuesta:</w:t>
      </w:r>
    </w:p>
    <w:p w14:paraId="55594B0D" w14:textId="5DA11B08" w:rsidR="00DA0803" w:rsidRDefault="00DA0803" w:rsidP="00501DB9">
      <w:pPr>
        <w:rPr>
          <w:rFonts w:cs="Arial"/>
          <w:sz w:val="22"/>
          <w:szCs w:val="22"/>
        </w:rPr>
      </w:pPr>
    </w:p>
    <w:p w14:paraId="0896FA3F" w14:textId="0FBAD94B" w:rsidR="00DA0803" w:rsidRDefault="00DA0803" w:rsidP="00501DB9">
      <w:pPr>
        <w:rPr>
          <w:rFonts w:cs="Arial"/>
          <w:sz w:val="22"/>
          <w:szCs w:val="22"/>
        </w:rPr>
      </w:pPr>
      <w:r>
        <w:rPr>
          <w:rFonts w:cs="Arial"/>
          <w:sz w:val="22"/>
          <w:szCs w:val="22"/>
        </w:rPr>
        <w:t>Se acoge el comentario.</w:t>
      </w:r>
    </w:p>
    <w:p w14:paraId="5C6D97F7" w14:textId="69D27D78" w:rsidR="00DA0803" w:rsidRDefault="00DA0803" w:rsidP="00501DB9">
      <w:pPr>
        <w:rPr>
          <w:rFonts w:cs="Arial"/>
          <w:sz w:val="22"/>
          <w:szCs w:val="22"/>
        </w:rPr>
      </w:pPr>
    </w:p>
    <w:p w14:paraId="4B244421" w14:textId="1B606F8D" w:rsidR="00DA0803" w:rsidRPr="00501DB9" w:rsidRDefault="00DA0803" w:rsidP="00501DB9">
      <w:pPr>
        <w:rPr>
          <w:rFonts w:cs="Arial"/>
          <w:sz w:val="22"/>
          <w:szCs w:val="22"/>
        </w:rPr>
      </w:pPr>
      <w:r>
        <w:rPr>
          <w:rFonts w:cs="Arial"/>
          <w:sz w:val="22"/>
          <w:szCs w:val="22"/>
        </w:rPr>
        <w:t>En la nueva propuesta se hace el ajuste en el parágrafo en mención.</w:t>
      </w:r>
    </w:p>
    <w:p w14:paraId="010371F9" w14:textId="77777777" w:rsidR="00C741B5" w:rsidRDefault="00C741B5" w:rsidP="00501DB9">
      <w:pPr>
        <w:rPr>
          <w:rFonts w:cs="Arial"/>
          <w:sz w:val="22"/>
          <w:szCs w:val="22"/>
        </w:rPr>
      </w:pPr>
    </w:p>
    <w:p w14:paraId="0EEB671F" w14:textId="77777777" w:rsidR="00C741B5" w:rsidRDefault="00C741B5" w:rsidP="00501DB9">
      <w:pPr>
        <w:rPr>
          <w:rFonts w:cs="Arial"/>
          <w:sz w:val="22"/>
          <w:szCs w:val="22"/>
        </w:rPr>
      </w:pPr>
    </w:p>
    <w:p w14:paraId="5D738632" w14:textId="77777777" w:rsidR="00C741B5" w:rsidRDefault="00501DB9" w:rsidP="00C741B5">
      <w:pPr>
        <w:pStyle w:val="Ttulo2"/>
      </w:pPr>
      <w:bookmarkStart w:id="614" w:name="_Toc140506314"/>
      <w:r w:rsidRPr="00501DB9">
        <w:t>CANACOL</w:t>
      </w:r>
      <w:bookmarkEnd w:id="614"/>
      <w:r w:rsidRPr="00501DB9">
        <w:tab/>
      </w:r>
    </w:p>
    <w:p w14:paraId="2F02AAC3" w14:textId="77777777" w:rsidR="00C741B5" w:rsidRDefault="00C741B5" w:rsidP="00C741B5">
      <w:pPr>
        <w:pStyle w:val="Ttulo4"/>
      </w:pPr>
      <w:r w:rsidRPr="00501DB9">
        <w:t>CANACOL</w:t>
      </w:r>
      <w:r w:rsidRPr="00501DB9">
        <w:tab/>
      </w:r>
    </w:p>
    <w:p w14:paraId="5B0F3C79" w14:textId="77DFBD71" w:rsidR="00501DB9" w:rsidRPr="00DA0803" w:rsidRDefault="00501DB9" w:rsidP="00501DB9">
      <w:pPr>
        <w:rPr>
          <w:rFonts w:cs="Arial"/>
          <w:i/>
          <w:iCs/>
          <w:sz w:val="22"/>
          <w:szCs w:val="22"/>
        </w:rPr>
      </w:pPr>
      <w:r w:rsidRPr="00501DB9">
        <w:rPr>
          <w:rFonts w:cs="Arial"/>
          <w:sz w:val="22"/>
          <w:szCs w:val="22"/>
        </w:rPr>
        <w:t>"</w:t>
      </w:r>
      <w:r w:rsidRPr="00DA0803">
        <w:rPr>
          <w:rFonts w:cs="Arial"/>
          <w:i/>
          <w:iCs/>
          <w:sz w:val="22"/>
          <w:szCs w:val="22"/>
        </w:rPr>
        <w:t>Libertad contractual:</w:t>
      </w:r>
    </w:p>
    <w:p w14:paraId="728FD25C" w14:textId="77777777" w:rsidR="00501DB9" w:rsidRPr="00DA0803" w:rsidRDefault="00501DB9" w:rsidP="00501DB9">
      <w:pPr>
        <w:rPr>
          <w:rFonts w:cs="Arial"/>
          <w:i/>
          <w:iCs/>
          <w:sz w:val="22"/>
          <w:szCs w:val="22"/>
        </w:rPr>
      </w:pPr>
    </w:p>
    <w:p w14:paraId="1285FC8D" w14:textId="6AC4EFB7" w:rsidR="00501DB9" w:rsidRPr="00DA0803" w:rsidRDefault="00501DB9" w:rsidP="00501DB9">
      <w:pPr>
        <w:rPr>
          <w:rFonts w:cs="Arial"/>
          <w:i/>
          <w:iCs/>
          <w:sz w:val="22"/>
          <w:szCs w:val="22"/>
        </w:rPr>
      </w:pPr>
      <w:r w:rsidRPr="00DA0803">
        <w:rPr>
          <w:rFonts w:cs="Arial"/>
          <w:i/>
          <w:iCs/>
          <w:sz w:val="22"/>
          <w:szCs w:val="22"/>
        </w:rPr>
        <w:t xml:space="preserve">El parágrafo 2 del Articulo 8 incluye una modificación al artículo anteriormente contenido en la Resolución CREG 186 de 2021. Con dicha modificación se incluye que en </w:t>
      </w:r>
      <w:r w:rsidR="00CF20CF">
        <w:rPr>
          <w:rFonts w:cs="Arial"/>
          <w:i/>
          <w:iCs/>
          <w:sz w:val="22"/>
          <w:szCs w:val="22"/>
        </w:rPr>
        <w:t>‘</w:t>
      </w:r>
      <w:r w:rsidRPr="00DA0803">
        <w:rPr>
          <w:rFonts w:cs="Arial"/>
          <w:i/>
          <w:iCs/>
          <w:sz w:val="22"/>
          <w:szCs w:val="22"/>
        </w:rPr>
        <w:t>ning</w:t>
      </w:r>
      <w:r w:rsidR="000E2FC4">
        <w:rPr>
          <w:rFonts w:cs="Arial"/>
          <w:i/>
          <w:iCs/>
          <w:sz w:val="22"/>
          <w:szCs w:val="22"/>
        </w:rPr>
        <w:t>ú</w:t>
      </w:r>
      <w:r w:rsidRPr="00DA0803">
        <w:rPr>
          <w:rFonts w:cs="Arial"/>
          <w:i/>
          <w:iCs/>
          <w:sz w:val="22"/>
          <w:szCs w:val="22"/>
        </w:rPr>
        <w:t>n caso</w:t>
      </w:r>
      <w:r w:rsidR="00CF20CF">
        <w:rPr>
          <w:rFonts w:cs="Arial"/>
          <w:i/>
          <w:iCs/>
          <w:sz w:val="22"/>
          <w:szCs w:val="22"/>
        </w:rPr>
        <w:t>’</w:t>
      </w:r>
      <w:r w:rsidRPr="00DA0803">
        <w:rPr>
          <w:rFonts w:cs="Arial"/>
          <w:i/>
          <w:iCs/>
          <w:sz w:val="22"/>
          <w:szCs w:val="22"/>
        </w:rPr>
        <w:t xml:space="preserve"> se podrán pactar tipos de contratos diferentes a los contemplados en el art</w:t>
      </w:r>
      <w:r w:rsidR="00F107B8">
        <w:rPr>
          <w:rFonts w:cs="Arial"/>
          <w:i/>
          <w:iCs/>
          <w:sz w:val="22"/>
          <w:szCs w:val="22"/>
        </w:rPr>
        <w:t>í</w:t>
      </w:r>
      <w:r w:rsidRPr="00DA0803">
        <w:rPr>
          <w:rFonts w:cs="Arial"/>
          <w:i/>
          <w:iCs/>
          <w:sz w:val="22"/>
          <w:szCs w:val="22"/>
        </w:rPr>
        <w:t>culo 8.</w:t>
      </w:r>
    </w:p>
    <w:p w14:paraId="39365AB4" w14:textId="77777777" w:rsidR="00501DB9" w:rsidRPr="00DA0803" w:rsidRDefault="00501DB9" w:rsidP="00501DB9">
      <w:pPr>
        <w:rPr>
          <w:rFonts w:cs="Arial"/>
          <w:i/>
          <w:iCs/>
          <w:sz w:val="22"/>
          <w:szCs w:val="22"/>
        </w:rPr>
      </w:pPr>
    </w:p>
    <w:p w14:paraId="7F78E6F2" w14:textId="6F232931" w:rsidR="00501DB9" w:rsidRDefault="0092686B" w:rsidP="00501DB9">
      <w:pPr>
        <w:rPr>
          <w:rFonts w:cs="Arial"/>
          <w:sz w:val="22"/>
          <w:szCs w:val="22"/>
        </w:rPr>
      </w:pPr>
      <w:r>
        <w:rPr>
          <w:rFonts w:cs="Arial"/>
          <w:i/>
          <w:iCs/>
          <w:sz w:val="22"/>
          <w:szCs w:val="22"/>
        </w:rPr>
        <w:t>L</w:t>
      </w:r>
      <w:r w:rsidR="00501DB9" w:rsidRPr="00DA0803">
        <w:rPr>
          <w:rFonts w:cs="Arial"/>
          <w:i/>
          <w:iCs/>
          <w:sz w:val="22"/>
          <w:szCs w:val="22"/>
        </w:rPr>
        <w:t>o anterior puede entrar en conflicto con las excepciones establecidas en el parágrafo del artículo 20 de la misma resolución</w:t>
      </w:r>
      <w:r w:rsidR="00501DB9" w:rsidRPr="00501DB9">
        <w:rPr>
          <w:rFonts w:cs="Arial"/>
          <w:sz w:val="22"/>
          <w:szCs w:val="22"/>
        </w:rPr>
        <w:t>."</w:t>
      </w:r>
    </w:p>
    <w:p w14:paraId="10CDF786" w14:textId="489D907E" w:rsidR="00DA0803" w:rsidRDefault="00DA0803" w:rsidP="00501DB9">
      <w:pPr>
        <w:rPr>
          <w:rFonts w:cs="Arial"/>
          <w:sz w:val="22"/>
          <w:szCs w:val="22"/>
        </w:rPr>
      </w:pPr>
    </w:p>
    <w:p w14:paraId="5FBD102E" w14:textId="3B5FA82E" w:rsidR="00DA0803" w:rsidRPr="00DA0803" w:rsidRDefault="00DA0803" w:rsidP="00501DB9">
      <w:pPr>
        <w:rPr>
          <w:rFonts w:cs="Arial"/>
          <w:b/>
          <w:bCs/>
          <w:sz w:val="22"/>
          <w:szCs w:val="22"/>
        </w:rPr>
      </w:pPr>
      <w:r w:rsidRPr="00DA0803">
        <w:rPr>
          <w:rFonts w:cs="Arial"/>
          <w:b/>
          <w:bCs/>
          <w:sz w:val="22"/>
          <w:szCs w:val="22"/>
        </w:rPr>
        <w:t>Respuesta:</w:t>
      </w:r>
    </w:p>
    <w:p w14:paraId="5FC3C8DF" w14:textId="5092FAA4" w:rsidR="00DA0803" w:rsidRDefault="00DA0803" w:rsidP="00501DB9">
      <w:pPr>
        <w:rPr>
          <w:rFonts w:cs="Arial"/>
          <w:sz w:val="22"/>
          <w:szCs w:val="22"/>
        </w:rPr>
      </w:pPr>
    </w:p>
    <w:p w14:paraId="31A63740" w14:textId="3CE6C8FA" w:rsidR="00DA0803" w:rsidRDefault="00DA0803" w:rsidP="00501DB9">
      <w:pPr>
        <w:rPr>
          <w:rFonts w:cs="Arial"/>
          <w:sz w:val="22"/>
          <w:szCs w:val="22"/>
        </w:rPr>
      </w:pPr>
      <w:r>
        <w:rPr>
          <w:rFonts w:cs="Arial"/>
          <w:sz w:val="22"/>
          <w:szCs w:val="22"/>
        </w:rPr>
        <w:t>Se acoge el comentario.</w:t>
      </w:r>
    </w:p>
    <w:p w14:paraId="7CB8E10E" w14:textId="5B9EC5CD" w:rsidR="007B1EF3" w:rsidRDefault="007B1EF3" w:rsidP="00501DB9">
      <w:pPr>
        <w:rPr>
          <w:rFonts w:cs="Arial"/>
          <w:sz w:val="22"/>
          <w:szCs w:val="22"/>
        </w:rPr>
      </w:pPr>
    </w:p>
    <w:p w14:paraId="4EDB5D31" w14:textId="3EBD7A96" w:rsidR="00DA0803" w:rsidRDefault="007B1EF3" w:rsidP="00501DB9">
      <w:pPr>
        <w:rPr>
          <w:rFonts w:cs="Arial"/>
          <w:sz w:val="22"/>
          <w:szCs w:val="22"/>
        </w:rPr>
      </w:pPr>
      <w:r>
        <w:rPr>
          <w:rFonts w:cs="Arial"/>
          <w:sz w:val="22"/>
          <w:szCs w:val="22"/>
        </w:rPr>
        <w:t>En la nueva propuesta se hace el ajuste al parágrafo en mención para evitar alguna duda de aplicación al respecto.</w:t>
      </w:r>
    </w:p>
    <w:p w14:paraId="14BFCF7A" w14:textId="77777777" w:rsidR="00DA0803" w:rsidRPr="00501DB9" w:rsidRDefault="00DA0803" w:rsidP="00501DB9">
      <w:pPr>
        <w:rPr>
          <w:rFonts w:cs="Arial"/>
          <w:sz w:val="22"/>
          <w:szCs w:val="22"/>
        </w:rPr>
      </w:pPr>
    </w:p>
    <w:p w14:paraId="1A3A2501" w14:textId="77777777" w:rsidR="00C741B5" w:rsidRDefault="00C741B5" w:rsidP="00501DB9">
      <w:pPr>
        <w:rPr>
          <w:rFonts w:cs="Arial"/>
          <w:sz w:val="22"/>
          <w:szCs w:val="22"/>
        </w:rPr>
      </w:pPr>
    </w:p>
    <w:p w14:paraId="53C5143B" w14:textId="77777777" w:rsidR="00C741B5" w:rsidRDefault="00C741B5" w:rsidP="00C741B5">
      <w:pPr>
        <w:pStyle w:val="Ttulo4"/>
      </w:pPr>
      <w:bookmarkStart w:id="615" w:name="_Ref130637905"/>
      <w:r w:rsidRPr="00501DB9">
        <w:t>CANACOL</w:t>
      </w:r>
      <w:bookmarkEnd w:id="615"/>
      <w:r w:rsidRPr="00501DB9">
        <w:tab/>
      </w:r>
    </w:p>
    <w:p w14:paraId="5C40D82F" w14:textId="7F9574E9" w:rsidR="00501DB9" w:rsidRDefault="008D4015" w:rsidP="00501DB9">
      <w:pPr>
        <w:rPr>
          <w:rFonts w:cs="Arial"/>
          <w:i/>
          <w:iCs/>
          <w:sz w:val="22"/>
          <w:szCs w:val="22"/>
        </w:rPr>
      </w:pPr>
      <w:r>
        <w:rPr>
          <w:rFonts w:cs="Arial"/>
          <w:i/>
          <w:iCs/>
          <w:sz w:val="22"/>
          <w:szCs w:val="22"/>
        </w:rPr>
        <w:t>“</w:t>
      </w:r>
      <w:r w:rsidR="00501DB9" w:rsidRPr="00A643EA">
        <w:rPr>
          <w:rFonts w:cs="Arial"/>
          <w:i/>
          <w:iCs/>
          <w:sz w:val="22"/>
          <w:szCs w:val="22"/>
        </w:rPr>
        <w:t xml:space="preserve">Compensaciones:  los periodos de compensación pactados bilateralmente son importantes para firmar contratos con la demanda termoeléctrica, dado que por su variabilidad en el consumo a esta clase de demanda le es difícil asumir compromisos contractuales, </w:t>
      </w:r>
      <w:r w:rsidRPr="00A643EA">
        <w:rPr>
          <w:rFonts w:cs="Arial"/>
          <w:i/>
          <w:iCs/>
          <w:sz w:val="22"/>
          <w:szCs w:val="22"/>
        </w:rPr>
        <w:t>así</w:t>
      </w:r>
      <w:r w:rsidR="00501DB9" w:rsidRPr="00A643EA">
        <w:rPr>
          <w:rFonts w:cs="Arial"/>
          <w:i/>
          <w:iCs/>
          <w:sz w:val="22"/>
          <w:szCs w:val="22"/>
        </w:rPr>
        <w:t xml:space="preserve"> sea por un corto período de tiempo, que les implique perder el gas que no puedan consumir en un día determinado</w:t>
      </w:r>
      <w:r w:rsidR="00A643EA" w:rsidRPr="00A643EA">
        <w:rPr>
          <w:rFonts w:cs="Arial"/>
          <w:i/>
          <w:iCs/>
          <w:sz w:val="22"/>
          <w:szCs w:val="22"/>
        </w:rPr>
        <w:t>.</w:t>
      </w:r>
    </w:p>
    <w:p w14:paraId="52A1A45E" w14:textId="1E2B8BA2" w:rsidR="00F25F54" w:rsidRDefault="00F25F54" w:rsidP="00501DB9">
      <w:pPr>
        <w:rPr>
          <w:rFonts w:cs="Arial"/>
          <w:i/>
          <w:iCs/>
          <w:sz w:val="22"/>
          <w:szCs w:val="22"/>
        </w:rPr>
      </w:pPr>
    </w:p>
    <w:p w14:paraId="07988565" w14:textId="6EF3F291" w:rsidR="00F25F54" w:rsidRPr="00A643EA" w:rsidRDefault="00F25F54" w:rsidP="00501DB9">
      <w:pPr>
        <w:rPr>
          <w:rFonts w:cs="Arial"/>
          <w:i/>
          <w:iCs/>
          <w:sz w:val="22"/>
          <w:szCs w:val="22"/>
        </w:rPr>
      </w:pPr>
      <w:r w:rsidRPr="00F25F54">
        <w:rPr>
          <w:rFonts w:cs="Arial"/>
          <w:i/>
          <w:iCs/>
          <w:sz w:val="22"/>
          <w:szCs w:val="22"/>
        </w:rPr>
        <w:t>Sugerimos permitir pactar bilateralmente periodos de compensación para los contratos con destino a la demanda termoeléctrica.</w:t>
      </w:r>
      <w:r w:rsidR="008D4015">
        <w:rPr>
          <w:rFonts w:cs="Arial"/>
          <w:i/>
          <w:iCs/>
          <w:sz w:val="22"/>
          <w:szCs w:val="22"/>
        </w:rPr>
        <w:t>”</w:t>
      </w:r>
    </w:p>
    <w:p w14:paraId="7FCCD945" w14:textId="70B831D0" w:rsidR="00A643EA" w:rsidRDefault="00A643EA" w:rsidP="00501DB9">
      <w:pPr>
        <w:rPr>
          <w:rFonts w:cs="Arial"/>
          <w:sz w:val="22"/>
          <w:szCs w:val="22"/>
        </w:rPr>
      </w:pPr>
    </w:p>
    <w:p w14:paraId="655BDB3E" w14:textId="0429C5AF" w:rsidR="00A643EA" w:rsidRPr="00A643EA" w:rsidRDefault="00A643EA" w:rsidP="00501DB9">
      <w:pPr>
        <w:rPr>
          <w:rFonts w:cs="Arial"/>
          <w:b/>
          <w:bCs/>
          <w:sz w:val="22"/>
          <w:szCs w:val="22"/>
        </w:rPr>
      </w:pPr>
      <w:r w:rsidRPr="00A643EA">
        <w:rPr>
          <w:rFonts w:cs="Arial"/>
          <w:b/>
          <w:bCs/>
          <w:sz w:val="22"/>
          <w:szCs w:val="22"/>
        </w:rPr>
        <w:t>Respuesta:</w:t>
      </w:r>
    </w:p>
    <w:p w14:paraId="51918CF6" w14:textId="57D990A8" w:rsidR="00A643EA" w:rsidRDefault="00A643EA" w:rsidP="00501DB9">
      <w:pPr>
        <w:rPr>
          <w:rFonts w:cs="Arial"/>
          <w:sz w:val="22"/>
          <w:szCs w:val="22"/>
        </w:rPr>
      </w:pPr>
    </w:p>
    <w:p w14:paraId="508F6E52" w14:textId="1EC9B79C" w:rsidR="00A643EA" w:rsidRDefault="0010138F" w:rsidP="00501DB9">
      <w:pPr>
        <w:rPr>
          <w:rFonts w:cs="Arial"/>
          <w:sz w:val="22"/>
          <w:szCs w:val="22"/>
        </w:rPr>
      </w:pPr>
      <w:r>
        <w:rPr>
          <w:rFonts w:cs="Arial"/>
          <w:sz w:val="22"/>
          <w:szCs w:val="22"/>
        </w:rPr>
        <w:t>No se acoge el comentario.</w:t>
      </w:r>
    </w:p>
    <w:p w14:paraId="3B958FD3" w14:textId="73BB554F" w:rsidR="0010138F" w:rsidRDefault="0010138F" w:rsidP="00501DB9">
      <w:pPr>
        <w:rPr>
          <w:rFonts w:cs="Arial"/>
          <w:sz w:val="22"/>
          <w:szCs w:val="22"/>
        </w:rPr>
      </w:pPr>
    </w:p>
    <w:p w14:paraId="74C4B8B9" w14:textId="21881B81" w:rsidR="0010138F" w:rsidRDefault="0010138F" w:rsidP="00501DB9">
      <w:pPr>
        <w:rPr>
          <w:rFonts w:cs="Arial"/>
          <w:sz w:val="22"/>
          <w:szCs w:val="22"/>
        </w:rPr>
      </w:pPr>
      <w:r>
        <w:rPr>
          <w:rFonts w:cs="Arial"/>
          <w:sz w:val="22"/>
          <w:szCs w:val="22"/>
        </w:rPr>
        <w:t xml:space="preserve">En el desarrollo de la Resolución CREG 089 de 2013, que reglamentó el funcionamiento del mercado Mayorista de Gas Natural en su inicio, se explica la razón de no permitir los contratos tipo firme </w:t>
      </w:r>
      <w:proofErr w:type="spellStart"/>
      <w:r>
        <w:rPr>
          <w:rFonts w:cs="Arial"/>
          <w:sz w:val="22"/>
          <w:szCs w:val="22"/>
        </w:rPr>
        <w:t>Take</w:t>
      </w:r>
      <w:proofErr w:type="spellEnd"/>
      <w:r>
        <w:rPr>
          <w:rFonts w:cs="Arial"/>
          <w:sz w:val="22"/>
          <w:szCs w:val="22"/>
        </w:rPr>
        <w:t xml:space="preserve"> </w:t>
      </w:r>
      <w:proofErr w:type="spellStart"/>
      <w:r>
        <w:rPr>
          <w:rFonts w:cs="Arial"/>
          <w:sz w:val="22"/>
          <w:szCs w:val="22"/>
        </w:rPr>
        <w:t>or</w:t>
      </w:r>
      <w:proofErr w:type="spellEnd"/>
      <w:r>
        <w:rPr>
          <w:rFonts w:cs="Arial"/>
          <w:sz w:val="22"/>
          <w:szCs w:val="22"/>
        </w:rPr>
        <w:t xml:space="preserve"> </w:t>
      </w:r>
      <w:proofErr w:type="spellStart"/>
      <w:r>
        <w:rPr>
          <w:rFonts w:cs="Arial"/>
          <w:sz w:val="22"/>
          <w:szCs w:val="22"/>
        </w:rPr>
        <w:t>Pay</w:t>
      </w:r>
      <w:proofErr w:type="spellEnd"/>
      <w:r>
        <w:rPr>
          <w:rFonts w:cs="Arial"/>
          <w:sz w:val="22"/>
          <w:szCs w:val="22"/>
        </w:rPr>
        <w:t xml:space="preserve"> – TOP con cláusula de compensación volumétrica. </w:t>
      </w:r>
      <w:r w:rsidR="0012608B">
        <w:rPr>
          <w:rFonts w:cs="Arial"/>
          <w:sz w:val="22"/>
          <w:szCs w:val="22"/>
        </w:rPr>
        <w:t xml:space="preserve">Ver respuesta al numeral 4 del numeral 2.5.1 del documento CREG 063 de 2013 que se publicó junto con la Resolución CREG 089 de 2013. </w:t>
      </w:r>
    </w:p>
    <w:p w14:paraId="3FB0E7A2" w14:textId="00B2FD62" w:rsidR="0010138F" w:rsidRDefault="0010138F" w:rsidP="00501DB9">
      <w:pPr>
        <w:rPr>
          <w:rFonts w:cs="Arial"/>
          <w:sz w:val="22"/>
          <w:szCs w:val="22"/>
        </w:rPr>
      </w:pPr>
    </w:p>
    <w:p w14:paraId="6DAF4FAC" w14:textId="7DC66BE2" w:rsidR="0010138F" w:rsidRDefault="0010138F" w:rsidP="00501DB9">
      <w:pPr>
        <w:rPr>
          <w:rFonts w:cs="Arial"/>
          <w:sz w:val="22"/>
          <w:szCs w:val="22"/>
        </w:rPr>
      </w:pPr>
      <w:r>
        <w:rPr>
          <w:rFonts w:cs="Arial"/>
          <w:sz w:val="22"/>
          <w:szCs w:val="22"/>
        </w:rPr>
        <w:t>En ajustes realizados mediante la Resolución CREG 114 de 2017 se introdujo la modalidad CF95 que tiene balance volumétrico mensual, con la limitación de que la nominación diaria no puede superar el 100% del volumen máximo garantizado diario.</w:t>
      </w:r>
    </w:p>
    <w:p w14:paraId="4025BFA1" w14:textId="03354727" w:rsidR="0010138F" w:rsidRDefault="0010138F" w:rsidP="00501DB9">
      <w:pPr>
        <w:rPr>
          <w:rFonts w:cs="Arial"/>
          <w:sz w:val="22"/>
          <w:szCs w:val="22"/>
        </w:rPr>
      </w:pPr>
    </w:p>
    <w:p w14:paraId="2DF75778" w14:textId="6D820B32" w:rsidR="0010138F" w:rsidRPr="00501DB9" w:rsidRDefault="0010138F" w:rsidP="00501DB9">
      <w:pPr>
        <w:rPr>
          <w:rFonts w:cs="Arial"/>
          <w:sz w:val="22"/>
          <w:szCs w:val="22"/>
        </w:rPr>
      </w:pPr>
      <w:r>
        <w:rPr>
          <w:rFonts w:cs="Arial"/>
          <w:sz w:val="22"/>
          <w:szCs w:val="22"/>
        </w:rPr>
        <w:t xml:space="preserve">Sin embargo, en la propuesta </w:t>
      </w:r>
      <w:r w:rsidR="00C022D3">
        <w:rPr>
          <w:rFonts w:cs="Arial"/>
          <w:sz w:val="22"/>
          <w:szCs w:val="22"/>
        </w:rPr>
        <w:t xml:space="preserve">de CREG 226 de 2021 </w:t>
      </w:r>
      <w:r>
        <w:rPr>
          <w:rFonts w:cs="Arial"/>
          <w:sz w:val="22"/>
          <w:szCs w:val="22"/>
        </w:rPr>
        <w:t xml:space="preserve">se ha planteado </w:t>
      </w:r>
      <w:r w:rsidR="002734AC">
        <w:rPr>
          <w:rFonts w:cs="Arial"/>
          <w:sz w:val="22"/>
          <w:szCs w:val="22"/>
        </w:rPr>
        <w:t>que los mismos agentes puedan proponer modalidades contractuales</w:t>
      </w:r>
      <w:r w:rsidR="0012608B">
        <w:rPr>
          <w:rFonts w:cs="Arial"/>
          <w:sz w:val="22"/>
          <w:szCs w:val="22"/>
        </w:rPr>
        <w:t>, como la que podría derivarse del comentario</w:t>
      </w:r>
      <w:r w:rsidR="002734AC">
        <w:rPr>
          <w:rFonts w:cs="Arial"/>
          <w:sz w:val="22"/>
          <w:szCs w:val="22"/>
        </w:rPr>
        <w:t xml:space="preserve">. </w:t>
      </w:r>
      <w:r w:rsidR="0086360C">
        <w:rPr>
          <w:rFonts w:cs="Arial"/>
          <w:sz w:val="22"/>
          <w:szCs w:val="22"/>
        </w:rPr>
        <w:t xml:space="preserve">Ver </w:t>
      </w:r>
      <w:r w:rsidR="00613623">
        <w:rPr>
          <w:rFonts w:cs="Arial"/>
          <w:sz w:val="22"/>
          <w:szCs w:val="22"/>
        </w:rPr>
        <w:t xml:space="preserve">numeral </w:t>
      </w:r>
      <w:r w:rsidR="00613623">
        <w:rPr>
          <w:rFonts w:cs="Arial"/>
          <w:sz w:val="22"/>
          <w:szCs w:val="22"/>
        </w:rPr>
        <w:fldChar w:fldCharType="begin"/>
      </w:r>
      <w:r w:rsidR="00613623">
        <w:rPr>
          <w:rFonts w:cs="Arial"/>
          <w:sz w:val="22"/>
          <w:szCs w:val="22"/>
        </w:rPr>
        <w:instrText xml:space="preserve"> REF _Ref130637301 \r \h </w:instrText>
      </w:r>
      <w:r w:rsidR="00613623">
        <w:rPr>
          <w:rFonts w:cs="Arial"/>
          <w:sz w:val="22"/>
          <w:szCs w:val="22"/>
        </w:rPr>
      </w:r>
      <w:r w:rsidR="00613623">
        <w:rPr>
          <w:rFonts w:cs="Arial"/>
          <w:sz w:val="22"/>
          <w:szCs w:val="22"/>
        </w:rPr>
        <w:fldChar w:fldCharType="separate"/>
      </w:r>
      <w:r w:rsidR="007651EA">
        <w:rPr>
          <w:rFonts w:cs="Arial"/>
          <w:sz w:val="22"/>
          <w:szCs w:val="22"/>
        </w:rPr>
        <w:t>4.6</w:t>
      </w:r>
      <w:r w:rsidR="00613623">
        <w:rPr>
          <w:rFonts w:cs="Arial"/>
          <w:sz w:val="22"/>
          <w:szCs w:val="22"/>
        </w:rPr>
        <w:fldChar w:fldCharType="end"/>
      </w:r>
      <w:r w:rsidR="00613623">
        <w:rPr>
          <w:rFonts w:cs="Arial"/>
          <w:sz w:val="22"/>
          <w:szCs w:val="22"/>
        </w:rPr>
        <w:t xml:space="preserve"> y </w:t>
      </w:r>
      <w:r w:rsidR="0086360C">
        <w:rPr>
          <w:rFonts w:cs="Arial"/>
          <w:sz w:val="22"/>
          <w:szCs w:val="22"/>
        </w:rPr>
        <w:t xml:space="preserve">respuesta a </w:t>
      </w:r>
      <w:r w:rsidR="0086360C">
        <w:rPr>
          <w:rFonts w:cs="Arial"/>
          <w:sz w:val="22"/>
          <w:szCs w:val="22"/>
        </w:rPr>
        <w:fldChar w:fldCharType="begin"/>
      </w:r>
      <w:r w:rsidR="0086360C">
        <w:rPr>
          <w:rFonts w:cs="Arial"/>
          <w:sz w:val="22"/>
          <w:szCs w:val="22"/>
        </w:rPr>
        <w:instrText xml:space="preserve"> REF _Ref130636528 \r \h </w:instrText>
      </w:r>
      <w:r w:rsidR="0086360C">
        <w:rPr>
          <w:rFonts w:cs="Arial"/>
          <w:sz w:val="22"/>
          <w:szCs w:val="22"/>
        </w:rPr>
      </w:r>
      <w:r w:rsidR="0086360C">
        <w:rPr>
          <w:rFonts w:cs="Arial"/>
          <w:sz w:val="22"/>
          <w:szCs w:val="22"/>
        </w:rPr>
        <w:fldChar w:fldCharType="separate"/>
      </w:r>
      <w:r w:rsidR="007651EA">
        <w:rPr>
          <w:rFonts w:cs="Arial"/>
          <w:sz w:val="22"/>
          <w:szCs w:val="22"/>
        </w:rPr>
        <w:t>8.1.1.1</w:t>
      </w:r>
      <w:r w:rsidR="0086360C">
        <w:rPr>
          <w:rFonts w:cs="Arial"/>
          <w:sz w:val="22"/>
          <w:szCs w:val="22"/>
        </w:rPr>
        <w:fldChar w:fldCharType="end"/>
      </w:r>
      <w:r w:rsidR="00016AA2">
        <w:rPr>
          <w:rFonts w:cs="Arial"/>
          <w:sz w:val="22"/>
          <w:szCs w:val="22"/>
        </w:rPr>
        <w:t xml:space="preserve"> y </w:t>
      </w:r>
      <w:r w:rsidR="00016AA2">
        <w:rPr>
          <w:rFonts w:cs="Arial"/>
          <w:sz w:val="22"/>
          <w:szCs w:val="22"/>
        </w:rPr>
        <w:fldChar w:fldCharType="begin"/>
      </w:r>
      <w:r w:rsidR="00016AA2">
        <w:rPr>
          <w:rFonts w:cs="Arial"/>
          <w:sz w:val="22"/>
          <w:szCs w:val="22"/>
        </w:rPr>
        <w:instrText xml:space="preserve"> REF _Ref130639597 \r \h </w:instrText>
      </w:r>
      <w:r w:rsidR="00016AA2">
        <w:rPr>
          <w:rFonts w:cs="Arial"/>
          <w:sz w:val="22"/>
          <w:szCs w:val="22"/>
        </w:rPr>
      </w:r>
      <w:r w:rsidR="00016AA2">
        <w:rPr>
          <w:rFonts w:cs="Arial"/>
          <w:sz w:val="22"/>
          <w:szCs w:val="22"/>
        </w:rPr>
        <w:fldChar w:fldCharType="separate"/>
      </w:r>
      <w:r w:rsidR="007651EA">
        <w:rPr>
          <w:rFonts w:cs="Arial"/>
          <w:sz w:val="22"/>
          <w:szCs w:val="22"/>
        </w:rPr>
        <w:t>8.12.1.1</w:t>
      </w:r>
      <w:r w:rsidR="00016AA2">
        <w:rPr>
          <w:rFonts w:cs="Arial"/>
          <w:sz w:val="22"/>
          <w:szCs w:val="22"/>
        </w:rPr>
        <w:fldChar w:fldCharType="end"/>
      </w:r>
      <w:r w:rsidR="0086360C">
        <w:rPr>
          <w:rFonts w:cs="Arial"/>
          <w:sz w:val="22"/>
          <w:szCs w:val="22"/>
        </w:rPr>
        <w:t>.</w:t>
      </w:r>
    </w:p>
    <w:p w14:paraId="4FDA5742" w14:textId="77777777" w:rsidR="00C741B5" w:rsidRDefault="00C741B5" w:rsidP="00501DB9">
      <w:pPr>
        <w:rPr>
          <w:rFonts w:cs="Arial"/>
          <w:sz w:val="22"/>
          <w:szCs w:val="22"/>
        </w:rPr>
      </w:pPr>
    </w:p>
    <w:p w14:paraId="1EBECBC4" w14:textId="77777777" w:rsidR="00C741B5" w:rsidRDefault="00C741B5" w:rsidP="00501DB9">
      <w:pPr>
        <w:rPr>
          <w:rFonts w:cs="Arial"/>
          <w:sz w:val="22"/>
          <w:szCs w:val="22"/>
        </w:rPr>
      </w:pPr>
    </w:p>
    <w:p w14:paraId="2F2C1656" w14:textId="77777777" w:rsidR="00C741B5" w:rsidRDefault="00501DB9" w:rsidP="00C741B5">
      <w:pPr>
        <w:pStyle w:val="Ttulo2"/>
      </w:pPr>
      <w:bookmarkStart w:id="616" w:name="_Toc140506315"/>
      <w:r w:rsidRPr="00501DB9">
        <w:t>ECOPETROL</w:t>
      </w:r>
      <w:bookmarkEnd w:id="616"/>
      <w:r w:rsidRPr="00501DB9">
        <w:tab/>
      </w:r>
    </w:p>
    <w:p w14:paraId="2C92D389" w14:textId="77777777" w:rsidR="00C741B5" w:rsidRDefault="00C741B5" w:rsidP="001A7279">
      <w:pPr>
        <w:pStyle w:val="Ttulo4"/>
      </w:pPr>
      <w:r w:rsidRPr="00501DB9">
        <w:t>ECOPETROL</w:t>
      </w:r>
      <w:r w:rsidRPr="00501DB9">
        <w:tab/>
      </w:r>
    </w:p>
    <w:p w14:paraId="3EB27018" w14:textId="23381179" w:rsidR="00501DB9" w:rsidRPr="0012608B" w:rsidRDefault="00501DB9" w:rsidP="00501DB9">
      <w:pPr>
        <w:rPr>
          <w:rFonts w:cs="Arial"/>
          <w:i/>
          <w:iCs/>
          <w:sz w:val="22"/>
          <w:szCs w:val="22"/>
        </w:rPr>
      </w:pPr>
      <w:r w:rsidRPr="0012608B">
        <w:rPr>
          <w:rFonts w:cs="Arial"/>
          <w:i/>
          <w:iCs/>
          <w:sz w:val="22"/>
          <w:szCs w:val="22"/>
        </w:rPr>
        <w:t>“</w:t>
      </w:r>
      <w:r w:rsidR="00C36602">
        <w:rPr>
          <w:rFonts w:cs="Arial"/>
          <w:i/>
          <w:iCs/>
          <w:sz w:val="22"/>
          <w:szCs w:val="22"/>
        </w:rPr>
        <w:t>’</w:t>
      </w:r>
      <w:r w:rsidRPr="0012608B">
        <w:rPr>
          <w:rFonts w:cs="Arial"/>
          <w:i/>
          <w:iCs/>
          <w:sz w:val="22"/>
          <w:szCs w:val="22"/>
        </w:rPr>
        <w:t>Parágrafo 6. Los vendedores señalados en el Artículo 16 de la presente Resolución, deberán contar con Respaldo Físico para pactar los contratos de suministro de que trata este Artículo, y así deberá declararlo en los mismos</w:t>
      </w:r>
      <w:r w:rsidR="003D240E">
        <w:rPr>
          <w:rFonts w:cs="Arial"/>
          <w:i/>
          <w:iCs/>
          <w:sz w:val="22"/>
          <w:szCs w:val="22"/>
        </w:rPr>
        <w:t>’</w:t>
      </w:r>
      <w:r w:rsidRPr="0012608B">
        <w:rPr>
          <w:rFonts w:cs="Arial"/>
          <w:i/>
          <w:iCs/>
          <w:sz w:val="22"/>
          <w:szCs w:val="22"/>
        </w:rPr>
        <w:t>.” Esta definición puede afectar el desarrollo de nueva oferta de gas natural y por consiguiente el abastecimiento de la demanda en el mediano y largo plazo.</w:t>
      </w:r>
      <w:r w:rsidR="003D240E">
        <w:rPr>
          <w:rFonts w:cs="Arial"/>
          <w:i/>
          <w:iCs/>
          <w:sz w:val="22"/>
          <w:szCs w:val="22"/>
        </w:rPr>
        <w:t>”</w:t>
      </w:r>
    </w:p>
    <w:p w14:paraId="3F0778FE" w14:textId="1CB97C45" w:rsidR="0012608B" w:rsidRDefault="0012608B" w:rsidP="00501DB9">
      <w:pPr>
        <w:rPr>
          <w:rFonts w:cs="Arial"/>
          <w:sz w:val="22"/>
          <w:szCs w:val="22"/>
        </w:rPr>
      </w:pPr>
    </w:p>
    <w:p w14:paraId="12E12E4C" w14:textId="355954F0" w:rsidR="0012608B" w:rsidRPr="0012608B" w:rsidRDefault="0012608B" w:rsidP="00501DB9">
      <w:pPr>
        <w:rPr>
          <w:rFonts w:cs="Arial"/>
          <w:b/>
          <w:bCs/>
          <w:sz w:val="22"/>
          <w:szCs w:val="22"/>
        </w:rPr>
      </w:pPr>
      <w:r w:rsidRPr="0012608B">
        <w:rPr>
          <w:rFonts w:cs="Arial"/>
          <w:b/>
          <w:bCs/>
          <w:sz w:val="22"/>
          <w:szCs w:val="22"/>
        </w:rPr>
        <w:t>Respuesta:</w:t>
      </w:r>
    </w:p>
    <w:p w14:paraId="3F1C56FA" w14:textId="72AD8202" w:rsidR="0012608B" w:rsidRDefault="0012608B" w:rsidP="00501DB9">
      <w:pPr>
        <w:rPr>
          <w:rFonts w:cs="Arial"/>
          <w:sz w:val="22"/>
          <w:szCs w:val="22"/>
        </w:rPr>
      </w:pPr>
    </w:p>
    <w:p w14:paraId="05616A03" w14:textId="507308A2" w:rsidR="0012608B" w:rsidRDefault="0012608B" w:rsidP="00501DB9">
      <w:pPr>
        <w:rPr>
          <w:rFonts w:cs="Arial"/>
          <w:sz w:val="22"/>
          <w:szCs w:val="22"/>
        </w:rPr>
      </w:pPr>
      <w:r>
        <w:rPr>
          <w:rFonts w:cs="Arial"/>
          <w:sz w:val="22"/>
          <w:szCs w:val="22"/>
        </w:rPr>
        <w:t>No se acoge el comentario.</w:t>
      </w:r>
    </w:p>
    <w:p w14:paraId="681EFC53" w14:textId="07C2F551" w:rsidR="0012608B" w:rsidRDefault="0012608B" w:rsidP="00501DB9">
      <w:pPr>
        <w:rPr>
          <w:rFonts w:cs="Arial"/>
          <w:sz w:val="22"/>
          <w:szCs w:val="22"/>
        </w:rPr>
      </w:pPr>
    </w:p>
    <w:p w14:paraId="5D49CCE3" w14:textId="23B312F8" w:rsidR="0012608B" w:rsidRDefault="0012608B" w:rsidP="00501DB9">
      <w:pPr>
        <w:rPr>
          <w:rFonts w:cs="Arial"/>
          <w:sz w:val="22"/>
          <w:szCs w:val="22"/>
        </w:rPr>
      </w:pPr>
      <w:r>
        <w:rPr>
          <w:rFonts w:cs="Arial"/>
          <w:sz w:val="22"/>
          <w:szCs w:val="22"/>
        </w:rPr>
        <w:t>En la nueva propuesta se hacen ajustes al parágrafo comentado, pero solo para contratos con interrupciones. La definición propuesta es desarrollo de la política energética en cuanto a que en el Decreto 1073 de 2015 se ha establecido que los contratos de tipo firme o que garantizan firmeza deben contar con Respaldo Físico</w:t>
      </w:r>
      <w:r w:rsidR="00EE089F">
        <w:rPr>
          <w:rFonts w:cs="Arial"/>
          <w:sz w:val="22"/>
          <w:szCs w:val="22"/>
        </w:rPr>
        <w:t xml:space="preserve">, qué se entiende por Respaldo Físico y qué se entiende por Reservas de Gas Natural, </w:t>
      </w:r>
      <w:r w:rsidR="001F0206">
        <w:rPr>
          <w:rFonts w:cs="Arial"/>
          <w:sz w:val="22"/>
          <w:szCs w:val="22"/>
        </w:rPr>
        <w:t>para que estos elementos sean conc</w:t>
      </w:r>
      <w:r w:rsidR="00E50F79">
        <w:rPr>
          <w:rFonts w:cs="Arial"/>
          <w:sz w:val="22"/>
          <w:szCs w:val="22"/>
        </w:rPr>
        <w:t xml:space="preserve">ordantes </w:t>
      </w:r>
      <w:r w:rsidR="00EE089F">
        <w:rPr>
          <w:rFonts w:cs="Arial"/>
          <w:sz w:val="22"/>
          <w:szCs w:val="22"/>
        </w:rPr>
        <w:t>entre sí</w:t>
      </w:r>
      <w:r>
        <w:rPr>
          <w:rFonts w:cs="Arial"/>
          <w:sz w:val="22"/>
          <w:szCs w:val="22"/>
        </w:rPr>
        <w:t>.</w:t>
      </w:r>
    </w:p>
    <w:p w14:paraId="5106C596" w14:textId="0BD6E03D" w:rsidR="00EE089F" w:rsidRDefault="00EE089F" w:rsidP="00501DB9">
      <w:pPr>
        <w:rPr>
          <w:rFonts w:cs="Arial"/>
          <w:sz w:val="22"/>
          <w:szCs w:val="22"/>
        </w:rPr>
      </w:pPr>
    </w:p>
    <w:p w14:paraId="4D654858" w14:textId="2ECACD47" w:rsidR="00EE089F" w:rsidRDefault="00EE089F" w:rsidP="00501DB9">
      <w:pPr>
        <w:rPr>
          <w:rFonts w:cs="Arial"/>
          <w:sz w:val="22"/>
          <w:szCs w:val="22"/>
        </w:rPr>
      </w:pPr>
      <w:r>
        <w:rPr>
          <w:rFonts w:cs="Arial"/>
          <w:sz w:val="22"/>
          <w:szCs w:val="22"/>
        </w:rPr>
        <w:t xml:space="preserve">Ahora bien, en la nueva propuesta se establece una flexibilidad para aquellos </w:t>
      </w:r>
      <w:r w:rsidR="00613623" w:rsidRPr="0030430F">
        <w:rPr>
          <w:sz w:val="22"/>
          <w:szCs w:val="22"/>
        </w:rPr>
        <w:t>campos en exploración que se encuentran en pruebas o que no han declarado comercialidad</w:t>
      </w:r>
      <w:r w:rsidR="00613623">
        <w:rPr>
          <w:rFonts w:cs="Arial"/>
          <w:sz w:val="22"/>
          <w:szCs w:val="22"/>
        </w:rPr>
        <w:t xml:space="preserve"> puedan suscribir contratos de suministro (cuyo cumplimiento se sujeta normalmente a que el campo declare comercialidad en el futuro) </w:t>
      </w:r>
      <w:proofErr w:type="gramStart"/>
      <w:r w:rsidR="00613623">
        <w:rPr>
          <w:rFonts w:cs="Arial"/>
          <w:sz w:val="22"/>
          <w:szCs w:val="22"/>
        </w:rPr>
        <w:t>que</w:t>
      </w:r>
      <w:proofErr w:type="gramEnd"/>
      <w:r w:rsidR="00613623">
        <w:rPr>
          <w:rFonts w:cs="Arial"/>
          <w:sz w:val="22"/>
          <w:szCs w:val="22"/>
        </w:rPr>
        <w:t xml:space="preserve"> una vez declarada la comercialidad, se registren bajo modalidad contractual CREG sin que se deba surtir el procedimiento MADE. Ver numeral </w:t>
      </w:r>
      <w:r w:rsidR="00613623">
        <w:rPr>
          <w:rFonts w:cs="Arial"/>
          <w:sz w:val="22"/>
          <w:szCs w:val="22"/>
        </w:rPr>
        <w:fldChar w:fldCharType="begin"/>
      </w:r>
      <w:r w:rsidR="00613623">
        <w:rPr>
          <w:rFonts w:cs="Arial"/>
          <w:sz w:val="22"/>
          <w:szCs w:val="22"/>
        </w:rPr>
        <w:instrText xml:space="preserve"> REF _Ref130637514 \r \h </w:instrText>
      </w:r>
      <w:r w:rsidR="00613623">
        <w:rPr>
          <w:rFonts w:cs="Arial"/>
          <w:sz w:val="22"/>
          <w:szCs w:val="22"/>
        </w:rPr>
      </w:r>
      <w:r w:rsidR="00613623">
        <w:rPr>
          <w:rFonts w:cs="Arial"/>
          <w:sz w:val="22"/>
          <w:szCs w:val="22"/>
        </w:rPr>
        <w:fldChar w:fldCharType="separate"/>
      </w:r>
      <w:r w:rsidR="007651EA">
        <w:rPr>
          <w:rFonts w:cs="Arial"/>
          <w:sz w:val="22"/>
          <w:szCs w:val="22"/>
        </w:rPr>
        <w:t>4.18</w:t>
      </w:r>
      <w:r w:rsidR="00613623">
        <w:rPr>
          <w:rFonts w:cs="Arial"/>
          <w:sz w:val="22"/>
          <w:szCs w:val="22"/>
        </w:rPr>
        <w:fldChar w:fldCharType="end"/>
      </w:r>
    </w:p>
    <w:p w14:paraId="14393B88" w14:textId="77777777" w:rsidR="0012608B" w:rsidRPr="00501DB9" w:rsidRDefault="0012608B" w:rsidP="00501DB9">
      <w:pPr>
        <w:rPr>
          <w:rFonts w:cs="Arial"/>
          <w:sz w:val="22"/>
          <w:szCs w:val="22"/>
        </w:rPr>
      </w:pPr>
    </w:p>
    <w:p w14:paraId="45F0FF30" w14:textId="77777777" w:rsidR="00C741B5" w:rsidRDefault="00C741B5" w:rsidP="00501DB9">
      <w:pPr>
        <w:rPr>
          <w:rFonts w:cs="Arial"/>
          <w:sz w:val="22"/>
          <w:szCs w:val="22"/>
        </w:rPr>
      </w:pPr>
    </w:p>
    <w:p w14:paraId="1D77F34E" w14:textId="77777777" w:rsidR="00C741B5" w:rsidRDefault="00501DB9" w:rsidP="00C741B5">
      <w:pPr>
        <w:pStyle w:val="Ttulo2"/>
      </w:pPr>
      <w:bookmarkStart w:id="617" w:name="_Toc140506316"/>
      <w:r w:rsidRPr="00501DB9">
        <w:t>GASES DE LA GUAJIRA</w:t>
      </w:r>
      <w:bookmarkEnd w:id="617"/>
      <w:r w:rsidRPr="00501DB9">
        <w:tab/>
      </w:r>
    </w:p>
    <w:p w14:paraId="185CB940" w14:textId="77777777" w:rsidR="00C741B5" w:rsidRDefault="00C741B5" w:rsidP="00C741B5">
      <w:pPr>
        <w:pStyle w:val="Ttulo4"/>
      </w:pPr>
      <w:r w:rsidRPr="00501DB9">
        <w:t>GASES DE LA GUAJIRA</w:t>
      </w:r>
      <w:r w:rsidRPr="00501DB9">
        <w:tab/>
      </w:r>
    </w:p>
    <w:p w14:paraId="5E832D92" w14:textId="2D11C323" w:rsidR="00501DB9" w:rsidRPr="00873D81" w:rsidRDefault="00501DB9" w:rsidP="00501DB9">
      <w:pPr>
        <w:rPr>
          <w:rFonts w:cs="Arial"/>
          <w:i/>
          <w:iCs/>
          <w:sz w:val="22"/>
          <w:szCs w:val="22"/>
        </w:rPr>
      </w:pPr>
      <w:r w:rsidRPr="00501DB9">
        <w:rPr>
          <w:rFonts w:cs="Arial"/>
          <w:sz w:val="22"/>
          <w:szCs w:val="22"/>
        </w:rPr>
        <w:t>"</w:t>
      </w:r>
      <w:r w:rsidRPr="00873D81">
        <w:rPr>
          <w:rFonts w:cs="Arial"/>
          <w:i/>
          <w:iCs/>
          <w:sz w:val="22"/>
          <w:szCs w:val="22"/>
        </w:rPr>
        <w:t>Las excepciones que se proponen a la aplicación del parágrafo uno, resultan confusas, si se tiene en cuenta que los contratos no se construyen para la atención de la demanda esencial exclusivamente sino, tal y como se señala en las resoluciones actualmente vigentes.</w:t>
      </w:r>
    </w:p>
    <w:p w14:paraId="6978269C" w14:textId="77777777" w:rsidR="00501DB9" w:rsidRPr="00873D81" w:rsidRDefault="00501DB9" w:rsidP="00501DB9">
      <w:pPr>
        <w:rPr>
          <w:rFonts w:cs="Arial"/>
          <w:i/>
          <w:iCs/>
          <w:sz w:val="22"/>
          <w:szCs w:val="22"/>
        </w:rPr>
      </w:pPr>
    </w:p>
    <w:p w14:paraId="416E1014" w14:textId="2F11B50A" w:rsidR="00501DB9" w:rsidRPr="00873D81" w:rsidRDefault="00501DB9" w:rsidP="00501DB9">
      <w:pPr>
        <w:rPr>
          <w:rFonts w:cs="Arial"/>
          <w:i/>
          <w:iCs/>
          <w:sz w:val="22"/>
          <w:szCs w:val="22"/>
        </w:rPr>
      </w:pPr>
      <w:r w:rsidRPr="00873D81">
        <w:rPr>
          <w:rFonts w:cs="Arial"/>
          <w:i/>
          <w:iCs/>
          <w:sz w:val="22"/>
          <w:szCs w:val="22"/>
        </w:rPr>
        <w:t>En ese sentido, en el literal, se sugiere que la excepción se permita para los contratos de demanda regulada que incluyan demanda esencial, de manera tal que la excepción considere los contratos actualmente vigentes, y que tenga una aplicación real y verdadera."</w:t>
      </w:r>
    </w:p>
    <w:p w14:paraId="555B05DE" w14:textId="20642034" w:rsidR="00873D81" w:rsidRDefault="00873D81" w:rsidP="00501DB9">
      <w:pPr>
        <w:rPr>
          <w:rFonts w:cs="Arial"/>
          <w:sz w:val="22"/>
          <w:szCs w:val="22"/>
        </w:rPr>
      </w:pPr>
    </w:p>
    <w:p w14:paraId="3C344002" w14:textId="077D7D58" w:rsidR="00873D81" w:rsidRPr="00873D81" w:rsidRDefault="00873D81" w:rsidP="00501DB9">
      <w:pPr>
        <w:rPr>
          <w:rFonts w:cs="Arial"/>
          <w:b/>
          <w:bCs/>
          <w:sz w:val="22"/>
          <w:szCs w:val="22"/>
        </w:rPr>
      </w:pPr>
      <w:r w:rsidRPr="00873D81">
        <w:rPr>
          <w:rFonts w:cs="Arial"/>
          <w:b/>
          <w:bCs/>
          <w:sz w:val="22"/>
          <w:szCs w:val="22"/>
        </w:rPr>
        <w:t>Respuesta:</w:t>
      </w:r>
    </w:p>
    <w:p w14:paraId="743E3DC1" w14:textId="1AAC21D4" w:rsidR="00873D81" w:rsidRDefault="00873D81" w:rsidP="00501DB9">
      <w:pPr>
        <w:rPr>
          <w:rFonts w:cs="Arial"/>
          <w:sz w:val="22"/>
          <w:szCs w:val="22"/>
        </w:rPr>
      </w:pPr>
    </w:p>
    <w:p w14:paraId="1300A033" w14:textId="53FE4E01" w:rsidR="00C741B5" w:rsidRDefault="000757A5" w:rsidP="00501DB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_Ref130637819 \r \h </w:instrText>
      </w:r>
      <w:r>
        <w:rPr>
          <w:rFonts w:cs="Arial"/>
          <w:sz w:val="22"/>
          <w:szCs w:val="22"/>
        </w:rPr>
      </w:r>
      <w:r>
        <w:rPr>
          <w:rFonts w:cs="Arial"/>
          <w:sz w:val="22"/>
          <w:szCs w:val="22"/>
        </w:rPr>
        <w:fldChar w:fldCharType="separate"/>
      </w:r>
      <w:r w:rsidR="007651EA">
        <w:rPr>
          <w:rFonts w:cs="Arial"/>
          <w:sz w:val="22"/>
          <w:szCs w:val="22"/>
        </w:rPr>
        <w:t>8.2.1.1</w:t>
      </w:r>
      <w:r>
        <w:rPr>
          <w:rFonts w:cs="Arial"/>
          <w:sz w:val="22"/>
          <w:szCs w:val="22"/>
        </w:rPr>
        <w:fldChar w:fldCharType="end"/>
      </w:r>
      <w:r>
        <w:rPr>
          <w:rFonts w:cs="Arial"/>
          <w:sz w:val="22"/>
          <w:szCs w:val="22"/>
        </w:rPr>
        <w:t>.</w:t>
      </w:r>
    </w:p>
    <w:p w14:paraId="603D2B9D" w14:textId="77777777" w:rsidR="000757A5" w:rsidRDefault="000757A5" w:rsidP="00501DB9">
      <w:pPr>
        <w:rPr>
          <w:rFonts w:cs="Arial"/>
          <w:sz w:val="22"/>
          <w:szCs w:val="22"/>
        </w:rPr>
      </w:pPr>
    </w:p>
    <w:p w14:paraId="394F4254" w14:textId="77777777" w:rsidR="00C741B5" w:rsidRDefault="00C741B5" w:rsidP="00501DB9">
      <w:pPr>
        <w:rPr>
          <w:rFonts w:cs="Arial"/>
          <w:sz w:val="22"/>
          <w:szCs w:val="22"/>
        </w:rPr>
      </w:pPr>
    </w:p>
    <w:p w14:paraId="78A2911C" w14:textId="77777777" w:rsidR="00C741B5" w:rsidRDefault="00501DB9" w:rsidP="00C741B5">
      <w:pPr>
        <w:pStyle w:val="Ttulo2"/>
      </w:pPr>
      <w:bookmarkStart w:id="618" w:name="_Toc140506317"/>
      <w:r w:rsidRPr="00501DB9">
        <w:t>GASES DE OCCIDENTE</w:t>
      </w:r>
      <w:bookmarkEnd w:id="618"/>
      <w:r w:rsidRPr="00501DB9">
        <w:tab/>
      </w:r>
    </w:p>
    <w:p w14:paraId="05DAEA3D" w14:textId="77777777" w:rsidR="00C741B5" w:rsidRDefault="00C741B5" w:rsidP="00C741B5">
      <w:pPr>
        <w:pStyle w:val="Ttulo4"/>
      </w:pPr>
      <w:r w:rsidRPr="00501DB9">
        <w:t>GASES DE OCCIDENTE</w:t>
      </w:r>
      <w:r w:rsidRPr="00501DB9">
        <w:tab/>
      </w:r>
    </w:p>
    <w:p w14:paraId="366BAE33" w14:textId="22CDEFE4" w:rsidR="00501DB9" w:rsidRDefault="00E50F79" w:rsidP="00501DB9">
      <w:pPr>
        <w:rPr>
          <w:rFonts w:cs="Arial"/>
          <w:sz w:val="22"/>
          <w:szCs w:val="22"/>
        </w:rPr>
      </w:pPr>
      <w:r>
        <w:rPr>
          <w:rFonts w:cs="Arial"/>
          <w:i/>
          <w:iCs/>
          <w:sz w:val="22"/>
          <w:szCs w:val="22"/>
        </w:rPr>
        <w:t>“</w:t>
      </w:r>
      <w:r w:rsidR="00501DB9" w:rsidRPr="000757A5">
        <w:rPr>
          <w:rFonts w:cs="Arial"/>
          <w:i/>
          <w:iCs/>
          <w:sz w:val="22"/>
          <w:szCs w:val="22"/>
        </w:rPr>
        <w:t>Se considera positiva esta apertura de la CREG, los agentes no solo podrían sugerirle a la Comisión nuevas modalidades contractuales, sino que sería importante que la CREG recogiera las observaciones que presentan los agentes con respecto a las modalidades contractuales planteadas por la CREG. Podría haberse evitado la adopción de los Contratos C1 y C2, que como lo manifiesta la CREG fueron poco o nada efectivos</w:t>
      </w:r>
      <w:r w:rsidR="00501DB9" w:rsidRPr="00501DB9">
        <w:rPr>
          <w:rFonts w:cs="Arial"/>
          <w:sz w:val="22"/>
          <w:szCs w:val="22"/>
        </w:rPr>
        <w:t>.</w:t>
      </w:r>
      <w:r>
        <w:rPr>
          <w:rFonts w:cs="Arial"/>
          <w:sz w:val="22"/>
          <w:szCs w:val="22"/>
        </w:rPr>
        <w:t>”</w:t>
      </w:r>
    </w:p>
    <w:p w14:paraId="2F6D4358" w14:textId="0DBD4AEF" w:rsidR="000757A5" w:rsidRDefault="000757A5" w:rsidP="00501DB9">
      <w:pPr>
        <w:rPr>
          <w:rFonts w:cs="Arial"/>
          <w:sz w:val="22"/>
          <w:szCs w:val="22"/>
        </w:rPr>
      </w:pPr>
    </w:p>
    <w:p w14:paraId="31F05CA3" w14:textId="2AADA5F0" w:rsidR="000757A5" w:rsidRPr="000757A5" w:rsidRDefault="000757A5" w:rsidP="00501DB9">
      <w:pPr>
        <w:rPr>
          <w:rFonts w:cs="Arial"/>
          <w:b/>
          <w:bCs/>
          <w:sz w:val="22"/>
          <w:szCs w:val="22"/>
        </w:rPr>
      </w:pPr>
      <w:r w:rsidRPr="000757A5">
        <w:rPr>
          <w:rFonts w:cs="Arial"/>
          <w:b/>
          <w:bCs/>
          <w:sz w:val="22"/>
          <w:szCs w:val="22"/>
        </w:rPr>
        <w:t>Respuesta:</w:t>
      </w:r>
    </w:p>
    <w:p w14:paraId="62C3BB22" w14:textId="43EDAB15" w:rsidR="000757A5" w:rsidRDefault="000757A5" w:rsidP="00501DB9">
      <w:pPr>
        <w:rPr>
          <w:rFonts w:cs="Arial"/>
          <w:sz w:val="22"/>
          <w:szCs w:val="22"/>
        </w:rPr>
      </w:pPr>
    </w:p>
    <w:p w14:paraId="2CB2016E" w14:textId="417935C7" w:rsidR="000757A5" w:rsidRPr="00501DB9" w:rsidRDefault="000757A5" w:rsidP="00501DB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_Ref130637905 \r \h </w:instrText>
      </w:r>
      <w:r>
        <w:rPr>
          <w:rFonts w:cs="Arial"/>
          <w:sz w:val="22"/>
          <w:szCs w:val="22"/>
        </w:rPr>
      </w:r>
      <w:r>
        <w:rPr>
          <w:rFonts w:cs="Arial"/>
          <w:sz w:val="22"/>
          <w:szCs w:val="22"/>
        </w:rPr>
        <w:fldChar w:fldCharType="separate"/>
      </w:r>
      <w:r w:rsidR="007651EA">
        <w:rPr>
          <w:rFonts w:cs="Arial"/>
          <w:sz w:val="22"/>
          <w:szCs w:val="22"/>
        </w:rPr>
        <w:t>8.5.1.2</w:t>
      </w:r>
      <w:r>
        <w:rPr>
          <w:rFonts w:cs="Arial"/>
          <w:sz w:val="22"/>
          <w:szCs w:val="22"/>
        </w:rPr>
        <w:fldChar w:fldCharType="end"/>
      </w:r>
      <w:r>
        <w:rPr>
          <w:rFonts w:cs="Arial"/>
          <w:sz w:val="22"/>
          <w:szCs w:val="22"/>
        </w:rPr>
        <w:t>.</w:t>
      </w:r>
    </w:p>
    <w:p w14:paraId="68E77E16" w14:textId="77777777" w:rsidR="00C741B5" w:rsidRDefault="00C741B5" w:rsidP="00501DB9">
      <w:pPr>
        <w:rPr>
          <w:rFonts w:cs="Arial"/>
          <w:sz w:val="22"/>
          <w:szCs w:val="22"/>
        </w:rPr>
      </w:pPr>
    </w:p>
    <w:p w14:paraId="206C583B" w14:textId="77777777" w:rsidR="00C741B5" w:rsidRDefault="00C741B5" w:rsidP="00501DB9">
      <w:pPr>
        <w:rPr>
          <w:rFonts w:cs="Arial"/>
          <w:sz w:val="22"/>
          <w:szCs w:val="22"/>
        </w:rPr>
      </w:pPr>
    </w:p>
    <w:p w14:paraId="3FDE06ED" w14:textId="77777777" w:rsidR="00C741B5" w:rsidRDefault="00501DB9" w:rsidP="00C741B5">
      <w:pPr>
        <w:pStyle w:val="Ttulo2"/>
      </w:pPr>
      <w:bookmarkStart w:id="619" w:name="_Toc140506318"/>
      <w:r w:rsidRPr="00501DB9">
        <w:t>GASES DEL CARIBE</w:t>
      </w:r>
      <w:bookmarkEnd w:id="619"/>
      <w:r w:rsidRPr="00501DB9">
        <w:tab/>
      </w:r>
    </w:p>
    <w:p w14:paraId="36539144" w14:textId="77777777" w:rsidR="00C741B5" w:rsidRDefault="00C741B5" w:rsidP="00C741B5">
      <w:pPr>
        <w:pStyle w:val="Ttulo4"/>
      </w:pPr>
      <w:r w:rsidRPr="00501DB9">
        <w:t>GASES DEL CARIBE</w:t>
      </w:r>
      <w:r w:rsidRPr="00501DB9">
        <w:tab/>
      </w:r>
    </w:p>
    <w:p w14:paraId="5C06B9AF" w14:textId="77818BD3" w:rsidR="00501DB9" w:rsidRPr="000757A5" w:rsidRDefault="00501DB9" w:rsidP="00501DB9">
      <w:pPr>
        <w:rPr>
          <w:rFonts w:cs="Arial"/>
          <w:i/>
          <w:iCs/>
          <w:sz w:val="22"/>
          <w:szCs w:val="22"/>
        </w:rPr>
      </w:pPr>
      <w:r w:rsidRPr="00501DB9">
        <w:rPr>
          <w:rFonts w:cs="Arial"/>
          <w:sz w:val="22"/>
          <w:szCs w:val="22"/>
        </w:rPr>
        <w:t>"</w:t>
      </w:r>
      <w:r w:rsidRPr="000757A5">
        <w:rPr>
          <w:rFonts w:cs="Arial"/>
          <w:i/>
          <w:iCs/>
          <w:sz w:val="22"/>
          <w:szCs w:val="22"/>
        </w:rPr>
        <w:t>Las excepciones que se proponen a la aplicación del parágrafo uno, resultan confusas, si se tiene en cuenta que los contratos no se construyen para la atención de la demanda esencial exclusivamente sino, tal y como se señala en las resoluciones actualmente vigentes.</w:t>
      </w:r>
    </w:p>
    <w:p w14:paraId="090E62A4" w14:textId="77777777" w:rsidR="00501DB9" w:rsidRPr="000757A5" w:rsidRDefault="00501DB9" w:rsidP="00501DB9">
      <w:pPr>
        <w:rPr>
          <w:rFonts w:cs="Arial"/>
          <w:i/>
          <w:iCs/>
          <w:sz w:val="22"/>
          <w:szCs w:val="22"/>
        </w:rPr>
      </w:pPr>
    </w:p>
    <w:p w14:paraId="07EAEEEB" w14:textId="495021DD" w:rsidR="00501DB9" w:rsidRDefault="00501DB9" w:rsidP="00501DB9">
      <w:pPr>
        <w:rPr>
          <w:rFonts w:cs="Arial"/>
          <w:sz w:val="22"/>
          <w:szCs w:val="22"/>
        </w:rPr>
      </w:pPr>
      <w:r w:rsidRPr="000757A5">
        <w:rPr>
          <w:rFonts w:cs="Arial"/>
          <w:i/>
          <w:iCs/>
          <w:sz w:val="22"/>
          <w:szCs w:val="22"/>
        </w:rPr>
        <w:t>En ese sentido, en el literal, se sugiere que la excepción se permita para los contratos de demanda regulada que incluyan demanda esencial, de manera tal que la excepción considere los contratos actualmente vigentes, y que tenga una aplicación real y verdadera</w:t>
      </w:r>
      <w:r w:rsidRPr="00501DB9">
        <w:rPr>
          <w:rFonts w:cs="Arial"/>
          <w:sz w:val="22"/>
          <w:szCs w:val="22"/>
        </w:rPr>
        <w:t>."</w:t>
      </w:r>
    </w:p>
    <w:p w14:paraId="222FE637" w14:textId="229F9809" w:rsidR="000757A5" w:rsidRDefault="000757A5" w:rsidP="00501DB9">
      <w:pPr>
        <w:rPr>
          <w:rFonts w:cs="Arial"/>
          <w:sz w:val="22"/>
          <w:szCs w:val="22"/>
        </w:rPr>
      </w:pPr>
    </w:p>
    <w:p w14:paraId="5F9852C1" w14:textId="327EFA12" w:rsidR="000757A5" w:rsidRPr="000757A5" w:rsidRDefault="000757A5" w:rsidP="00501DB9">
      <w:pPr>
        <w:rPr>
          <w:rFonts w:cs="Arial"/>
          <w:b/>
          <w:bCs/>
          <w:sz w:val="22"/>
          <w:szCs w:val="22"/>
        </w:rPr>
      </w:pPr>
      <w:r w:rsidRPr="000757A5">
        <w:rPr>
          <w:rFonts w:cs="Arial"/>
          <w:b/>
          <w:bCs/>
          <w:sz w:val="22"/>
          <w:szCs w:val="22"/>
        </w:rPr>
        <w:t>Respuesta:</w:t>
      </w:r>
    </w:p>
    <w:p w14:paraId="4C4C48DB" w14:textId="61130C00" w:rsidR="000757A5" w:rsidRDefault="000757A5" w:rsidP="00501DB9">
      <w:pPr>
        <w:rPr>
          <w:rFonts w:cs="Arial"/>
          <w:sz w:val="22"/>
          <w:szCs w:val="22"/>
        </w:rPr>
      </w:pPr>
    </w:p>
    <w:p w14:paraId="15878C21" w14:textId="1BE09EB0" w:rsidR="0035376C" w:rsidRDefault="0035376C" w:rsidP="0035376C">
      <w:pPr>
        <w:rPr>
          <w:rFonts w:cs="Arial"/>
          <w:sz w:val="22"/>
          <w:szCs w:val="22"/>
        </w:rPr>
      </w:pPr>
      <w:r>
        <w:rPr>
          <w:rFonts w:cs="Arial"/>
          <w:sz w:val="22"/>
          <w:szCs w:val="22"/>
        </w:rPr>
        <w:t>Ver respuesta a</w:t>
      </w:r>
      <w:r w:rsidR="00016AA2">
        <w:rPr>
          <w:rFonts w:cs="Arial"/>
          <w:sz w:val="22"/>
          <w:szCs w:val="22"/>
        </w:rPr>
        <w:t xml:space="preserve"> </w:t>
      </w:r>
      <w:r w:rsidR="00016AA2">
        <w:rPr>
          <w:rFonts w:cs="Arial"/>
          <w:sz w:val="22"/>
          <w:szCs w:val="22"/>
        </w:rPr>
        <w:fldChar w:fldCharType="begin"/>
      </w:r>
      <w:r w:rsidR="00016AA2">
        <w:rPr>
          <w:rFonts w:cs="Arial"/>
          <w:sz w:val="22"/>
          <w:szCs w:val="22"/>
        </w:rPr>
        <w:instrText xml:space="preserve"> REF _Ref130637905 \r \h </w:instrText>
      </w:r>
      <w:r w:rsidR="00016AA2">
        <w:rPr>
          <w:rFonts w:cs="Arial"/>
          <w:sz w:val="22"/>
          <w:szCs w:val="22"/>
        </w:rPr>
      </w:r>
      <w:r w:rsidR="00016AA2">
        <w:rPr>
          <w:rFonts w:cs="Arial"/>
          <w:sz w:val="22"/>
          <w:szCs w:val="22"/>
        </w:rPr>
        <w:fldChar w:fldCharType="separate"/>
      </w:r>
      <w:r w:rsidR="007651EA">
        <w:rPr>
          <w:rFonts w:cs="Arial"/>
          <w:sz w:val="22"/>
          <w:szCs w:val="22"/>
        </w:rPr>
        <w:t>8.5.1.2</w:t>
      </w:r>
      <w:r w:rsidR="00016AA2">
        <w:rPr>
          <w:rFonts w:cs="Arial"/>
          <w:sz w:val="22"/>
          <w:szCs w:val="22"/>
        </w:rPr>
        <w:fldChar w:fldCharType="end"/>
      </w:r>
      <w:r w:rsidR="00016AA2">
        <w:rPr>
          <w:rFonts w:cs="Arial"/>
          <w:sz w:val="22"/>
          <w:szCs w:val="22"/>
        </w:rPr>
        <w:t xml:space="preserve"> y </w:t>
      </w:r>
      <w:r w:rsidR="00016AA2">
        <w:rPr>
          <w:rFonts w:cs="Arial"/>
          <w:sz w:val="22"/>
          <w:szCs w:val="22"/>
        </w:rPr>
        <w:fldChar w:fldCharType="begin"/>
      </w:r>
      <w:r w:rsidR="00016AA2">
        <w:rPr>
          <w:rFonts w:cs="Arial"/>
          <w:sz w:val="22"/>
          <w:szCs w:val="22"/>
        </w:rPr>
        <w:instrText xml:space="preserve"> REF _Ref130639597 \r \h </w:instrText>
      </w:r>
      <w:r w:rsidR="00016AA2">
        <w:rPr>
          <w:rFonts w:cs="Arial"/>
          <w:sz w:val="22"/>
          <w:szCs w:val="22"/>
        </w:rPr>
      </w:r>
      <w:r w:rsidR="00016AA2">
        <w:rPr>
          <w:rFonts w:cs="Arial"/>
          <w:sz w:val="22"/>
          <w:szCs w:val="22"/>
        </w:rPr>
        <w:fldChar w:fldCharType="separate"/>
      </w:r>
      <w:r w:rsidR="007651EA">
        <w:rPr>
          <w:rFonts w:cs="Arial"/>
          <w:sz w:val="22"/>
          <w:szCs w:val="22"/>
        </w:rPr>
        <w:t>8.12.1.1</w:t>
      </w:r>
      <w:r w:rsidR="00016AA2">
        <w:rPr>
          <w:rFonts w:cs="Arial"/>
          <w:sz w:val="22"/>
          <w:szCs w:val="22"/>
        </w:rPr>
        <w:fldChar w:fldCharType="end"/>
      </w:r>
      <w:r>
        <w:rPr>
          <w:rFonts w:cs="Arial"/>
          <w:sz w:val="22"/>
          <w:szCs w:val="22"/>
        </w:rPr>
        <w:t>.</w:t>
      </w:r>
    </w:p>
    <w:p w14:paraId="3481FA27" w14:textId="77777777" w:rsidR="00C741B5" w:rsidRDefault="00C741B5" w:rsidP="00501DB9">
      <w:pPr>
        <w:rPr>
          <w:rFonts w:cs="Arial"/>
          <w:sz w:val="22"/>
          <w:szCs w:val="22"/>
        </w:rPr>
      </w:pPr>
    </w:p>
    <w:p w14:paraId="6A98ACC7" w14:textId="77777777" w:rsidR="00C741B5" w:rsidRDefault="00C741B5" w:rsidP="00501DB9">
      <w:pPr>
        <w:rPr>
          <w:rFonts w:cs="Arial"/>
          <w:sz w:val="22"/>
          <w:szCs w:val="22"/>
        </w:rPr>
      </w:pPr>
    </w:p>
    <w:p w14:paraId="112B3605" w14:textId="77777777" w:rsidR="00C741B5" w:rsidRDefault="00501DB9" w:rsidP="00C741B5">
      <w:pPr>
        <w:pStyle w:val="Ttulo2"/>
      </w:pPr>
      <w:bookmarkStart w:id="620" w:name="_Toc140506319"/>
      <w:r w:rsidRPr="00501DB9">
        <w:t>LEWIS ENERGY</w:t>
      </w:r>
      <w:bookmarkEnd w:id="620"/>
      <w:r w:rsidRPr="00501DB9">
        <w:tab/>
      </w:r>
    </w:p>
    <w:p w14:paraId="6ED6431C" w14:textId="77777777" w:rsidR="00C741B5" w:rsidRDefault="00C741B5" w:rsidP="00C741B5">
      <w:pPr>
        <w:pStyle w:val="Ttulo4"/>
      </w:pPr>
      <w:bookmarkStart w:id="621" w:name="_Ref130722402"/>
      <w:r w:rsidRPr="00501DB9">
        <w:t>LEWIS ENERGY</w:t>
      </w:r>
      <w:bookmarkEnd w:id="621"/>
      <w:r w:rsidRPr="00501DB9">
        <w:tab/>
      </w:r>
    </w:p>
    <w:p w14:paraId="5ADC6FD5" w14:textId="495E99BF" w:rsidR="00501DB9" w:rsidRPr="0035376C" w:rsidRDefault="00501DB9" w:rsidP="00501DB9">
      <w:pPr>
        <w:rPr>
          <w:rFonts w:cs="Arial"/>
          <w:i/>
          <w:iCs/>
          <w:sz w:val="22"/>
          <w:szCs w:val="22"/>
        </w:rPr>
      </w:pPr>
      <w:r w:rsidRPr="00501DB9">
        <w:rPr>
          <w:rFonts w:cs="Arial"/>
          <w:sz w:val="22"/>
          <w:szCs w:val="22"/>
        </w:rPr>
        <w:t>"</w:t>
      </w:r>
      <w:r w:rsidRPr="0035376C">
        <w:rPr>
          <w:rFonts w:cs="Arial"/>
          <w:i/>
          <w:iCs/>
          <w:sz w:val="22"/>
          <w:szCs w:val="22"/>
        </w:rPr>
        <w:t xml:space="preserve">De acuerdo con la inclusión contenida en la propuesta regulatoria en el parágrafo 2 del Artículo 8 la Comisión establece que en </w:t>
      </w:r>
      <w:r w:rsidR="004823ED">
        <w:rPr>
          <w:rFonts w:cs="Arial"/>
          <w:i/>
          <w:iCs/>
          <w:sz w:val="22"/>
          <w:szCs w:val="22"/>
        </w:rPr>
        <w:t>‘</w:t>
      </w:r>
      <w:r w:rsidRPr="0035376C">
        <w:rPr>
          <w:rFonts w:cs="Arial"/>
          <w:i/>
          <w:iCs/>
          <w:sz w:val="22"/>
          <w:szCs w:val="22"/>
        </w:rPr>
        <w:t>ningún caso</w:t>
      </w:r>
      <w:r w:rsidR="004823ED">
        <w:rPr>
          <w:rFonts w:cs="Arial"/>
          <w:i/>
          <w:iCs/>
          <w:sz w:val="22"/>
          <w:szCs w:val="22"/>
        </w:rPr>
        <w:t>’</w:t>
      </w:r>
      <w:r w:rsidRPr="0035376C">
        <w:rPr>
          <w:rFonts w:cs="Arial"/>
          <w:i/>
          <w:iCs/>
          <w:sz w:val="22"/>
          <w:szCs w:val="22"/>
        </w:rPr>
        <w:t xml:space="preserve"> se podrán pactar tipos de contratos diferentes a los contemplados en el </w:t>
      </w:r>
      <w:proofErr w:type="spellStart"/>
      <w:r w:rsidRPr="0035376C">
        <w:rPr>
          <w:rFonts w:cs="Arial"/>
          <w:i/>
          <w:iCs/>
          <w:sz w:val="22"/>
          <w:szCs w:val="22"/>
        </w:rPr>
        <w:t>articulo</w:t>
      </w:r>
      <w:proofErr w:type="spellEnd"/>
      <w:r w:rsidRPr="0035376C">
        <w:rPr>
          <w:rFonts w:cs="Arial"/>
          <w:i/>
          <w:iCs/>
          <w:sz w:val="22"/>
          <w:szCs w:val="22"/>
        </w:rPr>
        <w:t xml:space="preserve"> 8.</w:t>
      </w:r>
    </w:p>
    <w:p w14:paraId="55BB1CA3" w14:textId="77777777" w:rsidR="00501DB9" w:rsidRPr="0035376C" w:rsidRDefault="00501DB9" w:rsidP="00501DB9">
      <w:pPr>
        <w:rPr>
          <w:rFonts w:cs="Arial"/>
          <w:i/>
          <w:iCs/>
          <w:sz w:val="22"/>
          <w:szCs w:val="22"/>
        </w:rPr>
      </w:pPr>
    </w:p>
    <w:p w14:paraId="06468664" w14:textId="0F739FED" w:rsidR="00501DB9" w:rsidRPr="0035376C" w:rsidRDefault="00501DB9" w:rsidP="00501DB9">
      <w:pPr>
        <w:rPr>
          <w:rFonts w:cs="Arial"/>
          <w:i/>
          <w:iCs/>
          <w:sz w:val="22"/>
          <w:szCs w:val="22"/>
        </w:rPr>
      </w:pPr>
      <w:r w:rsidRPr="0035376C">
        <w:rPr>
          <w:rFonts w:cs="Arial"/>
          <w:i/>
          <w:iCs/>
          <w:sz w:val="22"/>
          <w:szCs w:val="22"/>
        </w:rPr>
        <w:t>Al respecto debemos señalar que es nuestro entendimiento que existe una habilitación para pactar modalidades contractuales diferentes cuando el gas proviene de las excepciones de que trata el articulo 19 seg</w:t>
      </w:r>
      <w:r w:rsidR="00016AA2">
        <w:rPr>
          <w:rFonts w:cs="Arial"/>
          <w:i/>
          <w:iCs/>
          <w:sz w:val="22"/>
          <w:szCs w:val="22"/>
        </w:rPr>
        <w:t>ú</w:t>
      </w:r>
      <w:r w:rsidRPr="0035376C">
        <w:rPr>
          <w:rFonts w:cs="Arial"/>
          <w:i/>
          <w:iCs/>
          <w:sz w:val="22"/>
          <w:szCs w:val="22"/>
        </w:rPr>
        <w:t>n lo establecido en el parágrafo del artículo 20 de la propuesta. Esto ha sido una flexibilidad que el mercado de gas ha recibido muy bien y que ha permitido desarrollar las fuentes de que trata dicho artículo, ahora mucho m</w:t>
      </w:r>
      <w:r w:rsidR="00016AA2">
        <w:rPr>
          <w:rFonts w:cs="Arial"/>
          <w:i/>
          <w:iCs/>
          <w:sz w:val="22"/>
          <w:szCs w:val="22"/>
        </w:rPr>
        <w:t>á</w:t>
      </w:r>
      <w:r w:rsidRPr="0035376C">
        <w:rPr>
          <w:rFonts w:cs="Arial"/>
          <w:i/>
          <w:iCs/>
          <w:sz w:val="22"/>
          <w:szCs w:val="22"/>
        </w:rPr>
        <w:t>s amplio, y que en buena hora incluye nuevas fuentes de gas flexibles de cara a la regulación.</w:t>
      </w:r>
    </w:p>
    <w:p w14:paraId="5A9E5064" w14:textId="77777777" w:rsidR="00501DB9" w:rsidRPr="0035376C" w:rsidRDefault="00501DB9" w:rsidP="00501DB9">
      <w:pPr>
        <w:rPr>
          <w:rFonts w:cs="Arial"/>
          <w:i/>
          <w:iCs/>
          <w:sz w:val="22"/>
          <w:szCs w:val="22"/>
        </w:rPr>
      </w:pPr>
    </w:p>
    <w:p w14:paraId="067EF0A9" w14:textId="38B3EBA0" w:rsidR="00501DB9" w:rsidRPr="0035376C" w:rsidRDefault="00501DB9" w:rsidP="00501DB9">
      <w:pPr>
        <w:rPr>
          <w:rFonts w:cs="Arial"/>
          <w:i/>
          <w:iCs/>
          <w:sz w:val="22"/>
          <w:szCs w:val="22"/>
        </w:rPr>
      </w:pPr>
      <w:r w:rsidRPr="0035376C">
        <w:rPr>
          <w:rFonts w:cs="Arial"/>
          <w:i/>
          <w:iCs/>
          <w:sz w:val="22"/>
          <w:szCs w:val="22"/>
        </w:rPr>
        <w:t xml:space="preserve">Sugerimos eliminar el aparte introducido en la propuesta del parágrafo 2 del </w:t>
      </w:r>
      <w:proofErr w:type="spellStart"/>
      <w:r w:rsidRPr="0035376C">
        <w:rPr>
          <w:rFonts w:cs="Arial"/>
          <w:i/>
          <w:iCs/>
          <w:sz w:val="22"/>
          <w:szCs w:val="22"/>
        </w:rPr>
        <w:t>articulo</w:t>
      </w:r>
      <w:proofErr w:type="spellEnd"/>
      <w:r w:rsidRPr="0035376C">
        <w:rPr>
          <w:rFonts w:cs="Arial"/>
          <w:i/>
          <w:iCs/>
          <w:sz w:val="22"/>
          <w:szCs w:val="22"/>
        </w:rPr>
        <w:t xml:space="preserve"> 8, referido a señalar que </w:t>
      </w:r>
      <w:r w:rsidR="0029206B">
        <w:rPr>
          <w:rFonts w:cs="Arial"/>
          <w:i/>
          <w:iCs/>
          <w:sz w:val="22"/>
          <w:szCs w:val="22"/>
        </w:rPr>
        <w:t>’</w:t>
      </w:r>
      <w:r w:rsidRPr="0035376C">
        <w:rPr>
          <w:rFonts w:cs="Arial"/>
          <w:i/>
          <w:iCs/>
          <w:sz w:val="22"/>
          <w:szCs w:val="22"/>
        </w:rPr>
        <w:t>en ningún caso</w:t>
      </w:r>
      <w:r w:rsidR="0029206B">
        <w:rPr>
          <w:rFonts w:cs="Arial"/>
          <w:i/>
          <w:iCs/>
          <w:sz w:val="22"/>
          <w:szCs w:val="22"/>
        </w:rPr>
        <w:t>’</w:t>
      </w:r>
      <w:r w:rsidRPr="0035376C">
        <w:rPr>
          <w:rFonts w:cs="Arial"/>
          <w:i/>
          <w:iCs/>
          <w:sz w:val="22"/>
          <w:szCs w:val="22"/>
        </w:rPr>
        <w:t>."</w:t>
      </w:r>
    </w:p>
    <w:p w14:paraId="6084829D" w14:textId="5693B04D" w:rsidR="0035376C" w:rsidRDefault="0035376C" w:rsidP="00501DB9">
      <w:pPr>
        <w:rPr>
          <w:rFonts w:cs="Arial"/>
          <w:sz w:val="22"/>
          <w:szCs w:val="22"/>
        </w:rPr>
      </w:pPr>
    </w:p>
    <w:p w14:paraId="7ADF700E" w14:textId="560EC4EA" w:rsidR="0035376C" w:rsidRDefault="0035376C" w:rsidP="00501DB9">
      <w:pPr>
        <w:rPr>
          <w:rFonts w:cs="Arial"/>
          <w:b/>
          <w:bCs/>
          <w:sz w:val="22"/>
          <w:szCs w:val="22"/>
        </w:rPr>
      </w:pPr>
      <w:r w:rsidRPr="0035376C">
        <w:rPr>
          <w:rFonts w:cs="Arial"/>
          <w:b/>
          <w:bCs/>
          <w:sz w:val="22"/>
          <w:szCs w:val="22"/>
        </w:rPr>
        <w:t>Respuesta:</w:t>
      </w:r>
    </w:p>
    <w:p w14:paraId="0FA534BB" w14:textId="4FE496BD" w:rsidR="0035376C" w:rsidRDefault="0035376C" w:rsidP="00501DB9">
      <w:pPr>
        <w:rPr>
          <w:rFonts w:cs="Arial"/>
          <w:b/>
          <w:bCs/>
          <w:sz w:val="22"/>
          <w:szCs w:val="22"/>
        </w:rPr>
      </w:pPr>
    </w:p>
    <w:p w14:paraId="0F77C254" w14:textId="7A9AD097" w:rsidR="0035376C" w:rsidRPr="0035376C" w:rsidRDefault="0035376C" w:rsidP="00501DB9">
      <w:pPr>
        <w:rPr>
          <w:rFonts w:cs="Arial"/>
          <w:sz w:val="22"/>
          <w:szCs w:val="22"/>
        </w:rPr>
      </w:pPr>
      <w:r w:rsidRPr="0035376C">
        <w:rPr>
          <w:rFonts w:cs="Arial"/>
          <w:sz w:val="22"/>
          <w:szCs w:val="22"/>
        </w:rPr>
        <w:t>Se acoge el comentario.</w:t>
      </w:r>
    </w:p>
    <w:p w14:paraId="204123F3" w14:textId="7E0CD4C0" w:rsidR="0035376C" w:rsidRPr="0035376C" w:rsidRDefault="0035376C" w:rsidP="00501DB9">
      <w:pPr>
        <w:rPr>
          <w:rFonts w:cs="Arial"/>
          <w:sz w:val="22"/>
          <w:szCs w:val="22"/>
        </w:rPr>
      </w:pPr>
    </w:p>
    <w:p w14:paraId="25D25534" w14:textId="5C6D7C18" w:rsidR="0035376C" w:rsidRDefault="0035376C" w:rsidP="00501DB9">
      <w:pPr>
        <w:rPr>
          <w:rFonts w:cs="Arial"/>
          <w:sz w:val="22"/>
          <w:szCs w:val="22"/>
        </w:rPr>
      </w:pPr>
      <w:r w:rsidRPr="0035376C">
        <w:rPr>
          <w:rFonts w:cs="Arial"/>
          <w:sz w:val="22"/>
          <w:szCs w:val="22"/>
        </w:rPr>
        <w:t>En la nueva propuesta se hizo el ajuste correspondiente para dejar claro la excepción que se mantiene.</w:t>
      </w:r>
    </w:p>
    <w:p w14:paraId="643D12C4" w14:textId="77777777" w:rsidR="0035376C" w:rsidRPr="00501DB9" w:rsidRDefault="0035376C" w:rsidP="00501DB9">
      <w:pPr>
        <w:rPr>
          <w:rFonts w:cs="Arial"/>
          <w:sz w:val="22"/>
          <w:szCs w:val="22"/>
        </w:rPr>
      </w:pPr>
    </w:p>
    <w:p w14:paraId="0BFCF97B" w14:textId="77777777" w:rsidR="00C741B5" w:rsidRDefault="00C741B5" w:rsidP="00501DB9">
      <w:pPr>
        <w:rPr>
          <w:rFonts w:cs="Arial"/>
          <w:sz w:val="22"/>
          <w:szCs w:val="22"/>
        </w:rPr>
      </w:pPr>
    </w:p>
    <w:p w14:paraId="06E8E855" w14:textId="77777777" w:rsidR="00C741B5" w:rsidRDefault="00501DB9" w:rsidP="00C741B5">
      <w:pPr>
        <w:pStyle w:val="Ttulo2"/>
      </w:pPr>
      <w:bookmarkStart w:id="622" w:name="_Toc140506320"/>
      <w:r w:rsidRPr="00501DB9">
        <w:t>OILGAS ENERGY</w:t>
      </w:r>
      <w:bookmarkEnd w:id="622"/>
      <w:r w:rsidRPr="00501DB9">
        <w:tab/>
      </w:r>
    </w:p>
    <w:p w14:paraId="5FEDEE36" w14:textId="77777777" w:rsidR="00C741B5" w:rsidRDefault="00C741B5" w:rsidP="00C741B5">
      <w:pPr>
        <w:pStyle w:val="Ttulo4"/>
      </w:pPr>
      <w:r w:rsidRPr="00501DB9">
        <w:t>OILGAS ENERGY</w:t>
      </w:r>
      <w:r w:rsidRPr="00501DB9">
        <w:tab/>
      </w:r>
    </w:p>
    <w:p w14:paraId="4EE33F30" w14:textId="02FB89FA" w:rsidR="00501DB9" w:rsidRPr="0035376C" w:rsidRDefault="00501DB9" w:rsidP="00501DB9">
      <w:pPr>
        <w:rPr>
          <w:rFonts w:cs="Arial"/>
          <w:i/>
          <w:iCs/>
          <w:sz w:val="22"/>
          <w:szCs w:val="22"/>
        </w:rPr>
      </w:pPr>
      <w:r w:rsidRPr="00501DB9">
        <w:rPr>
          <w:rFonts w:cs="Arial"/>
          <w:sz w:val="22"/>
          <w:szCs w:val="22"/>
        </w:rPr>
        <w:t>"</w:t>
      </w:r>
      <w:r w:rsidRPr="0035376C">
        <w:rPr>
          <w:rFonts w:cs="Arial"/>
          <w:i/>
          <w:iCs/>
          <w:sz w:val="22"/>
          <w:szCs w:val="22"/>
        </w:rPr>
        <w:t>Para efectos de claridad y seguridad jurídica se sugiere no seguir haciendo referencia a resoluciones que fueron derogadas y que hoy no producen efectos jurídicos, como lo es la Resolución CREG 089 de 2013.</w:t>
      </w:r>
    </w:p>
    <w:p w14:paraId="7514269E" w14:textId="77777777" w:rsidR="00C741B5" w:rsidRPr="0035376C" w:rsidRDefault="00C741B5" w:rsidP="00501DB9">
      <w:pPr>
        <w:rPr>
          <w:rFonts w:cs="Arial"/>
          <w:i/>
          <w:iCs/>
          <w:sz w:val="22"/>
          <w:szCs w:val="22"/>
        </w:rPr>
      </w:pPr>
    </w:p>
    <w:p w14:paraId="7EFBEC53" w14:textId="1E308512" w:rsidR="00501DB9" w:rsidRDefault="00501DB9" w:rsidP="00501DB9">
      <w:pPr>
        <w:rPr>
          <w:rFonts w:cs="Arial"/>
          <w:sz w:val="22"/>
          <w:szCs w:val="22"/>
        </w:rPr>
      </w:pPr>
      <w:r w:rsidRPr="0035376C">
        <w:rPr>
          <w:rFonts w:cs="Arial"/>
          <w:i/>
          <w:iCs/>
          <w:sz w:val="22"/>
          <w:szCs w:val="22"/>
        </w:rPr>
        <w:t xml:space="preserve">En tal sentido, se sugiere indicar que los contratos </w:t>
      </w:r>
      <w:proofErr w:type="spellStart"/>
      <w:r w:rsidRPr="0035376C">
        <w:rPr>
          <w:rFonts w:cs="Arial"/>
          <w:i/>
          <w:iCs/>
          <w:sz w:val="22"/>
          <w:szCs w:val="22"/>
        </w:rPr>
        <w:t>Take</w:t>
      </w:r>
      <w:proofErr w:type="spellEnd"/>
      <w:r w:rsidRPr="0035376C">
        <w:rPr>
          <w:rFonts w:cs="Arial"/>
          <w:i/>
          <w:iCs/>
          <w:sz w:val="22"/>
          <w:szCs w:val="22"/>
        </w:rPr>
        <w:t xml:space="preserve"> </w:t>
      </w:r>
      <w:proofErr w:type="spellStart"/>
      <w:r w:rsidRPr="0035376C">
        <w:rPr>
          <w:rFonts w:cs="Arial"/>
          <w:i/>
          <w:iCs/>
          <w:sz w:val="22"/>
          <w:szCs w:val="22"/>
        </w:rPr>
        <w:t>or</w:t>
      </w:r>
      <w:proofErr w:type="spellEnd"/>
      <w:r w:rsidRPr="0035376C">
        <w:rPr>
          <w:rFonts w:cs="Arial"/>
          <w:i/>
          <w:iCs/>
          <w:sz w:val="22"/>
          <w:szCs w:val="22"/>
        </w:rPr>
        <w:t xml:space="preserve"> </w:t>
      </w:r>
      <w:proofErr w:type="spellStart"/>
      <w:r w:rsidRPr="0035376C">
        <w:rPr>
          <w:rFonts w:cs="Arial"/>
          <w:i/>
          <w:iCs/>
          <w:sz w:val="22"/>
          <w:szCs w:val="22"/>
        </w:rPr>
        <w:t>Pay</w:t>
      </w:r>
      <w:proofErr w:type="spellEnd"/>
      <w:r w:rsidRPr="0035376C">
        <w:rPr>
          <w:rFonts w:cs="Arial"/>
          <w:i/>
          <w:iCs/>
          <w:sz w:val="22"/>
          <w:szCs w:val="22"/>
        </w:rPr>
        <w:t xml:space="preserve"> suscritos antes del año 2013 seguirán rigiendo hasta la fecha de terminación pactada en los mismos</w:t>
      </w:r>
      <w:r w:rsidRPr="00501DB9">
        <w:rPr>
          <w:rFonts w:cs="Arial"/>
          <w:sz w:val="22"/>
          <w:szCs w:val="22"/>
        </w:rPr>
        <w:t>."</w:t>
      </w:r>
    </w:p>
    <w:p w14:paraId="466DC254" w14:textId="679C3D4B" w:rsidR="0035376C" w:rsidRDefault="0035376C" w:rsidP="00501DB9">
      <w:pPr>
        <w:rPr>
          <w:rFonts w:cs="Arial"/>
          <w:sz w:val="22"/>
          <w:szCs w:val="22"/>
        </w:rPr>
      </w:pPr>
    </w:p>
    <w:p w14:paraId="6FE85DAE" w14:textId="25D35D54" w:rsidR="0035376C" w:rsidRPr="0035376C" w:rsidRDefault="0035376C" w:rsidP="00501DB9">
      <w:pPr>
        <w:rPr>
          <w:rFonts w:cs="Arial"/>
          <w:b/>
          <w:bCs/>
          <w:sz w:val="22"/>
          <w:szCs w:val="22"/>
        </w:rPr>
      </w:pPr>
      <w:r w:rsidRPr="0035376C">
        <w:rPr>
          <w:rFonts w:cs="Arial"/>
          <w:b/>
          <w:bCs/>
          <w:sz w:val="22"/>
          <w:szCs w:val="22"/>
        </w:rPr>
        <w:t>Respuesta:</w:t>
      </w:r>
    </w:p>
    <w:p w14:paraId="38B02C2B" w14:textId="63F74EB0" w:rsidR="0035376C" w:rsidRDefault="0035376C" w:rsidP="00501DB9">
      <w:pPr>
        <w:rPr>
          <w:rFonts w:cs="Arial"/>
          <w:sz w:val="22"/>
          <w:szCs w:val="22"/>
        </w:rPr>
      </w:pPr>
    </w:p>
    <w:p w14:paraId="2192AE0D" w14:textId="7F3142D2" w:rsidR="0035376C" w:rsidRDefault="0035376C" w:rsidP="00501DB9">
      <w:pPr>
        <w:rPr>
          <w:rFonts w:cs="Arial"/>
          <w:sz w:val="22"/>
          <w:szCs w:val="22"/>
        </w:rPr>
      </w:pPr>
      <w:r>
        <w:rPr>
          <w:rFonts w:cs="Arial"/>
          <w:sz w:val="22"/>
          <w:szCs w:val="22"/>
        </w:rPr>
        <w:t>Se acoge el comentario parcialmente.</w:t>
      </w:r>
    </w:p>
    <w:p w14:paraId="1FDD6E39" w14:textId="0CDA44F8" w:rsidR="0035376C" w:rsidRDefault="0035376C" w:rsidP="00501DB9">
      <w:pPr>
        <w:rPr>
          <w:rFonts w:cs="Arial"/>
          <w:sz w:val="22"/>
          <w:szCs w:val="22"/>
        </w:rPr>
      </w:pPr>
    </w:p>
    <w:p w14:paraId="2C94A3C7" w14:textId="6A530C9D" w:rsidR="0035376C" w:rsidRDefault="0035376C" w:rsidP="00501DB9">
      <w:pPr>
        <w:rPr>
          <w:rFonts w:cs="Arial"/>
          <w:sz w:val="22"/>
          <w:szCs w:val="22"/>
        </w:rPr>
      </w:pPr>
      <w:r>
        <w:rPr>
          <w:rFonts w:cs="Arial"/>
          <w:sz w:val="22"/>
          <w:szCs w:val="22"/>
        </w:rPr>
        <w:t>Se mantiene la mención de la Resolución CREG 089</w:t>
      </w:r>
      <w:r w:rsidR="00770BF7">
        <w:rPr>
          <w:rFonts w:cs="Arial"/>
          <w:sz w:val="22"/>
          <w:szCs w:val="22"/>
        </w:rPr>
        <w:t xml:space="preserve"> en aquellos casos que sea una referencia histórica, más no de regulación aplicable actualmente.</w:t>
      </w:r>
    </w:p>
    <w:p w14:paraId="3405F791" w14:textId="77777777" w:rsidR="0035376C" w:rsidRPr="00501DB9" w:rsidRDefault="0035376C" w:rsidP="00501DB9">
      <w:pPr>
        <w:rPr>
          <w:rFonts w:cs="Arial"/>
          <w:sz w:val="22"/>
          <w:szCs w:val="22"/>
        </w:rPr>
      </w:pPr>
    </w:p>
    <w:p w14:paraId="74818D9B" w14:textId="77777777" w:rsidR="00C741B5" w:rsidRDefault="00C741B5" w:rsidP="00501DB9">
      <w:pPr>
        <w:rPr>
          <w:rFonts w:cs="Arial"/>
          <w:sz w:val="22"/>
          <w:szCs w:val="22"/>
        </w:rPr>
      </w:pPr>
    </w:p>
    <w:p w14:paraId="296A0DCE" w14:textId="77777777" w:rsidR="00C741B5" w:rsidRDefault="00501DB9" w:rsidP="00C741B5">
      <w:pPr>
        <w:pStyle w:val="Ttulo2"/>
      </w:pPr>
      <w:bookmarkStart w:id="623" w:name="_Toc140506321"/>
      <w:r w:rsidRPr="00501DB9">
        <w:t>PRIME ENERGIA</w:t>
      </w:r>
      <w:bookmarkEnd w:id="623"/>
      <w:r w:rsidRPr="00501DB9">
        <w:tab/>
      </w:r>
    </w:p>
    <w:p w14:paraId="2477E5A8" w14:textId="77777777" w:rsidR="00C741B5" w:rsidRDefault="00C741B5" w:rsidP="00C741B5">
      <w:pPr>
        <w:pStyle w:val="Ttulo4"/>
      </w:pPr>
      <w:bookmarkStart w:id="624" w:name="_Ref130639597"/>
      <w:r w:rsidRPr="00501DB9">
        <w:t>PRIME ENERGIA</w:t>
      </w:r>
      <w:bookmarkEnd w:id="624"/>
      <w:r w:rsidRPr="00501DB9">
        <w:tab/>
      </w:r>
    </w:p>
    <w:p w14:paraId="7F5F4C76" w14:textId="004B4A1A" w:rsidR="00501DB9" w:rsidRDefault="00501DB9" w:rsidP="00501DB9">
      <w:pPr>
        <w:rPr>
          <w:rFonts w:cs="Arial"/>
          <w:sz w:val="22"/>
          <w:szCs w:val="22"/>
        </w:rPr>
      </w:pPr>
      <w:r w:rsidRPr="00501DB9">
        <w:rPr>
          <w:rFonts w:cs="Arial"/>
          <w:sz w:val="22"/>
          <w:szCs w:val="22"/>
        </w:rPr>
        <w:t>"</w:t>
      </w:r>
      <w:r w:rsidRPr="00485674">
        <w:rPr>
          <w:rFonts w:cs="Arial"/>
          <w:i/>
          <w:iCs/>
          <w:sz w:val="22"/>
          <w:szCs w:val="22"/>
        </w:rPr>
        <w:t>Considerando que la propuesta regulatoria permite la inclusión de modalidades de contratos propuestas por los agentes del mercado mayorista, no queda claro el requisito que se propone surtir iniciando el proceso regulatorio, consistente en que la modalidad contractual propuesta pueda negociarse utilizando los mecanismos de comercialización propuestos."</w:t>
      </w:r>
    </w:p>
    <w:p w14:paraId="636682B6" w14:textId="6EB173F5" w:rsidR="00485674" w:rsidRDefault="00485674" w:rsidP="00501DB9">
      <w:pPr>
        <w:rPr>
          <w:rFonts w:cs="Arial"/>
          <w:sz w:val="22"/>
          <w:szCs w:val="22"/>
        </w:rPr>
      </w:pPr>
    </w:p>
    <w:p w14:paraId="28BA5F30" w14:textId="5FCF87FA" w:rsidR="00485674" w:rsidRPr="00485674" w:rsidRDefault="00485674" w:rsidP="00501DB9">
      <w:pPr>
        <w:rPr>
          <w:rFonts w:cs="Arial"/>
          <w:b/>
          <w:bCs/>
          <w:sz w:val="22"/>
          <w:szCs w:val="22"/>
        </w:rPr>
      </w:pPr>
      <w:r w:rsidRPr="00485674">
        <w:rPr>
          <w:rFonts w:cs="Arial"/>
          <w:b/>
          <w:bCs/>
          <w:sz w:val="22"/>
          <w:szCs w:val="22"/>
        </w:rPr>
        <w:t>Respuesta:</w:t>
      </w:r>
    </w:p>
    <w:p w14:paraId="37A05DD5" w14:textId="1E3C9051" w:rsidR="00485674" w:rsidRDefault="00485674" w:rsidP="00501DB9">
      <w:pPr>
        <w:rPr>
          <w:rFonts w:cs="Arial"/>
          <w:sz w:val="22"/>
          <w:szCs w:val="22"/>
        </w:rPr>
      </w:pPr>
    </w:p>
    <w:p w14:paraId="14794866" w14:textId="34D00ABB" w:rsidR="00485674" w:rsidRPr="00501DB9" w:rsidRDefault="00485674" w:rsidP="00501DB9">
      <w:pPr>
        <w:rPr>
          <w:rFonts w:cs="Arial"/>
          <w:sz w:val="22"/>
          <w:szCs w:val="22"/>
        </w:rPr>
      </w:pPr>
      <w:r>
        <w:rPr>
          <w:rFonts w:cs="Arial"/>
          <w:sz w:val="22"/>
          <w:szCs w:val="22"/>
        </w:rPr>
        <w:t>Las nuevas modalidades contractuales que propongan los agente</w:t>
      </w:r>
      <w:r w:rsidR="00E30AA4">
        <w:rPr>
          <w:rFonts w:cs="Arial"/>
          <w:sz w:val="22"/>
          <w:szCs w:val="22"/>
        </w:rPr>
        <w:t xml:space="preserve"> </w:t>
      </w:r>
      <w:r>
        <w:rPr>
          <w:rFonts w:cs="Arial"/>
          <w:sz w:val="22"/>
          <w:szCs w:val="22"/>
        </w:rPr>
        <w:t xml:space="preserve">deberán tener en cuenta que los contratos puedan negociarse con base en los mecanismos de comercialización propuestos, es decir, mediante la negociación directa o mediante la subasta que se establece. Asimismo, se debe cumplir </w:t>
      </w:r>
      <w:r w:rsidR="00484572">
        <w:rPr>
          <w:rFonts w:cs="Arial"/>
          <w:sz w:val="22"/>
          <w:szCs w:val="22"/>
        </w:rPr>
        <w:t xml:space="preserve">con </w:t>
      </w:r>
      <w:r>
        <w:rPr>
          <w:rFonts w:cs="Arial"/>
          <w:sz w:val="22"/>
          <w:szCs w:val="22"/>
        </w:rPr>
        <w:t>el mecanismo de acceso MADE</w:t>
      </w:r>
      <w:r w:rsidR="00484572">
        <w:rPr>
          <w:rFonts w:cs="Arial"/>
          <w:sz w:val="22"/>
          <w:szCs w:val="22"/>
        </w:rPr>
        <w:t>,</w:t>
      </w:r>
      <w:r>
        <w:rPr>
          <w:rFonts w:cs="Arial"/>
          <w:sz w:val="22"/>
          <w:szCs w:val="22"/>
        </w:rPr>
        <w:t xml:space="preserve"> en las condiciones que se establecen para cualquier tipo de fuente de suministro, sin excepción ninguna.</w:t>
      </w:r>
    </w:p>
    <w:p w14:paraId="107A6F51" w14:textId="77777777" w:rsidR="00C741B5" w:rsidRDefault="00C741B5" w:rsidP="00501DB9">
      <w:pPr>
        <w:rPr>
          <w:rFonts w:cs="Arial"/>
          <w:sz w:val="22"/>
          <w:szCs w:val="22"/>
        </w:rPr>
      </w:pPr>
    </w:p>
    <w:p w14:paraId="4B68CDEC" w14:textId="77777777" w:rsidR="00C741B5" w:rsidRDefault="00C741B5" w:rsidP="00501DB9">
      <w:pPr>
        <w:rPr>
          <w:rFonts w:cs="Arial"/>
          <w:sz w:val="22"/>
          <w:szCs w:val="22"/>
        </w:rPr>
      </w:pPr>
    </w:p>
    <w:p w14:paraId="2AB231BE" w14:textId="77777777" w:rsidR="00C741B5" w:rsidRDefault="00501DB9" w:rsidP="00C741B5">
      <w:pPr>
        <w:pStyle w:val="Ttulo2"/>
      </w:pPr>
      <w:bookmarkStart w:id="625" w:name="_Toc140506322"/>
      <w:r w:rsidRPr="00501DB9">
        <w:t>PROMIGAS</w:t>
      </w:r>
      <w:bookmarkEnd w:id="625"/>
      <w:r w:rsidRPr="00501DB9">
        <w:tab/>
      </w:r>
    </w:p>
    <w:p w14:paraId="4EB85061" w14:textId="77777777" w:rsidR="00C741B5" w:rsidRDefault="00C741B5" w:rsidP="00C741B5">
      <w:pPr>
        <w:pStyle w:val="Ttulo4"/>
      </w:pPr>
      <w:r w:rsidRPr="00501DB9">
        <w:t>PROMIGAS</w:t>
      </w:r>
      <w:r w:rsidRPr="00501DB9">
        <w:tab/>
      </w:r>
    </w:p>
    <w:p w14:paraId="060535B8" w14:textId="49E99F5E" w:rsidR="00501DB9" w:rsidRPr="00016AA2" w:rsidRDefault="003C4CAC" w:rsidP="00501DB9">
      <w:pPr>
        <w:rPr>
          <w:rFonts w:cs="Arial"/>
          <w:i/>
          <w:iCs/>
          <w:sz w:val="22"/>
          <w:szCs w:val="22"/>
        </w:rPr>
      </w:pPr>
      <w:r>
        <w:rPr>
          <w:rFonts w:cs="Arial"/>
          <w:i/>
          <w:iCs/>
          <w:sz w:val="22"/>
          <w:szCs w:val="22"/>
        </w:rPr>
        <w:t>“</w:t>
      </w:r>
      <w:r w:rsidR="00501DB9" w:rsidRPr="00016AA2">
        <w:rPr>
          <w:rFonts w:cs="Arial"/>
          <w:i/>
          <w:iCs/>
          <w:sz w:val="22"/>
          <w:szCs w:val="22"/>
        </w:rPr>
        <w:t>Se considera positiva esta apertura de la CREG, los agentes no solo podrían sugerirle a la Comisión nuevas modalidades contractuales, sino que sería importante que la CREG recogiera las observaciones que presentan los agentes con respecto a las modalidades contractuales planteadas por la CREG. Podría haberse evitado la adopción de los Contratos C1 y C2, que como lo manifiesta la CREG fueron poco o nada efectivos.</w:t>
      </w:r>
      <w:r w:rsidR="009E60C7">
        <w:rPr>
          <w:rFonts w:cs="Arial"/>
          <w:i/>
          <w:iCs/>
          <w:sz w:val="22"/>
          <w:szCs w:val="22"/>
        </w:rPr>
        <w:t>”</w:t>
      </w:r>
    </w:p>
    <w:p w14:paraId="40A9B84C" w14:textId="4A101E4A" w:rsidR="00016AA2" w:rsidRDefault="00016AA2" w:rsidP="00501DB9">
      <w:pPr>
        <w:rPr>
          <w:rFonts w:cs="Arial"/>
          <w:sz w:val="22"/>
          <w:szCs w:val="22"/>
        </w:rPr>
      </w:pPr>
    </w:p>
    <w:p w14:paraId="6766DF30" w14:textId="2214A476" w:rsidR="00016AA2" w:rsidRPr="00016AA2" w:rsidRDefault="00016AA2" w:rsidP="00501DB9">
      <w:pPr>
        <w:rPr>
          <w:rFonts w:cs="Arial"/>
          <w:b/>
          <w:bCs/>
          <w:sz w:val="22"/>
          <w:szCs w:val="22"/>
        </w:rPr>
      </w:pPr>
      <w:r w:rsidRPr="00016AA2">
        <w:rPr>
          <w:rFonts w:cs="Arial"/>
          <w:b/>
          <w:bCs/>
          <w:sz w:val="22"/>
          <w:szCs w:val="22"/>
        </w:rPr>
        <w:t>Respuesta:</w:t>
      </w:r>
    </w:p>
    <w:p w14:paraId="0CF60A21" w14:textId="55EF3D7F" w:rsidR="00016AA2" w:rsidRDefault="00016AA2" w:rsidP="00501DB9">
      <w:pPr>
        <w:rPr>
          <w:rFonts w:cs="Arial"/>
          <w:sz w:val="22"/>
          <w:szCs w:val="22"/>
        </w:rPr>
      </w:pPr>
    </w:p>
    <w:p w14:paraId="381DEDF5" w14:textId="5F1729B2" w:rsidR="00016AA2" w:rsidRPr="00501DB9" w:rsidRDefault="00016AA2" w:rsidP="00016AA2">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_Ref130637905 \r \h </w:instrText>
      </w:r>
      <w:r>
        <w:rPr>
          <w:rFonts w:cs="Arial"/>
          <w:sz w:val="22"/>
          <w:szCs w:val="22"/>
        </w:rPr>
      </w:r>
      <w:r>
        <w:rPr>
          <w:rFonts w:cs="Arial"/>
          <w:sz w:val="22"/>
          <w:szCs w:val="22"/>
        </w:rPr>
        <w:fldChar w:fldCharType="separate"/>
      </w:r>
      <w:r w:rsidR="007651EA">
        <w:rPr>
          <w:rFonts w:cs="Arial"/>
          <w:sz w:val="22"/>
          <w:szCs w:val="22"/>
        </w:rPr>
        <w:t>8.5.1.2</w:t>
      </w:r>
      <w:r>
        <w:rPr>
          <w:rFonts w:cs="Arial"/>
          <w:sz w:val="22"/>
          <w:szCs w:val="22"/>
        </w:rPr>
        <w:fldChar w:fldCharType="end"/>
      </w:r>
      <w:r>
        <w:rPr>
          <w:rFonts w:cs="Arial"/>
          <w:sz w:val="22"/>
          <w:szCs w:val="22"/>
        </w:rPr>
        <w:t>.</w:t>
      </w:r>
    </w:p>
    <w:p w14:paraId="39C388E3" w14:textId="77777777" w:rsidR="00C741B5" w:rsidRDefault="00C741B5" w:rsidP="00501DB9">
      <w:pPr>
        <w:rPr>
          <w:rFonts w:cs="Arial"/>
          <w:sz w:val="22"/>
          <w:szCs w:val="22"/>
        </w:rPr>
      </w:pPr>
    </w:p>
    <w:p w14:paraId="1CC1DE5E" w14:textId="77777777" w:rsidR="00C741B5" w:rsidRDefault="00C741B5" w:rsidP="00501DB9">
      <w:pPr>
        <w:rPr>
          <w:rFonts w:cs="Arial"/>
          <w:sz w:val="22"/>
          <w:szCs w:val="22"/>
        </w:rPr>
      </w:pPr>
    </w:p>
    <w:p w14:paraId="4451C49E" w14:textId="77777777" w:rsidR="00C741B5" w:rsidRDefault="00501DB9" w:rsidP="00C741B5">
      <w:pPr>
        <w:pStyle w:val="Ttulo2"/>
      </w:pPr>
      <w:bookmarkStart w:id="626" w:name="_Toc140506323"/>
      <w:r w:rsidRPr="00501DB9">
        <w:t>SHELL</w:t>
      </w:r>
      <w:bookmarkEnd w:id="626"/>
      <w:r w:rsidRPr="00501DB9">
        <w:tab/>
      </w:r>
    </w:p>
    <w:p w14:paraId="104C3A1B" w14:textId="77777777" w:rsidR="00C741B5" w:rsidRDefault="00C741B5" w:rsidP="00C741B5">
      <w:pPr>
        <w:pStyle w:val="Ttulo4"/>
      </w:pPr>
      <w:r w:rsidRPr="00501DB9">
        <w:t>SHELL</w:t>
      </w:r>
      <w:r w:rsidRPr="00501DB9">
        <w:tab/>
      </w:r>
    </w:p>
    <w:p w14:paraId="10EA8839" w14:textId="15CE1145" w:rsidR="00501DB9" w:rsidRPr="00016AA2" w:rsidRDefault="009E60C7" w:rsidP="00501DB9">
      <w:pPr>
        <w:rPr>
          <w:rFonts w:cs="Arial"/>
          <w:i/>
          <w:iCs/>
          <w:sz w:val="22"/>
          <w:szCs w:val="22"/>
        </w:rPr>
      </w:pPr>
      <w:r>
        <w:rPr>
          <w:rFonts w:cs="Arial"/>
          <w:i/>
          <w:iCs/>
          <w:sz w:val="22"/>
          <w:szCs w:val="22"/>
        </w:rPr>
        <w:t>“</w:t>
      </w:r>
      <w:r w:rsidR="00501DB9" w:rsidRPr="00016AA2">
        <w:rPr>
          <w:rFonts w:cs="Arial"/>
          <w:i/>
          <w:iCs/>
          <w:sz w:val="22"/>
          <w:szCs w:val="22"/>
        </w:rPr>
        <w:t>Es positiva la inclusión de la posibilidad de proponer a la Comisión modalidades contractuales adicionales a las propuestas actualmente a nivel regulatorio. Este tipo de mecanismos permite a los agentes crear diferentes productos para los usuarios para dinamizar el funcionamiento del mercado</w:t>
      </w:r>
      <w:r w:rsidR="00016AA2" w:rsidRPr="00016AA2">
        <w:rPr>
          <w:rFonts w:cs="Arial"/>
          <w:i/>
          <w:iCs/>
          <w:sz w:val="22"/>
          <w:szCs w:val="22"/>
        </w:rPr>
        <w:t>.</w:t>
      </w:r>
      <w:r>
        <w:rPr>
          <w:rFonts w:cs="Arial"/>
          <w:i/>
          <w:iCs/>
          <w:sz w:val="22"/>
          <w:szCs w:val="22"/>
        </w:rPr>
        <w:t>”</w:t>
      </w:r>
    </w:p>
    <w:p w14:paraId="1F76A1A8" w14:textId="252475F0" w:rsidR="00016AA2" w:rsidRDefault="00016AA2" w:rsidP="00501DB9">
      <w:pPr>
        <w:rPr>
          <w:rFonts w:cs="Arial"/>
          <w:sz w:val="22"/>
          <w:szCs w:val="22"/>
        </w:rPr>
      </w:pPr>
    </w:p>
    <w:p w14:paraId="02CD2BBE" w14:textId="01C1FD6A" w:rsidR="00016AA2" w:rsidRPr="00016AA2" w:rsidRDefault="00016AA2" w:rsidP="00501DB9">
      <w:pPr>
        <w:rPr>
          <w:rFonts w:cs="Arial"/>
          <w:b/>
          <w:bCs/>
          <w:sz w:val="22"/>
          <w:szCs w:val="22"/>
        </w:rPr>
      </w:pPr>
      <w:r w:rsidRPr="00016AA2">
        <w:rPr>
          <w:rFonts w:cs="Arial"/>
          <w:b/>
          <w:bCs/>
          <w:sz w:val="22"/>
          <w:szCs w:val="22"/>
        </w:rPr>
        <w:t>Respuesta:</w:t>
      </w:r>
    </w:p>
    <w:p w14:paraId="0A238A87" w14:textId="1086074F" w:rsidR="00016AA2" w:rsidRDefault="00016AA2" w:rsidP="00501DB9">
      <w:pPr>
        <w:rPr>
          <w:rFonts w:cs="Arial"/>
          <w:sz w:val="22"/>
          <w:szCs w:val="22"/>
        </w:rPr>
      </w:pPr>
    </w:p>
    <w:p w14:paraId="5A507870" w14:textId="323B29DC" w:rsidR="00016AA2" w:rsidRPr="00501DB9" w:rsidRDefault="00016AA2" w:rsidP="00016AA2">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_Ref130637905 \r \h </w:instrText>
      </w:r>
      <w:r>
        <w:rPr>
          <w:rFonts w:cs="Arial"/>
          <w:sz w:val="22"/>
          <w:szCs w:val="22"/>
        </w:rPr>
      </w:r>
      <w:r>
        <w:rPr>
          <w:rFonts w:cs="Arial"/>
          <w:sz w:val="22"/>
          <w:szCs w:val="22"/>
        </w:rPr>
        <w:fldChar w:fldCharType="separate"/>
      </w:r>
      <w:r w:rsidR="007651EA">
        <w:rPr>
          <w:rFonts w:cs="Arial"/>
          <w:sz w:val="22"/>
          <w:szCs w:val="22"/>
        </w:rPr>
        <w:t>8.5.1.2</w:t>
      </w:r>
      <w:r>
        <w:rPr>
          <w:rFonts w:cs="Arial"/>
          <w:sz w:val="22"/>
          <w:szCs w:val="22"/>
        </w:rPr>
        <w:fldChar w:fldCharType="end"/>
      </w:r>
      <w:r>
        <w:rPr>
          <w:rFonts w:cs="Arial"/>
          <w:sz w:val="22"/>
          <w:szCs w:val="22"/>
        </w:rPr>
        <w:t>.</w:t>
      </w:r>
    </w:p>
    <w:p w14:paraId="00D316E5" w14:textId="77777777" w:rsidR="00016AA2" w:rsidRPr="00501DB9" w:rsidRDefault="00016AA2" w:rsidP="00501DB9">
      <w:pPr>
        <w:rPr>
          <w:rFonts w:cs="Arial"/>
          <w:sz w:val="22"/>
          <w:szCs w:val="22"/>
        </w:rPr>
      </w:pPr>
    </w:p>
    <w:p w14:paraId="2046509A" w14:textId="77777777" w:rsidR="00C741B5" w:rsidRDefault="00C741B5" w:rsidP="00501DB9">
      <w:pPr>
        <w:rPr>
          <w:rFonts w:cs="Arial"/>
          <w:sz w:val="22"/>
          <w:szCs w:val="22"/>
        </w:rPr>
      </w:pPr>
    </w:p>
    <w:p w14:paraId="3B4F0957" w14:textId="77777777" w:rsidR="00C741B5" w:rsidRDefault="00C741B5" w:rsidP="00501DB9">
      <w:pPr>
        <w:rPr>
          <w:rFonts w:cs="Arial"/>
          <w:sz w:val="22"/>
          <w:szCs w:val="22"/>
        </w:rPr>
      </w:pPr>
    </w:p>
    <w:p w14:paraId="6CD64FFD" w14:textId="77777777" w:rsidR="00C741B5" w:rsidRDefault="00501DB9" w:rsidP="00C741B5">
      <w:pPr>
        <w:pStyle w:val="Ttulo2"/>
      </w:pPr>
      <w:bookmarkStart w:id="627" w:name="_Toc140506324"/>
      <w:r w:rsidRPr="00501DB9">
        <w:t>SURTIGAS</w:t>
      </w:r>
      <w:bookmarkEnd w:id="627"/>
      <w:r w:rsidRPr="00501DB9">
        <w:tab/>
      </w:r>
    </w:p>
    <w:p w14:paraId="5C3DEFC9" w14:textId="77777777" w:rsidR="00C741B5" w:rsidRDefault="00C741B5" w:rsidP="00C741B5">
      <w:pPr>
        <w:pStyle w:val="Ttulo4"/>
      </w:pPr>
      <w:r w:rsidRPr="00501DB9">
        <w:t>SURTIGAS</w:t>
      </w:r>
      <w:r w:rsidRPr="00501DB9">
        <w:tab/>
      </w:r>
    </w:p>
    <w:p w14:paraId="1078A4EA" w14:textId="725FC07F" w:rsidR="00501DB9" w:rsidRPr="00016AA2" w:rsidRDefault="009E60C7" w:rsidP="00501DB9">
      <w:pPr>
        <w:rPr>
          <w:rFonts w:cs="Arial"/>
          <w:i/>
          <w:iCs/>
          <w:sz w:val="22"/>
          <w:szCs w:val="22"/>
        </w:rPr>
      </w:pPr>
      <w:r>
        <w:rPr>
          <w:rFonts w:cs="Arial"/>
          <w:i/>
          <w:iCs/>
          <w:sz w:val="22"/>
          <w:szCs w:val="22"/>
        </w:rPr>
        <w:t>“</w:t>
      </w:r>
      <w:r w:rsidR="00501DB9" w:rsidRPr="00016AA2">
        <w:rPr>
          <w:rFonts w:cs="Arial"/>
          <w:i/>
          <w:iCs/>
          <w:sz w:val="22"/>
          <w:szCs w:val="22"/>
        </w:rPr>
        <w:t>Se considera positiva esta apertura de la CREG, los agentes no solo podrían sugerirle a la Comisión nuevas modalidades contractuales, sino que sería importante que la CREG recogiera las observaciones que presentan los agentes con respecto a las modalidades contractuales planteadas por la CREG. Podría haberse evitado la adopción de los Contratos C1 y C2, que como lo manifiesta la CREG fueron poco o nada efectivos.</w:t>
      </w:r>
      <w:r>
        <w:rPr>
          <w:rFonts w:cs="Arial"/>
          <w:i/>
          <w:iCs/>
          <w:sz w:val="22"/>
          <w:szCs w:val="22"/>
        </w:rPr>
        <w:t>”</w:t>
      </w:r>
    </w:p>
    <w:p w14:paraId="42FC17B2" w14:textId="5C25CDDF" w:rsidR="00016AA2" w:rsidRDefault="00016AA2" w:rsidP="00501DB9">
      <w:pPr>
        <w:rPr>
          <w:rFonts w:cs="Arial"/>
          <w:sz w:val="22"/>
          <w:szCs w:val="22"/>
        </w:rPr>
      </w:pPr>
    </w:p>
    <w:p w14:paraId="3157C56B" w14:textId="54F7F4D4" w:rsidR="00016AA2" w:rsidRPr="00016AA2" w:rsidRDefault="00016AA2" w:rsidP="00501DB9">
      <w:pPr>
        <w:rPr>
          <w:rFonts w:cs="Arial"/>
          <w:b/>
          <w:bCs/>
          <w:sz w:val="22"/>
          <w:szCs w:val="22"/>
        </w:rPr>
      </w:pPr>
      <w:r w:rsidRPr="00016AA2">
        <w:rPr>
          <w:rFonts w:cs="Arial"/>
          <w:b/>
          <w:bCs/>
          <w:sz w:val="22"/>
          <w:szCs w:val="22"/>
        </w:rPr>
        <w:t>Respuesta:</w:t>
      </w:r>
    </w:p>
    <w:p w14:paraId="477855BD" w14:textId="6E7DFCA3" w:rsidR="00016AA2" w:rsidRDefault="00016AA2" w:rsidP="00501DB9">
      <w:pPr>
        <w:rPr>
          <w:rFonts w:cs="Arial"/>
          <w:sz w:val="22"/>
          <w:szCs w:val="22"/>
        </w:rPr>
      </w:pPr>
    </w:p>
    <w:p w14:paraId="1797D3F0" w14:textId="7C8D2882" w:rsidR="00016AA2" w:rsidRPr="00501DB9" w:rsidRDefault="00016AA2" w:rsidP="00016AA2">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_Ref130637905 \r \h </w:instrText>
      </w:r>
      <w:r>
        <w:rPr>
          <w:rFonts w:cs="Arial"/>
          <w:sz w:val="22"/>
          <w:szCs w:val="22"/>
        </w:rPr>
      </w:r>
      <w:r>
        <w:rPr>
          <w:rFonts w:cs="Arial"/>
          <w:sz w:val="22"/>
          <w:szCs w:val="22"/>
        </w:rPr>
        <w:fldChar w:fldCharType="separate"/>
      </w:r>
      <w:r w:rsidR="007651EA">
        <w:rPr>
          <w:rFonts w:cs="Arial"/>
          <w:sz w:val="22"/>
          <w:szCs w:val="22"/>
        </w:rPr>
        <w:t>8.5.1.2</w:t>
      </w:r>
      <w:r>
        <w:rPr>
          <w:rFonts w:cs="Arial"/>
          <w:sz w:val="22"/>
          <w:szCs w:val="22"/>
        </w:rPr>
        <w:fldChar w:fldCharType="end"/>
      </w:r>
      <w:r>
        <w:rPr>
          <w:rFonts w:cs="Arial"/>
          <w:sz w:val="22"/>
          <w:szCs w:val="22"/>
        </w:rPr>
        <w:t>.</w:t>
      </w:r>
    </w:p>
    <w:p w14:paraId="11A2FDDB" w14:textId="2241D261" w:rsidR="00C741B5" w:rsidRDefault="00C741B5" w:rsidP="00501DB9">
      <w:pPr>
        <w:rPr>
          <w:rFonts w:cs="Arial"/>
          <w:sz w:val="22"/>
          <w:szCs w:val="22"/>
        </w:rPr>
      </w:pPr>
    </w:p>
    <w:p w14:paraId="5230A296" w14:textId="77777777" w:rsidR="00016AA2" w:rsidRDefault="00016AA2" w:rsidP="00501DB9">
      <w:pPr>
        <w:rPr>
          <w:rFonts w:cs="Arial"/>
          <w:sz w:val="22"/>
          <w:szCs w:val="22"/>
        </w:rPr>
      </w:pPr>
    </w:p>
    <w:p w14:paraId="305E1D1B" w14:textId="77777777" w:rsidR="00C741B5" w:rsidRDefault="00C741B5" w:rsidP="00C741B5">
      <w:pPr>
        <w:pStyle w:val="Ttulo2"/>
      </w:pPr>
      <w:bookmarkStart w:id="628" w:name="_Toc140506325"/>
      <w:r w:rsidRPr="00501DB9">
        <w:t>TEBSA</w:t>
      </w:r>
      <w:bookmarkEnd w:id="628"/>
      <w:r w:rsidRPr="00501DB9">
        <w:tab/>
      </w:r>
    </w:p>
    <w:p w14:paraId="2BACF13D" w14:textId="77777777" w:rsidR="00C741B5" w:rsidRDefault="00501DB9" w:rsidP="00C741B5">
      <w:pPr>
        <w:pStyle w:val="Ttulo4"/>
      </w:pPr>
      <w:r w:rsidRPr="00501DB9">
        <w:t>TEBSA</w:t>
      </w:r>
      <w:r w:rsidRPr="00501DB9">
        <w:tab/>
      </w:r>
    </w:p>
    <w:p w14:paraId="3C3EE05E" w14:textId="7BFD9958" w:rsidR="00016AA2" w:rsidRPr="00016AA2" w:rsidRDefault="009E60C7" w:rsidP="00501DB9">
      <w:pPr>
        <w:rPr>
          <w:rFonts w:cs="Arial"/>
          <w:i/>
          <w:iCs/>
          <w:sz w:val="22"/>
          <w:szCs w:val="22"/>
        </w:rPr>
      </w:pPr>
      <w:r>
        <w:rPr>
          <w:rFonts w:cs="Arial"/>
          <w:i/>
          <w:iCs/>
          <w:sz w:val="22"/>
          <w:szCs w:val="22"/>
        </w:rPr>
        <w:t>“</w:t>
      </w:r>
      <w:r w:rsidR="00501DB9" w:rsidRPr="00016AA2">
        <w:rPr>
          <w:rFonts w:cs="Arial"/>
          <w:i/>
          <w:iCs/>
          <w:sz w:val="22"/>
          <w:szCs w:val="22"/>
        </w:rPr>
        <w:t>La propuesta plantea la inclusión de esta modalidad, pero no proporciona soporte suficiente para justificar el porcentaje del 80% en lugar de cantidades inferiores.</w:t>
      </w:r>
      <w:r>
        <w:rPr>
          <w:rFonts w:cs="Arial"/>
          <w:i/>
          <w:iCs/>
          <w:sz w:val="22"/>
          <w:szCs w:val="22"/>
        </w:rPr>
        <w:t>”</w:t>
      </w:r>
      <w:r w:rsidR="00501DB9" w:rsidRPr="00016AA2">
        <w:rPr>
          <w:rFonts w:cs="Arial"/>
          <w:i/>
          <w:iCs/>
          <w:sz w:val="22"/>
          <w:szCs w:val="22"/>
        </w:rPr>
        <w:t xml:space="preserve"> </w:t>
      </w:r>
    </w:p>
    <w:p w14:paraId="4B3F1993" w14:textId="77777777" w:rsidR="00016AA2" w:rsidRDefault="00016AA2" w:rsidP="00501DB9">
      <w:pPr>
        <w:rPr>
          <w:rFonts w:cs="Arial"/>
          <w:sz w:val="22"/>
          <w:szCs w:val="22"/>
        </w:rPr>
      </w:pPr>
    </w:p>
    <w:p w14:paraId="35DCD32B" w14:textId="77777777" w:rsidR="00016AA2" w:rsidRPr="00016AA2" w:rsidRDefault="00016AA2" w:rsidP="00501DB9">
      <w:pPr>
        <w:rPr>
          <w:rFonts w:cs="Arial"/>
          <w:b/>
          <w:bCs/>
          <w:sz w:val="22"/>
          <w:szCs w:val="22"/>
        </w:rPr>
      </w:pPr>
      <w:r w:rsidRPr="00016AA2">
        <w:rPr>
          <w:rFonts w:cs="Arial"/>
          <w:b/>
          <w:bCs/>
          <w:sz w:val="22"/>
          <w:szCs w:val="22"/>
        </w:rPr>
        <w:t>Respuesta:</w:t>
      </w:r>
    </w:p>
    <w:p w14:paraId="0C1DF98B" w14:textId="74FB0E5A" w:rsidR="00016AA2" w:rsidRDefault="00016AA2" w:rsidP="00501DB9">
      <w:pPr>
        <w:rPr>
          <w:rFonts w:cs="Arial"/>
          <w:sz w:val="22"/>
          <w:szCs w:val="22"/>
        </w:rPr>
      </w:pPr>
    </w:p>
    <w:p w14:paraId="5E629020" w14:textId="76B9C56B" w:rsidR="00016AA2" w:rsidRDefault="00016AA2" w:rsidP="00501DB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_Ref130639877 \r \h </w:instrText>
      </w:r>
      <w:r>
        <w:rPr>
          <w:rFonts w:cs="Arial"/>
          <w:sz w:val="22"/>
          <w:szCs w:val="22"/>
        </w:rPr>
      </w:r>
      <w:r>
        <w:rPr>
          <w:rFonts w:cs="Arial"/>
          <w:sz w:val="22"/>
          <w:szCs w:val="22"/>
        </w:rPr>
        <w:fldChar w:fldCharType="separate"/>
      </w:r>
      <w:r w:rsidR="007651EA">
        <w:rPr>
          <w:rFonts w:cs="Arial"/>
          <w:sz w:val="22"/>
          <w:szCs w:val="22"/>
        </w:rPr>
        <w:t>8.3.1.2</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_Ref130637905 \r \h </w:instrText>
      </w:r>
      <w:r>
        <w:rPr>
          <w:rFonts w:cs="Arial"/>
          <w:sz w:val="22"/>
          <w:szCs w:val="22"/>
        </w:rPr>
      </w:r>
      <w:r>
        <w:rPr>
          <w:rFonts w:cs="Arial"/>
          <w:sz w:val="22"/>
          <w:szCs w:val="22"/>
        </w:rPr>
        <w:fldChar w:fldCharType="separate"/>
      </w:r>
      <w:r w:rsidR="007651EA">
        <w:rPr>
          <w:rFonts w:cs="Arial"/>
          <w:sz w:val="22"/>
          <w:szCs w:val="22"/>
        </w:rPr>
        <w:t>8.5.1.2</w:t>
      </w:r>
      <w:r>
        <w:rPr>
          <w:rFonts w:cs="Arial"/>
          <w:sz w:val="22"/>
          <w:szCs w:val="22"/>
        </w:rPr>
        <w:fldChar w:fldCharType="end"/>
      </w:r>
      <w:r>
        <w:rPr>
          <w:rFonts w:cs="Arial"/>
          <w:sz w:val="22"/>
          <w:szCs w:val="22"/>
        </w:rPr>
        <w:t>.</w:t>
      </w:r>
    </w:p>
    <w:p w14:paraId="7F5B4CF1" w14:textId="739DE9C4" w:rsidR="00501DB9" w:rsidRPr="00501DB9" w:rsidRDefault="00501DB9" w:rsidP="00501DB9">
      <w:pPr>
        <w:rPr>
          <w:rFonts w:cs="Arial"/>
          <w:sz w:val="22"/>
          <w:szCs w:val="22"/>
        </w:rPr>
      </w:pPr>
      <w:r w:rsidRPr="00501DB9">
        <w:rPr>
          <w:rFonts w:cs="Arial"/>
          <w:sz w:val="22"/>
          <w:szCs w:val="22"/>
        </w:rPr>
        <w:t xml:space="preserve"> </w:t>
      </w:r>
    </w:p>
    <w:p w14:paraId="7AB6F039" w14:textId="77777777" w:rsidR="00C741B5" w:rsidRDefault="00C741B5" w:rsidP="00501DB9">
      <w:pPr>
        <w:rPr>
          <w:rFonts w:cs="Arial"/>
          <w:sz w:val="22"/>
          <w:szCs w:val="22"/>
        </w:rPr>
      </w:pPr>
    </w:p>
    <w:p w14:paraId="1E768134" w14:textId="77777777" w:rsidR="00C741B5" w:rsidRDefault="00501DB9" w:rsidP="00C741B5">
      <w:pPr>
        <w:pStyle w:val="Ttulo4"/>
      </w:pPr>
      <w:r w:rsidRPr="00501DB9">
        <w:t>TEBSA</w:t>
      </w:r>
      <w:r w:rsidRPr="00501DB9">
        <w:tab/>
      </w:r>
    </w:p>
    <w:p w14:paraId="6CA3B2A2" w14:textId="4AFD34E3" w:rsidR="00501DB9" w:rsidRPr="00016AA2" w:rsidRDefault="00ED4B2C" w:rsidP="00501DB9">
      <w:pPr>
        <w:rPr>
          <w:rFonts w:cs="Arial"/>
          <w:i/>
          <w:iCs/>
          <w:sz w:val="22"/>
          <w:szCs w:val="22"/>
        </w:rPr>
      </w:pPr>
      <w:r>
        <w:rPr>
          <w:rFonts w:cs="Arial"/>
          <w:i/>
          <w:iCs/>
          <w:sz w:val="22"/>
          <w:szCs w:val="22"/>
        </w:rPr>
        <w:t>“</w:t>
      </w:r>
      <w:r w:rsidR="00501DB9" w:rsidRPr="00016AA2">
        <w:rPr>
          <w:rFonts w:cs="Arial"/>
          <w:i/>
          <w:iCs/>
          <w:sz w:val="22"/>
          <w:szCs w:val="22"/>
        </w:rPr>
        <w:t xml:space="preserve">Por qué los contratos con interrupciones deben tener respaldo físico si por su propia naturaleza son contratos que no garantizan firmeza? </w:t>
      </w:r>
      <w:proofErr w:type="gramStart"/>
      <w:r w:rsidR="00501DB9" w:rsidRPr="00016AA2">
        <w:rPr>
          <w:rFonts w:cs="Arial"/>
          <w:i/>
          <w:iCs/>
          <w:sz w:val="22"/>
          <w:szCs w:val="22"/>
        </w:rPr>
        <w:t>La OCG y los FC requieren respaldo físico solo al momento de la entrega?</w:t>
      </w:r>
      <w:proofErr w:type="gramEnd"/>
      <w:r>
        <w:rPr>
          <w:rFonts w:cs="Arial"/>
          <w:i/>
          <w:iCs/>
          <w:sz w:val="22"/>
          <w:szCs w:val="22"/>
        </w:rPr>
        <w:t>”</w:t>
      </w:r>
    </w:p>
    <w:p w14:paraId="1F24336E" w14:textId="4AD5C02D" w:rsidR="00016AA2" w:rsidRDefault="00016AA2" w:rsidP="00501DB9">
      <w:pPr>
        <w:rPr>
          <w:rFonts w:cs="Arial"/>
          <w:sz w:val="22"/>
          <w:szCs w:val="22"/>
        </w:rPr>
      </w:pPr>
    </w:p>
    <w:p w14:paraId="053A678D" w14:textId="3EC26033" w:rsidR="00016AA2" w:rsidRPr="00016AA2" w:rsidRDefault="00016AA2" w:rsidP="00501DB9">
      <w:pPr>
        <w:rPr>
          <w:rFonts w:cs="Arial"/>
          <w:b/>
          <w:bCs/>
          <w:sz w:val="22"/>
          <w:szCs w:val="22"/>
        </w:rPr>
      </w:pPr>
      <w:r w:rsidRPr="00016AA2">
        <w:rPr>
          <w:rFonts w:cs="Arial"/>
          <w:b/>
          <w:bCs/>
          <w:sz w:val="22"/>
          <w:szCs w:val="22"/>
        </w:rPr>
        <w:t>Respuesta:</w:t>
      </w:r>
    </w:p>
    <w:p w14:paraId="41F15B12" w14:textId="633F9382" w:rsidR="00016AA2" w:rsidRDefault="00016AA2" w:rsidP="00501DB9">
      <w:pPr>
        <w:rPr>
          <w:rFonts w:cs="Arial"/>
          <w:sz w:val="22"/>
          <w:szCs w:val="22"/>
        </w:rPr>
      </w:pPr>
    </w:p>
    <w:p w14:paraId="190AD77E" w14:textId="6F80D423" w:rsidR="00016AA2" w:rsidRPr="00501DB9" w:rsidRDefault="00016AA2" w:rsidP="00501DB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_Ref130545261 \r \h </w:instrText>
      </w:r>
      <w:r>
        <w:rPr>
          <w:rFonts w:cs="Arial"/>
          <w:sz w:val="22"/>
          <w:szCs w:val="22"/>
        </w:rPr>
      </w:r>
      <w:r>
        <w:rPr>
          <w:rFonts w:cs="Arial"/>
          <w:sz w:val="22"/>
          <w:szCs w:val="22"/>
        </w:rPr>
        <w:fldChar w:fldCharType="separate"/>
      </w:r>
      <w:r w:rsidR="007651EA">
        <w:rPr>
          <w:rFonts w:cs="Arial"/>
          <w:sz w:val="22"/>
          <w:szCs w:val="22"/>
        </w:rPr>
        <w:t>4.21.1.1</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_Ref130639959 \r \h </w:instrText>
      </w:r>
      <w:r>
        <w:rPr>
          <w:rFonts w:cs="Arial"/>
          <w:sz w:val="22"/>
          <w:szCs w:val="22"/>
        </w:rPr>
      </w:r>
      <w:r>
        <w:rPr>
          <w:rFonts w:cs="Arial"/>
          <w:sz w:val="22"/>
          <w:szCs w:val="22"/>
        </w:rPr>
        <w:fldChar w:fldCharType="separate"/>
      </w:r>
      <w:r w:rsidR="007651EA">
        <w:rPr>
          <w:rFonts w:cs="Arial"/>
          <w:sz w:val="22"/>
          <w:szCs w:val="22"/>
        </w:rPr>
        <w:t>8.4.1.3</w:t>
      </w:r>
      <w:r>
        <w:rPr>
          <w:rFonts w:cs="Arial"/>
          <w:sz w:val="22"/>
          <w:szCs w:val="22"/>
        </w:rPr>
        <w:fldChar w:fldCharType="end"/>
      </w:r>
      <w:r>
        <w:rPr>
          <w:rFonts w:cs="Arial"/>
          <w:sz w:val="22"/>
          <w:szCs w:val="22"/>
        </w:rPr>
        <w:t>.</w:t>
      </w:r>
    </w:p>
    <w:p w14:paraId="24C248BA" w14:textId="77777777" w:rsidR="00C741B5" w:rsidRDefault="00C741B5" w:rsidP="00501DB9">
      <w:pPr>
        <w:rPr>
          <w:rFonts w:cs="Arial"/>
          <w:sz w:val="22"/>
          <w:szCs w:val="22"/>
        </w:rPr>
      </w:pPr>
    </w:p>
    <w:p w14:paraId="03EB9A8B" w14:textId="77777777" w:rsidR="00C741B5" w:rsidRDefault="00C741B5" w:rsidP="00501DB9">
      <w:pPr>
        <w:rPr>
          <w:rFonts w:cs="Arial"/>
          <w:sz w:val="22"/>
          <w:szCs w:val="22"/>
        </w:rPr>
      </w:pPr>
    </w:p>
    <w:p w14:paraId="58F30FD4" w14:textId="77777777" w:rsidR="00C741B5" w:rsidRDefault="00501DB9" w:rsidP="00C741B5">
      <w:pPr>
        <w:pStyle w:val="Ttulo2"/>
      </w:pPr>
      <w:bookmarkStart w:id="629" w:name="_Toc140506326"/>
      <w:r w:rsidRPr="00501DB9">
        <w:t>TERPEL</w:t>
      </w:r>
      <w:bookmarkEnd w:id="629"/>
      <w:r w:rsidRPr="00501DB9">
        <w:tab/>
      </w:r>
    </w:p>
    <w:p w14:paraId="4BB178E5" w14:textId="77777777" w:rsidR="00C741B5" w:rsidRDefault="00C741B5" w:rsidP="00C741B5">
      <w:pPr>
        <w:pStyle w:val="Ttulo4"/>
      </w:pPr>
      <w:r w:rsidRPr="00501DB9">
        <w:t>TERPEL</w:t>
      </w:r>
      <w:r w:rsidRPr="00501DB9">
        <w:tab/>
      </w:r>
    </w:p>
    <w:p w14:paraId="5F08DF12" w14:textId="6A07D89F" w:rsidR="00501DB9" w:rsidRPr="00016AA2" w:rsidRDefault="00ED4B2C" w:rsidP="00501DB9">
      <w:pPr>
        <w:rPr>
          <w:rFonts w:cs="Arial"/>
          <w:i/>
          <w:iCs/>
          <w:sz w:val="22"/>
          <w:szCs w:val="22"/>
        </w:rPr>
      </w:pPr>
      <w:r>
        <w:rPr>
          <w:rFonts w:cs="Arial"/>
          <w:i/>
          <w:iCs/>
          <w:sz w:val="22"/>
          <w:szCs w:val="22"/>
        </w:rPr>
        <w:t>“</w:t>
      </w:r>
      <w:r w:rsidR="00501DB9" w:rsidRPr="00016AA2">
        <w:rPr>
          <w:rFonts w:cs="Arial"/>
          <w:i/>
          <w:iCs/>
          <w:sz w:val="22"/>
          <w:szCs w:val="22"/>
        </w:rPr>
        <w:t>Es positivo que tanto oferta como demanda tengan la posibilidad proponer nuevas modalidades contractuales. Es importante aprovechar la flexibilidad para poner en práctica nuevos productos sin esperar años para su implementación.</w:t>
      </w:r>
      <w:r>
        <w:rPr>
          <w:rFonts w:cs="Arial"/>
          <w:i/>
          <w:iCs/>
          <w:sz w:val="22"/>
          <w:szCs w:val="22"/>
        </w:rPr>
        <w:t>”</w:t>
      </w:r>
    </w:p>
    <w:p w14:paraId="2151F5AC" w14:textId="604A9688" w:rsidR="00016AA2" w:rsidRDefault="00016AA2" w:rsidP="00501DB9">
      <w:pPr>
        <w:rPr>
          <w:rFonts w:cs="Arial"/>
          <w:sz w:val="22"/>
          <w:szCs w:val="22"/>
        </w:rPr>
      </w:pPr>
    </w:p>
    <w:p w14:paraId="287DD173" w14:textId="662EAFEF" w:rsidR="00016AA2" w:rsidRDefault="00016AA2" w:rsidP="00501DB9">
      <w:pPr>
        <w:rPr>
          <w:rFonts w:cs="Arial"/>
          <w:b/>
          <w:bCs/>
          <w:sz w:val="22"/>
          <w:szCs w:val="22"/>
        </w:rPr>
      </w:pPr>
      <w:r w:rsidRPr="00016AA2">
        <w:rPr>
          <w:rFonts w:cs="Arial"/>
          <w:b/>
          <w:bCs/>
          <w:sz w:val="22"/>
          <w:szCs w:val="22"/>
        </w:rPr>
        <w:t>Respuesta:</w:t>
      </w:r>
    </w:p>
    <w:p w14:paraId="7ABE522F" w14:textId="77777777" w:rsidR="00ED4B2C" w:rsidRPr="00016AA2" w:rsidRDefault="00ED4B2C" w:rsidP="00501DB9">
      <w:pPr>
        <w:rPr>
          <w:rFonts w:cs="Arial"/>
          <w:b/>
          <w:bCs/>
          <w:sz w:val="22"/>
          <w:szCs w:val="22"/>
        </w:rPr>
      </w:pPr>
    </w:p>
    <w:p w14:paraId="472E419A" w14:textId="7798869B" w:rsidR="00AA0C82" w:rsidRPr="00501DB9" w:rsidRDefault="00AA0C82" w:rsidP="00AA0C82">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_Ref130637905 \r \h </w:instrText>
      </w:r>
      <w:r>
        <w:rPr>
          <w:rFonts w:cs="Arial"/>
          <w:sz w:val="22"/>
          <w:szCs w:val="22"/>
        </w:rPr>
      </w:r>
      <w:r>
        <w:rPr>
          <w:rFonts w:cs="Arial"/>
          <w:sz w:val="22"/>
          <w:szCs w:val="22"/>
        </w:rPr>
        <w:fldChar w:fldCharType="separate"/>
      </w:r>
      <w:r w:rsidR="007651EA">
        <w:rPr>
          <w:rFonts w:cs="Arial"/>
          <w:sz w:val="22"/>
          <w:szCs w:val="22"/>
        </w:rPr>
        <w:t>8.5.1.2</w:t>
      </w:r>
      <w:r>
        <w:rPr>
          <w:rFonts w:cs="Arial"/>
          <w:sz w:val="22"/>
          <w:szCs w:val="22"/>
        </w:rPr>
        <w:fldChar w:fldCharType="end"/>
      </w:r>
      <w:r>
        <w:rPr>
          <w:rFonts w:cs="Arial"/>
          <w:sz w:val="22"/>
          <w:szCs w:val="22"/>
        </w:rPr>
        <w:t>.</w:t>
      </w:r>
    </w:p>
    <w:p w14:paraId="16A95A34" w14:textId="77777777" w:rsidR="00C741B5" w:rsidRDefault="00C741B5" w:rsidP="00501DB9">
      <w:pPr>
        <w:rPr>
          <w:rFonts w:cs="Arial"/>
          <w:sz w:val="22"/>
          <w:szCs w:val="22"/>
        </w:rPr>
      </w:pPr>
    </w:p>
    <w:p w14:paraId="7470DA67" w14:textId="77777777" w:rsidR="00C741B5" w:rsidRDefault="00C741B5" w:rsidP="00501DB9">
      <w:pPr>
        <w:rPr>
          <w:rFonts w:cs="Arial"/>
          <w:sz w:val="22"/>
          <w:szCs w:val="22"/>
        </w:rPr>
      </w:pPr>
    </w:p>
    <w:p w14:paraId="114F1933" w14:textId="77777777" w:rsidR="00C741B5" w:rsidRDefault="00501DB9" w:rsidP="00C741B5">
      <w:pPr>
        <w:pStyle w:val="Ttulo2"/>
      </w:pPr>
      <w:bookmarkStart w:id="630" w:name="_Toc140506327"/>
      <w:r w:rsidRPr="00501DB9">
        <w:t>VANTI</w:t>
      </w:r>
      <w:bookmarkEnd w:id="630"/>
      <w:r w:rsidRPr="00501DB9">
        <w:tab/>
      </w:r>
    </w:p>
    <w:p w14:paraId="4D2E809F" w14:textId="77777777" w:rsidR="00C741B5" w:rsidRDefault="00C741B5" w:rsidP="00C741B5">
      <w:pPr>
        <w:pStyle w:val="Ttulo4"/>
      </w:pPr>
      <w:r w:rsidRPr="00501DB9">
        <w:t>VANTI</w:t>
      </w:r>
      <w:r w:rsidRPr="00501DB9">
        <w:tab/>
      </w:r>
    </w:p>
    <w:p w14:paraId="28297052" w14:textId="1BC41522" w:rsidR="00426028" w:rsidRPr="00AA0C82" w:rsidRDefault="00ED4B2C" w:rsidP="00501DB9">
      <w:pPr>
        <w:rPr>
          <w:rFonts w:cs="Arial"/>
          <w:i/>
          <w:iCs/>
          <w:sz w:val="22"/>
          <w:szCs w:val="22"/>
        </w:rPr>
      </w:pPr>
      <w:r>
        <w:rPr>
          <w:rFonts w:cs="Arial"/>
          <w:i/>
          <w:iCs/>
          <w:sz w:val="22"/>
          <w:szCs w:val="22"/>
        </w:rPr>
        <w:t>“</w:t>
      </w:r>
      <w:r w:rsidR="00501DB9" w:rsidRPr="00AA0C82">
        <w:rPr>
          <w:rFonts w:cs="Arial"/>
          <w:i/>
          <w:iCs/>
          <w:sz w:val="22"/>
          <w:szCs w:val="22"/>
        </w:rPr>
        <w:t xml:space="preserve">De darse esta separación entre Esencial y No Esencial, en lo que reiteramos no estamos de acuerdo y no vemos posible, y que esta situación se empeora dado que la propuesta de la Resolución 227 solo permite el traslado de las cantidades consumidas, no existe una modalidad contractual que le permita al comercializador garantizar el suministro del servicio de gas a estos clientes. Por tanto, se solicita incluir una modalidad contractual tipo </w:t>
      </w:r>
      <w:r w:rsidR="004A1EB3">
        <w:rPr>
          <w:rFonts w:cs="Arial"/>
          <w:i/>
          <w:iCs/>
          <w:sz w:val="22"/>
          <w:szCs w:val="22"/>
        </w:rPr>
        <w:t>‘</w:t>
      </w:r>
      <w:r w:rsidR="00501DB9" w:rsidRPr="00AA0C82">
        <w:rPr>
          <w:rFonts w:cs="Arial"/>
          <w:i/>
          <w:iCs/>
          <w:sz w:val="22"/>
          <w:szCs w:val="22"/>
        </w:rPr>
        <w:t>Pague lo Demandado</w:t>
      </w:r>
      <w:r w:rsidR="004A1EB3">
        <w:rPr>
          <w:rFonts w:cs="Arial"/>
          <w:i/>
          <w:iCs/>
          <w:sz w:val="22"/>
          <w:szCs w:val="22"/>
        </w:rPr>
        <w:t>’</w:t>
      </w:r>
      <w:r w:rsidR="00501DB9" w:rsidRPr="00AA0C82">
        <w:rPr>
          <w:rFonts w:cs="Arial"/>
          <w:i/>
          <w:iCs/>
          <w:sz w:val="22"/>
          <w:szCs w:val="22"/>
        </w:rPr>
        <w:t xml:space="preserve"> y donde el Productor esté obligado a ofrecer este producto al mercado.</w:t>
      </w:r>
      <w:r>
        <w:rPr>
          <w:rFonts w:cs="Arial"/>
          <w:i/>
          <w:iCs/>
          <w:sz w:val="22"/>
          <w:szCs w:val="22"/>
        </w:rPr>
        <w:t>”</w:t>
      </w:r>
    </w:p>
    <w:p w14:paraId="30E201D9" w14:textId="696DA20B" w:rsidR="00AA0C82" w:rsidRDefault="00AA0C82" w:rsidP="00501DB9">
      <w:pPr>
        <w:rPr>
          <w:rFonts w:cs="Arial"/>
          <w:sz w:val="22"/>
          <w:szCs w:val="22"/>
        </w:rPr>
      </w:pPr>
    </w:p>
    <w:p w14:paraId="2DEE7363" w14:textId="26F98F65" w:rsidR="00AA0C82" w:rsidRPr="00AA0C82" w:rsidRDefault="00AA0C82" w:rsidP="00501DB9">
      <w:pPr>
        <w:rPr>
          <w:rFonts w:cs="Arial"/>
          <w:b/>
          <w:bCs/>
          <w:sz w:val="22"/>
          <w:szCs w:val="22"/>
        </w:rPr>
      </w:pPr>
      <w:r w:rsidRPr="00AA0C82">
        <w:rPr>
          <w:rFonts w:cs="Arial"/>
          <w:b/>
          <w:bCs/>
          <w:sz w:val="22"/>
          <w:szCs w:val="22"/>
        </w:rPr>
        <w:t>Respuesta:</w:t>
      </w:r>
    </w:p>
    <w:p w14:paraId="4EFED6A7" w14:textId="217DB104" w:rsidR="00AA0C82" w:rsidRDefault="00AA0C82" w:rsidP="00501DB9">
      <w:pPr>
        <w:rPr>
          <w:rFonts w:cs="Arial"/>
          <w:sz w:val="22"/>
          <w:szCs w:val="22"/>
        </w:rPr>
      </w:pPr>
    </w:p>
    <w:p w14:paraId="6DFCB2F4" w14:textId="72FFFFF8" w:rsidR="00AA0C82" w:rsidRDefault="00183815" w:rsidP="00501DB9">
      <w:pPr>
        <w:rPr>
          <w:rFonts w:cs="Arial"/>
          <w:sz w:val="22"/>
          <w:szCs w:val="22"/>
        </w:rPr>
      </w:pPr>
      <w:r>
        <w:rPr>
          <w:rFonts w:cs="Arial"/>
          <w:sz w:val="22"/>
          <w:szCs w:val="22"/>
        </w:rPr>
        <w:t>No se acoge el comentario.</w:t>
      </w:r>
    </w:p>
    <w:p w14:paraId="620BBD8F" w14:textId="77740983" w:rsidR="00183815" w:rsidRDefault="00183815" w:rsidP="00501DB9">
      <w:pPr>
        <w:rPr>
          <w:rFonts w:cs="Arial"/>
          <w:sz w:val="22"/>
          <w:szCs w:val="22"/>
        </w:rPr>
      </w:pPr>
    </w:p>
    <w:p w14:paraId="399DDC61" w14:textId="50DFFA94" w:rsidR="00183815" w:rsidRDefault="00183815" w:rsidP="00501DB9">
      <w:pPr>
        <w:rPr>
          <w:rFonts w:cs="Arial"/>
          <w:sz w:val="22"/>
          <w:szCs w:val="22"/>
        </w:rPr>
      </w:pPr>
      <w:r>
        <w:rPr>
          <w:rFonts w:cs="Arial"/>
          <w:sz w:val="22"/>
          <w:szCs w:val="22"/>
        </w:rPr>
        <w:t xml:space="preserve">La separación de la Demanda Esencial es necesaria para dar cumplimiento a la política energética en cuanto a aspectos operativos y comerciales que requieren priorización en la atención de la Demanda Esencial. </w:t>
      </w:r>
      <w:r w:rsidR="000D5B42">
        <w:rPr>
          <w:rFonts w:cs="Arial"/>
          <w:sz w:val="22"/>
          <w:szCs w:val="22"/>
        </w:rPr>
        <w:t xml:space="preserve">Ver numeral </w:t>
      </w:r>
      <w:r w:rsidR="000D5B42">
        <w:rPr>
          <w:rFonts w:cs="Arial"/>
          <w:sz w:val="22"/>
          <w:szCs w:val="22"/>
        </w:rPr>
        <w:fldChar w:fldCharType="begin"/>
      </w:r>
      <w:r w:rsidR="000D5B42">
        <w:rPr>
          <w:rFonts w:cs="Arial"/>
          <w:sz w:val="22"/>
          <w:szCs w:val="22"/>
        </w:rPr>
        <w:instrText xml:space="preserve"> REF _Ref130286441 \r \h </w:instrText>
      </w:r>
      <w:r w:rsidR="000D5B42">
        <w:rPr>
          <w:rFonts w:cs="Arial"/>
          <w:sz w:val="22"/>
          <w:szCs w:val="22"/>
        </w:rPr>
      </w:r>
      <w:r w:rsidR="000D5B42">
        <w:rPr>
          <w:rFonts w:cs="Arial"/>
          <w:sz w:val="22"/>
          <w:szCs w:val="22"/>
        </w:rPr>
        <w:fldChar w:fldCharType="separate"/>
      </w:r>
      <w:r w:rsidR="007651EA">
        <w:rPr>
          <w:rFonts w:cs="Arial"/>
          <w:sz w:val="22"/>
          <w:szCs w:val="22"/>
        </w:rPr>
        <w:t>2.2.3</w:t>
      </w:r>
      <w:r w:rsidR="000D5B42">
        <w:rPr>
          <w:rFonts w:cs="Arial"/>
          <w:sz w:val="22"/>
          <w:szCs w:val="22"/>
        </w:rPr>
        <w:fldChar w:fldCharType="end"/>
      </w:r>
      <w:r w:rsidR="000D5B42">
        <w:rPr>
          <w:rFonts w:cs="Arial"/>
          <w:sz w:val="22"/>
          <w:szCs w:val="22"/>
        </w:rPr>
        <w:t>.</w:t>
      </w:r>
    </w:p>
    <w:p w14:paraId="36D6F834" w14:textId="6FFCA3A0" w:rsidR="000D5B42" w:rsidRDefault="000D5B42" w:rsidP="00501DB9">
      <w:pPr>
        <w:rPr>
          <w:rFonts w:cs="Arial"/>
          <w:sz w:val="22"/>
          <w:szCs w:val="22"/>
        </w:rPr>
      </w:pPr>
    </w:p>
    <w:p w14:paraId="4A1E2EEE" w14:textId="18F0A69A" w:rsidR="000D5B42" w:rsidRDefault="000D5B42" w:rsidP="00501DB9">
      <w:pPr>
        <w:rPr>
          <w:rFonts w:cs="Arial"/>
          <w:sz w:val="22"/>
          <w:szCs w:val="22"/>
        </w:rPr>
      </w:pPr>
      <w:r>
        <w:rPr>
          <w:rFonts w:cs="Arial"/>
          <w:sz w:val="22"/>
          <w:szCs w:val="22"/>
        </w:rPr>
        <w:t>Existe libertad por parte de los vendedores del Mercado Primario para establecer el precio de las fuentes de suministro</w:t>
      </w:r>
      <w:r w:rsidR="004E4C79">
        <w:rPr>
          <w:rFonts w:cs="Arial"/>
          <w:sz w:val="22"/>
          <w:szCs w:val="22"/>
        </w:rPr>
        <w:t xml:space="preserve"> </w:t>
      </w:r>
      <w:r w:rsidR="004E4C79" w:rsidRPr="004E4C79">
        <w:rPr>
          <w:rFonts w:cs="Arial"/>
          <w:sz w:val="22"/>
          <w:szCs w:val="22"/>
        </w:rPr>
        <w:t>del gas natural puesto en Punto de Entrada al Sistema Nacional de Transporte</w:t>
      </w:r>
      <w:r>
        <w:rPr>
          <w:rFonts w:cs="Arial"/>
          <w:sz w:val="22"/>
          <w:szCs w:val="22"/>
        </w:rPr>
        <w:t>, a partir de la Resolución CREG 088 de 2013. Lo anterior va en armonía</w:t>
      </w:r>
      <w:r w:rsidR="004E4C79">
        <w:rPr>
          <w:rFonts w:cs="Arial"/>
          <w:sz w:val="22"/>
          <w:szCs w:val="22"/>
        </w:rPr>
        <w:t>, entre otros aspectos,</w:t>
      </w:r>
      <w:r>
        <w:rPr>
          <w:rFonts w:cs="Arial"/>
          <w:sz w:val="22"/>
          <w:szCs w:val="22"/>
        </w:rPr>
        <w:t xml:space="preserve"> con los tipos y modalidades contractuales que establecen riesgos de ingreso diferentes al vendedor, </w:t>
      </w:r>
      <w:proofErr w:type="gramStart"/>
      <w:r>
        <w:rPr>
          <w:rFonts w:cs="Arial"/>
          <w:sz w:val="22"/>
          <w:szCs w:val="22"/>
        </w:rPr>
        <w:t>y</w:t>
      </w:r>
      <w:proofErr w:type="gramEnd"/>
      <w:r>
        <w:rPr>
          <w:rFonts w:cs="Arial"/>
          <w:sz w:val="22"/>
          <w:szCs w:val="22"/>
        </w:rPr>
        <w:t xml:space="preserve"> por tanto, precios diferentes. Imponer una modalidad contractual a los vendedores pierde eficacia ante esa libertad de precios.</w:t>
      </w:r>
    </w:p>
    <w:p w14:paraId="558EDD0A" w14:textId="64C2AA43" w:rsidR="000D5B42" w:rsidRDefault="000D5B42" w:rsidP="00501DB9">
      <w:pPr>
        <w:rPr>
          <w:rFonts w:cs="Arial"/>
          <w:sz w:val="22"/>
          <w:szCs w:val="22"/>
        </w:rPr>
      </w:pPr>
    </w:p>
    <w:p w14:paraId="1B0AC02E" w14:textId="0CB67114" w:rsidR="000D5B42" w:rsidRPr="00501DB9" w:rsidRDefault="000D5B42" w:rsidP="00501DB9">
      <w:pPr>
        <w:rPr>
          <w:rFonts w:cs="Arial"/>
          <w:sz w:val="22"/>
          <w:szCs w:val="22"/>
        </w:rPr>
      </w:pPr>
      <w:r>
        <w:rPr>
          <w:rFonts w:cs="Arial"/>
          <w:sz w:val="22"/>
          <w:szCs w:val="22"/>
        </w:rPr>
        <w:t xml:space="preserve">En todo caso, la propuesta de resolución incluye la posibilidad de que los agente propongan nuevas modalidades contractuales. Ver respuesta a </w:t>
      </w:r>
      <w:r>
        <w:rPr>
          <w:rFonts w:cs="Arial"/>
          <w:sz w:val="22"/>
          <w:szCs w:val="22"/>
        </w:rPr>
        <w:fldChar w:fldCharType="begin"/>
      </w:r>
      <w:r>
        <w:rPr>
          <w:rFonts w:cs="Arial"/>
          <w:sz w:val="22"/>
          <w:szCs w:val="22"/>
        </w:rPr>
        <w:instrText xml:space="preserve"> REF _Ref130637905 \r \h </w:instrText>
      </w:r>
      <w:r>
        <w:rPr>
          <w:rFonts w:cs="Arial"/>
          <w:sz w:val="22"/>
          <w:szCs w:val="22"/>
        </w:rPr>
      </w:r>
      <w:r>
        <w:rPr>
          <w:rFonts w:cs="Arial"/>
          <w:sz w:val="22"/>
          <w:szCs w:val="22"/>
        </w:rPr>
        <w:fldChar w:fldCharType="separate"/>
      </w:r>
      <w:r w:rsidR="007651EA">
        <w:rPr>
          <w:rFonts w:cs="Arial"/>
          <w:sz w:val="22"/>
          <w:szCs w:val="22"/>
        </w:rPr>
        <w:t>8.5.1.2</w:t>
      </w:r>
      <w:r>
        <w:rPr>
          <w:rFonts w:cs="Arial"/>
          <w:sz w:val="22"/>
          <w:szCs w:val="22"/>
        </w:rPr>
        <w:fldChar w:fldCharType="end"/>
      </w:r>
    </w:p>
    <w:p w14:paraId="3D6D82BC" w14:textId="2D3D2C6E" w:rsidR="00D26961" w:rsidRDefault="00D26961" w:rsidP="00371CB5">
      <w:pPr>
        <w:rPr>
          <w:rFonts w:cs="Arial"/>
          <w:b/>
          <w:bCs/>
          <w:sz w:val="22"/>
          <w:szCs w:val="22"/>
        </w:rPr>
      </w:pPr>
    </w:p>
    <w:p w14:paraId="1EDE5267" w14:textId="520BF61C" w:rsidR="00D26961" w:rsidRDefault="00D26961" w:rsidP="00371CB5">
      <w:pPr>
        <w:rPr>
          <w:rFonts w:cs="Arial"/>
          <w:b/>
          <w:bCs/>
          <w:sz w:val="22"/>
          <w:szCs w:val="22"/>
        </w:rPr>
      </w:pPr>
    </w:p>
    <w:p w14:paraId="42C67E3A" w14:textId="009DBA9A" w:rsidR="00D26961" w:rsidRDefault="00D26961" w:rsidP="00D26961">
      <w:pPr>
        <w:pStyle w:val="Ttulo1"/>
        <w:numPr>
          <w:ilvl w:val="0"/>
          <w:numId w:val="1"/>
        </w:numPr>
        <w:rPr>
          <w:caps/>
        </w:rPr>
      </w:pPr>
      <w:bookmarkStart w:id="631" w:name="_Toc140506328"/>
      <w:r>
        <w:t xml:space="preserve">ARTÍCULO </w:t>
      </w:r>
      <w:r w:rsidR="00EF1C07">
        <w:t>9</w:t>
      </w:r>
      <w:r>
        <w:t xml:space="preserve">. </w:t>
      </w:r>
      <w:r w:rsidR="0070732E" w:rsidRPr="0070732E">
        <w:rPr>
          <w:caps/>
        </w:rPr>
        <w:t>Requisitos Mínimos de los Contratos de Suministro</w:t>
      </w:r>
      <w:bookmarkEnd w:id="631"/>
    </w:p>
    <w:p w14:paraId="70F7A51C" w14:textId="77777777" w:rsidR="00BC5381" w:rsidRDefault="00BC5381" w:rsidP="00BC5381">
      <w:pPr>
        <w:pStyle w:val="Ttulo2"/>
      </w:pPr>
      <w:bookmarkStart w:id="632" w:name="_Toc140506329"/>
      <w:r w:rsidRPr="00BC5381">
        <w:t>ENERGY FOR THE CARIBBEAN</w:t>
      </w:r>
      <w:bookmarkEnd w:id="632"/>
      <w:r w:rsidRPr="00BC5381">
        <w:tab/>
      </w:r>
    </w:p>
    <w:p w14:paraId="038A6D8B" w14:textId="77777777" w:rsidR="00BC5381" w:rsidRDefault="00BC5381" w:rsidP="00BC5381">
      <w:pPr>
        <w:pStyle w:val="Ttulo4"/>
      </w:pPr>
      <w:r w:rsidRPr="00BC5381">
        <w:t>ENERGY FOR THE CARIBBEAN</w:t>
      </w:r>
      <w:r w:rsidRPr="00BC5381">
        <w:tab/>
      </w:r>
    </w:p>
    <w:p w14:paraId="1EA1A6C8" w14:textId="5B0BDBAF" w:rsidR="00BC5381" w:rsidRPr="00E30AA4" w:rsidRDefault="00BC5381" w:rsidP="00BC5381">
      <w:pPr>
        <w:rPr>
          <w:rFonts w:cs="Arial"/>
          <w:i/>
          <w:iCs/>
          <w:sz w:val="22"/>
          <w:szCs w:val="22"/>
        </w:rPr>
      </w:pPr>
      <w:r w:rsidRPr="00BC5381">
        <w:rPr>
          <w:rFonts w:cs="Arial"/>
          <w:sz w:val="22"/>
          <w:szCs w:val="22"/>
        </w:rPr>
        <w:t>"</w:t>
      </w:r>
      <w:r w:rsidRPr="00E30AA4">
        <w:rPr>
          <w:rFonts w:cs="Arial"/>
          <w:i/>
          <w:iCs/>
          <w:sz w:val="22"/>
          <w:szCs w:val="22"/>
        </w:rPr>
        <w:t>Se sugiere incluir los contratos contenidos en el Parágrafo del Artículo 20, por cuanto también</w:t>
      </w:r>
    </w:p>
    <w:p w14:paraId="1ECB11BA" w14:textId="2C387F3A" w:rsidR="00D26961" w:rsidRPr="00E30AA4" w:rsidRDefault="00BC5381" w:rsidP="00BC5381">
      <w:pPr>
        <w:rPr>
          <w:rFonts w:cs="Arial"/>
          <w:i/>
          <w:iCs/>
          <w:sz w:val="22"/>
          <w:szCs w:val="22"/>
        </w:rPr>
      </w:pPr>
      <w:r w:rsidRPr="00E30AA4">
        <w:rPr>
          <w:rFonts w:cs="Arial"/>
          <w:i/>
          <w:iCs/>
          <w:sz w:val="22"/>
          <w:szCs w:val="22"/>
        </w:rPr>
        <w:t>constituyen una excepción a los requisitos mínimos del contrato y se otorgó la posibilidad de que los mismos sean negociados y pactados de forma directa. Esto con la finalidad de cumplir con los objetivos que el Borrador CREG 226 de 2021 tiene para su emisión."</w:t>
      </w:r>
    </w:p>
    <w:p w14:paraId="0E759F01" w14:textId="51618F0D" w:rsidR="00E30AA4" w:rsidRDefault="00E30AA4" w:rsidP="00BC5381">
      <w:pPr>
        <w:rPr>
          <w:rFonts w:cs="Arial"/>
          <w:sz w:val="22"/>
          <w:szCs w:val="22"/>
        </w:rPr>
      </w:pPr>
    </w:p>
    <w:p w14:paraId="26B9CD93" w14:textId="35CD45BC" w:rsidR="00E30AA4" w:rsidRPr="00E30AA4" w:rsidRDefault="00E30AA4" w:rsidP="00BC5381">
      <w:pPr>
        <w:rPr>
          <w:rFonts w:cs="Arial"/>
          <w:b/>
          <w:bCs/>
          <w:sz w:val="22"/>
          <w:szCs w:val="22"/>
        </w:rPr>
      </w:pPr>
      <w:r w:rsidRPr="00E30AA4">
        <w:rPr>
          <w:rFonts w:cs="Arial"/>
          <w:b/>
          <w:bCs/>
          <w:sz w:val="22"/>
          <w:szCs w:val="22"/>
        </w:rPr>
        <w:t>Respuesta:</w:t>
      </w:r>
    </w:p>
    <w:p w14:paraId="1EF904A2" w14:textId="52336B54" w:rsidR="00E30AA4" w:rsidRDefault="00E30AA4" w:rsidP="00BC5381">
      <w:pPr>
        <w:rPr>
          <w:rFonts w:cs="Arial"/>
          <w:sz w:val="22"/>
          <w:szCs w:val="22"/>
        </w:rPr>
      </w:pPr>
    </w:p>
    <w:p w14:paraId="5425BC5B" w14:textId="3EAA1C91" w:rsidR="005D1E12" w:rsidRDefault="00E30AA4" w:rsidP="00371CB5">
      <w:pPr>
        <w:rPr>
          <w:rFonts w:cs="Arial"/>
          <w:b/>
          <w:bCs/>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_Ref130722402 \r \h </w:instrText>
      </w:r>
      <w:r>
        <w:rPr>
          <w:rFonts w:cs="Arial"/>
          <w:sz w:val="22"/>
          <w:szCs w:val="22"/>
        </w:rPr>
      </w:r>
      <w:r>
        <w:rPr>
          <w:rFonts w:cs="Arial"/>
          <w:sz w:val="22"/>
          <w:szCs w:val="22"/>
        </w:rPr>
        <w:fldChar w:fldCharType="separate"/>
      </w:r>
      <w:r w:rsidR="007651EA">
        <w:rPr>
          <w:rFonts w:cs="Arial"/>
          <w:sz w:val="22"/>
          <w:szCs w:val="22"/>
        </w:rPr>
        <w:t>8.10.1.1</w:t>
      </w:r>
      <w:r>
        <w:rPr>
          <w:rFonts w:cs="Arial"/>
          <w:sz w:val="22"/>
          <w:szCs w:val="22"/>
        </w:rPr>
        <w:fldChar w:fldCharType="end"/>
      </w:r>
      <w:r>
        <w:rPr>
          <w:rFonts w:cs="Arial"/>
          <w:sz w:val="22"/>
          <w:szCs w:val="22"/>
        </w:rPr>
        <w:t>.</w:t>
      </w:r>
    </w:p>
    <w:p w14:paraId="1782A49D" w14:textId="77777777" w:rsidR="005D1E12" w:rsidRDefault="005D1E12" w:rsidP="00371CB5">
      <w:pPr>
        <w:rPr>
          <w:rFonts w:cs="Arial"/>
          <w:b/>
          <w:bCs/>
          <w:sz w:val="22"/>
          <w:szCs w:val="22"/>
        </w:rPr>
      </w:pPr>
    </w:p>
    <w:p w14:paraId="4778B413" w14:textId="7CA10BF3" w:rsidR="00D26961" w:rsidRDefault="00D26961" w:rsidP="00371CB5">
      <w:pPr>
        <w:rPr>
          <w:rFonts w:cs="Arial"/>
          <w:b/>
          <w:bCs/>
          <w:sz w:val="22"/>
          <w:szCs w:val="22"/>
        </w:rPr>
      </w:pPr>
    </w:p>
    <w:p w14:paraId="44401DF3" w14:textId="3CC53BF0" w:rsidR="00D26961" w:rsidRDefault="00D26961" w:rsidP="00D26961">
      <w:pPr>
        <w:pStyle w:val="Ttulo1"/>
        <w:numPr>
          <w:ilvl w:val="0"/>
          <w:numId w:val="1"/>
        </w:numPr>
        <w:rPr>
          <w:caps/>
        </w:rPr>
      </w:pPr>
      <w:bookmarkStart w:id="633" w:name="_Toc140506330"/>
      <w:r>
        <w:t xml:space="preserve">ARTÍCULO </w:t>
      </w:r>
      <w:r w:rsidR="00EF1C07">
        <w:t>10</w:t>
      </w:r>
      <w:r>
        <w:t xml:space="preserve">. </w:t>
      </w:r>
      <w:r w:rsidR="0070732E" w:rsidRPr="0070732E">
        <w:rPr>
          <w:caps/>
        </w:rPr>
        <w:t>Eventos de fuerza mayor, caso fortuito o causa extraña</w:t>
      </w:r>
      <w:bookmarkEnd w:id="633"/>
    </w:p>
    <w:p w14:paraId="449E299A" w14:textId="77777777" w:rsidR="00691EFC" w:rsidRDefault="00691EFC" w:rsidP="00691EFC">
      <w:pPr>
        <w:pStyle w:val="Ttulo2"/>
      </w:pPr>
      <w:bookmarkStart w:id="634" w:name="_Toc140506331"/>
      <w:r w:rsidRPr="00691EFC">
        <w:t>MC2 S.A. E.S.P.</w:t>
      </w:r>
      <w:bookmarkEnd w:id="634"/>
      <w:r w:rsidRPr="00691EFC">
        <w:tab/>
      </w:r>
    </w:p>
    <w:p w14:paraId="4C559728" w14:textId="77777777" w:rsidR="00691EFC" w:rsidRDefault="00691EFC" w:rsidP="00691EFC">
      <w:pPr>
        <w:pStyle w:val="Ttulo4"/>
      </w:pPr>
      <w:bookmarkStart w:id="635" w:name="_Ref130722403"/>
      <w:r w:rsidRPr="00691EFC">
        <w:t>MC2 S.A. E.S.P.</w:t>
      </w:r>
      <w:bookmarkEnd w:id="635"/>
      <w:r w:rsidRPr="00691EFC">
        <w:tab/>
      </w:r>
    </w:p>
    <w:p w14:paraId="6FEFE16B" w14:textId="2BD70D08" w:rsidR="00691EFC" w:rsidRDefault="0086681B" w:rsidP="00691EFC">
      <w:pPr>
        <w:rPr>
          <w:rFonts w:cs="Arial"/>
          <w:sz w:val="22"/>
          <w:szCs w:val="22"/>
        </w:rPr>
      </w:pPr>
      <w:r>
        <w:rPr>
          <w:rFonts w:cs="Arial"/>
          <w:i/>
          <w:iCs/>
          <w:sz w:val="22"/>
          <w:szCs w:val="22"/>
        </w:rPr>
        <w:t>“</w:t>
      </w:r>
      <w:r w:rsidR="00691EFC" w:rsidRPr="00E30AA4">
        <w:rPr>
          <w:rFonts w:cs="Arial"/>
          <w:i/>
          <w:iCs/>
          <w:sz w:val="22"/>
          <w:szCs w:val="22"/>
        </w:rPr>
        <w:t>Hay un error de redacción al hacer referencia al Artículo 88</w:t>
      </w:r>
      <w:r w:rsidR="00691EFC" w:rsidRPr="00691EFC">
        <w:rPr>
          <w:rFonts w:cs="Arial"/>
          <w:sz w:val="22"/>
          <w:szCs w:val="22"/>
        </w:rPr>
        <w:t>.</w:t>
      </w:r>
      <w:r>
        <w:rPr>
          <w:rFonts w:cs="Arial"/>
          <w:sz w:val="22"/>
          <w:szCs w:val="22"/>
        </w:rPr>
        <w:t>”</w:t>
      </w:r>
    </w:p>
    <w:p w14:paraId="0CB35E35" w14:textId="5831D73E" w:rsidR="00E30AA4" w:rsidRPr="00E30AA4" w:rsidRDefault="00E30AA4" w:rsidP="00691EFC">
      <w:pPr>
        <w:rPr>
          <w:rFonts w:cs="Arial"/>
          <w:b/>
          <w:bCs/>
          <w:sz w:val="22"/>
          <w:szCs w:val="22"/>
        </w:rPr>
      </w:pPr>
    </w:p>
    <w:p w14:paraId="0B1B4403" w14:textId="0AE2085A" w:rsidR="00E30AA4" w:rsidRPr="00E30AA4" w:rsidRDefault="00E30AA4" w:rsidP="00691EFC">
      <w:pPr>
        <w:rPr>
          <w:rFonts w:cs="Arial"/>
          <w:b/>
          <w:bCs/>
          <w:sz w:val="22"/>
          <w:szCs w:val="22"/>
        </w:rPr>
      </w:pPr>
      <w:r w:rsidRPr="00E30AA4">
        <w:rPr>
          <w:rFonts w:cs="Arial"/>
          <w:b/>
          <w:bCs/>
          <w:sz w:val="22"/>
          <w:szCs w:val="22"/>
        </w:rPr>
        <w:t>Respuesta:</w:t>
      </w:r>
    </w:p>
    <w:p w14:paraId="1C6729C8" w14:textId="3CBAA344" w:rsidR="00E30AA4" w:rsidRDefault="00E30AA4" w:rsidP="00691EFC">
      <w:pPr>
        <w:rPr>
          <w:rFonts w:cs="Arial"/>
          <w:sz w:val="22"/>
          <w:szCs w:val="22"/>
        </w:rPr>
      </w:pPr>
    </w:p>
    <w:p w14:paraId="5F1637BA" w14:textId="499C1844" w:rsidR="00E30AA4" w:rsidRDefault="00E30AA4" w:rsidP="00691EFC">
      <w:pPr>
        <w:rPr>
          <w:rFonts w:cs="Arial"/>
          <w:sz w:val="22"/>
          <w:szCs w:val="22"/>
        </w:rPr>
      </w:pPr>
      <w:r>
        <w:rPr>
          <w:rFonts w:cs="Arial"/>
          <w:sz w:val="22"/>
          <w:szCs w:val="22"/>
        </w:rPr>
        <w:t>Se acoge el comentario.</w:t>
      </w:r>
    </w:p>
    <w:p w14:paraId="04D8DD8F" w14:textId="0EB87152" w:rsidR="00E30AA4" w:rsidRDefault="00E30AA4" w:rsidP="00691EFC">
      <w:pPr>
        <w:rPr>
          <w:rFonts w:cs="Arial"/>
          <w:sz w:val="22"/>
          <w:szCs w:val="22"/>
        </w:rPr>
      </w:pPr>
    </w:p>
    <w:p w14:paraId="54E01D5F" w14:textId="6286CCEF" w:rsidR="00E30AA4" w:rsidRPr="00691EFC" w:rsidRDefault="00E30AA4" w:rsidP="00691EFC">
      <w:pPr>
        <w:rPr>
          <w:rFonts w:cs="Arial"/>
          <w:sz w:val="22"/>
          <w:szCs w:val="22"/>
        </w:rPr>
      </w:pPr>
      <w:r>
        <w:rPr>
          <w:rFonts w:cs="Arial"/>
          <w:sz w:val="22"/>
          <w:szCs w:val="22"/>
        </w:rPr>
        <w:t>En la nueva propuesta se corrige el error de referencia.</w:t>
      </w:r>
    </w:p>
    <w:p w14:paraId="060D4F63" w14:textId="77777777" w:rsidR="00691EFC" w:rsidRDefault="00691EFC" w:rsidP="00691EFC">
      <w:pPr>
        <w:rPr>
          <w:rFonts w:cs="Arial"/>
          <w:sz w:val="22"/>
          <w:szCs w:val="22"/>
        </w:rPr>
      </w:pPr>
    </w:p>
    <w:p w14:paraId="103D5815" w14:textId="77777777" w:rsidR="00691EFC" w:rsidRDefault="00691EFC" w:rsidP="00691EFC">
      <w:pPr>
        <w:rPr>
          <w:rFonts w:cs="Arial"/>
          <w:sz w:val="22"/>
          <w:szCs w:val="22"/>
        </w:rPr>
      </w:pPr>
    </w:p>
    <w:p w14:paraId="7A5BFF4C" w14:textId="77777777" w:rsidR="00691EFC" w:rsidRDefault="00691EFC" w:rsidP="00691EFC">
      <w:pPr>
        <w:pStyle w:val="Ttulo2"/>
      </w:pPr>
      <w:bookmarkStart w:id="636" w:name="_Toc140506332"/>
      <w:r w:rsidRPr="00691EFC">
        <w:t>OILGAS ENERGY</w:t>
      </w:r>
      <w:bookmarkEnd w:id="636"/>
      <w:r w:rsidRPr="00691EFC">
        <w:tab/>
      </w:r>
    </w:p>
    <w:p w14:paraId="5F34AB50" w14:textId="77777777" w:rsidR="00691EFC" w:rsidRDefault="00691EFC" w:rsidP="00691EFC">
      <w:pPr>
        <w:pStyle w:val="Ttulo4"/>
      </w:pPr>
      <w:r w:rsidRPr="00691EFC">
        <w:t>OILGAS ENERGY</w:t>
      </w:r>
      <w:r w:rsidRPr="00691EFC">
        <w:tab/>
      </w:r>
    </w:p>
    <w:p w14:paraId="60A7A6AD" w14:textId="0F0BBE46" w:rsidR="00691EFC" w:rsidRPr="00E30AA4" w:rsidRDefault="0086681B" w:rsidP="00691EFC">
      <w:pPr>
        <w:rPr>
          <w:rFonts w:cs="Arial"/>
          <w:i/>
          <w:iCs/>
          <w:sz w:val="22"/>
          <w:szCs w:val="22"/>
        </w:rPr>
      </w:pPr>
      <w:r>
        <w:rPr>
          <w:rFonts w:cs="Arial"/>
          <w:i/>
          <w:iCs/>
          <w:sz w:val="22"/>
          <w:szCs w:val="22"/>
        </w:rPr>
        <w:t>“</w:t>
      </w:r>
      <w:r w:rsidR="00691EFC" w:rsidRPr="00E30AA4">
        <w:rPr>
          <w:rFonts w:cs="Arial"/>
          <w:i/>
          <w:iCs/>
          <w:sz w:val="22"/>
          <w:szCs w:val="22"/>
        </w:rPr>
        <w:t>Para conservar una coherencia entre el numeral 3 del artículo 10 y el Parágrafo 1 del mismo artículo, se sugiere que la obligación de los compradores de pagar el servicio de suministro del gas contratado se suspenderá a partir de que se haya hecho la notificación y durante la ocurrencia de los eventos eximentes de responsabilidad, como lo son la fuerza mayor, el caso fortuito y la causa extraña.</w:t>
      </w:r>
      <w:r>
        <w:rPr>
          <w:rFonts w:cs="Arial"/>
          <w:i/>
          <w:iCs/>
          <w:sz w:val="22"/>
          <w:szCs w:val="22"/>
        </w:rPr>
        <w:t>”</w:t>
      </w:r>
    </w:p>
    <w:p w14:paraId="4F62BEBF" w14:textId="1A3C77CF" w:rsidR="00E30AA4" w:rsidRDefault="00E30AA4" w:rsidP="00691EFC">
      <w:pPr>
        <w:rPr>
          <w:rFonts w:cs="Arial"/>
          <w:sz w:val="22"/>
          <w:szCs w:val="22"/>
        </w:rPr>
      </w:pPr>
    </w:p>
    <w:p w14:paraId="1CCD128C" w14:textId="2FB0FD76" w:rsidR="00E30AA4" w:rsidRPr="00E30AA4" w:rsidRDefault="00E30AA4" w:rsidP="00691EFC">
      <w:pPr>
        <w:rPr>
          <w:rFonts w:cs="Arial"/>
          <w:b/>
          <w:bCs/>
          <w:sz w:val="22"/>
          <w:szCs w:val="22"/>
        </w:rPr>
      </w:pPr>
      <w:r w:rsidRPr="00E30AA4">
        <w:rPr>
          <w:rFonts w:cs="Arial"/>
          <w:b/>
          <w:bCs/>
          <w:sz w:val="22"/>
          <w:szCs w:val="22"/>
        </w:rPr>
        <w:t>Respuesta:</w:t>
      </w:r>
    </w:p>
    <w:p w14:paraId="33F86798" w14:textId="5BAAEFE2" w:rsidR="00E30AA4" w:rsidRDefault="00E30AA4" w:rsidP="00691EFC">
      <w:pPr>
        <w:rPr>
          <w:rFonts w:cs="Arial"/>
          <w:sz w:val="22"/>
          <w:szCs w:val="22"/>
        </w:rPr>
      </w:pPr>
    </w:p>
    <w:p w14:paraId="47C19DBF" w14:textId="49C4C7FB" w:rsidR="00E30AA4" w:rsidRDefault="00E30AA4" w:rsidP="00691EFC">
      <w:pPr>
        <w:rPr>
          <w:rFonts w:cs="Arial"/>
          <w:sz w:val="22"/>
          <w:szCs w:val="22"/>
        </w:rPr>
      </w:pPr>
      <w:r>
        <w:rPr>
          <w:rFonts w:cs="Arial"/>
          <w:sz w:val="22"/>
          <w:szCs w:val="22"/>
        </w:rPr>
        <w:t>No se acoge el comentario.</w:t>
      </w:r>
    </w:p>
    <w:p w14:paraId="1D38C0D4" w14:textId="254A33EC" w:rsidR="00E30AA4" w:rsidRDefault="00E30AA4" w:rsidP="00691EFC">
      <w:pPr>
        <w:rPr>
          <w:rFonts w:cs="Arial"/>
          <w:sz w:val="22"/>
          <w:szCs w:val="22"/>
        </w:rPr>
      </w:pPr>
    </w:p>
    <w:p w14:paraId="2AB6B356" w14:textId="3DE81336" w:rsidR="00E30AA4" w:rsidRPr="00691EFC" w:rsidRDefault="00E30AA4" w:rsidP="00691EFC">
      <w:pPr>
        <w:rPr>
          <w:rFonts w:cs="Arial"/>
          <w:sz w:val="22"/>
          <w:szCs w:val="22"/>
        </w:rPr>
      </w:pPr>
      <w:r>
        <w:rPr>
          <w:rFonts w:cs="Arial"/>
          <w:sz w:val="22"/>
          <w:szCs w:val="22"/>
        </w:rPr>
        <w:t>La obligación de entregar o recibir el gas natural se suspende a partir de que, por efecto del acaecimiento u ocurrencia del evento eximente</w:t>
      </w:r>
      <w:r w:rsidR="001D1C92">
        <w:rPr>
          <w:rFonts w:cs="Arial"/>
          <w:sz w:val="22"/>
          <w:szCs w:val="22"/>
        </w:rPr>
        <w:t xml:space="preserve"> (la parte afectada por el evento), no se puede entregar o recibir el gas, lo que no necesariamente coincide con la notificación de la ocurrencia del evento a la contraparte.</w:t>
      </w:r>
    </w:p>
    <w:p w14:paraId="51D8F87B" w14:textId="77777777" w:rsidR="00691EFC" w:rsidRDefault="00691EFC" w:rsidP="00691EFC">
      <w:pPr>
        <w:rPr>
          <w:rFonts w:cs="Arial"/>
          <w:sz w:val="22"/>
          <w:szCs w:val="22"/>
        </w:rPr>
      </w:pPr>
    </w:p>
    <w:p w14:paraId="16FF4B11" w14:textId="77777777" w:rsidR="00691EFC" w:rsidRDefault="00691EFC" w:rsidP="00691EFC">
      <w:pPr>
        <w:rPr>
          <w:rFonts w:cs="Arial"/>
          <w:sz w:val="22"/>
          <w:szCs w:val="22"/>
        </w:rPr>
      </w:pPr>
    </w:p>
    <w:p w14:paraId="32B4E901" w14:textId="77777777" w:rsidR="00691EFC" w:rsidRDefault="00691EFC" w:rsidP="00691EFC">
      <w:pPr>
        <w:pStyle w:val="Ttulo2"/>
      </w:pPr>
      <w:bookmarkStart w:id="637" w:name="_Toc140506333"/>
      <w:r w:rsidRPr="00691EFC">
        <w:t>SSPD</w:t>
      </w:r>
      <w:bookmarkEnd w:id="637"/>
      <w:r w:rsidRPr="00691EFC">
        <w:tab/>
      </w:r>
    </w:p>
    <w:p w14:paraId="19CDE952" w14:textId="77777777" w:rsidR="00691EFC" w:rsidRDefault="00691EFC" w:rsidP="00691EFC">
      <w:pPr>
        <w:pStyle w:val="Ttulo4"/>
      </w:pPr>
      <w:r w:rsidRPr="00691EFC">
        <w:t>SSPD</w:t>
      </w:r>
      <w:r w:rsidRPr="00691EFC">
        <w:tab/>
      </w:r>
    </w:p>
    <w:p w14:paraId="1AB22EC4" w14:textId="5333A78D" w:rsidR="00691EFC" w:rsidRDefault="00680029" w:rsidP="00691EFC">
      <w:pPr>
        <w:rPr>
          <w:rFonts w:cs="Arial"/>
          <w:sz w:val="22"/>
          <w:szCs w:val="22"/>
        </w:rPr>
      </w:pPr>
      <w:r>
        <w:rPr>
          <w:rFonts w:cs="Arial"/>
          <w:i/>
          <w:iCs/>
          <w:sz w:val="22"/>
          <w:szCs w:val="22"/>
        </w:rPr>
        <w:t>“</w:t>
      </w:r>
      <w:r w:rsidR="00691EFC" w:rsidRPr="001D1C92">
        <w:rPr>
          <w:rFonts w:cs="Arial"/>
          <w:i/>
          <w:iCs/>
          <w:sz w:val="22"/>
          <w:szCs w:val="22"/>
        </w:rPr>
        <w:t xml:space="preserve">Se hace referencia erróneamente al Artículo 88. </w:t>
      </w:r>
      <w:proofErr w:type="gramStart"/>
      <w:r w:rsidR="00691EFC" w:rsidRPr="001D1C92">
        <w:rPr>
          <w:rFonts w:cs="Arial"/>
          <w:i/>
          <w:iCs/>
          <w:sz w:val="22"/>
          <w:szCs w:val="22"/>
        </w:rPr>
        <w:t>De acuerdo al</w:t>
      </w:r>
      <w:proofErr w:type="gramEnd"/>
      <w:r w:rsidR="00691EFC" w:rsidRPr="001D1C92">
        <w:rPr>
          <w:rFonts w:cs="Arial"/>
          <w:i/>
          <w:iCs/>
          <w:sz w:val="22"/>
          <w:szCs w:val="22"/>
        </w:rPr>
        <w:t xml:space="preserve"> entendimiento de la resolución se debe hacer referencia al Artículo 8 (Modalidades de contratos de suministro permitidos</w:t>
      </w:r>
      <w:r w:rsidR="00691EFC" w:rsidRPr="00691EFC">
        <w:rPr>
          <w:rFonts w:cs="Arial"/>
          <w:sz w:val="22"/>
          <w:szCs w:val="22"/>
        </w:rPr>
        <w:t>).</w:t>
      </w:r>
      <w:r>
        <w:rPr>
          <w:rFonts w:cs="Arial"/>
          <w:sz w:val="22"/>
          <w:szCs w:val="22"/>
        </w:rPr>
        <w:t>”</w:t>
      </w:r>
    </w:p>
    <w:p w14:paraId="2A989F5E" w14:textId="3C26B0E4" w:rsidR="001D1C92" w:rsidRDefault="001D1C92" w:rsidP="00691EFC">
      <w:pPr>
        <w:rPr>
          <w:rFonts w:cs="Arial"/>
          <w:sz w:val="22"/>
          <w:szCs w:val="22"/>
        </w:rPr>
      </w:pPr>
    </w:p>
    <w:p w14:paraId="335CE934" w14:textId="0BA89A6F" w:rsidR="001D1C92" w:rsidRPr="001D1C92" w:rsidRDefault="001D1C92" w:rsidP="00691EFC">
      <w:pPr>
        <w:rPr>
          <w:rFonts w:cs="Arial"/>
          <w:b/>
          <w:bCs/>
          <w:sz w:val="22"/>
          <w:szCs w:val="22"/>
        </w:rPr>
      </w:pPr>
      <w:r w:rsidRPr="001D1C92">
        <w:rPr>
          <w:rFonts w:cs="Arial"/>
          <w:b/>
          <w:bCs/>
          <w:sz w:val="22"/>
          <w:szCs w:val="22"/>
        </w:rPr>
        <w:t>Respuesta:</w:t>
      </w:r>
    </w:p>
    <w:p w14:paraId="5E3949E5" w14:textId="6EA34B2B" w:rsidR="001D1C92" w:rsidRDefault="001D1C92" w:rsidP="00691EFC">
      <w:pPr>
        <w:rPr>
          <w:rFonts w:cs="Arial"/>
          <w:sz w:val="22"/>
          <w:szCs w:val="22"/>
        </w:rPr>
      </w:pPr>
    </w:p>
    <w:p w14:paraId="3D76DAC5" w14:textId="48DB62FE" w:rsidR="001D1C92" w:rsidRPr="00691EFC" w:rsidRDefault="001D1C92" w:rsidP="00691EF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_Ref130722403 \r \h </w:instrText>
      </w:r>
      <w:r>
        <w:rPr>
          <w:rFonts w:cs="Arial"/>
          <w:sz w:val="22"/>
          <w:szCs w:val="22"/>
        </w:rPr>
      </w:r>
      <w:r>
        <w:rPr>
          <w:rFonts w:cs="Arial"/>
          <w:sz w:val="22"/>
          <w:szCs w:val="22"/>
        </w:rPr>
        <w:fldChar w:fldCharType="separate"/>
      </w:r>
      <w:r w:rsidR="007651EA">
        <w:rPr>
          <w:rFonts w:cs="Arial"/>
          <w:sz w:val="22"/>
          <w:szCs w:val="22"/>
        </w:rPr>
        <w:t>10.1.1.1</w:t>
      </w:r>
      <w:r>
        <w:rPr>
          <w:rFonts w:cs="Arial"/>
          <w:sz w:val="22"/>
          <w:szCs w:val="22"/>
        </w:rPr>
        <w:fldChar w:fldCharType="end"/>
      </w:r>
      <w:r>
        <w:rPr>
          <w:rFonts w:cs="Arial"/>
          <w:sz w:val="22"/>
          <w:szCs w:val="22"/>
        </w:rPr>
        <w:t>.</w:t>
      </w:r>
    </w:p>
    <w:p w14:paraId="0FA1DE52" w14:textId="77777777" w:rsidR="00691EFC" w:rsidRDefault="00691EFC" w:rsidP="00691EFC">
      <w:pPr>
        <w:rPr>
          <w:rFonts w:cs="Arial"/>
          <w:sz w:val="22"/>
          <w:szCs w:val="22"/>
        </w:rPr>
      </w:pPr>
    </w:p>
    <w:p w14:paraId="1481F92D" w14:textId="77777777" w:rsidR="00691EFC" w:rsidRDefault="00691EFC" w:rsidP="00691EFC">
      <w:pPr>
        <w:pStyle w:val="Ttulo4"/>
      </w:pPr>
      <w:r w:rsidRPr="00691EFC">
        <w:t>SSPD</w:t>
      </w:r>
      <w:r w:rsidRPr="00691EFC">
        <w:tab/>
      </w:r>
    </w:p>
    <w:p w14:paraId="49545B51" w14:textId="5E6C7D08" w:rsidR="00D26961" w:rsidRPr="001D1C92" w:rsidRDefault="00680029" w:rsidP="00691EFC">
      <w:pPr>
        <w:rPr>
          <w:rFonts w:cs="Arial"/>
          <w:i/>
          <w:iCs/>
          <w:sz w:val="22"/>
          <w:szCs w:val="22"/>
        </w:rPr>
      </w:pPr>
      <w:r>
        <w:rPr>
          <w:rFonts w:cs="Arial"/>
          <w:i/>
          <w:iCs/>
          <w:sz w:val="22"/>
          <w:szCs w:val="22"/>
        </w:rPr>
        <w:t>“</w:t>
      </w:r>
      <w:r w:rsidR="00691EFC" w:rsidRPr="001D1C92">
        <w:rPr>
          <w:rFonts w:cs="Arial"/>
          <w:i/>
          <w:iCs/>
          <w:sz w:val="22"/>
          <w:szCs w:val="22"/>
        </w:rPr>
        <w:t xml:space="preserve">Se hace referencia erróneamente al numeral 4, dado que este trata el tema del rechazo de la existencia de un evento de fuerza mayor. </w:t>
      </w:r>
      <w:proofErr w:type="gramStart"/>
      <w:r w:rsidR="00691EFC" w:rsidRPr="001D1C92">
        <w:rPr>
          <w:rFonts w:cs="Arial"/>
          <w:i/>
          <w:iCs/>
          <w:sz w:val="22"/>
          <w:szCs w:val="22"/>
        </w:rPr>
        <w:t>De acuerdo al</w:t>
      </w:r>
      <w:proofErr w:type="gramEnd"/>
      <w:r w:rsidR="00691EFC" w:rsidRPr="001D1C92">
        <w:rPr>
          <w:rFonts w:cs="Arial"/>
          <w:i/>
          <w:iCs/>
          <w:sz w:val="22"/>
          <w:szCs w:val="22"/>
        </w:rPr>
        <w:t xml:space="preserve"> entendimiento de la resolución se debe hacer referencia al numeral 5, el cual expone cuando se dará reinicio de las obligaciones luego de la suspensión del servicio.</w:t>
      </w:r>
      <w:r>
        <w:rPr>
          <w:rFonts w:cs="Arial"/>
          <w:i/>
          <w:iCs/>
          <w:sz w:val="22"/>
          <w:szCs w:val="22"/>
        </w:rPr>
        <w:t>”</w:t>
      </w:r>
    </w:p>
    <w:p w14:paraId="1DC55810" w14:textId="36D022F9" w:rsidR="001D1C92" w:rsidRDefault="001D1C92" w:rsidP="00691EFC">
      <w:pPr>
        <w:rPr>
          <w:rFonts w:cs="Arial"/>
          <w:sz w:val="22"/>
          <w:szCs w:val="22"/>
        </w:rPr>
      </w:pPr>
    </w:p>
    <w:p w14:paraId="69DA7708" w14:textId="6EAE8C39" w:rsidR="001D1C92" w:rsidRPr="001D1C92" w:rsidRDefault="001D1C92" w:rsidP="00691EFC">
      <w:pPr>
        <w:rPr>
          <w:rFonts w:cs="Arial"/>
          <w:b/>
          <w:bCs/>
          <w:sz w:val="22"/>
          <w:szCs w:val="22"/>
        </w:rPr>
      </w:pPr>
      <w:r w:rsidRPr="001D1C92">
        <w:rPr>
          <w:rFonts w:cs="Arial"/>
          <w:b/>
          <w:bCs/>
          <w:sz w:val="22"/>
          <w:szCs w:val="22"/>
        </w:rPr>
        <w:t>Respuesta:</w:t>
      </w:r>
    </w:p>
    <w:p w14:paraId="39465C0C" w14:textId="5B45FD38" w:rsidR="001D1C92" w:rsidRDefault="001D1C92" w:rsidP="00691EFC">
      <w:pPr>
        <w:rPr>
          <w:rFonts w:cs="Arial"/>
          <w:sz w:val="22"/>
          <w:szCs w:val="22"/>
        </w:rPr>
      </w:pPr>
    </w:p>
    <w:p w14:paraId="2710246A" w14:textId="44AD64A3" w:rsidR="001D1C92" w:rsidRDefault="001D1C92" w:rsidP="00691EFC">
      <w:pPr>
        <w:rPr>
          <w:rFonts w:cs="Arial"/>
          <w:sz w:val="22"/>
          <w:szCs w:val="22"/>
        </w:rPr>
      </w:pPr>
      <w:r>
        <w:rPr>
          <w:rFonts w:cs="Arial"/>
          <w:sz w:val="22"/>
          <w:szCs w:val="22"/>
        </w:rPr>
        <w:t>Se acoge el comentario.</w:t>
      </w:r>
    </w:p>
    <w:p w14:paraId="4AFA9AAE" w14:textId="0B0CDA68" w:rsidR="001D1C92" w:rsidRDefault="001D1C92" w:rsidP="00691EFC">
      <w:pPr>
        <w:rPr>
          <w:rFonts w:cs="Arial"/>
          <w:sz w:val="22"/>
          <w:szCs w:val="22"/>
        </w:rPr>
      </w:pPr>
    </w:p>
    <w:p w14:paraId="42EB5248" w14:textId="77777777" w:rsidR="001D1C92" w:rsidRPr="00691EFC" w:rsidRDefault="001D1C92" w:rsidP="001D1C92">
      <w:pPr>
        <w:rPr>
          <w:rFonts w:cs="Arial"/>
          <w:sz w:val="22"/>
          <w:szCs w:val="22"/>
        </w:rPr>
      </w:pPr>
      <w:r>
        <w:rPr>
          <w:rFonts w:cs="Arial"/>
          <w:sz w:val="22"/>
          <w:szCs w:val="22"/>
        </w:rPr>
        <w:t>En la nueva propuesta se corrige el error de referencia.</w:t>
      </w:r>
    </w:p>
    <w:p w14:paraId="2E8241C8" w14:textId="5622726B" w:rsidR="00BC5381" w:rsidRDefault="00BC5381" w:rsidP="00371CB5">
      <w:pPr>
        <w:rPr>
          <w:rFonts w:cs="Arial"/>
          <w:b/>
          <w:bCs/>
          <w:sz w:val="22"/>
          <w:szCs w:val="22"/>
        </w:rPr>
      </w:pPr>
    </w:p>
    <w:p w14:paraId="028C47C5" w14:textId="5AA9FC53" w:rsidR="00BC5381" w:rsidRDefault="00BC5381" w:rsidP="00371CB5">
      <w:pPr>
        <w:rPr>
          <w:rFonts w:cs="Arial"/>
          <w:b/>
          <w:bCs/>
          <w:sz w:val="22"/>
          <w:szCs w:val="22"/>
        </w:rPr>
      </w:pPr>
    </w:p>
    <w:p w14:paraId="71FF9D93" w14:textId="1C712C82" w:rsidR="00D26961" w:rsidRDefault="00D26961" w:rsidP="00D26961">
      <w:pPr>
        <w:pStyle w:val="Ttulo1"/>
        <w:numPr>
          <w:ilvl w:val="0"/>
          <w:numId w:val="1"/>
        </w:numPr>
        <w:rPr>
          <w:caps/>
        </w:rPr>
      </w:pPr>
      <w:bookmarkStart w:id="638" w:name="_Toc140506334"/>
      <w:r>
        <w:t xml:space="preserve">ARTÍCULO </w:t>
      </w:r>
      <w:r w:rsidR="00EF1C07">
        <w:t>11</w:t>
      </w:r>
      <w:r>
        <w:t xml:space="preserve">. </w:t>
      </w:r>
      <w:r w:rsidR="0070732E" w:rsidRPr="0070732E">
        <w:rPr>
          <w:caps/>
        </w:rPr>
        <w:t>Eventos eximentes de responsabilidad</w:t>
      </w:r>
      <w:bookmarkEnd w:id="638"/>
    </w:p>
    <w:p w14:paraId="20A8422E" w14:textId="7C92F7AD" w:rsidR="00D26961" w:rsidRDefault="00D26961" w:rsidP="00371CB5">
      <w:pPr>
        <w:rPr>
          <w:rFonts w:cs="Arial"/>
          <w:b/>
          <w:bCs/>
          <w:sz w:val="22"/>
          <w:szCs w:val="22"/>
        </w:rPr>
      </w:pPr>
    </w:p>
    <w:p w14:paraId="3ECF85FE" w14:textId="77777777" w:rsidR="001931C5" w:rsidRDefault="001931C5" w:rsidP="00FB4C4A">
      <w:pPr>
        <w:pStyle w:val="Ttulo2"/>
      </w:pPr>
      <w:bookmarkStart w:id="639" w:name="_Toc140506335"/>
      <w:r w:rsidRPr="001931C5">
        <w:t>ACOLGEN</w:t>
      </w:r>
      <w:bookmarkEnd w:id="639"/>
      <w:r w:rsidRPr="001931C5">
        <w:tab/>
      </w:r>
    </w:p>
    <w:p w14:paraId="0462BE39" w14:textId="77777777" w:rsidR="00060709" w:rsidRDefault="00060709" w:rsidP="00060709">
      <w:pPr>
        <w:pStyle w:val="Ttulo4"/>
      </w:pPr>
      <w:bookmarkStart w:id="640" w:name="_Ref130799968"/>
      <w:r w:rsidRPr="001931C5">
        <w:t>ACOLGEN</w:t>
      </w:r>
      <w:bookmarkEnd w:id="640"/>
      <w:r w:rsidRPr="001931C5">
        <w:tab/>
      </w:r>
    </w:p>
    <w:p w14:paraId="6B273B87" w14:textId="1C3B26A7" w:rsidR="001931C5" w:rsidRPr="001D1C92" w:rsidRDefault="00680029" w:rsidP="001931C5">
      <w:pPr>
        <w:rPr>
          <w:rFonts w:cs="Arial"/>
          <w:i/>
          <w:iCs/>
          <w:sz w:val="22"/>
          <w:szCs w:val="22"/>
        </w:rPr>
      </w:pPr>
      <w:r>
        <w:rPr>
          <w:rFonts w:cs="Arial"/>
          <w:i/>
          <w:iCs/>
          <w:sz w:val="22"/>
          <w:szCs w:val="22"/>
        </w:rPr>
        <w:t>“</w:t>
      </w:r>
      <w:r w:rsidR="001931C5" w:rsidRPr="001D1C92">
        <w:rPr>
          <w:rFonts w:cs="Arial"/>
          <w:i/>
          <w:iCs/>
          <w:sz w:val="22"/>
          <w:szCs w:val="22"/>
        </w:rPr>
        <w:t>Por otro lado, se identifica que se incluye un nuevo evento eximente en los contratos de suministro, cuando se presentan suspensiones por labores programadas para reparaciones técnicas o mantenimientos periódicos de la infraestructura de transporte del combustible. En este contexto, recomendamos a la Comisión extender dicho planteamiento para los contratos de transporte, ante situaciones en las cuales se presenten los mismos eventos eximentes en la infraestructura de suministro. Lo anterior, partiendo de la experiencia del sistema con las contingencias durante el 2021 en campos de producción del país.</w:t>
      </w:r>
      <w:r>
        <w:rPr>
          <w:rFonts w:cs="Arial"/>
          <w:i/>
          <w:iCs/>
          <w:sz w:val="22"/>
          <w:szCs w:val="22"/>
        </w:rPr>
        <w:t>”</w:t>
      </w:r>
    </w:p>
    <w:p w14:paraId="4E4F837B" w14:textId="4574280B" w:rsidR="001931C5" w:rsidRDefault="001931C5" w:rsidP="001931C5">
      <w:pPr>
        <w:rPr>
          <w:rFonts w:cs="Arial"/>
          <w:sz w:val="22"/>
          <w:szCs w:val="22"/>
        </w:rPr>
      </w:pPr>
    </w:p>
    <w:p w14:paraId="143103CB" w14:textId="4AC9DC53" w:rsidR="001D1C92" w:rsidRPr="001D1C92" w:rsidRDefault="001D1C92" w:rsidP="001931C5">
      <w:pPr>
        <w:rPr>
          <w:rFonts w:cs="Arial"/>
          <w:b/>
          <w:bCs/>
          <w:sz w:val="22"/>
          <w:szCs w:val="22"/>
        </w:rPr>
      </w:pPr>
      <w:r w:rsidRPr="001D1C92">
        <w:rPr>
          <w:rFonts w:cs="Arial"/>
          <w:b/>
          <w:bCs/>
          <w:sz w:val="22"/>
          <w:szCs w:val="22"/>
        </w:rPr>
        <w:t>Respuesta:</w:t>
      </w:r>
    </w:p>
    <w:p w14:paraId="3D162F19" w14:textId="1719AED9" w:rsidR="001D1C92" w:rsidRDefault="001D1C92" w:rsidP="001931C5">
      <w:pPr>
        <w:rPr>
          <w:rFonts w:cs="Arial"/>
          <w:sz w:val="22"/>
          <w:szCs w:val="22"/>
        </w:rPr>
      </w:pPr>
    </w:p>
    <w:p w14:paraId="4F55695D" w14:textId="01AE0E18" w:rsidR="001D1C92" w:rsidRDefault="001D1C92" w:rsidP="001931C5">
      <w:pPr>
        <w:rPr>
          <w:rFonts w:cs="Arial"/>
          <w:sz w:val="22"/>
          <w:szCs w:val="22"/>
        </w:rPr>
      </w:pPr>
      <w:r>
        <w:rPr>
          <w:rFonts w:cs="Arial"/>
          <w:sz w:val="22"/>
          <w:szCs w:val="22"/>
        </w:rPr>
        <w:t>No se acoge el comentario.</w:t>
      </w:r>
    </w:p>
    <w:p w14:paraId="0D5F6977" w14:textId="205DBD4C" w:rsidR="001D1C92" w:rsidRDefault="001D1C92" w:rsidP="001931C5">
      <w:pPr>
        <w:rPr>
          <w:rFonts w:cs="Arial"/>
          <w:sz w:val="22"/>
          <w:szCs w:val="22"/>
        </w:rPr>
      </w:pPr>
    </w:p>
    <w:p w14:paraId="4733C687" w14:textId="29C6FC56" w:rsidR="001D1C92" w:rsidRDefault="001D1C92" w:rsidP="001931C5">
      <w:pPr>
        <w:rPr>
          <w:rFonts w:cs="Arial"/>
          <w:sz w:val="22"/>
          <w:szCs w:val="22"/>
        </w:rPr>
      </w:pPr>
      <w:r>
        <w:rPr>
          <w:rFonts w:cs="Arial"/>
          <w:sz w:val="22"/>
          <w:szCs w:val="22"/>
        </w:rPr>
        <w:t>Las disposiciones de eventos eximentes de transporte se encuentran establecidas en la Resolución CREG 185 de 2020, y no corresponde a la propuesta, por tanto, modificar aspectos de la comercialización de la capacidad de transporte en el SNT.</w:t>
      </w:r>
    </w:p>
    <w:p w14:paraId="51CB3167" w14:textId="7B33252A" w:rsidR="001D1C92" w:rsidRDefault="001D1C92" w:rsidP="001931C5">
      <w:pPr>
        <w:rPr>
          <w:rFonts w:cs="Arial"/>
          <w:sz w:val="22"/>
          <w:szCs w:val="22"/>
        </w:rPr>
      </w:pPr>
    </w:p>
    <w:p w14:paraId="7425B9E9" w14:textId="1E6A73FC" w:rsidR="001D1C92" w:rsidRDefault="001D1C92" w:rsidP="001931C5">
      <w:pPr>
        <w:rPr>
          <w:rFonts w:cs="Arial"/>
          <w:sz w:val="22"/>
          <w:szCs w:val="22"/>
        </w:rPr>
      </w:pPr>
      <w:r>
        <w:rPr>
          <w:rFonts w:cs="Arial"/>
          <w:sz w:val="22"/>
          <w:szCs w:val="22"/>
        </w:rPr>
        <w:t>Sin embargo, se tendrá en cuenta el comentario para efectos de seguimiento y actualización de la resolución mencionada.</w:t>
      </w:r>
    </w:p>
    <w:p w14:paraId="26EC5BCE" w14:textId="77777777" w:rsidR="001D1C92" w:rsidRDefault="001D1C92" w:rsidP="001931C5">
      <w:pPr>
        <w:rPr>
          <w:rFonts w:cs="Arial"/>
          <w:sz w:val="22"/>
          <w:szCs w:val="22"/>
        </w:rPr>
      </w:pPr>
    </w:p>
    <w:p w14:paraId="06FCAD3C" w14:textId="77777777" w:rsidR="001931C5" w:rsidRDefault="001931C5" w:rsidP="001931C5">
      <w:pPr>
        <w:rPr>
          <w:rFonts w:cs="Arial"/>
          <w:sz w:val="22"/>
          <w:szCs w:val="22"/>
        </w:rPr>
      </w:pPr>
    </w:p>
    <w:p w14:paraId="4691E322" w14:textId="77777777" w:rsidR="001931C5" w:rsidRDefault="001931C5" w:rsidP="00FB4C4A">
      <w:pPr>
        <w:pStyle w:val="Ttulo2"/>
      </w:pPr>
      <w:bookmarkStart w:id="641" w:name="_Toc140506336"/>
      <w:r w:rsidRPr="001931C5">
        <w:t>ACP</w:t>
      </w:r>
      <w:bookmarkEnd w:id="641"/>
      <w:r w:rsidRPr="001931C5">
        <w:tab/>
      </w:r>
    </w:p>
    <w:p w14:paraId="45C4CC31" w14:textId="77777777" w:rsidR="00060709" w:rsidRDefault="00060709" w:rsidP="00060709">
      <w:pPr>
        <w:pStyle w:val="Ttulo4"/>
      </w:pPr>
      <w:bookmarkStart w:id="642" w:name="_Ref130799884"/>
      <w:r w:rsidRPr="001931C5">
        <w:t>ACP</w:t>
      </w:r>
      <w:bookmarkEnd w:id="642"/>
      <w:r w:rsidRPr="001931C5">
        <w:tab/>
      </w:r>
    </w:p>
    <w:p w14:paraId="5B238E72" w14:textId="4DAF6587" w:rsidR="001931C5" w:rsidRPr="001D1C92" w:rsidRDefault="00680029" w:rsidP="001931C5">
      <w:pPr>
        <w:rPr>
          <w:rFonts w:cs="Arial"/>
          <w:i/>
          <w:iCs/>
          <w:sz w:val="22"/>
          <w:szCs w:val="22"/>
        </w:rPr>
      </w:pPr>
      <w:r>
        <w:rPr>
          <w:rFonts w:cs="Arial"/>
          <w:i/>
          <w:iCs/>
          <w:sz w:val="22"/>
          <w:szCs w:val="22"/>
        </w:rPr>
        <w:t>“</w:t>
      </w:r>
      <w:r w:rsidR="001931C5" w:rsidRPr="001D1C92">
        <w:rPr>
          <w:rFonts w:cs="Arial"/>
          <w:i/>
          <w:iCs/>
          <w:sz w:val="22"/>
          <w:szCs w:val="22"/>
        </w:rPr>
        <w:t>Se eliminó el evento excluyente de responsabilidad por el no registro del contrato. Sugerimos incluirlo, tal como está en la Resolución 186 de 2020.</w:t>
      </w:r>
      <w:r>
        <w:rPr>
          <w:rFonts w:cs="Arial"/>
          <w:i/>
          <w:iCs/>
          <w:sz w:val="22"/>
          <w:szCs w:val="22"/>
        </w:rPr>
        <w:t>”</w:t>
      </w:r>
    </w:p>
    <w:p w14:paraId="4298FA8C" w14:textId="01D099D1" w:rsidR="001D1C92" w:rsidRDefault="001D1C92" w:rsidP="001931C5">
      <w:pPr>
        <w:rPr>
          <w:rFonts w:cs="Arial"/>
          <w:sz w:val="22"/>
          <w:szCs w:val="22"/>
        </w:rPr>
      </w:pPr>
    </w:p>
    <w:p w14:paraId="3AA988F2" w14:textId="6D77A61C" w:rsidR="001D1C92" w:rsidRPr="001D1C92" w:rsidRDefault="001D1C92" w:rsidP="001931C5">
      <w:pPr>
        <w:rPr>
          <w:rFonts w:cs="Arial"/>
          <w:b/>
          <w:bCs/>
          <w:sz w:val="22"/>
          <w:szCs w:val="22"/>
        </w:rPr>
      </w:pPr>
      <w:r w:rsidRPr="001D1C92">
        <w:rPr>
          <w:rFonts w:cs="Arial"/>
          <w:b/>
          <w:bCs/>
          <w:sz w:val="22"/>
          <w:szCs w:val="22"/>
        </w:rPr>
        <w:t>Respuesta:</w:t>
      </w:r>
    </w:p>
    <w:p w14:paraId="222C6ACC" w14:textId="4CE2ECF8" w:rsidR="001D1C92" w:rsidRDefault="001D1C92" w:rsidP="001931C5">
      <w:pPr>
        <w:rPr>
          <w:rFonts w:cs="Arial"/>
          <w:sz w:val="22"/>
          <w:szCs w:val="22"/>
        </w:rPr>
      </w:pPr>
    </w:p>
    <w:p w14:paraId="38A9C301" w14:textId="4C03C0DD" w:rsidR="001D1C92" w:rsidRDefault="001D1C92" w:rsidP="001931C5">
      <w:pPr>
        <w:rPr>
          <w:rFonts w:cs="Arial"/>
          <w:sz w:val="22"/>
          <w:szCs w:val="22"/>
        </w:rPr>
      </w:pPr>
      <w:r>
        <w:rPr>
          <w:rFonts w:cs="Arial"/>
          <w:sz w:val="22"/>
          <w:szCs w:val="22"/>
        </w:rPr>
        <w:t>Se acoge el comentario.</w:t>
      </w:r>
    </w:p>
    <w:p w14:paraId="470AAAA3" w14:textId="7F410C92" w:rsidR="001D1C92" w:rsidRDefault="001D1C92" w:rsidP="001931C5">
      <w:pPr>
        <w:rPr>
          <w:rFonts w:cs="Arial"/>
          <w:sz w:val="22"/>
          <w:szCs w:val="22"/>
        </w:rPr>
      </w:pPr>
    </w:p>
    <w:p w14:paraId="7D8C49AD" w14:textId="7F3768E5" w:rsidR="001D1C92" w:rsidRDefault="001D1C92" w:rsidP="001931C5">
      <w:pPr>
        <w:rPr>
          <w:rFonts w:cs="Arial"/>
          <w:sz w:val="22"/>
          <w:szCs w:val="22"/>
        </w:rPr>
      </w:pPr>
      <w:r>
        <w:rPr>
          <w:rFonts w:cs="Arial"/>
          <w:sz w:val="22"/>
          <w:szCs w:val="22"/>
        </w:rPr>
        <w:t>En la nueva propuesta se mantiene lo establecido al respecto en la regulación vigente.</w:t>
      </w:r>
    </w:p>
    <w:p w14:paraId="1DF7F79C" w14:textId="77777777" w:rsidR="001D1C92" w:rsidRPr="001931C5" w:rsidRDefault="001D1C92" w:rsidP="001931C5">
      <w:pPr>
        <w:rPr>
          <w:rFonts w:cs="Arial"/>
          <w:sz w:val="22"/>
          <w:szCs w:val="22"/>
        </w:rPr>
      </w:pPr>
    </w:p>
    <w:p w14:paraId="099599B5" w14:textId="77777777" w:rsidR="001931C5" w:rsidRDefault="001931C5" w:rsidP="001931C5">
      <w:pPr>
        <w:rPr>
          <w:rFonts w:cs="Arial"/>
          <w:sz w:val="22"/>
          <w:szCs w:val="22"/>
        </w:rPr>
      </w:pPr>
    </w:p>
    <w:p w14:paraId="03EA12D9" w14:textId="77777777" w:rsidR="001931C5" w:rsidRDefault="001931C5" w:rsidP="00FB4C4A">
      <w:pPr>
        <w:pStyle w:val="Ttulo2"/>
      </w:pPr>
      <w:bookmarkStart w:id="643" w:name="_Toc140506337"/>
      <w:r w:rsidRPr="001931C5">
        <w:t>ANDEG</w:t>
      </w:r>
      <w:bookmarkEnd w:id="643"/>
      <w:r w:rsidRPr="001931C5">
        <w:tab/>
      </w:r>
    </w:p>
    <w:p w14:paraId="1F915D57" w14:textId="77777777" w:rsidR="00060709" w:rsidRDefault="00060709" w:rsidP="00060709">
      <w:pPr>
        <w:pStyle w:val="Ttulo4"/>
      </w:pPr>
      <w:bookmarkStart w:id="644" w:name="_Ref130799827"/>
      <w:r w:rsidRPr="001931C5">
        <w:t>ANDEG</w:t>
      </w:r>
      <w:bookmarkEnd w:id="644"/>
      <w:r w:rsidRPr="001931C5">
        <w:tab/>
      </w:r>
    </w:p>
    <w:p w14:paraId="7E1C9489" w14:textId="40C73409" w:rsidR="001931C5" w:rsidRPr="001D1C92" w:rsidRDefault="00680029" w:rsidP="001931C5">
      <w:pPr>
        <w:rPr>
          <w:rFonts w:cs="Arial"/>
          <w:i/>
          <w:iCs/>
          <w:sz w:val="22"/>
          <w:szCs w:val="22"/>
        </w:rPr>
      </w:pPr>
      <w:r>
        <w:rPr>
          <w:rFonts w:cs="Arial"/>
          <w:i/>
          <w:iCs/>
          <w:sz w:val="22"/>
          <w:szCs w:val="22"/>
        </w:rPr>
        <w:t>“</w:t>
      </w:r>
      <w:r w:rsidR="001931C5" w:rsidRPr="001D1C92">
        <w:rPr>
          <w:rFonts w:cs="Arial"/>
          <w:i/>
          <w:iCs/>
          <w:sz w:val="22"/>
          <w:szCs w:val="22"/>
        </w:rPr>
        <w:t>Es necesario que la Comisión evalúe, en el marco de la coordinación Gas - Electricidad, la posibilidad de incluir, en el marco de los eventos eximentes de responsabilidad, todos aquellos eventos, externos a la operación y control de las plantas térmicas, como lo son especialmente, los eventos críticos u ocasionales del STN o STR, los cuales limitan el consumo de los estos agentes y que hoy en día generan desniveles en la asunción de responsabilidad y obligaciones de pago en el mercado de gas.</w:t>
      </w:r>
      <w:r>
        <w:rPr>
          <w:rFonts w:cs="Arial"/>
          <w:i/>
          <w:iCs/>
          <w:sz w:val="22"/>
          <w:szCs w:val="22"/>
        </w:rPr>
        <w:t>”</w:t>
      </w:r>
    </w:p>
    <w:p w14:paraId="3EB14A39" w14:textId="327942BA" w:rsidR="001D1C92" w:rsidRDefault="001D1C92" w:rsidP="001931C5">
      <w:pPr>
        <w:rPr>
          <w:rFonts w:cs="Arial"/>
          <w:sz w:val="22"/>
          <w:szCs w:val="22"/>
        </w:rPr>
      </w:pPr>
    </w:p>
    <w:p w14:paraId="7101A120" w14:textId="335F1424" w:rsidR="001D1C92" w:rsidRPr="001D1C92" w:rsidRDefault="001D1C92" w:rsidP="001931C5">
      <w:pPr>
        <w:rPr>
          <w:rFonts w:cs="Arial"/>
          <w:b/>
          <w:bCs/>
          <w:sz w:val="22"/>
          <w:szCs w:val="22"/>
        </w:rPr>
      </w:pPr>
      <w:r w:rsidRPr="001D1C92">
        <w:rPr>
          <w:rFonts w:cs="Arial"/>
          <w:b/>
          <w:bCs/>
          <w:sz w:val="22"/>
          <w:szCs w:val="22"/>
        </w:rPr>
        <w:t>Respuesta:</w:t>
      </w:r>
    </w:p>
    <w:p w14:paraId="61947042" w14:textId="16A3833F" w:rsidR="001D1C92" w:rsidRDefault="001D1C92" w:rsidP="001931C5">
      <w:pPr>
        <w:rPr>
          <w:rFonts w:cs="Arial"/>
          <w:sz w:val="22"/>
          <w:szCs w:val="22"/>
        </w:rPr>
      </w:pPr>
    </w:p>
    <w:p w14:paraId="19EED79D" w14:textId="77E65C13" w:rsidR="001D1C92" w:rsidRDefault="001D1C92" w:rsidP="001931C5">
      <w:pPr>
        <w:rPr>
          <w:rFonts w:cs="Arial"/>
          <w:sz w:val="22"/>
          <w:szCs w:val="22"/>
        </w:rPr>
      </w:pPr>
      <w:r>
        <w:rPr>
          <w:rFonts w:cs="Arial"/>
          <w:sz w:val="22"/>
          <w:szCs w:val="22"/>
        </w:rPr>
        <w:t>No se acoge el comentario.</w:t>
      </w:r>
    </w:p>
    <w:p w14:paraId="27E14652" w14:textId="085388DD" w:rsidR="001D1C92" w:rsidRDefault="001D1C92" w:rsidP="001931C5">
      <w:pPr>
        <w:rPr>
          <w:rFonts w:cs="Arial"/>
          <w:sz w:val="22"/>
          <w:szCs w:val="22"/>
        </w:rPr>
      </w:pPr>
    </w:p>
    <w:p w14:paraId="3DAA6283" w14:textId="366CDBD6" w:rsidR="00904A31" w:rsidRDefault="001D1C92" w:rsidP="001931C5">
      <w:pPr>
        <w:rPr>
          <w:rFonts w:cs="Arial"/>
          <w:sz w:val="22"/>
          <w:szCs w:val="22"/>
        </w:rPr>
      </w:pPr>
      <w:r>
        <w:rPr>
          <w:rFonts w:cs="Arial"/>
          <w:sz w:val="22"/>
          <w:szCs w:val="22"/>
        </w:rPr>
        <w:t>Cada comprador del mercado</w:t>
      </w:r>
      <w:r w:rsidR="00904A31">
        <w:rPr>
          <w:rFonts w:cs="Arial"/>
          <w:sz w:val="22"/>
          <w:szCs w:val="22"/>
        </w:rPr>
        <w:t>,</w:t>
      </w:r>
      <w:r>
        <w:rPr>
          <w:rFonts w:cs="Arial"/>
          <w:sz w:val="22"/>
          <w:szCs w:val="22"/>
        </w:rPr>
        <w:t xml:space="preserve"> usuario no regulado</w:t>
      </w:r>
      <w:r w:rsidR="00904A31">
        <w:rPr>
          <w:rFonts w:cs="Arial"/>
          <w:sz w:val="22"/>
          <w:szCs w:val="22"/>
        </w:rPr>
        <w:t xml:space="preserve"> en general del sector industrial o comercial, </w:t>
      </w:r>
      <w:r>
        <w:rPr>
          <w:rFonts w:cs="Arial"/>
          <w:sz w:val="22"/>
          <w:szCs w:val="22"/>
        </w:rPr>
        <w:t xml:space="preserve">utiliza el gas natural </w:t>
      </w:r>
      <w:r w:rsidR="00904A31">
        <w:rPr>
          <w:rFonts w:cs="Arial"/>
          <w:sz w:val="22"/>
          <w:szCs w:val="22"/>
        </w:rPr>
        <w:t>como insumo que le permite el desarrollo de su actividad principal industrial o comercial, actividad que enfrenta riesgos propios de la misma.</w:t>
      </w:r>
      <w:r w:rsidR="00B14A9D">
        <w:rPr>
          <w:rFonts w:cs="Arial"/>
          <w:sz w:val="22"/>
          <w:szCs w:val="22"/>
        </w:rPr>
        <w:t xml:space="preserve"> Ver respuesta a </w:t>
      </w:r>
      <w:r w:rsidR="00B14A9D">
        <w:rPr>
          <w:rFonts w:cs="Arial"/>
          <w:sz w:val="22"/>
          <w:szCs w:val="22"/>
        </w:rPr>
        <w:fldChar w:fldCharType="begin"/>
      </w:r>
      <w:r w:rsidR="00B14A9D">
        <w:rPr>
          <w:rFonts w:cs="Arial"/>
          <w:sz w:val="22"/>
          <w:szCs w:val="22"/>
        </w:rPr>
        <w:instrText xml:space="preserve"> REF _Ref130285825 \r \h </w:instrText>
      </w:r>
      <w:r w:rsidR="00B14A9D">
        <w:rPr>
          <w:rFonts w:cs="Arial"/>
          <w:sz w:val="22"/>
          <w:szCs w:val="22"/>
        </w:rPr>
      </w:r>
      <w:r w:rsidR="00B14A9D">
        <w:rPr>
          <w:rFonts w:cs="Arial"/>
          <w:sz w:val="22"/>
          <w:szCs w:val="22"/>
        </w:rPr>
        <w:fldChar w:fldCharType="separate"/>
      </w:r>
      <w:r w:rsidR="007651EA">
        <w:rPr>
          <w:rFonts w:cs="Arial"/>
          <w:sz w:val="22"/>
          <w:szCs w:val="22"/>
        </w:rPr>
        <w:t>1.2.1.10</w:t>
      </w:r>
      <w:r w:rsidR="00B14A9D">
        <w:rPr>
          <w:rFonts w:cs="Arial"/>
          <w:sz w:val="22"/>
          <w:szCs w:val="22"/>
        </w:rPr>
        <w:fldChar w:fldCharType="end"/>
      </w:r>
      <w:r w:rsidR="00B14A9D">
        <w:rPr>
          <w:rFonts w:cs="Arial"/>
          <w:sz w:val="22"/>
          <w:szCs w:val="22"/>
        </w:rPr>
        <w:t xml:space="preserve"> y </w:t>
      </w:r>
      <w:r w:rsidR="00B14A9D">
        <w:rPr>
          <w:rFonts w:cs="Arial"/>
          <w:sz w:val="22"/>
          <w:szCs w:val="22"/>
        </w:rPr>
        <w:fldChar w:fldCharType="begin"/>
      </w:r>
      <w:r w:rsidR="00B14A9D">
        <w:rPr>
          <w:rFonts w:cs="Arial"/>
          <w:sz w:val="22"/>
          <w:szCs w:val="22"/>
        </w:rPr>
        <w:instrText xml:space="preserve"> REF _Ref130723219 \r \h </w:instrText>
      </w:r>
      <w:r w:rsidR="00B14A9D">
        <w:rPr>
          <w:rFonts w:cs="Arial"/>
          <w:sz w:val="22"/>
          <w:szCs w:val="22"/>
        </w:rPr>
      </w:r>
      <w:r w:rsidR="00B14A9D">
        <w:rPr>
          <w:rFonts w:cs="Arial"/>
          <w:sz w:val="22"/>
          <w:szCs w:val="22"/>
        </w:rPr>
        <w:fldChar w:fldCharType="separate"/>
      </w:r>
      <w:r w:rsidR="007651EA">
        <w:rPr>
          <w:rFonts w:cs="Arial"/>
          <w:sz w:val="22"/>
          <w:szCs w:val="22"/>
        </w:rPr>
        <w:t>1.12.1.1</w:t>
      </w:r>
      <w:r w:rsidR="00B14A9D">
        <w:rPr>
          <w:rFonts w:cs="Arial"/>
          <w:sz w:val="22"/>
          <w:szCs w:val="22"/>
        </w:rPr>
        <w:fldChar w:fldCharType="end"/>
      </w:r>
      <w:r w:rsidR="00B14A9D">
        <w:rPr>
          <w:rFonts w:cs="Arial"/>
          <w:sz w:val="22"/>
          <w:szCs w:val="22"/>
        </w:rPr>
        <w:t>.</w:t>
      </w:r>
    </w:p>
    <w:p w14:paraId="1D49B7BF" w14:textId="70893FEE" w:rsidR="00904A31" w:rsidRDefault="00904A31" w:rsidP="001931C5">
      <w:pPr>
        <w:rPr>
          <w:rFonts w:cs="Arial"/>
          <w:sz w:val="22"/>
          <w:szCs w:val="22"/>
        </w:rPr>
      </w:pPr>
    </w:p>
    <w:p w14:paraId="5C668246" w14:textId="77777777" w:rsidR="00B14A9D" w:rsidRPr="001931C5" w:rsidRDefault="00B14A9D" w:rsidP="001931C5">
      <w:pPr>
        <w:rPr>
          <w:rFonts w:cs="Arial"/>
          <w:sz w:val="22"/>
          <w:szCs w:val="22"/>
        </w:rPr>
      </w:pPr>
    </w:p>
    <w:p w14:paraId="7E7027C9" w14:textId="77777777" w:rsidR="001931C5" w:rsidRDefault="001931C5" w:rsidP="00FB4C4A">
      <w:pPr>
        <w:pStyle w:val="Ttulo2"/>
      </w:pPr>
      <w:bookmarkStart w:id="645" w:name="_Toc140506338"/>
      <w:r w:rsidRPr="001931C5">
        <w:t>ANDI</w:t>
      </w:r>
      <w:bookmarkEnd w:id="645"/>
      <w:r w:rsidRPr="001931C5">
        <w:tab/>
      </w:r>
    </w:p>
    <w:p w14:paraId="731EB648" w14:textId="77777777" w:rsidR="00060709" w:rsidRDefault="00060709" w:rsidP="00060709">
      <w:pPr>
        <w:pStyle w:val="Ttulo4"/>
      </w:pPr>
      <w:r w:rsidRPr="001931C5">
        <w:t>ANDI</w:t>
      </w:r>
      <w:r w:rsidRPr="001931C5">
        <w:tab/>
      </w:r>
    </w:p>
    <w:p w14:paraId="163F46FA" w14:textId="76EF9AFD" w:rsidR="001931C5" w:rsidRPr="00B14A9D" w:rsidRDefault="001931C5" w:rsidP="001931C5">
      <w:pPr>
        <w:rPr>
          <w:rFonts w:cs="Arial"/>
          <w:i/>
          <w:iCs/>
          <w:sz w:val="22"/>
          <w:szCs w:val="22"/>
        </w:rPr>
      </w:pPr>
      <w:r w:rsidRPr="001931C5">
        <w:rPr>
          <w:rFonts w:cs="Arial"/>
          <w:sz w:val="22"/>
          <w:szCs w:val="22"/>
        </w:rPr>
        <w:t>"</w:t>
      </w:r>
      <w:r w:rsidRPr="00B14A9D">
        <w:rPr>
          <w:rFonts w:cs="Arial"/>
          <w:i/>
          <w:iCs/>
          <w:sz w:val="22"/>
          <w:szCs w:val="22"/>
        </w:rPr>
        <w:t>Consideramos un avance la inclusión del evento 4, para que las suspensiones por labores programadas para reparaciones técnicas o mantenimientos periódicos de la infraestructura de transporte, sea un evento eximente de responsabilidad en el contrato de suministro."</w:t>
      </w:r>
    </w:p>
    <w:p w14:paraId="6119CC9A" w14:textId="0CD75633" w:rsidR="00B14A9D" w:rsidRDefault="00B14A9D" w:rsidP="001931C5">
      <w:pPr>
        <w:rPr>
          <w:rFonts w:cs="Arial"/>
          <w:sz w:val="22"/>
          <w:szCs w:val="22"/>
        </w:rPr>
      </w:pPr>
    </w:p>
    <w:p w14:paraId="3C1287FE" w14:textId="53535D1B" w:rsidR="00B14A9D" w:rsidRPr="00B14A9D" w:rsidRDefault="00B14A9D" w:rsidP="001931C5">
      <w:pPr>
        <w:rPr>
          <w:rFonts w:cs="Arial"/>
          <w:b/>
          <w:bCs/>
          <w:sz w:val="22"/>
          <w:szCs w:val="22"/>
        </w:rPr>
      </w:pPr>
      <w:r w:rsidRPr="00B14A9D">
        <w:rPr>
          <w:rFonts w:cs="Arial"/>
          <w:b/>
          <w:bCs/>
          <w:sz w:val="22"/>
          <w:szCs w:val="22"/>
        </w:rPr>
        <w:t>Respuesta:</w:t>
      </w:r>
    </w:p>
    <w:p w14:paraId="4027BB89" w14:textId="4F5251BB" w:rsidR="00B14A9D" w:rsidRDefault="00B14A9D" w:rsidP="001931C5">
      <w:pPr>
        <w:rPr>
          <w:rFonts w:cs="Arial"/>
          <w:sz w:val="22"/>
          <w:szCs w:val="22"/>
        </w:rPr>
      </w:pPr>
    </w:p>
    <w:p w14:paraId="24166068" w14:textId="1A18A16B" w:rsidR="00B14A9D" w:rsidRPr="001931C5" w:rsidRDefault="00B14A9D" w:rsidP="001931C5">
      <w:pPr>
        <w:rPr>
          <w:rFonts w:cs="Arial"/>
          <w:sz w:val="22"/>
          <w:szCs w:val="22"/>
        </w:rPr>
      </w:pPr>
      <w:r>
        <w:rPr>
          <w:rFonts w:cs="Arial"/>
          <w:sz w:val="22"/>
          <w:szCs w:val="22"/>
        </w:rPr>
        <w:t xml:space="preserve">Se </w:t>
      </w:r>
      <w:r w:rsidR="000A582B">
        <w:rPr>
          <w:rFonts w:cs="Arial"/>
          <w:sz w:val="22"/>
          <w:szCs w:val="22"/>
        </w:rPr>
        <w:t>tiene como uno de los objetivos</w:t>
      </w:r>
      <w:r>
        <w:rPr>
          <w:rFonts w:cs="Arial"/>
          <w:sz w:val="22"/>
          <w:szCs w:val="22"/>
        </w:rPr>
        <w:t xml:space="preserve">, entre otros, que </w:t>
      </w:r>
      <w:r w:rsidR="00BA0909">
        <w:rPr>
          <w:rFonts w:cs="Arial"/>
          <w:sz w:val="22"/>
          <w:szCs w:val="22"/>
        </w:rPr>
        <w:t>haya una mayor y más efectiva coordinación de quienes desarrollan las actividades de producción y de transporte de gas natural, en búsqueda de aumentar la continuidad del servicio final</w:t>
      </w:r>
      <w:r w:rsidR="00E936D2">
        <w:rPr>
          <w:rFonts w:cs="Arial"/>
          <w:sz w:val="22"/>
          <w:szCs w:val="22"/>
        </w:rPr>
        <w:t xml:space="preserve"> cuando hay planeación y programación en el ejercicio de tales actividades.</w:t>
      </w:r>
    </w:p>
    <w:p w14:paraId="0CCB9787" w14:textId="77777777" w:rsidR="001931C5" w:rsidRDefault="001931C5" w:rsidP="001931C5">
      <w:pPr>
        <w:rPr>
          <w:rFonts w:cs="Arial"/>
          <w:sz w:val="22"/>
          <w:szCs w:val="22"/>
        </w:rPr>
      </w:pPr>
    </w:p>
    <w:p w14:paraId="5E71D175" w14:textId="77777777" w:rsidR="001931C5" w:rsidRDefault="001931C5" w:rsidP="001931C5">
      <w:pPr>
        <w:rPr>
          <w:rFonts w:cs="Arial"/>
          <w:sz w:val="22"/>
          <w:szCs w:val="22"/>
        </w:rPr>
      </w:pPr>
    </w:p>
    <w:p w14:paraId="19C641B0" w14:textId="77777777" w:rsidR="001931C5" w:rsidRDefault="001931C5" w:rsidP="00FB4C4A">
      <w:pPr>
        <w:pStyle w:val="Ttulo2"/>
      </w:pPr>
      <w:bookmarkStart w:id="646" w:name="_Toc140506339"/>
      <w:r w:rsidRPr="001931C5">
        <w:t>ASOENERGIA</w:t>
      </w:r>
      <w:bookmarkEnd w:id="646"/>
      <w:r w:rsidRPr="001931C5">
        <w:tab/>
      </w:r>
    </w:p>
    <w:p w14:paraId="7EB64D0C" w14:textId="77777777" w:rsidR="00060709" w:rsidRPr="0010772E" w:rsidRDefault="00060709" w:rsidP="00060709">
      <w:pPr>
        <w:pStyle w:val="Ttulo4"/>
      </w:pPr>
      <w:bookmarkStart w:id="647" w:name="_Ref130795566"/>
      <w:r w:rsidRPr="0010772E">
        <w:t>ASOENERGIA</w:t>
      </w:r>
      <w:bookmarkEnd w:id="647"/>
      <w:r w:rsidRPr="0010772E">
        <w:tab/>
      </w:r>
    </w:p>
    <w:p w14:paraId="1492B2F9" w14:textId="506E905C" w:rsidR="001931C5" w:rsidRDefault="00EA1DFD" w:rsidP="001931C5">
      <w:pPr>
        <w:rPr>
          <w:rFonts w:cs="Arial"/>
          <w:sz w:val="22"/>
          <w:szCs w:val="22"/>
        </w:rPr>
      </w:pPr>
      <w:r>
        <w:rPr>
          <w:rFonts w:cs="Arial"/>
          <w:i/>
          <w:iCs/>
          <w:sz w:val="22"/>
          <w:szCs w:val="22"/>
        </w:rPr>
        <w:t>“</w:t>
      </w:r>
      <w:r w:rsidR="001931C5" w:rsidRPr="000A582B">
        <w:rPr>
          <w:rFonts w:cs="Arial"/>
          <w:i/>
          <w:iCs/>
          <w:sz w:val="22"/>
          <w:szCs w:val="22"/>
        </w:rPr>
        <w:t xml:space="preserve">Solicitamos que la CREG revalúe el concepto de </w:t>
      </w:r>
      <w:r>
        <w:rPr>
          <w:rFonts w:cs="Arial"/>
          <w:i/>
          <w:iCs/>
          <w:sz w:val="22"/>
          <w:szCs w:val="22"/>
        </w:rPr>
        <w:t>‘</w:t>
      </w:r>
      <w:r w:rsidR="001931C5" w:rsidRPr="000A582B">
        <w:rPr>
          <w:rFonts w:cs="Arial"/>
          <w:i/>
          <w:iCs/>
          <w:sz w:val="22"/>
          <w:szCs w:val="22"/>
        </w:rPr>
        <w:t>Partes</w:t>
      </w:r>
      <w:r>
        <w:rPr>
          <w:rFonts w:cs="Arial"/>
          <w:i/>
          <w:iCs/>
          <w:sz w:val="22"/>
          <w:szCs w:val="22"/>
        </w:rPr>
        <w:t>’</w:t>
      </w:r>
      <w:r w:rsidR="001931C5" w:rsidRPr="000A582B">
        <w:rPr>
          <w:rFonts w:cs="Arial"/>
          <w:i/>
          <w:iCs/>
          <w:sz w:val="22"/>
          <w:szCs w:val="22"/>
        </w:rPr>
        <w:t xml:space="preserve"> cuando se establecen los eventos de fuerza mayor y los eventos eximentes (incluyendo eventos de mantenimiento). Lo anterior, dado que, en el caso en que un Comercializador Minorista intermedia (aplicable a la mayoría de los casos para efectos de un Usuario No Regulado industrial), como la misma palabra lo expone, frente al Usuario No Regulado, en el Mercado Mayorista de suministro y de transporte, al suscribir los contratos pertinentes, los eventos de fuerza mayor y evento eximente se establecen para dicho Comercializador y no para el usuario final por el cual está intermediando. En ese sentido, el traslado de los eventos de fuerza mayor y eventos eximentes desde el Usuario No Regulado hacia el productor o transportador resultan imposibles y no aceptados por dichos agentes de la cadena. Un ejemplo claro de lo anterior es el paro nacional sufrido por la industria durante el 2021, en el cual, por razones evidentes, las fábricas tuvieron que detener sus procesos productivos, se declararon los eventos eximentes pertinentes y dichos eventos no fueron aceptados. Para lo cual, además de no poder producir y asumir las pérdidas que conllevó el paro, se recibieron las facturas de los compromisos de transporte en el gas natural. Es importante mencionar que lo planteado anteriormente no es un aspecto de riesgos que debe manejar el Comercializador Minorista. Lo anterior debe ser un </w:t>
      </w:r>
      <w:proofErr w:type="spellStart"/>
      <w:r w:rsidR="001931C5" w:rsidRPr="000A582B">
        <w:rPr>
          <w:rFonts w:cs="Arial"/>
          <w:i/>
          <w:iCs/>
          <w:sz w:val="22"/>
          <w:szCs w:val="22"/>
        </w:rPr>
        <w:t>pass</w:t>
      </w:r>
      <w:proofErr w:type="spellEnd"/>
      <w:r w:rsidR="001931C5" w:rsidRPr="000A582B">
        <w:rPr>
          <w:rFonts w:cs="Arial"/>
          <w:i/>
          <w:iCs/>
          <w:sz w:val="22"/>
          <w:szCs w:val="22"/>
        </w:rPr>
        <w:t xml:space="preserve"> </w:t>
      </w:r>
      <w:proofErr w:type="spellStart"/>
      <w:r w:rsidR="001931C5" w:rsidRPr="000A582B">
        <w:rPr>
          <w:rFonts w:cs="Arial"/>
          <w:i/>
          <w:iCs/>
          <w:sz w:val="22"/>
          <w:szCs w:val="22"/>
        </w:rPr>
        <w:t>through</w:t>
      </w:r>
      <w:proofErr w:type="spellEnd"/>
      <w:r w:rsidR="001931C5" w:rsidRPr="000A582B">
        <w:rPr>
          <w:rFonts w:cs="Arial"/>
          <w:i/>
          <w:iCs/>
          <w:sz w:val="22"/>
          <w:szCs w:val="22"/>
        </w:rPr>
        <w:t xml:space="preserve"> que el Comercializador Minorista pueda trasladar a los Usuarios No Regulados, como pasa hoy en día cuando al productor se le presenta un evento de fuerza mayor, y viceversa</w:t>
      </w:r>
      <w:r w:rsidR="001931C5" w:rsidRPr="001931C5">
        <w:rPr>
          <w:rFonts w:cs="Arial"/>
          <w:sz w:val="22"/>
          <w:szCs w:val="22"/>
        </w:rPr>
        <w:t>.</w:t>
      </w:r>
      <w:r w:rsidR="00D81E51">
        <w:rPr>
          <w:rFonts w:cs="Arial"/>
          <w:sz w:val="22"/>
          <w:szCs w:val="22"/>
        </w:rPr>
        <w:t>”</w:t>
      </w:r>
      <w:r w:rsidR="001931C5" w:rsidRPr="001931C5">
        <w:rPr>
          <w:rFonts w:cs="Arial"/>
          <w:sz w:val="22"/>
          <w:szCs w:val="22"/>
        </w:rPr>
        <w:t xml:space="preserve"> </w:t>
      </w:r>
    </w:p>
    <w:p w14:paraId="04E4EEA7" w14:textId="5DA4329D" w:rsidR="000A582B" w:rsidRDefault="000A582B" w:rsidP="001931C5">
      <w:pPr>
        <w:rPr>
          <w:rFonts w:cs="Arial"/>
          <w:sz w:val="22"/>
          <w:szCs w:val="22"/>
        </w:rPr>
      </w:pPr>
    </w:p>
    <w:p w14:paraId="7F36A8D8" w14:textId="186B564A" w:rsidR="000A582B" w:rsidRPr="000A582B" w:rsidRDefault="000A582B" w:rsidP="001931C5">
      <w:pPr>
        <w:rPr>
          <w:rFonts w:cs="Arial"/>
          <w:b/>
          <w:bCs/>
          <w:sz w:val="22"/>
          <w:szCs w:val="22"/>
        </w:rPr>
      </w:pPr>
      <w:r w:rsidRPr="000A582B">
        <w:rPr>
          <w:rFonts w:cs="Arial"/>
          <w:b/>
          <w:bCs/>
          <w:sz w:val="22"/>
          <w:szCs w:val="22"/>
        </w:rPr>
        <w:t>Respuesta:</w:t>
      </w:r>
    </w:p>
    <w:p w14:paraId="68DA256E" w14:textId="6C74D411" w:rsidR="000A582B" w:rsidRDefault="000A582B" w:rsidP="001931C5">
      <w:pPr>
        <w:rPr>
          <w:rFonts w:cs="Arial"/>
          <w:sz w:val="22"/>
          <w:szCs w:val="22"/>
        </w:rPr>
      </w:pPr>
    </w:p>
    <w:p w14:paraId="58F890FA" w14:textId="2EDA0B7E" w:rsidR="000A582B" w:rsidRDefault="000A582B" w:rsidP="001931C5">
      <w:pPr>
        <w:rPr>
          <w:rFonts w:cs="Arial"/>
          <w:sz w:val="22"/>
          <w:szCs w:val="22"/>
        </w:rPr>
      </w:pPr>
      <w:r>
        <w:rPr>
          <w:rFonts w:cs="Arial"/>
          <w:sz w:val="22"/>
          <w:szCs w:val="22"/>
        </w:rPr>
        <w:t>No se acoge el comentario.</w:t>
      </w:r>
    </w:p>
    <w:p w14:paraId="7DF7B01E" w14:textId="222C7CD1" w:rsidR="000A582B" w:rsidRDefault="000A582B" w:rsidP="001931C5">
      <w:pPr>
        <w:rPr>
          <w:rFonts w:cs="Arial"/>
          <w:sz w:val="22"/>
          <w:szCs w:val="22"/>
        </w:rPr>
      </w:pPr>
    </w:p>
    <w:p w14:paraId="1FBD129A" w14:textId="122FED5B" w:rsidR="000A582B" w:rsidRDefault="000A582B" w:rsidP="001931C5">
      <w:pPr>
        <w:rPr>
          <w:rFonts w:cs="Arial"/>
          <w:sz w:val="22"/>
          <w:szCs w:val="22"/>
        </w:rPr>
      </w:pPr>
      <w:r>
        <w:rPr>
          <w:rFonts w:cs="Arial"/>
          <w:sz w:val="22"/>
          <w:szCs w:val="22"/>
        </w:rPr>
        <w:t>Se espera que uno de los valores agregados del comercializador minorista es que sirva de agregador de cantidades de diferentes usuarios de diferentes sectores, con características de consumo similares y/o complementarias que le permitan manejar de una manera más eficaz los riesgos que enfrenta el usuario final. Los usuarios no regulados pueden participar en el Mercado Primario como compradores, tanto de suministro como de capacidad de transporte y así directamente, recibir el beneficio de la reciprocidad en cuanto a las consecuencias de no poder consumir el gas contratado o de que no se le pueda entregar y que, dependiendo de la modalidad contractual utilizada, debe tener un pago mínimo. Lo anterior se aplica, en general, a eventos eximentes de responsabilidad.</w:t>
      </w:r>
    </w:p>
    <w:p w14:paraId="2324E795" w14:textId="59D4F17B" w:rsidR="000A582B" w:rsidRDefault="000A582B" w:rsidP="001931C5">
      <w:pPr>
        <w:rPr>
          <w:rFonts w:cs="Arial"/>
          <w:sz w:val="22"/>
          <w:szCs w:val="22"/>
        </w:rPr>
      </w:pPr>
    </w:p>
    <w:p w14:paraId="5940D7EB" w14:textId="0BC4AEFA" w:rsidR="000A582B" w:rsidRDefault="000A582B" w:rsidP="001931C5">
      <w:pPr>
        <w:rPr>
          <w:rFonts w:cs="Arial"/>
          <w:sz w:val="22"/>
          <w:szCs w:val="22"/>
        </w:rPr>
      </w:pPr>
      <w:r>
        <w:rPr>
          <w:rFonts w:cs="Arial"/>
          <w:sz w:val="22"/>
          <w:szCs w:val="22"/>
        </w:rPr>
        <w:t>Situación de diferente análisis se daría si los usuarios no regulados no tuviesen acceso a la contratación del suministro y/o del transporte en el Mercado Primario.</w:t>
      </w:r>
    </w:p>
    <w:p w14:paraId="4C8D86AF" w14:textId="77777777" w:rsidR="000A582B" w:rsidRPr="001931C5" w:rsidRDefault="000A582B" w:rsidP="001931C5">
      <w:pPr>
        <w:rPr>
          <w:rFonts w:cs="Arial"/>
          <w:sz w:val="22"/>
          <w:szCs w:val="22"/>
        </w:rPr>
      </w:pPr>
    </w:p>
    <w:p w14:paraId="2DD6029D" w14:textId="77777777" w:rsidR="001931C5" w:rsidRDefault="001931C5" w:rsidP="001931C5">
      <w:pPr>
        <w:rPr>
          <w:rFonts w:cs="Arial"/>
          <w:sz w:val="22"/>
          <w:szCs w:val="22"/>
        </w:rPr>
      </w:pPr>
    </w:p>
    <w:p w14:paraId="54D3FB54" w14:textId="77777777" w:rsidR="001931C5" w:rsidRDefault="001931C5" w:rsidP="00060709">
      <w:pPr>
        <w:pStyle w:val="Ttulo4"/>
      </w:pPr>
      <w:bookmarkStart w:id="648" w:name="_Ref130794017"/>
      <w:r w:rsidRPr="001931C5">
        <w:t>ASOENERGIA</w:t>
      </w:r>
      <w:bookmarkEnd w:id="648"/>
      <w:r w:rsidRPr="001931C5">
        <w:tab/>
      </w:r>
    </w:p>
    <w:p w14:paraId="5AE8BF3D" w14:textId="2271A6E6" w:rsidR="001931C5" w:rsidRPr="00CC47F2" w:rsidRDefault="006A3E72" w:rsidP="001931C5">
      <w:pPr>
        <w:rPr>
          <w:rFonts w:cs="Arial"/>
          <w:i/>
          <w:iCs/>
          <w:sz w:val="22"/>
          <w:szCs w:val="22"/>
        </w:rPr>
      </w:pPr>
      <w:r>
        <w:rPr>
          <w:rFonts w:cs="Arial"/>
          <w:i/>
          <w:iCs/>
          <w:sz w:val="22"/>
          <w:szCs w:val="22"/>
        </w:rPr>
        <w:t>“</w:t>
      </w:r>
      <w:r w:rsidR="001931C5" w:rsidRPr="00CC47F2">
        <w:rPr>
          <w:rFonts w:cs="Arial"/>
          <w:i/>
          <w:iCs/>
          <w:sz w:val="22"/>
          <w:szCs w:val="22"/>
        </w:rPr>
        <w:t>En línea con lo presentado previamente, en el sentido de que hoy en día los eventos eximentes por mantenimientos, declarados por los Usuarios No Regulados industriales a través del Comercializador Minorista, no son aceptados aguas arriba por el productor ni por el transportador, además de lo anterior y en caso de que dicho ajuste se realizara, los periodos para declarar el mantenimiento son desbalanceados desde la perspectiva del Usuario No Regulado industrial. Un mes de anticipación es un periodo muy largo para poder prever oportunamente el desarrollo óptimo de un mantenimiento.</w:t>
      </w:r>
      <w:r w:rsidR="00B01261">
        <w:rPr>
          <w:rFonts w:cs="Arial"/>
          <w:i/>
          <w:iCs/>
          <w:sz w:val="22"/>
          <w:szCs w:val="22"/>
        </w:rPr>
        <w:t>”</w:t>
      </w:r>
    </w:p>
    <w:p w14:paraId="579AFD41" w14:textId="6FF27EA7" w:rsidR="00CC47F2" w:rsidRDefault="00CC47F2" w:rsidP="001931C5">
      <w:pPr>
        <w:rPr>
          <w:rFonts w:cs="Arial"/>
          <w:sz w:val="22"/>
          <w:szCs w:val="22"/>
        </w:rPr>
      </w:pPr>
    </w:p>
    <w:p w14:paraId="44F1B6EB" w14:textId="63D5D9B6" w:rsidR="00CC47F2" w:rsidRPr="00CC47F2" w:rsidRDefault="00CC47F2" w:rsidP="001931C5">
      <w:pPr>
        <w:rPr>
          <w:rFonts w:cs="Arial"/>
          <w:b/>
          <w:bCs/>
          <w:sz w:val="22"/>
          <w:szCs w:val="22"/>
        </w:rPr>
      </w:pPr>
      <w:r w:rsidRPr="00CC47F2">
        <w:rPr>
          <w:rFonts w:cs="Arial"/>
          <w:b/>
          <w:bCs/>
          <w:sz w:val="22"/>
          <w:szCs w:val="22"/>
        </w:rPr>
        <w:t>Respuesta:</w:t>
      </w:r>
    </w:p>
    <w:p w14:paraId="1E0DF914" w14:textId="6B26A789" w:rsidR="00CC47F2" w:rsidRDefault="00CC47F2" w:rsidP="001931C5">
      <w:pPr>
        <w:rPr>
          <w:rFonts w:cs="Arial"/>
          <w:sz w:val="22"/>
          <w:szCs w:val="22"/>
        </w:rPr>
      </w:pPr>
    </w:p>
    <w:p w14:paraId="798E8238" w14:textId="17A81E33" w:rsidR="00CC47F2" w:rsidRDefault="00CC47F2" w:rsidP="001931C5">
      <w:pPr>
        <w:rPr>
          <w:rFonts w:cs="Arial"/>
          <w:sz w:val="22"/>
          <w:szCs w:val="22"/>
        </w:rPr>
      </w:pPr>
      <w:r>
        <w:rPr>
          <w:rFonts w:cs="Arial"/>
          <w:sz w:val="22"/>
          <w:szCs w:val="22"/>
        </w:rPr>
        <w:t xml:space="preserve">No se </w:t>
      </w:r>
      <w:r w:rsidR="0010772E">
        <w:rPr>
          <w:rFonts w:cs="Arial"/>
          <w:sz w:val="22"/>
          <w:szCs w:val="22"/>
        </w:rPr>
        <w:t>a</w:t>
      </w:r>
      <w:r>
        <w:rPr>
          <w:rFonts w:cs="Arial"/>
          <w:sz w:val="22"/>
          <w:szCs w:val="22"/>
        </w:rPr>
        <w:t>coge el comentario.</w:t>
      </w:r>
    </w:p>
    <w:p w14:paraId="43A980D4" w14:textId="2224C9A2" w:rsidR="0010772E" w:rsidRDefault="0010772E" w:rsidP="001931C5">
      <w:pPr>
        <w:rPr>
          <w:rFonts w:cs="Arial"/>
          <w:sz w:val="22"/>
          <w:szCs w:val="22"/>
        </w:rPr>
      </w:pPr>
    </w:p>
    <w:p w14:paraId="1B094608" w14:textId="41908707" w:rsidR="00EA51E5" w:rsidRDefault="0010772E" w:rsidP="001931C5">
      <w:pPr>
        <w:rPr>
          <w:rFonts w:cs="Arial"/>
          <w:sz w:val="22"/>
          <w:szCs w:val="22"/>
        </w:rPr>
      </w:pPr>
      <w:r>
        <w:rPr>
          <w:rFonts w:cs="Arial"/>
          <w:sz w:val="22"/>
          <w:szCs w:val="22"/>
        </w:rPr>
        <w:t xml:space="preserve">Se parte </w:t>
      </w:r>
      <w:r w:rsidR="00EA51E5">
        <w:rPr>
          <w:rFonts w:cs="Arial"/>
          <w:sz w:val="22"/>
          <w:szCs w:val="22"/>
        </w:rPr>
        <w:t xml:space="preserve">del hecho </w:t>
      </w:r>
      <w:r>
        <w:rPr>
          <w:rFonts w:cs="Arial"/>
          <w:sz w:val="22"/>
          <w:szCs w:val="22"/>
        </w:rPr>
        <w:t>de que el desarrollo óptimo de un mantenimiento</w:t>
      </w:r>
      <w:r w:rsidR="00EA51E5">
        <w:rPr>
          <w:rFonts w:cs="Arial"/>
          <w:sz w:val="22"/>
          <w:szCs w:val="22"/>
        </w:rPr>
        <w:t>,</w:t>
      </w:r>
      <w:r>
        <w:rPr>
          <w:rFonts w:cs="Arial"/>
          <w:sz w:val="22"/>
          <w:szCs w:val="22"/>
        </w:rPr>
        <w:t xml:space="preserve"> tanto de la parte vendedora como de la parte compradora</w:t>
      </w:r>
      <w:r w:rsidR="00EA51E5">
        <w:rPr>
          <w:rFonts w:cs="Arial"/>
          <w:sz w:val="22"/>
          <w:szCs w:val="22"/>
        </w:rPr>
        <w:t xml:space="preserve"> del contrato de suministro de gas natural</w:t>
      </w:r>
      <w:r>
        <w:rPr>
          <w:rFonts w:cs="Arial"/>
          <w:sz w:val="22"/>
          <w:szCs w:val="22"/>
        </w:rPr>
        <w:t xml:space="preserve">, precisamente requiere de un período de planeación extenso y detallado que no puede dejarse para los últimos días previos al inicio del mantenimiento. Se trata no solamente de contar </w:t>
      </w:r>
      <w:r w:rsidR="00EA51E5">
        <w:rPr>
          <w:rFonts w:cs="Arial"/>
          <w:sz w:val="22"/>
          <w:szCs w:val="22"/>
        </w:rPr>
        <w:t xml:space="preserve">oportunamente </w:t>
      </w:r>
      <w:r>
        <w:rPr>
          <w:rFonts w:cs="Arial"/>
          <w:sz w:val="22"/>
          <w:szCs w:val="22"/>
        </w:rPr>
        <w:t>con los insumos que se van a utilizar en el mantenimiento</w:t>
      </w:r>
      <w:r w:rsidR="00EA51E5">
        <w:rPr>
          <w:rFonts w:cs="Arial"/>
          <w:sz w:val="22"/>
          <w:szCs w:val="22"/>
        </w:rPr>
        <w:t xml:space="preserve"> y</w:t>
      </w:r>
      <w:r>
        <w:rPr>
          <w:rFonts w:cs="Arial"/>
          <w:sz w:val="22"/>
          <w:szCs w:val="22"/>
        </w:rPr>
        <w:t xml:space="preserve"> de aprovechar la parada que implica el mantenimiento para realizar la mayor cantidad de actividades preventivas y correctivas</w:t>
      </w:r>
      <w:r w:rsidR="00EA51E5">
        <w:rPr>
          <w:rFonts w:cs="Arial"/>
          <w:sz w:val="22"/>
          <w:szCs w:val="22"/>
        </w:rPr>
        <w:t>, sino de contratar y reservar aquellos trabajos que deben ser desarrollados por contratistas que a su vez también requieren de un período previo de planeación y de coordinación con otros compromisos que también deben coordinar dichos contratistas.</w:t>
      </w:r>
    </w:p>
    <w:p w14:paraId="6098FC78" w14:textId="681A7B22" w:rsidR="00EA51E5" w:rsidRDefault="00EA51E5" w:rsidP="001931C5">
      <w:pPr>
        <w:rPr>
          <w:rFonts w:cs="Arial"/>
          <w:sz w:val="22"/>
          <w:szCs w:val="22"/>
        </w:rPr>
      </w:pPr>
    </w:p>
    <w:p w14:paraId="5AF2A4A3" w14:textId="21EDE9C7" w:rsidR="00EA51E5" w:rsidRDefault="00EA51E5"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_Ref130792638 \r \h </w:instrText>
      </w:r>
      <w:r>
        <w:rPr>
          <w:rFonts w:cs="Arial"/>
          <w:sz w:val="22"/>
          <w:szCs w:val="22"/>
        </w:rPr>
      </w:r>
      <w:r>
        <w:rPr>
          <w:rFonts w:cs="Arial"/>
          <w:sz w:val="22"/>
          <w:szCs w:val="22"/>
        </w:rPr>
        <w:fldChar w:fldCharType="separate"/>
      </w:r>
      <w:r w:rsidR="007651EA">
        <w:rPr>
          <w:rFonts w:cs="Arial"/>
          <w:sz w:val="22"/>
          <w:szCs w:val="22"/>
        </w:rPr>
        <w:t>4.21.1.3</w:t>
      </w:r>
      <w:r>
        <w:rPr>
          <w:rFonts w:cs="Arial"/>
          <w:sz w:val="22"/>
          <w:szCs w:val="22"/>
        </w:rPr>
        <w:fldChar w:fldCharType="end"/>
      </w:r>
      <w:r>
        <w:rPr>
          <w:rFonts w:cs="Arial"/>
          <w:sz w:val="22"/>
          <w:szCs w:val="22"/>
        </w:rPr>
        <w:t>.</w:t>
      </w:r>
    </w:p>
    <w:p w14:paraId="50021A14" w14:textId="77777777" w:rsidR="00EA51E5" w:rsidRPr="001931C5" w:rsidRDefault="00EA51E5" w:rsidP="001931C5">
      <w:pPr>
        <w:rPr>
          <w:rFonts w:cs="Arial"/>
          <w:sz w:val="22"/>
          <w:szCs w:val="22"/>
        </w:rPr>
      </w:pPr>
    </w:p>
    <w:p w14:paraId="187B05F6" w14:textId="77777777" w:rsidR="001931C5" w:rsidRDefault="001931C5" w:rsidP="001931C5">
      <w:pPr>
        <w:rPr>
          <w:rFonts w:cs="Arial"/>
          <w:sz w:val="22"/>
          <w:szCs w:val="22"/>
        </w:rPr>
      </w:pPr>
    </w:p>
    <w:p w14:paraId="1CB6FA13" w14:textId="77777777" w:rsidR="001931C5" w:rsidRDefault="001931C5" w:rsidP="00060709">
      <w:pPr>
        <w:pStyle w:val="Ttulo4"/>
      </w:pPr>
      <w:bookmarkStart w:id="649" w:name="_Ref130795706"/>
      <w:r w:rsidRPr="001931C5">
        <w:t>ASOENERGIA</w:t>
      </w:r>
      <w:bookmarkEnd w:id="649"/>
      <w:r w:rsidRPr="001931C5">
        <w:tab/>
      </w:r>
    </w:p>
    <w:p w14:paraId="2DFD7DA0" w14:textId="3D118217" w:rsidR="001931C5" w:rsidRPr="00EA51E5" w:rsidRDefault="00D62510" w:rsidP="001931C5">
      <w:pPr>
        <w:rPr>
          <w:rFonts w:cs="Arial"/>
          <w:i/>
          <w:iCs/>
          <w:sz w:val="22"/>
          <w:szCs w:val="22"/>
        </w:rPr>
      </w:pPr>
      <w:r>
        <w:rPr>
          <w:rFonts w:cs="Arial"/>
          <w:i/>
          <w:iCs/>
          <w:sz w:val="22"/>
          <w:szCs w:val="22"/>
        </w:rPr>
        <w:t>“</w:t>
      </w:r>
      <w:r w:rsidR="001931C5" w:rsidRPr="00EA51E5">
        <w:rPr>
          <w:rFonts w:cs="Arial"/>
          <w:i/>
          <w:iCs/>
          <w:sz w:val="22"/>
          <w:szCs w:val="22"/>
        </w:rPr>
        <w:t>Celebramos el cambio en el sentido de considerar que la actividad de transporte no es independiente de la actividad de suministro y que, por consiguiente, la entrega de gas natural a un usuario final implica las dos actividades. En comentarios realizados en ocasiones pasados, hemos expresado los sobrecostos al usuario final que ha generado dichas disposiciones. Sobre todo, cuando Ecopetrol realiza mantenimientos en Cusiana/</w:t>
      </w:r>
      <w:proofErr w:type="spellStart"/>
      <w:r w:rsidR="001931C5" w:rsidRPr="00EA51E5">
        <w:rPr>
          <w:rFonts w:cs="Arial"/>
          <w:i/>
          <w:iCs/>
          <w:sz w:val="22"/>
          <w:szCs w:val="22"/>
        </w:rPr>
        <w:t>Cuapiagua</w:t>
      </w:r>
      <w:proofErr w:type="spellEnd"/>
      <w:r w:rsidR="001931C5" w:rsidRPr="00EA51E5">
        <w:rPr>
          <w:rFonts w:cs="Arial"/>
          <w:i/>
          <w:iCs/>
          <w:sz w:val="22"/>
          <w:szCs w:val="22"/>
        </w:rPr>
        <w:t xml:space="preserve"> y TGI liquida la capacidad total desde dicha fuente con el total conocimiento de que la molécula de gas no se está suministrado desde dicha fuente.</w:t>
      </w:r>
      <w:r>
        <w:rPr>
          <w:rFonts w:cs="Arial"/>
          <w:i/>
          <w:iCs/>
          <w:sz w:val="22"/>
          <w:szCs w:val="22"/>
        </w:rPr>
        <w:t>”</w:t>
      </w:r>
      <w:r w:rsidR="001931C5" w:rsidRPr="00EA51E5">
        <w:rPr>
          <w:rFonts w:cs="Arial"/>
          <w:i/>
          <w:iCs/>
          <w:sz w:val="22"/>
          <w:szCs w:val="22"/>
        </w:rPr>
        <w:t xml:space="preserve"> </w:t>
      </w:r>
    </w:p>
    <w:p w14:paraId="59E1F925" w14:textId="4D1FDD21" w:rsidR="00EA51E5" w:rsidRDefault="00EA51E5" w:rsidP="001931C5">
      <w:pPr>
        <w:rPr>
          <w:rFonts w:cs="Arial"/>
          <w:sz w:val="22"/>
          <w:szCs w:val="22"/>
        </w:rPr>
      </w:pPr>
    </w:p>
    <w:p w14:paraId="5A7308EA" w14:textId="3FC0503A" w:rsidR="00EA51E5" w:rsidRPr="00EA51E5" w:rsidRDefault="00EA51E5" w:rsidP="001931C5">
      <w:pPr>
        <w:rPr>
          <w:rFonts w:cs="Arial"/>
          <w:b/>
          <w:bCs/>
          <w:sz w:val="22"/>
          <w:szCs w:val="22"/>
        </w:rPr>
      </w:pPr>
      <w:r w:rsidRPr="00EA51E5">
        <w:rPr>
          <w:rFonts w:cs="Arial"/>
          <w:b/>
          <w:bCs/>
          <w:sz w:val="22"/>
          <w:szCs w:val="22"/>
        </w:rPr>
        <w:t>Respuesta:</w:t>
      </w:r>
    </w:p>
    <w:p w14:paraId="4FD29DC2" w14:textId="5DFAE967" w:rsidR="00EA51E5" w:rsidRDefault="00EA51E5" w:rsidP="001931C5">
      <w:pPr>
        <w:rPr>
          <w:rFonts w:cs="Arial"/>
          <w:sz w:val="22"/>
          <w:szCs w:val="22"/>
        </w:rPr>
      </w:pPr>
    </w:p>
    <w:p w14:paraId="7DD8EAA8" w14:textId="7638A657" w:rsidR="00EA51E5" w:rsidRPr="001931C5" w:rsidRDefault="00EA51E5" w:rsidP="00F82146">
      <w:pPr>
        <w:rPr>
          <w:rFonts w:cs="Arial"/>
          <w:sz w:val="22"/>
          <w:szCs w:val="22"/>
        </w:rPr>
      </w:pPr>
      <w:r>
        <w:rPr>
          <w:rFonts w:cs="Arial"/>
          <w:sz w:val="22"/>
          <w:szCs w:val="22"/>
        </w:rPr>
        <w:t>Las actividades de suministro y de transporte de gas natural son actividades independientes una de otra, se desarrollan por agentes diferentes mediante contratos diferentes con obligaciones diferentes, pero en la cadena de prestación del servicio, son actividades complementarias</w:t>
      </w:r>
      <w:r w:rsidR="00F82146">
        <w:rPr>
          <w:rFonts w:cs="Arial"/>
          <w:sz w:val="22"/>
          <w:szCs w:val="22"/>
        </w:rPr>
        <w:t>.</w:t>
      </w:r>
      <w:r w:rsidR="00F82146" w:rsidRPr="00F82146">
        <w:t xml:space="preserve"> </w:t>
      </w:r>
      <w:r w:rsidR="00F82146" w:rsidRPr="00F82146">
        <w:rPr>
          <w:rFonts w:cs="Arial"/>
          <w:sz w:val="22"/>
          <w:szCs w:val="22"/>
        </w:rPr>
        <w:t>Sin suministro no hay prestación del servicio al usuario final, así haya</w:t>
      </w:r>
      <w:r w:rsidR="00F82146">
        <w:rPr>
          <w:rFonts w:cs="Arial"/>
          <w:sz w:val="22"/>
          <w:szCs w:val="22"/>
        </w:rPr>
        <w:t xml:space="preserve"> </w:t>
      </w:r>
      <w:r w:rsidR="00F82146" w:rsidRPr="00F82146">
        <w:rPr>
          <w:rFonts w:cs="Arial"/>
          <w:sz w:val="22"/>
          <w:szCs w:val="22"/>
        </w:rPr>
        <w:t>transporte disponible</w:t>
      </w:r>
      <w:r w:rsidR="00F82146">
        <w:rPr>
          <w:rFonts w:cs="Arial"/>
          <w:sz w:val="22"/>
          <w:szCs w:val="22"/>
        </w:rPr>
        <w:t xml:space="preserve">, por lo que la CREG ha considerado que la obligación de pago del comprador en aquellos casos en que el suministro, así esté disponible no es asequible físicamente por el comprador por condiciones de la infraestructura de transporte que utiliza el suministro, debe ser suspendida.   </w:t>
      </w:r>
    </w:p>
    <w:p w14:paraId="6AF8908A" w14:textId="77777777" w:rsidR="001931C5" w:rsidRDefault="001931C5" w:rsidP="001931C5">
      <w:pPr>
        <w:rPr>
          <w:rFonts w:cs="Arial"/>
          <w:sz w:val="22"/>
          <w:szCs w:val="22"/>
        </w:rPr>
      </w:pPr>
    </w:p>
    <w:p w14:paraId="648F0767" w14:textId="77777777" w:rsidR="001931C5" w:rsidRDefault="001931C5" w:rsidP="001931C5">
      <w:pPr>
        <w:rPr>
          <w:rFonts w:cs="Arial"/>
          <w:sz w:val="22"/>
          <w:szCs w:val="22"/>
        </w:rPr>
      </w:pPr>
    </w:p>
    <w:p w14:paraId="61164E7F" w14:textId="35040287" w:rsidR="006E2C87" w:rsidRDefault="006E2C87" w:rsidP="00FB4C4A">
      <w:pPr>
        <w:pStyle w:val="Ttulo2"/>
      </w:pPr>
      <w:bookmarkStart w:id="650" w:name="_Toc140506340"/>
      <w:r>
        <w:t>EPM</w:t>
      </w:r>
      <w:bookmarkEnd w:id="650"/>
    </w:p>
    <w:p w14:paraId="11413FFB" w14:textId="77777777" w:rsidR="006E2C87" w:rsidRDefault="006E2C87" w:rsidP="006E2C87">
      <w:pPr>
        <w:pStyle w:val="Ttulo4"/>
      </w:pPr>
      <w:r>
        <w:t>EPM</w:t>
      </w:r>
    </w:p>
    <w:p w14:paraId="05D6D6BA" w14:textId="77777777" w:rsidR="006E2C87" w:rsidRPr="00F82146" w:rsidRDefault="006E2C87" w:rsidP="006E2C87">
      <w:pPr>
        <w:rPr>
          <w:rFonts w:cs="Arial"/>
          <w:i/>
          <w:iCs/>
          <w:sz w:val="22"/>
          <w:szCs w:val="22"/>
        </w:rPr>
      </w:pPr>
      <w:r w:rsidRPr="006E2C87">
        <w:rPr>
          <w:rFonts w:cs="Arial"/>
          <w:sz w:val="22"/>
          <w:szCs w:val="22"/>
        </w:rPr>
        <w:t>"</w:t>
      </w:r>
      <w:r w:rsidRPr="00F82146">
        <w:rPr>
          <w:rFonts w:cs="Arial"/>
          <w:i/>
          <w:iCs/>
          <w:sz w:val="22"/>
          <w:szCs w:val="22"/>
        </w:rPr>
        <w:t xml:space="preserve">Se propone en el artículo 11 adicionar un nuevo evento eximente de responsabilidad en donde el comprador no tendrá que pagar el suministro de gas, cuando dicho suministro no sea posible realizarlo por no contarse con la disponibilidad de transporte, debido a suspensiones por labores programadas. </w:t>
      </w:r>
    </w:p>
    <w:p w14:paraId="1DF86055" w14:textId="77777777" w:rsidR="006E2C87" w:rsidRPr="00F82146" w:rsidRDefault="006E2C87" w:rsidP="006E2C87">
      <w:pPr>
        <w:rPr>
          <w:rFonts w:cs="Arial"/>
          <w:i/>
          <w:iCs/>
          <w:sz w:val="22"/>
          <w:szCs w:val="22"/>
        </w:rPr>
      </w:pPr>
    </w:p>
    <w:p w14:paraId="5C9470A6" w14:textId="1F659F65" w:rsidR="006E2C87" w:rsidRPr="00F82146" w:rsidRDefault="006E2C87" w:rsidP="006E2C87">
      <w:pPr>
        <w:rPr>
          <w:rFonts w:cs="Arial"/>
          <w:i/>
          <w:iCs/>
          <w:sz w:val="22"/>
          <w:szCs w:val="22"/>
        </w:rPr>
      </w:pPr>
      <w:r w:rsidRPr="00F82146">
        <w:rPr>
          <w:rFonts w:cs="Arial"/>
          <w:i/>
          <w:iCs/>
          <w:sz w:val="22"/>
          <w:szCs w:val="22"/>
        </w:rPr>
        <w:t xml:space="preserve">Al respecto, se sugiere que esta misma exigencia se replique en el caso de la resolución CREG 185 de 2020 cuando un campo productor entra en manteamientos programados o no programados cuando ocurren </w:t>
      </w:r>
      <w:r w:rsidR="009D2FDC">
        <w:rPr>
          <w:rFonts w:cs="Arial"/>
          <w:i/>
          <w:iCs/>
          <w:sz w:val="22"/>
          <w:szCs w:val="22"/>
        </w:rPr>
        <w:t>‘</w:t>
      </w:r>
      <w:r w:rsidRPr="00F82146">
        <w:rPr>
          <w:rFonts w:cs="Arial"/>
          <w:i/>
          <w:iCs/>
          <w:sz w:val="22"/>
          <w:szCs w:val="22"/>
        </w:rPr>
        <w:t>fallas súbitas</w:t>
      </w:r>
      <w:r w:rsidR="009D2FDC">
        <w:rPr>
          <w:rFonts w:cs="Arial"/>
          <w:i/>
          <w:iCs/>
          <w:sz w:val="22"/>
          <w:szCs w:val="22"/>
        </w:rPr>
        <w:t>’</w:t>
      </w:r>
      <w:r w:rsidRPr="00F82146">
        <w:rPr>
          <w:rFonts w:cs="Arial"/>
          <w:i/>
          <w:iCs/>
          <w:sz w:val="22"/>
          <w:szCs w:val="22"/>
        </w:rPr>
        <w:t xml:space="preserve"> por daños en algún equipo del productor y a los remitentes se les cobra el transporte, así no sea posible llevar el gas hasta el usuario final por motivo de tales fallas en la producción. </w:t>
      </w:r>
    </w:p>
    <w:p w14:paraId="655E0D04" w14:textId="77777777" w:rsidR="006E2C87" w:rsidRPr="00F82146" w:rsidRDefault="006E2C87" w:rsidP="006E2C87">
      <w:pPr>
        <w:rPr>
          <w:rFonts w:cs="Arial"/>
          <w:i/>
          <w:iCs/>
          <w:sz w:val="22"/>
          <w:szCs w:val="22"/>
        </w:rPr>
      </w:pPr>
    </w:p>
    <w:p w14:paraId="6EFB610F" w14:textId="1F3143DA" w:rsidR="006E2C87" w:rsidRPr="00F82146" w:rsidRDefault="006E2C87" w:rsidP="006E2C87">
      <w:pPr>
        <w:rPr>
          <w:rFonts w:cs="Arial"/>
          <w:i/>
          <w:iCs/>
          <w:sz w:val="22"/>
          <w:szCs w:val="22"/>
        </w:rPr>
      </w:pPr>
      <w:r w:rsidRPr="00F82146">
        <w:rPr>
          <w:rFonts w:cs="Arial"/>
          <w:i/>
          <w:iCs/>
          <w:sz w:val="22"/>
          <w:szCs w:val="22"/>
        </w:rPr>
        <w:t>Igualmente, no debe dejarse por fuera lo que sucede actualmente con los eventos de fuerza mayor, en donde el efecto es prácticamente el mismo citado por la Comisión en el caso de eventos eximentes. Cuando ocurre un evento de fuerza mayor en Transporte de gas, por ejemplo, un deslizamiento de tierra que genera perdida de presión en un gasoducto, se suspende la obligación de pago en el contrato de transporte, pero el productor no acepta dicha fuerza mayor alegando que son contratos diferentes y continua con el cobro así no se pueda transportar gas hasta la demanda y viceversa. Por lo anterior y dado que estos eventos tienen la misma consecuencia sobre la demanda, la cual es que el gas no llega al usuario final bien sea por fallas en el suministro o en el transporte, respetuosamente sugerimos armonizar los artículos 10 y 11 de la Resolución CREG 186 y CREG 185 de 2020, de cara a la eficiencia en los precios cobrados a la misma, cuando existan eventos como los citados que impidan el transporte o el suministro de gas hasta el usuario final.</w:t>
      </w:r>
      <w:r w:rsidR="009F6E4B">
        <w:rPr>
          <w:rFonts w:cs="Arial"/>
          <w:i/>
          <w:iCs/>
          <w:sz w:val="22"/>
          <w:szCs w:val="22"/>
        </w:rPr>
        <w:t>”</w:t>
      </w:r>
      <w:r w:rsidRPr="00F82146">
        <w:rPr>
          <w:rFonts w:cs="Arial"/>
          <w:i/>
          <w:iCs/>
          <w:sz w:val="22"/>
          <w:szCs w:val="22"/>
        </w:rPr>
        <w:t xml:space="preserve"> </w:t>
      </w:r>
    </w:p>
    <w:p w14:paraId="3CC773A9" w14:textId="75AD12FC" w:rsidR="006E2C87" w:rsidRDefault="006E2C87" w:rsidP="006E2C87">
      <w:pPr>
        <w:rPr>
          <w:rFonts w:cs="Arial"/>
          <w:i/>
          <w:iCs/>
          <w:sz w:val="22"/>
          <w:szCs w:val="22"/>
        </w:rPr>
      </w:pPr>
    </w:p>
    <w:p w14:paraId="0BBE503A" w14:textId="0236BA50" w:rsidR="00905D4E" w:rsidRPr="00905D4E" w:rsidRDefault="00905D4E" w:rsidP="006E2C87">
      <w:pPr>
        <w:rPr>
          <w:rFonts w:cs="Arial"/>
          <w:b/>
          <w:bCs/>
          <w:sz w:val="22"/>
          <w:szCs w:val="22"/>
        </w:rPr>
      </w:pPr>
      <w:r w:rsidRPr="00905D4E">
        <w:rPr>
          <w:rFonts w:cs="Arial"/>
          <w:b/>
          <w:bCs/>
          <w:sz w:val="22"/>
          <w:szCs w:val="22"/>
        </w:rPr>
        <w:t>Respuesta:</w:t>
      </w:r>
    </w:p>
    <w:p w14:paraId="089641DE" w14:textId="07699AFA" w:rsidR="00905D4E" w:rsidRDefault="00905D4E" w:rsidP="006E2C87">
      <w:pPr>
        <w:rPr>
          <w:rFonts w:cs="Arial"/>
          <w:i/>
          <w:iCs/>
          <w:sz w:val="22"/>
          <w:szCs w:val="22"/>
        </w:rPr>
      </w:pPr>
    </w:p>
    <w:p w14:paraId="1306C453" w14:textId="7A8818C8" w:rsidR="00905D4E" w:rsidRDefault="008E0E40" w:rsidP="00905D4E">
      <w:pPr>
        <w:rPr>
          <w:rFonts w:cs="Arial"/>
          <w:sz w:val="22"/>
          <w:szCs w:val="22"/>
        </w:rPr>
      </w:pPr>
      <w:r>
        <w:rPr>
          <w:rFonts w:cs="Arial"/>
          <w:sz w:val="22"/>
          <w:szCs w:val="22"/>
        </w:rPr>
        <w:t>Se</w:t>
      </w:r>
      <w:r w:rsidR="00905D4E">
        <w:rPr>
          <w:rFonts w:cs="Arial"/>
          <w:sz w:val="22"/>
          <w:szCs w:val="22"/>
        </w:rPr>
        <w:t xml:space="preserve"> acoge el comentario.</w:t>
      </w:r>
    </w:p>
    <w:p w14:paraId="796B0B33" w14:textId="5FA2E6B1" w:rsidR="00905D4E" w:rsidRDefault="00905D4E" w:rsidP="006E2C87">
      <w:pPr>
        <w:rPr>
          <w:rFonts w:cs="Arial"/>
          <w:i/>
          <w:iCs/>
          <w:sz w:val="22"/>
          <w:szCs w:val="22"/>
        </w:rPr>
      </w:pPr>
    </w:p>
    <w:p w14:paraId="1350C7BA" w14:textId="71CDBAF2" w:rsidR="008E0E40" w:rsidRDefault="008E0E40" w:rsidP="008E0E40">
      <w:pPr>
        <w:rPr>
          <w:rFonts w:cs="Arial"/>
          <w:sz w:val="22"/>
          <w:szCs w:val="22"/>
        </w:rPr>
      </w:pPr>
      <w:r>
        <w:rPr>
          <w:rFonts w:cs="Arial"/>
          <w:sz w:val="22"/>
          <w:szCs w:val="22"/>
        </w:rPr>
        <w:t>En la nueva propuesta se hace inclusión de dichas circunstancias generales de eventos eximentes.</w:t>
      </w:r>
    </w:p>
    <w:p w14:paraId="7C89D55D" w14:textId="6E256DFD" w:rsidR="008E0E40" w:rsidRDefault="008E0E40" w:rsidP="008E0E40">
      <w:pPr>
        <w:rPr>
          <w:rFonts w:cs="Arial"/>
          <w:i/>
          <w:iCs/>
          <w:sz w:val="22"/>
          <w:szCs w:val="22"/>
        </w:rPr>
      </w:pPr>
    </w:p>
    <w:p w14:paraId="67077540" w14:textId="242A050C" w:rsidR="00905D4E" w:rsidRDefault="00905D4E" w:rsidP="006E2C87">
      <w:pPr>
        <w:rPr>
          <w:rFonts w:cs="Arial"/>
          <w:i/>
          <w:iCs/>
          <w:sz w:val="22"/>
          <w:szCs w:val="22"/>
        </w:rPr>
      </w:pPr>
    </w:p>
    <w:p w14:paraId="0A54CC93" w14:textId="77777777" w:rsidR="00905D4E" w:rsidRDefault="00905D4E" w:rsidP="00905D4E">
      <w:pPr>
        <w:pStyle w:val="Ttulo4"/>
        <w:numPr>
          <w:ilvl w:val="3"/>
          <w:numId w:val="1"/>
        </w:numPr>
      </w:pPr>
      <w:r>
        <w:t>EPM</w:t>
      </w:r>
    </w:p>
    <w:p w14:paraId="4AACF3EF" w14:textId="3D966F79" w:rsidR="006E2C87" w:rsidRPr="00F82146" w:rsidRDefault="009F6E4B" w:rsidP="006E2C87">
      <w:pPr>
        <w:rPr>
          <w:rFonts w:cs="Arial"/>
          <w:i/>
          <w:iCs/>
          <w:sz w:val="22"/>
          <w:szCs w:val="22"/>
        </w:rPr>
      </w:pPr>
      <w:r>
        <w:rPr>
          <w:rFonts w:cs="Arial"/>
          <w:i/>
          <w:iCs/>
          <w:sz w:val="22"/>
          <w:szCs w:val="22"/>
        </w:rPr>
        <w:t>“</w:t>
      </w:r>
      <w:r w:rsidR="006E2C87" w:rsidRPr="00F82146">
        <w:rPr>
          <w:rFonts w:cs="Arial"/>
          <w:i/>
          <w:iCs/>
          <w:sz w:val="22"/>
          <w:szCs w:val="22"/>
        </w:rPr>
        <w:t xml:space="preserve">Finalmente, vale la pena mencionar que los riesgos asociados a una falla o mantenimiento no programado en el suministro gas o en la capacidad de transporte son riesgos no gestionables por parte del Distribuidor – Comercializador y que, al ocasionar incumplimiento del contrato firme estos deben compensarse a los usuarios de acuerdo con lo mencionado en el anexo 2 de la Resolución CREG 186 y el anexo 3 de la Resolución CREG 185. </w:t>
      </w:r>
    </w:p>
    <w:p w14:paraId="6816F3FC" w14:textId="77777777" w:rsidR="006E2C87" w:rsidRPr="00F82146" w:rsidRDefault="006E2C87" w:rsidP="006E2C87">
      <w:pPr>
        <w:rPr>
          <w:rFonts w:cs="Arial"/>
          <w:i/>
          <w:iCs/>
          <w:sz w:val="22"/>
          <w:szCs w:val="22"/>
        </w:rPr>
      </w:pPr>
    </w:p>
    <w:p w14:paraId="539AF46B" w14:textId="6A6FAF69" w:rsidR="006E2C87" w:rsidRDefault="006E2C87" w:rsidP="006E2C87">
      <w:pPr>
        <w:rPr>
          <w:rFonts w:cs="Arial"/>
          <w:sz w:val="22"/>
          <w:szCs w:val="22"/>
        </w:rPr>
      </w:pPr>
      <w:r w:rsidRPr="00F82146">
        <w:rPr>
          <w:rFonts w:cs="Arial"/>
          <w:i/>
          <w:iCs/>
          <w:sz w:val="22"/>
          <w:szCs w:val="22"/>
        </w:rPr>
        <w:t xml:space="preserve">Estos eventos ocasionan una pérdida económica importante para el Distribuidor – Comercializador por el gas que deja de fluir por la red y donde desde el 2013 el regulador reconoció, que el productor o Transportador que incumpliera debía hacer un pago a través de la variable señalada en tales anexos. Sin embargo, esta variable quedó atada al </w:t>
      </w:r>
      <w:proofErr w:type="spellStart"/>
      <w:r w:rsidRPr="00F82146">
        <w:rPr>
          <w:rFonts w:cs="Arial"/>
          <w:i/>
          <w:iCs/>
          <w:sz w:val="22"/>
          <w:szCs w:val="22"/>
        </w:rPr>
        <w:t>Dfj,m,T</w:t>
      </w:r>
      <w:proofErr w:type="spellEnd"/>
      <w:r w:rsidRPr="00F82146">
        <w:rPr>
          <w:rFonts w:cs="Arial"/>
          <w:i/>
          <w:iCs/>
          <w:sz w:val="22"/>
          <w:szCs w:val="22"/>
        </w:rPr>
        <w:t xml:space="preserve"> componente fijo del cargo </w:t>
      </w:r>
      <w:r w:rsidR="00B270F5">
        <w:rPr>
          <w:rFonts w:cs="Arial"/>
          <w:i/>
          <w:iCs/>
          <w:sz w:val="22"/>
          <w:szCs w:val="22"/>
        </w:rPr>
        <w:t>‘</w:t>
      </w:r>
      <w:r w:rsidRPr="00F82146">
        <w:rPr>
          <w:rFonts w:cs="Arial"/>
          <w:i/>
          <w:iCs/>
          <w:sz w:val="22"/>
          <w:szCs w:val="22"/>
        </w:rPr>
        <w:t>Dm</w:t>
      </w:r>
      <w:r w:rsidR="00B270F5">
        <w:rPr>
          <w:rFonts w:cs="Arial"/>
          <w:i/>
          <w:iCs/>
          <w:sz w:val="22"/>
          <w:szCs w:val="22"/>
        </w:rPr>
        <w:t>’</w:t>
      </w:r>
      <w:r w:rsidRPr="00F82146">
        <w:rPr>
          <w:rFonts w:cs="Arial"/>
          <w:i/>
          <w:iCs/>
          <w:sz w:val="22"/>
          <w:szCs w:val="22"/>
        </w:rPr>
        <w:t xml:space="preserve"> que estuvo vigente hasta que la Resolución Creg 011 de 2003 lo estuvo por lo cual, para subsanar este impase y ante un evento que genere incumplimiento contractual en el suministro o en el transporte que restrinja el volumen de gas que pasa por la red, se sugiere al regulador remplazar dicha variable por el producto entre cargo medio </w:t>
      </w:r>
      <w:r w:rsidR="00B270F5">
        <w:rPr>
          <w:rFonts w:cs="Arial"/>
          <w:i/>
          <w:iCs/>
          <w:sz w:val="22"/>
          <w:szCs w:val="22"/>
        </w:rPr>
        <w:t>‘</w:t>
      </w:r>
      <w:r w:rsidRPr="00F82146">
        <w:rPr>
          <w:rFonts w:cs="Arial"/>
          <w:i/>
          <w:iCs/>
          <w:sz w:val="22"/>
          <w:szCs w:val="22"/>
        </w:rPr>
        <w:t>Dm</w:t>
      </w:r>
      <w:r w:rsidR="00B270F5">
        <w:rPr>
          <w:rFonts w:cs="Arial"/>
          <w:i/>
          <w:iCs/>
          <w:sz w:val="22"/>
          <w:szCs w:val="22"/>
        </w:rPr>
        <w:t>’</w:t>
      </w:r>
      <w:r w:rsidRPr="00F82146">
        <w:rPr>
          <w:rFonts w:cs="Arial"/>
          <w:i/>
          <w:iCs/>
          <w:sz w:val="22"/>
          <w:szCs w:val="22"/>
        </w:rPr>
        <w:t xml:space="preserve"> de cada mercado relevante por los KPCD dejados de transportar por la red de distribución.</w:t>
      </w:r>
      <w:r w:rsidRPr="006E2C87">
        <w:rPr>
          <w:rFonts w:cs="Arial"/>
          <w:sz w:val="22"/>
          <w:szCs w:val="22"/>
        </w:rPr>
        <w:t xml:space="preserve"> "</w:t>
      </w:r>
    </w:p>
    <w:p w14:paraId="4C703B04" w14:textId="0894F1E2" w:rsidR="00F82146" w:rsidRDefault="00F82146" w:rsidP="006E2C87">
      <w:pPr>
        <w:rPr>
          <w:rFonts w:cs="Arial"/>
          <w:sz w:val="22"/>
          <w:szCs w:val="22"/>
        </w:rPr>
      </w:pPr>
    </w:p>
    <w:p w14:paraId="55100E04" w14:textId="67595B67" w:rsidR="00F82146" w:rsidRPr="00F82146" w:rsidRDefault="00F82146" w:rsidP="006E2C87">
      <w:pPr>
        <w:rPr>
          <w:rFonts w:cs="Arial"/>
          <w:b/>
          <w:bCs/>
          <w:sz w:val="22"/>
          <w:szCs w:val="22"/>
        </w:rPr>
      </w:pPr>
      <w:r w:rsidRPr="00F82146">
        <w:rPr>
          <w:rFonts w:cs="Arial"/>
          <w:b/>
          <w:bCs/>
          <w:sz w:val="22"/>
          <w:szCs w:val="22"/>
        </w:rPr>
        <w:t>Respuesta:</w:t>
      </w:r>
    </w:p>
    <w:p w14:paraId="6A147F4B" w14:textId="478C0301" w:rsidR="00F82146" w:rsidRDefault="00F82146" w:rsidP="006E2C87">
      <w:pPr>
        <w:rPr>
          <w:rFonts w:cs="Arial"/>
          <w:sz w:val="22"/>
          <w:szCs w:val="22"/>
        </w:rPr>
      </w:pPr>
    </w:p>
    <w:p w14:paraId="615C1960" w14:textId="6F47189F" w:rsidR="00841CC1" w:rsidRDefault="00841CC1" w:rsidP="006E2C87">
      <w:pPr>
        <w:rPr>
          <w:rFonts w:cs="Arial"/>
          <w:sz w:val="22"/>
          <w:szCs w:val="22"/>
        </w:rPr>
      </w:pPr>
      <w:r>
        <w:rPr>
          <w:rFonts w:cs="Arial"/>
          <w:sz w:val="22"/>
          <w:szCs w:val="22"/>
        </w:rPr>
        <w:t>No se acoge el comentario.</w:t>
      </w:r>
    </w:p>
    <w:p w14:paraId="15888E5D" w14:textId="32CA5057" w:rsidR="00301BB4" w:rsidRDefault="00301BB4" w:rsidP="006E2C87">
      <w:pPr>
        <w:rPr>
          <w:rFonts w:cs="Arial"/>
          <w:sz w:val="22"/>
          <w:szCs w:val="22"/>
        </w:rPr>
      </w:pPr>
    </w:p>
    <w:p w14:paraId="1678E92F" w14:textId="62007EB5" w:rsidR="00301BB4" w:rsidRDefault="00301BB4" w:rsidP="006E2C87">
      <w:pPr>
        <w:rPr>
          <w:rFonts w:cs="Arial"/>
          <w:sz w:val="22"/>
          <w:szCs w:val="22"/>
        </w:rPr>
      </w:pPr>
      <w:r>
        <w:rPr>
          <w:rFonts w:cs="Arial"/>
          <w:sz w:val="22"/>
          <w:szCs w:val="22"/>
        </w:rPr>
        <w:t xml:space="preserve">La modificación propuesta no es parte del alcance de la regulación del Mercado Mayorista de Gas Natural </w:t>
      </w:r>
      <w:proofErr w:type="gramStart"/>
      <w:r>
        <w:rPr>
          <w:rFonts w:cs="Arial"/>
          <w:sz w:val="22"/>
          <w:szCs w:val="22"/>
        </w:rPr>
        <w:t>y</w:t>
      </w:r>
      <w:proofErr w:type="gramEnd"/>
      <w:r>
        <w:rPr>
          <w:rFonts w:cs="Arial"/>
          <w:sz w:val="22"/>
          <w:szCs w:val="22"/>
        </w:rPr>
        <w:t xml:space="preserve"> por tanto, de los ajustes que se propongan. </w:t>
      </w:r>
    </w:p>
    <w:p w14:paraId="4940AF48" w14:textId="4B10D1E3" w:rsidR="00841CC1" w:rsidRDefault="00841CC1" w:rsidP="006E2C87">
      <w:pPr>
        <w:rPr>
          <w:rFonts w:cs="Arial"/>
          <w:sz w:val="22"/>
          <w:szCs w:val="22"/>
        </w:rPr>
      </w:pPr>
    </w:p>
    <w:p w14:paraId="3D251BE2" w14:textId="59A93E1D" w:rsidR="00021284" w:rsidRPr="00021284" w:rsidRDefault="00021284" w:rsidP="00021284">
      <w:pPr>
        <w:rPr>
          <w:rFonts w:cs="Arial"/>
          <w:sz w:val="22"/>
          <w:szCs w:val="22"/>
        </w:rPr>
      </w:pPr>
      <w:r w:rsidRPr="00021284">
        <w:rPr>
          <w:rFonts w:cs="Arial"/>
          <w:sz w:val="22"/>
          <w:szCs w:val="22"/>
        </w:rPr>
        <w:t xml:space="preserve">Se aclara que el componente fijo del cargo Dm, se consideraba en la metodología tarifaria de la Resolución CREG 011 de 2003 la cual fue remplazada por la Resolución CREG 202 de 2013 y sus modificaciones y adiciones y la cual se analizó y no se consideró. La </w:t>
      </w:r>
      <w:r w:rsidR="00B66683">
        <w:rPr>
          <w:rFonts w:cs="Arial"/>
          <w:sz w:val="22"/>
          <w:szCs w:val="22"/>
        </w:rPr>
        <w:t>pertinencia</w:t>
      </w:r>
      <w:r w:rsidR="00B66683" w:rsidRPr="00021284">
        <w:rPr>
          <w:rFonts w:cs="Arial"/>
          <w:sz w:val="22"/>
          <w:szCs w:val="22"/>
        </w:rPr>
        <w:t xml:space="preserve"> </w:t>
      </w:r>
      <w:r w:rsidRPr="00021284">
        <w:rPr>
          <w:rFonts w:cs="Arial"/>
          <w:sz w:val="22"/>
          <w:szCs w:val="22"/>
        </w:rPr>
        <w:t>de que esta componente D tenga una parte fija y otra variable podrá volverse analizar en su momento cuando se hagan los estudios y análisis para modificar la metodología del componente que remunera la actividad de distribución.</w:t>
      </w:r>
    </w:p>
    <w:p w14:paraId="4914BC09" w14:textId="77777777" w:rsidR="00841CC1" w:rsidRDefault="00841CC1" w:rsidP="006E2C87">
      <w:pPr>
        <w:rPr>
          <w:rFonts w:cs="Arial"/>
          <w:sz w:val="22"/>
          <w:szCs w:val="22"/>
        </w:rPr>
      </w:pPr>
    </w:p>
    <w:p w14:paraId="358213BB" w14:textId="77777777" w:rsidR="00F82146" w:rsidRPr="006E2C87" w:rsidRDefault="00F82146" w:rsidP="006E2C87">
      <w:pPr>
        <w:rPr>
          <w:rFonts w:cs="Arial"/>
          <w:sz w:val="22"/>
          <w:szCs w:val="22"/>
        </w:rPr>
      </w:pPr>
    </w:p>
    <w:p w14:paraId="0F4F4449" w14:textId="77777777" w:rsidR="006E2C87" w:rsidRPr="006E2C87" w:rsidRDefault="006E2C87" w:rsidP="006E2C87">
      <w:pPr>
        <w:rPr>
          <w:rFonts w:cs="Arial"/>
          <w:sz w:val="22"/>
          <w:szCs w:val="22"/>
        </w:rPr>
      </w:pPr>
    </w:p>
    <w:p w14:paraId="6F70B9B4" w14:textId="385CF456" w:rsidR="001931C5" w:rsidRDefault="001931C5" w:rsidP="00FB4C4A">
      <w:pPr>
        <w:pStyle w:val="Ttulo2"/>
      </w:pPr>
      <w:bookmarkStart w:id="651" w:name="_Toc140506341"/>
      <w:r w:rsidRPr="001931C5">
        <w:t>GEAM</w:t>
      </w:r>
      <w:bookmarkEnd w:id="651"/>
      <w:r w:rsidRPr="001931C5">
        <w:tab/>
      </w:r>
    </w:p>
    <w:p w14:paraId="51E1B81A" w14:textId="77777777" w:rsidR="00060709" w:rsidRDefault="00060709" w:rsidP="00060709">
      <w:pPr>
        <w:pStyle w:val="Ttulo4"/>
      </w:pPr>
      <w:r w:rsidRPr="001931C5">
        <w:t>GEAM</w:t>
      </w:r>
      <w:r w:rsidRPr="001931C5">
        <w:tab/>
      </w:r>
    </w:p>
    <w:p w14:paraId="70C91D44" w14:textId="66BE0C51" w:rsidR="001931C5" w:rsidRPr="007B4080" w:rsidRDefault="00FD40B5" w:rsidP="001931C5">
      <w:pPr>
        <w:rPr>
          <w:rFonts w:cs="Arial"/>
          <w:i/>
          <w:iCs/>
          <w:sz w:val="22"/>
          <w:szCs w:val="22"/>
        </w:rPr>
      </w:pPr>
      <w:r>
        <w:rPr>
          <w:rFonts w:cs="Arial"/>
          <w:i/>
          <w:iCs/>
          <w:sz w:val="22"/>
          <w:szCs w:val="22"/>
        </w:rPr>
        <w:t>“</w:t>
      </w:r>
      <w:r w:rsidR="001931C5" w:rsidRPr="007B4080">
        <w:rPr>
          <w:rFonts w:cs="Arial"/>
          <w:i/>
          <w:iCs/>
          <w:sz w:val="22"/>
          <w:szCs w:val="22"/>
        </w:rPr>
        <w:t>Se solicita el cambio en el término que tienen los compradores del Mercado Primario para informar las suspensiones por labores programadas para reparaciones técnicas o mantenimientos periódicos porque la resolución CREG 147 de 2015 les permite a los vendedores del Mercado Primario notificar CNOG de eventos no programados de manteamiento y reparación con una antelación no mayor a veinticuatro (24) horas, lo cual no es directamente proporcional al tiempo que los compradores del Mercado Primero tienen permitido por la resolución 186 de 2020 que pretende ser modificado por el proyecto de resolución 226 de 2021 para dar aviso de las suspensiones por labores programadas para reparaciones técnicas o mantenimientos periódicos, toda vez que, los compradores del Mercado Primario deben notificar al productores-comercializadores y a los comercializadores de gas importado con una antelación no menor de un mes. Lo mencionado anteriormente, afecta directamente a los compradores del Mercado Primero porque están expuestos a que los Productores-comercializadores y comercializadores de gas importado puedan suspender el suministro de gas por labores de mantenimiento sólo con 24 de antelación, en cambio los primeros sólo pueden notificar con una antelación de un mes y quedan expuestos a tener que pagar compensaciones o multas si sucede un evento eximente por labores de mantenimiento que no hayan sido notificadas con un mes de antelación.</w:t>
      </w:r>
      <w:r>
        <w:rPr>
          <w:rFonts w:cs="Arial"/>
          <w:i/>
          <w:iCs/>
          <w:sz w:val="22"/>
          <w:szCs w:val="22"/>
        </w:rPr>
        <w:t>”</w:t>
      </w:r>
      <w:r w:rsidR="001931C5" w:rsidRPr="007B4080">
        <w:rPr>
          <w:rFonts w:cs="Arial"/>
          <w:i/>
          <w:iCs/>
          <w:sz w:val="22"/>
          <w:szCs w:val="22"/>
        </w:rPr>
        <w:t xml:space="preserve"> </w:t>
      </w:r>
    </w:p>
    <w:p w14:paraId="5ACB46A8" w14:textId="43628667" w:rsidR="007B4080" w:rsidRDefault="007B4080" w:rsidP="001931C5">
      <w:pPr>
        <w:rPr>
          <w:rFonts w:cs="Arial"/>
          <w:sz w:val="22"/>
          <w:szCs w:val="22"/>
        </w:rPr>
      </w:pPr>
    </w:p>
    <w:p w14:paraId="35CB026C" w14:textId="6B8FEA29" w:rsidR="007B4080" w:rsidRPr="007B4080" w:rsidRDefault="007B4080" w:rsidP="001931C5">
      <w:pPr>
        <w:rPr>
          <w:rFonts w:cs="Arial"/>
          <w:b/>
          <w:bCs/>
          <w:sz w:val="22"/>
          <w:szCs w:val="22"/>
        </w:rPr>
      </w:pPr>
      <w:r w:rsidRPr="007B4080">
        <w:rPr>
          <w:rFonts w:cs="Arial"/>
          <w:b/>
          <w:bCs/>
          <w:sz w:val="22"/>
          <w:szCs w:val="22"/>
        </w:rPr>
        <w:t>Respuesta:</w:t>
      </w:r>
    </w:p>
    <w:p w14:paraId="0B1719FD" w14:textId="104CB264" w:rsidR="007B4080" w:rsidRDefault="007B4080" w:rsidP="001931C5">
      <w:pPr>
        <w:rPr>
          <w:rFonts w:cs="Arial"/>
          <w:sz w:val="22"/>
          <w:szCs w:val="22"/>
        </w:rPr>
      </w:pPr>
    </w:p>
    <w:p w14:paraId="696451A2" w14:textId="6E757C53" w:rsidR="007B4080" w:rsidRPr="001931C5" w:rsidRDefault="007B4080"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_Ref130794017 \r \h </w:instrText>
      </w:r>
      <w:r>
        <w:rPr>
          <w:rFonts w:cs="Arial"/>
          <w:sz w:val="22"/>
          <w:szCs w:val="22"/>
        </w:rPr>
      </w:r>
      <w:r>
        <w:rPr>
          <w:rFonts w:cs="Arial"/>
          <w:sz w:val="22"/>
          <w:szCs w:val="22"/>
        </w:rPr>
        <w:fldChar w:fldCharType="separate"/>
      </w:r>
      <w:r w:rsidR="007651EA">
        <w:rPr>
          <w:rFonts w:cs="Arial"/>
          <w:sz w:val="22"/>
          <w:szCs w:val="22"/>
        </w:rPr>
        <w:t>11.5.1.2</w:t>
      </w:r>
      <w:r>
        <w:rPr>
          <w:rFonts w:cs="Arial"/>
          <w:sz w:val="22"/>
          <w:szCs w:val="22"/>
        </w:rPr>
        <w:fldChar w:fldCharType="end"/>
      </w:r>
      <w:r>
        <w:rPr>
          <w:rFonts w:cs="Arial"/>
          <w:sz w:val="22"/>
          <w:szCs w:val="22"/>
        </w:rPr>
        <w:t>.</w:t>
      </w:r>
    </w:p>
    <w:p w14:paraId="239352F9" w14:textId="77777777" w:rsidR="001931C5" w:rsidRDefault="001931C5" w:rsidP="001931C5">
      <w:pPr>
        <w:rPr>
          <w:rFonts w:cs="Arial"/>
          <w:sz w:val="22"/>
          <w:szCs w:val="22"/>
        </w:rPr>
      </w:pPr>
    </w:p>
    <w:p w14:paraId="4E867BFF" w14:textId="77777777" w:rsidR="001931C5" w:rsidRDefault="001931C5" w:rsidP="001931C5">
      <w:pPr>
        <w:rPr>
          <w:rFonts w:cs="Arial"/>
          <w:sz w:val="22"/>
          <w:szCs w:val="22"/>
        </w:rPr>
      </w:pPr>
    </w:p>
    <w:p w14:paraId="47D8CCD4" w14:textId="77777777" w:rsidR="001931C5" w:rsidRDefault="001931C5" w:rsidP="00FB4C4A">
      <w:pPr>
        <w:pStyle w:val="Ttulo2"/>
      </w:pPr>
      <w:bookmarkStart w:id="652" w:name="_Toc140506342"/>
      <w:r w:rsidRPr="001931C5">
        <w:t>GECELCA</w:t>
      </w:r>
      <w:bookmarkEnd w:id="652"/>
      <w:r w:rsidRPr="001931C5">
        <w:tab/>
      </w:r>
    </w:p>
    <w:p w14:paraId="0E81F689" w14:textId="77777777" w:rsidR="00060709" w:rsidRDefault="00060709" w:rsidP="00060709">
      <w:pPr>
        <w:pStyle w:val="Ttulo4"/>
      </w:pPr>
      <w:bookmarkStart w:id="653" w:name="_Ref130795507"/>
      <w:r w:rsidRPr="001931C5">
        <w:t>GECELCA</w:t>
      </w:r>
      <w:bookmarkEnd w:id="653"/>
      <w:r w:rsidRPr="001931C5">
        <w:tab/>
      </w:r>
    </w:p>
    <w:p w14:paraId="6E74B81B" w14:textId="6DA36B96" w:rsidR="001931C5" w:rsidRPr="007B4080" w:rsidRDefault="00C43519" w:rsidP="001931C5">
      <w:pPr>
        <w:rPr>
          <w:rFonts w:cs="Arial"/>
          <w:i/>
          <w:iCs/>
          <w:sz w:val="22"/>
          <w:szCs w:val="22"/>
        </w:rPr>
      </w:pPr>
      <w:r>
        <w:rPr>
          <w:rFonts w:cs="Arial"/>
          <w:i/>
          <w:iCs/>
          <w:sz w:val="22"/>
          <w:szCs w:val="22"/>
        </w:rPr>
        <w:t>“</w:t>
      </w:r>
      <w:r w:rsidR="001931C5" w:rsidRPr="007B4080">
        <w:rPr>
          <w:rFonts w:cs="Arial"/>
          <w:i/>
          <w:iCs/>
          <w:sz w:val="22"/>
          <w:szCs w:val="22"/>
        </w:rPr>
        <w:t>Consideramos oportuno lo establecido en este numeral de la propuesta de resolución. Sin embargo, vemos necesario que se complemente con un ajuste a la Resolución CREG 185 de 2020, de tal forma que se permita que ante labores programadas para reparaciones técnicas en la infraestructura de suministro también sea contemplado como un evento eximente de responsabilidad.</w:t>
      </w:r>
      <w:r>
        <w:rPr>
          <w:rFonts w:cs="Arial"/>
          <w:i/>
          <w:iCs/>
          <w:sz w:val="22"/>
          <w:szCs w:val="22"/>
        </w:rPr>
        <w:t>”</w:t>
      </w:r>
      <w:r w:rsidR="001931C5" w:rsidRPr="007B4080">
        <w:rPr>
          <w:rFonts w:cs="Arial"/>
          <w:i/>
          <w:iCs/>
          <w:sz w:val="22"/>
          <w:szCs w:val="22"/>
        </w:rPr>
        <w:t xml:space="preserve"> </w:t>
      </w:r>
    </w:p>
    <w:p w14:paraId="6F107FFD" w14:textId="670AF223" w:rsidR="007B4080" w:rsidRDefault="007B4080" w:rsidP="001931C5">
      <w:pPr>
        <w:rPr>
          <w:rFonts w:cs="Arial"/>
          <w:sz w:val="22"/>
          <w:szCs w:val="22"/>
        </w:rPr>
      </w:pPr>
    </w:p>
    <w:p w14:paraId="29F811D7" w14:textId="53A6A899" w:rsidR="007B4080" w:rsidRPr="007B4080" w:rsidRDefault="007B4080" w:rsidP="001931C5">
      <w:pPr>
        <w:rPr>
          <w:rFonts w:cs="Arial"/>
          <w:b/>
          <w:bCs/>
          <w:sz w:val="22"/>
          <w:szCs w:val="22"/>
        </w:rPr>
      </w:pPr>
      <w:r w:rsidRPr="007B4080">
        <w:rPr>
          <w:rFonts w:cs="Arial"/>
          <w:b/>
          <w:bCs/>
          <w:sz w:val="22"/>
          <w:szCs w:val="22"/>
        </w:rPr>
        <w:t>Respuesta:</w:t>
      </w:r>
    </w:p>
    <w:p w14:paraId="3B9EC7A1" w14:textId="555D415B" w:rsidR="007B4080" w:rsidRDefault="007B4080" w:rsidP="001931C5">
      <w:pPr>
        <w:rPr>
          <w:rFonts w:cs="Arial"/>
          <w:sz w:val="22"/>
          <w:szCs w:val="22"/>
        </w:rPr>
      </w:pPr>
    </w:p>
    <w:p w14:paraId="75A1200A" w14:textId="29CC65C0" w:rsidR="007B4080" w:rsidRDefault="007B4080" w:rsidP="001931C5">
      <w:pPr>
        <w:rPr>
          <w:rFonts w:cs="Arial"/>
          <w:sz w:val="22"/>
          <w:szCs w:val="22"/>
        </w:rPr>
      </w:pPr>
      <w:r>
        <w:rPr>
          <w:rFonts w:cs="Arial"/>
          <w:sz w:val="22"/>
          <w:szCs w:val="22"/>
        </w:rPr>
        <w:t>No se acoge el comentario.</w:t>
      </w:r>
    </w:p>
    <w:p w14:paraId="21684BDF" w14:textId="39336AAD" w:rsidR="007B4080" w:rsidRDefault="007B4080" w:rsidP="001931C5">
      <w:pPr>
        <w:rPr>
          <w:rFonts w:cs="Arial"/>
          <w:sz w:val="22"/>
          <w:szCs w:val="22"/>
        </w:rPr>
      </w:pPr>
    </w:p>
    <w:p w14:paraId="757CD9EF" w14:textId="77777777" w:rsidR="007B4080" w:rsidRDefault="007B4080" w:rsidP="007B4080">
      <w:pPr>
        <w:rPr>
          <w:rFonts w:cs="Arial"/>
          <w:sz w:val="22"/>
          <w:szCs w:val="22"/>
        </w:rPr>
      </w:pPr>
      <w:r>
        <w:rPr>
          <w:rFonts w:cs="Arial"/>
          <w:sz w:val="22"/>
          <w:szCs w:val="22"/>
        </w:rPr>
        <w:t xml:space="preserve">La modificación sugerida no es parte del alcance de la regulación del Mercado Mayorista de Gas Natural </w:t>
      </w:r>
      <w:proofErr w:type="gramStart"/>
      <w:r>
        <w:rPr>
          <w:rFonts w:cs="Arial"/>
          <w:sz w:val="22"/>
          <w:szCs w:val="22"/>
        </w:rPr>
        <w:t>y</w:t>
      </w:r>
      <w:proofErr w:type="gramEnd"/>
      <w:r>
        <w:rPr>
          <w:rFonts w:cs="Arial"/>
          <w:sz w:val="22"/>
          <w:szCs w:val="22"/>
        </w:rPr>
        <w:t xml:space="preserve"> por tanto, de los ajustes que se propongan. El comentario será tenido en cuenta para efectos de la revisión, actualización, modificación de la Resolución CREG 185 de 2020.</w:t>
      </w:r>
    </w:p>
    <w:p w14:paraId="0E4D1DCF" w14:textId="77777777" w:rsidR="007B4080" w:rsidRDefault="007B4080" w:rsidP="007B4080">
      <w:pPr>
        <w:rPr>
          <w:rFonts w:cs="Arial"/>
          <w:sz w:val="22"/>
          <w:szCs w:val="22"/>
        </w:rPr>
      </w:pPr>
    </w:p>
    <w:p w14:paraId="3294FDB1" w14:textId="4CC0B8C0" w:rsidR="007B4080" w:rsidRDefault="007B4080" w:rsidP="007B4080">
      <w:pPr>
        <w:rPr>
          <w:rFonts w:cs="Arial"/>
          <w:sz w:val="22"/>
          <w:szCs w:val="22"/>
        </w:rPr>
      </w:pPr>
      <w:r>
        <w:rPr>
          <w:rFonts w:cs="Arial"/>
          <w:sz w:val="22"/>
          <w:szCs w:val="22"/>
        </w:rPr>
        <w:t xml:space="preserve">Debe tenerse en cuenta en todo caso el antecedente establecido en forma transitoria en la Resolución CREG 102 011 de 2022.   </w:t>
      </w:r>
    </w:p>
    <w:p w14:paraId="04903F53" w14:textId="77777777" w:rsidR="007B4080" w:rsidRDefault="007B4080" w:rsidP="001931C5">
      <w:pPr>
        <w:rPr>
          <w:rFonts w:cs="Arial"/>
          <w:sz w:val="22"/>
          <w:szCs w:val="22"/>
        </w:rPr>
      </w:pPr>
    </w:p>
    <w:p w14:paraId="44989B7F" w14:textId="77777777" w:rsidR="007B4080" w:rsidRPr="001931C5" w:rsidRDefault="007B4080" w:rsidP="001931C5">
      <w:pPr>
        <w:rPr>
          <w:rFonts w:cs="Arial"/>
          <w:sz w:val="22"/>
          <w:szCs w:val="22"/>
        </w:rPr>
      </w:pPr>
    </w:p>
    <w:p w14:paraId="43247254" w14:textId="77777777" w:rsidR="001931C5" w:rsidRDefault="001931C5" w:rsidP="001931C5">
      <w:pPr>
        <w:rPr>
          <w:rFonts w:cs="Arial"/>
          <w:sz w:val="22"/>
          <w:szCs w:val="22"/>
        </w:rPr>
      </w:pPr>
    </w:p>
    <w:p w14:paraId="6238F7CD" w14:textId="77777777" w:rsidR="001931C5" w:rsidRDefault="001931C5" w:rsidP="00060709">
      <w:pPr>
        <w:pStyle w:val="Ttulo4"/>
      </w:pPr>
      <w:r w:rsidRPr="001931C5">
        <w:t>GECELCA</w:t>
      </w:r>
      <w:r w:rsidRPr="001931C5">
        <w:tab/>
      </w:r>
    </w:p>
    <w:p w14:paraId="0EC7CE23" w14:textId="10394251" w:rsidR="001931C5" w:rsidRPr="007B4080" w:rsidRDefault="00C43519" w:rsidP="001931C5">
      <w:pPr>
        <w:rPr>
          <w:rFonts w:cs="Arial"/>
          <w:i/>
          <w:iCs/>
          <w:sz w:val="22"/>
          <w:szCs w:val="22"/>
        </w:rPr>
      </w:pPr>
      <w:r>
        <w:rPr>
          <w:rFonts w:cs="Arial"/>
          <w:i/>
          <w:iCs/>
          <w:sz w:val="22"/>
          <w:szCs w:val="22"/>
        </w:rPr>
        <w:t>“</w:t>
      </w:r>
      <w:r w:rsidR="001931C5" w:rsidRPr="007B4080">
        <w:rPr>
          <w:rFonts w:cs="Arial"/>
          <w:i/>
          <w:iCs/>
          <w:sz w:val="22"/>
          <w:szCs w:val="22"/>
        </w:rPr>
        <w:t xml:space="preserve">Consideramos pertinente que la CREG revise el tiempo mínimo de un (1) mes que requieren los compradores del mercado primario para informar a los productores-comercializadores y comercializadores de gas importado sobre labores programadas para reparaciones técnicas o mantenimientos periódicos. Lo anterior, teniendo en cuenta que para un generador térmico los mantenimientos de las unidades dependen de la </w:t>
      </w:r>
      <w:proofErr w:type="spellStart"/>
      <w:r w:rsidR="001931C5" w:rsidRPr="007B4080">
        <w:rPr>
          <w:rFonts w:cs="Arial"/>
          <w:i/>
          <w:iCs/>
          <w:sz w:val="22"/>
          <w:szCs w:val="22"/>
        </w:rPr>
        <w:t>despachabilidad</w:t>
      </w:r>
      <w:proofErr w:type="spellEnd"/>
      <w:r w:rsidR="001931C5" w:rsidRPr="007B4080">
        <w:rPr>
          <w:rFonts w:cs="Arial"/>
          <w:i/>
          <w:iCs/>
          <w:sz w:val="22"/>
          <w:szCs w:val="22"/>
        </w:rPr>
        <w:t xml:space="preserve"> y las horas de operación, lo cual genera una alta incertidumbre y aumenta los requerimientos de mayores horas de mantenimientos, por lo tanto, vemos conveniente que se reduzca el tiempo mínimo para este requerimiento de un (1) mes a ocho (8) días hábiles, el cual es un tiempo acorde para este tipo de solicitud.</w:t>
      </w:r>
      <w:r w:rsidR="00704054">
        <w:rPr>
          <w:rFonts w:cs="Arial"/>
          <w:i/>
          <w:iCs/>
          <w:sz w:val="22"/>
          <w:szCs w:val="22"/>
        </w:rPr>
        <w:t>”</w:t>
      </w:r>
    </w:p>
    <w:p w14:paraId="52D3BC7A" w14:textId="1FF27B0D" w:rsidR="007B4080" w:rsidRDefault="007B4080" w:rsidP="001931C5">
      <w:pPr>
        <w:rPr>
          <w:rFonts w:cs="Arial"/>
          <w:sz w:val="22"/>
          <w:szCs w:val="22"/>
        </w:rPr>
      </w:pPr>
    </w:p>
    <w:p w14:paraId="34675653" w14:textId="48DB407B" w:rsidR="007B4080" w:rsidRPr="007B4080" w:rsidRDefault="007B4080" w:rsidP="001931C5">
      <w:pPr>
        <w:rPr>
          <w:rFonts w:cs="Arial"/>
          <w:b/>
          <w:bCs/>
          <w:sz w:val="22"/>
          <w:szCs w:val="22"/>
        </w:rPr>
      </w:pPr>
      <w:r w:rsidRPr="007B4080">
        <w:rPr>
          <w:rFonts w:cs="Arial"/>
          <w:b/>
          <w:bCs/>
          <w:sz w:val="22"/>
          <w:szCs w:val="22"/>
        </w:rPr>
        <w:t>Respuesta:</w:t>
      </w:r>
    </w:p>
    <w:p w14:paraId="1E458BBF" w14:textId="6D0EE8CA" w:rsidR="007B4080" w:rsidRDefault="007B4080" w:rsidP="001931C5">
      <w:pPr>
        <w:rPr>
          <w:rFonts w:cs="Arial"/>
          <w:sz w:val="22"/>
          <w:szCs w:val="22"/>
        </w:rPr>
      </w:pPr>
    </w:p>
    <w:p w14:paraId="70057561" w14:textId="314488F4" w:rsidR="007B4080" w:rsidRDefault="007B4080"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_Ref130794017 \r \h </w:instrText>
      </w:r>
      <w:r>
        <w:rPr>
          <w:rFonts w:cs="Arial"/>
          <w:sz w:val="22"/>
          <w:szCs w:val="22"/>
        </w:rPr>
      </w:r>
      <w:r>
        <w:rPr>
          <w:rFonts w:cs="Arial"/>
          <w:sz w:val="22"/>
          <w:szCs w:val="22"/>
        </w:rPr>
        <w:fldChar w:fldCharType="separate"/>
      </w:r>
      <w:r w:rsidR="007651EA">
        <w:rPr>
          <w:rFonts w:cs="Arial"/>
          <w:sz w:val="22"/>
          <w:szCs w:val="22"/>
        </w:rPr>
        <w:t>11.5.1.2</w:t>
      </w:r>
      <w:r>
        <w:rPr>
          <w:rFonts w:cs="Arial"/>
          <w:sz w:val="22"/>
          <w:szCs w:val="22"/>
        </w:rPr>
        <w:fldChar w:fldCharType="end"/>
      </w:r>
      <w:r>
        <w:rPr>
          <w:rFonts w:cs="Arial"/>
          <w:sz w:val="22"/>
          <w:szCs w:val="22"/>
        </w:rPr>
        <w:t>.</w:t>
      </w:r>
    </w:p>
    <w:p w14:paraId="51CADB0A" w14:textId="77777777" w:rsidR="007B4080" w:rsidRPr="001931C5" w:rsidRDefault="007B4080" w:rsidP="001931C5">
      <w:pPr>
        <w:rPr>
          <w:rFonts w:cs="Arial"/>
          <w:sz w:val="22"/>
          <w:szCs w:val="22"/>
        </w:rPr>
      </w:pPr>
    </w:p>
    <w:p w14:paraId="68D01AAC" w14:textId="77777777" w:rsidR="001931C5" w:rsidRDefault="001931C5" w:rsidP="001931C5">
      <w:pPr>
        <w:rPr>
          <w:rFonts w:cs="Arial"/>
          <w:sz w:val="22"/>
          <w:szCs w:val="22"/>
        </w:rPr>
      </w:pPr>
    </w:p>
    <w:p w14:paraId="0943E2A5" w14:textId="77777777" w:rsidR="001931C5" w:rsidRDefault="001931C5" w:rsidP="00060709">
      <w:pPr>
        <w:pStyle w:val="Ttulo4"/>
      </w:pPr>
      <w:r w:rsidRPr="001931C5">
        <w:t>GECELCA</w:t>
      </w:r>
      <w:r w:rsidRPr="001931C5">
        <w:tab/>
      </w:r>
    </w:p>
    <w:p w14:paraId="690BE206" w14:textId="784441B3" w:rsidR="001931C5" w:rsidRPr="007B4080" w:rsidRDefault="001931C5" w:rsidP="001931C5">
      <w:pPr>
        <w:rPr>
          <w:rFonts w:cs="Arial"/>
          <w:i/>
          <w:iCs/>
          <w:sz w:val="22"/>
          <w:szCs w:val="22"/>
        </w:rPr>
      </w:pPr>
      <w:r w:rsidRPr="001931C5">
        <w:rPr>
          <w:rFonts w:cs="Arial"/>
          <w:sz w:val="22"/>
          <w:szCs w:val="22"/>
        </w:rPr>
        <w:t>"</w:t>
      </w:r>
      <w:r w:rsidRPr="007B4080">
        <w:rPr>
          <w:rFonts w:cs="Arial"/>
          <w:i/>
          <w:iCs/>
          <w:sz w:val="22"/>
          <w:szCs w:val="22"/>
        </w:rPr>
        <w:t>Se observa una asimetría entre las obligaciones contractuales de los productores-comercializadores y transportadores de gas y las de las compradores o remitentes, teniendo en cuenta que ante una limitación técnica que genera la imposibilidad de entregar el producto los productores-comercializadores cuentan con la posibilidad de declarar una</w:t>
      </w:r>
      <w:r w:rsidR="007B4080">
        <w:rPr>
          <w:rFonts w:cs="Arial"/>
          <w:i/>
          <w:iCs/>
          <w:sz w:val="22"/>
          <w:szCs w:val="22"/>
        </w:rPr>
        <w:t xml:space="preserve"> </w:t>
      </w:r>
      <w:r w:rsidR="00704054">
        <w:rPr>
          <w:rFonts w:cs="Arial"/>
          <w:i/>
          <w:iCs/>
          <w:sz w:val="22"/>
          <w:szCs w:val="22"/>
        </w:rPr>
        <w:t>‘</w:t>
      </w:r>
      <w:r w:rsidRPr="007B4080">
        <w:rPr>
          <w:rFonts w:cs="Arial"/>
          <w:i/>
          <w:iCs/>
          <w:sz w:val="22"/>
          <w:szCs w:val="22"/>
        </w:rPr>
        <w:t>Insalvable Restricción en la Oferta de Gas Natural</w:t>
      </w:r>
      <w:r w:rsidR="00704054">
        <w:rPr>
          <w:rFonts w:cs="Arial"/>
          <w:i/>
          <w:iCs/>
          <w:sz w:val="22"/>
          <w:szCs w:val="22"/>
        </w:rPr>
        <w:t>’</w:t>
      </w:r>
      <w:r w:rsidRPr="007B4080">
        <w:rPr>
          <w:rFonts w:cs="Arial"/>
          <w:i/>
          <w:iCs/>
          <w:sz w:val="22"/>
          <w:szCs w:val="22"/>
        </w:rPr>
        <w:t xml:space="preserve"> que los exime del cumplimiento de entrega del gas contratado, mientras que para los consumidores de gas y más específicamente para los  generadores térmicos no es posible suspender de forma temporal la obligación de consumo y/o pago de las cantidades contratadas en firme ante limitaciones o fallas en sus activos.</w:t>
      </w:r>
    </w:p>
    <w:p w14:paraId="6741183F" w14:textId="77777777" w:rsidR="007B4080" w:rsidRDefault="007B4080" w:rsidP="001931C5">
      <w:pPr>
        <w:rPr>
          <w:rFonts w:cs="Arial"/>
          <w:i/>
          <w:iCs/>
          <w:sz w:val="22"/>
          <w:szCs w:val="22"/>
        </w:rPr>
      </w:pPr>
    </w:p>
    <w:p w14:paraId="3D49668E" w14:textId="79B9C82B" w:rsidR="007B4080" w:rsidRPr="007B4080" w:rsidRDefault="001931C5" w:rsidP="001931C5">
      <w:pPr>
        <w:rPr>
          <w:rFonts w:cs="Arial"/>
          <w:i/>
          <w:iCs/>
          <w:sz w:val="22"/>
          <w:szCs w:val="22"/>
        </w:rPr>
      </w:pPr>
      <w:r w:rsidRPr="007B4080">
        <w:rPr>
          <w:rFonts w:cs="Arial"/>
          <w:i/>
          <w:iCs/>
          <w:sz w:val="22"/>
          <w:szCs w:val="22"/>
        </w:rPr>
        <w:t>Lo anterior, se ha evidenciado cuando los generadores térmicos han realizados declaraciones de eventos de fuerza mayor a productores y transportadores originados por temas técnicos que no permiten consumir el gas y los vendedores no aceptan dicha declaración.</w:t>
      </w:r>
      <w:r w:rsidR="007B4080" w:rsidRPr="007B4080">
        <w:rPr>
          <w:rFonts w:cs="Arial"/>
          <w:i/>
          <w:iCs/>
          <w:sz w:val="22"/>
          <w:szCs w:val="22"/>
        </w:rPr>
        <w:t>”</w:t>
      </w:r>
    </w:p>
    <w:p w14:paraId="6E195422" w14:textId="77777777" w:rsidR="007B4080" w:rsidRDefault="007B4080" w:rsidP="001931C5">
      <w:pPr>
        <w:rPr>
          <w:rFonts w:cs="Arial"/>
          <w:sz w:val="22"/>
          <w:szCs w:val="22"/>
        </w:rPr>
      </w:pPr>
    </w:p>
    <w:p w14:paraId="3A249366" w14:textId="77777777" w:rsidR="007B4080" w:rsidRPr="007B4080" w:rsidRDefault="007B4080" w:rsidP="001931C5">
      <w:pPr>
        <w:rPr>
          <w:rFonts w:cs="Arial"/>
          <w:b/>
          <w:bCs/>
          <w:sz w:val="22"/>
          <w:szCs w:val="22"/>
        </w:rPr>
      </w:pPr>
      <w:r w:rsidRPr="007B4080">
        <w:rPr>
          <w:rFonts w:cs="Arial"/>
          <w:b/>
          <w:bCs/>
          <w:sz w:val="22"/>
          <w:szCs w:val="22"/>
        </w:rPr>
        <w:t>Respuesta:</w:t>
      </w:r>
    </w:p>
    <w:p w14:paraId="742539B5" w14:textId="77777777" w:rsidR="007B4080" w:rsidRDefault="007B4080" w:rsidP="001931C5">
      <w:pPr>
        <w:rPr>
          <w:rFonts w:cs="Arial"/>
          <w:sz w:val="22"/>
          <w:szCs w:val="22"/>
        </w:rPr>
      </w:pPr>
    </w:p>
    <w:p w14:paraId="07EAF658" w14:textId="41C4B804" w:rsidR="001931C5" w:rsidRDefault="00B815BC" w:rsidP="001931C5">
      <w:pPr>
        <w:rPr>
          <w:rFonts w:cs="Arial"/>
          <w:sz w:val="22"/>
          <w:szCs w:val="22"/>
        </w:rPr>
      </w:pPr>
      <w:r>
        <w:rPr>
          <w:rFonts w:cs="Arial"/>
          <w:sz w:val="22"/>
          <w:szCs w:val="22"/>
        </w:rPr>
        <w:t>No se acoge el comentario.</w:t>
      </w:r>
    </w:p>
    <w:p w14:paraId="32D458B5" w14:textId="175BD6C5" w:rsidR="00B815BC" w:rsidRDefault="00B815BC" w:rsidP="001931C5">
      <w:pPr>
        <w:rPr>
          <w:rFonts w:cs="Arial"/>
          <w:sz w:val="22"/>
          <w:szCs w:val="22"/>
        </w:rPr>
      </w:pPr>
    </w:p>
    <w:p w14:paraId="394B1431" w14:textId="25766EC0" w:rsidR="00B815BC" w:rsidRDefault="00B815BC" w:rsidP="001931C5">
      <w:pPr>
        <w:rPr>
          <w:rFonts w:cs="Arial"/>
          <w:sz w:val="22"/>
          <w:szCs w:val="22"/>
        </w:rPr>
      </w:pPr>
      <w:r>
        <w:rPr>
          <w:rFonts w:cs="Arial"/>
          <w:sz w:val="22"/>
          <w:szCs w:val="22"/>
        </w:rPr>
        <w:t>En los eventos eximentes establecidos en la regulación CREG, incluyendo fuerza mayor, caso fortuito o causa extrañan, no se incluye alguno que se denomine o tenga específico origen en la sola declaración de una “</w:t>
      </w:r>
      <w:r w:rsidRPr="00B815BC">
        <w:rPr>
          <w:rFonts w:cs="Arial"/>
          <w:sz w:val="22"/>
          <w:szCs w:val="22"/>
        </w:rPr>
        <w:t>Insalvable Restricción en la Oferta de Gas Natural o Situación de Grave Emergencia</w:t>
      </w:r>
      <w:r>
        <w:rPr>
          <w:rFonts w:cs="Arial"/>
          <w:sz w:val="22"/>
          <w:szCs w:val="22"/>
        </w:rPr>
        <w:t xml:space="preserve">, </w:t>
      </w:r>
      <w:r w:rsidRPr="00B815BC">
        <w:rPr>
          <w:rFonts w:cs="Arial"/>
          <w:sz w:val="22"/>
          <w:szCs w:val="22"/>
        </w:rPr>
        <w:t>No Transitoria</w:t>
      </w:r>
      <w:r>
        <w:rPr>
          <w:rFonts w:cs="Arial"/>
          <w:sz w:val="22"/>
          <w:szCs w:val="22"/>
        </w:rPr>
        <w:t>”, que es una definición establecida en el Decreto 1073 de 2015.</w:t>
      </w:r>
    </w:p>
    <w:p w14:paraId="4B83749F" w14:textId="0D1DCC6F" w:rsidR="00B815BC" w:rsidRDefault="00B815BC" w:rsidP="001931C5">
      <w:pPr>
        <w:rPr>
          <w:rFonts w:cs="Arial"/>
          <w:sz w:val="22"/>
          <w:szCs w:val="22"/>
        </w:rPr>
      </w:pPr>
    </w:p>
    <w:p w14:paraId="0A1DAD9F" w14:textId="30FDA9FE" w:rsidR="001931C5" w:rsidRDefault="00B815BC" w:rsidP="001931C5">
      <w:pPr>
        <w:rPr>
          <w:rFonts w:cs="Arial"/>
          <w:sz w:val="22"/>
          <w:szCs w:val="22"/>
        </w:rPr>
      </w:pPr>
      <w:r>
        <w:rPr>
          <w:rFonts w:cs="Arial"/>
          <w:sz w:val="22"/>
          <w:szCs w:val="22"/>
        </w:rPr>
        <w:t>Siendo así, no es posible acudir a la reciprocidad a favor del agente comprador en algo que no está establecido en la condición mínima de evento eximente para ninguna de las partes del contrato de suministro. Otra cosa es que el origen de la “</w:t>
      </w:r>
      <w:r w:rsidRPr="00B815BC">
        <w:rPr>
          <w:rFonts w:cs="Arial"/>
          <w:sz w:val="22"/>
          <w:szCs w:val="22"/>
        </w:rPr>
        <w:t>Insalvable Restricción en la Oferta de Gas Natural o Situación de Grave Emergencia</w:t>
      </w:r>
      <w:r>
        <w:rPr>
          <w:rFonts w:cs="Arial"/>
          <w:sz w:val="22"/>
          <w:szCs w:val="22"/>
        </w:rPr>
        <w:t xml:space="preserve">, </w:t>
      </w:r>
      <w:r w:rsidRPr="00B815BC">
        <w:rPr>
          <w:rFonts w:cs="Arial"/>
          <w:sz w:val="22"/>
          <w:szCs w:val="22"/>
        </w:rPr>
        <w:t>No Transitoria</w:t>
      </w:r>
      <w:r>
        <w:rPr>
          <w:rFonts w:cs="Arial"/>
          <w:sz w:val="22"/>
          <w:szCs w:val="22"/>
        </w:rPr>
        <w:t xml:space="preserve">” sea un evento eximente, pues en ese caso es por aplicación de la condición mínima CREG, que como ya se </w:t>
      </w:r>
      <w:r w:rsidR="0088762F">
        <w:rPr>
          <w:rFonts w:cs="Arial"/>
          <w:sz w:val="22"/>
          <w:szCs w:val="22"/>
        </w:rPr>
        <w:t>expuso</w:t>
      </w:r>
      <w:r>
        <w:rPr>
          <w:rFonts w:cs="Arial"/>
          <w:sz w:val="22"/>
          <w:szCs w:val="22"/>
        </w:rPr>
        <w:t>, es recíproca.</w:t>
      </w:r>
    </w:p>
    <w:p w14:paraId="51146E33" w14:textId="77777777" w:rsidR="001931C5" w:rsidRDefault="001931C5" w:rsidP="001931C5">
      <w:pPr>
        <w:rPr>
          <w:rFonts w:cs="Arial"/>
          <w:sz w:val="22"/>
          <w:szCs w:val="22"/>
        </w:rPr>
      </w:pPr>
    </w:p>
    <w:p w14:paraId="503E40C1" w14:textId="77777777" w:rsidR="001931C5" w:rsidRDefault="001931C5" w:rsidP="00FB4C4A">
      <w:pPr>
        <w:pStyle w:val="Ttulo2"/>
      </w:pPr>
      <w:bookmarkStart w:id="654" w:name="_Toc140506343"/>
      <w:r w:rsidRPr="001931C5">
        <w:t>GIGAS ENERGY</w:t>
      </w:r>
      <w:bookmarkEnd w:id="654"/>
      <w:r w:rsidRPr="001931C5">
        <w:tab/>
      </w:r>
    </w:p>
    <w:p w14:paraId="396C38CE" w14:textId="77777777" w:rsidR="00060709" w:rsidRDefault="00060709" w:rsidP="00060709">
      <w:pPr>
        <w:pStyle w:val="Ttulo4"/>
      </w:pPr>
      <w:bookmarkStart w:id="655" w:name="_Ref130795794"/>
      <w:r w:rsidRPr="001931C5">
        <w:t>GIGAS ENERGY</w:t>
      </w:r>
      <w:bookmarkEnd w:id="655"/>
      <w:r w:rsidRPr="001931C5">
        <w:tab/>
      </w:r>
    </w:p>
    <w:p w14:paraId="5BF9529A" w14:textId="72DD02C5" w:rsidR="001931C5" w:rsidRPr="00F22C09" w:rsidRDefault="0088762F" w:rsidP="001931C5">
      <w:pPr>
        <w:rPr>
          <w:rFonts w:cs="Arial"/>
          <w:i/>
          <w:iCs/>
          <w:sz w:val="22"/>
          <w:szCs w:val="22"/>
        </w:rPr>
      </w:pPr>
      <w:r>
        <w:rPr>
          <w:rFonts w:cs="Arial"/>
          <w:i/>
          <w:iCs/>
          <w:sz w:val="22"/>
          <w:szCs w:val="22"/>
        </w:rPr>
        <w:t>“</w:t>
      </w:r>
      <w:r w:rsidR="001931C5" w:rsidRPr="00F22C09">
        <w:rPr>
          <w:rFonts w:cs="Arial"/>
          <w:i/>
          <w:iCs/>
          <w:sz w:val="22"/>
          <w:szCs w:val="22"/>
        </w:rPr>
        <w:t>Consideramos que es necesario aclarar que, para efectos de la interpretación de este literal, la infraestructura de transporte a la que se hace referencia es a aquellos que está siendo utilizada por el comprador del gas que requiere ser transportando.</w:t>
      </w:r>
      <w:r>
        <w:rPr>
          <w:rFonts w:cs="Arial"/>
          <w:i/>
          <w:iCs/>
          <w:sz w:val="22"/>
          <w:szCs w:val="22"/>
        </w:rPr>
        <w:t>”</w:t>
      </w:r>
    </w:p>
    <w:p w14:paraId="670A766E" w14:textId="176E572B" w:rsidR="00F22C09" w:rsidRDefault="00F22C09" w:rsidP="001931C5">
      <w:pPr>
        <w:rPr>
          <w:rFonts w:cs="Arial"/>
          <w:sz w:val="22"/>
          <w:szCs w:val="22"/>
        </w:rPr>
      </w:pPr>
    </w:p>
    <w:p w14:paraId="7F12D419" w14:textId="1BC53E3A" w:rsidR="00F22C09" w:rsidRPr="00F22C09" w:rsidRDefault="00F22C09" w:rsidP="001931C5">
      <w:pPr>
        <w:rPr>
          <w:rFonts w:cs="Arial"/>
          <w:b/>
          <w:bCs/>
          <w:sz w:val="22"/>
          <w:szCs w:val="22"/>
        </w:rPr>
      </w:pPr>
      <w:r w:rsidRPr="00F22C09">
        <w:rPr>
          <w:rFonts w:cs="Arial"/>
          <w:b/>
          <w:bCs/>
          <w:sz w:val="22"/>
          <w:szCs w:val="22"/>
        </w:rPr>
        <w:t>Respuesta:</w:t>
      </w:r>
    </w:p>
    <w:p w14:paraId="78F10119" w14:textId="2C405D3D" w:rsidR="00F22C09" w:rsidRDefault="00F22C09" w:rsidP="001931C5">
      <w:pPr>
        <w:rPr>
          <w:rFonts w:cs="Arial"/>
          <w:sz w:val="22"/>
          <w:szCs w:val="22"/>
        </w:rPr>
      </w:pPr>
    </w:p>
    <w:p w14:paraId="3C45C2F4" w14:textId="0517E644" w:rsidR="00F22C09" w:rsidRDefault="00E8626E" w:rsidP="001931C5">
      <w:pPr>
        <w:rPr>
          <w:rFonts w:cs="Arial"/>
          <w:sz w:val="22"/>
          <w:szCs w:val="22"/>
        </w:rPr>
      </w:pPr>
      <w:r>
        <w:rPr>
          <w:rFonts w:cs="Arial"/>
          <w:sz w:val="22"/>
          <w:szCs w:val="22"/>
        </w:rPr>
        <w:t>Se acoge el comentario.</w:t>
      </w:r>
    </w:p>
    <w:p w14:paraId="00E97B40" w14:textId="1829F0BD" w:rsidR="00E8626E" w:rsidRDefault="00E8626E" w:rsidP="001931C5">
      <w:pPr>
        <w:rPr>
          <w:rFonts w:cs="Arial"/>
          <w:sz w:val="22"/>
          <w:szCs w:val="22"/>
        </w:rPr>
      </w:pPr>
    </w:p>
    <w:p w14:paraId="1C0535C4" w14:textId="3370B364" w:rsidR="00E8626E" w:rsidRDefault="00E8626E" w:rsidP="001931C5">
      <w:pPr>
        <w:rPr>
          <w:rFonts w:cs="Arial"/>
          <w:sz w:val="22"/>
          <w:szCs w:val="22"/>
        </w:rPr>
      </w:pPr>
      <w:r>
        <w:rPr>
          <w:rFonts w:cs="Arial"/>
          <w:sz w:val="22"/>
          <w:szCs w:val="22"/>
        </w:rPr>
        <w:t>En la nueva propuesta se hace la adición de texto considerada necesaria para la correcta aplicación del nuevo evento eximente.</w:t>
      </w:r>
    </w:p>
    <w:p w14:paraId="0B6491F7" w14:textId="77777777" w:rsidR="00F22C09" w:rsidRPr="001931C5" w:rsidRDefault="00F22C09" w:rsidP="001931C5">
      <w:pPr>
        <w:rPr>
          <w:rFonts w:cs="Arial"/>
          <w:sz w:val="22"/>
          <w:szCs w:val="22"/>
        </w:rPr>
      </w:pPr>
    </w:p>
    <w:p w14:paraId="63FB44F5" w14:textId="77777777" w:rsidR="001931C5" w:rsidRDefault="001931C5" w:rsidP="001931C5">
      <w:pPr>
        <w:rPr>
          <w:rFonts w:cs="Arial"/>
          <w:sz w:val="22"/>
          <w:szCs w:val="22"/>
        </w:rPr>
      </w:pPr>
    </w:p>
    <w:p w14:paraId="156C9FBF" w14:textId="77777777" w:rsidR="001931C5" w:rsidRDefault="001931C5" w:rsidP="00060709">
      <w:pPr>
        <w:pStyle w:val="Ttulo4"/>
      </w:pPr>
      <w:r w:rsidRPr="001931C5">
        <w:t>GIGAS ENERGY</w:t>
      </w:r>
      <w:r w:rsidRPr="001931C5">
        <w:tab/>
      </w:r>
    </w:p>
    <w:p w14:paraId="06E2C679" w14:textId="0E6F545C" w:rsidR="001931C5" w:rsidRPr="00E8626E" w:rsidRDefault="00F1656A" w:rsidP="001931C5">
      <w:pPr>
        <w:rPr>
          <w:rFonts w:cs="Arial"/>
          <w:i/>
          <w:iCs/>
          <w:sz w:val="22"/>
          <w:szCs w:val="22"/>
        </w:rPr>
      </w:pPr>
      <w:r>
        <w:rPr>
          <w:rFonts w:cs="Arial"/>
          <w:i/>
          <w:iCs/>
          <w:sz w:val="22"/>
          <w:szCs w:val="22"/>
        </w:rPr>
        <w:t>“</w:t>
      </w:r>
      <w:r w:rsidR="001931C5" w:rsidRPr="00E8626E">
        <w:rPr>
          <w:rFonts w:cs="Arial"/>
          <w:i/>
          <w:iCs/>
          <w:sz w:val="22"/>
          <w:szCs w:val="22"/>
        </w:rPr>
        <w:t xml:space="preserve">Resulta importante armonizar lo contemplado en la Resolución 226 con lo establecido en el artículo 10 de la Resolución la Resolución 185 de 2020, en el sentido de incluir la </w:t>
      </w:r>
      <w:r w:rsidRPr="00E8626E">
        <w:rPr>
          <w:rFonts w:cs="Arial"/>
          <w:i/>
          <w:iCs/>
          <w:sz w:val="22"/>
          <w:szCs w:val="22"/>
        </w:rPr>
        <w:t>causal</w:t>
      </w:r>
      <w:r w:rsidR="001931C5" w:rsidRPr="00E8626E">
        <w:rPr>
          <w:rFonts w:cs="Arial"/>
          <w:i/>
          <w:iCs/>
          <w:sz w:val="22"/>
          <w:szCs w:val="22"/>
        </w:rPr>
        <w:t xml:space="preserve"> eximente de responsabilidad las reparaciones y mantenimientos realizados a la infraestructura de producción.</w:t>
      </w:r>
      <w:r>
        <w:rPr>
          <w:rFonts w:cs="Arial"/>
          <w:i/>
          <w:iCs/>
          <w:sz w:val="22"/>
          <w:szCs w:val="22"/>
        </w:rPr>
        <w:t>”</w:t>
      </w:r>
    </w:p>
    <w:p w14:paraId="3B32C54F" w14:textId="25C848BC" w:rsidR="00E8626E" w:rsidRDefault="00E8626E" w:rsidP="001931C5">
      <w:pPr>
        <w:rPr>
          <w:rFonts w:cs="Arial"/>
          <w:sz w:val="22"/>
          <w:szCs w:val="22"/>
        </w:rPr>
      </w:pPr>
    </w:p>
    <w:p w14:paraId="0F9B1065" w14:textId="0B580CC4" w:rsidR="00E8626E" w:rsidRPr="00E8626E" w:rsidRDefault="00E8626E" w:rsidP="001931C5">
      <w:pPr>
        <w:rPr>
          <w:rFonts w:cs="Arial"/>
          <w:b/>
          <w:bCs/>
          <w:sz w:val="22"/>
          <w:szCs w:val="22"/>
        </w:rPr>
      </w:pPr>
      <w:r w:rsidRPr="00E8626E">
        <w:rPr>
          <w:rFonts w:cs="Arial"/>
          <w:b/>
          <w:bCs/>
          <w:sz w:val="22"/>
          <w:szCs w:val="22"/>
        </w:rPr>
        <w:t>Respuesta:</w:t>
      </w:r>
    </w:p>
    <w:p w14:paraId="4BEE77BF" w14:textId="1674AB3D" w:rsidR="00E8626E" w:rsidRDefault="00E8626E" w:rsidP="001931C5">
      <w:pPr>
        <w:rPr>
          <w:rFonts w:cs="Arial"/>
          <w:sz w:val="22"/>
          <w:szCs w:val="22"/>
        </w:rPr>
      </w:pPr>
    </w:p>
    <w:p w14:paraId="14D9F644" w14:textId="0D8D5252" w:rsidR="00E8626E" w:rsidRDefault="000E6CC6"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_Ref130795507 \r \h </w:instrText>
      </w:r>
      <w:r>
        <w:rPr>
          <w:rFonts w:cs="Arial"/>
          <w:sz w:val="22"/>
          <w:szCs w:val="22"/>
        </w:rPr>
      </w:r>
      <w:r>
        <w:rPr>
          <w:rFonts w:cs="Arial"/>
          <w:sz w:val="22"/>
          <w:szCs w:val="22"/>
        </w:rPr>
        <w:fldChar w:fldCharType="separate"/>
      </w:r>
      <w:r w:rsidR="007651EA">
        <w:rPr>
          <w:rFonts w:cs="Arial"/>
          <w:sz w:val="22"/>
          <w:szCs w:val="22"/>
        </w:rPr>
        <w:t>11.8.1.1</w:t>
      </w:r>
      <w:r>
        <w:rPr>
          <w:rFonts w:cs="Arial"/>
          <w:sz w:val="22"/>
          <w:szCs w:val="22"/>
        </w:rPr>
        <w:fldChar w:fldCharType="end"/>
      </w:r>
      <w:r>
        <w:rPr>
          <w:rFonts w:cs="Arial"/>
          <w:sz w:val="22"/>
          <w:szCs w:val="22"/>
        </w:rPr>
        <w:t>.</w:t>
      </w:r>
    </w:p>
    <w:p w14:paraId="2B4A7867" w14:textId="77777777" w:rsidR="00E8626E" w:rsidRPr="001931C5" w:rsidRDefault="00E8626E" w:rsidP="001931C5">
      <w:pPr>
        <w:rPr>
          <w:rFonts w:cs="Arial"/>
          <w:sz w:val="22"/>
          <w:szCs w:val="22"/>
        </w:rPr>
      </w:pPr>
    </w:p>
    <w:p w14:paraId="41F6FAB7" w14:textId="77777777" w:rsidR="001931C5" w:rsidRDefault="001931C5" w:rsidP="001931C5">
      <w:pPr>
        <w:rPr>
          <w:rFonts w:cs="Arial"/>
          <w:sz w:val="22"/>
          <w:szCs w:val="22"/>
        </w:rPr>
      </w:pPr>
    </w:p>
    <w:p w14:paraId="17CC4ACC" w14:textId="77777777" w:rsidR="001931C5" w:rsidRDefault="001931C5" w:rsidP="00060709">
      <w:pPr>
        <w:pStyle w:val="Ttulo4"/>
      </w:pPr>
      <w:r w:rsidRPr="001931C5">
        <w:t>GIGAS ENERGY</w:t>
      </w:r>
      <w:r w:rsidRPr="001931C5">
        <w:tab/>
      </w:r>
    </w:p>
    <w:p w14:paraId="44E4D258" w14:textId="39EE4C6D" w:rsidR="001931C5" w:rsidRPr="000E6CC6" w:rsidRDefault="00F1656A" w:rsidP="001931C5">
      <w:pPr>
        <w:rPr>
          <w:rFonts w:cs="Arial"/>
          <w:i/>
          <w:iCs/>
          <w:sz w:val="22"/>
          <w:szCs w:val="22"/>
        </w:rPr>
      </w:pPr>
      <w:r>
        <w:rPr>
          <w:rFonts w:cs="Arial"/>
          <w:i/>
          <w:iCs/>
          <w:sz w:val="22"/>
          <w:szCs w:val="22"/>
        </w:rPr>
        <w:t>“</w:t>
      </w:r>
      <w:r w:rsidR="001931C5" w:rsidRPr="000E6CC6">
        <w:rPr>
          <w:rFonts w:cs="Arial"/>
          <w:i/>
          <w:iCs/>
          <w:sz w:val="22"/>
          <w:szCs w:val="22"/>
        </w:rPr>
        <w:t>El regulador debe considerar y tener en cuenta que las labores y mantenimientos programados aguas abajo en la i</w:t>
      </w:r>
      <w:r w:rsidR="000E6CC6" w:rsidRPr="000E6CC6">
        <w:rPr>
          <w:rFonts w:cs="Arial"/>
          <w:i/>
          <w:iCs/>
          <w:sz w:val="22"/>
          <w:szCs w:val="22"/>
        </w:rPr>
        <w:t>n</w:t>
      </w:r>
      <w:r w:rsidR="001931C5" w:rsidRPr="000E6CC6">
        <w:rPr>
          <w:rFonts w:cs="Arial"/>
          <w:i/>
          <w:iCs/>
          <w:sz w:val="22"/>
          <w:szCs w:val="22"/>
        </w:rPr>
        <w:t xml:space="preserve">fraestructura del usuario final, particularmente los usuarios del sector industrial y </w:t>
      </w:r>
      <w:proofErr w:type="gramStart"/>
      <w:r w:rsidR="001931C5" w:rsidRPr="000E6CC6">
        <w:rPr>
          <w:rFonts w:cs="Arial"/>
          <w:i/>
          <w:iCs/>
          <w:sz w:val="22"/>
          <w:szCs w:val="22"/>
        </w:rPr>
        <w:t>térmico,</w:t>
      </w:r>
      <w:proofErr w:type="gramEnd"/>
      <w:r w:rsidR="00AA32E1">
        <w:rPr>
          <w:rFonts w:cs="Arial"/>
          <w:i/>
          <w:iCs/>
          <w:sz w:val="22"/>
          <w:szCs w:val="22"/>
        </w:rPr>
        <w:t xml:space="preserve"> </w:t>
      </w:r>
      <w:r w:rsidR="001931C5" w:rsidRPr="000E6CC6">
        <w:rPr>
          <w:rFonts w:cs="Arial"/>
          <w:i/>
          <w:iCs/>
          <w:sz w:val="22"/>
          <w:szCs w:val="22"/>
        </w:rPr>
        <w:t>también acarrean afectaciones, directas e indirectas, que afectan el suministro y el transporte de gas, incluso cuando las relaciones con dichos usuarios final constituyen un negocio que se desarrolla dentro del mercado minorista.</w:t>
      </w:r>
      <w:r>
        <w:rPr>
          <w:rFonts w:cs="Arial"/>
          <w:i/>
          <w:iCs/>
          <w:sz w:val="22"/>
          <w:szCs w:val="22"/>
        </w:rPr>
        <w:t>”</w:t>
      </w:r>
    </w:p>
    <w:p w14:paraId="219F6EF2" w14:textId="0B763241" w:rsidR="001931C5" w:rsidRDefault="001931C5" w:rsidP="001931C5">
      <w:pPr>
        <w:rPr>
          <w:rFonts w:cs="Arial"/>
          <w:sz w:val="22"/>
          <w:szCs w:val="22"/>
        </w:rPr>
      </w:pPr>
    </w:p>
    <w:p w14:paraId="50729CA9" w14:textId="2528137A" w:rsidR="000E6CC6" w:rsidRPr="000E6CC6" w:rsidRDefault="000E6CC6" w:rsidP="001931C5">
      <w:pPr>
        <w:rPr>
          <w:rFonts w:cs="Arial"/>
          <w:b/>
          <w:bCs/>
          <w:sz w:val="22"/>
          <w:szCs w:val="22"/>
        </w:rPr>
      </w:pPr>
      <w:r w:rsidRPr="000E6CC6">
        <w:rPr>
          <w:rFonts w:cs="Arial"/>
          <w:b/>
          <w:bCs/>
          <w:sz w:val="22"/>
          <w:szCs w:val="22"/>
        </w:rPr>
        <w:t>Respuesta:</w:t>
      </w:r>
    </w:p>
    <w:p w14:paraId="0D7FF3E2" w14:textId="00BBE04D" w:rsidR="000E6CC6" w:rsidRDefault="000E6CC6" w:rsidP="001931C5">
      <w:pPr>
        <w:rPr>
          <w:rFonts w:cs="Arial"/>
          <w:sz w:val="22"/>
          <w:szCs w:val="22"/>
        </w:rPr>
      </w:pPr>
    </w:p>
    <w:p w14:paraId="42988A1E" w14:textId="5143A159" w:rsidR="000E6CC6" w:rsidRDefault="000E6CC6"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_Ref130795566 \r \h </w:instrText>
      </w:r>
      <w:r>
        <w:rPr>
          <w:rFonts w:cs="Arial"/>
          <w:sz w:val="22"/>
          <w:szCs w:val="22"/>
        </w:rPr>
      </w:r>
      <w:r>
        <w:rPr>
          <w:rFonts w:cs="Arial"/>
          <w:sz w:val="22"/>
          <w:szCs w:val="22"/>
        </w:rPr>
        <w:fldChar w:fldCharType="separate"/>
      </w:r>
      <w:r w:rsidR="007651EA">
        <w:rPr>
          <w:rFonts w:cs="Arial"/>
          <w:sz w:val="22"/>
          <w:szCs w:val="22"/>
        </w:rPr>
        <w:t>11.5.1.1</w:t>
      </w:r>
      <w:r>
        <w:rPr>
          <w:rFonts w:cs="Arial"/>
          <w:sz w:val="22"/>
          <w:szCs w:val="22"/>
        </w:rPr>
        <w:fldChar w:fldCharType="end"/>
      </w:r>
      <w:r>
        <w:rPr>
          <w:rFonts w:cs="Arial"/>
          <w:sz w:val="22"/>
          <w:szCs w:val="22"/>
        </w:rPr>
        <w:t>.</w:t>
      </w:r>
    </w:p>
    <w:p w14:paraId="513FFCA3" w14:textId="77777777" w:rsidR="000E6CC6" w:rsidRDefault="000E6CC6" w:rsidP="001931C5">
      <w:pPr>
        <w:rPr>
          <w:rFonts w:cs="Arial"/>
          <w:sz w:val="22"/>
          <w:szCs w:val="22"/>
        </w:rPr>
      </w:pPr>
    </w:p>
    <w:p w14:paraId="7048A096" w14:textId="77777777" w:rsidR="001931C5" w:rsidRDefault="001931C5" w:rsidP="001931C5">
      <w:pPr>
        <w:rPr>
          <w:rFonts w:cs="Arial"/>
          <w:sz w:val="22"/>
          <w:szCs w:val="22"/>
        </w:rPr>
      </w:pPr>
    </w:p>
    <w:p w14:paraId="62CAEAB8" w14:textId="77777777" w:rsidR="001931C5" w:rsidRDefault="001931C5" w:rsidP="00FB4C4A">
      <w:pPr>
        <w:pStyle w:val="Ttulo2"/>
      </w:pPr>
      <w:bookmarkStart w:id="656" w:name="_Toc140506344"/>
      <w:r w:rsidRPr="001931C5">
        <w:t>HOCOL</w:t>
      </w:r>
      <w:bookmarkEnd w:id="656"/>
      <w:r w:rsidRPr="001931C5">
        <w:tab/>
      </w:r>
    </w:p>
    <w:p w14:paraId="39C3E602" w14:textId="77777777" w:rsidR="00060709" w:rsidRDefault="00060709" w:rsidP="00060709">
      <w:pPr>
        <w:pStyle w:val="Ttulo4"/>
      </w:pPr>
      <w:bookmarkStart w:id="657" w:name="_Ref130800163"/>
      <w:r w:rsidRPr="001931C5">
        <w:t>HOCOL</w:t>
      </w:r>
      <w:bookmarkEnd w:id="657"/>
      <w:r w:rsidRPr="001931C5">
        <w:tab/>
      </w:r>
    </w:p>
    <w:p w14:paraId="19665143" w14:textId="08EAED10" w:rsidR="001931C5" w:rsidRDefault="001931C5" w:rsidP="001931C5">
      <w:pPr>
        <w:rPr>
          <w:rFonts w:cs="Arial"/>
          <w:i/>
          <w:iCs/>
          <w:sz w:val="22"/>
          <w:szCs w:val="22"/>
        </w:rPr>
      </w:pPr>
      <w:r w:rsidRPr="001931C5">
        <w:rPr>
          <w:rFonts w:cs="Arial"/>
          <w:sz w:val="22"/>
          <w:szCs w:val="22"/>
        </w:rPr>
        <w:t>"</w:t>
      </w:r>
      <w:r w:rsidRPr="000E6CC6">
        <w:rPr>
          <w:rFonts w:cs="Arial"/>
          <w:i/>
          <w:iCs/>
          <w:sz w:val="22"/>
          <w:szCs w:val="22"/>
        </w:rPr>
        <w:t>Tener en cuenta las siguientes observaciones en la modificación a los eventos eximentes de responsabilidad, que incluye las suspensiones por labores programadas para reparaciones técnicas o mantenimientos periódicos de la infraestructura de transporte.</w:t>
      </w:r>
    </w:p>
    <w:p w14:paraId="37953F2E" w14:textId="77777777" w:rsidR="000E6CC6" w:rsidRPr="000E6CC6" w:rsidRDefault="000E6CC6" w:rsidP="001931C5">
      <w:pPr>
        <w:rPr>
          <w:rFonts w:cs="Arial"/>
          <w:i/>
          <w:iCs/>
          <w:sz w:val="22"/>
          <w:szCs w:val="22"/>
        </w:rPr>
      </w:pPr>
    </w:p>
    <w:p w14:paraId="05484246" w14:textId="73A587CF" w:rsidR="001931C5" w:rsidRDefault="001931C5" w:rsidP="001931C5">
      <w:pPr>
        <w:rPr>
          <w:rFonts w:cs="Arial"/>
          <w:i/>
          <w:iCs/>
          <w:sz w:val="22"/>
          <w:szCs w:val="22"/>
        </w:rPr>
      </w:pPr>
      <w:r w:rsidRPr="000E6CC6">
        <w:rPr>
          <w:rFonts w:cs="Arial"/>
          <w:i/>
          <w:iCs/>
          <w:sz w:val="22"/>
          <w:szCs w:val="22"/>
        </w:rPr>
        <w:t>- Establecer una condición reciproca para los contratos de capacidad de transporte e incluir como evento eximente de responsabilidad las suspensiones por labores programadas para reparaciones técnicas o mantenimientos periódicos de los campos de producción y sus facilidades.</w:t>
      </w:r>
    </w:p>
    <w:p w14:paraId="30580C48" w14:textId="77777777" w:rsidR="000E6CC6" w:rsidRPr="000E6CC6" w:rsidRDefault="000E6CC6" w:rsidP="001931C5">
      <w:pPr>
        <w:rPr>
          <w:rFonts w:cs="Arial"/>
          <w:i/>
          <w:iCs/>
          <w:sz w:val="22"/>
          <w:szCs w:val="22"/>
        </w:rPr>
      </w:pPr>
    </w:p>
    <w:p w14:paraId="40231D1E" w14:textId="71E331AB" w:rsidR="001931C5" w:rsidRDefault="001931C5" w:rsidP="001931C5">
      <w:pPr>
        <w:rPr>
          <w:rFonts w:cs="Arial"/>
          <w:sz w:val="22"/>
          <w:szCs w:val="22"/>
        </w:rPr>
      </w:pPr>
      <w:r w:rsidRPr="000E6CC6">
        <w:rPr>
          <w:rFonts w:cs="Arial"/>
          <w:i/>
          <w:iCs/>
          <w:sz w:val="22"/>
          <w:szCs w:val="22"/>
        </w:rPr>
        <w:t>- Considerar y aclarar que la máxima duración permisible de las suspensiones del servicio por labores programadas para reparaciones técnicas o mantenimientos periódicos no debería ser acumulativa de las horas permitidas para mantenimientos entre las partes del contrato de suministro más las horas permitidas para mantenimientos a la infraestructura de transporte, asegurando con ello que la duración permisible sea la misma para cada una de las partes y no superior a 480 horas.</w:t>
      </w:r>
      <w:r w:rsidRPr="001931C5">
        <w:rPr>
          <w:rFonts w:cs="Arial"/>
          <w:sz w:val="22"/>
          <w:szCs w:val="22"/>
        </w:rPr>
        <w:t xml:space="preserve"> "</w:t>
      </w:r>
    </w:p>
    <w:p w14:paraId="33F573D8" w14:textId="6A69EFB8" w:rsidR="000E6CC6" w:rsidRDefault="000E6CC6" w:rsidP="001931C5">
      <w:pPr>
        <w:rPr>
          <w:rFonts w:cs="Arial"/>
          <w:sz w:val="22"/>
          <w:szCs w:val="22"/>
        </w:rPr>
      </w:pPr>
    </w:p>
    <w:p w14:paraId="7D1E6644" w14:textId="77AABD52" w:rsidR="000E6CC6" w:rsidRPr="000E6CC6" w:rsidRDefault="000E6CC6" w:rsidP="001931C5">
      <w:pPr>
        <w:rPr>
          <w:rFonts w:cs="Arial"/>
          <w:b/>
          <w:bCs/>
          <w:sz w:val="22"/>
          <w:szCs w:val="22"/>
        </w:rPr>
      </w:pPr>
      <w:r w:rsidRPr="000E6CC6">
        <w:rPr>
          <w:rFonts w:cs="Arial"/>
          <w:b/>
          <w:bCs/>
          <w:sz w:val="22"/>
          <w:szCs w:val="22"/>
        </w:rPr>
        <w:t>Respuesta:</w:t>
      </w:r>
    </w:p>
    <w:p w14:paraId="6C2DFC21" w14:textId="3B2E7C3E" w:rsidR="000E6CC6" w:rsidRDefault="000E6CC6" w:rsidP="001931C5">
      <w:pPr>
        <w:rPr>
          <w:rFonts w:cs="Arial"/>
          <w:sz w:val="22"/>
          <w:szCs w:val="22"/>
        </w:rPr>
      </w:pPr>
    </w:p>
    <w:p w14:paraId="016132EA" w14:textId="2A5CF688" w:rsidR="000E6CC6" w:rsidRPr="001931C5" w:rsidRDefault="000E6CC6"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_Ref130795706 \r \h </w:instrText>
      </w:r>
      <w:r>
        <w:rPr>
          <w:rFonts w:cs="Arial"/>
          <w:sz w:val="22"/>
          <w:szCs w:val="22"/>
        </w:rPr>
      </w:r>
      <w:r>
        <w:rPr>
          <w:rFonts w:cs="Arial"/>
          <w:sz w:val="22"/>
          <w:szCs w:val="22"/>
        </w:rPr>
        <w:fldChar w:fldCharType="separate"/>
      </w:r>
      <w:r w:rsidR="007651EA">
        <w:rPr>
          <w:rFonts w:cs="Arial"/>
          <w:sz w:val="22"/>
          <w:szCs w:val="22"/>
        </w:rPr>
        <w:t>11.5.1.3</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_Ref130795507 \r \h </w:instrText>
      </w:r>
      <w:r>
        <w:rPr>
          <w:rFonts w:cs="Arial"/>
          <w:sz w:val="22"/>
          <w:szCs w:val="22"/>
        </w:rPr>
      </w:r>
      <w:r>
        <w:rPr>
          <w:rFonts w:cs="Arial"/>
          <w:sz w:val="22"/>
          <w:szCs w:val="22"/>
        </w:rPr>
        <w:fldChar w:fldCharType="separate"/>
      </w:r>
      <w:r w:rsidR="007651EA">
        <w:rPr>
          <w:rFonts w:cs="Arial"/>
          <w:sz w:val="22"/>
          <w:szCs w:val="22"/>
        </w:rPr>
        <w:t>11.8.1.1</w:t>
      </w:r>
      <w:r>
        <w:rPr>
          <w:rFonts w:cs="Arial"/>
          <w:sz w:val="22"/>
          <w:szCs w:val="22"/>
        </w:rPr>
        <w:fldChar w:fldCharType="end"/>
      </w:r>
      <w:r>
        <w:rPr>
          <w:rFonts w:cs="Arial"/>
          <w:sz w:val="22"/>
          <w:szCs w:val="22"/>
        </w:rPr>
        <w:t>.</w:t>
      </w:r>
    </w:p>
    <w:p w14:paraId="717E83E3" w14:textId="4C8423BA" w:rsidR="001931C5" w:rsidRDefault="001931C5" w:rsidP="001931C5">
      <w:pPr>
        <w:rPr>
          <w:rFonts w:cs="Arial"/>
          <w:sz w:val="22"/>
          <w:szCs w:val="22"/>
        </w:rPr>
      </w:pPr>
    </w:p>
    <w:p w14:paraId="045B7D14" w14:textId="77777777" w:rsidR="00060709" w:rsidRDefault="00060709" w:rsidP="001931C5">
      <w:pPr>
        <w:rPr>
          <w:rFonts w:cs="Arial"/>
          <w:sz w:val="22"/>
          <w:szCs w:val="22"/>
        </w:rPr>
      </w:pPr>
    </w:p>
    <w:p w14:paraId="33973B0C" w14:textId="77777777" w:rsidR="001931C5" w:rsidRDefault="001931C5" w:rsidP="00FB4C4A">
      <w:pPr>
        <w:pStyle w:val="Ttulo2"/>
      </w:pPr>
      <w:bookmarkStart w:id="658" w:name="_Toc140506345"/>
      <w:r w:rsidRPr="001931C5">
        <w:t>LEWIS ENERGY</w:t>
      </w:r>
      <w:bookmarkEnd w:id="658"/>
      <w:r w:rsidRPr="001931C5">
        <w:tab/>
      </w:r>
    </w:p>
    <w:p w14:paraId="107F3C7F" w14:textId="77777777" w:rsidR="00060709" w:rsidRDefault="00060709" w:rsidP="00060709">
      <w:pPr>
        <w:pStyle w:val="Ttulo4"/>
      </w:pPr>
      <w:r w:rsidRPr="001931C5">
        <w:t>LEWIS ENERGY</w:t>
      </w:r>
      <w:r w:rsidRPr="001931C5">
        <w:tab/>
      </w:r>
    </w:p>
    <w:p w14:paraId="1E20EFC0" w14:textId="0A863C9F" w:rsidR="001931C5" w:rsidRPr="000E6CC6" w:rsidRDefault="00D34E2E" w:rsidP="001931C5">
      <w:pPr>
        <w:rPr>
          <w:rFonts w:cs="Arial"/>
          <w:i/>
          <w:iCs/>
          <w:sz w:val="22"/>
          <w:szCs w:val="22"/>
        </w:rPr>
      </w:pPr>
      <w:r>
        <w:rPr>
          <w:rFonts w:cs="Arial"/>
          <w:i/>
          <w:iCs/>
          <w:sz w:val="22"/>
          <w:szCs w:val="22"/>
        </w:rPr>
        <w:t>“</w:t>
      </w:r>
      <w:r w:rsidR="001931C5" w:rsidRPr="000E6CC6">
        <w:rPr>
          <w:rFonts w:cs="Arial"/>
          <w:i/>
          <w:iCs/>
          <w:sz w:val="22"/>
          <w:szCs w:val="22"/>
        </w:rPr>
        <w:t xml:space="preserve">Consideramos que la redacción de evento eximente del numeral 4 debe dejar claro que solo se puede invocar como evento eximente las labores programadas o mantenimientos de la infraestructura de transporte que </w:t>
      </w:r>
      <w:proofErr w:type="spellStart"/>
      <w:r w:rsidR="001931C5" w:rsidRPr="000E6CC6">
        <w:rPr>
          <w:rFonts w:cs="Arial"/>
          <w:i/>
          <w:iCs/>
          <w:sz w:val="22"/>
          <w:szCs w:val="22"/>
        </w:rPr>
        <w:t>este</w:t>
      </w:r>
      <w:proofErr w:type="spellEnd"/>
      <w:r w:rsidR="001931C5" w:rsidRPr="000E6CC6">
        <w:rPr>
          <w:rFonts w:cs="Arial"/>
          <w:i/>
          <w:iCs/>
          <w:sz w:val="22"/>
          <w:szCs w:val="22"/>
        </w:rPr>
        <w:t xml:space="preserve"> relacionada directamente con el suministro.</w:t>
      </w:r>
      <w:r>
        <w:rPr>
          <w:rFonts w:cs="Arial"/>
          <w:i/>
          <w:iCs/>
          <w:sz w:val="22"/>
          <w:szCs w:val="22"/>
        </w:rPr>
        <w:t>”</w:t>
      </w:r>
      <w:r w:rsidR="001931C5" w:rsidRPr="000E6CC6">
        <w:rPr>
          <w:rFonts w:cs="Arial"/>
          <w:i/>
          <w:iCs/>
          <w:sz w:val="22"/>
          <w:szCs w:val="22"/>
        </w:rPr>
        <w:t xml:space="preserve">  </w:t>
      </w:r>
    </w:p>
    <w:p w14:paraId="5CB62110" w14:textId="521F4425" w:rsidR="000E6CC6" w:rsidRDefault="000E6CC6" w:rsidP="001931C5">
      <w:pPr>
        <w:rPr>
          <w:rFonts w:cs="Arial"/>
          <w:sz w:val="22"/>
          <w:szCs w:val="22"/>
        </w:rPr>
      </w:pPr>
    </w:p>
    <w:p w14:paraId="14861769" w14:textId="39DF8FFB" w:rsidR="000E6CC6" w:rsidRPr="000E6CC6" w:rsidRDefault="000E6CC6" w:rsidP="001931C5">
      <w:pPr>
        <w:rPr>
          <w:rFonts w:cs="Arial"/>
          <w:b/>
          <w:bCs/>
          <w:sz w:val="22"/>
          <w:szCs w:val="22"/>
        </w:rPr>
      </w:pPr>
      <w:r w:rsidRPr="000E6CC6">
        <w:rPr>
          <w:rFonts w:cs="Arial"/>
          <w:b/>
          <w:bCs/>
          <w:sz w:val="22"/>
          <w:szCs w:val="22"/>
        </w:rPr>
        <w:t>Respuesta:</w:t>
      </w:r>
    </w:p>
    <w:p w14:paraId="50A35BA3" w14:textId="25FF52AF" w:rsidR="000E6CC6" w:rsidRDefault="000E6CC6" w:rsidP="001931C5">
      <w:pPr>
        <w:rPr>
          <w:rFonts w:cs="Arial"/>
          <w:sz w:val="22"/>
          <w:szCs w:val="22"/>
        </w:rPr>
      </w:pPr>
    </w:p>
    <w:p w14:paraId="4F13CE94" w14:textId="4F080B4A" w:rsidR="000E6CC6" w:rsidRPr="001931C5" w:rsidRDefault="000E6CC6"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_Ref130795794 \r \h </w:instrText>
      </w:r>
      <w:r>
        <w:rPr>
          <w:rFonts w:cs="Arial"/>
          <w:sz w:val="22"/>
          <w:szCs w:val="22"/>
        </w:rPr>
      </w:r>
      <w:r>
        <w:rPr>
          <w:rFonts w:cs="Arial"/>
          <w:sz w:val="22"/>
          <w:szCs w:val="22"/>
        </w:rPr>
        <w:fldChar w:fldCharType="separate"/>
      </w:r>
      <w:r w:rsidR="007651EA">
        <w:rPr>
          <w:rFonts w:cs="Arial"/>
          <w:sz w:val="22"/>
          <w:szCs w:val="22"/>
        </w:rPr>
        <w:t>11.9.1.1</w:t>
      </w:r>
      <w:r>
        <w:rPr>
          <w:rFonts w:cs="Arial"/>
          <w:sz w:val="22"/>
          <w:szCs w:val="22"/>
        </w:rPr>
        <w:fldChar w:fldCharType="end"/>
      </w:r>
      <w:r>
        <w:rPr>
          <w:rFonts w:cs="Arial"/>
          <w:sz w:val="22"/>
          <w:szCs w:val="22"/>
        </w:rPr>
        <w:t>.</w:t>
      </w:r>
    </w:p>
    <w:p w14:paraId="482944C7" w14:textId="77777777" w:rsidR="001931C5" w:rsidRDefault="001931C5" w:rsidP="001931C5">
      <w:pPr>
        <w:rPr>
          <w:rFonts w:cs="Arial"/>
          <w:sz w:val="22"/>
          <w:szCs w:val="22"/>
        </w:rPr>
      </w:pPr>
    </w:p>
    <w:p w14:paraId="2C3E984F" w14:textId="77777777" w:rsidR="001931C5" w:rsidRDefault="001931C5" w:rsidP="001931C5">
      <w:pPr>
        <w:rPr>
          <w:rFonts w:cs="Arial"/>
          <w:sz w:val="22"/>
          <w:szCs w:val="22"/>
        </w:rPr>
      </w:pPr>
    </w:p>
    <w:p w14:paraId="746977E9" w14:textId="77777777" w:rsidR="001931C5" w:rsidRDefault="001931C5" w:rsidP="00FB4C4A">
      <w:pPr>
        <w:pStyle w:val="Ttulo2"/>
      </w:pPr>
      <w:bookmarkStart w:id="659" w:name="_Toc140506346"/>
      <w:r w:rsidRPr="001931C5">
        <w:t>MC2 S.A. E.S.P.</w:t>
      </w:r>
      <w:bookmarkEnd w:id="659"/>
      <w:r w:rsidRPr="001931C5">
        <w:tab/>
      </w:r>
    </w:p>
    <w:p w14:paraId="5DB09E60" w14:textId="77777777" w:rsidR="00060709" w:rsidRDefault="00060709" w:rsidP="00060709">
      <w:pPr>
        <w:pStyle w:val="Ttulo4"/>
      </w:pPr>
      <w:r w:rsidRPr="001931C5">
        <w:t>MC2 S.A. E.S.P.</w:t>
      </w:r>
      <w:r w:rsidRPr="001931C5">
        <w:tab/>
      </w:r>
    </w:p>
    <w:p w14:paraId="709A6925" w14:textId="65BBC944" w:rsidR="001931C5" w:rsidRPr="000E6CC6" w:rsidRDefault="00D34E2E" w:rsidP="001931C5">
      <w:pPr>
        <w:rPr>
          <w:rFonts w:cs="Arial"/>
          <w:i/>
          <w:iCs/>
          <w:sz w:val="22"/>
          <w:szCs w:val="22"/>
        </w:rPr>
      </w:pPr>
      <w:r>
        <w:rPr>
          <w:rFonts w:cs="Arial"/>
          <w:i/>
          <w:iCs/>
          <w:sz w:val="22"/>
          <w:szCs w:val="22"/>
        </w:rPr>
        <w:t>“</w:t>
      </w:r>
      <w:r w:rsidR="001931C5" w:rsidRPr="000E6CC6">
        <w:rPr>
          <w:rFonts w:cs="Arial"/>
          <w:i/>
          <w:iCs/>
          <w:sz w:val="22"/>
          <w:szCs w:val="22"/>
        </w:rPr>
        <w:t>Aplaudimos la inclusión por parte del regulador del numeral 4 sobre un nuevo evento eximente de responsabilidad relacionado con las labores programadas para reparaciones técnicas o mantenimientos periódicos en la infraestructura de transporte,  porque esto reconoce que, si bien el suministro y el transporte son actividades diferentes, ejercidas por agentes diferentes, y con aspectos operativos y técnicos diferentes, ambas actividades hacen parte de la cadena del servicio público del servicio de gas combustible y, por lo tanto, constituyen actividades complementarias que tienden a un fin único y común, esto es la prestación eficiente, continua e ininterrumpida del servicio público de gas combustible. En ese sentido, lo que ocurra en la infraestructura de transporte afecta el suministro y viceversa, lo que genera afectaciones directas e indirectas de tipo económico y físico al usuario final que debe pagar un servicio que no puede serle prestado, y pese a esto debe pagar el componente de suministro de gas contratado en firme que no puede ser transportado por la infraestructura de transporte cuando está en mantenimiento.</w:t>
      </w:r>
      <w:r w:rsidR="00B85C35">
        <w:rPr>
          <w:rFonts w:cs="Arial"/>
          <w:i/>
          <w:iCs/>
          <w:sz w:val="22"/>
          <w:szCs w:val="22"/>
        </w:rPr>
        <w:t>”</w:t>
      </w:r>
    </w:p>
    <w:p w14:paraId="24B5CAAF" w14:textId="23ABD23D" w:rsidR="001931C5" w:rsidRDefault="001931C5" w:rsidP="001931C5">
      <w:pPr>
        <w:rPr>
          <w:rFonts w:cs="Arial"/>
          <w:sz w:val="22"/>
          <w:szCs w:val="22"/>
        </w:rPr>
      </w:pPr>
    </w:p>
    <w:p w14:paraId="11AD3A84" w14:textId="3DAA90F3" w:rsidR="000E6CC6" w:rsidRDefault="000E6CC6" w:rsidP="001931C5">
      <w:pPr>
        <w:rPr>
          <w:rFonts w:cs="Arial"/>
          <w:sz w:val="22"/>
          <w:szCs w:val="22"/>
        </w:rPr>
      </w:pPr>
    </w:p>
    <w:p w14:paraId="5387A08E" w14:textId="3A915487" w:rsidR="000E6CC6" w:rsidRDefault="000E6CC6" w:rsidP="001931C5">
      <w:pPr>
        <w:rPr>
          <w:rFonts w:cs="Arial"/>
          <w:b/>
          <w:bCs/>
          <w:sz w:val="22"/>
          <w:szCs w:val="22"/>
        </w:rPr>
      </w:pPr>
      <w:r w:rsidRPr="000E6CC6">
        <w:rPr>
          <w:rFonts w:cs="Arial"/>
          <w:b/>
          <w:bCs/>
          <w:sz w:val="22"/>
          <w:szCs w:val="22"/>
        </w:rPr>
        <w:t>Respuesta:</w:t>
      </w:r>
    </w:p>
    <w:p w14:paraId="74648566" w14:textId="4F5E8966" w:rsidR="000E6CC6" w:rsidRDefault="000E6CC6" w:rsidP="001931C5">
      <w:pPr>
        <w:rPr>
          <w:rFonts w:cs="Arial"/>
          <w:b/>
          <w:bCs/>
          <w:sz w:val="22"/>
          <w:szCs w:val="22"/>
        </w:rPr>
      </w:pPr>
    </w:p>
    <w:p w14:paraId="78C9E4E5" w14:textId="32AB20BA" w:rsidR="000E6CC6" w:rsidRPr="00213405" w:rsidRDefault="00213405" w:rsidP="001931C5">
      <w:pPr>
        <w:rPr>
          <w:rFonts w:cs="Arial"/>
          <w:sz w:val="22"/>
          <w:szCs w:val="22"/>
        </w:rPr>
      </w:pPr>
      <w:r w:rsidRPr="00213405">
        <w:rPr>
          <w:rFonts w:cs="Arial"/>
          <w:sz w:val="22"/>
          <w:szCs w:val="22"/>
        </w:rPr>
        <w:t xml:space="preserve">Ver respuesta a </w:t>
      </w:r>
      <w:r w:rsidRPr="00213405">
        <w:rPr>
          <w:rFonts w:cs="Arial"/>
          <w:sz w:val="22"/>
          <w:szCs w:val="22"/>
        </w:rPr>
        <w:fldChar w:fldCharType="begin"/>
      </w:r>
      <w:r w:rsidRPr="00213405">
        <w:rPr>
          <w:rFonts w:cs="Arial"/>
          <w:sz w:val="22"/>
          <w:szCs w:val="22"/>
        </w:rPr>
        <w:instrText xml:space="preserve"> REF _Ref130795507 \r \h </w:instrText>
      </w:r>
      <w:r>
        <w:rPr>
          <w:rFonts w:cs="Arial"/>
          <w:sz w:val="22"/>
          <w:szCs w:val="22"/>
        </w:rPr>
        <w:instrText xml:space="preserve"> \* MERGEFORMAT </w:instrText>
      </w:r>
      <w:r w:rsidRPr="00213405">
        <w:rPr>
          <w:rFonts w:cs="Arial"/>
          <w:sz w:val="22"/>
          <w:szCs w:val="22"/>
        </w:rPr>
      </w:r>
      <w:r w:rsidRPr="00213405">
        <w:rPr>
          <w:rFonts w:cs="Arial"/>
          <w:sz w:val="22"/>
          <w:szCs w:val="22"/>
        </w:rPr>
        <w:fldChar w:fldCharType="separate"/>
      </w:r>
      <w:r w:rsidR="007651EA">
        <w:rPr>
          <w:rFonts w:cs="Arial"/>
          <w:sz w:val="22"/>
          <w:szCs w:val="22"/>
        </w:rPr>
        <w:t>11.8.1.1</w:t>
      </w:r>
      <w:r w:rsidRPr="00213405">
        <w:rPr>
          <w:rFonts w:cs="Arial"/>
          <w:sz w:val="22"/>
          <w:szCs w:val="22"/>
        </w:rPr>
        <w:fldChar w:fldCharType="end"/>
      </w:r>
      <w:r w:rsidRPr="00213405">
        <w:rPr>
          <w:rFonts w:cs="Arial"/>
          <w:sz w:val="22"/>
          <w:szCs w:val="22"/>
        </w:rPr>
        <w:t>.</w:t>
      </w:r>
    </w:p>
    <w:p w14:paraId="7947392C" w14:textId="3C694C70" w:rsidR="000E6CC6" w:rsidRDefault="000E6CC6" w:rsidP="001931C5">
      <w:pPr>
        <w:rPr>
          <w:rFonts w:cs="Arial"/>
          <w:sz w:val="22"/>
          <w:szCs w:val="22"/>
        </w:rPr>
      </w:pPr>
    </w:p>
    <w:p w14:paraId="2EA63D7B" w14:textId="77777777" w:rsidR="000E6CC6" w:rsidRDefault="000E6CC6" w:rsidP="001931C5">
      <w:pPr>
        <w:rPr>
          <w:rFonts w:cs="Arial"/>
          <w:sz w:val="22"/>
          <w:szCs w:val="22"/>
        </w:rPr>
      </w:pPr>
    </w:p>
    <w:p w14:paraId="028B65DE" w14:textId="77777777" w:rsidR="001931C5" w:rsidRDefault="001931C5" w:rsidP="00060709">
      <w:pPr>
        <w:pStyle w:val="Ttulo4"/>
      </w:pPr>
      <w:r w:rsidRPr="001931C5">
        <w:t>MC2 S.A. E.S.P.</w:t>
      </w:r>
      <w:r w:rsidRPr="001931C5">
        <w:tab/>
      </w:r>
    </w:p>
    <w:p w14:paraId="6EC0ACD2" w14:textId="60041427" w:rsidR="001931C5" w:rsidRPr="00213405" w:rsidRDefault="001931C5" w:rsidP="001931C5">
      <w:pPr>
        <w:rPr>
          <w:rFonts w:cs="Arial"/>
          <w:i/>
          <w:iCs/>
          <w:sz w:val="22"/>
          <w:szCs w:val="22"/>
        </w:rPr>
      </w:pPr>
      <w:r w:rsidRPr="001931C5">
        <w:rPr>
          <w:rFonts w:cs="Arial"/>
          <w:sz w:val="22"/>
          <w:szCs w:val="22"/>
        </w:rPr>
        <w:t>"</w:t>
      </w:r>
      <w:r w:rsidRPr="00213405">
        <w:rPr>
          <w:rFonts w:cs="Arial"/>
          <w:i/>
          <w:iCs/>
          <w:sz w:val="22"/>
          <w:szCs w:val="22"/>
        </w:rPr>
        <w:t>Ahora bien, es importante que la CREG considere que estas afectaciones, directas e indirectas, también surgen en el Mercado Mayorista en los siguientes casos: (i) en los contratos de transporte cuando la infraestructura del productor está en labores programadas para reparaciones técnicas o mantenimientos periódicos que impiden la entrega, parcial o total, del gas contratado por lo que la capacidad de transporte contratada en firme debe pagarse, pero no puede utilizarse; y (</w:t>
      </w:r>
      <w:proofErr w:type="spellStart"/>
      <w:r w:rsidRPr="00213405">
        <w:rPr>
          <w:rFonts w:cs="Arial"/>
          <w:i/>
          <w:iCs/>
          <w:sz w:val="22"/>
          <w:szCs w:val="22"/>
        </w:rPr>
        <w:t>ii</w:t>
      </w:r>
      <w:proofErr w:type="spellEnd"/>
      <w:r w:rsidRPr="00213405">
        <w:rPr>
          <w:rFonts w:cs="Arial"/>
          <w:i/>
          <w:iCs/>
          <w:sz w:val="22"/>
          <w:szCs w:val="22"/>
        </w:rPr>
        <w:t>) en los contratos con el usuario final que afecta aguas arriba los contratos del mercado mayorista cuando ese usuario, particularmente el usuario no regulado de tipo industrial o térmico, ejecuta labores para reparaciones técnicas o mantenimientos periódicos en su infraestructura que le impiden el recibo del gas por lo que se requiere la suspensión del servicio de suministro y de transporte.</w:t>
      </w:r>
    </w:p>
    <w:p w14:paraId="70B2E235" w14:textId="77777777" w:rsidR="001931C5" w:rsidRPr="00213405" w:rsidRDefault="001931C5" w:rsidP="001931C5">
      <w:pPr>
        <w:rPr>
          <w:rFonts w:cs="Arial"/>
          <w:i/>
          <w:iCs/>
          <w:sz w:val="22"/>
          <w:szCs w:val="22"/>
        </w:rPr>
      </w:pPr>
    </w:p>
    <w:p w14:paraId="199CF714" w14:textId="71BBF77C" w:rsidR="001931C5" w:rsidRDefault="001931C5" w:rsidP="001931C5">
      <w:pPr>
        <w:rPr>
          <w:rFonts w:cs="Arial"/>
          <w:sz w:val="22"/>
          <w:szCs w:val="22"/>
        </w:rPr>
      </w:pPr>
      <w:r w:rsidRPr="00213405">
        <w:rPr>
          <w:rFonts w:cs="Arial"/>
          <w:i/>
          <w:iCs/>
          <w:sz w:val="22"/>
          <w:szCs w:val="22"/>
        </w:rPr>
        <w:t>En el primer caso planteado, entendemos que las modificaciones que se discuten en esta instancia son las relacionadas con los aspectos comerciales del suministro y no de transporte; sin embargo, es oportuno mencionar que la CREG debe continuar con el trabajo de alineación de la regulación, de tal forma que realice una modificación al artículo 10 de la Resolución 185 de 2020</w:t>
      </w:r>
      <w:r w:rsidRPr="001931C5">
        <w:rPr>
          <w:rFonts w:cs="Arial"/>
          <w:sz w:val="22"/>
          <w:szCs w:val="22"/>
        </w:rPr>
        <w:t>."</w:t>
      </w:r>
    </w:p>
    <w:p w14:paraId="531246E2" w14:textId="7F36293C" w:rsidR="00213405" w:rsidRPr="00213405" w:rsidRDefault="00213405" w:rsidP="001931C5">
      <w:pPr>
        <w:rPr>
          <w:rFonts w:cs="Arial"/>
          <w:b/>
          <w:bCs/>
          <w:sz w:val="22"/>
          <w:szCs w:val="22"/>
        </w:rPr>
      </w:pPr>
    </w:p>
    <w:p w14:paraId="5BD8DA88" w14:textId="77190F61" w:rsidR="00213405" w:rsidRPr="00213405" w:rsidRDefault="00213405" w:rsidP="001931C5">
      <w:pPr>
        <w:rPr>
          <w:rFonts w:cs="Arial"/>
          <w:b/>
          <w:bCs/>
          <w:sz w:val="22"/>
          <w:szCs w:val="22"/>
        </w:rPr>
      </w:pPr>
      <w:r w:rsidRPr="00213405">
        <w:rPr>
          <w:rFonts w:cs="Arial"/>
          <w:b/>
          <w:bCs/>
          <w:sz w:val="22"/>
          <w:szCs w:val="22"/>
        </w:rPr>
        <w:t>Respuesta:</w:t>
      </w:r>
    </w:p>
    <w:p w14:paraId="176FF780" w14:textId="3D769555" w:rsidR="00213405" w:rsidRDefault="00213405" w:rsidP="001931C5">
      <w:pPr>
        <w:rPr>
          <w:rFonts w:cs="Arial"/>
          <w:sz w:val="22"/>
          <w:szCs w:val="22"/>
        </w:rPr>
      </w:pPr>
    </w:p>
    <w:p w14:paraId="094BC1B0" w14:textId="1B6BFBC5" w:rsidR="00213405" w:rsidRDefault="00213405"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_Ref130795566 \r \h </w:instrText>
      </w:r>
      <w:r>
        <w:rPr>
          <w:rFonts w:cs="Arial"/>
          <w:sz w:val="22"/>
          <w:szCs w:val="22"/>
        </w:rPr>
      </w:r>
      <w:r>
        <w:rPr>
          <w:rFonts w:cs="Arial"/>
          <w:sz w:val="22"/>
          <w:szCs w:val="22"/>
        </w:rPr>
        <w:fldChar w:fldCharType="separate"/>
      </w:r>
      <w:r w:rsidR="007651EA">
        <w:rPr>
          <w:rFonts w:cs="Arial"/>
          <w:sz w:val="22"/>
          <w:szCs w:val="22"/>
        </w:rPr>
        <w:t>11.5.1.1</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_Ref130795507 \r \h </w:instrText>
      </w:r>
      <w:r>
        <w:rPr>
          <w:rFonts w:cs="Arial"/>
          <w:sz w:val="22"/>
          <w:szCs w:val="22"/>
        </w:rPr>
      </w:r>
      <w:r>
        <w:rPr>
          <w:rFonts w:cs="Arial"/>
          <w:sz w:val="22"/>
          <w:szCs w:val="22"/>
        </w:rPr>
        <w:fldChar w:fldCharType="separate"/>
      </w:r>
      <w:r w:rsidR="007651EA">
        <w:rPr>
          <w:rFonts w:cs="Arial"/>
          <w:sz w:val="22"/>
          <w:szCs w:val="22"/>
        </w:rPr>
        <w:t>11.8.1.1</w:t>
      </w:r>
      <w:r>
        <w:rPr>
          <w:rFonts w:cs="Arial"/>
          <w:sz w:val="22"/>
          <w:szCs w:val="22"/>
        </w:rPr>
        <w:fldChar w:fldCharType="end"/>
      </w:r>
      <w:r>
        <w:rPr>
          <w:rFonts w:cs="Arial"/>
          <w:sz w:val="22"/>
          <w:szCs w:val="22"/>
        </w:rPr>
        <w:t>.</w:t>
      </w:r>
    </w:p>
    <w:p w14:paraId="7DC7A7CC" w14:textId="77777777" w:rsidR="00213405" w:rsidRPr="001931C5" w:rsidRDefault="00213405" w:rsidP="001931C5">
      <w:pPr>
        <w:rPr>
          <w:rFonts w:cs="Arial"/>
          <w:sz w:val="22"/>
          <w:szCs w:val="22"/>
        </w:rPr>
      </w:pPr>
    </w:p>
    <w:p w14:paraId="10B7CC64" w14:textId="77777777" w:rsidR="001931C5" w:rsidRDefault="001931C5" w:rsidP="001931C5">
      <w:pPr>
        <w:rPr>
          <w:rFonts w:cs="Arial"/>
          <w:sz w:val="22"/>
          <w:szCs w:val="22"/>
        </w:rPr>
      </w:pPr>
    </w:p>
    <w:p w14:paraId="15EE91B6" w14:textId="77777777" w:rsidR="001931C5" w:rsidRDefault="001931C5" w:rsidP="00060709">
      <w:pPr>
        <w:pStyle w:val="Ttulo4"/>
      </w:pPr>
      <w:bookmarkStart w:id="660" w:name="_Ref130800122"/>
      <w:r w:rsidRPr="001931C5">
        <w:t>MC2 S.A. E.S.P.</w:t>
      </w:r>
      <w:bookmarkEnd w:id="660"/>
      <w:r w:rsidRPr="001931C5">
        <w:tab/>
      </w:r>
    </w:p>
    <w:p w14:paraId="0E154A5A" w14:textId="2FFAB07F" w:rsidR="001931C5" w:rsidRPr="00213405" w:rsidRDefault="001931C5" w:rsidP="001931C5">
      <w:pPr>
        <w:rPr>
          <w:rFonts w:cs="Arial"/>
          <w:i/>
          <w:iCs/>
          <w:sz w:val="22"/>
          <w:szCs w:val="22"/>
        </w:rPr>
      </w:pPr>
      <w:r w:rsidRPr="001931C5">
        <w:rPr>
          <w:rFonts w:cs="Arial"/>
          <w:sz w:val="22"/>
          <w:szCs w:val="22"/>
        </w:rPr>
        <w:t>"</w:t>
      </w:r>
      <w:r w:rsidRPr="00213405">
        <w:rPr>
          <w:rFonts w:cs="Arial"/>
          <w:i/>
          <w:iCs/>
          <w:sz w:val="22"/>
          <w:szCs w:val="22"/>
        </w:rPr>
        <w:t xml:space="preserve">En el segundo caso, entendemos que la intermediación comercial que busca atender al usuario final hace parte de las transacciones del mercado minorista más no del mayorista. Sin embargo, no puede desconocerse que el comercializador que realiza la actividad de intermediación participa en ambos mercados (mayorista y minorista) de manera activa para el cumplimiento de su objeto social y para cumplir su roll de dinamizar el mercado y de conectar a la demanda con el resto de la cadena. En desarrollo de su actividad, el Comercializador tiene la responsabilidad de gestionar sus riesgos y para ello la regulación ofrece un abanico de opciones para, por ejemplo, poner a disposición del mercado las cantidades de gas y las capacidades de transporte contratadas, pero no utilizadas por el usuario final que requiere periodos de mantenimiento en su infraestructura. </w:t>
      </w:r>
    </w:p>
    <w:p w14:paraId="61D20F9F" w14:textId="77777777" w:rsidR="001931C5" w:rsidRPr="00213405" w:rsidRDefault="001931C5" w:rsidP="001931C5">
      <w:pPr>
        <w:rPr>
          <w:rFonts w:cs="Arial"/>
          <w:i/>
          <w:iCs/>
          <w:sz w:val="22"/>
          <w:szCs w:val="22"/>
        </w:rPr>
      </w:pPr>
    </w:p>
    <w:p w14:paraId="52AE380D" w14:textId="69918996" w:rsidR="001931C5" w:rsidRDefault="001931C5" w:rsidP="001931C5">
      <w:pPr>
        <w:rPr>
          <w:rFonts w:cs="Arial"/>
          <w:sz w:val="22"/>
          <w:szCs w:val="22"/>
        </w:rPr>
      </w:pPr>
      <w:r w:rsidRPr="00213405">
        <w:rPr>
          <w:rFonts w:cs="Arial"/>
          <w:i/>
          <w:iCs/>
          <w:sz w:val="22"/>
          <w:szCs w:val="22"/>
        </w:rPr>
        <w:t>Ahora bien, como los contratos del mercado minorista no están regulados y son de libre disposición, estos son una herramienta no solo para gestionar riesgos, sino también para ofrecer condiciones que favorecen al usuario en la prestación del servicio según sus necesidades de consumo. En ese sentido, es común que al usuario final se le permita suspender el contrato para el suministro de gas y su transporte frente al comercializador cuando en la infraestructura de dicho usuario se requiere realizar mantenimientos. En estos casos, el comercializador debe asumir el pago del precio de los contratos de suministro y transporte en firme frente al productor y al transportador, y para cubrirse sale al mercado y pone a disposición del mercado dichas cantidades de gas y capacidades de transporte. Sin embargo, estos mecanismos a veces no son suficientes y no es posible encontrar interés en la compra de los derechos de transporte y de suministro, lo que afecta de manera grave las finanzas del comercializador. Para garantizar los principios de suficiencia financiera y eficiencia económica, es importante que la CREG continúe revisando y analizando esas afectaciones que se generan a lo largo de la cadena</w:t>
      </w:r>
      <w:r w:rsidRPr="001931C5">
        <w:rPr>
          <w:rFonts w:cs="Arial"/>
          <w:sz w:val="22"/>
          <w:szCs w:val="22"/>
        </w:rPr>
        <w:t>."</w:t>
      </w:r>
    </w:p>
    <w:p w14:paraId="0F584159" w14:textId="47CF9E7E" w:rsidR="00213405" w:rsidRDefault="00213405" w:rsidP="001931C5">
      <w:pPr>
        <w:rPr>
          <w:rFonts w:cs="Arial"/>
          <w:sz w:val="22"/>
          <w:szCs w:val="22"/>
        </w:rPr>
      </w:pPr>
    </w:p>
    <w:p w14:paraId="0300133B" w14:textId="1B1D4B8F" w:rsidR="00213405" w:rsidRPr="00213405" w:rsidRDefault="00213405" w:rsidP="001931C5">
      <w:pPr>
        <w:rPr>
          <w:rFonts w:cs="Arial"/>
          <w:b/>
          <w:bCs/>
          <w:sz w:val="22"/>
          <w:szCs w:val="22"/>
        </w:rPr>
      </w:pPr>
      <w:r w:rsidRPr="00213405">
        <w:rPr>
          <w:rFonts w:cs="Arial"/>
          <w:b/>
          <w:bCs/>
          <w:sz w:val="22"/>
          <w:szCs w:val="22"/>
        </w:rPr>
        <w:t>Respuesta:</w:t>
      </w:r>
    </w:p>
    <w:p w14:paraId="4DE86525" w14:textId="677D1F1F" w:rsidR="00213405" w:rsidRDefault="00213405" w:rsidP="001931C5">
      <w:pPr>
        <w:rPr>
          <w:rFonts w:cs="Arial"/>
          <w:sz w:val="22"/>
          <w:szCs w:val="22"/>
        </w:rPr>
      </w:pPr>
    </w:p>
    <w:p w14:paraId="461FCA91" w14:textId="37F217EF" w:rsidR="00213405" w:rsidRDefault="00213405" w:rsidP="001931C5">
      <w:pPr>
        <w:rPr>
          <w:rFonts w:cs="Arial"/>
          <w:sz w:val="22"/>
          <w:szCs w:val="22"/>
        </w:rPr>
      </w:pPr>
      <w:r>
        <w:rPr>
          <w:rFonts w:cs="Arial"/>
          <w:sz w:val="22"/>
          <w:szCs w:val="22"/>
        </w:rPr>
        <w:t>No se acoge el comentario.</w:t>
      </w:r>
    </w:p>
    <w:p w14:paraId="5D8D0609" w14:textId="062D7BC9" w:rsidR="00213405" w:rsidRDefault="00213405" w:rsidP="001931C5">
      <w:pPr>
        <w:rPr>
          <w:rFonts w:cs="Arial"/>
          <w:sz w:val="22"/>
          <w:szCs w:val="22"/>
        </w:rPr>
      </w:pPr>
    </w:p>
    <w:p w14:paraId="4A5B7834" w14:textId="178607FE" w:rsidR="00EA25B1" w:rsidRPr="00EA25B1" w:rsidRDefault="00EA25B1" w:rsidP="00EA25B1">
      <w:pPr>
        <w:rPr>
          <w:rFonts w:cs="Arial"/>
          <w:sz w:val="22"/>
          <w:szCs w:val="22"/>
        </w:rPr>
      </w:pPr>
      <w:r w:rsidRPr="00EA25B1">
        <w:rPr>
          <w:rFonts w:cs="Arial"/>
          <w:sz w:val="22"/>
          <w:szCs w:val="22"/>
        </w:rPr>
        <w:t>La actividad de comercialización minorista se encuentra regulada para el caso de atención a demanda final de usuarios reglados mediante la Resolución CREG 011 de 2013 y por la nueva metodología establecida en la Resolución CREG 102 003 de 2021</w:t>
      </w:r>
      <w:r w:rsidR="00303E2C">
        <w:rPr>
          <w:rFonts w:cs="Arial"/>
          <w:sz w:val="22"/>
          <w:szCs w:val="22"/>
        </w:rPr>
        <w:t>.</w:t>
      </w:r>
      <w:r w:rsidRPr="00EA25B1">
        <w:rPr>
          <w:rFonts w:cs="Arial"/>
          <w:sz w:val="22"/>
          <w:szCs w:val="22"/>
        </w:rPr>
        <w:t xml:space="preserve"> Estas incluyen el margen de comercialización de la actividad.</w:t>
      </w:r>
    </w:p>
    <w:p w14:paraId="321F32C4" w14:textId="77777777" w:rsidR="00EA25B1" w:rsidRPr="00EA25B1" w:rsidRDefault="00EA25B1" w:rsidP="00EA25B1">
      <w:pPr>
        <w:rPr>
          <w:rFonts w:cs="Arial"/>
          <w:sz w:val="22"/>
          <w:szCs w:val="22"/>
        </w:rPr>
      </w:pPr>
    </w:p>
    <w:p w14:paraId="71EB54CE" w14:textId="0BED5D5D" w:rsidR="00EA25B1" w:rsidRPr="00EA25B1" w:rsidRDefault="00EA25B1" w:rsidP="00EA25B1">
      <w:pPr>
        <w:rPr>
          <w:rFonts w:cs="Arial"/>
          <w:sz w:val="22"/>
          <w:szCs w:val="22"/>
        </w:rPr>
      </w:pPr>
      <w:r w:rsidRPr="00EA25B1">
        <w:rPr>
          <w:rFonts w:cs="Arial"/>
          <w:sz w:val="22"/>
          <w:szCs w:val="22"/>
        </w:rPr>
        <w:t>La actividad de comercialización minorista de gas combustible a usuarios no regulados debe estar regida por el contrato de servicios públicos el cual a diferencia del de usuarios regulado, permite que algunas de las estipulaciones sean objeto de acuerdo especial entre la empresa y los usuarios, tal y como lo define el artículo 128 de la ley 142 de 1994. En este sentido, aspectos como el margen de comercialización, condiciones especiales de prestación, mantenimientos y otros</w:t>
      </w:r>
      <w:r>
        <w:rPr>
          <w:rFonts w:cs="Arial"/>
          <w:sz w:val="22"/>
          <w:szCs w:val="22"/>
        </w:rPr>
        <w:t>,</w:t>
      </w:r>
      <w:r w:rsidRPr="00EA25B1">
        <w:rPr>
          <w:rFonts w:cs="Arial"/>
          <w:sz w:val="22"/>
          <w:szCs w:val="22"/>
        </w:rPr>
        <w:t xml:space="preserve"> corresponden ser definidos en la negociación entre el prestador del servicio el usuario no regulado, esto lleva a sopesar los riesgos, beneficios y los costos que implica la relación establecida en esas condiciones. Por lo tanto, dada las libertades </w:t>
      </w:r>
      <w:r w:rsidR="00690F07">
        <w:rPr>
          <w:rFonts w:cs="Arial"/>
          <w:sz w:val="22"/>
          <w:szCs w:val="22"/>
        </w:rPr>
        <w:t xml:space="preserve">otorgadas en el marco de la Ley </w:t>
      </w:r>
      <w:r w:rsidRPr="00EA25B1">
        <w:rPr>
          <w:rFonts w:cs="Arial"/>
          <w:sz w:val="22"/>
          <w:szCs w:val="22"/>
        </w:rPr>
        <w:t>para definir estas condiciones entre las partes del contrato</w:t>
      </w:r>
      <w:r w:rsidR="00690F07">
        <w:rPr>
          <w:rFonts w:cs="Arial"/>
          <w:sz w:val="22"/>
          <w:szCs w:val="22"/>
        </w:rPr>
        <w:t>,</w:t>
      </w:r>
      <w:r w:rsidRPr="00EA25B1">
        <w:rPr>
          <w:rFonts w:cs="Arial"/>
          <w:sz w:val="22"/>
          <w:szCs w:val="22"/>
        </w:rPr>
        <w:t xml:space="preserve"> no corresponde a la regulación intervenir regulando aspectos del contrato para proteger los principios o criterios de eficiencia económica y suficiencia financiera que se mencionan en el comentario, aspecto diferente en el caso de usuarios regulados en donde al no tener este poder de negociación entre empresa y usuario deben ser  aplicables por la CREG en la determinación de las metodologías tarifarias  cuando no se observan condiciones de un mercado competitivo. </w:t>
      </w:r>
    </w:p>
    <w:p w14:paraId="6C21473D" w14:textId="77777777" w:rsidR="00EA25B1" w:rsidRPr="00EA25B1" w:rsidRDefault="00EA25B1" w:rsidP="00EA25B1">
      <w:pPr>
        <w:rPr>
          <w:rFonts w:cs="Arial"/>
          <w:sz w:val="22"/>
          <w:szCs w:val="22"/>
        </w:rPr>
      </w:pPr>
    </w:p>
    <w:p w14:paraId="3BF47411" w14:textId="2C237434" w:rsidR="003A14CD" w:rsidRDefault="00EA25B1" w:rsidP="00EA25B1">
      <w:pPr>
        <w:rPr>
          <w:rFonts w:cs="Arial"/>
          <w:sz w:val="22"/>
          <w:szCs w:val="22"/>
        </w:rPr>
      </w:pPr>
      <w:r w:rsidRPr="00EA25B1">
        <w:rPr>
          <w:rFonts w:cs="Arial"/>
          <w:sz w:val="22"/>
          <w:szCs w:val="22"/>
        </w:rPr>
        <w:t>Así mismo, es de indicar que entre las posibilidades para el usuario no regulado esta también la de poder acudir directamente al Mercado Primario para contratar el suministro de gas natural, consiguiendo mejores precios y considerando los riesgos, beneficios y costos que ello implica</w:t>
      </w:r>
      <w:r>
        <w:rPr>
          <w:rFonts w:cs="Arial"/>
          <w:sz w:val="22"/>
          <w:szCs w:val="22"/>
        </w:rPr>
        <w:t>.</w:t>
      </w:r>
    </w:p>
    <w:p w14:paraId="68A184F1" w14:textId="77777777" w:rsidR="00044CD2" w:rsidRDefault="00044CD2" w:rsidP="001931C5">
      <w:pPr>
        <w:rPr>
          <w:rFonts w:cs="Arial"/>
          <w:sz w:val="22"/>
          <w:szCs w:val="22"/>
        </w:rPr>
      </w:pPr>
    </w:p>
    <w:p w14:paraId="719A6857" w14:textId="4390588E" w:rsidR="00213405" w:rsidRDefault="00044CD2" w:rsidP="001931C5">
      <w:pPr>
        <w:rPr>
          <w:rFonts w:cs="Arial"/>
          <w:sz w:val="22"/>
          <w:szCs w:val="22"/>
        </w:rPr>
      </w:pPr>
      <w:r>
        <w:rPr>
          <w:rFonts w:cs="Arial"/>
          <w:sz w:val="22"/>
          <w:szCs w:val="22"/>
        </w:rPr>
        <w:t xml:space="preserve">Ver respuesta a  </w:t>
      </w:r>
      <w:r w:rsidR="00346A17">
        <w:rPr>
          <w:rFonts w:cs="Arial"/>
          <w:sz w:val="22"/>
          <w:szCs w:val="22"/>
        </w:rPr>
        <w:fldChar w:fldCharType="begin"/>
      </w:r>
      <w:r w:rsidR="00346A17">
        <w:rPr>
          <w:rFonts w:cs="Arial"/>
          <w:sz w:val="22"/>
          <w:szCs w:val="22"/>
        </w:rPr>
        <w:instrText xml:space="preserve"> REF _Ref130795566 \r \h </w:instrText>
      </w:r>
      <w:r w:rsidR="00346A17">
        <w:rPr>
          <w:rFonts w:cs="Arial"/>
          <w:sz w:val="22"/>
          <w:szCs w:val="22"/>
        </w:rPr>
      </w:r>
      <w:r w:rsidR="00346A17">
        <w:rPr>
          <w:rFonts w:cs="Arial"/>
          <w:sz w:val="22"/>
          <w:szCs w:val="22"/>
        </w:rPr>
        <w:fldChar w:fldCharType="separate"/>
      </w:r>
      <w:r w:rsidR="007651EA">
        <w:rPr>
          <w:rFonts w:cs="Arial"/>
          <w:sz w:val="22"/>
          <w:szCs w:val="22"/>
        </w:rPr>
        <w:t>11.5.1.1</w:t>
      </w:r>
      <w:r w:rsidR="00346A17">
        <w:rPr>
          <w:rFonts w:cs="Arial"/>
          <w:sz w:val="22"/>
          <w:szCs w:val="22"/>
        </w:rPr>
        <w:fldChar w:fldCharType="end"/>
      </w:r>
      <w:r w:rsidR="00346A17">
        <w:rPr>
          <w:rFonts w:cs="Arial"/>
          <w:sz w:val="22"/>
          <w:szCs w:val="22"/>
        </w:rPr>
        <w:t>.</w:t>
      </w:r>
    </w:p>
    <w:p w14:paraId="13059ABB" w14:textId="590DC14A" w:rsidR="00213405" w:rsidRDefault="00213405" w:rsidP="001931C5">
      <w:pPr>
        <w:rPr>
          <w:rFonts w:cs="Arial"/>
          <w:sz w:val="22"/>
          <w:szCs w:val="22"/>
        </w:rPr>
      </w:pPr>
    </w:p>
    <w:p w14:paraId="3FAF43FA" w14:textId="77777777" w:rsidR="001931C5" w:rsidRDefault="001931C5" w:rsidP="001931C5">
      <w:pPr>
        <w:rPr>
          <w:rFonts w:cs="Arial"/>
          <w:sz w:val="22"/>
          <w:szCs w:val="22"/>
        </w:rPr>
      </w:pPr>
    </w:p>
    <w:p w14:paraId="567C8EC6" w14:textId="77777777" w:rsidR="001931C5" w:rsidRDefault="001931C5" w:rsidP="00060709">
      <w:pPr>
        <w:pStyle w:val="Ttulo4"/>
      </w:pPr>
      <w:r w:rsidRPr="001931C5">
        <w:t>MC2 S.A. E.S.P.</w:t>
      </w:r>
      <w:r w:rsidRPr="001931C5">
        <w:tab/>
      </w:r>
    </w:p>
    <w:p w14:paraId="00A93D24" w14:textId="62B6DCE3" w:rsidR="001931C5" w:rsidRPr="00A11938" w:rsidRDefault="001931C5" w:rsidP="001931C5">
      <w:pPr>
        <w:rPr>
          <w:rFonts w:cs="Arial"/>
          <w:i/>
          <w:iCs/>
          <w:sz w:val="22"/>
          <w:szCs w:val="22"/>
        </w:rPr>
      </w:pPr>
      <w:r w:rsidRPr="001931C5">
        <w:rPr>
          <w:rFonts w:cs="Arial"/>
          <w:sz w:val="22"/>
          <w:szCs w:val="22"/>
        </w:rPr>
        <w:t>"</w:t>
      </w:r>
      <w:r w:rsidRPr="00A11938">
        <w:rPr>
          <w:rFonts w:cs="Arial"/>
          <w:i/>
          <w:iCs/>
          <w:sz w:val="22"/>
          <w:szCs w:val="22"/>
        </w:rPr>
        <w:t xml:space="preserve">Por último, queremos llamar la atención del regulador en lo siguiente: en relación con las excepciones actualmente establecidas en el artículo 19 de la Resolución 186 de 2020, los contratos firmes o que garantizan firmeza que son </w:t>
      </w:r>
      <w:r w:rsidR="00F33FC0">
        <w:rPr>
          <w:rFonts w:cs="Arial"/>
          <w:i/>
          <w:iCs/>
          <w:sz w:val="22"/>
          <w:szCs w:val="22"/>
        </w:rPr>
        <w:t>‘</w:t>
      </w:r>
      <w:r w:rsidRPr="00A11938">
        <w:rPr>
          <w:rFonts w:cs="Arial"/>
          <w:i/>
          <w:iCs/>
          <w:sz w:val="22"/>
          <w:szCs w:val="22"/>
        </w:rPr>
        <w:t>negociados</w:t>
      </w:r>
      <w:r w:rsidR="00F33FC0">
        <w:rPr>
          <w:rFonts w:cs="Arial"/>
          <w:i/>
          <w:iCs/>
          <w:sz w:val="22"/>
          <w:szCs w:val="22"/>
        </w:rPr>
        <w:t>’</w:t>
      </w:r>
      <w:r w:rsidRPr="00A11938">
        <w:rPr>
          <w:rFonts w:cs="Arial"/>
          <w:i/>
          <w:iCs/>
          <w:sz w:val="22"/>
          <w:szCs w:val="22"/>
        </w:rPr>
        <w:t xml:space="preserve"> de manera directa a través de agentes con fuentes de campos menores y aislados, suelen incluir como eventos eximentes de responsabilidad aspectos que están asociados al completo control de los productores, tales como bajas de presión, paradas de emergencia, riesgos geológicos, inviabilidad técnica o financiera de la operación, entre otros. </w:t>
      </w:r>
    </w:p>
    <w:p w14:paraId="779B4F90" w14:textId="77777777" w:rsidR="001931C5" w:rsidRPr="00A11938" w:rsidRDefault="001931C5" w:rsidP="001931C5">
      <w:pPr>
        <w:rPr>
          <w:rFonts w:cs="Arial"/>
          <w:i/>
          <w:iCs/>
          <w:sz w:val="22"/>
          <w:szCs w:val="22"/>
        </w:rPr>
      </w:pPr>
    </w:p>
    <w:p w14:paraId="1C483E14" w14:textId="77777777" w:rsidR="001931C5" w:rsidRPr="00A11938" w:rsidRDefault="001931C5" w:rsidP="001931C5">
      <w:pPr>
        <w:rPr>
          <w:rFonts w:cs="Arial"/>
          <w:i/>
          <w:iCs/>
          <w:sz w:val="22"/>
          <w:szCs w:val="22"/>
        </w:rPr>
      </w:pPr>
      <w:r w:rsidRPr="00A11938">
        <w:rPr>
          <w:rFonts w:cs="Arial"/>
          <w:i/>
          <w:iCs/>
          <w:sz w:val="22"/>
          <w:szCs w:val="22"/>
        </w:rPr>
        <w:t>Dichos eventos no se incluyen en el artículo 11 ni constituyen fuerza mayor porque se trata de asuntos que son del resorte profesional y técnico del productor, cuyo riesgo no puede ser trasladado al comprador ni al usuario final. Sin embargo, el artículo 20 de la Resolución 186 de 2021 creó una excepción a favor de las fuentes mencionadas según la cual los contratos celebrados no deben cumplir con lo dispuesto en los capítulos I y II del título III.</w:t>
      </w:r>
    </w:p>
    <w:p w14:paraId="1A824089" w14:textId="77777777" w:rsidR="001931C5" w:rsidRPr="00A11938" w:rsidRDefault="001931C5" w:rsidP="001931C5">
      <w:pPr>
        <w:rPr>
          <w:rFonts w:cs="Arial"/>
          <w:i/>
          <w:iCs/>
          <w:sz w:val="22"/>
          <w:szCs w:val="22"/>
        </w:rPr>
      </w:pPr>
    </w:p>
    <w:p w14:paraId="11F29540" w14:textId="77777777" w:rsidR="001931C5" w:rsidRPr="00A11938" w:rsidRDefault="001931C5" w:rsidP="001931C5">
      <w:pPr>
        <w:rPr>
          <w:rFonts w:cs="Arial"/>
          <w:i/>
          <w:iCs/>
          <w:sz w:val="22"/>
          <w:szCs w:val="22"/>
        </w:rPr>
      </w:pPr>
      <w:r w:rsidRPr="00A11938">
        <w:rPr>
          <w:rFonts w:cs="Arial"/>
          <w:i/>
          <w:iCs/>
          <w:sz w:val="22"/>
          <w:szCs w:val="22"/>
        </w:rPr>
        <w:t>En ese sentido, ocurre que muchos contratos que supuestamente garantizan firmeza y que cuentan con respaldo físico a través de esas fuentes, suspenden de manera constante las obligaciones de suministro causando un grave perjuicio al comercializador y al usuario final, particularmente de mercados aislados al sistema nacional de transporte atendidos a través de gasoductos virtuales.</w:t>
      </w:r>
    </w:p>
    <w:p w14:paraId="225464AF" w14:textId="77777777" w:rsidR="001931C5" w:rsidRPr="00A11938" w:rsidRDefault="001931C5" w:rsidP="001931C5">
      <w:pPr>
        <w:rPr>
          <w:rFonts w:cs="Arial"/>
          <w:i/>
          <w:iCs/>
          <w:sz w:val="22"/>
          <w:szCs w:val="22"/>
        </w:rPr>
      </w:pPr>
    </w:p>
    <w:p w14:paraId="1AA75C67" w14:textId="64D6F882" w:rsidR="001931C5" w:rsidRDefault="001931C5" w:rsidP="001931C5">
      <w:pPr>
        <w:rPr>
          <w:rFonts w:cs="Arial"/>
          <w:sz w:val="22"/>
          <w:szCs w:val="22"/>
        </w:rPr>
      </w:pPr>
      <w:r w:rsidRPr="00A11938">
        <w:rPr>
          <w:rFonts w:cs="Arial"/>
          <w:i/>
          <w:iCs/>
          <w:sz w:val="22"/>
          <w:szCs w:val="22"/>
        </w:rPr>
        <w:t xml:space="preserve">Además, teniendo en cuenta que del lado de la oferta estamos frente a un mercado oligopólico los contratos de suministro no son, en estricto sentido, de libre negociación, sino que son de adhesión. Es por ello </w:t>
      </w:r>
      <w:proofErr w:type="gramStart"/>
      <w:r w:rsidRPr="00A11938">
        <w:rPr>
          <w:rFonts w:cs="Arial"/>
          <w:i/>
          <w:iCs/>
          <w:sz w:val="22"/>
          <w:szCs w:val="22"/>
        </w:rPr>
        <w:t>que</w:t>
      </w:r>
      <w:proofErr w:type="gramEnd"/>
      <w:r w:rsidRPr="00A11938">
        <w:rPr>
          <w:rFonts w:cs="Arial"/>
          <w:i/>
          <w:iCs/>
          <w:sz w:val="22"/>
          <w:szCs w:val="22"/>
        </w:rPr>
        <w:t>, con el propósito de garantizar la confiabilidad en la prestación del servicio a usuarios aislados, es necesario que el regulador emita una señal para que se le impida al productor trasladar los riesgos que son del resorte de su actividad</w:t>
      </w:r>
      <w:r w:rsidRPr="001931C5">
        <w:rPr>
          <w:rFonts w:cs="Arial"/>
          <w:sz w:val="22"/>
          <w:szCs w:val="22"/>
        </w:rPr>
        <w:t>."</w:t>
      </w:r>
    </w:p>
    <w:p w14:paraId="2608839F" w14:textId="3B49F1F7" w:rsidR="00A11938" w:rsidRDefault="00A11938" w:rsidP="001931C5">
      <w:pPr>
        <w:rPr>
          <w:rFonts w:cs="Arial"/>
          <w:sz w:val="22"/>
          <w:szCs w:val="22"/>
        </w:rPr>
      </w:pPr>
    </w:p>
    <w:p w14:paraId="1ED46AA6" w14:textId="171BD1FA" w:rsidR="00A11938" w:rsidRPr="00A11938" w:rsidRDefault="00A11938" w:rsidP="001931C5">
      <w:pPr>
        <w:rPr>
          <w:rFonts w:cs="Arial"/>
          <w:b/>
          <w:bCs/>
          <w:sz w:val="22"/>
          <w:szCs w:val="22"/>
        </w:rPr>
      </w:pPr>
      <w:r w:rsidRPr="00A11938">
        <w:rPr>
          <w:rFonts w:cs="Arial"/>
          <w:b/>
          <w:bCs/>
          <w:sz w:val="22"/>
          <w:szCs w:val="22"/>
        </w:rPr>
        <w:t>Respuesta:</w:t>
      </w:r>
    </w:p>
    <w:p w14:paraId="21532A8E" w14:textId="0E944F0C" w:rsidR="00A11938" w:rsidRDefault="00A11938" w:rsidP="001931C5">
      <w:pPr>
        <w:rPr>
          <w:rFonts w:cs="Arial"/>
          <w:sz w:val="22"/>
          <w:szCs w:val="22"/>
        </w:rPr>
      </w:pPr>
    </w:p>
    <w:p w14:paraId="6AA94172" w14:textId="0195526E" w:rsidR="00A11938" w:rsidRDefault="00B52A2E" w:rsidP="001931C5">
      <w:pPr>
        <w:rPr>
          <w:rFonts w:cs="Arial"/>
          <w:sz w:val="22"/>
          <w:szCs w:val="22"/>
        </w:rPr>
      </w:pPr>
      <w:r>
        <w:rPr>
          <w:rFonts w:cs="Arial"/>
          <w:sz w:val="22"/>
          <w:szCs w:val="22"/>
        </w:rPr>
        <w:t>Se acoge el comentario.</w:t>
      </w:r>
    </w:p>
    <w:p w14:paraId="5EABED91" w14:textId="04C5B7DC" w:rsidR="00B52A2E" w:rsidRDefault="00B52A2E" w:rsidP="001931C5">
      <w:pPr>
        <w:rPr>
          <w:rFonts w:cs="Arial"/>
          <w:sz w:val="22"/>
          <w:szCs w:val="22"/>
        </w:rPr>
      </w:pPr>
    </w:p>
    <w:p w14:paraId="71BD3DED" w14:textId="34779F29" w:rsidR="003372E9" w:rsidRDefault="00B52A2E" w:rsidP="001931C5">
      <w:pPr>
        <w:rPr>
          <w:rFonts w:cs="Arial"/>
          <w:sz w:val="22"/>
          <w:szCs w:val="22"/>
        </w:rPr>
      </w:pPr>
      <w:r>
        <w:rPr>
          <w:rFonts w:cs="Arial"/>
          <w:sz w:val="22"/>
          <w:szCs w:val="22"/>
        </w:rPr>
        <w:t xml:space="preserve">Es necesario aclarar primero que el Artículo </w:t>
      </w:r>
      <w:r w:rsidR="00B744A4">
        <w:rPr>
          <w:rFonts w:cs="Arial"/>
          <w:sz w:val="22"/>
          <w:szCs w:val="22"/>
        </w:rPr>
        <w:t>19</w:t>
      </w:r>
      <w:r>
        <w:rPr>
          <w:rFonts w:cs="Arial"/>
          <w:sz w:val="22"/>
          <w:szCs w:val="22"/>
        </w:rPr>
        <w:t xml:space="preserve"> de la Resolución CREG 186 de 2020 actualmente vigente, </w:t>
      </w:r>
      <w:r w:rsidR="00C84AAC">
        <w:rPr>
          <w:rFonts w:cs="Arial"/>
          <w:sz w:val="22"/>
          <w:szCs w:val="22"/>
        </w:rPr>
        <w:t xml:space="preserve">establece </w:t>
      </w:r>
      <w:r w:rsidR="00B744A4">
        <w:rPr>
          <w:rFonts w:cs="Arial"/>
          <w:sz w:val="22"/>
          <w:szCs w:val="22"/>
        </w:rPr>
        <w:t xml:space="preserve">la posibilidad de utilizar el mecanismo de negociación directa en cualquier momento del año, en los casos señalados en dicho Artículo. A continuación, el Artículo 20 señala que los contratos objeto de la negociación directa en cualquier momento del año solo podrán pactar los contratos bajo las modalidades establecidas por la CREG según los numerales mencionados, </w:t>
      </w:r>
      <w:proofErr w:type="gramStart"/>
      <w:r w:rsidR="00B744A4">
        <w:rPr>
          <w:rFonts w:cs="Arial"/>
          <w:sz w:val="22"/>
          <w:szCs w:val="22"/>
        </w:rPr>
        <w:t>que</w:t>
      </w:r>
      <w:proofErr w:type="gramEnd"/>
      <w:r w:rsidR="00B744A4">
        <w:rPr>
          <w:rFonts w:cs="Arial"/>
          <w:sz w:val="22"/>
          <w:szCs w:val="22"/>
        </w:rPr>
        <w:t xml:space="preserve"> en resumen, corresponde a modalidades del tipo firme o con garantía de firmeza. Asimismo, se establece que </w:t>
      </w:r>
      <w:r w:rsidR="003372E9">
        <w:rPr>
          <w:rFonts w:cs="Arial"/>
          <w:sz w:val="22"/>
          <w:szCs w:val="22"/>
        </w:rPr>
        <w:t>tale</w:t>
      </w:r>
      <w:r w:rsidR="00B744A4">
        <w:rPr>
          <w:rFonts w:cs="Arial"/>
          <w:sz w:val="22"/>
          <w:szCs w:val="22"/>
        </w:rPr>
        <w:t xml:space="preserve">s contratos </w:t>
      </w:r>
      <w:r w:rsidR="003372E9">
        <w:rPr>
          <w:rFonts w:cs="Arial"/>
          <w:sz w:val="22"/>
          <w:szCs w:val="22"/>
        </w:rPr>
        <w:t>se sujetarán a lo dispuesto en los capítulo</w:t>
      </w:r>
      <w:r w:rsidR="001F1AA4">
        <w:rPr>
          <w:rFonts w:cs="Arial"/>
          <w:sz w:val="22"/>
          <w:szCs w:val="22"/>
        </w:rPr>
        <w:t>s</w:t>
      </w:r>
      <w:r w:rsidR="003372E9">
        <w:rPr>
          <w:rFonts w:cs="Arial"/>
          <w:sz w:val="22"/>
          <w:szCs w:val="22"/>
        </w:rPr>
        <w:t xml:space="preserve"> I (Modalidades de contratos de suministro) y capítulo II (Requisitos mínimos de los contratos de suministro) del Título III de la resolución en mención y que deberán tener como fecha de terminación el 30 de noviembre del año que acuerden las partes.</w:t>
      </w:r>
    </w:p>
    <w:p w14:paraId="7FC92B23" w14:textId="6388D42D" w:rsidR="003372E9" w:rsidRDefault="003372E9" w:rsidP="001931C5">
      <w:pPr>
        <w:rPr>
          <w:rFonts w:cs="Arial"/>
          <w:sz w:val="22"/>
          <w:szCs w:val="22"/>
        </w:rPr>
      </w:pPr>
    </w:p>
    <w:p w14:paraId="12CD25B4" w14:textId="77777777" w:rsidR="003372E9" w:rsidRDefault="003372E9" w:rsidP="001931C5">
      <w:pPr>
        <w:rPr>
          <w:rFonts w:cs="Arial"/>
          <w:sz w:val="22"/>
          <w:szCs w:val="22"/>
        </w:rPr>
      </w:pPr>
      <w:r>
        <w:rPr>
          <w:rFonts w:cs="Arial"/>
          <w:sz w:val="22"/>
          <w:szCs w:val="22"/>
        </w:rPr>
        <w:t xml:space="preserve">Luego, el Artículo 20 contiene un parágrafo que señala excepciones a las disposiciones del Artículo, que no aplican a todos los casos señalados en el Artículo 19, sino a 3 casos: </w:t>
      </w:r>
      <w:r w:rsidRPr="003372E9">
        <w:rPr>
          <w:rFonts w:cs="Arial"/>
          <w:sz w:val="22"/>
          <w:szCs w:val="22"/>
        </w:rPr>
        <w:t>Campos que se encuentren en pruebas extensas o sobre los cuales no se haya declarado su comercialidad</w:t>
      </w:r>
      <w:r>
        <w:rPr>
          <w:rFonts w:cs="Arial"/>
          <w:sz w:val="22"/>
          <w:szCs w:val="22"/>
        </w:rPr>
        <w:t>, campos aislados y cuando se trate de gas importado que se</w:t>
      </w:r>
      <w:r w:rsidRPr="003372E9">
        <w:rPr>
          <w:rFonts w:cs="Arial"/>
          <w:sz w:val="22"/>
          <w:szCs w:val="22"/>
        </w:rPr>
        <w:t xml:space="preserve"> destine a la atención de la demanda del sector térmico, en los términos señalados en la Resolución CREG 062 de 2013</w:t>
      </w:r>
      <w:r>
        <w:rPr>
          <w:rFonts w:cs="Arial"/>
          <w:sz w:val="22"/>
          <w:szCs w:val="22"/>
        </w:rPr>
        <w:t>.</w:t>
      </w:r>
    </w:p>
    <w:p w14:paraId="2E09E4C1" w14:textId="77777777" w:rsidR="003372E9" w:rsidRDefault="003372E9" w:rsidP="001931C5">
      <w:pPr>
        <w:rPr>
          <w:rFonts w:cs="Arial"/>
          <w:sz w:val="22"/>
          <w:szCs w:val="22"/>
        </w:rPr>
      </w:pPr>
    </w:p>
    <w:p w14:paraId="7029D0E0" w14:textId="34558401" w:rsidR="003372E9" w:rsidRDefault="003372E9" w:rsidP="001931C5">
      <w:pPr>
        <w:rPr>
          <w:rFonts w:cs="Arial"/>
          <w:sz w:val="22"/>
          <w:szCs w:val="22"/>
        </w:rPr>
      </w:pPr>
      <w:r>
        <w:rPr>
          <w:rFonts w:cs="Arial"/>
          <w:sz w:val="22"/>
          <w:szCs w:val="22"/>
        </w:rPr>
        <w:t xml:space="preserve">En la nueva propuesta se mantiene la excepción de los casos señalados y </w:t>
      </w:r>
      <w:r w:rsidR="00D8621C">
        <w:rPr>
          <w:rFonts w:cs="Arial"/>
          <w:sz w:val="22"/>
          <w:szCs w:val="22"/>
        </w:rPr>
        <w:t xml:space="preserve">se añade </w:t>
      </w:r>
      <w:r>
        <w:rPr>
          <w:rFonts w:cs="Arial"/>
          <w:sz w:val="22"/>
          <w:szCs w:val="22"/>
        </w:rPr>
        <w:t>cuando</w:t>
      </w:r>
      <w:r w:rsidRPr="003372E9">
        <w:rPr>
          <w:rFonts w:cs="Arial"/>
          <w:sz w:val="22"/>
          <w:szCs w:val="22"/>
        </w:rPr>
        <w:t xml:space="preserve"> provenga de Fuentes de Suministro nacionales que requieren logísticas especiales para su comercialización, como GNC o GNL siempre y cuando el suministro del gas </w:t>
      </w:r>
      <w:r w:rsidR="00D8621C">
        <w:rPr>
          <w:rFonts w:cs="Arial"/>
          <w:sz w:val="22"/>
          <w:szCs w:val="22"/>
        </w:rPr>
        <w:t xml:space="preserve">de dichos casos </w:t>
      </w:r>
      <w:r w:rsidRPr="003372E9">
        <w:rPr>
          <w:rFonts w:cs="Arial"/>
          <w:sz w:val="22"/>
          <w:szCs w:val="22"/>
        </w:rPr>
        <w:t>provenga de una sola Fuente de Suministro y no tenga por objeto el suministro de gas natural en firme o con garantía de firmeza de una cantidad del gas contratado, que requiere contar con Respaldo Físico</w:t>
      </w:r>
      <w:r>
        <w:rPr>
          <w:rFonts w:cs="Arial"/>
          <w:sz w:val="22"/>
          <w:szCs w:val="22"/>
        </w:rPr>
        <w:t>.</w:t>
      </w:r>
    </w:p>
    <w:p w14:paraId="045F77DC" w14:textId="77777777" w:rsidR="003372E9" w:rsidRDefault="003372E9" w:rsidP="001931C5">
      <w:pPr>
        <w:rPr>
          <w:rFonts w:cs="Arial"/>
          <w:sz w:val="22"/>
          <w:szCs w:val="22"/>
        </w:rPr>
      </w:pPr>
    </w:p>
    <w:p w14:paraId="302B20C7" w14:textId="4AD0616C" w:rsidR="00B52A2E" w:rsidRDefault="003372E9" w:rsidP="001931C5">
      <w:pPr>
        <w:rPr>
          <w:rFonts w:cs="Arial"/>
          <w:sz w:val="22"/>
          <w:szCs w:val="22"/>
        </w:rPr>
      </w:pPr>
      <w:r>
        <w:rPr>
          <w:rFonts w:cs="Arial"/>
          <w:sz w:val="22"/>
          <w:szCs w:val="22"/>
        </w:rPr>
        <w:t xml:space="preserve">Lo anterior porque dentro de la caracterización del contrato de tipo firme o que garantiza firmeza </w:t>
      </w:r>
      <w:r w:rsidR="00213F0B">
        <w:rPr>
          <w:rFonts w:cs="Arial"/>
          <w:sz w:val="22"/>
          <w:szCs w:val="22"/>
        </w:rPr>
        <w:t xml:space="preserve">bajo las modalidades CREG, </w:t>
      </w:r>
      <w:r>
        <w:rPr>
          <w:rFonts w:cs="Arial"/>
          <w:sz w:val="22"/>
          <w:szCs w:val="22"/>
        </w:rPr>
        <w:t xml:space="preserve">se encuentra conveniente la aplicación sin discriminación </w:t>
      </w:r>
      <w:r w:rsidR="00213F0B">
        <w:rPr>
          <w:rFonts w:cs="Arial"/>
          <w:sz w:val="22"/>
          <w:szCs w:val="22"/>
        </w:rPr>
        <w:t xml:space="preserve">por las partes </w:t>
      </w:r>
      <w:r>
        <w:rPr>
          <w:rFonts w:cs="Arial"/>
          <w:sz w:val="22"/>
          <w:szCs w:val="22"/>
        </w:rPr>
        <w:t>de las con</w:t>
      </w:r>
      <w:r w:rsidR="00213F0B">
        <w:rPr>
          <w:rFonts w:cs="Arial"/>
          <w:sz w:val="22"/>
          <w:szCs w:val="22"/>
        </w:rPr>
        <w:t>dicio</w:t>
      </w:r>
      <w:r>
        <w:rPr>
          <w:rFonts w:cs="Arial"/>
          <w:sz w:val="22"/>
          <w:szCs w:val="22"/>
        </w:rPr>
        <w:t>nes o requisitos mínimos establ</w:t>
      </w:r>
      <w:r w:rsidR="00213F0B">
        <w:rPr>
          <w:rFonts w:cs="Arial"/>
          <w:sz w:val="22"/>
          <w:szCs w:val="22"/>
        </w:rPr>
        <w:t>e</w:t>
      </w:r>
      <w:r>
        <w:rPr>
          <w:rFonts w:cs="Arial"/>
          <w:sz w:val="22"/>
          <w:szCs w:val="22"/>
        </w:rPr>
        <w:t>cidos por la CREG</w:t>
      </w:r>
      <w:r w:rsidR="002E7EFC">
        <w:rPr>
          <w:rFonts w:cs="Arial"/>
          <w:sz w:val="22"/>
          <w:szCs w:val="22"/>
        </w:rPr>
        <w:t>, pues su objeto es el mismo: la garantía de suministro de una cantidad máxima de gas natural por un período determinado de tiempo, excepto en los días establecidos para mantenimiento y labores programadas.</w:t>
      </w:r>
      <w:r>
        <w:rPr>
          <w:rFonts w:cs="Arial"/>
          <w:sz w:val="22"/>
          <w:szCs w:val="22"/>
        </w:rPr>
        <w:t xml:space="preserve"> </w:t>
      </w:r>
      <w:r w:rsidR="004A7865">
        <w:rPr>
          <w:rFonts w:cs="Arial"/>
          <w:sz w:val="22"/>
          <w:szCs w:val="22"/>
        </w:rPr>
        <w:t>Dichas cantidades se fijan de manera diaria cuando se trata de gas a inyectar en el SNT directamente por parte del vendedor o indirectamente por parte del comprador, lo cual no es necesario en los casos en que el suministro corresponde a GNC o GNL, por las condiciones de transporte y de almacenamiento de dichas formas de suministro.</w:t>
      </w:r>
    </w:p>
    <w:p w14:paraId="4E268546" w14:textId="77777777" w:rsidR="00213F0B" w:rsidRPr="001931C5" w:rsidRDefault="00213F0B" w:rsidP="001931C5">
      <w:pPr>
        <w:rPr>
          <w:rFonts w:cs="Arial"/>
          <w:sz w:val="22"/>
          <w:szCs w:val="22"/>
        </w:rPr>
      </w:pPr>
    </w:p>
    <w:p w14:paraId="7B96E586" w14:textId="77777777" w:rsidR="001931C5" w:rsidRDefault="001931C5" w:rsidP="001931C5">
      <w:pPr>
        <w:rPr>
          <w:rFonts w:cs="Arial"/>
          <w:sz w:val="22"/>
          <w:szCs w:val="22"/>
        </w:rPr>
      </w:pPr>
    </w:p>
    <w:p w14:paraId="28D2D694" w14:textId="77777777" w:rsidR="001931C5" w:rsidRDefault="001931C5" w:rsidP="00FB4C4A">
      <w:pPr>
        <w:pStyle w:val="Ttulo2"/>
      </w:pPr>
      <w:bookmarkStart w:id="661" w:name="_Toc140506347"/>
      <w:r w:rsidRPr="001931C5">
        <w:t>SSPD</w:t>
      </w:r>
      <w:bookmarkEnd w:id="661"/>
      <w:r w:rsidRPr="001931C5">
        <w:tab/>
      </w:r>
    </w:p>
    <w:p w14:paraId="1A15520F" w14:textId="77777777" w:rsidR="00060709" w:rsidRDefault="00060709" w:rsidP="00060709">
      <w:pPr>
        <w:pStyle w:val="Ttulo4"/>
      </w:pPr>
      <w:r w:rsidRPr="001931C5">
        <w:t>SSPD</w:t>
      </w:r>
      <w:r w:rsidRPr="001931C5">
        <w:tab/>
      </w:r>
    </w:p>
    <w:p w14:paraId="21909231" w14:textId="4326009A" w:rsidR="001931C5" w:rsidRPr="003F6199" w:rsidRDefault="006213B8" w:rsidP="001931C5">
      <w:pPr>
        <w:rPr>
          <w:rFonts w:cs="Arial"/>
          <w:i/>
          <w:iCs/>
          <w:sz w:val="22"/>
          <w:szCs w:val="22"/>
        </w:rPr>
      </w:pPr>
      <w:r>
        <w:rPr>
          <w:rFonts w:cs="Arial"/>
          <w:i/>
          <w:iCs/>
          <w:sz w:val="22"/>
          <w:szCs w:val="22"/>
        </w:rPr>
        <w:t>“</w:t>
      </w:r>
      <w:r w:rsidR="001931C5" w:rsidRPr="003F6199">
        <w:rPr>
          <w:rFonts w:cs="Arial"/>
          <w:i/>
          <w:iCs/>
          <w:sz w:val="22"/>
          <w:szCs w:val="22"/>
        </w:rPr>
        <w:t xml:space="preserve">Se hace referencia erróneamente al numeral 4, dado que este trata el tema del rechazo de la existencia de un evento de fuerza mayor. </w:t>
      </w:r>
      <w:proofErr w:type="gramStart"/>
      <w:r w:rsidR="001931C5" w:rsidRPr="003F6199">
        <w:rPr>
          <w:rFonts w:cs="Arial"/>
          <w:i/>
          <w:iCs/>
          <w:sz w:val="22"/>
          <w:szCs w:val="22"/>
        </w:rPr>
        <w:t>De acuerdo al</w:t>
      </w:r>
      <w:proofErr w:type="gramEnd"/>
      <w:r w:rsidR="001931C5" w:rsidRPr="003F6199">
        <w:rPr>
          <w:rFonts w:cs="Arial"/>
          <w:i/>
          <w:iCs/>
          <w:sz w:val="22"/>
          <w:szCs w:val="22"/>
        </w:rPr>
        <w:t xml:space="preserve"> entendimiento de la resolución se debe hacer referencia al numeral 5, el cual expone cuando se dará reinicio de las obligaciones luego de la suspensión del servicio.</w:t>
      </w:r>
      <w:r>
        <w:rPr>
          <w:rFonts w:cs="Arial"/>
          <w:i/>
          <w:iCs/>
          <w:sz w:val="22"/>
          <w:szCs w:val="22"/>
        </w:rPr>
        <w:t>”</w:t>
      </w:r>
    </w:p>
    <w:p w14:paraId="086CD475" w14:textId="521F4347" w:rsidR="003F6199" w:rsidRDefault="003F6199" w:rsidP="001931C5">
      <w:pPr>
        <w:rPr>
          <w:rFonts w:cs="Arial"/>
          <w:sz w:val="22"/>
          <w:szCs w:val="22"/>
        </w:rPr>
      </w:pPr>
    </w:p>
    <w:p w14:paraId="1464CC2B" w14:textId="55D46308" w:rsidR="003F6199" w:rsidRPr="003F6199" w:rsidRDefault="003F6199" w:rsidP="001931C5">
      <w:pPr>
        <w:rPr>
          <w:rFonts w:cs="Arial"/>
          <w:b/>
          <w:bCs/>
          <w:sz w:val="22"/>
          <w:szCs w:val="22"/>
        </w:rPr>
      </w:pPr>
      <w:r w:rsidRPr="003F6199">
        <w:rPr>
          <w:rFonts w:cs="Arial"/>
          <w:b/>
          <w:bCs/>
          <w:sz w:val="22"/>
          <w:szCs w:val="22"/>
        </w:rPr>
        <w:t>Respuesta:</w:t>
      </w:r>
    </w:p>
    <w:p w14:paraId="4FE7FFC6" w14:textId="124C2EEA" w:rsidR="003F6199" w:rsidRDefault="003F6199" w:rsidP="001931C5">
      <w:pPr>
        <w:rPr>
          <w:rFonts w:cs="Arial"/>
          <w:sz w:val="22"/>
          <w:szCs w:val="22"/>
        </w:rPr>
      </w:pPr>
    </w:p>
    <w:p w14:paraId="0FB094A3" w14:textId="09059484" w:rsidR="003F6199" w:rsidRDefault="003F6199" w:rsidP="001931C5">
      <w:pPr>
        <w:rPr>
          <w:rFonts w:cs="Arial"/>
          <w:sz w:val="22"/>
          <w:szCs w:val="22"/>
        </w:rPr>
      </w:pPr>
      <w:r>
        <w:rPr>
          <w:rFonts w:cs="Arial"/>
          <w:sz w:val="22"/>
          <w:szCs w:val="22"/>
        </w:rPr>
        <w:t>Se acoge el comentario.</w:t>
      </w:r>
    </w:p>
    <w:p w14:paraId="361F41E7" w14:textId="68300C5D" w:rsidR="003F6199" w:rsidRDefault="003F6199" w:rsidP="001931C5">
      <w:pPr>
        <w:rPr>
          <w:rFonts w:cs="Arial"/>
          <w:sz w:val="22"/>
          <w:szCs w:val="22"/>
        </w:rPr>
      </w:pPr>
    </w:p>
    <w:p w14:paraId="165736A3" w14:textId="701C5E1E" w:rsidR="003F6199" w:rsidRPr="001931C5" w:rsidRDefault="003F6199" w:rsidP="001931C5">
      <w:pPr>
        <w:rPr>
          <w:rFonts w:cs="Arial"/>
          <w:sz w:val="22"/>
          <w:szCs w:val="22"/>
        </w:rPr>
      </w:pPr>
      <w:r>
        <w:rPr>
          <w:rFonts w:cs="Arial"/>
          <w:sz w:val="22"/>
          <w:szCs w:val="22"/>
        </w:rPr>
        <w:t>En la nueva propuesta se corrige el error de redacción.</w:t>
      </w:r>
    </w:p>
    <w:p w14:paraId="04EEF0D8" w14:textId="77777777" w:rsidR="001931C5" w:rsidRDefault="001931C5" w:rsidP="001931C5">
      <w:pPr>
        <w:rPr>
          <w:rFonts w:cs="Arial"/>
          <w:sz w:val="22"/>
          <w:szCs w:val="22"/>
        </w:rPr>
      </w:pPr>
    </w:p>
    <w:p w14:paraId="023F8E52" w14:textId="77777777" w:rsidR="001931C5" w:rsidRDefault="001931C5" w:rsidP="001931C5">
      <w:pPr>
        <w:rPr>
          <w:rFonts w:cs="Arial"/>
          <w:sz w:val="22"/>
          <w:szCs w:val="22"/>
        </w:rPr>
      </w:pPr>
    </w:p>
    <w:p w14:paraId="4D01EC05" w14:textId="77777777" w:rsidR="001931C5" w:rsidRDefault="001931C5" w:rsidP="00FB4C4A">
      <w:pPr>
        <w:pStyle w:val="Ttulo2"/>
      </w:pPr>
      <w:bookmarkStart w:id="662" w:name="_Toc140506348"/>
      <w:r w:rsidRPr="001931C5">
        <w:t>TEBSA</w:t>
      </w:r>
      <w:bookmarkEnd w:id="662"/>
      <w:r w:rsidRPr="001931C5">
        <w:tab/>
      </w:r>
    </w:p>
    <w:p w14:paraId="3A35DDF2" w14:textId="77777777" w:rsidR="00060709" w:rsidRDefault="00060709" w:rsidP="00060709">
      <w:pPr>
        <w:pStyle w:val="Ttulo4"/>
      </w:pPr>
      <w:r w:rsidRPr="001931C5">
        <w:t>TEBSA</w:t>
      </w:r>
      <w:r w:rsidRPr="001931C5">
        <w:tab/>
      </w:r>
    </w:p>
    <w:p w14:paraId="4245332C" w14:textId="1A47D383" w:rsidR="001931C5" w:rsidRPr="003F6199" w:rsidRDefault="006213B8" w:rsidP="001931C5">
      <w:pPr>
        <w:rPr>
          <w:rFonts w:cs="Arial"/>
          <w:i/>
          <w:iCs/>
          <w:sz w:val="22"/>
          <w:szCs w:val="22"/>
        </w:rPr>
      </w:pPr>
      <w:r>
        <w:rPr>
          <w:rFonts w:cs="Arial"/>
          <w:i/>
          <w:iCs/>
          <w:sz w:val="22"/>
          <w:szCs w:val="22"/>
        </w:rPr>
        <w:t>“</w:t>
      </w:r>
      <w:r w:rsidR="001931C5" w:rsidRPr="003F6199">
        <w:rPr>
          <w:rFonts w:cs="Arial"/>
          <w:i/>
          <w:iCs/>
          <w:sz w:val="22"/>
          <w:szCs w:val="22"/>
        </w:rPr>
        <w:t>En este ar</w:t>
      </w:r>
      <w:r w:rsidR="009534DE">
        <w:rPr>
          <w:rFonts w:cs="Arial"/>
          <w:i/>
          <w:iCs/>
          <w:sz w:val="22"/>
          <w:szCs w:val="22"/>
        </w:rPr>
        <w:t>tí</w:t>
      </w:r>
      <w:r w:rsidR="001931C5" w:rsidRPr="003F6199">
        <w:rPr>
          <w:rFonts w:cs="Arial"/>
          <w:i/>
          <w:iCs/>
          <w:sz w:val="22"/>
          <w:szCs w:val="22"/>
        </w:rPr>
        <w:t xml:space="preserve">culo se indica que </w:t>
      </w:r>
      <w:r>
        <w:rPr>
          <w:rFonts w:cs="Arial"/>
          <w:i/>
          <w:iCs/>
          <w:sz w:val="22"/>
          <w:szCs w:val="22"/>
        </w:rPr>
        <w:t>‘</w:t>
      </w:r>
      <w:r w:rsidR="001931C5" w:rsidRPr="003F6199">
        <w:rPr>
          <w:rFonts w:cs="Arial"/>
          <w:i/>
          <w:iCs/>
          <w:sz w:val="22"/>
          <w:szCs w:val="22"/>
        </w:rPr>
        <w:t>Las suspensiones por labores programadas para reparaciones técnicas o mantenimientos periódicos de la infraestructura de transporte, siempre que de ello se dé aviso amplio y oportuno</w:t>
      </w:r>
      <w:r>
        <w:rPr>
          <w:rFonts w:cs="Arial"/>
          <w:i/>
          <w:iCs/>
          <w:sz w:val="22"/>
          <w:szCs w:val="22"/>
        </w:rPr>
        <w:t>’</w:t>
      </w:r>
      <w:r w:rsidR="001931C5" w:rsidRPr="003F6199">
        <w:rPr>
          <w:rFonts w:cs="Arial"/>
          <w:i/>
          <w:iCs/>
          <w:sz w:val="22"/>
          <w:szCs w:val="22"/>
        </w:rPr>
        <w:t>. Consideramos que en la infraestructura de suministro sea sim</w:t>
      </w:r>
      <w:r w:rsidR="003F6199" w:rsidRPr="003F6199">
        <w:rPr>
          <w:rFonts w:cs="Arial"/>
          <w:i/>
          <w:iCs/>
          <w:sz w:val="22"/>
          <w:szCs w:val="22"/>
        </w:rPr>
        <w:t>é</w:t>
      </w:r>
      <w:r w:rsidR="001931C5" w:rsidRPr="003F6199">
        <w:rPr>
          <w:rFonts w:cs="Arial"/>
          <w:i/>
          <w:iCs/>
          <w:sz w:val="22"/>
          <w:szCs w:val="22"/>
        </w:rPr>
        <w:t>trico en tiempo de aviso</w:t>
      </w:r>
      <w:r w:rsidR="003F6199" w:rsidRPr="003F6199">
        <w:rPr>
          <w:rFonts w:cs="Arial"/>
          <w:i/>
          <w:iCs/>
          <w:sz w:val="22"/>
          <w:szCs w:val="22"/>
        </w:rPr>
        <w:t>.</w:t>
      </w:r>
      <w:r>
        <w:rPr>
          <w:rFonts w:cs="Arial"/>
          <w:i/>
          <w:iCs/>
          <w:sz w:val="22"/>
          <w:szCs w:val="22"/>
        </w:rPr>
        <w:t>”</w:t>
      </w:r>
    </w:p>
    <w:p w14:paraId="0AFCA6A6" w14:textId="1991E7A1" w:rsidR="003F6199" w:rsidRDefault="003F6199" w:rsidP="001931C5">
      <w:pPr>
        <w:rPr>
          <w:rFonts w:cs="Arial"/>
          <w:sz w:val="22"/>
          <w:szCs w:val="22"/>
        </w:rPr>
      </w:pPr>
    </w:p>
    <w:p w14:paraId="0D6FBD3E" w14:textId="621A86A8" w:rsidR="003F6199" w:rsidRPr="003F6199" w:rsidRDefault="003F6199" w:rsidP="001931C5">
      <w:pPr>
        <w:rPr>
          <w:rFonts w:cs="Arial"/>
          <w:b/>
          <w:bCs/>
          <w:sz w:val="22"/>
          <w:szCs w:val="22"/>
        </w:rPr>
      </w:pPr>
      <w:r w:rsidRPr="003F6199">
        <w:rPr>
          <w:rFonts w:cs="Arial"/>
          <w:b/>
          <w:bCs/>
          <w:sz w:val="22"/>
          <w:szCs w:val="22"/>
        </w:rPr>
        <w:t>Respuesta:</w:t>
      </w:r>
    </w:p>
    <w:p w14:paraId="2EACD17F" w14:textId="36EDAF48" w:rsidR="003F6199" w:rsidRDefault="003F6199" w:rsidP="001931C5">
      <w:pPr>
        <w:rPr>
          <w:rFonts w:cs="Arial"/>
          <w:sz w:val="22"/>
          <w:szCs w:val="22"/>
        </w:rPr>
      </w:pPr>
    </w:p>
    <w:p w14:paraId="576A3532" w14:textId="4D2C16F7" w:rsidR="003F6199" w:rsidRPr="001931C5" w:rsidRDefault="006C07ED"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_Ref130792638 \r \h </w:instrText>
      </w:r>
      <w:r>
        <w:rPr>
          <w:rFonts w:cs="Arial"/>
          <w:sz w:val="22"/>
          <w:szCs w:val="22"/>
        </w:rPr>
      </w:r>
      <w:r>
        <w:rPr>
          <w:rFonts w:cs="Arial"/>
          <w:sz w:val="22"/>
          <w:szCs w:val="22"/>
        </w:rPr>
        <w:fldChar w:fldCharType="separate"/>
      </w:r>
      <w:r w:rsidR="007651EA">
        <w:rPr>
          <w:rFonts w:cs="Arial"/>
          <w:sz w:val="22"/>
          <w:szCs w:val="22"/>
        </w:rPr>
        <w:t>4.21.1.3</w:t>
      </w:r>
      <w:r>
        <w:rPr>
          <w:rFonts w:cs="Arial"/>
          <w:sz w:val="22"/>
          <w:szCs w:val="22"/>
        </w:rPr>
        <w:fldChar w:fldCharType="end"/>
      </w:r>
      <w:r>
        <w:rPr>
          <w:rFonts w:cs="Arial"/>
          <w:sz w:val="22"/>
          <w:szCs w:val="22"/>
        </w:rPr>
        <w:t>.</w:t>
      </w:r>
    </w:p>
    <w:p w14:paraId="6AB5D240" w14:textId="77777777" w:rsidR="001931C5" w:rsidRDefault="001931C5" w:rsidP="001931C5">
      <w:pPr>
        <w:rPr>
          <w:rFonts w:cs="Arial"/>
          <w:sz w:val="22"/>
          <w:szCs w:val="22"/>
        </w:rPr>
      </w:pPr>
    </w:p>
    <w:p w14:paraId="7E7ABCF7" w14:textId="77777777" w:rsidR="001931C5" w:rsidRDefault="001931C5" w:rsidP="001931C5">
      <w:pPr>
        <w:rPr>
          <w:rFonts w:cs="Arial"/>
          <w:sz w:val="22"/>
          <w:szCs w:val="22"/>
        </w:rPr>
      </w:pPr>
    </w:p>
    <w:p w14:paraId="1875CFE2" w14:textId="77777777" w:rsidR="001931C5" w:rsidRDefault="001931C5" w:rsidP="00FB4C4A">
      <w:pPr>
        <w:pStyle w:val="Ttulo2"/>
      </w:pPr>
      <w:bookmarkStart w:id="663" w:name="_Toc140506349"/>
      <w:r w:rsidRPr="001931C5">
        <w:t>TERMOYOPAL</w:t>
      </w:r>
      <w:bookmarkEnd w:id="663"/>
      <w:r w:rsidRPr="001931C5">
        <w:tab/>
      </w:r>
    </w:p>
    <w:p w14:paraId="0F3A98C6" w14:textId="77777777" w:rsidR="00060709" w:rsidRDefault="00060709" w:rsidP="00060709">
      <w:pPr>
        <w:pStyle w:val="Ttulo4"/>
      </w:pPr>
      <w:r w:rsidRPr="001931C5">
        <w:t>TERMOYOPAL</w:t>
      </w:r>
      <w:r w:rsidRPr="001931C5">
        <w:tab/>
      </w:r>
    </w:p>
    <w:p w14:paraId="73C902DC" w14:textId="7C4B008E" w:rsidR="001931C5" w:rsidRPr="00AC1ECC" w:rsidRDefault="006213B8" w:rsidP="001931C5">
      <w:pPr>
        <w:rPr>
          <w:rFonts w:cs="Arial"/>
          <w:i/>
          <w:iCs/>
          <w:sz w:val="22"/>
          <w:szCs w:val="22"/>
        </w:rPr>
      </w:pPr>
      <w:r>
        <w:rPr>
          <w:rFonts w:cs="Arial"/>
          <w:i/>
          <w:iCs/>
          <w:sz w:val="22"/>
          <w:szCs w:val="22"/>
        </w:rPr>
        <w:t>“</w:t>
      </w:r>
      <w:r w:rsidR="001931C5" w:rsidRPr="00AC1ECC">
        <w:rPr>
          <w:rFonts w:cs="Arial"/>
          <w:i/>
          <w:iCs/>
          <w:sz w:val="22"/>
          <w:szCs w:val="22"/>
        </w:rPr>
        <w:t>Consideramos que no solo debe contemplarse la infraestructura de gas sino también el sistema integrado con la Red Eléctrica, esto debido a que además de dejar de cumplir con los compromisos contractuales en energía cuando se presenta una restricción eléctrica, también se incumple con el consumo mínimo de los contratos de suministro en firme de gas natural.</w:t>
      </w:r>
      <w:r>
        <w:rPr>
          <w:rFonts w:cs="Arial"/>
          <w:i/>
          <w:iCs/>
          <w:sz w:val="22"/>
          <w:szCs w:val="22"/>
        </w:rPr>
        <w:t>”</w:t>
      </w:r>
    </w:p>
    <w:p w14:paraId="7D8A5D99" w14:textId="4035B237" w:rsidR="00AC1ECC" w:rsidRDefault="00AC1ECC" w:rsidP="001931C5">
      <w:pPr>
        <w:rPr>
          <w:rFonts w:cs="Arial"/>
          <w:sz w:val="22"/>
          <w:szCs w:val="22"/>
        </w:rPr>
      </w:pPr>
    </w:p>
    <w:p w14:paraId="6702B6BA" w14:textId="436F2F8B" w:rsidR="00AC1ECC" w:rsidRPr="00AC1ECC" w:rsidRDefault="00AC1ECC" w:rsidP="001931C5">
      <w:pPr>
        <w:rPr>
          <w:rFonts w:cs="Arial"/>
          <w:b/>
          <w:bCs/>
          <w:sz w:val="22"/>
          <w:szCs w:val="22"/>
        </w:rPr>
      </w:pPr>
      <w:r w:rsidRPr="00AC1ECC">
        <w:rPr>
          <w:rFonts w:cs="Arial"/>
          <w:b/>
          <w:bCs/>
          <w:sz w:val="22"/>
          <w:szCs w:val="22"/>
        </w:rPr>
        <w:t>Respuesta:</w:t>
      </w:r>
    </w:p>
    <w:p w14:paraId="1B7FCEE6" w14:textId="11311A82" w:rsidR="00AC1ECC" w:rsidRDefault="00AC1ECC" w:rsidP="001931C5">
      <w:pPr>
        <w:rPr>
          <w:rFonts w:cs="Arial"/>
          <w:sz w:val="22"/>
          <w:szCs w:val="22"/>
        </w:rPr>
      </w:pPr>
    </w:p>
    <w:p w14:paraId="23D2B59C" w14:textId="7444BB0A" w:rsidR="00AC1ECC" w:rsidRPr="001931C5" w:rsidRDefault="00AC1ECC"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_Ref130799827 \r \h </w:instrText>
      </w:r>
      <w:r>
        <w:rPr>
          <w:rFonts w:cs="Arial"/>
          <w:sz w:val="22"/>
          <w:szCs w:val="22"/>
        </w:rPr>
      </w:r>
      <w:r>
        <w:rPr>
          <w:rFonts w:cs="Arial"/>
          <w:sz w:val="22"/>
          <w:szCs w:val="22"/>
        </w:rPr>
        <w:fldChar w:fldCharType="separate"/>
      </w:r>
      <w:r w:rsidR="007651EA">
        <w:rPr>
          <w:rFonts w:cs="Arial"/>
          <w:sz w:val="22"/>
          <w:szCs w:val="22"/>
        </w:rPr>
        <w:t>11.3.1.1</w:t>
      </w:r>
      <w:r>
        <w:rPr>
          <w:rFonts w:cs="Arial"/>
          <w:sz w:val="22"/>
          <w:szCs w:val="22"/>
        </w:rPr>
        <w:fldChar w:fldCharType="end"/>
      </w:r>
      <w:r>
        <w:rPr>
          <w:rFonts w:cs="Arial"/>
          <w:sz w:val="22"/>
          <w:szCs w:val="22"/>
        </w:rPr>
        <w:t>.</w:t>
      </w:r>
    </w:p>
    <w:p w14:paraId="0672B616" w14:textId="77777777" w:rsidR="001931C5" w:rsidRDefault="001931C5" w:rsidP="001931C5">
      <w:pPr>
        <w:rPr>
          <w:rFonts w:cs="Arial"/>
          <w:sz w:val="22"/>
          <w:szCs w:val="22"/>
        </w:rPr>
      </w:pPr>
    </w:p>
    <w:p w14:paraId="57F2B063" w14:textId="77777777" w:rsidR="001931C5" w:rsidRDefault="001931C5" w:rsidP="001931C5">
      <w:pPr>
        <w:rPr>
          <w:rFonts w:cs="Arial"/>
          <w:sz w:val="22"/>
          <w:szCs w:val="22"/>
        </w:rPr>
      </w:pPr>
    </w:p>
    <w:p w14:paraId="1DA445FD" w14:textId="77777777" w:rsidR="001931C5" w:rsidRDefault="001931C5" w:rsidP="00FB4C4A">
      <w:pPr>
        <w:pStyle w:val="Ttulo2"/>
      </w:pPr>
      <w:bookmarkStart w:id="664" w:name="_Toc140506350"/>
      <w:r w:rsidRPr="001931C5">
        <w:t>TERPEL</w:t>
      </w:r>
      <w:bookmarkEnd w:id="664"/>
      <w:r w:rsidRPr="001931C5">
        <w:tab/>
      </w:r>
    </w:p>
    <w:p w14:paraId="2A924905" w14:textId="77777777" w:rsidR="00060709" w:rsidRDefault="00060709" w:rsidP="00060709">
      <w:pPr>
        <w:pStyle w:val="Ttulo4"/>
      </w:pPr>
      <w:r w:rsidRPr="001931C5">
        <w:t>TERPEL</w:t>
      </w:r>
      <w:r w:rsidRPr="001931C5">
        <w:tab/>
      </w:r>
    </w:p>
    <w:p w14:paraId="017FB700" w14:textId="19338503" w:rsidR="001931C5" w:rsidRPr="00AC1ECC" w:rsidRDefault="001931C5" w:rsidP="001931C5">
      <w:pPr>
        <w:rPr>
          <w:rFonts w:cs="Arial"/>
          <w:i/>
          <w:iCs/>
          <w:sz w:val="22"/>
          <w:szCs w:val="22"/>
        </w:rPr>
      </w:pPr>
      <w:r w:rsidRPr="00AC1ECC">
        <w:rPr>
          <w:rFonts w:cs="Arial"/>
          <w:i/>
          <w:iCs/>
          <w:sz w:val="22"/>
          <w:szCs w:val="22"/>
        </w:rPr>
        <w:t>Se eliminó el evento excluyente de responsabilidad por el no registro del contrato. Sugerimos incluirlo, tal como está en la Resolución 186 de 2020.</w:t>
      </w:r>
    </w:p>
    <w:p w14:paraId="688276D0" w14:textId="701508A3" w:rsidR="00AC1ECC" w:rsidRDefault="00AC1ECC" w:rsidP="001931C5">
      <w:pPr>
        <w:rPr>
          <w:rFonts w:cs="Arial"/>
          <w:sz w:val="22"/>
          <w:szCs w:val="22"/>
        </w:rPr>
      </w:pPr>
    </w:p>
    <w:p w14:paraId="71F957D0" w14:textId="21ED5FEC" w:rsidR="00AC1ECC" w:rsidRPr="00AC1ECC" w:rsidRDefault="00AC1ECC" w:rsidP="001931C5">
      <w:pPr>
        <w:rPr>
          <w:rFonts w:cs="Arial"/>
          <w:b/>
          <w:bCs/>
          <w:sz w:val="22"/>
          <w:szCs w:val="22"/>
        </w:rPr>
      </w:pPr>
      <w:r w:rsidRPr="00AC1ECC">
        <w:rPr>
          <w:rFonts w:cs="Arial"/>
          <w:b/>
          <w:bCs/>
          <w:sz w:val="22"/>
          <w:szCs w:val="22"/>
        </w:rPr>
        <w:t>Respuesta:</w:t>
      </w:r>
    </w:p>
    <w:p w14:paraId="2A8596FC" w14:textId="61FE0881" w:rsidR="00AC1ECC" w:rsidRDefault="00AC1ECC" w:rsidP="001931C5">
      <w:pPr>
        <w:rPr>
          <w:rFonts w:cs="Arial"/>
          <w:sz w:val="22"/>
          <w:szCs w:val="22"/>
        </w:rPr>
      </w:pPr>
    </w:p>
    <w:p w14:paraId="69991739" w14:textId="22904215" w:rsidR="00AC1ECC" w:rsidRPr="001931C5" w:rsidRDefault="00AC1ECC"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_Ref130799884 \r \h </w:instrText>
      </w:r>
      <w:r>
        <w:rPr>
          <w:rFonts w:cs="Arial"/>
          <w:sz w:val="22"/>
          <w:szCs w:val="22"/>
        </w:rPr>
      </w:r>
      <w:r>
        <w:rPr>
          <w:rFonts w:cs="Arial"/>
          <w:sz w:val="22"/>
          <w:szCs w:val="22"/>
        </w:rPr>
        <w:fldChar w:fldCharType="separate"/>
      </w:r>
      <w:r w:rsidR="007651EA">
        <w:rPr>
          <w:rFonts w:cs="Arial"/>
          <w:sz w:val="22"/>
          <w:szCs w:val="22"/>
        </w:rPr>
        <w:t>11.2.1.1</w:t>
      </w:r>
      <w:r>
        <w:rPr>
          <w:rFonts w:cs="Arial"/>
          <w:sz w:val="22"/>
          <w:szCs w:val="22"/>
        </w:rPr>
        <w:fldChar w:fldCharType="end"/>
      </w:r>
    </w:p>
    <w:p w14:paraId="08BA9200" w14:textId="77777777" w:rsidR="001931C5" w:rsidRDefault="001931C5" w:rsidP="001931C5">
      <w:pPr>
        <w:rPr>
          <w:rFonts w:cs="Arial"/>
          <w:sz w:val="22"/>
          <w:szCs w:val="22"/>
        </w:rPr>
      </w:pPr>
    </w:p>
    <w:p w14:paraId="596C2DC8" w14:textId="77777777" w:rsidR="001931C5" w:rsidRDefault="001931C5" w:rsidP="001931C5">
      <w:pPr>
        <w:rPr>
          <w:rFonts w:cs="Arial"/>
          <w:sz w:val="22"/>
          <w:szCs w:val="22"/>
        </w:rPr>
      </w:pPr>
    </w:p>
    <w:p w14:paraId="7D2A5FF9" w14:textId="77777777" w:rsidR="001931C5" w:rsidRDefault="001931C5" w:rsidP="00FB4C4A">
      <w:pPr>
        <w:pStyle w:val="Ttulo2"/>
      </w:pPr>
      <w:bookmarkStart w:id="665" w:name="_Toc140506351"/>
      <w:r w:rsidRPr="001931C5">
        <w:t>VANTI</w:t>
      </w:r>
      <w:bookmarkEnd w:id="665"/>
      <w:r w:rsidRPr="001931C5">
        <w:tab/>
      </w:r>
    </w:p>
    <w:p w14:paraId="7C42CE83" w14:textId="77777777" w:rsidR="00060709" w:rsidRDefault="00060709" w:rsidP="00060709">
      <w:pPr>
        <w:pStyle w:val="Ttulo4"/>
      </w:pPr>
      <w:r w:rsidRPr="001931C5">
        <w:t>VANTI</w:t>
      </w:r>
      <w:r w:rsidRPr="001931C5">
        <w:tab/>
      </w:r>
    </w:p>
    <w:p w14:paraId="1B9C1EE5" w14:textId="5858ED25" w:rsidR="001931C5" w:rsidRPr="00AC1ECC" w:rsidRDefault="009A39AD" w:rsidP="001931C5">
      <w:pPr>
        <w:rPr>
          <w:rFonts w:cs="Arial"/>
          <w:i/>
          <w:iCs/>
          <w:sz w:val="22"/>
          <w:szCs w:val="22"/>
        </w:rPr>
      </w:pPr>
      <w:r>
        <w:rPr>
          <w:rFonts w:cs="Arial"/>
          <w:i/>
          <w:iCs/>
          <w:sz w:val="22"/>
          <w:szCs w:val="22"/>
        </w:rPr>
        <w:t>“</w:t>
      </w:r>
      <w:r w:rsidR="001931C5" w:rsidRPr="00AC1ECC">
        <w:rPr>
          <w:rFonts w:cs="Arial"/>
          <w:i/>
          <w:iCs/>
          <w:sz w:val="22"/>
          <w:szCs w:val="22"/>
        </w:rPr>
        <w:t>Se solicita que la Resolución CREG 185 de 2020 se modifique y se incluya que, ante una suspensión programada para reparaciones técnicas o mantenimientos de la infraestructura de suministro, este evento se configure como un evento eximente de responsabilidad frente a los contratos de transporte, dado que los tramos relacionados a la ruta hasta llegar al centro de consumo no pueden utilizarse por no contar con la oferta de molécula.</w:t>
      </w:r>
      <w:r>
        <w:rPr>
          <w:rFonts w:cs="Arial"/>
          <w:i/>
          <w:iCs/>
          <w:sz w:val="22"/>
          <w:szCs w:val="22"/>
        </w:rPr>
        <w:t>”</w:t>
      </w:r>
      <w:r w:rsidR="001931C5" w:rsidRPr="00AC1ECC">
        <w:rPr>
          <w:rFonts w:cs="Arial"/>
          <w:i/>
          <w:iCs/>
          <w:sz w:val="22"/>
          <w:szCs w:val="22"/>
        </w:rPr>
        <w:t xml:space="preserve"> </w:t>
      </w:r>
    </w:p>
    <w:p w14:paraId="47BE707B" w14:textId="6FEE0CFA" w:rsidR="00AC1ECC" w:rsidRDefault="00AC1ECC" w:rsidP="001931C5">
      <w:pPr>
        <w:rPr>
          <w:rFonts w:cs="Arial"/>
          <w:sz w:val="22"/>
          <w:szCs w:val="22"/>
        </w:rPr>
      </w:pPr>
    </w:p>
    <w:p w14:paraId="1A74BB0C" w14:textId="614018B2" w:rsidR="00AC1ECC" w:rsidRPr="00AC1ECC" w:rsidRDefault="00AC1ECC" w:rsidP="001931C5">
      <w:pPr>
        <w:rPr>
          <w:rFonts w:cs="Arial"/>
          <w:b/>
          <w:bCs/>
          <w:sz w:val="22"/>
          <w:szCs w:val="22"/>
        </w:rPr>
      </w:pPr>
      <w:r w:rsidRPr="00AC1ECC">
        <w:rPr>
          <w:rFonts w:cs="Arial"/>
          <w:b/>
          <w:bCs/>
          <w:sz w:val="22"/>
          <w:szCs w:val="22"/>
        </w:rPr>
        <w:t>Respuesta:</w:t>
      </w:r>
    </w:p>
    <w:p w14:paraId="73005A26" w14:textId="1758B6E4" w:rsidR="00AC1ECC" w:rsidRDefault="00AC1ECC" w:rsidP="001931C5">
      <w:pPr>
        <w:rPr>
          <w:rFonts w:cs="Arial"/>
          <w:sz w:val="22"/>
          <w:szCs w:val="22"/>
        </w:rPr>
      </w:pPr>
    </w:p>
    <w:p w14:paraId="416CF5EF" w14:textId="2D179832" w:rsidR="00AC1ECC" w:rsidRDefault="00AC1ECC" w:rsidP="001931C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_Ref130799968 \r \h </w:instrText>
      </w:r>
      <w:r>
        <w:rPr>
          <w:rFonts w:cs="Arial"/>
          <w:sz w:val="22"/>
          <w:szCs w:val="22"/>
        </w:rPr>
      </w:r>
      <w:r>
        <w:rPr>
          <w:rFonts w:cs="Arial"/>
          <w:sz w:val="22"/>
          <w:szCs w:val="22"/>
        </w:rPr>
        <w:fldChar w:fldCharType="separate"/>
      </w:r>
      <w:r w:rsidR="007651EA">
        <w:rPr>
          <w:rFonts w:cs="Arial"/>
          <w:sz w:val="22"/>
          <w:szCs w:val="22"/>
        </w:rPr>
        <w:t>11.1.1.1</w:t>
      </w:r>
      <w:r>
        <w:rPr>
          <w:rFonts w:cs="Arial"/>
          <w:sz w:val="22"/>
          <w:szCs w:val="22"/>
        </w:rPr>
        <w:fldChar w:fldCharType="end"/>
      </w:r>
      <w:r>
        <w:rPr>
          <w:rFonts w:cs="Arial"/>
          <w:sz w:val="22"/>
          <w:szCs w:val="22"/>
        </w:rPr>
        <w:t>.</w:t>
      </w:r>
    </w:p>
    <w:p w14:paraId="69E87EE3" w14:textId="77777777" w:rsidR="00AC1ECC" w:rsidRPr="001931C5" w:rsidRDefault="00AC1ECC" w:rsidP="001931C5">
      <w:pPr>
        <w:rPr>
          <w:rFonts w:cs="Arial"/>
          <w:sz w:val="22"/>
          <w:szCs w:val="22"/>
        </w:rPr>
      </w:pPr>
    </w:p>
    <w:p w14:paraId="65CB7416" w14:textId="77777777" w:rsidR="001931C5" w:rsidRDefault="001931C5" w:rsidP="001931C5">
      <w:pPr>
        <w:rPr>
          <w:rFonts w:cs="Arial"/>
          <w:sz w:val="22"/>
          <w:szCs w:val="22"/>
        </w:rPr>
      </w:pPr>
    </w:p>
    <w:p w14:paraId="04011583" w14:textId="77777777" w:rsidR="001931C5" w:rsidRDefault="001931C5" w:rsidP="00060709">
      <w:pPr>
        <w:pStyle w:val="Ttulo4"/>
      </w:pPr>
      <w:r w:rsidRPr="001931C5">
        <w:t>VANTI</w:t>
      </w:r>
      <w:r w:rsidRPr="001931C5">
        <w:tab/>
      </w:r>
    </w:p>
    <w:p w14:paraId="2D34B53D" w14:textId="20ADB4C2" w:rsidR="001931C5" w:rsidRPr="00AC1ECC" w:rsidRDefault="00643D51" w:rsidP="001931C5">
      <w:pPr>
        <w:rPr>
          <w:rFonts w:cs="Arial"/>
          <w:i/>
          <w:iCs/>
          <w:sz w:val="22"/>
          <w:szCs w:val="22"/>
        </w:rPr>
      </w:pPr>
      <w:r>
        <w:rPr>
          <w:rFonts w:cs="Arial"/>
          <w:i/>
          <w:iCs/>
          <w:sz w:val="22"/>
          <w:szCs w:val="22"/>
        </w:rPr>
        <w:t>“</w:t>
      </w:r>
      <w:r w:rsidR="001931C5" w:rsidRPr="00AC1ECC">
        <w:rPr>
          <w:rFonts w:cs="Arial"/>
          <w:i/>
          <w:iCs/>
          <w:sz w:val="22"/>
          <w:szCs w:val="22"/>
        </w:rPr>
        <w:t>Solicitamos que para los eventos de Fuerza Mayor pueda darse el mismo tratamiento, esto es, un evento de Fuerza Mayor que impida el uso del servicio del transporte debería ser una condición eximente para los contratos de suministro, y viceversa.</w:t>
      </w:r>
      <w:r>
        <w:rPr>
          <w:rFonts w:cs="Arial"/>
          <w:i/>
          <w:iCs/>
          <w:sz w:val="22"/>
          <w:szCs w:val="22"/>
        </w:rPr>
        <w:t>”</w:t>
      </w:r>
    </w:p>
    <w:p w14:paraId="1A783644" w14:textId="10C6A15A" w:rsidR="00AC1ECC" w:rsidRDefault="00AC1ECC" w:rsidP="001931C5">
      <w:pPr>
        <w:rPr>
          <w:rFonts w:cs="Arial"/>
          <w:sz w:val="22"/>
          <w:szCs w:val="22"/>
        </w:rPr>
      </w:pPr>
    </w:p>
    <w:p w14:paraId="2F28BA96" w14:textId="724E3D68" w:rsidR="00AC1ECC" w:rsidRPr="00AC1ECC" w:rsidRDefault="00AC1ECC" w:rsidP="001931C5">
      <w:pPr>
        <w:rPr>
          <w:rFonts w:cs="Arial"/>
          <w:b/>
          <w:bCs/>
          <w:sz w:val="22"/>
          <w:szCs w:val="22"/>
        </w:rPr>
      </w:pPr>
      <w:r w:rsidRPr="00AC1ECC">
        <w:rPr>
          <w:rFonts w:cs="Arial"/>
          <w:b/>
          <w:bCs/>
          <w:sz w:val="22"/>
          <w:szCs w:val="22"/>
        </w:rPr>
        <w:t>Respuesta:</w:t>
      </w:r>
    </w:p>
    <w:p w14:paraId="3E96A535" w14:textId="344CC7C8" w:rsidR="00AC1ECC" w:rsidRDefault="00AC1ECC" w:rsidP="001931C5">
      <w:pPr>
        <w:rPr>
          <w:rFonts w:cs="Arial"/>
          <w:sz w:val="22"/>
          <w:szCs w:val="22"/>
        </w:rPr>
      </w:pPr>
    </w:p>
    <w:p w14:paraId="7458F36C" w14:textId="30003664" w:rsidR="00AA32E1" w:rsidRDefault="00AA32E1" w:rsidP="00AA32E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_Ref130799968 \r \h </w:instrText>
      </w:r>
      <w:r>
        <w:rPr>
          <w:rFonts w:cs="Arial"/>
          <w:sz w:val="22"/>
          <w:szCs w:val="22"/>
        </w:rPr>
      </w:r>
      <w:r>
        <w:rPr>
          <w:rFonts w:cs="Arial"/>
          <w:sz w:val="22"/>
          <w:szCs w:val="22"/>
        </w:rPr>
        <w:fldChar w:fldCharType="separate"/>
      </w:r>
      <w:r w:rsidR="007651EA">
        <w:rPr>
          <w:rFonts w:cs="Arial"/>
          <w:sz w:val="22"/>
          <w:szCs w:val="22"/>
        </w:rPr>
        <w:t>11.1.1.1</w:t>
      </w:r>
      <w:r>
        <w:rPr>
          <w:rFonts w:cs="Arial"/>
          <w:sz w:val="22"/>
          <w:szCs w:val="22"/>
        </w:rPr>
        <w:fldChar w:fldCharType="end"/>
      </w:r>
      <w:r>
        <w:rPr>
          <w:rFonts w:cs="Arial"/>
          <w:sz w:val="22"/>
          <w:szCs w:val="22"/>
        </w:rPr>
        <w:t>.</w:t>
      </w:r>
    </w:p>
    <w:p w14:paraId="6FED5F9A" w14:textId="77777777" w:rsidR="001931C5" w:rsidRDefault="001931C5" w:rsidP="00371CB5">
      <w:pPr>
        <w:rPr>
          <w:rFonts w:cs="Arial"/>
          <w:b/>
          <w:bCs/>
          <w:sz w:val="22"/>
          <w:szCs w:val="22"/>
        </w:rPr>
      </w:pPr>
    </w:p>
    <w:p w14:paraId="7C69CE5A" w14:textId="021E5AEB" w:rsidR="00D26961" w:rsidRDefault="00D26961" w:rsidP="00371CB5">
      <w:pPr>
        <w:rPr>
          <w:rFonts w:cs="Arial"/>
          <w:b/>
          <w:bCs/>
          <w:sz w:val="22"/>
          <w:szCs w:val="22"/>
        </w:rPr>
      </w:pPr>
    </w:p>
    <w:p w14:paraId="3D75A3A8" w14:textId="4653EB28" w:rsidR="00D26961" w:rsidRDefault="00D26961" w:rsidP="00D26961">
      <w:pPr>
        <w:pStyle w:val="Ttulo1"/>
        <w:numPr>
          <w:ilvl w:val="0"/>
          <w:numId w:val="1"/>
        </w:numPr>
        <w:rPr>
          <w:caps/>
        </w:rPr>
      </w:pPr>
      <w:bookmarkStart w:id="666" w:name="_Toc140506352"/>
      <w:r>
        <w:t xml:space="preserve">ARTÍCULO </w:t>
      </w:r>
      <w:r w:rsidR="00EF1C07">
        <w:t>12</w:t>
      </w:r>
      <w:r>
        <w:t xml:space="preserve">. </w:t>
      </w:r>
      <w:r w:rsidR="0070732E" w:rsidRPr="0070732E">
        <w:rPr>
          <w:caps/>
        </w:rPr>
        <w:t>Duración permisible para suspensiones del servicio</w:t>
      </w:r>
      <w:bookmarkEnd w:id="666"/>
    </w:p>
    <w:p w14:paraId="61AAAB98" w14:textId="77777777" w:rsidR="00EF674E" w:rsidRDefault="00EF674E" w:rsidP="00EF674E">
      <w:pPr>
        <w:pStyle w:val="Ttulo2"/>
      </w:pPr>
      <w:bookmarkStart w:id="667" w:name="_Toc140506353"/>
      <w:r w:rsidRPr="00EF674E">
        <w:t>GEAM</w:t>
      </w:r>
      <w:bookmarkEnd w:id="667"/>
      <w:r w:rsidRPr="00EF674E">
        <w:tab/>
      </w:r>
    </w:p>
    <w:p w14:paraId="17D9D507" w14:textId="77777777" w:rsidR="00EF674E" w:rsidRDefault="00EF674E" w:rsidP="00EF674E">
      <w:pPr>
        <w:pStyle w:val="Ttulo4"/>
      </w:pPr>
      <w:r w:rsidRPr="00EF674E">
        <w:t>GEAM</w:t>
      </w:r>
      <w:r w:rsidRPr="00EF674E">
        <w:tab/>
      </w:r>
    </w:p>
    <w:p w14:paraId="3AE34BF8" w14:textId="12019480" w:rsidR="00EF674E" w:rsidRPr="00AA32E1" w:rsidRDefault="00EF674E" w:rsidP="00EF674E">
      <w:pPr>
        <w:rPr>
          <w:rFonts w:cs="Arial"/>
          <w:i/>
          <w:iCs/>
          <w:sz w:val="22"/>
          <w:szCs w:val="22"/>
        </w:rPr>
      </w:pPr>
      <w:r w:rsidRPr="00EF674E">
        <w:rPr>
          <w:rFonts w:cs="Arial"/>
          <w:sz w:val="22"/>
          <w:szCs w:val="22"/>
        </w:rPr>
        <w:t>"</w:t>
      </w:r>
      <w:r w:rsidRPr="00AA32E1">
        <w:rPr>
          <w:rFonts w:cs="Arial"/>
          <w:i/>
          <w:iCs/>
          <w:sz w:val="22"/>
          <w:szCs w:val="22"/>
        </w:rPr>
        <w:t xml:space="preserve">Solicitamos a la CREG que, la duración permisible de las suspensiones en el suministro y transporte de gas natural regulada en las resoluciones 185 de 2020, 186 de 2020 y el proyecto de resolución 226 de 2021, se equipe entre ellos. Es decir que, la suspensión permisible del servicio por labores programadas para reparaciones técnicas o mantenimientos periódicos tanto en el suministro como el transporte de gas natural sea de cuatrocientas ochenta (480) horas continuas o discontinuas durante un año. </w:t>
      </w:r>
    </w:p>
    <w:p w14:paraId="3CE64661" w14:textId="77777777" w:rsidR="00EF674E" w:rsidRPr="00AA32E1" w:rsidRDefault="00EF674E" w:rsidP="00EF674E">
      <w:pPr>
        <w:rPr>
          <w:rFonts w:cs="Arial"/>
          <w:i/>
          <w:iCs/>
          <w:sz w:val="22"/>
          <w:szCs w:val="22"/>
        </w:rPr>
      </w:pPr>
    </w:p>
    <w:p w14:paraId="664F0966" w14:textId="3775D2E1" w:rsidR="00CE5559" w:rsidRDefault="00EF674E" w:rsidP="00EF674E">
      <w:pPr>
        <w:rPr>
          <w:rFonts w:cs="Arial"/>
          <w:sz w:val="22"/>
          <w:szCs w:val="22"/>
        </w:rPr>
      </w:pPr>
      <w:r w:rsidRPr="00AA32E1">
        <w:rPr>
          <w:rFonts w:cs="Arial"/>
          <w:i/>
          <w:iCs/>
          <w:sz w:val="22"/>
          <w:szCs w:val="22"/>
        </w:rPr>
        <w:t>Lo anterior teniendo en cuenta que, la diferencia de trescientas sesenta (360) horas de suspensión permisible entre el suministro y transporte de gas natural afecta directamente a los comercializadores de gas natural, toda vez que, los productores-comercializadores o comercializadores de gas natural importado tienen la posibilidad de suspender el suministro de gas natural por un número de horas que no es congruente con el número de horas que el comercializador puede suspender el transporte en firme contratado. La situación explicada anteriormente afecta directamente la previsión financiera y técnica de los comercializadores debido a que, están expuestos a tener que pagar por trescientas sesenta (360) horas de transporte sin utilizarlo por la posibilidad que tienen los productores-comercializadores o comercializadores de gas natural importado por eventos eximentes</w:t>
      </w:r>
      <w:r w:rsidRPr="00EF674E">
        <w:rPr>
          <w:rFonts w:cs="Arial"/>
          <w:sz w:val="22"/>
          <w:szCs w:val="22"/>
        </w:rPr>
        <w:t>."</w:t>
      </w:r>
    </w:p>
    <w:p w14:paraId="3E27CB65" w14:textId="531879B1" w:rsidR="00AA32E1" w:rsidRDefault="00AA32E1" w:rsidP="00EF674E">
      <w:pPr>
        <w:rPr>
          <w:rFonts w:cs="Arial"/>
          <w:sz w:val="22"/>
          <w:szCs w:val="22"/>
        </w:rPr>
      </w:pPr>
    </w:p>
    <w:p w14:paraId="6D0166D2" w14:textId="33AD1D62" w:rsidR="00AA32E1" w:rsidRPr="00AA32E1" w:rsidRDefault="00AA32E1" w:rsidP="00EF674E">
      <w:pPr>
        <w:rPr>
          <w:rFonts w:cs="Arial"/>
          <w:b/>
          <w:bCs/>
          <w:sz w:val="22"/>
          <w:szCs w:val="22"/>
        </w:rPr>
      </w:pPr>
      <w:r w:rsidRPr="00AA32E1">
        <w:rPr>
          <w:rFonts w:cs="Arial"/>
          <w:b/>
          <w:bCs/>
          <w:sz w:val="22"/>
          <w:szCs w:val="22"/>
        </w:rPr>
        <w:t>Respuesta:</w:t>
      </w:r>
    </w:p>
    <w:p w14:paraId="134CF692" w14:textId="0A9BFAD6" w:rsidR="00AA32E1" w:rsidRDefault="00AA32E1" w:rsidP="00EF674E">
      <w:pPr>
        <w:rPr>
          <w:rFonts w:cs="Arial"/>
          <w:sz w:val="22"/>
          <w:szCs w:val="22"/>
        </w:rPr>
      </w:pPr>
    </w:p>
    <w:p w14:paraId="1CF29546" w14:textId="1B434F85" w:rsidR="00AA32E1" w:rsidRPr="00EF674E" w:rsidRDefault="00AA32E1" w:rsidP="00EF674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_Ref130800163 \r \h </w:instrText>
      </w:r>
      <w:r>
        <w:rPr>
          <w:rFonts w:cs="Arial"/>
          <w:sz w:val="22"/>
          <w:szCs w:val="22"/>
        </w:rPr>
      </w:r>
      <w:r>
        <w:rPr>
          <w:rFonts w:cs="Arial"/>
          <w:sz w:val="22"/>
          <w:szCs w:val="22"/>
        </w:rPr>
        <w:fldChar w:fldCharType="separate"/>
      </w:r>
      <w:r w:rsidR="007651EA">
        <w:rPr>
          <w:rFonts w:cs="Arial"/>
          <w:sz w:val="22"/>
          <w:szCs w:val="22"/>
        </w:rPr>
        <w:t>11.10.1.1</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_Ref130800122 \r \h </w:instrText>
      </w:r>
      <w:r>
        <w:rPr>
          <w:rFonts w:cs="Arial"/>
          <w:sz w:val="22"/>
          <w:szCs w:val="22"/>
        </w:rPr>
      </w:r>
      <w:r>
        <w:rPr>
          <w:rFonts w:cs="Arial"/>
          <w:sz w:val="22"/>
          <w:szCs w:val="22"/>
        </w:rPr>
        <w:fldChar w:fldCharType="separate"/>
      </w:r>
      <w:r w:rsidR="007651EA">
        <w:rPr>
          <w:rFonts w:cs="Arial"/>
          <w:sz w:val="22"/>
          <w:szCs w:val="22"/>
        </w:rPr>
        <w:t>11.12.1.3</w:t>
      </w:r>
      <w:r>
        <w:rPr>
          <w:rFonts w:cs="Arial"/>
          <w:sz w:val="22"/>
          <w:szCs w:val="22"/>
        </w:rPr>
        <w:fldChar w:fldCharType="end"/>
      </w:r>
      <w:r>
        <w:rPr>
          <w:rFonts w:cs="Arial"/>
          <w:sz w:val="22"/>
          <w:szCs w:val="22"/>
        </w:rPr>
        <w:t>.</w:t>
      </w:r>
    </w:p>
    <w:p w14:paraId="458905FC" w14:textId="34B76FD0" w:rsidR="00CE5559" w:rsidRDefault="00CE5559" w:rsidP="00371CB5">
      <w:pPr>
        <w:rPr>
          <w:rFonts w:cs="Arial"/>
          <w:b/>
          <w:bCs/>
          <w:sz w:val="22"/>
          <w:szCs w:val="22"/>
        </w:rPr>
      </w:pPr>
    </w:p>
    <w:p w14:paraId="2CCB9FCE" w14:textId="1ABE602E" w:rsidR="00D26961" w:rsidRDefault="00D26961" w:rsidP="00371CB5">
      <w:pPr>
        <w:rPr>
          <w:rFonts w:cs="Arial"/>
          <w:b/>
          <w:bCs/>
          <w:sz w:val="22"/>
          <w:szCs w:val="22"/>
        </w:rPr>
      </w:pPr>
    </w:p>
    <w:p w14:paraId="06D392D6" w14:textId="4E419DEA" w:rsidR="00D26961" w:rsidRDefault="00D26961" w:rsidP="00D26961">
      <w:pPr>
        <w:pStyle w:val="Ttulo1"/>
        <w:numPr>
          <w:ilvl w:val="0"/>
          <w:numId w:val="1"/>
        </w:numPr>
        <w:rPr>
          <w:caps/>
        </w:rPr>
      </w:pPr>
      <w:bookmarkStart w:id="668" w:name="_Toc140506354"/>
      <w:r>
        <w:t xml:space="preserve">ARTÍCULO </w:t>
      </w:r>
      <w:r w:rsidR="00EF1C07">
        <w:t>13</w:t>
      </w:r>
      <w:r>
        <w:t xml:space="preserve">. </w:t>
      </w:r>
      <w:r w:rsidR="0070732E" w:rsidRPr="0070732E">
        <w:rPr>
          <w:caps/>
        </w:rPr>
        <w:t>Incumplimiento</w:t>
      </w:r>
      <w:bookmarkEnd w:id="668"/>
    </w:p>
    <w:p w14:paraId="5C119982" w14:textId="77777777" w:rsidR="009D358F" w:rsidRDefault="00B231D5" w:rsidP="00C471C3">
      <w:pPr>
        <w:pStyle w:val="Ttulo2"/>
      </w:pPr>
      <w:bookmarkStart w:id="669" w:name="_Toc140506355"/>
      <w:r w:rsidRPr="00B231D5">
        <w:t>ACP</w:t>
      </w:r>
      <w:bookmarkEnd w:id="669"/>
      <w:r w:rsidRPr="00B231D5">
        <w:tab/>
      </w:r>
    </w:p>
    <w:p w14:paraId="30466040" w14:textId="77777777" w:rsidR="00C471C3" w:rsidRDefault="00C471C3" w:rsidP="00C471C3">
      <w:pPr>
        <w:pStyle w:val="Ttulo4"/>
      </w:pPr>
      <w:r w:rsidRPr="00B231D5">
        <w:t>ACP</w:t>
      </w:r>
      <w:r w:rsidRPr="00B231D5">
        <w:tab/>
      </w:r>
    </w:p>
    <w:p w14:paraId="72F78B44" w14:textId="4E77105F" w:rsidR="00B231D5" w:rsidRPr="00302EE9" w:rsidRDefault="00643D51" w:rsidP="00B231D5">
      <w:pPr>
        <w:rPr>
          <w:rFonts w:cs="Arial"/>
          <w:i/>
          <w:iCs/>
          <w:sz w:val="22"/>
          <w:szCs w:val="22"/>
        </w:rPr>
      </w:pPr>
      <w:r>
        <w:rPr>
          <w:rFonts w:cs="Arial"/>
          <w:i/>
          <w:iCs/>
          <w:sz w:val="22"/>
          <w:szCs w:val="22"/>
        </w:rPr>
        <w:t>“</w:t>
      </w:r>
      <w:r w:rsidR="00B231D5" w:rsidRPr="00302EE9">
        <w:rPr>
          <w:rFonts w:cs="Arial"/>
          <w:i/>
          <w:iCs/>
          <w:sz w:val="22"/>
          <w:szCs w:val="22"/>
        </w:rPr>
        <w:t>Sugerimos que la redacción de este numeral quede tal como está en la Resolución</w:t>
      </w:r>
      <w:r w:rsidR="00B231D5" w:rsidRPr="00302EE9">
        <w:rPr>
          <w:rFonts w:cs="Arial"/>
          <w:b/>
          <w:bCs/>
          <w:i/>
          <w:iCs/>
          <w:sz w:val="22"/>
          <w:szCs w:val="22"/>
        </w:rPr>
        <w:t xml:space="preserve"> </w:t>
      </w:r>
      <w:r w:rsidR="00B231D5" w:rsidRPr="00302EE9">
        <w:rPr>
          <w:rFonts w:cs="Arial"/>
          <w:i/>
          <w:iCs/>
          <w:sz w:val="22"/>
          <w:szCs w:val="22"/>
        </w:rPr>
        <w:t>186 de 2020. Se entiende que está confirmado al momento de la nominación.</w:t>
      </w:r>
      <w:r>
        <w:rPr>
          <w:rFonts w:cs="Arial"/>
          <w:i/>
          <w:iCs/>
          <w:sz w:val="22"/>
          <w:szCs w:val="22"/>
        </w:rPr>
        <w:t>”</w:t>
      </w:r>
    </w:p>
    <w:p w14:paraId="347CB4C4" w14:textId="2F2F8750" w:rsidR="00302EE9" w:rsidRDefault="00302EE9" w:rsidP="00B231D5">
      <w:pPr>
        <w:rPr>
          <w:rFonts w:cs="Arial"/>
          <w:sz w:val="22"/>
          <w:szCs w:val="22"/>
        </w:rPr>
      </w:pPr>
    </w:p>
    <w:p w14:paraId="4D66E62C" w14:textId="54D8B599" w:rsidR="00302EE9" w:rsidRPr="00302EE9" w:rsidRDefault="00302EE9" w:rsidP="00B231D5">
      <w:pPr>
        <w:rPr>
          <w:rFonts w:cs="Arial"/>
          <w:b/>
          <w:bCs/>
          <w:sz w:val="22"/>
          <w:szCs w:val="22"/>
        </w:rPr>
      </w:pPr>
      <w:r w:rsidRPr="00302EE9">
        <w:rPr>
          <w:rFonts w:cs="Arial"/>
          <w:b/>
          <w:bCs/>
          <w:sz w:val="22"/>
          <w:szCs w:val="22"/>
        </w:rPr>
        <w:t>Respuesta:</w:t>
      </w:r>
    </w:p>
    <w:p w14:paraId="18BB8161" w14:textId="6C5F350F" w:rsidR="00302EE9" w:rsidRDefault="00302EE9" w:rsidP="00B231D5">
      <w:pPr>
        <w:rPr>
          <w:rFonts w:cs="Arial"/>
          <w:sz w:val="22"/>
          <w:szCs w:val="22"/>
        </w:rPr>
      </w:pPr>
    </w:p>
    <w:p w14:paraId="1B8383F3" w14:textId="5BF494EE" w:rsidR="00302EE9" w:rsidRPr="00B231D5" w:rsidRDefault="004936C4" w:rsidP="00B231D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31B0DA29" w14:textId="77777777" w:rsidR="009D358F" w:rsidRDefault="009D358F" w:rsidP="00B231D5">
      <w:pPr>
        <w:rPr>
          <w:rFonts w:cs="Arial"/>
          <w:sz w:val="22"/>
          <w:szCs w:val="22"/>
        </w:rPr>
      </w:pPr>
    </w:p>
    <w:p w14:paraId="5CC29322" w14:textId="77777777" w:rsidR="009D358F" w:rsidRDefault="009D358F" w:rsidP="00B231D5">
      <w:pPr>
        <w:rPr>
          <w:rFonts w:cs="Arial"/>
          <w:sz w:val="22"/>
          <w:szCs w:val="22"/>
        </w:rPr>
      </w:pPr>
    </w:p>
    <w:p w14:paraId="4504E520" w14:textId="77777777" w:rsidR="009D358F" w:rsidRDefault="00B231D5" w:rsidP="00C471C3">
      <w:pPr>
        <w:pStyle w:val="Ttulo2"/>
      </w:pPr>
      <w:bookmarkStart w:id="670" w:name="_Toc140506356"/>
      <w:r w:rsidRPr="00B231D5">
        <w:t>ASOENERGIA</w:t>
      </w:r>
      <w:bookmarkEnd w:id="670"/>
      <w:r w:rsidRPr="00B231D5">
        <w:tab/>
      </w:r>
    </w:p>
    <w:p w14:paraId="5DB82462" w14:textId="77777777" w:rsidR="00C471C3" w:rsidRDefault="00C471C3" w:rsidP="00C471C3">
      <w:pPr>
        <w:pStyle w:val="Ttulo4"/>
      </w:pPr>
      <w:bookmarkStart w:id="671" w:name="_Ref130802392"/>
      <w:r w:rsidRPr="00B231D5">
        <w:t>ASOENERGIA</w:t>
      </w:r>
      <w:bookmarkEnd w:id="671"/>
      <w:r w:rsidRPr="00B231D5">
        <w:tab/>
      </w:r>
    </w:p>
    <w:p w14:paraId="1E4FADB0" w14:textId="5CA59B29" w:rsidR="00B231D5" w:rsidRPr="006E003A" w:rsidRDefault="00D55326" w:rsidP="00B231D5">
      <w:pPr>
        <w:rPr>
          <w:rFonts w:cs="Arial"/>
          <w:i/>
          <w:iCs/>
          <w:sz w:val="22"/>
          <w:szCs w:val="22"/>
        </w:rPr>
      </w:pPr>
      <w:r>
        <w:rPr>
          <w:rFonts w:cs="Arial"/>
          <w:i/>
          <w:iCs/>
          <w:sz w:val="22"/>
          <w:szCs w:val="22"/>
        </w:rPr>
        <w:t>“</w:t>
      </w:r>
      <w:r w:rsidR="00B231D5" w:rsidRPr="006E003A">
        <w:rPr>
          <w:rFonts w:cs="Arial"/>
          <w:i/>
          <w:iCs/>
          <w:sz w:val="22"/>
          <w:szCs w:val="22"/>
        </w:rPr>
        <w:t xml:space="preserve">Considerando los expuesto anteriormente, solicitamos que la CREG revalúe el concepto de la </w:t>
      </w:r>
      <w:r>
        <w:rPr>
          <w:rFonts w:cs="Arial"/>
          <w:i/>
          <w:iCs/>
          <w:sz w:val="22"/>
          <w:szCs w:val="22"/>
        </w:rPr>
        <w:t>‘</w:t>
      </w:r>
      <w:r w:rsidR="00B231D5" w:rsidRPr="006E003A">
        <w:rPr>
          <w:rFonts w:cs="Arial"/>
          <w:i/>
          <w:iCs/>
          <w:sz w:val="22"/>
          <w:szCs w:val="22"/>
        </w:rPr>
        <w:t>Parte afectada</w:t>
      </w:r>
      <w:r>
        <w:rPr>
          <w:rFonts w:cs="Arial"/>
          <w:i/>
          <w:iCs/>
          <w:sz w:val="22"/>
          <w:szCs w:val="22"/>
        </w:rPr>
        <w:t>’</w:t>
      </w:r>
      <w:r w:rsidR="00B231D5" w:rsidRPr="006E003A">
        <w:rPr>
          <w:rFonts w:cs="Arial"/>
          <w:i/>
          <w:iCs/>
          <w:sz w:val="22"/>
          <w:szCs w:val="22"/>
        </w:rPr>
        <w:t>. Lo anterior, dado que en caso de se presente un incumplimiento y una compensación y teniendo en cuenta que quien suscribe el contrato con el productor o el transportador es un Comercializador Minorista, la compensación estipulada en la regulación estaría dirigida hacia el Comercializador Minorista y no hacia el usuario final quien fue el que realmente sí se vio afectado por el incumplimiento.</w:t>
      </w:r>
      <w:r>
        <w:rPr>
          <w:rFonts w:cs="Arial"/>
          <w:i/>
          <w:iCs/>
          <w:sz w:val="22"/>
          <w:szCs w:val="22"/>
        </w:rPr>
        <w:t>”</w:t>
      </w:r>
    </w:p>
    <w:p w14:paraId="61E52B34" w14:textId="2FB76094" w:rsidR="006E003A" w:rsidRDefault="006E003A" w:rsidP="00B231D5">
      <w:pPr>
        <w:rPr>
          <w:rFonts w:cs="Arial"/>
          <w:sz w:val="22"/>
          <w:szCs w:val="22"/>
        </w:rPr>
      </w:pPr>
    </w:p>
    <w:p w14:paraId="2900DCD1" w14:textId="7E776010" w:rsidR="006E003A" w:rsidRPr="006E003A" w:rsidRDefault="006E003A" w:rsidP="00B231D5">
      <w:pPr>
        <w:rPr>
          <w:rFonts w:cs="Arial"/>
          <w:b/>
          <w:bCs/>
          <w:sz w:val="22"/>
          <w:szCs w:val="22"/>
        </w:rPr>
      </w:pPr>
      <w:r w:rsidRPr="006E003A">
        <w:rPr>
          <w:rFonts w:cs="Arial"/>
          <w:b/>
          <w:bCs/>
          <w:sz w:val="22"/>
          <w:szCs w:val="22"/>
        </w:rPr>
        <w:t>Respuesta:</w:t>
      </w:r>
    </w:p>
    <w:p w14:paraId="44AD45B7" w14:textId="465859B8" w:rsidR="006E003A" w:rsidRDefault="006E003A" w:rsidP="00B231D5">
      <w:pPr>
        <w:rPr>
          <w:rFonts w:cs="Arial"/>
          <w:sz w:val="22"/>
          <w:szCs w:val="22"/>
        </w:rPr>
      </w:pPr>
    </w:p>
    <w:p w14:paraId="4676B253" w14:textId="57E6E4C2" w:rsidR="006E003A" w:rsidRDefault="006E003A" w:rsidP="00B231D5">
      <w:pPr>
        <w:rPr>
          <w:rFonts w:cs="Arial"/>
          <w:sz w:val="22"/>
          <w:szCs w:val="22"/>
        </w:rPr>
      </w:pPr>
      <w:r>
        <w:rPr>
          <w:rFonts w:cs="Arial"/>
          <w:sz w:val="22"/>
          <w:szCs w:val="22"/>
        </w:rPr>
        <w:t>No se acoge el comentario.</w:t>
      </w:r>
    </w:p>
    <w:p w14:paraId="30633C7C" w14:textId="4FE2D8D1" w:rsidR="006E003A" w:rsidRDefault="006E003A" w:rsidP="00B231D5">
      <w:pPr>
        <w:rPr>
          <w:rFonts w:cs="Arial"/>
          <w:sz w:val="22"/>
          <w:szCs w:val="22"/>
        </w:rPr>
      </w:pPr>
    </w:p>
    <w:p w14:paraId="4CA4AACF" w14:textId="583E55C0" w:rsidR="006E003A" w:rsidRDefault="006E003A" w:rsidP="00B231D5">
      <w:pPr>
        <w:rPr>
          <w:rFonts w:cs="Arial"/>
          <w:sz w:val="22"/>
          <w:szCs w:val="22"/>
        </w:rPr>
      </w:pPr>
      <w:r>
        <w:rPr>
          <w:rFonts w:cs="Arial"/>
          <w:sz w:val="22"/>
          <w:szCs w:val="22"/>
        </w:rPr>
        <w:t xml:space="preserve">La </w:t>
      </w:r>
      <w:r w:rsidR="008603C5">
        <w:rPr>
          <w:rFonts w:cs="Arial"/>
          <w:sz w:val="22"/>
          <w:szCs w:val="22"/>
        </w:rPr>
        <w:t>R</w:t>
      </w:r>
      <w:r>
        <w:rPr>
          <w:rFonts w:cs="Arial"/>
          <w:sz w:val="22"/>
          <w:szCs w:val="22"/>
        </w:rPr>
        <w:t xml:space="preserve">esolución CREG 186 de 2020 que se propone ajustar solamente contiene aspectos de regulación del Mercado Mayorista de Gas Natural, no incluye regulación respecto de la contratación (modalidades, condiciones mínimas, etc.) de la comercialización minorista, como se entiende del caso que se trata en el comentario recibido. </w:t>
      </w:r>
    </w:p>
    <w:p w14:paraId="5BB08049" w14:textId="1D365C7E" w:rsidR="006E003A" w:rsidRDefault="006E003A" w:rsidP="00B231D5">
      <w:pPr>
        <w:rPr>
          <w:rFonts w:cs="Arial"/>
          <w:sz w:val="22"/>
          <w:szCs w:val="22"/>
        </w:rPr>
      </w:pPr>
    </w:p>
    <w:p w14:paraId="49871DCC" w14:textId="4AE5BDE7" w:rsidR="006E003A" w:rsidRDefault="006E003A" w:rsidP="00B231D5">
      <w:pPr>
        <w:rPr>
          <w:rFonts w:cs="Arial"/>
          <w:sz w:val="22"/>
          <w:szCs w:val="22"/>
        </w:rPr>
      </w:pPr>
      <w:r>
        <w:rPr>
          <w:rFonts w:cs="Arial"/>
          <w:sz w:val="22"/>
          <w:szCs w:val="22"/>
        </w:rPr>
        <w:t>La negociación de las condiciones especiales de dichos contratos es libre y corresponde a las partes (comercializador del Mercado Minorista y usuario no regulado) acordarlas, para lo cual pueden considerar lo establecido en los contratos del Mercado Mayorista, si así lo desean.</w:t>
      </w:r>
    </w:p>
    <w:p w14:paraId="118C68E0" w14:textId="52A018B1" w:rsidR="006E003A" w:rsidRDefault="006E003A" w:rsidP="00B231D5">
      <w:pPr>
        <w:rPr>
          <w:rFonts w:cs="Arial"/>
          <w:sz w:val="22"/>
          <w:szCs w:val="22"/>
        </w:rPr>
      </w:pPr>
    </w:p>
    <w:p w14:paraId="62E00FEF" w14:textId="5FD04FB4" w:rsidR="006E003A" w:rsidRDefault="006E003A" w:rsidP="00B231D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_Ref130795566 \r \h </w:instrText>
      </w:r>
      <w:r>
        <w:rPr>
          <w:rFonts w:cs="Arial"/>
          <w:sz w:val="22"/>
          <w:szCs w:val="22"/>
        </w:rPr>
      </w:r>
      <w:r>
        <w:rPr>
          <w:rFonts w:cs="Arial"/>
          <w:sz w:val="22"/>
          <w:szCs w:val="22"/>
        </w:rPr>
        <w:fldChar w:fldCharType="separate"/>
      </w:r>
      <w:r w:rsidR="007651EA">
        <w:rPr>
          <w:rFonts w:cs="Arial"/>
          <w:sz w:val="22"/>
          <w:szCs w:val="22"/>
        </w:rPr>
        <w:t>11.5.1.1</w:t>
      </w:r>
      <w:r>
        <w:rPr>
          <w:rFonts w:cs="Arial"/>
          <w:sz w:val="22"/>
          <w:szCs w:val="22"/>
        </w:rPr>
        <w:fldChar w:fldCharType="end"/>
      </w:r>
      <w:r>
        <w:rPr>
          <w:rFonts w:cs="Arial"/>
          <w:sz w:val="22"/>
          <w:szCs w:val="22"/>
        </w:rPr>
        <w:t>.</w:t>
      </w:r>
    </w:p>
    <w:p w14:paraId="2512A8EA" w14:textId="77777777" w:rsidR="006E003A" w:rsidRPr="00B231D5" w:rsidRDefault="006E003A" w:rsidP="00B231D5">
      <w:pPr>
        <w:rPr>
          <w:rFonts w:cs="Arial"/>
          <w:sz w:val="22"/>
          <w:szCs w:val="22"/>
        </w:rPr>
      </w:pPr>
    </w:p>
    <w:p w14:paraId="1CDEBD08" w14:textId="77777777" w:rsidR="009D358F" w:rsidRDefault="009D358F" w:rsidP="00B231D5">
      <w:pPr>
        <w:rPr>
          <w:rFonts w:cs="Arial"/>
          <w:sz w:val="22"/>
          <w:szCs w:val="22"/>
        </w:rPr>
      </w:pPr>
    </w:p>
    <w:p w14:paraId="230D025B" w14:textId="77777777" w:rsidR="009D358F" w:rsidRDefault="00B231D5" w:rsidP="00C471C3">
      <w:pPr>
        <w:pStyle w:val="Ttulo2"/>
      </w:pPr>
      <w:bookmarkStart w:id="672" w:name="_Toc140506357"/>
      <w:r w:rsidRPr="00B231D5">
        <w:t>BOLSA MERCANTIL DE COLOMBIA</w:t>
      </w:r>
      <w:bookmarkEnd w:id="672"/>
      <w:r w:rsidRPr="00B231D5">
        <w:tab/>
      </w:r>
    </w:p>
    <w:p w14:paraId="3FB3328D" w14:textId="77777777" w:rsidR="00C471C3" w:rsidRDefault="00C471C3" w:rsidP="00C471C3">
      <w:pPr>
        <w:pStyle w:val="Ttulo4"/>
      </w:pPr>
      <w:bookmarkStart w:id="673" w:name="_Ref130801545"/>
      <w:r w:rsidRPr="00B231D5">
        <w:t>BOLSA MERCANTIL DE COLOMBIA</w:t>
      </w:r>
      <w:bookmarkEnd w:id="673"/>
      <w:r w:rsidRPr="00B231D5">
        <w:tab/>
      </w:r>
    </w:p>
    <w:p w14:paraId="71C6EDD6" w14:textId="4795D005" w:rsidR="00B231D5" w:rsidRDefault="008603C5" w:rsidP="00B231D5">
      <w:pPr>
        <w:rPr>
          <w:rFonts w:cs="Arial"/>
          <w:i/>
          <w:iCs/>
          <w:sz w:val="22"/>
          <w:szCs w:val="22"/>
        </w:rPr>
      </w:pPr>
      <w:r>
        <w:rPr>
          <w:rFonts w:cs="Arial"/>
          <w:i/>
          <w:iCs/>
          <w:sz w:val="22"/>
          <w:szCs w:val="22"/>
        </w:rPr>
        <w:t>“</w:t>
      </w:r>
      <w:r w:rsidR="00B231D5" w:rsidRPr="009E280E">
        <w:rPr>
          <w:rFonts w:cs="Arial"/>
          <w:i/>
          <w:iCs/>
          <w:sz w:val="22"/>
          <w:szCs w:val="22"/>
        </w:rPr>
        <w:t xml:space="preserve">Se requiere dar precisiones sobre la periodicidad de las verificaciones de energía suministrada y las medidas a adoptar por parte del Gestor ante diferencias evidenciadas. </w:t>
      </w:r>
    </w:p>
    <w:p w14:paraId="099BD3E6" w14:textId="3A1CCAD7" w:rsidR="007C671B" w:rsidRDefault="007C671B" w:rsidP="00B231D5">
      <w:pPr>
        <w:rPr>
          <w:rFonts w:cs="Arial"/>
          <w:i/>
          <w:iCs/>
          <w:sz w:val="22"/>
          <w:szCs w:val="22"/>
        </w:rPr>
      </w:pPr>
    </w:p>
    <w:p w14:paraId="7D9E5AFD" w14:textId="6A6C8921" w:rsidR="007C671B" w:rsidRPr="009E280E" w:rsidRDefault="007C671B" w:rsidP="00B231D5">
      <w:pPr>
        <w:rPr>
          <w:rFonts w:cs="Arial"/>
          <w:i/>
          <w:iCs/>
          <w:sz w:val="22"/>
          <w:szCs w:val="22"/>
        </w:rPr>
      </w:pPr>
      <w:r w:rsidRPr="007C671B">
        <w:rPr>
          <w:rFonts w:cs="Arial"/>
          <w:i/>
          <w:iCs/>
          <w:sz w:val="22"/>
          <w:szCs w:val="22"/>
        </w:rPr>
        <w:t xml:space="preserve">Dado que se </w:t>
      </w:r>
      <w:proofErr w:type="spellStart"/>
      <w:r w:rsidRPr="007C671B">
        <w:rPr>
          <w:rFonts w:cs="Arial"/>
          <w:i/>
          <w:iCs/>
          <w:sz w:val="22"/>
          <w:szCs w:val="22"/>
        </w:rPr>
        <w:t>esta</w:t>
      </w:r>
      <w:proofErr w:type="spellEnd"/>
      <w:r w:rsidRPr="007C671B">
        <w:rPr>
          <w:rFonts w:cs="Arial"/>
          <w:i/>
          <w:iCs/>
          <w:sz w:val="22"/>
          <w:szCs w:val="22"/>
        </w:rPr>
        <w:t xml:space="preserve"> previendo asignar al </w:t>
      </w:r>
      <w:r w:rsidR="005114C6">
        <w:rPr>
          <w:rFonts w:cs="Arial"/>
          <w:i/>
          <w:iCs/>
          <w:sz w:val="22"/>
          <w:szCs w:val="22"/>
        </w:rPr>
        <w:t>Gestor del Mercado</w:t>
      </w:r>
      <w:r w:rsidRPr="007C671B">
        <w:rPr>
          <w:rFonts w:cs="Arial"/>
          <w:i/>
          <w:iCs/>
          <w:sz w:val="22"/>
          <w:szCs w:val="22"/>
        </w:rPr>
        <w:t xml:space="preserve"> mediante este aparte la función de verificar la energía a suministrar en contraste con la energía autorizada, se solicita precisar la periodicidad con que deberá realizarse dicha </w:t>
      </w:r>
      <w:proofErr w:type="gramStart"/>
      <w:r w:rsidRPr="007C671B">
        <w:rPr>
          <w:rFonts w:cs="Arial"/>
          <w:i/>
          <w:iCs/>
          <w:sz w:val="22"/>
          <w:szCs w:val="22"/>
        </w:rPr>
        <w:t>verificación</w:t>
      </w:r>
      <w:proofErr w:type="gramEnd"/>
      <w:r w:rsidRPr="007C671B">
        <w:rPr>
          <w:rFonts w:cs="Arial"/>
          <w:i/>
          <w:iCs/>
          <w:sz w:val="22"/>
          <w:szCs w:val="22"/>
        </w:rPr>
        <w:t xml:space="preserve"> así como sugerimos ubicar esta función dentro de las verificaciones de información operativa a que hace referencia el numeral 4.2 del Anexo 1 de la propuesta regulatoria. Así mismo, solicitamos aclarar </w:t>
      </w:r>
      <w:r w:rsidR="005E15A0" w:rsidRPr="007C671B">
        <w:rPr>
          <w:rFonts w:cs="Arial"/>
          <w:i/>
          <w:iCs/>
          <w:sz w:val="22"/>
          <w:szCs w:val="22"/>
        </w:rPr>
        <w:t>cuáles</w:t>
      </w:r>
      <w:r w:rsidRPr="007C671B">
        <w:rPr>
          <w:rFonts w:cs="Arial"/>
          <w:i/>
          <w:iCs/>
          <w:sz w:val="22"/>
          <w:szCs w:val="22"/>
        </w:rPr>
        <w:t xml:space="preserve"> serán las medidas a adoptar por parte del Gestor cuando evidencie diferencias entre la energía a suministrar y la energía autorizada frente a los respectivos declarantes de dicha información (productores-comercializadores y transportadores, respectivamente).</w:t>
      </w:r>
      <w:r w:rsidR="005E15A0">
        <w:rPr>
          <w:rFonts w:cs="Arial"/>
          <w:i/>
          <w:iCs/>
          <w:sz w:val="22"/>
          <w:szCs w:val="22"/>
        </w:rPr>
        <w:t>”</w:t>
      </w:r>
      <w:r w:rsidRPr="007C671B">
        <w:rPr>
          <w:rFonts w:cs="Arial"/>
          <w:i/>
          <w:iCs/>
          <w:sz w:val="22"/>
          <w:szCs w:val="22"/>
        </w:rPr>
        <w:t xml:space="preserve">  </w:t>
      </w:r>
    </w:p>
    <w:p w14:paraId="378E8216" w14:textId="5221C2DC" w:rsidR="009E280E" w:rsidRDefault="009E280E" w:rsidP="00B231D5">
      <w:pPr>
        <w:rPr>
          <w:rFonts w:cs="Arial"/>
          <w:sz w:val="22"/>
          <w:szCs w:val="22"/>
        </w:rPr>
      </w:pPr>
    </w:p>
    <w:p w14:paraId="743D6037" w14:textId="2853994B" w:rsidR="009E280E" w:rsidRPr="009E280E" w:rsidRDefault="009E280E" w:rsidP="00B231D5">
      <w:pPr>
        <w:rPr>
          <w:rFonts w:cs="Arial"/>
          <w:b/>
          <w:bCs/>
          <w:sz w:val="22"/>
          <w:szCs w:val="22"/>
        </w:rPr>
      </w:pPr>
      <w:r w:rsidRPr="009E280E">
        <w:rPr>
          <w:rFonts w:cs="Arial"/>
          <w:b/>
          <w:bCs/>
          <w:sz w:val="22"/>
          <w:szCs w:val="22"/>
        </w:rPr>
        <w:t>Respuesta:</w:t>
      </w:r>
    </w:p>
    <w:p w14:paraId="2A2CA6FE" w14:textId="0E0F2276" w:rsidR="009E280E" w:rsidRDefault="009E280E" w:rsidP="00B231D5">
      <w:pPr>
        <w:rPr>
          <w:rFonts w:cs="Arial"/>
          <w:sz w:val="22"/>
          <w:szCs w:val="22"/>
        </w:rPr>
      </w:pPr>
    </w:p>
    <w:p w14:paraId="6314BA6E" w14:textId="7AB42FD4" w:rsidR="007C671B" w:rsidRDefault="007C671B" w:rsidP="00B231D5">
      <w:pPr>
        <w:rPr>
          <w:rFonts w:cs="Arial"/>
          <w:sz w:val="22"/>
          <w:szCs w:val="22"/>
        </w:rPr>
      </w:pPr>
      <w:r>
        <w:rPr>
          <w:rFonts w:cs="Arial"/>
          <w:sz w:val="22"/>
          <w:szCs w:val="22"/>
        </w:rPr>
        <w:t>Se acoge el comentario parcialmente.</w:t>
      </w:r>
    </w:p>
    <w:p w14:paraId="1CEA9B82" w14:textId="6F5C857E" w:rsidR="007C671B" w:rsidRDefault="007C671B" w:rsidP="00B231D5">
      <w:pPr>
        <w:rPr>
          <w:rFonts w:cs="Arial"/>
          <w:sz w:val="22"/>
          <w:szCs w:val="22"/>
        </w:rPr>
      </w:pPr>
    </w:p>
    <w:p w14:paraId="4B7A269D" w14:textId="138A9857" w:rsidR="007C671B" w:rsidRDefault="007C671B" w:rsidP="00B231D5">
      <w:pPr>
        <w:rPr>
          <w:rFonts w:cs="Arial"/>
          <w:sz w:val="22"/>
          <w:szCs w:val="22"/>
        </w:rPr>
      </w:pPr>
      <w:r>
        <w:rPr>
          <w:rFonts w:cs="Arial"/>
          <w:sz w:val="22"/>
          <w:szCs w:val="22"/>
        </w:rPr>
        <w:t>En la nueva propuesta se establece un período semanal de verificación.</w:t>
      </w:r>
    </w:p>
    <w:p w14:paraId="31DAC92D" w14:textId="77777777" w:rsidR="007C671B" w:rsidRDefault="007C671B" w:rsidP="00B231D5">
      <w:pPr>
        <w:rPr>
          <w:rFonts w:cs="Arial"/>
          <w:sz w:val="22"/>
          <w:szCs w:val="22"/>
        </w:rPr>
      </w:pPr>
    </w:p>
    <w:p w14:paraId="7D2986C7" w14:textId="694369A6" w:rsidR="009D358F" w:rsidRDefault="007C671B" w:rsidP="00B231D5">
      <w:pPr>
        <w:rPr>
          <w:rFonts w:cs="Arial"/>
          <w:sz w:val="22"/>
          <w:szCs w:val="22"/>
        </w:rPr>
      </w:pPr>
      <w:r>
        <w:rPr>
          <w:rFonts w:cs="Arial"/>
          <w:sz w:val="22"/>
          <w:szCs w:val="22"/>
        </w:rPr>
        <w:t>Por otra parte, la regulación actual establece que e</w:t>
      </w:r>
      <w:r w:rsidRPr="007C671B">
        <w:rPr>
          <w:rFonts w:cs="Arial"/>
          <w:sz w:val="22"/>
          <w:szCs w:val="22"/>
        </w:rPr>
        <w:t>l suministro de cantidades de energía por encima de las contratadas podrá ser considerado por las autoridades competentes como una práctica contraria a la libre competencia.</w:t>
      </w:r>
      <w:r>
        <w:rPr>
          <w:rFonts w:cs="Arial"/>
          <w:sz w:val="22"/>
          <w:szCs w:val="22"/>
        </w:rPr>
        <w:t xml:space="preserve"> En función de lo anterior, el </w:t>
      </w:r>
      <w:r w:rsidR="005114C6">
        <w:rPr>
          <w:rFonts w:cs="Arial"/>
          <w:sz w:val="22"/>
          <w:szCs w:val="22"/>
        </w:rPr>
        <w:t>Gestor del Mercado</w:t>
      </w:r>
      <w:r>
        <w:rPr>
          <w:rFonts w:cs="Arial"/>
          <w:sz w:val="22"/>
          <w:szCs w:val="22"/>
        </w:rPr>
        <w:t xml:space="preserve"> deberá informar a las autoridades competentes de las diferencias encontradas.</w:t>
      </w:r>
    </w:p>
    <w:p w14:paraId="3D878CB1" w14:textId="142D444F" w:rsidR="009D358F" w:rsidRDefault="009D358F" w:rsidP="00B231D5">
      <w:pPr>
        <w:rPr>
          <w:rFonts w:cs="Arial"/>
          <w:sz w:val="22"/>
          <w:szCs w:val="22"/>
        </w:rPr>
      </w:pPr>
    </w:p>
    <w:p w14:paraId="27A254A8" w14:textId="77777777" w:rsidR="009D358F" w:rsidRDefault="009D358F" w:rsidP="00B231D5">
      <w:pPr>
        <w:rPr>
          <w:rFonts w:cs="Arial"/>
          <w:sz w:val="22"/>
          <w:szCs w:val="22"/>
        </w:rPr>
      </w:pPr>
    </w:p>
    <w:p w14:paraId="5A25DE57" w14:textId="77777777" w:rsidR="00C471C3" w:rsidRDefault="00B231D5" w:rsidP="00C471C3">
      <w:pPr>
        <w:pStyle w:val="Ttulo2"/>
      </w:pPr>
      <w:bookmarkStart w:id="674" w:name="_Toc140506358"/>
      <w:r w:rsidRPr="00B231D5">
        <w:t>GASES DE LA GUAJIRA</w:t>
      </w:r>
      <w:bookmarkEnd w:id="674"/>
      <w:r w:rsidRPr="00B231D5">
        <w:tab/>
      </w:r>
    </w:p>
    <w:p w14:paraId="1F3AE10F" w14:textId="77777777" w:rsidR="00C471C3" w:rsidRDefault="00C471C3" w:rsidP="00C471C3">
      <w:pPr>
        <w:pStyle w:val="Ttulo4"/>
      </w:pPr>
      <w:r w:rsidRPr="00B231D5">
        <w:t>GASES DE LA GUAJIRA</w:t>
      </w:r>
      <w:r w:rsidRPr="00B231D5">
        <w:tab/>
      </w:r>
    </w:p>
    <w:p w14:paraId="779F0DB8" w14:textId="12F60458" w:rsidR="00B231D5" w:rsidRPr="007C671B" w:rsidRDefault="004D717E" w:rsidP="00B231D5">
      <w:pPr>
        <w:rPr>
          <w:rFonts w:cs="Arial"/>
          <w:i/>
          <w:iCs/>
          <w:sz w:val="22"/>
          <w:szCs w:val="22"/>
        </w:rPr>
      </w:pPr>
      <w:r>
        <w:rPr>
          <w:rFonts w:cs="Arial"/>
          <w:i/>
          <w:iCs/>
          <w:sz w:val="22"/>
          <w:szCs w:val="22"/>
        </w:rPr>
        <w:t>“</w:t>
      </w:r>
      <w:r w:rsidR="00B231D5" w:rsidRPr="007C671B">
        <w:rPr>
          <w:rFonts w:cs="Arial"/>
          <w:i/>
          <w:iCs/>
          <w:sz w:val="22"/>
          <w:szCs w:val="22"/>
        </w:rPr>
        <w:t>La redacción que propone el regulador, resulta confusa frente a la forma como realmente funcionan los contratos de suministro. En efecto, la cantidad nominada debe ser siempre dentro de la capacidad contratada, y en el evento en que esta condición se cumpla, el vendedor incumple cuando rechaza y por lo tanto no confirma los volúmenes nominados. En la forma como se propone en la redacción del acuerdo, el vendedor podría no incumplir cuando no confirme, lo cual claramente es contrario a lo que se busca con los contratos en firme.</w:t>
      </w:r>
      <w:r>
        <w:rPr>
          <w:rFonts w:cs="Arial"/>
          <w:i/>
          <w:iCs/>
          <w:sz w:val="22"/>
          <w:szCs w:val="22"/>
        </w:rPr>
        <w:t>”</w:t>
      </w:r>
    </w:p>
    <w:p w14:paraId="45240C0D" w14:textId="12EF3215" w:rsidR="007C671B" w:rsidRDefault="007C671B" w:rsidP="00B231D5">
      <w:pPr>
        <w:rPr>
          <w:rFonts w:cs="Arial"/>
          <w:sz w:val="22"/>
          <w:szCs w:val="22"/>
        </w:rPr>
      </w:pPr>
    </w:p>
    <w:p w14:paraId="7D60FD8E" w14:textId="4F5B35CD" w:rsidR="007C671B" w:rsidRPr="007C671B" w:rsidRDefault="007C671B" w:rsidP="00B231D5">
      <w:pPr>
        <w:rPr>
          <w:rFonts w:cs="Arial"/>
          <w:b/>
          <w:bCs/>
          <w:sz w:val="22"/>
          <w:szCs w:val="22"/>
        </w:rPr>
      </w:pPr>
      <w:r w:rsidRPr="007C671B">
        <w:rPr>
          <w:rFonts w:cs="Arial"/>
          <w:b/>
          <w:bCs/>
          <w:sz w:val="22"/>
          <w:szCs w:val="22"/>
        </w:rPr>
        <w:t>Respuesta:</w:t>
      </w:r>
    </w:p>
    <w:p w14:paraId="792BCE83" w14:textId="209E7E03" w:rsidR="007C671B" w:rsidRDefault="007C671B" w:rsidP="00B231D5">
      <w:pPr>
        <w:rPr>
          <w:rFonts w:cs="Arial"/>
          <w:sz w:val="22"/>
          <w:szCs w:val="22"/>
        </w:rPr>
      </w:pPr>
    </w:p>
    <w:p w14:paraId="7B550DD5" w14:textId="5758DBC3" w:rsidR="007C671B" w:rsidRPr="00B231D5" w:rsidRDefault="008A49F9" w:rsidP="00B231D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3B35AE68" w14:textId="77777777" w:rsidR="009D358F" w:rsidRDefault="009D358F" w:rsidP="00B231D5">
      <w:pPr>
        <w:rPr>
          <w:rFonts w:cs="Arial"/>
          <w:sz w:val="22"/>
          <w:szCs w:val="22"/>
        </w:rPr>
      </w:pPr>
    </w:p>
    <w:p w14:paraId="1B698F23" w14:textId="77777777" w:rsidR="009D358F" w:rsidRDefault="009D358F" w:rsidP="00B231D5">
      <w:pPr>
        <w:rPr>
          <w:rFonts w:cs="Arial"/>
          <w:sz w:val="22"/>
          <w:szCs w:val="22"/>
        </w:rPr>
      </w:pPr>
    </w:p>
    <w:p w14:paraId="42E1D8FA" w14:textId="77777777" w:rsidR="009D358F" w:rsidRDefault="00B231D5" w:rsidP="00C471C3">
      <w:pPr>
        <w:pStyle w:val="Ttulo2"/>
      </w:pPr>
      <w:bookmarkStart w:id="675" w:name="_Toc140506359"/>
      <w:r w:rsidRPr="00B231D5">
        <w:t>GASES DE OCCIDENTE</w:t>
      </w:r>
      <w:bookmarkEnd w:id="675"/>
      <w:r w:rsidRPr="00B231D5">
        <w:tab/>
      </w:r>
    </w:p>
    <w:p w14:paraId="0564F106" w14:textId="77777777" w:rsidR="00C471C3" w:rsidRDefault="00C471C3" w:rsidP="00C471C3">
      <w:pPr>
        <w:pStyle w:val="Ttulo4"/>
      </w:pPr>
      <w:r w:rsidRPr="00B231D5">
        <w:t>GASES DE OCCIDENTE</w:t>
      </w:r>
      <w:r w:rsidRPr="00B231D5">
        <w:tab/>
      </w:r>
    </w:p>
    <w:p w14:paraId="2BDE4A19" w14:textId="0723AC63" w:rsidR="00B231D5" w:rsidRPr="008A49F9" w:rsidRDefault="004D717E" w:rsidP="00B231D5">
      <w:pPr>
        <w:rPr>
          <w:rFonts w:cs="Arial"/>
          <w:i/>
          <w:iCs/>
          <w:sz w:val="22"/>
          <w:szCs w:val="22"/>
        </w:rPr>
      </w:pPr>
      <w:r>
        <w:rPr>
          <w:rFonts w:cs="Arial"/>
          <w:i/>
          <w:iCs/>
          <w:sz w:val="22"/>
          <w:szCs w:val="22"/>
        </w:rPr>
        <w:t>“</w:t>
      </w:r>
      <w:r w:rsidR="00B231D5" w:rsidRPr="008A49F9">
        <w:rPr>
          <w:rFonts w:cs="Arial"/>
          <w:i/>
          <w:iCs/>
          <w:sz w:val="22"/>
          <w:szCs w:val="22"/>
        </w:rPr>
        <w:t xml:space="preserve">Aunque no se menciona en el documento soporte, en el artículo 13 del Proyecto de Resolución que trata de los </w:t>
      </w:r>
      <w:r>
        <w:rPr>
          <w:rFonts w:cs="Arial"/>
          <w:i/>
          <w:iCs/>
          <w:sz w:val="22"/>
          <w:szCs w:val="22"/>
        </w:rPr>
        <w:t>‘</w:t>
      </w:r>
      <w:r w:rsidR="00B231D5" w:rsidRPr="008A49F9">
        <w:rPr>
          <w:rFonts w:cs="Arial"/>
          <w:i/>
          <w:iCs/>
          <w:sz w:val="22"/>
          <w:szCs w:val="22"/>
        </w:rPr>
        <w:t>Incumplimientos</w:t>
      </w:r>
      <w:r>
        <w:rPr>
          <w:rFonts w:cs="Arial"/>
          <w:i/>
          <w:iCs/>
          <w:sz w:val="22"/>
          <w:szCs w:val="22"/>
        </w:rPr>
        <w:t>’</w:t>
      </w:r>
      <w:r w:rsidR="00B231D5" w:rsidRPr="008A49F9">
        <w:rPr>
          <w:rFonts w:cs="Arial"/>
          <w:i/>
          <w:iCs/>
          <w:sz w:val="22"/>
          <w:szCs w:val="22"/>
        </w:rPr>
        <w:t xml:space="preserve"> de los contratos de suministro, la CREG cuando establece que es incumplimiento del vendedor no entregar la cantidad de energía nominada, adiciona la expresión </w:t>
      </w:r>
      <w:r>
        <w:rPr>
          <w:rFonts w:cs="Arial"/>
          <w:i/>
          <w:iCs/>
          <w:sz w:val="22"/>
          <w:szCs w:val="22"/>
        </w:rPr>
        <w:t>‘</w:t>
      </w:r>
      <w:r w:rsidR="00B231D5" w:rsidRPr="008A49F9">
        <w:rPr>
          <w:rFonts w:cs="Arial"/>
          <w:i/>
          <w:iCs/>
          <w:sz w:val="22"/>
          <w:szCs w:val="22"/>
        </w:rPr>
        <w:t>y confirmada</w:t>
      </w:r>
      <w:r>
        <w:rPr>
          <w:rFonts w:cs="Arial"/>
          <w:i/>
          <w:iCs/>
          <w:sz w:val="22"/>
          <w:szCs w:val="22"/>
        </w:rPr>
        <w:t>’</w:t>
      </w:r>
      <w:r w:rsidR="00B231D5" w:rsidRPr="008A49F9">
        <w:rPr>
          <w:rFonts w:cs="Arial"/>
          <w:i/>
          <w:iCs/>
          <w:sz w:val="22"/>
          <w:szCs w:val="22"/>
        </w:rPr>
        <w:t xml:space="preserve">. Debe aclararse que la </w:t>
      </w:r>
      <w:r>
        <w:rPr>
          <w:rFonts w:cs="Arial"/>
          <w:i/>
          <w:iCs/>
          <w:sz w:val="22"/>
          <w:szCs w:val="22"/>
        </w:rPr>
        <w:t>‘</w:t>
      </w:r>
      <w:r w:rsidR="00B231D5" w:rsidRPr="008A49F9">
        <w:rPr>
          <w:rFonts w:cs="Arial"/>
          <w:i/>
          <w:iCs/>
          <w:sz w:val="22"/>
          <w:szCs w:val="22"/>
        </w:rPr>
        <w:t>no confirmación</w:t>
      </w:r>
      <w:r>
        <w:rPr>
          <w:rFonts w:cs="Arial"/>
          <w:i/>
          <w:iCs/>
          <w:sz w:val="22"/>
          <w:szCs w:val="22"/>
        </w:rPr>
        <w:t>’</w:t>
      </w:r>
      <w:r w:rsidR="00B231D5" w:rsidRPr="008A49F9">
        <w:rPr>
          <w:rFonts w:cs="Arial"/>
          <w:i/>
          <w:iCs/>
          <w:sz w:val="22"/>
          <w:szCs w:val="22"/>
        </w:rPr>
        <w:t xml:space="preserve"> por parte del productor-comercializador solo estará justificada ante eventos de fuerza mayor, o eventos eximentes.</w:t>
      </w:r>
      <w:r>
        <w:rPr>
          <w:rFonts w:cs="Arial"/>
          <w:i/>
          <w:iCs/>
          <w:sz w:val="22"/>
          <w:szCs w:val="22"/>
        </w:rPr>
        <w:t>”</w:t>
      </w:r>
    </w:p>
    <w:p w14:paraId="6D503906" w14:textId="39A893D1" w:rsidR="008A49F9" w:rsidRDefault="008A49F9" w:rsidP="00B231D5">
      <w:pPr>
        <w:rPr>
          <w:rFonts w:cs="Arial"/>
          <w:sz w:val="22"/>
          <w:szCs w:val="22"/>
        </w:rPr>
      </w:pPr>
    </w:p>
    <w:p w14:paraId="133B7D7D" w14:textId="30A70560" w:rsidR="008A49F9" w:rsidRPr="008A49F9" w:rsidRDefault="008A49F9" w:rsidP="00B231D5">
      <w:pPr>
        <w:rPr>
          <w:rFonts w:cs="Arial"/>
          <w:b/>
          <w:bCs/>
          <w:sz w:val="22"/>
          <w:szCs w:val="22"/>
        </w:rPr>
      </w:pPr>
      <w:r w:rsidRPr="008A49F9">
        <w:rPr>
          <w:rFonts w:cs="Arial"/>
          <w:b/>
          <w:bCs/>
          <w:sz w:val="22"/>
          <w:szCs w:val="22"/>
        </w:rPr>
        <w:t>Respuesta:</w:t>
      </w:r>
    </w:p>
    <w:p w14:paraId="1285F451" w14:textId="37FA82FF" w:rsidR="008A49F9" w:rsidRDefault="008A49F9" w:rsidP="00B231D5">
      <w:pPr>
        <w:rPr>
          <w:rFonts w:cs="Arial"/>
          <w:sz w:val="22"/>
          <w:szCs w:val="22"/>
        </w:rPr>
      </w:pPr>
    </w:p>
    <w:p w14:paraId="5F807223" w14:textId="4AB9AB74" w:rsidR="008A49F9" w:rsidRPr="00B231D5" w:rsidRDefault="008A49F9" w:rsidP="008A49F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5D0C2212" w14:textId="77777777" w:rsidR="009D358F" w:rsidRDefault="009D358F" w:rsidP="00B231D5">
      <w:pPr>
        <w:rPr>
          <w:rFonts w:cs="Arial"/>
          <w:sz w:val="22"/>
          <w:szCs w:val="22"/>
        </w:rPr>
      </w:pPr>
    </w:p>
    <w:p w14:paraId="251AB002" w14:textId="77777777" w:rsidR="009D358F" w:rsidRDefault="009D358F" w:rsidP="00B231D5">
      <w:pPr>
        <w:rPr>
          <w:rFonts w:cs="Arial"/>
          <w:sz w:val="22"/>
          <w:szCs w:val="22"/>
        </w:rPr>
      </w:pPr>
    </w:p>
    <w:p w14:paraId="06D95CB7" w14:textId="77777777" w:rsidR="009D358F" w:rsidRDefault="00B231D5" w:rsidP="00C471C3">
      <w:pPr>
        <w:pStyle w:val="Ttulo2"/>
      </w:pPr>
      <w:bookmarkStart w:id="676" w:name="_Toc140506360"/>
      <w:r w:rsidRPr="00B231D5">
        <w:t>GASES DEL CARIBE</w:t>
      </w:r>
      <w:bookmarkEnd w:id="676"/>
      <w:r w:rsidRPr="00B231D5">
        <w:tab/>
      </w:r>
    </w:p>
    <w:p w14:paraId="7B817D5B" w14:textId="77777777" w:rsidR="00C471C3" w:rsidRDefault="00C471C3" w:rsidP="00C471C3">
      <w:pPr>
        <w:pStyle w:val="Ttulo4"/>
      </w:pPr>
      <w:r w:rsidRPr="00B231D5">
        <w:t>GASES DEL CARIBE</w:t>
      </w:r>
      <w:r w:rsidRPr="00B231D5">
        <w:tab/>
      </w:r>
    </w:p>
    <w:p w14:paraId="09CD7D79" w14:textId="7E98F46E" w:rsidR="00B231D5" w:rsidRPr="004D717E" w:rsidRDefault="004D717E" w:rsidP="00B231D5">
      <w:pPr>
        <w:rPr>
          <w:rFonts w:cs="Arial"/>
          <w:i/>
          <w:iCs/>
          <w:sz w:val="22"/>
          <w:szCs w:val="22"/>
        </w:rPr>
      </w:pPr>
      <w:r>
        <w:rPr>
          <w:rFonts w:cs="Arial"/>
          <w:i/>
          <w:iCs/>
          <w:sz w:val="22"/>
          <w:szCs w:val="22"/>
        </w:rPr>
        <w:t>“</w:t>
      </w:r>
      <w:r w:rsidR="00B231D5" w:rsidRPr="004D717E">
        <w:rPr>
          <w:rFonts w:cs="Arial"/>
          <w:i/>
          <w:iCs/>
          <w:sz w:val="22"/>
          <w:szCs w:val="22"/>
        </w:rPr>
        <w:t>La redacción que propone el regulador, resulta confusa frente a la forma como realmente funcionan los contratos de suministro. En efecto, la cantidad nominada debe ser siempre dentro de la capacidad contratada, y en el evento en que esta condición se cumpla, el vendedor incumple cuando rechaza y por lo tanto no confirma los volúmenes nominados. En la forma como se propone en la redacción del acuerdo, el vendedor podría no incumplir cuando no confirme, lo cual claramente es contrario a lo que se busca con los contratos en firme.</w:t>
      </w:r>
      <w:r>
        <w:rPr>
          <w:rFonts w:cs="Arial"/>
          <w:i/>
          <w:iCs/>
          <w:sz w:val="22"/>
          <w:szCs w:val="22"/>
        </w:rPr>
        <w:t>”</w:t>
      </w:r>
    </w:p>
    <w:p w14:paraId="6C5877A3" w14:textId="67CF5862" w:rsidR="009D358F" w:rsidRDefault="009D358F" w:rsidP="00B231D5">
      <w:pPr>
        <w:rPr>
          <w:rFonts w:cs="Arial"/>
          <w:sz w:val="22"/>
          <w:szCs w:val="22"/>
        </w:rPr>
      </w:pPr>
    </w:p>
    <w:p w14:paraId="4AD09FD9" w14:textId="77777777" w:rsidR="008A49F9" w:rsidRPr="008A49F9" w:rsidRDefault="008A49F9" w:rsidP="008A49F9">
      <w:pPr>
        <w:rPr>
          <w:rFonts w:cs="Arial"/>
          <w:b/>
          <w:bCs/>
          <w:sz w:val="22"/>
          <w:szCs w:val="22"/>
        </w:rPr>
      </w:pPr>
      <w:r w:rsidRPr="008A49F9">
        <w:rPr>
          <w:rFonts w:cs="Arial"/>
          <w:b/>
          <w:bCs/>
          <w:sz w:val="22"/>
          <w:szCs w:val="22"/>
        </w:rPr>
        <w:t>Respuesta:</w:t>
      </w:r>
    </w:p>
    <w:p w14:paraId="40912857" w14:textId="77777777" w:rsidR="008A49F9" w:rsidRDefault="008A49F9" w:rsidP="008A49F9">
      <w:pPr>
        <w:rPr>
          <w:rFonts w:cs="Arial"/>
          <w:sz w:val="22"/>
          <w:szCs w:val="22"/>
        </w:rPr>
      </w:pPr>
    </w:p>
    <w:p w14:paraId="1BC569A6" w14:textId="459A24FE" w:rsidR="008A49F9" w:rsidRPr="00B231D5" w:rsidRDefault="008A49F9" w:rsidP="008A49F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5A40176B" w14:textId="77777777" w:rsidR="008A49F9" w:rsidRDefault="008A49F9" w:rsidP="00B231D5">
      <w:pPr>
        <w:rPr>
          <w:rFonts w:cs="Arial"/>
          <w:sz w:val="22"/>
          <w:szCs w:val="22"/>
        </w:rPr>
      </w:pPr>
    </w:p>
    <w:p w14:paraId="2E4B389B" w14:textId="77777777" w:rsidR="009D358F" w:rsidRDefault="009D358F" w:rsidP="00B231D5">
      <w:pPr>
        <w:rPr>
          <w:rFonts w:cs="Arial"/>
          <w:sz w:val="22"/>
          <w:szCs w:val="22"/>
        </w:rPr>
      </w:pPr>
    </w:p>
    <w:p w14:paraId="7848451B" w14:textId="77777777" w:rsidR="009D358F" w:rsidRDefault="00B231D5" w:rsidP="00C471C3">
      <w:pPr>
        <w:pStyle w:val="Ttulo2"/>
      </w:pPr>
      <w:bookmarkStart w:id="677" w:name="_Toc140506361"/>
      <w:r w:rsidRPr="00B231D5">
        <w:t>GECELCA</w:t>
      </w:r>
      <w:bookmarkEnd w:id="677"/>
      <w:r w:rsidRPr="00B231D5">
        <w:tab/>
      </w:r>
    </w:p>
    <w:p w14:paraId="378841ED" w14:textId="77777777" w:rsidR="00C471C3" w:rsidRDefault="00C471C3" w:rsidP="00C471C3">
      <w:pPr>
        <w:pStyle w:val="Ttulo4"/>
      </w:pPr>
      <w:r w:rsidRPr="00B231D5">
        <w:t>GECELCA</w:t>
      </w:r>
      <w:r w:rsidRPr="00B231D5">
        <w:tab/>
      </w:r>
    </w:p>
    <w:p w14:paraId="2B533D03" w14:textId="30DD5A7E" w:rsidR="00B231D5" w:rsidRPr="004525B1" w:rsidRDefault="004D717E" w:rsidP="00B231D5">
      <w:pPr>
        <w:rPr>
          <w:rFonts w:cs="Arial"/>
          <w:i/>
          <w:iCs/>
          <w:sz w:val="22"/>
          <w:szCs w:val="22"/>
        </w:rPr>
      </w:pPr>
      <w:r>
        <w:rPr>
          <w:rFonts w:cs="Arial"/>
          <w:i/>
          <w:iCs/>
          <w:sz w:val="22"/>
          <w:szCs w:val="22"/>
        </w:rPr>
        <w:t>“</w:t>
      </w:r>
      <w:r w:rsidR="00B231D5" w:rsidRPr="004525B1">
        <w:rPr>
          <w:rFonts w:cs="Arial"/>
          <w:i/>
          <w:iCs/>
          <w:sz w:val="22"/>
          <w:szCs w:val="22"/>
        </w:rPr>
        <w:t xml:space="preserve">Solicitamos amablemente aclarar por qué se incluye la palabra </w:t>
      </w:r>
      <w:r>
        <w:rPr>
          <w:rFonts w:cs="Arial"/>
          <w:i/>
          <w:iCs/>
          <w:sz w:val="22"/>
          <w:szCs w:val="22"/>
        </w:rPr>
        <w:t>’</w:t>
      </w:r>
      <w:r w:rsidR="00B231D5" w:rsidRPr="004525B1">
        <w:rPr>
          <w:rFonts w:cs="Arial"/>
          <w:i/>
          <w:iCs/>
          <w:sz w:val="22"/>
          <w:szCs w:val="22"/>
        </w:rPr>
        <w:t>confirmada</w:t>
      </w:r>
      <w:r>
        <w:rPr>
          <w:rFonts w:cs="Arial"/>
          <w:i/>
          <w:iCs/>
          <w:sz w:val="22"/>
          <w:szCs w:val="22"/>
        </w:rPr>
        <w:t>’</w:t>
      </w:r>
      <w:r w:rsidR="00B231D5" w:rsidRPr="004525B1">
        <w:rPr>
          <w:rFonts w:cs="Arial"/>
          <w:i/>
          <w:iCs/>
          <w:sz w:val="22"/>
          <w:szCs w:val="22"/>
        </w:rPr>
        <w:t xml:space="preserve"> a los incumplimientos por parte del vendedor establecidos en los literales a) del numeral 1 y 2. Consideramos que esta modificación puede dar lugar a interpretaciones erróneas sobre el incumplimiento de los vendedores.</w:t>
      </w:r>
      <w:r w:rsidR="006621F1">
        <w:rPr>
          <w:rFonts w:cs="Arial"/>
          <w:i/>
          <w:iCs/>
          <w:sz w:val="22"/>
          <w:szCs w:val="22"/>
        </w:rPr>
        <w:t>”</w:t>
      </w:r>
      <w:r w:rsidR="00B231D5" w:rsidRPr="004525B1">
        <w:rPr>
          <w:rFonts w:cs="Arial"/>
          <w:i/>
          <w:iCs/>
          <w:sz w:val="22"/>
          <w:szCs w:val="22"/>
        </w:rPr>
        <w:t xml:space="preserve"> </w:t>
      </w:r>
    </w:p>
    <w:p w14:paraId="20D6EB26" w14:textId="7007D9EF" w:rsidR="004525B1" w:rsidRDefault="004525B1" w:rsidP="00B231D5">
      <w:pPr>
        <w:rPr>
          <w:rFonts w:cs="Arial"/>
          <w:sz w:val="22"/>
          <w:szCs w:val="22"/>
        </w:rPr>
      </w:pPr>
    </w:p>
    <w:p w14:paraId="78408A73" w14:textId="405641AD" w:rsidR="004525B1" w:rsidRPr="004525B1" w:rsidRDefault="004525B1" w:rsidP="00B231D5">
      <w:pPr>
        <w:rPr>
          <w:rFonts w:cs="Arial"/>
          <w:b/>
          <w:bCs/>
          <w:sz w:val="22"/>
          <w:szCs w:val="22"/>
        </w:rPr>
      </w:pPr>
      <w:r w:rsidRPr="004525B1">
        <w:rPr>
          <w:rFonts w:cs="Arial"/>
          <w:b/>
          <w:bCs/>
          <w:sz w:val="22"/>
          <w:szCs w:val="22"/>
        </w:rPr>
        <w:t>Respuesta:</w:t>
      </w:r>
    </w:p>
    <w:p w14:paraId="48226D47" w14:textId="6BC7180E" w:rsidR="004525B1" w:rsidRDefault="004525B1" w:rsidP="00B231D5">
      <w:pPr>
        <w:rPr>
          <w:rFonts w:cs="Arial"/>
          <w:sz w:val="22"/>
          <w:szCs w:val="22"/>
        </w:rPr>
      </w:pPr>
    </w:p>
    <w:p w14:paraId="2D1A68E7" w14:textId="5C591403" w:rsidR="006E4049" w:rsidRPr="00B231D5" w:rsidRDefault="006E4049" w:rsidP="006E404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1F89C232" w14:textId="77777777" w:rsidR="009D358F" w:rsidRDefault="009D358F" w:rsidP="00B231D5">
      <w:pPr>
        <w:rPr>
          <w:rFonts w:cs="Arial"/>
          <w:sz w:val="22"/>
          <w:szCs w:val="22"/>
        </w:rPr>
      </w:pPr>
    </w:p>
    <w:p w14:paraId="261BE4A4" w14:textId="77777777" w:rsidR="009D358F" w:rsidRDefault="00B231D5" w:rsidP="00C471C3">
      <w:pPr>
        <w:pStyle w:val="Ttulo2"/>
      </w:pPr>
      <w:bookmarkStart w:id="678" w:name="_Toc140506362"/>
      <w:r w:rsidRPr="00B231D5">
        <w:t>HOCOL</w:t>
      </w:r>
      <w:bookmarkEnd w:id="678"/>
      <w:r w:rsidRPr="00B231D5">
        <w:tab/>
      </w:r>
    </w:p>
    <w:p w14:paraId="69D6945C" w14:textId="77777777" w:rsidR="00C471C3" w:rsidRDefault="00C471C3" w:rsidP="00C471C3">
      <w:pPr>
        <w:pStyle w:val="Ttulo4"/>
      </w:pPr>
      <w:r w:rsidRPr="00B231D5">
        <w:t>HOCOL</w:t>
      </w:r>
      <w:r w:rsidRPr="00B231D5">
        <w:tab/>
      </w:r>
    </w:p>
    <w:p w14:paraId="33585C74" w14:textId="40E7E8AC" w:rsidR="00B231D5" w:rsidRPr="006E4049" w:rsidRDefault="006621F1" w:rsidP="00B231D5">
      <w:pPr>
        <w:rPr>
          <w:rFonts w:cs="Arial"/>
          <w:i/>
          <w:iCs/>
          <w:sz w:val="22"/>
          <w:szCs w:val="22"/>
        </w:rPr>
      </w:pPr>
      <w:r>
        <w:rPr>
          <w:rFonts w:cs="Arial"/>
          <w:i/>
          <w:iCs/>
          <w:sz w:val="22"/>
          <w:szCs w:val="22"/>
        </w:rPr>
        <w:t>“</w:t>
      </w:r>
      <w:r w:rsidR="00B231D5" w:rsidRPr="006E4049">
        <w:rPr>
          <w:rFonts w:cs="Arial"/>
          <w:i/>
          <w:iCs/>
          <w:sz w:val="22"/>
          <w:szCs w:val="22"/>
        </w:rPr>
        <w:t>Validar el posible conflicto entre los balances comerciales y los balances físicos de gas, que se pueden presentar con base en la nueva obligación para el Gestor de Mercado de verificar que las cantidades entregadas en los contratos de suministro sean iguales a las capacidades autorizadas de transporte, ya que esto puede estar desconociendo las variaciones que manejan con los acuerdos de balance entre productores y transportadores.</w:t>
      </w:r>
      <w:r>
        <w:rPr>
          <w:rFonts w:cs="Arial"/>
          <w:i/>
          <w:iCs/>
          <w:sz w:val="22"/>
          <w:szCs w:val="22"/>
        </w:rPr>
        <w:t>”</w:t>
      </w:r>
      <w:r w:rsidR="00B231D5" w:rsidRPr="006E4049">
        <w:rPr>
          <w:rFonts w:cs="Arial"/>
          <w:i/>
          <w:iCs/>
          <w:sz w:val="22"/>
          <w:szCs w:val="22"/>
        </w:rPr>
        <w:t xml:space="preserve"> </w:t>
      </w:r>
    </w:p>
    <w:p w14:paraId="50A86E5D" w14:textId="689EB8F4" w:rsidR="006E4049" w:rsidRDefault="006E4049" w:rsidP="00B231D5">
      <w:pPr>
        <w:rPr>
          <w:rFonts w:cs="Arial"/>
          <w:sz w:val="22"/>
          <w:szCs w:val="22"/>
        </w:rPr>
      </w:pPr>
    </w:p>
    <w:p w14:paraId="2C2A5A4F" w14:textId="674D6D9D" w:rsidR="006E4049" w:rsidRPr="006E4049" w:rsidRDefault="006E4049" w:rsidP="00B231D5">
      <w:pPr>
        <w:rPr>
          <w:rFonts w:cs="Arial"/>
          <w:b/>
          <w:bCs/>
          <w:sz w:val="22"/>
          <w:szCs w:val="22"/>
        </w:rPr>
      </w:pPr>
      <w:r w:rsidRPr="006E4049">
        <w:rPr>
          <w:rFonts w:cs="Arial"/>
          <w:b/>
          <w:bCs/>
          <w:sz w:val="22"/>
          <w:szCs w:val="22"/>
        </w:rPr>
        <w:t>Respuesta:</w:t>
      </w:r>
    </w:p>
    <w:p w14:paraId="20730291" w14:textId="7736490B" w:rsidR="006E4049" w:rsidRDefault="006E4049" w:rsidP="00B231D5">
      <w:pPr>
        <w:rPr>
          <w:rFonts w:cs="Arial"/>
          <w:sz w:val="22"/>
          <w:szCs w:val="22"/>
        </w:rPr>
      </w:pPr>
    </w:p>
    <w:p w14:paraId="789D1910" w14:textId="1D49265F" w:rsidR="006E4049" w:rsidRPr="00B231D5" w:rsidRDefault="006E4049" w:rsidP="00B231D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_Ref130801545 \r \h </w:instrText>
      </w:r>
      <w:r>
        <w:rPr>
          <w:rFonts w:cs="Arial"/>
          <w:sz w:val="22"/>
          <w:szCs w:val="22"/>
        </w:rPr>
      </w:r>
      <w:r>
        <w:rPr>
          <w:rFonts w:cs="Arial"/>
          <w:sz w:val="22"/>
          <w:szCs w:val="22"/>
        </w:rPr>
        <w:fldChar w:fldCharType="separate"/>
      </w:r>
      <w:r w:rsidR="007651EA">
        <w:rPr>
          <w:rFonts w:cs="Arial"/>
          <w:sz w:val="22"/>
          <w:szCs w:val="22"/>
        </w:rPr>
        <w:t>13.3.1.1</w:t>
      </w:r>
      <w:r>
        <w:rPr>
          <w:rFonts w:cs="Arial"/>
          <w:sz w:val="22"/>
          <w:szCs w:val="22"/>
        </w:rPr>
        <w:fldChar w:fldCharType="end"/>
      </w:r>
      <w:r>
        <w:rPr>
          <w:rFonts w:cs="Arial"/>
          <w:sz w:val="22"/>
          <w:szCs w:val="22"/>
        </w:rPr>
        <w:t>.</w:t>
      </w:r>
    </w:p>
    <w:p w14:paraId="2126DC33" w14:textId="77777777" w:rsidR="009D358F" w:rsidRDefault="009D358F" w:rsidP="00B231D5">
      <w:pPr>
        <w:rPr>
          <w:rFonts w:cs="Arial"/>
          <w:sz w:val="22"/>
          <w:szCs w:val="22"/>
        </w:rPr>
      </w:pPr>
    </w:p>
    <w:p w14:paraId="564C7F8C" w14:textId="77777777" w:rsidR="009D358F" w:rsidRDefault="009D358F" w:rsidP="00B231D5">
      <w:pPr>
        <w:rPr>
          <w:rFonts w:cs="Arial"/>
          <w:sz w:val="22"/>
          <w:szCs w:val="22"/>
        </w:rPr>
      </w:pPr>
    </w:p>
    <w:p w14:paraId="78F5DD1C" w14:textId="77777777" w:rsidR="009D358F" w:rsidRDefault="00B231D5" w:rsidP="00C471C3">
      <w:pPr>
        <w:pStyle w:val="Ttulo2"/>
      </w:pPr>
      <w:bookmarkStart w:id="679" w:name="_Toc140506363"/>
      <w:r w:rsidRPr="00B231D5">
        <w:t>ISAGEN</w:t>
      </w:r>
      <w:bookmarkEnd w:id="679"/>
      <w:r w:rsidRPr="00B231D5">
        <w:tab/>
      </w:r>
    </w:p>
    <w:p w14:paraId="75B20F7B" w14:textId="77777777" w:rsidR="00C471C3" w:rsidRDefault="00C471C3" w:rsidP="00C471C3">
      <w:pPr>
        <w:pStyle w:val="Ttulo4"/>
      </w:pPr>
      <w:r w:rsidRPr="00B231D5">
        <w:t>ISAGEN</w:t>
      </w:r>
      <w:r w:rsidRPr="00B231D5">
        <w:tab/>
      </w:r>
    </w:p>
    <w:p w14:paraId="5FDFA91A" w14:textId="0AE91E6A" w:rsidR="00B231D5" w:rsidRDefault="00B231D5" w:rsidP="00B231D5">
      <w:pPr>
        <w:rPr>
          <w:rFonts w:cs="Arial"/>
          <w:i/>
          <w:iCs/>
          <w:sz w:val="22"/>
          <w:szCs w:val="22"/>
        </w:rPr>
      </w:pPr>
      <w:r w:rsidRPr="00B231D5">
        <w:rPr>
          <w:rFonts w:cs="Arial"/>
          <w:sz w:val="22"/>
          <w:szCs w:val="22"/>
        </w:rPr>
        <w:t>"</w:t>
      </w:r>
      <w:r w:rsidRPr="00EF5605">
        <w:rPr>
          <w:rFonts w:cs="Arial"/>
          <w:i/>
          <w:iCs/>
          <w:sz w:val="22"/>
          <w:szCs w:val="22"/>
        </w:rPr>
        <w:t xml:space="preserve">Solicitamos se mantenga la redacción actual en la cual solo se tienen en cuenta las cantidades nominadas, toda vez que con la redacción propuesta (nominada y confirmada) se abre la posibilidad al productor de autorizar cantidades menores a las nominadas y, por ende, la confirmación del agente sería menor porque parte de la autorización del productor, esto teniendo en cuenta el ciclo de nominación y </w:t>
      </w:r>
      <w:proofErr w:type="spellStart"/>
      <w:r w:rsidRPr="00EF5605">
        <w:rPr>
          <w:rFonts w:cs="Arial"/>
          <w:i/>
          <w:iCs/>
          <w:sz w:val="22"/>
          <w:szCs w:val="22"/>
        </w:rPr>
        <w:t>renominación</w:t>
      </w:r>
      <w:proofErr w:type="spellEnd"/>
      <w:r w:rsidRPr="00EF5605">
        <w:rPr>
          <w:rFonts w:cs="Arial"/>
          <w:i/>
          <w:iCs/>
          <w:sz w:val="22"/>
          <w:szCs w:val="22"/>
        </w:rPr>
        <w:t xml:space="preserve"> de suministro de gas. </w:t>
      </w:r>
    </w:p>
    <w:p w14:paraId="2C408414" w14:textId="77777777" w:rsidR="00EF5605" w:rsidRPr="00EF5605" w:rsidRDefault="00EF5605" w:rsidP="00B231D5">
      <w:pPr>
        <w:rPr>
          <w:rFonts w:cs="Arial"/>
          <w:i/>
          <w:iCs/>
          <w:sz w:val="22"/>
          <w:szCs w:val="22"/>
        </w:rPr>
      </w:pPr>
    </w:p>
    <w:p w14:paraId="226737EB" w14:textId="4217B640" w:rsidR="00B231D5" w:rsidRDefault="00B231D5" w:rsidP="00B231D5">
      <w:pPr>
        <w:rPr>
          <w:rFonts w:cs="Arial"/>
          <w:i/>
          <w:iCs/>
          <w:sz w:val="22"/>
          <w:szCs w:val="22"/>
        </w:rPr>
      </w:pPr>
      <w:r w:rsidRPr="00EF5605">
        <w:rPr>
          <w:rFonts w:cs="Arial"/>
          <w:i/>
          <w:iCs/>
          <w:sz w:val="22"/>
          <w:szCs w:val="22"/>
        </w:rPr>
        <w:t>Con la adición de la confirmación se le da potestad al productor a intervenir en las posibles cantidades no entregadas y en el eventual incumplimiento. Es importante aclarar que la cantidad confirmada por el agente solo puede ser igual o menor a la cantidad autorizada por el productor, como se muestra a continuación:</w:t>
      </w:r>
    </w:p>
    <w:p w14:paraId="22B79DED" w14:textId="77777777" w:rsidR="00EF5605" w:rsidRPr="00EF5605" w:rsidRDefault="00EF5605" w:rsidP="00B231D5">
      <w:pPr>
        <w:rPr>
          <w:rFonts w:cs="Arial"/>
          <w:i/>
          <w:iCs/>
          <w:sz w:val="22"/>
          <w:szCs w:val="22"/>
        </w:rPr>
      </w:pPr>
    </w:p>
    <w:p w14:paraId="6CD8F44E" w14:textId="37008D96" w:rsidR="00B231D5" w:rsidRDefault="00B231D5" w:rsidP="00B231D5">
      <w:pPr>
        <w:rPr>
          <w:rFonts w:cs="Arial"/>
          <w:sz w:val="22"/>
          <w:szCs w:val="22"/>
        </w:rPr>
      </w:pPr>
      <w:r w:rsidRPr="00EF5605">
        <w:rPr>
          <w:rFonts w:cs="Arial"/>
          <w:i/>
          <w:iCs/>
          <w:sz w:val="22"/>
          <w:szCs w:val="22"/>
        </w:rPr>
        <w:t>Caso 1 - Cantidad contratada: 1,000 MBTUD, cantidad nominada por el agente: 1,000 MBTU, cantidad autorizada por el productor: 1,000 MBTU, cantidad confirmada por el agente: 1,000 MBTU, cantidad real entregada por el productor: 1,000 MBTU, cantidad requerida por el agente: 1,000 MBTU. Caso 2: Cantidad contratada: 1,000 MBTUD, cantidad nominada por el agente: 1,000 MBTU, cantidad autorizada por el productor: 900 MBTU, cantidad confirmada por el agente: 900 MBTU, cantidad real entregada por el productor: 900 MBTU, cantidad requerida por el agente: 1,000 MBTU. En el caso 1 no se presentaría incumplimiento porque todas las cantidades coinciden en todo el ciclo de nominación, pero en el caso 2 aunque el requerimiento del agente son 1,000 MBTU y solo le entregaron 900 MBTU debido a la autorización y confirmación, ante la regulación no se consideraría como un incumplimiento la entrega de 900 MBTU confirmados (autorizados), lo cual desvirtúa la existencia de la cláusula de incumplimiento</w:t>
      </w:r>
      <w:r w:rsidRPr="00B231D5">
        <w:rPr>
          <w:rFonts w:cs="Arial"/>
          <w:sz w:val="22"/>
          <w:szCs w:val="22"/>
        </w:rPr>
        <w:t>."</w:t>
      </w:r>
    </w:p>
    <w:p w14:paraId="2B44949A" w14:textId="01059B03" w:rsidR="00EF5605" w:rsidRDefault="00EF5605" w:rsidP="00B231D5">
      <w:pPr>
        <w:rPr>
          <w:rFonts w:cs="Arial"/>
          <w:sz w:val="22"/>
          <w:szCs w:val="22"/>
        </w:rPr>
      </w:pPr>
    </w:p>
    <w:p w14:paraId="4F186501" w14:textId="1DDEE44D" w:rsidR="00EF5605" w:rsidRPr="00EF5605" w:rsidRDefault="00EF5605" w:rsidP="00B231D5">
      <w:pPr>
        <w:rPr>
          <w:rFonts w:cs="Arial"/>
          <w:b/>
          <w:bCs/>
          <w:sz w:val="22"/>
          <w:szCs w:val="22"/>
        </w:rPr>
      </w:pPr>
      <w:r w:rsidRPr="00EF5605">
        <w:rPr>
          <w:rFonts w:cs="Arial"/>
          <w:b/>
          <w:bCs/>
          <w:sz w:val="22"/>
          <w:szCs w:val="22"/>
        </w:rPr>
        <w:t>Respuesta:</w:t>
      </w:r>
    </w:p>
    <w:p w14:paraId="506ABDCC" w14:textId="2A00218A" w:rsidR="00EF5605" w:rsidRDefault="00EF5605" w:rsidP="00B231D5">
      <w:pPr>
        <w:rPr>
          <w:rFonts w:cs="Arial"/>
          <w:sz w:val="22"/>
          <w:szCs w:val="22"/>
        </w:rPr>
      </w:pPr>
    </w:p>
    <w:p w14:paraId="1C36C749" w14:textId="50847B75" w:rsidR="00EF5605" w:rsidRPr="00B231D5" w:rsidRDefault="00EF5605" w:rsidP="00EF560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5D0E2E3A" w14:textId="77777777" w:rsidR="009D358F" w:rsidRDefault="009D358F" w:rsidP="00B231D5">
      <w:pPr>
        <w:rPr>
          <w:rFonts w:cs="Arial"/>
          <w:sz w:val="22"/>
          <w:szCs w:val="22"/>
        </w:rPr>
      </w:pPr>
    </w:p>
    <w:p w14:paraId="7E775DBC" w14:textId="77777777" w:rsidR="009D358F" w:rsidRDefault="009D358F" w:rsidP="00B231D5">
      <w:pPr>
        <w:rPr>
          <w:rFonts w:cs="Arial"/>
          <w:sz w:val="22"/>
          <w:szCs w:val="22"/>
        </w:rPr>
      </w:pPr>
    </w:p>
    <w:p w14:paraId="64F81612" w14:textId="77777777" w:rsidR="009D358F" w:rsidRDefault="00B231D5" w:rsidP="00C471C3">
      <w:pPr>
        <w:pStyle w:val="Ttulo2"/>
      </w:pPr>
      <w:bookmarkStart w:id="680" w:name="_Toc140506364"/>
      <w:r w:rsidRPr="00B231D5">
        <w:t>PROMIGAS</w:t>
      </w:r>
      <w:bookmarkEnd w:id="680"/>
      <w:r w:rsidRPr="00B231D5">
        <w:tab/>
      </w:r>
    </w:p>
    <w:p w14:paraId="75A5C608" w14:textId="77777777" w:rsidR="00C471C3" w:rsidRDefault="00C471C3" w:rsidP="00C471C3">
      <w:pPr>
        <w:pStyle w:val="Ttulo4"/>
      </w:pPr>
      <w:r w:rsidRPr="00B231D5">
        <w:t>PROMIGAS</w:t>
      </w:r>
      <w:r w:rsidRPr="00B231D5">
        <w:tab/>
      </w:r>
    </w:p>
    <w:p w14:paraId="5A214E8B" w14:textId="52D571DB" w:rsidR="00B231D5" w:rsidRPr="00EF5605" w:rsidRDefault="006621F1" w:rsidP="00B231D5">
      <w:pPr>
        <w:rPr>
          <w:rFonts w:cs="Arial"/>
          <w:i/>
          <w:iCs/>
          <w:sz w:val="22"/>
          <w:szCs w:val="22"/>
        </w:rPr>
      </w:pPr>
      <w:r>
        <w:rPr>
          <w:rFonts w:cs="Arial"/>
          <w:i/>
          <w:iCs/>
          <w:sz w:val="22"/>
          <w:szCs w:val="22"/>
        </w:rPr>
        <w:t>“</w:t>
      </w:r>
      <w:r w:rsidR="00B231D5" w:rsidRPr="00EF5605">
        <w:rPr>
          <w:rFonts w:cs="Arial"/>
          <w:i/>
          <w:iCs/>
          <w:sz w:val="22"/>
          <w:szCs w:val="22"/>
        </w:rPr>
        <w:t xml:space="preserve">Aunque no se menciona en el documento soporte, en el artículo 13 del Proyecto de Resolución que trata de los </w:t>
      </w:r>
      <w:r>
        <w:rPr>
          <w:rFonts w:cs="Arial"/>
          <w:i/>
          <w:iCs/>
          <w:sz w:val="22"/>
          <w:szCs w:val="22"/>
        </w:rPr>
        <w:t>‘</w:t>
      </w:r>
      <w:r w:rsidR="00B231D5" w:rsidRPr="00EF5605">
        <w:rPr>
          <w:rFonts w:cs="Arial"/>
          <w:i/>
          <w:iCs/>
          <w:sz w:val="22"/>
          <w:szCs w:val="22"/>
        </w:rPr>
        <w:t>Incumplimientos</w:t>
      </w:r>
      <w:r>
        <w:rPr>
          <w:rFonts w:cs="Arial"/>
          <w:i/>
          <w:iCs/>
          <w:sz w:val="22"/>
          <w:szCs w:val="22"/>
        </w:rPr>
        <w:t>’</w:t>
      </w:r>
      <w:r w:rsidR="00B231D5" w:rsidRPr="00EF5605">
        <w:rPr>
          <w:rFonts w:cs="Arial"/>
          <w:i/>
          <w:iCs/>
          <w:sz w:val="22"/>
          <w:szCs w:val="22"/>
        </w:rPr>
        <w:t xml:space="preserve"> de los contratos de suministro, la CREG cuando establece que es incumplimiento del vendedor no entregar la cantidad de energía nominada, adiciona la expresión</w:t>
      </w:r>
      <w:r>
        <w:rPr>
          <w:rFonts w:cs="Arial"/>
          <w:i/>
          <w:iCs/>
          <w:sz w:val="22"/>
          <w:szCs w:val="22"/>
        </w:rPr>
        <w:t xml:space="preserve"> ‘</w:t>
      </w:r>
      <w:r w:rsidR="00B231D5" w:rsidRPr="00EF5605">
        <w:rPr>
          <w:rFonts w:cs="Arial"/>
          <w:i/>
          <w:iCs/>
          <w:sz w:val="22"/>
          <w:szCs w:val="22"/>
        </w:rPr>
        <w:t>y confirmada</w:t>
      </w:r>
      <w:r>
        <w:rPr>
          <w:rFonts w:cs="Arial"/>
          <w:i/>
          <w:iCs/>
          <w:sz w:val="22"/>
          <w:szCs w:val="22"/>
        </w:rPr>
        <w:t>’</w:t>
      </w:r>
      <w:r w:rsidR="00B231D5" w:rsidRPr="00EF5605">
        <w:rPr>
          <w:rFonts w:cs="Arial"/>
          <w:i/>
          <w:iCs/>
          <w:sz w:val="22"/>
          <w:szCs w:val="22"/>
        </w:rPr>
        <w:t xml:space="preserve">. Debe aclararse que la </w:t>
      </w:r>
      <w:r w:rsidR="00AD2EC0">
        <w:rPr>
          <w:rFonts w:cs="Arial"/>
          <w:i/>
          <w:iCs/>
          <w:sz w:val="22"/>
          <w:szCs w:val="22"/>
        </w:rPr>
        <w:t>‘</w:t>
      </w:r>
      <w:r w:rsidR="00B231D5" w:rsidRPr="00EF5605">
        <w:rPr>
          <w:rFonts w:cs="Arial"/>
          <w:i/>
          <w:iCs/>
          <w:sz w:val="22"/>
          <w:szCs w:val="22"/>
        </w:rPr>
        <w:t>no confirmación</w:t>
      </w:r>
      <w:r w:rsidR="00AD2EC0">
        <w:rPr>
          <w:rFonts w:cs="Arial"/>
          <w:i/>
          <w:iCs/>
          <w:sz w:val="22"/>
          <w:szCs w:val="22"/>
        </w:rPr>
        <w:t>’</w:t>
      </w:r>
      <w:r w:rsidR="00B231D5" w:rsidRPr="00EF5605">
        <w:rPr>
          <w:rFonts w:cs="Arial"/>
          <w:i/>
          <w:iCs/>
          <w:sz w:val="22"/>
          <w:szCs w:val="22"/>
        </w:rPr>
        <w:t xml:space="preserve"> por parte del productor-comercializador solo estará justificada ante eventos de fuerza mayor, o eventos eximentes.</w:t>
      </w:r>
      <w:r w:rsidR="00AD2EC0">
        <w:rPr>
          <w:rFonts w:cs="Arial"/>
          <w:i/>
          <w:iCs/>
          <w:sz w:val="22"/>
          <w:szCs w:val="22"/>
        </w:rPr>
        <w:t>”</w:t>
      </w:r>
    </w:p>
    <w:p w14:paraId="4490D787" w14:textId="03A93C8D" w:rsidR="00EF5605" w:rsidRDefault="00EF5605" w:rsidP="00B231D5">
      <w:pPr>
        <w:rPr>
          <w:rFonts w:cs="Arial"/>
          <w:sz w:val="22"/>
          <w:szCs w:val="22"/>
        </w:rPr>
      </w:pPr>
    </w:p>
    <w:p w14:paraId="0E848CEC" w14:textId="70804A76" w:rsidR="00EF5605" w:rsidRPr="00EF5605" w:rsidRDefault="00EF5605" w:rsidP="00B231D5">
      <w:pPr>
        <w:rPr>
          <w:rFonts w:cs="Arial"/>
          <w:b/>
          <w:bCs/>
          <w:sz w:val="22"/>
          <w:szCs w:val="22"/>
        </w:rPr>
      </w:pPr>
      <w:r w:rsidRPr="00EF5605">
        <w:rPr>
          <w:rFonts w:cs="Arial"/>
          <w:b/>
          <w:bCs/>
          <w:sz w:val="22"/>
          <w:szCs w:val="22"/>
        </w:rPr>
        <w:t>Respuesta:</w:t>
      </w:r>
    </w:p>
    <w:p w14:paraId="04B57E31" w14:textId="41B6D1E0" w:rsidR="00EF5605" w:rsidRDefault="00EF5605" w:rsidP="00B231D5">
      <w:pPr>
        <w:rPr>
          <w:rFonts w:cs="Arial"/>
          <w:sz w:val="22"/>
          <w:szCs w:val="22"/>
        </w:rPr>
      </w:pPr>
    </w:p>
    <w:p w14:paraId="0387686F" w14:textId="42863A05" w:rsidR="002E7DBE" w:rsidRPr="00B231D5" w:rsidRDefault="002E7DBE" w:rsidP="002E7DB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17991C86" w14:textId="77777777" w:rsidR="009D358F" w:rsidRDefault="009D358F" w:rsidP="00B231D5">
      <w:pPr>
        <w:rPr>
          <w:rFonts w:cs="Arial"/>
          <w:sz w:val="22"/>
          <w:szCs w:val="22"/>
        </w:rPr>
      </w:pPr>
    </w:p>
    <w:p w14:paraId="4C62A81A" w14:textId="77777777" w:rsidR="009D358F" w:rsidRDefault="009D358F" w:rsidP="00B231D5">
      <w:pPr>
        <w:rPr>
          <w:rFonts w:cs="Arial"/>
          <w:sz w:val="22"/>
          <w:szCs w:val="22"/>
        </w:rPr>
      </w:pPr>
    </w:p>
    <w:p w14:paraId="16131587" w14:textId="77777777" w:rsidR="009D358F" w:rsidRDefault="00B231D5" w:rsidP="00C471C3">
      <w:pPr>
        <w:pStyle w:val="Ttulo2"/>
      </w:pPr>
      <w:bookmarkStart w:id="681" w:name="_Toc140506365"/>
      <w:r w:rsidRPr="00B231D5">
        <w:t>SURTIGAS</w:t>
      </w:r>
      <w:bookmarkEnd w:id="681"/>
      <w:r w:rsidRPr="00B231D5">
        <w:tab/>
      </w:r>
    </w:p>
    <w:p w14:paraId="7396E3D1" w14:textId="77777777" w:rsidR="00C471C3" w:rsidRDefault="00C471C3" w:rsidP="00C471C3">
      <w:pPr>
        <w:pStyle w:val="Ttulo4"/>
      </w:pPr>
      <w:r w:rsidRPr="00B231D5">
        <w:t>SURTIGAS</w:t>
      </w:r>
      <w:r w:rsidRPr="00B231D5">
        <w:tab/>
      </w:r>
    </w:p>
    <w:p w14:paraId="4ACF0E3A" w14:textId="70844CD2" w:rsidR="00B231D5" w:rsidRPr="002E7DBE" w:rsidRDefault="00AD2EC0" w:rsidP="00B231D5">
      <w:pPr>
        <w:rPr>
          <w:rFonts w:cs="Arial"/>
          <w:i/>
          <w:iCs/>
          <w:sz w:val="22"/>
          <w:szCs w:val="22"/>
        </w:rPr>
      </w:pPr>
      <w:r>
        <w:rPr>
          <w:rFonts w:cs="Arial"/>
          <w:i/>
          <w:iCs/>
          <w:sz w:val="22"/>
          <w:szCs w:val="22"/>
        </w:rPr>
        <w:t>“</w:t>
      </w:r>
      <w:r w:rsidR="00B231D5" w:rsidRPr="002E7DBE">
        <w:rPr>
          <w:rFonts w:cs="Arial"/>
          <w:i/>
          <w:iCs/>
          <w:sz w:val="22"/>
          <w:szCs w:val="22"/>
        </w:rPr>
        <w:t xml:space="preserve">Aunque no se menciona en el documento soporte, en el artículo 13 del Proyecto de Resolución que trata de los </w:t>
      </w:r>
      <w:r>
        <w:rPr>
          <w:rFonts w:cs="Arial"/>
          <w:i/>
          <w:iCs/>
          <w:sz w:val="22"/>
          <w:szCs w:val="22"/>
        </w:rPr>
        <w:t>‘</w:t>
      </w:r>
      <w:r w:rsidR="00B231D5" w:rsidRPr="002E7DBE">
        <w:rPr>
          <w:rFonts w:cs="Arial"/>
          <w:i/>
          <w:iCs/>
          <w:sz w:val="22"/>
          <w:szCs w:val="22"/>
        </w:rPr>
        <w:t>Incumplimientos</w:t>
      </w:r>
      <w:r>
        <w:rPr>
          <w:rFonts w:cs="Arial"/>
          <w:i/>
          <w:iCs/>
          <w:sz w:val="22"/>
          <w:szCs w:val="22"/>
        </w:rPr>
        <w:t>’</w:t>
      </w:r>
      <w:r w:rsidR="00B231D5" w:rsidRPr="002E7DBE">
        <w:rPr>
          <w:rFonts w:cs="Arial"/>
          <w:i/>
          <w:iCs/>
          <w:sz w:val="22"/>
          <w:szCs w:val="22"/>
        </w:rPr>
        <w:t xml:space="preserve"> de los contratos de suministro, la CREG cuando establece que es incumplimiento del vendedor no entregar la cantidad de energía nominada, adiciona la expresión </w:t>
      </w:r>
      <w:r>
        <w:rPr>
          <w:rFonts w:cs="Arial"/>
          <w:i/>
          <w:iCs/>
          <w:sz w:val="22"/>
          <w:szCs w:val="22"/>
        </w:rPr>
        <w:t>‘</w:t>
      </w:r>
      <w:r w:rsidR="00B231D5" w:rsidRPr="002E7DBE">
        <w:rPr>
          <w:rFonts w:cs="Arial"/>
          <w:i/>
          <w:iCs/>
          <w:sz w:val="22"/>
          <w:szCs w:val="22"/>
        </w:rPr>
        <w:t>y confirmada</w:t>
      </w:r>
      <w:r>
        <w:rPr>
          <w:rFonts w:cs="Arial"/>
          <w:i/>
          <w:iCs/>
          <w:sz w:val="22"/>
          <w:szCs w:val="22"/>
        </w:rPr>
        <w:t>’</w:t>
      </w:r>
      <w:r w:rsidR="00B231D5" w:rsidRPr="002E7DBE">
        <w:rPr>
          <w:rFonts w:cs="Arial"/>
          <w:i/>
          <w:iCs/>
          <w:sz w:val="22"/>
          <w:szCs w:val="22"/>
        </w:rPr>
        <w:t xml:space="preserve">. Debe aclararse que la </w:t>
      </w:r>
      <w:r>
        <w:rPr>
          <w:rFonts w:cs="Arial"/>
          <w:i/>
          <w:iCs/>
          <w:sz w:val="22"/>
          <w:szCs w:val="22"/>
        </w:rPr>
        <w:t>‘</w:t>
      </w:r>
      <w:r w:rsidR="00B231D5" w:rsidRPr="002E7DBE">
        <w:rPr>
          <w:rFonts w:cs="Arial"/>
          <w:i/>
          <w:iCs/>
          <w:sz w:val="22"/>
          <w:szCs w:val="22"/>
        </w:rPr>
        <w:t>no confirmación</w:t>
      </w:r>
      <w:r>
        <w:rPr>
          <w:rFonts w:cs="Arial"/>
          <w:i/>
          <w:iCs/>
          <w:sz w:val="22"/>
          <w:szCs w:val="22"/>
        </w:rPr>
        <w:t>’</w:t>
      </w:r>
      <w:r w:rsidR="00B231D5" w:rsidRPr="002E7DBE">
        <w:rPr>
          <w:rFonts w:cs="Arial"/>
          <w:i/>
          <w:iCs/>
          <w:sz w:val="22"/>
          <w:szCs w:val="22"/>
        </w:rPr>
        <w:t xml:space="preserve"> por parte del productor-comercializador solo estará justificada ante eventos de fuerza mayor, o eventos eximentes.</w:t>
      </w:r>
      <w:r>
        <w:rPr>
          <w:rFonts w:cs="Arial"/>
          <w:i/>
          <w:iCs/>
          <w:sz w:val="22"/>
          <w:szCs w:val="22"/>
        </w:rPr>
        <w:t>”</w:t>
      </w:r>
    </w:p>
    <w:p w14:paraId="56192C86" w14:textId="1ECDFB15" w:rsidR="002E7DBE" w:rsidRDefault="002E7DBE" w:rsidP="00B231D5">
      <w:pPr>
        <w:rPr>
          <w:rFonts w:cs="Arial"/>
          <w:sz w:val="22"/>
          <w:szCs w:val="22"/>
        </w:rPr>
      </w:pPr>
    </w:p>
    <w:p w14:paraId="5F260568" w14:textId="2010B266" w:rsidR="002E7DBE" w:rsidRPr="002E7DBE" w:rsidRDefault="002E7DBE" w:rsidP="00B231D5">
      <w:pPr>
        <w:rPr>
          <w:rFonts w:cs="Arial"/>
          <w:b/>
          <w:bCs/>
          <w:sz w:val="22"/>
          <w:szCs w:val="22"/>
        </w:rPr>
      </w:pPr>
      <w:r w:rsidRPr="002E7DBE">
        <w:rPr>
          <w:rFonts w:cs="Arial"/>
          <w:b/>
          <w:bCs/>
          <w:sz w:val="22"/>
          <w:szCs w:val="22"/>
        </w:rPr>
        <w:t>Respuesta:</w:t>
      </w:r>
    </w:p>
    <w:p w14:paraId="3B98B777" w14:textId="6CC32F59" w:rsidR="002E7DBE" w:rsidRDefault="002E7DBE" w:rsidP="00B231D5">
      <w:pPr>
        <w:rPr>
          <w:rFonts w:cs="Arial"/>
          <w:sz w:val="22"/>
          <w:szCs w:val="22"/>
        </w:rPr>
      </w:pPr>
    </w:p>
    <w:p w14:paraId="6517BF0A" w14:textId="108BC07B" w:rsidR="002E7DBE" w:rsidRPr="00B231D5" w:rsidRDefault="002E7DBE" w:rsidP="002E7DB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71D05D00" w14:textId="77777777" w:rsidR="009D358F" w:rsidRDefault="009D358F" w:rsidP="00B231D5">
      <w:pPr>
        <w:rPr>
          <w:rFonts w:cs="Arial"/>
          <w:sz w:val="22"/>
          <w:szCs w:val="22"/>
        </w:rPr>
      </w:pPr>
    </w:p>
    <w:p w14:paraId="6F7D33BE" w14:textId="77777777" w:rsidR="009D358F" w:rsidRDefault="009D358F" w:rsidP="00B231D5">
      <w:pPr>
        <w:rPr>
          <w:rFonts w:cs="Arial"/>
          <w:sz w:val="22"/>
          <w:szCs w:val="22"/>
        </w:rPr>
      </w:pPr>
    </w:p>
    <w:p w14:paraId="21845745" w14:textId="77777777" w:rsidR="009D358F" w:rsidRDefault="00B231D5" w:rsidP="00C471C3">
      <w:pPr>
        <w:pStyle w:val="Ttulo2"/>
      </w:pPr>
      <w:bookmarkStart w:id="682" w:name="_Toc140506366"/>
      <w:r w:rsidRPr="00B231D5">
        <w:t>TEBSA</w:t>
      </w:r>
      <w:bookmarkEnd w:id="682"/>
      <w:r w:rsidRPr="00B231D5">
        <w:tab/>
      </w:r>
    </w:p>
    <w:p w14:paraId="4D3FC55A" w14:textId="77777777" w:rsidR="00C471C3" w:rsidRDefault="00C471C3" w:rsidP="00C471C3">
      <w:pPr>
        <w:pStyle w:val="Ttulo4"/>
      </w:pPr>
      <w:r w:rsidRPr="00B231D5">
        <w:t>TEBSA</w:t>
      </w:r>
      <w:r w:rsidRPr="00B231D5">
        <w:tab/>
      </w:r>
    </w:p>
    <w:p w14:paraId="046197D9" w14:textId="777C1913" w:rsidR="00B231D5" w:rsidRPr="002E7DBE" w:rsidRDefault="00AD2EC0" w:rsidP="00B231D5">
      <w:pPr>
        <w:rPr>
          <w:rFonts w:cs="Arial"/>
          <w:i/>
          <w:iCs/>
          <w:sz w:val="22"/>
          <w:szCs w:val="22"/>
        </w:rPr>
      </w:pPr>
      <w:r>
        <w:rPr>
          <w:rFonts w:cs="Arial"/>
          <w:i/>
          <w:iCs/>
          <w:sz w:val="22"/>
          <w:szCs w:val="22"/>
        </w:rPr>
        <w:t>“</w:t>
      </w:r>
      <w:r w:rsidR="00B231D5" w:rsidRPr="002E7DBE">
        <w:rPr>
          <w:rFonts w:cs="Arial"/>
          <w:i/>
          <w:iCs/>
          <w:sz w:val="22"/>
          <w:szCs w:val="22"/>
        </w:rPr>
        <w:t xml:space="preserve">En el numeral 1. y 2. se menciona de la energía nominada y confirmada, pero no se hace </w:t>
      </w:r>
      <w:r w:rsidR="009534DE">
        <w:rPr>
          <w:rFonts w:cs="Arial"/>
          <w:i/>
          <w:iCs/>
          <w:sz w:val="22"/>
          <w:szCs w:val="22"/>
        </w:rPr>
        <w:t>é</w:t>
      </w:r>
      <w:r w:rsidR="00B231D5" w:rsidRPr="002E7DBE">
        <w:rPr>
          <w:rFonts w:cs="Arial"/>
          <w:i/>
          <w:iCs/>
          <w:sz w:val="22"/>
          <w:szCs w:val="22"/>
        </w:rPr>
        <w:t xml:space="preserve">nfasis en las </w:t>
      </w:r>
      <w:proofErr w:type="spellStart"/>
      <w:r w:rsidR="00B231D5" w:rsidRPr="002E7DBE">
        <w:rPr>
          <w:rFonts w:cs="Arial"/>
          <w:i/>
          <w:iCs/>
          <w:sz w:val="22"/>
          <w:szCs w:val="22"/>
        </w:rPr>
        <w:t>renominaciones</w:t>
      </w:r>
      <w:proofErr w:type="spellEnd"/>
      <w:r w:rsidR="00B231D5" w:rsidRPr="002E7DBE">
        <w:rPr>
          <w:rFonts w:cs="Arial"/>
          <w:i/>
          <w:iCs/>
          <w:sz w:val="22"/>
          <w:szCs w:val="22"/>
        </w:rPr>
        <w:t>, que sucede cuando estas no superan la cantidad contratada en firme?</w:t>
      </w:r>
      <w:r>
        <w:rPr>
          <w:rFonts w:cs="Arial"/>
          <w:i/>
          <w:iCs/>
          <w:sz w:val="22"/>
          <w:szCs w:val="22"/>
        </w:rPr>
        <w:t>”</w:t>
      </w:r>
    </w:p>
    <w:p w14:paraId="038811B4" w14:textId="161BCD95" w:rsidR="002E7DBE" w:rsidRDefault="002E7DBE" w:rsidP="00B231D5">
      <w:pPr>
        <w:rPr>
          <w:rFonts w:cs="Arial"/>
          <w:sz w:val="22"/>
          <w:szCs w:val="22"/>
        </w:rPr>
      </w:pPr>
    </w:p>
    <w:p w14:paraId="43AA8088" w14:textId="1789A970" w:rsidR="002E7DBE" w:rsidRPr="002E7DBE" w:rsidRDefault="002E7DBE" w:rsidP="00B231D5">
      <w:pPr>
        <w:rPr>
          <w:rFonts w:cs="Arial"/>
          <w:b/>
          <w:bCs/>
          <w:sz w:val="22"/>
          <w:szCs w:val="22"/>
        </w:rPr>
      </w:pPr>
      <w:r w:rsidRPr="002E7DBE">
        <w:rPr>
          <w:rFonts w:cs="Arial"/>
          <w:b/>
          <w:bCs/>
          <w:sz w:val="22"/>
          <w:szCs w:val="22"/>
        </w:rPr>
        <w:t>Respuesta:</w:t>
      </w:r>
    </w:p>
    <w:p w14:paraId="1735F672" w14:textId="0C3C3534" w:rsidR="002E7DBE" w:rsidRDefault="002E7DBE" w:rsidP="00B231D5">
      <w:pPr>
        <w:rPr>
          <w:rFonts w:cs="Arial"/>
          <w:sz w:val="22"/>
          <w:szCs w:val="22"/>
        </w:rPr>
      </w:pPr>
    </w:p>
    <w:p w14:paraId="3DAA9103" w14:textId="7D3EA3B4" w:rsidR="009534DE" w:rsidRPr="00B231D5" w:rsidRDefault="009534DE" w:rsidP="009534D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510D7E65" w14:textId="77777777" w:rsidR="009D358F" w:rsidRDefault="009D358F" w:rsidP="00B231D5">
      <w:pPr>
        <w:rPr>
          <w:rFonts w:cs="Arial"/>
          <w:sz w:val="22"/>
          <w:szCs w:val="22"/>
        </w:rPr>
      </w:pPr>
    </w:p>
    <w:p w14:paraId="365A7833" w14:textId="77777777" w:rsidR="009D358F" w:rsidRDefault="009D358F" w:rsidP="00B231D5">
      <w:pPr>
        <w:rPr>
          <w:rFonts w:cs="Arial"/>
          <w:sz w:val="22"/>
          <w:szCs w:val="22"/>
        </w:rPr>
      </w:pPr>
    </w:p>
    <w:p w14:paraId="7D2E56D1" w14:textId="77777777" w:rsidR="009D358F" w:rsidRDefault="00B231D5" w:rsidP="00C471C3">
      <w:pPr>
        <w:pStyle w:val="Ttulo2"/>
      </w:pPr>
      <w:bookmarkStart w:id="683" w:name="_Toc140506367"/>
      <w:r w:rsidRPr="00B231D5">
        <w:t>TERPEL</w:t>
      </w:r>
      <w:bookmarkEnd w:id="683"/>
      <w:r w:rsidRPr="00B231D5">
        <w:tab/>
      </w:r>
    </w:p>
    <w:p w14:paraId="236B2718" w14:textId="77777777" w:rsidR="00C471C3" w:rsidRDefault="00B231D5" w:rsidP="00C471C3">
      <w:pPr>
        <w:pStyle w:val="Ttulo4"/>
      </w:pPr>
      <w:r w:rsidRPr="00B231D5">
        <w:t>TERPEL</w:t>
      </w:r>
      <w:r w:rsidRPr="00B231D5">
        <w:tab/>
      </w:r>
    </w:p>
    <w:p w14:paraId="147C7CFC" w14:textId="4883C097" w:rsidR="00D26961" w:rsidRPr="009534DE" w:rsidRDefault="00AD2EC0" w:rsidP="00B231D5">
      <w:pPr>
        <w:rPr>
          <w:rFonts w:cs="Arial"/>
          <w:b/>
          <w:bCs/>
          <w:i/>
          <w:iCs/>
          <w:sz w:val="22"/>
          <w:szCs w:val="22"/>
        </w:rPr>
      </w:pPr>
      <w:r>
        <w:rPr>
          <w:rFonts w:cs="Arial"/>
          <w:i/>
          <w:iCs/>
          <w:sz w:val="22"/>
          <w:szCs w:val="22"/>
        </w:rPr>
        <w:t>“</w:t>
      </w:r>
      <w:r w:rsidR="00B231D5" w:rsidRPr="009534DE">
        <w:rPr>
          <w:rFonts w:cs="Arial"/>
          <w:i/>
          <w:iCs/>
          <w:sz w:val="22"/>
          <w:szCs w:val="22"/>
        </w:rPr>
        <w:t xml:space="preserve">No debería requerirse confirmación para que sea incumplimiento.  Si el vendedor no entrega lo nominado, ya debería ser considerado un incumplimiento. Por lo tanto, sugerimos eliminar la palabra </w:t>
      </w:r>
      <w:r>
        <w:rPr>
          <w:rFonts w:cs="Arial"/>
          <w:i/>
          <w:iCs/>
          <w:sz w:val="22"/>
          <w:szCs w:val="22"/>
        </w:rPr>
        <w:t>‘</w:t>
      </w:r>
      <w:r w:rsidR="00B231D5" w:rsidRPr="009534DE">
        <w:rPr>
          <w:rFonts w:cs="Arial"/>
          <w:i/>
          <w:iCs/>
          <w:sz w:val="22"/>
          <w:szCs w:val="22"/>
        </w:rPr>
        <w:t>confirmada</w:t>
      </w:r>
      <w:r>
        <w:rPr>
          <w:rFonts w:cs="Arial"/>
          <w:i/>
          <w:iCs/>
          <w:sz w:val="22"/>
          <w:szCs w:val="22"/>
        </w:rPr>
        <w:t>’</w:t>
      </w:r>
      <w:r w:rsidR="00B231D5" w:rsidRPr="009534DE">
        <w:rPr>
          <w:rFonts w:cs="Arial"/>
          <w:i/>
          <w:iCs/>
          <w:sz w:val="22"/>
          <w:szCs w:val="22"/>
        </w:rPr>
        <w:t xml:space="preserve"> del texto</w:t>
      </w:r>
      <w:r w:rsidR="00B231D5" w:rsidRPr="009534DE">
        <w:rPr>
          <w:rFonts w:cs="Arial"/>
          <w:b/>
          <w:bCs/>
          <w:i/>
          <w:iCs/>
          <w:sz w:val="22"/>
          <w:szCs w:val="22"/>
        </w:rPr>
        <w:t>.</w:t>
      </w:r>
      <w:r>
        <w:rPr>
          <w:rFonts w:cs="Arial"/>
          <w:b/>
          <w:bCs/>
          <w:i/>
          <w:iCs/>
          <w:sz w:val="22"/>
          <w:szCs w:val="22"/>
        </w:rPr>
        <w:t>”</w:t>
      </w:r>
    </w:p>
    <w:p w14:paraId="29D76DD2" w14:textId="489CD074" w:rsidR="009534DE" w:rsidRDefault="009534DE" w:rsidP="00B231D5">
      <w:pPr>
        <w:rPr>
          <w:rFonts w:cs="Arial"/>
          <w:b/>
          <w:bCs/>
          <w:sz w:val="22"/>
          <w:szCs w:val="22"/>
        </w:rPr>
      </w:pPr>
    </w:p>
    <w:p w14:paraId="42F5D0B3" w14:textId="3F72029E" w:rsidR="009534DE" w:rsidRDefault="009534DE" w:rsidP="00B231D5">
      <w:pPr>
        <w:rPr>
          <w:rFonts w:cs="Arial"/>
          <w:b/>
          <w:bCs/>
          <w:sz w:val="22"/>
          <w:szCs w:val="22"/>
        </w:rPr>
      </w:pPr>
      <w:r>
        <w:rPr>
          <w:rFonts w:cs="Arial"/>
          <w:b/>
          <w:bCs/>
          <w:sz w:val="22"/>
          <w:szCs w:val="22"/>
        </w:rPr>
        <w:t>Respuesta:</w:t>
      </w:r>
    </w:p>
    <w:p w14:paraId="13DB34E1" w14:textId="5B88482B" w:rsidR="009534DE" w:rsidRDefault="009534DE" w:rsidP="00B231D5">
      <w:pPr>
        <w:rPr>
          <w:rFonts w:cs="Arial"/>
          <w:b/>
          <w:bCs/>
          <w:sz w:val="22"/>
          <w:szCs w:val="22"/>
        </w:rPr>
      </w:pPr>
    </w:p>
    <w:p w14:paraId="46094C9D" w14:textId="187D5078" w:rsidR="009534DE" w:rsidRPr="00B231D5" w:rsidRDefault="009534DE" w:rsidP="009534D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_Ref130533899 \r \h </w:instrText>
      </w:r>
      <w:r>
        <w:rPr>
          <w:rFonts w:cs="Arial"/>
          <w:sz w:val="22"/>
          <w:szCs w:val="22"/>
        </w:rPr>
      </w:r>
      <w:r>
        <w:rPr>
          <w:rFonts w:cs="Arial"/>
          <w:sz w:val="22"/>
          <w:szCs w:val="22"/>
        </w:rPr>
        <w:fldChar w:fldCharType="separate"/>
      </w:r>
      <w:r w:rsidR="007651EA">
        <w:rPr>
          <w:rFonts w:cs="Arial"/>
          <w:sz w:val="22"/>
          <w:szCs w:val="22"/>
        </w:rPr>
        <w:t>4.7.1.4</w:t>
      </w:r>
      <w:r>
        <w:rPr>
          <w:rFonts w:cs="Arial"/>
          <w:sz w:val="22"/>
          <w:szCs w:val="22"/>
        </w:rPr>
        <w:fldChar w:fldCharType="end"/>
      </w:r>
      <w:r>
        <w:rPr>
          <w:rFonts w:cs="Arial"/>
          <w:sz w:val="22"/>
          <w:szCs w:val="22"/>
        </w:rPr>
        <w:t>.</w:t>
      </w:r>
    </w:p>
    <w:p w14:paraId="66AD8ADD" w14:textId="77777777" w:rsidR="00175BC2" w:rsidRDefault="00175BC2" w:rsidP="00371CB5">
      <w:pPr>
        <w:rPr>
          <w:rFonts w:cs="Arial"/>
          <w:b/>
          <w:bCs/>
          <w:sz w:val="22"/>
          <w:szCs w:val="22"/>
        </w:rPr>
      </w:pPr>
    </w:p>
    <w:p w14:paraId="21150586" w14:textId="3E819D0D" w:rsidR="00D26961" w:rsidRDefault="00D26961" w:rsidP="00371CB5">
      <w:pPr>
        <w:rPr>
          <w:rFonts w:cs="Arial"/>
          <w:b/>
          <w:bCs/>
          <w:sz w:val="22"/>
          <w:szCs w:val="22"/>
        </w:rPr>
      </w:pPr>
    </w:p>
    <w:p w14:paraId="0ACDD799" w14:textId="165176A7" w:rsidR="00D26961" w:rsidRDefault="00D26961" w:rsidP="00D26961">
      <w:pPr>
        <w:pStyle w:val="Ttulo1"/>
        <w:numPr>
          <w:ilvl w:val="0"/>
          <w:numId w:val="1"/>
        </w:numPr>
        <w:rPr>
          <w:caps/>
        </w:rPr>
      </w:pPr>
      <w:bookmarkStart w:id="684" w:name="_Toc140506368"/>
      <w:r>
        <w:t xml:space="preserve">ARTÍCULO </w:t>
      </w:r>
      <w:r w:rsidR="00EF1C07">
        <w:t>14</w:t>
      </w:r>
      <w:r>
        <w:t xml:space="preserve">. </w:t>
      </w:r>
      <w:r w:rsidR="0070732E" w:rsidRPr="0070732E">
        <w:rPr>
          <w:caps/>
        </w:rPr>
        <w:t>Compensaciones</w:t>
      </w:r>
      <w:bookmarkEnd w:id="684"/>
    </w:p>
    <w:p w14:paraId="5FEFD05F" w14:textId="77777777" w:rsidR="0031358E" w:rsidRDefault="0031358E" w:rsidP="0031358E">
      <w:pPr>
        <w:pStyle w:val="Ttulo2"/>
      </w:pPr>
      <w:bookmarkStart w:id="685" w:name="_Toc140506369"/>
      <w:r w:rsidRPr="0031358E">
        <w:t>ACP</w:t>
      </w:r>
      <w:bookmarkEnd w:id="685"/>
      <w:r w:rsidRPr="0031358E">
        <w:tab/>
      </w:r>
    </w:p>
    <w:p w14:paraId="4825806E" w14:textId="77777777" w:rsidR="0031358E" w:rsidRDefault="0031358E" w:rsidP="0031358E">
      <w:pPr>
        <w:pStyle w:val="Ttulo4"/>
      </w:pPr>
      <w:r w:rsidRPr="0031358E">
        <w:t>ACP</w:t>
      </w:r>
      <w:r w:rsidRPr="0031358E">
        <w:tab/>
      </w:r>
    </w:p>
    <w:p w14:paraId="3246655B" w14:textId="31AB9591" w:rsidR="0031358E" w:rsidRPr="009534DE" w:rsidRDefault="00AD2EC0" w:rsidP="0031358E">
      <w:pPr>
        <w:rPr>
          <w:rFonts w:cs="Arial"/>
          <w:i/>
          <w:iCs/>
          <w:sz w:val="22"/>
          <w:szCs w:val="22"/>
        </w:rPr>
      </w:pPr>
      <w:r>
        <w:rPr>
          <w:rFonts w:cs="Arial"/>
          <w:i/>
          <w:iCs/>
          <w:sz w:val="22"/>
          <w:szCs w:val="22"/>
        </w:rPr>
        <w:t>“</w:t>
      </w:r>
      <w:r w:rsidR="0031358E" w:rsidRPr="009534DE">
        <w:rPr>
          <w:rFonts w:cs="Arial"/>
          <w:i/>
          <w:iCs/>
          <w:sz w:val="22"/>
          <w:szCs w:val="22"/>
        </w:rPr>
        <w:t xml:space="preserve">En el texto dice </w:t>
      </w:r>
      <w:r>
        <w:rPr>
          <w:rFonts w:cs="Arial"/>
          <w:i/>
          <w:iCs/>
          <w:sz w:val="22"/>
          <w:szCs w:val="22"/>
        </w:rPr>
        <w:t>‘</w:t>
      </w:r>
      <w:r w:rsidR="0031358E" w:rsidRPr="009534DE">
        <w:rPr>
          <w:rFonts w:cs="Arial"/>
          <w:i/>
          <w:iCs/>
          <w:sz w:val="22"/>
          <w:szCs w:val="22"/>
        </w:rPr>
        <w:t>articulo 1313</w:t>
      </w:r>
      <w:r>
        <w:rPr>
          <w:rFonts w:cs="Arial"/>
          <w:i/>
          <w:iCs/>
          <w:sz w:val="22"/>
          <w:szCs w:val="22"/>
        </w:rPr>
        <w:t>’</w:t>
      </w:r>
      <w:r w:rsidR="0031358E" w:rsidRPr="009534DE">
        <w:rPr>
          <w:rFonts w:cs="Arial"/>
          <w:i/>
          <w:iCs/>
          <w:sz w:val="22"/>
          <w:szCs w:val="22"/>
        </w:rPr>
        <w:t xml:space="preserve"> pero no existe en esta resolución.</w:t>
      </w:r>
      <w:r>
        <w:rPr>
          <w:rFonts w:cs="Arial"/>
          <w:i/>
          <w:iCs/>
          <w:sz w:val="22"/>
          <w:szCs w:val="22"/>
        </w:rPr>
        <w:t>”</w:t>
      </w:r>
    </w:p>
    <w:p w14:paraId="65D46A34" w14:textId="20FB47B3" w:rsidR="009534DE" w:rsidRDefault="009534DE" w:rsidP="0031358E">
      <w:pPr>
        <w:rPr>
          <w:rFonts w:cs="Arial"/>
          <w:sz w:val="22"/>
          <w:szCs w:val="22"/>
        </w:rPr>
      </w:pPr>
    </w:p>
    <w:p w14:paraId="62FA6CB3" w14:textId="7C7C2C29" w:rsidR="009534DE" w:rsidRPr="009534DE" w:rsidRDefault="009534DE" w:rsidP="0031358E">
      <w:pPr>
        <w:rPr>
          <w:rFonts w:cs="Arial"/>
          <w:b/>
          <w:bCs/>
          <w:sz w:val="22"/>
          <w:szCs w:val="22"/>
        </w:rPr>
      </w:pPr>
      <w:r w:rsidRPr="009534DE">
        <w:rPr>
          <w:rFonts w:cs="Arial"/>
          <w:b/>
          <w:bCs/>
          <w:sz w:val="22"/>
          <w:szCs w:val="22"/>
        </w:rPr>
        <w:t>Respuesta:</w:t>
      </w:r>
    </w:p>
    <w:p w14:paraId="42B71CD3" w14:textId="05D9B547" w:rsidR="009534DE" w:rsidRDefault="009534DE" w:rsidP="0031358E">
      <w:pPr>
        <w:rPr>
          <w:rFonts w:cs="Arial"/>
          <w:sz w:val="22"/>
          <w:szCs w:val="22"/>
        </w:rPr>
      </w:pPr>
    </w:p>
    <w:p w14:paraId="41C450B2" w14:textId="77777777" w:rsidR="009534DE" w:rsidRDefault="009534DE" w:rsidP="009534DE">
      <w:pPr>
        <w:rPr>
          <w:rFonts w:cs="Arial"/>
          <w:sz w:val="22"/>
          <w:szCs w:val="22"/>
        </w:rPr>
      </w:pPr>
      <w:r>
        <w:rPr>
          <w:rFonts w:cs="Arial"/>
          <w:sz w:val="22"/>
          <w:szCs w:val="22"/>
        </w:rPr>
        <w:t>Se acoge el comentario.</w:t>
      </w:r>
    </w:p>
    <w:p w14:paraId="23589B27" w14:textId="77777777" w:rsidR="009534DE" w:rsidRDefault="009534DE" w:rsidP="009534DE">
      <w:pPr>
        <w:rPr>
          <w:rFonts w:cs="Arial"/>
          <w:sz w:val="22"/>
          <w:szCs w:val="22"/>
        </w:rPr>
      </w:pPr>
    </w:p>
    <w:p w14:paraId="1944DC85" w14:textId="77777777" w:rsidR="009534DE" w:rsidRPr="001931C5" w:rsidRDefault="009534DE" w:rsidP="009534DE">
      <w:pPr>
        <w:rPr>
          <w:rFonts w:cs="Arial"/>
          <w:sz w:val="22"/>
          <w:szCs w:val="22"/>
        </w:rPr>
      </w:pPr>
      <w:r>
        <w:rPr>
          <w:rFonts w:cs="Arial"/>
          <w:sz w:val="22"/>
          <w:szCs w:val="22"/>
        </w:rPr>
        <w:t>En la nueva propuesta se corrige el error de redacción.</w:t>
      </w:r>
    </w:p>
    <w:p w14:paraId="0CC9F16F" w14:textId="77777777" w:rsidR="0031358E" w:rsidRDefault="0031358E" w:rsidP="0031358E">
      <w:pPr>
        <w:rPr>
          <w:rFonts w:cs="Arial"/>
          <w:sz w:val="22"/>
          <w:szCs w:val="22"/>
        </w:rPr>
      </w:pPr>
    </w:p>
    <w:p w14:paraId="41C9CEAD" w14:textId="77777777" w:rsidR="0031358E" w:rsidRDefault="0031358E" w:rsidP="0031358E">
      <w:pPr>
        <w:rPr>
          <w:rFonts w:cs="Arial"/>
          <w:sz w:val="22"/>
          <w:szCs w:val="22"/>
        </w:rPr>
      </w:pPr>
    </w:p>
    <w:p w14:paraId="110FD344" w14:textId="77777777" w:rsidR="0031358E" w:rsidRDefault="0031358E" w:rsidP="0031358E">
      <w:pPr>
        <w:pStyle w:val="Ttulo2"/>
      </w:pPr>
      <w:bookmarkStart w:id="686" w:name="_Toc140506370"/>
      <w:r w:rsidRPr="0031358E">
        <w:t>ECOPETROL</w:t>
      </w:r>
      <w:bookmarkEnd w:id="686"/>
      <w:r w:rsidRPr="0031358E">
        <w:tab/>
      </w:r>
    </w:p>
    <w:p w14:paraId="39ED12DF" w14:textId="77777777" w:rsidR="0031358E" w:rsidRDefault="0031358E" w:rsidP="0031358E">
      <w:pPr>
        <w:pStyle w:val="Ttulo4"/>
      </w:pPr>
      <w:bookmarkStart w:id="687" w:name="_Ref130804828"/>
      <w:r w:rsidRPr="0031358E">
        <w:t>ECOPETROL</w:t>
      </w:r>
      <w:bookmarkEnd w:id="687"/>
      <w:r w:rsidRPr="0031358E">
        <w:tab/>
      </w:r>
    </w:p>
    <w:p w14:paraId="51AB274E" w14:textId="760AA2AE" w:rsidR="0031358E" w:rsidRPr="009534DE" w:rsidRDefault="0031358E" w:rsidP="0031358E">
      <w:pPr>
        <w:rPr>
          <w:rFonts w:cs="Arial"/>
          <w:i/>
          <w:iCs/>
          <w:sz w:val="22"/>
          <w:szCs w:val="22"/>
        </w:rPr>
      </w:pPr>
      <w:r w:rsidRPr="0031358E">
        <w:rPr>
          <w:rFonts w:cs="Arial"/>
          <w:sz w:val="22"/>
          <w:szCs w:val="22"/>
        </w:rPr>
        <w:t>"</w:t>
      </w:r>
      <w:r w:rsidRPr="009534DE">
        <w:rPr>
          <w:rFonts w:cs="Arial"/>
          <w:i/>
          <w:iCs/>
          <w:sz w:val="22"/>
          <w:szCs w:val="22"/>
        </w:rPr>
        <w:t xml:space="preserve">En el literal a) del artículo 14 del proyecto de resolución se plantea que el vendedor deberá reconocer y pagar compensaciones al comprador si incumple sus obligaciones. En este sentido, y para efectos de determinar el valor de las compensaciones, se estipulan dos escenarios: i) cuando el incumplimiento de las obligaciones no conlleve la interrupción del servicio a usuarios regulados, caso en el cual la compensación aplicable se define en el numeral 1 del anexo 2; y </w:t>
      </w:r>
      <w:proofErr w:type="spellStart"/>
      <w:r w:rsidRPr="009534DE">
        <w:rPr>
          <w:rFonts w:cs="Arial"/>
          <w:i/>
          <w:iCs/>
          <w:sz w:val="22"/>
          <w:szCs w:val="22"/>
        </w:rPr>
        <w:t>ii</w:t>
      </w:r>
      <w:proofErr w:type="spellEnd"/>
      <w:r w:rsidRPr="009534DE">
        <w:rPr>
          <w:rFonts w:cs="Arial"/>
          <w:i/>
          <w:iCs/>
          <w:sz w:val="22"/>
          <w:szCs w:val="22"/>
        </w:rPr>
        <w:t>) cuando el incumplimiento de las obligaciones conlleva la interrupción del servicio a usuarios regulados, caso en el cual la compensación aplicable se define en el numeral 2 del anexo 2.</w:t>
      </w:r>
    </w:p>
    <w:p w14:paraId="2E0FAD9C" w14:textId="77777777" w:rsidR="0031358E" w:rsidRPr="009534DE" w:rsidRDefault="0031358E" w:rsidP="0031358E">
      <w:pPr>
        <w:rPr>
          <w:rFonts w:cs="Arial"/>
          <w:i/>
          <w:iCs/>
          <w:sz w:val="22"/>
          <w:szCs w:val="22"/>
        </w:rPr>
      </w:pPr>
    </w:p>
    <w:p w14:paraId="2A83FE15" w14:textId="77777777" w:rsidR="0031358E" w:rsidRPr="009534DE" w:rsidRDefault="0031358E" w:rsidP="0031358E">
      <w:pPr>
        <w:rPr>
          <w:rFonts w:cs="Arial"/>
          <w:i/>
          <w:iCs/>
          <w:sz w:val="22"/>
          <w:szCs w:val="22"/>
        </w:rPr>
      </w:pPr>
      <w:r w:rsidRPr="009534DE">
        <w:rPr>
          <w:rFonts w:cs="Arial"/>
          <w:i/>
          <w:iCs/>
          <w:sz w:val="22"/>
          <w:szCs w:val="22"/>
        </w:rPr>
        <w:t>Sin embargo, en los escenarios que se desarrollan en los numerales 1 y 2 del anexo 2 no solo se hace referencia a la interrupción del servicio a la demanda regulada, sino que se hace extensión a toda la demanda esencial.</w:t>
      </w:r>
    </w:p>
    <w:p w14:paraId="24B73F40" w14:textId="77777777" w:rsidR="0031358E" w:rsidRPr="009534DE" w:rsidRDefault="0031358E" w:rsidP="0031358E">
      <w:pPr>
        <w:rPr>
          <w:rFonts w:cs="Arial"/>
          <w:i/>
          <w:iCs/>
          <w:sz w:val="22"/>
          <w:szCs w:val="22"/>
        </w:rPr>
      </w:pPr>
    </w:p>
    <w:p w14:paraId="25024900" w14:textId="77777777" w:rsidR="0031358E" w:rsidRPr="009534DE" w:rsidRDefault="0031358E" w:rsidP="0031358E">
      <w:pPr>
        <w:rPr>
          <w:rFonts w:cs="Arial"/>
          <w:i/>
          <w:iCs/>
          <w:sz w:val="22"/>
          <w:szCs w:val="22"/>
        </w:rPr>
      </w:pPr>
      <w:r w:rsidRPr="009534DE">
        <w:rPr>
          <w:rFonts w:cs="Arial"/>
          <w:i/>
          <w:iCs/>
          <w:sz w:val="22"/>
          <w:szCs w:val="22"/>
        </w:rPr>
        <w:t>Consideramos que tal extensión no es apropiada, pues entendemos que la diferencia entre los dos escenarios radica en que la interrupción del servicio a la demanda regulada implica el pago de las compensaciones establecidas en la Resolución CREG 100 de 2003. En nuestro concepto, no hay lugar para que el comprador reciba del vendedor una compensación que este no está obligado a trasladar a la demanda que representa en el mercado.</w:t>
      </w:r>
    </w:p>
    <w:p w14:paraId="63B75B2A" w14:textId="77777777" w:rsidR="0031358E" w:rsidRPr="009534DE" w:rsidRDefault="0031358E" w:rsidP="0031358E">
      <w:pPr>
        <w:rPr>
          <w:rFonts w:cs="Arial"/>
          <w:i/>
          <w:iCs/>
          <w:sz w:val="22"/>
          <w:szCs w:val="22"/>
        </w:rPr>
      </w:pPr>
    </w:p>
    <w:p w14:paraId="0C31561E" w14:textId="52F858A5" w:rsidR="0031358E" w:rsidRDefault="0031358E" w:rsidP="0031358E">
      <w:pPr>
        <w:rPr>
          <w:rFonts w:cs="Arial"/>
          <w:i/>
          <w:iCs/>
          <w:sz w:val="22"/>
          <w:szCs w:val="22"/>
        </w:rPr>
      </w:pPr>
      <w:r w:rsidRPr="009534DE">
        <w:rPr>
          <w:rFonts w:cs="Arial"/>
          <w:i/>
          <w:iCs/>
          <w:sz w:val="22"/>
          <w:szCs w:val="22"/>
        </w:rPr>
        <w:t>Extender esta medida a toda la demanda esencial implica concebir que toda esta demanda se enfrenta a la misma situación, lo cual no es preciso; ejemplo de esto es el caso del GNV, que en muchos casos tiene como sustituto la gasolina o el diésel. También puede implicar el encarecimiento del gas natural suministrado a la demanda esencial diferente a la demanda regulada, pues los vendedores observarían un mayor riesgo al atenderlos. En tal sentido, sugerimos eliminar la referencia a la demanda esencial de los numerales 1 y 2 del anexo 2.</w:t>
      </w:r>
    </w:p>
    <w:p w14:paraId="1C6D97EC" w14:textId="3369F461" w:rsidR="005A5A5B" w:rsidRDefault="005A5A5B" w:rsidP="0031358E">
      <w:pPr>
        <w:rPr>
          <w:rFonts w:cs="Arial"/>
          <w:i/>
          <w:iCs/>
          <w:sz w:val="22"/>
          <w:szCs w:val="22"/>
        </w:rPr>
      </w:pPr>
    </w:p>
    <w:p w14:paraId="25A7F75B" w14:textId="77777777" w:rsidR="005A5A5B" w:rsidRDefault="005A5A5B" w:rsidP="005A5A5B">
      <w:pPr>
        <w:rPr>
          <w:rFonts w:cs="Arial"/>
          <w:b/>
          <w:bCs/>
          <w:sz w:val="22"/>
          <w:szCs w:val="22"/>
        </w:rPr>
      </w:pPr>
      <w:r w:rsidRPr="009534DE">
        <w:rPr>
          <w:rFonts w:cs="Arial"/>
          <w:b/>
          <w:bCs/>
          <w:sz w:val="22"/>
          <w:szCs w:val="22"/>
        </w:rPr>
        <w:t>Respuesta:</w:t>
      </w:r>
    </w:p>
    <w:p w14:paraId="37C92EC2" w14:textId="77777777" w:rsidR="005A5A5B" w:rsidRDefault="005A5A5B" w:rsidP="005A5A5B">
      <w:pPr>
        <w:rPr>
          <w:rFonts w:cs="Arial"/>
          <w:b/>
          <w:bCs/>
          <w:sz w:val="22"/>
          <w:szCs w:val="22"/>
        </w:rPr>
      </w:pPr>
    </w:p>
    <w:p w14:paraId="3C13AB02" w14:textId="77777777" w:rsidR="005A5A5B" w:rsidRPr="009534DE" w:rsidRDefault="005A5A5B" w:rsidP="005A5A5B">
      <w:pPr>
        <w:rPr>
          <w:rFonts w:cs="Arial"/>
          <w:sz w:val="22"/>
          <w:szCs w:val="22"/>
        </w:rPr>
      </w:pPr>
      <w:r w:rsidRPr="009534DE">
        <w:rPr>
          <w:rFonts w:cs="Arial"/>
          <w:sz w:val="22"/>
          <w:szCs w:val="22"/>
        </w:rPr>
        <w:t>Se acoge el comentario parcialmente.</w:t>
      </w:r>
    </w:p>
    <w:p w14:paraId="59944018" w14:textId="77777777" w:rsidR="005A5A5B" w:rsidRDefault="005A5A5B" w:rsidP="005A5A5B">
      <w:pPr>
        <w:rPr>
          <w:rFonts w:cs="Arial"/>
          <w:sz w:val="22"/>
          <w:szCs w:val="22"/>
        </w:rPr>
      </w:pPr>
    </w:p>
    <w:p w14:paraId="116A005D" w14:textId="107F758E" w:rsidR="005A5A5B" w:rsidRDefault="005A5A5B" w:rsidP="005A5A5B">
      <w:pPr>
        <w:rPr>
          <w:rFonts w:cs="Arial"/>
          <w:sz w:val="22"/>
          <w:szCs w:val="22"/>
        </w:rPr>
      </w:pPr>
      <w:r>
        <w:rPr>
          <w:rFonts w:cs="Arial"/>
          <w:sz w:val="22"/>
          <w:szCs w:val="22"/>
        </w:rPr>
        <w:t>En la nueva propuesta se mantiene lo establecido actualmente, en cuanto que solo se toma como referencia para el uso de las fórmulas del Anexo, si hay o no interrupción del servicio de los usuarios regulados por efecto del incumplimiento del suministro de gas natural por parte del vendedor y en cuanto al cálculo del valor cuando se presenta el incumplimiento a los usuarios regulados sin que se cobije al resto de la demanda esencial.</w:t>
      </w:r>
    </w:p>
    <w:p w14:paraId="582FBBFE" w14:textId="77777777" w:rsidR="005A5A5B" w:rsidRDefault="005A5A5B" w:rsidP="005A5A5B">
      <w:pPr>
        <w:rPr>
          <w:rFonts w:cs="Arial"/>
          <w:sz w:val="22"/>
          <w:szCs w:val="22"/>
        </w:rPr>
      </w:pPr>
    </w:p>
    <w:p w14:paraId="276BC6CA" w14:textId="3C1BC5C9" w:rsidR="005A5A5B" w:rsidRDefault="005A5A5B" w:rsidP="005A5A5B">
      <w:pPr>
        <w:rPr>
          <w:rFonts w:cs="Arial"/>
          <w:sz w:val="22"/>
          <w:szCs w:val="22"/>
        </w:rPr>
      </w:pPr>
      <w:r>
        <w:rPr>
          <w:rFonts w:cs="Arial"/>
          <w:sz w:val="22"/>
          <w:szCs w:val="22"/>
        </w:rPr>
        <w:t>Por otro lado, s</w:t>
      </w:r>
      <w:r w:rsidRPr="00C42EA1">
        <w:rPr>
          <w:rFonts w:cs="Arial"/>
          <w:sz w:val="22"/>
          <w:szCs w:val="22"/>
        </w:rPr>
        <w:t xml:space="preserve">iempre que haya un incumplimiento </w:t>
      </w:r>
      <w:r>
        <w:rPr>
          <w:rFonts w:cs="Arial"/>
          <w:sz w:val="22"/>
          <w:szCs w:val="22"/>
        </w:rPr>
        <w:t xml:space="preserve">del vendedor en un contrato de suministro, </w:t>
      </w:r>
      <w:r w:rsidRPr="00C42EA1">
        <w:rPr>
          <w:rFonts w:cs="Arial"/>
          <w:sz w:val="22"/>
          <w:szCs w:val="22"/>
        </w:rPr>
        <w:t xml:space="preserve">hay lugar para que el comprador reciba de </w:t>
      </w:r>
      <w:r>
        <w:rPr>
          <w:rFonts w:cs="Arial"/>
          <w:sz w:val="22"/>
          <w:szCs w:val="22"/>
        </w:rPr>
        <w:t>éste</w:t>
      </w:r>
      <w:r w:rsidRPr="00C42EA1">
        <w:rPr>
          <w:rFonts w:cs="Arial"/>
          <w:sz w:val="22"/>
          <w:szCs w:val="22"/>
        </w:rPr>
        <w:t xml:space="preserve"> una compensación</w:t>
      </w:r>
      <w:r>
        <w:rPr>
          <w:rFonts w:cs="Arial"/>
          <w:sz w:val="22"/>
          <w:szCs w:val="22"/>
        </w:rPr>
        <w:t>,</w:t>
      </w:r>
      <w:r w:rsidRPr="00C42EA1">
        <w:rPr>
          <w:rFonts w:cs="Arial"/>
          <w:sz w:val="22"/>
          <w:szCs w:val="22"/>
        </w:rPr>
        <w:t xml:space="preserve"> </w:t>
      </w:r>
      <w:r>
        <w:rPr>
          <w:rFonts w:cs="Arial"/>
          <w:sz w:val="22"/>
          <w:szCs w:val="22"/>
        </w:rPr>
        <w:t xml:space="preserve">así el comprador se trate de un comercializador que </w:t>
      </w:r>
      <w:r w:rsidRPr="00C42EA1">
        <w:rPr>
          <w:rFonts w:cs="Arial"/>
          <w:sz w:val="22"/>
          <w:szCs w:val="22"/>
        </w:rPr>
        <w:t>no est</w:t>
      </w:r>
      <w:r>
        <w:rPr>
          <w:rFonts w:cs="Arial"/>
          <w:sz w:val="22"/>
          <w:szCs w:val="22"/>
        </w:rPr>
        <w:t>é</w:t>
      </w:r>
      <w:r w:rsidRPr="00C42EA1">
        <w:rPr>
          <w:rFonts w:cs="Arial"/>
          <w:sz w:val="22"/>
          <w:szCs w:val="22"/>
        </w:rPr>
        <w:t xml:space="preserve"> obligado </w:t>
      </w:r>
      <w:r>
        <w:rPr>
          <w:rFonts w:cs="Arial"/>
          <w:sz w:val="22"/>
          <w:szCs w:val="22"/>
        </w:rPr>
        <w:t xml:space="preserve">explícitamente </w:t>
      </w:r>
      <w:r w:rsidRPr="00C42EA1">
        <w:rPr>
          <w:rFonts w:cs="Arial"/>
          <w:sz w:val="22"/>
          <w:szCs w:val="22"/>
        </w:rPr>
        <w:t xml:space="preserve">a trasladar </w:t>
      </w:r>
      <w:r>
        <w:rPr>
          <w:rFonts w:cs="Arial"/>
          <w:sz w:val="22"/>
          <w:szCs w:val="22"/>
        </w:rPr>
        <w:t xml:space="preserve">dicha compensación </w:t>
      </w:r>
      <w:r w:rsidRPr="00C42EA1">
        <w:rPr>
          <w:rFonts w:cs="Arial"/>
          <w:sz w:val="22"/>
          <w:szCs w:val="22"/>
        </w:rPr>
        <w:t xml:space="preserve">a la demanda que representa en el </w:t>
      </w:r>
      <w:r>
        <w:rPr>
          <w:rFonts w:cs="Arial"/>
          <w:sz w:val="22"/>
          <w:szCs w:val="22"/>
        </w:rPr>
        <w:t>M</w:t>
      </w:r>
      <w:r w:rsidRPr="00C42EA1">
        <w:rPr>
          <w:rFonts w:cs="Arial"/>
          <w:sz w:val="22"/>
          <w:szCs w:val="22"/>
        </w:rPr>
        <w:t>ercado</w:t>
      </w:r>
      <w:r>
        <w:rPr>
          <w:rFonts w:cs="Arial"/>
          <w:sz w:val="22"/>
          <w:szCs w:val="22"/>
        </w:rPr>
        <w:t xml:space="preserve"> Primario</w:t>
      </w:r>
      <w:r w:rsidRPr="00C42EA1">
        <w:rPr>
          <w:rFonts w:cs="Arial"/>
          <w:sz w:val="22"/>
          <w:szCs w:val="22"/>
        </w:rPr>
        <w:t>.</w:t>
      </w:r>
      <w:r>
        <w:rPr>
          <w:rFonts w:cs="Arial"/>
          <w:sz w:val="22"/>
          <w:szCs w:val="22"/>
        </w:rPr>
        <w:t xml:space="preserve"> Ha de tenerse en cuenta que el comprador puede ser directamente un usuario no regulado. </w:t>
      </w:r>
    </w:p>
    <w:p w14:paraId="6CB606B3" w14:textId="77777777" w:rsidR="005A5A5B" w:rsidRDefault="005A5A5B" w:rsidP="005A5A5B">
      <w:pPr>
        <w:rPr>
          <w:rFonts w:cs="Arial"/>
          <w:sz w:val="22"/>
          <w:szCs w:val="22"/>
        </w:rPr>
      </w:pPr>
    </w:p>
    <w:p w14:paraId="1E2C00A2" w14:textId="77777777" w:rsidR="005A5A5B" w:rsidRDefault="005A5A5B" w:rsidP="005A5A5B">
      <w:pPr>
        <w:rPr>
          <w:rFonts w:cs="Arial"/>
          <w:sz w:val="22"/>
          <w:szCs w:val="22"/>
        </w:rPr>
      </w:pPr>
      <w:r>
        <w:rPr>
          <w:rFonts w:cs="Arial"/>
          <w:sz w:val="22"/>
          <w:szCs w:val="22"/>
        </w:rPr>
        <w:t xml:space="preserve">El Artículo es claro en establecer el pago de la compensación, y no dispone excepción ninguna dependiendo de qué usuario es atendido finalmente. Eso sí, se distingue en el valor a compensar en dos situaciones: </w:t>
      </w:r>
    </w:p>
    <w:p w14:paraId="19210738" w14:textId="77777777" w:rsidR="005A5A5B" w:rsidRDefault="005A5A5B" w:rsidP="005A5A5B">
      <w:pPr>
        <w:rPr>
          <w:rFonts w:cs="Arial"/>
          <w:sz w:val="22"/>
          <w:szCs w:val="22"/>
        </w:rPr>
      </w:pPr>
    </w:p>
    <w:p w14:paraId="231EA3F2" w14:textId="77777777" w:rsidR="005A5A5B" w:rsidRDefault="005A5A5B" w:rsidP="005A5A5B">
      <w:pPr>
        <w:pStyle w:val="Prrafodelista"/>
        <w:numPr>
          <w:ilvl w:val="0"/>
          <w:numId w:val="35"/>
        </w:numPr>
        <w:rPr>
          <w:rFonts w:cs="Arial"/>
          <w:sz w:val="22"/>
          <w:szCs w:val="22"/>
        </w:rPr>
      </w:pPr>
      <w:r>
        <w:rPr>
          <w:rFonts w:cs="Arial"/>
          <w:sz w:val="22"/>
          <w:szCs w:val="22"/>
        </w:rPr>
        <w:t>C</w:t>
      </w:r>
      <w:r w:rsidRPr="00DD5FBB">
        <w:rPr>
          <w:rFonts w:cs="Arial"/>
          <w:sz w:val="22"/>
          <w:szCs w:val="22"/>
        </w:rPr>
        <w:t xml:space="preserve">uando a pesar del incumplimiento del suministro, no hay interrupción del servicio a los usuarios regulados. Esto implica que el valor a compensar aplica si </w:t>
      </w:r>
      <w:r>
        <w:rPr>
          <w:rFonts w:cs="Arial"/>
          <w:sz w:val="22"/>
          <w:szCs w:val="22"/>
        </w:rPr>
        <w:t>el comprador es</w:t>
      </w:r>
      <w:r w:rsidRPr="00DD5FBB">
        <w:rPr>
          <w:rFonts w:cs="Arial"/>
          <w:sz w:val="22"/>
          <w:szCs w:val="22"/>
        </w:rPr>
        <w:t xml:space="preserve"> un usuario no regulado o </w:t>
      </w:r>
      <w:r>
        <w:rPr>
          <w:rFonts w:cs="Arial"/>
          <w:sz w:val="22"/>
          <w:szCs w:val="22"/>
        </w:rPr>
        <w:t xml:space="preserve">si el comprador es </w:t>
      </w:r>
      <w:r w:rsidRPr="00DD5FBB">
        <w:rPr>
          <w:rFonts w:cs="Arial"/>
          <w:sz w:val="22"/>
          <w:szCs w:val="22"/>
        </w:rPr>
        <w:t xml:space="preserve">un comercializador que atiende uno o varios usuarios no regulados, o si </w:t>
      </w:r>
      <w:r>
        <w:rPr>
          <w:rFonts w:cs="Arial"/>
          <w:sz w:val="22"/>
          <w:szCs w:val="22"/>
        </w:rPr>
        <w:t>el comprador es</w:t>
      </w:r>
      <w:r w:rsidRPr="00DD5FBB">
        <w:rPr>
          <w:rFonts w:cs="Arial"/>
          <w:sz w:val="22"/>
          <w:szCs w:val="22"/>
        </w:rPr>
        <w:t xml:space="preserve"> un comercializador que atiende usuarios regulados, </w:t>
      </w:r>
      <w:r>
        <w:rPr>
          <w:rFonts w:cs="Arial"/>
          <w:sz w:val="22"/>
          <w:szCs w:val="22"/>
        </w:rPr>
        <w:t>o si el comprador es un comercializador que atiene usuarios regulados y no regulados. En ese caso el valor a compensar es el que determina el Anexo en su numeral 1.</w:t>
      </w:r>
    </w:p>
    <w:p w14:paraId="69844205" w14:textId="77777777" w:rsidR="005A5A5B" w:rsidRDefault="005A5A5B" w:rsidP="005A5A5B">
      <w:pPr>
        <w:pStyle w:val="Prrafodelista"/>
        <w:ind w:left="720"/>
        <w:rPr>
          <w:rFonts w:cs="Arial"/>
          <w:sz w:val="22"/>
          <w:szCs w:val="22"/>
        </w:rPr>
      </w:pPr>
    </w:p>
    <w:p w14:paraId="11E5A21F" w14:textId="77777777" w:rsidR="005A5A5B" w:rsidRPr="00DD5FBB" w:rsidRDefault="005A5A5B" w:rsidP="005A5A5B">
      <w:pPr>
        <w:pStyle w:val="Prrafodelista"/>
        <w:numPr>
          <w:ilvl w:val="0"/>
          <w:numId w:val="35"/>
        </w:numPr>
        <w:rPr>
          <w:rFonts w:cs="Arial"/>
          <w:sz w:val="22"/>
          <w:szCs w:val="22"/>
        </w:rPr>
      </w:pPr>
      <w:r>
        <w:rPr>
          <w:rFonts w:cs="Arial"/>
          <w:sz w:val="22"/>
          <w:szCs w:val="22"/>
        </w:rPr>
        <w:t>C</w:t>
      </w:r>
      <w:r w:rsidRPr="00DD5FBB">
        <w:rPr>
          <w:rFonts w:cs="Arial"/>
          <w:sz w:val="22"/>
          <w:szCs w:val="22"/>
        </w:rPr>
        <w:t xml:space="preserve">uando </w:t>
      </w:r>
      <w:r>
        <w:rPr>
          <w:rFonts w:cs="Arial"/>
          <w:sz w:val="22"/>
          <w:szCs w:val="22"/>
        </w:rPr>
        <w:t xml:space="preserve">como resultado </w:t>
      </w:r>
      <w:r w:rsidRPr="00DD5FBB">
        <w:rPr>
          <w:rFonts w:cs="Arial"/>
          <w:sz w:val="22"/>
          <w:szCs w:val="22"/>
        </w:rPr>
        <w:t xml:space="preserve">del incumplimiento del suministro, hay interrupción del servicio a los usuarios regulados. Esto implica que el valor a compensar aplica si </w:t>
      </w:r>
      <w:r>
        <w:rPr>
          <w:rFonts w:cs="Arial"/>
          <w:sz w:val="22"/>
          <w:szCs w:val="22"/>
        </w:rPr>
        <w:t>el comprador es</w:t>
      </w:r>
      <w:r w:rsidRPr="00DD5FBB">
        <w:rPr>
          <w:rFonts w:cs="Arial"/>
          <w:sz w:val="22"/>
          <w:szCs w:val="22"/>
        </w:rPr>
        <w:t xml:space="preserve"> un usuario no regulado</w:t>
      </w:r>
      <w:r>
        <w:rPr>
          <w:rFonts w:cs="Arial"/>
          <w:sz w:val="22"/>
          <w:szCs w:val="22"/>
        </w:rPr>
        <w:t>,</w:t>
      </w:r>
      <w:r w:rsidRPr="00DD5FBB">
        <w:rPr>
          <w:rFonts w:cs="Arial"/>
          <w:sz w:val="22"/>
          <w:szCs w:val="22"/>
        </w:rPr>
        <w:t xml:space="preserve"> o </w:t>
      </w:r>
      <w:r>
        <w:rPr>
          <w:rFonts w:cs="Arial"/>
          <w:sz w:val="22"/>
          <w:szCs w:val="22"/>
        </w:rPr>
        <w:t xml:space="preserve">si el comprador es </w:t>
      </w:r>
      <w:r w:rsidRPr="00DD5FBB">
        <w:rPr>
          <w:rFonts w:cs="Arial"/>
          <w:sz w:val="22"/>
          <w:szCs w:val="22"/>
        </w:rPr>
        <w:t xml:space="preserve">un comercializador que atiende uno o varios usuarios no regulados, o si </w:t>
      </w:r>
      <w:r>
        <w:rPr>
          <w:rFonts w:cs="Arial"/>
          <w:sz w:val="22"/>
          <w:szCs w:val="22"/>
        </w:rPr>
        <w:t>el comprador es</w:t>
      </w:r>
      <w:r w:rsidRPr="00DD5FBB">
        <w:rPr>
          <w:rFonts w:cs="Arial"/>
          <w:sz w:val="22"/>
          <w:szCs w:val="22"/>
        </w:rPr>
        <w:t xml:space="preserve"> un comercializador que atiende usuarios regulados, </w:t>
      </w:r>
      <w:r>
        <w:rPr>
          <w:rFonts w:cs="Arial"/>
          <w:sz w:val="22"/>
          <w:szCs w:val="22"/>
        </w:rPr>
        <w:t>o si el comprador es un comercializador que atiene usuarios regulados y no regulados. En ese caso el valor a compensar es el que determina el Anexo en su numeral 2. Si, por ejemplo, el comprador se trata de un usuario no regulado o de un comercializador que solo atiene usuarios no regulados, la fórmula del numeral 2 del Anexo se vuelve prácticamente la m isma que la fór</w:t>
      </w:r>
      <w:r w:rsidRPr="00DD5FBB">
        <w:rPr>
          <w:rFonts w:cs="Arial"/>
          <w:sz w:val="22"/>
          <w:szCs w:val="22"/>
        </w:rPr>
        <w:t>mula del numeral 1 del Anexo.</w:t>
      </w:r>
    </w:p>
    <w:p w14:paraId="31892CBF" w14:textId="77777777" w:rsidR="005A5A5B" w:rsidRPr="00DD5FBB" w:rsidRDefault="005A5A5B" w:rsidP="005A5A5B">
      <w:pPr>
        <w:pStyle w:val="Prrafodelista"/>
        <w:ind w:left="720"/>
        <w:rPr>
          <w:rFonts w:cs="Arial"/>
          <w:sz w:val="22"/>
          <w:szCs w:val="22"/>
        </w:rPr>
      </w:pPr>
    </w:p>
    <w:p w14:paraId="1B04D505" w14:textId="07FD40AC" w:rsidR="005A5A5B" w:rsidRPr="0031358E" w:rsidRDefault="005A5A5B" w:rsidP="005A5A5B">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_Ref130800122 \r \h </w:instrText>
      </w:r>
      <w:r>
        <w:rPr>
          <w:rFonts w:cs="Arial"/>
          <w:sz w:val="22"/>
          <w:szCs w:val="22"/>
        </w:rPr>
      </w:r>
      <w:r>
        <w:rPr>
          <w:rFonts w:cs="Arial"/>
          <w:sz w:val="22"/>
          <w:szCs w:val="22"/>
        </w:rPr>
        <w:fldChar w:fldCharType="separate"/>
      </w:r>
      <w:r w:rsidR="007651EA">
        <w:rPr>
          <w:rFonts w:cs="Arial"/>
          <w:sz w:val="22"/>
          <w:szCs w:val="22"/>
        </w:rPr>
        <w:t>11.12.1.3</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_Ref130802392 \r \h </w:instrText>
      </w:r>
      <w:r>
        <w:rPr>
          <w:rFonts w:cs="Arial"/>
          <w:sz w:val="22"/>
          <w:szCs w:val="22"/>
        </w:rPr>
      </w:r>
      <w:r>
        <w:rPr>
          <w:rFonts w:cs="Arial"/>
          <w:sz w:val="22"/>
          <w:szCs w:val="22"/>
        </w:rPr>
        <w:fldChar w:fldCharType="separate"/>
      </w:r>
      <w:r w:rsidR="007651EA">
        <w:rPr>
          <w:rFonts w:cs="Arial"/>
          <w:sz w:val="22"/>
          <w:szCs w:val="22"/>
        </w:rPr>
        <w:t>13.2.1.1</w:t>
      </w:r>
      <w:r>
        <w:rPr>
          <w:rFonts w:cs="Arial"/>
          <w:sz w:val="22"/>
          <w:szCs w:val="22"/>
        </w:rPr>
        <w:fldChar w:fldCharType="end"/>
      </w:r>
      <w:r>
        <w:rPr>
          <w:rFonts w:cs="Arial"/>
          <w:sz w:val="22"/>
          <w:szCs w:val="22"/>
        </w:rPr>
        <w:t>.</w:t>
      </w:r>
    </w:p>
    <w:p w14:paraId="02D0F732" w14:textId="77777777" w:rsidR="005A5A5B" w:rsidRPr="009534DE" w:rsidRDefault="005A5A5B" w:rsidP="0031358E">
      <w:pPr>
        <w:rPr>
          <w:rFonts w:cs="Arial"/>
          <w:i/>
          <w:iCs/>
          <w:sz w:val="22"/>
          <w:szCs w:val="22"/>
        </w:rPr>
      </w:pPr>
    </w:p>
    <w:p w14:paraId="5BC17A0A" w14:textId="77777777" w:rsidR="0031358E" w:rsidRPr="009534DE" w:rsidRDefault="0031358E" w:rsidP="0031358E">
      <w:pPr>
        <w:rPr>
          <w:rFonts w:cs="Arial"/>
          <w:i/>
          <w:iCs/>
          <w:sz w:val="22"/>
          <w:szCs w:val="22"/>
        </w:rPr>
      </w:pPr>
    </w:p>
    <w:p w14:paraId="6BDCDEB9" w14:textId="77777777" w:rsidR="005A5A5B" w:rsidRDefault="005A5A5B" w:rsidP="005A5A5B">
      <w:pPr>
        <w:pStyle w:val="Ttulo4"/>
        <w:numPr>
          <w:ilvl w:val="3"/>
          <w:numId w:val="1"/>
        </w:numPr>
      </w:pPr>
      <w:r w:rsidRPr="0031358E">
        <w:t>ECOPETROL</w:t>
      </w:r>
      <w:r w:rsidRPr="0031358E">
        <w:tab/>
      </w:r>
    </w:p>
    <w:p w14:paraId="2873B3DE" w14:textId="33CD4BB9" w:rsidR="0031358E" w:rsidRPr="009534DE" w:rsidRDefault="00A32ADC" w:rsidP="0031358E">
      <w:pPr>
        <w:rPr>
          <w:rFonts w:cs="Arial"/>
          <w:i/>
          <w:iCs/>
          <w:sz w:val="22"/>
          <w:szCs w:val="22"/>
        </w:rPr>
      </w:pPr>
      <w:r>
        <w:rPr>
          <w:rFonts w:cs="Arial"/>
          <w:i/>
          <w:iCs/>
          <w:sz w:val="22"/>
          <w:szCs w:val="22"/>
        </w:rPr>
        <w:t>“</w:t>
      </w:r>
      <w:r w:rsidR="0031358E" w:rsidRPr="009534DE">
        <w:rPr>
          <w:rFonts w:cs="Arial"/>
          <w:i/>
          <w:iCs/>
          <w:sz w:val="22"/>
          <w:szCs w:val="22"/>
        </w:rPr>
        <w:t>En el numeral 1 del anexo 2 se define la compensación que se debe pagar al comprador cuando el incumplimiento en el suministro del gas no deriva en la interrupción del servicio. Esto implica que el comprador habría accedido al producto en el mercado secundario, para así mantener la continuidad del servicio.</w:t>
      </w:r>
    </w:p>
    <w:p w14:paraId="79C80424" w14:textId="77777777" w:rsidR="0031358E" w:rsidRPr="009534DE" w:rsidRDefault="0031358E" w:rsidP="0031358E">
      <w:pPr>
        <w:rPr>
          <w:rFonts w:cs="Arial"/>
          <w:i/>
          <w:iCs/>
          <w:sz w:val="22"/>
          <w:szCs w:val="22"/>
        </w:rPr>
      </w:pPr>
    </w:p>
    <w:p w14:paraId="0953D7A3" w14:textId="77777777" w:rsidR="0031358E" w:rsidRPr="009534DE" w:rsidRDefault="0031358E" w:rsidP="0031358E">
      <w:pPr>
        <w:rPr>
          <w:rFonts w:cs="Arial"/>
          <w:i/>
          <w:iCs/>
          <w:sz w:val="22"/>
          <w:szCs w:val="22"/>
        </w:rPr>
      </w:pPr>
      <w:r w:rsidRPr="009534DE">
        <w:rPr>
          <w:rFonts w:cs="Arial"/>
          <w:i/>
          <w:iCs/>
          <w:sz w:val="22"/>
          <w:szCs w:val="22"/>
        </w:rPr>
        <w:t>En este sentido, la suma del precio del gas dejado de pagar ante el incumplimiento y la compensación debería permitirle al comprador acceder al producto, sin incurrir en costos adicionales a los que habría observado; pero sin que esto implique un beneficio para el comprador. En este sentido, entendemos que la relación entre los precios del mercado secundario y los del mercado primario, tanto del suministro como del transporte de gas, se ha estimado en alrededor de un 250%.</w:t>
      </w:r>
    </w:p>
    <w:p w14:paraId="708433BF" w14:textId="77777777" w:rsidR="0031358E" w:rsidRPr="009534DE" w:rsidRDefault="0031358E" w:rsidP="0031358E">
      <w:pPr>
        <w:rPr>
          <w:rFonts w:cs="Arial"/>
          <w:i/>
          <w:iCs/>
          <w:sz w:val="22"/>
          <w:szCs w:val="22"/>
        </w:rPr>
      </w:pPr>
    </w:p>
    <w:p w14:paraId="1AC214AF" w14:textId="58757F52" w:rsidR="0031358E" w:rsidRPr="009534DE" w:rsidRDefault="0031358E" w:rsidP="0031358E">
      <w:pPr>
        <w:rPr>
          <w:rFonts w:cs="Arial"/>
          <w:i/>
          <w:iCs/>
          <w:sz w:val="22"/>
          <w:szCs w:val="22"/>
        </w:rPr>
      </w:pPr>
      <w:r w:rsidRPr="009534DE">
        <w:rPr>
          <w:rFonts w:cs="Arial"/>
          <w:i/>
          <w:iCs/>
          <w:sz w:val="22"/>
          <w:szCs w:val="22"/>
        </w:rPr>
        <w:t xml:space="preserve">Teniendo en cuenta que ahora se dispone de información veraz del mercado mayorista, recopilada y verificada por el </w:t>
      </w:r>
      <w:r w:rsidR="005114C6">
        <w:rPr>
          <w:rFonts w:cs="Arial"/>
          <w:i/>
          <w:iCs/>
          <w:sz w:val="22"/>
          <w:szCs w:val="22"/>
        </w:rPr>
        <w:t>Gestor del Mercado</w:t>
      </w:r>
      <w:r w:rsidRPr="009534DE">
        <w:rPr>
          <w:rFonts w:cs="Arial"/>
          <w:i/>
          <w:iCs/>
          <w:sz w:val="22"/>
          <w:szCs w:val="22"/>
        </w:rPr>
        <w:t xml:space="preserve"> durante varios años, sugerimos que se revise y ajuste el múltiplo de 1,5 con base en dicha información. Esto cobra mayor relevancia porque se espera que las medidas propuestas por la CREG, tanto en la Resolución 226 como en la Resolución 227, deriven en un mejor desempeño del mercado secundario.</w:t>
      </w:r>
    </w:p>
    <w:p w14:paraId="22A03F70" w14:textId="77777777" w:rsidR="0031358E" w:rsidRPr="009534DE" w:rsidRDefault="0031358E" w:rsidP="0031358E">
      <w:pPr>
        <w:rPr>
          <w:rFonts w:cs="Arial"/>
          <w:i/>
          <w:iCs/>
          <w:sz w:val="22"/>
          <w:szCs w:val="22"/>
        </w:rPr>
      </w:pPr>
    </w:p>
    <w:p w14:paraId="78AE7890" w14:textId="758231D3" w:rsidR="0031358E" w:rsidRDefault="0031358E" w:rsidP="0031358E">
      <w:pPr>
        <w:rPr>
          <w:rFonts w:cs="Arial"/>
          <w:i/>
          <w:iCs/>
          <w:sz w:val="22"/>
          <w:szCs w:val="22"/>
        </w:rPr>
      </w:pPr>
      <w:r w:rsidRPr="009534DE">
        <w:rPr>
          <w:rFonts w:cs="Arial"/>
          <w:i/>
          <w:iCs/>
          <w:sz w:val="22"/>
          <w:szCs w:val="22"/>
        </w:rPr>
        <w:t>Finalmente, sugerimos que se elimine el componente que compensa el pago de los cargos de distribución, en la medida en que los usuarios habrían recibido el servicio y por tanto resulta natural que paguen los cargos que remuneran esa infraestructura."</w:t>
      </w:r>
    </w:p>
    <w:p w14:paraId="1EBE7154" w14:textId="02B32EF1" w:rsidR="009534DE" w:rsidRDefault="009534DE" w:rsidP="0031358E">
      <w:pPr>
        <w:rPr>
          <w:rFonts w:cs="Arial"/>
          <w:i/>
          <w:iCs/>
          <w:sz w:val="22"/>
          <w:szCs w:val="22"/>
        </w:rPr>
      </w:pPr>
    </w:p>
    <w:p w14:paraId="2F1C7B44" w14:textId="52AB3D15" w:rsidR="005A5A5B" w:rsidRPr="005A5A5B" w:rsidRDefault="005A5A5B" w:rsidP="0031358E">
      <w:pPr>
        <w:rPr>
          <w:rFonts w:cs="Arial"/>
          <w:b/>
          <w:bCs/>
          <w:sz w:val="22"/>
          <w:szCs w:val="22"/>
        </w:rPr>
      </w:pPr>
      <w:r w:rsidRPr="005A5A5B">
        <w:rPr>
          <w:rFonts w:cs="Arial"/>
          <w:b/>
          <w:bCs/>
          <w:sz w:val="22"/>
          <w:szCs w:val="22"/>
        </w:rPr>
        <w:t>Respuesta:</w:t>
      </w:r>
    </w:p>
    <w:p w14:paraId="0E53228D" w14:textId="26613F7C" w:rsidR="005A5A5B" w:rsidRDefault="005A5A5B" w:rsidP="0031358E">
      <w:pPr>
        <w:rPr>
          <w:rFonts w:cs="Arial"/>
          <w:i/>
          <w:iCs/>
          <w:sz w:val="22"/>
          <w:szCs w:val="22"/>
        </w:rPr>
      </w:pPr>
    </w:p>
    <w:p w14:paraId="7BCD3DBA" w14:textId="271A2702" w:rsidR="005A5A5B" w:rsidRDefault="005A5A5B" w:rsidP="0031358E">
      <w:pPr>
        <w:rPr>
          <w:rFonts w:cs="Arial"/>
          <w:sz w:val="22"/>
          <w:szCs w:val="22"/>
        </w:rPr>
      </w:pPr>
      <w:r w:rsidRPr="005A5A5B">
        <w:rPr>
          <w:rFonts w:cs="Arial"/>
          <w:sz w:val="22"/>
          <w:szCs w:val="22"/>
        </w:rPr>
        <w:t>No se acoge el comentario.</w:t>
      </w:r>
    </w:p>
    <w:p w14:paraId="3157388A" w14:textId="7A20E48A" w:rsidR="005A5A5B" w:rsidRDefault="005A5A5B" w:rsidP="0031358E">
      <w:pPr>
        <w:rPr>
          <w:rFonts w:cs="Arial"/>
          <w:sz w:val="22"/>
          <w:szCs w:val="22"/>
        </w:rPr>
      </w:pPr>
    </w:p>
    <w:p w14:paraId="5AEC7D3D" w14:textId="14E8685F" w:rsidR="005A5A5B" w:rsidRPr="005A5A5B" w:rsidRDefault="005A5A5B" w:rsidP="0031358E">
      <w:pPr>
        <w:rPr>
          <w:rFonts w:cs="Arial"/>
          <w:sz w:val="22"/>
          <w:szCs w:val="22"/>
        </w:rPr>
      </w:pPr>
      <w:r>
        <w:rPr>
          <w:rFonts w:cs="Arial"/>
          <w:sz w:val="22"/>
          <w:szCs w:val="22"/>
        </w:rPr>
        <w:t xml:space="preserve">La valoración de la compensación no solamente tiene en cuenta el efecto de que el comprador posiblemente deba acudir a sustituir </w:t>
      </w:r>
      <w:r w:rsidR="00851843">
        <w:rPr>
          <w:rFonts w:cs="Arial"/>
          <w:sz w:val="22"/>
          <w:szCs w:val="22"/>
        </w:rPr>
        <w:t>con otro</w:t>
      </w:r>
      <w:r w:rsidR="00B9046F">
        <w:rPr>
          <w:rFonts w:cs="Arial"/>
          <w:sz w:val="22"/>
          <w:szCs w:val="22"/>
        </w:rPr>
        <w:t>s</w:t>
      </w:r>
      <w:r w:rsidR="00851843">
        <w:rPr>
          <w:rFonts w:cs="Arial"/>
          <w:sz w:val="22"/>
          <w:szCs w:val="22"/>
        </w:rPr>
        <w:t xml:space="preserve"> recursos energético</w:t>
      </w:r>
      <w:r w:rsidR="00B9046F">
        <w:rPr>
          <w:rFonts w:cs="Arial"/>
          <w:sz w:val="22"/>
          <w:szCs w:val="22"/>
        </w:rPr>
        <w:t>s</w:t>
      </w:r>
      <w:r w:rsidR="00851843">
        <w:rPr>
          <w:rFonts w:cs="Arial"/>
          <w:sz w:val="22"/>
          <w:szCs w:val="22"/>
        </w:rPr>
        <w:t xml:space="preserve"> de mayor valor </w:t>
      </w:r>
      <w:r>
        <w:rPr>
          <w:rFonts w:cs="Arial"/>
          <w:sz w:val="22"/>
          <w:szCs w:val="22"/>
        </w:rPr>
        <w:t xml:space="preserve">el gas natural cuyo suministro se incumple, con gran riesgo de que finalmente no logre sustituirlo oportunamente, sino también </w:t>
      </w:r>
      <w:r w:rsidR="00851843">
        <w:rPr>
          <w:rFonts w:cs="Arial"/>
          <w:sz w:val="22"/>
          <w:szCs w:val="22"/>
        </w:rPr>
        <w:t xml:space="preserve">busca valorar </w:t>
      </w:r>
      <w:r>
        <w:rPr>
          <w:rFonts w:cs="Arial"/>
          <w:sz w:val="22"/>
          <w:szCs w:val="22"/>
        </w:rPr>
        <w:t>el solo hecho de que hay un incumplimiento. La regulación debe procurar que el vendedor tenga los mayores incentivos para que el contrato de suministro se cumpla correctamente en todo momento, buscando el mejor balance entre un costo alto de incumplimiento que incentive al productor a reducir los riesgos que pueden llevar a dicho incumplimiento</w:t>
      </w:r>
      <w:r w:rsidR="00851843">
        <w:rPr>
          <w:rFonts w:cs="Arial"/>
          <w:sz w:val="22"/>
          <w:szCs w:val="22"/>
        </w:rPr>
        <w:t>,</w:t>
      </w:r>
      <w:r>
        <w:rPr>
          <w:rFonts w:cs="Arial"/>
          <w:sz w:val="22"/>
          <w:szCs w:val="22"/>
        </w:rPr>
        <w:t xml:space="preserve"> sin que el costo de reducir los riesgos de incumplimiento</w:t>
      </w:r>
      <w:r w:rsidR="00B9046F">
        <w:rPr>
          <w:rFonts w:cs="Arial"/>
          <w:sz w:val="22"/>
          <w:szCs w:val="22"/>
        </w:rPr>
        <w:t>,</w:t>
      </w:r>
      <w:r>
        <w:rPr>
          <w:rFonts w:cs="Arial"/>
          <w:sz w:val="22"/>
          <w:szCs w:val="22"/>
        </w:rPr>
        <w:t xml:space="preserve"> se internalicen en un elevado precio de suministro.</w:t>
      </w:r>
    </w:p>
    <w:p w14:paraId="058D612A" w14:textId="1BD54866" w:rsidR="005A5A5B" w:rsidRDefault="005A5A5B" w:rsidP="0031358E">
      <w:pPr>
        <w:rPr>
          <w:rFonts w:cs="Arial"/>
          <w:i/>
          <w:iCs/>
          <w:sz w:val="22"/>
          <w:szCs w:val="22"/>
        </w:rPr>
      </w:pPr>
    </w:p>
    <w:p w14:paraId="6047371C" w14:textId="77777777" w:rsidR="005A5A5B" w:rsidRDefault="005A5A5B" w:rsidP="0031358E">
      <w:pPr>
        <w:rPr>
          <w:rFonts w:cs="Arial"/>
          <w:i/>
          <w:iCs/>
          <w:sz w:val="22"/>
          <w:szCs w:val="22"/>
        </w:rPr>
      </w:pPr>
    </w:p>
    <w:p w14:paraId="76A5B615" w14:textId="22BA5460" w:rsidR="00377866" w:rsidRDefault="00377866" w:rsidP="00377866">
      <w:pPr>
        <w:pStyle w:val="Ttulo2"/>
        <w:numPr>
          <w:ilvl w:val="1"/>
          <w:numId w:val="1"/>
        </w:numPr>
      </w:pPr>
      <w:bookmarkStart w:id="688" w:name="_Toc140506371"/>
      <w:r>
        <w:t>SSPD</w:t>
      </w:r>
      <w:bookmarkEnd w:id="688"/>
      <w:r w:rsidRPr="0031358E">
        <w:tab/>
      </w:r>
    </w:p>
    <w:p w14:paraId="40711CD7" w14:textId="5109DDF4" w:rsidR="009534DE" w:rsidRPr="00377866" w:rsidRDefault="00377866" w:rsidP="004D7395">
      <w:pPr>
        <w:pStyle w:val="Ttulo4"/>
        <w:numPr>
          <w:ilvl w:val="3"/>
          <w:numId w:val="1"/>
        </w:numPr>
        <w:rPr>
          <w:rFonts w:cs="Arial"/>
          <w:sz w:val="22"/>
          <w:szCs w:val="22"/>
        </w:rPr>
      </w:pPr>
      <w:bookmarkStart w:id="689" w:name="_Ref130804653"/>
      <w:r w:rsidRPr="00377866">
        <w:t>SSPD</w:t>
      </w:r>
      <w:bookmarkEnd w:id="689"/>
    </w:p>
    <w:p w14:paraId="58541416" w14:textId="78888582" w:rsidR="0031358E" w:rsidRDefault="00125B99" w:rsidP="0031358E">
      <w:pPr>
        <w:rPr>
          <w:rFonts w:cs="Arial"/>
          <w:i/>
          <w:iCs/>
          <w:sz w:val="22"/>
          <w:szCs w:val="22"/>
        </w:rPr>
      </w:pPr>
      <w:r>
        <w:rPr>
          <w:rFonts w:cs="Arial"/>
          <w:i/>
          <w:iCs/>
          <w:sz w:val="22"/>
          <w:szCs w:val="22"/>
        </w:rPr>
        <w:t>“</w:t>
      </w:r>
      <w:r w:rsidR="0031358E" w:rsidRPr="009534DE">
        <w:rPr>
          <w:rFonts w:cs="Arial"/>
          <w:i/>
          <w:iCs/>
          <w:sz w:val="22"/>
          <w:szCs w:val="22"/>
        </w:rPr>
        <w:t xml:space="preserve">Se hace referencia erróneamente al Artículo 133. </w:t>
      </w:r>
      <w:proofErr w:type="gramStart"/>
      <w:r w:rsidR="0031358E" w:rsidRPr="009534DE">
        <w:rPr>
          <w:rFonts w:cs="Arial"/>
          <w:i/>
          <w:iCs/>
          <w:sz w:val="22"/>
          <w:szCs w:val="22"/>
        </w:rPr>
        <w:t>De acuerdo al</w:t>
      </w:r>
      <w:proofErr w:type="gramEnd"/>
      <w:r w:rsidR="0031358E" w:rsidRPr="009534DE">
        <w:rPr>
          <w:rFonts w:cs="Arial"/>
          <w:i/>
          <w:iCs/>
          <w:sz w:val="22"/>
          <w:szCs w:val="22"/>
        </w:rPr>
        <w:t xml:space="preserve"> entendimiento de la resolución se debe hacer referencia al Artículo 13 (Artículo 13. Incumplimiento).</w:t>
      </w:r>
      <w:r w:rsidR="0050362C">
        <w:rPr>
          <w:rFonts w:cs="Arial"/>
          <w:i/>
          <w:iCs/>
          <w:sz w:val="22"/>
          <w:szCs w:val="22"/>
        </w:rPr>
        <w:t>”</w:t>
      </w:r>
    </w:p>
    <w:p w14:paraId="0DA658A9" w14:textId="41A3F129" w:rsidR="00B9046F" w:rsidRDefault="00B9046F" w:rsidP="0031358E">
      <w:pPr>
        <w:rPr>
          <w:rFonts w:cs="Arial"/>
          <w:i/>
          <w:iCs/>
          <w:sz w:val="22"/>
          <w:szCs w:val="22"/>
        </w:rPr>
      </w:pPr>
    </w:p>
    <w:p w14:paraId="49677A5A" w14:textId="40A25F49" w:rsidR="00B9046F" w:rsidRPr="00B9046F" w:rsidRDefault="00B9046F" w:rsidP="0031358E">
      <w:pPr>
        <w:rPr>
          <w:rFonts w:cs="Arial"/>
          <w:b/>
          <w:bCs/>
          <w:sz w:val="22"/>
          <w:szCs w:val="22"/>
        </w:rPr>
      </w:pPr>
      <w:r w:rsidRPr="00B9046F">
        <w:rPr>
          <w:rFonts w:cs="Arial"/>
          <w:b/>
          <w:bCs/>
          <w:sz w:val="22"/>
          <w:szCs w:val="22"/>
        </w:rPr>
        <w:t>Respuesta:</w:t>
      </w:r>
    </w:p>
    <w:p w14:paraId="302E4EA2" w14:textId="7B8B71E4" w:rsidR="00B9046F" w:rsidRPr="00B9046F" w:rsidRDefault="00B9046F" w:rsidP="0031358E">
      <w:pPr>
        <w:rPr>
          <w:rFonts w:cs="Arial"/>
          <w:sz w:val="22"/>
          <w:szCs w:val="22"/>
        </w:rPr>
      </w:pPr>
    </w:p>
    <w:p w14:paraId="736B0E23" w14:textId="2D3E7846" w:rsidR="001C7D96" w:rsidRPr="001931C5" w:rsidRDefault="001C7D96" w:rsidP="001C7D9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_Ref130804702 \r \h </w:instrText>
      </w:r>
      <w:r>
        <w:rPr>
          <w:rFonts w:cs="Arial"/>
          <w:sz w:val="22"/>
          <w:szCs w:val="22"/>
        </w:rPr>
      </w:r>
      <w:r>
        <w:rPr>
          <w:rFonts w:cs="Arial"/>
          <w:sz w:val="22"/>
          <w:szCs w:val="22"/>
        </w:rPr>
        <w:fldChar w:fldCharType="separate"/>
      </w:r>
      <w:r w:rsidR="007651EA">
        <w:rPr>
          <w:rFonts w:cs="Arial"/>
          <w:sz w:val="22"/>
          <w:szCs w:val="22"/>
        </w:rPr>
        <w:t>14.4.1.1</w:t>
      </w:r>
      <w:r>
        <w:rPr>
          <w:rFonts w:cs="Arial"/>
          <w:sz w:val="22"/>
          <w:szCs w:val="22"/>
        </w:rPr>
        <w:fldChar w:fldCharType="end"/>
      </w:r>
      <w:r>
        <w:rPr>
          <w:rFonts w:cs="Arial"/>
          <w:sz w:val="22"/>
          <w:szCs w:val="22"/>
        </w:rPr>
        <w:t>.</w:t>
      </w:r>
    </w:p>
    <w:p w14:paraId="6D0A46D4" w14:textId="77777777" w:rsidR="001C7D96" w:rsidRDefault="001C7D96" w:rsidP="001C7D96">
      <w:pPr>
        <w:rPr>
          <w:rFonts w:cs="Arial"/>
          <w:sz w:val="22"/>
          <w:szCs w:val="22"/>
        </w:rPr>
      </w:pPr>
    </w:p>
    <w:p w14:paraId="14CCEB45" w14:textId="77777777" w:rsidR="0031358E" w:rsidRDefault="0031358E" w:rsidP="0031358E">
      <w:pPr>
        <w:rPr>
          <w:rFonts w:cs="Arial"/>
          <w:sz w:val="22"/>
          <w:szCs w:val="22"/>
        </w:rPr>
      </w:pPr>
    </w:p>
    <w:p w14:paraId="466DCCDD" w14:textId="77777777" w:rsidR="0031358E" w:rsidRDefault="0031358E" w:rsidP="0031358E">
      <w:pPr>
        <w:pStyle w:val="Ttulo2"/>
      </w:pPr>
      <w:bookmarkStart w:id="690" w:name="_Toc140506372"/>
      <w:r w:rsidRPr="0031358E">
        <w:t>TERPEL</w:t>
      </w:r>
      <w:bookmarkEnd w:id="690"/>
      <w:r w:rsidRPr="0031358E">
        <w:tab/>
      </w:r>
    </w:p>
    <w:p w14:paraId="38ABB774" w14:textId="77777777" w:rsidR="0031358E" w:rsidRDefault="0031358E" w:rsidP="0031358E">
      <w:pPr>
        <w:pStyle w:val="Ttulo4"/>
      </w:pPr>
      <w:bookmarkStart w:id="691" w:name="_Ref130804702"/>
      <w:r w:rsidRPr="0031358E">
        <w:t>TERPEL</w:t>
      </w:r>
      <w:bookmarkEnd w:id="691"/>
      <w:r w:rsidRPr="0031358E">
        <w:tab/>
      </w:r>
    </w:p>
    <w:p w14:paraId="2C937FDD" w14:textId="6EF4568C" w:rsidR="0031358E" w:rsidRPr="001C7D96" w:rsidRDefault="0050362C" w:rsidP="0031358E">
      <w:pPr>
        <w:rPr>
          <w:rFonts w:cs="Arial"/>
          <w:i/>
          <w:iCs/>
          <w:sz w:val="22"/>
          <w:szCs w:val="22"/>
        </w:rPr>
      </w:pPr>
      <w:r>
        <w:rPr>
          <w:rFonts w:cs="Arial"/>
          <w:i/>
          <w:iCs/>
          <w:sz w:val="22"/>
          <w:szCs w:val="22"/>
        </w:rPr>
        <w:t>“</w:t>
      </w:r>
      <w:r w:rsidR="0031358E" w:rsidRPr="001C7D96">
        <w:rPr>
          <w:rFonts w:cs="Arial"/>
          <w:i/>
          <w:iCs/>
          <w:sz w:val="22"/>
          <w:szCs w:val="22"/>
        </w:rPr>
        <w:t xml:space="preserve">En el texto dice </w:t>
      </w:r>
      <w:r>
        <w:rPr>
          <w:rFonts w:cs="Arial"/>
          <w:i/>
          <w:iCs/>
          <w:sz w:val="22"/>
          <w:szCs w:val="22"/>
        </w:rPr>
        <w:t>‘</w:t>
      </w:r>
      <w:r w:rsidR="0031358E" w:rsidRPr="001C7D96">
        <w:rPr>
          <w:rFonts w:cs="Arial"/>
          <w:i/>
          <w:iCs/>
          <w:sz w:val="22"/>
          <w:szCs w:val="22"/>
        </w:rPr>
        <w:t>articulo 1313</w:t>
      </w:r>
      <w:r>
        <w:rPr>
          <w:rFonts w:cs="Arial"/>
          <w:i/>
          <w:iCs/>
          <w:sz w:val="22"/>
          <w:szCs w:val="22"/>
        </w:rPr>
        <w:t>’</w:t>
      </w:r>
      <w:r w:rsidR="0031358E" w:rsidRPr="001C7D96">
        <w:rPr>
          <w:rFonts w:cs="Arial"/>
          <w:i/>
          <w:iCs/>
          <w:sz w:val="22"/>
          <w:szCs w:val="22"/>
        </w:rPr>
        <w:t xml:space="preserve"> pero no existe en esta resolución.</w:t>
      </w:r>
      <w:r w:rsidR="003A723A">
        <w:rPr>
          <w:rFonts w:cs="Arial"/>
          <w:i/>
          <w:iCs/>
          <w:sz w:val="22"/>
          <w:szCs w:val="22"/>
        </w:rPr>
        <w:t>”</w:t>
      </w:r>
    </w:p>
    <w:p w14:paraId="43591055" w14:textId="4AD46DFC" w:rsidR="001C7D96" w:rsidRDefault="001C7D96" w:rsidP="0031358E">
      <w:pPr>
        <w:rPr>
          <w:rFonts w:cs="Arial"/>
          <w:sz w:val="22"/>
          <w:szCs w:val="22"/>
        </w:rPr>
      </w:pPr>
    </w:p>
    <w:p w14:paraId="528C45F8" w14:textId="3784548B" w:rsidR="001C7D96" w:rsidRPr="001C7D96" w:rsidRDefault="001C7D96" w:rsidP="0031358E">
      <w:pPr>
        <w:rPr>
          <w:rFonts w:cs="Arial"/>
          <w:b/>
          <w:bCs/>
          <w:sz w:val="22"/>
          <w:szCs w:val="22"/>
        </w:rPr>
      </w:pPr>
      <w:r w:rsidRPr="001C7D96">
        <w:rPr>
          <w:rFonts w:cs="Arial"/>
          <w:b/>
          <w:bCs/>
          <w:sz w:val="22"/>
          <w:szCs w:val="22"/>
        </w:rPr>
        <w:t>Respuesta:</w:t>
      </w:r>
    </w:p>
    <w:p w14:paraId="6AAC266B" w14:textId="6B59970A" w:rsidR="001C7D96" w:rsidRDefault="001C7D96" w:rsidP="0031358E">
      <w:pPr>
        <w:rPr>
          <w:rFonts w:cs="Arial"/>
          <w:sz w:val="22"/>
          <w:szCs w:val="22"/>
        </w:rPr>
      </w:pPr>
    </w:p>
    <w:p w14:paraId="3D76821A" w14:textId="11998FDC" w:rsidR="001C7D96" w:rsidRPr="001931C5" w:rsidRDefault="001C7D96" w:rsidP="001C7D9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_Ref130804702 \r \h </w:instrText>
      </w:r>
      <w:r>
        <w:rPr>
          <w:rFonts w:cs="Arial"/>
          <w:sz w:val="22"/>
          <w:szCs w:val="22"/>
        </w:rPr>
      </w:r>
      <w:r>
        <w:rPr>
          <w:rFonts w:cs="Arial"/>
          <w:sz w:val="22"/>
          <w:szCs w:val="22"/>
        </w:rPr>
        <w:fldChar w:fldCharType="separate"/>
      </w:r>
      <w:r w:rsidR="007651EA">
        <w:rPr>
          <w:rFonts w:cs="Arial"/>
          <w:sz w:val="22"/>
          <w:szCs w:val="22"/>
        </w:rPr>
        <w:t>14.4.1.1</w:t>
      </w:r>
      <w:r>
        <w:rPr>
          <w:rFonts w:cs="Arial"/>
          <w:sz w:val="22"/>
          <w:szCs w:val="22"/>
        </w:rPr>
        <w:fldChar w:fldCharType="end"/>
      </w:r>
      <w:r>
        <w:rPr>
          <w:rFonts w:cs="Arial"/>
          <w:sz w:val="22"/>
          <w:szCs w:val="22"/>
        </w:rPr>
        <w:t>.</w:t>
      </w:r>
    </w:p>
    <w:p w14:paraId="769FCBC7" w14:textId="77777777" w:rsidR="001C7D96" w:rsidRPr="0031358E" w:rsidRDefault="001C7D96" w:rsidP="0031358E">
      <w:pPr>
        <w:rPr>
          <w:rFonts w:cs="Arial"/>
          <w:sz w:val="22"/>
          <w:szCs w:val="22"/>
        </w:rPr>
      </w:pPr>
    </w:p>
    <w:p w14:paraId="5CDBE781" w14:textId="77777777" w:rsidR="0031358E" w:rsidRDefault="0031358E" w:rsidP="0031358E">
      <w:pPr>
        <w:rPr>
          <w:rFonts w:cs="Arial"/>
          <w:sz w:val="22"/>
          <w:szCs w:val="22"/>
        </w:rPr>
      </w:pPr>
    </w:p>
    <w:p w14:paraId="58BA563C" w14:textId="77777777" w:rsidR="0031358E" w:rsidRDefault="0031358E" w:rsidP="0031358E">
      <w:pPr>
        <w:pStyle w:val="Ttulo4"/>
      </w:pPr>
      <w:r w:rsidRPr="0031358E">
        <w:t>TERPEL</w:t>
      </w:r>
      <w:r w:rsidRPr="0031358E">
        <w:tab/>
      </w:r>
    </w:p>
    <w:p w14:paraId="0D72DE7B" w14:textId="51780BBE" w:rsidR="00D26961" w:rsidRPr="001C7D96" w:rsidRDefault="003A723A" w:rsidP="0031358E">
      <w:pPr>
        <w:rPr>
          <w:rFonts w:cs="Arial"/>
          <w:i/>
          <w:iCs/>
          <w:sz w:val="22"/>
          <w:szCs w:val="22"/>
        </w:rPr>
      </w:pPr>
      <w:r>
        <w:rPr>
          <w:rFonts w:cs="Arial"/>
          <w:i/>
          <w:iCs/>
          <w:sz w:val="22"/>
          <w:szCs w:val="22"/>
        </w:rPr>
        <w:t>“</w:t>
      </w:r>
      <w:r w:rsidR="0031358E" w:rsidRPr="001C7D96">
        <w:rPr>
          <w:rFonts w:cs="Arial"/>
          <w:i/>
          <w:iCs/>
          <w:sz w:val="22"/>
          <w:szCs w:val="22"/>
        </w:rPr>
        <w:t>Además de usuarios regulados, debería incluir demanda esencial.</w:t>
      </w:r>
      <w:r>
        <w:rPr>
          <w:rFonts w:cs="Arial"/>
          <w:i/>
          <w:iCs/>
          <w:sz w:val="22"/>
          <w:szCs w:val="22"/>
        </w:rPr>
        <w:t>”</w:t>
      </w:r>
    </w:p>
    <w:p w14:paraId="53D45BBD" w14:textId="14D0537B" w:rsidR="001C7D96" w:rsidRDefault="001C7D96" w:rsidP="0031358E">
      <w:pPr>
        <w:rPr>
          <w:rFonts w:cs="Arial"/>
          <w:sz w:val="22"/>
          <w:szCs w:val="22"/>
        </w:rPr>
      </w:pPr>
    </w:p>
    <w:p w14:paraId="171F45CA" w14:textId="5ED198E7" w:rsidR="001C7D96" w:rsidRPr="001C7D96" w:rsidRDefault="001C7D96" w:rsidP="0031358E">
      <w:pPr>
        <w:rPr>
          <w:rFonts w:cs="Arial"/>
          <w:b/>
          <w:bCs/>
          <w:sz w:val="22"/>
          <w:szCs w:val="22"/>
        </w:rPr>
      </w:pPr>
      <w:r w:rsidRPr="001C7D96">
        <w:rPr>
          <w:rFonts w:cs="Arial"/>
          <w:b/>
          <w:bCs/>
          <w:sz w:val="22"/>
          <w:szCs w:val="22"/>
        </w:rPr>
        <w:t>Respuesta:</w:t>
      </w:r>
    </w:p>
    <w:p w14:paraId="29E3D1ED" w14:textId="33C67B42" w:rsidR="001C7D96" w:rsidRDefault="001C7D96" w:rsidP="0031358E">
      <w:pPr>
        <w:rPr>
          <w:rFonts w:cs="Arial"/>
          <w:sz w:val="22"/>
          <w:szCs w:val="22"/>
        </w:rPr>
      </w:pPr>
    </w:p>
    <w:p w14:paraId="725BCB37" w14:textId="24D48E3C" w:rsidR="0031358E" w:rsidRDefault="003B669C" w:rsidP="00371CB5">
      <w:pPr>
        <w:rPr>
          <w:rFonts w:cs="Arial"/>
          <w:b/>
          <w:bCs/>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_Ref130804828 \r \h </w:instrText>
      </w:r>
      <w:r>
        <w:rPr>
          <w:rFonts w:cs="Arial"/>
          <w:sz w:val="22"/>
          <w:szCs w:val="22"/>
        </w:rPr>
      </w:r>
      <w:r>
        <w:rPr>
          <w:rFonts w:cs="Arial"/>
          <w:sz w:val="22"/>
          <w:szCs w:val="22"/>
        </w:rPr>
        <w:fldChar w:fldCharType="separate"/>
      </w:r>
      <w:r w:rsidR="007651EA">
        <w:rPr>
          <w:rFonts w:cs="Arial"/>
          <w:sz w:val="22"/>
          <w:szCs w:val="22"/>
        </w:rPr>
        <w:t>14.2.1.1</w:t>
      </w:r>
      <w:r>
        <w:rPr>
          <w:rFonts w:cs="Arial"/>
          <w:sz w:val="22"/>
          <w:szCs w:val="22"/>
        </w:rPr>
        <w:fldChar w:fldCharType="end"/>
      </w:r>
      <w:r>
        <w:rPr>
          <w:rFonts w:cs="Arial"/>
          <w:sz w:val="22"/>
          <w:szCs w:val="22"/>
        </w:rPr>
        <w:t>.</w:t>
      </w:r>
    </w:p>
    <w:p w14:paraId="1B2D7A34" w14:textId="3AB5D8AF" w:rsidR="0031358E" w:rsidRDefault="0031358E" w:rsidP="00371CB5">
      <w:pPr>
        <w:rPr>
          <w:rFonts w:cs="Arial"/>
          <w:b/>
          <w:bCs/>
          <w:sz w:val="22"/>
          <w:szCs w:val="22"/>
        </w:rPr>
      </w:pPr>
    </w:p>
    <w:p w14:paraId="0BF9681D" w14:textId="7A1BE9BD" w:rsidR="00D26961" w:rsidRDefault="00D26961" w:rsidP="00371CB5">
      <w:pPr>
        <w:rPr>
          <w:rFonts w:cs="Arial"/>
          <w:b/>
          <w:bCs/>
          <w:sz w:val="22"/>
          <w:szCs w:val="22"/>
        </w:rPr>
      </w:pPr>
    </w:p>
    <w:p w14:paraId="6BEE6AB5" w14:textId="2F70D2BD" w:rsidR="00D26961" w:rsidRDefault="00D26961" w:rsidP="00D26961">
      <w:pPr>
        <w:pStyle w:val="Ttulo1"/>
        <w:numPr>
          <w:ilvl w:val="0"/>
          <w:numId w:val="1"/>
        </w:numPr>
        <w:rPr>
          <w:caps/>
        </w:rPr>
      </w:pPr>
      <w:bookmarkStart w:id="692" w:name="_Toc140506373"/>
      <w:r>
        <w:t xml:space="preserve">ARTÍCULO </w:t>
      </w:r>
      <w:r w:rsidR="00EF1C07">
        <w:t>15</w:t>
      </w:r>
      <w:r>
        <w:t xml:space="preserve">. </w:t>
      </w:r>
      <w:r w:rsidR="0070732E" w:rsidRPr="0070732E">
        <w:rPr>
          <w:caps/>
        </w:rPr>
        <w:t>Actualización de precios</w:t>
      </w:r>
      <w:bookmarkEnd w:id="692"/>
    </w:p>
    <w:p w14:paraId="63A7C403" w14:textId="77777777" w:rsidR="00496211" w:rsidRDefault="00496211" w:rsidP="00496211">
      <w:pPr>
        <w:pStyle w:val="Ttulo2"/>
      </w:pPr>
      <w:bookmarkStart w:id="693" w:name="_Toc140506374"/>
      <w:r w:rsidRPr="00496211">
        <w:t>ACP</w:t>
      </w:r>
      <w:bookmarkEnd w:id="693"/>
      <w:r w:rsidRPr="00496211">
        <w:tab/>
      </w:r>
    </w:p>
    <w:p w14:paraId="13DDE648" w14:textId="77777777" w:rsidR="00496211" w:rsidRDefault="00496211" w:rsidP="00496211">
      <w:pPr>
        <w:pStyle w:val="Ttulo4"/>
      </w:pPr>
      <w:r w:rsidRPr="00496211">
        <w:t>ACP</w:t>
      </w:r>
      <w:r w:rsidRPr="00496211">
        <w:tab/>
      </w:r>
    </w:p>
    <w:p w14:paraId="3D09A617" w14:textId="5DA02491" w:rsidR="00496211" w:rsidRPr="00D65E7B" w:rsidRDefault="00496211" w:rsidP="00496211">
      <w:pPr>
        <w:rPr>
          <w:rFonts w:cs="Arial"/>
          <w:i/>
          <w:iCs/>
          <w:sz w:val="22"/>
          <w:szCs w:val="22"/>
        </w:rPr>
      </w:pPr>
      <w:r w:rsidRPr="00496211">
        <w:rPr>
          <w:rFonts w:cs="Arial"/>
          <w:sz w:val="22"/>
          <w:szCs w:val="22"/>
        </w:rPr>
        <w:t>"</w:t>
      </w:r>
      <w:r w:rsidRPr="00D65E7B">
        <w:rPr>
          <w:rFonts w:cs="Arial"/>
          <w:i/>
          <w:iCs/>
          <w:sz w:val="22"/>
          <w:szCs w:val="22"/>
        </w:rPr>
        <w:t>Actualización de precios:</w:t>
      </w:r>
    </w:p>
    <w:p w14:paraId="36359480" w14:textId="77777777" w:rsidR="00496211" w:rsidRPr="00D65E7B" w:rsidRDefault="00496211" w:rsidP="00496211">
      <w:pPr>
        <w:rPr>
          <w:rFonts w:cs="Arial"/>
          <w:i/>
          <w:iCs/>
          <w:sz w:val="22"/>
          <w:szCs w:val="22"/>
        </w:rPr>
      </w:pPr>
      <w:r w:rsidRPr="00D65E7B">
        <w:rPr>
          <w:rFonts w:cs="Arial"/>
          <w:i/>
          <w:iCs/>
          <w:sz w:val="22"/>
          <w:szCs w:val="22"/>
        </w:rPr>
        <w:t xml:space="preserve"> - Cual es el valor alfa y beta propuesto por la CREG? Para los que opten por la segunda forma de actualización de precios no hay claridad sobre el valor de estos dos factores.</w:t>
      </w:r>
    </w:p>
    <w:p w14:paraId="408ECBAA" w14:textId="77777777" w:rsidR="00496211" w:rsidRPr="00D65E7B" w:rsidRDefault="00496211" w:rsidP="00496211">
      <w:pPr>
        <w:rPr>
          <w:rFonts w:cs="Arial"/>
          <w:i/>
          <w:iCs/>
          <w:sz w:val="22"/>
          <w:szCs w:val="22"/>
        </w:rPr>
      </w:pPr>
    </w:p>
    <w:p w14:paraId="41281871" w14:textId="614651D4" w:rsidR="00496211" w:rsidRDefault="00496211" w:rsidP="00496211">
      <w:pPr>
        <w:rPr>
          <w:rFonts w:cs="Arial"/>
          <w:sz w:val="22"/>
          <w:szCs w:val="22"/>
        </w:rPr>
      </w:pPr>
      <w:r w:rsidRPr="00D65E7B">
        <w:rPr>
          <w:rFonts w:cs="Arial"/>
          <w:i/>
          <w:iCs/>
          <w:sz w:val="22"/>
          <w:szCs w:val="22"/>
        </w:rPr>
        <w:t xml:space="preserve"> - Sugerimos revisar la posibilidad de que las partes acuerden libremente la actualización de precios, además de las alternativas propuestas en el Anexo 3</w:t>
      </w:r>
      <w:r w:rsidRPr="00496211">
        <w:rPr>
          <w:rFonts w:cs="Arial"/>
          <w:sz w:val="22"/>
          <w:szCs w:val="22"/>
        </w:rPr>
        <w:t>."</w:t>
      </w:r>
    </w:p>
    <w:p w14:paraId="61BE1D16" w14:textId="38379D84" w:rsidR="00D65E7B" w:rsidRDefault="00D65E7B" w:rsidP="00496211">
      <w:pPr>
        <w:rPr>
          <w:rFonts w:cs="Arial"/>
          <w:sz w:val="22"/>
          <w:szCs w:val="22"/>
        </w:rPr>
      </w:pPr>
    </w:p>
    <w:p w14:paraId="48A2985C" w14:textId="4851DFBE" w:rsidR="00D65E7B" w:rsidRPr="00D65E7B" w:rsidRDefault="00D65E7B" w:rsidP="00496211">
      <w:pPr>
        <w:rPr>
          <w:rFonts w:cs="Arial"/>
          <w:b/>
          <w:bCs/>
          <w:sz w:val="22"/>
          <w:szCs w:val="22"/>
        </w:rPr>
      </w:pPr>
      <w:r w:rsidRPr="00D65E7B">
        <w:rPr>
          <w:rFonts w:cs="Arial"/>
          <w:b/>
          <w:bCs/>
          <w:sz w:val="22"/>
          <w:szCs w:val="22"/>
        </w:rPr>
        <w:t>Respuesta:</w:t>
      </w:r>
    </w:p>
    <w:p w14:paraId="0801598A" w14:textId="36D4AA9F" w:rsidR="00D65E7B" w:rsidRDefault="00D65E7B" w:rsidP="00496211">
      <w:pPr>
        <w:rPr>
          <w:rFonts w:cs="Arial"/>
          <w:sz w:val="22"/>
          <w:szCs w:val="22"/>
        </w:rPr>
      </w:pPr>
    </w:p>
    <w:p w14:paraId="17A2650A" w14:textId="6EE5D0B7" w:rsidR="00D65E7B" w:rsidRDefault="00D65E7B" w:rsidP="00496211">
      <w:pPr>
        <w:rPr>
          <w:rFonts w:cs="Arial"/>
          <w:sz w:val="22"/>
          <w:szCs w:val="22"/>
        </w:rPr>
      </w:pPr>
      <w:r>
        <w:rPr>
          <w:rFonts w:cs="Arial"/>
          <w:sz w:val="22"/>
          <w:szCs w:val="22"/>
        </w:rPr>
        <w:t>Se acoge el comentario.</w:t>
      </w:r>
    </w:p>
    <w:p w14:paraId="0184F7BE" w14:textId="6520DFDB" w:rsidR="00D65E7B" w:rsidRDefault="00D65E7B" w:rsidP="00496211">
      <w:pPr>
        <w:rPr>
          <w:rFonts w:cs="Arial"/>
          <w:sz w:val="22"/>
          <w:szCs w:val="22"/>
        </w:rPr>
      </w:pPr>
    </w:p>
    <w:p w14:paraId="3938B85D" w14:textId="7792D096" w:rsidR="00D65E7B" w:rsidRPr="00496211" w:rsidRDefault="00AD575E" w:rsidP="00496211">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sidR="007651EA">
        <w:rPr>
          <w:rFonts w:cs="Arial"/>
          <w:sz w:val="22"/>
          <w:szCs w:val="22"/>
        </w:rPr>
        <w:t>4.19</w:t>
      </w:r>
      <w:r>
        <w:rPr>
          <w:rFonts w:cs="Arial"/>
          <w:sz w:val="22"/>
          <w:szCs w:val="22"/>
        </w:rPr>
        <w:fldChar w:fldCharType="end"/>
      </w:r>
      <w:r>
        <w:rPr>
          <w:rFonts w:cs="Arial"/>
          <w:sz w:val="22"/>
          <w:szCs w:val="22"/>
        </w:rPr>
        <w:t>.</w:t>
      </w:r>
    </w:p>
    <w:p w14:paraId="414F1E63" w14:textId="77777777" w:rsidR="00496211" w:rsidRDefault="00496211" w:rsidP="00496211">
      <w:pPr>
        <w:rPr>
          <w:rFonts w:cs="Arial"/>
          <w:sz w:val="22"/>
          <w:szCs w:val="22"/>
        </w:rPr>
      </w:pPr>
    </w:p>
    <w:p w14:paraId="2416BEE3" w14:textId="77777777" w:rsidR="00496211" w:rsidRDefault="00496211" w:rsidP="00496211">
      <w:pPr>
        <w:rPr>
          <w:rFonts w:cs="Arial"/>
          <w:sz w:val="22"/>
          <w:szCs w:val="22"/>
        </w:rPr>
      </w:pPr>
    </w:p>
    <w:p w14:paraId="4F7135D2" w14:textId="77777777" w:rsidR="00496211" w:rsidRDefault="00496211" w:rsidP="00496211">
      <w:pPr>
        <w:pStyle w:val="Ttulo2"/>
      </w:pPr>
      <w:bookmarkStart w:id="694" w:name="_Toc140506375"/>
      <w:r w:rsidRPr="00496211">
        <w:t>ALCANOS</w:t>
      </w:r>
      <w:bookmarkEnd w:id="694"/>
      <w:r w:rsidRPr="00496211">
        <w:tab/>
      </w:r>
    </w:p>
    <w:p w14:paraId="11779C58" w14:textId="77777777" w:rsidR="00496211" w:rsidRDefault="00496211" w:rsidP="00496211">
      <w:pPr>
        <w:pStyle w:val="Ttulo4"/>
      </w:pPr>
      <w:r w:rsidRPr="00496211">
        <w:t>ALCANOS</w:t>
      </w:r>
      <w:r w:rsidRPr="00496211">
        <w:tab/>
      </w:r>
    </w:p>
    <w:p w14:paraId="3A3E7F2B" w14:textId="17024815" w:rsidR="00496211" w:rsidRPr="00AD575E" w:rsidRDefault="003A723A" w:rsidP="00496211">
      <w:pPr>
        <w:rPr>
          <w:rFonts w:cs="Arial"/>
          <w:i/>
          <w:iCs/>
          <w:sz w:val="22"/>
          <w:szCs w:val="22"/>
        </w:rPr>
      </w:pPr>
      <w:r>
        <w:rPr>
          <w:rFonts w:cs="Arial"/>
          <w:i/>
          <w:iCs/>
          <w:sz w:val="22"/>
          <w:szCs w:val="22"/>
        </w:rPr>
        <w:t>“</w:t>
      </w:r>
      <w:r w:rsidR="00496211" w:rsidRPr="00AD575E">
        <w:rPr>
          <w:rFonts w:cs="Arial"/>
          <w:i/>
          <w:iCs/>
          <w:sz w:val="22"/>
          <w:szCs w:val="22"/>
        </w:rPr>
        <w:t>Para efectos de claridad, Se sugiere que las excepciones a la actualización se incluyan en este artículo, de forma que el tema sea tratado de manera integral en esta parte del documento, y que la resolución pueda ser más clara.</w:t>
      </w:r>
      <w:r>
        <w:rPr>
          <w:rFonts w:cs="Arial"/>
          <w:i/>
          <w:iCs/>
          <w:sz w:val="22"/>
          <w:szCs w:val="22"/>
        </w:rPr>
        <w:t>”</w:t>
      </w:r>
    </w:p>
    <w:p w14:paraId="1EF8737B" w14:textId="3C72EDBB" w:rsidR="00AD575E" w:rsidRDefault="00AD575E" w:rsidP="00496211">
      <w:pPr>
        <w:rPr>
          <w:rFonts w:cs="Arial"/>
          <w:sz w:val="22"/>
          <w:szCs w:val="22"/>
        </w:rPr>
      </w:pPr>
    </w:p>
    <w:p w14:paraId="2016F3AE" w14:textId="1A8E4023" w:rsidR="00AD575E" w:rsidRPr="00AD575E" w:rsidRDefault="00AD575E" w:rsidP="00496211">
      <w:pPr>
        <w:rPr>
          <w:rFonts w:cs="Arial"/>
          <w:b/>
          <w:bCs/>
          <w:sz w:val="22"/>
          <w:szCs w:val="22"/>
        </w:rPr>
      </w:pPr>
      <w:r w:rsidRPr="00AD575E">
        <w:rPr>
          <w:rFonts w:cs="Arial"/>
          <w:b/>
          <w:bCs/>
          <w:sz w:val="22"/>
          <w:szCs w:val="22"/>
        </w:rPr>
        <w:t>Respuesta:</w:t>
      </w:r>
    </w:p>
    <w:p w14:paraId="5E3F4752" w14:textId="3C9FEF01" w:rsidR="00AD575E" w:rsidRDefault="00AD575E" w:rsidP="00496211">
      <w:pPr>
        <w:rPr>
          <w:rFonts w:cs="Arial"/>
          <w:sz w:val="22"/>
          <w:szCs w:val="22"/>
        </w:rPr>
      </w:pPr>
    </w:p>
    <w:p w14:paraId="6BFB6F71" w14:textId="77777777" w:rsidR="007132D4" w:rsidRDefault="007132D4" w:rsidP="007132D4">
      <w:pPr>
        <w:rPr>
          <w:rFonts w:cs="Arial"/>
          <w:sz w:val="22"/>
          <w:szCs w:val="22"/>
        </w:rPr>
      </w:pPr>
      <w:r>
        <w:rPr>
          <w:rFonts w:cs="Arial"/>
          <w:sz w:val="22"/>
          <w:szCs w:val="22"/>
        </w:rPr>
        <w:t>Se acoge el comentario.</w:t>
      </w:r>
    </w:p>
    <w:p w14:paraId="27EF3D9C" w14:textId="77777777" w:rsidR="007132D4" w:rsidRDefault="007132D4" w:rsidP="007132D4">
      <w:pPr>
        <w:rPr>
          <w:rFonts w:cs="Arial"/>
          <w:sz w:val="22"/>
          <w:szCs w:val="22"/>
        </w:rPr>
      </w:pPr>
    </w:p>
    <w:p w14:paraId="201B5161" w14:textId="2E24E135" w:rsidR="007132D4" w:rsidRPr="00496211" w:rsidRDefault="007132D4" w:rsidP="007132D4">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sidR="007651EA">
        <w:rPr>
          <w:rFonts w:cs="Arial"/>
          <w:sz w:val="22"/>
          <w:szCs w:val="22"/>
        </w:rPr>
        <w:t>4.19</w:t>
      </w:r>
      <w:r>
        <w:rPr>
          <w:rFonts w:cs="Arial"/>
          <w:sz w:val="22"/>
          <w:szCs w:val="22"/>
        </w:rPr>
        <w:fldChar w:fldCharType="end"/>
      </w:r>
      <w:r>
        <w:rPr>
          <w:rFonts w:cs="Arial"/>
          <w:sz w:val="22"/>
          <w:szCs w:val="22"/>
        </w:rPr>
        <w:t>.</w:t>
      </w:r>
    </w:p>
    <w:p w14:paraId="0FBC8F3F" w14:textId="77777777" w:rsidR="00496211" w:rsidRDefault="00496211" w:rsidP="00496211">
      <w:pPr>
        <w:rPr>
          <w:rFonts w:cs="Arial"/>
          <w:sz w:val="22"/>
          <w:szCs w:val="22"/>
        </w:rPr>
      </w:pPr>
    </w:p>
    <w:p w14:paraId="7E594E3A" w14:textId="77777777" w:rsidR="00496211" w:rsidRDefault="00496211" w:rsidP="00496211">
      <w:pPr>
        <w:rPr>
          <w:rFonts w:cs="Arial"/>
          <w:sz w:val="22"/>
          <w:szCs w:val="22"/>
        </w:rPr>
      </w:pPr>
    </w:p>
    <w:p w14:paraId="7FEFCECB" w14:textId="77777777" w:rsidR="00496211" w:rsidRDefault="00496211" w:rsidP="00496211">
      <w:pPr>
        <w:pStyle w:val="Ttulo2"/>
      </w:pPr>
      <w:bookmarkStart w:id="695" w:name="_Toc140506376"/>
      <w:r w:rsidRPr="00496211">
        <w:t>ASOENERGIA</w:t>
      </w:r>
      <w:bookmarkEnd w:id="695"/>
      <w:r w:rsidRPr="00496211">
        <w:tab/>
      </w:r>
    </w:p>
    <w:p w14:paraId="0990BB4A" w14:textId="77777777" w:rsidR="00496211" w:rsidRDefault="00496211" w:rsidP="00496211">
      <w:pPr>
        <w:pStyle w:val="Ttulo4"/>
      </w:pPr>
      <w:r w:rsidRPr="00496211">
        <w:t>ASOENERGIA</w:t>
      </w:r>
      <w:r w:rsidRPr="00496211">
        <w:tab/>
      </w:r>
    </w:p>
    <w:p w14:paraId="0AA15F7A" w14:textId="50514BE5" w:rsidR="00496211" w:rsidRDefault="003A723A" w:rsidP="00496211">
      <w:pPr>
        <w:rPr>
          <w:rFonts w:cs="Arial"/>
          <w:i/>
          <w:iCs/>
          <w:sz w:val="22"/>
          <w:szCs w:val="22"/>
        </w:rPr>
      </w:pPr>
      <w:r>
        <w:rPr>
          <w:rFonts w:cs="Arial"/>
          <w:i/>
          <w:iCs/>
          <w:sz w:val="22"/>
          <w:szCs w:val="22"/>
        </w:rPr>
        <w:t>“</w:t>
      </w:r>
      <w:r w:rsidR="00496211" w:rsidRPr="007132D4">
        <w:rPr>
          <w:rFonts w:cs="Arial"/>
          <w:i/>
          <w:iCs/>
          <w:sz w:val="22"/>
          <w:szCs w:val="22"/>
        </w:rPr>
        <w:t>Teniendo en cuenta el contexto nacional e internacional, el cual está enmarcado por una inflación alta fruto de diferentes razones (Pandemia, guerra en Ucrania y por consiguiente escasez de materias primas, entre otros aspectos) y para el cual conllevó a un incremento en los contratos de suministro de aprox. del 10% por la aplicación del PPI americano. Sin duda alguna, el alto incremento del costo del gas natural por estas razones se prevé que continúe durante los siguientes años y se le debe dar una salida a los agentes poder mitigarlo.</w:t>
      </w:r>
    </w:p>
    <w:p w14:paraId="6EF12106" w14:textId="338CE448" w:rsidR="004E6498" w:rsidRDefault="004E6498" w:rsidP="00496211">
      <w:pPr>
        <w:rPr>
          <w:rFonts w:cs="Arial"/>
          <w:i/>
          <w:iCs/>
          <w:sz w:val="22"/>
          <w:szCs w:val="22"/>
        </w:rPr>
      </w:pPr>
    </w:p>
    <w:p w14:paraId="3F1E76CC" w14:textId="793C4F89" w:rsidR="004E6498" w:rsidRPr="007132D4" w:rsidRDefault="004E6498" w:rsidP="00496211">
      <w:pPr>
        <w:rPr>
          <w:rFonts w:cs="Arial"/>
          <w:i/>
          <w:iCs/>
          <w:sz w:val="22"/>
          <w:szCs w:val="22"/>
        </w:rPr>
      </w:pPr>
      <w:r w:rsidRPr="004E6498">
        <w:rPr>
          <w:rFonts w:cs="Arial"/>
          <w:i/>
          <w:iCs/>
          <w:sz w:val="22"/>
          <w:szCs w:val="22"/>
        </w:rPr>
        <w:t>Solicitamos que pongan en consideración la posibilidad de negociar bilateralmente, además de los parámetros establecidos en el Anexo 3, un valor constante como indexador o cualquier otro indicador que las partes consideren conveniente y, en caso de un no acuerdo, lo establecido en dicho Anexo.</w:t>
      </w:r>
      <w:r w:rsidR="00E90037">
        <w:rPr>
          <w:rFonts w:cs="Arial"/>
          <w:i/>
          <w:iCs/>
          <w:sz w:val="22"/>
          <w:szCs w:val="22"/>
        </w:rPr>
        <w:t>”</w:t>
      </w:r>
    </w:p>
    <w:p w14:paraId="33DB8B15" w14:textId="08737C73" w:rsidR="007132D4" w:rsidRDefault="007132D4" w:rsidP="00496211">
      <w:pPr>
        <w:rPr>
          <w:rFonts w:cs="Arial"/>
          <w:sz w:val="22"/>
          <w:szCs w:val="22"/>
        </w:rPr>
      </w:pPr>
    </w:p>
    <w:p w14:paraId="5179F6C2" w14:textId="0951D7B6" w:rsidR="007132D4" w:rsidRPr="007132D4" w:rsidRDefault="007132D4" w:rsidP="00496211">
      <w:pPr>
        <w:rPr>
          <w:rFonts w:cs="Arial"/>
          <w:b/>
          <w:bCs/>
          <w:sz w:val="22"/>
          <w:szCs w:val="22"/>
        </w:rPr>
      </w:pPr>
      <w:r w:rsidRPr="007132D4">
        <w:rPr>
          <w:rFonts w:cs="Arial"/>
          <w:b/>
          <w:bCs/>
          <w:sz w:val="22"/>
          <w:szCs w:val="22"/>
        </w:rPr>
        <w:t>Respuesta:</w:t>
      </w:r>
    </w:p>
    <w:p w14:paraId="23CD28FA" w14:textId="10A9B9B8" w:rsidR="007132D4" w:rsidRDefault="007132D4" w:rsidP="00496211">
      <w:pPr>
        <w:rPr>
          <w:rFonts w:cs="Arial"/>
          <w:sz w:val="22"/>
          <w:szCs w:val="22"/>
        </w:rPr>
      </w:pPr>
    </w:p>
    <w:p w14:paraId="6852E940" w14:textId="77777777" w:rsidR="00004454" w:rsidRDefault="00004454" w:rsidP="00004454">
      <w:pPr>
        <w:rPr>
          <w:rFonts w:cs="Arial"/>
          <w:sz w:val="22"/>
          <w:szCs w:val="22"/>
        </w:rPr>
      </w:pPr>
      <w:r>
        <w:rPr>
          <w:rFonts w:cs="Arial"/>
          <w:sz w:val="22"/>
          <w:szCs w:val="22"/>
        </w:rPr>
        <w:t>Se acoge el comentario.</w:t>
      </w:r>
    </w:p>
    <w:p w14:paraId="4FCB2812" w14:textId="77777777" w:rsidR="00004454" w:rsidRDefault="00004454" w:rsidP="00004454">
      <w:pPr>
        <w:rPr>
          <w:rFonts w:cs="Arial"/>
          <w:sz w:val="22"/>
          <w:szCs w:val="22"/>
        </w:rPr>
      </w:pPr>
    </w:p>
    <w:p w14:paraId="3FCD22FD" w14:textId="591D118F" w:rsidR="00004454" w:rsidRPr="00496211" w:rsidRDefault="00004454" w:rsidP="00004454">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sidR="007651EA">
        <w:rPr>
          <w:rFonts w:cs="Arial"/>
          <w:sz w:val="22"/>
          <w:szCs w:val="22"/>
        </w:rPr>
        <w:t>4.19</w:t>
      </w:r>
      <w:r>
        <w:rPr>
          <w:rFonts w:cs="Arial"/>
          <w:sz w:val="22"/>
          <w:szCs w:val="22"/>
        </w:rPr>
        <w:fldChar w:fldCharType="end"/>
      </w:r>
      <w:r>
        <w:rPr>
          <w:rFonts w:cs="Arial"/>
          <w:sz w:val="22"/>
          <w:szCs w:val="22"/>
        </w:rPr>
        <w:t>.</w:t>
      </w:r>
    </w:p>
    <w:p w14:paraId="1A970BDB" w14:textId="77777777" w:rsidR="00496211" w:rsidRDefault="00496211" w:rsidP="00496211">
      <w:pPr>
        <w:rPr>
          <w:rFonts w:cs="Arial"/>
          <w:sz w:val="22"/>
          <w:szCs w:val="22"/>
        </w:rPr>
      </w:pPr>
    </w:p>
    <w:p w14:paraId="54A1C3BA" w14:textId="77777777" w:rsidR="00496211" w:rsidRDefault="00496211" w:rsidP="00496211">
      <w:pPr>
        <w:rPr>
          <w:rFonts w:cs="Arial"/>
          <w:sz w:val="22"/>
          <w:szCs w:val="22"/>
        </w:rPr>
      </w:pPr>
    </w:p>
    <w:p w14:paraId="61204046" w14:textId="77777777" w:rsidR="00496211" w:rsidRDefault="00496211" w:rsidP="00496211">
      <w:pPr>
        <w:pStyle w:val="Ttulo2"/>
      </w:pPr>
      <w:bookmarkStart w:id="696" w:name="_Toc140506377"/>
      <w:r w:rsidRPr="00496211">
        <w:t>ECOPETROL</w:t>
      </w:r>
      <w:bookmarkEnd w:id="696"/>
      <w:r w:rsidRPr="00496211">
        <w:tab/>
      </w:r>
    </w:p>
    <w:p w14:paraId="731115E9" w14:textId="77777777" w:rsidR="00496211" w:rsidRDefault="00496211" w:rsidP="00496211">
      <w:pPr>
        <w:pStyle w:val="Ttulo4"/>
      </w:pPr>
      <w:r w:rsidRPr="00496211">
        <w:t>ECOPETROL</w:t>
      </w:r>
      <w:r w:rsidRPr="00496211">
        <w:tab/>
      </w:r>
    </w:p>
    <w:p w14:paraId="6BD89067" w14:textId="4AB73548" w:rsidR="00496211" w:rsidRPr="00004454" w:rsidRDefault="00496211" w:rsidP="00496211">
      <w:pPr>
        <w:rPr>
          <w:rFonts w:cs="Arial"/>
          <w:i/>
          <w:iCs/>
          <w:sz w:val="22"/>
          <w:szCs w:val="22"/>
        </w:rPr>
      </w:pPr>
      <w:r w:rsidRPr="00004454">
        <w:rPr>
          <w:rFonts w:cs="Arial"/>
          <w:i/>
          <w:iCs/>
          <w:sz w:val="22"/>
          <w:szCs w:val="22"/>
        </w:rPr>
        <w:t>"En el parágrafo del artículo 20 se plantean unas excepciones para algunas fuentes de suministro específicas para efectos de la actualización de precio.</w:t>
      </w:r>
    </w:p>
    <w:p w14:paraId="7183D81B" w14:textId="77777777" w:rsidR="00004454" w:rsidRPr="00004454" w:rsidRDefault="00004454" w:rsidP="00496211">
      <w:pPr>
        <w:rPr>
          <w:rFonts w:cs="Arial"/>
          <w:i/>
          <w:iCs/>
          <w:sz w:val="22"/>
          <w:szCs w:val="22"/>
        </w:rPr>
      </w:pPr>
    </w:p>
    <w:p w14:paraId="6E28AB63" w14:textId="6A06728D" w:rsidR="00496211" w:rsidRPr="00004454" w:rsidRDefault="00496211" w:rsidP="00496211">
      <w:pPr>
        <w:rPr>
          <w:rFonts w:cs="Arial"/>
          <w:i/>
          <w:iCs/>
          <w:sz w:val="22"/>
          <w:szCs w:val="22"/>
        </w:rPr>
      </w:pPr>
      <w:r w:rsidRPr="00004454">
        <w:rPr>
          <w:rFonts w:cs="Arial"/>
          <w:i/>
          <w:iCs/>
          <w:sz w:val="22"/>
          <w:szCs w:val="22"/>
        </w:rPr>
        <w:t>A pesar de lo anterior, esto no se refleja en el artículo 15. En tal sentido, para efectos de consistencia, sugerimos ajustar el artículo 15 e incluir esto en un nuevo parágrafo."</w:t>
      </w:r>
    </w:p>
    <w:p w14:paraId="1465770C" w14:textId="1394C973" w:rsidR="00004454" w:rsidRDefault="00004454" w:rsidP="00496211">
      <w:pPr>
        <w:rPr>
          <w:rFonts w:cs="Arial"/>
          <w:sz w:val="22"/>
          <w:szCs w:val="22"/>
        </w:rPr>
      </w:pPr>
    </w:p>
    <w:p w14:paraId="4E00FC32" w14:textId="0D8A693A" w:rsidR="00004454" w:rsidRPr="00004454" w:rsidRDefault="00004454" w:rsidP="00496211">
      <w:pPr>
        <w:rPr>
          <w:rFonts w:cs="Arial"/>
          <w:b/>
          <w:bCs/>
          <w:sz w:val="22"/>
          <w:szCs w:val="22"/>
        </w:rPr>
      </w:pPr>
      <w:r w:rsidRPr="00004454">
        <w:rPr>
          <w:rFonts w:cs="Arial"/>
          <w:b/>
          <w:bCs/>
          <w:sz w:val="22"/>
          <w:szCs w:val="22"/>
        </w:rPr>
        <w:t>Respuesta:</w:t>
      </w:r>
    </w:p>
    <w:p w14:paraId="11F381C2" w14:textId="45C59EFB" w:rsidR="00004454" w:rsidRDefault="00004454" w:rsidP="00496211">
      <w:pPr>
        <w:rPr>
          <w:rFonts w:cs="Arial"/>
          <w:sz w:val="22"/>
          <w:szCs w:val="22"/>
        </w:rPr>
      </w:pPr>
    </w:p>
    <w:p w14:paraId="3B3921CD" w14:textId="28D32334" w:rsidR="00496211" w:rsidRDefault="00004454" w:rsidP="00496211">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sidR="007651EA">
        <w:rPr>
          <w:rFonts w:cs="Arial"/>
          <w:sz w:val="22"/>
          <w:szCs w:val="22"/>
        </w:rPr>
        <w:t>4.19</w:t>
      </w:r>
      <w:r>
        <w:rPr>
          <w:rFonts w:cs="Arial"/>
          <w:sz w:val="22"/>
          <w:szCs w:val="22"/>
        </w:rPr>
        <w:fldChar w:fldCharType="end"/>
      </w:r>
      <w:r>
        <w:rPr>
          <w:rFonts w:cs="Arial"/>
          <w:sz w:val="22"/>
          <w:szCs w:val="22"/>
        </w:rPr>
        <w:t>.</w:t>
      </w:r>
    </w:p>
    <w:p w14:paraId="5B257512" w14:textId="77777777" w:rsidR="00004454" w:rsidRDefault="00004454" w:rsidP="00496211">
      <w:pPr>
        <w:rPr>
          <w:rFonts w:cs="Arial"/>
          <w:sz w:val="22"/>
          <w:szCs w:val="22"/>
        </w:rPr>
      </w:pPr>
    </w:p>
    <w:p w14:paraId="3A3BCAFD" w14:textId="77777777" w:rsidR="00496211" w:rsidRDefault="00496211" w:rsidP="00496211">
      <w:pPr>
        <w:rPr>
          <w:rFonts w:cs="Arial"/>
          <w:sz w:val="22"/>
          <w:szCs w:val="22"/>
        </w:rPr>
      </w:pPr>
    </w:p>
    <w:p w14:paraId="1A18977C" w14:textId="77777777" w:rsidR="00496211" w:rsidRDefault="00496211" w:rsidP="00496211">
      <w:pPr>
        <w:pStyle w:val="Ttulo2"/>
      </w:pPr>
      <w:bookmarkStart w:id="697" w:name="_Toc140506378"/>
      <w:r w:rsidRPr="00496211">
        <w:t>GASES DE LA GUAJIRA</w:t>
      </w:r>
      <w:bookmarkEnd w:id="697"/>
      <w:r w:rsidRPr="00496211">
        <w:tab/>
      </w:r>
    </w:p>
    <w:p w14:paraId="0843A24E" w14:textId="77777777" w:rsidR="00496211" w:rsidRDefault="00496211" w:rsidP="00496211">
      <w:pPr>
        <w:pStyle w:val="Ttulo4"/>
      </w:pPr>
      <w:r w:rsidRPr="00496211">
        <w:t>GASES DE LA GUAJIRA</w:t>
      </w:r>
      <w:r w:rsidRPr="00496211">
        <w:tab/>
      </w:r>
    </w:p>
    <w:p w14:paraId="2943EB6E" w14:textId="22E72F91" w:rsidR="00496211" w:rsidRPr="00004454" w:rsidRDefault="00496211" w:rsidP="00496211">
      <w:pPr>
        <w:rPr>
          <w:rFonts w:cs="Arial"/>
          <w:i/>
          <w:iCs/>
          <w:sz w:val="22"/>
          <w:szCs w:val="22"/>
        </w:rPr>
      </w:pPr>
      <w:r w:rsidRPr="00496211">
        <w:rPr>
          <w:rFonts w:cs="Arial"/>
          <w:sz w:val="22"/>
          <w:szCs w:val="22"/>
        </w:rPr>
        <w:t>"</w:t>
      </w:r>
      <w:r w:rsidRPr="00004454">
        <w:rPr>
          <w:rFonts w:cs="Arial"/>
          <w:i/>
          <w:iCs/>
          <w:sz w:val="22"/>
          <w:szCs w:val="22"/>
        </w:rPr>
        <w:t>Para efectos de claridad, se sugiere que las excepciones a la actualización se incluyan en este artículo, de forma que el tema sea tratado de manera integral en esta parte del documento, y que la resolución pueda ser más clara. En ese sentido, resulta importante incluir que el gas natural importado y los campos en pruebas extensas sin comercialidad, estarían exentos de aplicar la actualización de precio.</w:t>
      </w:r>
    </w:p>
    <w:p w14:paraId="2DAB952F" w14:textId="77777777" w:rsidR="00496211" w:rsidRPr="00004454" w:rsidRDefault="00496211" w:rsidP="00496211">
      <w:pPr>
        <w:rPr>
          <w:rFonts w:cs="Arial"/>
          <w:i/>
          <w:iCs/>
          <w:sz w:val="22"/>
          <w:szCs w:val="22"/>
        </w:rPr>
      </w:pPr>
    </w:p>
    <w:p w14:paraId="2A86E4B9" w14:textId="2EA9398D" w:rsidR="00496211" w:rsidRPr="00004454" w:rsidRDefault="00496211" w:rsidP="00496211">
      <w:pPr>
        <w:rPr>
          <w:rFonts w:cs="Arial"/>
          <w:i/>
          <w:iCs/>
          <w:sz w:val="22"/>
          <w:szCs w:val="22"/>
        </w:rPr>
      </w:pPr>
      <w:r w:rsidRPr="00004454">
        <w:rPr>
          <w:rFonts w:cs="Arial"/>
          <w:i/>
          <w:iCs/>
          <w:sz w:val="22"/>
          <w:szCs w:val="22"/>
        </w:rPr>
        <w:t>Además, consideramos que la norma debe incluir cierta flexibilidad a la indexación. Proponemos que la actualización de los contratos sea el mínimo entre, la indexación pactada entre las partes y la medida propuesta en la norma en comento.</w:t>
      </w:r>
    </w:p>
    <w:p w14:paraId="14014CF9" w14:textId="77777777" w:rsidR="00496211" w:rsidRPr="00004454" w:rsidRDefault="00496211" w:rsidP="00496211">
      <w:pPr>
        <w:rPr>
          <w:rFonts w:cs="Arial"/>
          <w:i/>
          <w:iCs/>
          <w:sz w:val="22"/>
          <w:szCs w:val="22"/>
        </w:rPr>
      </w:pPr>
    </w:p>
    <w:p w14:paraId="10F2B60A" w14:textId="2D119BAF" w:rsidR="00496211" w:rsidRDefault="00496211" w:rsidP="00496211">
      <w:pPr>
        <w:rPr>
          <w:rFonts w:cs="Arial"/>
          <w:sz w:val="22"/>
          <w:szCs w:val="22"/>
        </w:rPr>
      </w:pPr>
      <w:r w:rsidRPr="00004454">
        <w:rPr>
          <w:rFonts w:cs="Arial"/>
          <w:i/>
          <w:iCs/>
          <w:sz w:val="22"/>
          <w:szCs w:val="22"/>
        </w:rPr>
        <w:t xml:space="preserve">Por otro lado, sugerimos que la indexación de los contratos que no han comenzado su </w:t>
      </w:r>
      <w:proofErr w:type="gramStart"/>
      <w:r w:rsidRPr="00004454">
        <w:rPr>
          <w:rFonts w:cs="Arial"/>
          <w:i/>
          <w:iCs/>
          <w:sz w:val="22"/>
          <w:szCs w:val="22"/>
        </w:rPr>
        <w:t>vigencia,</w:t>
      </w:r>
      <w:proofErr w:type="gramEnd"/>
      <w:r w:rsidRPr="00004454">
        <w:rPr>
          <w:rFonts w:cs="Arial"/>
          <w:i/>
          <w:iCs/>
          <w:sz w:val="22"/>
          <w:szCs w:val="22"/>
        </w:rPr>
        <w:t xml:space="preserve"> sea la pactada entre las partes</w:t>
      </w:r>
      <w:r w:rsidRPr="00496211">
        <w:rPr>
          <w:rFonts w:cs="Arial"/>
          <w:sz w:val="22"/>
          <w:szCs w:val="22"/>
        </w:rPr>
        <w:t>."</w:t>
      </w:r>
    </w:p>
    <w:p w14:paraId="2AD253B7" w14:textId="61E25E08" w:rsidR="00004454" w:rsidRDefault="00004454" w:rsidP="00496211">
      <w:pPr>
        <w:rPr>
          <w:rFonts w:cs="Arial"/>
          <w:sz w:val="22"/>
          <w:szCs w:val="22"/>
        </w:rPr>
      </w:pPr>
    </w:p>
    <w:p w14:paraId="443E4ED8" w14:textId="4D7DF0DB" w:rsidR="00004454" w:rsidRPr="00004454" w:rsidRDefault="00004454" w:rsidP="00496211">
      <w:pPr>
        <w:rPr>
          <w:rFonts w:cs="Arial"/>
          <w:b/>
          <w:bCs/>
          <w:sz w:val="22"/>
          <w:szCs w:val="22"/>
        </w:rPr>
      </w:pPr>
      <w:r w:rsidRPr="00004454">
        <w:rPr>
          <w:rFonts w:cs="Arial"/>
          <w:b/>
          <w:bCs/>
          <w:sz w:val="22"/>
          <w:szCs w:val="22"/>
        </w:rPr>
        <w:t>Respuesta:</w:t>
      </w:r>
    </w:p>
    <w:p w14:paraId="738DECC7" w14:textId="26C18BBA" w:rsidR="00004454" w:rsidRDefault="00004454" w:rsidP="00496211">
      <w:pPr>
        <w:rPr>
          <w:rFonts w:cs="Arial"/>
          <w:sz w:val="22"/>
          <w:szCs w:val="22"/>
        </w:rPr>
      </w:pPr>
    </w:p>
    <w:p w14:paraId="2D683D23" w14:textId="0C3696C6" w:rsidR="00004454" w:rsidRDefault="00004454" w:rsidP="00004454">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sidR="007651EA">
        <w:rPr>
          <w:rFonts w:cs="Arial"/>
          <w:sz w:val="22"/>
          <w:szCs w:val="22"/>
        </w:rPr>
        <w:t>4.19</w:t>
      </w:r>
      <w:r>
        <w:rPr>
          <w:rFonts w:cs="Arial"/>
          <w:sz w:val="22"/>
          <w:szCs w:val="22"/>
        </w:rPr>
        <w:fldChar w:fldCharType="end"/>
      </w:r>
      <w:r>
        <w:rPr>
          <w:rFonts w:cs="Arial"/>
          <w:sz w:val="22"/>
          <w:szCs w:val="22"/>
        </w:rPr>
        <w:t>.</w:t>
      </w:r>
    </w:p>
    <w:p w14:paraId="677C02E9" w14:textId="77777777" w:rsidR="00496211" w:rsidRDefault="00496211" w:rsidP="00496211">
      <w:pPr>
        <w:rPr>
          <w:rFonts w:cs="Arial"/>
          <w:sz w:val="22"/>
          <w:szCs w:val="22"/>
        </w:rPr>
      </w:pPr>
    </w:p>
    <w:p w14:paraId="61E7247F" w14:textId="77777777" w:rsidR="00496211" w:rsidRDefault="00496211" w:rsidP="00496211">
      <w:pPr>
        <w:rPr>
          <w:rFonts w:cs="Arial"/>
          <w:sz w:val="22"/>
          <w:szCs w:val="22"/>
        </w:rPr>
      </w:pPr>
    </w:p>
    <w:p w14:paraId="14920316" w14:textId="77777777" w:rsidR="00496211" w:rsidRDefault="00496211" w:rsidP="00496211">
      <w:pPr>
        <w:pStyle w:val="Ttulo2"/>
      </w:pPr>
      <w:bookmarkStart w:id="698" w:name="_Toc140506379"/>
      <w:r w:rsidRPr="00496211">
        <w:t>GASES DEL CARIBE</w:t>
      </w:r>
      <w:bookmarkEnd w:id="698"/>
      <w:r w:rsidRPr="00496211">
        <w:tab/>
      </w:r>
    </w:p>
    <w:p w14:paraId="6DEC84F9" w14:textId="77777777" w:rsidR="00496211" w:rsidRDefault="00496211" w:rsidP="00496211">
      <w:pPr>
        <w:pStyle w:val="Ttulo4"/>
      </w:pPr>
      <w:r w:rsidRPr="00496211">
        <w:t>GASES DEL CARIBE</w:t>
      </w:r>
      <w:r w:rsidRPr="00496211">
        <w:tab/>
      </w:r>
    </w:p>
    <w:p w14:paraId="4A3E5F58" w14:textId="7B700C3A" w:rsidR="00496211" w:rsidRPr="00004454" w:rsidRDefault="00496211" w:rsidP="00496211">
      <w:pPr>
        <w:rPr>
          <w:rFonts w:cs="Arial"/>
          <w:i/>
          <w:iCs/>
          <w:sz w:val="22"/>
          <w:szCs w:val="22"/>
        </w:rPr>
      </w:pPr>
      <w:r w:rsidRPr="00496211">
        <w:rPr>
          <w:rFonts w:cs="Arial"/>
          <w:sz w:val="22"/>
          <w:szCs w:val="22"/>
        </w:rPr>
        <w:t>"</w:t>
      </w:r>
      <w:r w:rsidRPr="00004454">
        <w:rPr>
          <w:rFonts w:cs="Arial"/>
          <w:i/>
          <w:iCs/>
          <w:sz w:val="22"/>
          <w:szCs w:val="22"/>
        </w:rPr>
        <w:t>Para efectos de claridad, se sugiere que las excepciones a la actualización se incluyan en este artículo, de forma que el tema sea tratado de manera integral en esta parte del documento, y que la resolución pueda ser más clara. En ese sentido, resulta importante incluir que el gas natural importado y los campos en pruebas extensas sin comercialidad, estarían exentos de aplicar la actualización de precio.</w:t>
      </w:r>
    </w:p>
    <w:p w14:paraId="55DC9845" w14:textId="77777777" w:rsidR="00496211" w:rsidRPr="00004454" w:rsidRDefault="00496211" w:rsidP="00496211">
      <w:pPr>
        <w:rPr>
          <w:rFonts w:cs="Arial"/>
          <w:i/>
          <w:iCs/>
          <w:sz w:val="22"/>
          <w:szCs w:val="22"/>
        </w:rPr>
      </w:pPr>
    </w:p>
    <w:p w14:paraId="0ACA7F16" w14:textId="178E4AAA" w:rsidR="00496211" w:rsidRPr="00004454" w:rsidRDefault="00496211" w:rsidP="00496211">
      <w:pPr>
        <w:rPr>
          <w:rFonts w:cs="Arial"/>
          <w:i/>
          <w:iCs/>
          <w:sz w:val="22"/>
          <w:szCs w:val="22"/>
        </w:rPr>
      </w:pPr>
      <w:r w:rsidRPr="00004454">
        <w:rPr>
          <w:rFonts w:cs="Arial"/>
          <w:i/>
          <w:iCs/>
          <w:sz w:val="22"/>
          <w:szCs w:val="22"/>
        </w:rPr>
        <w:t>Además, consideramos que la norma debe incluir cierta flexibilidad a la indexación. Proponemos que la actualización de los contratos sea el mínimo entre, la indexación pactada entre las partes y la medida propuesta en la norma en comento.</w:t>
      </w:r>
    </w:p>
    <w:p w14:paraId="157A37AD" w14:textId="77777777" w:rsidR="00496211" w:rsidRPr="00004454" w:rsidRDefault="00496211" w:rsidP="00496211">
      <w:pPr>
        <w:rPr>
          <w:rFonts w:cs="Arial"/>
          <w:i/>
          <w:iCs/>
          <w:sz w:val="22"/>
          <w:szCs w:val="22"/>
        </w:rPr>
      </w:pPr>
    </w:p>
    <w:p w14:paraId="0CB6A2AB" w14:textId="48D3172D" w:rsidR="00496211" w:rsidRDefault="00496211" w:rsidP="00496211">
      <w:pPr>
        <w:rPr>
          <w:rFonts w:cs="Arial"/>
          <w:sz w:val="22"/>
          <w:szCs w:val="22"/>
        </w:rPr>
      </w:pPr>
      <w:r w:rsidRPr="00004454">
        <w:rPr>
          <w:rFonts w:cs="Arial"/>
          <w:i/>
          <w:iCs/>
          <w:sz w:val="22"/>
          <w:szCs w:val="22"/>
        </w:rPr>
        <w:t xml:space="preserve">Por otro lado, sugerimos que la indexación de los contratos que no han comenzado su </w:t>
      </w:r>
      <w:proofErr w:type="gramStart"/>
      <w:r w:rsidRPr="00004454">
        <w:rPr>
          <w:rFonts w:cs="Arial"/>
          <w:i/>
          <w:iCs/>
          <w:sz w:val="22"/>
          <w:szCs w:val="22"/>
        </w:rPr>
        <w:t>vigencia,</w:t>
      </w:r>
      <w:proofErr w:type="gramEnd"/>
      <w:r w:rsidRPr="00004454">
        <w:rPr>
          <w:rFonts w:cs="Arial"/>
          <w:i/>
          <w:iCs/>
          <w:sz w:val="22"/>
          <w:szCs w:val="22"/>
        </w:rPr>
        <w:t xml:space="preserve"> sea la pactada entre las partes</w:t>
      </w:r>
      <w:r w:rsidRPr="00496211">
        <w:rPr>
          <w:rFonts w:cs="Arial"/>
          <w:sz w:val="22"/>
          <w:szCs w:val="22"/>
        </w:rPr>
        <w:t>."</w:t>
      </w:r>
    </w:p>
    <w:p w14:paraId="2123AA88" w14:textId="7051EB69" w:rsidR="00004454" w:rsidRDefault="00004454" w:rsidP="00496211">
      <w:pPr>
        <w:rPr>
          <w:rFonts w:cs="Arial"/>
          <w:sz w:val="22"/>
          <w:szCs w:val="22"/>
        </w:rPr>
      </w:pPr>
    </w:p>
    <w:p w14:paraId="11C10A57" w14:textId="751FF731" w:rsidR="00004454" w:rsidRPr="00004454" w:rsidRDefault="00004454" w:rsidP="00496211">
      <w:pPr>
        <w:rPr>
          <w:rFonts w:cs="Arial"/>
          <w:b/>
          <w:bCs/>
          <w:sz w:val="22"/>
          <w:szCs w:val="22"/>
        </w:rPr>
      </w:pPr>
      <w:r w:rsidRPr="00004454">
        <w:rPr>
          <w:rFonts w:cs="Arial"/>
          <w:b/>
          <w:bCs/>
          <w:sz w:val="22"/>
          <w:szCs w:val="22"/>
        </w:rPr>
        <w:t>Respuesta:</w:t>
      </w:r>
    </w:p>
    <w:p w14:paraId="665B067D" w14:textId="4D14D4A2" w:rsidR="00004454" w:rsidRDefault="00004454" w:rsidP="00496211">
      <w:pPr>
        <w:rPr>
          <w:rFonts w:cs="Arial"/>
          <w:sz w:val="22"/>
          <w:szCs w:val="22"/>
        </w:rPr>
      </w:pPr>
    </w:p>
    <w:p w14:paraId="7B07BAE3" w14:textId="1398F4E9" w:rsidR="00004454" w:rsidRDefault="00004454" w:rsidP="00004454">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sidR="007651EA">
        <w:rPr>
          <w:rFonts w:cs="Arial"/>
          <w:sz w:val="22"/>
          <w:szCs w:val="22"/>
        </w:rPr>
        <w:t>4.19</w:t>
      </w:r>
      <w:r>
        <w:rPr>
          <w:rFonts w:cs="Arial"/>
          <w:sz w:val="22"/>
          <w:szCs w:val="22"/>
        </w:rPr>
        <w:fldChar w:fldCharType="end"/>
      </w:r>
      <w:r>
        <w:rPr>
          <w:rFonts w:cs="Arial"/>
          <w:sz w:val="22"/>
          <w:szCs w:val="22"/>
        </w:rPr>
        <w:t>.</w:t>
      </w:r>
    </w:p>
    <w:p w14:paraId="00224594" w14:textId="77777777" w:rsidR="00496211" w:rsidRDefault="00496211" w:rsidP="00496211">
      <w:pPr>
        <w:rPr>
          <w:rFonts w:cs="Arial"/>
          <w:sz w:val="22"/>
          <w:szCs w:val="22"/>
        </w:rPr>
      </w:pPr>
    </w:p>
    <w:p w14:paraId="088234DF" w14:textId="77777777" w:rsidR="00496211" w:rsidRDefault="00496211" w:rsidP="00496211">
      <w:pPr>
        <w:rPr>
          <w:rFonts w:cs="Arial"/>
          <w:sz w:val="22"/>
          <w:szCs w:val="22"/>
        </w:rPr>
      </w:pPr>
    </w:p>
    <w:p w14:paraId="035FECE0" w14:textId="77777777" w:rsidR="00496211" w:rsidRDefault="00496211" w:rsidP="00496211">
      <w:pPr>
        <w:pStyle w:val="Ttulo2"/>
      </w:pPr>
      <w:bookmarkStart w:id="699" w:name="_Toc140506380"/>
      <w:r w:rsidRPr="00496211">
        <w:t>SHELL</w:t>
      </w:r>
      <w:bookmarkEnd w:id="699"/>
      <w:r w:rsidRPr="00496211">
        <w:tab/>
      </w:r>
    </w:p>
    <w:p w14:paraId="120432A6" w14:textId="77777777" w:rsidR="00496211" w:rsidRDefault="00496211" w:rsidP="00496211">
      <w:pPr>
        <w:pStyle w:val="Ttulo4"/>
      </w:pPr>
      <w:r w:rsidRPr="00496211">
        <w:t>SHELL</w:t>
      </w:r>
      <w:r w:rsidRPr="00496211">
        <w:tab/>
      </w:r>
    </w:p>
    <w:p w14:paraId="727507C1" w14:textId="652CF4C2" w:rsidR="00004454" w:rsidRPr="00004454" w:rsidRDefault="008B35F8" w:rsidP="00496211">
      <w:pPr>
        <w:rPr>
          <w:rFonts w:cs="Arial"/>
          <w:i/>
          <w:iCs/>
          <w:sz w:val="22"/>
          <w:szCs w:val="22"/>
        </w:rPr>
      </w:pPr>
      <w:r>
        <w:rPr>
          <w:rFonts w:cs="Arial"/>
          <w:i/>
          <w:iCs/>
          <w:sz w:val="22"/>
          <w:szCs w:val="22"/>
        </w:rPr>
        <w:t>“</w:t>
      </w:r>
      <w:r w:rsidR="00496211" w:rsidRPr="00004454">
        <w:rPr>
          <w:rFonts w:cs="Arial"/>
          <w:i/>
          <w:iCs/>
          <w:sz w:val="22"/>
          <w:szCs w:val="22"/>
        </w:rPr>
        <w:t xml:space="preserve">Al igual que la inclusión del artículo 8 de la posibilidad de proponer a la Comisión otros tipos contractuales, creemos que se debería incluir la posibilidad de proponer otras </w:t>
      </w:r>
      <w:r w:rsidRPr="00004454">
        <w:rPr>
          <w:rFonts w:cs="Arial"/>
          <w:i/>
          <w:iCs/>
          <w:sz w:val="22"/>
          <w:szCs w:val="22"/>
        </w:rPr>
        <w:t>fórmulas</w:t>
      </w:r>
      <w:r w:rsidR="00496211" w:rsidRPr="00004454">
        <w:rPr>
          <w:rFonts w:cs="Arial"/>
          <w:i/>
          <w:iCs/>
          <w:sz w:val="22"/>
          <w:szCs w:val="22"/>
        </w:rPr>
        <w:t xml:space="preserve"> tarifarias de actualización de precios a la Comisión. Lo anterior en concordancia con el parágrafo adicional del artículo 8, otorgando flexibilidad en las propuestas contractuales a proponer a la comisión.</w:t>
      </w:r>
      <w:r>
        <w:rPr>
          <w:rFonts w:cs="Arial"/>
          <w:i/>
          <w:iCs/>
          <w:sz w:val="22"/>
          <w:szCs w:val="22"/>
        </w:rPr>
        <w:t>”</w:t>
      </w:r>
    </w:p>
    <w:p w14:paraId="2CFC4C1C" w14:textId="77777777" w:rsidR="00004454" w:rsidRDefault="00004454" w:rsidP="00496211">
      <w:pPr>
        <w:rPr>
          <w:rFonts w:cs="Arial"/>
          <w:sz w:val="22"/>
          <w:szCs w:val="22"/>
        </w:rPr>
      </w:pPr>
    </w:p>
    <w:p w14:paraId="103EEA61" w14:textId="77777777" w:rsidR="00004454" w:rsidRPr="00004454" w:rsidRDefault="00004454" w:rsidP="00496211">
      <w:pPr>
        <w:rPr>
          <w:rFonts w:cs="Arial"/>
          <w:b/>
          <w:bCs/>
          <w:sz w:val="22"/>
          <w:szCs w:val="22"/>
        </w:rPr>
      </w:pPr>
      <w:r w:rsidRPr="00004454">
        <w:rPr>
          <w:rFonts w:cs="Arial"/>
          <w:b/>
          <w:bCs/>
          <w:sz w:val="22"/>
          <w:szCs w:val="22"/>
        </w:rPr>
        <w:t>Respuesta:</w:t>
      </w:r>
    </w:p>
    <w:p w14:paraId="48AF8911" w14:textId="77777777" w:rsidR="00004454" w:rsidRDefault="00004454" w:rsidP="00496211">
      <w:pPr>
        <w:rPr>
          <w:rFonts w:cs="Arial"/>
          <w:sz w:val="22"/>
          <w:szCs w:val="22"/>
        </w:rPr>
      </w:pPr>
    </w:p>
    <w:p w14:paraId="1A288579" w14:textId="68AB89D2" w:rsidR="00004454" w:rsidRDefault="00496211" w:rsidP="00004454">
      <w:pPr>
        <w:rPr>
          <w:rFonts w:cs="Arial"/>
          <w:sz w:val="22"/>
          <w:szCs w:val="22"/>
        </w:rPr>
      </w:pPr>
      <w:r w:rsidRPr="00496211">
        <w:rPr>
          <w:rFonts w:cs="Arial"/>
          <w:sz w:val="22"/>
          <w:szCs w:val="22"/>
        </w:rPr>
        <w:t xml:space="preserve"> </w:t>
      </w:r>
      <w:r w:rsidR="00004454">
        <w:rPr>
          <w:rFonts w:cs="Arial"/>
          <w:sz w:val="22"/>
          <w:szCs w:val="22"/>
        </w:rPr>
        <w:t xml:space="preserve">Ver numeral </w:t>
      </w:r>
      <w:r w:rsidR="00004454">
        <w:rPr>
          <w:rFonts w:cs="Arial"/>
          <w:sz w:val="22"/>
          <w:szCs w:val="22"/>
        </w:rPr>
        <w:fldChar w:fldCharType="begin"/>
      </w:r>
      <w:r w:rsidR="00004454">
        <w:rPr>
          <w:rFonts w:cs="Arial"/>
          <w:sz w:val="22"/>
          <w:szCs w:val="22"/>
        </w:rPr>
        <w:instrText xml:space="preserve"> REF _Ref130805559 \r \h </w:instrText>
      </w:r>
      <w:r w:rsidR="00004454">
        <w:rPr>
          <w:rFonts w:cs="Arial"/>
          <w:sz w:val="22"/>
          <w:szCs w:val="22"/>
        </w:rPr>
      </w:r>
      <w:r w:rsidR="00004454">
        <w:rPr>
          <w:rFonts w:cs="Arial"/>
          <w:sz w:val="22"/>
          <w:szCs w:val="22"/>
        </w:rPr>
        <w:fldChar w:fldCharType="separate"/>
      </w:r>
      <w:r w:rsidR="007651EA">
        <w:rPr>
          <w:rFonts w:cs="Arial"/>
          <w:sz w:val="22"/>
          <w:szCs w:val="22"/>
        </w:rPr>
        <w:t>4.19</w:t>
      </w:r>
      <w:r w:rsidR="00004454">
        <w:rPr>
          <w:rFonts w:cs="Arial"/>
          <w:sz w:val="22"/>
          <w:szCs w:val="22"/>
        </w:rPr>
        <w:fldChar w:fldCharType="end"/>
      </w:r>
      <w:r w:rsidR="00004454">
        <w:rPr>
          <w:rFonts w:cs="Arial"/>
          <w:sz w:val="22"/>
          <w:szCs w:val="22"/>
        </w:rPr>
        <w:t>.</w:t>
      </w:r>
    </w:p>
    <w:p w14:paraId="66414A1D" w14:textId="77777777" w:rsidR="00496211" w:rsidRDefault="00496211" w:rsidP="00496211">
      <w:pPr>
        <w:rPr>
          <w:rFonts w:cs="Arial"/>
          <w:sz w:val="22"/>
          <w:szCs w:val="22"/>
        </w:rPr>
      </w:pPr>
    </w:p>
    <w:p w14:paraId="3309FD43" w14:textId="77777777" w:rsidR="00496211" w:rsidRDefault="00496211" w:rsidP="00496211">
      <w:pPr>
        <w:rPr>
          <w:rFonts w:cs="Arial"/>
          <w:sz w:val="22"/>
          <w:szCs w:val="22"/>
        </w:rPr>
      </w:pPr>
    </w:p>
    <w:p w14:paraId="015BFFA1" w14:textId="77777777" w:rsidR="00496211" w:rsidRDefault="00496211" w:rsidP="00496211">
      <w:pPr>
        <w:pStyle w:val="Ttulo2"/>
      </w:pPr>
      <w:bookmarkStart w:id="700" w:name="_Toc140506381"/>
      <w:r w:rsidRPr="00496211">
        <w:t>TEBSA</w:t>
      </w:r>
      <w:bookmarkEnd w:id="700"/>
      <w:r w:rsidRPr="00496211">
        <w:tab/>
      </w:r>
    </w:p>
    <w:p w14:paraId="6AEA3AAD" w14:textId="77777777" w:rsidR="00496211" w:rsidRDefault="00496211" w:rsidP="00496211">
      <w:pPr>
        <w:pStyle w:val="Ttulo4"/>
      </w:pPr>
      <w:r w:rsidRPr="00496211">
        <w:t>TEBSA</w:t>
      </w:r>
      <w:r w:rsidRPr="00496211">
        <w:tab/>
      </w:r>
    </w:p>
    <w:p w14:paraId="5AC25153" w14:textId="7B4EA3DD" w:rsidR="00496211" w:rsidRPr="00004454" w:rsidRDefault="008B35F8" w:rsidP="00496211">
      <w:pPr>
        <w:rPr>
          <w:rFonts w:cs="Arial"/>
          <w:i/>
          <w:iCs/>
          <w:sz w:val="22"/>
          <w:szCs w:val="22"/>
        </w:rPr>
      </w:pPr>
      <w:r>
        <w:rPr>
          <w:rFonts w:cs="Arial"/>
          <w:i/>
          <w:iCs/>
          <w:sz w:val="22"/>
          <w:szCs w:val="22"/>
        </w:rPr>
        <w:t>“</w:t>
      </w:r>
      <w:r w:rsidR="00496211" w:rsidRPr="00004454">
        <w:rPr>
          <w:rFonts w:cs="Arial"/>
          <w:i/>
          <w:iCs/>
          <w:sz w:val="22"/>
          <w:szCs w:val="22"/>
        </w:rPr>
        <w:t>Validar alternativas para actualizaciones de precios para contratos de mercado diferentes al gas nacional, como es el caso de los contratos con gas importado.</w:t>
      </w:r>
      <w:r>
        <w:rPr>
          <w:rFonts w:cs="Arial"/>
          <w:i/>
          <w:iCs/>
          <w:sz w:val="22"/>
          <w:szCs w:val="22"/>
        </w:rPr>
        <w:t>”</w:t>
      </w:r>
    </w:p>
    <w:p w14:paraId="6B15A95C" w14:textId="390F1FA4" w:rsidR="00004454" w:rsidRDefault="00004454" w:rsidP="00496211">
      <w:pPr>
        <w:rPr>
          <w:rFonts w:cs="Arial"/>
          <w:sz w:val="22"/>
          <w:szCs w:val="22"/>
        </w:rPr>
      </w:pPr>
    </w:p>
    <w:p w14:paraId="143D9BBD" w14:textId="4B2F79B6" w:rsidR="00004454" w:rsidRPr="00004454" w:rsidRDefault="00004454" w:rsidP="00496211">
      <w:pPr>
        <w:rPr>
          <w:rFonts w:cs="Arial"/>
          <w:b/>
          <w:bCs/>
          <w:sz w:val="22"/>
          <w:szCs w:val="22"/>
        </w:rPr>
      </w:pPr>
      <w:r w:rsidRPr="00004454">
        <w:rPr>
          <w:rFonts w:cs="Arial"/>
          <w:b/>
          <w:bCs/>
          <w:sz w:val="22"/>
          <w:szCs w:val="22"/>
        </w:rPr>
        <w:t>Respuesta:</w:t>
      </w:r>
    </w:p>
    <w:p w14:paraId="79E0BD83" w14:textId="77777777" w:rsidR="00004454" w:rsidRDefault="00004454" w:rsidP="00004454">
      <w:pPr>
        <w:rPr>
          <w:rFonts w:cs="Arial"/>
          <w:sz w:val="22"/>
          <w:szCs w:val="22"/>
        </w:rPr>
      </w:pPr>
    </w:p>
    <w:p w14:paraId="3DD34E8A" w14:textId="18A3D93B" w:rsidR="00004454" w:rsidRDefault="00004454" w:rsidP="00004454">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sidR="007651EA">
        <w:rPr>
          <w:rFonts w:cs="Arial"/>
          <w:sz w:val="22"/>
          <w:szCs w:val="22"/>
        </w:rPr>
        <w:t>4.19</w:t>
      </w:r>
      <w:r>
        <w:rPr>
          <w:rFonts w:cs="Arial"/>
          <w:sz w:val="22"/>
          <w:szCs w:val="22"/>
        </w:rPr>
        <w:fldChar w:fldCharType="end"/>
      </w:r>
      <w:r>
        <w:rPr>
          <w:rFonts w:cs="Arial"/>
          <w:sz w:val="22"/>
          <w:szCs w:val="22"/>
        </w:rPr>
        <w:t>.</w:t>
      </w:r>
    </w:p>
    <w:p w14:paraId="2E02C2DD" w14:textId="77777777" w:rsidR="00004454" w:rsidRPr="00496211" w:rsidRDefault="00004454" w:rsidP="00496211">
      <w:pPr>
        <w:rPr>
          <w:rFonts w:cs="Arial"/>
          <w:sz w:val="22"/>
          <w:szCs w:val="22"/>
        </w:rPr>
      </w:pPr>
    </w:p>
    <w:p w14:paraId="36BC02B4" w14:textId="77777777" w:rsidR="00496211" w:rsidRDefault="00496211" w:rsidP="00496211">
      <w:pPr>
        <w:rPr>
          <w:rFonts w:cs="Arial"/>
          <w:sz w:val="22"/>
          <w:szCs w:val="22"/>
        </w:rPr>
      </w:pPr>
    </w:p>
    <w:p w14:paraId="2769DCEF" w14:textId="77777777" w:rsidR="00496211" w:rsidRDefault="00496211" w:rsidP="00496211">
      <w:pPr>
        <w:pStyle w:val="Ttulo2"/>
      </w:pPr>
      <w:bookmarkStart w:id="701" w:name="_Toc140506382"/>
      <w:r w:rsidRPr="00496211">
        <w:t>TERPEL</w:t>
      </w:r>
      <w:bookmarkEnd w:id="701"/>
      <w:r w:rsidRPr="00496211">
        <w:tab/>
      </w:r>
    </w:p>
    <w:p w14:paraId="2600AECA" w14:textId="77777777" w:rsidR="00496211" w:rsidRDefault="00496211" w:rsidP="00496211">
      <w:pPr>
        <w:pStyle w:val="Ttulo4"/>
      </w:pPr>
      <w:r w:rsidRPr="00496211">
        <w:t>TERPEL</w:t>
      </w:r>
      <w:r w:rsidRPr="00496211">
        <w:tab/>
      </w:r>
    </w:p>
    <w:p w14:paraId="6BB6D017" w14:textId="65C0903A" w:rsidR="00496211" w:rsidRPr="00004454" w:rsidRDefault="00496211" w:rsidP="00496211">
      <w:pPr>
        <w:rPr>
          <w:rFonts w:cs="Arial"/>
          <w:i/>
          <w:iCs/>
          <w:sz w:val="22"/>
          <w:szCs w:val="22"/>
        </w:rPr>
      </w:pPr>
      <w:r w:rsidRPr="00496211">
        <w:rPr>
          <w:rFonts w:cs="Arial"/>
          <w:sz w:val="22"/>
          <w:szCs w:val="22"/>
        </w:rPr>
        <w:t>"</w:t>
      </w:r>
      <w:r w:rsidRPr="00004454">
        <w:rPr>
          <w:rFonts w:cs="Arial"/>
          <w:i/>
          <w:iCs/>
          <w:sz w:val="22"/>
          <w:szCs w:val="22"/>
        </w:rPr>
        <w:t>Actualización de precios:</w:t>
      </w:r>
    </w:p>
    <w:p w14:paraId="5F59F49F" w14:textId="77777777" w:rsidR="00496211" w:rsidRPr="00004454" w:rsidRDefault="00496211" w:rsidP="00496211">
      <w:pPr>
        <w:rPr>
          <w:rFonts w:cs="Arial"/>
          <w:i/>
          <w:iCs/>
          <w:sz w:val="22"/>
          <w:szCs w:val="22"/>
        </w:rPr>
      </w:pPr>
      <w:r w:rsidRPr="00004454">
        <w:rPr>
          <w:rFonts w:cs="Arial"/>
          <w:i/>
          <w:iCs/>
          <w:sz w:val="22"/>
          <w:szCs w:val="22"/>
        </w:rPr>
        <w:t xml:space="preserve"> - Cual es el valor alfa y beta propuesto por la CREG? Para los que opten por la segunda forma de actualización de precios no hay claridad sobre el valor de estos dos factores.</w:t>
      </w:r>
    </w:p>
    <w:p w14:paraId="190A51C1" w14:textId="77777777" w:rsidR="00496211" w:rsidRPr="00004454" w:rsidRDefault="00496211" w:rsidP="00496211">
      <w:pPr>
        <w:rPr>
          <w:rFonts w:cs="Arial"/>
          <w:i/>
          <w:iCs/>
          <w:sz w:val="22"/>
          <w:szCs w:val="22"/>
        </w:rPr>
      </w:pPr>
    </w:p>
    <w:p w14:paraId="1BE2EEC3" w14:textId="2D5E7163" w:rsidR="00D26961" w:rsidRDefault="00496211" w:rsidP="00496211">
      <w:pPr>
        <w:rPr>
          <w:rFonts w:cs="Arial"/>
          <w:sz w:val="22"/>
          <w:szCs w:val="22"/>
        </w:rPr>
      </w:pPr>
      <w:r w:rsidRPr="00004454">
        <w:rPr>
          <w:rFonts w:cs="Arial"/>
          <w:i/>
          <w:iCs/>
          <w:sz w:val="22"/>
          <w:szCs w:val="22"/>
        </w:rPr>
        <w:t xml:space="preserve"> - Sugerimos revisar la posibilidad de que las partes acuerden libremente la actualización de precios, además de las alternativas propuestas en el Anexo 3</w:t>
      </w:r>
      <w:r w:rsidRPr="00496211">
        <w:rPr>
          <w:rFonts w:cs="Arial"/>
          <w:sz w:val="22"/>
          <w:szCs w:val="22"/>
        </w:rPr>
        <w:t>."</w:t>
      </w:r>
    </w:p>
    <w:p w14:paraId="1B30ACC6" w14:textId="3560D82F" w:rsidR="00004454" w:rsidRDefault="00004454" w:rsidP="00496211">
      <w:pPr>
        <w:rPr>
          <w:rFonts w:cs="Arial"/>
          <w:sz w:val="22"/>
          <w:szCs w:val="22"/>
        </w:rPr>
      </w:pPr>
    </w:p>
    <w:p w14:paraId="5F525C03" w14:textId="642C4B5E" w:rsidR="00004454" w:rsidRPr="00004454" w:rsidRDefault="00004454" w:rsidP="00496211">
      <w:pPr>
        <w:rPr>
          <w:rFonts w:cs="Arial"/>
          <w:b/>
          <w:bCs/>
          <w:sz w:val="22"/>
          <w:szCs w:val="22"/>
        </w:rPr>
      </w:pPr>
      <w:r w:rsidRPr="00004454">
        <w:rPr>
          <w:rFonts w:cs="Arial"/>
          <w:b/>
          <w:bCs/>
          <w:sz w:val="22"/>
          <w:szCs w:val="22"/>
        </w:rPr>
        <w:t>Respuesta:</w:t>
      </w:r>
    </w:p>
    <w:p w14:paraId="12543ECD" w14:textId="44F9F64B" w:rsidR="00004454" w:rsidRDefault="00004454" w:rsidP="00496211">
      <w:pPr>
        <w:rPr>
          <w:rFonts w:cs="Arial"/>
          <w:sz w:val="22"/>
          <w:szCs w:val="22"/>
        </w:rPr>
      </w:pPr>
    </w:p>
    <w:p w14:paraId="469FDAA9" w14:textId="77777777" w:rsidR="00004454" w:rsidRDefault="00004454" w:rsidP="00004454">
      <w:pPr>
        <w:rPr>
          <w:rFonts w:cs="Arial"/>
          <w:sz w:val="22"/>
          <w:szCs w:val="22"/>
        </w:rPr>
      </w:pPr>
      <w:r>
        <w:rPr>
          <w:rFonts w:cs="Arial"/>
          <w:sz w:val="22"/>
          <w:szCs w:val="22"/>
        </w:rPr>
        <w:t>Se acoge el comentario.</w:t>
      </w:r>
    </w:p>
    <w:p w14:paraId="7D946839" w14:textId="77777777" w:rsidR="00004454" w:rsidRDefault="00004454" w:rsidP="00004454">
      <w:pPr>
        <w:rPr>
          <w:rFonts w:cs="Arial"/>
          <w:sz w:val="22"/>
          <w:szCs w:val="22"/>
        </w:rPr>
      </w:pPr>
    </w:p>
    <w:p w14:paraId="416F42F3" w14:textId="5E169FC2" w:rsidR="00004454" w:rsidRPr="00496211" w:rsidRDefault="00004454" w:rsidP="00004454">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sidR="007651EA">
        <w:rPr>
          <w:rFonts w:cs="Arial"/>
          <w:sz w:val="22"/>
          <w:szCs w:val="22"/>
        </w:rPr>
        <w:t>4.19</w:t>
      </w:r>
      <w:r>
        <w:rPr>
          <w:rFonts w:cs="Arial"/>
          <w:sz w:val="22"/>
          <w:szCs w:val="22"/>
        </w:rPr>
        <w:fldChar w:fldCharType="end"/>
      </w:r>
      <w:r>
        <w:rPr>
          <w:rFonts w:cs="Arial"/>
          <w:sz w:val="22"/>
          <w:szCs w:val="22"/>
        </w:rPr>
        <w:t>.</w:t>
      </w:r>
    </w:p>
    <w:p w14:paraId="191A2C20" w14:textId="77777777" w:rsidR="00496211" w:rsidRDefault="00496211" w:rsidP="00371CB5">
      <w:pPr>
        <w:rPr>
          <w:rFonts w:cs="Arial"/>
          <w:b/>
          <w:bCs/>
          <w:sz w:val="22"/>
          <w:szCs w:val="22"/>
        </w:rPr>
      </w:pPr>
    </w:p>
    <w:p w14:paraId="2DFFB00C" w14:textId="4511973F" w:rsidR="00D26961" w:rsidRDefault="00D26961" w:rsidP="00371CB5">
      <w:pPr>
        <w:rPr>
          <w:rFonts w:cs="Arial"/>
          <w:b/>
          <w:bCs/>
          <w:sz w:val="22"/>
          <w:szCs w:val="22"/>
        </w:rPr>
      </w:pPr>
    </w:p>
    <w:p w14:paraId="5E811B13" w14:textId="43C482F8" w:rsidR="00D26961" w:rsidRDefault="00D26961" w:rsidP="00D26961">
      <w:pPr>
        <w:pStyle w:val="Ttulo1"/>
        <w:numPr>
          <w:ilvl w:val="0"/>
          <w:numId w:val="1"/>
        </w:numPr>
        <w:rPr>
          <w:caps/>
        </w:rPr>
      </w:pPr>
      <w:bookmarkStart w:id="702" w:name="_Toc140506383"/>
      <w:r>
        <w:t xml:space="preserve">ARTÍCULO </w:t>
      </w:r>
      <w:r w:rsidR="00EF1C07">
        <w:t>17</w:t>
      </w:r>
      <w:r>
        <w:t xml:space="preserve">. </w:t>
      </w:r>
      <w:r w:rsidR="0070732E" w:rsidRPr="0070732E">
        <w:rPr>
          <w:caps/>
        </w:rPr>
        <w:t>Compradores de gas natural en el Mercado Primario</w:t>
      </w:r>
      <w:bookmarkEnd w:id="702"/>
    </w:p>
    <w:p w14:paraId="5E8855B7" w14:textId="77777777" w:rsidR="007E2727" w:rsidRDefault="007E2727" w:rsidP="007E2727">
      <w:pPr>
        <w:pStyle w:val="Ttulo2"/>
      </w:pPr>
      <w:bookmarkStart w:id="703" w:name="_Toc140506384"/>
      <w:r w:rsidRPr="007E2727">
        <w:t>GASES DE LA GUAJIRA</w:t>
      </w:r>
      <w:bookmarkEnd w:id="703"/>
      <w:r w:rsidRPr="007E2727">
        <w:tab/>
      </w:r>
    </w:p>
    <w:p w14:paraId="020CA3DA" w14:textId="77777777" w:rsidR="007E2727" w:rsidRDefault="007E2727" w:rsidP="007E2727">
      <w:pPr>
        <w:pStyle w:val="Ttulo4"/>
      </w:pPr>
      <w:bookmarkStart w:id="704" w:name="_Ref130808163"/>
      <w:r w:rsidRPr="007E2727">
        <w:t>GASES DE LA GUAJIRA</w:t>
      </w:r>
      <w:bookmarkEnd w:id="704"/>
      <w:r w:rsidRPr="007E2727">
        <w:tab/>
      </w:r>
    </w:p>
    <w:p w14:paraId="0EA17968" w14:textId="0D5DF7C4" w:rsidR="007E2727" w:rsidRPr="00896B2A" w:rsidRDefault="007E2727" w:rsidP="007E2727">
      <w:pPr>
        <w:rPr>
          <w:rFonts w:cs="Arial"/>
          <w:i/>
          <w:iCs/>
          <w:sz w:val="22"/>
          <w:szCs w:val="22"/>
        </w:rPr>
      </w:pPr>
      <w:r w:rsidRPr="007E2727">
        <w:rPr>
          <w:rFonts w:cs="Arial"/>
          <w:sz w:val="22"/>
          <w:szCs w:val="22"/>
        </w:rPr>
        <w:t>"</w:t>
      </w:r>
      <w:r w:rsidRPr="00896B2A">
        <w:rPr>
          <w:rFonts w:cs="Arial"/>
          <w:i/>
          <w:iCs/>
          <w:sz w:val="22"/>
          <w:szCs w:val="22"/>
        </w:rPr>
        <w:t>La redacción integral de esta cláusula, con las demás cláusulas resulta contradictoria, en la medida en que se incluye a los usuarios no regulados, para atender su propio consumo, pero al mismo tiempo, se libera la condición de que el usuario no regulado pueda vender en el mercado secundario, y no únicamente en el úselo o véndalo como estaba en la resolución 186.</w:t>
      </w:r>
    </w:p>
    <w:p w14:paraId="63BB5003" w14:textId="77777777" w:rsidR="007E2727" w:rsidRPr="00896B2A" w:rsidRDefault="007E2727" w:rsidP="007E2727">
      <w:pPr>
        <w:rPr>
          <w:rFonts w:cs="Arial"/>
          <w:i/>
          <w:iCs/>
          <w:sz w:val="22"/>
          <w:szCs w:val="22"/>
        </w:rPr>
      </w:pPr>
    </w:p>
    <w:p w14:paraId="23F97D00" w14:textId="77777777" w:rsidR="007E2727" w:rsidRPr="00896B2A" w:rsidRDefault="007E2727" w:rsidP="007E2727">
      <w:pPr>
        <w:rPr>
          <w:rFonts w:cs="Arial"/>
          <w:i/>
          <w:iCs/>
          <w:sz w:val="22"/>
          <w:szCs w:val="22"/>
        </w:rPr>
      </w:pPr>
      <w:proofErr w:type="gramStart"/>
      <w:r w:rsidRPr="00896B2A">
        <w:rPr>
          <w:rFonts w:cs="Arial"/>
          <w:i/>
          <w:iCs/>
          <w:sz w:val="22"/>
          <w:szCs w:val="22"/>
        </w:rPr>
        <w:t>Éste</w:t>
      </w:r>
      <w:proofErr w:type="gramEnd"/>
      <w:r w:rsidRPr="00896B2A">
        <w:rPr>
          <w:rFonts w:cs="Arial"/>
          <w:i/>
          <w:iCs/>
          <w:sz w:val="22"/>
          <w:szCs w:val="22"/>
        </w:rPr>
        <w:t xml:space="preserve"> asunto no es sustentado por el regulador en ninguna parte del documento, y en ese sentido, considerando que esta restricción obedecía a una lógica de mercado, pareciera necesario que el regulador explicara el cambio de posición, y las razones por las cuales se permitiría que un usuario no regulado pueda ejercer las mismas funciones de un comercializador en operaciones de compra y venta.</w:t>
      </w:r>
    </w:p>
    <w:p w14:paraId="353D30C8" w14:textId="77777777" w:rsidR="007E2727" w:rsidRPr="00896B2A" w:rsidRDefault="007E2727" w:rsidP="007E2727">
      <w:pPr>
        <w:rPr>
          <w:rFonts w:cs="Arial"/>
          <w:i/>
          <w:iCs/>
          <w:sz w:val="22"/>
          <w:szCs w:val="22"/>
        </w:rPr>
      </w:pPr>
    </w:p>
    <w:p w14:paraId="078542F3" w14:textId="6FC6FC28" w:rsidR="007E2727" w:rsidRDefault="007E2727" w:rsidP="007E2727">
      <w:pPr>
        <w:rPr>
          <w:rFonts w:cs="Arial"/>
          <w:sz w:val="22"/>
          <w:szCs w:val="22"/>
        </w:rPr>
      </w:pPr>
      <w:r w:rsidRPr="00896B2A">
        <w:rPr>
          <w:rFonts w:cs="Arial"/>
          <w:i/>
          <w:iCs/>
          <w:sz w:val="22"/>
          <w:szCs w:val="22"/>
        </w:rPr>
        <w:t>En cualquier caso, en el evento de ratificar estos elementos, es importante tener en cuenta que, al no ser los usuarios no regulados empresas de servicio público, en realidad no habría forma de hacerlos cumplir las reglas que determina el regulador en la resolución</w:t>
      </w:r>
      <w:r w:rsidRPr="007E2727">
        <w:rPr>
          <w:rFonts w:cs="Arial"/>
          <w:sz w:val="22"/>
          <w:szCs w:val="22"/>
        </w:rPr>
        <w:t>."</w:t>
      </w:r>
    </w:p>
    <w:p w14:paraId="3FC47E25" w14:textId="702835C5" w:rsidR="00896B2A" w:rsidRDefault="00896B2A" w:rsidP="007E2727">
      <w:pPr>
        <w:rPr>
          <w:rFonts w:cs="Arial"/>
          <w:sz w:val="22"/>
          <w:szCs w:val="22"/>
        </w:rPr>
      </w:pPr>
    </w:p>
    <w:p w14:paraId="51A3A8B9" w14:textId="4F0C9D59" w:rsidR="00896B2A" w:rsidRPr="00896B2A" w:rsidRDefault="00896B2A" w:rsidP="007E2727">
      <w:pPr>
        <w:rPr>
          <w:rFonts w:cs="Arial"/>
          <w:b/>
          <w:bCs/>
          <w:sz w:val="22"/>
          <w:szCs w:val="22"/>
        </w:rPr>
      </w:pPr>
      <w:r w:rsidRPr="00896B2A">
        <w:rPr>
          <w:rFonts w:cs="Arial"/>
          <w:b/>
          <w:bCs/>
          <w:sz w:val="22"/>
          <w:szCs w:val="22"/>
        </w:rPr>
        <w:t>Respuesta:</w:t>
      </w:r>
    </w:p>
    <w:p w14:paraId="31FD4649" w14:textId="68F6C715" w:rsidR="00896B2A" w:rsidRDefault="00896B2A" w:rsidP="007E2727">
      <w:pPr>
        <w:rPr>
          <w:rFonts w:cs="Arial"/>
          <w:sz w:val="22"/>
          <w:szCs w:val="22"/>
        </w:rPr>
      </w:pPr>
    </w:p>
    <w:p w14:paraId="5E406943" w14:textId="0AA28875" w:rsidR="00982152" w:rsidRDefault="00982152" w:rsidP="007E2727">
      <w:pPr>
        <w:rPr>
          <w:rFonts w:cs="Arial"/>
          <w:sz w:val="22"/>
          <w:szCs w:val="22"/>
        </w:rPr>
      </w:pPr>
      <w:r>
        <w:rPr>
          <w:rFonts w:cs="Arial"/>
          <w:sz w:val="22"/>
          <w:szCs w:val="22"/>
        </w:rPr>
        <w:t>Se acoge el comentario</w:t>
      </w:r>
      <w:r w:rsidR="0074614D">
        <w:rPr>
          <w:rFonts w:cs="Arial"/>
          <w:sz w:val="22"/>
          <w:szCs w:val="22"/>
        </w:rPr>
        <w:t xml:space="preserve"> parcialmente</w:t>
      </w:r>
      <w:r>
        <w:rPr>
          <w:rFonts w:cs="Arial"/>
          <w:sz w:val="22"/>
          <w:szCs w:val="22"/>
        </w:rPr>
        <w:t>.</w:t>
      </w:r>
    </w:p>
    <w:p w14:paraId="1859954C" w14:textId="3FC13F34" w:rsidR="0074614D" w:rsidRDefault="0074614D" w:rsidP="007E2727">
      <w:pPr>
        <w:rPr>
          <w:rFonts w:cs="Arial"/>
          <w:sz w:val="22"/>
          <w:szCs w:val="22"/>
        </w:rPr>
      </w:pPr>
    </w:p>
    <w:p w14:paraId="73A28960" w14:textId="61F1950A" w:rsidR="0074614D" w:rsidRDefault="0074614D" w:rsidP="007E2727">
      <w:pPr>
        <w:rPr>
          <w:rFonts w:cs="Arial"/>
          <w:sz w:val="22"/>
          <w:szCs w:val="22"/>
        </w:rPr>
      </w:pPr>
      <w:r>
        <w:rPr>
          <w:rFonts w:cs="Arial"/>
          <w:sz w:val="22"/>
          <w:szCs w:val="22"/>
        </w:rPr>
        <w:t>En la propuesta de la Resolución CREG 226 de 2021 no se libera la condición de que un usuario no regulado no puede vender directamente en el Mercado Secundario, por lo menos en el caso de contratos de tipo firme o que garantizan firmeza. Solamente participa como vendedor mediante el mecanismo de Úselo o Véndalo de Corto Plazo, que es un mecanismo que parte de aquellas cantidades contratadas y no nominadas en el día de gas</w:t>
      </w:r>
      <w:r w:rsidR="009A2F07">
        <w:rPr>
          <w:rFonts w:cs="Arial"/>
          <w:sz w:val="22"/>
          <w:szCs w:val="22"/>
        </w:rPr>
        <w:t>.</w:t>
      </w:r>
      <w:r>
        <w:rPr>
          <w:rFonts w:cs="Arial"/>
          <w:sz w:val="22"/>
          <w:szCs w:val="22"/>
        </w:rPr>
        <w:t xml:space="preserve"> </w:t>
      </w:r>
    </w:p>
    <w:p w14:paraId="0BEF8650" w14:textId="7F007131" w:rsidR="00FC493A" w:rsidRDefault="00FC493A" w:rsidP="007E2727">
      <w:pPr>
        <w:rPr>
          <w:rFonts w:cs="Arial"/>
          <w:sz w:val="22"/>
          <w:szCs w:val="22"/>
        </w:rPr>
      </w:pPr>
    </w:p>
    <w:p w14:paraId="4F03659A" w14:textId="40A1BFCA" w:rsidR="00FC493A" w:rsidRDefault="00FC493A" w:rsidP="007E2727">
      <w:pPr>
        <w:rPr>
          <w:rFonts w:cs="Arial"/>
          <w:sz w:val="22"/>
          <w:szCs w:val="22"/>
        </w:rPr>
      </w:pPr>
      <w:r>
        <w:rPr>
          <w:rFonts w:cs="Arial"/>
          <w:sz w:val="22"/>
          <w:szCs w:val="22"/>
        </w:rPr>
        <w:t xml:space="preserve">La redacción propuesta del Artículo correspondiente a los vendedores del Mercado </w:t>
      </w:r>
      <w:proofErr w:type="gramStart"/>
      <w:r>
        <w:rPr>
          <w:rFonts w:cs="Arial"/>
          <w:sz w:val="22"/>
          <w:szCs w:val="22"/>
        </w:rPr>
        <w:t>Secundario,</w:t>
      </w:r>
      <w:proofErr w:type="gramEnd"/>
      <w:r>
        <w:rPr>
          <w:rFonts w:cs="Arial"/>
          <w:sz w:val="22"/>
          <w:szCs w:val="22"/>
        </w:rPr>
        <w:t xml:space="preserve"> se mantuvo idéntica, en cuanto a los usuarios no regulados, en la parte que dice: “(…) </w:t>
      </w:r>
      <w:r w:rsidRPr="00FC493A">
        <w:rPr>
          <w:rFonts w:cs="Arial"/>
          <w:i/>
          <w:iCs/>
          <w:sz w:val="22"/>
          <w:szCs w:val="22"/>
        </w:rPr>
        <w:t>son los únicos Participantes del Mercado que podrán vender gas natural en el mercado secundario</w:t>
      </w:r>
      <w:r>
        <w:rPr>
          <w:rFonts w:cs="Arial"/>
          <w:sz w:val="22"/>
          <w:szCs w:val="22"/>
        </w:rPr>
        <w:t>”.</w:t>
      </w:r>
    </w:p>
    <w:p w14:paraId="18477616" w14:textId="0889EB55" w:rsidR="00FC493A" w:rsidRDefault="00FC493A" w:rsidP="007E2727">
      <w:pPr>
        <w:rPr>
          <w:rFonts w:cs="Arial"/>
          <w:sz w:val="22"/>
          <w:szCs w:val="22"/>
        </w:rPr>
      </w:pPr>
    </w:p>
    <w:p w14:paraId="6ED24F49" w14:textId="5A43D643" w:rsidR="00896B2A" w:rsidRPr="007E2727" w:rsidRDefault="00FC493A" w:rsidP="007E2727">
      <w:pPr>
        <w:rPr>
          <w:rFonts w:cs="Arial"/>
          <w:sz w:val="22"/>
          <w:szCs w:val="22"/>
        </w:rPr>
      </w:pPr>
      <w:r>
        <w:rPr>
          <w:rFonts w:cs="Arial"/>
          <w:sz w:val="22"/>
          <w:szCs w:val="22"/>
        </w:rPr>
        <w:t>En la nueva propuesta se mantienen los textos vigentes al respecto de los vendedores del Mercado Secundario pues en ningún momento se pretendía modificar las opciones que tiene estos usuarios de participación como vendedores en el Mercado Secundario. El texto inicialmente propuesto buscaba dar mayor intensidad en cuanto que las compras de un usuario no regulado no son con el fin de adelantar actividades propias de un comercializador, sino para atender su propio consumo derivado del desarrollo de su actividad industrial o comercial.</w:t>
      </w:r>
    </w:p>
    <w:p w14:paraId="413D202E" w14:textId="77777777" w:rsidR="007E2727" w:rsidRDefault="007E2727" w:rsidP="007E2727">
      <w:pPr>
        <w:rPr>
          <w:rFonts w:cs="Arial"/>
          <w:sz w:val="22"/>
          <w:szCs w:val="22"/>
        </w:rPr>
      </w:pPr>
    </w:p>
    <w:p w14:paraId="1A39CC39" w14:textId="77777777" w:rsidR="007E2727" w:rsidRDefault="007E2727" w:rsidP="007E2727">
      <w:pPr>
        <w:rPr>
          <w:rFonts w:cs="Arial"/>
          <w:sz w:val="22"/>
          <w:szCs w:val="22"/>
        </w:rPr>
      </w:pPr>
    </w:p>
    <w:p w14:paraId="12A2F03A" w14:textId="77777777" w:rsidR="007E2727" w:rsidRDefault="007E2727" w:rsidP="007E2727">
      <w:pPr>
        <w:pStyle w:val="Ttulo2"/>
      </w:pPr>
      <w:bookmarkStart w:id="705" w:name="_Toc140506385"/>
      <w:r w:rsidRPr="007E2727">
        <w:t>GASES DEL CARIBE</w:t>
      </w:r>
      <w:bookmarkEnd w:id="705"/>
      <w:r w:rsidRPr="007E2727">
        <w:tab/>
      </w:r>
    </w:p>
    <w:p w14:paraId="108E9EDB" w14:textId="77777777" w:rsidR="007E2727" w:rsidRDefault="007E2727" w:rsidP="007E2727">
      <w:pPr>
        <w:pStyle w:val="Ttulo4"/>
      </w:pPr>
      <w:r w:rsidRPr="007E2727">
        <w:t>GASES DEL CARIBE</w:t>
      </w:r>
      <w:r w:rsidRPr="007E2727">
        <w:tab/>
      </w:r>
    </w:p>
    <w:p w14:paraId="1E661309" w14:textId="08B6A766" w:rsidR="007E2727" w:rsidRPr="00FC493A" w:rsidRDefault="007E2727" w:rsidP="007E2727">
      <w:pPr>
        <w:rPr>
          <w:rFonts w:cs="Arial"/>
          <w:i/>
          <w:iCs/>
          <w:sz w:val="22"/>
          <w:szCs w:val="22"/>
        </w:rPr>
      </w:pPr>
      <w:r w:rsidRPr="007E2727">
        <w:rPr>
          <w:rFonts w:cs="Arial"/>
          <w:sz w:val="22"/>
          <w:szCs w:val="22"/>
        </w:rPr>
        <w:t>"</w:t>
      </w:r>
      <w:r w:rsidRPr="00FC493A">
        <w:rPr>
          <w:rFonts w:cs="Arial"/>
          <w:i/>
          <w:iCs/>
          <w:sz w:val="22"/>
          <w:szCs w:val="22"/>
        </w:rPr>
        <w:t>La redacción integral de esta cláusula, con las demás cláusulas resulta contradictoria, en la medida en que se incluye a los usuarios no regulados, para atender su propio consumo, pero al mismo tiempo, se libera la condición de que el usuario no regulado pueda vender en el mercado secundario, y no únicamente en el úselo o véndalo como estaba en la resolución 186.</w:t>
      </w:r>
    </w:p>
    <w:p w14:paraId="4CF500EF" w14:textId="77777777" w:rsidR="007E2727" w:rsidRPr="00FC493A" w:rsidRDefault="007E2727" w:rsidP="007E2727">
      <w:pPr>
        <w:rPr>
          <w:rFonts w:cs="Arial"/>
          <w:i/>
          <w:iCs/>
          <w:sz w:val="22"/>
          <w:szCs w:val="22"/>
        </w:rPr>
      </w:pPr>
    </w:p>
    <w:p w14:paraId="6E31A14B" w14:textId="77777777" w:rsidR="007E2727" w:rsidRPr="00FC493A" w:rsidRDefault="007E2727" w:rsidP="007E2727">
      <w:pPr>
        <w:rPr>
          <w:rFonts w:cs="Arial"/>
          <w:i/>
          <w:iCs/>
          <w:sz w:val="22"/>
          <w:szCs w:val="22"/>
        </w:rPr>
      </w:pPr>
      <w:proofErr w:type="gramStart"/>
      <w:r w:rsidRPr="00FC493A">
        <w:rPr>
          <w:rFonts w:cs="Arial"/>
          <w:i/>
          <w:iCs/>
          <w:sz w:val="22"/>
          <w:szCs w:val="22"/>
        </w:rPr>
        <w:t>Éste</w:t>
      </w:r>
      <w:proofErr w:type="gramEnd"/>
      <w:r w:rsidRPr="00FC493A">
        <w:rPr>
          <w:rFonts w:cs="Arial"/>
          <w:i/>
          <w:iCs/>
          <w:sz w:val="22"/>
          <w:szCs w:val="22"/>
        </w:rPr>
        <w:t xml:space="preserve"> asunto no es sustentado por el regulador en ninguna parte del documento, y en ese sentido, considerando que esta restricción obedecía a una lógica de mercado, pareciera necesario que el regulador explicara el cambio de posición, y las razones por las cuales se permitiría que un usuario no regulado pueda ejercer las mismas funciones de un comercializador en operaciones de compra y venta.</w:t>
      </w:r>
    </w:p>
    <w:p w14:paraId="0105BD99" w14:textId="77777777" w:rsidR="007E2727" w:rsidRPr="00FC493A" w:rsidRDefault="007E2727" w:rsidP="007E2727">
      <w:pPr>
        <w:rPr>
          <w:rFonts w:cs="Arial"/>
          <w:i/>
          <w:iCs/>
          <w:sz w:val="22"/>
          <w:szCs w:val="22"/>
        </w:rPr>
      </w:pPr>
    </w:p>
    <w:p w14:paraId="43ACFD60" w14:textId="777FA8D8" w:rsidR="00D26961" w:rsidRDefault="007E2727" w:rsidP="007E2727">
      <w:pPr>
        <w:rPr>
          <w:rFonts w:cs="Arial"/>
          <w:sz w:val="22"/>
          <w:szCs w:val="22"/>
        </w:rPr>
      </w:pPr>
      <w:r w:rsidRPr="00FC493A">
        <w:rPr>
          <w:rFonts w:cs="Arial"/>
          <w:i/>
          <w:iCs/>
          <w:sz w:val="22"/>
          <w:szCs w:val="22"/>
        </w:rPr>
        <w:t>En cualquier caso, en el evento de ratificar estos elementos, es importante tener en cuenta que, al no ser los usuarios no regulados empresas de servicio público, en realidad no habría forma de hacerlos cumplir las reglas que determina el regulador en la resolución</w:t>
      </w:r>
      <w:r w:rsidRPr="007E2727">
        <w:rPr>
          <w:rFonts w:cs="Arial"/>
          <w:sz w:val="22"/>
          <w:szCs w:val="22"/>
        </w:rPr>
        <w:t>."</w:t>
      </w:r>
    </w:p>
    <w:p w14:paraId="777D64DF" w14:textId="72BC61DA" w:rsidR="00FC493A" w:rsidRDefault="00FC493A" w:rsidP="007E2727">
      <w:pPr>
        <w:rPr>
          <w:rFonts w:cs="Arial"/>
          <w:sz w:val="22"/>
          <w:szCs w:val="22"/>
        </w:rPr>
      </w:pPr>
    </w:p>
    <w:p w14:paraId="4002DE5C" w14:textId="0EC4E497" w:rsidR="00FC493A" w:rsidRPr="00FC493A" w:rsidRDefault="00FC493A" w:rsidP="007E2727">
      <w:pPr>
        <w:rPr>
          <w:rFonts w:cs="Arial"/>
          <w:b/>
          <w:bCs/>
          <w:sz w:val="22"/>
          <w:szCs w:val="22"/>
        </w:rPr>
      </w:pPr>
      <w:r w:rsidRPr="00FC493A">
        <w:rPr>
          <w:rFonts w:cs="Arial"/>
          <w:b/>
          <w:bCs/>
          <w:sz w:val="22"/>
          <w:szCs w:val="22"/>
        </w:rPr>
        <w:t>Respuesta:</w:t>
      </w:r>
    </w:p>
    <w:p w14:paraId="32821F91" w14:textId="4501C5AF" w:rsidR="00FC493A" w:rsidRDefault="00FC493A" w:rsidP="007E2727">
      <w:pPr>
        <w:rPr>
          <w:rFonts w:cs="Arial"/>
          <w:sz w:val="22"/>
          <w:szCs w:val="22"/>
        </w:rPr>
      </w:pPr>
    </w:p>
    <w:p w14:paraId="79CACC44" w14:textId="6AF994A0" w:rsidR="00D26961" w:rsidRDefault="00FC493A" w:rsidP="00371CB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_Ref130808163 \r \h </w:instrText>
      </w:r>
      <w:r>
        <w:rPr>
          <w:rFonts w:cs="Arial"/>
          <w:sz w:val="22"/>
          <w:szCs w:val="22"/>
        </w:rPr>
      </w:r>
      <w:r>
        <w:rPr>
          <w:rFonts w:cs="Arial"/>
          <w:sz w:val="22"/>
          <w:szCs w:val="22"/>
        </w:rPr>
        <w:fldChar w:fldCharType="separate"/>
      </w:r>
      <w:r w:rsidR="007651EA">
        <w:rPr>
          <w:rFonts w:cs="Arial"/>
          <w:sz w:val="22"/>
          <w:szCs w:val="22"/>
        </w:rPr>
        <w:t>16.1.1.1</w:t>
      </w:r>
      <w:r>
        <w:rPr>
          <w:rFonts w:cs="Arial"/>
          <w:sz w:val="22"/>
          <w:szCs w:val="22"/>
        </w:rPr>
        <w:fldChar w:fldCharType="end"/>
      </w:r>
      <w:r>
        <w:rPr>
          <w:rFonts w:cs="Arial"/>
          <w:sz w:val="22"/>
          <w:szCs w:val="22"/>
        </w:rPr>
        <w:t>.</w:t>
      </w:r>
    </w:p>
    <w:p w14:paraId="786A25AD" w14:textId="1B345C67" w:rsidR="00FC493A" w:rsidRDefault="00FC493A" w:rsidP="00371CB5">
      <w:pPr>
        <w:rPr>
          <w:rFonts w:cs="Arial"/>
          <w:sz w:val="22"/>
          <w:szCs w:val="22"/>
        </w:rPr>
      </w:pPr>
    </w:p>
    <w:p w14:paraId="42C9AD51" w14:textId="77777777" w:rsidR="00FC493A" w:rsidRDefault="00FC493A" w:rsidP="00371CB5">
      <w:pPr>
        <w:rPr>
          <w:rFonts w:cs="Arial"/>
          <w:b/>
          <w:bCs/>
          <w:sz w:val="22"/>
          <w:szCs w:val="22"/>
        </w:rPr>
      </w:pPr>
    </w:p>
    <w:p w14:paraId="4A0AAA3A" w14:textId="02D68148" w:rsidR="00D26961" w:rsidRDefault="00D26961" w:rsidP="00D26961">
      <w:pPr>
        <w:pStyle w:val="Ttulo1"/>
        <w:numPr>
          <w:ilvl w:val="0"/>
          <w:numId w:val="1"/>
        </w:numPr>
        <w:rPr>
          <w:caps/>
        </w:rPr>
      </w:pPr>
      <w:bookmarkStart w:id="706" w:name="_Toc140506386"/>
      <w:r>
        <w:t xml:space="preserve">ARTÍCULO </w:t>
      </w:r>
      <w:r w:rsidR="00EF1C07">
        <w:t>19</w:t>
      </w:r>
      <w:r>
        <w:t xml:space="preserve">. </w:t>
      </w:r>
      <w:r w:rsidR="0070732E" w:rsidRPr="0070732E">
        <w:rPr>
          <w:caps/>
        </w:rPr>
        <w:t>Negociación directa en cualquier momento del año</w:t>
      </w:r>
      <w:bookmarkEnd w:id="706"/>
    </w:p>
    <w:p w14:paraId="70862432" w14:textId="77777777" w:rsidR="0060003A" w:rsidRDefault="007E2727" w:rsidP="002313DA">
      <w:pPr>
        <w:pStyle w:val="Ttulo2"/>
      </w:pPr>
      <w:bookmarkStart w:id="707" w:name="_Toc140506387"/>
      <w:r w:rsidRPr="007E2727">
        <w:t>ACP</w:t>
      </w:r>
      <w:bookmarkEnd w:id="707"/>
      <w:r w:rsidRPr="007E2727">
        <w:tab/>
      </w:r>
    </w:p>
    <w:p w14:paraId="2D29DF9B" w14:textId="77777777" w:rsidR="00F52B11" w:rsidRDefault="00F52B11" w:rsidP="00F52B11">
      <w:pPr>
        <w:pStyle w:val="Ttulo4"/>
      </w:pPr>
      <w:bookmarkStart w:id="708" w:name="_Ref132029431"/>
      <w:r w:rsidRPr="007E2727">
        <w:t>ACP</w:t>
      </w:r>
      <w:bookmarkEnd w:id="708"/>
      <w:r w:rsidRPr="007E2727">
        <w:tab/>
      </w:r>
    </w:p>
    <w:p w14:paraId="3457DC1A" w14:textId="78FF2D9F" w:rsidR="007E2727" w:rsidRPr="00FC493A" w:rsidRDefault="007E2727" w:rsidP="007E2727">
      <w:pPr>
        <w:rPr>
          <w:rFonts w:cs="Arial"/>
          <w:i/>
          <w:iCs/>
          <w:sz w:val="22"/>
          <w:szCs w:val="22"/>
        </w:rPr>
      </w:pPr>
      <w:r w:rsidRPr="007E2727">
        <w:rPr>
          <w:rFonts w:cs="Arial"/>
          <w:sz w:val="22"/>
          <w:szCs w:val="22"/>
        </w:rPr>
        <w:t>"</w:t>
      </w:r>
      <w:r w:rsidRPr="00FC493A">
        <w:rPr>
          <w:rFonts w:cs="Arial"/>
          <w:i/>
          <w:iCs/>
          <w:sz w:val="22"/>
          <w:szCs w:val="22"/>
        </w:rPr>
        <w:t xml:space="preserve">La flexibilidad en la comercialización de gas para los campos en pruebas extensas juega un papel importante para incentivar la comercialidad de un nuevo campo de gas y su conexión al SNT. Por ello, los mecanismos para comercializar este gas de campos en pruebas deben apuntar a facilitar la toma de decisión de inversión que finalmente lleve a la declaración de comercialidad y posterior desarrollo de la producción del campo. Teniendo en cuenta lo anterior: </w:t>
      </w:r>
    </w:p>
    <w:p w14:paraId="29A3927C" w14:textId="77777777" w:rsidR="007E2727" w:rsidRPr="00FC493A" w:rsidRDefault="007E2727" w:rsidP="007E2727">
      <w:pPr>
        <w:rPr>
          <w:rFonts w:cs="Arial"/>
          <w:i/>
          <w:iCs/>
          <w:sz w:val="22"/>
          <w:szCs w:val="22"/>
        </w:rPr>
      </w:pPr>
    </w:p>
    <w:p w14:paraId="03376C01" w14:textId="7593D579" w:rsidR="007E2727" w:rsidRDefault="007E2727" w:rsidP="007E2727">
      <w:pPr>
        <w:rPr>
          <w:rFonts w:cs="Arial"/>
          <w:sz w:val="22"/>
          <w:szCs w:val="22"/>
        </w:rPr>
      </w:pPr>
      <w:r w:rsidRPr="00FC493A">
        <w:rPr>
          <w:rFonts w:cs="Arial"/>
          <w:i/>
          <w:iCs/>
          <w:sz w:val="22"/>
          <w:szCs w:val="22"/>
        </w:rPr>
        <w:t xml:space="preserve">• Se recomienda precisar la redacción del numeral i. del literal a) del numeral 1 del artículo 19, de manera que quede clara la posibilidad de que estos campos en pruebas extensas que tengan reservas probables y posibles (2P y 3P) puedan comercializar su gas con las modalidades contractuales que garantizan firmeza, de manera consistente con la definición de </w:t>
      </w:r>
      <w:r w:rsidR="00DF60EA">
        <w:rPr>
          <w:rFonts w:cs="Arial"/>
          <w:i/>
          <w:iCs/>
          <w:sz w:val="22"/>
          <w:szCs w:val="22"/>
        </w:rPr>
        <w:t>‘</w:t>
      </w:r>
      <w:r w:rsidRPr="00FC493A">
        <w:rPr>
          <w:rFonts w:cs="Arial"/>
          <w:i/>
          <w:iCs/>
          <w:sz w:val="22"/>
          <w:szCs w:val="22"/>
        </w:rPr>
        <w:t>Respaldo Físico en Suministro</w:t>
      </w:r>
      <w:r w:rsidR="00DF60EA">
        <w:rPr>
          <w:rFonts w:cs="Arial"/>
          <w:i/>
          <w:iCs/>
          <w:sz w:val="22"/>
          <w:szCs w:val="22"/>
        </w:rPr>
        <w:t>’</w:t>
      </w:r>
      <w:r w:rsidRPr="00FC493A">
        <w:rPr>
          <w:rFonts w:cs="Arial"/>
          <w:i/>
          <w:iCs/>
          <w:sz w:val="22"/>
          <w:szCs w:val="22"/>
        </w:rPr>
        <w:t xml:space="preserve"> de esta misma resolución en consulta, definida como </w:t>
      </w:r>
      <w:r w:rsidR="00DF60EA">
        <w:rPr>
          <w:rFonts w:cs="Arial"/>
          <w:i/>
          <w:iCs/>
          <w:sz w:val="22"/>
          <w:szCs w:val="22"/>
        </w:rPr>
        <w:t>‘</w:t>
      </w:r>
      <w:r w:rsidRPr="00FC493A">
        <w:rPr>
          <w:rFonts w:cs="Arial"/>
          <w:i/>
          <w:iCs/>
          <w:sz w:val="22"/>
          <w:szCs w:val="22"/>
        </w:rPr>
        <w:t>la garantía de que un Productor cuenta con Reservas de Gas Natural para asumir y cumplir compromisos contractuales Firmes, o que Garantizan Firmeza,(…)</w:t>
      </w:r>
      <w:r w:rsidR="00A53DF6">
        <w:rPr>
          <w:rFonts w:cs="Arial"/>
          <w:i/>
          <w:iCs/>
          <w:sz w:val="22"/>
          <w:szCs w:val="22"/>
        </w:rPr>
        <w:t>’</w:t>
      </w:r>
      <w:r w:rsidRPr="00FC493A">
        <w:rPr>
          <w:rFonts w:cs="Arial"/>
          <w:i/>
          <w:iCs/>
          <w:sz w:val="22"/>
          <w:szCs w:val="22"/>
        </w:rPr>
        <w:t xml:space="preserve"> (subrayado fuera de texto). Es necesaria claridad en este aspecto, debido a que la posibilidad de contratación en firme en estos </w:t>
      </w:r>
      <w:proofErr w:type="gramStart"/>
      <w:r w:rsidRPr="00FC493A">
        <w:rPr>
          <w:rFonts w:cs="Arial"/>
          <w:i/>
          <w:iCs/>
          <w:sz w:val="22"/>
          <w:szCs w:val="22"/>
        </w:rPr>
        <w:t>campos,</w:t>
      </w:r>
      <w:proofErr w:type="gramEnd"/>
      <w:r w:rsidRPr="00FC493A">
        <w:rPr>
          <w:rFonts w:cs="Arial"/>
          <w:i/>
          <w:iCs/>
          <w:sz w:val="22"/>
          <w:szCs w:val="22"/>
        </w:rPr>
        <w:t xml:space="preserve"> impulsa en algunos casos la posterior comercialidad y viabilidad económica de un campo de gas</w:t>
      </w:r>
      <w:r w:rsidRPr="007E2727">
        <w:rPr>
          <w:rFonts w:cs="Arial"/>
          <w:sz w:val="22"/>
          <w:szCs w:val="22"/>
        </w:rPr>
        <w:t>."</w:t>
      </w:r>
    </w:p>
    <w:p w14:paraId="0995AA79" w14:textId="31EDCFF9" w:rsidR="00FC493A" w:rsidRDefault="00FC493A" w:rsidP="007E2727">
      <w:pPr>
        <w:rPr>
          <w:rFonts w:cs="Arial"/>
          <w:sz w:val="22"/>
          <w:szCs w:val="22"/>
        </w:rPr>
      </w:pPr>
    </w:p>
    <w:p w14:paraId="0B504C5E" w14:textId="450C49C8" w:rsidR="00FC493A" w:rsidRPr="00FC493A" w:rsidRDefault="00FC493A" w:rsidP="007E2727">
      <w:pPr>
        <w:rPr>
          <w:rFonts w:cs="Arial"/>
          <w:b/>
          <w:bCs/>
          <w:sz w:val="22"/>
          <w:szCs w:val="22"/>
        </w:rPr>
      </w:pPr>
      <w:r w:rsidRPr="00FC493A">
        <w:rPr>
          <w:rFonts w:cs="Arial"/>
          <w:b/>
          <w:bCs/>
          <w:sz w:val="22"/>
          <w:szCs w:val="22"/>
        </w:rPr>
        <w:t>Respuesta:</w:t>
      </w:r>
    </w:p>
    <w:p w14:paraId="0377442B" w14:textId="117ED62E" w:rsidR="00FC493A" w:rsidRDefault="00FC493A" w:rsidP="007E2727">
      <w:pPr>
        <w:rPr>
          <w:rFonts w:cs="Arial"/>
          <w:sz w:val="22"/>
          <w:szCs w:val="22"/>
        </w:rPr>
      </w:pPr>
    </w:p>
    <w:p w14:paraId="49EB4ACC" w14:textId="6D5E0FA2" w:rsidR="00FC493A" w:rsidRDefault="006D0C76" w:rsidP="007E2727">
      <w:pPr>
        <w:rPr>
          <w:rFonts w:cs="Arial"/>
          <w:sz w:val="22"/>
          <w:szCs w:val="22"/>
        </w:rPr>
      </w:pPr>
      <w:r>
        <w:rPr>
          <w:rFonts w:cs="Arial"/>
          <w:sz w:val="22"/>
          <w:szCs w:val="22"/>
        </w:rPr>
        <w:t>No se acoge el comentario.</w:t>
      </w:r>
    </w:p>
    <w:p w14:paraId="40965F22" w14:textId="77777777" w:rsidR="00144F6D" w:rsidRDefault="00144F6D" w:rsidP="007E2727">
      <w:pPr>
        <w:rPr>
          <w:rFonts w:cs="Arial"/>
          <w:sz w:val="22"/>
          <w:szCs w:val="22"/>
        </w:rPr>
      </w:pPr>
    </w:p>
    <w:p w14:paraId="2DCACDA1" w14:textId="77777777" w:rsidR="00144F6D" w:rsidRPr="00BD5D99" w:rsidRDefault="00144F6D" w:rsidP="00144F6D">
      <w:pPr>
        <w:rPr>
          <w:bCs/>
          <w:sz w:val="22"/>
          <w:szCs w:val="22"/>
        </w:rPr>
      </w:pPr>
      <w:r>
        <w:rPr>
          <w:bCs/>
          <w:sz w:val="22"/>
          <w:szCs w:val="22"/>
        </w:rPr>
        <w:t xml:space="preserve">Por error de redacción, que se corrige en la nueva propuesta, en la Resolución CREG 226 de 2021 se escribió “(…) </w:t>
      </w:r>
      <w:r w:rsidRPr="00031E8B">
        <w:rPr>
          <w:bCs/>
          <w:i/>
          <w:iCs/>
          <w:sz w:val="22"/>
          <w:szCs w:val="22"/>
        </w:rPr>
        <w:t xml:space="preserve">reservas probables y/o posibles </w:t>
      </w:r>
      <w:r>
        <w:rPr>
          <w:bCs/>
          <w:sz w:val="22"/>
          <w:szCs w:val="22"/>
        </w:rPr>
        <w:t xml:space="preserve">(…) en el numeral i. del literal a) del numeral 1. del Artículo 19, cuando el texto corresponde a “reservas probadas y/o probables”, en armonía con la definición de Reservas de Gas Natural que se incluye en el Artículo 3 de la propuesta. </w:t>
      </w:r>
    </w:p>
    <w:p w14:paraId="4C8AAE5D" w14:textId="7F501101" w:rsidR="006D0C76" w:rsidRDefault="006D0C76" w:rsidP="007E2727">
      <w:pPr>
        <w:rPr>
          <w:rFonts w:cs="Arial"/>
          <w:sz w:val="22"/>
          <w:szCs w:val="22"/>
        </w:rPr>
      </w:pPr>
    </w:p>
    <w:p w14:paraId="3DA950CB" w14:textId="633C96D0" w:rsidR="006D0C76" w:rsidRDefault="00CC7C29" w:rsidP="007E2727">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_Ref129780388 \r \h </w:instrText>
      </w:r>
      <w:r>
        <w:rPr>
          <w:rFonts w:cs="Arial"/>
          <w:sz w:val="22"/>
          <w:szCs w:val="22"/>
        </w:rPr>
      </w:r>
      <w:r>
        <w:rPr>
          <w:rFonts w:cs="Arial"/>
          <w:sz w:val="22"/>
          <w:szCs w:val="22"/>
        </w:rPr>
        <w:fldChar w:fldCharType="separate"/>
      </w:r>
      <w:r w:rsidR="007651EA">
        <w:rPr>
          <w:rFonts w:cs="Arial"/>
          <w:sz w:val="22"/>
          <w:szCs w:val="22"/>
        </w:rPr>
        <w:t>4.4</w:t>
      </w:r>
      <w:r>
        <w:rPr>
          <w:rFonts w:cs="Arial"/>
          <w:sz w:val="22"/>
          <w:szCs w:val="22"/>
        </w:rPr>
        <w:fldChar w:fldCharType="end"/>
      </w:r>
      <w:r>
        <w:rPr>
          <w:rFonts w:cs="Arial"/>
          <w:sz w:val="22"/>
          <w:szCs w:val="22"/>
        </w:rPr>
        <w:t>,</w:t>
      </w:r>
      <w:r w:rsidR="00EA745A">
        <w:rPr>
          <w:rFonts w:cs="Arial"/>
          <w:sz w:val="22"/>
          <w:szCs w:val="22"/>
        </w:rPr>
        <w:t xml:space="preserve">numeral </w:t>
      </w:r>
      <w:r>
        <w:rPr>
          <w:rFonts w:cs="Arial"/>
          <w:sz w:val="22"/>
          <w:szCs w:val="22"/>
        </w:rPr>
        <w:t xml:space="preserve"> </w:t>
      </w:r>
      <w:r>
        <w:rPr>
          <w:rFonts w:cs="Arial"/>
          <w:sz w:val="22"/>
          <w:szCs w:val="22"/>
        </w:rPr>
        <w:fldChar w:fldCharType="begin"/>
      </w:r>
      <w:r>
        <w:rPr>
          <w:rFonts w:cs="Arial"/>
          <w:sz w:val="22"/>
          <w:szCs w:val="22"/>
        </w:rPr>
        <w:instrText xml:space="preserve"> REF _Ref130808604 \r \h </w:instrText>
      </w:r>
      <w:r>
        <w:rPr>
          <w:rFonts w:cs="Arial"/>
          <w:sz w:val="22"/>
          <w:szCs w:val="22"/>
        </w:rPr>
      </w:r>
      <w:r>
        <w:rPr>
          <w:rFonts w:cs="Arial"/>
          <w:sz w:val="22"/>
          <w:szCs w:val="22"/>
        </w:rPr>
        <w:fldChar w:fldCharType="separate"/>
      </w:r>
      <w:r w:rsidR="007651EA">
        <w:rPr>
          <w:rFonts w:cs="Arial"/>
          <w:sz w:val="22"/>
          <w:szCs w:val="22"/>
        </w:rPr>
        <w:t>4.7</w:t>
      </w:r>
      <w:r>
        <w:rPr>
          <w:rFonts w:cs="Arial"/>
          <w:sz w:val="22"/>
          <w:szCs w:val="22"/>
        </w:rPr>
        <w:fldChar w:fldCharType="end"/>
      </w:r>
      <w:r>
        <w:rPr>
          <w:rFonts w:cs="Arial"/>
          <w:sz w:val="22"/>
          <w:szCs w:val="22"/>
        </w:rPr>
        <w:t>,</w:t>
      </w:r>
      <w:r w:rsidR="00EA745A">
        <w:rPr>
          <w:rFonts w:cs="Arial"/>
          <w:sz w:val="22"/>
          <w:szCs w:val="22"/>
        </w:rPr>
        <w:t xml:space="preserve"> numeral </w:t>
      </w:r>
      <w:r>
        <w:rPr>
          <w:rFonts w:cs="Arial"/>
          <w:sz w:val="22"/>
          <w:szCs w:val="22"/>
        </w:rPr>
        <w:t xml:space="preserve"> </w:t>
      </w:r>
      <w:r>
        <w:rPr>
          <w:rFonts w:cs="Arial"/>
          <w:sz w:val="22"/>
          <w:szCs w:val="22"/>
        </w:rPr>
        <w:fldChar w:fldCharType="begin"/>
      </w:r>
      <w:r>
        <w:rPr>
          <w:rFonts w:cs="Arial"/>
          <w:sz w:val="22"/>
          <w:szCs w:val="22"/>
        </w:rPr>
        <w:instrText xml:space="preserve"> REF _Ref130808630 \r \h </w:instrText>
      </w:r>
      <w:r>
        <w:rPr>
          <w:rFonts w:cs="Arial"/>
          <w:sz w:val="22"/>
          <w:szCs w:val="22"/>
        </w:rPr>
      </w:r>
      <w:r>
        <w:rPr>
          <w:rFonts w:cs="Arial"/>
          <w:sz w:val="22"/>
          <w:szCs w:val="22"/>
        </w:rPr>
        <w:fldChar w:fldCharType="separate"/>
      </w:r>
      <w:r w:rsidR="007651EA">
        <w:rPr>
          <w:rFonts w:cs="Arial"/>
          <w:sz w:val="22"/>
          <w:szCs w:val="22"/>
        </w:rPr>
        <w:t>4.9</w:t>
      </w:r>
      <w:r>
        <w:rPr>
          <w:rFonts w:cs="Arial"/>
          <w:sz w:val="22"/>
          <w:szCs w:val="22"/>
        </w:rPr>
        <w:fldChar w:fldCharType="end"/>
      </w:r>
      <w:r>
        <w:rPr>
          <w:rFonts w:cs="Arial"/>
          <w:sz w:val="22"/>
          <w:szCs w:val="22"/>
        </w:rPr>
        <w:t>,</w:t>
      </w:r>
      <w:r w:rsidR="00354925">
        <w:rPr>
          <w:rFonts w:cs="Arial"/>
          <w:sz w:val="22"/>
          <w:szCs w:val="22"/>
        </w:rPr>
        <w:t xml:space="preserve"> </w:t>
      </w:r>
      <w:r w:rsidR="00EA745A">
        <w:rPr>
          <w:rFonts w:cs="Arial"/>
          <w:sz w:val="22"/>
          <w:szCs w:val="22"/>
        </w:rPr>
        <w:t xml:space="preserve">numeral </w:t>
      </w:r>
      <w:r>
        <w:rPr>
          <w:rFonts w:cs="Arial"/>
          <w:sz w:val="22"/>
          <w:szCs w:val="22"/>
        </w:rPr>
        <w:t xml:space="preserve"> </w:t>
      </w:r>
      <w:r>
        <w:rPr>
          <w:rFonts w:cs="Arial"/>
          <w:sz w:val="22"/>
          <w:szCs w:val="22"/>
        </w:rPr>
        <w:fldChar w:fldCharType="begin"/>
      </w:r>
      <w:r>
        <w:rPr>
          <w:rFonts w:cs="Arial"/>
          <w:sz w:val="22"/>
          <w:szCs w:val="22"/>
        </w:rPr>
        <w:instrText xml:space="preserve"> REF _Ref130808646 \r \h </w:instrText>
      </w:r>
      <w:r>
        <w:rPr>
          <w:rFonts w:cs="Arial"/>
          <w:sz w:val="22"/>
          <w:szCs w:val="22"/>
        </w:rPr>
      </w:r>
      <w:r>
        <w:rPr>
          <w:rFonts w:cs="Arial"/>
          <w:sz w:val="22"/>
          <w:szCs w:val="22"/>
        </w:rPr>
        <w:fldChar w:fldCharType="separate"/>
      </w:r>
      <w:r w:rsidR="007651EA">
        <w:rPr>
          <w:rFonts w:cs="Arial"/>
          <w:sz w:val="22"/>
          <w:szCs w:val="22"/>
        </w:rPr>
        <w:t>4.10</w:t>
      </w:r>
      <w:r>
        <w:rPr>
          <w:rFonts w:cs="Arial"/>
          <w:sz w:val="22"/>
          <w:szCs w:val="22"/>
        </w:rPr>
        <w:fldChar w:fldCharType="end"/>
      </w:r>
      <w:r>
        <w:rPr>
          <w:rFonts w:cs="Arial"/>
          <w:sz w:val="22"/>
          <w:szCs w:val="22"/>
        </w:rPr>
        <w:t xml:space="preserve"> y</w:t>
      </w:r>
      <w:r w:rsidR="00EA745A">
        <w:rPr>
          <w:rFonts w:cs="Arial"/>
          <w:sz w:val="22"/>
          <w:szCs w:val="22"/>
        </w:rPr>
        <w:t xml:space="preserve"> numeral</w:t>
      </w:r>
      <w:r>
        <w:rPr>
          <w:rFonts w:cs="Arial"/>
          <w:sz w:val="22"/>
          <w:szCs w:val="22"/>
        </w:rPr>
        <w:t xml:space="preserve"> </w:t>
      </w:r>
      <w:r>
        <w:rPr>
          <w:rFonts w:cs="Arial"/>
          <w:sz w:val="22"/>
          <w:szCs w:val="22"/>
        </w:rPr>
        <w:fldChar w:fldCharType="begin"/>
      </w:r>
      <w:r>
        <w:rPr>
          <w:rFonts w:cs="Arial"/>
          <w:sz w:val="22"/>
          <w:szCs w:val="22"/>
        </w:rPr>
        <w:instrText xml:space="preserve"> REF _Ref130637514 \r \h </w:instrText>
      </w:r>
      <w:r>
        <w:rPr>
          <w:rFonts w:cs="Arial"/>
          <w:sz w:val="22"/>
          <w:szCs w:val="22"/>
        </w:rPr>
      </w:r>
      <w:r>
        <w:rPr>
          <w:rFonts w:cs="Arial"/>
          <w:sz w:val="22"/>
          <w:szCs w:val="22"/>
        </w:rPr>
        <w:fldChar w:fldCharType="separate"/>
      </w:r>
      <w:r w:rsidR="007651EA">
        <w:rPr>
          <w:rFonts w:cs="Arial"/>
          <w:sz w:val="22"/>
          <w:szCs w:val="22"/>
        </w:rPr>
        <w:t>4.18</w:t>
      </w:r>
      <w:r>
        <w:rPr>
          <w:rFonts w:cs="Arial"/>
          <w:sz w:val="22"/>
          <w:szCs w:val="22"/>
        </w:rPr>
        <w:fldChar w:fldCharType="end"/>
      </w:r>
      <w:r>
        <w:rPr>
          <w:rFonts w:cs="Arial"/>
          <w:sz w:val="22"/>
          <w:szCs w:val="22"/>
        </w:rPr>
        <w:t>.</w:t>
      </w:r>
    </w:p>
    <w:p w14:paraId="623DC92E" w14:textId="77777777" w:rsidR="00FC493A" w:rsidRPr="007E2727" w:rsidRDefault="00FC493A" w:rsidP="007E2727">
      <w:pPr>
        <w:rPr>
          <w:rFonts w:cs="Arial"/>
          <w:sz w:val="22"/>
          <w:szCs w:val="22"/>
        </w:rPr>
      </w:pPr>
    </w:p>
    <w:p w14:paraId="3780906B" w14:textId="77777777" w:rsidR="0060003A" w:rsidRDefault="0060003A" w:rsidP="007E2727">
      <w:pPr>
        <w:rPr>
          <w:rFonts w:cs="Arial"/>
          <w:sz w:val="22"/>
          <w:szCs w:val="22"/>
        </w:rPr>
      </w:pPr>
    </w:p>
    <w:p w14:paraId="29B3017A" w14:textId="77777777" w:rsidR="0060003A" w:rsidRDefault="007E2727" w:rsidP="00F52B11">
      <w:pPr>
        <w:pStyle w:val="Ttulo4"/>
      </w:pPr>
      <w:bookmarkStart w:id="709" w:name="_Ref130818245"/>
      <w:r w:rsidRPr="007E2727">
        <w:t>ACP</w:t>
      </w:r>
      <w:bookmarkEnd w:id="709"/>
      <w:r w:rsidRPr="007E2727">
        <w:tab/>
      </w:r>
    </w:p>
    <w:p w14:paraId="00370463" w14:textId="4B7F1AA9" w:rsidR="007E2727" w:rsidRDefault="007E2727" w:rsidP="007E2727">
      <w:pPr>
        <w:rPr>
          <w:rFonts w:cs="Arial"/>
          <w:i/>
          <w:iCs/>
          <w:sz w:val="22"/>
          <w:szCs w:val="22"/>
        </w:rPr>
      </w:pPr>
      <w:r w:rsidRPr="007E2727">
        <w:rPr>
          <w:rFonts w:cs="Arial"/>
          <w:sz w:val="22"/>
          <w:szCs w:val="22"/>
        </w:rPr>
        <w:t>"</w:t>
      </w:r>
      <w:r w:rsidRPr="00F560DC">
        <w:rPr>
          <w:rFonts w:cs="Arial"/>
          <w:i/>
          <w:iCs/>
          <w:sz w:val="22"/>
          <w:szCs w:val="22"/>
        </w:rPr>
        <w:t>Vemos con preocupación la propuesta de flexibilizar la importación de gas natural, incluyendo esta modalidad dentro de las excepciones del artículo 19 sobre negociación directa en cualquier momento del año, y de la excepción del parágrafo del artículo 20, con la posibilidad de determinar libremente las condiciones de los contratos pactados. Entendemos la preocupación del regulador en dar señales a la demanda de suministro a largo plazo, sin embargo, la flexibilización total de las importaciones generaría asimetrías en competencia respecto de los campos de producción nacionales por las razones que se exponen a continuación:</w:t>
      </w:r>
    </w:p>
    <w:p w14:paraId="662EA381" w14:textId="26436B19" w:rsidR="00F560DC" w:rsidRDefault="00F560DC" w:rsidP="007E2727">
      <w:pPr>
        <w:rPr>
          <w:rFonts w:cs="Arial"/>
          <w:i/>
          <w:iCs/>
          <w:sz w:val="22"/>
          <w:szCs w:val="22"/>
        </w:rPr>
      </w:pPr>
    </w:p>
    <w:p w14:paraId="037072C1" w14:textId="132422EE" w:rsidR="00F560DC" w:rsidRPr="00F560DC" w:rsidRDefault="00F560DC" w:rsidP="007E2727">
      <w:pPr>
        <w:rPr>
          <w:rFonts w:cs="Arial"/>
          <w:b/>
          <w:bCs/>
          <w:sz w:val="22"/>
          <w:szCs w:val="22"/>
        </w:rPr>
      </w:pPr>
      <w:r w:rsidRPr="00F560DC">
        <w:rPr>
          <w:rFonts w:cs="Arial"/>
          <w:b/>
          <w:bCs/>
          <w:sz w:val="22"/>
          <w:szCs w:val="22"/>
        </w:rPr>
        <w:t>Respuesta:</w:t>
      </w:r>
    </w:p>
    <w:p w14:paraId="6C5CCA4B" w14:textId="03BE4B1F" w:rsidR="00F560DC" w:rsidRDefault="00F560DC" w:rsidP="007E2727">
      <w:pPr>
        <w:rPr>
          <w:rFonts w:cs="Arial"/>
          <w:sz w:val="22"/>
          <w:szCs w:val="22"/>
        </w:rPr>
      </w:pPr>
    </w:p>
    <w:p w14:paraId="2FDF3559" w14:textId="43718B2D" w:rsidR="00E43EB0" w:rsidRDefault="00F560DC" w:rsidP="007E2727">
      <w:pPr>
        <w:rPr>
          <w:rFonts w:cs="Arial"/>
          <w:sz w:val="22"/>
          <w:szCs w:val="22"/>
        </w:rPr>
      </w:pPr>
      <w:r>
        <w:rPr>
          <w:rFonts w:cs="Arial"/>
          <w:sz w:val="22"/>
          <w:szCs w:val="22"/>
        </w:rPr>
        <w:t>Se debe tener en cuenta que los lineamientos de la política energética reflejados en el Decreto 1073 de 2015, entre otros actos administrativos, señala en el Artículo 2.2.2.2.</w:t>
      </w:r>
      <w:r w:rsidR="00E43EB0">
        <w:rPr>
          <w:rFonts w:cs="Arial"/>
          <w:sz w:val="22"/>
          <w:szCs w:val="22"/>
        </w:rPr>
        <w:t>41 que señala:</w:t>
      </w:r>
    </w:p>
    <w:p w14:paraId="414C5FD7" w14:textId="77777777" w:rsidR="00E43EB0" w:rsidRDefault="00E43EB0" w:rsidP="007E2727">
      <w:pPr>
        <w:rPr>
          <w:rFonts w:cs="Arial"/>
          <w:sz w:val="22"/>
          <w:szCs w:val="22"/>
        </w:rPr>
      </w:pPr>
    </w:p>
    <w:p w14:paraId="23906594" w14:textId="14E41E7E" w:rsidR="00E43EB0" w:rsidRPr="00E43EB0" w:rsidRDefault="00E43EB0" w:rsidP="00E43EB0">
      <w:pPr>
        <w:ind w:left="708"/>
        <w:rPr>
          <w:rFonts w:cs="Arial"/>
          <w:sz w:val="22"/>
          <w:szCs w:val="22"/>
        </w:rPr>
      </w:pPr>
      <w:r>
        <w:rPr>
          <w:rFonts w:cs="Arial"/>
          <w:sz w:val="22"/>
          <w:szCs w:val="22"/>
        </w:rPr>
        <w:t>“</w:t>
      </w:r>
      <w:r w:rsidRPr="00E43EB0">
        <w:rPr>
          <w:rFonts w:cs="Arial"/>
          <w:i/>
          <w:iCs/>
          <w:sz w:val="22"/>
          <w:szCs w:val="22"/>
        </w:rPr>
        <w:t>ARTÍCULO 2.2.2.2.41. Incentivos para la importación de gas natural. La CREG podrá implementar mecanismos para incentivar la importación de gas natural con el fin de promover el abastecimiento de este energético</w:t>
      </w:r>
      <w:r w:rsidRPr="00E43EB0">
        <w:rPr>
          <w:rFonts w:cs="Arial"/>
          <w:sz w:val="22"/>
          <w:szCs w:val="22"/>
        </w:rPr>
        <w:t>.</w:t>
      </w:r>
      <w:r>
        <w:rPr>
          <w:rFonts w:cs="Arial"/>
          <w:sz w:val="22"/>
          <w:szCs w:val="22"/>
        </w:rPr>
        <w:t>”</w:t>
      </w:r>
    </w:p>
    <w:p w14:paraId="36549484" w14:textId="0D68552B" w:rsidR="00F560DC" w:rsidRDefault="00F560DC" w:rsidP="00E43EB0">
      <w:pPr>
        <w:rPr>
          <w:rFonts w:cs="Arial"/>
          <w:sz w:val="22"/>
          <w:szCs w:val="22"/>
        </w:rPr>
      </w:pPr>
    </w:p>
    <w:p w14:paraId="14639733" w14:textId="167BE039" w:rsidR="00F560DC" w:rsidRDefault="009205F9" w:rsidP="007E2727">
      <w:pPr>
        <w:rPr>
          <w:rFonts w:cs="Arial"/>
          <w:sz w:val="22"/>
          <w:szCs w:val="22"/>
        </w:rPr>
      </w:pPr>
      <w:r>
        <w:rPr>
          <w:rFonts w:cs="Arial"/>
          <w:sz w:val="22"/>
          <w:szCs w:val="22"/>
        </w:rPr>
        <w:t>Sobre lo anterior la necesidad de contar con la posibilidad de colocar en el mercado gas obtenido en el exterior, v</w:t>
      </w:r>
      <w:r w:rsidR="004F45DD">
        <w:rPr>
          <w:rFonts w:cs="Arial"/>
          <w:sz w:val="22"/>
          <w:szCs w:val="22"/>
        </w:rPr>
        <w:t xml:space="preserve">er el numeral </w:t>
      </w:r>
      <w:r w:rsidR="004F45DD">
        <w:rPr>
          <w:rFonts w:cs="Arial"/>
          <w:sz w:val="22"/>
          <w:szCs w:val="22"/>
        </w:rPr>
        <w:fldChar w:fldCharType="begin"/>
      </w:r>
      <w:r w:rsidR="004F45DD">
        <w:rPr>
          <w:rFonts w:cs="Arial"/>
          <w:sz w:val="22"/>
          <w:szCs w:val="22"/>
        </w:rPr>
        <w:instrText xml:space="preserve"> REF _Ref130303703 \r \h </w:instrText>
      </w:r>
      <w:r w:rsidR="004F45DD">
        <w:rPr>
          <w:rFonts w:cs="Arial"/>
          <w:sz w:val="22"/>
          <w:szCs w:val="22"/>
        </w:rPr>
      </w:r>
      <w:r w:rsidR="004F45DD">
        <w:rPr>
          <w:rFonts w:cs="Arial"/>
          <w:sz w:val="22"/>
          <w:szCs w:val="22"/>
        </w:rPr>
        <w:fldChar w:fldCharType="separate"/>
      </w:r>
      <w:r w:rsidR="007651EA">
        <w:rPr>
          <w:rFonts w:cs="Arial"/>
          <w:sz w:val="22"/>
          <w:szCs w:val="22"/>
        </w:rPr>
        <w:t>2.2.1</w:t>
      </w:r>
      <w:r w:rsidR="004F45DD">
        <w:rPr>
          <w:rFonts w:cs="Arial"/>
          <w:sz w:val="22"/>
          <w:szCs w:val="22"/>
        </w:rPr>
        <w:fldChar w:fldCharType="end"/>
      </w:r>
      <w:r w:rsidR="004F45DD">
        <w:rPr>
          <w:rFonts w:cs="Arial"/>
          <w:sz w:val="22"/>
          <w:szCs w:val="22"/>
        </w:rPr>
        <w:t>.</w:t>
      </w:r>
    </w:p>
    <w:p w14:paraId="53756FF8" w14:textId="77777777" w:rsidR="00F560DC" w:rsidRPr="00F560DC" w:rsidRDefault="00F560DC" w:rsidP="007E2727">
      <w:pPr>
        <w:rPr>
          <w:rFonts w:cs="Arial"/>
          <w:sz w:val="22"/>
          <w:szCs w:val="22"/>
        </w:rPr>
      </w:pPr>
    </w:p>
    <w:p w14:paraId="53E07F99" w14:textId="77777777" w:rsidR="00F560DC" w:rsidRPr="00F560DC" w:rsidRDefault="00F560DC" w:rsidP="007E2727">
      <w:pPr>
        <w:rPr>
          <w:rFonts w:cs="Arial"/>
          <w:i/>
          <w:iCs/>
          <w:sz w:val="22"/>
          <w:szCs w:val="22"/>
        </w:rPr>
      </w:pPr>
    </w:p>
    <w:p w14:paraId="73331268" w14:textId="77777777" w:rsidR="00F560DC" w:rsidRDefault="00F560DC" w:rsidP="00F560DC">
      <w:pPr>
        <w:pStyle w:val="Ttulo4"/>
        <w:numPr>
          <w:ilvl w:val="3"/>
          <w:numId w:val="1"/>
        </w:numPr>
      </w:pPr>
      <w:bookmarkStart w:id="710" w:name="_Ref130817932"/>
      <w:r w:rsidRPr="007E2727">
        <w:t>ACP</w:t>
      </w:r>
      <w:bookmarkEnd w:id="710"/>
      <w:r w:rsidRPr="007E2727">
        <w:tab/>
      </w:r>
    </w:p>
    <w:p w14:paraId="4C872428" w14:textId="57D4CF1B" w:rsidR="007E2727" w:rsidRDefault="00B67F8E" w:rsidP="007E2727">
      <w:pPr>
        <w:rPr>
          <w:rFonts w:cs="Arial"/>
          <w:i/>
          <w:iCs/>
          <w:sz w:val="22"/>
          <w:szCs w:val="22"/>
        </w:rPr>
      </w:pPr>
      <w:r>
        <w:rPr>
          <w:rFonts w:cs="Arial"/>
          <w:i/>
          <w:iCs/>
          <w:sz w:val="22"/>
          <w:szCs w:val="22"/>
        </w:rPr>
        <w:t>“</w:t>
      </w:r>
      <w:r w:rsidR="007E2727" w:rsidRPr="00F560DC">
        <w:rPr>
          <w:rFonts w:cs="Arial"/>
          <w:i/>
          <w:iCs/>
          <w:sz w:val="22"/>
          <w:szCs w:val="22"/>
        </w:rPr>
        <w:t xml:space="preserve">• Al incluir el </w:t>
      </w:r>
      <w:r>
        <w:rPr>
          <w:rFonts w:cs="Arial"/>
          <w:i/>
          <w:iCs/>
          <w:sz w:val="22"/>
          <w:szCs w:val="22"/>
        </w:rPr>
        <w:t>‘</w:t>
      </w:r>
      <w:r w:rsidR="007E2727" w:rsidRPr="00F560DC">
        <w:rPr>
          <w:rFonts w:cs="Arial"/>
          <w:i/>
          <w:iCs/>
          <w:sz w:val="22"/>
          <w:szCs w:val="22"/>
        </w:rPr>
        <w:t xml:space="preserve">suministro de gas natural mediante infraestructuras de importación establecidas en </w:t>
      </w:r>
      <w:r w:rsidR="007E2727" w:rsidRPr="009205F9">
        <w:rPr>
          <w:rFonts w:cs="Arial"/>
          <w:i/>
          <w:iCs/>
          <w:sz w:val="22"/>
          <w:szCs w:val="22"/>
        </w:rPr>
        <w:t>el Plan de Abastecimiento de Gas Natural vigente</w:t>
      </w:r>
      <w:r>
        <w:rPr>
          <w:rFonts w:cs="Arial"/>
          <w:i/>
          <w:iCs/>
          <w:sz w:val="22"/>
          <w:szCs w:val="22"/>
        </w:rPr>
        <w:t>’</w:t>
      </w:r>
      <w:r w:rsidR="007E2727" w:rsidRPr="009205F9">
        <w:rPr>
          <w:rFonts w:cs="Arial"/>
          <w:i/>
          <w:iCs/>
          <w:sz w:val="22"/>
          <w:szCs w:val="22"/>
        </w:rPr>
        <w:t xml:space="preserve">, de acuerdo con el numeral </w:t>
      </w:r>
      <w:proofErr w:type="spellStart"/>
      <w:r w:rsidR="007E2727" w:rsidRPr="009205F9">
        <w:rPr>
          <w:rFonts w:cs="Arial"/>
          <w:i/>
          <w:iCs/>
          <w:sz w:val="22"/>
          <w:szCs w:val="22"/>
        </w:rPr>
        <w:t>ii</w:t>
      </w:r>
      <w:proofErr w:type="spellEnd"/>
      <w:r w:rsidR="007E2727" w:rsidRPr="009205F9">
        <w:rPr>
          <w:rFonts w:cs="Arial"/>
          <w:i/>
          <w:iCs/>
          <w:sz w:val="22"/>
          <w:szCs w:val="22"/>
        </w:rPr>
        <w:t>) del literal C del numeral 2 del artículo 19, se está incurriendo en un doble incentivo, pues estas infraestructuras, incluida la planta de regasificación del Pacífico y el gasoducto Buenaventura - Yumbo, serán pagadas por la demanda que se beneficie de la misma, reconociendo incluso una tasa de descuento del 10% de acuerdo con la Resolución CREG 127/2021. Es decir, el inversionista de la infraestructura de importación del Pacífico, no tendría un riesgo asociado a la comercialización del gas eventualmente importado, teniendo en cuenta que dicha infraestructura sería paga así no se use, la capacidad de importación de 400 MPCD, y la facilidad para comercializar dicha cantidad en el mercado, que este proyecto de resolución les estaría otorgando; flexibilidad y apoyo económico que no tienen los productores nacionales para invertir capital de riesgo en la exploración y producción y comercializar su gas.</w:t>
      </w:r>
      <w:r>
        <w:rPr>
          <w:rFonts w:cs="Arial"/>
          <w:i/>
          <w:iCs/>
          <w:sz w:val="22"/>
          <w:szCs w:val="22"/>
        </w:rPr>
        <w:t>”</w:t>
      </w:r>
    </w:p>
    <w:p w14:paraId="7D7EBD19" w14:textId="0229733A" w:rsidR="004F45DD" w:rsidRDefault="004F45DD" w:rsidP="007E2727">
      <w:pPr>
        <w:rPr>
          <w:rFonts w:cs="Arial"/>
          <w:i/>
          <w:iCs/>
          <w:sz w:val="22"/>
          <w:szCs w:val="22"/>
        </w:rPr>
      </w:pPr>
    </w:p>
    <w:p w14:paraId="0B363763" w14:textId="43E158EE" w:rsidR="004F45DD" w:rsidRPr="004F45DD" w:rsidRDefault="004F45DD" w:rsidP="007E2727">
      <w:pPr>
        <w:rPr>
          <w:rFonts w:cs="Arial"/>
          <w:b/>
          <w:bCs/>
          <w:sz w:val="22"/>
          <w:szCs w:val="22"/>
        </w:rPr>
      </w:pPr>
      <w:r w:rsidRPr="004F45DD">
        <w:rPr>
          <w:rFonts w:cs="Arial"/>
          <w:b/>
          <w:bCs/>
          <w:sz w:val="22"/>
          <w:szCs w:val="22"/>
        </w:rPr>
        <w:t>Respuesta:</w:t>
      </w:r>
    </w:p>
    <w:p w14:paraId="371D87C4" w14:textId="3F51420A" w:rsidR="004F45DD" w:rsidRDefault="004F45DD" w:rsidP="007E2727">
      <w:pPr>
        <w:rPr>
          <w:rFonts w:cs="Arial"/>
          <w:i/>
          <w:iCs/>
          <w:sz w:val="22"/>
          <w:szCs w:val="22"/>
        </w:rPr>
      </w:pPr>
    </w:p>
    <w:p w14:paraId="2B5F5738" w14:textId="1511D728" w:rsidR="004F45DD" w:rsidRDefault="005D3994" w:rsidP="007E2727">
      <w:pPr>
        <w:rPr>
          <w:rFonts w:cs="Arial"/>
          <w:sz w:val="22"/>
          <w:szCs w:val="22"/>
        </w:rPr>
      </w:pPr>
      <w:r>
        <w:rPr>
          <w:rFonts w:cs="Arial"/>
          <w:sz w:val="22"/>
          <w:szCs w:val="22"/>
        </w:rPr>
        <w:t>No se acoge el comentario:</w:t>
      </w:r>
    </w:p>
    <w:p w14:paraId="6877E1AF" w14:textId="5A19F3B4" w:rsidR="005D3994" w:rsidRDefault="005D3994" w:rsidP="007E2727">
      <w:pPr>
        <w:rPr>
          <w:rFonts w:cs="Arial"/>
          <w:sz w:val="22"/>
          <w:szCs w:val="22"/>
        </w:rPr>
      </w:pPr>
    </w:p>
    <w:p w14:paraId="30A72745" w14:textId="05B427AB" w:rsidR="005D3994" w:rsidRDefault="005D3994" w:rsidP="007E2727">
      <w:pPr>
        <w:rPr>
          <w:rFonts w:cs="Arial"/>
          <w:sz w:val="22"/>
          <w:szCs w:val="22"/>
        </w:rPr>
      </w:pPr>
      <w:r>
        <w:rPr>
          <w:rFonts w:cs="Arial"/>
          <w:sz w:val="22"/>
          <w:szCs w:val="22"/>
        </w:rPr>
        <w:t xml:space="preserve">Por una parte, la regulación establecida para efectos de la selección y remuneración de los proyectos adoptados por el MME en el Plan de Abastecimiento de Gas Natural </w:t>
      </w:r>
      <w:r w:rsidR="000F41BB">
        <w:rPr>
          <w:rFonts w:cs="Arial"/>
          <w:sz w:val="22"/>
          <w:szCs w:val="22"/>
        </w:rPr>
        <w:t xml:space="preserve">– PAGN </w:t>
      </w:r>
      <w:r>
        <w:rPr>
          <w:rFonts w:cs="Arial"/>
          <w:sz w:val="22"/>
          <w:szCs w:val="22"/>
        </w:rPr>
        <w:t xml:space="preserve">que se menciona en el comentario, no solamente se aplican a la Infraestructura de Importación de Gas del Pacífico, sino también a </w:t>
      </w:r>
      <w:r w:rsidR="000F41BB">
        <w:rPr>
          <w:rFonts w:cs="Arial"/>
          <w:sz w:val="22"/>
          <w:szCs w:val="22"/>
        </w:rPr>
        <w:t>l</w:t>
      </w:r>
      <w:r>
        <w:rPr>
          <w:rFonts w:cs="Arial"/>
          <w:sz w:val="22"/>
          <w:szCs w:val="22"/>
        </w:rPr>
        <w:t>os</w:t>
      </w:r>
      <w:r w:rsidR="000F41BB">
        <w:rPr>
          <w:rFonts w:cs="Arial"/>
          <w:sz w:val="22"/>
          <w:szCs w:val="22"/>
        </w:rPr>
        <w:t xml:space="preserve"> demás </w:t>
      </w:r>
      <w:r>
        <w:rPr>
          <w:rFonts w:cs="Arial"/>
          <w:sz w:val="22"/>
          <w:szCs w:val="22"/>
        </w:rPr>
        <w:t>proyectos del SNT</w:t>
      </w:r>
      <w:r w:rsidR="000F41BB">
        <w:rPr>
          <w:rFonts w:cs="Arial"/>
          <w:sz w:val="22"/>
          <w:szCs w:val="22"/>
        </w:rPr>
        <w:t xml:space="preserve"> (que inicialmente son cinco)</w:t>
      </w:r>
      <w:r>
        <w:rPr>
          <w:rFonts w:cs="Arial"/>
          <w:sz w:val="22"/>
          <w:szCs w:val="22"/>
        </w:rPr>
        <w:t xml:space="preserve">, buscando precisamente la </w:t>
      </w:r>
      <w:proofErr w:type="spellStart"/>
      <w:r>
        <w:rPr>
          <w:rFonts w:cs="Arial"/>
          <w:sz w:val="22"/>
          <w:szCs w:val="22"/>
        </w:rPr>
        <w:t>viabilización</w:t>
      </w:r>
      <w:proofErr w:type="spellEnd"/>
      <w:r>
        <w:rPr>
          <w:rFonts w:cs="Arial"/>
          <w:sz w:val="22"/>
          <w:szCs w:val="22"/>
        </w:rPr>
        <w:t xml:space="preserve"> del suministro de nuevas </w:t>
      </w:r>
      <w:r w:rsidR="005255AB">
        <w:rPr>
          <w:rFonts w:cs="Arial"/>
          <w:sz w:val="22"/>
          <w:szCs w:val="22"/>
        </w:rPr>
        <w:t xml:space="preserve">o existentes </w:t>
      </w:r>
      <w:r>
        <w:rPr>
          <w:rFonts w:cs="Arial"/>
          <w:sz w:val="22"/>
          <w:szCs w:val="22"/>
        </w:rPr>
        <w:t xml:space="preserve">fuentes de suministro nacionales para la atención de la demanda interna.  </w:t>
      </w:r>
    </w:p>
    <w:p w14:paraId="3B47D10B" w14:textId="4D2B60C5" w:rsidR="005D3994" w:rsidRDefault="005D3994" w:rsidP="007E2727">
      <w:pPr>
        <w:rPr>
          <w:rFonts w:cs="Arial"/>
          <w:sz w:val="22"/>
          <w:szCs w:val="22"/>
        </w:rPr>
      </w:pPr>
    </w:p>
    <w:p w14:paraId="142C543D" w14:textId="643FBC90" w:rsidR="005D3994" w:rsidRDefault="005D3994" w:rsidP="007E2727">
      <w:pPr>
        <w:rPr>
          <w:rFonts w:cs="Arial"/>
          <w:sz w:val="22"/>
          <w:szCs w:val="22"/>
        </w:rPr>
      </w:pPr>
      <w:r>
        <w:rPr>
          <w:rFonts w:cs="Arial"/>
          <w:sz w:val="22"/>
          <w:szCs w:val="22"/>
        </w:rPr>
        <w:t>Por otra parte,</w:t>
      </w:r>
      <w:r w:rsidR="001D71CF">
        <w:rPr>
          <w:rFonts w:cs="Arial"/>
          <w:sz w:val="22"/>
          <w:szCs w:val="22"/>
        </w:rPr>
        <w:t xml:space="preserve"> </w:t>
      </w:r>
      <w:r w:rsidR="000F41BB">
        <w:rPr>
          <w:rFonts w:cs="Arial"/>
          <w:sz w:val="22"/>
          <w:szCs w:val="22"/>
        </w:rPr>
        <w:t>la adquisición de g</w:t>
      </w:r>
      <w:r w:rsidR="001D71CF">
        <w:rPr>
          <w:rFonts w:cs="Arial"/>
          <w:sz w:val="22"/>
          <w:szCs w:val="22"/>
        </w:rPr>
        <w:t>as obtenido en el exterior no es sujeto de la regulación mencionada. En ese sentido, para la obtención del gas obtenido en el exterior no solamente se incurre en costos de producción del gas en el exterior y su costo de oportunidad</w:t>
      </w:r>
      <w:r w:rsidR="00285125">
        <w:rPr>
          <w:rFonts w:cs="Arial"/>
          <w:sz w:val="22"/>
          <w:szCs w:val="22"/>
        </w:rPr>
        <w:t xml:space="preserve"> (</w:t>
      </w:r>
      <w:r w:rsidR="00285125" w:rsidRPr="00285125">
        <w:rPr>
          <w:rFonts w:cs="Arial"/>
          <w:sz w:val="22"/>
          <w:szCs w:val="22"/>
        </w:rPr>
        <w:t>inver</w:t>
      </w:r>
      <w:r w:rsidR="00285125">
        <w:rPr>
          <w:rFonts w:cs="Arial"/>
          <w:sz w:val="22"/>
          <w:szCs w:val="22"/>
        </w:rPr>
        <w:t>sión de</w:t>
      </w:r>
      <w:r w:rsidR="00285125" w:rsidRPr="00285125">
        <w:rPr>
          <w:rFonts w:cs="Arial"/>
          <w:sz w:val="22"/>
          <w:szCs w:val="22"/>
        </w:rPr>
        <w:t xml:space="preserve"> capital de riesgo en la exploración y producción y comercializa</w:t>
      </w:r>
      <w:r w:rsidR="00285125">
        <w:rPr>
          <w:rFonts w:cs="Arial"/>
          <w:sz w:val="22"/>
          <w:szCs w:val="22"/>
        </w:rPr>
        <w:t>ción del</w:t>
      </w:r>
      <w:r w:rsidR="00285125" w:rsidRPr="00285125">
        <w:rPr>
          <w:rFonts w:cs="Arial"/>
          <w:sz w:val="22"/>
          <w:szCs w:val="22"/>
        </w:rPr>
        <w:t xml:space="preserve"> gas</w:t>
      </w:r>
      <w:r w:rsidR="00285125">
        <w:rPr>
          <w:rFonts w:cs="Arial"/>
          <w:sz w:val="22"/>
          <w:szCs w:val="22"/>
        </w:rPr>
        <w:t>)</w:t>
      </w:r>
      <w:r w:rsidR="001D71CF">
        <w:rPr>
          <w:rFonts w:cs="Arial"/>
          <w:sz w:val="22"/>
          <w:szCs w:val="22"/>
        </w:rPr>
        <w:t xml:space="preserve">, </w:t>
      </w:r>
      <w:proofErr w:type="spellStart"/>
      <w:r w:rsidR="001D71CF">
        <w:rPr>
          <w:rFonts w:cs="Arial"/>
          <w:sz w:val="22"/>
          <w:szCs w:val="22"/>
        </w:rPr>
        <w:t>sjno</w:t>
      </w:r>
      <w:proofErr w:type="spellEnd"/>
      <w:r w:rsidR="001D71CF">
        <w:rPr>
          <w:rFonts w:cs="Arial"/>
          <w:sz w:val="22"/>
          <w:szCs w:val="22"/>
        </w:rPr>
        <w:t xml:space="preserve"> también en costos de su transporte del sitio de producción al sitio de licuefacción, pero adicionalmente en costos de procesamiento y licuefacción, costos de transporte marítimo, costos de nacionalización, que son costos en los que no ocurre el gas de producción nacional (excepto parcialmente en el procesamiento). Luego de ello, debe incurrir en costos de transporte por el SNT. </w:t>
      </w:r>
      <w:r>
        <w:rPr>
          <w:rFonts w:cs="Arial"/>
          <w:sz w:val="22"/>
          <w:szCs w:val="22"/>
        </w:rPr>
        <w:t xml:space="preserve"> </w:t>
      </w:r>
    </w:p>
    <w:p w14:paraId="14A38525" w14:textId="6037928A" w:rsidR="000F41BB" w:rsidRDefault="000F41BB" w:rsidP="007E2727">
      <w:pPr>
        <w:rPr>
          <w:rFonts w:cs="Arial"/>
          <w:sz w:val="22"/>
          <w:szCs w:val="22"/>
        </w:rPr>
      </w:pPr>
    </w:p>
    <w:p w14:paraId="4EFD9784" w14:textId="63081AC8" w:rsidR="000F41BB" w:rsidRDefault="00C05B22" w:rsidP="007E2727">
      <w:pPr>
        <w:rPr>
          <w:rFonts w:cs="Arial"/>
          <w:sz w:val="22"/>
          <w:szCs w:val="22"/>
        </w:rPr>
      </w:pPr>
      <w:r>
        <w:rPr>
          <w:rFonts w:cs="Arial"/>
          <w:sz w:val="22"/>
          <w:szCs w:val="22"/>
        </w:rPr>
        <w:t>Asimismo</w:t>
      </w:r>
      <w:r w:rsidR="000F41BB">
        <w:rPr>
          <w:rFonts w:cs="Arial"/>
          <w:sz w:val="22"/>
          <w:szCs w:val="22"/>
        </w:rPr>
        <w:t>, se aclara que para la remuneración de la contratación de los servicios asociados a cada uno de los proyectos del PAGN</w:t>
      </w:r>
      <w:r>
        <w:rPr>
          <w:rFonts w:cs="Arial"/>
          <w:sz w:val="22"/>
          <w:szCs w:val="22"/>
        </w:rPr>
        <w:t>, que se hará resolución aparte,</w:t>
      </w:r>
      <w:r w:rsidR="000F41BB">
        <w:rPr>
          <w:rFonts w:cs="Arial"/>
          <w:sz w:val="22"/>
          <w:szCs w:val="22"/>
        </w:rPr>
        <w:t xml:space="preserve"> se tendrá en cuenta el pago </w:t>
      </w:r>
      <w:r>
        <w:rPr>
          <w:rFonts w:cs="Arial"/>
          <w:sz w:val="22"/>
          <w:szCs w:val="22"/>
        </w:rPr>
        <w:t xml:space="preserve">de los remitentes </w:t>
      </w:r>
      <w:r w:rsidR="000F41BB">
        <w:rPr>
          <w:rFonts w:cs="Arial"/>
          <w:sz w:val="22"/>
          <w:szCs w:val="22"/>
        </w:rPr>
        <w:t>de tal manera que corresponda con las capacidades contratadas</w:t>
      </w:r>
      <w:r>
        <w:rPr>
          <w:rFonts w:cs="Arial"/>
          <w:sz w:val="22"/>
          <w:szCs w:val="22"/>
        </w:rPr>
        <w:t xml:space="preserve"> y costos asociados</w:t>
      </w:r>
      <w:r w:rsidR="000F41BB">
        <w:rPr>
          <w:rFonts w:cs="Arial"/>
          <w:sz w:val="22"/>
          <w:szCs w:val="22"/>
        </w:rPr>
        <w:t xml:space="preserve">, criterio que se utiliza actualmente para determinar parejas de cargos en la remuneración de activos del SNT. </w:t>
      </w:r>
    </w:p>
    <w:p w14:paraId="0364F88C" w14:textId="539FBB9F" w:rsidR="00572D8C" w:rsidRDefault="00572D8C" w:rsidP="007E2727">
      <w:pPr>
        <w:rPr>
          <w:rFonts w:cs="Arial"/>
          <w:sz w:val="22"/>
          <w:szCs w:val="22"/>
        </w:rPr>
      </w:pPr>
    </w:p>
    <w:p w14:paraId="31ED9569" w14:textId="6E2E7E14" w:rsidR="00572D8C" w:rsidRPr="004F45DD" w:rsidRDefault="00572D8C" w:rsidP="007E2727">
      <w:pPr>
        <w:rPr>
          <w:rFonts w:cs="Arial"/>
          <w:sz w:val="22"/>
          <w:szCs w:val="22"/>
        </w:rPr>
      </w:pPr>
      <w:r>
        <w:rPr>
          <w:rFonts w:cs="Arial"/>
          <w:sz w:val="22"/>
          <w:szCs w:val="22"/>
        </w:rPr>
        <w:t xml:space="preserve">Debe </w:t>
      </w:r>
      <w:r w:rsidR="00C05B22">
        <w:rPr>
          <w:rFonts w:cs="Arial"/>
          <w:sz w:val="22"/>
          <w:szCs w:val="22"/>
        </w:rPr>
        <w:t>corregirse</w:t>
      </w:r>
      <w:r>
        <w:rPr>
          <w:rFonts w:cs="Arial"/>
          <w:sz w:val="22"/>
          <w:szCs w:val="22"/>
        </w:rPr>
        <w:t xml:space="preserve"> que </w:t>
      </w:r>
      <w:r w:rsidR="00C05B22">
        <w:rPr>
          <w:rFonts w:cs="Arial"/>
          <w:sz w:val="22"/>
          <w:szCs w:val="22"/>
        </w:rPr>
        <w:t xml:space="preserve">para </w:t>
      </w:r>
      <w:r>
        <w:rPr>
          <w:rFonts w:cs="Arial"/>
          <w:sz w:val="22"/>
          <w:szCs w:val="22"/>
        </w:rPr>
        <w:t xml:space="preserve">la remuneración del proyecto IIGP no </w:t>
      </w:r>
      <w:r w:rsidR="00C05B22">
        <w:rPr>
          <w:rFonts w:cs="Arial"/>
          <w:sz w:val="22"/>
          <w:szCs w:val="22"/>
        </w:rPr>
        <w:t xml:space="preserve">se </w:t>
      </w:r>
      <w:r>
        <w:rPr>
          <w:rFonts w:cs="Arial"/>
          <w:sz w:val="22"/>
          <w:szCs w:val="22"/>
        </w:rPr>
        <w:t>utiliza una tasa de descuento del 10% como se afirma en el comentario, pues cada proponente de tal proceso debe internalizar en su propuesta la tasa interna del proyecto que espera el proponente. El porcentaje del 10% solamente se utiliza para efectos de traer a valor presente los valores anuales de ingreso esperado presentado</w:t>
      </w:r>
      <w:r w:rsidR="00C05B22">
        <w:rPr>
          <w:rFonts w:cs="Arial"/>
          <w:sz w:val="22"/>
          <w:szCs w:val="22"/>
        </w:rPr>
        <w:t>s</w:t>
      </w:r>
      <w:r>
        <w:rPr>
          <w:rFonts w:cs="Arial"/>
          <w:sz w:val="22"/>
          <w:szCs w:val="22"/>
        </w:rPr>
        <w:t xml:space="preserve"> por los diferentes proponentes</w:t>
      </w:r>
      <w:r w:rsidR="00C05B22">
        <w:rPr>
          <w:rFonts w:cs="Arial"/>
          <w:sz w:val="22"/>
          <w:szCs w:val="22"/>
        </w:rPr>
        <w:t xml:space="preserve"> para el período de remuneración del proyecto</w:t>
      </w:r>
      <w:r>
        <w:rPr>
          <w:rFonts w:cs="Arial"/>
          <w:sz w:val="22"/>
          <w:szCs w:val="22"/>
        </w:rPr>
        <w:t>, de modo de hacer comparables las diferentes ofertas económicas que se presenten.</w:t>
      </w:r>
      <w:r w:rsidR="00285125">
        <w:rPr>
          <w:rFonts w:cs="Arial"/>
          <w:sz w:val="22"/>
          <w:szCs w:val="22"/>
        </w:rPr>
        <w:t xml:space="preserve"> Se repite, dicha tasa también se aplica por igual en los demás proyectos adoptados en el PAGN.</w:t>
      </w:r>
    </w:p>
    <w:p w14:paraId="0748479B" w14:textId="66F0A088" w:rsidR="004F45DD" w:rsidRDefault="004F45DD" w:rsidP="007E2727">
      <w:pPr>
        <w:rPr>
          <w:rFonts w:cs="Arial"/>
          <w:i/>
          <w:iCs/>
          <w:sz w:val="22"/>
          <w:szCs w:val="22"/>
        </w:rPr>
      </w:pPr>
    </w:p>
    <w:p w14:paraId="384B643D" w14:textId="77777777" w:rsidR="004F45DD" w:rsidRDefault="004F45DD" w:rsidP="007E2727">
      <w:pPr>
        <w:rPr>
          <w:rFonts w:cs="Arial"/>
          <w:i/>
          <w:iCs/>
          <w:sz w:val="22"/>
          <w:szCs w:val="22"/>
        </w:rPr>
      </w:pPr>
    </w:p>
    <w:p w14:paraId="25C88551" w14:textId="77777777" w:rsidR="004F45DD" w:rsidRDefault="004F45DD" w:rsidP="004F45DD">
      <w:pPr>
        <w:pStyle w:val="Ttulo4"/>
        <w:numPr>
          <w:ilvl w:val="3"/>
          <w:numId w:val="1"/>
        </w:numPr>
      </w:pPr>
      <w:bookmarkStart w:id="711" w:name="_Ref132029756"/>
      <w:r w:rsidRPr="007E2727">
        <w:t>ACP</w:t>
      </w:r>
      <w:bookmarkEnd w:id="711"/>
      <w:r w:rsidRPr="007E2727">
        <w:tab/>
      </w:r>
    </w:p>
    <w:p w14:paraId="735419F5" w14:textId="51E72B77" w:rsidR="007E2727" w:rsidRDefault="004406FC" w:rsidP="007E2727">
      <w:pPr>
        <w:rPr>
          <w:rFonts w:cs="Arial"/>
          <w:i/>
          <w:iCs/>
          <w:sz w:val="22"/>
          <w:szCs w:val="22"/>
        </w:rPr>
      </w:pPr>
      <w:r>
        <w:rPr>
          <w:rFonts w:cs="Arial"/>
          <w:i/>
          <w:iCs/>
          <w:sz w:val="22"/>
          <w:szCs w:val="22"/>
        </w:rPr>
        <w:t>“</w:t>
      </w:r>
      <w:r w:rsidR="007E2727" w:rsidRPr="00F560DC">
        <w:rPr>
          <w:rFonts w:cs="Arial"/>
          <w:i/>
          <w:iCs/>
          <w:sz w:val="22"/>
          <w:szCs w:val="22"/>
        </w:rPr>
        <w:t>• Por otra parte, el proyecto de resolución no exige un respaldo físico con reservas para el gas importado, como si lo exige para la producción nacional al celebrar un contrato que garantice firmeza. Como lo han demostrado los eventos geopolíticos que acontecen desde hace unos meses, el mercado internacional de gas natural es finito y altamente volátil, lo que ha ocasionado un incremento importante en los precios internacionales de LNG.</w:t>
      </w:r>
      <w:r>
        <w:rPr>
          <w:rFonts w:cs="Arial"/>
          <w:i/>
          <w:iCs/>
          <w:sz w:val="22"/>
          <w:szCs w:val="22"/>
        </w:rPr>
        <w:t>”</w:t>
      </w:r>
      <w:r w:rsidR="007E2727" w:rsidRPr="00F560DC">
        <w:rPr>
          <w:rFonts w:cs="Arial"/>
          <w:i/>
          <w:iCs/>
          <w:sz w:val="22"/>
          <w:szCs w:val="22"/>
        </w:rPr>
        <w:t xml:space="preserve"> </w:t>
      </w:r>
    </w:p>
    <w:p w14:paraId="1EE3EC27" w14:textId="28E76458" w:rsidR="00250C6B" w:rsidRDefault="00250C6B" w:rsidP="007E2727">
      <w:pPr>
        <w:rPr>
          <w:rFonts w:cs="Arial"/>
          <w:i/>
          <w:iCs/>
          <w:sz w:val="22"/>
          <w:szCs w:val="22"/>
        </w:rPr>
      </w:pPr>
    </w:p>
    <w:p w14:paraId="50014515" w14:textId="18B853F1" w:rsidR="00250C6B" w:rsidRPr="00250C6B" w:rsidRDefault="00250C6B" w:rsidP="007E2727">
      <w:pPr>
        <w:rPr>
          <w:rFonts w:cs="Arial"/>
          <w:b/>
          <w:bCs/>
          <w:sz w:val="22"/>
          <w:szCs w:val="22"/>
        </w:rPr>
      </w:pPr>
      <w:r w:rsidRPr="00250C6B">
        <w:rPr>
          <w:rFonts w:cs="Arial"/>
          <w:b/>
          <w:bCs/>
          <w:sz w:val="22"/>
          <w:szCs w:val="22"/>
        </w:rPr>
        <w:t>Respuesta:</w:t>
      </w:r>
    </w:p>
    <w:p w14:paraId="72790789" w14:textId="2822FB72" w:rsidR="00250C6B" w:rsidRDefault="00250C6B" w:rsidP="007E2727">
      <w:pPr>
        <w:rPr>
          <w:rFonts w:cs="Arial"/>
          <w:i/>
          <w:iCs/>
          <w:sz w:val="22"/>
          <w:szCs w:val="22"/>
        </w:rPr>
      </w:pPr>
    </w:p>
    <w:p w14:paraId="611514CF" w14:textId="58EF3137" w:rsidR="00250C6B" w:rsidRPr="0012521B" w:rsidRDefault="0012521B" w:rsidP="007E2727">
      <w:pPr>
        <w:rPr>
          <w:rFonts w:cs="Arial"/>
          <w:sz w:val="22"/>
          <w:szCs w:val="22"/>
        </w:rPr>
      </w:pPr>
      <w:r w:rsidRPr="0012521B">
        <w:rPr>
          <w:rFonts w:cs="Arial"/>
          <w:sz w:val="22"/>
          <w:szCs w:val="22"/>
        </w:rPr>
        <w:t xml:space="preserve">Ver numeral </w:t>
      </w:r>
      <w:r w:rsidR="00822541">
        <w:rPr>
          <w:rFonts w:cs="Arial"/>
          <w:sz w:val="22"/>
          <w:szCs w:val="22"/>
        </w:rPr>
        <w:fldChar w:fldCharType="begin"/>
      </w:r>
      <w:r w:rsidR="00822541">
        <w:rPr>
          <w:rFonts w:cs="Arial"/>
          <w:sz w:val="22"/>
          <w:szCs w:val="22"/>
        </w:rPr>
        <w:instrText xml:space="preserve"> REF _Ref129780388 \r \h </w:instrText>
      </w:r>
      <w:r w:rsidR="00822541">
        <w:rPr>
          <w:rFonts w:cs="Arial"/>
          <w:sz w:val="22"/>
          <w:szCs w:val="22"/>
        </w:rPr>
      </w:r>
      <w:r w:rsidR="00822541">
        <w:rPr>
          <w:rFonts w:cs="Arial"/>
          <w:sz w:val="22"/>
          <w:szCs w:val="22"/>
        </w:rPr>
        <w:fldChar w:fldCharType="separate"/>
      </w:r>
      <w:r w:rsidR="007651EA">
        <w:rPr>
          <w:rFonts w:cs="Arial"/>
          <w:sz w:val="22"/>
          <w:szCs w:val="22"/>
        </w:rPr>
        <w:t>4.4</w:t>
      </w:r>
      <w:r w:rsidR="00822541">
        <w:rPr>
          <w:rFonts w:cs="Arial"/>
          <w:sz w:val="22"/>
          <w:szCs w:val="22"/>
        </w:rPr>
        <w:fldChar w:fldCharType="end"/>
      </w:r>
      <w:r w:rsidR="00822541">
        <w:rPr>
          <w:rFonts w:cs="Arial"/>
          <w:sz w:val="22"/>
          <w:szCs w:val="22"/>
        </w:rPr>
        <w:t>.</w:t>
      </w:r>
    </w:p>
    <w:p w14:paraId="005C6024" w14:textId="77777777" w:rsidR="0012521B" w:rsidRPr="00F560DC" w:rsidRDefault="0012521B" w:rsidP="007E2727">
      <w:pPr>
        <w:rPr>
          <w:rFonts w:cs="Arial"/>
          <w:i/>
          <w:iCs/>
          <w:sz w:val="22"/>
          <w:szCs w:val="22"/>
        </w:rPr>
      </w:pPr>
    </w:p>
    <w:p w14:paraId="7C74CFCD" w14:textId="2B19B334" w:rsidR="007E2727" w:rsidRDefault="007E2727" w:rsidP="007E2727">
      <w:pPr>
        <w:rPr>
          <w:rFonts w:cs="Arial"/>
          <w:i/>
          <w:iCs/>
          <w:sz w:val="22"/>
          <w:szCs w:val="22"/>
        </w:rPr>
      </w:pPr>
    </w:p>
    <w:p w14:paraId="3A02731A" w14:textId="77777777" w:rsidR="00250C6B" w:rsidRDefault="00250C6B" w:rsidP="00250C6B">
      <w:pPr>
        <w:pStyle w:val="Ttulo4"/>
        <w:numPr>
          <w:ilvl w:val="3"/>
          <w:numId w:val="1"/>
        </w:numPr>
      </w:pPr>
      <w:bookmarkStart w:id="712" w:name="_Ref132029785"/>
      <w:r w:rsidRPr="007E2727">
        <w:t>ACP</w:t>
      </w:r>
      <w:bookmarkEnd w:id="712"/>
      <w:r w:rsidRPr="007E2727">
        <w:tab/>
      </w:r>
    </w:p>
    <w:p w14:paraId="2854D8CB" w14:textId="605504F1" w:rsidR="007E2727" w:rsidRDefault="004406FC" w:rsidP="007E2727">
      <w:pPr>
        <w:rPr>
          <w:rFonts w:cs="Arial"/>
          <w:i/>
          <w:iCs/>
          <w:sz w:val="22"/>
          <w:szCs w:val="22"/>
        </w:rPr>
      </w:pPr>
      <w:r>
        <w:rPr>
          <w:rFonts w:cs="Arial"/>
          <w:i/>
          <w:iCs/>
          <w:sz w:val="22"/>
          <w:szCs w:val="22"/>
        </w:rPr>
        <w:t>“</w:t>
      </w:r>
      <w:r w:rsidR="007E2727" w:rsidRPr="00F560DC">
        <w:rPr>
          <w:rFonts w:cs="Arial"/>
          <w:i/>
          <w:iCs/>
          <w:sz w:val="22"/>
          <w:szCs w:val="22"/>
        </w:rPr>
        <w:t>• Como hemos expresado en anteriores comunicaciones tanto al Ministerio como a la CREG, existen otras situaciones actuales que pueden generar asimetrías en competencia a favor del gas natural importado, en particular para el sector eléctrico: (i) para efectos de los análisis de costo de combustible para el mérito de despacho de una planta termoeléctrica, mientras una molécula de gas nacional que abastece esta demanda incluye todos los costos que permitan recuperar las inversiones de exploración y extracción, la molécula de gas importado en Cartagena sólo incluye una parte de los suyos porque parte de sus costos están subsidiados vía ingreso regulado, (</w:t>
      </w:r>
      <w:proofErr w:type="spellStart"/>
      <w:r w:rsidR="007E2727" w:rsidRPr="00F560DC">
        <w:rPr>
          <w:rFonts w:cs="Arial"/>
          <w:i/>
          <w:iCs/>
          <w:sz w:val="22"/>
          <w:szCs w:val="22"/>
        </w:rPr>
        <w:t>ii</w:t>
      </w:r>
      <w:proofErr w:type="spellEnd"/>
      <w:r w:rsidR="007E2727" w:rsidRPr="00F560DC">
        <w:rPr>
          <w:rFonts w:cs="Arial"/>
          <w:i/>
          <w:iCs/>
          <w:sz w:val="22"/>
          <w:szCs w:val="22"/>
        </w:rPr>
        <w:t>) el gas importado para abastecer el sector eléctrico cuenta con libertad de negociación, mientras que el gas nacional está sujeto a una serie de condiciones y mecanismos para atender dicha demanda.</w:t>
      </w:r>
      <w:r w:rsidR="00336323">
        <w:rPr>
          <w:rFonts w:cs="Arial"/>
          <w:i/>
          <w:iCs/>
          <w:sz w:val="22"/>
          <w:szCs w:val="22"/>
        </w:rPr>
        <w:t>”</w:t>
      </w:r>
    </w:p>
    <w:p w14:paraId="2B82AE8D" w14:textId="4F6F3063" w:rsidR="00822541" w:rsidRDefault="00822541" w:rsidP="007E2727">
      <w:pPr>
        <w:rPr>
          <w:rFonts w:cs="Arial"/>
          <w:i/>
          <w:iCs/>
          <w:sz w:val="22"/>
          <w:szCs w:val="22"/>
        </w:rPr>
      </w:pPr>
    </w:p>
    <w:p w14:paraId="77A025A5" w14:textId="45360E35" w:rsidR="00822541" w:rsidRPr="00822541" w:rsidRDefault="00822541" w:rsidP="007E2727">
      <w:pPr>
        <w:rPr>
          <w:rFonts w:cs="Arial"/>
          <w:b/>
          <w:bCs/>
          <w:sz w:val="22"/>
          <w:szCs w:val="22"/>
        </w:rPr>
      </w:pPr>
      <w:r w:rsidRPr="00822541">
        <w:rPr>
          <w:rFonts w:cs="Arial"/>
          <w:b/>
          <w:bCs/>
          <w:sz w:val="22"/>
          <w:szCs w:val="22"/>
        </w:rPr>
        <w:t>Respuesta:</w:t>
      </w:r>
    </w:p>
    <w:p w14:paraId="45CBF1BA" w14:textId="18C9F8E7" w:rsidR="00822541" w:rsidRDefault="00822541" w:rsidP="007E2727">
      <w:pPr>
        <w:rPr>
          <w:rFonts w:cs="Arial"/>
          <w:i/>
          <w:iCs/>
          <w:sz w:val="22"/>
          <w:szCs w:val="22"/>
        </w:rPr>
      </w:pPr>
    </w:p>
    <w:p w14:paraId="7005745D" w14:textId="0C57082E" w:rsidR="00822541" w:rsidRDefault="00822541" w:rsidP="0082254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_Ref130817932 \r \h </w:instrText>
      </w:r>
      <w:r>
        <w:rPr>
          <w:rFonts w:cs="Arial"/>
          <w:sz w:val="22"/>
          <w:szCs w:val="22"/>
        </w:rPr>
      </w:r>
      <w:r>
        <w:rPr>
          <w:rFonts w:cs="Arial"/>
          <w:sz w:val="22"/>
          <w:szCs w:val="22"/>
        </w:rPr>
        <w:fldChar w:fldCharType="separate"/>
      </w:r>
      <w:r w:rsidR="007651EA">
        <w:rPr>
          <w:rFonts w:cs="Arial"/>
          <w:sz w:val="22"/>
          <w:szCs w:val="22"/>
        </w:rPr>
        <w:t>17.1.1.3</w:t>
      </w:r>
      <w:r>
        <w:rPr>
          <w:rFonts w:cs="Arial"/>
          <w:sz w:val="22"/>
          <w:szCs w:val="22"/>
        </w:rPr>
        <w:fldChar w:fldCharType="end"/>
      </w:r>
      <w:r>
        <w:rPr>
          <w:rFonts w:cs="Arial"/>
          <w:sz w:val="22"/>
          <w:szCs w:val="22"/>
        </w:rPr>
        <w:t>.</w:t>
      </w:r>
    </w:p>
    <w:p w14:paraId="56819282" w14:textId="77777777" w:rsidR="00822541" w:rsidRDefault="00822541" w:rsidP="007E2727">
      <w:pPr>
        <w:rPr>
          <w:rFonts w:cs="Arial"/>
          <w:i/>
          <w:iCs/>
          <w:sz w:val="22"/>
          <w:szCs w:val="22"/>
        </w:rPr>
      </w:pPr>
    </w:p>
    <w:p w14:paraId="320ED472" w14:textId="77777777" w:rsidR="00822541" w:rsidRDefault="00822541" w:rsidP="007E2727">
      <w:pPr>
        <w:rPr>
          <w:rFonts w:cs="Arial"/>
          <w:i/>
          <w:iCs/>
          <w:sz w:val="22"/>
          <w:szCs w:val="22"/>
        </w:rPr>
      </w:pPr>
    </w:p>
    <w:p w14:paraId="4A154F0F" w14:textId="77777777" w:rsidR="00822541" w:rsidRDefault="00822541" w:rsidP="00822541">
      <w:pPr>
        <w:pStyle w:val="Ttulo4"/>
        <w:numPr>
          <w:ilvl w:val="3"/>
          <w:numId w:val="1"/>
        </w:numPr>
      </w:pPr>
      <w:bookmarkStart w:id="713" w:name="_Ref132029816"/>
      <w:r w:rsidRPr="007E2727">
        <w:t>ACP</w:t>
      </w:r>
      <w:bookmarkEnd w:id="713"/>
      <w:r w:rsidRPr="007E2727">
        <w:tab/>
      </w:r>
    </w:p>
    <w:p w14:paraId="3993A127" w14:textId="60562218" w:rsidR="007E2727" w:rsidRDefault="00336323" w:rsidP="007E2727">
      <w:pPr>
        <w:rPr>
          <w:rFonts w:cs="Arial"/>
          <w:sz w:val="22"/>
          <w:szCs w:val="22"/>
        </w:rPr>
      </w:pPr>
      <w:r>
        <w:rPr>
          <w:rFonts w:cs="Arial"/>
          <w:i/>
          <w:iCs/>
          <w:sz w:val="22"/>
          <w:szCs w:val="22"/>
        </w:rPr>
        <w:t>“</w:t>
      </w:r>
      <w:r w:rsidR="007E2727" w:rsidRPr="00F560DC">
        <w:rPr>
          <w:rFonts w:cs="Arial"/>
          <w:i/>
          <w:iCs/>
          <w:sz w:val="22"/>
          <w:szCs w:val="22"/>
        </w:rPr>
        <w:t xml:space="preserve">Por lo anterior, sugerimos a la CREG revisar las implicaciones de la flexibilidad en la comercialización que se le estaría otorgando al GNI, sobre la producción local y la autosuficiencia energética, la vulnerabilidad del país ante los mercados internacionales y las asimetrías en competencia aquí mencionadas en contra del gas natural nacional. Adicionalmente, y en específico al incentivo de los artículos 19 y 20 para suministro de gas natural mediante infraestructuras de importación establecidas en el Plan de Abastecimiento de Gas Natural, sugerimos que, de acuerdo a lo descrito en el documento CREG 188 de 2021 que acompaña esta resolución en consulta, la comercialización del gas importado a través de Infraestructuras de Regasificación incluidas en los Planes de Abastecimiento de Gas </w:t>
      </w:r>
      <w:proofErr w:type="gramStart"/>
      <w:r w:rsidR="007E2727" w:rsidRPr="00F560DC">
        <w:rPr>
          <w:rFonts w:cs="Arial"/>
          <w:i/>
          <w:iCs/>
          <w:sz w:val="22"/>
          <w:szCs w:val="22"/>
        </w:rPr>
        <w:t>Natural,</w:t>
      </w:r>
      <w:proofErr w:type="gramEnd"/>
      <w:r w:rsidR="007E2727" w:rsidRPr="00F560DC">
        <w:rPr>
          <w:rFonts w:cs="Arial"/>
          <w:i/>
          <w:iCs/>
          <w:sz w:val="22"/>
          <w:szCs w:val="22"/>
        </w:rPr>
        <w:t xml:space="preserve"> sea regulada en resolución posterior</w:t>
      </w:r>
      <w:r w:rsidR="007E2727" w:rsidRPr="007E2727">
        <w:rPr>
          <w:rFonts w:cs="Arial"/>
          <w:sz w:val="22"/>
          <w:szCs w:val="22"/>
        </w:rPr>
        <w:t>."</w:t>
      </w:r>
    </w:p>
    <w:p w14:paraId="08B226D0" w14:textId="3587B8BA" w:rsidR="00F560DC" w:rsidRDefault="00F560DC" w:rsidP="007E2727">
      <w:pPr>
        <w:rPr>
          <w:rFonts w:cs="Arial"/>
          <w:sz w:val="22"/>
          <w:szCs w:val="22"/>
        </w:rPr>
      </w:pPr>
    </w:p>
    <w:p w14:paraId="32C69622" w14:textId="39167176" w:rsidR="00F560DC" w:rsidRPr="00F560DC" w:rsidRDefault="00F560DC" w:rsidP="007E2727">
      <w:pPr>
        <w:rPr>
          <w:rFonts w:cs="Arial"/>
          <w:b/>
          <w:bCs/>
          <w:sz w:val="22"/>
          <w:szCs w:val="22"/>
        </w:rPr>
      </w:pPr>
      <w:r w:rsidRPr="00F560DC">
        <w:rPr>
          <w:rFonts w:cs="Arial"/>
          <w:b/>
          <w:bCs/>
          <w:sz w:val="22"/>
          <w:szCs w:val="22"/>
        </w:rPr>
        <w:t>Respuesta:</w:t>
      </w:r>
    </w:p>
    <w:p w14:paraId="2D0B93AF" w14:textId="53F8B88E" w:rsidR="00F560DC" w:rsidRDefault="00F560DC" w:rsidP="007E2727">
      <w:pPr>
        <w:rPr>
          <w:rFonts w:cs="Arial"/>
          <w:sz w:val="22"/>
          <w:szCs w:val="22"/>
        </w:rPr>
      </w:pPr>
    </w:p>
    <w:p w14:paraId="07CD0E69" w14:textId="507B005C" w:rsidR="00822541" w:rsidRDefault="00822541" w:rsidP="007E2727">
      <w:pPr>
        <w:rPr>
          <w:rFonts w:cs="Arial"/>
          <w:sz w:val="22"/>
          <w:szCs w:val="22"/>
        </w:rPr>
      </w:pPr>
      <w:r>
        <w:rPr>
          <w:rFonts w:cs="Arial"/>
          <w:sz w:val="22"/>
          <w:szCs w:val="22"/>
        </w:rPr>
        <w:t>No se acoge el comentario.</w:t>
      </w:r>
    </w:p>
    <w:p w14:paraId="19C9A835" w14:textId="6846CA79" w:rsidR="00822541" w:rsidRDefault="00822541" w:rsidP="007E2727">
      <w:pPr>
        <w:rPr>
          <w:rFonts w:cs="Arial"/>
          <w:sz w:val="22"/>
          <w:szCs w:val="22"/>
        </w:rPr>
      </w:pPr>
    </w:p>
    <w:p w14:paraId="7ED28042" w14:textId="6291629B" w:rsidR="00822541" w:rsidRDefault="00822541" w:rsidP="007E2727">
      <w:pPr>
        <w:rPr>
          <w:rFonts w:cs="Arial"/>
          <w:sz w:val="22"/>
          <w:szCs w:val="22"/>
        </w:rPr>
      </w:pPr>
      <w:r>
        <w:rPr>
          <w:rFonts w:cs="Arial"/>
          <w:sz w:val="22"/>
          <w:szCs w:val="22"/>
        </w:rPr>
        <w:t xml:space="preserve">La propuesta realizada y la nueva propuesta buscan que la regulación del suministro de gas natural para la atención del servicio público de gas combustible sea indiferente del origen del gas natural, ya sea fuente de suministro nacional o fuente de suministro del exterior, con el fin de, entre otros aspectos, que se utilicen señales homogéneas para la formación eficiente del precio en el Mercado, la suficiencia de cantidades de gas para atender la demanda interna y la estandarización en la aplicación de las condiciones o requisitos mínimos que establece la CREG (que incluyen las modalidades contractuales). </w:t>
      </w:r>
    </w:p>
    <w:p w14:paraId="7E80CB84" w14:textId="2E0C86C8" w:rsidR="00822541" w:rsidRDefault="00822541" w:rsidP="007E2727">
      <w:pPr>
        <w:rPr>
          <w:rFonts w:cs="Arial"/>
          <w:sz w:val="22"/>
          <w:szCs w:val="22"/>
        </w:rPr>
      </w:pPr>
    </w:p>
    <w:p w14:paraId="319B7C00" w14:textId="45BCE38E" w:rsidR="00822541" w:rsidRDefault="00822541" w:rsidP="007E2727">
      <w:pPr>
        <w:rPr>
          <w:rFonts w:cs="Arial"/>
          <w:sz w:val="22"/>
          <w:szCs w:val="22"/>
        </w:rPr>
      </w:pPr>
      <w:r>
        <w:rPr>
          <w:rFonts w:cs="Arial"/>
          <w:sz w:val="22"/>
          <w:szCs w:val="22"/>
        </w:rPr>
        <w:t xml:space="preserve">Lo anterior está en armonía con los lineamientos actuales de la política energética en cuanto a la importación de gas. Ver respuesta a </w:t>
      </w:r>
      <w:r>
        <w:rPr>
          <w:rFonts w:cs="Arial"/>
          <w:sz w:val="22"/>
          <w:szCs w:val="22"/>
        </w:rPr>
        <w:fldChar w:fldCharType="begin"/>
      </w:r>
      <w:r>
        <w:rPr>
          <w:rFonts w:cs="Arial"/>
          <w:sz w:val="22"/>
          <w:szCs w:val="22"/>
        </w:rPr>
        <w:instrText xml:space="preserve"> REF _Ref130818245 \r \h </w:instrText>
      </w:r>
      <w:r>
        <w:rPr>
          <w:rFonts w:cs="Arial"/>
          <w:sz w:val="22"/>
          <w:szCs w:val="22"/>
        </w:rPr>
      </w:r>
      <w:r>
        <w:rPr>
          <w:rFonts w:cs="Arial"/>
          <w:sz w:val="22"/>
          <w:szCs w:val="22"/>
        </w:rPr>
        <w:fldChar w:fldCharType="separate"/>
      </w:r>
      <w:r w:rsidR="007651EA">
        <w:rPr>
          <w:rFonts w:cs="Arial"/>
          <w:sz w:val="22"/>
          <w:szCs w:val="22"/>
        </w:rPr>
        <w:t>17.1.1.2</w:t>
      </w:r>
      <w:r>
        <w:rPr>
          <w:rFonts w:cs="Arial"/>
          <w:sz w:val="22"/>
          <w:szCs w:val="22"/>
        </w:rPr>
        <w:fldChar w:fldCharType="end"/>
      </w:r>
      <w:r>
        <w:rPr>
          <w:rFonts w:cs="Arial"/>
          <w:sz w:val="22"/>
          <w:szCs w:val="22"/>
        </w:rPr>
        <w:t xml:space="preserve">. </w:t>
      </w:r>
    </w:p>
    <w:p w14:paraId="58F67B7B" w14:textId="02EC10A1" w:rsidR="00822541" w:rsidRDefault="00822541" w:rsidP="007E2727">
      <w:pPr>
        <w:rPr>
          <w:rFonts w:cs="Arial"/>
          <w:sz w:val="22"/>
          <w:szCs w:val="22"/>
        </w:rPr>
      </w:pPr>
    </w:p>
    <w:p w14:paraId="0C421973" w14:textId="7916AE70" w:rsidR="00BE4188" w:rsidRDefault="00BE4188" w:rsidP="007E2727">
      <w:pPr>
        <w:rPr>
          <w:rFonts w:cs="Arial"/>
          <w:i/>
          <w:iCs/>
          <w:sz w:val="22"/>
          <w:szCs w:val="22"/>
        </w:rPr>
      </w:pPr>
    </w:p>
    <w:p w14:paraId="2BBA6084" w14:textId="77777777" w:rsidR="0060003A" w:rsidRDefault="007E2727" w:rsidP="002313DA">
      <w:pPr>
        <w:pStyle w:val="Ttulo2"/>
      </w:pPr>
      <w:bookmarkStart w:id="714" w:name="_Toc140506388"/>
      <w:r w:rsidRPr="007E2727">
        <w:t>ANDESCO</w:t>
      </w:r>
      <w:bookmarkEnd w:id="714"/>
      <w:r w:rsidRPr="007E2727">
        <w:tab/>
      </w:r>
    </w:p>
    <w:p w14:paraId="61D74C79" w14:textId="77777777" w:rsidR="00F52B11" w:rsidRDefault="00F52B11" w:rsidP="00F52B11">
      <w:pPr>
        <w:pStyle w:val="Ttulo4"/>
      </w:pPr>
      <w:bookmarkStart w:id="715" w:name="_Ref130973871"/>
      <w:r w:rsidRPr="007E2727">
        <w:t>ANDESCO</w:t>
      </w:r>
      <w:bookmarkEnd w:id="715"/>
      <w:r w:rsidRPr="007E2727">
        <w:tab/>
      </w:r>
    </w:p>
    <w:p w14:paraId="3862D195" w14:textId="095CB278" w:rsidR="007E2727" w:rsidRPr="0015048F" w:rsidRDefault="000829F1" w:rsidP="007E2727">
      <w:pPr>
        <w:rPr>
          <w:rFonts w:cs="Arial"/>
          <w:i/>
          <w:iCs/>
          <w:sz w:val="22"/>
          <w:szCs w:val="22"/>
        </w:rPr>
      </w:pPr>
      <w:r>
        <w:rPr>
          <w:rFonts w:cs="Arial"/>
          <w:i/>
          <w:iCs/>
          <w:sz w:val="22"/>
          <w:szCs w:val="22"/>
        </w:rPr>
        <w:t>“</w:t>
      </w:r>
      <w:r w:rsidR="007E2727" w:rsidRPr="000C22BF">
        <w:rPr>
          <w:rFonts w:cs="Arial"/>
          <w:i/>
          <w:iCs/>
          <w:sz w:val="22"/>
          <w:szCs w:val="22"/>
        </w:rPr>
        <w:t>Consideramos que el esquema diferencial propuesto para la comercialización del gas natural importado se ajusta a la dinámica propia del mercado de GNL y es consecuente con los estándares de negociación del mercado internacional y la flexibilidad que posee. Las señales se consideran adecuadas y necesarias para garantizar que el gas natural importado se desarrolle en el país como complemento a la oferta de gas nacional.</w:t>
      </w:r>
      <w:r>
        <w:rPr>
          <w:rFonts w:cs="Arial"/>
          <w:i/>
          <w:iCs/>
          <w:sz w:val="22"/>
          <w:szCs w:val="22"/>
        </w:rPr>
        <w:t>”</w:t>
      </w:r>
    </w:p>
    <w:p w14:paraId="76F114EC" w14:textId="19BC9414" w:rsidR="0015048F" w:rsidRDefault="0015048F" w:rsidP="007E2727">
      <w:pPr>
        <w:rPr>
          <w:rFonts w:cs="Arial"/>
          <w:sz w:val="22"/>
          <w:szCs w:val="22"/>
        </w:rPr>
      </w:pPr>
    </w:p>
    <w:p w14:paraId="72897DEF" w14:textId="03BC0E61" w:rsidR="0015048F" w:rsidRPr="0015048F" w:rsidRDefault="0015048F" w:rsidP="007E2727">
      <w:pPr>
        <w:rPr>
          <w:rFonts w:cs="Arial"/>
          <w:b/>
          <w:bCs/>
          <w:sz w:val="22"/>
          <w:szCs w:val="22"/>
        </w:rPr>
      </w:pPr>
      <w:r w:rsidRPr="0015048F">
        <w:rPr>
          <w:rFonts w:cs="Arial"/>
          <w:b/>
          <w:bCs/>
          <w:sz w:val="22"/>
          <w:szCs w:val="22"/>
        </w:rPr>
        <w:t>Respuesta:</w:t>
      </w:r>
    </w:p>
    <w:p w14:paraId="60804F57" w14:textId="3570ADF9" w:rsidR="0015048F" w:rsidRDefault="0015048F" w:rsidP="007E2727">
      <w:pPr>
        <w:rPr>
          <w:rFonts w:cs="Arial"/>
          <w:sz w:val="22"/>
          <w:szCs w:val="22"/>
        </w:rPr>
      </w:pPr>
    </w:p>
    <w:p w14:paraId="3ECEFC7A" w14:textId="23E91FEE" w:rsidR="0015048F" w:rsidRDefault="0015048F" w:rsidP="007E2727">
      <w:pPr>
        <w:rPr>
          <w:rFonts w:cs="Arial"/>
          <w:sz w:val="22"/>
          <w:szCs w:val="22"/>
        </w:rPr>
      </w:pPr>
      <w:r>
        <w:rPr>
          <w:rFonts w:cs="Arial"/>
          <w:sz w:val="22"/>
          <w:szCs w:val="22"/>
        </w:rPr>
        <w:t xml:space="preserve">El esquema propuesto </w:t>
      </w:r>
      <w:r w:rsidR="000C22BF">
        <w:rPr>
          <w:rFonts w:cs="Arial"/>
          <w:sz w:val="22"/>
          <w:szCs w:val="22"/>
        </w:rPr>
        <w:t>tiene por objetivo que en el Mercado Mayorista de gas natural se incorpore el suministro proveniente de fuentes de suministro de origen nacional o importadas del exterior. Aunque en el Mercado Primario con la nueva propuesta se mantienen ciertas condiciones excepcionales actualmente vigentes, se están añadiendo la aplicación de dichas condiciones excepcionales a otras fuentes o modos de suministro, no solo para el gas natural obtenido en el exterior, sino también para el gas natural producido nacionalmente.</w:t>
      </w:r>
    </w:p>
    <w:p w14:paraId="417AC01B" w14:textId="1D28B310" w:rsidR="0019131A" w:rsidRDefault="0019131A" w:rsidP="007E2727">
      <w:pPr>
        <w:rPr>
          <w:rFonts w:cs="Arial"/>
          <w:sz w:val="22"/>
          <w:szCs w:val="22"/>
        </w:rPr>
      </w:pPr>
    </w:p>
    <w:p w14:paraId="3D6A2BD4" w14:textId="1F54A6A6" w:rsidR="0019131A" w:rsidRDefault="0019131A" w:rsidP="0019131A">
      <w:pPr>
        <w:rPr>
          <w:rFonts w:cs="Arial"/>
          <w:sz w:val="22"/>
          <w:szCs w:val="22"/>
        </w:rPr>
      </w:pPr>
      <w:r>
        <w:rPr>
          <w:rFonts w:cs="Arial"/>
          <w:sz w:val="22"/>
          <w:szCs w:val="22"/>
        </w:rPr>
        <w:t xml:space="preserve">En ese sentido en la propuesta se adicionan disposiciones excepcionales para los caso en que el gas natural </w:t>
      </w:r>
      <w:r w:rsidRPr="0019131A">
        <w:rPr>
          <w:rFonts w:cs="Arial"/>
          <w:sz w:val="22"/>
          <w:szCs w:val="22"/>
        </w:rPr>
        <w:t>provenga de una nueva Fuente de Suministro costa afuera</w:t>
      </w:r>
      <w:r>
        <w:rPr>
          <w:rFonts w:cs="Arial"/>
          <w:sz w:val="22"/>
          <w:szCs w:val="22"/>
        </w:rPr>
        <w:t>, c</w:t>
      </w:r>
      <w:r w:rsidRPr="0019131A">
        <w:rPr>
          <w:rFonts w:cs="Arial"/>
          <w:sz w:val="22"/>
          <w:szCs w:val="22"/>
        </w:rPr>
        <w:t>uando provenga de Fuentes de Suministro nacionales que requieren logísticas especiales para su comercialización, como GNC o GNL</w:t>
      </w:r>
      <w:r>
        <w:rPr>
          <w:rFonts w:cs="Arial"/>
          <w:sz w:val="22"/>
          <w:szCs w:val="22"/>
        </w:rPr>
        <w:t>, para gas importado c</w:t>
      </w:r>
      <w:r w:rsidRPr="0019131A">
        <w:rPr>
          <w:rFonts w:cs="Arial"/>
          <w:sz w:val="22"/>
          <w:szCs w:val="22"/>
        </w:rPr>
        <w:t>uando se destine en general al servicio público de gas combustible</w:t>
      </w:r>
      <w:r>
        <w:rPr>
          <w:rFonts w:cs="Arial"/>
          <w:sz w:val="22"/>
          <w:szCs w:val="22"/>
        </w:rPr>
        <w:t xml:space="preserve"> y c</w:t>
      </w:r>
      <w:r w:rsidRPr="0019131A">
        <w:rPr>
          <w:rFonts w:cs="Arial"/>
          <w:sz w:val="22"/>
          <w:szCs w:val="22"/>
        </w:rPr>
        <w:t>uando se traten de cantidades liberadas de gas natural ante eventos de fuerza mayor, caso fortuito o causa extraña que hayan estado comprometidas para la atención del consumo propio de los Productores</w:t>
      </w:r>
      <w:r>
        <w:rPr>
          <w:rFonts w:cs="Arial"/>
          <w:sz w:val="22"/>
          <w:szCs w:val="22"/>
        </w:rPr>
        <w:t>. Es decir, tres nuevos casos de fuentes nacionales y un caso de gas importado.</w:t>
      </w:r>
    </w:p>
    <w:p w14:paraId="386CD385" w14:textId="41FB55C1" w:rsidR="000C22BF" w:rsidRDefault="000C22BF" w:rsidP="007E2727">
      <w:pPr>
        <w:rPr>
          <w:rFonts w:cs="Arial"/>
          <w:sz w:val="22"/>
          <w:szCs w:val="22"/>
        </w:rPr>
      </w:pPr>
    </w:p>
    <w:p w14:paraId="6215AF0B" w14:textId="2FE88928" w:rsidR="000C22BF" w:rsidRPr="007E2727" w:rsidRDefault="0019131A" w:rsidP="007E2727">
      <w:pPr>
        <w:rPr>
          <w:rFonts w:cs="Arial"/>
          <w:sz w:val="22"/>
          <w:szCs w:val="22"/>
        </w:rPr>
      </w:pPr>
      <w:r>
        <w:rPr>
          <w:rFonts w:cs="Arial"/>
          <w:sz w:val="22"/>
          <w:szCs w:val="22"/>
        </w:rPr>
        <w:t>Por otro lado, e</w:t>
      </w:r>
      <w:r w:rsidR="000C22BF">
        <w:rPr>
          <w:rFonts w:cs="Arial"/>
          <w:sz w:val="22"/>
          <w:szCs w:val="22"/>
        </w:rPr>
        <w:t xml:space="preserve">n el Mercado Secundario no hay ninguna condición </w:t>
      </w:r>
      <w:r>
        <w:rPr>
          <w:rFonts w:cs="Arial"/>
          <w:sz w:val="22"/>
          <w:szCs w:val="22"/>
        </w:rPr>
        <w:t>especial para la venta de gas mediante contratos firmes o que garanticen firmeza, ni tampoco para el Mercado Minorista, que se aplique dependiendo de la fuente de origen del gas, si es nacional o del exterior. Acá lo que es relevante es que se debe contar con Respaldo Físico.</w:t>
      </w:r>
    </w:p>
    <w:p w14:paraId="5946FB44" w14:textId="77777777" w:rsidR="0060003A" w:rsidRDefault="0060003A" w:rsidP="007E2727">
      <w:pPr>
        <w:rPr>
          <w:rFonts w:cs="Arial"/>
          <w:sz w:val="22"/>
          <w:szCs w:val="22"/>
        </w:rPr>
      </w:pPr>
    </w:p>
    <w:p w14:paraId="2498C910" w14:textId="77777777" w:rsidR="0060003A" w:rsidRDefault="0060003A" w:rsidP="007E2727">
      <w:pPr>
        <w:rPr>
          <w:rFonts w:cs="Arial"/>
          <w:sz w:val="22"/>
          <w:szCs w:val="22"/>
        </w:rPr>
      </w:pPr>
    </w:p>
    <w:p w14:paraId="3219CFB4" w14:textId="77777777" w:rsidR="0060003A" w:rsidRDefault="007E2727" w:rsidP="002313DA">
      <w:pPr>
        <w:pStyle w:val="Ttulo2"/>
      </w:pPr>
      <w:bookmarkStart w:id="716" w:name="_Toc140506389"/>
      <w:r w:rsidRPr="007E2727">
        <w:t>ANDI</w:t>
      </w:r>
      <w:bookmarkEnd w:id="716"/>
      <w:r w:rsidRPr="007E2727">
        <w:tab/>
      </w:r>
    </w:p>
    <w:p w14:paraId="554ADA63" w14:textId="77777777" w:rsidR="00F52B11" w:rsidRDefault="00F52B11" w:rsidP="00F52B11">
      <w:pPr>
        <w:pStyle w:val="Ttulo4"/>
      </w:pPr>
      <w:bookmarkStart w:id="717" w:name="_Ref130975775"/>
      <w:r w:rsidRPr="007E2727">
        <w:t>ANDI</w:t>
      </w:r>
      <w:bookmarkEnd w:id="717"/>
      <w:r w:rsidRPr="007E2727">
        <w:tab/>
      </w:r>
    </w:p>
    <w:p w14:paraId="3E321D64" w14:textId="55D89E12" w:rsidR="0019131A" w:rsidRPr="0019131A" w:rsidRDefault="00CC1CF9" w:rsidP="007E2727">
      <w:pPr>
        <w:rPr>
          <w:rFonts w:cs="Arial"/>
          <w:i/>
          <w:iCs/>
          <w:sz w:val="22"/>
          <w:szCs w:val="22"/>
        </w:rPr>
      </w:pPr>
      <w:r>
        <w:rPr>
          <w:rFonts w:cs="Arial"/>
          <w:i/>
          <w:iCs/>
          <w:sz w:val="22"/>
          <w:szCs w:val="22"/>
        </w:rPr>
        <w:t>“</w:t>
      </w:r>
      <w:r w:rsidR="007E2727" w:rsidRPr="0019131A">
        <w:rPr>
          <w:rFonts w:cs="Arial"/>
          <w:i/>
          <w:iCs/>
          <w:sz w:val="22"/>
          <w:szCs w:val="22"/>
        </w:rPr>
        <w:t xml:space="preserve">Consideramos que es inconveniente para agregar nueva oferta, el cambio sugerido por la CREG en el Artículo 19. </w:t>
      </w:r>
      <w:r>
        <w:rPr>
          <w:rFonts w:cs="Arial"/>
          <w:i/>
          <w:iCs/>
          <w:sz w:val="22"/>
          <w:szCs w:val="22"/>
        </w:rPr>
        <w:t>‘</w:t>
      </w:r>
      <w:r w:rsidR="007E2727" w:rsidRPr="0019131A">
        <w:rPr>
          <w:rFonts w:cs="Arial"/>
          <w:i/>
          <w:iCs/>
          <w:sz w:val="22"/>
          <w:szCs w:val="22"/>
        </w:rPr>
        <w:t>Negociación directa en cualquier momento del año</w:t>
      </w:r>
      <w:r>
        <w:rPr>
          <w:rFonts w:cs="Arial"/>
          <w:i/>
          <w:iCs/>
          <w:sz w:val="22"/>
          <w:szCs w:val="22"/>
        </w:rPr>
        <w:t>’</w:t>
      </w:r>
      <w:r w:rsidR="007E2727" w:rsidRPr="0019131A">
        <w:rPr>
          <w:rFonts w:cs="Arial"/>
          <w:i/>
          <w:iCs/>
          <w:sz w:val="22"/>
          <w:szCs w:val="22"/>
        </w:rPr>
        <w:t xml:space="preserve">, numeral </w:t>
      </w:r>
      <w:proofErr w:type="gramStart"/>
      <w:r w:rsidR="007E2727" w:rsidRPr="0019131A">
        <w:rPr>
          <w:rFonts w:cs="Arial"/>
          <w:i/>
          <w:iCs/>
          <w:sz w:val="22"/>
          <w:szCs w:val="22"/>
        </w:rPr>
        <w:t>a)i</w:t>
      </w:r>
      <w:proofErr w:type="gramEnd"/>
      <w:r w:rsidR="007E2727" w:rsidRPr="0019131A">
        <w:rPr>
          <w:rFonts w:cs="Arial"/>
          <w:i/>
          <w:iCs/>
          <w:sz w:val="22"/>
          <w:szCs w:val="22"/>
        </w:rPr>
        <w:t>, en el cual establece que la duración de los contratos de los campos que están en pruebas extensas o sobre los cuales no se haya declarado su comercialidad, no puedan superar la fecha determinada por la ANH para su evaluación, de acuerdo a los términos del contratos de exploración y producción.</w:t>
      </w:r>
    </w:p>
    <w:p w14:paraId="0E8A7CBA" w14:textId="77777777" w:rsidR="0019131A" w:rsidRDefault="0019131A" w:rsidP="007E2727">
      <w:pPr>
        <w:rPr>
          <w:rFonts w:cs="Arial"/>
          <w:sz w:val="22"/>
          <w:szCs w:val="22"/>
        </w:rPr>
      </w:pPr>
    </w:p>
    <w:p w14:paraId="7B08E761" w14:textId="77777777" w:rsidR="0019131A" w:rsidRPr="0019131A" w:rsidRDefault="0019131A" w:rsidP="007E2727">
      <w:pPr>
        <w:rPr>
          <w:rFonts w:cs="Arial"/>
          <w:b/>
          <w:bCs/>
          <w:sz w:val="22"/>
          <w:szCs w:val="22"/>
        </w:rPr>
      </w:pPr>
      <w:r w:rsidRPr="0019131A">
        <w:rPr>
          <w:rFonts w:cs="Arial"/>
          <w:b/>
          <w:bCs/>
          <w:sz w:val="22"/>
          <w:szCs w:val="22"/>
        </w:rPr>
        <w:t>Respuesta:</w:t>
      </w:r>
    </w:p>
    <w:p w14:paraId="0DACBF71" w14:textId="373910FE" w:rsidR="0019131A" w:rsidRDefault="0019131A" w:rsidP="007E2727">
      <w:pPr>
        <w:rPr>
          <w:rFonts w:cs="Arial"/>
          <w:sz w:val="22"/>
          <w:szCs w:val="22"/>
        </w:rPr>
      </w:pPr>
    </w:p>
    <w:p w14:paraId="234DA9EE" w14:textId="7E062614" w:rsidR="0019131A" w:rsidRDefault="0019131A" w:rsidP="007E2727">
      <w:pPr>
        <w:rPr>
          <w:rFonts w:cs="Arial"/>
          <w:sz w:val="22"/>
          <w:szCs w:val="22"/>
        </w:rPr>
      </w:pPr>
      <w:r>
        <w:rPr>
          <w:rFonts w:cs="Arial"/>
          <w:sz w:val="22"/>
          <w:szCs w:val="22"/>
        </w:rPr>
        <w:t>Se acoge el comentario.</w:t>
      </w:r>
    </w:p>
    <w:p w14:paraId="09108280" w14:textId="596B1408" w:rsidR="0019131A" w:rsidRDefault="0019131A" w:rsidP="007E2727">
      <w:pPr>
        <w:rPr>
          <w:rFonts w:cs="Arial"/>
          <w:sz w:val="22"/>
          <w:szCs w:val="22"/>
        </w:rPr>
      </w:pPr>
    </w:p>
    <w:p w14:paraId="7BEC6533" w14:textId="7234EC75" w:rsidR="0019131A" w:rsidRDefault="0019131A" w:rsidP="007E2727">
      <w:pPr>
        <w:rPr>
          <w:rFonts w:cs="Arial"/>
          <w:sz w:val="22"/>
          <w:szCs w:val="22"/>
        </w:rPr>
      </w:pPr>
      <w:r>
        <w:rPr>
          <w:rFonts w:cs="Arial"/>
          <w:sz w:val="22"/>
          <w:szCs w:val="22"/>
        </w:rPr>
        <w:t xml:space="preserve">En la nueva propuesta </w:t>
      </w:r>
      <w:r w:rsidR="008E4B36">
        <w:rPr>
          <w:rFonts w:cs="Arial"/>
          <w:sz w:val="22"/>
          <w:szCs w:val="22"/>
        </w:rPr>
        <w:t>se establece que l</w:t>
      </w:r>
      <w:r w:rsidR="008E4B36" w:rsidRPr="008E4B36">
        <w:rPr>
          <w:rFonts w:cs="Arial"/>
          <w:sz w:val="22"/>
          <w:szCs w:val="22"/>
        </w:rPr>
        <w:t xml:space="preserve">a duración de los contratos de suministro que se pacten desde estas </w:t>
      </w:r>
      <w:r w:rsidR="008E4B36">
        <w:rPr>
          <w:rFonts w:cs="Arial"/>
          <w:sz w:val="22"/>
          <w:szCs w:val="22"/>
        </w:rPr>
        <w:t>f</w:t>
      </w:r>
      <w:r w:rsidR="008E4B36" w:rsidRPr="008E4B36">
        <w:rPr>
          <w:rFonts w:cs="Arial"/>
          <w:sz w:val="22"/>
          <w:szCs w:val="22"/>
        </w:rPr>
        <w:t xml:space="preserve">uentes de </w:t>
      </w:r>
      <w:r w:rsidR="008E4B36">
        <w:rPr>
          <w:rFonts w:cs="Arial"/>
          <w:sz w:val="22"/>
          <w:szCs w:val="22"/>
        </w:rPr>
        <w:t>s</w:t>
      </w:r>
      <w:r w:rsidR="008E4B36" w:rsidRPr="008E4B36">
        <w:rPr>
          <w:rFonts w:cs="Arial"/>
          <w:sz w:val="22"/>
          <w:szCs w:val="22"/>
        </w:rPr>
        <w:t>uministro y las cantidades a suministrar deberá ser consistente con la declaración de producción publicada por el MME</w:t>
      </w:r>
      <w:r w:rsidR="008E4B36">
        <w:rPr>
          <w:rFonts w:cs="Arial"/>
          <w:sz w:val="22"/>
          <w:szCs w:val="22"/>
        </w:rPr>
        <w:t xml:space="preserve"> (en que se incluye la PTDV)</w:t>
      </w:r>
      <w:r w:rsidR="008E4B36" w:rsidRPr="008E4B36">
        <w:rPr>
          <w:rFonts w:cs="Arial"/>
          <w:sz w:val="22"/>
          <w:szCs w:val="22"/>
        </w:rPr>
        <w:t>, de acuerdo con los términos del contrato de exploración y producción, o su equivalente, suscrito con la ANH</w:t>
      </w:r>
    </w:p>
    <w:p w14:paraId="420F0B29" w14:textId="1FA16502" w:rsidR="007E2727" w:rsidRPr="007E2727" w:rsidRDefault="007E2727" w:rsidP="007E2727">
      <w:pPr>
        <w:rPr>
          <w:rFonts w:cs="Arial"/>
          <w:sz w:val="22"/>
          <w:szCs w:val="22"/>
        </w:rPr>
      </w:pPr>
      <w:r w:rsidRPr="007E2727">
        <w:rPr>
          <w:rFonts w:cs="Arial"/>
          <w:sz w:val="22"/>
          <w:szCs w:val="22"/>
        </w:rPr>
        <w:t xml:space="preserve">  </w:t>
      </w:r>
    </w:p>
    <w:p w14:paraId="10935C0C" w14:textId="77777777" w:rsidR="0060003A" w:rsidRDefault="0060003A" w:rsidP="007E2727">
      <w:pPr>
        <w:rPr>
          <w:rFonts w:cs="Arial"/>
          <w:sz w:val="22"/>
          <w:szCs w:val="22"/>
        </w:rPr>
      </w:pPr>
    </w:p>
    <w:p w14:paraId="086BC81C" w14:textId="77777777" w:rsidR="0060003A" w:rsidRDefault="007E2727" w:rsidP="000D05A3">
      <w:pPr>
        <w:pStyle w:val="Ttulo4"/>
      </w:pPr>
      <w:r w:rsidRPr="007E2727">
        <w:t>ANDI</w:t>
      </w:r>
      <w:r w:rsidRPr="007E2727">
        <w:tab/>
      </w:r>
    </w:p>
    <w:p w14:paraId="562BE90D" w14:textId="029A0B1C" w:rsidR="007E2727" w:rsidRPr="008E4B36" w:rsidRDefault="00235379" w:rsidP="007E2727">
      <w:pPr>
        <w:rPr>
          <w:rFonts w:cs="Arial"/>
          <w:i/>
          <w:iCs/>
          <w:sz w:val="22"/>
          <w:szCs w:val="22"/>
        </w:rPr>
      </w:pPr>
      <w:r>
        <w:rPr>
          <w:rFonts w:cs="Arial"/>
          <w:i/>
          <w:iCs/>
          <w:sz w:val="22"/>
          <w:szCs w:val="22"/>
        </w:rPr>
        <w:t>“</w:t>
      </w:r>
      <w:r w:rsidR="007E2727" w:rsidRPr="008E4B36">
        <w:rPr>
          <w:rFonts w:cs="Arial"/>
          <w:i/>
          <w:iCs/>
          <w:sz w:val="22"/>
          <w:szCs w:val="22"/>
        </w:rPr>
        <w:t xml:space="preserve">Respecto a los avances para la demanda, consideramos apropiada la sincronización en los tiempos de contratación de suministro y transporte, así como la flexibilidad que se está brindando a través de nuevos productos, entre ellos, (artículo 19) la negociación directa en cualquier momento del año y el contrato de suministro firme al 80% (Artículo 8). </w:t>
      </w:r>
      <w:r>
        <w:rPr>
          <w:rFonts w:cs="Arial"/>
          <w:i/>
          <w:iCs/>
          <w:sz w:val="22"/>
          <w:szCs w:val="22"/>
        </w:rPr>
        <w:t>“</w:t>
      </w:r>
    </w:p>
    <w:p w14:paraId="415BB73D" w14:textId="76917FAA" w:rsidR="008E4B36" w:rsidRDefault="008E4B36" w:rsidP="007E2727">
      <w:pPr>
        <w:rPr>
          <w:rFonts w:cs="Arial"/>
          <w:sz w:val="22"/>
          <w:szCs w:val="22"/>
        </w:rPr>
      </w:pPr>
    </w:p>
    <w:p w14:paraId="46DB9B29" w14:textId="1A42E9E5" w:rsidR="008E4B36" w:rsidRPr="008E4B36" w:rsidRDefault="008E4B36" w:rsidP="007E2727">
      <w:pPr>
        <w:rPr>
          <w:rFonts w:cs="Arial"/>
          <w:b/>
          <w:bCs/>
          <w:sz w:val="22"/>
          <w:szCs w:val="22"/>
        </w:rPr>
      </w:pPr>
      <w:r w:rsidRPr="008E4B36">
        <w:rPr>
          <w:rFonts w:cs="Arial"/>
          <w:b/>
          <w:bCs/>
          <w:sz w:val="22"/>
          <w:szCs w:val="22"/>
        </w:rPr>
        <w:t>Respuesta:</w:t>
      </w:r>
    </w:p>
    <w:p w14:paraId="1413BE5A" w14:textId="547A3319" w:rsidR="008E4B36" w:rsidRDefault="008E4B36" w:rsidP="007E2727">
      <w:pPr>
        <w:rPr>
          <w:rFonts w:cs="Arial"/>
          <w:sz w:val="22"/>
          <w:szCs w:val="22"/>
        </w:rPr>
      </w:pPr>
    </w:p>
    <w:p w14:paraId="6F072CF5" w14:textId="4BFCCABF" w:rsidR="008E4B36" w:rsidRPr="007E2727" w:rsidRDefault="00235379" w:rsidP="007E2727">
      <w:pPr>
        <w:rPr>
          <w:rFonts w:cs="Arial"/>
          <w:sz w:val="22"/>
          <w:szCs w:val="22"/>
        </w:rPr>
      </w:pPr>
      <w:r>
        <w:rPr>
          <w:rFonts w:cs="Arial"/>
          <w:sz w:val="22"/>
          <w:szCs w:val="22"/>
        </w:rPr>
        <w:t>E</w:t>
      </w:r>
      <w:r w:rsidR="00A337CF">
        <w:rPr>
          <w:rFonts w:cs="Arial"/>
          <w:sz w:val="22"/>
          <w:szCs w:val="22"/>
        </w:rPr>
        <w:t>n la nueva propuesta se hacen algunos ajustes respecto de lo aspectos mencionados en el comentario recibido</w:t>
      </w:r>
      <w:r w:rsidR="00F06946">
        <w:rPr>
          <w:rFonts w:cs="Arial"/>
          <w:sz w:val="22"/>
          <w:szCs w:val="22"/>
        </w:rPr>
        <w:t xml:space="preserve"> buscando la aplicación correcta de los trimestres de negociación</w:t>
      </w:r>
      <w:r w:rsidR="00A337CF">
        <w:rPr>
          <w:rFonts w:cs="Arial"/>
          <w:sz w:val="22"/>
          <w:szCs w:val="22"/>
        </w:rPr>
        <w:t>.</w:t>
      </w:r>
    </w:p>
    <w:p w14:paraId="57EB4C3C" w14:textId="77777777" w:rsidR="0060003A" w:rsidRDefault="0060003A" w:rsidP="007E2727">
      <w:pPr>
        <w:rPr>
          <w:rFonts w:cs="Arial"/>
          <w:sz w:val="22"/>
          <w:szCs w:val="22"/>
        </w:rPr>
      </w:pPr>
    </w:p>
    <w:p w14:paraId="23B4EBF5" w14:textId="77777777" w:rsidR="0060003A" w:rsidRDefault="0060003A" w:rsidP="007E2727">
      <w:pPr>
        <w:rPr>
          <w:rFonts w:cs="Arial"/>
          <w:sz w:val="22"/>
          <w:szCs w:val="22"/>
        </w:rPr>
      </w:pPr>
    </w:p>
    <w:p w14:paraId="4542985A" w14:textId="77777777" w:rsidR="0060003A" w:rsidRDefault="007E2727" w:rsidP="002313DA">
      <w:pPr>
        <w:pStyle w:val="Ttulo2"/>
      </w:pPr>
      <w:bookmarkStart w:id="718" w:name="_Toc140506390"/>
      <w:r w:rsidRPr="007E2727">
        <w:t>ASOENERGIA</w:t>
      </w:r>
      <w:bookmarkEnd w:id="718"/>
      <w:r w:rsidRPr="007E2727">
        <w:tab/>
      </w:r>
    </w:p>
    <w:p w14:paraId="4BF20EE0" w14:textId="77777777" w:rsidR="00F52B11" w:rsidRDefault="00F52B11" w:rsidP="00F52B11">
      <w:pPr>
        <w:pStyle w:val="Ttulo4"/>
      </w:pPr>
      <w:r w:rsidRPr="007E2727">
        <w:t>ASOENERGIA</w:t>
      </w:r>
      <w:r w:rsidRPr="007E2727">
        <w:tab/>
      </w:r>
    </w:p>
    <w:p w14:paraId="6D988AA9" w14:textId="693C9169" w:rsidR="007E2727" w:rsidRPr="00A337CF" w:rsidRDefault="00235379" w:rsidP="007E2727">
      <w:pPr>
        <w:rPr>
          <w:rFonts w:cs="Arial"/>
          <w:i/>
          <w:iCs/>
          <w:sz w:val="22"/>
          <w:szCs w:val="22"/>
        </w:rPr>
      </w:pPr>
      <w:r>
        <w:rPr>
          <w:rFonts w:cs="Arial"/>
          <w:i/>
          <w:iCs/>
          <w:sz w:val="22"/>
          <w:szCs w:val="22"/>
        </w:rPr>
        <w:t>“</w:t>
      </w:r>
      <w:r w:rsidR="007E2727" w:rsidRPr="00A337CF">
        <w:rPr>
          <w:rFonts w:cs="Arial"/>
          <w:i/>
          <w:iCs/>
          <w:sz w:val="22"/>
          <w:szCs w:val="22"/>
        </w:rPr>
        <w:t>Celebramos el cambio en el sentido de que se está vislumbrando y anticipando la regulación ante nuevas fuentes de suministro.</w:t>
      </w:r>
      <w:r w:rsidR="00F06946">
        <w:rPr>
          <w:rFonts w:cs="Arial"/>
          <w:i/>
          <w:iCs/>
          <w:sz w:val="22"/>
          <w:szCs w:val="22"/>
        </w:rPr>
        <w:t>”</w:t>
      </w:r>
    </w:p>
    <w:p w14:paraId="2AE5A473" w14:textId="46E29888" w:rsidR="00A337CF" w:rsidRDefault="00A337CF" w:rsidP="007E2727">
      <w:pPr>
        <w:rPr>
          <w:rFonts w:cs="Arial"/>
          <w:sz w:val="22"/>
          <w:szCs w:val="22"/>
        </w:rPr>
      </w:pPr>
    </w:p>
    <w:p w14:paraId="7E02818E" w14:textId="3E0649F4" w:rsidR="00A337CF" w:rsidRPr="00A337CF" w:rsidRDefault="00A337CF" w:rsidP="007E2727">
      <w:pPr>
        <w:rPr>
          <w:rFonts w:cs="Arial"/>
          <w:b/>
          <w:bCs/>
          <w:sz w:val="22"/>
          <w:szCs w:val="22"/>
        </w:rPr>
      </w:pPr>
      <w:r w:rsidRPr="00A337CF">
        <w:rPr>
          <w:rFonts w:cs="Arial"/>
          <w:b/>
          <w:bCs/>
          <w:sz w:val="22"/>
          <w:szCs w:val="22"/>
        </w:rPr>
        <w:t>Respuesta:</w:t>
      </w:r>
    </w:p>
    <w:p w14:paraId="124FEE95" w14:textId="1F8094E9" w:rsidR="00A337CF" w:rsidRDefault="00A337CF" w:rsidP="007E2727">
      <w:pPr>
        <w:rPr>
          <w:rFonts w:cs="Arial"/>
          <w:sz w:val="22"/>
          <w:szCs w:val="22"/>
        </w:rPr>
      </w:pPr>
    </w:p>
    <w:p w14:paraId="22DD6CC3" w14:textId="1806C505" w:rsidR="00A337CF" w:rsidRDefault="00A337CF"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_Ref130973871 \r \h </w:instrText>
      </w:r>
      <w:r>
        <w:rPr>
          <w:rFonts w:cs="Arial"/>
          <w:sz w:val="22"/>
          <w:szCs w:val="22"/>
        </w:rPr>
      </w:r>
      <w:r>
        <w:rPr>
          <w:rFonts w:cs="Arial"/>
          <w:sz w:val="22"/>
          <w:szCs w:val="22"/>
        </w:rPr>
        <w:fldChar w:fldCharType="separate"/>
      </w:r>
      <w:r w:rsidR="007651EA">
        <w:rPr>
          <w:rFonts w:cs="Arial"/>
          <w:sz w:val="22"/>
          <w:szCs w:val="22"/>
        </w:rPr>
        <w:t>17.2.1.1</w:t>
      </w:r>
      <w:r>
        <w:rPr>
          <w:rFonts w:cs="Arial"/>
          <w:sz w:val="22"/>
          <w:szCs w:val="22"/>
        </w:rPr>
        <w:fldChar w:fldCharType="end"/>
      </w:r>
      <w:r>
        <w:rPr>
          <w:rFonts w:cs="Arial"/>
          <w:sz w:val="22"/>
          <w:szCs w:val="22"/>
        </w:rPr>
        <w:t>.</w:t>
      </w:r>
    </w:p>
    <w:p w14:paraId="12608D89" w14:textId="1D226A6F" w:rsidR="00A337CF" w:rsidRDefault="00A337CF" w:rsidP="007E2727">
      <w:pPr>
        <w:rPr>
          <w:rFonts w:cs="Arial"/>
          <w:sz w:val="22"/>
          <w:szCs w:val="22"/>
        </w:rPr>
      </w:pPr>
    </w:p>
    <w:p w14:paraId="4C59D780" w14:textId="77777777" w:rsidR="00A337CF" w:rsidRPr="007E2727" w:rsidRDefault="00A337CF" w:rsidP="007E2727">
      <w:pPr>
        <w:rPr>
          <w:rFonts w:cs="Arial"/>
          <w:sz w:val="22"/>
          <w:szCs w:val="22"/>
        </w:rPr>
      </w:pPr>
    </w:p>
    <w:p w14:paraId="731E63B8" w14:textId="77777777" w:rsidR="0060003A" w:rsidRDefault="007E2727" w:rsidP="000D05A3">
      <w:pPr>
        <w:pStyle w:val="Ttulo4"/>
      </w:pPr>
      <w:r w:rsidRPr="007E2727">
        <w:t>ASOENERGIA</w:t>
      </w:r>
      <w:r w:rsidRPr="007E2727">
        <w:tab/>
      </w:r>
    </w:p>
    <w:p w14:paraId="100C67AA" w14:textId="67479EB2" w:rsidR="007E2727" w:rsidRPr="00A337CF" w:rsidRDefault="00F06946" w:rsidP="007E2727">
      <w:pPr>
        <w:rPr>
          <w:rFonts w:cs="Arial"/>
          <w:i/>
          <w:iCs/>
          <w:sz w:val="22"/>
          <w:szCs w:val="22"/>
        </w:rPr>
      </w:pPr>
      <w:r>
        <w:rPr>
          <w:rFonts w:cs="Arial"/>
          <w:i/>
          <w:iCs/>
          <w:sz w:val="22"/>
          <w:szCs w:val="22"/>
        </w:rPr>
        <w:t>“</w:t>
      </w:r>
      <w:r w:rsidR="007E2727" w:rsidRPr="00A337CF">
        <w:rPr>
          <w:rFonts w:cs="Arial"/>
          <w:i/>
          <w:iCs/>
          <w:sz w:val="22"/>
          <w:szCs w:val="22"/>
        </w:rPr>
        <w:t>Celebramos el cambio en el sentido de que le da la opción al productor de gestionar el gas internamente ante contingencias, como lo son los eventos eximentes por mantenimientos periódicos.</w:t>
      </w:r>
      <w:r w:rsidR="00506B14">
        <w:rPr>
          <w:rFonts w:cs="Arial"/>
          <w:i/>
          <w:iCs/>
          <w:sz w:val="22"/>
          <w:szCs w:val="22"/>
        </w:rPr>
        <w:t>”</w:t>
      </w:r>
    </w:p>
    <w:p w14:paraId="6DE86549" w14:textId="07828601" w:rsidR="00A337CF" w:rsidRDefault="00A337CF" w:rsidP="007E2727">
      <w:pPr>
        <w:rPr>
          <w:rFonts w:cs="Arial"/>
          <w:sz w:val="22"/>
          <w:szCs w:val="22"/>
        </w:rPr>
      </w:pPr>
    </w:p>
    <w:p w14:paraId="355B77CE" w14:textId="6E33CC61" w:rsidR="00A337CF" w:rsidRPr="00A337CF" w:rsidRDefault="00A337CF" w:rsidP="007E2727">
      <w:pPr>
        <w:rPr>
          <w:rFonts w:cs="Arial"/>
          <w:b/>
          <w:bCs/>
          <w:sz w:val="22"/>
          <w:szCs w:val="22"/>
        </w:rPr>
      </w:pPr>
      <w:r w:rsidRPr="00A337CF">
        <w:rPr>
          <w:rFonts w:cs="Arial"/>
          <w:b/>
          <w:bCs/>
          <w:sz w:val="22"/>
          <w:szCs w:val="22"/>
        </w:rPr>
        <w:t>Respuesta:</w:t>
      </w:r>
    </w:p>
    <w:p w14:paraId="5434A9C9" w14:textId="72ACBC92" w:rsidR="00A337CF" w:rsidRDefault="00A337CF" w:rsidP="007E2727">
      <w:pPr>
        <w:rPr>
          <w:rFonts w:cs="Arial"/>
          <w:sz w:val="22"/>
          <w:szCs w:val="22"/>
        </w:rPr>
      </w:pPr>
    </w:p>
    <w:p w14:paraId="67CB1C15" w14:textId="0C70F75E" w:rsidR="00A337CF" w:rsidRDefault="00A337CF" w:rsidP="007E2727">
      <w:pPr>
        <w:rPr>
          <w:rFonts w:cs="Arial"/>
          <w:sz w:val="22"/>
          <w:szCs w:val="22"/>
        </w:rPr>
      </w:pPr>
      <w:r>
        <w:rPr>
          <w:rFonts w:cs="Arial"/>
          <w:sz w:val="22"/>
          <w:szCs w:val="22"/>
        </w:rPr>
        <w:t>Se busca dar flexibilidad cuando se presentan condiciones que imposibilitan al productor el consumo normal de gas natural para su propio uso, por lo que</w:t>
      </w:r>
      <w:r w:rsidR="007635A9">
        <w:rPr>
          <w:rFonts w:cs="Arial"/>
          <w:sz w:val="22"/>
          <w:szCs w:val="22"/>
        </w:rPr>
        <w:t xml:space="preserve"> dicho gas</w:t>
      </w:r>
      <w:r>
        <w:rPr>
          <w:rFonts w:cs="Arial"/>
          <w:sz w:val="22"/>
          <w:szCs w:val="22"/>
        </w:rPr>
        <w:t xml:space="preserve"> queda disponible </w:t>
      </w:r>
      <w:r w:rsidR="007635A9">
        <w:rPr>
          <w:rFonts w:cs="Arial"/>
          <w:sz w:val="22"/>
          <w:szCs w:val="22"/>
        </w:rPr>
        <w:t>para</w:t>
      </w:r>
      <w:r>
        <w:rPr>
          <w:rFonts w:cs="Arial"/>
          <w:sz w:val="22"/>
          <w:szCs w:val="22"/>
        </w:rPr>
        <w:t xml:space="preserve"> el Mercado. Lo anterior sin que ello lleve a distorsiones y manejos de las cantidades de gas que se colocan en el Mercado en estos casos, que puedan afectar negativamente el funcionamiento esperado de los mecanismos de comercialización establecidos. Es por </w:t>
      </w:r>
      <w:r w:rsidR="00F87917">
        <w:rPr>
          <w:rFonts w:cs="Arial"/>
          <w:sz w:val="22"/>
          <w:szCs w:val="22"/>
        </w:rPr>
        <w:t xml:space="preserve">lo anterior y porque son eventos que se espera que sean superados en tiempos mínimos, </w:t>
      </w:r>
      <w:r>
        <w:rPr>
          <w:rFonts w:cs="Arial"/>
          <w:sz w:val="22"/>
          <w:szCs w:val="22"/>
        </w:rPr>
        <w:t xml:space="preserve">que los contratos que se permiten solamente pueden tener duración mensual.  </w:t>
      </w:r>
    </w:p>
    <w:p w14:paraId="7194BD1F" w14:textId="77777777" w:rsidR="00A337CF" w:rsidRPr="007E2727" w:rsidRDefault="00A337CF" w:rsidP="007E2727">
      <w:pPr>
        <w:rPr>
          <w:rFonts w:cs="Arial"/>
          <w:sz w:val="22"/>
          <w:szCs w:val="22"/>
        </w:rPr>
      </w:pPr>
    </w:p>
    <w:p w14:paraId="4A7956C9" w14:textId="77777777" w:rsidR="0060003A" w:rsidRDefault="0060003A" w:rsidP="007E2727">
      <w:pPr>
        <w:rPr>
          <w:rFonts w:cs="Arial"/>
          <w:sz w:val="22"/>
          <w:szCs w:val="22"/>
        </w:rPr>
      </w:pPr>
    </w:p>
    <w:p w14:paraId="11D26DCE" w14:textId="77777777" w:rsidR="0060003A" w:rsidRDefault="007E2727" w:rsidP="002313DA">
      <w:pPr>
        <w:pStyle w:val="Ttulo2"/>
      </w:pPr>
      <w:bookmarkStart w:id="719" w:name="_Toc140506391"/>
      <w:r w:rsidRPr="007E2727">
        <w:t>BOLSA MERCANTIL DE COLOMBIA</w:t>
      </w:r>
      <w:bookmarkEnd w:id="719"/>
      <w:r w:rsidRPr="007E2727">
        <w:tab/>
      </w:r>
    </w:p>
    <w:p w14:paraId="71743529" w14:textId="77777777" w:rsidR="00F52B11" w:rsidRDefault="00F52B11" w:rsidP="00F52B11">
      <w:pPr>
        <w:pStyle w:val="Ttulo4"/>
      </w:pPr>
      <w:r w:rsidRPr="007E2727">
        <w:t>BOLSA MERCANTIL DE COLOMBIA</w:t>
      </w:r>
      <w:r w:rsidRPr="007E2727">
        <w:tab/>
      </w:r>
    </w:p>
    <w:p w14:paraId="46F19862" w14:textId="225A0A81" w:rsidR="007E2727" w:rsidRDefault="007E2727" w:rsidP="007E2727">
      <w:pPr>
        <w:rPr>
          <w:rFonts w:cs="Arial"/>
          <w:i/>
          <w:iCs/>
          <w:sz w:val="22"/>
          <w:szCs w:val="22"/>
        </w:rPr>
      </w:pPr>
      <w:r w:rsidRPr="007E2727">
        <w:rPr>
          <w:rFonts w:cs="Arial"/>
          <w:sz w:val="22"/>
          <w:szCs w:val="22"/>
        </w:rPr>
        <w:t>"</w:t>
      </w:r>
      <w:r w:rsidRPr="00B27C35">
        <w:rPr>
          <w:rFonts w:cs="Arial"/>
          <w:i/>
          <w:iCs/>
          <w:sz w:val="22"/>
          <w:szCs w:val="22"/>
        </w:rPr>
        <w:t xml:space="preserve">El texto del ordinal (i) literal a) del numeral 1 del Artículo 19 hace referencia a </w:t>
      </w:r>
      <w:r w:rsidR="00506B14">
        <w:rPr>
          <w:rFonts w:cs="Arial"/>
          <w:i/>
          <w:iCs/>
          <w:sz w:val="22"/>
          <w:szCs w:val="22"/>
        </w:rPr>
        <w:t>‘</w:t>
      </w:r>
      <w:r w:rsidRPr="00B27C35">
        <w:rPr>
          <w:rFonts w:cs="Arial"/>
          <w:i/>
          <w:iCs/>
          <w:sz w:val="22"/>
          <w:szCs w:val="22"/>
        </w:rPr>
        <w:t>Reservas probables y/o posibles</w:t>
      </w:r>
      <w:r w:rsidR="00506B14">
        <w:rPr>
          <w:rFonts w:cs="Arial"/>
          <w:i/>
          <w:iCs/>
          <w:sz w:val="22"/>
          <w:szCs w:val="22"/>
        </w:rPr>
        <w:t>’</w:t>
      </w:r>
      <w:r w:rsidRPr="00B27C35">
        <w:rPr>
          <w:rFonts w:cs="Arial"/>
          <w:i/>
          <w:iCs/>
          <w:sz w:val="22"/>
          <w:szCs w:val="22"/>
        </w:rPr>
        <w:t xml:space="preserve"> pero para la declaración de comercialidad debe considerarse las Reservas Probadas (1P) y probables (2P).</w:t>
      </w:r>
      <w:r w:rsidR="00506B14">
        <w:rPr>
          <w:rFonts w:cs="Arial"/>
          <w:i/>
          <w:iCs/>
          <w:sz w:val="22"/>
          <w:szCs w:val="22"/>
        </w:rPr>
        <w:t>”</w:t>
      </w:r>
    </w:p>
    <w:p w14:paraId="17132F6F" w14:textId="560F7E4E" w:rsidR="00B27C35" w:rsidRDefault="00B27C35" w:rsidP="007E2727">
      <w:pPr>
        <w:rPr>
          <w:rFonts w:cs="Arial"/>
          <w:i/>
          <w:iCs/>
          <w:sz w:val="22"/>
          <w:szCs w:val="22"/>
        </w:rPr>
      </w:pPr>
    </w:p>
    <w:p w14:paraId="2B6D4D08" w14:textId="7F281987" w:rsidR="00B27C35" w:rsidRPr="00B27C35" w:rsidRDefault="00B27C35" w:rsidP="007E2727">
      <w:pPr>
        <w:rPr>
          <w:rFonts w:cs="Arial"/>
          <w:b/>
          <w:bCs/>
          <w:sz w:val="22"/>
          <w:szCs w:val="22"/>
        </w:rPr>
      </w:pPr>
      <w:r w:rsidRPr="00B27C35">
        <w:rPr>
          <w:rFonts w:cs="Arial"/>
          <w:b/>
          <w:bCs/>
          <w:sz w:val="22"/>
          <w:szCs w:val="22"/>
        </w:rPr>
        <w:t>Respuesta:</w:t>
      </w:r>
    </w:p>
    <w:p w14:paraId="406848AE" w14:textId="7BB8FFC4" w:rsidR="00B27C35" w:rsidRDefault="00B27C35" w:rsidP="007E2727">
      <w:pPr>
        <w:rPr>
          <w:rFonts w:cs="Arial"/>
          <w:i/>
          <w:iCs/>
          <w:sz w:val="22"/>
          <w:szCs w:val="22"/>
        </w:rPr>
      </w:pPr>
    </w:p>
    <w:p w14:paraId="03390A21" w14:textId="70C5EDE9" w:rsidR="00B27C35" w:rsidRDefault="00C24833" w:rsidP="007E2727">
      <w:pPr>
        <w:rPr>
          <w:rFonts w:cs="Arial"/>
          <w:sz w:val="22"/>
          <w:szCs w:val="22"/>
        </w:rPr>
      </w:pPr>
      <w:r>
        <w:rPr>
          <w:rFonts w:cs="Arial"/>
          <w:sz w:val="22"/>
          <w:szCs w:val="22"/>
        </w:rPr>
        <w:t>Se</w:t>
      </w:r>
      <w:r w:rsidR="00B27C35" w:rsidRPr="00B27C35">
        <w:rPr>
          <w:rFonts w:cs="Arial"/>
          <w:sz w:val="22"/>
          <w:szCs w:val="22"/>
        </w:rPr>
        <w:t xml:space="preserve"> acoge el comentario.</w:t>
      </w:r>
    </w:p>
    <w:p w14:paraId="7445057E" w14:textId="16F0AABD" w:rsidR="00C24833" w:rsidRDefault="00C24833" w:rsidP="007E2727">
      <w:pPr>
        <w:rPr>
          <w:rFonts w:cs="Arial"/>
          <w:sz w:val="22"/>
          <w:szCs w:val="22"/>
        </w:rPr>
      </w:pPr>
    </w:p>
    <w:p w14:paraId="29D2C0CB" w14:textId="002FD8AD" w:rsidR="00C24833" w:rsidRDefault="00C24833" w:rsidP="007E2727">
      <w:pPr>
        <w:rPr>
          <w:rFonts w:cs="Arial"/>
          <w:sz w:val="22"/>
          <w:szCs w:val="22"/>
        </w:rPr>
      </w:pPr>
      <w:r>
        <w:rPr>
          <w:rFonts w:cs="Arial"/>
          <w:sz w:val="22"/>
          <w:szCs w:val="22"/>
        </w:rPr>
        <w:t>Se cometió un error de redacción en el texto de la</w:t>
      </w:r>
      <w:r w:rsidR="00506B14">
        <w:rPr>
          <w:rFonts w:cs="Arial"/>
          <w:sz w:val="22"/>
          <w:szCs w:val="22"/>
        </w:rPr>
        <w:t xml:space="preserve"> Resolución</w:t>
      </w:r>
      <w:r>
        <w:rPr>
          <w:rFonts w:cs="Arial"/>
          <w:sz w:val="22"/>
          <w:szCs w:val="22"/>
        </w:rPr>
        <w:t xml:space="preserve"> CREG 226 de 2021, que se corrige en la nueva propuesta. La posibilidad de negociar contratos de tipo firme o que garantizan firmeza en el Mercado Primario está sujeta a las definiciones que se encuentran incluidas en el Decreto 1073 de 2015 de Contrato Firme o que Garantiza Firmeza, Respaldo Físico y Reservas de Gas Natural. Sobre esta última es que se proponía el escrito de la propuesta inicial.  </w:t>
      </w:r>
    </w:p>
    <w:p w14:paraId="482B6BC8" w14:textId="44D2A223" w:rsidR="00694908" w:rsidRDefault="00694908" w:rsidP="007E2727">
      <w:pPr>
        <w:rPr>
          <w:rFonts w:cs="Arial"/>
          <w:sz w:val="22"/>
          <w:szCs w:val="22"/>
        </w:rPr>
      </w:pPr>
    </w:p>
    <w:p w14:paraId="3E5F710B" w14:textId="779E0271" w:rsidR="00694908" w:rsidRDefault="00C24833" w:rsidP="00694908">
      <w:pPr>
        <w:rPr>
          <w:rFonts w:cs="Arial"/>
          <w:sz w:val="22"/>
          <w:szCs w:val="22"/>
        </w:rPr>
      </w:pPr>
      <w:r>
        <w:rPr>
          <w:rFonts w:cs="Arial"/>
          <w:sz w:val="22"/>
          <w:szCs w:val="22"/>
        </w:rPr>
        <w:t>Por otro lado, entendemos</w:t>
      </w:r>
      <w:r w:rsidR="00694908" w:rsidRPr="00694908">
        <w:rPr>
          <w:rFonts w:cs="Arial"/>
          <w:sz w:val="22"/>
          <w:szCs w:val="22"/>
        </w:rPr>
        <w:t xml:space="preserve"> que las reservas 1P deben incluir solo las cantidades de reservas probadas, las reservas 2P deben incluir tanto las cantidades de reservas probadas como de las reservas probables y que las reservas 3P deben incluir tanto las reservas probadas, las probables y las posibles, de acuerdo con el Anexo del Acuerdo ANH 11 de 2008, que dice:</w:t>
      </w:r>
    </w:p>
    <w:p w14:paraId="7884ADE3" w14:textId="77777777" w:rsidR="00694908" w:rsidRPr="00694908" w:rsidRDefault="00694908" w:rsidP="00694908">
      <w:pPr>
        <w:rPr>
          <w:rFonts w:cs="Arial"/>
          <w:sz w:val="22"/>
          <w:szCs w:val="22"/>
        </w:rPr>
      </w:pPr>
    </w:p>
    <w:p w14:paraId="5FA2E152" w14:textId="6E807861" w:rsidR="00694908" w:rsidRPr="00694908" w:rsidRDefault="00694908" w:rsidP="00694908">
      <w:pPr>
        <w:ind w:left="708"/>
        <w:rPr>
          <w:rFonts w:cs="Arial"/>
          <w:sz w:val="22"/>
          <w:szCs w:val="22"/>
        </w:rPr>
      </w:pPr>
      <w:r w:rsidRPr="00694908">
        <w:rPr>
          <w:rFonts w:cs="Arial"/>
          <w:sz w:val="22"/>
          <w:szCs w:val="22"/>
        </w:rPr>
        <w:t>“</w:t>
      </w:r>
      <w:r w:rsidRPr="00694908">
        <w:rPr>
          <w:rFonts w:cs="Arial"/>
          <w:i/>
          <w:iCs/>
          <w:sz w:val="22"/>
          <w:szCs w:val="22"/>
        </w:rPr>
        <w:t>La utilización de una terminología consistente (Figura 1-1) genera claridad en el informe de los resultados de la evaluación. Para Reservas, en general los términos estimados acumulados bajo/mejor/alto se indican como 1P/2P/3P, respectivamente</w:t>
      </w:r>
      <w:r w:rsidRPr="00694908">
        <w:rPr>
          <w:rFonts w:cs="Arial"/>
          <w:b/>
          <w:bCs/>
          <w:i/>
          <w:iCs/>
          <w:sz w:val="22"/>
          <w:szCs w:val="22"/>
          <w:u w:val="single"/>
        </w:rPr>
        <w:t>. Las cantidades incrementales asociadas son llamadas reservas Probadas, Probables y Posibles y son un sub</w:t>
      </w:r>
      <w:r w:rsidRPr="00192BE9">
        <w:rPr>
          <w:rFonts w:cs="Arial"/>
          <w:b/>
          <w:bCs/>
          <w:i/>
          <w:iCs/>
          <w:sz w:val="22"/>
          <w:szCs w:val="22"/>
          <w:u w:val="single"/>
        </w:rPr>
        <w:t>gru</w:t>
      </w:r>
      <w:r w:rsidRPr="00192BE9">
        <w:rPr>
          <w:rFonts w:cs="Arial"/>
          <w:b/>
          <w:bCs/>
          <w:i/>
          <w:iCs/>
          <w:sz w:val="22"/>
          <w:szCs w:val="22"/>
        </w:rPr>
        <w:t>po</w:t>
      </w:r>
      <w:r w:rsidRPr="00694908">
        <w:rPr>
          <w:rFonts w:cs="Arial"/>
          <w:i/>
          <w:iCs/>
          <w:sz w:val="22"/>
          <w:szCs w:val="22"/>
        </w:rPr>
        <w:t>, y deben ser vistas dentro del contexto, del sistema completo de clasificación de recursos.”</w:t>
      </w:r>
      <w:r w:rsidRPr="00694908">
        <w:rPr>
          <w:rFonts w:cs="Arial"/>
          <w:sz w:val="22"/>
          <w:szCs w:val="22"/>
        </w:rPr>
        <w:t xml:space="preserve"> (subrayado fuera de texto).</w:t>
      </w:r>
    </w:p>
    <w:p w14:paraId="3316128B" w14:textId="70D233B0" w:rsidR="00B27C35" w:rsidRPr="00694908" w:rsidRDefault="00B27C35" w:rsidP="007E2727">
      <w:pPr>
        <w:rPr>
          <w:rFonts w:cs="Arial"/>
          <w:i/>
          <w:iCs/>
          <w:sz w:val="22"/>
          <w:szCs w:val="22"/>
        </w:rPr>
      </w:pPr>
    </w:p>
    <w:p w14:paraId="4B15D4EF" w14:textId="77777777" w:rsidR="00B27C35" w:rsidRPr="00B27C35" w:rsidRDefault="00B27C35" w:rsidP="007E2727">
      <w:pPr>
        <w:rPr>
          <w:rFonts w:cs="Arial"/>
          <w:i/>
          <w:iCs/>
          <w:sz w:val="22"/>
          <w:szCs w:val="22"/>
        </w:rPr>
      </w:pPr>
    </w:p>
    <w:p w14:paraId="3C035B17" w14:textId="77777777" w:rsidR="00B27C35" w:rsidRDefault="00B27C35" w:rsidP="00B27C35">
      <w:pPr>
        <w:pStyle w:val="Ttulo4"/>
      </w:pPr>
      <w:r w:rsidRPr="007E2727">
        <w:t>BOLSA MERCANTIL DE COLOMBIA</w:t>
      </w:r>
      <w:r w:rsidRPr="007E2727">
        <w:tab/>
      </w:r>
    </w:p>
    <w:p w14:paraId="043A33C5" w14:textId="330620EA" w:rsidR="007E2727" w:rsidRPr="00B27C35" w:rsidRDefault="00192BE9" w:rsidP="007E2727">
      <w:pPr>
        <w:rPr>
          <w:rFonts w:cs="Arial"/>
          <w:i/>
          <w:iCs/>
          <w:sz w:val="22"/>
          <w:szCs w:val="22"/>
        </w:rPr>
      </w:pPr>
      <w:r>
        <w:rPr>
          <w:rFonts w:cs="Arial"/>
          <w:i/>
          <w:iCs/>
          <w:sz w:val="22"/>
          <w:szCs w:val="22"/>
        </w:rPr>
        <w:t>“</w:t>
      </w:r>
      <w:r w:rsidR="007E2727" w:rsidRPr="00B27C35">
        <w:rPr>
          <w:rFonts w:cs="Arial"/>
          <w:i/>
          <w:iCs/>
          <w:sz w:val="22"/>
          <w:szCs w:val="22"/>
        </w:rPr>
        <w:t xml:space="preserve">El </w:t>
      </w:r>
      <w:r w:rsidR="005114C6">
        <w:rPr>
          <w:rFonts w:cs="Arial"/>
          <w:i/>
          <w:iCs/>
          <w:sz w:val="22"/>
          <w:szCs w:val="22"/>
        </w:rPr>
        <w:t>Gestor del Mercado</w:t>
      </w:r>
      <w:r w:rsidR="007E2727" w:rsidRPr="00B27C35">
        <w:rPr>
          <w:rFonts w:cs="Arial"/>
          <w:i/>
          <w:iCs/>
          <w:sz w:val="22"/>
          <w:szCs w:val="22"/>
        </w:rPr>
        <w:t xml:space="preserve"> no cuenta con elementos para evidenciar el periodo autorizado por parte de la ANH para los campos en pruebas extensas.</w:t>
      </w:r>
      <w:r w:rsidR="00564330">
        <w:rPr>
          <w:rFonts w:cs="Arial"/>
          <w:i/>
          <w:iCs/>
          <w:sz w:val="22"/>
          <w:szCs w:val="22"/>
        </w:rPr>
        <w:t>”</w:t>
      </w:r>
      <w:r w:rsidR="007E2727" w:rsidRPr="00B27C35">
        <w:rPr>
          <w:rFonts w:cs="Arial"/>
          <w:i/>
          <w:iCs/>
          <w:sz w:val="22"/>
          <w:szCs w:val="22"/>
        </w:rPr>
        <w:t xml:space="preserve"> </w:t>
      </w:r>
    </w:p>
    <w:p w14:paraId="47E0B52D" w14:textId="77777777" w:rsidR="007E2727" w:rsidRPr="00B27C35" w:rsidRDefault="007E2727" w:rsidP="007E2727">
      <w:pPr>
        <w:rPr>
          <w:rFonts w:cs="Arial"/>
          <w:i/>
          <w:iCs/>
          <w:sz w:val="22"/>
          <w:szCs w:val="22"/>
        </w:rPr>
      </w:pPr>
    </w:p>
    <w:p w14:paraId="26509304" w14:textId="3927DE0D" w:rsidR="00B27C35" w:rsidRDefault="00B27C35" w:rsidP="00B27C35">
      <w:pPr>
        <w:rPr>
          <w:rFonts w:cs="Arial"/>
          <w:b/>
          <w:bCs/>
          <w:sz w:val="22"/>
          <w:szCs w:val="22"/>
        </w:rPr>
      </w:pPr>
      <w:r w:rsidRPr="00B27C35">
        <w:rPr>
          <w:rFonts w:cs="Arial"/>
          <w:b/>
          <w:bCs/>
          <w:sz w:val="22"/>
          <w:szCs w:val="22"/>
        </w:rPr>
        <w:t>Respuesta:</w:t>
      </w:r>
    </w:p>
    <w:p w14:paraId="497E79FB" w14:textId="141A632F" w:rsidR="00C24833" w:rsidRDefault="00C24833" w:rsidP="00B27C35">
      <w:pPr>
        <w:rPr>
          <w:rFonts w:cs="Arial"/>
          <w:b/>
          <w:bCs/>
          <w:sz w:val="22"/>
          <w:szCs w:val="22"/>
        </w:rPr>
      </w:pPr>
    </w:p>
    <w:p w14:paraId="00ED08E5" w14:textId="77777777" w:rsidR="00C24833" w:rsidRDefault="00C24833" w:rsidP="00B27C35">
      <w:pPr>
        <w:rPr>
          <w:rFonts w:cs="Arial"/>
          <w:sz w:val="22"/>
          <w:szCs w:val="22"/>
        </w:rPr>
      </w:pPr>
      <w:r w:rsidRPr="00C24833">
        <w:rPr>
          <w:rFonts w:cs="Arial"/>
          <w:sz w:val="22"/>
          <w:szCs w:val="22"/>
        </w:rPr>
        <w:t>Se acoge el comentario</w:t>
      </w:r>
      <w:r>
        <w:rPr>
          <w:rFonts w:cs="Arial"/>
          <w:sz w:val="22"/>
          <w:szCs w:val="22"/>
        </w:rPr>
        <w:t xml:space="preserve"> parcialmente.</w:t>
      </w:r>
    </w:p>
    <w:p w14:paraId="23B431E1" w14:textId="77777777" w:rsidR="00C24833" w:rsidRDefault="00C24833" w:rsidP="00B27C35">
      <w:pPr>
        <w:rPr>
          <w:rFonts w:cs="Arial"/>
          <w:sz w:val="22"/>
          <w:szCs w:val="22"/>
        </w:rPr>
      </w:pPr>
    </w:p>
    <w:p w14:paraId="535BC31C" w14:textId="45CE82EB" w:rsidR="00C24833" w:rsidRPr="00C24833" w:rsidRDefault="00C24833" w:rsidP="00B27C3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_Ref130975775 \r \h </w:instrText>
      </w:r>
      <w:r>
        <w:rPr>
          <w:rFonts w:cs="Arial"/>
          <w:sz w:val="22"/>
          <w:szCs w:val="22"/>
        </w:rPr>
      </w:r>
      <w:r>
        <w:rPr>
          <w:rFonts w:cs="Arial"/>
          <w:sz w:val="22"/>
          <w:szCs w:val="22"/>
        </w:rPr>
        <w:fldChar w:fldCharType="separate"/>
      </w:r>
      <w:r w:rsidR="007651EA">
        <w:rPr>
          <w:rFonts w:cs="Arial"/>
          <w:sz w:val="22"/>
          <w:szCs w:val="22"/>
        </w:rPr>
        <w:t>17.3.1.1</w:t>
      </w:r>
      <w:r>
        <w:rPr>
          <w:rFonts w:cs="Arial"/>
          <w:sz w:val="22"/>
          <w:szCs w:val="22"/>
        </w:rPr>
        <w:fldChar w:fldCharType="end"/>
      </w:r>
      <w:r w:rsidRPr="00C24833">
        <w:rPr>
          <w:rFonts w:cs="Arial"/>
          <w:sz w:val="22"/>
          <w:szCs w:val="22"/>
        </w:rPr>
        <w:t>.</w:t>
      </w:r>
    </w:p>
    <w:p w14:paraId="5B3A2827" w14:textId="61234CBD" w:rsidR="00C24833" w:rsidRPr="00C24833" w:rsidRDefault="00C24833" w:rsidP="00B27C35">
      <w:pPr>
        <w:rPr>
          <w:rFonts w:cs="Arial"/>
          <w:sz w:val="22"/>
          <w:szCs w:val="22"/>
        </w:rPr>
      </w:pPr>
    </w:p>
    <w:p w14:paraId="2243D012" w14:textId="646A8BB1" w:rsidR="00C24833" w:rsidRPr="00C24833" w:rsidRDefault="00C24833" w:rsidP="00B27C35">
      <w:pPr>
        <w:rPr>
          <w:rFonts w:cs="Arial"/>
          <w:sz w:val="22"/>
          <w:szCs w:val="22"/>
        </w:rPr>
      </w:pPr>
      <w:r w:rsidRPr="00C24833">
        <w:rPr>
          <w:rFonts w:cs="Arial"/>
          <w:sz w:val="22"/>
          <w:szCs w:val="22"/>
        </w:rPr>
        <w:t xml:space="preserve">En la nueva propuesta se </w:t>
      </w:r>
      <w:r>
        <w:rPr>
          <w:rFonts w:cs="Arial"/>
          <w:sz w:val="22"/>
          <w:szCs w:val="22"/>
        </w:rPr>
        <w:t>establece que e</w:t>
      </w:r>
      <w:r w:rsidRPr="00C24833">
        <w:rPr>
          <w:rFonts w:cs="Arial"/>
          <w:sz w:val="22"/>
          <w:szCs w:val="22"/>
        </w:rPr>
        <w:t xml:space="preserve">n el momento del registro de modalidades contractuales </w:t>
      </w:r>
      <w:r>
        <w:rPr>
          <w:rFonts w:cs="Arial"/>
          <w:sz w:val="22"/>
          <w:szCs w:val="22"/>
        </w:rPr>
        <w:t xml:space="preserve">de tipo firme o que garantizan firmeza </w:t>
      </w:r>
      <w:r w:rsidRPr="00C24833">
        <w:rPr>
          <w:rFonts w:cs="Arial"/>
          <w:sz w:val="22"/>
          <w:szCs w:val="22"/>
        </w:rPr>
        <w:t>se deberá anexar la certificación vigente de la ANH respecto que hay consideradas Reservas para dichos campos</w:t>
      </w:r>
    </w:p>
    <w:p w14:paraId="589524C9" w14:textId="77777777" w:rsidR="00B27C35" w:rsidRDefault="00B27C35" w:rsidP="007E2727">
      <w:pPr>
        <w:rPr>
          <w:rFonts w:cs="Arial"/>
          <w:i/>
          <w:iCs/>
          <w:sz w:val="22"/>
          <w:szCs w:val="22"/>
        </w:rPr>
      </w:pPr>
    </w:p>
    <w:p w14:paraId="5EDFAA3F" w14:textId="77777777" w:rsidR="00B27C35" w:rsidRDefault="00B27C35" w:rsidP="007E2727">
      <w:pPr>
        <w:rPr>
          <w:rFonts w:cs="Arial"/>
          <w:i/>
          <w:iCs/>
          <w:sz w:val="22"/>
          <w:szCs w:val="22"/>
        </w:rPr>
      </w:pPr>
    </w:p>
    <w:p w14:paraId="307ADCCE" w14:textId="77777777" w:rsidR="00B27C35" w:rsidRDefault="00B27C35" w:rsidP="00B27C35">
      <w:pPr>
        <w:pStyle w:val="Ttulo4"/>
      </w:pPr>
      <w:bookmarkStart w:id="720" w:name="_Ref131487399"/>
      <w:r w:rsidRPr="007E2727">
        <w:t>BOLSA MERCANTIL DE COLOMBIA</w:t>
      </w:r>
      <w:bookmarkEnd w:id="720"/>
      <w:r w:rsidRPr="007E2727">
        <w:tab/>
      </w:r>
    </w:p>
    <w:p w14:paraId="3A4CD457" w14:textId="77777777" w:rsidR="00B27C35" w:rsidRDefault="00B27C35" w:rsidP="007E2727">
      <w:pPr>
        <w:rPr>
          <w:rFonts w:cs="Arial"/>
          <w:i/>
          <w:iCs/>
          <w:sz w:val="22"/>
          <w:szCs w:val="22"/>
        </w:rPr>
      </w:pPr>
    </w:p>
    <w:p w14:paraId="12936A6C" w14:textId="1ED85F17" w:rsidR="007E2727" w:rsidRPr="00B27C35" w:rsidRDefault="00564330" w:rsidP="007E2727">
      <w:pPr>
        <w:rPr>
          <w:rFonts w:cs="Arial"/>
          <w:i/>
          <w:iCs/>
          <w:sz w:val="22"/>
          <w:szCs w:val="22"/>
        </w:rPr>
      </w:pPr>
      <w:r>
        <w:rPr>
          <w:rFonts w:cs="Arial"/>
          <w:i/>
          <w:iCs/>
          <w:sz w:val="22"/>
          <w:szCs w:val="22"/>
        </w:rPr>
        <w:t>“</w:t>
      </w:r>
      <w:r w:rsidR="007E2727" w:rsidRPr="00B27C35">
        <w:rPr>
          <w:rFonts w:cs="Arial"/>
          <w:i/>
          <w:iCs/>
          <w:sz w:val="22"/>
          <w:szCs w:val="22"/>
        </w:rPr>
        <w:t xml:space="preserve">El literal b) del Artículo 19, ajusta la definición de campos aislados, e incluye el concepto de conexión en forma </w:t>
      </w:r>
      <w:r>
        <w:rPr>
          <w:rFonts w:cs="Arial"/>
          <w:i/>
          <w:iCs/>
          <w:sz w:val="22"/>
          <w:szCs w:val="22"/>
        </w:rPr>
        <w:t>‘</w:t>
      </w:r>
      <w:r w:rsidR="007E2727" w:rsidRPr="00B27C35">
        <w:rPr>
          <w:rFonts w:cs="Arial"/>
          <w:i/>
          <w:iCs/>
          <w:sz w:val="22"/>
          <w:szCs w:val="22"/>
        </w:rPr>
        <w:t>indirecta</w:t>
      </w:r>
      <w:r>
        <w:rPr>
          <w:rFonts w:cs="Arial"/>
          <w:i/>
          <w:iCs/>
          <w:sz w:val="22"/>
          <w:szCs w:val="22"/>
        </w:rPr>
        <w:t>’</w:t>
      </w:r>
      <w:r w:rsidR="007E2727" w:rsidRPr="00B27C35">
        <w:rPr>
          <w:rFonts w:cs="Arial"/>
          <w:i/>
          <w:iCs/>
          <w:sz w:val="22"/>
          <w:szCs w:val="22"/>
        </w:rPr>
        <w:t>, lo cual puede dar lugar a diferentes interpretaciones.</w:t>
      </w:r>
      <w:r>
        <w:rPr>
          <w:rFonts w:cs="Arial"/>
          <w:i/>
          <w:iCs/>
          <w:sz w:val="22"/>
          <w:szCs w:val="22"/>
        </w:rPr>
        <w:t>”</w:t>
      </w:r>
      <w:r w:rsidR="007E2727" w:rsidRPr="00B27C35">
        <w:rPr>
          <w:rFonts w:cs="Arial"/>
          <w:i/>
          <w:iCs/>
          <w:sz w:val="22"/>
          <w:szCs w:val="22"/>
        </w:rPr>
        <w:t xml:space="preserve"> </w:t>
      </w:r>
    </w:p>
    <w:p w14:paraId="3C667A5D" w14:textId="77777777" w:rsidR="007E2727" w:rsidRPr="00B27C35" w:rsidRDefault="007E2727" w:rsidP="007E2727">
      <w:pPr>
        <w:rPr>
          <w:rFonts w:cs="Arial"/>
          <w:i/>
          <w:iCs/>
          <w:sz w:val="22"/>
          <w:szCs w:val="22"/>
        </w:rPr>
      </w:pPr>
    </w:p>
    <w:p w14:paraId="7C24B74C" w14:textId="77777777" w:rsidR="00B27C35" w:rsidRPr="00B27C35" w:rsidRDefault="00B27C35" w:rsidP="00B27C35">
      <w:pPr>
        <w:rPr>
          <w:rFonts w:cs="Arial"/>
          <w:b/>
          <w:bCs/>
          <w:sz w:val="22"/>
          <w:szCs w:val="22"/>
        </w:rPr>
      </w:pPr>
      <w:r w:rsidRPr="00B27C35">
        <w:rPr>
          <w:rFonts w:cs="Arial"/>
          <w:b/>
          <w:bCs/>
          <w:sz w:val="22"/>
          <w:szCs w:val="22"/>
        </w:rPr>
        <w:t>Respuesta:</w:t>
      </w:r>
    </w:p>
    <w:p w14:paraId="6032B2E8" w14:textId="31ACA768" w:rsidR="00B27C35" w:rsidRDefault="00B27C35" w:rsidP="007E2727">
      <w:pPr>
        <w:rPr>
          <w:rFonts w:cs="Arial"/>
          <w:i/>
          <w:iCs/>
          <w:sz w:val="22"/>
          <w:szCs w:val="22"/>
        </w:rPr>
      </w:pPr>
    </w:p>
    <w:p w14:paraId="479F1154" w14:textId="792E6822" w:rsidR="00C24833" w:rsidRDefault="00C24833" w:rsidP="007E2727">
      <w:pPr>
        <w:rPr>
          <w:rFonts w:cs="Arial"/>
          <w:sz w:val="22"/>
          <w:szCs w:val="22"/>
        </w:rPr>
      </w:pPr>
      <w:r>
        <w:rPr>
          <w:rFonts w:cs="Arial"/>
          <w:sz w:val="22"/>
          <w:szCs w:val="22"/>
        </w:rPr>
        <w:t>Se acoge el comentario.</w:t>
      </w:r>
    </w:p>
    <w:p w14:paraId="7848D7F3" w14:textId="1D91773F" w:rsidR="00C24833" w:rsidRDefault="00C24833" w:rsidP="007E2727">
      <w:pPr>
        <w:rPr>
          <w:rFonts w:cs="Arial"/>
          <w:sz w:val="22"/>
          <w:szCs w:val="22"/>
        </w:rPr>
      </w:pPr>
    </w:p>
    <w:p w14:paraId="70986A00" w14:textId="4E2F1419" w:rsidR="00C24833" w:rsidRPr="00C24833" w:rsidRDefault="00C24833" w:rsidP="007E2727">
      <w:pPr>
        <w:rPr>
          <w:rFonts w:cs="Arial"/>
          <w:sz w:val="22"/>
          <w:szCs w:val="22"/>
        </w:rPr>
      </w:pPr>
      <w:r>
        <w:rPr>
          <w:rFonts w:cs="Arial"/>
          <w:sz w:val="22"/>
          <w:szCs w:val="22"/>
        </w:rPr>
        <w:t>En la nueva propuesta se hace una adición de texto para que quede más claro qué se entiende por “forma indirecta”.</w:t>
      </w:r>
    </w:p>
    <w:p w14:paraId="15ED8C46" w14:textId="77777777" w:rsidR="00C24833" w:rsidRDefault="00C24833" w:rsidP="007E2727">
      <w:pPr>
        <w:rPr>
          <w:rFonts w:cs="Arial"/>
          <w:i/>
          <w:iCs/>
          <w:sz w:val="22"/>
          <w:szCs w:val="22"/>
        </w:rPr>
      </w:pPr>
    </w:p>
    <w:p w14:paraId="51D58A3E" w14:textId="77777777" w:rsidR="00B27C35" w:rsidRDefault="00B27C35" w:rsidP="007E2727">
      <w:pPr>
        <w:rPr>
          <w:rFonts w:cs="Arial"/>
          <w:i/>
          <w:iCs/>
          <w:sz w:val="22"/>
          <w:szCs w:val="22"/>
        </w:rPr>
      </w:pPr>
    </w:p>
    <w:p w14:paraId="2060440C" w14:textId="77777777" w:rsidR="00B27C35" w:rsidRDefault="00B27C35" w:rsidP="00B27C35">
      <w:pPr>
        <w:pStyle w:val="Ttulo4"/>
      </w:pPr>
      <w:r w:rsidRPr="007E2727">
        <w:t>BOLSA MERCANTIL DE COLOMBIA</w:t>
      </w:r>
      <w:r w:rsidRPr="007E2727">
        <w:tab/>
      </w:r>
    </w:p>
    <w:p w14:paraId="17E3FCA7" w14:textId="77777777" w:rsidR="00B27C35" w:rsidRDefault="00B27C35" w:rsidP="007E2727">
      <w:pPr>
        <w:rPr>
          <w:rFonts w:cs="Arial"/>
          <w:i/>
          <w:iCs/>
          <w:sz w:val="22"/>
          <w:szCs w:val="22"/>
        </w:rPr>
      </w:pPr>
    </w:p>
    <w:p w14:paraId="4271266A" w14:textId="23EBA4CC" w:rsidR="007E2727" w:rsidRPr="00B27C35" w:rsidRDefault="00564330" w:rsidP="007E2727">
      <w:pPr>
        <w:rPr>
          <w:rFonts w:cs="Arial"/>
          <w:i/>
          <w:iCs/>
          <w:sz w:val="22"/>
          <w:szCs w:val="22"/>
        </w:rPr>
      </w:pPr>
      <w:r>
        <w:rPr>
          <w:rFonts w:cs="Arial"/>
          <w:i/>
          <w:iCs/>
          <w:sz w:val="22"/>
          <w:szCs w:val="22"/>
        </w:rPr>
        <w:t>“</w:t>
      </w:r>
      <w:r w:rsidR="007E2727" w:rsidRPr="00B27C35">
        <w:rPr>
          <w:rFonts w:cs="Arial"/>
          <w:i/>
          <w:iCs/>
          <w:sz w:val="22"/>
          <w:szCs w:val="22"/>
        </w:rPr>
        <w:t>No hay mención a controles correspondientes sobre el mecanismo de negociación respecto a los campos nuevos.</w:t>
      </w:r>
      <w:r>
        <w:rPr>
          <w:rFonts w:cs="Arial"/>
          <w:i/>
          <w:iCs/>
          <w:sz w:val="22"/>
          <w:szCs w:val="22"/>
        </w:rPr>
        <w:t>”</w:t>
      </w:r>
    </w:p>
    <w:p w14:paraId="09DB882D" w14:textId="77777777" w:rsidR="007E2727" w:rsidRPr="00B27C35" w:rsidRDefault="007E2727" w:rsidP="007E2727">
      <w:pPr>
        <w:rPr>
          <w:rFonts w:cs="Arial"/>
          <w:i/>
          <w:iCs/>
          <w:sz w:val="22"/>
          <w:szCs w:val="22"/>
        </w:rPr>
      </w:pPr>
    </w:p>
    <w:p w14:paraId="2798DD51" w14:textId="77777777" w:rsidR="00B27C35" w:rsidRPr="00B27C35" w:rsidRDefault="00B27C35" w:rsidP="00B27C35">
      <w:pPr>
        <w:rPr>
          <w:rFonts w:cs="Arial"/>
          <w:b/>
          <w:bCs/>
          <w:sz w:val="22"/>
          <w:szCs w:val="22"/>
        </w:rPr>
      </w:pPr>
      <w:r w:rsidRPr="00B27C35">
        <w:rPr>
          <w:rFonts w:cs="Arial"/>
          <w:b/>
          <w:bCs/>
          <w:sz w:val="22"/>
          <w:szCs w:val="22"/>
        </w:rPr>
        <w:t>Respuesta:</w:t>
      </w:r>
    </w:p>
    <w:p w14:paraId="541C5BFC" w14:textId="4B22C074" w:rsidR="00B27C35" w:rsidRDefault="00B27C35" w:rsidP="007E2727">
      <w:pPr>
        <w:rPr>
          <w:rFonts w:cs="Arial"/>
          <w:i/>
          <w:iCs/>
          <w:sz w:val="22"/>
          <w:szCs w:val="22"/>
        </w:rPr>
      </w:pPr>
    </w:p>
    <w:p w14:paraId="0F3E01AD" w14:textId="01AA0FFE" w:rsidR="00C24833" w:rsidRPr="00BF7D2E" w:rsidRDefault="00BF7D2E" w:rsidP="007E2727">
      <w:pPr>
        <w:rPr>
          <w:rFonts w:cs="Arial"/>
          <w:sz w:val="22"/>
          <w:szCs w:val="22"/>
        </w:rPr>
      </w:pPr>
      <w:r w:rsidRPr="00BF7D2E">
        <w:rPr>
          <w:rFonts w:cs="Arial"/>
          <w:sz w:val="22"/>
          <w:szCs w:val="22"/>
        </w:rPr>
        <w:t>Se acoge el comentario parcialmente.</w:t>
      </w:r>
    </w:p>
    <w:p w14:paraId="2F65542C" w14:textId="5D5ADEBE" w:rsidR="00BF7D2E" w:rsidRPr="00BF7D2E" w:rsidRDefault="00BF7D2E" w:rsidP="007E2727">
      <w:pPr>
        <w:rPr>
          <w:rFonts w:cs="Arial"/>
          <w:sz w:val="22"/>
          <w:szCs w:val="22"/>
        </w:rPr>
      </w:pPr>
    </w:p>
    <w:p w14:paraId="02201929" w14:textId="611DE910" w:rsidR="00BF7D2E" w:rsidRPr="00BF7D2E" w:rsidRDefault="00BF7D2E" w:rsidP="007E2727">
      <w:pPr>
        <w:rPr>
          <w:rFonts w:cs="Arial"/>
          <w:sz w:val="22"/>
          <w:szCs w:val="22"/>
        </w:rPr>
      </w:pPr>
      <w:r w:rsidRPr="00BF7D2E">
        <w:rPr>
          <w:rFonts w:cs="Arial"/>
          <w:sz w:val="22"/>
          <w:szCs w:val="22"/>
        </w:rPr>
        <w:t xml:space="preserve">Ver numeral </w:t>
      </w:r>
      <w:r w:rsidR="005215C7">
        <w:rPr>
          <w:rFonts w:cs="Arial"/>
          <w:sz w:val="22"/>
          <w:szCs w:val="22"/>
        </w:rPr>
        <w:fldChar w:fldCharType="begin"/>
      </w:r>
      <w:r w:rsidR="005215C7">
        <w:rPr>
          <w:rFonts w:cs="Arial"/>
          <w:sz w:val="22"/>
          <w:szCs w:val="22"/>
        </w:rPr>
        <w:instrText xml:space="preserve"> REF _Ref130637514 \r \h </w:instrText>
      </w:r>
      <w:r w:rsidR="005215C7">
        <w:rPr>
          <w:rFonts w:cs="Arial"/>
          <w:sz w:val="22"/>
          <w:szCs w:val="22"/>
        </w:rPr>
      </w:r>
      <w:r w:rsidR="005215C7">
        <w:rPr>
          <w:rFonts w:cs="Arial"/>
          <w:sz w:val="22"/>
          <w:szCs w:val="22"/>
        </w:rPr>
        <w:fldChar w:fldCharType="separate"/>
      </w:r>
      <w:r w:rsidR="007651EA">
        <w:rPr>
          <w:rFonts w:cs="Arial"/>
          <w:sz w:val="22"/>
          <w:szCs w:val="22"/>
        </w:rPr>
        <w:t>4.18</w:t>
      </w:r>
      <w:r w:rsidR="005215C7">
        <w:rPr>
          <w:rFonts w:cs="Arial"/>
          <w:sz w:val="22"/>
          <w:szCs w:val="22"/>
        </w:rPr>
        <w:fldChar w:fldCharType="end"/>
      </w:r>
      <w:r w:rsidR="005215C7">
        <w:rPr>
          <w:rFonts w:cs="Arial"/>
          <w:sz w:val="22"/>
          <w:szCs w:val="22"/>
        </w:rPr>
        <w:t>.</w:t>
      </w:r>
    </w:p>
    <w:p w14:paraId="790DA83E" w14:textId="20657A5F" w:rsidR="00B27C35" w:rsidRDefault="00B27C35" w:rsidP="007E2727">
      <w:pPr>
        <w:rPr>
          <w:rFonts w:cs="Arial"/>
          <w:i/>
          <w:iCs/>
          <w:sz w:val="22"/>
          <w:szCs w:val="22"/>
        </w:rPr>
      </w:pPr>
    </w:p>
    <w:p w14:paraId="7014431C" w14:textId="77777777" w:rsidR="00C24833" w:rsidRDefault="00C24833" w:rsidP="007E2727">
      <w:pPr>
        <w:rPr>
          <w:rFonts w:cs="Arial"/>
          <w:i/>
          <w:iCs/>
          <w:sz w:val="22"/>
          <w:szCs w:val="22"/>
        </w:rPr>
      </w:pPr>
    </w:p>
    <w:p w14:paraId="01446F99" w14:textId="77777777" w:rsidR="00B27C35" w:rsidRDefault="00B27C35" w:rsidP="00B27C35">
      <w:pPr>
        <w:pStyle w:val="Ttulo4"/>
      </w:pPr>
      <w:r w:rsidRPr="007E2727">
        <w:t>BOLSA MERCANTIL DE COLOMBIA</w:t>
      </w:r>
      <w:r w:rsidRPr="007E2727">
        <w:tab/>
      </w:r>
    </w:p>
    <w:p w14:paraId="4603EDC1" w14:textId="3ABFF522" w:rsidR="007E2727" w:rsidRPr="00B27C35" w:rsidRDefault="00564330" w:rsidP="007E2727">
      <w:pPr>
        <w:rPr>
          <w:rFonts w:cs="Arial"/>
          <w:i/>
          <w:iCs/>
          <w:sz w:val="22"/>
          <w:szCs w:val="22"/>
        </w:rPr>
      </w:pPr>
      <w:r>
        <w:rPr>
          <w:rFonts w:cs="Arial"/>
          <w:i/>
          <w:iCs/>
          <w:sz w:val="22"/>
          <w:szCs w:val="22"/>
        </w:rPr>
        <w:t>“</w:t>
      </w:r>
      <w:r w:rsidR="007E2727" w:rsidRPr="00B27C35">
        <w:rPr>
          <w:rFonts w:cs="Arial"/>
          <w:i/>
          <w:iCs/>
          <w:sz w:val="22"/>
          <w:szCs w:val="22"/>
        </w:rPr>
        <w:t>Los literales d) y h) del numeral 1 son el mismo texto."</w:t>
      </w:r>
    </w:p>
    <w:p w14:paraId="409A5B1C" w14:textId="7CA61709" w:rsidR="00B27C35" w:rsidRDefault="00B27C35" w:rsidP="007E2727">
      <w:pPr>
        <w:rPr>
          <w:rFonts w:cs="Arial"/>
          <w:sz w:val="22"/>
          <w:szCs w:val="22"/>
        </w:rPr>
      </w:pPr>
    </w:p>
    <w:p w14:paraId="0ACEBA9F" w14:textId="09EFB92C" w:rsidR="00B27C35" w:rsidRPr="00B27C35" w:rsidRDefault="00B27C35" w:rsidP="007E2727">
      <w:pPr>
        <w:rPr>
          <w:rFonts w:cs="Arial"/>
          <w:b/>
          <w:bCs/>
          <w:sz w:val="22"/>
          <w:szCs w:val="22"/>
        </w:rPr>
      </w:pPr>
      <w:r w:rsidRPr="00B27C35">
        <w:rPr>
          <w:rFonts w:cs="Arial"/>
          <w:b/>
          <w:bCs/>
          <w:sz w:val="22"/>
          <w:szCs w:val="22"/>
        </w:rPr>
        <w:t>Respuesta:</w:t>
      </w:r>
    </w:p>
    <w:p w14:paraId="4C9F949E" w14:textId="21153DC1" w:rsidR="00B27C35" w:rsidRDefault="00B27C35" w:rsidP="007E2727">
      <w:pPr>
        <w:rPr>
          <w:rFonts w:cs="Arial"/>
          <w:sz w:val="22"/>
          <w:szCs w:val="22"/>
        </w:rPr>
      </w:pPr>
    </w:p>
    <w:p w14:paraId="46EECC1C" w14:textId="7A9B8BCB" w:rsidR="00B27C35" w:rsidRDefault="005215C7" w:rsidP="007E2727">
      <w:pPr>
        <w:rPr>
          <w:rFonts w:cs="Arial"/>
          <w:sz w:val="22"/>
          <w:szCs w:val="22"/>
        </w:rPr>
      </w:pPr>
      <w:r>
        <w:rPr>
          <w:rFonts w:cs="Arial"/>
          <w:sz w:val="22"/>
          <w:szCs w:val="22"/>
        </w:rPr>
        <w:t>Se acoge el comentario.</w:t>
      </w:r>
    </w:p>
    <w:p w14:paraId="3C4EDB10" w14:textId="3836D971" w:rsidR="005215C7" w:rsidRDefault="005215C7" w:rsidP="007E2727">
      <w:pPr>
        <w:rPr>
          <w:rFonts w:cs="Arial"/>
          <w:sz w:val="22"/>
          <w:szCs w:val="22"/>
        </w:rPr>
      </w:pPr>
    </w:p>
    <w:p w14:paraId="2B409BB8" w14:textId="40D32E4A" w:rsidR="005215C7" w:rsidRDefault="005215C7" w:rsidP="007E2727">
      <w:pPr>
        <w:rPr>
          <w:rFonts w:cs="Arial"/>
          <w:sz w:val="22"/>
          <w:szCs w:val="22"/>
        </w:rPr>
      </w:pPr>
      <w:r>
        <w:rPr>
          <w:rFonts w:cs="Arial"/>
          <w:sz w:val="22"/>
          <w:szCs w:val="22"/>
        </w:rPr>
        <w:t>En la nueva propuesta se hace la corrección correspondiente.</w:t>
      </w:r>
    </w:p>
    <w:p w14:paraId="2BFDF74C" w14:textId="77777777" w:rsidR="00B27C35" w:rsidRPr="007E2727" w:rsidRDefault="00B27C35" w:rsidP="007E2727">
      <w:pPr>
        <w:rPr>
          <w:rFonts w:cs="Arial"/>
          <w:sz w:val="22"/>
          <w:szCs w:val="22"/>
        </w:rPr>
      </w:pPr>
    </w:p>
    <w:p w14:paraId="0AFAC32C" w14:textId="77777777" w:rsidR="0060003A" w:rsidRDefault="0060003A" w:rsidP="007E2727">
      <w:pPr>
        <w:rPr>
          <w:rFonts w:cs="Arial"/>
          <w:sz w:val="22"/>
          <w:szCs w:val="22"/>
        </w:rPr>
      </w:pPr>
    </w:p>
    <w:p w14:paraId="0B312526" w14:textId="77777777" w:rsidR="0060003A" w:rsidRDefault="007E2727" w:rsidP="002313DA">
      <w:pPr>
        <w:pStyle w:val="Ttulo2"/>
      </w:pPr>
      <w:bookmarkStart w:id="721" w:name="_Toc140506392"/>
      <w:r w:rsidRPr="007E2727">
        <w:t>CANACOL</w:t>
      </w:r>
      <w:bookmarkEnd w:id="721"/>
      <w:r w:rsidRPr="007E2727">
        <w:tab/>
      </w:r>
    </w:p>
    <w:p w14:paraId="38B7D009" w14:textId="77777777" w:rsidR="00F52B11" w:rsidRDefault="00F52B11" w:rsidP="00F52B11">
      <w:pPr>
        <w:pStyle w:val="Ttulo4"/>
      </w:pPr>
      <w:r w:rsidRPr="007E2727">
        <w:t>CANACOL</w:t>
      </w:r>
      <w:r w:rsidRPr="007E2727">
        <w:tab/>
      </w:r>
    </w:p>
    <w:p w14:paraId="10A1AAA9" w14:textId="2A065436" w:rsidR="007E2727" w:rsidRPr="00904ED9" w:rsidRDefault="00564330" w:rsidP="007E2727">
      <w:pPr>
        <w:rPr>
          <w:rFonts w:cs="Arial"/>
          <w:i/>
          <w:iCs/>
          <w:sz w:val="22"/>
          <w:szCs w:val="22"/>
        </w:rPr>
      </w:pPr>
      <w:r>
        <w:rPr>
          <w:rFonts w:cs="Arial"/>
          <w:i/>
          <w:iCs/>
          <w:sz w:val="22"/>
          <w:szCs w:val="22"/>
        </w:rPr>
        <w:t>“</w:t>
      </w:r>
      <w:r w:rsidR="007E2727" w:rsidRPr="00904ED9">
        <w:rPr>
          <w:rFonts w:cs="Arial"/>
          <w:i/>
          <w:iCs/>
          <w:sz w:val="22"/>
          <w:szCs w:val="22"/>
        </w:rPr>
        <w:t>Limitar la duración de los contratos a los campos en pruebas extensas o que no se haya declarado su comercialidad inviabiliza el desarrollo de estos campos dado que no podrán firmar contratos de largo plazo que permitan financiar nueva infraestructura, como lo es el desarrollo del mismo campo, los gasoductos de conexión y/o las ampliaciones del SNT</w:t>
      </w:r>
      <w:r w:rsidR="00904ED9">
        <w:rPr>
          <w:rFonts w:cs="Arial"/>
          <w:i/>
          <w:iCs/>
          <w:sz w:val="22"/>
          <w:szCs w:val="22"/>
        </w:rPr>
        <w:t>.</w:t>
      </w:r>
      <w:r>
        <w:rPr>
          <w:rFonts w:cs="Arial"/>
          <w:i/>
          <w:iCs/>
          <w:sz w:val="22"/>
          <w:szCs w:val="22"/>
        </w:rPr>
        <w:t>”</w:t>
      </w:r>
    </w:p>
    <w:p w14:paraId="57806747" w14:textId="233EE883" w:rsidR="0060003A" w:rsidRDefault="0060003A" w:rsidP="007E2727">
      <w:pPr>
        <w:rPr>
          <w:rFonts w:cs="Arial"/>
          <w:sz w:val="22"/>
          <w:szCs w:val="22"/>
        </w:rPr>
      </w:pPr>
    </w:p>
    <w:p w14:paraId="3F6AAF89" w14:textId="160A0480" w:rsidR="005215C7" w:rsidRPr="005215C7" w:rsidRDefault="005215C7" w:rsidP="007E2727">
      <w:pPr>
        <w:rPr>
          <w:rFonts w:cs="Arial"/>
          <w:b/>
          <w:bCs/>
          <w:sz w:val="22"/>
          <w:szCs w:val="22"/>
        </w:rPr>
      </w:pPr>
      <w:r w:rsidRPr="005215C7">
        <w:rPr>
          <w:rFonts w:cs="Arial"/>
          <w:b/>
          <w:bCs/>
          <w:sz w:val="22"/>
          <w:szCs w:val="22"/>
        </w:rPr>
        <w:t>Respuesta:</w:t>
      </w:r>
    </w:p>
    <w:p w14:paraId="195B72FA" w14:textId="64569771" w:rsidR="005215C7" w:rsidRDefault="005215C7" w:rsidP="007E2727">
      <w:pPr>
        <w:rPr>
          <w:rFonts w:cs="Arial"/>
          <w:sz w:val="22"/>
          <w:szCs w:val="22"/>
        </w:rPr>
      </w:pPr>
    </w:p>
    <w:p w14:paraId="68FCB3D9" w14:textId="3A57998D" w:rsidR="005215C7" w:rsidRDefault="00904ED9" w:rsidP="007E2727">
      <w:pPr>
        <w:rPr>
          <w:rFonts w:cs="Arial"/>
          <w:sz w:val="22"/>
          <w:szCs w:val="22"/>
        </w:rPr>
      </w:pPr>
      <w:r>
        <w:rPr>
          <w:rFonts w:cs="Arial"/>
          <w:sz w:val="22"/>
          <w:szCs w:val="22"/>
        </w:rPr>
        <w:t>Se acoge parcialmente el comentario.</w:t>
      </w:r>
    </w:p>
    <w:p w14:paraId="6A34DAA3" w14:textId="08B492AF" w:rsidR="00904ED9" w:rsidRDefault="00904ED9" w:rsidP="007E2727">
      <w:pPr>
        <w:rPr>
          <w:rFonts w:cs="Arial"/>
          <w:sz w:val="22"/>
          <w:szCs w:val="22"/>
        </w:rPr>
      </w:pPr>
    </w:p>
    <w:p w14:paraId="126BF388" w14:textId="632E0270" w:rsidR="00904ED9" w:rsidRDefault="00904ED9"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_Ref130975775 \r \h </w:instrText>
      </w:r>
      <w:r>
        <w:rPr>
          <w:rFonts w:cs="Arial"/>
          <w:sz w:val="22"/>
          <w:szCs w:val="22"/>
        </w:rPr>
      </w:r>
      <w:r>
        <w:rPr>
          <w:rFonts w:cs="Arial"/>
          <w:sz w:val="22"/>
          <w:szCs w:val="22"/>
        </w:rPr>
        <w:fldChar w:fldCharType="separate"/>
      </w:r>
      <w:r w:rsidR="007651EA">
        <w:rPr>
          <w:rFonts w:cs="Arial"/>
          <w:sz w:val="22"/>
          <w:szCs w:val="22"/>
        </w:rPr>
        <w:t>17.3.1.1</w:t>
      </w:r>
      <w:r>
        <w:rPr>
          <w:rFonts w:cs="Arial"/>
          <w:sz w:val="22"/>
          <w:szCs w:val="22"/>
        </w:rPr>
        <w:fldChar w:fldCharType="end"/>
      </w:r>
      <w:r>
        <w:rPr>
          <w:rFonts w:cs="Arial"/>
          <w:sz w:val="22"/>
          <w:szCs w:val="22"/>
        </w:rPr>
        <w:t>.</w:t>
      </w:r>
    </w:p>
    <w:p w14:paraId="2732F5FB" w14:textId="77777777" w:rsidR="005215C7" w:rsidRDefault="005215C7" w:rsidP="007E2727">
      <w:pPr>
        <w:rPr>
          <w:rFonts w:cs="Arial"/>
          <w:sz w:val="22"/>
          <w:szCs w:val="22"/>
        </w:rPr>
      </w:pPr>
    </w:p>
    <w:p w14:paraId="4908D5A9" w14:textId="77777777" w:rsidR="0060003A" w:rsidRDefault="0060003A" w:rsidP="007E2727">
      <w:pPr>
        <w:rPr>
          <w:rFonts w:cs="Arial"/>
          <w:sz w:val="22"/>
          <w:szCs w:val="22"/>
        </w:rPr>
      </w:pPr>
    </w:p>
    <w:p w14:paraId="6AA46789" w14:textId="77777777" w:rsidR="0060003A" w:rsidRDefault="007E2727" w:rsidP="002313DA">
      <w:pPr>
        <w:pStyle w:val="Ttulo2"/>
      </w:pPr>
      <w:bookmarkStart w:id="722" w:name="_Toc140506393"/>
      <w:r w:rsidRPr="007E2727">
        <w:t>ECOPETROL</w:t>
      </w:r>
      <w:bookmarkEnd w:id="722"/>
      <w:r w:rsidRPr="007E2727">
        <w:tab/>
      </w:r>
    </w:p>
    <w:p w14:paraId="7BCCB3CF" w14:textId="77777777" w:rsidR="00F52B11" w:rsidRDefault="00F52B11" w:rsidP="00F52B11">
      <w:pPr>
        <w:pStyle w:val="Ttulo4"/>
      </w:pPr>
      <w:bookmarkStart w:id="723" w:name="_Ref131489604"/>
      <w:r w:rsidRPr="007E2727">
        <w:t>ECOPETROL</w:t>
      </w:r>
      <w:bookmarkEnd w:id="723"/>
      <w:r w:rsidRPr="007E2727">
        <w:tab/>
      </w:r>
    </w:p>
    <w:p w14:paraId="251CD11D" w14:textId="72F98D08" w:rsidR="007E2727" w:rsidRPr="00065672" w:rsidRDefault="007E2727" w:rsidP="007E2727">
      <w:pPr>
        <w:rPr>
          <w:rFonts w:cs="Arial"/>
          <w:i/>
          <w:iCs/>
          <w:sz w:val="22"/>
          <w:szCs w:val="22"/>
        </w:rPr>
      </w:pPr>
      <w:r w:rsidRPr="007E2727">
        <w:rPr>
          <w:rFonts w:cs="Arial"/>
          <w:sz w:val="22"/>
          <w:szCs w:val="22"/>
        </w:rPr>
        <w:t>"</w:t>
      </w:r>
      <w:r w:rsidRPr="00065672">
        <w:rPr>
          <w:rFonts w:cs="Arial"/>
          <w:i/>
          <w:iCs/>
          <w:sz w:val="22"/>
          <w:szCs w:val="22"/>
        </w:rPr>
        <w:t>El artículo en cuestión introduce algunas condiciones para la contratación del gas natural proveniente de fuentes que según el Decreto 2100 de 2011 están exceptuadas de los mecanismos de comercialización regulados por la CREG.</w:t>
      </w:r>
    </w:p>
    <w:p w14:paraId="5D8F1675" w14:textId="77777777" w:rsidR="007E2727" w:rsidRPr="00065672" w:rsidRDefault="007E2727" w:rsidP="007E2727">
      <w:pPr>
        <w:rPr>
          <w:rFonts w:cs="Arial"/>
          <w:i/>
          <w:iCs/>
          <w:sz w:val="22"/>
          <w:szCs w:val="22"/>
        </w:rPr>
      </w:pPr>
    </w:p>
    <w:p w14:paraId="555D66F0" w14:textId="2F622476" w:rsidR="007E2727" w:rsidRPr="00065672" w:rsidRDefault="007E2727" w:rsidP="007E2727">
      <w:pPr>
        <w:rPr>
          <w:rFonts w:cs="Arial"/>
          <w:i/>
          <w:iCs/>
          <w:sz w:val="22"/>
          <w:szCs w:val="22"/>
        </w:rPr>
      </w:pPr>
      <w:r w:rsidRPr="00065672">
        <w:rPr>
          <w:rFonts w:cs="Arial"/>
          <w:i/>
          <w:iCs/>
          <w:sz w:val="22"/>
          <w:szCs w:val="22"/>
        </w:rPr>
        <w:t xml:space="preserve">Sobre el gas proveniente de estas fuentes exceptuadas se señala que </w:t>
      </w:r>
      <w:r w:rsidR="002E55C7">
        <w:rPr>
          <w:rFonts w:cs="Arial"/>
          <w:i/>
          <w:iCs/>
          <w:sz w:val="22"/>
          <w:szCs w:val="22"/>
        </w:rPr>
        <w:t>‘</w:t>
      </w:r>
      <w:r w:rsidRPr="00065672">
        <w:rPr>
          <w:rFonts w:cs="Arial"/>
          <w:i/>
          <w:iCs/>
          <w:sz w:val="22"/>
          <w:szCs w:val="22"/>
        </w:rPr>
        <w:t xml:space="preserve">(…) podrán pactar directamente el suministro de gas natural y registrar el contrato resultante en cualquier momento del año, en los casos señalados a continuación, siempre y cuando: i.) El contrato que se registre incluya únicamente una sola Fuente de Suministro; y, </w:t>
      </w:r>
      <w:proofErr w:type="spellStart"/>
      <w:r w:rsidRPr="00065672">
        <w:rPr>
          <w:rFonts w:cs="Arial"/>
          <w:i/>
          <w:iCs/>
          <w:sz w:val="22"/>
          <w:szCs w:val="22"/>
        </w:rPr>
        <w:t>ii</w:t>
      </w:r>
      <w:proofErr w:type="spellEnd"/>
      <w:r w:rsidRPr="00065672">
        <w:rPr>
          <w:rFonts w:cs="Arial"/>
          <w:i/>
          <w:iCs/>
          <w:sz w:val="22"/>
          <w:szCs w:val="22"/>
        </w:rPr>
        <w:t>.) Se dé aplicación a lo contemplado en el Artículo 21 de la presente resolución: (…)</w:t>
      </w:r>
      <w:r w:rsidR="002E55C7">
        <w:rPr>
          <w:rFonts w:cs="Arial"/>
          <w:i/>
          <w:iCs/>
          <w:sz w:val="22"/>
          <w:szCs w:val="22"/>
        </w:rPr>
        <w:t>’</w:t>
      </w:r>
      <w:r w:rsidRPr="00065672">
        <w:rPr>
          <w:rFonts w:cs="Arial"/>
          <w:i/>
          <w:iCs/>
          <w:sz w:val="22"/>
          <w:szCs w:val="22"/>
        </w:rPr>
        <w:t xml:space="preserve"> (subrayas propias).</w:t>
      </w:r>
    </w:p>
    <w:p w14:paraId="7B42D642" w14:textId="77777777" w:rsidR="007E2727" w:rsidRPr="00065672" w:rsidRDefault="007E2727" w:rsidP="007E2727">
      <w:pPr>
        <w:rPr>
          <w:rFonts w:cs="Arial"/>
          <w:i/>
          <w:iCs/>
          <w:sz w:val="22"/>
          <w:szCs w:val="22"/>
        </w:rPr>
      </w:pPr>
    </w:p>
    <w:p w14:paraId="4E229058" w14:textId="2ACC6B07" w:rsidR="007E2727" w:rsidRDefault="007E2727" w:rsidP="007E2727">
      <w:pPr>
        <w:rPr>
          <w:rFonts w:cs="Arial"/>
          <w:sz w:val="22"/>
          <w:szCs w:val="22"/>
        </w:rPr>
      </w:pPr>
      <w:r w:rsidRPr="00065672">
        <w:rPr>
          <w:rFonts w:cs="Arial"/>
          <w:i/>
          <w:iCs/>
          <w:sz w:val="22"/>
          <w:szCs w:val="22"/>
        </w:rPr>
        <w:t>Observamos que la disposición subrayada no está alineada con lo establecido por el Decreto 2100 de 2011. En tal sentido, agradecemos considerar lo planteado en la sección II del cuerpo principal de la presente comunicación</w:t>
      </w:r>
      <w:r w:rsidRPr="007E2727">
        <w:rPr>
          <w:rFonts w:cs="Arial"/>
          <w:sz w:val="22"/>
          <w:szCs w:val="22"/>
        </w:rPr>
        <w:t>."</w:t>
      </w:r>
    </w:p>
    <w:p w14:paraId="7F32A4C9" w14:textId="54E8AA87" w:rsidR="00065672" w:rsidRDefault="00065672" w:rsidP="007E2727">
      <w:pPr>
        <w:rPr>
          <w:rFonts w:cs="Arial"/>
          <w:sz w:val="22"/>
          <w:szCs w:val="22"/>
        </w:rPr>
      </w:pPr>
    </w:p>
    <w:p w14:paraId="7CE2F274" w14:textId="6B3CA5BE" w:rsidR="00065672" w:rsidRPr="00065672" w:rsidRDefault="00065672" w:rsidP="007E2727">
      <w:pPr>
        <w:rPr>
          <w:rFonts w:cs="Arial"/>
          <w:b/>
          <w:bCs/>
          <w:sz w:val="22"/>
          <w:szCs w:val="22"/>
        </w:rPr>
      </w:pPr>
      <w:r w:rsidRPr="00065672">
        <w:rPr>
          <w:rFonts w:cs="Arial"/>
          <w:b/>
          <w:bCs/>
          <w:sz w:val="22"/>
          <w:szCs w:val="22"/>
        </w:rPr>
        <w:t>Respuesta:</w:t>
      </w:r>
    </w:p>
    <w:p w14:paraId="10AF63EF" w14:textId="33998FAE" w:rsidR="00065672" w:rsidRDefault="00065672" w:rsidP="007E2727">
      <w:pPr>
        <w:rPr>
          <w:rFonts w:cs="Arial"/>
          <w:sz w:val="22"/>
          <w:szCs w:val="22"/>
        </w:rPr>
      </w:pPr>
    </w:p>
    <w:p w14:paraId="2529E778" w14:textId="2DF72E06" w:rsidR="00065672" w:rsidRDefault="007D6DE8" w:rsidP="007E2727">
      <w:pPr>
        <w:rPr>
          <w:rFonts w:cs="Arial"/>
          <w:sz w:val="22"/>
          <w:szCs w:val="22"/>
        </w:rPr>
      </w:pPr>
      <w:r>
        <w:rPr>
          <w:rFonts w:cs="Arial"/>
          <w:sz w:val="22"/>
          <w:szCs w:val="22"/>
        </w:rPr>
        <w:t>No se acoge el comentario.</w:t>
      </w:r>
    </w:p>
    <w:p w14:paraId="7EAD75DE" w14:textId="5F8FAFBF" w:rsidR="007D6DE8" w:rsidRDefault="007D6DE8" w:rsidP="007E2727">
      <w:pPr>
        <w:rPr>
          <w:rFonts w:cs="Arial"/>
          <w:sz w:val="22"/>
          <w:szCs w:val="22"/>
        </w:rPr>
      </w:pPr>
    </w:p>
    <w:p w14:paraId="26561405" w14:textId="3098AC8F" w:rsidR="007D6DE8" w:rsidRPr="007E2727" w:rsidRDefault="007D6DE8" w:rsidP="007E2727">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Pr>
          <w:rFonts w:cs="Arial"/>
          <w:sz w:val="22"/>
          <w:szCs w:val="22"/>
        </w:rPr>
        <w:t>.</w:t>
      </w:r>
    </w:p>
    <w:p w14:paraId="62E09F44" w14:textId="77777777" w:rsidR="0060003A" w:rsidRDefault="0060003A" w:rsidP="007E2727">
      <w:pPr>
        <w:rPr>
          <w:rFonts w:cs="Arial"/>
          <w:sz w:val="22"/>
          <w:szCs w:val="22"/>
        </w:rPr>
      </w:pPr>
    </w:p>
    <w:p w14:paraId="7BD52473" w14:textId="77777777" w:rsidR="0060003A" w:rsidRDefault="0060003A" w:rsidP="007E2727">
      <w:pPr>
        <w:rPr>
          <w:rFonts w:cs="Arial"/>
          <w:sz w:val="22"/>
          <w:szCs w:val="22"/>
        </w:rPr>
      </w:pPr>
    </w:p>
    <w:p w14:paraId="651F1372" w14:textId="77777777" w:rsidR="0060003A" w:rsidRDefault="007E2727" w:rsidP="000D05A3">
      <w:pPr>
        <w:pStyle w:val="Ttulo4"/>
      </w:pPr>
      <w:bookmarkStart w:id="724" w:name="_Ref132621340"/>
      <w:r w:rsidRPr="007E2727">
        <w:t>ECOPETROL</w:t>
      </w:r>
      <w:bookmarkEnd w:id="724"/>
      <w:r w:rsidRPr="007E2727">
        <w:tab/>
      </w:r>
    </w:p>
    <w:p w14:paraId="1F086F3D" w14:textId="019EA29A" w:rsidR="007E2727" w:rsidRDefault="007D6DE8" w:rsidP="007E2727">
      <w:pPr>
        <w:rPr>
          <w:rFonts w:cs="Arial"/>
          <w:sz w:val="22"/>
          <w:szCs w:val="22"/>
        </w:rPr>
      </w:pPr>
      <w:r>
        <w:rPr>
          <w:rFonts w:cs="Arial"/>
          <w:i/>
          <w:iCs/>
          <w:sz w:val="22"/>
          <w:szCs w:val="22"/>
        </w:rPr>
        <w:t>“</w:t>
      </w:r>
      <w:r w:rsidR="007E2727" w:rsidRPr="007D6DE8">
        <w:rPr>
          <w:rFonts w:cs="Arial"/>
          <w:i/>
          <w:iCs/>
          <w:sz w:val="22"/>
          <w:szCs w:val="22"/>
        </w:rPr>
        <w:t xml:space="preserve">En el literal b) del numeral 1 se plantea </w:t>
      </w:r>
      <w:proofErr w:type="gramStart"/>
      <w:r w:rsidR="007E2727" w:rsidRPr="007D6DE8">
        <w:rPr>
          <w:rFonts w:cs="Arial"/>
          <w:i/>
          <w:iCs/>
          <w:sz w:val="22"/>
          <w:szCs w:val="22"/>
        </w:rPr>
        <w:t>que</w:t>
      </w:r>
      <w:proofErr w:type="gramEnd"/>
      <w:r w:rsidR="007E2727" w:rsidRPr="007D6DE8">
        <w:rPr>
          <w:rFonts w:cs="Arial"/>
          <w:i/>
          <w:iCs/>
          <w:sz w:val="22"/>
          <w:szCs w:val="22"/>
        </w:rPr>
        <w:t xml:space="preserve"> en relación con los campos aislados, se entiende que estos son aquellos que </w:t>
      </w:r>
      <w:r w:rsidR="002E55C7">
        <w:rPr>
          <w:rFonts w:cs="Arial"/>
          <w:i/>
          <w:iCs/>
          <w:sz w:val="22"/>
          <w:szCs w:val="22"/>
        </w:rPr>
        <w:t>‘</w:t>
      </w:r>
      <w:r w:rsidR="007E2727" w:rsidRPr="007D6DE8">
        <w:rPr>
          <w:rFonts w:cs="Arial"/>
          <w:i/>
          <w:iCs/>
          <w:sz w:val="22"/>
          <w:szCs w:val="22"/>
        </w:rPr>
        <w:t>(…) no tiene conexión en forma directa o indirecta a través de gasoductos a sistemas de transporte del SNT</w:t>
      </w:r>
      <w:r w:rsidR="002E55C7">
        <w:rPr>
          <w:rFonts w:cs="Arial"/>
          <w:sz w:val="22"/>
          <w:szCs w:val="22"/>
        </w:rPr>
        <w:t>’</w:t>
      </w:r>
      <w:r w:rsidR="007E2727" w:rsidRPr="007E2727">
        <w:rPr>
          <w:rFonts w:cs="Arial"/>
          <w:sz w:val="22"/>
          <w:szCs w:val="22"/>
        </w:rPr>
        <w:t>.</w:t>
      </w:r>
    </w:p>
    <w:p w14:paraId="2247788D" w14:textId="2AE8898C" w:rsidR="007D6DE8" w:rsidRPr="007D6DE8" w:rsidRDefault="007D6DE8" w:rsidP="007E2727">
      <w:pPr>
        <w:rPr>
          <w:rFonts w:cs="Arial"/>
          <w:i/>
          <w:iCs/>
          <w:sz w:val="22"/>
          <w:szCs w:val="22"/>
        </w:rPr>
      </w:pPr>
    </w:p>
    <w:p w14:paraId="35F18EE9" w14:textId="5258EB30" w:rsidR="007D6DE8" w:rsidRPr="007D6DE8" w:rsidRDefault="007D6DE8" w:rsidP="007E2727">
      <w:pPr>
        <w:rPr>
          <w:rFonts w:cs="Arial"/>
          <w:i/>
          <w:iCs/>
          <w:sz w:val="22"/>
          <w:szCs w:val="22"/>
        </w:rPr>
      </w:pPr>
      <w:r w:rsidRPr="007D6DE8">
        <w:rPr>
          <w:rFonts w:cs="Arial"/>
          <w:i/>
          <w:iCs/>
          <w:sz w:val="22"/>
          <w:szCs w:val="22"/>
        </w:rPr>
        <w:t>Sugerimos aclara a qué se hace referencia con conexión en forma directa y conexión en forma indirecta, de tal forma que los agentes tengan claros unos criterios específicos sobre cada caso.</w:t>
      </w:r>
      <w:r w:rsidR="00E372A9">
        <w:rPr>
          <w:rFonts w:cs="Arial"/>
          <w:i/>
          <w:iCs/>
          <w:sz w:val="22"/>
          <w:szCs w:val="22"/>
        </w:rPr>
        <w:t>”</w:t>
      </w:r>
    </w:p>
    <w:p w14:paraId="1556C98D" w14:textId="77777777" w:rsidR="007D6DE8" w:rsidRDefault="007D6DE8" w:rsidP="007E2727">
      <w:pPr>
        <w:rPr>
          <w:rFonts w:cs="Arial"/>
          <w:sz w:val="22"/>
          <w:szCs w:val="22"/>
        </w:rPr>
      </w:pPr>
    </w:p>
    <w:p w14:paraId="5F2851BD" w14:textId="08C1FEC0" w:rsidR="007D6DE8" w:rsidRPr="007D6DE8" w:rsidRDefault="007D6DE8" w:rsidP="007E2727">
      <w:pPr>
        <w:rPr>
          <w:rFonts w:cs="Arial"/>
          <w:b/>
          <w:bCs/>
          <w:sz w:val="22"/>
          <w:szCs w:val="22"/>
        </w:rPr>
      </w:pPr>
      <w:r w:rsidRPr="007D6DE8">
        <w:rPr>
          <w:rFonts w:cs="Arial"/>
          <w:b/>
          <w:bCs/>
          <w:sz w:val="22"/>
          <w:szCs w:val="22"/>
        </w:rPr>
        <w:t>Respuesta:</w:t>
      </w:r>
    </w:p>
    <w:p w14:paraId="2992CF23" w14:textId="7D888EC8" w:rsidR="007D6DE8" w:rsidRDefault="007D6DE8" w:rsidP="007E2727">
      <w:pPr>
        <w:rPr>
          <w:rFonts w:cs="Arial"/>
          <w:sz w:val="22"/>
          <w:szCs w:val="22"/>
        </w:rPr>
      </w:pPr>
    </w:p>
    <w:p w14:paraId="15235D61" w14:textId="3F62F54C" w:rsidR="007D6DE8" w:rsidRPr="007E2727" w:rsidRDefault="007D6DE8"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_Ref131487399 \r \h </w:instrText>
      </w:r>
      <w:r>
        <w:rPr>
          <w:rFonts w:cs="Arial"/>
          <w:sz w:val="22"/>
          <w:szCs w:val="22"/>
        </w:rPr>
      </w:r>
      <w:r>
        <w:rPr>
          <w:rFonts w:cs="Arial"/>
          <w:sz w:val="22"/>
          <w:szCs w:val="22"/>
        </w:rPr>
        <w:fldChar w:fldCharType="separate"/>
      </w:r>
      <w:r w:rsidR="007651EA">
        <w:rPr>
          <w:rFonts w:cs="Arial"/>
          <w:sz w:val="22"/>
          <w:szCs w:val="22"/>
        </w:rPr>
        <w:t>17.5.1.3</w:t>
      </w:r>
      <w:r>
        <w:rPr>
          <w:rFonts w:cs="Arial"/>
          <w:sz w:val="22"/>
          <w:szCs w:val="22"/>
        </w:rPr>
        <w:fldChar w:fldCharType="end"/>
      </w:r>
      <w:r>
        <w:rPr>
          <w:rFonts w:cs="Arial"/>
          <w:sz w:val="22"/>
          <w:szCs w:val="22"/>
        </w:rPr>
        <w:t>.</w:t>
      </w:r>
    </w:p>
    <w:p w14:paraId="6AA9641A" w14:textId="77777777" w:rsidR="0060003A" w:rsidRDefault="0060003A" w:rsidP="007E2727">
      <w:pPr>
        <w:rPr>
          <w:rFonts w:cs="Arial"/>
          <w:sz w:val="22"/>
          <w:szCs w:val="22"/>
        </w:rPr>
      </w:pPr>
    </w:p>
    <w:p w14:paraId="58715123" w14:textId="77777777" w:rsidR="0060003A" w:rsidRDefault="0060003A" w:rsidP="007E2727">
      <w:pPr>
        <w:rPr>
          <w:rFonts w:cs="Arial"/>
          <w:sz w:val="22"/>
          <w:szCs w:val="22"/>
        </w:rPr>
      </w:pPr>
    </w:p>
    <w:p w14:paraId="2915E9BE" w14:textId="77777777" w:rsidR="0060003A" w:rsidRDefault="007E2727" w:rsidP="00F52B11">
      <w:pPr>
        <w:pStyle w:val="Ttulo4"/>
      </w:pPr>
      <w:r w:rsidRPr="007E2727">
        <w:t>ECOPETROL</w:t>
      </w:r>
      <w:r w:rsidRPr="007E2727">
        <w:tab/>
      </w:r>
    </w:p>
    <w:p w14:paraId="21A046E3" w14:textId="09712B08" w:rsidR="007E2727" w:rsidRPr="007D6DE8" w:rsidRDefault="007E2727" w:rsidP="007E2727">
      <w:pPr>
        <w:rPr>
          <w:rFonts w:cs="Arial"/>
          <w:i/>
          <w:iCs/>
          <w:sz w:val="22"/>
          <w:szCs w:val="22"/>
        </w:rPr>
      </w:pPr>
      <w:r w:rsidRPr="007E2727">
        <w:rPr>
          <w:rFonts w:cs="Arial"/>
          <w:sz w:val="22"/>
          <w:szCs w:val="22"/>
        </w:rPr>
        <w:t>"</w:t>
      </w:r>
      <w:r w:rsidRPr="007D6DE8">
        <w:rPr>
          <w:rFonts w:cs="Arial"/>
          <w:i/>
          <w:iCs/>
          <w:sz w:val="22"/>
          <w:szCs w:val="22"/>
        </w:rPr>
        <w:t xml:space="preserve">En el literal f) del numeral 1 se plantea que se extenderá la posibilidad de negociación directa en cualquier momento del año </w:t>
      </w:r>
      <w:r w:rsidR="00E372A9">
        <w:rPr>
          <w:rFonts w:cs="Arial"/>
          <w:i/>
          <w:iCs/>
          <w:sz w:val="22"/>
          <w:szCs w:val="22"/>
        </w:rPr>
        <w:t>‘</w:t>
      </w:r>
      <w:r w:rsidRPr="007D6DE8">
        <w:rPr>
          <w:rFonts w:cs="Arial"/>
          <w:i/>
          <w:iCs/>
          <w:sz w:val="22"/>
          <w:szCs w:val="22"/>
        </w:rPr>
        <w:t>cuando provenga de una Fuente de Suministro costa afuera</w:t>
      </w:r>
      <w:r w:rsidR="00E372A9">
        <w:rPr>
          <w:rFonts w:cs="Arial"/>
          <w:i/>
          <w:iCs/>
          <w:sz w:val="22"/>
          <w:szCs w:val="22"/>
        </w:rPr>
        <w:t>’</w:t>
      </w:r>
      <w:r w:rsidRPr="007D6DE8">
        <w:rPr>
          <w:rFonts w:cs="Arial"/>
          <w:i/>
          <w:iCs/>
          <w:sz w:val="22"/>
          <w:szCs w:val="22"/>
        </w:rPr>
        <w:t>.</w:t>
      </w:r>
    </w:p>
    <w:p w14:paraId="1CCC3022" w14:textId="0743B141" w:rsidR="007E2727" w:rsidRDefault="007E2727" w:rsidP="007E2727">
      <w:pPr>
        <w:rPr>
          <w:rFonts w:cs="Arial"/>
          <w:sz w:val="22"/>
          <w:szCs w:val="22"/>
        </w:rPr>
      </w:pPr>
      <w:r w:rsidRPr="007D6DE8">
        <w:rPr>
          <w:rFonts w:cs="Arial"/>
          <w:i/>
          <w:iCs/>
          <w:sz w:val="22"/>
          <w:szCs w:val="22"/>
        </w:rPr>
        <w:t>Consideramos que esto es adecuado, teniendo en cuenta la flexibilidad contractual requerida para viabilizar el desarrollo de estas fuentes. En todo caso, sugerimos ajustarlo, según lo detallado en la sección I del cuerpo principal de la presente comunicación</w:t>
      </w:r>
      <w:r w:rsidRPr="007E2727">
        <w:rPr>
          <w:rFonts w:cs="Arial"/>
          <w:sz w:val="22"/>
          <w:szCs w:val="22"/>
        </w:rPr>
        <w:t>."</w:t>
      </w:r>
    </w:p>
    <w:p w14:paraId="4AF3B865" w14:textId="02F5D3DC" w:rsidR="007D6DE8" w:rsidRDefault="007D6DE8" w:rsidP="007E2727">
      <w:pPr>
        <w:rPr>
          <w:rFonts w:cs="Arial"/>
          <w:sz w:val="22"/>
          <w:szCs w:val="22"/>
        </w:rPr>
      </w:pPr>
    </w:p>
    <w:p w14:paraId="2BCD583E" w14:textId="4E24A009" w:rsidR="007D6DE8" w:rsidRDefault="007D6DE8" w:rsidP="007E2727">
      <w:pPr>
        <w:rPr>
          <w:rFonts w:cs="Arial"/>
          <w:sz w:val="22"/>
          <w:szCs w:val="22"/>
        </w:rPr>
      </w:pPr>
      <w:r w:rsidRPr="007D6DE8">
        <w:rPr>
          <w:rFonts w:cs="Arial"/>
          <w:sz w:val="22"/>
          <w:szCs w:val="22"/>
        </w:rPr>
        <w:t>“</w:t>
      </w:r>
      <w:r w:rsidRPr="007D6DE8">
        <w:rPr>
          <w:rFonts w:cs="Arial"/>
          <w:i/>
          <w:iCs/>
          <w:sz w:val="22"/>
          <w:szCs w:val="22"/>
        </w:rPr>
        <w:t>f) Cuando provenga de una Fuente de Suministro costa afuera en cualquier periodo o fase contractual, según lo establecido en los contratos firmados entre los operadores y la Agencia Nacional de Hidrocarburos</w:t>
      </w:r>
      <w:r w:rsidRPr="007D6DE8">
        <w:rPr>
          <w:rFonts w:cs="Arial"/>
          <w:sz w:val="22"/>
          <w:szCs w:val="22"/>
        </w:rPr>
        <w:t>”.</w:t>
      </w:r>
    </w:p>
    <w:p w14:paraId="4F22DB4B" w14:textId="77777777" w:rsidR="007D6DE8" w:rsidRDefault="007D6DE8" w:rsidP="007E2727">
      <w:pPr>
        <w:rPr>
          <w:rFonts w:cs="Arial"/>
          <w:sz w:val="22"/>
          <w:szCs w:val="22"/>
        </w:rPr>
      </w:pPr>
    </w:p>
    <w:p w14:paraId="31F0DE8C" w14:textId="2B8958DD" w:rsidR="007D6DE8" w:rsidRPr="007D6DE8" w:rsidRDefault="007D6DE8" w:rsidP="007E2727">
      <w:pPr>
        <w:rPr>
          <w:rFonts w:cs="Arial"/>
          <w:b/>
          <w:bCs/>
          <w:sz w:val="22"/>
          <w:szCs w:val="22"/>
        </w:rPr>
      </w:pPr>
      <w:r w:rsidRPr="007D6DE8">
        <w:rPr>
          <w:rFonts w:cs="Arial"/>
          <w:b/>
          <w:bCs/>
          <w:sz w:val="22"/>
          <w:szCs w:val="22"/>
        </w:rPr>
        <w:t>Respuesta:</w:t>
      </w:r>
    </w:p>
    <w:p w14:paraId="7A4C3A1F" w14:textId="595EAEC5" w:rsidR="007D6DE8" w:rsidRDefault="007D6DE8" w:rsidP="007E2727">
      <w:pPr>
        <w:rPr>
          <w:rFonts w:cs="Arial"/>
          <w:sz w:val="22"/>
          <w:szCs w:val="22"/>
        </w:rPr>
      </w:pPr>
    </w:p>
    <w:p w14:paraId="2063B0FB" w14:textId="1BC09B02" w:rsidR="007D6DE8" w:rsidRDefault="007D6DE8" w:rsidP="007E2727">
      <w:pPr>
        <w:rPr>
          <w:rFonts w:cs="Arial"/>
          <w:sz w:val="22"/>
          <w:szCs w:val="22"/>
        </w:rPr>
      </w:pPr>
      <w:r>
        <w:rPr>
          <w:rFonts w:cs="Arial"/>
          <w:sz w:val="22"/>
          <w:szCs w:val="22"/>
        </w:rPr>
        <w:t>No se acoge el comentario.</w:t>
      </w:r>
    </w:p>
    <w:p w14:paraId="47074AEE" w14:textId="7DD276EE" w:rsidR="007D6DE8" w:rsidRDefault="007D6DE8" w:rsidP="007E2727">
      <w:pPr>
        <w:rPr>
          <w:rFonts w:cs="Arial"/>
          <w:sz w:val="22"/>
          <w:szCs w:val="22"/>
        </w:rPr>
      </w:pPr>
    </w:p>
    <w:p w14:paraId="0E298CF0" w14:textId="5CA53703" w:rsidR="007D6DE8" w:rsidRDefault="007D6DE8" w:rsidP="007E2727">
      <w:pPr>
        <w:rPr>
          <w:rFonts w:cs="Arial"/>
          <w:sz w:val="22"/>
          <w:szCs w:val="22"/>
        </w:rPr>
      </w:pPr>
      <w:r>
        <w:rPr>
          <w:rFonts w:cs="Arial"/>
          <w:sz w:val="22"/>
          <w:szCs w:val="22"/>
        </w:rPr>
        <w:t>Las condiciones de comercialización del suministro del gas no dependen de las circunstancias de ejecución del contrato suscrito con la ANH, sino de la declaración de potencial de producción realizada al MME más reciente al período de negociación y de contar con Reservas de Gas Natural cuando se trata de negociar contratos del tipo firme o que garantizan firmeza.</w:t>
      </w:r>
    </w:p>
    <w:p w14:paraId="669ADC7E" w14:textId="5E09BCBE" w:rsidR="007D6DE8" w:rsidRDefault="007D6DE8" w:rsidP="007E2727">
      <w:pPr>
        <w:rPr>
          <w:rFonts w:cs="Arial"/>
          <w:sz w:val="22"/>
          <w:szCs w:val="22"/>
        </w:rPr>
      </w:pPr>
    </w:p>
    <w:p w14:paraId="181B2AB4" w14:textId="2A9912EF" w:rsidR="00C34E97" w:rsidRDefault="00C34E97" w:rsidP="007E2727">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_Ref130637514 \r \h </w:instrText>
      </w:r>
      <w:r>
        <w:rPr>
          <w:rFonts w:cs="Arial"/>
          <w:sz w:val="22"/>
          <w:szCs w:val="22"/>
        </w:rPr>
      </w:r>
      <w:r>
        <w:rPr>
          <w:rFonts w:cs="Arial"/>
          <w:sz w:val="22"/>
          <w:szCs w:val="22"/>
        </w:rPr>
        <w:fldChar w:fldCharType="separate"/>
      </w:r>
      <w:r w:rsidR="007651EA">
        <w:rPr>
          <w:rFonts w:cs="Arial"/>
          <w:sz w:val="22"/>
          <w:szCs w:val="22"/>
        </w:rPr>
        <w:t>4.18</w:t>
      </w:r>
      <w:r>
        <w:rPr>
          <w:rFonts w:cs="Arial"/>
          <w:sz w:val="22"/>
          <w:szCs w:val="22"/>
        </w:rPr>
        <w:fldChar w:fldCharType="end"/>
      </w:r>
      <w:r>
        <w:rPr>
          <w:rFonts w:cs="Arial"/>
          <w:sz w:val="22"/>
          <w:szCs w:val="22"/>
        </w:rPr>
        <w:t>.</w:t>
      </w:r>
    </w:p>
    <w:p w14:paraId="2E0B0599" w14:textId="77777777" w:rsidR="00C34E97" w:rsidRDefault="00C34E97" w:rsidP="007E2727">
      <w:pPr>
        <w:rPr>
          <w:rFonts w:cs="Arial"/>
          <w:sz w:val="22"/>
          <w:szCs w:val="22"/>
        </w:rPr>
      </w:pPr>
    </w:p>
    <w:p w14:paraId="369A9F3D" w14:textId="6541F2C3" w:rsidR="007D6DE8" w:rsidRDefault="007D6DE8" w:rsidP="007E2727">
      <w:pPr>
        <w:rPr>
          <w:rFonts w:cs="Arial"/>
          <w:sz w:val="22"/>
          <w:szCs w:val="22"/>
        </w:rPr>
      </w:pPr>
      <w:r>
        <w:rPr>
          <w:rFonts w:cs="Arial"/>
          <w:sz w:val="22"/>
          <w:szCs w:val="22"/>
        </w:rPr>
        <w:t xml:space="preserve">Por otra parte, en la nueva propuesta se limita la condición excepcional para los campos costa afuera, de modo que se aplique </w:t>
      </w:r>
      <w:r w:rsidR="00E97635">
        <w:rPr>
          <w:rFonts w:cs="Arial"/>
          <w:sz w:val="22"/>
          <w:szCs w:val="22"/>
        </w:rPr>
        <w:t xml:space="preserve">cuando el gas a suministrar </w:t>
      </w:r>
      <w:r w:rsidR="00E97635" w:rsidRPr="00E97635">
        <w:rPr>
          <w:rFonts w:cs="Arial"/>
          <w:sz w:val="22"/>
          <w:szCs w:val="22"/>
        </w:rPr>
        <w:t xml:space="preserve">provenga de una nueva Fuente de Suministro costa afuera. Se entenderá por fuente nueva aquella que declare comercialidad con posterioridad a la </w:t>
      </w:r>
      <w:proofErr w:type="gramStart"/>
      <w:r w:rsidR="00E97635" w:rsidRPr="00E97635">
        <w:rPr>
          <w:rFonts w:cs="Arial"/>
          <w:sz w:val="22"/>
          <w:szCs w:val="22"/>
        </w:rPr>
        <w:t>entrada en vigencia</w:t>
      </w:r>
      <w:proofErr w:type="gramEnd"/>
      <w:r w:rsidR="00E97635" w:rsidRPr="00E97635">
        <w:rPr>
          <w:rFonts w:cs="Arial"/>
          <w:sz w:val="22"/>
          <w:szCs w:val="22"/>
        </w:rPr>
        <w:t xml:space="preserve"> de la resolución</w:t>
      </w:r>
      <w:r w:rsidR="00E97635">
        <w:rPr>
          <w:rFonts w:cs="Arial"/>
          <w:sz w:val="22"/>
          <w:szCs w:val="22"/>
        </w:rPr>
        <w:t xml:space="preserve"> definitiva</w:t>
      </w:r>
      <w:r w:rsidR="00E97635" w:rsidRPr="00E97635">
        <w:rPr>
          <w:rFonts w:cs="Arial"/>
          <w:sz w:val="22"/>
          <w:szCs w:val="22"/>
        </w:rPr>
        <w:t>.</w:t>
      </w:r>
      <w:r w:rsidR="00E97635">
        <w:rPr>
          <w:rFonts w:cs="Arial"/>
          <w:sz w:val="22"/>
          <w:szCs w:val="22"/>
        </w:rPr>
        <w:t xml:space="preserve"> Lo anterior en consideración a que hay campos costa afuera existentes desde hace varios años que no requieren la flexibilidad propuesta precisamente por su condición de madurez de explotación.</w:t>
      </w:r>
    </w:p>
    <w:p w14:paraId="3458367F" w14:textId="372F6F45" w:rsidR="00C34E97" w:rsidRDefault="00C34E97" w:rsidP="007E2727">
      <w:pPr>
        <w:rPr>
          <w:rFonts w:cs="Arial"/>
          <w:sz w:val="22"/>
          <w:szCs w:val="22"/>
        </w:rPr>
      </w:pPr>
    </w:p>
    <w:p w14:paraId="31CC7F56" w14:textId="77777777" w:rsidR="00C34E97" w:rsidRPr="007E2727" w:rsidRDefault="00C34E97" w:rsidP="007E2727">
      <w:pPr>
        <w:rPr>
          <w:rFonts w:cs="Arial"/>
          <w:sz w:val="22"/>
          <w:szCs w:val="22"/>
        </w:rPr>
      </w:pPr>
    </w:p>
    <w:p w14:paraId="3DE0677D" w14:textId="77777777" w:rsidR="0060003A" w:rsidRDefault="007E2727" w:rsidP="00F52B11">
      <w:pPr>
        <w:pStyle w:val="Ttulo4"/>
      </w:pPr>
      <w:r w:rsidRPr="007E2727">
        <w:t>ECOPETROL</w:t>
      </w:r>
      <w:r w:rsidRPr="007E2727">
        <w:tab/>
      </w:r>
    </w:p>
    <w:p w14:paraId="605F4EA2" w14:textId="1E24E91F" w:rsidR="007E2727" w:rsidRDefault="0014580A" w:rsidP="007E2727">
      <w:pPr>
        <w:rPr>
          <w:rFonts w:cs="Arial"/>
          <w:sz w:val="22"/>
          <w:szCs w:val="22"/>
        </w:rPr>
      </w:pPr>
      <w:r>
        <w:rPr>
          <w:rFonts w:cs="Arial"/>
          <w:i/>
          <w:iCs/>
          <w:sz w:val="22"/>
          <w:szCs w:val="22"/>
        </w:rPr>
        <w:t>“</w:t>
      </w:r>
      <w:r w:rsidR="007E2727" w:rsidRPr="00C34E97">
        <w:rPr>
          <w:rFonts w:cs="Arial"/>
          <w:i/>
          <w:iCs/>
          <w:sz w:val="22"/>
          <w:szCs w:val="22"/>
        </w:rPr>
        <w:t>En el literal g) se plantea que se permitirá a fuentes de suministro nacionales, que requieren logísticas especiales para su comercialización, como GNC o GNL, la comercialización en cualquier momento del año. Consideramos que esto es adecuado. No obstante, en el caso de la comercialización del gas natural de quemas, sugerimos que la flexibilidad se extienda para que estas fuentes puedan tener comercialización en cualquier momento del año, sin acogerse a las reglas detalladas dispuestas en el artículo 21. Consideramos que esto aportaría a apalancar el desarrollo de proyectos de reducción de emisiones, en la medida en que facilitaría que se lleve el gas de quemas al mercado y así cumplir con los lineamientos definidos, entre otros, en la Resolución MME 40066 de 2022</w:t>
      </w:r>
      <w:r w:rsidR="007E2727" w:rsidRPr="007E2727">
        <w:rPr>
          <w:rFonts w:cs="Arial"/>
          <w:sz w:val="22"/>
          <w:szCs w:val="22"/>
        </w:rPr>
        <w:t>.</w:t>
      </w:r>
      <w:r w:rsidR="00DB7769">
        <w:rPr>
          <w:rFonts w:cs="Arial"/>
          <w:sz w:val="22"/>
          <w:szCs w:val="22"/>
        </w:rPr>
        <w:t>”</w:t>
      </w:r>
    </w:p>
    <w:p w14:paraId="1E1CDB67" w14:textId="55CD4F4D" w:rsidR="00C34E97" w:rsidRPr="00C34E97" w:rsidRDefault="00C34E97" w:rsidP="007E2727">
      <w:pPr>
        <w:rPr>
          <w:rFonts w:cs="Arial"/>
          <w:b/>
          <w:bCs/>
          <w:sz w:val="22"/>
          <w:szCs w:val="22"/>
        </w:rPr>
      </w:pPr>
    </w:p>
    <w:p w14:paraId="4068323C" w14:textId="6B9CE441" w:rsidR="00C34E97" w:rsidRPr="00C34E97" w:rsidRDefault="00C34E97" w:rsidP="007E2727">
      <w:pPr>
        <w:rPr>
          <w:rFonts w:cs="Arial"/>
          <w:b/>
          <w:bCs/>
          <w:sz w:val="22"/>
          <w:szCs w:val="22"/>
        </w:rPr>
      </w:pPr>
      <w:r w:rsidRPr="00C34E97">
        <w:rPr>
          <w:rFonts w:cs="Arial"/>
          <w:b/>
          <w:bCs/>
          <w:sz w:val="22"/>
          <w:szCs w:val="22"/>
        </w:rPr>
        <w:t>Respuesta:</w:t>
      </w:r>
    </w:p>
    <w:p w14:paraId="7CED6FA5" w14:textId="3BE10BA5" w:rsidR="00C34E97" w:rsidRDefault="00C34E97" w:rsidP="007E2727">
      <w:pPr>
        <w:rPr>
          <w:rFonts w:cs="Arial"/>
          <w:sz w:val="22"/>
          <w:szCs w:val="22"/>
        </w:rPr>
      </w:pPr>
    </w:p>
    <w:p w14:paraId="438898C6" w14:textId="34E98B92" w:rsidR="00C34E97" w:rsidRDefault="00C34E97" w:rsidP="007E2727">
      <w:pPr>
        <w:rPr>
          <w:rFonts w:cs="Arial"/>
          <w:sz w:val="22"/>
          <w:szCs w:val="22"/>
        </w:rPr>
      </w:pPr>
      <w:r>
        <w:rPr>
          <w:rFonts w:cs="Arial"/>
          <w:sz w:val="22"/>
          <w:szCs w:val="22"/>
        </w:rPr>
        <w:t>No se acoge el comentario.</w:t>
      </w:r>
    </w:p>
    <w:p w14:paraId="7E9C1CF4" w14:textId="460FB054" w:rsidR="00C34E97" w:rsidRDefault="00C34E97" w:rsidP="007E2727">
      <w:pPr>
        <w:rPr>
          <w:rFonts w:cs="Arial"/>
          <w:sz w:val="22"/>
          <w:szCs w:val="22"/>
        </w:rPr>
      </w:pPr>
    </w:p>
    <w:p w14:paraId="62EC71BC" w14:textId="06D470F3" w:rsidR="00C34E97" w:rsidRDefault="00C34E97" w:rsidP="007E2727">
      <w:pPr>
        <w:rPr>
          <w:rFonts w:cs="Arial"/>
          <w:sz w:val="22"/>
          <w:szCs w:val="22"/>
        </w:rPr>
      </w:pPr>
      <w:r>
        <w:rPr>
          <w:rFonts w:cs="Arial"/>
          <w:sz w:val="22"/>
          <w:szCs w:val="22"/>
        </w:rPr>
        <w:t>No se explica en el comentario cómo ocurre que la excepción sugerida para la comercialización del actual “gas de quemas” en cualquier momento del año permita alguna situación comercial o de infraestructura, que no pueda lograrse con las condiciones de la propuesta.</w:t>
      </w:r>
    </w:p>
    <w:p w14:paraId="11A68B29" w14:textId="77777777" w:rsidR="00C34E97" w:rsidRPr="007E2727" w:rsidRDefault="00C34E97" w:rsidP="007E2727">
      <w:pPr>
        <w:rPr>
          <w:rFonts w:cs="Arial"/>
          <w:sz w:val="22"/>
          <w:szCs w:val="22"/>
        </w:rPr>
      </w:pPr>
    </w:p>
    <w:p w14:paraId="3F87AD52" w14:textId="77777777" w:rsidR="0060003A" w:rsidRDefault="0060003A" w:rsidP="007E2727">
      <w:pPr>
        <w:rPr>
          <w:rFonts w:cs="Arial"/>
          <w:sz w:val="22"/>
          <w:szCs w:val="22"/>
        </w:rPr>
      </w:pPr>
    </w:p>
    <w:p w14:paraId="4BA795F5" w14:textId="77777777" w:rsidR="0060003A" w:rsidRDefault="007E2727" w:rsidP="00F52B11">
      <w:pPr>
        <w:pStyle w:val="Ttulo4"/>
      </w:pPr>
      <w:r w:rsidRPr="007E2727">
        <w:t>ECOPETROL</w:t>
      </w:r>
      <w:r w:rsidRPr="007E2727">
        <w:tab/>
      </w:r>
    </w:p>
    <w:p w14:paraId="4358853A" w14:textId="5310EED7" w:rsidR="007E2727" w:rsidRPr="006F392A" w:rsidRDefault="007E2727" w:rsidP="007E2727">
      <w:pPr>
        <w:rPr>
          <w:rFonts w:cs="Arial"/>
          <w:i/>
          <w:iCs/>
          <w:sz w:val="22"/>
          <w:szCs w:val="22"/>
        </w:rPr>
      </w:pPr>
      <w:r w:rsidRPr="007E2727">
        <w:rPr>
          <w:rFonts w:cs="Arial"/>
          <w:sz w:val="22"/>
          <w:szCs w:val="22"/>
        </w:rPr>
        <w:t>"</w:t>
      </w:r>
      <w:r w:rsidRPr="006F392A">
        <w:rPr>
          <w:rFonts w:cs="Arial"/>
          <w:i/>
          <w:iCs/>
          <w:sz w:val="22"/>
          <w:szCs w:val="22"/>
        </w:rPr>
        <w:t>En el proyecto de resolución se propone modificar el numeral i) del literal a) del numeral 1 del artículo 19 de la Resolución CREG 186 de 2020, en el que actualmente se establece que el gas proveniente de campos respecto de los cuales no se ha declarado la comercialidad puede comercializarse en cualquier momento del año y, según el artículo 20, mediante contratos y condiciones no reguladas.</w:t>
      </w:r>
    </w:p>
    <w:p w14:paraId="35FBDCE2" w14:textId="77777777" w:rsidR="007E2727" w:rsidRPr="006F392A" w:rsidRDefault="007E2727" w:rsidP="007E2727">
      <w:pPr>
        <w:rPr>
          <w:rFonts w:cs="Arial"/>
          <w:i/>
          <w:iCs/>
          <w:sz w:val="22"/>
          <w:szCs w:val="22"/>
        </w:rPr>
      </w:pPr>
    </w:p>
    <w:p w14:paraId="1A55A9A3" w14:textId="63EC5AB9" w:rsidR="007E2727" w:rsidRPr="006F392A" w:rsidRDefault="007E2727" w:rsidP="007E2727">
      <w:pPr>
        <w:rPr>
          <w:rFonts w:cs="Arial"/>
          <w:i/>
          <w:iCs/>
          <w:sz w:val="22"/>
          <w:szCs w:val="22"/>
        </w:rPr>
      </w:pPr>
      <w:r w:rsidRPr="006F392A">
        <w:rPr>
          <w:rFonts w:cs="Arial"/>
          <w:i/>
          <w:iCs/>
          <w:sz w:val="22"/>
          <w:szCs w:val="22"/>
        </w:rPr>
        <w:t xml:space="preserve">En la propuesta se plantea que el gas de estos campos se podrá comercializar en cualquier momento del año </w:t>
      </w:r>
      <w:r w:rsidR="007C0206">
        <w:rPr>
          <w:rFonts w:cs="Arial"/>
          <w:i/>
          <w:iCs/>
          <w:sz w:val="22"/>
          <w:szCs w:val="22"/>
        </w:rPr>
        <w:t>‘</w:t>
      </w:r>
      <w:r w:rsidRPr="006F392A">
        <w:rPr>
          <w:rFonts w:cs="Arial"/>
          <w:i/>
          <w:iCs/>
          <w:sz w:val="22"/>
          <w:szCs w:val="22"/>
        </w:rPr>
        <w:t>bajo el entendido que estos campos no cuentan con Respaldo Físico, a menos que se hayan certificado previamente reservas probables y/o posibles sobre ese mismo campo en las condiciones establecidas para ello por la ANH</w:t>
      </w:r>
      <w:r w:rsidR="007C0206">
        <w:rPr>
          <w:rFonts w:cs="Arial"/>
          <w:i/>
          <w:iCs/>
          <w:sz w:val="22"/>
          <w:szCs w:val="22"/>
        </w:rPr>
        <w:t>’</w:t>
      </w:r>
      <w:r w:rsidRPr="006F392A">
        <w:rPr>
          <w:rFonts w:cs="Arial"/>
          <w:i/>
          <w:iCs/>
          <w:sz w:val="22"/>
          <w:szCs w:val="22"/>
        </w:rPr>
        <w:t xml:space="preserve">, y se limita la duración de los contratos que potencialmente se suscriban </w:t>
      </w:r>
      <w:r w:rsidR="007C0206">
        <w:rPr>
          <w:rFonts w:cs="Arial"/>
          <w:i/>
          <w:iCs/>
          <w:sz w:val="22"/>
          <w:szCs w:val="22"/>
        </w:rPr>
        <w:t>‘</w:t>
      </w:r>
      <w:r w:rsidRPr="006F392A">
        <w:rPr>
          <w:rFonts w:cs="Arial"/>
          <w:i/>
          <w:iCs/>
          <w:sz w:val="22"/>
          <w:szCs w:val="22"/>
        </w:rPr>
        <w:t>(…) al período autorizado por la ANH para la realización de las pruebas extensas</w:t>
      </w:r>
      <w:r w:rsidR="007C0206">
        <w:rPr>
          <w:rFonts w:cs="Arial"/>
          <w:i/>
          <w:iCs/>
          <w:sz w:val="22"/>
          <w:szCs w:val="22"/>
        </w:rPr>
        <w:t>’</w:t>
      </w:r>
      <w:r w:rsidRPr="006F392A">
        <w:rPr>
          <w:rFonts w:cs="Arial"/>
          <w:i/>
          <w:iCs/>
          <w:sz w:val="22"/>
          <w:szCs w:val="22"/>
        </w:rPr>
        <w:t xml:space="preserve"> sin que pueda </w:t>
      </w:r>
      <w:r w:rsidR="00D011A0">
        <w:rPr>
          <w:rFonts w:cs="Arial"/>
          <w:i/>
          <w:iCs/>
          <w:sz w:val="22"/>
          <w:szCs w:val="22"/>
        </w:rPr>
        <w:t>‘</w:t>
      </w:r>
      <w:r w:rsidRPr="006F392A">
        <w:rPr>
          <w:rFonts w:cs="Arial"/>
          <w:i/>
          <w:iCs/>
          <w:sz w:val="22"/>
          <w:szCs w:val="22"/>
        </w:rPr>
        <w:t>superar la fecha máxima determinada por la ANH para su evaluación, de acuerdo con los términos del contrato de exploración y producción, o su equivalente, suscrito con la ANH</w:t>
      </w:r>
      <w:r w:rsidR="00D011A0">
        <w:rPr>
          <w:rFonts w:cs="Arial"/>
          <w:i/>
          <w:iCs/>
          <w:sz w:val="22"/>
          <w:szCs w:val="22"/>
        </w:rPr>
        <w:t>’</w:t>
      </w:r>
      <w:r w:rsidRPr="006F392A">
        <w:rPr>
          <w:rFonts w:cs="Arial"/>
          <w:i/>
          <w:iCs/>
          <w:sz w:val="22"/>
          <w:szCs w:val="22"/>
        </w:rPr>
        <w:t>. Además, la propuesta implica la imposibilidad de suscribir contratos con destino a la demanda esencial.</w:t>
      </w:r>
    </w:p>
    <w:p w14:paraId="63599C64" w14:textId="77777777" w:rsidR="007E2727" w:rsidRPr="006F392A" w:rsidRDefault="007E2727" w:rsidP="007E2727">
      <w:pPr>
        <w:rPr>
          <w:rFonts w:cs="Arial"/>
          <w:i/>
          <w:iCs/>
          <w:sz w:val="22"/>
          <w:szCs w:val="22"/>
        </w:rPr>
      </w:pPr>
    </w:p>
    <w:p w14:paraId="7FD1A1C9" w14:textId="77777777" w:rsidR="007E2727" w:rsidRPr="006F392A" w:rsidRDefault="007E2727" w:rsidP="007E2727">
      <w:pPr>
        <w:rPr>
          <w:rFonts w:cs="Arial"/>
          <w:i/>
          <w:iCs/>
          <w:sz w:val="22"/>
          <w:szCs w:val="22"/>
        </w:rPr>
      </w:pPr>
      <w:r w:rsidRPr="006F392A">
        <w:rPr>
          <w:rFonts w:cs="Arial"/>
          <w:i/>
          <w:iCs/>
          <w:sz w:val="22"/>
          <w:szCs w:val="22"/>
        </w:rPr>
        <w:t>Esta medida limitaría la posibilidad de lograr una decisión final de inversión (FID) en aquellos proyectos para cuya concreción se requiere la suscripción de contratos de largo plazo que mitiguen el riesgo comercial observado por los productores y aporten al cierre financiero de las inversiones en desarrollo. La decisión final de inversión (FID) es un hito necesario para la declaratoria de comercialidad de dichos proyectos, y para la posterior certificación de las reservas, como se detalla en el Anexo 1.</w:t>
      </w:r>
    </w:p>
    <w:p w14:paraId="283886B8" w14:textId="77777777" w:rsidR="007E2727" w:rsidRPr="006F392A" w:rsidRDefault="007E2727" w:rsidP="007E2727">
      <w:pPr>
        <w:rPr>
          <w:rFonts w:cs="Arial"/>
          <w:i/>
          <w:iCs/>
          <w:sz w:val="22"/>
          <w:szCs w:val="22"/>
        </w:rPr>
      </w:pPr>
    </w:p>
    <w:p w14:paraId="1B950D7F" w14:textId="77777777" w:rsidR="007E2727" w:rsidRPr="006F392A" w:rsidRDefault="007E2727" w:rsidP="007E2727">
      <w:pPr>
        <w:rPr>
          <w:rFonts w:cs="Arial"/>
          <w:i/>
          <w:iCs/>
          <w:sz w:val="22"/>
          <w:szCs w:val="22"/>
        </w:rPr>
      </w:pPr>
      <w:r w:rsidRPr="006F392A">
        <w:rPr>
          <w:rFonts w:cs="Arial"/>
          <w:i/>
          <w:iCs/>
          <w:sz w:val="22"/>
          <w:szCs w:val="22"/>
        </w:rPr>
        <w:t>Este es el caso de los desarrollos costa afuera, pues si bien se permitiría la firma de contratos antes de la declaratoria de comercialidad, su duración estaría acotada al término del programa de evaluación o de las pruebas extensas. En este sentido, los contratos permitidos no aportarían al cometido mencionado previamente, esto es, mitigar su riesgo comercial a través de contratos de venta a largo plazo, dado que son proyectos intensivos en capital.</w:t>
      </w:r>
    </w:p>
    <w:p w14:paraId="40339402" w14:textId="77777777" w:rsidR="007E2727" w:rsidRPr="006F392A" w:rsidRDefault="007E2727" w:rsidP="007E2727">
      <w:pPr>
        <w:rPr>
          <w:rFonts w:cs="Arial"/>
          <w:i/>
          <w:iCs/>
          <w:sz w:val="22"/>
          <w:szCs w:val="22"/>
        </w:rPr>
      </w:pPr>
    </w:p>
    <w:p w14:paraId="15C1E686" w14:textId="77777777" w:rsidR="007E2727" w:rsidRPr="006F392A" w:rsidRDefault="007E2727" w:rsidP="007E2727">
      <w:pPr>
        <w:rPr>
          <w:rFonts w:cs="Arial"/>
          <w:i/>
          <w:iCs/>
          <w:sz w:val="22"/>
          <w:szCs w:val="22"/>
        </w:rPr>
      </w:pPr>
      <w:r w:rsidRPr="006F392A">
        <w:rPr>
          <w:rFonts w:cs="Arial"/>
          <w:i/>
          <w:iCs/>
          <w:sz w:val="22"/>
          <w:szCs w:val="22"/>
        </w:rPr>
        <w:t xml:space="preserve">Al respecto, se debe considerar que: i) la construcción de facilidades de producción y transporte de gas en áreas costa afuera está supeditada a la decisión final de inversión (FID), de forma que no sería posible honrar contratos de suministro durante el programa de evaluación; y </w:t>
      </w:r>
      <w:proofErr w:type="spellStart"/>
      <w:r w:rsidRPr="006F392A">
        <w:rPr>
          <w:rFonts w:cs="Arial"/>
          <w:i/>
          <w:iCs/>
          <w:sz w:val="22"/>
          <w:szCs w:val="22"/>
        </w:rPr>
        <w:t>ii</w:t>
      </w:r>
      <w:proofErr w:type="spellEnd"/>
      <w:r w:rsidRPr="006F392A">
        <w:rPr>
          <w:rFonts w:cs="Arial"/>
          <w:i/>
          <w:iCs/>
          <w:sz w:val="22"/>
          <w:szCs w:val="22"/>
        </w:rPr>
        <w:t>) en línea con lo anterior, el desarrollo de estas áreas no prevé la realización de pruebas extensas, pues no se dispone de infraestructura de producción y transporte.</w:t>
      </w:r>
    </w:p>
    <w:p w14:paraId="4AB55555" w14:textId="77777777" w:rsidR="007E2727" w:rsidRPr="006F392A" w:rsidRDefault="007E2727" w:rsidP="007E2727">
      <w:pPr>
        <w:rPr>
          <w:rFonts w:cs="Arial"/>
          <w:i/>
          <w:iCs/>
          <w:sz w:val="22"/>
          <w:szCs w:val="22"/>
        </w:rPr>
      </w:pPr>
    </w:p>
    <w:p w14:paraId="29976FA1" w14:textId="77777777" w:rsidR="007E2727" w:rsidRPr="006F392A" w:rsidRDefault="007E2727" w:rsidP="007E2727">
      <w:pPr>
        <w:rPr>
          <w:rFonts w:cs="Arial"/>
          <w:i/>
          <w:iCs/>
          <w:sz w:val="22"/>
          <w:szCs w:val="22"/>
        </w:rPr>
      </w:pPr>
      <w:r w:rsidRPr="006F392A">
        <w:rPr>
          <w:rFonts w:cs="Arial"/>
          <w:i/>
          <w:iCs/>
          <w:sz w:val="22"/>
          <w:szCs w:val="22"/>
        </w:rPr>
        <w:t>La medida propuesta también podría afectar el desarrollo de yacimientos no convencionales, pues aún no hay claridad sobre el alcance que la declaratoria de comercialidad pueda tener en los contratos y convenios de la Agencia Nacional de Hidrocarburos, ANH.</w:t>
      </w:r>
    </w:p>
    <w:p w14:paraId="31A22D7C" w14:textId="77777777" w:rsidR="007E2727" w:rsidRPr="006F392A" w:rsidRDefault="007E2727" w:rsidP="007E2727">
      <w:pPr>
        <w:rPr>
          <w:rFonts w:cs="Arial"/>
          <w:i/>
          <w:iCs/>
          <w:sz w:val="22"/>
          <w:szCs w:val="22"/>
        </w:rPr>
      </w:pPr>
    </w:p>
    <w:p w14:paraId="35B7B827" w14:textId="77777777" w:rsidR="007E2727" w:rsidRPr="006F392A" w:rsidRDefault="007E2727" w:rsidP="007E2727">
      <w:pPr>
        <w:rPr>
          <w:rFonts w:cs="Arial"/>
          <w:i/>
          <w:iCs/>
          <w:sz w:val="22"/>
          <w:szCs w:val="22"/>
        </w:rPr>
      </w:pPr>
      <w:r w:rsidRPr="006F392A">
        <w:rPr>
          <w:rFonts w:cs="Arial"/>
          <w:i/>
          <w:iCs/>
          <w:sz w:val="22"/>
          <w:szCs w:val="22"/>
        </w:rPr>
        <w:t>Vale la pena mencionar que la exploración y producción de hidrocarburos presentes en yacimientos no convencionales responde a una lógica diferente, pues no existe un límite claro entre el primera y el segunda de estos periodos, de manera que no es evidente el alcance de la declaratoria de comercialidad como hito que marca el final de un periodo y el inicio del otro. Dado que la regulación de estos aspectos contractuales es una materia pendiente en Colombia, aún no es posible anticipar los efectos comerciales de la norma propuesta por la Comisión.</w:t>
      </w:r>
    </w:p>
    <w:p w14:paraId="64207C4B" w14:textId="77777777" w:rsidR="007E2727" w:rsidRPr="006F392A" w:rsidRDefault="007E2727" w:rsidP="007E2727">
      <w:pPr>
        <w:rPr>
          <w:rFonts w:cs="Arial"/>
          <w:i/>
          <w:iCs/>
          <w:sz w:val="22"/>
          <w:szCs w:val="22"/>
        </w:rPr>
      </w:pPr>
    </w:p>
    <w:p w14:paraId="4D4D3811" w14:textId="77777777" w:rsidR="007E2727" w:rsidRPr="006F392A" w:rsidRDefault="007E2727" w:rsidP="007E2727">
      <w:pPr>
        <w:rPr>
          <w:rFonts w:cs="Arial"/>
          <w:i/>
          <w:iCs/>
          <w:sz w:val="22"/>
          <w:szCs w:val="22"/>
        </w:rPr>
      </w:pPr>
      <w:r w:rsidRPr="006F392A">
        <w:rPr>
          <w:rFonts w:cs="Arial"/>
          <w:i/>
          <w:iCs/>
          <w:sz w:val="22"/>
          <w:szCs w:val="22"/>
        </w:rPr>
        <w:t>Además, si bien la firma de contratos de suministro de gas natural no necesariamente es determinante para el cierre financiero de proyectos de gas asociado en yacimientos no convencionales, la comercialización del gas es crucial para la adecuada operación de los campos, pues su reinyección no es viable, como en efecto ocurre en el caso de los yacimientos convencionales.</w:t>
      </w:r>
    </w:p>
    <w:p w14:paraId="266CB074" w14:textId="77777777" w:rsidR="007E2727" w:rsidRPr="006F392A" w:rsidRDefault="007E2727" w:rsidP="007E2727">
      <w:pPr>
        <w:rPr>
          <w:rFonts w:cs="Arial"/>
          <w:i/>
          <w:iCs/>
          <w:sz w:val="22"/>
          <w:szCs w:val="22"/>
        </w:rPr>
      </w:pPr>
    </w:p>
    <w:p w14:paraId="32BA2889" w14:textId="77777777" w:rsidR="007E2727" w:rsidRPr="006F392A" w:rsidRDefault="007E2727" w:rsidP="007E2727">
      <w:pPr>
        <w:rPr>
          <w:rFonts w:cs="Arial"/>
          <w:i/>
          <w:iCs/>
          <w:sz w:val="22"/>
          <w:szCs w:val="22"/>
        </w:rPr>
      </w:pPr>
      <w:r w:rsidRPr="006F392A">
        <w:rPr>
          <w:rFonts w:cs="Arial"/>
          <w:i/>
          <w:iCs/>
          <w:sz w:val="22"/>
          <w:szCs w:val="22"/>
        </w:rPr>
        <w:t xml:space="preserve">Por lo anterior, comedidamente sugerimos que, en el evento de mantener la propuesta aludida, se haga explícito que la medida no cobijaría al gas proveniente de áreas costa afuera y de yacimientos no convencionales. Precisamente, la Comisión está previendo excepciones para los campos mencionados por consideraciones como las planteadas, por lo que sugerimos que en el numeral 1 del artículo 19, numeral </w:t>
      </w:r>
      <w:proofErr w:type="spellStart"/>
      <w:r w:rsidRPr="006F392A">
        <w:rPr>
          <w:rFonts w:cs="Arial"/>
          <w:i/>
          <w:iCs/>
          <w:sz w:val="22"/>
          <w:szCs w:val="22"/>
        </w:rPr>
        <w:t>iii</w:t>
      </w:r>
      <w:proofErr w:type="spellEnd"/>
      <w:r w:rsidRPr="006F392A">
        <w:rPr>
          <w:rFonts w:cs="Arial"/>
          <w:i/>
          <w:iCs/>
          <w:sz w:val="22"/>
          <w:szCs w:val="22"/>
        </w:rPr>
        <w:t>) del literal a) y literal f), se señale expresamente que tales excepciones abarcan la comercialización antes y después de la declaratoria de comercialidad, o que serán aplicables durante los periodos de exploración y producción de estas áreas.</w:t>
      </w:r>
    </w:p>
    <w:p w14:paraId="2AB1D3CE" w14:textId="77777777" w:rsidR="007E2727" w:rsidRPr="006F392A" w:rsidRDefault="007E2727" w:rsidP="007E2727">
      <w:pPr>
        <w:rPr>
          <w:rFonts w:cs="Arial"/>
          <w:i/>
          <w:iCs/>
          <w:sz w:val="22"/>
          <w:szCs w:val="22"/>
        </w:rPr>
      </w:pPr>
    </w:p>
    <w:p w14:paraId="03175CFB" w14:textId="7D614F75" w:rsidR="007E2727" w:rsidRPr="006F392A" w:rsidRDefault="007E2727" w:rsidP="007E2727">
      <w:pPr>
        <w:rPr>
          <w:rFonts w:cs="Arial"/>
          <w:i/>
          <w:iCs/>
          <w:sz w:val="22"/>
          <w:szCs w:val="22"/>
        </w:rPr>
      </w:pPr>
      <w:r w:rsidRPr="006F392A">
        <w:rPr>
          <w:rFonts w:cs="Arial"/>
          <w:i/>
          <w:iCs/>
          <w:sz w:val="22"/>
          <w:szCs w:val="22"/>
        </w:rPr>
        <w:t xml:space="preserve">Como elemento adicional, es importante tener en cuenta que los recursos petrolíferos pueden clasificarse como reservas una vez son comercializables, por </w:t>
      </w:r>
      <w:proofErr w:type="gramStart"/>
      <w:r w:rsidRPr="006F392A">
        <w:rPr>
          <w:rFonts w:cs="Arial"/>
          <w:i/>
          <w:iCs/>
          <w:sz w:val="22"/>
          <w:szCs w:val="22"/>
        </w:rPr>
        <w:t>ejemplo</w:t>
      </w:r>
      <w:proofErr w:type="gramEnd"/>
      <w:r w:rsidRPr="006F392A">
        <w:rPr>
          <w:rFonts w:cs="Arial"/>
          <w:i/>
          <w:iCs/>
          <w:sz w:val="22"/>
          <w:szCs w:val="22"/>
        </w:rPr>
        <w:t xml:space="preserve"> cuando se declara la comercialidad de un campo. Esto en la medida en que ello implica mayor certeza sobre la posibilidad de su desarrollo comercial. Posterior al descubrimiento del recurso y previo a la decisión de inversión (FID), y por tanto previo a la declaración de comercialidad, es decir mientras transcurre el programa de evaluación, los recursos corresponden a recursos contingentes.</w:t>
      </w:r>
    </w:p>
    <w:p w14:paraId="3256C62D" w14:textId="77777777" w:rsidR="007E2727" w:rsidRPr="006F392A" w:rsidRDefault="007E2727" w:rsidP="007E2727">
      <w:pPr>
        <w:rPr>
          <w:rFonts w:cs="Arial"/>
          <w:i/>
          <w:iCs/>
          <w:sz w:val="22"/>
          <w:szCs w:val="22"/>
        </w:rPr>
      </w:pPr>
    </w:p>
    <w:p w14:paraId="45FD80A5" w14:textId="375D1E2C" w:rsidR="007E2727" w:rsidRPr="006F392A" w:rsidRDefault="007E2727" w:rsidP="007E2727">
      <w:pPr>
        <w:rPr>
          <w:rFonts w:cs="Arial"/>
          <w:i/>
          <w:iCs/>
          <w:sz w:val="22"/>
          <w:szCs w:val="22"/>
        </w:rPr>
      </w:pPr>
      <w:r w:rsidRPr="006F392A">
        <w:rPr>
          <w:rFonts w:cs="Arial"/>
          <w:i/>
          <w:iCs/>
          <w:sz w:val="22"/>
          <w:szCs w:val="22"/>
        </w:rPr>
        <w:t xml:space="preserve">Los recursos contingentes corresponden a </w:t>
      </w:r>
      <w:r w:rsidR="00C67E1E">
        <w:rPr>
          <w:rFonts w:cs="Arial"/>
          <w:i/>
          <w:iCs/>
          <w:sz w:val="22"/>
          <w:szCs w:val="22"/>
        </w:rPr>
        <w:t>‘</w:t>
      </w:r>
      <w:r w:rsidRPr="006F392A">
        <w:rPr>
          <w:rFonts w:cs="Arial"/>
          <w:i/>
          <w:iCs/>
          <w:sz w:val="22"/>
          <w:szCs w:val="22"/>
        </w:rPr>
        <w:t xml:space="preserve">cantidades que se estima </w:t>
      </w:r>
      <w:proofErr w:type="gramStart"/>
      <w:r w:rsidRPr="006F392A">
        <w:rPr>
          <w:rFonts w:cs="Arial"/>
          <w:i/>
          <w:iCs/>
          <w:sz w:val="22"/>
          <w:szCs w:val="22"/>
        </w:rPr>
        <w:t>que</w:t>
      </w:r>
      <w:proofErr w:type="gramEnd"/>
      <w:r w:rsidRPr="006F392A">
        <w:rPr>
          <w:rFonts w:cs="Arial"/>
          <w:i/>
          <w:iCs/>
          <w:sz w:val="22"/>
          <w:szCs w:val="22"/>
        </w:rPr>
        <w:t xml:space="preserve"> a partir de una cierta fecha, serán potencialmente recuperables en acumulaciones conocidas, pero el(los) proyecto(s) aplicado(s) aún no se considera(n) lo suficientemente maduro(s) para el desarrollo comercial debido a una o más contingencias”, contingencias que pueden estar asociadas a asuntos de mercado, como por ejemplo la imposibilidad de suscribir contratos.</w:t>
      </w:r>
    </w:p>
    <w:p w14:paraId="293D11AF" w14:textId="77777777" w:rsidR="007E2727" w:rsidRPr="006F392A" w:rsidRDefault="007E2727" w:rsidP="007E2727">
      <w:pPr>
        <w:rPr>
          <w:rFonts w:cs="Arial"/>
          <w:i/>
          <w:iCs/>
          <w:sz w:val="22"/>
          <w:szCs w:val="22"/>
        </w:rPr>
      </w:pPr>
    </w:p>
    <w:p w14:paraId="26DC34F3" w14:textId="77777777" w:rsidR="007E2727" w:rsidRPr="006F392A" w:rsidRDefault="007E2727" w:rsidP="007E2727">
      <w:pPr>
        <w:rPr>
          <w:rFonts w:cs="Arial"/>
          <w:i/>
          <w:iCs/>
          <w:sz w:val="22"/>
          <w:szCs w:val="22"/>
        </w:rPr>
      </w:pPr>
      <w:r w:rsidRPr="006F392A">
        <w:rPr>
          <w:rFonts w:cs="Arial"/>
          <w:i/>
          <w:iCs/>
          <w:sz w:val="22"/>
          <w:szCs w:val="22"/>
        </w:rPr>
        <w:t>Así, las agencias certificadoras de reservas consideran relevante la efectiva suscripción de contratos de suministro, como indicador de que los recursos contingentes son comercializables. Por tanto, es necesario mantener la flexibilidad actual en materia de comercialización mayorista de este tipo de recursos, específicamente para coadyuvar el proceso de decisión de inversión, que determinará la declaratoria de comercialidad de un campo gasífero, y que a su vez llevará a la certificación de las reservas correspondientes.</w:t>
      </w:r>
    </w:p>
    <w:p w14:paraId="68E827F7" w14:textId="77777777" w:rsidR="007E2727" w:rsidRPr="006F392A" w:rsidRDefault="007E2727" w:rsidP="007E2727">
      <w:pPr>
        <w:rPr>
          <w:rFonts w:cs="Arial"/>
          <w:i/>
          <w:iCs/>
          <w:sz w:val="22"/>
          <w:szCs w:val="22"/>
        </w:rPr>
      </w:pPr>
    </w:p>
    <w:p w14:paraId="418F5EA6" w14:textId="2F0D7B86" w:rsidR="007E2727" w:rsidRDefault="007E2727" w:rsidP="007E2727">
      <w:pPr>
        <w:rPr>
          <w:rFonts w:cs="Arial"/>
          <w:sz w:val="22"/>
          <w:szCs w:val="22"/>
        </w:rPr>
      </w:pPr>
      <w:r w:rsidRPr="006F392A">
        <w:rPr>
          <w:rFonts w:cs="Arial"/>
          <w:i/>
          <w:iCs/>
          <w:sz w:val="22"/>
          <w:szCs w:val="22"/>
        </w:rPr>
        <w:t>En este contexto, en el Anexo 1 ilustramos la importancia de esta flexibilidad en la toma de decisiones de inversión en las actividades de exploración y producción de hidrocarburos, y nos referimos a los periodos típicos de estos proyectos, que se vuelcan en los negocios jurídicos que se suscriben con la ANH</w:t>
      </w:r>
      <w:r w:rsidRPr="007E2727">
        <w:rPr>
          <w:rFonts w:cs="Arial"/>
          <w:sz w:val="22"/>
          <w:szCs w:val="22"/>
        </w:rPr>
        <w:t>."</w:t>
      </w:r>
    </w:p>
    <w:p w14:paraId="3348998C" w14:textId="03376FD9" w:rsidR="006F392A" w:rsidRDefault="006F392A" w:rsidP="007E2727">
      <w:pPr>
        <w:rPr>
          <w:rFonts w:cs="Arial"/>
          <w:sz w:val="22"/>
          <w:szCs w:val="22"/>
        </w:rPr>
      </w:pPr>
    </w:p>
    <w:p w14:paraId="00CA7F19" w14:textId="3481F2F1" w:rsidR="006F392A" w:rsidRPr="006F392A" w:rsidRDefault="006F392A" w:rsidP="007E2727">
      <w:pPr>
        <w:rPr>
          <w:rFonts w:cs="Arial"/>
          <w:b/>
          <w:bCs/>
          <w:sz w:val="22"/>
          <w:szCs w:val="22"/>
        </w:rPr>
      </w:pPr>
      <w:r w:rsidRPr="006F392A">
        <w:rPr>
          <w:rFonts w:cs="Arial"/>
          <w:b/>
          <w:bCs/>
          <w:sz w:val="22"/>
          <w:szCs w:val="22"/>
        </w:rPr>
        <w:t>Respuesta:</w:t>
      </w:r>
    </w:p>
    <w:p w14:paraId="7851DD7E" w14:textId="77AB11B9" w:rsidR="006F392A" w:rsidRDefault="006F392A" w:rsidP="007E2727">
      <w:pPr>
        <w:rPr>
          <w:rFonts w:cs="Arial"/>
          <w:sz w:val="22"/>
          <w:szCs w:val="22"/>
        </w:rPr>
      </w:pPr>
    </w:p>
    <w:p w14:paraId="78D3D639" w14:textId="54713BF4" w:rsidR="006F392A" w:rsidRDefault="006F392A" w:rsidP="007E2727">
      <w:pPr>
        <w:rPr>
          <w:rFonts w:cs="Arial"/>
          <w:sz w:val="22"/>
          <w:szCs w:val="22"/>
        </w:rPr>
      </w:pPr>
      <w:r>
        <w:rPr>
          <w:rFonts w:cs="Arial"/>
          <w:sz w:val="22"/>
          <w:szCs w:val="22"/>
        </w:rPr>
        <w:t>Se acoge el comentario parcialmente.</w:t>
      </w:r>
    </w:p>
    <w:p w14:paraId="1715DD3B" w14:textId="3CD4CEE4" w:rsidR="006F392A" w:rsidRDefault="006F392A" w:rsidP="007E2727">
      <w:pPr>
        <w:rPr>
          <w:rFonts w:cs="Arial"/>
          <w:sz w:val="22"/>
          <w:szCs w:val="22"/>
        </w:rPr>
      </w:pPr>
    </w:p>
    <w:p w14:paraId="4B11CBFB" w14:textId="14FF8CA9" w:rsidR="006F392A" w:rsidRDefault="006F392A"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_Ref130975775 \r \h </w:instrText>
      </w:r>
      <w:r>
        <w:rPr>
          <w:rFonts w:cs="Arial"/>
          <w:sz w:val="22"/>
          <w:szCs w:val="22"/>
        </w:rPr>
      </w:r>
      <w:r>
        <w:rPr>
          <w:rFonts w:cs="Arial"/>
          <w:sz w:val="22"/>
          <w:szCs w:val="22"/>
        </w:rPr>
        <w:fldChar w:fldCharType="separate"/>
      </w:r>
      <w:r w:rsidR="007651EA">
        <w:rPr>
          <w:rFonts w:cs="Arial"/>
          <w:sz w:val="22"/>
          <w:szCs w:val="22"/>
        </w:rPr>
        <w:t>17.3.1.1</w:t>
      </w:r>
      <w:r>
        <w:rPr>
          <w:rFonts w:cs="Arial"/>
          <w:sz w:val="22"/>
          <w:szCs w:val="22"/>
        </w:rPr>
        <w:fldChar w:fldCharType="end"/>
      </w:r>
      <w:r>
        <w:rPr>
          <w:rFonts w:cs="Arial"/>
          <w:sz w:val="22"/>
          <w:szCs w:val="22"/>
        </w:rPr>
        <w:t xml:space="preserve"> en cuanto a la duración de los contratos de campos que se encuentran en pruebas extensas.</w:t>
      </w:r>
    </w:p>
    <w:p w14:paraId="0B74E0D0" w14:textId="77777777" w:rsidR="00144F6D" w:rsidRDefault="00144F6D" w:rsidP="007E2727">
      <w:pPr>
        <w:rPr>
          <w:rFonts w:cs="Arial"/>
          <w:sz w:val="22"/>
          <w:szCs w:val="22"/>
        </w:rPr>
      </w:pPr>
    </w:p>
    <w:p w14:paraId="2FA6B125" w14:textId="2C38515B" w:rsidR="00144F6D" w:rsidRPr="00BD5D99" w:rsidRDefault="00144F6D" w:rsidP="00144F6D">
      <w:pPr>
        <w:rPr>
          <w:bCs/>
          <w:sz w:val="22"/>
          <w:szCs w:val="22"/>
        </w:rPr>
      </w:pPr>
      <w:r>
        <w:rPr>
          <w:bCs/>
          <w:sz w:val="22"/>
          <w:szCs w:val="22"/>
        </w:rPr>
        <w:t xml:space="preserve">Por error de redacción, que se corrige en la nueva propuesta, en la Resolución CREG 226 de 2021 se escribió “(…) </w:t>
      </w:r>
      <w:r w:rsidRPr="00031E8B">
        <w:rPr>
          <w:bCs/>
          <w:i/>
          <w:iCs/>
          <w:sz w:val="22"/>
          <w:szCs w:val="22"/>
        </w:rPr>
        <w:t xml:space="preserve">reservas probables y/o posibles </w:t>
      </w:r>
      <w:r>
        <w:rPr>
          <w:bCs/>
          <w:sz w:val="22"/>
          <w:szCs w:val="22"/>
        </w:rPr>
        <w:t xml:space="preserve">(…) en el numeral i. del literal a) del numeral 1. del Artículo 19, cuando el texto corresponde a “reservas probadas y/o probables”, en armonía con la definición de Reservas de Gas Natural que se incluye en el Artículo 3 de la propuesta. </w:t>
      </w:r>
      <w:r w:rsidR="00354925">
        <w:rPr>
          <w:bCs/>
          <w:sz w:val="22"/>
          <w:szCs w:val="22"/>
        </w:rPr>
        <w:t xml:space="preserve">Ver numeral </w:t>
      </w:r>
      <w:r w:rsidR="00354925">
        <w:rPr>
          <w:bCs/>
          <w:sz w:val="22"/>
          <w:szCs w:val="22"/>
        </w:rPr>
        <w:fldChar w:fldCharType="begin"/>
      </w:r>
      <w:r w:rsidR="00354925">
        <w:rPr>
          <w:bCs/>
          <w:sz w:val="22"/>
          <w:szCs w:val="22"/>
        </w:rPr>
        <w:instrText xml:space="preserve"> REF _Ref130808646 \r \h </w:instrText>
      </w:r>
      <w:r w:rsidR="00354925">
        <w:rPr>
          <w:bCs/>
          <w:sz w:val="22"/>
          <w:szCs w:val="22"/>
        </w:rPr>
      </w:r>
      <w:r w:rsidR="00354925">
        <w:rPr>
          <w:bCs/>
          <w:sz w:val="22"/>
          <w:szCs w:val="22"/>
        </w:rPr>
        <w:fldChar w:fldCharType="separate"/>
      </w:r>
      <w:r w:rsidR="00354925">
        <w:rPr>
          <w:bCs/>
          <w:sz w:val="22"/>
          <w:szCs w:val="22"/>
        </w:rPr>
        <w:t>4.10</w:t>
      </w:r>
      <w:r w:rsidR="00354925">
        <w:rPr>
          <w:bCs/>
          <w:sz w:val="22"/>
          <w:szCs w:val="22"/>
        </w:rPr>
        <w:fldChar w:fldCharType="end"/>
      </w:r>
      <w:r w:rsidR="00354925">
        <w:rPr>
          <w:bCs/>
          <w:sz w:val="22"/>
          <w:szCs w:val="22"/>
        </w:rPr>
        <w:t>.</w:t>
      </w:r>
    </w:p>
    <w:p w14:paraId="4EFAEE31" w14:textId="0B90B08F" w:rsidR="006F392A" w:rsidRDefault="006F392A" w:rsidP="007E2727">
      <w:pPr>
        <w:rPr>
          <w:rFonts w:cs="Arial"/>
          <w:sz w:val="22"/>
          <w:szCs w:val="22"/>
        </w:rPr>
      </w:pPr>
    </w:p>
    <w:p w14:paraId="48D220DC" w14:textId="396A4519" w:rsidR="006F392A" w:rsidRDefault="006F392A" w:rsidP="007E2727">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_Ref130637514 \r \h </w:instrText>
      </w:r>
      <w:r>
        <w:rPr>
          <w:rFonts w:cs="Arial"/>
          <w:sz w:val="22"/>
          <w:szCs w:val="22"/>
        </w:rPr>
      </w:r>
      <w:r>
        <w:rPr>
          <w:rFonts w:cs="Arial"/>
          <w:sz w:val="22"/>
          <w:szCs w:val="22"/>
        </w:rPr>
        <w:fldChar w:fldCharType="separate"/>
      </w:r>
      <w:r w:rsidR="007651EA">
        <w:rPr>
          <w:rFonts w:cs="Arial"/>
          <w:sz w:val="22"/>
          <w:szCs w:val="22"/>
        </w:rPr>
        <w:t>4.18</w:t>
      </w:r>
      <w:r>
        <w:rPr>
          <w:rFonts w:cs="Arial"/>
          <w:sz w:val="22"/>
          <w:szCs w:val="22"/>
        </w:rPr>
        <w:fldChar w:fldCharType="end"/>
      </w:r>
      <w:r>
        <w:rPr>
          <w:rFonts w:cs="Arial"/>
          <w:sz w:val="22"/>
          <w:szCs w:val="22"/>
        </w:rPr>
        <w:t xml:space="preserve"> en cuanto a la suscripción de contratos de largo plazo antes de la declaración de comercialidad de una fuente de suministro.</w:t>
      </w:r>
    </w:p>
    <w:p w14:paraId="1C00A893" w14:textId="604FC92C" w:rsidR="006F392A" w:rsidRDefault="006F392A" w:rsidP="007E2727">
      <w:pPr>
        <w:rPr>
          <w:rFonts w:cs="Arial"/>
          <w:sz w:val="22"/>
          <w:szCs w:val="22"/>
        </w:rPr>
      </w:pPr>
    </w:p>
    <w:p w14:paraId="0559717C" w14:textId="77777777" w:rsidR="0060003A" w:rsidRDefault="0060003A" w:rsidP="007E2727">
      <w:pPr>
        <w:rPr>
          <w:rFonts w:cs="Arial"/>
          <w:sz w:val="22"/>
          <w:szCs w:val="22"/>
        </w:rPr>
      </w:pPr>
    </w:p>
    <w:p w14:paraId="238FF5F8" w14:textId="77777777" w:rsidR="0060003A" w:rsidRDefault="007E2727" w:rsidP="00F52B11">
      <w:pPr>
        <w:pStyle w:val="Ttulo4"/>
      </w:pPr>
      <w:r w:rsidRPr="007E2727">
        <w:t>ECOPETROL</w:t>
      </w:r>
      <w:r w:rsidRPr="007E2727">
        <w:tab/>
      </w:r>
    </w:p>
    <w:p w14:paraId="342ED3C8" w14:textId="53634D0E" w:rsidR="007E2727" w:rsidRPr="006F392A" w:rsidRDefault="007E2727" w:rsidP="007E2727">
      <w:pPr>
        <w:rPr>
          <w:rFonts w:cs="Arial"/>
          <w:i/>
          <w:iCs/>
          <w:sz w:val="22"/>
          <w:szCs w:val="22"/>
        </w:rPr>
      </w:pPr>
      <w:r w:rsidRPr="007E2727">
        <w:rPr>
          <w:rFonts w:cs="Arial"/>
          <w:sz w:val="22"/>
          <w:szCs w:val="22"/>
        </w:rPr>
        <w:t>"</w:t>
      </w:r>
      <w:r w:rsidRPr="006F392A">
        <w:rPr>
          <w:rFonts w:cs="Arial"/>
          <w:i/>
          <w:iCs/>
          <w:sz w:val="22"/>
          <w:szCs w:val="22"/>
        </w:rPr>
        <w:t>Consideramos pertinente que se revise si la disposición sobre la comercialización de gas proveniente de campos respecto de los cuales no se ha declarado comercialidad está alineada con lo establecido en el Decreto 2100 de 2011, específicamente en sus artículos 11, 12, 13 y 14, compilados en los artículos 2.2.2.2.23, 2.2.2.2.24, 2.2.2.2.25, y 2.2.2.2.26 del Decreto 1073 de 2015.</w:t>
      </w:r>
    </w:p>
    <w:p w14:paraId="037F7275" w14:textId="77777777" w:rsidR="007E2727" w:rsidRPr="006F392A" w:rsidRDefault="007E2727" w:rsidP="007E2727">
      <w:pPr>
        <w:rPr>
          <w:rFonts w:cs="Arial"/>
          <w:i/>
          <w:iCs/>
          <w:sz w:val="22"/>
          <w:szCs w:val="22"/>
        </w:rPr>
      </w:pPr>
    </w:p>
    <w:p w14:paraId="4B569AF7" w14:textId="77777777" w:rsidR="007E2727" w:rsidRPr="006F392A" w:rsidRDefault="007E2727" w:rsidP="007E2727">
      <w:pPr>
        <w:rPr>
          <w:rFonts w:cs="Arial"/>
          <w:i/>
          <w:iCs/>
          <w:sz w:val="22"/>
          <w:szCs w:val="22"/>
        </w:rPr>
      </w:pPr>
      <w:r w:rsidRPr="006F392A">
        <w:rPr>
          <w:rFonts w:cs="Arial"/>
          <w:i/>
          <w:iCs/>
          <w:sz w:val="22"/>
          <w:szCs w:val="22"/>
        </w:rPr>
        <w:t>Los artículos mencionados le dan un marco amplio a la Comisión para que, en uso de sus facultades, determine los mecanismos y procedimientos de comercialización de gas natural que deberán aplicar los agentes del mercado, así como las modalidades de contratos y sus requisitos mínimos. En efecto, la CREG ha aplicado este decreto al expedir las resoluciones 089 de 2013, 114 de 2017 y 186 de 2020, y sus modificaciones.</w:t>
      </w:r>
    </w:p>
    <w:p w14:paraId="5483D2DE" w14:textId="77777777" w:rsidR="007E2727" w:rsidRPr="006F392A" w:rsidRDefault="007E2727" w:rsidP="007E2727">
      <w:pPr>
        <w:rPr>
          <w:rFonts w:cs="Arial"/>
          <w:i/>
          <w:iCs/>
          <w:sz w:val="22"/>
          <w:szCs w:val="22"/>
        </w:rPr>
      </w:pPr>
    </w:p>
    <w:p w14:paraId="603D6005" w14:textId="77777777" w:rsidR="007E2727" w:rsidRPr="006F392A" w:rsidRDefault="007E2727" w:rsidP="007E2727">
      <w:pPr>
        <w:rPr>
          <w:rFonts w:cs="Arial"/>
          <w:i/>
          <w:iCs/>
          <w:sz w:val="22"/>
          <w:szCs w:val="22"/>
        </w:rPr>
      </w:pPr>
      <w:r w:rsidRPr="006F392A">
        <w:rPr>
          <w:rFonts w:cs="Arial"/>
          <w:i/>
          <w:iCs/>
          <w:sz w:val="22"/>
          <w:szCs w:val="22"/>
        </w:rPr>
        <w:t>Ahora bien, nótese que el artículo 11 del Decreto 2100 de 2011 establece estas facultades y este marco de acción específicamente respecto de la Producción Total Disponible para la Venta (PTDV) y las Cantidades Importadas Disponibles para la Venta para el Consumo Interno (CIDV).</w:t>
      </w:r>
    </w:p>
    <w:p w14:paraId="2D9983B3" w14:textId="77777777" w:rsidR="007E2727" w:rsidRPr="006F392A" w:rsidRDefault="007E2727" w:rsidP="007E2727">
      <w:pPr>
        <w:rPr>
          <w:rFonts w:cs="Arial"/>
          <w:i/>
          <w:iCs/>
          <w:sz w:val="22"/>
          <w:szCs w:val="22"/>
        </w:rPr>
      </w:pPr>
    </w:p>
    <w:p w14:paraId="755E225F" w14:textId="77777777" w:rsidR="007E2727" w:rsidRPr="006F392A" w:rsidRDefault="007E2727" w:rsidP="007E2727">
      <w:pPr>
        <w:rPr>
          <w:rFonts w:cs="Arial"/>
          <w:i/>
          <w:iCs/>
          <w:sz w:val="22"/>
          <w:szCs w:val="22"/>
        </w:rPr>
      </w:pPr>
      <w:r w:rsidRPr="006F392A">
        <w:rPr>
          <w:rFonts w:cs="Arial"/>
          <w:i/>
          <w:iCs/>
          <w:sz w:val="22"/>
          <w:szCs w:val="22"/>
        </w:rPr>
        <w:t>El artículo 9 del Decreto 2100 de 2011 dispone que anualmente los productores-comercializadores deben declarar al Ministerio de Minas y Energía el potencial de producción (PP), la producción comprometida (PC) y la producción disponible para la venta (PTDV) de cada uno de sus campos. Además, el artículo 2 precisa a qué se hace referencia con cada uno de estos conceptos. En particular, dispone lo siguiente sobre el potencial de producción (PP):</w:t>
      </w:r>
    </w:p>
    <w:p w14:paraId="37598721" w14:textId="77777777" w:rsidR="007E2727" w:rsidRPr="006F392A" w:rsidRDefault="007E2727" w:rsidP="007E2727">
      <w:pPr>
        <w:rPr>
          <w:rFonts w:cs="Arial"/>
          <w:i/>
          <w:iCs/>
          <w:sz w:val="22"/>
          <w:szCs w:val="22"/>
        </w:rPr>
      </w:pPr>
    </w:p>
    <w:p w14:paraId="00A1D722" w14:textId="6EA0DBAC" w:rsidR="007E2727" w:rsidRPr="006F392A" w:rsidRDefault="00720F63" w:rsidP="007E2727">
      <w:pPr>
        <w:rPr>
          <w:rFonts w:cs="Arial"/>
          <w:i/>
          <w:iCs/>
          <w:sz w:val="22"/>
          <w:szCs w:val="22"/>
        </w:rPr>
      </w:pPr>
      <w:r>
        <w:rPr>
          <w:rFonts w:cs="Arial"/>
          <w:i/>
          <w:iCs/>
          <w:sz w:val="22"/>
          <w:szCs w:val="22"/>
        </w:rPr>
        <w:t>‘</w:t>
      </w:r>
      <w:r w:rsidR="007E2727" w:rsidRPr="006F392A">
        <w:rPr>
          <w:rFonts w:cs="Arial"/>
          <w:i/>
          <w:iCs/>
          <w:sz w:val="22"/>
          <w:szCs w:val="22"/>
        </w:rPr>
        <w:t>Potencial de Producción de gas natural de un campo determinado PP: Pronóstico de las cantidades de gas natural, medidas en GBTUD, que pueden ser producidas diariamente en promedio mes, en cada campo o puestas en un punto de entrada al SNT para atender los requerimientos de la demanda, descontando las cantidades de gas natural requeridas para la operación. Este pronóstico considera el desarrollo de las Reservas de Gas Natural, la información técnica de los yacimientos del campo o campos de producción a la tasa máxima eficiente de recobro y está basado en la capacidad nominal de las instalaciones de producción existentes y proyectadas. El PP de un campo corresponde a la suma de la PC, la PTDV y el Gas Natural de Propiedad del Estado</w:t>
      </w:r>
      <w:r w:rsidR="006F6078">
        <w:rPr>
          <w:rFonts w:cs="Arial"/>
          <w:i/>
          <w:iCs/>
          <w:sz w:val="22"/>
          <w:szCs w:val="22"/>
        </w:rPr>
        <w:t>’</w:t>
      </w:r>
      <w:r w:rsidR="007E2727" w:rsidRPr="006F392A">
        <w:rPr>
          <w:rFonts w:cs="Arial"/>
          <w:i/>
          <w:iCs/>
          <w:sz w:val="22"/>
          <w:szCs w:val="22"/>
        </w:rPr>
        <w:t xml:space="preserve"> (negrillas propias).</w:t>
      </w:r>
    </w:p>
    <w:p w14:paraId="5BC6D42B" w14:textId="77777777" w:rsidR="007E2727" w:rsidRPr="006F392A" w:rsidRDefault="007E2727" w:rsidP="007E2727">
      <w:pPr>
        <w:rPr>
          <w:rFonts w:cs="Arial"/>
          <w:i/>
          <w:iCs/>
          <w:sz w:val="22"/>
          <w:szCs w:val="22"/>
        </w:rPr>
      </w:pPr>
    </w:p>
    <w:p w14:paraId="75C664E3" w14:textId="3C8DB368" w:rsidR="007E2727" w:rsidRPr="006F392A" w:rsidRDefault="007E2727" w:rsidP="007E2727">
      <w:pPr>
        <w:rPr>
          <w:rFonts w:cs="Arial"/>
          <w:i/>
          <w:iCs/>
          <w:sz w:val="22"/>
          <w:szCs w:val="22"/>
        </w:rPr>
      </w:pPr>
      <w:r w:rsidRPr="006F392A">
        <w:rPr>
          <w:rFonts w:cs="Arial"/>
          <w:i/>
          <w:iCs/>
          <w:sz w:val="22"/>
          <w:szCs w:val="22"/>
        </w:rPr>
        <w:t xml:space="preserve">Es decir, este pronóstico se basa en el desarrollo de los recursos catalogados como reservas que, según lo dispuesto por el artículo 2 del mismo decreto, </w:t>
      </w:r>
      <w:r w:rsidR="006F6078">
        <w:rPr>
          <w:rFonts w:cs="Arial"/>
          <w:i/>
          <w:iCs/>
          <w:sz w:val="22"/>
          <w:szCs w:val="22"/>
        </w:rPr>
        <w:t>‘</w:t>
      </w:r>
      <w:r w:rsidRPr="006F392A">
        <w:rPr>
          <w:rFonts w:cs="Arial"/>
          <w:i/>
          <w:iCs/>
          <w:sz w:val="22"/>
          <w:szCs w:val="22"/>
        </w:rPr>
        <w:t>son las reservas probadas y probables certificadas por los productores de gas a la ANH</w:t>
      </w:r>
      <w:r w:rsidR="006F6078">
        <w:rPr>
          <w:rFonts w:cs="Arial"/>
          <w:i/>
          <w:iCs/>
          <w:sz w:val="22"/>
          <w:szCs w:val="22"/>
        </w:rPr>
        <w:t>’</w:t>
      </w:r>
      <w:r w:rsidRPr="006F392A">
        <w:rPr>
          <w:rFonts w:cs="Arial"/>
          <w:i/>
          <w:iCs/>
          <w:sz w:val="22"/>
          <w:szCs w:val="22"/>
        </w:rPr>
        <w:t>.</w:t>
      </w:r>
    </w:p>
    <w:p w14:paraId="57195A04" w14:textId="77777777" w:rsidR="007E2727" w:rsidRPr="006F392A" w:rsidRDefault="007E2727" w:rsidP="007E2727">
      <w:pPr>
        <w:rPr>
          <w:rFonts w:cs="Arial"/>
          <w:i/>
          <w:iCs/>
          <w:sz w:val="22"/>
          <w:szCs w:val="22"/>
        </w:rPr>
      </w:pPr>
    </w:p>
    <w:p w14:paraId="029F278B" w14:textId="77777777" w:rsidR="007E2727" w:rsidRPr="006F392A" w:rsidRDefault="007E2727" w:rsidP="007E2727">
      <w:pPr>
        <w:rPr>
          <w:rFonts w:cs="Arial"/>
          <w:i/>
          <w:iCs/>
          <w:sz w:val="22"/>
          <w:szCs w:val="22"/>
        </w:rPr>
      </w:pPr>
      <w:r w:rsidRPr="006F392A">
        <w:rPr>
          <w:rFonts w:cs="Arial"/>
          <w:i/>
          <w:iCs/>
          <w:sz w:val="22"/>
          <w:szCs w:val="22"/>
        </w:rPr>
        <w:t>Teniendo en cuenta lo anterior, el marco normativo establece que las declaraciones del potencial de producción versan exclusivamente sobre las reservas y en particular sobre aquellas probadas y probables (1P y 2P). En la medida en que el potencial disponible para la venta (PTDV) hace parte del potencial de producción (PP), este también versa sobre las reservas probadas y probables.</w:t>
      </w:r>
    </w:p>
    <w:p w14:paraId="2EBCBC0A" w14:textId="77777777" w:rsidR="007E2727" w:rsidRPr="006F392A" w:rsidRDefault="007E2727" w:rsidP="007E2727">
      <w:pPr>
        <w:rPr>
          <w:rFonts w:cs="Arial"/>
          <w:i/>
          <w:iCs/>
          <w:sz w:val="22"/>
          <w:szCs w:val="22"/>
        </w:rPr>
      </w:pPr>
    </w:p>
    <w:p w14:paraId="19869C7C" w14:textId="77777777" w:rsidR="007E2727" w:rsidRPr="006F392A" w:rsidRDefault="007E2727" w:rsidP="007E2727">
      <w:pPr>
        <w:rPr>
          <w:rFonts w:cs="Arial"/>
          <w:i/>
          <w:iCs/>
          <w:sz w:val="22"/>
          <w:szCs w:val="22"/>
        </w:rPr>
      </w:pPr>
      <w:r w:rsidRPr="006F392A">
        <w:rPr>
          <w:rFonts w:cs="Arial"/>
          <w:i/>
          <w:iCs/>
          <w:sz w:val="22"/>
          <w:szCs w:val="22"/>
        </w:rPr>
        <w:t>Así, los recursos contingentes, esto es, los recursos descubiertos que no han sido certificados como reservas, no hacen parte de la PTDV y, por tanto, no deben ser objeto de regulación de la CREG en lo que tiene que ver con los mecanismos para su comercialización, las modalidades contractuales y los requisitos mínimos de los contratos respectivos. En efecto, la política pública vigente (artículo 12 del Decreto 2100 de 2011) y la regulación actual (artículos 19 y 20 de la Resolución CREG 186 de 2020) reconocen esta realidad al otorgar libertad para su comercialización y para el contenido, duración y condiciones de los respectivos contratos.</w:t>
      </w:r>
    </w:p>
    <w:p w14:paraId="5C2E0B26" w14:textId="77777777" w:rsidR="007E2727" w:rsidRPr="006F392A" w:rsidRDefault="007E2727" w:rsidP="007E2727">
      <w:pPr>
        <w:rPr>
          <w:rFonts w:cs="Arial"/>
          <w:i/>
          <w:iCs/>
          <w:sz w:val="22"/>
          <w:szCs w:val="22"/>
        </w:rPr>
      </w:pPr>
    </w:p>
    <w:p w14:paraId="487B6311" w14:textId="11CD3579" w:rsidR="007E2727" w:rsidRDefault="007E2727" w:rsidP="007E2727">
      <w:pPr>
        <w:rPr>
          <w:rFonts w:cs="Arial"/>
          <w:sz w:val="22"/>
          <w:szCs w:val="22"/>
        </w:rPr>
      </w:pPr>
      <w:r w:rsidRPr="006F392A">
        <w:rPr>
          <w:rFonts w:cs="Arial"/>
          <w:i/>
          <w:iCs/>
          <w:sz w:val="22"/>
          <w:szCs w:val="22"/>
        </w:rPr>
        <w:t>Así las cosas, respetuosamente sugerimos que se verifique si la Comisión tiene la facultad de regular las situaciones económicas, operativas y comerciales sobre los recursos contingentes y, en específico, sobre el gas natural proveniente de campos respecto de los cuales no se ha declarado su comercialidad</w:t>
      </w:r>
      <w:r w:rsidRPr="007E2727">
        <w:rPr>
          <w:rFonts w:cs="Arial"/>
          <w:sz w:val="22"/>
          <w:szCs w:val="22"/>
        </w:rPr>
        <w:t>."</w:t>
      </w:r>
    </w:p>
    <w:p w14:paraId="0889135D" w14:textId="44A58B74" w:rsidR="006F392A" w:rsidRDefault="006F392A" w:rsidP="007E2727">
      <w:pPr>
        <w:rPr>
          <w:rFonts w:cs="Arial"/>
          <w:sz w:val="22"/>
          <w:szCs w:val="22"/>
        </w:rPr>
      </w:pPr>
    </w:p>
    <w:p w14:paraId="1DE3CA44" w14:textId="3C927CE2" w:rsidR="006F392A" w:rsidRPr="006F392A" w:rsidRDefault="006F392A" w:rsidP="007E2727">
      <w:pPr>
        <w:rPr>
          <w:rFonts w:cs="Arial"/>
          <w:b/>
          <w:bCs/>
          <w:sz w:val="22"/>
          <w:szCs w:val="22"/>
        </w:rPr>
      </w:pPr>
      <w:r w:rsidRPr="006F392A">
        <w:rPr>
          <w:rFonts w:cs="Arial"/>
          <w:b/>
          <w:bCs/>
          <w:sz w:val="22"/>
          <w:szCs w:val="22"/>
        </w:rPr>
        <w:t>Respuesta:</w:t>
      </w:r>
    </w:p>
    <w:p w14:paraId="5ACDAEBC" w14:textId="1FB54AD3" w:rsidR="006F392A" w:rsidRDefault="006F392A" w:rsidP="007E2727">
      <w:pPr>
        <w:rPr>
          <w:rFonts w:cs="Arial"/>
          <w:sz w:val="22"/>
          <w:szCs w:val="22"/>
        </w:rPr>
      </w:pPr>
    </w:p>
    <w:p w14:paraId="0904430B" w14:textId="3C235018" w:rsidR="006F392A" w:rsidRDefault="006F392A" w:rsidP="007E2727">
      <w:pPr>
        <w:rPr>
          <w:rFonts w:cs="Arial"/>
          <w:sz w:val="22"/>
          <w:szCs w:val="22"/>
        </w:rPr>
      </w:pPr>
      <w:r>
        <w:rPr>
          <w:rFonts w:cs="Arial"/>
          <w:sz w:val="22"/>
          <w:szCs w:val="22"/>
        </w:rPr>
        <w:t>No se acoge el comentario.</w:t>
      </w:r>
    </w:p>
    <w:p w14:paraId="31C48D59" w14:textId="5C6F66FF" w:rsidR="006F392A" w:rsidRDefault="006F392A" w:rsidP="007E2727">
      <w:pPr>
        <w:rPr>
          <w:rFonts w:cs="Arial"/>
          <w:sz w:val="22"/>
          <w:szCs w:val="22"/>
        </w:rPr>
      </w:pPr>
    </w:p>
    <w:p w14:paraId="46F92807" w14:textId="3AC076C8" w:rsidR="006F392A" w:rsidRDefault="006F392A" w:rsidP="007E2727">
      <w:pPr>
        <w:rPr>
          <w:rFonts w:cs="Arial"/>
          <w:sz w:val="22"/>
          <w:szCs w:val="22"/>
        </w:rPr>
      </w:pPr>
      <w:r>
        <w:rPr>
          <w:rFonts w:cs="Arial"/>
          <w:sz w:val="22"/>
          <w:szCs w:val="22"/>
        </w:rPr>
        <w:t xml:space="preserve">En el Parágrafo </w:t>
      </w:r>
      <w:r w:rsidR="00B5311D">
        <w:rPr>
          <w:rFonts w:cs="Arial"/>
          <w:sz w:val="22"/>
          <w:szCs w:val="22"/>
        </w:rPr>
        <w:t xml:space="preserve">3 del Artículo que se transcribe parcialmente en el comentario recibido, </w:t>
      </w:r>
      <w:r>
        <w:rPr>
          <w:rFonts w:cs="Arial"/>
          <w:sz w:val="22"/>
          <w:szCs w:val="22"/>
        </w:rPr>
        <w:t xml:space="preserve">se encuentra una excepción explícita a la </w:t>
      </w:r>
      <w:r w:rsidR="00D922AC">
        <w:rPr>
          <w:rFonts w:cs="Arial"/>
          <w:sz w:val="22"/>
          <w:szCs w:val="22"/>
        </w:rPr>
        <w:t xml:space="preserve">consideración </w:t>
      </w:r>
      <w:r w:rsidR="00B5311D">
        <w:rPr>
          <w:rFonts w:cs="Arial"/>
          <w:sz w:val="22"/>
          <w:szCs w:val="22"/>
        </w:rPr>
        <w:t xml:space="preserve">establecida en la definición del </w:t>
      </w:r>
      <w:r w:rsidR="00D922AC">
        <w:rPr>
          <w:rFonts w:cs="Arial"/>
          <w:sz w:val="22"/>
          <w:szCs w:val="22"/>
        </w:rPr>
        <w:t xml:space="preserve">potencial de producción </w:t>
      </w:r>
      <w:r w:rsidR="00B5311D">
        <w:rPr>
          <w:rFonts w:cs="Arial"/>
          <w:sz w:val="22"/>
          <w:szCs w:val="22"/>
        </w:rPr>
        <w:t xml:space="preserve">respecto </w:t>
      </w:r>
      <w:r w:rsidR="00D922AC" w:rsidRPr="00D922AC">
        <w:rPr>
          <w:rFonts w:cs="Arial"/>
          <w:sz w:val="22"/>
          <w:szCs w:val="22"/>
        </w:rPr>
        <w:t>del desarrollo de las Reservas de Gas Natural</w:t>
      </w:r>
      <w:r w:rsidR="00D922AC">
        <w:rPr>
          <w:rFonts w:cs="Arial"/>
          <w:sz w:val="22"/>
          <w:szCs w:val="22"/>
        </w:rPr>
        <w:t>, pues establece lo siguiente:</w:t>
      </w:r>
    </w:p>
    <w:p w14:paraId="0499BB5D" w14:textId="18B5970F" w:rsidR="00B5311D" w:rsidRDefault="00B5311D" w:rsidP="007E2727">
      <w:pPr>
        <w:rPr>
          <w:rFonts w:cs="Arial"/>
          <w:sz w:val="22"/>
          <w:szCs w:val="22"/>
        </w:rPr>
      </w:pPr>
    </w:p>
    <w:p w14:paraId="0970DDBD" w14:textId="08AD9A7D" w:rsidR="00B5311D" w:rsidRDefault="00B5311D" w:rsidP="00B5311D">
      <w:pPr>
        <w:ind w:left="708"/>
        <w:rPr>
          <w:rFonts w:cs="Arial"/>
          <w:sz w:val="22"/>
          <w:szCs w:val="22"/>
        </w:rPr>
      </w:pPr>
      <w:r>
        <w:rPr>
          <w:rFonts w:cs="Arial"/>
          <w:sz w:val="22"/>
          <w:szCs w:val="22"/>
        </w:rPr>
        <w:t>“</w:t>
      </w:r>
      <w:r w:rsidRPr="00B5311D">
        <w:rPr>
          <w:rFonts w:cs="Arial"/>
          <w:b/>
          <w:bCs/>
          <w:i/>
          <w:iCs/>
          <w:sz w:val="22"/>
          <w:szCs w:val="22"/>
        </w:rPr>
        <w:t>Parágrafo 3°.</w:t>
      </w:r>
      <w:r w:rsidRPr="00B5311D">
        <w:rPr>
          <w:rFonts w:cs="Arial"/>
          <w:i/>
          <w:iCs/>
          <w:sz w:val="22"/>
          <w:szCs w:val="22"/>
        </w:rPr>
        <w:t xml:space="preserve"> La declaración de producción respecto de los campos que se encuentren en pruebas extensas o sobre los cuales no se haya declarado su comercialidad versará respecto de la PTDV para el período sobre el cual se cuente con información disponible.”</w:t>
      </w:r>
    </w:p>
    <w:p w14:paraId="1EED29DA" w14:textId="0B6B409A" w:rsidR="00D922AC" w:rsidRDefault="00D922AC" w:rsidP="007E2727">
      <w:pPr>
        <w:rPr>
          <w:rFonts w:cs="Arial"/>
          <w:sz w:val="22"/>
          <w:szCs w:val="22"/>
        </w:rPr>
      </w:pPr>
    </w:p>
    <w:p w14:paraId="3A9CE9F7" w14:textId="758C3D06" w:rsidR="00B5311D" w:rsidRPr="006F392A" w:rsidRDefault="00B5311D" w:rsidP="00B5311D">
      <w:pPr>
        <w:rPr>
          <w:rFonts w:cs="Arial"/>
          <w:i/>
          <w:iCs/>
          <w:sz w:val="22"/>
          <w:szCs w:val="22"/>
        </w:rPr>
      </w:pPr>
      <w:r>
        <w:rPr>
          <w:rFonts w:cs="Arial"/>
          <w:sz w:val="22"/>
          <w:szCs w:val="22"/>
        </w:rPr>
        <w:t xml:space="preserve">De </w:t>
      </w:r>
      <w:r w:rsidRPr="00B5311D">
        <w:rPr>
          <w:rFonts w:cs="Arial"/>
          <w:sz w:val="22"/>
          <w:szCs w:val="22"/>
        </w:rPr>
        <w:t>acuerdo con el texto transcrito, sí es posible la declaración de producción de campos en pruebas extensas o sobre los cuales no se haya declarado comercialidad, por lo que la PTDV</w:t>
      </w:r>
      <w:r>
        <w:rPr>
          <w:rFonts w:cs="Arial"/>
          <w:sz w:val="22"/>
          <w:szCs w:val="22"/>
        </w:rPr>
        <w:t>,</w:t>
      </w:r>
      <w:r w:rsidRPr="00B5311D">
        <w:rPr>
          <w:rFonts w:cs="Arial"/>
          <w:sz w:val="22"/>
          <w:szCs w:val="22"/>
        </w:rPr>
        <w:t xml:space="preserve"> al menos en este caso</w:t>
      </w:r>
      <w:r>
        <w:rPr>
          <w:rFonts w:cs="Arial"/>
          <w:i/>
          <w:iCs/>
          <w:sz w:val="22"/>
          <w:szCs w:val="22"/>
        </w:rPr>
        <w:t xml:space="preserve"> </w:t>
      </w:r>
      <w:r w:rsidRPr="00B5311D">
        <w:rPr>
          <w:rFonts w:cs="Arial"/>
          <w:sz w:val="22"/>
          <w:szCs w:val="22"/>
        </w:rPr>
        <w:t>excepcional, no versa sobre las reservas probadas y probables</w:t>
      </w:r>
      <w:r>
        <w:rPr>
          <w:rFonts w:cs="Arial"/>
          <w:sz w:val="22"/>
          <w:szCs w:val="22"/>
        </w:rPr>
        <w:t>,</w:t>
      </w:r>
      <w:r w:rsidRPr="00B5311D">
        <w:rPr>
          <w:rFonts w:cs="Arial"/>
          <w:sz w:val="22"/>
          <w:szCs w:val="22"/>
        </w:rPr>
        <w:t xml:space="preserve"> contrario a lo que se afirma en el comentario</w:t>
      </w:r>
      <w:r w:rsidRPr="006F392A">
        <w:rPr>
          <w:rFonts w:cs="Arial"/>
          <w:i/>
          <w:iCs/>
          <w:sz w:val="22"/>
          <w:szCs w:val="22"/>
        </w:rPr>
        <w:t>.</w:t>
      </w:r>
    </w:p>
    <w:p w14:paraId="2BAF15A6" w14:textId="77777777" w:rsidR="00D922AC" w:rsidRPr="00D922AC" w:rsidRDefault="00D922AC" w:rsidP="007E2727">
      <w:pPr>
        <w:rPr>
          <w:rFonts w:cs="Arial"/>
          <w:sz w:val="22"/>
          <w:szCs w:val="22"/>
        </w:rPr>
      </w:pPr>
    </w:p>
    <w:p w14:paraId="4296FA66" w14:textId="77777777" w:rsidR="0060003A" w:rsidRDefault="0060003A" w:rsidP="007E2727">
      <w:pPr>
        <w:rPr>
          <w:rFonts w:cs="Arial"/>
          <w:sz w:val="22"/>
          <w:szCs w:val="22"/>
        </w:rPr>
      </w:pPr>
    </w:p>
    <w:p w14:paraId="687870E0" w14:textId="77777777" w:rsidR="0060003A" w:rsidRDefault="007E2727" w:rsidP="00F52B11">
      <w:pPr>
        <w:pStyle w:val="Ttulo4"/>
      </w:pPr>
      <w:bookmarkStart w:id="725" w:name="_Ref132707854"/>
      <w:r w:rsidRPr="007E2727">
        <w:t>ECOPETROL</w:t>
      </w:r>
      <w:bookmarkEnd w:id="725"/>
      <w:r w:rsidRPr="007E2727">
        <w:tab/>
      </w:r>
    </w:p>
    <w:p w14:paraId="40944F87" w14:textId="61B7AACE" w:rsidR="007E2727" w:rsidRPr="00B5311D" w:rsidRDefault="007E2727" w:rsidP="007E2727">
      <w:pPr>
        <w:rPr>
          <w:rFonts w:cs="Arial"/>
          <w:i/>
          <w:iCs/>
          <w:sz w:val="22"/>
          <w:szCs w:val="22"/>
        </w:rPr>
      </w:pPr>
      <w:r w:rsidRPr="007E2727">
        <w:rPr>
          <w:rFonts w:cs="Arial"/>
          <w:sz w:val="22"/>
          <w:szCs w:val="22"/>
        </w:rPr>
        <w:t>"</w:t>
      </w:r>
      <w:r w:rsidRPr="00B5311D">
        <w:rPr>
          <w:rFonts w:cs="Arial"/>
          <w:i/>
          <w:iCs/>
          <w:sz w:val="22"/>
          <w:szCs w:val="22"/>
        </w:rPr>
        <w:t xml:space="preserve">Según el artículo 11 del Decreto 2100 de 2011, </w:t>
      </w:r>
      <w:r w:rsidR="00764C43">
        <w:rPr>
          <w:rFonts w:cs="Arial"/>
          <w:i/>
          <w:iCs/>
          <w:sz w:val="22"/>
          <w:szCs w:val="22"/>
        </w:rPr>
        <w:t>‘</w:t>
      </w:r>
      <w:r w:rsidRPr="00B5311D">
        <w:rPr>
          <w:rFonts w:cs="Arial"/>
          <w:i/>
          <w:iCs/>
          <w:sz w:val="22"/>
          <w:szCs w:val="22"/>
        </w:rPr>
        <w:t>[l]a comercialización, total o parcial, de la PTDV y de las CIDV declaradas conforme a lo previsto en el artículo 9° del presente decreto para la atención de la demanda de gas natural para consumo interno, se deberá realizar siguiendo los mecanismos y procedimientos de comercialización que establecerá la CREG</w:t>
      </w:r>
      <w:r w:rsidR="00012744">
        <w:rPr>
          <w:rFonts w:cs="Arial"/>
          <w:i/>
          <w:iCs/>
          <w:sz w:val="22"/>
          <w:szCs w:val="22"/>
        </w:rPr>
        <w:t>’</w:t>
      </w:r>
      <w:r w:rsidRPr="00B5311D">
        <w:rPr>
          <w:rFonts w:cs="Arial"/>
          <w:i/>
          <w:iCs/>
          <w:sz w:val="22"/>
          <w:szCs w:val="22"/>
        </w:rPr>
        <w:t>. No obstante, el artículo 12 del mismo decreto exceptúa de dichos mecanismos y procedimientos a la comercialización del gas provenientes de unas fuentes específicas de suministro, a saber, los campos menores, los campos en pruebas extensas, los campos para los que no se haya declarado comercialidad, y los yacimientos no convencionales.</w:t>
      </w:r>
    </w:p>
    <w:p w14:paraId="14BBCB68" w14:textId="77777777" w:rsidR="007E2727" w:rsidRPr="00B5311D" w:rsidRDefault="007E2727" w:rsidP="007E2727">
      <w:pPr>
        <w:rPr>
          <w:rFonts w:cs="Arial"/>
          <w:i/>
          <w:iCs/>
          <w:sz w:val="22"/>
          <w:szCs w:val="22"/>
        </w:rPr>
      </w:pPr>
    </w:p>
    <w:p w14:paraId="037714B3" w14:textId="77777777" w:rsidR="007E2727" w:rsidRPr="00B5311D" w:rsidRDefault="007E2727" w:rsidP="007E2727">
      <w:pPr>
        <w:rPr>
          <w:rFonts w:cs="Arial"/>
          <w:i/>
          <w:iCs/>
          <w:sz w:val="22"/>
          <w:szCs w:val="22"/>
        </w:rPr>
      </w:pPr>
      <w:r w:rsidRPr="00B5311D">
        <w:rPr>
          <w:rFonts w:cs="Arial"/>
          <w:i/>
          <w:iCs/>
          <w:sz w:val="22"/>
          <w:szCs w:val="22"/>
        </w:rPr>
        <w:t>En el mismo artículo se señala, en todo caso, que la comercialización del gas de dichas fuentes deberá sujetarse a las modalidades de contratos de suministro previstos en la regulación. Entendemos que la CREG observa esta disposición en el artículo 19, en el cual lista las fuentes de suministro que podrán negociar el gas en cualquier momento del año, en todo caso precisando que su comercialización deberá realizarse bajo las modalidades contractuales definidas en el artículo 8.</w:t>
      </w:r>
    </w:p>
    <w:p w14:paraId="0A61C82F" w14:textId="77777777" w:rsidR="007E2727" w:rsidRPr="00B5311D" w:rsidRDefault="007E2727" w:rsidP="007E2727">
      <w:pPr>
        <w:rPr>
          <w:rFonts w:cs="Arial"/>
          <w:i/>
          <w:iCs/>
          <w:sz w:val="22"/>
          <w:szCs w:val="22"/>
        </w:rPr>
      </w:pPr>
    </w:p>
    <w:p w14:paraId="64496C8B" w14:textId="1FB2E926" w:rsidR="007E2727" w:rsidRPr="00B5311D" w:rsidRDefault="007E2727" w:rsidP="007E2727">
      <w:pPr>
        <w:rPr>
          <w:rFonts w:cs="Arial"/>
          <w:i/>
          <w:iCs/>
          <w:sz w:val="22"/>
          <w:szCs w:val="22"/>
        </w:rPr>
      </w:pPr>
      <w:r w:rsidRPr="00B5311D">
        <w:rPr>
          <w:rFonts w:cs="Arial"/>
          <w:i/>
          <w:iCs/>
          <w:sz w:val="22"/>
          <w:szCs w:val="22"/>
        </w:rPr>
        <w:t xml:space="preserve">Sin embargo, en el artículo 21 de la resolución consultada, que trata del </w:t>
      </w:r>
      <w:r w:rsidR="00012744">
        <w:rPr>
          <w:rFonts w:cs="Arial"/>
          <w:i/>
          <w:iCs/>
          <w:sz w:val="22"/>
          <w:szCs w:val="22"/>
        </w:rPr>
        <w:t>‘</w:t>
      </w:r>
      <w:r w:rsidRPr="00B5311D">
        <w:rPr>
          <w:rFonts w:cs="Arial"/>
          <w:i/>
          <w:iCs/>
          <w:sz w:val="22"/>
          <w:szCs w:val="22"/>
        </w:rPr>
        <w:t>Mecanismo de Aseguramiento de la Demanda Esencial, MADE</w:t>
      </w:r>
      <w:r w:rsidR="00012744">
        <w:rPr>
          <w:rFonts w:cs="Arial"/>
          <w:i/>
          <w:iCs/>
          <w:sz w:val="22"/>
          <w:szCs w:val="22"/>
        </w:rPr>
        <w:t>’</w:t>
      </w:r>
      <w:r w:rsidRPr="00B5311D">
        <w:rPr>
          <w:rFonts w:cs="Arial"/>
          <w:i/>
          <w:iCs/>
          <w:sz w:val="22"/>
          <w:szCs w:val="22"/>
        </w:rPr>
        <w:t>, se establecen algunas disposiciones para todas las fuentes de suministro, incluidas las que deberían estar exceptuadas de los mecanismos y procedimientos de la CREG según el artículo 12 del Decreto 2100 de 2011.</w:t>
      </w:r>
    </w:p>
    <w:p w14:paraId="6FD5F68C" w14:textId="77777777" w:rsidR="007E2727" w:rsidRPr="00B5311D" w:rsidRDefault="007E2727" w:rsidP="007E2727">
      <w:pPr>
        <w:rPr>
          <w:rFonts w:cs="Arial"/>
          <w:i/>
          <w:iCs/>
          <w:sz w:val="22"/>
          <w:szCs w:val="22"/>
        </w:rPr>
      </w:pPr>
    </w:p>
    <w:p w14:paraId="7E6041D5" w14:textId="77777777" w:rsidR="007E2727" w:rsidRPr="00B5311D" w:rsidRDefault="007E2727" w:rsidP="007E2727">
      <w:pPr>
        <w:rPr>
          <w:rFonts w:cs="Arial"/>
          <w:i/>
          <w:iCs/>
          <w:sz w:val="22"/>
          <w:szCs w:val="22"/>
        </w:rPr>
      </w:pPr>
      <w:r w:rsidRPr="00B5311D">
        <w:rPr>
          <w:rFonts w:cs="Arial"/>
          <w:i/>
          <w:iCs/>
          <w:sz w:val="22"/>
          <w:szCs w:val="22"/>
        </w:rPr>
        <w:t>Si bien estas disposiciones son puntuales, caben dentro del funcionamiento del mecanismo en la medida en que dicho artículo establece reglas para la comercialización del gas que están condicionadas al balance (superavitario o deficitario) del punto de referencia asociado a la fuente de suministro (literal f) del numeral 2, literales i) y n) del numeral 3, y parágrafo 6). Es decir, si bien las disposiciones propuestas pueden ser razonables, se regularían otras materias diferentes a las modalidades contractuales.</w:t>
      </w:r>
    </w:p>
    <w:p w14:paraId="4DCA74A6" w14:textId="77777777" w:rsidR="007E2727" w:rsidRPr="00B5311D" w:rsidRDefault="007E2727" w:rsidP="007E2727">
      <w:pPr>
        <w:rPr>
          <w:rFonts w:cs="Arial"/>
          <w:i/>
          <w:iCs/>
          <w:sz w:val="22"/>
          <w:szCs w:val="22"/>
        </w:rPr>
      </w:pPr>
    </w:p>
    <w:p w14:paraId="6AE9F046" w14:textId="08811D38" w:rsidR="007E2727" w:rsidRDefault="007E2727" w:rsidP="007E2727">
      <w:pPr>
        <w:rPr>
          <w:rFonts w:cs="Arial"/>
          <w:sz w:val="22"/>
          <w:szCs w:val="22"/>
        </w:rPr>
      </w:pPr>
      <w:r w:rsidRPr="00B5311D">
        <w:rPr>
          <w:rFonts w:cs="Arial"/>
          <w:i/>
          <w:iCs/>
          <w:sz w:val="22"/>
          <w:szCs w:val="22"/>
        </w:rPr>
        <w:t>En tal sentido, para asegurar la alineación con los artículos 11 y 12 del Decreto 2100 de 2011, comedidamente solicitamos que se excluya del artículo 21 cualquier referencia a disposiciones para la comercialización del gas proveniente de campos menores, campos en pruebas extensas, campos para los que no se haya declarado comercialidad, y yacimientos no convencionales</w:t>
      </w:r>
      <w:r w:rsidRPr="007E2727">
        <w:rPr>
          <w:rFonts w:cs="Arial"/>
          <w:sz w:val="22"/>
          <w:szCs w:val="22"/>
        </w:rPr>
        <w:t>."</w:t>
      </w:r>
    </w:p>
    <w:p w14:paraId="5C4A9654" w14:textId="3475FC11" w:rsidR="00B5311D" w:rsidRDefault="00B5311D" w:rsidP="007E2727">
      <w:pPr>
        <w:rPr>
          <w:rFonts w:cs="Arial"/>
          <w:sz w:val="22"/>
          <w:szCs w:val="22"/>
        </w:rPr>
      </w:pPr>
    </w:p>
    <w:p w14:paraId="2D53F311" w14:textId="0545F3F2" w:rsidR="00B5311D" w:rsidRPr="00B5311D" w:rsidRDefault="00B5311D" w:rsidP="007E2727">
      <w:pPr>
        <w:rPr>
          <w:rFonts w:cs="Arial"/>
          <w:b/>
          <w:bCs/>
          <w:sz w:val="22"/>
          <w:szCs w:val="22"/>
        </w:rPr>
      </w:pPr>
      <w:r w:rsidRPr="00B5311D">
        <w:rPr>
          <w:rFonts w:cs="Arial"/>
          <w:b/>
          <w:bCs/>
          <w:sz w:val="22"/>
          <w:szCs w:val="22"/>
        </w:rPr>
        <w:t>Respuesta:</w:t>
      </w:r>
    </w:p>
    <w:p w14:paraId="67AC4761" w14:textId="157A2BE3" w:rsidR="00B5311D" w:rsidRDefault="00B5311D" w:rsidP="007E2727">
      <w:pPr>
        <w:rPr>
          <w:rFonts w:cs="Arial"/>
          <w:sz w:val="22"/>
          <w:szCs w:val="22"/>
        </w:rPr>
      </w:pPr>
    </w:p>
    <w:p w14:paraId="0AF26E9F" w14:textId="67967D88" w:rsidR="00B5311D" w:rsidRDefault="00B5311D"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_Ref131489604 \r \h </w:instrText>
      </w:r>
      <w:r>
        <w:rPr>
          <w:rFonts w:cs="Arial"/>
          <w:sz w:val="22"/>
          <w:szCs w:val="22"/>
        </w:rPr>
      </w:r>
      <w:r>
        <w:rPr>
          <w:rFonts w:cs="Arial"/>
          <w:sz w:val="22"/>
          <w:szCs w:val="22"/>
        </w:rPr>
        <w:fldChar w:fldCharType="separate"/>
      </w:r>
      <w:r w:rsidR="007651EA">
        <w:rPr>
          <w:rFonts w:cs="Arial"/>
          <w:sz w:val="22"/>
          <w:szCs w:val="22"/>
        </w:rPr>
        <w:t>17.7.1.1</w:t>
      </w:r>
      <w:r>
        <w:rPr>
          <w:rFonts w:cs="Arial"/>
          <w:sz w:val="22"/>
          <w:szCs w:val="22"/>
        </w:rPr>
        <w:fldChar w:fldCharType="end"/>
      </w:r>
      <w:r>
        <w:rPr>
          <w:rFonts w:cs="Arial"/>
          <w:sz w:val="22"/>
          <w:szCs w:val="22"/>
        </w:rPr>
        <w:t>.</w:t>
      </w:r>
    </w:p>
    <w:p w14:paraId="0280D641" w14:textId="23A8383B" w:rsidR="00B5311D" w:rsidRDefault="00B5311D" w:rsidP="007E2727">
      <w:pPr>
        <w:rPr>
          <w:rFonts w:cs="Arial"/>
          <w:sz w:val="22"/>
          <w:szCs w:val="22"/>
        </w:rPr>
      </w:pPr>
    </w:p>
    <w:p w14:paraId="17BF0046" w14:textId="6828A662" w:rsidR="00B5311D" w:rsidRDefault="00B5311D" w:rsidP="007E2727">
      <w:pPr>
        <w:rPr>
          <w:rFonts w:cs="Arial"/>
          <w:sz w:val="22"/>
          <w:szCs w:val="22"/>
        </w:rPr>
      </w:pPr>
      <w:r>
        <w:rPr>
          <w:rFonts w:cs="Arial"/>
          <w:sz w:val="22"/>
          <w:szCs w:val="22"/>
        </w:rPr>
        <w:t>Se debe tener en cuenta que en la propuesta realizada</w:t>
      </w:r>
      <w:r w:rsidR="007F602D">
        <w:rPr>
          <w:rFonts w:cs="Arial"/>
          <w:sz w:val="22"/>
          <w:szCs w:val="22"/>
        </w:rPr>
        <w:t xml:space="preserve"> en la Resolución CREG 226 de 2021, cuando se establece un trimestre deficitario para un punto de referencia, y una vez asignadas las reservas de cantidades requeridas para la atención de la Demanda Esencial declarada en la segunda instancia de los compradores ante el </w:t>
      </w:r>
      <w:r w:rsidR="005114C6">
        <w:rPr>
          <w:rFonts w:cs="Arial"/>
          <w:sz w:val="22"/>
          <w:szCs w:val="22"/>
        </w:rPr>
        <w:t>Gestor del Mercado</w:t>
      </w:r>
      <w:r w:rsidR="007F602D">
        <w:rPr>
          <w:rFonts w:cs="Arial"/>
          <w:sz w:val="22"/>
          <w:szCs w:val="22"/>
        </w:rPr>
        <w:t>, los vendedores del Mercado Primario pueden utilizar sus propios mecanismos de comercialización para la asignación de las cantidades de PTDVF restantes y no están obligados al mecanismo de comercialización que procede en estos casos, que es el de la subasta. Así se preserva lo establecido al respecto de los mecanismos de comercialización en el Artículo 11 del Decreto 2100 señalado en el comentario recibido.</w:t>
      </w:r>
    </w:p>
    <w:p w14:paraId="7BC933D5" w14:textId="70D65F79" w:rsidR="007F602D" w:rsidRDefault="007F602D" w:rsidP="007E2727">
      <w:pPr>
        <w:rPr>
          <w:rFonts w:cs="Arial"/>
          <w:sz w:val="22"/>
          <w:szCs w:val="22"/>
        </w:rPr>
      </w:pPr>
    </w:p>
    <w:p w14:paraId="6B1990C7" w14:textId="39F528E7" w:rsidR="007F602D" w:rsidRPr="007E2727" w:rsidRDefault="007F602D" w:rsidP="007E2727">
      <w:pPr>
        <w:rPr>
          <w:rFonts w:cs="Arial"/>
          <w:sz w:val="22"/>
          <w:szCs w:val="22"/>
        </w:rPr>
      </w:pPr>
      <w:r>
        <w:rPr>
          <w:rFonts w:cs="Arial"/>
          <w:sz w:val="22"/>
          <w:szCs w:val="22"/>
        </w:rPr>
        <w:t xml:space="preserve">En todo caso, en la nueva propuesta se hacen algunos ajustes con el fin de dar la mayor claridad posible respecto de la utilización del mecanismo de acceso a la Demanda Esencial y el uso de los mecanismos de comercialización que deben o pueden usar los vendedores. </w:t>
      </w:r>
    </w:p>
    <w:p w14:paraId="64412E8B" w14:textId="524A96FC" w:rsidR="0060003A" w:rsidRDefault="0060003A" w:rsidP="007E2727">
      <w:pPr>
        <w:rPr>
          <w:rFonts w:cs="Arial"/>
          <w:sz w:val="22"/>
          <w:szCs w:val="22"/>
        </w:rPr>
      </w:pPr>
    </w:p>
    <w:p w14:paraId="128F2B20" w14:textId="77777777" w:rsidR="0060003A" w:rsidRDefault="0060003A" w:rsidP="007E2727">
      <w:pPr>
        <w:rPr>
          <w:rFonts w:cs="Arial"/>
          <w:sz w:val="22"/>
          <w:szCs w:val="22"/>
        </w:rPr>
      </w:pPr>
    </w:p>
    <w:p w14:paraId="1E7B06D9" w14:textId="77777777" w:rsidR="0060003A" w:rsidRDefault="007E2727" w:rsidP="002313DA">
      <w:pPr>
        <w:pStyle w:val="Ttulo2"/>
      </w:pPr>
      <w:bookmarkStart w:id="726" w:name="_Toc140506394"/>
      <w:r w:rsidRPr="007E2727">
        <w:t>GASES DE LA GUAJIRA</w:t>
      </w:r>
      <w:bookmarkEnd w:id="726"/>
      <w:r w:rsidRPr="007E2727">
        <w:tab/>
      </w:r>
    </w:p>
    <w:p w14:paraId="5F0AF1A7" w14:textId="77777777" w:rsidR="00F52B11" w:rsidRDefault="00F52B11" w:rsidP="00F52B11">
      <w:pPr>
        <w:pStyle w:val="Ttulo4"/>
      </w:pPr>
      <w:bookmarkStart w:id="727" w:name="_Ref131510457"/>
      <w:r w:rsidRPr="007E2727">
        <w:t>GASES DE LA GUAJIRA</w:t>
      </w:r>
      <w:bookmarkEnd w:id="727"/>
      <w:r w:rsidRPr="007E2727">
        <w:tab/>
      </w:r>
    </w:p>
    <w:p w14:paraId="2BB3A3D1" w14:textId="33A36589" w:rsidR="007E2727" w:rsidRPr="00EB4367" w:rsidRDefault="007E2727" w:rsidP="007E2727">
      <w:pPr>
        <w:rPr>
          <w:rFonts w:cs="Arial"/>
          <w:i/>
          <w:iCs/>
          <w:sz w:val="22"/>
          <w:szCs w:val="22"/>
        </w:rPr>
      </w:pPr>
      <w:r w:rsidRPr="007E2727">
        <w:rPr>
          <w:rFonts w:cs="Arial"/>
          <w:sz w:val="22"/>
          <w:szCs w:val="22"/>
        </w:rPr>
        <w:t>"</w:t>
      </w:r>
      <w:r w:rsidRPr="00EB4367">
        <w:rPr>
          <w:rFonts w:cs="Arial"/>
          <w:i/>
          <w:iCs/>
          <w:sz w:val="22"/>
          <w:szCs w:val="22"/>
        </w:rPr>
        <w:t>Se solicita aclarar si los campos menores van a ser parte del balance que vaya a ser el gestor de mercado en cada punto de referencia.</w:t>
      </w:r>
    </w:p>
    <w:p w14:paraId="25A06278" w14:textId="77777777" w:rsidR="007E2727" w:rsidRPr="00EB4367" w:rsidRDefault="007E2727" w:rsidP="007E2727">
      <w:pPr>
        <w:rPr>
          <w:rFonts w:cs="Arial"/>
          <w:i/>
          <w:iCs/>
          <w:sz w:val="22"/>
          <w:szCs w:val="22"/>
        </w:rPr>
      </w:pPr>
    </w:p>
    <w:p w14:paraId="14EE4B65" w14:textId="0F5B541B" w:rsidR="007E2727" w:rsidRDefault="007E2727" w:rsidP="007E2727">
      <w:pPr>
        <w:rPr>
          <w:rFonts w:cs="Arial"/>
          <w:sz w:val="22"/>
          <w:szCs w:val="22"/>
        </w:rPr>
      </w:pPr>
      <w:r w:rsidRPr="00EB4367">
        <w:rPr>
          <w:rFonts w:cs="Arial"/>
          <w:i/>
          <w:iCs/>
          <w:sz w:val="22"/>
          <w:szCs w:val="22"/>
        </w:rPr>
        <w:t>Si la intención del regulador es que deban participar en el mecanismo llamado MADE, y al mismo tiempo, que tengan libertad de negociación en el tiempo, esto debe estar claramente determinado</w:t>
      </w:r>
      <w:r w:rsidRPr="007E2727">
        <w:rPr>
          <w:rFonts w:cs="Arial"/>
          <w:sz w:val="22"/>
          <w:szCs w:val="22"/>
        </w:rPr>
        <w:t>."</w:t>
      </w:r>
    </w:p>
    <w:p w14:paraId="3DB64768" w14:textId="14DE3215" w:rsidR="00EB4367" w:rsidRDefault="00EB4367" w:rsidP="007E2727">
      <w:pPr>
        <w:rPr>
          <w:rFonts w:cs="Arial"/>
          <w:sz w:val="22"/>
          <w:szCs w:val="22"/>
        </w:rPr>
      </w:pPr>
    </w:p>
    <w:p w14:paraId="2B34062E" w14:textId="27972D77" w:rsidR="00EB4367" w:rsidRPr="00EB4367" w:rsidRDefault="00EB4367" w:rsidP="007E2727">
      <w:pPr>
        <w:rPr>
          <w:rFonts w:cs="Arial"/>
          <w:b/>
          <w:bCs/>
          <w:sz w:val="22"/>
          <w:szCs w:val="22"/>
        </w:rPr>
      </w:pPr>
      <w:r w:rsidRPr="00EB4367">
        <w:rPr>
          <w:rFonts w:cs="Arial"/>
          <w:b/>
          <w:bCs/>
          <w:sz w:val="22"/>
          <w:szCs w:val="22"/>
        </w:rPr>
        <w:t>Respuesta:</w:t>
      </w:r>
    </w:p>
    <w:p w14:paraId="6DB7FDBA" w14:textId="468DBE0F" w:rsidR="00EB4367" w:rsidRDefault="00EB4367" w:rsidP="007E2727">
      <w:pPr>
        <w:rPr>
          <w:rFonts w:cs="Arial"/>
          <w:sz w:val="22"/>
          <w:szCs w:val="22"/>
        </w:rPr>
      </w:pPr>
    </w:p>
    <w:p w14:paraId="32AFFA13" w14:textId="08D64899" w:rsidR="00EB4367" w:rsidRDefault="00EB4367" w:rsidP="007E2727">
      <w:pPr>
        <w:rPr>
          <w:rFonts w:cs="Arial"/>
          <w:sz w:val="22"/>
          <w:szCs w:val="22"/>
        </w:rPr>
      </w:pPr>
      <w:r>
        <w:rPr>
          <w:rFonts w:cs="Arial"/>
          <w:sz w:val="22"/>
          <w:szCs w:val="22"/>
        </w:rPr>
        <w:t>Se acoge el comentario.</w:t>
      </w:r>
    </w:p>
    <w:p w14:paraId="1FABCBE8" w14:textId="1CBA5136" w:rsidR="007E5808" w:rsidRDefault="007E5808" w:rsidP="007E2727">
      <w:pPr>
        <w:rPr>
          <w:rFonts w:cs="Arial"/>
          <w:sz w:val="22"/>
          <w:szCs w:val="22"/>
        </w:rPr>
      </w:pPr>
    </w:p>
    <w:p w14:paraId="5F01E4F6" w14:textId="65D194A8" w:rsidR="00EB4367" w:rsidRDefault="007E5808" w:rsidP="007E2727">
      <w:pPr>
        <w:rPr>
          <w:rFonts w:cs="Arial"/>
          <w:sz w:val="22"/>
          <w:szCs w:val="22"/>
        </w:rPr>
      </w:pPr>
      <w:r>
        <w:rPr>
          <w:rFonts w:cs="Arial"/>
          <w:sz w:val="22"/>
          <w:szCs w:val="22"/>
        </w:rPr>
        <w:t>En la implementación del MADE no hay excepción de participación a ninguna fuente de suministro. Lo anterior, t</w:t>
      </w:r>
      <w:r w:rsidR="00EB4367">
        <w:rPr>
          <w:rFonts w:cs="Arial"/>
          <w:sz w:val="22"/>
          <w:szCs w:val="22"/>
        </w:rPr>
        <w:t>al como se desprende de la propuesta para las fuentes de suministro con posibilidad de negociación directa en cualquier momento del año según el Artículo 19</w:t>
      </w:r>
      <w:r>
        <w:rPr>
          <w:rFonts w:cs="Arial"/>
          <w:sz w:val="22"/>
          <w:szCs w:val="22"/>
        </w:rPr>
        <w:t xml:space="preserve">, cuando </w:t>
      </w:r>
      <w:r w:rsidR="00EB4367">
        <w:rPr>
          <w:rFonts w:cs="Arial"/>
          <w:sz w:val="22"/>
          <w:szCs w:val="22"/>
        </w:rPr>
        <w:t>se coloca como condición que se debe dar</w:t>
      </w:r>
      <w:r w:rsidR="00EB4367" w:rsidRPr="00EB4367">
        <w:rPr>
          <w:rFonts w:cs="Arial"/>
          <w:sz w:val="22"/>
          <w:szCs w:val="22"/>
        </w:rPr>
        <w:t xml:space="preserve"> aplicación a lo contemplado en el Artículo 21 de la </w:t>
      </w:r>
      <w:r>
        <w:rPr>
          <w:rFonts w:cs="Arial"/>
          <w:sz w:val="22"/>
          <w:szCs w:val="22"/>
        </w:rPr>
        <w:t xml:space="preserve">propuesta de </w:t>
      </w:r>
      <w:r w:rsidR="00EB4367" w:rsidRPr="00EB4367">
        <w:rPr>
          <w:rFonts w:cs="Arial"/>
          <w:sz w:val="22"/>
          <w:szCs w:val="22"/>
        </w:rPr>
        <w:t>resolución</w:t>
      </w:r>
      <w:r w:rsidR="00EB4367">
        <w:rPr>
          <w:rFonts w:cs="Arial"/>
          <w:sz w:val="22"/>
          <w:szCs w:val="22"/>
        </w:rPr>
        <w:t>.</w:t>
      </w:r>
    </w:p>
    <w:p w14:paraId="6AB624C7" w14:textId="68ADCC6B" w:rsidR="007E5808" w:rsidRDefault="007E5808" w:rsidP="007E2727">
      <w:pPr>
        <w:rPr>
          <w:rFonts w:cs="Arial"/>
          <w:sz w:val="22"/>
          <w:szCs w:val="22"/>
        </w:rPr>
      </w:pPr>
    </w:p>
    <w:p w14:paraId="759357A3" w14:textId="77777777" w:rsidR="007E5808" w:rsidRPr="007E5808" w:rsidRDefault="007E5808" w:rsidP="007E5808">
      <w:pPr>
        <w:rPr>
          <w:rFonts w:cs="Arial"/>
          <w:sz w:val="22"/>
          <w:szCs w:val="22"/>
        </w:rPr>
      </w:pPr>
      <w:r>
        <w:rPr>
          <w:rFonts w:cs="Arial"/>
          <w:sz w:val="22"/>
          <w:szCs w:val="22"/>
        </w:rPr>
        <w:t xml:space="preserve">En la nueva propuesta se está repitiendo en varias partes del texto que se trata de todas las </w:t>
      </w:r>
      <w:r w:rsidRPr="007E5808">
        <w:rPr>
          <w:rFonts w:cs="Arial"/>
          <w:sz w:val="22"/>
          <w:szCs w:val="22"/>
        </w:rPr>
        <w:t>fuentes de suministro sin excepción ninguna, dejando solamente el caso de</w:t>
      </w:r>
      <w:r w:rsidRPr="007E5808">
        <w:rPr>
          <w:rFonts w:cs="Arial"/>
          <w:color w:val="000000" w:themeColor="text1"/>
          <w:sz w:val="22"/>
          <w:szCs w:val="22"/>
          <w:lang w:val="es-CO"/>
        </w:rPr>
        <w:t xml:space="preserve"> la negociación de los contratos de suministro de contingencia, en razón a lo que su mismo nombre indica.</w:t>
      </w:r>
    </w:p>
    <w:p w14:paraId="7E2F2AEC" w14:textId="77777777" w:rsidR="00EB4367" w:rsidRDefault="00EB4367" w:rsidP="007E2727">
      <w:pPr>
        <w:rPr>
          <w:rFonts w:cs="Arial"/>
          <w:sz w:val="22"/>
          <w:szCs w:val="22"/>
        </w:rPr>
      </w:pPr>
    </w:p>
    <w:p w14:paraId="46C11818" w14:textId="55D8783D" w:rsidR="00EB4367" w:rsidRDefault="00EB4367" w:rsidP="007E2727">
      <w:pPr>
        <w:rPr>
          <w:rFonts w:cs="Arial"/>
          <w:sz w:val="22"/>
          <w:szCs w:val="22"/>
        </w:rPr>
      </w:pPr>
      <w:r>
        <w:rPr>
          <w:rFonts w:cs="Arial"/>
          <w:sz w:val="22"/>
          <w:szCs w:val="22"/>
        </w:rPr>
        <w:t xml:space="preserve">Como se explica en el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Pr>
          <w:rFonts w:cs="Arial"/>
          <w:sz w:val="22"/>
          <w:szCs w:val="22"/>
        </w:rPr>
        <w:t xml:space="preserve"> complementado con el numeral </w:t>
      </w:r>
      <w:r>
        <w:rPr>
          <w:rFonts w:cs="Arial"/>
          <w:sz w:val="22"/>
          <w:szCs w:val="22"/>
        </w:rPr>
        <w:fldChar w:fldCharType="begin"/>
      </w:r>
      <w:r>
        <w:rPr>
          <w:rFonts w:cs="Arial"/>
          <w:sz w:val="22"/>
          <w:szCs w:val="22"/>
        </w:rPr>
        <w:instrText xml:space="preserve"> REF _Ref130286448 \r \h </w:instrText>
      </w:r>
      <w:r>
        <w:rPr>
          <w:rFonts w:cs="Arial"/>
          <w:sz w:val="22"/>
          <w:szCs w:val="22"/>
        </w:rPr>
      </w:r>
      <w:r>
        <w:rPr>
          <w:rFonts w:cs="Arial"/>
          <w:sz w:val="22"/>
          <w:szCs w:val="22"/>
        </w:rPr>
        <w:fldChar w:fldCharType="separate"/>
      </w:r>
      <w:r w:rsidR="007651EA">
        <w:rPr>
          <w:rFonts w:cs="Arial"/>
          <w:sz w:val="22"/>
          <w:szCs w:val="22"/>
        </w:rPr>
        <w:t>2.2.4</w:t>
      </w:r>
      <w:r>
        <w:rPr>
          <w:rFonts w:cs="Arial"/>
          <w:sz w:val="22"/>
          <w:szCs w:val="22"/>
        </w:rPr>
        <w:fldChar w:fldCharType="end"/>
      </w:r>
      <w:r w:rsidR="007E5808">
        <w:rPr>
          <w:rFonts w:cs="Arial"/>
          <w:sz w:val="22"/>
          <w:szCs w:val="22"/>
        </w:rPr>
        <w:t>, e</w:t>
      </w:r>
      <w:r>
        <w:rPr>
          <w:rFonts w:cs="Arial"/>
          <w:sz w:val="22"/>
          <w:szCs w:val="22"/>
        </w:rPr>
        <w:t>l balance comercial que se debe realizar en cada trimestre de negociación para cada uno de los siguientes veinte trimestres estándar y cada punto de referencia, debe incluir a todas las fuentes de suministro sin excepción ninguna</w:t>
      </w:r>
      <w:r w:rsidR="007E5808">
        <w:rPr>
          <w:rFonts w:cs="Arial"/>
          <w:sz w:val="22"/>
          <w:szCs w:val="22"/>
        </w:rPr>
        <w:t>,</w:t>
      </w:r>
      <w:r>
        <w:rPr>
          <w:rFonts w:cs="Arial"/>
          <w:sz w:val="22"/>
          <w:szCs w:val="22"/>
        </w:rPr>
        <w:t xml:space="preserve"> para que el balance sea efectivo y logre el objetivo establecido en la política energética.</w:t>
      </w:r>
    </w:p>
    <w:p w14:paraId="0FD97B2D" w14:textId="255725C5" w:rsidR="00EB4367" w:rsidRDefault="00EB4367" w:rsidP="007E2727">
      <w:pPr>
        <w:rPr>
          <w:rFonts w:cs="Arial"/>
          <w:sz w:val="22"/>
          <w:szCs w:val="22"/>
        </w:rPr>
      </w:pPr>
    </w:p>
    <w:p w14:paraId="1B50C7CB" w14:textId="1219F4F0" w:rsidR="00EB4367" w:rsidRDefault="00EB4367" w:rsidP="007E2727">
      <w:pPr>
        <w:rPr>
          <w:rFonts w:cs="Arial"/>
          <w:sz w:val="22"/>
          <w:szCs w:val="22"/>
        </w:rPr>
      </w:pPr>
      <w:r>
        <w:rPr>
          <w:rFonts w:cs="Arial"/>
          <w:sz w:val="22"/>
          <w:szCs w:val="22"/>
        </w:rPr>
        <w:t xml:space="preserve">Lo </w:t>
      </w:r>
      <w:r w:rsidR="007E5808">
        <w:rPr>
          <w:rFonts w:cs="Arial"/>
          <w:sz w:val="22"/>
          <w:szCs w:val="22"/>
        </w:rPr>
        <w:t>anterior no significa que los mecanismos de comercialización que realicen los vendedores sean los que se proponen en la resolución, que es el de subasta. Cada vendedor puede desarrollar su propio mecanismo de comercialización para las cantidades disponibles a ser contratadas de acuerdo con el MADE.</w:t>
      </w:r>
    </w:p>
    <w:p w14:paraId="6489B061" w14:textId="114056AD" w:rsidR="00EB4367" w:rsidRDefault="00EB4367" w:rsidP="007E2727">
      <w:pPr>
        <w:rPr>
          <w:rFonts w:cs="Arial"/>
          <w:sz w:val="22"/>
          <w:szCs w:val="22"/>
        </w:rPr>
      </w:pPr>
    </w:p>
    <w:p w14:paraId="38272F33" w14:textId="77777777" w:rsidR="0060003A" w:rsidRDefault="0060003A" w:rsidP="007E2727">
      <w:pPr>
        <w:rPr>
          <w:rFonts w:cs="Arial"/>
          <w:sz w:val="22"/>
          <w:szCs w:val="22"/>
        </w:rPr>
      </w:pPr>
    </w:p>
    <w:p w14:paraId="630901A4" w14:textId="77777777" w:rsidR="0060003A" w:rsidRDefault="007E2727" w:rsidP="000D05A3">
      <w:pPr>
        <w:pStyle w:val="Ttulo4"/>
      </w:pPr>
      <w:bookmarkStart w:id="728" w:name="_Ref131510544"/>
      <w:r w:rsidRPr="007E2727">
        <w:t>GASES DE LA GUAJIRA</w:t>
      </w:r>
      <w:bookmarkEnd w:id="728"/>
      <w:r w:rsidRPr="007E2727">
        <w:tab/>
      </w:r>
    </w:p>
    <w:p w14:paraId="14CF2534" w14:textId="19761B7B" w:rsidR="007E2727" w:rsidRPr="007E5808" w:rsidRDefault="007E2727" w:rsidP="007E2727">
      <w:pPr>
        <w:rPr>
          <w:rFonts w:cs="Arial"/>
          <w:i/>
          <w:iCs/>
          <w:sz w:val="22"/>
          <w:szCs w:val="22"/>
        </w:rPr>
      </w:pPr>
      <w:r w:rsidRPr="007E2727">
        <w:rPr>
          <w:rFonts w:cs="Arial"/>
          <w:sz w:val="22"/>
          <w:szCs w:val="22"/>
        </w:rPr>
        <w:t>"</w:t>
      </w:r>
      <w:r w:rsidRPr="007E5808">
        <w:rPr>
          <w:rFonts w:cs="Arial"/>
          <w:i/>
          <w:iCs/>
          <w:sz w:val="22"/>
          <w:szCs w:val="22"/>
        </w:rPr>
        <w:t>El artículo no es claro, y deja un espacio demasiado amplio para que los productores puedan evadir la señal regulatoria, y en ese sentido, se requiere una mayor precisión: ¿esto aplicaría para los campos que están conectados al sistema nacional de transporte, y que al mismo tiempo tienen cantidades adicionales de gas que van a viabilizar por GNC o GNL?</w:t>
      </w:r>
    </w:p>
    <w:p w14:paraId="69D3089D" w14:textId="5CBA52BD" w:rsidR="007E2727" w:rsidRPr="007E5808" w:rsidRDefault="007E2727" w:rsidP="007E2727">
      <w:pPr>
        <w:rPr>
          <w:rFonts w:cs="Arial"/>
          <w:i/>
          <w:iCs/>
          <w:sz w:val="22"/>
          <w:szCs w:val="22"/>
        </w:rPr>
      </w:pPr>
      <w:r w:rsidRPr="007E5808">
        <w:rPr>
          <w:rFonts w:cs="Arial"/>
          <w:i/>
          <w:iCs/>
          <w:sz w:val="22"/>
          <w:szCs w:val="22"/>
        </w:rPr>
        <w:t>¿En caso afirmativo, las cantidades a negociar serían o solamente sobre aquellos volúmenes que se van a contratar con GNC o GNL?"</w:t>
      </w:r>
    </w:p>
    <w:p w14:paraId="7304FF1D" w14:textId="1CA4F34B" w:rsidR="007E5808" w:rsidRDefault="007E5808" w:rsidP="007E2727">
      <w:pPr>
        <w:rPr>
          <w:rFonts w:cs="Arial"/>
          <w:sz w:val="22"/>
          <w:szCs w:val="22"/>
        </w:rPr>
      </w:pPr>
    </w:p>
    <w:p w14:paraId="7F163685" w14:textId="7D1EF9DA" w:rsidR="007E5808" w:rsidRPr="007E5808" w:rsidRDefault="007E5808" w:rsidP="007E2727">
      <w:pPr>
        <w:rPr>
          <w:rFonts w:cs="Arial"/>
          <w:b/>
          <w:bCs/>
          <w:sz w:val="22"/>
          <w:szCs w:val="22"/>
        </w:rPr>
      </w:pPr>
      <w:r w:rsidRPr="007E5808">
        <w:rPr>
          <w:rFonts w:cs="Arial"/>
          <w:b/>
          <w:bCs/>
          <w:sz w:val="22"/>
          <w:szCs w:val="22"/>
        </w:rPr>
        <w:t>Respuesta:</w:t>
      </w:r>
    </w:p>
    <w:p w14:paraId="28641370" w14:textId="224A7140" w:rsidR="007E5808" w:rsidRDefault="007E5808" w:rsidP="007E2727">
      <w:pPr>
        <w:rPr>
          <w:rFonts w:cs="Arial"/>
          <w:sz w:val="22"/>
          <w:szCs w:val="22"/>
        </w:rPr>
      </w:pPr>
    </w:p>
    <w:p w14:paraId="1CE77B9E" w14:textId="0D58B21C" w:rsidR="007E5808" w:rsidRDefault="007E5808" w:rsidP="007E2727">
      <w:pPr>
        <w:rPr>
          <w:rFonts w:cs="Arial"/>
          <w:sz w:val="22"/>
          <w:szCs w:val="22"/>
        </w:rPr>
      </w:pPr>
      <w:r>
        <w:rPr>
          <w:rFonts w:cs="Arial"/>
          <w:sz w:val="22"/>
          <w:szCs w:val="22"/>
        </w:rPr>
        <w:t xml:space="preserve">El MADE aplica a todas las fuentes de suministro sin excepción y a todas las formas (o estados del gas) de suministro (gas en estado natural, GNC, GNL). Puede ocurrir que una fuente de suministro ofrezca cantidades PTDVF de GNL, </w:t>
      </w:r>
      <w:proofErr w:type="gramStart"/>
      <w:r>
        <w:rPr>
          <w:rFonts w:cs="Arial"/>
          <w:sz w:val="22"/>
          <w:szCs w:val="22"/>
        </w:rPr>
        <w:t>considerando</w:t>
      </w:r>
      <w:proofErr w:type="gramEnd"/>
      <w:r>
        <w:rPr>
          <w:rFonts w:cs="Arial"/>
          <w:sz w:val="22"/>
          <w:szCs w:val="22"/>
        </w:rPr>
        <w:t xml:space="preserve"> por ejemplo, un usuario que no esté conectado al SNT o que requiera gas para ser almacenado, o que </w:t>
      </w:r>
      <w:r w:rsidR="007C7A2A">
        <w:rPr>
          <w:rFonts w:cs="Arial"/>
          <w:sz w:val="22"/>
          <w:szCs w:val="22"/>
        </w:rPr>
        <w:t>lo considere más competitivo.</w:t>
      </w:r>
    </w:p>
    <w:p w14:paraId="1EB583F6" w14:textId="34943927" w:rsidR="007C7A2A" w:rsidRDefault="007C7A2A" w:rsidP="007E2727">
      <w:pPr>
        <w:rPr>
          <w:rFonts w:cs="Arial"/>
          <w:sz w:val="22"/>
          <w:szCs w:val="22"/>
        </w:rPr>
      </w:pPr>
    </w:p>
    <w:p w14:paraId="35615D44" w14:textId="5BB423BD" w:rsidR="007C7A2A" w:rsidRDefault="007C7A2A" w:rsidP="007E2727">
      <w:pPr>
        <w:rPr>
          <w:rFonts w:cs="Arial"/>
          <w:sz w:val="22"/>
          <w:szCs w:val="22"/>
        </w:rPr>
      </w:pPr>
      <w:r>
        <w:rPr>
          <w:rFonts w:cs="Arial"/>
          <w:sz w:val="22"/>
          <w:szCs w:val="22"/>
        </w:rPr>
        <w:t xml:space="preserve">En la nueva propuesta se hace un ajuste de modo tal que para la realización del balance comercial se tenga en cuenta solamente la capacidad total PTDVF independientemente de la modalidad contractual o del estado en que se propone la venta del gas. En caso de que </w:t>
      </w:r>
      <w:r w:rsidR="00FE100F">
        <w:rPr>
          <w:rFonts w:cs="Arial"/>
          <w:sz w:val="22"/>
          <w:szCs w:val="22"/>
        </w:rPr>
        <w:t xml:space="preserve">en </w:t>
      </w:r>
      <w:r>
        <w:rPr>
          <w:rFonts w:cs="Arial"/>
          <w:sz w:val="22"/>
          <w:szCs w:val="22"/>
        </w:rPr>
        <w:t xml:space="preserve">el balance comercial </w:t>
      </w:r>
      <w:r w:rsidR="00FE100F">
        <w:rPr>
          <w:rFonts w:cs="Arial"/>
          <w:sz w:val="22"/>
          <w:szCs w:val="22"/>
        </w:rPr>
        <w:t>se obtenga un déficit de oferta comercial</w:t>
      </w:r>
      <w:r>
        <w:rPr>
          <w:rFonts w:cs="Arial"/>
          <w:sz w:val="22"/>
          <w:szCs w:val="22"/>
        </w:rPr>
        <w:t>, se procede con la subasta centralizada donde solamente se ofrece la modalidad contractual CF95, excepto en los casos de las fuentes de suministro con negociación directa en cualquier momento del año, que podrán utilizar sus propios mecanismos de comercialización del gas disponible después de la asignación a la Demanda Esencial requerida por los compradores.</w:t>
      </w:r>
    </w:p>
    <w:p w14:paraId="3EC2E18A" w14:textId="77777777" w:rsidR="007E5808" w:rsidRPr="007E2727" w:rsidRDefault="007E5808" w:rsidP="007E2727">
      <w:pPr>
        <w:rPr>
          <w:rFonts w:cs="Arial"/>
          <w:sz w:val="22"/>
          <w:szCs w:val="22"/>
        </w:rPr>
      </w:pPr>
    </w:p>
    <w:p w14:paraId="30FF2B03" w14:textId="77777777" w:rsidR="0060003A" w:rsidRDefault="0060003A" w:rsidP="007E2727">
      <w:pPr>
        <w:rPr>
          <w:rFonts w:cs="Arial"/>
          <w:sz w:val="22"/>
          <w:szCs w:val="22"/>
        </w:rPr>
      </w:pPr>
    </w:p>
    <w:p w14:paraId="5784A538" w14:textId="77777777" w:rsidR="0060003A" w:rsidRDefault="0060003A" w:rsidP="007E2727">
      <w:pPr>
        <w:rPr>
          <w:rFonts w:cs="Arial"/>
          <w:sz w:val="22"/>
          <w:szCs w:val="22"/>
        </w:rPr>
      </w:pPr>
    </w:p>
    <w:p w14:paraId="5B12576E" w14:textId="77777777" w:rsidR="0060003A" w:rsidRDefault="007E2727" w:rsidP="002313DA">
      <w:pPr>
        <w:pStyle w:val="Ttulo2"/>
      </w:pPr>
      <w:bookmarkStart w:id="729" w:name="_Toc140506395"/>
      <w:r w:rsidRPr="007E2727">
        <w:t>GASES DE OCCIDENTE</w:t>
      </w:r>
      <w:bookmarkEnd w:id="729"/>
      <w:r w:rsidRPr="007E2727">
        <w:tab/>
      </w:r>
    </w:p>
    <w:p w14:paraId="7D555E3F" w14:textId="77777777" w:rsidR="00F52B11" w:rsidRDefault="00F52B11" w:rsidP="00F52B11">
      <w:pPr>
        <w:pStyle w:val="Ttulo4"/>
      </w:pPr>
      <w:bookmarkStart w:id="730" w:name="_Ref132028058"/>
      <w:r w:rsidRPr="007E2727">
        <w:t>GASES DE OCCIDENTE</w:t>
      </w:r>
      <w:bookmarkEnd w:id="730"/>
      <w:r w:rsidRPr="007E2727">
        <w:tab/>
      </w:r>
    </w:p>
    <w:p w14:paraId="3EFE48D5" w14:textId="51319FEB" w:rsidR="007E2727" w:rsidRDefault="007E2727" w:rsidP="007E2727">
      <w:pPr>
        <w:rPr>
          <w:rFonts w:cs="Arial"/>
          <w:sz w:val="22"/>
          <w:szCs w:val="22"/>
        </w:rPr>
      </w:pPr>
      <w:r w:rsidRPr="007E2727">
        <w:rPr>
          <w:rFonts w:cs="Arial"/>
          <w:sz w:val="22"/>
          <w:szCs w:val="22"/>
        </w:rPr>
        <w:t>"</w:t>
      </w:r>
      <w:r w:rsidRPr="00FE100F">
        <w:rPr>
          <w:rFonts w:cs="Arial"/>
          <w:i/>
          <w:iCs/>
          <w:sz w:val="22"/>
          <w:szCs w:val="22"/>
        </w:rPr>
        <w:t>Se consideran apropiadas las disposiciones que la CREG plantea en esta materia</w:t>
      </w:r>
      <w:r w:rsidRPr="007E2727">
        <w:rPr>
          <w:rFonts w:cs="Arial"/>
          <w:sz w:val="22"/>
          <w:szCs w:val="22"/>
        </w:rPr>
        <w:t>."</w:t>
      </w:r>
    </w:p>
    <w:p w14:paraId="77D0CD17" w14:textId="2058D994" w:rsidR="00FE100F" w:rsidRDefault="00FE100F" w:rsidP="007E2727">
      <w:pPr>
        <w:rPr>
          <w:rFonts w:cs="Arial"/>
          <w:sz w:val="22"/>
          <w:szCs w:val="22"/>
        </w:rPr>
      </w:pPr>
    </w:p>
    <w:p w14:paraId="0B9FBDBD" w14:textId="2CA211EF" w:rsidR="00FE100F" w:rsidRPr="00FE100F" w:rsidRDefault="00FE100F" w:rsidP="007E2727">
      <w:pPr>
        <w:rPr>
          <w:rFonts w:cs="Arial"/>
          <w:b/>
          <w:bCs/>
          <w:sz w:val="22"/>
          <w:szCs w:val="22"/>
        </w:rPr>
      </w:pPr>
      <w:r w:rsidRPr="00FE100F">
        <w:rPr>
          <w:rFonts w:cs="Arial"/>
          <w:b/>
          <w:bCs/>
          <w:sz w:val="22"/>
          <w:szCs w:val="22"/>
        </w:rPr>
        <w:t>Respuesta:</w:t>
      </w:r>
    </w:p>
    <w:p w14:paraId="6096C2AF" w14:textId="12B78AA5" w:rsidR="00FE100F" w:rsidRDefault="00FE100F" w:rsidP="007E2727">
      <w:pPr>
        <w:rPr>
          <w:rFonts w:cs="Arial"/>
          <w:sz w:val="22"/>
          <w:szCs w:val="22"/>
        </w:rPr>
      </w:pPr>
    </w:p>
    <w:p w14:paraId="264E91F7" w14:textId="261F67E6" w:rsidR="00FE100F" w:rsidRPr="007E2727" w:rsidRDefault="00FE100F" w:rsidP="007E2727">
      <w:pPr>
        <w:rPr>
          <w:rFonts w:cs="Arial"/>
          <w:sz w:val="22"/>
          <w:szCs w:val="22"/>
        </w:rPr>
      </w:pPr>
      <w:r>
        <w:rPr>
          <w:rFonts w:cs="Arial"/>
          <w:sz w:val="22"/>
          <w:szCs w:val="22"/>
        </w:rPr>
        <w:t>Se debe tener en cuenta que en la nueva propuesta se realizaron ajustes y precisiones de texto a partir de los comentarios recibidos a la propuesta inicial.</w:t>
      </w:r>
    </w:p>
    <w:p w14:paraId="48A1C5A3" w14:textId="77777777" w:rsidR="0060003A" w:rsidRDefault="0060003A" w:rsidP="007E2727">
      <w:pPr>
        <w:rPr>
          <w:rFonts w:cs="Arial"/>
          <w:sz w:val="22"/>
          <w:szCs w:val="22"/>
        </w:rPr>
      </w:pPr>
    </w:p>
    <w:p w14:paraId="72C049ED" w14:textId="77777777" w:rsidR="0060003A" w:rsidRDefault="0060003A" w:rsidP="007E2727">
      <w:pPr>
        <w:rPr>
          <w:rFonts w:cs="Arial"/>
          <w:sz w:val="22"/>
          <w:szCs w:val="22"/>
        </w:rPr>
      </w:pPr>
    </w:p>
    <w:p w14:paraId="3185966B" w14:textId="77777777" w:rsidR="0060003A" w:rsidRDefault="007E2727" w:rsidP="002313DA">
      <w:pPr>
        <w:pStyle w:val="Ttulo2"/>
      </w:pPr>
      <w:bookmarkStart w:id="731" w:name="_Toc140506396"/>
      <w:r w:rsidRPr="007E2727">
        <w:t>GASES DEL CARIBE</w:t>
      </w:r>
      <w:bookmarkEnd w:id="731"/>
      <w:r w:rsidRPr="007E2727">
        <w:tab/>
      </w:r>
    </w:p>
    <w:p w14:paraId="20910228" w14:textId="77777777" w:rsidR="00F52B11" w:rsidRDefault="00F52B11" w:rsidP="00F52B11">
      <w:pPr>
        <w:pStyle w:val="Ttulo4"/>
      </w:pPr>
      <w:r w:rsidRPr="007E2727">
        <w:t>GASES DEL CARIBE</w:t>
      </w:r>
      <w:r w:rsidRPr="007E2727">
        <w:tab/>
      </w:r>
    </w:p>
    <w:p w14:paraId="3C3CECC5" w14:textId="55E0F0E0" w:rsidR="007E2727" w:rsidRPr="00FE100F" w:rsidRDefault="007E2727" w:rsidP="007E2727">
      <w:pPr>
        <w:rPr>
          <w:rFonts w:cs="Arial"/>
          <w:i/>
          <w:iCs/>
          <w:sz w:val="22"/>
          <w:szCs w:val="22"/>
        </w:rPr>
      </w:pPr>
      <w:r w:rsidRPr="007E2727">
        <w:rPr>
          <w:rFonts w:cs="Arial"/>
          <w:sz w:val="22"/>
          <w:szCs w:val="22"/>
        </w:rPr>
        <w:t>"</w:t>
      </w:r>
      <w:r w:rsidRPr="00FE100F">
        <w:rPr>
          <w:rFonts w:cs="Arial"/>
          <w:i/>
          <w:iCs/>
          <w:sz w:val="22"/>
          <w:szCs w:val="22"/>
        </w:rPr>
        <w:t>Se solicita aclarar si los campos menores van a ser parte del balance que vaya a ser el gestor de mercado en cada punto de referencia.</w:t>
      </w:r>
    </w:p>
    <w:p w14:paraId="08540FCC" w14:textId="77777777" w:rsidR="007E2727" w:rsidRPr="00FE100F" w:rsidRDefault="007E2727" w:rsidP="007E2727">
      <w:pPr>
        <w:rPr>
          <w:rFonts w:cs="Arial"/>
          <w:i/>
          <w:iCs/>
          <w:sz w:val="22"/>
          <w:szCs w:val="22"/>
        </w:rPr>
      </w:pPr>
    </w:p>
    <w:p w14:paraId="1BEEAA80" w14:textId="1DE1B893" w:rsidR="007E2727" w:rsidRDefault="007E2727" w:rsidP="007E2727">
      <w:pPr>
        <w:rPr>
          <w:rFonts w:cs="Arial"/>
          <w:sz w:val="22"/>
          <w:szCs w:val="22"/>
        </w:rPr>
      </w:pPr>
      <w:r w:rsidRPr="00FE100F">
        <w:rPr>
          <w:rFonts w:cs="Arial"/>
          <w:i/>
          <w:iCs/>
          <w:sz w:val="22"/>
          <w:szCs w:val="22"/>
        </w:rPr>
        <w:t>Si la intención del regulador es que deban participar en el mecanismo llamado MADE, y al mismo tiempo, que tengan libertad de negociación en el tiempo, esto debe estar claramente determinado</w:t>
      </w:r>
      <w:r w:rsidRPr="007E2727">
        <w:rPr>
          <w:rFonts w:cs="Arial"/>
          <w:sz w:val="22"/>
          <w:szCs w:val="22"/>
        </w:rPr>
        <w:t>."</w:t>
      </w:r>
    </w:p>
    <w:p w14:paraId="7772A6F5" w14:textId="047BF0C1" w:rsidR="00FE100F" w:rsidRDefault="00FE100F" w:rsidP="007E2727">
      <w:pPr>
        <w:rPr>
          <w:rFonts w:cs="Arial"/>
          <w:sz w:val="22"/>
          <w:szCs w:val="22"/>
        </w:rPr>
      </w:pPr>
    </w:p>
    <w:p w14:paraId="21CFD762" w14:textId="2458C864" w:rsidR="00FE100F" w:rsidRPr="00FE100F" w:rsidRDefault="00FE100F" w:rsidP="007E2727">
      <w:pPr>
        <w:rPr>
          <w:rFonts w:cs="Arial"/>
          <w:b/>
          <w:bCs/>
          <w:sz w:val="22"/>
          <w:szCs w:val="22"/>
        </w:rPr>
      </w:pPr>
      <w:r w:rsidRPr="00FE100F">
        <w:rPr>
          <w:rFonts w:cs="Arial"/>
          <w:b/>
          <w:bCs/>
          <w:sz w:val="22"/>
          <w:szCs w:val="22"/>
        </w:rPr>
        <w:t>Respuesta:</w:t>
      </w:r>
    </w:p>
    <w:p w14:paraId="7D0C7060" w14:textId="61402116" w:rsidR="00FE100F" w:rsidRDefault="00FE100F" w:rsidP="007E2727">
      <w:pPr>
        <w:rPr>
          <w:rFonts w:cs="Arial"/>
          <w:sz w:val="22"/>
          <w:szCs w:val="22"/>
        </w:rPr>
      </w:pPr>
    </w:p>
    <w:p w14:paraId="74423FE7" w14:textId="79122437" w:rsidR="00FE100F" w:rsidRDefault="00FE100F"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_Ref131510457 \r \h </w:instrText>
      </w:r>
      <w:r>
        <w:rPr>
          <w:rFonts w:cs="Arial"/>
          <w:sz w:val="22"/>
          <w:szCs w:val="22"/>
        </w:rPr>
      </w:r>
      <w:r>
        <w:rPr>
          <w:rFonts w:cs="Arial"/>
          <w:sz w:val="22"/>
          <w:szCs w:val="22"/>
        </w:rPr>
        <w:fldChar w:fldCharType="separate"/>
      </w:r>
      <w:r w:rsidR="007651EA">
        <w:rPr>
          <w:rFonts w:cs="Arial"/>
          <w:sz w:val="22"/>
          <w:szCs w:val="22"/>
        </w:rPr>
        <w:t>17.8.1.1</w:t>
      </w:r>
      <w:r>
        <w:rPr>
          <w:rFonts w:cs="Arial"/>
          <w:sz w:val="22"/>
          <w:szCs w:val="22"/>
        </w:rPr>
        <w:fldChar w:fldCharType="end"/>
      </w:r>
      <w:r>
        <w:rPr>
          <w:rFonts w:cs="Arial"/>
          <w:sz w:val="22"/>
          <w:szCs w:val="22"/>
        </w:rPr>
        <w:t>.</w:t>
      </w:r>
    </w:p>
    <w:p w14:paraId="206E3168" w14:textId="77777777" w:rsidR="00FE100F" w:rsidRPr="007E2727" w:rsidRDefault="00FE100F" w:rsidP="007E2727">
      <w:pPr>
        <w:rPr>
          <w:rFonts w:cs="Arial"/>
          <w:sz w:val="22"/>
          <w:szCs w:val="22"/>
        </w:rPr>
      </w:pPr>
    </w:p>
    <w:p w14:paraId="2AC18D0E" w14:textId="77777777" w:rsidR="0060003A" w:rsidRDefault="0060003A" w:rsidP="007E2727">
      <w:pPr>
        <w:rPr>
          <w:rFonts w:cs="Arial"/>
          <w:sz w:val="22"/>
          <w:szCs w:val="22"/>
        </w:rPr>
      </w:pPr>
    </w:p>
    <w:p w14:paraId="52082FDB" w14:textId="77777777" w:rsidR="0060003A" w:rsidRDefault="007E2727" w:rsidP="00F52B11">
      <w:pPr>
        <w:pStyle w:val="Ttulo4"/>
      </w:pPr>
      <w:r w:rsidRPr="007E2727">
        <w:t>GASES DEL CARIBE</w:t>
      </w:r>
      <w:r w:rsidRPr="007E2727">
        <w:tab/>
      </w:r>
    </w:p>
    <w:p w14:paraId="2E0FBC7B" w14:textId="5E4D2EC5" w:rsidR="007E2727" w:rsidRPr="00FE100F" w:rsidRDefault="007E2727" w:rsidP="007E2727">
      <w:pPr>
        <w:rPr>
          <w:rFonts w:cs="Arial"/>
          <w:i/>
          <w:iCs/>
          <w:sz w:val="22"/>
          <w:szCs w:val="22"/>
        </w:rPr>
      </w:pPr>
      <w:r w:rsidRPr="007E2727">
        <w:rPr>
          <w:rFonts w:cs="Arial"/>
          <w:sz w:val="22"/>
          <w:szCs w:val="22"/>
        </w:rPr>
        <w:t>"</w:t>
      </w:r>
      <w:r w:rsidRPr="00FE100F">
        <w:rPr>
          <w:rFonts w:cs="Arial"/>
          <w:i/>
          <w:iCs/>
          <w:sz w:val="22"/>
          <w:szCs w:val="22"/>
        </w:rPr>
        <w:t>El artículo no es claro, y deja un espacio demasiado amplio para que los productores puedan evadir la señal regulatoria, y en ese sentido, se requiere una mayor precisión: ¿esto aplicaría para los campos que están conectados al sistema nacional de transporte, y que al mismo tiempo tienen cantidades adicionales de gas que van a viabilizar por GNC o GNL?</w:t>
      </w:r>
    </w:p>
    <w:p w14:paraId="2CBE7534" w14:textId="5BFC0377" w:rsidR="007E2727" w:rsidRPr="00FE100F" w:rsidRDefault="007E2727" w:rsidP="007E2727">
      <w:pPr>
        <w:rPr>
          <w:rFonts w:cs="Arial"/>
          <w:i/>
          <w:iCs/>
          <w:sz w:val="22"/>
          <w:szCs w:val="22"/>
        </w:rPr>
      </w:pPr>
      <w:r w:rsidRPr="00FE100F">
        <w:rPr>
          <w:rFonts w:cs="Arial"/>
          <w:i/>
          <w:iCs/>
          <w:sz w:val="22"/>
          <w:szCs w:val="22"/>
        </w:rPr>
        <w:t>¿En caso afirmativo, las cantidades a negociar serían o solamente sobre aquellos volúmenes que se van a contratar con GNC o GNL?"</w:t>
      </w:r>
    </w:p>
    <w:p w14:paraId="6E1DC192" w14:textId="0697F9F9" w:rsidR="00FE100F" w:rsidRDefault="00FE100F" w:rsidP="007E2727">
      <w:pPr>
        <w:rPr>
          <w:rFonts w:cs="Arial"/>
          <w:sz w:val="22"/>
          <w:szCs w:val="22"/>
        </w:rPr>
      </w:pPr>
    </w:p>
    <w:p w14:paraId="1168A57A" w14:textId="77777777" w:rsidR="00FE100F" w:rsidRPr="00FE100F" w:rsidRDefault="00FE100F" w:rsidP="00FE100F">
      <w:pPr>
        <w:rPr>
          <w:rFonts w:cs="Arial"/>
          <w:b/>
          <w:bCs/>
          <w:sz w:val="22"/>
          <w:szCs w:val="22"/>
        </w:rPr>
      </w:pPr>
      <w:r w:rsidRPr="00FE100F">
        <w:rPr>
          <w:rFonts w:cs="Arial"/>
          <w:b/>
          <w:bCs/>
          <w:sz w:val="22"/>
          <w:szCs w:val="22"/>
        </w:rPr>
        <w:t>Respuesta:</w:t>
      </w:r>
    </w:p>
    <w:p w14:paraId="76A0F962" w14:textId="77777777" w:rsidR="00FE100F" w:rsidRDefault="00FE100F" w:rsidP="00FE100F">
      <w:pPr>
        <w:rPr>
          <w:rFonts w:cs="Arial"/>
          <w:sz w:val="22"/>
          <w:szCs w:val="22"/>
        </w:rPr>
      </w:pPr>
    </w:p>
    <w:p w14:paraId="0F5D89B8" w14:textId="683C2D8B" w:rsidR="00FE100F" w:rsidRPr="007E2727" w:rsidRDefault="00FE100F" w:rsidP="00FE100F">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_Ref131510544 \r \h </w:instrText>
      </w:r>
      <w:r>
        <w:rPr>
          <w:rFonts w:cs="Arial"/>
          <w:sz w:val="22"/>
          <w:szCs w:val="22"/>
        </w:rPr>
      </w:r>
      <w:r>
        <w:rPr>
          <w:rFonts w:cs="Arial"/>
          <w:sz w:val="22"/>
          <w:szCs w:val="22"/>
        </w:rPr>
        <w:fldChar w:fldCharType="separate"/>
      </w:r>
      <w:r w:rsidR="007651EA">
        <w:rPr>
          <w:rFonts w:cs="Arial"/>
          <w:sz w:val="22"/>
          <w:szCs w:val="22"/>
        </w:rPr>
        <w:t>17.8.1.2</w:t>
      </w:r>
      <w:r>
        <w:rPr>
          <w:rFonts w:cs="Arial"/>
          <w:sz w:val="22"/>
          <w:szCs w:val="22"/>
        </w:rPr>
        <w:fldChar w:fldCharType="end"/>
      </w:r>
      <w:r>
        <w:rPr>
          <w:rFonts w:cs="Arial"/>
          <w:sz w:val="22"/>
          <w:szCs w:val="22"/>
        </w:rPr>
        <w:t>.</w:t>
      </w:r>
    </w:p>
    <w:p w14:paraId="52017E35" w14:textId="77777777" w:rsidR="0060003A" w:rsidRDefault="0060003A" w:rsidP="007E2727">
      <w:pPr>
        <w:rPr>
          <w:rFonts w:cs="Arial"/>
          <w:sz w:val="22"/>
          <w:szCs w:val="22"/>
        </w:rPr>
      </w:pPr>
    </w:p>
    <w:p w14:paraId="08426843" w14:textId="77777777" w:rsidR="0060003A" w:rsidRDefault="0060003A" w:rsidP="007E2727">
      <w:pPr>
        <w:rPr>
          <w:rFonts w:cs="Arial"/>
          <w:sz w:val="22"/>
          <w:szCs w:val="22"/>
        </w:rPr>
      </w:pPr>
    </w:p>
    <w:p w14:paraId="6FD278CA" w14:textId="77777777" w:rsidR="0060003A" w:rsidRDefault="007E2727" w:rsidP="002313DA">
      <w:pPr>
        <w:pStyle w:val="Ttulo2"/>
      </w:pPr>
      <w:bookmarkStart w:id="732" w:name="_Toc140506397"/>
      <w:r w:rsidRPr="007E2727">
        <w:t>GASES DEL ORIENTE</w:t>
      </w:r>
      <w:bookmarkEnd w:id="732"/>
      <w:r w:rsidRPr="007E2727">
        <w:tab/>
      </w:r>
    </w:p>
    <w:p w14:paraId="11D11470" w14:textId="77777777" w:rsidR="00F52B11" w:rsidRDefault="00F52B11" w:rsidP="00F52B11">
      <w:pPr>
        <w:pStyle w:val="Ttulo4"/>
      </w:pPr>
      <w:r w:rsidRPr="007E2727">
        <w:t>GASES DEL ORIENTE</w:t>
      </w:r>
      <w:r w:rsidRPr="007E2727">
        <w:tab/>
      </w:r>
    </w:p>
    <w:p w14:paraId="21A32069" w14:textId="1A1C5882" w:rsidR="007E2727" w:rsidRPr="00FE100F" w:rsidRDefault="00AF406B" w:rsidP="007E2727">
      <w:pPr>
        <w:rPr>
          <w:rFonts w:cs="Arial"/>
          <w:i/>
          <w:iCs/>
          <w:sz w:val="22"/>
          <w:szCs w:val="22"/>
        </w:rPr>
      </w:pPr>
      <w:r w:rsidRPr="00FE100F">
        <w:rPr>
          <w:rFonts w:cs="Arial"/>
          <w:i/>
          <w:iCs/>
          <w:sz w:val="22"/>
          <w:szCs w:val="22"/>
        </w:rPr>
        <w:t>S</w:t>
      </w:r>
      <w:r w:rsidR="007E2727" w:rsidRPr="00FE100F">
        <w:rPr>
          <w:rFonts w:cs="Arial"/>
          <w:i/>
          <w:iCs/>
          <w:sz w:val="22"/>
          <w:szCs w:val="22"/>
        </w:rPr>
        <w:t>e hace necesario incluir el propano al 95% como una materia base para el uso del sistema de respaldo de gas natural sustituto (GNS) que se pueda pactar en cualquier momento del año y que cumpla lineamientos de contratación bilateral.</w:t>
      </w:r>
    </w:p>
    <w:p w14:paraId="4C7C2012" w14:textId="50E73482" w:rsidR="00FE100F" w:rsidRDefault="00FE100F" w:rsidP="007E2727">
      <w:pPr>
        <w:rPr>
          <w:rFonts w:cs="Arial"/>
          <w:sz w:val="22"/>
          <w:szCs w:val="22"/>
        </w:rPr>
      </w:pPr>
    </w:p>
    <w:p w14:paraId="50D638D7" w14:textId="45023EA7" w:rsidR="00FE100F" w:rsidRPr="00FE100F" w:rsidRDefault="00FE100F" w:rsidP="007E2727">
      <w:pPr>
        <w:rPr>
          <w:rFonts w:cs="Arial"/>
          <w:b/>
          <w:bCs/>
          <w:sz w:val="22"/>
          <w:szCs w:val="22"/>
        </w:rPr>
      </w:pPr>
      <w:r w:rsidRPr="00FE100F">
        <w:rPr>
          <w:rFonts w:cs="Arial"/>
          <w:b/>
          <w:bCs/>
          <w:sz w:val="22"/>
          <w:szCs w:val="22"/>
        </w:rPr>
        <w:t>Respuesta:</w:t>
      </w:r>
    </w:p>
    <w:p w14:paraId="022A6D1B" w14:textId="387874FD" w:rsidR="00FE100F" w:rsidRDefault="00FE100F" w:rsidP="007E2727">
      <w:pPr>
        <w:rPr>
          <w:rFonts w:cs="Arial"/>
          <w:sz w:val="22"/>
          <w:szCs w:val="22"/>
        </w:rPr>
      </w:pPr>
    </w:p>
    <w:p w14:paraId="002CCD9A" w14:textId="084F3EF6" w:rsidR="00FE100F" w:rsidRDefault="00FE100F" w:rsidP="007E2727">
      <w:pPr>
        <w:rPr>
          <w:rFonts w:cs="Arial"/>
          <w:sz w:val="22"/>
          <w:szCs w:val="22"/>
        </w:rPr>
      </w:pPr>
      <w:r>
        <w:rPr>
          <w:rFonts w:cs="Arial"/>
          <w:sz w:val="22"/>
          <w:szCs w:val="22"/>
        </w:rPr>
        <w:t>No se entiende el comentario.</w:t>
      </w:r>
    </w:p>
    <w:p w14:paraId="632F13C5" w14:textId="20165372" w:rsidR="00FE100F" w:rsidRDefault="00FE100F" w:rsidP="007E2727">
      <w:pPr>
        <w:rPr>
          <w:rFonts w:cs="Arial"/>
          <w:sz w:val="22"/>
          <w:szCs w:val="22"/>
        </w:rPr>
      </w:pPr>
    </w:p>
    <w:p w14:paraId="43FF6953" w14:textId="167A1401" w:rsidR="00FE100F" w:rsidRDefault="00FE100F" w:rsidP="007E2727">
      <w:pPr>
        <w:rPr>
          <w:rFonts w:cs="Arial"/>
          <w:sz w:val="22"/>
          <w:szCs w:val="22"/>
        </w:rPr>
      </w:pPr>
      <w:r>
        <w:rPr>
          <w:rFonts w:cs="Arial"/>
          <w:sz w:val="22"/>
          <w:szCs w:val="22"/>
        </w:rPr>
        <w:t xml:space="preserve">Se </w:t>
      </w:r>
      <w:proofErr w:type="gramStart"/>
      <w:r>
        <w:rPr>
          <w:rFonts w:cs="Arial"/>
          <w:sz w:val="22"/>
          <w:szCs w:val="22"/>
        </w:rPr>
        <w:t>hace mención de</w:t>
      </w:r>
      <w:proofErr w:type="gramEnd"/>
      <w:r>
        <w:rPr>
          <w:rFonts w:cs="Arial"/>
          <w:sz w:val="22"/>
          <w:szCs w:val="22"/>
        </w:rPr>
        <w:t xml:space="preserve"> propano al 95% cuando la resolución trata del Mercado Mayorista de gas natural, que como se propone en la definición, es</w:t>
      </w:r>
      <w:r w:rsidRPr="00FE100F">
        <w:rPr>
          <w:rFonts w:cs="Arial"/>
          <w:sz w:val="22"/>
          <w:szCs w:val="22"/>
        </w:rPr>
        <w:t xml:space="preserve"> una mezcla de hidrocarburos livianos, principalmente constituida por metano, que se encuentra en los yacimientos en forma libre o en forma asociada al petróleo</w:t>
      </w:r>
      <w:r w:rsidR="007A65AD">
        <w:rPr>
          <w:rFonts w:cs="Arial"/>
          <w:sz w:val="22"/>
          <w:szCs w:val="22"/>
        </w:rPr>
        <w:t>. Por otra parte, el concepto de</w:t>
      </w:r>
      <w:r>
        <w:rPr>
          <w:rFonts w:cs="Arial"/>
          <w:sz w:val="22"/>
          <w:szCs w:val="22"/>
        </w:rPr>
        <w:t xml:space="preserve"> respaldo de gas natural </w:t>
      </w:r>
      <w:proofErr w:type="gramStart"/>
      <w:r>
        <w:rPr>
          <w:rFonts w:cs="Arial"/>
          <w:sz w:val="22"/>
          <w:szCs w:val="22"/>
        </w:rPr>
        <w:t>sustituto,</w:t>
      </w:r>
      <w:proofErr w:type="gramEnd"/>
      <w:r>
        <w:rPr>
          <w:rFonts w:cs="Arial"/>
          <w:sz w:val="22"/>
          <w:szCs w:val="22"/>
        </w:rPr>
        <w:t xml:space="preserve"> </w:t>
      </w:r>
      <w:r w:rsidR="007A65AD">
        <w:rPr>
          <w:rFonts w:cs="Arial"/>
          <w:sz w:val="22"/>
          <w:szCs w:val="22"/>
        </w:rPr>
        <w:t xml:space="preserve">no ha sido </w:t>
      </w:r>
      <w:r>
        <w:rPr>
          <w:rFonts w:cs="Arial"/>
          <w:sz w:val="22"/>
          <w:szCs w:val="22"/>
        </w:rPr>
        <w:t xml:space="preserve">establecido en la propuesta inicial. </w:t>
      </w:r>
    </w:p>
    <w:p w14:paraId="1C565C3A" w14:textId="77777777" w:rsidR="0060003A" w:rsidRDefault="0060003A" w:rsidP="007E2727">
      <w:pPr>
        <w:rPr>
          <w:rFonts w:cs="Arial"/>
          <w:sz w:val="22"/>
          <w:szCs w:val="22"/>
        </w:rPr>
      </w:pPr>
    </w:p>
    <w:p w14:paraId="44511E58" w14:textId="77777777" w:rsidR="0060003A" w:rsidRDefault="0060003A" w:rsidP="007E2727">
      <w:pPr>
        <w:rPr>
          <w:rFonts w:cs="Arial"/>
          <w:sz w:val="22"/>
          <w:szCs w:val="22"/>
        </w:rPr>
      </w:pPr>
    </w:p>
    <w:p w14:paraId="36E24B7F" w14:textId="77777777" w:rsidR="0060003A" w:rsidRDefault="007E2727" w:rsidP="002313DA">
      <w:pPr>
        <w:pStyle w:val="Ttulo2"/>
      </w:pPr>
      <w:bookmarkStart w:id="733" w:name="_Toc140506398"/>
      <w:r w:rsidRPr="007E2727">
        <w:t>GECELCA</w:t>
      </w:r>
      <w:bookmarkEnd w:id="733"/>
      <w:r w:rsidRPr="007E2727">
        <w:tab/>
      </w:r>
    </w:p>
    <w:p w14:paraId="7FA5DEBB" w14:textId="77777777" w:rsidR="00F52B11" w:rsidRDefault="00F52B11" w:rsidP="00F52B11">
      <w:pPr>
        <w:pStyle w:val="Ttulo4"/>
      </w:pPr>
      <w:r w:rsidRPr="007E2727">
        <w:t>GECELCA</w:t>
      </w:r>
      <w:r w:rsidRPr="007E2727">
        <w:tab/>
      </w:r>
    </w:p>
    <w:p w14:paraId="0A1F31CB" w14:textId="7705DC53" w:rsidR="007E2727" w:rsidRPr="007A65AD" w:rsidRDefault="007E2727" w:rsidP="007E2727">
      <w:pPr>
        <w:rPr>
          <w:rFonts w:cs="Arial"/>
          <w:i/>
          <w:iCs/>
          <w:sz w:val="22"/>
          <w:szCs w:val="22"/>
        </w:rPr>
      </w:pPr>
      <w:r w:rsidRPr="007E2727">
        <w:rPr>
          <w:rFonts w:cs="Arial"/>
          <w:sz w:val="22"/>
          <w:szCs w:val="22"/>
        </w:rPr>
        <w:t>"</w:t>
      </w:r>
      <w:r w:rsidRPr="007A65AD">
        <w:rPr>
          <w:rFonts w:cs="Arial"/>
          <w:i/>
          <w:iCs/>
          <w:sz w:val="22"/>
          <w:szCs w:val="22"/>
        </w:rPr>
        <w:t>El artículo 19 contempla las siguientes dos condiciones para llevar a cabo las negociaciones directas en cualquier momento del año de las fuentes definidas en el artículo 19:</w:t>
      </w:r>
    </w:p>
    <w:p w14:paraId="69C5DD75" w14:textId="77777777" w:rsidR="007E2727" w:rsidRPr="007A65AD" w:rsidRDefault="007E2727" w:rsidP="007E2727">
      <w:pPr>
        <w:rPr>
          <w:rFonts w:cs="Arial"/>
          <w:i/>
          <w:iCs/>
          <w:sz w:val="22"/>
          <w:szCs w:val="22"/>
        </w:rPr>
      </w:pPr>
    </w:p>
    <w:p w14:paraId="66CDD1DB" w14:textId="77777777" w:rsidR="007E2727" w:rsidRPr="007A65AD" w:rsidRDefault="007E2727" w:rsidP="007E2727">
      <w:pPr>
        <w:rPr>
          <w:rFonts w:cs="Arial"/>
          <w:i/>
          <w:iCs/>
          <w:sz w:val="22"/>
          <w:szCs w:val="22"/>
        </w:rPr>
      </w:pPr>
      <w:r w:rsidRPr="007A65AD">
        <w:rPr>
          <w:rFonts w:cs="Arial"/>
          <w:i/>
          <w:iCs/>
          <w:sz w:val="22"/>
          <w:szCs w:val="22"/>
        </w:rPr>
        <w:t xml:space="preserve">i) El contrato que se registre incluya únicamente una sola fuente de suministro.  </w:t>
      </w:r>
    </w:p>
    <w:p w14:paraId="00F89E2C" w14:textId="77777777" w:rsidR="007E2727" w:rsidRPr="007A65AD" w:rsidRDefault="007E2727" w:rsidP="007E2727">
      <w:pPr>
        <w:rPr>
          <w:rFonts w:cs="Arial"/>
          <w:i/>
          <w:iCs/>
          <w:sz w:val="22"/>
          <w:szCs w:val="22"/>
        </w:rPr>
      </w:pPr>
      <w:proofErr w:type="spellStart"/>
      <w:r w:rsidRPr="007A65AD">
        <w:rPr>
          <w:rFonts w:cs="Arial"/>
          <w:i/>
          <w:iCs/>
          <w:sz w:val="22"/>
          <w:szCs w:val="22"/>
        </w:rPr>
        <w:t>ii</w:t>
      </w:r>
      <w:proofErr w:type="spellEnd"/>
      <w:r w:rsidRPr="007A65AD">
        <w:rPr>
          <w:rFonts w:cs="Arial"/>
          <w:i/>
          <w:iCs/>
          <w:sz w:val="22"/>
          <w:szCs w:val="22"/>
        </w:rPr>
        <w:t xml:space="preserve">) Se dé aplicación a los contemplado en el artículo 21 de la presente resolución. </w:t>
      </w:r>
    </w:p>
    <w:p w14:paraId="5CD8A8C4" w14:textId="77777777" w:rsidR="007E2727" w:rsidRPr="007A65AD" w:rsidRDefault="007E2727" w:rsidP="007E2727">
      <w:pPr>
        <w:rPr>
          <w:rFonts w:cs="Arial"/>
          <w:i/>
          <w:iCs/>
          <w:sz w:val="22"/>
          <w:szCs w:val="22"/>
        </w:rPr>
      </w:pPr>
    </w:p>
    <w:p w14:paraId="7ECF5C8A" w14:textId="48C5A459" w:rsidR="007E2727" w:rsidRPr="007A65AD" w:rsidRDefault="007E2727" w:rsidP="007E2727">
      <w:pPr>
        <w:rPr>
          <w:rFonts w:cs="Arial"/>
          <w:i/>
          <w:iCs/>
          <w:sz w:val="22"/>
          <w:szCs w:val="22"/>
        </w:rPr>
      </w:pPr>
      <w:r w:rsidRPr="007A65AD">
        <w:rPr>
          <w:rFonts w:cs="Arial"/>
          <w:i/>
          <w:iCs/>
          <w:sz w:val="22"/>
          <w:szCs w:val="22"/>
        </w:rPr>
        <w:t>De acuerdo con lo anterior, solicitamos a la CREG evaluar la pertinencia de permitir estas negociaciones</w:t>
      </w:r>
      <w:r w:rsidR="00C85DD2">
        <w:rPr>
          <w:rFonts w:cs="Arial"/>
          <w:i/>
          <w:iCs/>
          <w:sz w:val="22"/>
          <w:szCs w:val="22"/>
        </w:rPr>
        <w:t>,</w:t>
      </w:r>
      <w:r w:rsidRPr="007A65AD">
        <w:rPr>
          <w:rFonts w:cs="Arial"/>
          <w:i/>
          <w:iCs/>
          <w:sz w:val="22"/>
          <w:szCs w:val="22"/>
        </w:rPr>
        <w:t xml:space="preserve"> independiente del resultado del balance comercial que se realiza trimestralmente, dado que con lo indicado en el proyecto de resolución se le estaría quitando flexibilidad al mercado primario. Como se menciona en el documento soporte CREG-188 de 2021, las fuentes del artículo 19 están exceptuadas de los mecanismos y procedimientos de comercialización de la PTDV y de la CIDV por el Decreto 1073 de 2015 y estas le aportan una mayor oferta a la demanda del sector termoeléctrico. </w:t>
      </w:r>
    </w:p>
    <w:p w14:paraId="741E10AB" w14:textId="77777777" w:rsidR="007E2727" w:rsidRPr="007A65AD" w:rsidRDefault="007E2727" w:rsidP="007E2727">
      <w:pPr>
        <w:rPr>
          <w:rFonts w:cs="Arial"/>
          <w:i/>
          <w:iCs/>
          <w:sz w:val="22"/>
          <w:szCs w:val="22"/>
        </w:rPr>
      </w:pPr>
    </w:p>
    <w:p w14:paraId="407257BF" w14:textId="3EADCBEA" w:rsidR="007E2727" w:rsidRDefault="007E2727" w:rsidP="007E2727">
      <w:pPr>
        <w:rPr>
          <w:rFonts w:cs="Arial"/>
          <w:sz w:val="22"/>
          <w:szCs w:val="22"/>
        </w:rPr>
      </w:pPr>
      <w:r w:rsidRPr="007A65AD">
        <w:rPr>
          <w:rFonts w:cs="Arial"/>
          <w:i/>
          <w:iCs/>
          <w:sz w:val="22"/>
          <w:szCs w:val="22"/>
        </w:rPr>
        <w:t>Adicionalmente, vemos dificultades para la contratación del gas necesario para el respaldo de OEF de las plantas termoeléctricas dado que solo sería posible recurrir a las fuentes del artículo 19 cuando el balance comercial del artículo 21 arroje una condición excedentaria.</w:t>
      </w:r>
      <w:r w:rsidRPr="007E2727">
        <w:rPr>
          <w:rFonts w:cs="Arial"/>
          <w:sz w:val="22"/>
          <w:szCs w:val="22"/>
        </w:rPr>
        <w:t>"</w:t>
      </w:r>
    </w:p>
    <w:p w14:paraId="0C7FF231" w14:textId="237AF222" w:rsidR="007A65AD" w:rsidRDefault="007A65AD" w:rsidP="007E2727">
      <w:pPr>
        <w:rPr>
          <w:rFonts w:cs="Arial"/>
          <w:sz w:val="22"/>
          <w:szCs w:val="22"/>
        </w:rPr>
      </w:pPr>
    </w:p>
    <w:p w14:paraId="3EA7BBE6" w14:textId="4C5F718F" w:rsidR="007A65AD" w:rsidRPr="007A65AD" w:rsidRDefault="007A65AD" w:rsidP="007E2727">
      <w:pPr>
        <w:rPr>
          <w:rFonts w:cs="Arial"/>
          <w:b/>
          <w:bCs/>
          <w:sz w:val="22"/>
          <w:szCs w:val="22"/>
        </w:rPr>
      </w:pPr>
      <w:r w:rsidRPr="007A65AD">
        <w:rPr>
          <w:rFonts w:cs="Arial"/>
          <w:b/>
          <w:bCs/>
          <w:sz w:val="22"/>
          <w:szCs w:val="22"/>
        </w:rPr>
        <w:t>Respuesta:</w:t>
      </w:r>
    </w:p>
    <w:p w14:paraId="0494699F" w14:textId="2C74AE32" w:rsidR="007A65AD" w:rsidRDefault="007A65AD" w:rsidP="007E2727">
      <w:pPr>
        <w:rPr>
          <w:rFonts w:cs="Arial"/>
          <w:sz w:val="22"/>
          <w:szCs w:val="22"/>
        </w:rPr>
      </w:pPr>
    </w:p>
    <w:p w14:paraId="134B7402" w14:textId="18FD80A5" w:rsidR="007A65AD" w:rsidRDefault="007A65AD" w:rsidP="007E2727">
      <w:pPr>
        <w:rPr>
          <w:rFonts w:cs="Arial"/>
          <w:sz w:val="22"/>
          <w:szCs w:val="22"/>
        </w:rPr>
      </w:pPr>
      <w:r>
        <w:rPr>
          <w:rFonts w:cs="Arial"/>
          <w:sz w:val="22"/>
          <w:szCs w:val="22"/>
        </w:rPr>
        <w:t>No se acoge el comentario.</w:t>
      </w:r>
    </w:p>
    <w:p w14:paraId="503CF0DD" w14:textId="4CF12D98" w:rsidR="007A65AD" w:rsidRDefault="007A65AD" w:rsidP="007E2727">
      <w:pPr>
        <w:rPr>
          <w:rFonts w:cs="Arial"/>
          <w:sz w:val="22"/>
          <w:szCs w:val="22"/>
        </w:rPr>
      </w:pPr>
    </w:p>
    <w:p w14:paraId="5B6EFBDB" w14:textId="5283CEC0" w:rsidR="007A65AD" w:rsidRDefault="007A65AD" w:rsidP="007E2727">
      <w:pPr>
        <w:rPr>
          <w:rFonts w:cs="Arial"/>
          <w:sz w:val="22"/>
          <w:szCs w:val="22"/>
        </w:rPr>
      </w:pPr>
      <w:r>
        <w:rPr>
          <w:rFonts w:cs="Arial"/>
          <w:sz w:val="22"/>
          <w:szCs w:val="22"/>
        </w:rPr>
        <w:t xml:space="preserve"> 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Pr>
          <w:rFonts w:cs="Arial"/>
          <w:sz w:val="22"/>
          <w:szCs w:val="22"/>
        </w:rPr>
        <w:t xml:space="preserve"> y numeral </w:t>
      </w:r>
      <w:r>
        <w:rPr>
          <w:rFonts w:cs="Arial"/>
          <w:sz w:val="22"/>
          <w:szCs w:val="22"/>
        </w:rPr>
        <w:fldChar w:fldCharType="begin"/>
      </w:r>
      <w:r>
        <w:rPr>
          <w:rFonts w:cs="Arial"/>
          <w:sz w:val="22"/>
          <w:szCs w:val="22"/>
        </w:rPr>
        <w:instrText xml:space="preserve"> REF _Ref130286448 \r \h </w:instrText>
      </w:r>
      <w:r>
        <w:rPr>
          <w:rFonts w:cs="Arial"/>
          <w:sz w:val="22"/>
          <w:szCs w:val="22"/>
        </w:rPr>
      </w:r>
      <w:r>
        <w:rPr>
          <w:rFonts w:cs="Arial"/>
          <w:sz w:val="22"/>
          <w:szCs w:val="22"/>
        </w:rPr>
        <w:fldChar w:fldCharType="separate"/>
      </w:r>
      <w:r w:rsidR="007651EA">
        <w:rPr>
          <w:rFonts w:cs="Arial"/>
          <w:sz w:val="22"/>
          <w:szCs w:val="22"/>
        </w:rPr>
        <w:t>2.2.4</w:t>
      </w:r>
      <w:r>
        <w:rPr>
          <w:rFonts w:cs="Arial"/>
          <w:sz w:val="22"/>
          <w:szCs w:val="22"/>
        </w:rPr>
        <w:fldChar w:fldCharType="end"/>
      </w:r>
      <w:r>
        <w:rPr>
          <w:rFonts w:cs="Arial"/>
          <w:sz w:val="22"/>
          <w:szCs w:val="22"/>
        </w:rPr>
        <w:t>.</w:t>
      </w:r>
    </w:p>
    <w:p w14:paraId="66113F14" w14:textId="77777777" w:rsidR="007A65AD" w:rsidRPr="007E2727" w:rsidRDefault="007A65AD" w:rsidP="007E2727">
      <w:pPr>
        <w:rPr>
          <w:rFonts w:cs="Arial"/>
          <w:sz w:val="22"/>
          <w:szCs w:val="22"/>
        </w:rPr>
      </w:pPr>
    </w:p>
    <w:p w14:paraId="4EC5EDAA" w14:textId="77777777" w:rsidR="0060003A" w:rsidRDefault="0060003A" w:rsidP="007E2727">
      <w:pPr>
        <w:rPr>
          <w:rFonts w:cs="Arial"/>
          <w:sz w:val="22"/>
          <w:szCs w:val="22"/>
        </w:rPr>
      </w:pPr>
    </w:p>
    <w:p w14:paraId="7665A85F" w14:textId="77777777" w:rsidR="0060003A" w:rsidRDefault="0060003A" w:rsidP="007E2727">
      <w:pPr>
        <w:rPr>
          <w:rFonts w:cs="Arial"/>
          <w:sz w:val="22"/>
          <w:szCs w:val="22"/>
        </w:rPr>
      </w:pPr>
    </w:p>
    <w:p w14:paraId="55CEA044" w14:textId="77777777" w:rsidR="0060003A" w:rsidRDefault="007E2727" w:rsidP="002313DA">
      <w:pPr>
        <w:pStyle w:val="Ttulo2"/>
      </w:pPr>
      <w:bookmarkStart w:id="734" w:name="_Toc140506399"/>
      <w:r w:rsidRPr="007E2727">
        <w:t>GIGAS ENERGY</w:t>
      </w:r>
      <w:bookmarkEnd w:id="734"/>
      <w:r w:rsidRPr="007E2727">
        <w:tab/>
      </w:r>
    </w:p>
    <w:p w14:paraId="604DAFAC" w14:textId="77777777" w:rsidR="00F52B11" w:rsidRDefault="00F52B11" w:rsidP="00F52B11">
      <w:pPr>
        <w:pStyle w:val="Ttulo4"/>
      </w:pPr>
      <w:bookmarkStart w:id="735" w:name="_Ref132005153"/>
      <w:r w:rsidRPr="007E2727">
        <w:t>GIGAS ENERGY</w:t>
      </w:r>
      <w:bookmarkEnd w:id="735"/>
      <w:r w:rsidRPr="007E2727">
        <w:tab/>
      </w:r>
    </w:p>
    <w:p w14:paraId="7D9D1C51" w14:textId="1D8D9A6F" w:rsidR="007E2727" w:rsidRPr="007A65AD" w:rsidRDefault="007E2727" w:rsidP="007E2727">
      <w:pPr>
        <w:rPr>
          <w:rFonts w:cs="Arial"/>
          <w:i/>
          <w:iCs/>
          <w:sz w:val="22"/>
          <w:szCs w:val="22"/>
        </w:rPr>
      </w:pPr>
      <w:r w:rsidRPr="007E2727">
        <w:rPr>
          <w:rFonts w:cs="Arial"/>
          <w:sz w:val="22"/>
          <w:szCs w:val="22"/>
        </w:rPr>
        <w:t>"</w:t>
      </w:r>
      <w:r w:rsidRPr="007A65AD">
        <w:rPr>
          <w:rFonts w:cs="Arial"/>
          <w:i/>
          <w:iCs/>
          <w:sz w:val="22"/>
          <w:szCs w:val="22"/>
        </w:rPr>
        <w:t>Actualmente, en algunas fu</w:t>
      </w:r>
      <w:r w:rsidR="007A65AD">
        <w:rPr>
          <w:rFonts w:cs="Arial"/>
          <w:i/>
          <w:iCs/>
          <w:sz w:val="22"/>
          <w:szCs w:val="22"/>
        </w:rPr>
        <w:t>e</w:t>
      </w:r>
      <w:r w:rsidRPr="007A65AD">
        <w:rPr>
          <w:rFonts w:cs="Arial"/>
          <w:i/>
          <w:iCs/>
          <w:sz w:val="22"/>
          <w:szCs w:val="22"/>
        </w:rPr>
        <w:t xml:space="preserve">ntes de suministro provenientes de campos menores y campos aislados incumplen sus obligaciones contractuales en firme, debido a que no cuentan con las cantidades de gas comprometidas a través de los contratos que suscriben. </w:t>
      </w:r>
    </w:p>
    <w:p w14:paraId="0F5438C7" w14:textId="77777777" w:rsidR="007E2727" w:rsidRPr="007A65AD" w:rsidRDefault="007E2727" w:rsidP="007E2727">
      <w:pPr>
        <w:rPr>
          <w:rFonts w:cs="Arial"/>
          <w:i/>
          <w:iCs/>
          <w:sz w:val="22"/>
          <w:szCs w:val="22"/>
        </w:rPr>
      </w:pPr>
    </w:p>
    <w:p w14:paraId="4A11865F" w14:textId="21A44096" w:rsidR="007E2727" w:rsidRDefault="007E2727" w:rsidP="007E2727">
      <w:pPr>
        <w:rPr>
          <w:rFonts w:cs="Arial"/>
          <w:sz w:val="22"/>
          <w:szCs w:val="22"/>
        </w:rPr>
      </w:pPr>
      <w:r w:rsidRPr="007A65AD">
        <w:rPr>
          <w:rFonts w:cs="Arial"/>
          <w:i/>
          <w:iCs/>
          <w:sz w:val="22"/>
          <w:szCs w:val="22"/>
        </w:rPr>
        <w:t xml:space="preserve">Con el propósito de darle seguridad al mercado, a la información declarada sobre cantidades de gas disponibles para </w:t>
      </w:r>
      <w:r w:rsidR="007A65AD">
        <w:rPr>
          <w:rFonts w:cs="Arial"/>
          <w:i/>
          <w:iCs/>
          <w:sz w:val="22"/>
          <w:szCs w:val="22"/>
        </w:rPr>
        <w:t>la</w:t>
      </w:r>
      <w:r w:rsidRPr="007A65AD">
        <w:rPr>
          <w:rFonts w:cs="Arial"/>
          <w:i/>
          <w:iCs/>
          <w:sz w:val="22"/>
          <w:szCs w:val="22"/>
        </w:rPr>
        <w:t xml:space="preserve"> venta en firme, y procurar el cumplimiento de los contratos, es necesario que estas fuentes de suministro cuenten con pruebas extensas que les permita garantizar la entrega de las cantidades contratadas en firme</w:t>
      </w:r>
      <w:r w:rsidRPr="007E2727">
        <w:rPr>
          <w:rFonts w:cs="Arial"/>
          <w:sz w:val="22"/>
          <w:szCs w:val="22"/>
        </w:rPr>
        <w:t>."</w:t>
      </w:r>
    </w:p>
    <w:p w14:paraId="34F4980A" w14:textId="26797E4B" w:rsidR="007A65AD" w:rsidRDefault="007A65AD" w:rsidP="007E2727">
      <w:pPr>
        <w:rPr>
          <w:rFonts w:cs="Arial"/>
          <w:sz w:val="22"/>
          <w:szCs w:val="22"/>
        </w:rPr>
      </w:pPr>
    </w:p>
    <w:p w14:paraId="1DEEC1BD" w14:textId="7D621BA1" w:rsidR="007A65AD" w:rsidRPr="007A65AD" w:rsidRDefault="007A65AD" w:rsidP="007E2727">
      <w:pPr>
        <w:rPr>
          <w:rFonts w:cs="Arial"/>
          <w:b/>
          <w:bCs/>
          <w:sz w:val="22"/>
          <w:szCs w:val="22"/>
        </w:rPr>
      </w:pPr>
      <w:r w:rsidRPr="007A65AD">
        <w:rPr>
          <w:rFonts w:cs="Arial"/>
          <w:b/>
          <w:bCs/>
          <w:sz w:val="22"/>
          <w:szCs w:val="22"/>
        </w:rPr>
        <w:t>Respuesta:</w:t>
      </w:r>
    </w:p>
    <w:p w14:paraId="37CAF9E2" w14:textId="62FD958D" w:rsidR="007A65AD" w:rsidRDefault="007A65AD" w:rsidP="007E2727">
      <w:pPr>
        <w:rPr>
          <w:rFonts w:cs="Arial"/>
          <w:sz w:val="22"/>
          <w:szCs w:val="22"/>
        </w:rPr>
      </w:pPr>
    </w:p>
    <w:p w14:paraId="355F214F" w14:textId="004D7A6E" w:rsidR="007A65AD" w:rsidRDefault="007A65AD" w:rsidP="007E2727">
      <w:pPr>
        <w:rPr>
          <w:rFonts w:cs="Arial"/>
          <w:sz w:val="22"/>
          <w:szCs w:val="22"/>
        </w:rPr>
      </w:pPr>
      <w:r>
        <w:rPr>
          <w:rFonts w:cs="Arial"/>
          <w:sz w:val="22"/>
          <w:szCs w:val="22"/>
        </w:rPr>
        <w:t>No se acoge el comentario.</w:t>
      </w:r>
    </w:p>
    <w:p w14:paraId="375E8E66" w14:textId="4189C0FD" w:rsidR="007A65AD" w:rsidRDefault="007A65AD" w:rsidP="007E2727">
      <w:pPr>
        <w:rPr>
          <w:rFonts w:cs="Arial"/>
          <w:sz w:val="22"/>
          <w:szCs w:val="22"/>
        </w:rPr>
      </w:pPr>
    </w:p>
    <w:p w14:paraId="2B791D1B" w14:textId="77777777" w:rsidR="007A65AD" w:rsidRDefault="007A65AD" w:rsidP="007E2727">
      <w:pPr>
        <w:rPr>
          <w:rFonts w:cs="Arial"/>
          <w:sz w:val="22"/>
          <w:szCs w:val="22"/>
        </w:rPr>
      </w:pPr>
      <w:r>
        <w:rPr>
          <w:rFonts w:cs="Arial"/>
          <w:sz w:val="22"/>
          <w:szCs w:val="22"/>
        </w:rPr>
        <w:t>El productor-comercializador es responsable de la declaración de comercialidad de un campo, de la declaración de potencial de producción y de las cantidades que de dicho potencial considera que puede cumplir bajo un tipo de contrato firme o que garantía firmeza. Se entiende que para realizar la declaración de comercialidad el productor-comercializador ha analizado todos los elementos necesarios para hacerla, en las condiciones del contrato de exploración y producción que suscribe con la ANH.</w:t>
      </w:r>
    </w:p>
    <w:p w14:paraId="2046794F" w14:textId="77777777" w:rsidR="007A65AD" w:rsidRDefault="007A65AD" w:rsidP="007E2727">
      <w:pPr>
        <w:rPr>
          <w:rFonts w:cs="Arial"/>
          <w:sz w:val="22"/>
          <w:szCs w:val="22"/>
        </w:rPr>
      </w:pPr>
    </w:p>
    <w:p w14:paraId="5CBD7B48" w14:textId="3ABE8951" w:rsidR="007A65AD" w:rsidRDefault="007A65AD" w:rsidP="007E2727">
      <w:pPr>
        <w:rPr>
          <w:rFonts w:cs="Arial"/>
          <w:sz w:val="22"/>
          <w:szCs w:val="22"/>
        </w:rPr>
      </w:pPr>
      <w:r>
        <w:rPr>
          <w:rFonts w:cs="Arial"/>
          <w:sz w:val="22"/>
          <w:szCs w:val="22"/>
        </w:rPr>
        <w:t>En la nueva propuesta se está incluyendo la obligación</w:t>
      </w:r>
      <w:r w:rsidR="00461DF0">
        <w:rPr>
          <w:rFonts w:cs="Arial"/>
          <w:sz w:val="22"/>
          <w:szCs w:val="22"/>
        </w:rPr>
        <w:t xml:space="preserve"> de incluir en los contratos de tipo firme o que garantizan firmeza, las condiciones o requisitos mínimos establecidos por la CREG, así la fuente de suministro </w:t>
      </w:r>
      <w:r w:rsidR="00D42078">
        <w:rPr>
          <w:rFonts w:cs="Arial"/>
          <w:sz w:val="22"/>
          <w:szCs w:val="22"/>
        </w:rPr>
        <w:t>corresponda a un campo de producción que se encuentra en pruebas extensas o no ha declarado comercialidad</w:t>
      </w:r>
      <w:r w:rsidR="00461DF0">
        <w:rPr>
          <w:rFonts w:cs="Arial"/>
          <w:sz w:val="22"/>
          <w:szCs w:val="22"/>
        </w:rPr>
        <w:t xml:space="preserve"> </w:t>
      </w:r>
      <w:r w:rsidR="00D42078">
        <w:rPr>
          <w:rFonts w:cs="Arial"/>
          <w:sz w:val="22"/>
          <w:szCs w:val="22"/>
        </w:rPr>
        <w:t>al momento de suscribir el contrato de este tipo. Eso sí, para que dicha fuente pueda suscribir tal tipo de contrato, deberá contar con Respaldo Físico.</w:t>
      </w:r>
    </w:p>
    <w:p w14:paraId="585538EE" w14:textId="5875EAB0" w:rsidR="007A65AD" w:rsidRDefault="007A65AD" w:rsidP="007E2727">
      <w:pPr>
        <w:rPr>
          <w:rFonts w:cs="Arial"/>
          <w:sz w:val="22"/>
          <w:szCs w:val="22"/>
        </w:rPr>
      </w:pPr>
    </w:p>
    <w:p w14:paraId="7A67A2F7" w14:textId="77777777" w:rsidR="0060003A" w:rsidRDefault="0060003A" w:rsidP="007E2727">
      <w:pPr>
        <w:rPr>
          <w:rFonts w:cs="Arial"/>
          <w:sz w:val="22"/>
          <w:szCs w:val="22"/>
        </w:rPr>
      </w:pPr>
    </w:p>
    <w:p w14:paraId="0DEC37BA" w14:textId="77777777" w:rsidR="0060003A" w:rsidRDefault="007E2727" w:rsidP="002313DA">
      <w:pPr>
        <w:pStyle w:val="Ttulo2"/>
      </w:pPr>
      <w:bookmarkStart w:id="736" w:name="_Toc140506400"/>
      <w:r w:rsidRPr="007E2727">
        <w:t>HOCOL</w:t>
      </w:r>
      <w:bookmarkEnd w:id="736"/>
      <w:r w:rsidRPr="007E2727">
        <w:tab/>
      </w:r>
    </w:p>
    <w:p w14:paraId="66A2801A" w14:textId="77777777" w:rsidR="00F52B11" w:rsidRDefault="00F52B11" w:rsidP="00F52B11">
      <w:pPr>
        <w:pStyle w:val="Ttulo4"/>
      </w:pPr>
      <w:bookmarkStart w:id="737" w:name="_Ref132004660"/>
      <w:r w:rsidRPr="007E2727">
        <w:t>HOCOL</w:t>
      </w:r>
      <w:bookmarkEnd w:id="737"/>
      <w:r w:rsidRPr="007E2727">
        <w:tab/>
      </w:r>
    </w:p>
    <w:p w14:paraId="1D5CD7AF" w14:textId="65ABE139" w:rsidR="007E2727" w:rsidRPr="00F02C54" w:rsidRDefault="007E2727" w:rsidP="007E2727">
      <w:pPr>
        <w:rPr>
          <w:rFonts w:cs="Arial"/>
          <w:i/>
          <w:iCs/>
          <w:sz w:val="22"/>
          <w:szCs w:val="22"/>
        </w:rPr>
      </w:pPr>
      <w:r w:rsidRPr="007E2727">
        <w:rPr>
          <w:rFonts w:cs="Arial"/>
          <w:sz w:val="22"/>
          <w:szCs w:val="22"/>
        </w:rPr>
        <w:t>"</w:t>
      </w:r>
      <w:r w:rsidRPr="00F02C54">
        <w:rPr>
          <w:rFonts w:cs="Arial"/>
          <w:i/>
          <w:iCs/>
          <w:sz w:val="22"/>
          <w:szCs w:val="22"/>
        </w:rPr>
        <w:t>Disponibilidad de Oferta de Gas</w:t>
      </w:r>
    </w:p>
    <w:p w14:paraId="0DCB2101" w14:textId="10FAF1EB" w:rsidR="007E2727" w:rsidRDefault="007E2727" w:rsidP="007E2727">
      <w:pPr>
        <w:rPr>
          <w:rFonts w:cs="Arial"/>
          <w:i/>
          <w:iCs/>
          <w:sz w:val="22"/>
          <w:szCs w:val="22"/>
        </w:rPr>
      </w:pPr>
      <w:r w:rsidRPr="00F02C54">
        <w:rPr>
          <w:rFonts w:cs="Arial"/>
          <w:i/>
          <w:iCs/>
          <w:sz w:val="22"/>
          <w:szCs w:val="22"/>
        </w:rPr>
        <w:t>Algunas de las condiciones establecidas para las Fuentes de Suministro establecidas en el Artículo 19 de la resolución CREG 226 de 2021, pueden estar contradiciendo las excepciones determinadas por el Decreto 1073 de 2015, que compila el Decreto 2100 de 2011, limitando la oportunidad de incorporación de oferta disponible para el mercado; esto reconociendo los resultados positivos que hasta ahora se han visto en el mercado con respecto a la aplicación de estas excepciones. Al respecto de estas condiciones, comentamos lo siguiente:</w:t>
      </w:r>
    </w:p>
    <w:p w14:paraId="061F8B2F" w14:textId="77777777" w:rsidR="00867F4D" w:rsidRPr="00F02C54" w:rsidRDefault="00867F4D" w:rsidP="007E2727">
      <w:pPr>
        <w:rPr>
          <w:rFonts w:cs="Arial"/>
          <w:i/>
          <w:iCs/>
          <w:sz w:val="22"/>
          <w:szCs w:val="22"/>
        </w:rPr>
      </w:pPr>
    </w:p>
    <w:p w14:paraId="44BDE154" w14:textId="77777777" w:rsidR="007E2727" w:rsidRPr="00F02C54" w:rsidRDefault="007E2727" w:rsidP="007E2727">
      <w:pPr>
        <w:rPr>
          <w:rFonts w:cs="Arial"/>
          <w:i/>
          <w:iCs/>
          <w:sz w:val="22"/>
          <w:szCs w:val="22"/>
        </w:rPr>
      </w:pPr>
      <w:r w:rsidRPr="00F02C54">
        <w:rPr>
          <w:rFonts w:cs="Arial"/>
          <w:i/>
          <w:iCs/>
          <w:sz w:val="22"/>
          <w:szCs w:val="22"/>
        </w:rPr>
        <w:t xml:space="preserve">1. Campos en pruebas y que no han declarado comercialidad. A los cuales se limita la posibilidad de suscribir contratos con Respaldo Físico a menos que cuenten con reservas certificadas, y se restringe la duración de los contratos que se suscriban al periodo definido para pruebas extensas. </w:t>
      </w:r>
    </w:p>
    <w:p w14:paraId="437A35AC" w14:textId="77777777" w:rsidR="007E2727" w:rsidRPr="00F02C54" w:rsidRDefault="007E2727" w:rsidP="007E2727">
      <w:pPr>
        <w:rPr>
          <w:rFonts w:cs="Arial"/>
          <w:i/>
          <w:iCs/>
          <w:sz w:val="22"/>
          <w:szCs w:val="22"/>
        </w:rPr>
      </w:pPr>
      <w:r w:rsidRPr="00F02C54">
        <w:rPr>
          <w:rFonts w:cs="Arial"/>
          <w:i/>
          <w:iCs/>
          <w:sz w:val="22"/>
          <w:szCs w:val="22"/>
        </w:rPr>
        <w:t>Adicionalmente, se limita la posibilidad de atender Demanda Esencial con gas proveniente de fuentes de suministro en pruebas o sin declaración de comercialidad en virtud del literal n) del artículo 22.</w:t>
      </w:r>
    </w:p>
    <w:p w14:paraId="5DDDAF6E" w14:textId="77777777" w:rsidR="0060003A" w:rsidRPr="00F02C54" w:rsidRDefault="0060003A" w:rsidP="007E2727">
      <w:pPr>
        <w:rPr>
          <w:rFonts w:cs="Arial"/>
          <w:i/>
          <w:iCs/>
          <w:sz w:val="22"/>
          <w:szCs w:val="22"/>
        </w:rPr>
      </w:pPr>
    </w:p>
    <w:p w14:paraId="23613D22" w14:textId="1E7B42B3" w:rsidR="00AF406B" w:rsidRDefault="007E2727" w:rsidP="007E2727">
      <w:pPr>
        <w:rPr>
          <w:rFonts w:cs="Arial"/>
          <w:sz w:val="22"/>
          <w:szCs w:val="22"/>
        </w:rPr>
      </w:pPr>
      <w:r w:rsidRPr="00F02C54">
        <w:rPr>
          <w:rFonts w:cs="Arial"/>
          <w:i/>
          <w:iCs/>
          <w:sz w:val="22"/>
          <w:szCs w:val="22"/>
        </w:rPr>
        <w:t>Estas limitaciones resultan altamente inconvenientes para la incorporación de la nueva oferta, ya que los contratos que garanticen un suministro firme son indispensables en el proceso de certificación de reservas y de evaluación del potencial de yacimiento</w:t>
      </w:r>
      <w:r w:rsidRPr="007E2727">
        <w:rPr>
          <w:rFonts w:cs="Arial"/>
          <w:sz w:val="22"/>
          <w:szCs w:val="22"/>
        </w:rPr>
        <w:t>.</w:t>
      </w:r>
      <w:r w:rsidR="00F02C54">
        <w:rPr>
          <w:rFonts w:cs="Arial"/>
          <w:sz w:val="22"/>
          <w:szCs w:val="22"/>
        </w:rPr>
        <w:t>”</w:t>
      </w:r>
    </w:p>
    <w:p w14:paraId="3787504D" w14:textId="700AF646" w:rsidR="00F02C54" w:rsidRDefault="00F02C54" w:rsidP="007E2727">
      <w:pPr>
        <w:rPr>
          <w:rFonts w:cs="Arial"/>
          <w:sz w:val="22"/>
          <w:szCs w:val="22"/>
        </w:rPr>
      </w:pPr>
    </w:p>
    <w:p w14:paraId="6F96C2AE" w14:textId="032B3024" w:rsidR="00F02C54" w:rsidRDefault="00F02C54" w:rsidP="007E2727">
      <w:pPr>
        <w:rPr>
          <w:rFonts w:cs="Arial"/>
          <w:b/>
          <w:bCs/>
          <w:sz w:val="22"/>
          <w:szCs w:val="22"/>
        </w:rPr>
      </w:pPr>
      <w:r w:rsidRPr="00F02C54">
        <w:rPr>
          <w:rFonts w:cs="Arial"/>
          <w:b/>
          <w:bCs/>
          <w:sz w:val="22"/>
          <w:szCs w:val="22"/>
        </w:rPr>
        <w:t>Respuesta:</w:t>
      </w:r>
    </w:p>
    <w:p w14:paraId="2AE2930C" w14:textId="512FEF27" w:rsidR="00867F4D" w:rsidRDefault="00867F4D" w:rsidP="007E2727">
      <w:pPr>
        <w:rPr>
          <w:rFonts w:cs="Arial"/>
          <w:b/>
          <w:bCs/>
          <w:sz w:val="22"/>
          <w:szCs w:val="22"/>
        </w:rPr>
      </w:pPr>
    </w:p>
    <w:p w14:paraId="36F69A10" w14:textId="17B79812" w:rsidR="00867F4D" w:rsidRPr="00867F4D" w:rsidRDefault="00867F4D" w:rsidP="007E2727">
      <w:pPr>
        <w:rPr>
          <w:rFonts w:cs="Arial"/>
          <w:sz w:val="22"/>
          <w:szCs w:val="22"/>
        </w:rPr>
      </w:pPr>
      <w:r w:rsidRPr="00867F4D">
        <w:rPr>
          <w:rFonts w:cs="Arial"/>
          <w:sz w:val="22"/>
          <w:szCs w:val="22"/>
        </w:rPr>
        <w:t>Se acoge el comentario parcialmente.</w:t>
      </w:r>
    </w:p>
    <w:p w14:paraId="79519A6A" w14:textId="4A9DD755" w:rsidR="00867F4D" w:rsidRDefault="00867F4D" w:rsidP="007E2727">
      <w:pPr>
        <w:rPr>
          <w:rFonts w:cs="Arial"/>
          <w:b/>
          <w:bCs/>
          <w:sz w:val="22"/>
          <w:szCs w:val="22"/>
        </w:rPr>
      </w:pPr>
    </w:p>
    <w:p w14:paraId="245AB76A" w14:textId="5B02BAB3" w:rsidR="00867F4D" w:rsidRDefault="00867F4D" w:rsidP="007E2727">
      <w:pPr>
        <w:rPr>
          <w:rFonts w:cs="Arial"/>
          <w:sz w:val="22"/>
          <w:szCs w:val="22"/>
        </w:rPr>
      </w:pPr>
      <w:r w:rsidRPr="00867F4D">
        <w:rPr>
          <w:rFonts w:cs="Arial"/>
          <w:sz w:val="22"/>
          <w:szCs w:val="22"/>
        </w:rPr>
        <w:t xml:space="preserve">En cuanto a la limitación </w:t>
      </w:r>
      <w:r w:rsidR="009E5072">
        <w:rPr>
          <w:rFonts w:cs="Arial"/>
          <w:sz w:val="22"/>
          <w:szCs w:val="22"/>
        </w:rPr>
        <w:t xml:space="preserve">a los campos en pruebas </w:t>
      </w:r>
      <w:r w:rsidRPr="00867F4D">
        <w:rPr>
          <w:rFonts w:cs="Arial"/>
          <w:sz w:val="22"/>
          <w:szCs w:val="22"/>
        </w:rPr>
        <w:t>de suscribir contratos con Respaldo Físico</w:t>
      </w:r>
      <w:r w:rsidR="009E5072">
        <w:rPr>
          <w:rFonts w:cs="Arial"/>
          <w:sz w:val="22"/>
          <w:szCs w:val="22"/>
        </w:rPr>
        <w:t>,</w:t>
      </w:r>
      <w:r w:rsidRPr="00867F4D">
        <w:rPr>
          <w:rFonts w:cs="Arial"/>
          <w:sz w:val="22"/>
          <w:szCs w:val="22"/>
        </w:rPr>
        <w:t xml:space="preserve"> </w:t>
      </w:r>
      <w:r>
        <w:rPr>
          <w:rFonts w:cs="Arial"/>
          <w:sz w:val="22"/>
          <w:szCs w:val="22"/>
        </w:rPr>
        <w:t xml:space="preserve">a menos que cuenten con reservas </w:t>
      </w:r>
      <w:r w:rsidR="009E5072">
        <w:rPr>
          <w:rFonts w:cs="Arial"/>
          <w:sz w:val="22"/>
          <w:szCs w:val="22"/>
        </w:rPr>
        <w:t>de gas consideradas por la ANH</w:t>
      </w:r>
      <w:r>
        <w:rPr>
          <w:rFonts w:cs="Arial"/>
          <w:sz w:val="22"/>
          <w:szCs w:val="22"/>
        </w:rPr>
        <w:t>, la propuesta realizada no está modificando nada al respecto de lo vigente. La exigencia de que un productor</w:t>
      </w:r>
      <w:r w:rsidR="009E5072">
        <w:rPr>
          <w:rFonts w:cs="Arial"/>
          <w:sz w:val="22"/>
          <w:szCs w:val="22"/>
        </w:rPr>
        <w:t xml:space="preserve"> debe contar con Respaldo Físico </w:t>
      </w:r>
      <w:r>
        <w:rPr>
          <w:rFonts w:cs="Arial"/>
          <w:sz w:val="22"/>
          <w:szCs w:val="22"/>
        </w:rPr>
        <w:t xml:space="preserve">para </w:t>
      </w:r>
      <w:r w:rsidR="009E5072">
        <w:rPr>
          <w:rFonts w:cs="Arial"/>
          <w:sz w:val="22"/>
          <w:szCs w:val="22"/>
        </w:rPr>
        <w:t xml:space="preserve">poder </w:t>
      </w:r>
      <w:r>
        <w:rPr>
          <w:rFonts w:cs="Arial"/>
          <w:sz w:val="22"/>
          <w:szCs w:val="22"/>
        </w:rPr>
        <w:t>suscribir contratos del tipo firme o que garantizan firmeza,</w:t>
      </w:r>
      <w:r w:rsidR="009E5072">
        <w:rPr>
          <w:rFonts w:cs="Arial"/>
          <w:sz w:val="22"/>
          <w:szCs w:val="22"/>
        </w:rPr>
        <w:t xml:space="preserve"> para lo cual</w:t>
      </w:r>
      <w:r>
        <w:rPr>
          <w:rFonts w:cs="Arial"/>
          <w:sz w:val="22"/>
          <w:szCs w:val="22"/>
        </w:rPr>
        <w:t xml:space="preserve"> debe contar con Reservas de Gas Natural, no surge en virtud de la propuesta formulada con la Resolución 226 de 2021, sino de los lineamientos de política en</w:t>
      </w:r>
      <w:r w:rsidR="009E5072">
        <w:rPr>
          <w:rFonts w:cs="Arial"/>
          <w:sz w:val="22"/>
          <w:szCs w:val="22"/>
        </w:rPr>
        <w:t>e</w:t>
      </w:r>
      <w:r>
        <w:rPr>
          <w:rFonts w:cs="Arial"/>
          <w:sz w:val="22"/>
          <w:szCs w:val="22"/>
        </w:rPr>
        <w:t xml:space="preserve">rgética, ver </w:t>
      </w:r>
      <w:r w:rsidR="009E5072">
        <w:rPr>
          <w:rFonts w:cs="Arial"/>
          <w:sz w:val="22"/>
          <w:szCs w:val="22"/>
        </w:rPr>
        <w:t xml:space="preserve">numeral </w:t>
      </w:r>
      <w:r w:rsidR="009E5072">
        <w:rPr>
          <w:rFonts w:cs="Arial"/>
          <w:sz w:val="22"/>
          <w:szCs w:val="22"/>
        </w:rPr>
        <w:fldChar w:fldCharType="begin"/>
      </w:r>
      <w:r w:rsidR="009E5072">
        <w:rPr>
          <w:rFonts w:cs="Arial"/>
          <w:sz w:val="22"/>
          <w:szCs w:val="22"/>
        </w:rPr>
        <w:instrText xml:space="preserve"> REF _Ref131512116 \r \h </w:instrText>
      </w:r>
      <w:r w:rsidR="009E5072">
        <w:rPr>
          <w:rFonts w:cs="Arial"/>
          <w:sz w:val="22"/>
          <w:szCs w:val="22"/>
        </w:rPr>
      </w:r>
      <w:r w:rsidR="009E5072">
        <w:rPr>
          <w:rFonts w:cs="Arial"/>
          <w:sz w:val="22"/>
          <w:szCs w:val="22"/>
        </w:rPr>
        <w:fldChar w:fldCharType="separate"/>
      </w:r>
      <w:r w:rsidR="007651EA">
        <w:rPr>
          <w:rFonts w:cs="Arial"/>
          <w:sz w:val="22"/>
          <w:szCs w:val="22"/>
        </w:rPr>
        <w:t>2.2.6</w:t>
      </w:r>
      <w:r w:rsidR="009E5072">
        <w:rPr>
          <w:rFonts w:cs="Arial"/>
          <w:sz w:val="22"/>
          <w:szCs w:val="22"/>
        </w:rPr>
        <w:fldChar w:fldCharType="end"/>
      </w:r>
      <w:r w:rsidR="009E5072">
        <w:rPr>
          <w:rFonts w:cs="Arial"/>
          <w:sz w:val="22"/>
          <w:szCs w:val="22"/>
        </w:rPr>
        <w:t xml:space="preserve"> y numeral </w:t>
      </w:r>
      <w:r w:rsidR="009E5072">
        <w:rPr>
          <w:rFonts w:cs="Arial"/>
          <w:sz w:val="22"/>
          <w:szCs w:val="22"/>
        </w:rPr>
        <w:fldChar w:fldCharType="begin"/>
      </w:r>
      <w:r w:rsidR="009E5072">
        <w:rPr>
          <w:rFonts w:cs="Arial"/>
          <w:sz w:val="22"/>
          <w:szCs w:val="22"/>
        </w:rPr>
        <w:instrText xml:space="preserve"> REF _Ref129780388 \r \h </w:instrText>
      </w:r>
      <w:r w:rsidR="009E5072">
        <w:rPr>
          <w:rFonts w:cs="Arial"/>
          <w:sz w:val="22"/>
          <w:szCs w:val="22"/>
        </w:rPr>
      </w:r>
      <w:r w:rsidR="009E5072">
        <w:rPr>
          <w:rFonts w:cs="Arial"/>
          <w:sz w:val="22"/>
          <w:szCs w:val="22"/>
        </w:rPr>
        <w:fldChar w:fldCharType="separate"/>
      </w:r>
      <w:r w:rsidR="007651EA">
        <w:rPr>
          <w:rFonts w:cs="Arial"/>
          <w:sz w:val="22"/>
          <w:szCs w:val="22"/>
        </w:rPr>
        <w:t>4.4</w:t>
      </w:r>
      <w:r w:rsidR="009E5072">
        <w:rPr>
          <w:rFonts w:cs="Arial"/>
          <w:sz w:val="22"/>
          <w:szCs w:val="22"/>
        </w:rPr>
        <w:fldChar w:fldCharType="end"/>
      </w:r>
      <w:r w:rsidR="009E5072">
        <w:rPr>
          <w:rFonts w:cs="Arial"/>
          <w:sz w:val="22"/>
          <w:szCs w:val="22"/>
        </w:rPr>
        <w:t>.</w:t>
      </w:r>
    </w:p>
    <w:p w14:paraId="6817E2F5" w14:textId="776AB58E" w:rsidR="009E5072" w:rsidRDefault="009E5072" w:rsidP="007E2727">
      <w:pPr>
        <w:rPr>
          <w:rFonts w:cs="Arial"/>
          <w:sz w:val="22"/>
          <w:szCs w:val="22"/>
        </w:rPr>
      </w:pPr>
    </w:p>
    <w:p w14:paraId="53C3FFA5" w14:textId="20DE447F" w:rsidR="009E5072" w:rsidRDefault="009E5072" w:rsidP="007E2727">
      <w:pPr>
        <w:rPr>
          <w:rFonts w:cs="Arial"/>
          <w:sz w:val="22"/>
          <w:szCs w:val="22"/>
        </w:rPr>
      </w:pPr>
      <w:r>
        <w:rPr>
          <w:rFonts w:cs="Arial"/>
          <w:sz w:val="22"/>
          <w:szCs w:val="22"/>
        </w:rPr>
        <w:t>Ahora bien, en la nueva propuesta, dado que es posible que un campo de producción en pruebas o que no ha declarado comercialidad pueda contar (o ser considerado) con reservas de gas según lo establecido por la ANH, en la nueva propuesta se retira la limitación de estos campos de suscribir contratos de tipo firme o que garantizan firmeza para atender la Demanda Esencial.</w:t>
      </w:r>
      <w:r w:rsidR="00EA745A">
        <w:rPr>
          <w:rFonts w:cs="Arial"/>
          <w:sz w:val="22"/>
          <w:szCs w:val="22"/>
        </w:rPr>
        <w:t xml:space="preserve"> Ver numeral </w:t>
      </w:r>
      <w:r w:rsidR="00EA745A">
        <w:rPr>
          <w:rFonts w:cs="Arial"/>
          <w:sz w:val="22"/>
          <w:szCs w:val="22"/>
        </w:rPr>
        <w:fldChar w:fldCharType="begin"/>
      </w:r>
      <w:r w:rsidR="00EA745A">
        <w:rPr>
          <w:rFonts w:cs="Arial"/>
          <w:sz w:val="22"/>
          <w:szCs w:val="22"/>
        </w:rPr>
        <w:instrText xml:space="preserve"> REF _Ref130808646 \r \h </w:instrText>
      </w:r>
      <w:r w:rsidR="00EA745A">
        <w:rPr>
          <w:rFonts w:cs="Arial"/>
          <w:sz w:val="22"/>
          <w:szCs w:val="22"/>
        </w:rPr>
      </w:r>
      <w:r w:rsidR="00EA745A">
        <w:rPr>
          <w:rFonts w:cs="Arial"/>
          <w:sz w:val="22"/>
          <w:szCs w:val="22"/>
        </w:rPr>
        <w:fldChar w:fldCharType="separate"/>
      </w:r>
      <w:r w:rsidR="00EA745A">
        <w:rPr>
          <w:rFonts w:cs="Arial"/>
          <w:sz w:val="22"/>
          <w:szCs w:val="22"/>
        </w:rPr>
        <w:t>4.10</w:t>
      </w:r>
      <w:r w:rsidR="00EA745A">
        <w:rPr>
          <w:rFonts w:cs="Arial"/>
          <w:sz w:val="22"/>
          <w:szCs w:val="22"/>
        </w:rPr>
        <w:fldChar w:fldCharType="end"/>
      </w:r>
      <w:r w:rsidR="00EA745A">
        <w:rPr>
          <w:rFonts w:cs="Arial"/>
          <w:sz w:val="22"/>
          <w:szCs w:val="22"/>
        </w:rPr>
        <w:t>.</w:t>
      </w:r>
      <w:r>
        <w:rPr>
          <w:rFonts w:cs="Arial"/>
          <w:sz w:val="22"/>
          <w:szCs w:val="22"/>
        </w:rPr>
        <w:t xml:space="preserve"> </w:t>
      </w:r>
    </w:p>
    <w:p w14:paraId="35C57704" w14:textId="7373A61F" w:rsidR="009E5072" w:rsidRDefault="009E5072" w:rsidP="007E2727">
      <w:pPr>
        <w:rPr>
          <w:rFonts w:cs="Arial"/>
          <w:sz w:val="22"/>
          <w:szCs w:val="22"/>
        </w:rPr>
      </w:pPr>
    </w:p>
    <w:p w14:paraId="0AAEF500" w14:textId="45644235" w:rsidR="003205E5" w:rsidRDefault="009E5072" w:rsidP="003205E5">
      <w:pPr>
        <w:rPr>
          <w:rFonts w:cs="Arial"/>
          <w:sz w:val="22"/>
          <w:szCs w:val="22"/>
        </w:rPr>
      </w:pPr>
      <w:r>
        <w:rPr>
          <w:rFonts w:cs="Arial"/>
          <w:sz w:val="22"/>
          <w:szCs w:val="22"/>
        </w:rPr>
        <w:t xml:space="preserve">Por otro lado, </w:t>
      </w:r>
      <w:r w:rsidR="00ED70CE">
        <w:rPr>
          <w:rFonts w:cs="Arial"/>
          <w:sz w:val="22"/>
          <w:szCs w:val="22"/>
        </w:rPr>
        <w:t xml:space="preserve">en el documento de soporte </w:t>
      </w:r>
      <w:r w:rsidR="00CF0576">
        <w:rPr>
          <w:rFonts w:cs="Arial"/>
          <w:sz w:val="22"/>
          <w:szCs w:val="22"/>
        </w:rPr>
        <w:t xml:space="preserve">D-063 de 2013 </w:t>
      </w:r>
      <w:r w:rsidR="00ED70CE">
        <w:rPr>
          <w:rFonts w:cs="Arial"/>
          <w:sz w:val="22"/>
          <w:szCs w:val="22"/>
        </w:rPr>
        <w:t xml:space="preserve">de la Resolución CREG 089 de 2013 </w:t>
      </w:r>
      <w:r w:rsidR="0058652F">
        <w:rPr>
          <w:rFonts w:cs="Arial"/>
          <w:sz w:val="22"/>
          <w:szCs w:val="22"/>
        </w:rPr>
        <w:t xml:space="preserve">la posibilidad de que campos sin declaración de comercialidad o en pruebas suscribiesen contratos de tipo firme o que garanticen firmeza fue </w:t>
      </w:r>
      <w:r w:rsidR="00CF0576">
        <w:rPr>
          <w:rFonts w:cs="Arial"/>
          <w:sz w:val="22"/>
          <w:szCs w:val="22"/>
        </w:rPr>
        <w:t>respondida</w:t>
      </w:r>
      <w:r w:rsidR="0058652F">
        <w:rPr>
          <w:rFonts w:cs="Arial"/>
          <w:sz w:val="22"/>
          <w:szCs w:val="22"/>
        </w:rPr>
        <w:t xml:space="preserve"> por la CREG</w:t>
      </w:r>
      <w:r w:rsidR="00CF0576">
        <w:rPr>
          <w:rFonts w:cs="Arial"/>
          <w:sz w:val="22"/>
          <w:szCs w:val="22"/>
        </w:rPr>
        <w:t>, al comentario del literal d. del numeral 3 del numeral 2.5.4. Del mencionado texto se extrae lo siguiente:</w:t>
      </w:r>
    </w:p>
    <w:p w14:paraId="44B3F5BB" w14:textId="46E6E8B7" w:rsidR="00CF0576" w:rsidRDefault="00CF0576" w:rsidP="003205E5">
      <w:pPr>
        <w:rPr>
          <w:rFonts w:cs="Arial"/>
          <w:sz w:val="22"/>
          <w:szCs w:val="22"/>
        </w:rPr>
      </w:pPr>
    </w:p>
    <w:p w14:paraId="6F232F51" w14:textId="77777777" w:rsidR="00CF0576" w:rsidRPr="00CF0576" w:rsidRDefault="00CF0576" w:rsidP="00CF0576">
      <w:pPr>
        <w:ind w:left="708"/>
        <w:rPr>
          <w:rFonts w:cs="Arial"/>
          <w:i/>
          <w:iCs/>
          <w:sz w:val="22"/>
          <w:szCs w:val="22"/>
        </w:rPr>
      </w:pPr>
      <w:r>
        <w:rPr>
          <w:rFonts w:cs="Arial"/>
          <w:sz w:val="22"/>
          <w:szCs w:val="22"/>
        </w:rPr>
        <w:t>“</w:t>
      </w:r>
      <w:r w:rsidRPr="00CF0576">
        <w:rPr>
          <w:rFonts w:cs="Arial"/>
          <w:b/>
          <w:bCs/>
          <w:i/>
          <w:iCs/>
          <w:sz w:val="22"/>
          <w:szCs w:val="22"/>
          <w:u w:val="single"/>
        </w:rPr>
        <w:t>Para la CREG es comprensible que el gas que proviene de campos en pruebas extensas no puede ser comercializado a través de contratos firmes</w:t>
      </w:r>
      <w:r w:rsidRPr="00CF0576">
        <w:rPr>
          <w:rFonts w:cs="Arial"/>
          <w:i/>
          <w:iCs/>
          <w:sz w:val="22"/>
          <w:szCs w:val="22"/>
        </w:rPr>
        <w:t>, de firmeza condicionada o de opción de compra de gas y en este sentido en el parágrafo del artículo 20 de la propuesta contenida en la Resolución CREG 113 de 2012 se señala que “[t]</w:t>
      </w:r>
      <w:proofErr w:type="spellStart"/>
      <w:r w:rsidRPr="00CF0576">
        <w:rPr>
          <w:rFonts w:cs="Arial"/>
          <w:i/>
          <w:iCs/>
          <w:sz w:val="22"/>
          <w:szCs w:val="22"/>
        </w:rPr>
        <w:t>ambién</w:t>
      </w:r>
      <w:proofErr w:type="spellEnd"/>
      <w:r w:rsidRPr="00CF0576">
        <w:rPr>
          <w:rFonts w:cs="Arial"/>
          <w:i/>
          <w:iCs/>
          <w:sz w:val="22"/>
          <w:szCs w:val="22"/>
        </w:rPr>
        <w:t xml:space="preserve"> se exceptuará el caso señalado en el numeral </w:t>
      </w:r>
      <w:proofErr w:type="spellStart"/>
      <w:r w:rsidRPr="00CF0576">
        <w:rPr>
          <w:rFonts w:cs="Arial"/>
          <w:i/>
          <w:iCs/>
          <w:sz w:val="22"/>
          <w:szCs w:val="22"/>
        </w:rPr>
        <w:t>iii</w:t>
      </w:r>
      <w:proofErr w:type="spellEnd"/>
      <w:r w:rsidRPr="00CF0576">
        <w:rPr>
          <w:rFonts w:cs="Arial"/>
          <w:i/>
          <w:iCs/>
          <w:sz w:val="22"/>
          <w:szCs w:val="22"/>
        </w:rPr>
        <w:t xml:space="preserve"> del literal d) del numeral 1 del Artículo 20 de esta Resolución. En estos casos las partes definirán las condiciones de los contratos que celebren”. Esto es, la propuesta ya contempla lo sugerido por la ACP para el caso del gas proveniente de campos en pruebas extensas.</w:t>
      </w:r>
    </w:p>
    <w:p w14:paraId="33DB2878" w14:textId="77777777" w:rsidR="00CF0576" w:rsidRPr="00CF0576" w:rsidRDefault="00CF0576" w:rsidP="00CF0576">
      <w:pPr>
        <w:ind w:left="708"/>
        <w:rPr>
          <w:rFonts w:cs="Arial"/>
          <w:i/>
          <w:iCs/>
          <w:sz w:val="22"/>
          <w:szCs w:val="22"/>
        </w:rPr>
      </w:pPr>
    </w:p>
    <w:p w14:paraId="237A8FE5" w14:textId="2FE314F8" w:rsidR="00CF0576" w:rsidRDefault="00CF0576" w:rsidP="00CF0576">
      <w:pPr>
        <w:ind w:left="708"/>
        <w:rPr>
          <w:rFonts w:cs="Arial"/>
          <w:sz w:val="22"/>
          <w:szCs w:val="22"/>
        </w:rPr>
      </w:pPr>
      <w:r w:rsidRPr="00CF0576">
        <w:rPr>
          <w:rFonts w:cs="Arial"/>
          <w:i/>
          <w:iCs/>
          <w:sz w:val="22"/>
          <w:szCs w:val="22"/>
        </w:rPr>
        <w:t>La ACP se refiere a la “incertidumbre que el desarrollo de su potencial de producción de forma estable presenta y/o la variabilidad que sus condiciones operacionales presentan” en referencia al “gas natural proveniente de campos con opción de contratación bilateral en el decreto 2100/11</w:t>
      </w:r>
      <w:r w:rsidRPr="00CF0576">
        <w:rPr>
          <w:rFonts w:cs="Arial"/>
          <w:b/>
          <w:bCs/>
          <w:i/>
          <w:iCs/>
          <w:sz w:val="22"/>
          <w:szCs w:val="22"/>
          <w:u w:val="single"/>
        </w:rPr>
        <w:t>”. La Comisión entiende que, con independencia del tamaño del campo de producción y del tipo de yacimiento, la declaratoria de la comercialidad de un campo precisamente determina el momento a partir del cual se ha alcanzado el desarrollo del potencial de producción del campo, en forma estable. Así, se entiende que una vez se declara la comercialidad de un campo el gas natural que proviene del mismo puede ser comercializado mediante contratos firmes,</w:t>
      </w:r>
      <w:r w:rsidRPr="00CF0576">
        <w:rPr>
          <w:rFonts w:cs="Arial"/>
          <w:i/>
          <w:iCs/>
          <w:sz w:val="22"/>
          <w:szCs w:val="22"/>
        </w:rPr>
        <w:t xml:space="preserve"> contratos de suministro con firmeza condicionada y contratos de opción de compra de gas</w:t>
      </w:r>
      <w:r w:rsidRPr="00CF0576">
        <w:rPr>
          <w:rFonts w:cs="Arial"/>
          <w:sz w:val="22"/>
          <w:szCs w:val="22"/>
        </w:rPr>
        <w:t>.</w:t>
      </w:r>
      <w:r>
        <w:rPr>
          <w:rFonts w:cs="Arial"/>
          <w:sz w:val="22"/>
          <w:szCs w:val="22"/>
        </w:rPr>
        <w:t>” (subrayado con resaltado fuera de texto).</w:t>
      </w:r>
    </w:p>
    <w:p w14:paraId="65EFE36A" w14:textId="77777777" w:rsidR="009E5072" w:rsidRDefault="009E5072" w:rsidP="007E2727">
      <w:pPr>
        <w:rPr>
          <w:rFonts w:cs="Arial"/>
          <w:sz w:val="22"/>
          <w:szCs w:val="22"/>
        </w:rPr>
      </w:pPr>
    </w:p>
    <w:p w14:paraId="36B8F304" w14:textId="1DF3F586" w:rsidR="009E5072" w:rsidRPr="00867F4D" w:rsidRDefault="009E5072" w:rsidP="007E2727">
      <w:pPr>
        <w:rPr>
          <w:rFonts w:cs="Arial"/>
          <w:sz w:val="22"/>
          <w:szCs w:val="22"/>
        </w:rPr>
      </w:pPr>
      <w:r>
        <w:rPr>
          <w:rFonts w:cs="Arial"/>
          <w:sz w:val="22"/>
          <w:szCs w:val="22"/>
        </w:rPr>
        <w:t xml:space="preserve">Con respecto a </w:t>
      </w:r>
      <w:r w:rsidR="00CF0576">
        <w:rPr>
          <w:rFonts w:cs="Arial"/>
          <w:sz w:val="22"/>
          <w:szCs w:val="22"/>
        </w:rPr>
        <w:t xml:space="preserve">la negociación y suscripción de </w:t>
      </w:r>
      <w:r>
        <w:rPr>
          <w:rFonts w:cs="Arial"/>
          <w:sz w:val="22"/>
          <w:szCs w:val="22"/>
        </w:rPr>
        <w:t xml:space="preserve">contratos </w:t>
      </w:r>
      <w:r w:rsidR="00ED70CE">
        <w:rPr>
          <w:rFonts w:cs="Arial"/>
          <w:sz w:val="22"/>
          <w:szCs w:val="22"/>
        </w:rPr>
        <w:t xml:space="preserve">previo a la declaración de comercialidad </w:t>
      </w:r>
      <w:r>
        <w:rPr>
          <w:rFonts w:cs="Arial"/>
          <w:sz w:val="22"/>
          <w:szCs w:val="22"/>
        </w:rPr>
        <w:t xml:space="preserve">requeridos </w:t>
      </w:r>
      <w:r w:rsidR="00ED70CE">
        <w:rPr>
          <w:rFonts w:cs="Arial"/>
          <w:sz w:val="22"/>
          <w:szCs w:val="22"/>
        </w:rPr>
        <w:t xml:space="preserve">por los productores para que se pueda viabilizar la declaración de comercialidad, ver numeral </w:t>
      </w:r>
      <w:r w:rsidR="0058652F">
        <w:rPr>
          <w:rFonts w:cs="Arial"/>
          <w:sz w:val="22"/>
          <w:szCs w:val="22"/>
        </w:rPr>
        <w:fldChar w:fldCharType="begin"/>
      </w:r>
      <w:r w:rsidR="0058652F">
        <w:rPr>
          <w:rFonts w:cs="Arial"/>
          <w:sz w:val="22"/>
          <w:szCs w:val="22"/>
        </w:rPr>
        <w:instrText xml:space="preserve"> REF _Ref130637514 \r \h </w:instrText>
      </w:r>
      <w:r w:rsidR="0058652F">
        <w:rPr>
          <w:rFonts w:cs="Arial"/>
          <w:sz w:val="22"/>
          <w:szCs w:val="22"/>
        </w:rPr>
      </w:r>
      <w:r w:rsidR="0058652F">
        <w:rPr>
          <w:rFonts w:cs="Arial"/>
          <w:sz w:val="22"/>
          <w:szCs w:val="22"/>
        </w:rPr>
        <w:fldChar w:fldCharType="separate"/>
      </w:r>
      <w:r w:rsidR="007651EA">
        <w:rPr>
          <w:rFonts w:cs="Arial"/>
          <w:sz w:val="22"/>
          <w:szCs w:val="22"/>
        </w:rPr>
        <w:t>4.18</w:t>
      </w:r>
      <w:r w:rsidR="0058652F">
        <w:rPr>
          <w:rFonts w:cs="Arial"/>
          <w:sz w:val="22"/>
          <w:szCs w:val="22"/>
        </w:rPr>
        <w:fldChar w:fldCharType="end"/>
      </w:r>
      <w:r w:rsidR="0058652F">
        <w:rPr>
          <w:rFonts w:cs="Arial"/>
          <w:sz w:val="22"/>
          <w:szCs w:val="22"/>
        </w:rPr>
        <w:t>.</w:t>
      </w:r>
    </w:p>
    <w:p w14:paraId="0FC01603" w14:textId="57191F65" w:rsidR="00F02C54" w:rsidRDefault="00F02C54" w:rsidP="007E2727">
      <w:pPr>
        <w:rPr>
          <w:rFonts w:cs="Arial"/>
          <w:sz w:val="22"/>
          <w:szCs w:val="22"/>
        </w:rPr>
      </w:pPr>
    </w:p>
    <w:p w14:paraId="79D64945" w14:textId="77777777" w:rsidR="00F02C54" w:rsidRDefault="00F02C54" w:rsidP="007E2727">
      <w:pPr>
        <w:rPr>
          <w:rFonts w:cs="Arial"/>
          <w:sz w:val="22"/>
          <w:szCs w:val="22"/>
        </w:rPr>
      </w:pPr>
    </w:p>
    <w:p w14:paraId="4D459539" w14:textId="77777777" w:rsidR="00824627" w:rsidRDefault="00824627" w:rsidP="00824627">
      <w:pPr>
        <w:pStyle w:val="Ttulo4"/>
      </w:pPr>
      <w:r w:rsidRPr="007E2727">
        <w:t>HOCOL</w:t>
      </w:r>
      <w:r w:rsidRPr="007E2727">
        <w:tab/>
      </w:r>
    </w:p>
    <w:p w14:paraId="4269DF60" w14:textId="2CEA00D3" w:rsidR="007E2727" w:rsidRPr="00F250B9" w:rsidRDefault="00A15F77" w:rsidP="007E2727">
      <w:pPr>
        <w:rPr>
          <w:rFonts w:cs="Arial"/>
          <w:i/>
          <w:iCs/>
          <w:sz w:val="22"/>
          <w:szCs w:val="22"/>
        </w:rPr>
      </w:pPr>
      <w:r>
        <w:rPr>
          <w:rFonts w:cs="Arial"/>
          <w:i/>
          <w:iCs/>
          <w:sz w:val="22"/>
          <w:szCs w:val="22"/>
        </w:rPr>
        <w:t>“</w:t>
      </w:r>
      <w:r w:rsidR="007E2727" w:rsidRPr="00F250B9">
        <w:rPr>
          <w:rFonts w:cs="Arial"/>
          <w:i/>
          <w:iCs/>
          <w:sz w:val="22"/>
          <w:szCs w:val="22"/>
        </w:rPr>
        <w:t>Adicionalmente, debe tenerse en cuenta que las altas fluctuaciones en la producción de un campo cuyo suministro no se esté realizando mediante contratos que garanticen firmeza, ponen en un alto riesgo la continuidad de su producción, el resultado de las pruebas e incluso pueden llevar a daños en el yacimiento que impliquen necesariamente el cierre definitivo de esta potencial nueva oferta de gas natural para el mercado.</w:t>
      </w:r>
      <w:r>
        <w:rPr>
          <w:rFonts w:cs="Arial"/>
          <w:i/>
          <w:iCs/>
          <w:sz w:val="22"/>
          <w:szCs w:val="22"/>
        </w:rPr>
        <w:t>”</w:t>
      </w:r>
    </w:p>
    <w:p w14:paraId="649FEB1B" w14:textId="660B4B04" w:rsidR="00F250B9" w:rsidRDefault="00F250B9" w:rsidP="007E2727">
      <w:pPr>
        <w:rPr>
          <w:rFonts w:cs="Arial"/>
          <w:sz w:val="22"/>
          <w:szCs w:val="22"/>
        </w:rPr>
      </w:pPr>
    </w:p>
    <w:p w14:paraId="5A49BAFC" w14:textId="6890D7CE" w:rsidR="00F250B9" w:rsidRPr="00F250B9" w:rsidRDefault="00F250B9" w:rsidP="007E2727">
      <w:pPr>
        <w:rPr>
          <w:rFonts w:cs="Arial"/>
          <w:b/>
          <w:bCs/>
          <w:sz w:val="22"/>
          <w:szCs w:val="22"/>
        </w:rPr>
      </w:pPr>
      <w:r w:rsidRPr="00F250B9">
        <w:rPr>
          <w:rFonts w:cs="Arial"/>
          <w:b/>
          <w:bCs/>
          <w:sz w:val="22"/>
          <w:szCs w:val="22"/>
        </w:rPr>
        <w:t>Respuesta:</w:t>
      </w:r>
    </w:p>
    <w:p w14:paraId="17B3E5CF" w14:textId="6B840638" w:rsidR="00F250B9" w:rsidRDefault="00F250B9" w:rsidP="007E2727">
      <w:pPr>
        <w:rPr>
          <w:rFonts w:cs="Arial"/>
          <w:sz w:val="22"/>
          <w:szCs w:val="22"/>
        </w:rPr>
      </w:pPr>
    </w:p>
    <w:p w14:paraId="42EF923F" w14:textId="33C379A4" w:rsidR="00F250B9" w:rsidRDefault="00F250B9" w:rsidP="007E2727">
      <w:pPr>
        <w:rPr>
          <w:rFonts w:cs="Arial"/>
          <w:sz w:val="22"/>
          <w:szCs w:val="22"/>
        </w:rPr>
      </w:pPr>
      <w:r>
        <w:rPr>
          <w:rFonts w:cs="Arial"/>
          <w:sz w:val="22"/>
          <w:szCs w:val="22"/>
        </w:rPr>
        <w:t>No se acoge el comentario.</w:t>
      </w:r>
    </w:p>
    <w:p w14:paraId="6D1E54DA" w14:textId="4043DEA3" w:rsidR="00F250B9" w:rsidRDefault="00F250B9" w:rsidP="007E2727">
      <w:pPr>
        <w:rPr>
          <w:rFonts w:cs="Arial"/>
          <w:sz w:val="22"/>
          <w:szCs w:val="22"/>
        </w:rPr>
      </w:pPr>
    </w:p>
    <w:p w14:paraId="50129F3C" w14:textId="15289877" w:rsidR="004A3587" w:rsidRDefault="004A3587" w:rsidP="007E2727">
      <w:pPr>
        <w:rPr>
          <w:rFonts w:cs="Arial"/>
          <w:sz w:val="22"/>
          <w:szCs w:val="22"/>
        </w:rPr>
      </w:pPr>
      <w:r>
        <w:rPr>
          <w:rFonts w:cs="Arial"/>
          <w:sz w:val="22"/>
          <w:szCs w:val="22"/>
        </w:rPr>
        <w:t>Ver respuesta a</w:t>
      </w:r>
      <w:r w:rsidR="00B00543">
        <w:rPr>
          <w:rFonts w:cs="Arial"/>
          <w:sz w:val="22"/>
          <w:szCs w:val="22"/>
        </w:rPr>
        <w:t xml:space="preserve"> </w:t>
      </w:r>
      <w:r w:rsidR="00B00543">
        <w:rPr>
          <w:rFonts w:cs="Arial"/>
          <w:sz w:val="22"/>
          <w:szCs w:val="22"/>
        </w:rPr>
        <w:fldChar w:fldCharType="begin"/>
      </w:r>
      <w:r w:rsidR="00B00543">
        <w:rPr>
          <w:rFonts w:cs="Arial"/>
          <w:sz w:val="22"/>
          <w:szCs w:val="22"/>
        </w:rPr>
        <w:instrText xml:space="preserve"> REF _Ref132005153 \r \h </w:instrText>
      </w:r>
      <w:r w:rsidR="00B00543">
        <w:rPr>
          <w:rFonts w:cs="Arial"/>
          <w:sz w:val="22"/>
          <w:szCs w:val="22"/>
        </w:rPr>
      </w:r>
      <w:r w:rsidR="00B00543">
        <w:rPr>
          <w:rFonts w:cs="Arial"/>
          <w:sz w:val="22"/>
          <w:szCs w:val="22"/>
        </w:rPr>
        <w:fldChar w:fldCharType="separate"/>
      </w:r>
      <w:r w:rsidR="007651EA">
        <w:rPr>
          <w:rFonts w:cs="Arial"/>
          <w:sz w:val="22"/>
          <w:szCs w:val="22"/>
        </w:rPr>
        <w:t>17.13.1.1</w:t>
      </w:r>
      <w:r w:rsidR="00B00543">
        <w:rPr>
          <w:rFonts w:cs="Arial"/>
          <w:sz w:val="22"/>
          <w:szCs w:val="22"/>
        </w:rPr>
        <w:fldChar w:fldCharType="end"/>
      </w:r>
      <w:r w:rsidR="00B00543">
        <w:rPr>
          <w:rFonts w:cs="Arial"/>
          <w:sz w:val="22"/>
          <w:szCs w:val="22"/>
        </w:rPr>
        <w:t xml:space="preserve"> y a </w:t>
      </w:r>
      <w:r>
        <w:rPr>
          <w:rFonts w:cs="Arial"/>
          <w:sz w:val="22"/>
          <w:szCs w:val="22"/>
        </w:rPr>
        <w:fldChar w:fldCharType="begin"/>
      </w:r>
      <w:r>
        <w:rPr>
          <w:rFonts w:cs="Arial"/>
          <w:sz w:val="22"/>
          <w:szCs w:val="22"/>
        </w:rPr>
        <w:instrText xml:space="preserve"> REF _Ref132004660 \r \h </w:instrText>
      </w:r>
      <w:r>
        <w:rPr>
          <w:rFonts w:cs="Arial"/>
          <w:sz w:val="22"/>
          <w:szCs w:val="22"/>
        </w:rPr>
      </w:r>
      <w:r>
        <w:rPr>
          <w:rFonts w:cs="Arial"/>
          <w:sz w:val="22"/>
          <w:szCs w:val="22"/>
        </w:rPr>
        <w:fldChar w:fldCharType="separate"/>
      </w:r>
      <w:r w:rsidR="007651EA">
        <w:rPr>
          <w:rFonts w:cs="Arial"/>
          <w:sz w:val="22"/>
          <w:szCs w:val="22"/>
        </w:rPr>
        <w:t>17.14.1.1</w:t>
      </w:r>
      <w:r>
        <w:rPr>
          <w:rFonts w:cs="Arial"/>
          <w:sz w:val="22"/>
          <w:szCs w:val="22"/>
        </w:rPr>
        <w:fldChar w:fldCharType="end"/>
      </w:r>
      <w:r w:rsidR="001763AD">
        <w:rPr>
          <w:rFonts w:cs="Arial"/>
          <w:sz w:val="22"/>
          <w:szCs w:val="22"/>
        </w:rPr>
        <w:t>.</w:t>
      </w:r>
    </w:p>
    <w:p w14:paraId="71DA5009" w14:textId="77777777" w:rsidR="004A3587" w:rsidRDefault="004A3587" w:rsidP="007E2727">
      <w:pPr>
        <w:rPr>
          <w:rFonts w:cs="Arial"/>
          <w:sz w:val="22"/>
          <w:szCs w:val="22"/>
        </w:rPr>
      </w:pPr>
    </w:p>
    <w:p w14:paraId="66029506" w14:textId="77777777" w:rsidR="001763AD" w:rsidRDefault="004A3587" w:rsidP="007E2727">
      <w:pPr>
        <w:rPr>
          <w:rFonts w:cs="Arial"/>
          <w:sz w:val="22"/>
          <w:szCs w:val="22"/>
        </w:rPr>
      </w:pPr>
      <w:r>
        <w:rPr>
          <w:rFonts w:cs="Arial"/>
          <w:sz w:val="22"/>
          <w:szCs w:val="22"/>
        </w:rPr>
        <w:t>Por otra parte, s</w:t>
      </w:r>
      <w:r w:rsidR="00F250B9">
        <w:rPr>
          <w:rFonts w:cs="Arial"/>
          <w:sz w:val="22"/>
          <w:szCs w:val="22"/>
        </w:rPr>
        <w:t>i el campo se encuentra en pruebas extensas es por esa misma situación que se puedan presentar fluctuaciones en la producción</w:t>
      </w:r>
      <w:r>
        <w:rPr>
          <w:rFonts w:cs="Arial"/>
          <w:sz w:val="22"/>
          <w:szCs w:val="22"/>
        </w:rPr>
        <w:t xml:space="preserve"> del gas</w:t>
      </w:r>
      <w:r w:rsidR="00F250B9">
        <w:rPr>
          <w:rFonts w:cs="Arial"/>
          <w:sz w:val="22"/>
          <w:szCs w:val="22"/>
        </w:rPr>
        <w:t xml:space="preserve"> durante las pruebas.</w:t>
      </w:r>
      <w:r w:rsidR="001763AD">
        <w:rPr>
          <w:rFonts w:cs="Arial"/>
          <w:sz w:val="22"/>
          <w:szCs w:val="22"/>
        </w:rPr>
        <w:t xml:space="preserve"> </w:t>
      </w:r>
    </w:p>
    <w:p w14:paraId="272690E0" w14:textId="77777777" w:rsidR="001763AD" w:rsidRDefault="001763AD" w:rsidP="007E2727">
      <w:pPr>
        <w:rPr>
          <w:rFonts w:cs="Arial"/>
          <w:sz w:val="22"/>
          <w:szCs w:val="22"/>
        </w:rPr>
      </w:pPr>
    </w:p>
    <w:p w14:paraId="7E64F3BF" w14:textId="798F7C8B" w:rsidR="00F250B9" w:rsidRPr="007E2727" w:rsidRDefault="001763AD" w:rsidP="007E2727">
      <w:pPr>
        <w:rPr>
          <w:rFonts w:cs="Arial"/>
          <w:sz w:val="22"/>
          <w:szCs w:val="22"/>
        </w:rPr>
      </w:pPr>
      <w:r>
        <w:rPr>
          <w:rFonts w:cs="Arial"/>
          <w:sz w:val="22"/>
          <w:szCs w:val="22"/>
        </w:rPr>
        <w:t xml:space="preserve">Aunque se entiende del comentario que, al mediar un contrato del tipo firme o que garantiza firmeza, el comprador posiblemente decida nominar dicho contrato antes que nominar un contrato con interrupciones pues el primero debe pagarlo en una cantidad mínima fija así no consuma el gas y el segundo no, y por ello el vendedor tiene una producción de gas más estable, se debe cumplir lo estipulado en la política energética respecto de las condiciones de Respaldo Físico que requiere un contrato del tipo firme o que garantiza firmeza, como se menciona en el numeral </w:t>
      </w:r>
      <w:r>
        <w:rPr>
          <w:rFonts w:cs="Arial"/>
          <w:sz w:val="22"/>
          <w:szCs w:val="22"/>
        </w:rPr>
        <w:fldChar w:fldCharType="begin"/>
      </w:r>
      <w:r>
        <w:rPr>
          <w:rFonts w:cs="Arial"/>
          <w:sz w:val="22"/>
          <w:szCs w:val="22"/>
        </w:rPr>
        <w:instrText xml:space="preserve"> REF _Ref132005039 \r \h </w:instrText>
      </w:r>
      <w:r>
        <w:rPr>
          <w:rFonts w:cs="Arial"/>
          <w:sz w:val="22"/>
          <w:szCs w:val="22"/>
        </w:rPr>
      </w:r>
      <w:r>
        <w:rPr>
          <w:rFonts w:cs="Arial"/>
          <w:sz w:val="22"/>
          <w:szCs w:val="22"/>
        </w:rPr>
        <w:fldChar w:fldCharType="separate"/>
      </w:r>
      <w:r w:rsidR="007651EA">
        <w:rPr>
          <w:rFonts w:cs="Arial"/>
          <w:sz w:val="22"/>
          <w:szCs w:val="22"/>
        </w:rPr>
        <w:t>2.2.6</w:t>
      </w:r>
      <w:r>
        <w:rPr>
          <w:rFonts w:cs="Arial"/>
          <w:sz w:val="22"/>
          <w:szCs w:val="22"/>
        </w:rPr>
        <w:fldChar w:fldCharType="end"/>
      </w:r>
      <w:r>
        <w:rPr>
          <w:rFonts w:cs="Arial"/>
          <w:sz w:val="22"/>
          <w:szCs w:val="22"/>
        </w:rPr>
        <w:t>.</w:t>
      </w:r>
    </w:p>
    <w:p w14:paraId="41140B38" w14:textId="77777777" w:rsidR="0060003A" w:rsidRDefault="0060003A" w:rsidP="007E2727">
      <w:pPr>
        <w:rPr>
          <w:rFonts w:cs="Arial"/>
          <w:sz w:val="22"/>
          <w:szCs w:val="22"/>
        </w:rPr>
      </w:pPr>
    </w:p>
    <w:p w14:paraId="60A28804" w14:textId="3F177271" w:rsidR="00AF406B" w:rsidRDefault="00AF406B" w:rsidP="007E2727">
      <w:pPr>
        <w:rPr>
          <w:rFonts w:cs="Arial"/>
          <w:sz w:val="22"/>
          <w:szCs w:val="22"/>
        </w:rPr>
      </w:pPr>
    </w:p>
    <w:p w14:paraId="018E2735" w14:textId="13321B04" w:rsidR="00824627" w:rsidRPr="00824627" w:rsidRDefault="00824627" w:rsidP="007E2727">
      <w:pPr>
        <w:pStyle w:val="Ttulo4"/>
      </w:pPr>
      <w:r w:rsidRPr="007E2727">
        <w:t>HOCOL</w:t>
      </w:r>
      <w:r w:rsidRPr="007E2727">
        <w:tab/>
      </w:r>
    </w:p>
    <w:p w14:paraId="72AB422F" w14:textId="47673A76" w:rsidR="007E2727" w:rsidRPr="00B00543" w:rsidRDefault="0002546B" w:rsidP="007E2727">
      <w:pPr>
        <w:rPr>
          <w:rFonts w:cs="Arial"/>
          <w:i/>
          <w:iCs/>
          <w:sz w:val="22"/>
          <w:szCs w:val="22"/>
        </w:rPr>
      </w:pPr>
      <w:r>
        <w:rPr>
          <w:rFonts w:cs="Arial"/>
          <w:i/>
          <w:iCs/>
          <w:sz w:val="22"/>
          <w:szCs w:val="22"/>
        </w:rPr>
        <w:t>“</w:t>
      </w:r>
      <w:r w:rsidR="007E2727" w:rsidRPr="00B00543">
        <w:rPr>
          <w:rFonts w:cs="Arial"/>
          <w:i/>
          <w:iCs/>
          <w:sz w:val="22"/>
          <w:szCs w:val="22"/>
        </w:rPr>
        <w:t>Es importante tener en cuenta que, como parte del proceso de certificación de reservas de gas, las agencias certificadoras consideran la existencia de contratos de suministro en firme, que garanticen el requerimiento del gas, como un indicador de la comercialización de estos recursos; por lo que se hace indispensable contar con la opción de suscribir este tipo de contratos en firme, y de esta manera asegurar la certificación de reservas con las agencias encargadas.</w:t>
      </w:r>
      <w:r>
        <w:rPr>
          <w:rFonts w:cs="Arial"/>
          <w:i/>
          <w:iCs/>
          <w:sz w:val="22"/>
          <w:szCs w:val="22"/>
        </w:rPr>
        <w:t>”</w:t>
      </w:r>
    </w:p>
    <w:p w14:paraId="6C08CCD6" w14:textId="0DE1E9FB" w:rsidR="00AF406B" w:rsidRDefault="00AF406B" w:rsidP="007E2727">
      <w:pPr>
        <w:rPr>
          <w:rFonts w:cs="Arial"/>
          <w:sz w:val="22"/>
          <w:szCs w:val="22"/>
        </w:rPr>
      </w:pPr>
    </w:p>
    <w:p w14:paraId="2ED9EAB9" w14:textId="12E217C7" w:rsidR="00AF406B" w:rsidRPr="00B00543" w:rsidRDefault="00B00543" w:rsidP="007E2727">
      <w:pPr>
        <w:rPr>
          <w:rFonts w:cs="Arial"/>
          <w:b/>
          <w:bCs/>
          <w:sz w:val="22"/>
          <w:szCs w:val="22"/>
        </w:rPr>
      </w:pPr>
      <w:r w:rsidRPr="00B00543">
        <w:rPr>
          <w:rFonts w:cs="Arial"/>
          <w:b/>
          <w:bCs/>
          <w:sz w:val="22"/>
          <w:szCs w:val="22"/>
        </w:rPr>
        <w:t>Respuesta:</w:t>
      </w:r>
    </w:p>
    <w:p w14:paraId="06B6F9E0" w14:textId="349CABEA" w:rsidR="00B00543" w:rsidRDefault="00B00543" w:rsidP="007E2727">
      <w:pPr>
        <w:rPr>
          <w:rFonts w:cs="Arial"/>
          <w:sz w:val="22"/>
          <w:szCs w:val="22"/>
        </w:rPr>
      </w:pPr>
    </w:p>
    <w:p w14:paraId="51950E9A" w14:textId="77777777" w:rsidR="00742B15" w:rsidRDefault="00742B15" w:rsidP="007E2727">
      <w:pPr>
        <w:rPr>
          <w:rFonts w:cs="Arial"/>
          <w:sz w:val="22"/>
          <w:szCs w:val="22"/>
        </w:rPr>
      </w:pPr>
      <w:r>
        <w:rPr>
          <w:rFonts w:cs="Arial"/>
          <w:sz w:val="22"/>
          <w:szCs w:val="22"/>
        </w:rPr>
        <w:t xml:space="preserve">No se acoge el comentario. </w:t>
      </w:r>
    </w:p>
    <w:p w14:paraId="5A3102C2" w14:textId="77777777" w:rsidR="00742B15" w:rsidRDefault="00742B15" w:rsidP="007E2727">
      <w:pPr>
        <w:rPr>
          <w:rFonts w:cs="Arial"/>
          <w:sz w:val="22"/>
          <w:szCs w:val="22"/>
        </w:rPr>
      </w:pPr>
    </w:p>
    <w:p w14:paraId="797C09EB" w14:textId="656E3881" w:rsidR="00B00543" w:rsidRDefault="00742B15" w:rsidP="007E2727">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_Ref132005432 \r \h </w:instrText>
      </w:r>
      <w:r>
        <w:rPr>
          <w:rFonts w:cs="Arial"/>
          <w:sz w:val="22"/>
          <w:szCs w:val="22"/>
        </w:rPr>
      </w:r>
      <w:r>
        <w:rPr>
          <w:rFonts w:cs="Arial"/>
          <w:sz w:val="22"/>
          <w:szCs w:val="22"/>
        </w:rPr>
        <w:fldChar w:fldCharType="separate"/>
      </w:r>
      <w:r w:rsidR="007651EA">
        <w:rPr>
          <w:rFonts w:cs="Arial"/>
          <w:sz w:val="22"/>
          <w:szCs w:val="22"/>
        </w:rPr>
        <w:t>2.2.6</w:t>
      </w:r>
      <w:r>
        <w:rPr>
          <w:rFonts w:cs="Arial"/>
          <w:sz w:val="22"/>
          <w:szCs w:val="22"/>
        </w:rPr>
        <w:fldChar w:fldCharType="end"/>
      </w:r>
      <w:r>
        <w:rPr>
          <w:rFonts w:cs="Arial"/>
          <w:sz w:val="22"/>
          <w:szCs w:val="22"/>
        </w:rPr>
        <w:t xml:space="preserve"> y numeral </w:t>
      </w:r>
      <w:r>
        <w:rPr>
          <w:rFonts w:cs="Arial"/>
          <w:sz w:val="22"/>
          <w:szCs w:val="22"/>
        </w:rPr>
        <w:fldChar w:fldCharType="begin"/>
      </w:r>
      <w:r>
        <w:rPr>
          <w:rFonts w:cs="Arial"/>
          <w:sz w:val="22"/>
          <w:szCs w:val="22"/>
        </w:rPr>
        <w:instrText xml:space="preserve"> REF _Ref130637514 \r \h </w:instrText>
      </w:r>
      <w:r>
        <w:rPr>
          <w:rFonts w:cs="Arial"/>
          <w:sz w:val="22"/>
          <w:szCs w:val="22"/>
        </w:rPr>
      </w:r>
      <w:r>
        <w:rPr>
          <w:rFonts w:cs="Arial"/>
          <w:sz w:val="22"/>
          <w:szCs w:val="22"/>
        </w:rPr>
        <w:fldChar w:fldCharType="separate"/>
      </w:r>
      <w:r w:rsidR="007651EA">
        <w:rPr>
          <w:rFonts w:cs="Arial"/>
          <w:sz w:val="22"/>
          <w:szCs w:val="22"/>
        </w:rPr>
        <w:t>4.18</w:t>
      </w:r>
      <w:r>
        <w:rPr>
          <w:rFonts w:cs="Arial"/>
          <w:sz w:val="22"/>
          <w:szCs w:val="22"/>
        </w:rPr>
        <w:fldChar w:fldCharType="end"/>
      </w:r>
      <w:r>
        <w:rPr>
          <w:rFonts w:cs="Arial"/>
          <w:sz w:val="22"/>
          <w:szCs w:val="22"/>
        </w:rPr>
        <w:t>.</w:t>
      </w:r>
    </w:p>
    <w:p w14:paraId="1BFB28A5" w14:textId="0D53083A" w:rsidR="00824627" w:rsidRDefault="00824627" w:rsidP="007E2727">
      <w:pPr>
        <w:rPr>
          <w:rFonts w:cs="Arial"/>
          <w:sz w:val="22"/>
          <w:szCs w:val="22"/>
        </w:rPr>
      </w:pPr>
    </w:p>
    <w:p w14:paraId="456F5B15" w14:textId="77777777" w:rsidR="00824627" w:rsidRDefault="00824627" w:rsidP="007E2727">
      <w:pPr>
        <w:rPr>
          <w:rFonts w:cs="Arial"/>
          <w:sz w:val="22"/>
          <w:szCs w:val="22"/>
        </w:rPr>
      </w:pPr>
    </w:p>
    <w:p w14:paraId="7878B838" w14:textId="77777777" w:rsidR="00824627" w:rsidRDefault="00824627" w:rsidP="00824627">
      <w:pPr>
        <w:pStyle w:val="Ttulo4"/>
      </w:pPr>
      <w:r w:rsidRPr="007E2727">
        <w:t>HOCOL</w:t>
      </w:r>
      <w:r w:rsidRPr="007E2727">
        <w:tab/>
      </w:r>
    </w:p>
    <w:p w14:paraId="2F16FCE3" w14:textId="421D3CC1" w:rsidR="007E2727" w:rsidRPr="00742B15" w:rsidRDefault="00026092" w:rsidP="007E2727">
      <w:pPr>
        <w:rPr>
          <w:rFonts w:cs="Arial"/>
          <w:i/>
          <w:iCs/>
          <w:sz w:val="22"/>
          <w:szCs w:val="22"/>
        </w:rPr>
      </w:pPr>
      <w:r>
        <w:rPr>
          <w:rFonts w:cs="Arial"/>
          <w:i/>
          <w:iCs/>
          <w:sz w:val="22"/>
          <w:szCs w:val="22"/>
        </w:rPr>
        <w:t>“</w:t>
      </w:r>
      <w:r w:rsidR="007E2727" w:rsidRPr="00742B15">
        <w:rPr>
          <w:rFonts w:cs="Arial"/>
          <w:i/>
          <w:iCs/>
          <w:sz w:val="22"/>
          <w:szCs w:val="22"/>
        </w:rPr>
        <w:t>Otra consideración importante que desincentiva decisiones de inversión y adición de oferta nueva es la limitación en la duración de los contratos que son los que garantizan los ingresos y le brindan la viabilidad financiera requerida en la sanción definitiva de los proyectos y en la declaración de la comercialidad de estos campos.</w:t>
      </w:r>
      <w:r>
        <w:rPr>
          <w:rFonts w:cs="Arial"/>
          <w:i/>
          <w:iCs/>
          <w:sz w:val="22"/>
          <w:szCs w:val="22"/>
        </w:rPr>
        <w:t>”</w:t>
      </w:r>
    </w:p>
    <w:p w14:paraId="78E2F353" w14:textId="359DC0B9" w:rsidR="00742B15" w:rsidRDefault="00742B15" w:rsidP="007E2727">
      <w:pPr>
        <w:rPr>
          <w:rFonts w:cs="Arial"/>
          <w:sz w:val="22"/>
          <w:szCs w:val="22"/>
        </w:rPr>
      </w:pPr>
    </w:p>
    <w:p w14:paraId="7FF73F90" w14:textId="4468A5B2" w:rsidR="00742B15" w:rsidRPr="00742B15" w:rsidRDefault="00742B15" w:rsidP="007E2727">
      <w:pPr>
        <w:rPr>
          <w:rFonts w:cs="Arial"/>
          <w:b/>
          <w:bCs/>
          <w:sz w:val="22"/>
          <w:szCs w:val="22"/>
        </w:rPr>
      </w:pPr>
      <w:r w:rsidRPr="00742B15">
        <w:rPr>
          <w:rFonts w:cs="Arial"/>
          <w:b/>
          <w:bCs/>
          <w:sz w:val="22"/>
          <w:szCs w:val="22"/>
        </w:rPr>
        <w:t>Respuesta:</w:t>
      </w:r>
    </w:p>
    <w:p w14:paraId="7DA9825D" w14:textId="6AFB2EC8" w:rsidR="00742B15" w:rsidRDefault="00742B15" w:rsidP="007E2727">
      <w:pPr>
        <w:rPr>
          <w:rFonts w:cs="Arial"/>
          <w:sz w:val="22"/>
          <w:szCs w:val="22"/>
        </w:rPr>
      </w:pPr>
    </w:p>
    <w:p w14:paraId="7F2A5460" w14:textId="0D48771C" w:rsidR="00824627" w:rsidRDefault="00CE0096"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_Ref130975775 \r \h </w:instrText>
      </w:r>
      <w:r>
        <w:rPr>
          <w:rFonts w:cs="Arial"/>
          <w:sz w:val="22"/>
          <w:szCs w:val="22"/>
        </w:rPr>
      </w:r>
      <w:r>
        <w:rPr>
          <w:rFonts w:cs="Arial"/>
          <w:sz w:val="22"/>
          <w:szCs w:val="22"/>
        </w:rPr>
        <w:fldChar w:fldCharType="separate"/>
      </w:r>
      <w:r w:rsidR="007651EA">
        <w:rPr>
          <w:rFonts w:cs="Arial"/>
          <w:sz w:val="22"/>
          <w:szCs w:val="22"/>
        </w:rPr>
        <w:t>17.3.1.1</w:t>
      </w:r>
      <w:r>
        <w:rPr>
          <w:rFonts w:cs="Arial"/>
          <w:sz w:val="22"/>
          <w:szCs w:val="22"/>
        </w:rPr>
        <w:fldChar w:fldCharType="end"/>
      </w:r>
      <w:r>
        <w:rPr>
          <w:rFonts w:cs="Arial"/>
          <w:sz w:val="22"/>
          <w:szCs w:val="22"/>
        </w:rPr>
        <w:t>.</w:t>
      </w:r>
    </w:p>
    <w:p w14:paraId="474B4F27" w14:textId="77777777" w:rsidR="00824627" w:rsidRDefault="00824627" w:rsidP="007E2727">
      <w:pPr>
        <w:rPr>
          <w:rFonts w:cs="Arial"/>
          <w:sz w:val="22"/>
          <w:szCs w:val="22"/>
        </w:rPr>
      </w:pPr>
    </w:p>
    <w:p w14:paraId="3B42CF87" w14:textId="77777777" w:rsidR="00AF406B" w:rsidRDefault="00AF406B" w:rsidP="007E2727">
      <w:pPr>
        <w:rPr>
          <w:rFonts w:cs="Arial"/>
          <w:sz w:val="22"/>
          <w:szCs w:val="22"/>
        </w:rPr>
      </w:pPr>
    </w:p>
    <w:p w14:paraId="4C5FE1AC" w14:textId="77777777" w:rsidR="00824627" w:rsidRDefault="00824627" w:rsidP="00824627">
      <w:pPr>
        <w:pStyle w:val="Ttulo4"/>
      </w:pPr>
      <w:r w:rsidRPr="007E2727">
        <w:t>HOCOL</w:t>
      </w:r>
      <w:r w:rsidRPr="007E2727">
        <w:tab/>
      </w:r>
    </w:p>
    <w:p w14:paraId="1FF05507" w14:textId="3980A32A" w:rsidR="007E2727" w:rsidRPr="00CE0096" w:rsidRDefault="00026092" w:rsidP="007E2727">
      <w:pPr>
        <w:rPr>
          <w:rFonts w:cs="Arial"/>
          <w:i/>
          <w:iCs/>
          <w:sz w:val="22"/>
          <w:szCs w:val="22"/>
        </w:rPr>
      </w:pPr>
      <w:r>
        <w:rPr>
          <w:rFonts w:cs="Arial"/>
          <w:i/>
          <w:iCs/>
          <w:sz w:val="22"/>
          <w:szCs w:val="22"/>
        </w:rPr>
        <w:t>“</w:t>
      </w:r>
      <w:r w:rsidR="007E2727" w:rsidRPr="00CE0096">
        <w:rPr>
          <w:rFonts w:cs="Arial"/>
          <w:i/>
          <w:iCs/>
          <w:sz w:val="22"/>
          <w:szCs w:val="22"/>
        </w:rPr>
        <w:t xml:space="preserve">Con respecto a la limitación para suscribir contratos con destino a la demanda esencial, entendiendo la alineación que esta medida tiene con las obligaciones para comercializadores que atienden este tipo de demanda de suscribir contratos con Respaldo Físico, nos gustaría solicitar a la CREG mantener la opción de suscribir estos contratos que viabilizan la prueba y desarrollo de nueva oferta de gas natural, permitiendo la atención de Demanda Esencial y no Esencial, y la realización de inversiones para efectos de realizar la conexión con el SNT, puntos de consumo, o incluso utilización de tecnologías como el GNC o el GNL. </w:t>
      </w:r>
    </w:p>
    <w:p w14:paraId="34EFB1A1" w14:textId="77777777" w:rsidR="0060003A" w:rsidRPr="00CE0096" w:rsidRDefault="0060003A" w:rsidP="007E2727">
      <w:pPr>
        <w:rPr>
          <w:rFonts w:cs="Arial"/>
          <w:i/>
          <w:iCs/>
          <w:sz w:val="22"/>
          <w:szCs w:val="22"/>
        </w:rPr>
      </w:pPr>
    </w:p>
    <w:p w14:paraId="61FAA8BC" w14:textId="1CEB9DE9" w:rsidR="007E2727" w:rsidRPr="007E2727" w:rsidRDefault="007E2727" w:rsidP="007E2727">
      <w:pPr>
        <w:rPr>
          <w:rFonts w:cs="Arial"/>
          <w:sz w:val="22"/>
          <w:szCs w:val="22"/>
        </w:rPr>
      </w:pPr>
      <w:r w:rsidRPr="00CE0096">
        <w:rPr>
          <w:rFonts w:cs="Arial"/>
          <w:i/>
          <w:iCs/>
          <w:sz w:val="22"/>
          <w:szCs w:val="22"/>
        </w:rPr>
        <w:t>Agradecemos a la CREG eliminar esta limitación a nuevas fuentes de suministro, manteniendo así las condiciones que permitan incorporar nueva oferta en el mercado que garantice el abastecimiento de la demanda</w:t>
      </w:r>
      <w:r w:rsidRPr="007E2727">
        <w:rPr>
          <w:rFonts w:cs="Arial"/>
          <w:sz w:val="22"/>
          <w:szCs w:val="22"/>
        </w:rPr>
        <w:t>.</w:t>
      </w:r>
      <w:r w:rsidR="00026092">
        <w:rPr>
          <w:rFonts w:cs="Arial"/>
          <w:sz w:val="22"/>
          <w:szCs w:val="22"/>
        </w:rPr>
        <w:t>”</w:t>
      </w:r>
    </w:p>
    <w:p w14:paraId="08D3DB14" w14:textId="535EC003" w:rsidR="0060003A" w:rsidRDefault="0060003A" w:rsidP="007E2727">
      <w:pPr>
        <w:rPr>
          <w:rFonts w:cs="Arial"/>
          <w:sz w:val="22"/>
          <w:szCs w:val="22"/>
        </w:rPr>
      </w:pPr>
    </w:p>
    <w:p w14:paraId="74F90F66" w14:textId="52B3BD07" w:rsidR="00AF406B" w:rsidRPr="00CE0096" w:rsidRDefault="00CE0096" w:rsidP="007E2727">
      <w:pPr>
        <w:rPr>
          <w:rFonts w:cs="Arial"/>
          <w:b/>
          <w:bCs/>
          <w:sz w:val="22"/>
          <w:szCs w:val="22"/>
        </w:rPr>
      </w:pPr>
      <w:r w:rsidRPr="00CE0096">
        <w:rPr>
          <w:rFonts w:cs="Arial"/>
          <w:b/>
          <w:bCs/>
          <w:sz w:val="22"/>
          <w:szCs w:val="22"/>
        </w:rPr>
        <w:t>Respuesta:</w:t>
      </w:r>
    </w:p>
    <w:p w14:paraId="54679D78" w14:textId="2610DBF6" w:rsidR="00CE0096" w:rsidRDefault="00CE0096" w:rsidP="007E2727">
      <w:pPr>
        <w:rPr>
          <w:rFonts w:cs="Arial"/>
          <w:sz w:val="22"/>
          <w:szCs w:val="22"/>
        </w:rPr>
      </w:pPr>
    </w:p>
    <w:p w14:paraId="6FD33E43" w14:textId="2A324487" w:rsidR="00CE0096" w:rsidRDefault="00CE0096"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_Ref132004660 \r \h </w:instrText>
      </w:r>
      <w:r>
        <w:rPr>
          <w:rFonts w:cs="Arial"/>
          <w:sz w:val="22"/>
          <w:szCs w:val="22"/>
        </w:rPr>
      </w:r>
      <w:r>
        <w:rPr>
          <w:rFonts w:cs="Arial"/>
          <w:sz w:val="22"/>
          <w:szCs w:val="22"/>
        </w:rPr>
        <w:fldChar w:fldCharType="separate"/>
      </w:r>
      <w:r w:rsidR="007651EA">
        <w:rPr>
          <w:rFonts w:cs="Arial"/>
          <w:sz w:val="22"/>
          <w:szCs w:val="22"/>
        </w:rPr>
        <w:t>17.14.1.1</w:t>
      </w:r>
      <w:r>
        <w:rPr>
          <w:rFonts w:cs="Arial"/>
          <w:sz w:val="22"/>
          <w:szCs w:val="22"/>
        </w:rPr>
        <w:fldChar w:fldCharType="end"/>
      </w:r>
      <w:r>
        <w:rPr>
          <w:rFonts w:cs="Arial"/>
          <w:sz w:val="22"/>
          <w:szCs w:val="22"/>
        </w:rPr>
        <w:t>.</w:t>
      </w:r>
    </w:p>
    <w:p w14:paraId="5EEEF513" w14:textId="77777777" w:rsidR="00CE0096" w:rsidRDefault="00CE0096" w:rsidP="007E2727">
      <w:pPr>
        <w:rPr>
          <w:rFonts w:cs="Arial"/>
          <w:sz w:val="22"/>
          <w:szCs w:val="22"/>
        </w:rPr>
      </w:pPr>
    </w:p>
    <w:p w14:paraId="0E911036" w14:textId="77777777" w:rsidR="00AF406B" w:rsidRDefault="00AF406B" w:rsidP="007E2727">
      <w:pPr>
        <w:rPr>
          <w:rFonts w:cs="Arial"/>
          <w:sz w:val="22"/>
          <w:szCs w:val="22"/>
        </w:rPr>
      </w:pPr>
    </w:p>
    <w:p w14:paraId="036B23E0" w14:textId="77777777" w:rsidR="0060003A" w:rsidRDefault="007E2727" w:rsidP="00F52B11">
      <w:pPr>
        <w:pStyle w:val="Ttulo4"/>
      </w:pPr>
      <w:r w:rsidRPr="007E2727">
        <w:t>HOCOL</w:t>
      </w:r>
      <w:r w:rsidRPr="007E2727">
        <w:tab/>
      </w:r>
    </w:p>
    <w:p w14:paraId="6828212A" w14:textId="4288567F" w:rsidR="007E2727" w:rsidRPr="00CE0096" w:rsidRDefault="007E2727" w:rsidP="007E2727">
      <w:pPr>
        <w:rPr>
          <w:rFonts w:cs="Arial"/>
          <w:i/>
          <w:iCs/>
          <w:sz w:val="22"/>
          <w:szCs w:val="22"/>
        </w:rPr>
      </w:pPr>
      <w:r w:rsidRPr="007E2727">
        <w:rPr>
          <w:rFonts w:cs="Arial"/>
          <w:sz w:val="22"/>
          <w:szCs w:val="22"/>
        </w:rPr>
        <w:t>"</w:t>
      </w:r>
      <w:r w:rsidRPr="00CE0096">
        <w:rPr>
          <w:rFonts w:cs="Arial"/>
          <w:i/>
          <w:iCs/>
          <w:sz w:val="22"/>
          <w:szCs w:val="22"/>
        </w:rPr>
        <w:t>Disponibilidad de Oferta de Gas</w:t>
      </w:r>
    </w:p>
    <w:p w14:paraId="668D4589" w14:textId="77777777" w:rsidR="007E2727" w:rsidRPr="00CE0096" w:rsidRDefault="007E2727" w:rsidP="007E2727">
      <w:pPr>
        <w:rPr>
          <w:rFonts w:cs="Arial"/>
          <w:i/>
          <w:iCs/>
          <w:sz w:val="22"/>
          <w:szCs w:val="22"/>
        </w:rPr>
      </w:pPr>
      <w:r w:rsidRPr="00CE0096">
        <w:rPr>
          <w:rFonts w:cs="Arial"/>
          <w:i/>
          <w:iCs/>
          <w:sz w:val="22"/>
          <w:szCs w:val="22"/>
        </w:rPr>
        <w:t xml:space="preserve">2. Gas proveniente del Desarrollo de un campo – En la propuesta regulatoria se acota la flexibilidad, a la comercialización del gas proveniente del Desarrollo de un campo (en los términos del contrato de exploración y producción de hidrocarburos de la ANH) durante los 3 años siguientes de la declaración de comercialidad, incluyendo que debe ser necesario por el desarrollo y </w:t>
      </w:r>
      <w:proofErr w:type="spellStart"/>
      <w:r w:rsidRPr="00CE0096">
        <w:rPr>
          <w:rFonts w:cs="Arial"/>
          <w:i/>
          <w:iCs/>
          <w:sz w:val="22"/>
          <w:szCs w:val="22"/>
        </w:rPr>
        <w:t>viabilización</w:t>
      </w:r>
      <w:proofErr w:type="spellEnd"/>
      <w:r w:rsidRPr="00CE0096">
        <w:rPr>
          <w:rFonts w:cs="Arial"/>
          <w:i/>
          <w:iCs/>
          <w:sz w:val="22"/>
          <w:szCs w:val="22"/>
        </w:rPr>
        <w:t xml:space="preserve"> de facilidades de producción requeridas para un nuevo campo de gas. </w:t>
      </w:r>
    </w:p>
    <w:p w14:paraId="3F5FBC7A" w14:textId="77777777" w:rsidR="0060003A" w:rsidRPr="00CE0096" w:rsidRDefault="0060003A" w:rsidP="007E2727">
      <w:pPr>
        <w:rPr>
          <w:rFonts w:cs="Arial"/>
          <w:i/>
          <w:iCs/>
          <w:sz w:val="22"/>
          <w:szCs w:val="22"/>
        </w:rPr>
      </w:pPr>
    </w:p>
    <w:p w14:paraId="54B18D95" w14:textId="404C04C4" w:rsidR="007E2727" w:rsidRPr="007E2727" w:rsidRDefault="007E2727" w:rsidP="007E2727">
      <w:pPr>
        <w:rPr>
          <w:rFonts w:cs="Arial"/>
          <w:sz w:val="22"/>
          <w:szCs w:val="22"/>
        </w:rPr>
      </w:pPr>
      <w:r w:rsidRPr="00CE0096">
        <w:rPr>
          <w:rFonts w:cs="Arial"/>
          <w:i/>
          <w:iCs/>
          <w:sz w:val="22"/>
          <w:szCs w:val="22"/>
        </w:rPr>
        <w:t xml:space="preserve">Amablemente solicitamos a la CREG considerar la posibilidad de mantener la flexibilidad establecida en la Resolución CREG 186 de 2020, para comercialización este gas cuando sea necesario por el desarrollo y </w:t>
      </w:r>
      <w:proofErr w:type="spellStart"/>
      <w:r w:rsidRPr="00CE0096">
        <w:rPr>
          <w:rFonts w:cs="Arial"/>
          <w:i/>
          <w:iCs/>
          <w:sz w:val="22"/>
          <w:szCs w:val="22"/>
        </w:rPr>
        <w:t>viabilización</w:t>
      </w:r>
      <w:proofErr w:type="spellEnd"/>
      <w:r w:rsidRPr="00CE0096">
        <w:rPr>
          <w:rFonts w:cs="Arial"/>
          <w:i/>
          <w:iCs/>
          <w:sz w:val="22"/>
          <w:szCs w:val="22"/>
        </w:rPr>
        <w:t xml:space="preserve"> del yacimiento o de las facilidades de producción; ya que durante la etapa temprana del desarrollo de un campo pueden presentarse complejidades en el yacimiento como la irrupción de agua, el </w:t>
      </w:r>
      <w:proofErr w:type="spellStart"/>
      <w:r w:rsidRPr="00CE0096">
        <w:rPr>
          <w:rFonts w:cs="Arial"/>
          <w:i/>
          <w:iCs/>
          <w:sz w:val="22"/>
          <w:szCs w:val="22"/>
        </w:rPr>
        <w:t>arenamiento</w:t>
      </w:r>
      <w:proofErr w:type="spellEnd"/>
      <w:r w:rsidRPr="00CE0096">
        <w:rPr>
          <w:rFonts w:cs="Arial"/>
          <w:i/>
          <w:iCs/>
          <w:sz w:val="22"/>
          <w:szCs w:val="22"/>
        </w:rPr>
        <w:t xml:space="preserve"> de pozos, formaciones altamente compartimentadas, entre otros; esto adicional al requerimiento de los contratos de suministro que garanticen los ingresos para la viabilidad financiera del campo en desarrollo y sus facilidades</w:t>
      </w:r>
      <w:r w:rsidRPr="007E2727">
        <w:rPr>
          <w:rFonts w:cs="Arial"/>
          <w:sz w:val="22"/>
          <w:szCs w:val="22"/>
        </w:rPr>
        <w:t>.</w:t>
      </w:r>
    </w:p>
    <w:p w14:paraId="4992BEFD" w14:textId="77777777" w:rsidR="0060003A" w:rsidRDefault="0060003A" w:rsidP="007E2727">
      <w:pPr>
        <w:rPr>
          <w:rFonts w:cs="Arial"/>
          <w:sz w:val="22"/>
          <w:szCs w:val="22"/>
        </w:rPr>
      </w:pPr>
    </w:p>
    <w:p w14:paraId="019DCC13" w14:textId="79F82624" w:rsidR="00AF406B" w:rsidRPr="00CE0096" w:rsidRDefault="00CE0096" w:rsidP="007E2727">
      <w:pPr>
        <w:rPr>
          <w:rFonts w:cs="Arial"/>
          <w:b/>
          <w:bCs/>
          <w:sz w:val="22"/>
          <w:szCs w:val="22"/>
        </w:rPr>
      </w:pPr>
      <w:r w:rsidRPr="00CE0096">
        <w:rPr>
          <w:rFonts w:cs="Arial"/>
          <w:b/>
          <w:bCs/>
          <w:sz w:val="22"/>
          <w:szCs w:val="22"/>
        </w:rPr>
        <w:t>Respuesta:</w:t>
      </w:r>
    </w:p>
    <w:p w14:paraId="3FDC2E30" w14:textId="4FE39842" w:rsidR="00CE0096" w:rsidRDefault="00CE0096" w:rsidP="007E2727">
      <w:pPr>
        <w:rPr>
          <w:rFonts w:cs="Arial"/>
          <w:sz w:val="22"/>
          <w:szCs w:val="22"/>
        </w:rPr>
      </w:pPr>
    </w:p>
    <w:p w14:paraId="6954FF67" w14:textId="463FB24C" w:rsidR="00CE0096" w:rsidRDefault="00CE0096" w:rsidP="007E2727">
      <w:pPr>
        <w:rPr>
          <w:rFonts w:cs="Arial"/>
          <w:sz w:val="22"/>
          <w:szCs w:val="22"/>
        </w:rPr>
      </w:pPr>
      <w:r>
        <w:rPr>
          <w:rFonts w:cs="Arial"/>
          <w:sz w:val="22"/>
          <w:szCs w:val="22"/>
        </w:rPr>
        <w:t>No se acoge el comentario.</w:t>
      </w:r>
    </w:p>
    <w:p w14:paraId="14A7E6DA" w14:textId="084FF97D" w:rsidR="00CE0096" w:rsidRDefault="00CE0096" w:rsidP="007E2727">
      <w:pPr>
        <w:rPr>
          <w:rFonts w:cs="Arial"/>
          <w:sz w:val="22"/>
          <w:szCs w:val="22"/>
        </w:rPr>
      </w:pPr>
    </w:p>
    <w:p w14:paraId="369D27D4" w14:textId="57C823EE" w:rsidR="00AF406B" w:rsidRDefault="00CE0096" w:rsidP="007E2727">
      <w:pPr>
        <w:rPr>
          <w:rFonts w:cs="Arial"/>
          <w:sz w:val="22"/>
          <w:szCs w:val="22"/>
        </w:rPr>
      </w:pPr>
      <w:r>
        <w:rPr>
          <w:rFonts w:cs="Arial"/>
          <w:sz w:val="22"/>
          <w:szCs w:val="22"/>
        </w:rPr>
        <w:t xml:space="preserve">Con el cambio de duración mínima de los contratos a períodos trimestrales a diferencia del esquema actual vigente que permite negociaciones directas para contratos de tipo firme o que garantizan firmeza de duración de 3 o más años, con el esquema del MADE y junto con la propuesta del numeral </w:t>
      </w:r>
      <w:r>
        <w:rPr>
          <w:rFonts w:cs="Arial"/>
          <w:sz w:val="22"/>
          <w:szCs w:val="22"/>
        </w:rPr>
        <w:fldChar w:fldCharType="begin"/>
      </w:r>
      <w:r>
        <w:rPr>
          <w:rFonts w:cs="Arial"/>
          <w:sz w:val="22"/>
          <w:szCs w:val="22"/>
        </w:rPr>
        <w:instrText xml:space="preserve"> REF _Ref130637514 \r \h </w:instrText>
      </w:r>
      <w:r>
        <w:rPr>
          <w:rFonts w:cs="Arial"/>
          <w:sz w:val="22"/>
          <w:szCs w:val="22"/>
        </w:rPr>
      </w:r>
      <w:r>
        <w:rPr>
          <w:rFonts w:cs="Arial"/>
          <w:sz w:val="22"/>
          <w:szCs w:val="22"/>
        </w:rPr>
        <w:fldChar w:fldCharType="separate"/>
      </w:r>
      <w:r w:rsidR="007651EA">
        <w:rPr>
          <w:rFonts w:cs="Arial"/>
          <w:sz w:val="22"/>
          <w:szCs w:val="22"/>
        </w:rPr>
        <w:t>4.18</w:t>
      </w:r>
      <w:r>
        <w:rPr>
          <w:rFonts w:cs="Arial"/>
          <w:sz w:val="22"/>
          <w:szCs w:val="22"/>
        </w:rPr>
        <w:fldChar w:fldCharType="end"/>
      </w:r>
      <w:r>
        <w:rPr>
          <w:rFonts w:cs="Arial"/>
          <w:sz w:val="22"/>
          <w:szCs w:val="22"/>
        </w:rPr>
        <w:t>, se considera que no es necesario y de hecho es inconveniente, permitir tal flexibilidad a los campos que ya han declarado comercialidad.</w:t>
      </w:r>
    </w:p>
    <w:p w14:paraId="480CBFFF" w14:textId="77777777" w:rsidR="00CE0096" w:rsidRDefault="00CE0096" w:rsidP="007E2727">
      <w:pPr>
        <w:rPr>
          <w:rFonts w:cs="Arial"/>
          <w:sz w:val="22"/>
          <w:szCs w:val="22"/>
        </w:rPr>
      </w:pPr>
    </w:p>
    <w:p w14:paraId="2F2867A1" w14:textId="77777777" w:rsidR="00824627" w:rsidRDefault="00824627" w:rsidP="00824627">
      <w:pPr>
        <w:pStyle w:val="Ttulo4"/>
      </w:pPr>
      <w:r w:rsidRPr="007E2727">
        <w:t>HOCOL</w:t>
      </w:r>
      <w:r w:rsidRPr="007E2727">
        <w:tab/>
      </w:r>
    </w:p>
    <w:p w14:paraId="3A916DC9" w14:textId="374648D8" w:rsidR="007E2727" w:rsidRPr="00CE0096" w:rsidRDefault="00AB6772" w:rsidP="007E2727">
      <w:pPr>
        <w:rPr>
          <w:rFonts w:cs="Arial"/>
          <w:i/>
          <w:iCs/>
          <w:sz w:val="22"/>
          <w:szCs w:val="22"/>
        </w:rPr>
      </w:pPr>
      <w:r>
        <w:rPr>
          <w:rFonts w:cs="Arial"/>
          <w:i/>
          <w:iCs/>
          <w:sz w:val="22"/>
          <w:szCs w:val="22"/>
        </w:rPr>
        <w:t>“</w:t>
      </w:r>
      <w:r w:rsidR="007E2727" w:rsidRPr="00CE0096">
        <w:rPr>
          <w:rFonts w:cs="Arial"/>
          <w:i/>
          <w:iCs/>
          <w:sz w:val="22"/>
          <w:szCs w:val="22"/>
        </w:rPr>
        <w:t>Finalmente debemos mencionar a la CREG nuestra preocupación general en relación con la aplicación del Mecanismo de Aseguramiento de la Demanda Esencial, MADE, a las actividades exceptuadas de los mecanismos y procedimientos de comercialización contenidas en el artículo 2.2.2.2.2.24 del Decreto 1073 de 2015. Lo anterior, en la medida en que, si bien entendemos la necesidad de que se incorpore un mecanismo que busque el aseguramiento de la Demanda Esencial, mantenemos la preocupación por la certeza y seguridad jurídica que se tendría ante un escenario en el cual este mecanismo resulte viciado de nulidad por su contradicción con las normas contenidas en el Decreto 1073 de 2015 y la competencia otorgada a la CREG mediante el artículo 2.2.2.2.23 del mismo decreto, para la expedición de los mecanismos y procedimientos de comercialización de la PTDV y las CIDV, mecanismos y procedimientos que por disposición expresa del decreto, no se aplicarán a la comercialización de gas de campos menores, campos en pruebas o sobre los cuales no se haya declarado su comercialidad y los yacimientos no convencionales.</w:t>
      </w:r>
      <w:r w:rsidR="00937DD9">
        <w:rPr>
          <w:rFonts w:cs="Arial"/>
          <w:i/>
          <w:iCs/>
          <w:sz w:val="22"/>
          <w:szCs w:val="22"/>
        </w:rPr>
        <w:t>”</w:t>
      </w:r>
    </w:p>
    <w:p w14:paraId="75B17349" w14:textId="33A0B147" w:rsidR="00CE0096" w:rsidRDefault="00CE0096" w:rsidP="007E2727">
      <w:pPr>
        <w:rPr>
          <w:rFonts w:cs="Arial"/>
          <w:sz w:val="22"/>
          <w:szCs w:val="22"/>
        </w:rPr>
      </w:pPr>
    </w:p>
    <w:p w14:paraId="36BDD114" w14:textId="0D87234C" w:rsidR="00CE0096" w:rsidRPr="00CE0096" w:rsidRDefault="00CE0096" w:rsidP="007E2727">
      <w:pPr>
        <w:rPr>
          <w:rFonts w:cs="Arial"/>
          <w:b/>
          <w:bCs/>
          <w:sz w:val="22"/>
          <w:szCs w:val="22"/>
        </w:rPr>
      </w:pPr>
      <w:r w:rsidRPr="00CE0096">
        <w:rPr>
          <w:rFonts w:cs="Arial"/>
          <w:b/>
          <w:bCs/>
          <w:sz w:val="22"/>
          <w:szCs w:val="22"/>
        </w:rPr>
        <w:t>Respuesta:</w:t>
      </w:r>
    </w:p>
    <w:p w14:paraId="1DCA4C18" w14:textId="74D6002B" w:rsidR="00CE0096" w:rsidRDefault="00CE0096" w:rsidP="007E2727">
      <w:pPr>
        <w:rPr>
          <w:rFonts w:cs="Arial"/>
          <w:sz w:val="22"/>
          <w:szCs w:val="22"/>
        </w:rPr>
      </w:pPr>
    </w:p>
    <w:p w14:paraId="50D16E73" w14:textId="6C59FDE1" w:rsidR="00CE0096" w:rsidRDefault="00CE0096" w:rsidP="007E2727">
      <w:pPr>
        <w:rPr>
          <w:rFonts w:cs="Arial"/>
          <w:sz w:val="22"/>
          <w:szCs w:val="22"/>
        </w:rPr>
      </w:pPr>
      <w:r>
        <w:rPr>
          <w:rFonts w:cs="Arial"/>
          <w:sz w:val="22"/>
          <w:szCs w:val="22"/>
        </w:rPr>
        <w:t>No se acoge el comentario.</w:t>
      </w:r>
    </w:p>
    <w:p w14:paraId="536DA429" w14:textId="303FA9D0" w:rsidR="00CE0096" w:rsidRDefault="00CE0096" w:rsidP="007E2727">
      <w:pPr>
        <w:rPr>
          <w:rFonts w:cs="Arial"/>
          <w:sz w:val="22"/>
          <w:szCs w:val="22"/>
        </w:rPr>
      </w:pPr>
    </w:p>
    <w:p w14:paraId="605D4FB1" w14:textId="7AC944F3" w:rsidR="0060003A" w:rsidRDefault="00CE0096" w:rsidP="007E2727">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Pr>
          <w:rFonts w:cs="Arial"/>
          <w:sz w:val="22"/>
          <w:szCs w:val="22"/>
        </w:rPr>
        <w:t>.</w:t>
      </w:r>
    </w:p>
    <w:p w14:paraId="76BCAC5A" w14:textId="77777777" w:rsidR="00CE0096" w:rsidRDefault="00CE0096" w:rsidP="007E2727">
      <w:pPr>
        <w:rPr>
          <w:rFonts w:cs="Arial"/>
          <w:sz w:val="22"/>
          <w:szCs w:val="22"/>
        </w:rPr>
      </w:pPr>
    </w:p>
    <w:p w14:paraId="4E2D7E23" w14:textId="77777777" w:rsidR="0060003A" w:rsidRDefault="0060003A" w:rsidP="007E2727">
      <w:pPr>
        <w:rPr>
          <w:rFonts w:cs="Arial"/>
          <w:sz w:val="22"/>
          <w:szCs w:val="22"/>
        </w:rPr>
      </w:pPr>
    </w:p>
    <w:p w14:paraId="1BCEAA91" w14:textId="77777777" w:rsidR="0060003A" w:rsidRDefault="007E2727" w:rsidP="00F52B11">
      <w:pPr>
        <w:pStyle w:val="Ttulo4"/>
      </w:pPr>
      <w:bookmarkStart w:id="738" w:name="_Ref132031612"/>
      <w:r w:rsidRPr="007E2727">
        <w:t>HOCOL</w:t>
      </w:r>
      <w:bookmarkEnd w:id="738"/>
      <w:r w:rsidRPr="007E2727">
        <w:tab/>
      </w:r>
    </w:p>
    <w:p w14:paraId="782D9DFE" w14:textId="424CEA8B" w:rsidR="007E2727" w:rsidRPr="000E1306" w:rsidRDefault="007E2727" w:rsidP="007E2727">
      <w:pPr>
        <w:rPr>
          <w:rFonts w:cs="Arial"/>
          <w:i/>
          <w:iCs/>
          <w:sz w:val="22"/>
          <w:szCs w:val="22"/>
        </w:rPr>
      </w:pPr>
      <w:r w:rsidRPr="007E2727">
        <w:rPr>
          <w:rFonts w:cs="Arial"/>
          <w:sz w:val="22"/>
          <w:szCs w:val="22"/>
        </w:rPr>
        <w:t>"</w:t>
      </w:r>
      <w:r w:rsidRPr="000E1306">
        <w:rPr>
          <w:rFonts w:cs="Arial"/>
          <w:i/>
          <w:iCs/>
          <w:sz w:val="22"/>
          <w:szCs w:val="22"/>
        </w:rPr>
        <w:t>Disponibilidad de Oferta de Gas</w:t>
      </w:r>
    </w:p>
    <w:p w14:paraId="091321A6" w14:textId="6347FEF5" w:rsidR="007E2727" w:rsidRPr="000E1306" w:rsidRDefault="007E2727" w:rsidP="007E2727">
      <w:pPr>
        <w:rPr>
          <w:rFonts w:cs="Arial"/>
          <w:i/>
          <w:iCs/>
          <w:sz w:val="22"/>
          <w:szCs w:val="22"/>
        </w:rPr>
      </w:pPr>
      <w:r w:rsidRPr="000E1306">
        <w:rPr>
          <w:rFonts w:cs="Arial"/>
          <w:i/>
          <w:iCs/>
          <w:sz w:val="22"/>
          <w:szCs w:val="22"/>
        </w:rPr>
        <w:t>3. Otras excepciones. Como parte del borrador de la resolución se incluyen otras excepciones en el Artículo 19, como la que otorga al comercializador de gas importado y sobre la cual nos gustaría solicitar a la CREG considerar mantener la igualdad de condiciones para las distintas fuentes de suministro; ya que el productor que comercializa oferta de gas nacional también gestiona riesgos e invierte altas sumas de capital para desarrollar este tipo de proyectos, lo que amerita que se mantenga la flexibilidad en la comercialización de gas mediante la negociación bilateral en cualquier momento del año, tanto para el gas importado como para oferta nacional de las fuentes no exceptuadas.</w:t>
      </w:r>
      <w:r w:rsidR="000E1306">
        <w:rPr>
          <w:rFonts w:cs="Arial"/>
          <w:i/>
          <w:iCs/>
          <w:sz w:val="22"/>
          <w:szCs w:val="22"/>
        </w:rPr>
        <w:t>”</w:t>
      </w:r>
    </w:p>
    <w:p w14:paraId="3A9112BB" w14:textId="6A885DC8" w:rsidR="000E1306" w:rsidRDefault="000E1306" w:rsidP="007E2727">
      <w:pPr>
        <w:rPr>
          <w:rFonts w:cs="Arial"/>
          <w:sz w:val="22"/>
          <w:szCs w:val="22"/>
        </w:rPr>
      </w:pPr>
    </w:p>
    <w:p w14:paraId="0C82B74C" w14:textId="2395626A" w:rsidR="000E1306" w:rsidRPr="000E1306" w:rsidRDefault="000E1306" w:rsidP="007E2727">
      <w:pPr>
        <w:rPr>
          <w:rFonts w:cs="Arial"/>
          <w:b/>
          <w:bCs/>
          <w:sz w:val="22"/>
          <w:szCs w:val="22"/>
        </w:rPr>
      </w:pPr>
      <w:r w:rsidRPr="000E1306">
        <w:rPr>
          <w:rFonts w:cs="Arial"/>
          <w:b/>
          <w:bCs/>
          <w:sz w:val="22"/>
          <w:szCs w:val="22"/>
        </w:rPr>
        <w:t>Respuesta:</w:t>
      </w:r>
    </w:p>
    <w:p w14:paraId="34ED4916" w14:textId="0E199CE6" w:rsidR="000E1306" w:rsidRDefault="000E1306" w:rsidP="007E2727">
      <w:pPr>
        <w:rPr>
          <w:rFonts w:cs="Arial"/>
          <w:sz w:val="22"/>
          <w:szCs w:val="22"/>
        </w:rPr>
      </w:pPr>
    </w:p>
    <w:p w14:paraId="07A4D71C" w14:textId="1675145B" w:rsidR="000E1306" w:rsidRDefault="000E1306" w:rsidP="007E2727">
      <w:pPr>
        <w:rPr>
          <w:rFonts w:cs="Arial"/>
          <w:sz w:val="22"/>
          <w:szCs w:val="22"/>
        </w:rPr>
      </w:pPr>
      <w:r>
        <w:rPr>
          <w:rFonts w:cs="Arial"/>
          <w:sz w:val="22"/>
          <w:szCs w:val="22"/>
        </w:rPr>
        <w:t>No se acoge el comentario.</w:t>
      </w:r>
    </w:p>
    <w:p w14:paraId="249A97EA" w14:textId="59C2AFF7" w:rsidR="000E1306" w:rsidRDefault="000E1306" w:rsidP="007E2727">
      <w:pPr>
        <w:rPr>
          <w:rFonts w:cs="Arial"/>
          <w:sz w:val="22"/>
          <w:szCs w:val="22"/>
        </w:rPr>
      </w:pPr>
    </w:p>
    <w:p w14:paraId="1CE58D45" w14:textId="68EB0AB7" w:rsidR="000E1306" w:rsidRDefault="000E1306" w:rsidP="007E2727">
      <w:pPr>
        <w:rPr>
          <w:rFonts w:cs="Arial"/>
          <w:sz w:val="22"/>
          <w:szCs w:val="22"/>
        </w:rPr>
      </w:pPr>
      <w:r>
        <w:rPr>
          <w:rFonts w:cs="Arial"/>
          <w:sz w:val="22"/>
          <w:szCs w:val="22"/>
        </w:rPr>
        <w:t>La excepción propuesta busca reconocer limitaciones evidentes para la comercialización del gas que proviene de dichas fuentes o condiciones de suministro con respecto a fuentes de suministro ya establecidas. Dichas excepciones no solamente aplican para el gas obtenido en el exterior con el fin de atender el servicio público domiciliario, sino también fuentes de suministro nacionales.</w:t>
      </w:r>
    </w:p>
    <w:p w14:paraId="1C0702EC" w14:textId="5407D58D" w:rsidR="000E1306" w:rsidRDefault="000E1306" w:rsidP="007E2727">
      <w:pPr>
        <w:rPr>
          <w:rFonts w:cs="Arial"/>
          <w:sz w:val="22"/>
          <w:szCs w:val="22"/>
        </w:rPr>
      </w:pPr>
    </w:p>
    <w:p w14:paraId="5648A4D1" w14:textId="475E71D0" w:rsidR="0060003A" w:rsidRDefault="000E1306" w:rsidP="007E2727">
      <w:pPr>
        <w:rPr>
          <w:rFonts w:cs="Arial"/>
          <w:sz w:val="22"/>
          <w:szCs w:val="22"/>
        </w:rPr>
      </w:pPr>
      <w:r>
        <w:rPr>
          <w:rFonts w:cs="Arial"/>
          <w:sz w:val="22"/>
          <w:szCs w:val="22"/>
        </w:rPr>
        <w:t>Finalmente debe tenerse en cuenta que</w:t>
      </w:r>
      <w:r w:rsidR="003A1579">
        <w:rPr>
          <w:rFonts w:cs="Arial"/>
          <w:sz w:val="22"/>
          <w:szCs w:val="22"/>
        </w:rPr>
        <w:t>,</w:t>
      </w:r>
      <w:r>
        <w:rPr>
          <w:rFonts w:cs="Arial"/>
          <w:sz w:val="22"/>
          <w:szCs w:val="22"/>
        </w:rPr>
        <w:t xml:space="preserve"> en la implementación del MADE</w:t>
      </w:r>
      <w:r w:rsidR="003A1579">
        <w:rPr>
          <w:rFonts w:cs="Arial"/>
          <w:sz w:val="22"/>
          <w:szCs w:val="22"/>
        </w:rPr>
        <w:t>,</w:t>
      </w:r>
      <w:r>
        <w:rPr>
          <w:rFonts w:cs="Arial"/>
          <w:sz w:val="22"/>
          <w:szCs w:val="22"/>
        </w:rPr>
        <w:t xml:space="preserve"> no hay excepción de participación a ninguna fuente de suministro, ya sea ubicada en territorio nacional o ubicada en el exterior.</w:t>
      </w:r>
      <w:r w:rsidR="003A1579">
        <w:rPr>
          <w:rFonts w:cs="Arial"/>
          <w:sz w:val="22"/>
          <w:szCs w:val="22"/>
        </w:rPr>
        <w:t xml:space="preserve"> </w:t>
      </w:r>
    </w:p>
    <w:p w14:paraId="6D26706E" w14:textId="77777777" w:rsidR="00AF406B" w:rsidRDefault="00AF406B" w:rsidP="007E2727">
      <w:pPr>
        <w:rPr>
          <w:rFonts w:cs="Arial"/>
          <w:sz w:val="22"/>
          <w:szCs w:val="22"/>
        </w:rPr>
      </w:pPr>
    </w:p>
    <w:p w14:paraId="74B3CB2E" w14:textId="77777777" w:rsidR="00AF406B" w:rsidRDefault="00AF406B" w:rsidP="007E2727">
      <w:pPr>
        <w:rPr>
          <w:rFonts w:cs="Arial"/>
          <w:sz w:val="22"/>
          <w:szCs w:val="22"/>
        </w:rPr>
      </w:pPr>
    </w:p>
    <w:p w14:paraId="1CF5BBBD" w14:textId="77777777" w:rsidR="00824627" w:rsidRDefault="00824627" w:rsidP="00824627">
      <w:pPr>
        <w:pStyle w:val="Ttulo4"/>
      </w:pPr>
      <w:r w:rsidRPr="007E2727">
        <w:t>HOCOL</w:t>
      </w:r>
      <w:r w:rsidRPr="007E2727">
        <w:tab/>
      </w:r>
    </w:p>
    <w:p w14:paraId="67A3B5BE" w14:textId="35DBE447" w:rsidR="007E2727" w:rsidRPr="003A1579" w:rsidRDefault="003F5B6E" w:rsidP="007E2727">
      <w:pPr>
        <w:rPr>
          <w:rFonts w:cs="Arial"/>
          <w:i/>
          <w:iCs/>
          <w:sz w:val="22"/>
          <w:szCs w:val="22"/>
        </w:rPr>
      </w:pPr>
      <w:r>
        <w:rPr>
          <w:rFonts w:cs="Arial"/>
          <w:i/>
          <w:iCs/>
          <w:sz w:val="22"/>
          <w:szCs w:val="22"/>
        </w:rPr>
        <w:t>“</w:t>
      </w:r>
      <w:r w:rsidR="007E2727" w:rsidRPr="003A1579">
        <w:rPr>
          <w:rFonts w:cs="Arial"/>
          <w:i/>
          <w:iCs/>
          <w:sz w:val="22"/>
          <w:szCs w:val="22"/>
        </w:rPr>
        <w:t>Otra excepción que pedimos a la CREG es revisar y extender la flexibilidad de negociar directamente contratos semanales para las cantidades de gas liberadas ante eventos de fuerza mayor, caso fortuito o causa extraña, ya que la propuesta regulatoria limita a que correspondan a la atención del consumo propio de los Productores, pero que sugerimos ampliar para que también aplique ante los eventos declarados por parte de los compradores de gas. Esto permitiría maximizar la disponibilidad de gas a la demanda, no dejar gas atrapado en el yacimiento y evitar las fluctuaciones en la producción diaria de los campos, que resultan muy perjudiciales para mantener la capacidad de producción en el tiempo.</w:t>
      </w:r>
      <w:r w:rsidR="009149C4">
        <w:rPr>
          <w:rFonts w:cs="Arial"/>
          <w:i/>
          <w:iCs/>
          <w:sz w:val="22"/>
          <w:szCs w:val="22"/>
        </w:rPr>
        <w:t>”</w:t>
      </w:r>
    </w:p>
    <w:p w14:paraId="7E814046" w14:textId="3F8BACC6" w:rsidR="003A1579" w:rsidRDefault="003A1579" w:rsidP="007E2727">
      <w:pPr>
        <w:rPr>
          <w:rFonts w:cs="Arial"/>
          <w:sz w:val="22"/>
          <w:szCs w:val="22"/>
        </w:rPr>
      </w:pPr>
    </w:p>
    <w:p w14:paraId="6C6FFEC5" w14:textId="03B06FA9" w:rsidR="003A1579" w:rsidRPr="003A1579" w:rsidRDefault="003A1579" w:rsidP="007E2727">
      <w:pPr>
        <w:rPr>
          <w:rFonts w:cs="Arial"/>
          <w:b/>
          <w:bCs/>
          <w:sz w:val="22"/>
          <w:szCs w:val="22"/>
        </w:rPr>
      </w:pPr>
      <w:r w:rsidRPr="003A1579">
        <w:rPr>
          <w:rFonts w:cs="Arial"/>
          <w:b/>
          <w:bCs/>
          <w:sz w:val="22"/>
          <w:szCs w:val="22"/>
        </w:rPr>
        <w:t>Respuesta:</w:t>
      </w:r>
    </w:p>
    <w:p w14:paraId="22B84F62" w14:textId="13CA23CB" w:rsidR="003A1579" w:rsidRDefault="003A1579" w:rsidP="007E2727">
      <w:pPr>
        <w:rPr>
          <w:rFonts w:cs="Arial"/>
          <w:sz w:val="22"/>
          <w:szCs w:val="22"/>
        </w:rPr>
      </w:pPr>
    </w:p>
    <w:p w14:paraId="4CCBD745" w14:textId="2BBAACEA" w:rsidR="003A1579" w:rsidRDefault="00804753" w:rsidP="007E2727">
      <w:pPr>
        <w:rPr>
          <w:rFonts w:cs="Arial"/>
          <w:sz w:val="22"/>
          <w:szCs w:val="22"/>
        </w:rPr>
      </w:pPr>
      <w:r>
        <w:rPr>
          <w:rFonts w:cs="Arial"/>
          <w:sz w:val="22"/>
          <w:szCs w:val="22"/>
        </w:rPr>
        <w:t>No se acoge el comentario.</w:t>
      </w:r>
    </w:p>
    <w:p w14:paraId="33884594" w14:textId="0DE21DEE" w:rsidR="00804753" w:rsidRDefault="00804753" w:rsidP="007E2727">
      <w:pPr>
        <w:rPr>
          <w:rFonts w:cs="Arial"/>
          <w:sz w:val="22"/>
          <w:szCs w:val="22"/>
        </w:rPr>
      </w:pPr>
    </w:p>
    <w:p w14:paraId="36A2DACD" w14:textId="682404F7" w:rsidR="00804753" w:rsidRDefault="00804753" w:rsidP="007E2727">
      <w:pPr>
        <w:rPr>
          <w:rFonts w:cs="Arial"/>
          <w:sz w:val="22"/>
          <w:szCs w:val="22"/>
        </w:rPr>
      </w:pPr>
      <w:r>
        <w:rPr>
          <w:rFonts w:cs="Arial"/>
          <w:sz w:val="22"/>
          <w:szCs w:val="22"/>
        </w:rPr>
        <w:t>Los contratos de duración semanal tienen un fin específico y limitado, que se deriva de la razón de la aparición de las cantidades para ser puestas en el mercado primario, por reducción del consumo propio del productor por fuerza mayor.</w:t>
      </w:r>
      <w:r w:rsidR="003D0F4D">
        <w:rPr>
          <w:rFonts w:cs="Arial"/>
          <w:sz w:val="22"/>
          <w:szCs w:val="22"/>
        </w:rPr>
        <w:t xml:space="preserve"> </w:t>
      </w:r>
      <w:r w:rsidR="00AA0226">
        <w:rPr>
          <w:rFonts w:cs="Arial"/>
          <w:sz w:val="22"/>
          <w:szCs w:val="22"/>
        </w:rPr>
        <w:t>E</w:t>
      </w:r>
      <w:r w:rsidR="003D0F4D">
        <w:rPr>
          <w:rFonts w:cs="Arial"/>
          <w:sz w:val="22"/>
          <w:szCs w:val="22"/>
        </w:rPr>
        <w:t xml:space="preserve">n estos contratos no se reconocerá como evento eximente </w:t>
      </w:r>
      <w:r w:rsidR="003D0F4D" w:rsidRPr="003D0F4D">
        <w:rPr>
          <w:rFonts w:cs="Arial"/>
          <w:sz w:val="22"/>
          <w:szCs w:val="22"/>
        </w:rPr>
        <w:t>las suspensiones por labores programadas para reparaciones técnicas o mantenimientos</w:t>
      </w:r>
      <w:r w:rsidR="003D0F4D">
        <w:rPr>
          <w:rFonts w:cs="Arial"/>
          <w:sz w:val="22"/>
          <w:szCs w:val="22"/>
        </w:rPr>
        <w:t>.</w:t>
      </w:r>
    </w:p>
    <w:p w14:paraId="413D8B03" w14:textId="710AC5DB" w:rsidR="00804753" w:rsidRDefault="00804753" w:rsidP="007E2727">
      <w:pPr>
        <w:rPr>
          <w:rFonts w:cs="Arial"/>
          <w:sz w:val="22"/>
          <w:szCs w:val="22"/>
        </w:rPr>
      </w:pPr>
    </w:p>
    <w:p w14:paraId="4555659C" w14:textId="31D27D61" w:rsidR="00804753" w:rsidRDefault="00804753" w:rsidP="007E2727">
      <w:pPr>
        <w:rPr>
          <w:rFonts w:cs="Arial"/>
          <w:sz w:val="22"/>
          <w:szCs w:val="22"/>
        </w:rPr>
      </w:pPr>
      <w:r>
        <w:rPr>
          <w:rFonts w:cs="Arial"/>
          <w:sz w:val="22"/>
          <w:szCs w:val="22"/>
        </w:rPr>
        <w:t>En la propuesta se establece que se pueden firmar contratos con interrupciones con cantidades máximas totales para suscribir por un vendedor, limitadas al máximo valor que se obtiene de comprar la referencia de la PTDV (150%) y la referencia de la PC (20%). Es est</w:t>
      </w:r>
      <w:r w:rsidR="0088484E">
        <w:rPr>
          <w:rFonts w:cs="Arial"/>
          <w:sz w:val="22"/>
          <w:szCs w:val="22"/>
        </w:rPr>
        <w:t>a</w:t>
      </w:r>
      <w:r>
        <w:rPr>
          <w:rFonts w:cs="Arial"/>
          <w:sz w:val="22"/>
          <w:szCs w:val="22"/>
        </w:rPr>
        <w:t xml:space="preserve"> últim</w:t>
      </w:r>
      <w:r w:rsidR="0088484E">
        <w:rPr>
          <w:rFonts w:cs="Arial"/>
          <w:sz w:val="22"/>
          <w:szCs w:val="22"/>
        </w:rPr>
        <w:t xml:space="preserve">a referencia en que se usa la PC, </w:t>
      </w:r>
      <w:r>
        <w:rPr>
          <w:rFonts w:cs="Arial"/>
          <w:sz w:val="22"/>
          <w:szCs w:val="22"/>
        </w:rPr>
        <w:t>precisamente pensad</w:t>
      </w:r>
      <w:r w:rsidR="0088484E">
        <w:rPr>
          <w:rFonts w:cs="Arial"/>
          <w:sz w:val="22"/>
          <w:szCs w:val="22"/>
        </w:rPr>
        <w:t>a</w:t>
      </w:r>
      <w:r>
        <w:rPr>
          <w:rFonts w:cs="Arial"/>
          <w:sz w:val="22"/>
          <w:szCs w:val="22"/>
        </w:rPr>
        <w:t xml:space="preserve"> para las condiciones que se mencionan en el comentario, cuando se liberan cantidades por parte del comprador</w:t>
      </w:r>
      <w:r w:rsidR="0088484E">
        <w:rPr>
          <w:rFonts w:cs="Arial"/>
          <w:sz w:val="22"/>
          <w:szCs w:val="22"/>
        </w:rPr>
        <w:t xml:space="preserve"> de un contrato del tipo firme o que garantiza firmeza.</w:t>
      </w:r>
      <w:r>
        <w:rPr>
          <w:rFonts w:cs="Arial"/>
          <w:sz w:val="22"/>
          <w:szCs w:val="22"/>
        </w:rPr>
        <w:t xml:space="preserve">  </w:t>
      </w:r>
    </w:p>
    <w:p w14:paraId="18689F1A" w14:textId="77777777" w:rsidR="003A1579" w:rsidRPr="007E2727" w:rsidRDefault="003A1579" w:rsidP="007E2727">
      <w:pPr>
        <w:rPr>
          <w:rFonts w:cs="Arial"/>
          <w:sz w:val="22"/>
          <w:szCs w:val="22"/>
        </w:rPr>
      </w:pPr>
    </w:p>
    <w:p w14:paraId="33C51C27" w14:textId="77777777" w:rsidR="0060003A" w:rsidRDefault="0060003A" w:rsidP="007E2727">
      <w:pPr>
        <w:rPr>
          <w:rFonts w:cs="Arial"/>
          <w:sz w:val="22"/>
          <w:szCs w:val="22"/>
        </w:rPr>
      </w:pPr>
    </w:p>
    <w:p w14:paraId="46AFE487" w14:textId="77777777" w:rsidR="0060003A" w:rsidRDefault="007E2727" w:rsidP="00F52B11">
      <w:pPr>
        <w:pStyle w:val="Ttulo4"/>
      </w:pPr>
      <w:bookmarkStart w:id="739" w:name="_Ref132031948"/>
      <w:r w:rsidRPr="007E2727">
        <w:t>HOCOL</w:t>
      </w:r>
      <w:bookmarkEnd w:id="739"/>
      <w:r w:rsidRPr="007E2727">
        <w:tab/>
      </w:r>
    </w:p>
    <w:p w14:paraId="0E803116" w14:textId="2BD5DDEF" w:rsidR="007E2727" w:rsidRPr="0088484E" w:rsidRDefault="007E2727" w:rsidP="007E2727">
      <w:pPr>
        <w:rPr>
          <w:rFonts w:cs="Arial"/>
          <w:i/>
          <w:iCs/>
          <w:sz w:val="22"/>
          <w:szCs w:val="22"/>
        </w:rPr>
      </w:pPr>
      <w:r w:rsidRPr="007E2727">
        <w:rPr>
          <w:rFonts w:cs="Arial"/>
          <w:sz w:val="22"/>
          <w:szCs w:val="22"/>
        </w:rPr>
        <w:t>"</w:t>
      </w:r>
      <w:r w:rsidRPr="0088484E">
        <w:rPr>
          <w:rFonts w:cs="Arial"/>
          <w:i/>
          <w:iCs/>
          <w:sz w:val="22"/>
          <w:szCs w:val="22"/>
        </w:rPr>
        <w:t>Disponibilidad de Oferta de Gas</w:t>
      </w:r>
    </w:p>
    <w:p w14:paraId="66E7E485" w14:textId="77777777" w:rsidR="007E2727" w:rsidRPr="0088484E" w:rsidRDefault="007E2727" w:rsidP="007E2727">
      <w:pPr>
        <w:rPr>
          <w:rFonts w:cs="Arial"/>
          <w:i/>
          <w:iCs/>
          <w:sz w:val="22"/>
          <w:szCs w:val="22"/>
        </w:rPr>
      </w:pPr>
      <w:r w:rsidRPr="0088484E">
        <w:rPr>
          <w:rFonts w:cs="Arial"/>
          <w:i/>
          <w:iCs/>
          <w:sz w:val="22"/>
          <w:szCs w:val="22"/>
        </w:rPr>
        <w:t>Finalmente debemos mencionar a la CREG nuestra preocupación general en relación con la aplicación del Mecanismo de Aseguramiento de la Demanda Esencial, MADE, a las actividades exceptuadas de los mecanismos y procedimientos de comercialización contenidas en el artículo 2.2.2.2.2.24 del Decreto 1073 de 2015. Lo anterior, en la medida en que, si bien entendemos la necesidad de que se incorpore un mecanismo que busque el aseguramiento de la Demanda Esencial, mantenemos la preocupación por la certeza y seguridad jurídica que se tendría ante un escenario en el cual este mecanismo resulte viciado de nulidad por su contradicción con las normas contenidas en el Decreto 1073 de 2015 y la competencia otorgada a la CREG mediante el artículo 2.2.2.2.23 del mismo decreto, para la expedición de los mecanismos y procedimientos de comercialización de la PTDV y las CIDV, mecanismos y procedimientos que por disposición expresa del decreto, no se aplicarán a la comercialización de gas de campos menores, campos en pruebas o sobre los cuales no se haya declarado su comercialidad y los yacimientos no convencionales.</w:t>
      </w:r>
    </w:p>
    <w:p w14:paraId="5725D16F" w14:textId="77777777" w:rsidR="0060003A" w:rsidRPr="0088484E" w:rsidRDefault="0060003A" w:rsidP="007E2727">
      <w:pPr>
        <w:rPr>
          <w:rFonts w:cs="Arial"/>
          <w:i/>
          <w:iCs/>
          <w:sz w:val="22"/>
          <w:szCs w:val="22"/>
        </w:rPr>
      </w:pPr>
    </w:p>
    <w:p w14:paraId="69369FC0" w14:textId="7320B632" w:rsidR="007E2727" w:rsidRDefault="007E2727" w:rsidP="007E2727">
      <w:pPr>
        <w:rPr>
          <w:rFonts w:cs="Arial"/>
          <w:sz w:val="22"/>
          <w:szCs w:val="22"/>
        </w:rPr>
      </w:pPr>
      <w:r w:rsidRPr="0088484E">
        <w:rPr>
          <w:rFonts w:cs="Arial"/>
          <w:i/>
          <w:iCs/>
          <w:sz w:val="22"/>
          <w:szCs w:val="22"/>
        </w:rPr>
        <w:t>Para efectos de facilitar la implementación de los lineamientos establecidos en la Ley 2128 de 2021, con respecto al incentivo al desarrollo de la producción nacional, reiteramos nuestra amable solicitud de revisar las limitaciones que por esta vía se están incluyendo y que afectan de forma determinante el desarrollo de nueva oferta de gas, mientras que se amplía la flexibilidad otorgada al gas importado en la Resolución CREG 186 de 2020</w:t>
      </w:r>
      <w:r w:rsidRPr="007E2727">
        <w:rPr>
          <w:rFonts w:cs="Arial"/>
          <w:sz w:val="22"/>
          <w:szCs w:val="22"/>
        </w:rPr>
        <w:t>."</w:t>
      </w:r>
    </w:p>
    <w:p w14:paraId="48FA92B3" w14:textId="4FDAC4A7" w:rsidR="0088484E" w:rsidRDefault="0088484E" w:rsidP="007E2727">
      <w:pPr>
        <w:rPr>
          <w:rFonts w:cs="Arial"/>
          <w:sz w:val="22"/>
          <w:szCs w:val="22"/>
        </w:rPr>
      </w:pPr>
    </w:p>
    <w:p w14:paraId="16B71C87" w14:textId="4C2E0D16" w:rsidR="0088484E" w:rsidRPr="0088484E" w:rsidRDefault="0088484E" w:rsidP="007E2727">
      <w:pPr>
        <w:rPr>
          <w:rFonts w:cs="Arial"/>
          <w:b/>
          <w:bCs/>
          <w:sz w:val="22"/>
          <w:szCs w:val="22"/>
        </w:rPr>
      </w:pPr>
      <w:r w:rsidRPr="0088484E">
        <w:rPr>
          <w:rFonts w:cs="Arial"/>
          <w:b/>
          <w:bCs/>
          <w:sz w:val="22"/>
          <w:szCs w:val="22"/>
        </w:rPr>
        <w:t>Respuesta:</w:t>
      </w:r>
    </w:p>
    <w:p w14:paraId="1DB8EDD2" w14:textId="5A88492F" w:rsidR="0088484E" w:rsidRDefault="0088484E" w:rsidP="007E2727">
      <w:pPr>
        <w:rPr>
          <w:rFonts w:cs="Arial"/>
          <w:sz w:val="22"/>
          <w:szCs w:val="22"/>
        </w:rPr>
      </w:pPr>
    </w:p>
    <w:p w14:paraId="396C7D3F" w14:textId="5441FD7E" w:rsidR="0088484E" w:rsidRDefault="0088484E" w:rsidP="007E2727">
      <w:pPr>
        <w:rPr>
          <w:rFonts w:cs="Arial"/>
          <w:sz w:val="22"/>
          <w:szCs w:val="22"/>
        </w:rPr>
      </w:pPr>
      <w:r>
        <w:rPr>
          <w:rFonts w:cs="Arial"/>
          <w:sz w:val="22"/>
          <w:szCs w:val="22"/>
        </w:rPr>
        <w:t>No se acoge el comentario.</w:t>
      </w:r>
    </w:p>
    <w:p w14:paraId="02A6B8EC" w14:textId="5110E9A9" w:rsidR="0088484E" w:rsidRDefault="0088484E" w:rsidP="007E2727">
      <w:pPr>
        <w:rPr>
          <w:rFonts w:cs="Arial"/>
          <w:sz w:val="22"/>
          <w:szCs w:val="22"/>
        </w:rPr>
      </w:pPr>
    </w:p>
    <w:p w14:paraId="70C68E27" w14:textId="0FCB93B6" w:rsidR="0088484E" w:rsidRDefault="0088484E" w:rsidP="007E2727">
      <w:pPr>
        <w:rPr>
          <w:rFonts w:cs="Arial"/>
          <w:sz w:val="22"/>
          <w:szCs w:val="22"/>
        </w:rPr>
      </w:pPr>
      <w:r>
        <w:rPr>
          <w:rFonts w:cs="Arial"/>
          <w:sz w:val="22"/>
          <w:szCs w:val="22"/>
        </w:rPr>
        <w:t>Con la</w:t>
      </w:r>
      <w:r w:rsidR="00E74027">
        <w:rPr>
          <w:rFonts w:cs="Arial"/>
          <w:sz w:val="22"/>
          <w:szCs w:val="22"/>
        </w:rPr>
        <w:t>s</w:t>
      </w:r>
      <w:r>
        <w:rPr>
          <w:rFonts w:cs="Arial"/>
          <w:sz w:val="22"/>
          <w:szCs w:val="22"/>
        </w:rPr>
        <w:t xml:space="preserve"> propuesta</w:t>
      </w:r>
      <w:r w:rsidR="00E74027">
        <w:rPr>
          <w:rFonts w:cs="Arial"/>
          <w:sz w:val="22"/>
          <w:szCs w:val="22"/>
        </w:rPr>
        <w:t>s</w:t>
      </w:r>
      <w:r>
        <w:rPr>
          <w:rFonts w:cs="Arial"/>
          <w:sz w:val="22"/>
          <w:szCs w:val="22"/>
        </w:rPr>
        <w:t xml:space="preserve"> de permitir la comercialización conjunta </w:t>
      </w:r>
      <w:r w:rsidR="00AB1882" w:rsidRPr="00AB1882">
        <w:rPr>
          <w:rFonts w:cs="Arial"/>
          <w:sz w:val="22"/>
          <w:szCs w:val="22"/>
        </w:rPr>
        <w:t>de la producción de Fuentes de Suministro nuevas costa afuera y Y</w:t>
      </w:r>
      <w:r w:rsidR="00AB1882">
        <w:rPr>
          <w:rFonts w:cs="Arial"/>
          <w:sz w:val="22"/>
          <w:szCs w:val="22"/>
        </w:rPr>
        <w:t>acimientos no Convencionales, de comercialización del suministro que requieren logísticas especiales, como GNL o GNC</w:t>
      </w:r>
      <w:r w:rsidR="008308AF">
        <w:rPr>
          <w:rFonts w:cs="Arial"/>
          <w:sz w:val="22"/>
          <w:szCs w:val="22"/>
        </w:rPr>
        <w:t xml:space="preserve"> y las condiciones de contratación de fuentes en pruebas extensas o sin declaración de comercialidad,</w:t>
      </w:r>
      <w:r w:rsidR="00E74027">
        <w:rPr>
          <w:rFonts w:cs="Arial"/>
          <w:sz w:val="22"/>
          <w:szCs w:val="22"/>
        </w:rPr>
        <w:t xml:space="preserve"> entre otras,</w:t>
      </w:r>
      <w:r w:rsidR="00AB1882">
        <w:rPr>
          <w:rFonts w:cs="Arial"/>
          <w:sz w:val="22"/>
          <w:szCs w:val="22"/>
        </w:rPr>
        <w:t xml:space="preserve"> se busca incentivar</w:t>
      </w:r>
      <w:r w:rsidR="0049208A">
        <w:rPr>
          <w:rFonts w:cs="Arial"/>
          <w:sz w:val="22"/>
          <w:szCs w:val="22"/>
        </w:rPr>
        <w:t xml:space="preserve"> el incremento de</w:t>
      </w:r>
      <w:r w:rsidR="00AB1882">
        <w:rPr>
          <w:rFonts w:cs="Arial"/>
          <w:sz w:val="22"/>
          <w:szCs w:val="22"/>
        </w:rPr>
        <w:t xml:space="preserve"> la producción nacional. </w:t>
      </w:r>
    </w:p>
    <w:p w14:paraId="226E4F1F" w14:textId="7CDE0C2F" w:rsidR="00AB1882" w:rsidRDefault="00AB1882" w:rsidP="007E2727">
      <w:pPr>
        <w:rPr>
          <w:rFonts w:cs="Arial"/>
          <w:sz w:val="22"/>
          <w:szCs w:val="22"/>
        </w:rPr>
      </w:pPr>
    </w:p>
    <w:p w14:paraId="6D86628E" w14:textId="1A014436" w:rsidR="00AB1882" w:rsidRDefault="00AB1882" w:rsidP="007E2727">
      <w:pPr>
        <w:rPr>
          <w:rFonts w:cs="Arial"/>
          <w:sz w:val="22"/>
          <w:szCs w:val="22"/>
        </w:rPr>
      </w:pPr>
      <w:r>
        <w:rPr>
          <w:rFonts w:cs="Arial"/>
          <w:sz w:val="22"/>
          <w:szCs w:val="22"/>
        </w:rPr>
        <w:t xml:space="preserve">Por otro lado, una de las razones de incentivar el suministro para el servicio público domiciliario con gas obtenido en el exterior, no es para que se sustituya el gas de origen nacional, sino para que se complemente dicho gas cuando la cantidad de gas producido nacionalmente es insuficiente para atender la totalidad de la demanda. </w:t>
      </w:r>
    </w:p>
    <w:p w14:paraId="3DA28277" w14:textId="1E73E793" w:rsidR="00AB1882" w:rsidRDefault="00AB1882" w:rsidP="007E2727">
      <w:pPr>
        <w:rPr>
          <w:rFonts w:cs="Arial"/>
          <w:sz w:val="22"/>
          <w:szCs w:val="22"/>
        </w:rPr>
      </w:pPr>
    </w:p>
    <w:p w14:paraId="5F87ABCC" w14:textId="6188AB2A" w:rsidR="00AB1882" w:rsidRDefault="00AB1882" w:rsidP="007E2727">
      <w:pPr>
        <w:rPr>
          <w:rFonts w:cs="Arial"/>
          <w:sz w:val="22"/>
          <w:szCs w:val="22"/>
        </w:rPr>
      </w:pPr>
      <w:r>
        <w:rPr>
          <w:rFonts w:cs="Arial"/>
          <w:sz w:val="22"/>
          <w:szCs w:val="22"/>
        </w:rPr>
        <w:t>Si los potenciales usuarios del servicio público de gas natural tienen la percepción de una mayor seguridad del suministro con las medidas propuestas, con contratos de largo plazo y de gas obtenido en el exterior, habrá un mayor número de nuevos usuarios del servicio, lo que beneficia aún más la producción nacional.</w:t>
      </w:r>
    </w:p>
    <w:p w14:paraId="520CA0D7" w14:textId="77777777" w:rsidR="0088484E" w:rsidRPr="007E2727" w:rsidRDefault="0088484E" w:rsidP="007E2727">
      <w:pPr>
        <w:rPr>
          <w:rFonts w:cs="Arial"/>
          <w:sz w:val="22"/>
          <w:szCs w:val="22"/>
        </w:rPr>
      </w:pPr>
    </w:p>
    <w:p w14:paraId="79EE54A5" w14:textId="77777777" w:rsidR="0060003A" w:rsidRDefault="0060003A" w:rsidP="00AF406B">
      <w:pPr>
        <w:ind w:firstLine="708"/>
        <w:rPr>
          <w:rFonts w:cs="Arial"/>
          <w:sz w:val="22"/>
          <w:szCs w:val="22"/>
        </w:rPr>
      </w:pPr>
    </w:p>
    <w:p w14:paraId="59CB54F3" w14:textId="77777777" w:rsidR="0060003A" w:rsidRDefault="007E2727" w:rsidP="002313DA">
      <w:pPr>
        <w:pStyle w:val="Ttulo2"/>
      </w:pPr>
      <w:bookmarkStart w:id="740" w:name="_Toc140506401"/>
      <w:r w:rsidRPr="007E2727">
        <w:t>ISAGEN</w:t>
      </w:r>
      <w:bookmarkEnd w:id="740"/>
      <w:r w:rsidRPr="007E2727">
        <w:tab/>
      </w:r>
    </w:p>
    <w:p w14:paraId="7E935199" w14:textId="26D338BB" w:rsidR="00F52B11" w:rsidRDefault="00F52B11" w:rsidP="00F52B11">
      <w:pPr>
        <w:pStyle w:val="Ttulo4"/>
      </w:pPr>
      <w:r w:rsidRPr="007E2727">
        <w:t>ISAGEN</w:t>
      </w:r>
      <w:r w:rsidRPr="007E2727">
        <w:tab/>
      </w:r>
    </w:p>
    <w:p w14:paraId="6F9B75FE" w14:textId="330D5E09" w:rsidR="007E2727" w:rsidRPr="001937C1" w:rsidRDefault="00516FFE" w:rsidP="007E2727">
      <w:pPr>
        <w:rPr>
          <w:rFonts w:cs="Arial"/>
          <w:i/>
          <w:iCs/>
          <w:sz w:val="22"/>
          <w:szCs w:val="22"/>
        </w:rPr>
      </w:pPr>
      <w:r>
        <w:rPr>
          <w:rFonts w:cs="Arial"/>
          <w:i/>
          <w:iCs/>
          <w:sz w:val="22"/>
          <w:szCs w:val="22"/>
        </w:rPr>
        <w:t>“</w:t>
      </w:r>
      <w:r w:rsidR="00F52B11" w:rsidRPr="001937C1">
        <w:rPr>
          <w:rFonts w:cs="Arial"/>
          <w:i/>
          <w:iCs/>
          <w:sz w:val="22"/>
          <w:szCs w:val="22"/>
        </w:rPr>
        <w:t>T</w:t>
      </w:r>
      <w:r w:rsidR="007E2727" w:rsidRPr="001937C1">
        <w:rPr>
          <w:rFonts w:cs="Arial"/>
          <w:i/>
          <w:iCs/>
          <w:sz w:val="22"/>
          <w:szCs w:val="22"/>
        </w:rPr>
        <w:t>eniendo en cuenta que la posibilidad que genera la suscripción de estos contratos son eventos de fuerza mayor, caso fortuito o causa extraña, de los cuales es imposible conocer su duración con anticipación, solicitamos dar el mismo trato que a los contratos de contingencia respecto a su duración, para que de común acuerdo lo definan las partes y mientras se mantenga las condiciones que generaron el evento que justificaron la liberación o hasta la fecha en que fueron liberadas las cantidades de gas. Por otro lado, si el evento, como en el caso de la pandemia del COVID-19 se extiende por varios años, no sería práctica la firma de múltiples contratos semanales con el mismo objeto.</w:t>
      </w:r>
      <w:r>
        <w:rPr>
          <w:rFonts w:cs="Arial"/>
          <w:i/>
          <w:iCs/>
          <w:sz w:val="22"/>
          <w:szCs w:val="22"/>
        </w:rPr>
        <w:t>”</w:t>
      </w:r>
    </w:p>
    <w:p w14:paraId="3FCEE96C" w14:textId="708B9CD0" w:rsidR="001937C1" w:rsidRDefault="001937C1" w:rsidP="007E2727">
      <w:pPr>
        <w:rPr>
          <w:rFonts w:cs="Arial"/>
          <w:sz w:val="22"/>
          <w:szCs w:val="22"/>
        </w:rPr>
      </w:pPr>
    </w:p>
    <w:p w14:paraId="370BD777" w14:textId="3223A553" w:rsidR="001937C1" w:rsidRPr="001937C1" w:rsidRDefault="001937C1" w:rsidP="007E2727">
      <w:pPr>
        <w:rPr>
          <w:rFonts w:cs="Arial"/>
          <w:b/>
          <w:bCs/>
          <w:sz w:val="22"/>
          <w:szCs w:val="22"/>
        </w:rPr>
      </w:pPr>
      <w:r w:rsidRPr="001937C1">
        <w:rPr>
          <w:rFonts w:cs="Arial"/>
          <w:b/>
          <w:bCs/>
          <w:sz w:val="22"/>
          <w:szCs w:val="22"/>
        </w:rPr>
        <w:t>Respuesta:</w:t>
      </w:r>
    </w:p>
    <w:p w14:paraId="1C8A2869" w14:textId="0461BEEF" w:rsidR="001937C1" w:rsidRDefault="001937C1" w:rsidP="007E2727">
      <w:pPr>
        <w:rPr>
          <w:rFonts w:cs="Arial"/>
          <w:sz w:val="22"/>
          <w:szCs w:val="22"/>
        </w:rPr>
      </w:pPr>
    </w:p>
    <w:p w14:paraId="34E678EB" w14:textId="7D96ADF7" w:rsidR="00E74027" w:rsidRDefault="00E74027" w:rsidP="007E2727">
      <w:pPr>
        <w:rPr>
          <w:rFonts w:cs="Arial"/>
          <w:sz w:val="22"/>
          <w:szCs w:val="22"/>
        </w:rPr>
      </w:pPr>
      <w:r>
        <w:rPr>
          <w:rFonts w:cs="Arial"/>
          <w:sz w:val="22"/>
          <w:szCs w:val="22"/>
        </w:rPr>
        <w:t>No se acoge el comentario.</w:t>
      </w:r>
    </w:p>
    <w:p w14:paraId="189CD418" w14:textId="53815DD5" w:rsidR="00E74027" w:rsidRDefault="00E74027" w:rsidP="007E2727">
      <w:pPr>
        <w:rPr>
          <w:rFonts w:cs="Arial"/>
          <w:sz w:val="22"/>
          <w:szCs w:val="22"/>
        </w:rPr>
      </w:pPr>
    </w:p>
    <w:p w14:paraId="47D1E17B" w14:textId="5768492E" w:rsidR="00E74027" w:rsidRDefault="00E74027" w:rsidP="007E2727">
      <w:pPr>
        <w:rPr>
          <w:rFonts w:cs="Arial"/>
          <w:sz w:val="22"/>
          <w:szCs w:val="22"/>
        </w:rPr>
      </w:pPr>
      <w:r>
        <w:rPr>
          <w:rFonts w:cs="Arial"/>
          <w:sz w:val="22"/>
          <w:szCs w:val="22"/>
        </w:rPr>
        <w:t>Los contratos de duración semanal están propuestos para ser usados únicamente c</w:t>
      </w:r>
      <w:r w:rsidRPr="00E74027">
        <w:rPr>
          <w:rFonts w:cs="Arial"/>
          <w:sz w:val="22"/>
          <w:szCs w:val="22"/>
        </w:rPr>
        <w:t xml:space="preserve">uando se traten de cantidades liberadas de gas natural ante eventos de fuerza mayor, caso fortuito o causa extraña que hayan estado comprometidas para la atención del consumo propio de los Productores cuyos contratos hayan sido registrados ante el </w:t>
      </w:r>
      <w:r w:rsidR="005114C6">
        <w:rPr>
          <w:rFonts w:cs="Arial"/>
          <w:sz w:val="22"/>
          <w:szCs w:val="22"/>
        </w:rPr>
        <w:t>Gestor del Mercado</w:t>
      </w:r>
      <w:r>
        <w:rPr>
          <w:rFonts w:cs="Arial"/>
          <w:sz w:val="22"/>
          <w:szCs w:val="22"/>
        </w:rPr>
        <w:t xml:space="preserve">. Si hay un evento como el que se propone en el comentario, o incluso de menores duraciones, lo que debe hacer el productor es ajustar su declaración de producción al MME y su declaración de PTDVF al </w:t>
      </w:r>
      <w:r w:rsidR="005114C6">
        <w:rPr>
          <w:rFonts w:cs="Arial"/>
          <w:sz w:val="22"/>
          <w:szCs w:val="22"/>
        </w:rPr>
        <w:t>Gestor del Mercado</w:t>
      </w:r>
      <w:r>
        <w:rPr>
          <w:rFonts w:cs="Arial"/>
          <w:sz w:val="22"/>
          <w:szCs w:val="22"/>
        </w:rPr>
        <w:t xml:space="preserve">, de modo que se reduzcan las cantidades de propio consumo y se aumente la PTDV y la PTDVF, para que así ese gas entre en el esquema de comercialización general planteado en la propuesta. </w:t>
      </w:r>
    </w:p>
    <w:p w14:paraId="4AB4307A" w14:textId="43D42A40" w:rsidR="00E74027" w:rsidRDefault="00E74027" w:rsidP="007E2727">
      <w:pPr>
        <w:rPr>
          <w:rFonts w:cs="Arial"/>
          <w:sz w:val="22"/>
          <w:szCs w:val="22"/>
        </w:rPr>
      </w:pPr>
    </w:p>
    <w:p w14:paraId="3D65AE12" w14:textId="77777777" w:rsidR="00E74027" w:rsidRDefault="00E74027" w:rsidP="007E2727">
      <w:pPr>
        <w:rPr>
          <w:rFonts w:cs="Arial"/>
          <w:sz w:val="22"/>
          <w:szCs w:val="22"/>
        </w:rPr>
      </w:pPr>
    </w:p>
    <w:p w14:paraId="5F45CB5A" w14:textId="77777777" w:rsidR="0060003A" w:rsidRDefault="007E2727" w:rsidP="002313DA">
      <w:pPr>
        <w:pStyle w:val="Ttulo2"/>
      </w:pPr>
      <w:bookmarkStart w:id="741" w:name="_Toc140506402"/>
      <w:r w:rsidRPr="007E2727">
        <w:t>LEWIS ENERGY</w:t>
      </w:r>
      <w:bookmarkEnd w:id="741"/>
      <w:r w:rsidRPr="007E2727">
        <w:tab/>
      </w:r>
    </w:p>
    <w:p w14:paraId="77641DFD" w14:textId="77777777" w:rsidR="00F52B11" w:rsidRDefault="00F52B11" w:rsidP="00F52B11">
      <w:pPr>
        <w:pStyle w:val="Ttulo4"/>
      </w:pPr>
      <w:bookmarkStart w:id="742" w:name="_Ref132033149"/>
      <w:r w:rsidRPr="007E2727">
        <w:t>LEWIS ENERGY</w:t>
      </w:r>
      <w:bookmarkEnd w:id="742"/>
      <w:r w:rsidRPr="007E2727">
        <w:tab/>
      </w:r>
    </w:p>
    <w:p w14:paraId="3A0A8B08" w14:textId="500FB577" w:rsidR="007E2727" w:rsidRPr="00E74027" w:rsidRDefault="007E2727" w:rsidP="007E2727">
      <w:pPr>
        <w:rPr>
          <w:rFonts w:cs="Arial"/>
          <w:i/>
          <w:iCs/>
          <w:sz w:val="22"/>
          <w:szCs w:val="22"/>
        </w:rPr>
      </w:pPr>
      <w:r w:rsidRPr="007E2727">
        <w:rPr>
          <w:rFonts w:cs="Arial"/>
          <w:sz w:val="22"/>
          <w:szCs w:val="22"/>
        </w:rPr>
        <w:t>"</w:t>
      </w:r>
      <w:r w:rsidRPr="00E74027">
        <w:rPr>
          <w:rFonts w:cs="Arial"/>
          <w:i/>
          <w:iCs/>
          <w:sz w:val="22"/>
          <w:szCs w:val="22"/>
        </w:rPr>
        <w:t>La propuesta regulatoria propone que las negociaciones directas en cualquier momento del año, entre otras, deben lim</w:t>
      </w:r>
      <w:r w:rsidR="00E74027" w:rsidRPr="00E74027">
        <w:rPr>
          <w:rFonts w:cs="Arial"/>
          <w:i/>
          <w:iCs/>
          <w:sz w:val="22"/>
          <w:szCs w:val="22"/>
        </w:rPr>
        <w:t>i</w:t>
      </w:r>
      <w:r w:rsidRPr="00E74027">
        <w:rPr>
          <w:rFonts w:cs="Arial"/>
          <w:i/>
          <w:iCs/>
          <w:sz w:val="22"/>
          <w:szCs w:val="22"/>
        </w:rPr>
        <w:t xml:space="preserve">tarse a una única fuente. </w:t>
      </w:r>
    </w:p>
    <w:p w14:paraId="41849230" w14:textId="77777777" w:rsidR="007E2727" w:rsidRPr="00E74027" w:rsidRDefault="007E2727" w:rsidP="007E2727">
      <w:pPr>
        <w:rPr>
          <w:rFonts w:cs="Arial"/>
          <w:i/>
          <w:iCs/>
          <w:sz w:val="22"/>
          <w:szCs w:val="22"/>
        </w:rPr>
      </w:pPr>
    </w:p>
    <w:p w14:paraId="15E924F0" w14:textId="77777777" w:rsidR="007E2727" w:rsidRPr="00E74027" w:rsidRDefault="007E2727" w:rsidP="007E2727">
      <w:pPr>
        <w:rPr>
          <w:rFonts w:cs="Arial"/>
          <w:i/>
          <w:iCs/>
          <w:sz w:val="22"/>
          <w:szCs w:val="22"/>
        </w:rPr>
      </w:pPr>
      <w:r w:rsidRPr="00E74027">
        <w:rPr>
          <w:rFonts w:cs="Arial"/>
          <w:i/>
          <w:iCs/>
          <w:sz w:val="22"/>
          <w:szCs w:val="22"/>
        </w:rPr>
        <w:t>En el mercado hemos visto los beneficios para la demanda de los comercializadores destinada al mercado no regulado y la demanda no regulada directamente, de pactar mecanismos de cubrimiento de riesgos con entregas desde otras fuentes cuando estas sufren algún impedimento en las entregas de gas.</w:t>
      </w:r>
    </w:p>
    <w:p w14:paraId="2C3ADB70" w14:textId="77777777" w:rsidR="007E2727" w:rsidRPr="00E74027" w:rsidRDefault="007E2727" w:rsidP="007E2727">
      <w:pPr>
        <w:rPr>
          <w:rFonts w:cs="Arial"/>
          <w:i/>
          <w:iCs/>
          <w:sz w:val="22"/>
          <w:szCs w:val="22"/>
        </w:rPr>
      </w:pPr>
    </w:p>
    <w:p w14:paraId="69011FC4" w14:textId="7DDBB62D" w:rsidR="007E2727" w:rsidRPr="00E74027" w:rsidRDefault="007E2727" w:rsidP="007E2727">
      <w:pPr>
        <w:rPr>
          <w:rFonts w:cs="Arial"/>
          <w:i/>
          <w:iCs/>
          <w:sz w:val="22"/>
          <w:szCs w:val="22"/>
        </w:rPr>
      </w:pPr>
      <w:r w:rsidRPr="00E74027">
        <w:rPr>
          <w:rFonts w:cs="Arial"/>
          <w:i/>
          <w:iCs/>
          <w:sz w:val="22"/>
          <w:szCs w:val="22"/>
        </w:rPr>
        <w:t>Entre las partes logran acordar soluciones que se ajustan a su propia operación de manera que han podido en todos los casos ponerse de acuerdo en la solución alternativa con entregas de gas de otra fuente que permita honrar el contrato y mantener el sumin</w:t>
      </w:r>
      <w:r w:rsidR="009A2232">
        <w:rPr>
          <w:rFonts w:cs="Arial"/>
          <w:i/>
          <w:iCs/>
          <w:sz w:val="22"/>
          <w:szCs w:val="22"/>
        </w:rPr>
        <w:t>i</w:t>
      </w:r>
      <w:r w:rsidRPr="00E74027">
        <w:rPr>
          <w:rFonts w:cs="Arial"/>
          <w:i/>
          <w:iCs/>
          <w:sz w:val="22"/>
          <w:szCs w:val="22"/>
        </w:rPr>
        <w:t>stro ininterrumpido.</w:t>
      </w:r>
    </w:p>
    <w:p w14:paraId="6B2C985D" w14:textId="77777777" w:rsidR="007E2727" w:rsidRPr="00E74027" w:rsidRDefault="007E2727" w:rsidP="007E2727">
      <w:pPr>
        <w:rPr>
          <w:rFonts w:cs="Arial"/>
          <w:i/>
          <w:iCs/>
          <w:sz w:val="22"/>
          <w:szCs w:val="22"/>
        </w:rPr>
      </w:pPr>
    </w:p>
    <w:p w14:paraId="28DE12C9" w14:textId="05B17338" w:rsidR="007E2727" w:rsidRPr="00E74027" w:rsidRDefault="007E2727" w:rsidP="007E2727">
      <w:pPr>
        <w:rPr>
          <w:rFonts w:cs="Arial"/>
          <w:i/>
          <w:iCs/>
          <w:sz w:val="22"/>
          <w:szCs w:val="22"/>
        </w:rPr>
      </w:pPr>
      <w:r w:rsidRPr="00E74027">
        <w:rPr>
          <w:rFonts w:cs="Arial"/>
          <w:i/>
          <w:iCs/>
          <w:sz w:val="22"/>
          <w:szCs w:val="22"/>
        </w:rPr>
        <w:t>Se solicita a la comisión que no se restrinja a una sola fuente la negociación directa de gas y en tal sentido, se elimine ese primer supuesto del artículo 19."</w:t>
      </w:r>
    </w:p>
    <w:p w14:paraId="039DEEC9" w14:textId="7BEB60E3" w:rsidR="00E74027" w:rsidRDefault="00E74027" w:rsidP="007E2727">
      <w:pPr>
        <w:rPr>
          <w:rFonts w:cs="Arial"/>
          <w:sz w:val="22"/>
          <w:szCs w:val="22"/>
        </w:rPr>
      </w:pPr>
    </w:p>
    <w:p w14:paraId="3F404975" w14:textId="6B6EF608" w:rsidR="00E74027" w:rsidRPr="00E74027" w:rsidRDefault="00E74027" w:rsidP="007E2727">
      <w:pPr>
        <w:rPr>
          <w:rFonts w:cs="Arial"/>
          <w:b/>
          <w:bCs/>
          <w:sz w:val="22"/>
          <w:szCs w:val="22"/>
        </w:rPr>
      </w:pPr>
      <w:r w:rsidRPr="00E74027">
        <w:rPr>
          <w:rFonts w:cs="Arial"/>
          <w:b/>
          <w:bCs/>
          <w:sz w:val="22"/>
          <w:szCs w:val="22"/>
        </w:rPr>
        <w:t>Respuesta:</w:t>
      </w:r>
    </w:p>
    <w:p w14:paraId="1AE16F18" w14:textId="556FABA2" w:rsidR="00E74027" w:rsidRDefault="00E74027" w:rsidP="007E2727">
      <w:pPr>
        <w:rPr>
          <w:rFonts w:cs="Arial"/>
          <w:sz w:val="22"/>
          <w:szCs w:val="22"/>
        </w:rPr>
      </w:pPr>
    </w:p>
    <w:p w14:paraId="38183D5E" w14:textId="174927AD" w:rsidR="00E74027" w:rsidRDefault="00801562" w:rsidP="007E2727">
      <w:pPr>
        <w:rPr>
          <w:rFonts w:cs="Arial"/>
          <w:sz w:val="22"/>
          <w:szCs w:val="22"/>
        </w:rPr>
      </w:pPr>
      <w:r>
        <w:rPr>
          <w:rFonts w:cs="Arial"/>
          <w:sz w:val="22"/>
          <w:szCs w:val="22"/>
        </w:rPr>
        <w:t>No se acoge el comentario.</w:t>
      </w:r>
    </w:p>
    <w:p w14:paraId="6C83E7CB" w14:textId="1B604FAF" w:rsidR="00801562" w:rsidRDefault="00801562" w:rsidP="007E2727">
      <w:pPr>
        <w:rPr>
          <w:rFonts w:cs="Arial"/>
          <w:sz w:val="22"/>
          <w:szCs w:val="22"/>
        </w:rPr>
      </w:pPr>
    </w:p>
    <w:p w14:paraId="1E056144" w14:textId="180E14BF" w:rsidR="009A2232" w:rsidRDefault="009A2232" w:rsidP="007E2727">
      <w:pPr>
        <w:rPr>
          <w:rFonts w:cs="Arial"/>
          <w:sz w:val="22"/>
          <w:szCs w:val="22"/>
        </w:rPr>
      </w:pPr>
      <w:r>
        <w:rPr>
          <w:rFonts w:cs="Arial"/>
          <w:sz w:val="22"/>
          <w:szCs w:val="22"/>
        </w:rPr>
        <w:t xml:space="preserve">Se considera necesario individualizar los contratos cuya negociación directa es permitida para fuentes de suministro con condiciones especiales, sea de política energética o por determinación en la regulación CREG. Dichas condiciones son particulares para cada fuente de suministro y es por ello </w:t>
      </w:r>
      <w:proofErr w:type="gramStart"/>
      <w:r>
        <w:rPr>
          <w:rFonts w:cs="Arial"/>
          <w:sz w:val="22"/>
          <w:szCs w:val="22"/>
        </w:rPr>
        <w:t>que</w:t>
      </w:r>
      <w:proofErr w:type="gramEnd"/>
      <w:r>
        <w:rPr>
          <w:rFonts w:cs="Arial"/>
          <w:sz w:val="22"/>
          <w:szCs w:val="22"/>
        </w:rPr>
        <w:t xml:space="preserve"> se considera inconveniente permitir la inclusión de fuentes cuyas condiciones son de negociación directa, pero que entre sí no tiene</w:t>
      </w:r>
      <w:r w:rsidR="005C7C02">
        <w:rPr>
          <w:rFonts w:cs="Arial"/>
          <w:sz w:val="22"/>
          <w:szCs w:val="22"/>
        </w:rPr>
        <w:t>n</w:t>
      </w:r>
      <w:r>
        <w:rPr>
          <w:rFonts w:cs="Arial"/>
          <w:sz w:val="22"/>
          <w:szCs w:val="22"/>
        </w:rPr>
        <w:t xml:space="preserve"> condiciones similares</w:t>
      </w:r>
      <w:r w:rsidR="005C7C02">
        <w:rPr>
          <w:rFonts w:cs="Arial"/>
          <w:sz w:val="22"/>
          <w:szCs w:val="22"/>
        </w:rPr>
        <w:t xml:space="preserve"> de suministro</w:t>
      </w:r>
      <w:r>
        <w:rPr>
          <w:rFonts w:cs="Arial"/>
          <w:sz w:val="22"/>
          <w:szCs w:val="22"/>
        </w:rPr>
        <w:t xml:space="preserve">. </w:t>
      </w:r>
    </w:p>
    <w:p w14:paraId="6F3E9A4E" w14:textId="4FB2A802" w:rsidR="00C90F4D" w:rsidRDefault="00C90F4D" w:rsidP="007E2727">
      <w:pPr>
        <w:rPr>
          <w:rFonts w:cs="Arial"/>
          <w:sz w:val="22"/>
          <w:szCs w:val="22"/>
        </w:rPr>
      </w:pPr>
    </w:p>
    <w:p w14:paraId="13E4305E" w14:textId="54FC885E" w:rsidR="00C90F4D" w:rsidRDefault="00C90F4D" w:rsidP="007E2727">
      <w:pPr>
        <w:rPr>
          <w:rFonts w:cs="Arial"/>
          <w:sz w:val="22"/>
          <w:szCs w:val="22"/>
        </w:rPr>
      </w:pPr>
      <w:r>
        <w:rPr>
          <w:rFonts w:cs="Arial"/>
          <w:sz w:val="22"/>
          <w:szCs w:val="22"/>
        </w:rPr>
        <w:t>Adicionalmente se considera necesario realizar una evaluación de la ejecución de los contratos de las fuentes con excepciones y negociación directa, lo que no puede lograrse con efectividad cuando en el contrato se incluyen varias fuentes de suministro en un solo contrato.</w:t>
      </w:r>
    </w:p>
    <w:p w14:paraId="467C608F" w14:textId="77777777" w:rsidR="009A2232" w:rsidRDefault="009A2232" w:rsidP="007E2727">
      <w:pPr>
        <w:rPr>
          <w:rFonts w:cs="Arial"/>
          <w:sz w:val="22"/>
          <w:szCs w:val="22"/>
        </w:rPr>
      </w:pPr>
    </w:p>
    <w:p w14:paraId="74AE4FA2" w14:textId="0E8A551B" w:rsidR="009A2232" w:rsidRDefault="005C7C02" w:rsidP="007E2727">
      <w:pPr>
        <w:rPr>
          <w:rFonts w:cs="Arial"/>
          <w:sz w:val="22"/>
          <w:szCs w:val="22"/>
        </w:rPr>
      </w:pPr>
      <w:r>
        <w:rPr>
          <w:rFonts w:cs="Arial"/>
          <w:sz w:val="22"/>
          <w:szCs w:val="22"/>
        </w:rPr>
        <w:t xml:space="preserve">Sobre cubrimiento de riesgos con entregas desde otra fuente, ver respuesta a </w:t>
      </w:r>
      <w:r>
        <w:rPr>
          <w:rFonts w:cs="Arial"/>
          <w:sz w:val="22"/>
          <w:szCs w:val="22"/>
        </w:rPr>
        <w:fldChar w:fldCharType="begin"/>
      </w:r>
      <w:r>
        <w:rPr>
          <w:rFonts w:cs="Arial"/>
          <w:sz w:val="22"/>
          <w:szCs w:val="22"/>
        </w:rPr>
        <w:instrText xml:space="preserve"> REF _Ref132019370 \r \h </w:instrText>
      </w:r>
      <w:r>
        <w:rPr>
          <w:rFonts w:cs="Arial"/>
          <w:sz w:val="22"/>
          <w:szCs w:val="22"/>
        </w:rPr>
      </w:r>
      <w:r>
        <w:rPr>
          <w:rFonts w:cs="Arial"/>
          <w:sz w:val="22"/>
          <w:szCs w:val="22"/>
        </w:rPr>
        <w:fldChar w:fldCharType="separate"/>
      </w:r>
      <w:r w:rsidR="007651EA">
        <w:rPr>
          <w:rFonts w:cs="Arial"/>
          <w:sz w:val="22"/>
          <w:szCs w:val="22"/>
        </w:rPr>
        <w:t>4.21.1.6</w:t>
      </w:r>
      <w:r>
        <w:rPr>
          <w:rFonts w:cs="Arial"/>
          <w:sz w:val="22"/>
          <w:szCs w:val="22"/>
        </w:rPr>
        <w:fldChar w:fldCharType="end"/>
      </w:r>
    </w:p>
    <w:p w14:paraId="3D92256C" w14:textId="77777777" w:rsidR="009A2232" w:rsidRDefault="009A2232" w:rsidP="007E2727">
      <w:pPr>
        <w:rPr>
          <w:rFonts w:cs="Arial"/>
          <w:sz w:val="22"/>
          <w:szCs w:val="22"/>
        </w:rPr>
      </w:pPr>
    </w:p>
    <w:p w14:paraId="2A43CADA" w14:textId="77777777" w:rsidR="0060003A" w:rsidRDefault="0060003A" w:rsidP="007E2727">
      <w:pPr>
        <w:rPr>
          <w:rFonts w:cs="Arial"/>
          <w:sz w:val="22"/>
          <w:szCs w:val="22"/>
        </w:rPr>
      </w:pPr>
    </w:p>
    <w:p w14:paraId="2A91F9E5" w14:textId="77777777" w:rsidR="0060003A" w:rsidRDefault="007E2727" w:rsidP="000D05A3">
      <w:pPr>
        <w:pStyle w:val="Ttulo4"/>
      </w:pPr>
      <w:r w:rsidRPr="007E2727">
        <w:t>LEWIS ENERGY</w:t>
      </w:r>
      <w:r w:rsidRPr="007E2727">
        <w:tab/>
      </w:r>
    </w:p>
    <w:p w14:paraId="6A836B2E" w14:textId="67D892B0" w:rsidR="007E2727" w:rsidRPr="005C7C02" w:rsidRDefault="007E2727" w:rsidP="007E2727">
      <w:pPr>
        <w:rPr>
          <w:rFonts w:cs="Arial"/>
          <w:i/>
          <w:iCs/>
          <w:sz w:val="22"/>
          <w:szCs w:val="22"/>
        </w:rPr>
      </w:pPr>
      <w:r w:rsidRPr="007E2727">
        <w:rPr>
          <w:rFonts w:cs="Arial"/>
          <w:sz w:val="22"/>
          <w:szCs w:val="22"/>
        </w:rPr>
        <w:t>"</w:t>
      </w:r>
      <w:r w:rsidRPr="005C7C02">
        <w:rPr>
          <w:rFonts w:cs="Arial"/>
          <w:i/>
          <w:iCs/>
          <w:sz w:val="22"/>
          <w:szCs w:val="22"/>
        </w:rPr>
        <w:t xml:space="preserve">Es claro el objetivo de la CREG en relación con garantizar que la demanda más </w:t>
      </w:r>
      <w:proofErr w:type="spellStart"/>
      <w:r w:rsidRPr="005C7C02">
        <w:rPr>
          <w:rFonts w:cs="Arial"/>
          <w:i/>
          <w:iCs/>
          <w:sz w:val="22"/>
          <w:szCs w:val="22"/>
        </w:rPr>
        <w:t>sensibe</w:t>
      </w:r>
      <w:proofErr w:type="spellEnd"/>
      <w:r w:rsidRPr="005C7C02">
        <w:rPr>
          <w:rFonts w:cs="Arial"/>
          <w:i/>
          <w:iCs/>
          <w:sz w:val="22"/>
          <w:szCs w:val="22"/>
        </w:rPr>
        <w:t xml:space="preserve"> en el mercado pueda ser atendida con gas que garantice el suministro en firme.</w:t>
      </w:r>
    </w:p>
    <w:p w14:paraId="4EB3AC76" w14:textId="77777777" w:rsidR="007E2727" w:rsidRPr="005C7C02" w:rsidRDefault="007E2727" w:rsidP="007E2727">
      <w:pPr>
        <w:rPr>
          <w:rFonts w:cs="Arial"/>
          <w:i/>
          <w:iCs/>
          <w:sz w:val="22"/>
          <w:szCs w:val="22"/>
        </w:rPr>
      </w:pPr>
    </w:p>
    <w:p w14:paraId="5DEC0228" w14:textId="77777777" w:rsidR="007E2727" w:rsidRPr="005C7C02" w:rsidRDefault="007E2727" w:rsidP="007E2727">
      <w:pPr>
        <w:rPr>
          <w:rFonts w:cs="Arial"/>
          <w:i/>
          <w:iCs/>
          <w:sz w:val="22"/>
          <w:szCs w:val="22"/>
        </w:rPr>
      </w:pPr>
      <w:r w:rsidRPr="005C7C02">
        <w:rPr>
          <w:rFonts w:cs="Arial"/>
          <w:i/>
          <w:iCs/>
          <w:sz w:val="22"/>
          <w:szCs w:val="22"/>
        </w:rPr>
        <w:t xml:space="preserve">Este numeral, contenido en la propuesta regulatoria pareciera señalar que los campos en pruebas en todos los casos, para poder vender gas en el mercado deberán hacerlo previa certificación de reservas probables o posibles. </w:t>
      </w:r>
    </w:p>
    <w:p w14:paraId="421BA9D3" w14:textId="77777777" w:rsidR="007E2727" w:rsidRPr="005C7C02" w:rsidRDefault="007E2727" w:rsidP="007E2727">
      <w:pPr>
        <w:rPr>
          <w:rFonts w:cs="Arial"/>
          <w:i/>
          <w:iCs/>
          <w:sz w:val="22"/>
          <w:szCs w:val="22"/>
        </w:rPr>
      </w:pPr>
    </w:p>
    <w:p w14:paraId="3A4ECFB5" w14:textId="402B6769" w:rsidR="007E2727" w:rsidRPr="005C7C02" w:rsidRDefault="007E2727" w:rsidP="007E2727">
      <w:pPr>
        <w:rPr>
          <w:rFonts w:cs="Arial"/>
          <w:i/>
          <w:iCs/>
          <w:sz w:val="22"/>
          <w:szCs w:val="22"/>
        </w:rPr>
      </w:pPr>
      <w:r w:rsidRPr="005C7C02">
        <w:rPr>
          <w:rFonts w:cs="Arial"/>
          <w:i/>
          <w:iCs/>
          <w:sz w:val="22"/>
          <w:szCs w:val="22"/>
        </w:rPr>
        <w:t>Lo anterior se entiende de cara al MADE pues allí se pretende garantizar firmeza a la demanda que se busca proteger a través de dicho mecanismo. Sin embargo, es posible que un campo en pruebas esté en capacidad de vender dicha prueba, por el término que señala la comisión, pero con un usuario que no requiere o no está obligado a contratarse con respaldo físico, estructurando un suministro en firme, para lo cual no se haría necesario certificar previamente las reservas como lo señala en la propuesta la Comisión.</w:t>
      </w:r>
    </w:p>
    <w:p w14:paraId="7C83143D" w14:textId="77777777" w:rsidR="007E2727" w:rsidRPr="005C7C02" w:rsidRDefault="007E2727" w:rsidP="007E2727">
      <w:pPr>
        <w:rPr>
          <w:rFonts w:cs="Arial"/>
          <w:i/>
          <w:iCs/>
          <w:sz w:val="22"/>
          <w:szCs w:val="22"/>
        </w:rPr>
      </w:pPr>
    </w:p>
    <w:p w14:paraId="4BAC5EEC" w14:textId="75E356F8" w:rsidR="007E2727" w:rsidRPr="005C7C02" w:rsidRDefault="007E2727" w:rsidP="007E2727">
      <w:pPr>
        <w:rPr>
          <w:rFonts w:cs="Arial"/>
          <w:i/>
          <w:iCs/>
          <w:sz w:val="22"/>
          <w:szCs w:val="22"/>
        </w:rPr>
      </w:pPr>
      <w:r w:rsidRPr="005C7C02">
        <w:rPr>
          <w:rFonts w:cs="Arial"/>
          <w:i/>
          <w:iCs/>
          <w:sz w:val="22"/>
          <w:szCs w:val="22"/>
        </w:rPr>
        <w:t xml:space="preserve">Se solicita amablemente a la Comisión claramente que la exigencia de contar con certificación de reservas </w:t>
      </w:r>
      <w:proofErr w:type="spellStart"/>
      <w:r w:rsidRPr="005C7C02">
        <w:rPr>
          <w:rFonts w:cs="Arial"/>
          <w:i/>
          <w:iCs/>
          <w:sz w:val="22"/>
          <w:szCs w:val="22"/>
        </w:rPr>
        <w:t>esta</w:t>
      </w:r>
      <w:proofErr w:type="spellEnd"/>
      <w:r w:rsidRPr="005C7C02">
        <w:rPr>
          <w:rFonts w:cs="Arial"/>
          <w:i/>
          <w:iCs/>
          <w:sz w:val="22"/>
          <w:szCs w:val="22"/>
        </w:rPr>
        <w:t xml:space="preserve"> encaminada a garantizar respaldo físico para aquella demanda que tiene la ob</w:t>
      </w:r>
      <w:r w:rsidR="00C83728">
        <w:rPr>
          <w:rFonts w:cs="Arial"/>
          <w:i/>
          <w:iCs/>
          <w:sz w:val="22"/>
          <w:szCs w:val="22"/>
        </w:rPr>
        <w:t>l</w:t>
      </w:r>
      <w:r w:rsidRPr="005C7C02">
        <w:rPr>
          <w:rFonts w:cs="Arial"/>
          <w:i/>
          <w:iCs/>
          <w:sz w:val="22"/>
          <w:szCs w:val="22"/>
        </w:rPr>
        <w:t xml:space="preserve">igación de contratarse con respaldo físico, pero dejando claro que el cumplimiento de dicha obligación no es exigible cuando se trata de una negociación con demanda que no </w:t>
      </w:r>
      <w:proofErr w:type="spellStart"/>
      <w:r w:rsidRPr="005C7C02">
        <w:rPr>
          <w:rFonts w:cs="Arial"/>
          <w:i/>
          <w:iCs/>
          <w:sz w:val="22"/>
          <w:szCs w:val="22"/>
        </w:rPr>
        <w:t>esta</w:t>
      </w:r>
      <w:proofErr w:type="spellEnd"/>
      <w:r w:rsidRPr="005C7C02">
        <w:rPr>
          <w:rFonts w:cs="Arial"/>
          <w:i/>
          <w:iCs/>
          <w:sz w:val="22"/>
          <w:szCs w:val="22"/>
        </w:rPr>
        <w:t xml:space="preserve"> obligada a contratarse con respaldo físico. Lo subrayado es lo sugerido.  </w:t>
      </w:r>
    </w:p>
    <w:p w14:paraId="2EC259D4" w14:textId="77777777" w:rsidR="007E2727" w:rsidRPr="005C7C02" w:rsidRDefault="007E2727" w:rsidP="007E2727">
      <w:pPr>
        <w:rPr>
          <w:rFonts w:cs="Arial"/>
          <w:i/>
          <w:iCs/>
          <w:sz w:val="22"/>
          <w:szCs w:val="22"/>
        </w:rPr>
      </w:pPr>
    </w:p>
    <w:p w14:paraId="78553D68" w14:textId="2D8C6946" w:rsidR="007E2727" w:rsidRPr="007E2727" w:rsidRDefault="007E2727" w:rsidP="007E2727">
      <w:pPr>
        <w:rPr>
          <w:rFonts w:cs="Arial"/>
          <w:sz w:val="22"/>
          <w:szCs w:val="22"/>
        </w:rPr>
      </w:pPr>
      <w:r w:rsidRPr="005C7C02">
        <w:rPr>
          <w:rFonts w:cs="Arial"/>
          <w:i/>
          <w:iCs/>
          <w:sz w:val="22"/>
          <w:szCs w:val="22"/>
        </w:rPr>
        <w:t xml:space="preserve">Así mismo, limitar la duración de los contratos de suministro para los campos en pruebas solo hasta el periodo autorizado por la ANH, podría inviabilizar la producción, puesto que se pueden tomar decisiones de inversión para producir que van </w:t>
      </w:r>
      <w:proofErr w:type="spellStart"/>
      <w:r w:rsidRPr="005C7C02">
        <w:rPr>
          <w:rFonts w:cs="Arial"/>
          <w:i/>
          <w:iCs/>
          <w:sz w:val="22"/>
          <w:szCs w:val="22"/>
        </w:rPr>
        <w:t>mas</w:t>
      </w:r>
      <w:proofErr w:type="spellEnd"/>
      <w:r w:rsidRPr="005C7C02">
        <w:rPr>
          <w:rFonts w:cs="Arial"/>
          <w:i/>
          <w:iCs/>
          <w:sz w:val="22"/>
          <w:szCs w:val="22"/>
        </w:rPr>
        <w:t xml:space="preserve"> allá del periodo de prueba y potencialmente necesarias para hacer la declaración de comercialidad</w:t>
      </w:r>
      <w:r w:rsidRPr="007E2727">
        <w:rPr>
          <w:rFonts w:cs="Arial"/>
          <w:sz w:val="22"/>
          <w:szCs w:val="22"/>
        </w:rPr>
        <w:t>."</w:t>
      </w:r>
    </w:p>
    <w:p w14:paraId="7329AE67" w14:textId="0DE6342D" w:rsidR="0060003A" w:rsidRDefault="0060003A" w:rsidP="007E2727">
      <w:pPr>
        <w:rPr>
          <w:rFonts w:cs="Arial"/>
          <w:sz w:val="22"/>
          <w:szCs w:val="22"/>
        </w:rPr>
      </w:pPr>
    </w:p>
    <w:p w14:paraId="536C5DC4" w14:textId="666326CD" w:rsidR="005C7C02" w:rsidRPr="005C7C02" w:rsidRDefault="005C7C02" w:rsidP="007E2727">
      <w:pPr>
        <w:rPr>
          <w:rFonts w:cs="Arial"/>
          <w:b/>
          <w:bCs/>
          <w:sz w:val="22"/>
          <w:szCs w:val="22"/>
        </w:rPr>
      </w:pPr>
      <w:r w:rsidRPr="005C7C02">
        <w:rPr>
          <w:rFonts w:cs="Arial"/>
          <w:b/>
          <w:bCs/>
          <w:sz w:val="22"/>
          <w:szCs w:val="22"/>
        </w:rPr>
        <w:t>Respuesta:</w:t>
      </w:r>
    </w:p>
    <w:p w14:paraId="04D46ABB" w14:textId="4F2198EB" w:rsidR="005C7C02" w:rsidRDefault="005C7C02" w:rsidP="007E2727">
      <w:pPr>
        <w:rPr>
          <w:rFonts w:cs="Arial"/>
          <w:sz w:val="22"/>
          <w:szCs w:val="22"/>
        </w:rPr>
      </w:pPr>
    </w:p>
    <w:p w14:paraId="6B5257F3" w14:textId="043C5047" w:rsidR="00F43D66" w:rsidRDefault="00F43D66" w:rsidP="007E2727">
      <w:pPr>
        <w:rPr>
          <w:rFonts w:cs="Arial"/>
          <w:sz w:val="22"/>
          <w:szCs w:val="22"/>
        </w:rPr>
      </w:pPr>
      <w:r>
        <w:rPr>
          <w:rFonts w:cs="Arial"/>
          <w:sz w:val="22"/>
          <w:szCs w:val="22"/>
        </w:rPr>
        <w:t>No se acoge el comentario.</w:t>
      </w:r>
    </w:p>
    <w:p w14:paraId="47B03D04" w14:textId="77777777" w:rsidR="00F43D66" w:rsidRDefault="00F43D66" w:rsidP="007E2727">
      <w:pPr>
        <w:rPr>
          <w:rFonts w:cs="Arial"/>
          <w:sz w:val="22"/>
          <w:szCs w:val="22"/>
        </w:rPr>
      </w:pPr>
    </w:p>
    <w:p w14:paraId="379ABA7D" w14:textId="78F04C1F" w:rsidR="005C7C02" w:rsidRDefault="005C7C02" w:rsidP="007E2727">
      <w:pPr>
        <w:rPr>
          <w:rFonts w:cs="Arial"/>
          <w:sz w:val="22"/>
          <w:szCs w:val="22"/>
        </w:rPr>
      </w:pPr>
      <w:r>
        <w:rPr>
          <w:rFonts w:cs="Arial"/>
          <w:sz w:val="22"/>
          <w:szCs w:val="22"/>
        </w:rPr>
        <w:t xml:space="preserve">Sobre la obligación de contar con Respaldo Físico para poder negociar contratos de tipo firme o que garantizan firmeza, </w:t>
      </w:r>
      <w:r w:rsidR="00354925">
        <w:rPr>
          <w:rFonts w:cs="Arial"/>
          <w:sz w:val="22"/>
          <w:szCs w:val="22"/>
        </w:rPr>
        <w:t xml:space="preserve">ver numeral </w:t>
      </w:r>
      <w:r w:rsidR="00354925">
        <w:rPr>
          <w:rFonts w:cs="Arial"/>
          <w:sz w:val="22"/>
          <w:szCs w:val="22"/>
        </w:rPr>
        <w:fldChar w:fldCharType="begin"/>
      </w:r>
      <w:r w:rsidR="00354925">
        <w:rPr>
          <w:rFonts w:cs="Arial"/>
          <w:sz w:val="22"/>
          <w:szCs w:val="22"/>
        </w:rPr>
        <w:instrText xml:space="preserve"> REF _Ref130808646 \r \h </w:instrText>
      </w:r>
      <w:r w:rsidR="00354925">
        <w:rPr>
          <w:rFonts w:cs="Arial"/>
          <w:sz w:val="22"/>
          <w:szCs w:val="22"/>
        </w:rPr>
      </w:r>
      <w:r w:rsidR="00354925">
        <w:rPr>
          <w:rFonts w:cs="Arial"/>
          <w:sz w:val="22"/>
          <w:szCs w:val="22"/>
        </w:rPr>
        <w:fldChar w:fldCharType="separate"/>
      </w:r>
      <w:r w:rsidR="00354925">
        <w:rPr>
          <w:rFonts w:cs="Arial"/>
          <w:sz w:val="22"/>
          <w:szCs w:val="22"/>
        </w:rPr>
        <w:t>4.10</w:t>
      </w:r>
      <w:r w:rsidR="00354925">
        <w:rPr>
          <w:rFonts w:cs="Arial"/>
          <w:sz w:val="22"/>
          <w:szCs w:val="22"/>
        </w:rPr>
        <w:fldChar w:fldCharType="end"/>
      </w:r>
      <w:r w:rsidR="00354925">
        <w:rPr>
          <w:rFonts w:cs="Arial"/>
          <w:sz w:val="22"/>
          <w:szCs w:val="22"/>
        </w:rPr>
        <w:t xml:space="preserve"> y </w:t>
      </w:r>
      <w:r>
        <w:rPr>
          <w:rFonts w:cs="Arial"/>
          <w:sz w:val="22"/>
          <w:szCs w:val="22"/>
        </w:rPr>
        <w:t xml:space="preserve">respuesta a  </w:t>
      </w:r>
      <w:r>
        <w:rPr>
          <w:rFonts w:cs="Arial"/>
          <w:sz w:val="22"/>
          <w:szCs w:val="22"/>
        </w:rPr>
        <w:fldChar w:fldCharType="begin"/>
      </w:r>
      <w:r>
        <w:rPr>
          <w:rFonts w:cs="Arial"/>
          <w:sz w:val="22"/>
          <w:szCs w:val="22"/>
        </w:rPr>
        <w:instrText xml:space="preserve"> REF _Ref130545261 \r \h </w:instrText>
      </w:r>
      <w:r>
        <w:rPr>
          <w:rFonts w:cs="Arial"/>
          <w:sz w:val="22"/>
          <w:szCs w:val="22"/>
        </w:rPr>
      </w:r>
      <w:r>
        <w:rPr>
          <w:rFonts w:cs="Arial"/>
          <w:sz w:val="22"/>
          <w:szCs w:val="22"/>
        </w:rPr>
        <w:fldChar w:fldCharType="separate"/>
      </w:r>
      <w:r w:rsidR="007651EA">
        <w:rPr>
          <w:rFonts w:cs="Arial"/>
          <w:sz w:val="22"/>
          <w:szCs w:val="22"/>
        </w:rPr>
        <w:t>4.21.1.1</w:t>
      </w:r>
      <w:r>
        <w:rPr>
          <w:rFonts w:cs="Arial"/>
          <w:sz w:val="22"/>
          <w:szCs w:val="22"/>
        </w:rPr>
        <w:fldChar w:fldCharType="end"/>
      </w:r>
      <w:r>
        <w:rPr>
          <w:rFonts w:cs="Arial"/>
          <w:sz w:val="22"/>
          <w:szCs w:val="22"/>
        </w:rPr>
        <w:t xml:space="preserve">. En todo caso, se puede tener en cuenta la propuesta señalada en el numeral </w:t>
      </w:r>
      <w:r>
        <w:rPr>
          <w:rFonts w:cs="Arial"/>
          <w:sz w:val="22"/>
          <w:szCs w:val="22"/>
        </w:rPr>
        <w:fldChar w:fldCharType="begin"/>
      </w:r>
      <w:r>
        <w:rPr>
          <w:rFonts w:cs="Arial"/>
          <w:sz w:val="22"/>
          <w:szCs w:val="22"/>
        </w:rPr>
        <w:instrText xml:space="preserve"> REF _Ref130637301 \r \h </w:instrText>
      </w:r>
      <w:r>
        <w:rPr>
          <w:rFonts w:cs="Arial"/>
          <w:sz w:val="22"/>
          <w:szCs w:val="22"/>
        </w:rPr>
      </w:r>
      <w:r>
        <w:rPr>
          <w:rFonts w:cs="Arial"/>
          <w:sz w:val="22"/>
          <w:szCs w:val="22"/>
        </w:rPr>
        <w:fldChar w:fldCharType="separate"/>
      </w:r>
      <w:r w:rsidR="007651EA">
        <w:rPr>
          <w:rFonts w:cs="Arial"/>
          <w:sz w:val="22"/>
          <w:szCs w:val="22"/>
        </w:rPr>
        <w:t>4.6</w:t>
      </w:r>
      <w:r>
        <w:rPr>
          <w:rFonts w:cs="Arial"/>
          <w:sz w:val="22"/>
          <w:szCs w:val="22"/>
        </w:rPr>
        <w:fldChar w:fldCharType="end"/>
      </w:r>
      <w:r>
        <w:rPr>
          <w:rFonts w:cs="Arial"/>
          <w:sz w:val="22"/>
          <w:szCs w:val="22"/>
        </w:rPr>
        <w:t>.</w:t>
      </w:r>
    </w:p>
    <w:p w14:paraId="05F83319" w14:textId="1DCCF2D1" w:rsidR="005C7C02" w:rsidRDefault="005C7C02" w:rsidP="007E2727">
      <w:pPr>
        <w:rPr>
          <w:rFonts w:cs="Arial"/>
          <w:sz w:val="22"/>
          <w:szCs w:val="22"/>
        </w:rPr>
      </w:pPr>
    </w:p>
    <w:p w14:paraId="5A8C0042" w14:textId="3BE8F64A" w:rsidR="005C7C02" w:rsidRDefault="005C7C02" w:rsidP="007E2727">
      <w:pPr>
        <w:rPr>
          <w:rFonts w:cs="Arial"/>
          <w:sz w:val="22"/>
          <w:szCs w:val="22"/>
        </w:rPr>
      </w:pPr>
      <w:r>
        <w:rPr>
          <w:rFonts w:cs="Arial"/>
          <w:sz w:val="22"/>
          <w:szCs w:val="22"/>
        </w:rPr>
        <w:t xml:space="preserve">Con respecto a la duración de los contratos de campos en pruebas extensas ver respuesta a </w:t>
      </w:r>
      <w:r w:rsidR="00F43D66">
        <w:rPr>
          <w:rFonts w:cs="Arial"/>
          <w:sz w:val="22"/>
          <w:szCs w:val="22"/>
        </w:rPr>
        <w:fldChar w:fldCharType="begin"/>
      </w:r>
      <w:r w:rsidR="00F43D66">
        <w:rPr>
          <w:rFonts w:cs="Arial"/>
          <w:sz w:val="22"/>
          <w:szCs w:val="22"/>
        </w:rPr>
        <w:instrText xml:space="preserve"> REF _Ref130975775 \r \h </w:instrText>
      </w:r>
      <w:r w:rsidR="00F43D66">
        <w:rPr>
          <w:rFonts w:cs="Arial"/>
          <w:sz w:val="22"/>
          <w:szCs w:val="22"/>
        </w:rPr>
      </w:r>
      <w:r w:rsidR="00F43D66">
        <w:rPr>
          <w:rFonts w:cs="Arial"/>
          <w:sz w:val="22"/>
          <w:szCs w:val="22"/>
        </w:rPr>
        <w:fldChar w:fldCharType="separate"/>
      </w:r>
      <w:r w:rsidR="007651EA">
        <w:rPr>
          <w:rFonts w:cs="Arial"/>
          <w:sz w:val="22"/>
          <w:szCs w:val="22"/>
        </w:rPr>
        <w:t>17.3.1.1</w:t>
      </w:r>
      <w:r w:rsidR="00F43D66">
        <w:rPr>
          <w:rFonts w:cs="Arial"/>
          <w:sz w:val="22"/>
          <w:szCs w:val="22"/>
        </w:rPr>
        <w:fldChar w:fldCharType="end"/>
      </w:r>
      <w:r w:rsidR="00F43D66">
        <w:rPr>
          <w:rFonts w:cs="Arial"/>
          <w:sz w:val="22"/>
          <w:szCs w:val="22"/>
        </w:rPr>
        <w:t>.</w:t>
      </w:r>
    </w:p>
    <w:p w14:paraId="7CCA51F1" w14:textId="77777777" w:rsidR="005C7C02" w:rsidRDefault="005C7C02" w:rsidP="007E2727">
      <w:pPr>
        <w:rPr>
          <w:rFonts w:cs="Arial"/>
          <w:sz w:val="22"/>
          <w:szCs w:val="22"/>
        </w:rPr>
      </w:pPr>
    </w:p>
    <w:p w14:paraId="3102CC6C" w14:textId="77777777" w:rsidR="0060003A" w:rsidRDefault="0060003A" w:rsidP="007E2727">
      <w:pPr>
        <w:rPr>
          <w:rFonts w:cs="Arial"/>
          <w:sz w:val="22"/>
          <w:szCs w:val="22"/>
        </w:rPr>
      </w:pPr>
    </w:p>
    <w:p w14:paraId="028C896B" w14:textId="77777777" w:rsidR="0060003A" w:rsidRDefault="007E2727" w:rsidP="002313DA">
      <w:pPr>
        <w:pStyle w:val="Ttulo2"/>
      </w:pPr>
      <w:bookmarkStart w:id="743" w:name="_Toc140506403"/>
      <w:r w:rsidRPr="007E2727">
        <w:t>MC2 S.A. E.S.P.</w:t>
      </w:r>
      <w:bookmarkEnd w:id="743"/>
      <w:r w:rsidRPr="007E2727">
        <w:tab/>
      </w:r>
    </w:p>
    <w:p w14:paraId="4CA32FC9" w14:textId="77777777" w:rsidR="00F52B11" w:rsidRDefault="00F52B11" w:rsidP="00F52B11">
      <w:pPr>
        <w:pStyle w:val="Ttulo4"/>
      </w:pPr>
      <w:r w:rsidRPr="007E2727">
        <w:t>MC2 S.A. E.S.P.</w:t>
      </w:r>
      <w:r w:rsidRPr="007E2727">
        <w:tab/>
      </w:r>
    </w:p>
    <w:p w14:paraId="7921A821" w14:textId="3E4ED738" w:rsidR="007E2727" w:rsidRPr="00F43D66" w:rsidRDefault="00460B10" w:rsidP="007E2727">
      <w:pPr>
        <w:rPr>
          <w:rFonts w:cs="Arial"/>
          <w:i/>
          <w:iCs/>
          <w:sz w:val="22"/>
          <w:szCs w:val="22"/>
        </w:rPr>
      </w:pPr>
      <w:r>
        <w:rPr>
          <w:rFonts w:cs="Arial"/>
          <w:i/>
          <w:iCs/>
          <w:sz w:val="22"/>
          <w:szCs w:val="22"/>
        </w:rPr>
        <w:t>“</w:t>
      </w:r>
      <w:r w:rsidR="007E2727" w:rsidRPr="00F43D66">
        <w:rPr>
          <w:rFonts w:cs="Arial"/>
          <w:i/>
          <w:iCs/>
          <w:sz w:val="22"/>
          <w:szCs w:val="22"/>
        </w:rPr>
        <w:t>El artículo 19 establece dos condiciones a cumplirse para realizar negociaciones directas, la primera que el contrato correspondiente incluya únicamente una sola Fuente de Suministro y se dé aplicación al MADE. ¿Qué ocurre si, habiendo acudido al MADE, hay un balance excedentario y el contrato que se registra tiene más de una fuente de suministro? ¿De qué manera deberán proceder los agentes del mercado? ¿Deberán suscribir dos contratos diferentes, o deberán acudir a otro procedimiento en particular?</w:t>
      </w:r>
      <w:r>
        <w:rPr>
          <w:rFonts w:cs="Arial"/>
          <w:i/>
          <w:iCs/>
          <w:sz w:val="22"/>
          <w:szCs w:val="22"/>
        </w:rPr>
        <w:t>”</w:t>
      </w:r>
    </w:p>
    <w:p w14:paraId="72068955" w14:textId="7FCF7F4E" w:rsidR="00F43D66" w:rsidRDefault="00F43D66" w:rsidP="007E2727">
      <w:pPr>
        <w:rPr>
          <w:rFonts w:cs="Arial"/>
          <w:sz w:val="22"/>
          <w:szCs w:val="22"/>
        </w:rPr>
      </w:pPr>
    </w:p>
    <w:p w14:paraId="5653D63C" w14:textId="05C90FA2" w:rsidR="00F43D66" w:rsidRPr="00F43D66" w:rsidRDefault="00F43D66" w:rsidP="007E2727">
      <w:pPr>
        <w:rPr>
          <w:rFonts w:cs="Arial"/>
          <w:b/>
          <w:bCs/>
          <w:sz w:val="22"/>
          <w:szCs w:val="22"/>
        </w:rPr>
      </w:pPr>
      <w:r w:rsidRPr="00F43D66">
        <w:rPr>
          <w:rFonts w:cs="Arial"/>
          <w:b/>
          <w:bCs/>
          <w:sz w:val="22"/>
          <w:szCs w:val="22"/>
        </w:rPr>
        <w:t>Respuesta:</w:t>
      </w:r>
    </w:p>
    <w:p w14:paraId="0D697A5E" w14:textId="22882AB0" w:rsidR="00F43D66" w:rsidRDefault="00F43D66" w:rsidP="007E2727">
      <w:pPr>
        <w:rPr>
          <w:rFonts w:cs="Arial"/>
          <w:sz w:val="22"/>
          <w:szCs w:val="22"/>
        </w:rPr>
      </w:pPr>
    </w:p>
    <w:p w14:paraId="5CDA60CD" w14:textId="2B0C951E" w:rsidR="00F43D66" w:rsidRDefault="00F43D66" w:rsidP="007E2727">
      <w:pPr>
        <w:rPr>
          <w:rFonts w:cs="Arial"/>
          <w:sz w:val="22"/>
          <w:szCs w:val="22"/>
        </w:rPr>
      </w:pPr>
      <w:r>
        <w:rPr>
          <w:rFonts w:cs="Arial"/>
          <w:sz w:val="22"/>
          <w:szCs w:val="22"/>
        </w:rPr>
        <w:t xml:space="preserve">En cualquier </w:t>
      </w:r>
      <w:proofErr w:type="gramStart"/>
      <w:r>
        <w:rPr>
          <w:rFonts w:cs="Arial"/>
          <w:sz w:val="22"/>
          <w:szCs w:val="22"/>
        </w:rPr>
        <w:t>caso</w:t>
      </w:r>
      <w:proofErr w:type="gramEnd"/>
      <w:r>
        <w:rPr>
          <w:rFonts w:cs="Arial"/>
          <w:sz w:val="22"/>
          <w:szCs w:val="22"/>
        </w:rPr>
        <w:t xml:space="preserve"> de negociación directa de las fuentes o condiciones de suministro especificadas en el artículo en mención, se debe firmar un contrato independiente para cada fuente. Debe tenerse en cuenta que lo anterior no aplica para las fuentes de suministro que utilizan la negociación directa como resultado de la implementación del MADE para el suministro en trimestres con balances comerciales superavitarios.</w:t>
      </w:r>
    </w:p>
    <w:p w14:paraId="3435BE7B" w14:textId="77777777" w:rsidR="00F43D66" w:rsidRPr="007E2727" w:rsidRDefault="00F43D66" w:rsidP="007E2727">
      <w:pPr>
        <w:rPr>
          <w:rFonts w:cs="Arial"/>
          <w:sz w:val="22"/>
          <w:szCs w:val="22"/>
        </w:rPr>
      </w:pPr>
    </w:p>
    <w:p w14:paraId="55830A8A" w14:textId="77777777" w:rsidR="0060003A" w:rsidRDefault="0060003A" w:rsidP="007E2727">
      <w:pPr>
        <w:rPr>
          <w:rFonts w:cs="Arial"/>
          <w:sz w:val="22"/>
          <w:szCs w:val="22"/>
        </w:rPr>
      </w:pPr>
    </w:p>
    <w:p w14:paraId="2D6B1DA6" w14:textId="77777777" w:rsidR="0060003A" w:rsidRDefault="007E2727" w:rsidP="000D05A3">
      <w:pPr>
        <w:pStyle w:val="Ttulo4"/>
      </w:pPr>
      <w:r w:rsidRPr="007E2727">
        <w:t>MC2 S.A. E.S.P.</w:t>
      </w:r>
      <w:r w:rsidRPr="007E2727">
        <w:tab/>
      </w:r>
    </w:p>
    <w:p w14:paraId="1B3BE2D1" w14:textId="579C9774" w:rsidR="007E2727" w:rsidRPr="008B3A33" w:rsidRDefault="007E2727" w:rsidP="007E2727">
      <w:pPr>
        <w:rPr>
          <w:rFonts w:cs="Arial"/>
          <w:i/>
          <w:iCs/>
          <w:sz w:val="22"/>
          <w:szCs w:val="22"/>
        </w:rPr>
      </w:pPr>
      <w:r w:rsidRPr="007E2727">
        <w:rPr>
          <w:rFonts w:cs="Arial"/>
          <w:sz w:val="22"/>
          <w:szCs w:val="22"/>
        </w:rPr>
        <w:t>"</w:t>
      </w:r>
      <w:r w:rsidRPr="008B3A33">
        <w:rPr>
          <w:rFonts w:cs="Arial"/>
          <w:i/>
          <w:iCs/>
          <w:sz w:val="22"/>
          <w:szCs w:val="22"/>
        </w:rPr>
        <w:t xml:space="preserve">Como ya se mencionó, en relación con los campos menores y los campos aislados, en la actualidad, según las circunstancias particulares de estas fuentes de suministro, en ocasiones pese a que se comprometen a entregar en firme unas cantidades determinadas de gas, durante la ejecución de los contratos que garantizan firmeza se presentan incumplimientos debido a que dichos campos no cuentan con las pruebas extensas necesarias para verificar y confirmar las reservas y cantidades de gas que son necesarias para cumplir con sus compromisos contractuales en firme. </w:t>
      </w:r>
    </w:p>
    <w:p w14:paraId="637923E5" w14:textId="77777777" w:rsidR="007E2727" w:rsidRPr="008B3A33" w:rsidRDefault="007E2727" w:rsidP="007E2727">
      <w:pPr>
        <w:rPr>
          <w:rFonts w:cs="Arial"/>
          <w:i/>
          <w:iCs/>
          <w:sz w:val="22"/>
          <w:szCs w:val="22"/>
        </w:rPr>
      </w:pPr>
    </w:p>
    <w:p w14:paraId="3962FC55" w14:textId="77777777" w:rsidR="007E2727" w:rsidRPr="008B3A33" w:rsidRDefault="007E2727" w:rsidP="007E2727">
      <w:pPr>
        <w:rPr>
          <w:rFonts w:cs="Arial"/>
          <w:i/>
          <w:iCs/>
          <w:sz w:val="22"/>
          <w:szCs w:val="22"/>
        </w:rPr>
      </w:pPr>
      <w:r w:rsidRPr="008B3A33">
        <w:rPr>
          <w:rFonts w:cs="Arial"/>
          <w:i/>
          <w:iCs/>
          <w:sz w:val="22"/>
          <w:szCs w:val="22"/>
        </w:rPr>
        <w:t>Incluso, pese a que realizan su declaración de PTDVF ante el Ministerio de Minas y Energía y se registran los contratos ante el gestor, no se cuenta con las cantidades de gas comprometidas.</w:t>
      </w:r>
    </w:p>
    <w:p w14:paraId="25771130" w14:textId="77777777" w:rsidR="007E2727" w:rsidRPr="008B3A33" w:rsidRDefault="007E2727" w:rsidP="007E2727">
      <w:pPr>
        <w:rPr>
          <w:rFonts w:cs="Arial"/>
          <w:i/>
          <w:iCs/>
          <w:sz w:val="22"/>
          <w:szCs w:val="22"/>
        </w:rPr>
      </w:pPr>
    </w:p>
    <w:p w14:paraId="63DB1CC7" w14:textId="77777777" w:rsidR="007E2727" w:rsidRPr="008B3A33" w:rsidRDefault="007E2727" w:rsidP="007E2727">
      <w:pPr>
        <w:rPr>
          <w:rFonts w:cs="Arial"/>
          <w:i/>
          <w:iCs/>
          <w:sz w:val="22"/>
          <w:szCs w:val="22"/>
        </w:rPr>
      </w:pPr>
      <w:r w:rsidRPr="008B3A33">
        <w:rPr>
          <w:rFonts w:cs="Arial"/>
          <w:i/>
          <w:iCs/>
          <w:sz w:val="22"/>
          <w:szCs w:val="22"/>
        </w:rPr>
        <w:t xml:space="preserve">Esto además de constituir un incumplimiento de los contratos, genera inseguridad jurídica y contractual, e implica una afectación a los usuarios que son beneficiarios de dicho gas, así como a los comercializadores que los atienden. </w:t>
      </w:r>
    </w:p>
    <w:p w14:paraId="67EBDCED" w14:textId="77777777" w:rsidR="007E2727" w:rsidRPr="008B3A33" w:rsidRDefault="007E2727" w:rsidP="007E2727">
      <w:pPr>
        <w:rPr>
          <w:rFonts w:cs="Arial"/>
          <w:i/>
          <w:iCs/>
          <w:sz w:val="22"/>
          <w:szCs w:val="22"/>
        </w:rPr>
      </w:pPr>
    </w:p>
    <w:p w14:paraId="5E8759BF" w14:textId="0374C434" w:rsidR="007E2727" w:rsidRDefault="007E2727" w:rsidP="007E2727">
      <w:pPr>
        <w:rPr>
          <w:rFonts w:cs="Arial"/>
          <w:sz w:val="22"/>
          <w:szCs w:val="22"/>
        </w:rPr>
      </w:pPr>
      <w:r w:rsidRPr="008B3A33">
        <w:rPr>
          <w:rFonts w:cs="Arial"/>
          <w:i/>
          <w:iCs/>
          <w:sz w:val="22"/>
          <w:szCs w:val="22"/>
        </w:rPr>
        <w:t xml:space="preserve">Teniendo en cuenta lo anterior, para efectos de realizar el balance comercial que determine la existencia de cantidades de gas para la venta en firme, consideramos </w:t>
      </w:r>
      <w:proofErr w:type="gramStart"/>
      <w:r w:rsidRPr="008B3A33">
        <w:rPr>
          <w:rFonts w:cs="Arial"/>
          <w:i/>
          <w:iCs/>
          <w:sz w:val="22"/>
          <w:szCs w:val="22"/>
        </w:rPr>
        <w:t>que</w:t>
      </w:r>
      <w:proofErr w:type="gramEnd"/>
      <w:r w:rsidRPr="008B3A33">
        <w:rPr>
          <w:rFonts w:cs="Arial"/>
          <w:i/>
          <w:iCs/>
          <w:sz w:val="22"/>
          <w:szCs w:val="22"/>
        </w:rPr>
        <w:t xml:space="preserve"> para evitar incumplimientos, así como que se produzcan declaraciones de cantidades de gas que, en estricto sentido, no están disponibles para la venta, se exija que este tipo de fuentes cuenten con pruebas extensas que permitan garantizar a los compradores la disponibilidad del suministro ofrecido en el mercado</w:t>
      </w:r>
      <w:r w:rsidRPr="007E2727">
        <w:rPr>
          <w:rFonts w:cs="Arial"/>
          <w:sz w:val="22"/>
          <w:szCs w:val="22"/>
        </w:rPr>
        <w:t>."</w:t>
      </w:r>
    </w:p>
    <w:p w14:paraId="3197A82D" w14:textId="221BA369" w:rsidR="008B3A33" w:rsidRDefault="008B3A33" w:rsidP="007E2727">
      <w:pPr>
        <w:rPr>
          <w:rFonts w:cs="Arial"/>
          <w:sz w:val="22"/>
          <w:szCs w:val="22"/>
        </w:rPr>
      </w:pPr>
    </w:p>
    <w:p w14:paraId="1958BD8D" w14:textId="1B4E8D63" w:rsidR="008B3A33" w:rsidRPr="008B3A33" w:rsidRDefault="008B3A33" w:rsidP="007E2727">
      <w:pPr>
        <w:rPr>
          <w:rFonts w:cs="Arial"/>
          <w:b/>
          <w:bCs/>
          <w:sz w:val="22"/>
          <w:szCs w:val="22"/>
        </w:rPr>
      </w:pPr>
      <w:r w:rsidRPr="008B3A33">
        <w:rPr>
          <w:rFonts w:cs="Arial"/>
          <w:b/>
          <w:bCs/>
          <w:sz w:val="22"/>
          <w:szCs w:val="22"/>
        </w:rPr>
        <w:t>Respuesta:</w:t>
      </w:r>
    </w:p>
    <w:p w14:paraId="2F92C105" w14:textId="2C039D2E" w:rsidR="008B3A33" w:rsidRDefault="008B3A33" w:rsidP="007E2727">
      <w:pPr>
        <w:rPr>
          <w:rFonts w:cs="Arial"/>
          <w:sz w:val="22"/>
          <w:szCs w:val="22"/>
        </w:rPr>
      </w:pPr>
    </w:p>
    <w:p w14:paraId="59340096" w14:textId="13830F8D" w:rsidR="008B3A33" w:rsidRDefault="008B3A33"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_Ref130975775 \r \h </w:instrText>
      </w:r>
      <w:r>
        <w:rPr>
          <w:rFonts w:cs="Arial"/>
          <w:sz w:val="22"/>
          <w:szCs w:val="22"/>
        </w:rPr>
      </w:r>
      <w:r>
        <w:rPr>
          <w:rFonts w:cs="Arial"/>
          <w:sz w:val="22"/>
          <w:szCs w:val="22"/>
        </w:rPr>
        <w:fldChar w:fldCharType="separate"/>
      </w:r>
      <w:r w:rsidR="007651EA">
        <w:rPr>
          <w:rFonts w:cs="Arial"/>
          <w:sz w:val="22"/>
          <w:szCs w:val="22"/>
        </w:rPr>
        <w:t>17.3.1.1</w:t>
      </w:r>
      <w:r>
        <w:rPr>
          <w:rFonts w:cs="Arial"/>
          <w:sz w:val="22"/>
          <w:szCs w:val="22"/>
        </w:rPr>
        <w:fldChar w:fldCharType="end"/>
      </w:r>
      <w:r>
        <w:rPr>
          <w:rFonts w:cs="Arial"/>
          <w:sz w:val="22"/>
          <w:szCs w:val="22"/>
        </w:rPr>
        <w:t>.</w:t>
      </w:r>
    </w:p>
    <w:p w14:paraId="23AB2D82" w14:textId="77777777" w:rsidR="008B3A33" w:rsidRPr="007E2727" w:rsidRDefault="008B3A33" w:rsidP="007E2727">
      <w:pPr>
        <w:rPr>
          <w:rFonts w:cs="Arial"/>
          <w:sz w:val="22"/>
          <w:szCs w:val="22"/>
        </w:rPr>
      </w:pPr>
    </w:p>
    <w:p w14:paraId="71A0B737" w14:textId="77777777" w:rsidR="0060003A" w:rsidRDefault="0060003A" w:rsidP="007E2727">
      <w:pPr>
        <w:rPr>
          <w:rFonts w:cs="Arial"/>
          <w:sz w:val="22"/>
          <w:szCs w:val="22"/>
        </w:rPr>
      </w:pPr>
    </w:p>
    <w:p w14:paraId="7DCBFA11" w14:textId="77777777" w:rsidR="0060003A" w:rsidRDefault="007E2727" w:rsidP="000D05A3">
      <w:pPr>
        <w:pStyle w:val="Ttulo4"/>
      </w:pPr>
      <w:r w:rsidRPr="007E2727">
        <w:t>MC2 S.A. E.S.P.</w:t>
      </w:r>
      <w:r w:rsidRPr="007E2727">
        <w:tab/>
      </w:r>
    </w:p>
    <w:p w14:paraId="098AD293" w14:textId="1446BD35" w:rsidR="007E2727" w:rsidRPr="008B3A33" w:rsidRDefault="007E2727" w:rsidP="007E2727">
      <w:pPr>
        <w:rPr>
          <w:rFonts w:cs="Arial"/>
          <w:i/>
          <w:iCs/>
          <w:sz w:val="22"/>
          <w:szCs w:val="22"/>
        </w:rPr>
      </w:pPr>
      <w:r w:rsidRPr="008B3A33">
        <w:rPr>
          <w:rFonts w:cs="Arial"/>
          <w:i/>
          <w:iCs/>
          <w:sz w:val="22"/>
          <w:szCs w:val="22"/>
        </w:rPr>
        <w:t>Los literales "d" y "h" son iguales.</w:t>
      </w:r>
    </w:p>
    <w:p w14:paraId="78D5639B" w14:textId="2D5B2AD8" w:rsidR="008B3A33" w:rsidRDefault="008B3A33" w:rsidP="007E2727">
      <w:pPr>
        <w:rPr>
          <w:rFonts w:cs="Arial"/>
          <w:sz w:val="22"/>
          <w:szCs w:val="22"/>
        </w:rPr>
      </w:pPr>
    </w:p>
    <w:p w14:paraId="1D876BED" w14:textId="519C56A6" w:rsidR="008B3A33" w:rsidRPr="008B3A33" w:rsidRDefault="008B3A33" w:rsidP="007E2727">
      <w:pPr>
        <w:rPr>
          <w:rFonts w:cs="Arial"/>
          <w:b/>
          <w:bCs/>
          <w:sz w:val="22"/>
          <w:szCs w:val="22"/>
        </w:rPr>
      </w:pPr>
      <w:r w:rsidRPr="008B3A33">
        <w:rPr>
          <w:rFonts w:cs="Arial"/>
          <w:b/>
          <w:bCs/>
          <w:sz w:val="22"/>
          <w:szCs w:val="22"/>
        </w:rPr>
        <w:t>Respuesta:</w:t>
      </w:r>
    </w:p>
    <w:p w14:paraId="75B510CB" w14:textId="3E522A91" w:rsidR="008B3A33" w:rsidRDefault="008B3A33" w:rsidP="007E2727">
      <w:pPr>
        <w:rPr>
          <w:rFonts w:cs="Arial"/>
          <w:sz w:val="22"/>
          <w:szCs w:val="22"/>
        </w:rPr>
      </w:pPr>
    </w:p>
    <w:p w14:paraId="7137C906" w14:textId="3F5AE532" w:rsidR="008B3A33" w:rsidRDefault="008B3A33" w:rsidP="007E2727">
      <w:pPr>
        <w:rPr>
          <w:rFonts w:cs="Arial"/>
          <w:sz w:val="22"/>
          <w:szCs w:val="22"/>
        </w:rPr>
      </w:pPr>
      <w:r>
        <w:rPr>
          <w:rFonts w:cs="Arial"/>
          <w:sz w:val="22"/>
          <w:szCs w:val="22"/>
        </w:rPr>
        <w:t>Se acoge el comentario.</w:t>
      </w:r>
    </w:p>
    <w:p w14:paraId="1D178363" w14:textId="2A1826BC" w:rsidR="008B3A33" w:rsidRDefault="008B3A33" w:rsidP="007E2727">
      <w:pPr>
        <w:rPr>
          <w:rFonts w:cs="Arial"/>
          <w:sz w:val="22"/>
          <w:szCs w:val="22"/>
        </w:rPr>
      </w:pPr>
    </w:p>
    <w:p w14:paraId="7B92D5DB" w14:textId="2ADBD082" w:rsidR="008B3A33" w:rsidRPr="007E2727" w:rsidRDefault="008B3A33" w:rsidP="007E2727">
      <w:pPr>
        <w:rPr>
          <w:rFonts w:cs="Arial"/>
          <w:sz w:val="22"/>
          <w:szCs w:val="22"/>
        </w:rPr>
      </w:pPr>
      <w:r>
        <w:rPr>
          <w:rFonts w:cs="Arial"/>
          <w:sz w:val="22"/>
          <w:szCs w:val="22"/>
        </w:rPr>
        <w:t>En la nueva propuesta se realizan las correcciones de redacción.</w:t>
      </w:r>
    </w:p>
    <w:p w14:paraId="213421B5" w14:textId="77777777" w:rsidR="0060003A" w:rsidRDefault="0060003A" w:rsidP="007E2727">
      <w:pPr>
        <w:rPr>
          <w:rFonts w:cs="Arial"/>
          <w:sz w:val="22"/>
          <w:szCs w:val="22"/>
        </w:rPr>
      </w:pPr>
    </w:p>
    <w:p w14:paraId="14461E44" w14:textId="77777777" w:rsidR="0060003A" w:rsidRDefault="0060003A" w:rsidP="007E2727">
      <w:pPr>
        <w:rPr>
          <w:rFonts w:cs="Arial"/>
          <w:sz w:val="22"/>
          <w:szCs w:val="22"/>
        </w:rPr>
      </w:pPr>
    </w:p>
    <w:p w14:paraId="6A13F102" w14:textId="77777777" w:rsidR="0060003A" w:rsidRDefault="007E2727" w:rsidP="002313DA">
      <w:pPr>
        <w:pStyle w:val="Ttulo2"/>
      </w:pPr>
      <w:bookmarkStart w:id="744" w:name="_Toc140506404"/>
      <w:r w:rsidRPr="007E2727">
        <w:t>NATURGAS</w:t>
      </w:r>
      <w:bookmarkEnd w:id="744"/>
      <w:r w:rsidRPr="007E2727">
        <w:tab/>
      </w:r>
    </w:p>
    <w:p w14:paraId="580BE959" w14:textId="77777777" w:rsidR="00F52B11" w:rsidRDefault="00F52B11" w:rsidP="00F52B11">
      <w:pPr>
        <w:pStyle w:val="Ttulo4"/>
      </w:pPr>
      <w:r w:rsidRPr="007E2727">
        <w:t>NATURGAS</w:t>
      </w:r>
      <w:r w:rsidRPr="007E2727">
        <w:tab/>
      </w:r>
    </w:p>
    <w:p w14:paraId="2DBD113E" w14:textId="2859ED20" w:rsidR="007E2727" w:rsidRPr="00C90F4D" w:rsidRDefault="007E2727" w:rsidP="007E2727">
      <w:pPr>
        <w:rPr>
          <w:rFonts w:cs="Arial"/>
          <w:i/>
          <w:iCs/>
          <w:sz w:val="22"/>
          <w:szCs w:val="22"/>
        </w:rPr>
      </w:pPr>
      <w:r w:rsidRPr="007E2727">
        <w:rPr>
          <w:rFonts w:cs="Arial"/>
          <w:sz w:val="22"/>
          <w:szCs w:val="22"/>
        </w:rPr>
        <w:t>"</w:t>
      </w:r>
      <w:r w:rsidRPr="00C90F4D">
        <w:rPr>
          <w:rFonts w:cs="Arial"/>
          <w:i/>
          <w:iCs/>
          <w:sz w:val="22"/>
          <w:szCs w:val="22"/>
        </w:rPr>
        <w:t xml:space="preserve">En este literal se plantea que los productores-comercializadores podrán comercializar gas natural mediante negociaciones directas, en cualquier momento del año, cuando provenga de </w:t>
      </w:r>
      <w:r w:rsidR="007E6AB3">
        <w:rPr>
          <w:rFonts w:cs="Arial"/>
          <w:i/>
          <w:iCs/>
          <w:sz w:val="22"/>
          <w:szCs w:val="22"/>
        </w:rPr>
        <w:t>‘</w:t>
      </w:r>
      <w:r w:rsidRPr="00C90F4D">
        <w:rPr>
          <w:rFonts w:cs="Arial"/>
          <w:i/>
          <w:iCs/>
          <w:sz w:val="22"/>
          <w:szCs w:val="22"/>
        </w:rPr>
        <w:t>Campos que se encuentren en pruebas extensas o sobre los cuales no se haya declarado su comercialidad, bajo el entendido que estos campos no cuentan con Respaldo Físico, a menos que se hayan certificado previamente reservas probables y/o posibles sobre ese mismo campo en las condiciones establecidas para ello por la ANH. La duración de los contratos de suministro que se pacten desde estas Fuentes de Suministro corresponderá al período autorizado por la ANH para la realización de las pruebas extensas y, en todo caso, no podrá superar la fecha máxima determinada por la ANH para su evaluación, de acuerdo con los términos del contrato de exploración y producción, o su equivalente, suscrito con la ANH</w:t>
      </w:r>
      <w:r w:rsidR="007E6AB3">
        <w:rPr>
          <w:rFonts w:cs="Arial"/>
          <w:i/>
          <w:iCs/>
          <w:sz w:val="22"/>
          <w:szCs w:val="22"/>
        </w:rPr>
        <w:t>’</w:t>
      </w:r>
      <w:r w:rsidRPr="00C90F4D">
        <w:rPr>
          <w:rFonts w:cs="Arial"/>
          <w:i/>
          <w:iCs/>
          <w:sz w:val="22"/>
          <w:szCs w:val="22"/>
        </w:rPr>
        <w:t>.</w:t>
      </w:r>
    </w:p>
    <w:p w14:paraId="494B4812" w14:textId="77777777" w:rsidR="007E2727" w:rsidRPr="00C90F4D" w:rsidRDefault="007E2727" w:rsidP="007E2727">
      <w:pPr>
        <w:rPr>
          <w:rFonts w:cs="Arial"/>
          <w:i/>
          <w:iCs/>
          <w:sz w:val="22"/>
          <w:szCs w:val="22"/>
        </w:rPr>
      </w:pPr>
    </w:p>
    <w:p w14:paraId="6818BE7E" w14:textId="77777777" w:rsidR="007E2727" w:rsidRPr="00C90F4D" w:rsidRDefault="007E2727" w:rsidP="007E2727">
      <w:pPr>
        <w:rPr>
          <w:rFonts w:cs="Arial"/>
          <w:i/>
          <w:iCs/>
          <w:sz w:val="22"/>
          <w:szCs w:val="22"/>
        </w:rPr>
      </w:pPr>
      <w:r w:rsidRPr="00C90F4D">
        <w:rPr>
          <w:rFonts w:cs="Arial"/>
          <w:i/>
          <w:iCs/>
          <w:sz w:val="22"/>
          <w:szCs w:val="22"/>
        </w:rPr>
        <w:t xml:space="preserve">Con el argumento de que los campos en pruebas extensas no cuentan con respaldo físico, la Comisión propone esta medida que acota el período de contratación al período de pruebas extensas autorizado por la ANH. </w:t>
      </w:r>
    </w:p>
    <w:p w14:paraId="1850CD74" w14:textId="77777777" w:rsidR="007E2727" w:rsidRPr="00C90F4D" w:rsidRDefault="007E2727" w:rsidP="007E2727">
      <w:pPr>
        <w:rPr>
          <w:rFonts w:cs="Arial"/>
          <w:i/>
          <w:iCs/>
          <w:sz w:val="22"/>
          <w:szCs w:val="22"/>
        </w:rPr>
      </w:pPr>
    </w:p>
    <w:p w14:paraId="6EE6A145" w14:textId="1892BECC" w:rsidR="007E2727" w:rsidRPr="00C90F4D" w:rsidRDefault="007E2727" w:rsidP="007E2727">
      <w:pPr>
        <w:rPr>
          <w:rFonts w:cs="Arial"/>
          <w:i/>
          <w:iCs/>
          <w:sz w:val="22"/>
          <w:szCs w:val="22"/>
        </w:rPr>
      </w:pPr>
      <w:r w:rsidRPr="00C90F4D">
        <w:rPr>
          <w:rFonts w:cs="Arial"/>
          <w:i/>
          <w:iCs/>
          <w:sz w:val="22"/>
          <w:szCs w:val="22"/>
        </w:rPr>
        <w:t xml:space="preserve">Sobre el particular se debe mencionar que bajo la regla vigente los productores-comercializadores han pactado contratos de largo plazo que han permitido el desarrollo de varios campos que han aumentado la oferta, han suplido campos en declinación y han permitido desarrollar infraestructura de transporte que está basada en contratos de largo plazo de capacidad. La regla vigente, fijada desde la Resolución CREG 089 de 2013, establece la </w:t>
      </w:r>
      <w:proofErr w:type="spellStart"/>
      <w:r w:rsidRPr="00C90F4D">
        <w:rPr>
          <w:rFonts w:cs="Arial"/>
          <w:i/>
          <w:iCs/>
          <w:sz w:val="22"/>
          <w:szCs w:val="22"/>
        </w:rPr>
        <w:t>posiblidad</w:t>
      </w:r>
      <w:proofErr w:type="spellEnd"/>
      <w:r w:rsidRPr="00C90F4D">
        <w:rPr>
          <w:rFonts w:cs="Arial"/>
          <w:i/>
          <w:iCs/>
          <w:sz w:val="22"/>
          <w:szCs w:val="22"/>
        </w:rPr>
        <w:t xml:space="preserve"> de comercializar gas de campos en pruebas extensas mediante negociaciones directas en cualquier momento del año, sin acotar su duración a la duración del período de pruebas extensas. Es decir, esta regla ha sido una señal positiva para el desarrollo de nuevos campos y de infraestructura de transporte. Debe tenerse en cuenta que la certificación de reservas es el principal respaldo físico, y que para la certific</w:t>
      </w:r>
      <w:r w:rsidR="00007E82">
        <w:rPr>
          <w:rFonts w:cs="Arial"/>
          <w:i/>
          <w:iCs/>
          <w:sz w:val="22"/>
          <w:szCs w:val="22"/>
        </w:rPr>
        <w:t>a</w:t>
      </w:r>
      <w:r w:rsidRPr="00C90F4D">
        <w:rPr>
          <w:rFonts w:cs="Arial"/>
          <w:i/>
          <w:iCs/>
          <w:sz w:val="22"/>
          <w:szCs w:val="22"/>
        </w:rPr>
        <w:t xml:space="preserve">ción se requieren los contratos. </w:t>
      </w:r>
    </w:p>
    <w:p w14:paraId="20C5D4DF" w14:textId="77777777" w:rsidR="007E2727" w:rsidRPr="00C90F4D" w:rsidRDefault="007E2727" w:rsidP="007E2727">
      <w:pPr>
        <w:rPr>
          <w:rFonts w:cs="Arial"/>
          <w:i/>
          <w:iCs/>
          <w:sz w:val="22"/>
          <w:szCs w:val="22"/>
        </w:rPr>
      </w:pPr>
    </w:p>
    <w:p w14:paraId="60842BC7" w14:textId="77777777" w:rsidR="007E2727" w:rsidRPr="00C90F4D" w:rsidRDefault="007E2727" w:rsidP="007E2727">
      <w:pPr>
        <w:rPr>
          <w:rFonts w:cs="Arial"/>
          <w:i/>
          <w:iCs/>
          <w:sz w:val="22"/>
          <w:szCs w:val="22"/>
        </w:rPr>
      </w:pPr>
      <w:r w:rsidRPr="00C90F4D">
        <w:rPr>
          <w:rFonts w:cs="Arial"/>
          <w:i/>
          <w:iCs/>
          <w:sz w:val="22"/>
          <w:szCs w:val="22"/>
        </w:rPr>
        <w:t xml:space="preserve">Un cambio como el que se propone en este literal, i.e. acotar el período de contratación al período de pruebas extensas, compromete o inviabiliza el desarrollo de nuevos campos de producción y de nueva infraestructura de transporte. Así mismo, no es claro el beneficio de modificar la regla vigente que ha dado resultados para el mercado. </w:t>
      </w:r>
    </w:p>
    <w:p w14:paraId="4990570C" w14:textId="77777777" w:rsidR="007E2727" w:rsidRPr="00C90F4D" w:rsidRDefault="007E2727" w:rsidP="007E2727">
      <w:pPr>
        <w:rPr>
          <w:rFonts w:cs="Arial"/>
          <w:i/>
          <w:iCs/>
          <w:sz w:val="22"/>
          <w:szCs w:val="22"/>
        </w:rPr>
      </w:pPr>
    </w:p>
    <w:p w14:paraId="121D1382" w14:textId="2FD6A5F7" w:rsidR="007E2727" w:rsidRDefault="007E2727" w:rsidP="007E2727">
      <w:pPr>
        <w:rPr>
          <w:rFonts w:cs="Arial"/>
          <w:sz w:val="22"/>
          <w:szCs w:val="22"/>
        </w:rPr>
      </w:pPr>
      <w:r w:rsidRPr="00C90F4D">
        <w:rPr>
          <w:rFonts w:cs="Arial"/>
          <w:i/>
          <w:iCs/>
          <w:sz w:val="22"/>
          <w:szCs w:val="22"/>
        </w:rPr>
        <w:t>Por tanto, solicitamos a la Comisión revaluar la propuesta planteada en este literal y considerar que la regla vigente ha permitido que el mercado de suministro se desarrolle</w:t>
      </w:r>
      <w:r w:rsidRPr="007E2727">
        <w:rPr>
          <w:rFonts w:cs="Arial"/>
          <w:sz w:val="22"/>
          <w:szCs w:val="22"/>
        </w:rPr>
        <w:t>."</w:t>
      </w:r>
    </w:p>
    <w:p w14:paraId="58A9D397" w14:textId="0627200D" w:rsidR="00C90F4D" w:rsidRDefault="00C90F4D" w:rsidP="007E2727">
      <w:pPr>
        <w:rPr>
          <w:rFonts w:cs="Arial"/>
          <w:sz w:val="22"/>
          <w:szCs w:val="22"/>
        </w:rPr>
      </w:pPr>
    </w:p>
    <w:p w14:paraId="26053E2F" w14:textId="5EEAD4C6" w:rsidR="00C90F4D" w:rsidRPr="00C90F4D" w:rsidRDefault="00C90F4D" w:rsidP="007E2727">
      <w:pPr>
        <w:rPr>
          <w:rFonts w:cs="Arial"/>
          <w:b/>
          <w:bCs/>
          <w:sz w:val="22"/>
          <w:szCs w:val="22"/>
        </w:rPr>
      </w:pPr>
      <w:r w:rsidRPr="00C90F4D">
        <w:rPr>
          <w:rFonts w:cs="Arial"/>
          <w:b/>
          <w:bCs/>
          <w:sz w:val="22"/>
          <w:szCs w:val="22"/>
        </w:rPr>
        <w:t>Respuesta:</w:t>
      </w:r>
    </w:p>
    <w:p w14:paraId="71F18FD6" w14:textId="50AE56D3" w:rsidR="00C90F4D" w:rsidRDefault="00C90F4D" w:rsidP="007E2727">
      <w:pPr>
        <w:rPr>
          <w:rFonts w:cs="Arial"/>
          <w:sz w:val="22"/>
          <w:szCs w:val="22"/>
        </w:rPr>
      </w:pPr>
    </w:p>
    <w:p w14:paraId="2672AAC5" w14:textId="444D4862" w:rsidR="00C90F4D" w:rsidRPr="007E2727" w:rsidRDefault="00007E82"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_Ref130975775 \r \h </w:instrText>
      </w:r>
      <w:r>
        <w:rPr>
          <w:rFonts w:cs="Arial"/>
          <w:sz w:val="22"/>
          <w:szCs w:val="22"/>
        </w:rPr>
      </w:r>
      <w:r>
        <w:rPr>
          <w:rFonts w:cs="Arial"/>
          <w:sz w:val="22"/>
          <w:szCs w:val="22"/>
        </w:rPr>
        <w:fldChar w:fldCharType="separate"/>
      </w:r>
      <w:r w:rsidR="007651EA">
        <w:rPr>
          <w:rFonts w:cs="Arial"/>
          <w:sz w:val="22"/>
          <w:szCs w:val="22"/>
        </w:rPr>
        <w:t>17.3.1.1</w:t>
      </w:r>
      <w:r>
        <w:rPr>
          <w:rFonts w:cs="Arial"/>
          <w:sz w:val="22"/>
          <w:szCs w:val="22"/>
        </w:rPr>
        <w:fldChar w:fldCharType="end"/>
      </w:r>
      <w:r>
        <w:rPr>
          <w:rFonts w:cs="Arial"/>
          <w:sz w:val="22"/>
          <w:szCs w:val="22"/>
        </w:rPr>
        <w:t>.</w:t>
      </w:r>
    </w:p>
    <w:p w14:paraId="2621814D" w14:textId="593EFF33" w:rsidR="0060003A" w:rsidRDefault="0060003A" w:rsidP="007E2727">
      <w:pPr>
        <w:rPr>
          <w:rFonts w:cs="Arial"/>
          <w:sz w:val="22"/>
          <w:szCs w:val="22"/>
        </w:rPr>
      </w:pPr>
    </w:p>
    <w:p w14:paraId="60D11C45" w14:textId="77777777" w:rsidR="0060003A" w:rsidRDefault="0060003A" w:rsidP="007E2727">
      <w:pPr>
        <w:rPr>
          <w:rFonts w:cs="Arial"/>
          <w:sz w:val="22"/>
          <w:szCs w:val="22"/>
        </w:rPr>
      </w:pPr>
    </w:p>
    <w:p w14:paraId="78A7D262" w14:textId="77777777" w:rsidR="0060003A" w:rsidRDefault="007E2727" w:rsidP="002313DA">
      <w:pPr>
        <w:pStyle w:val="Ttulo2"/>
      </w:pPr>
      <w:bookmarkStart w:id="745" w:name="_Toc140506405"/>
      <w:r w:rsidRPr="00F52B11">
        <w:rPr>
          <w:caps/>
        </w:rPr>
        <w:t>Parex Resources Colombia</w:t>
      </w:r>
      <w:r w:rsidRPr="007E2727">
        <w:t xml:space="preserve"> LTD.</w:t>
      </w:r>
      <w:bookmarkEnd w:id="745"/>
      <w:r w:rsidRPr="007E2727">
        <w:tab/>
      </w:r>
    </w:p>
    <w:p w14:paraId="4CEF8AB8" w14:textId="77777777" w:rsidR="00F52B11" w:rsidRDefault="00F52B11" w:rsidP="00F52B11">
      <w:pPr>
        <w:pStyle w:val="Ttulo4"/>
      </w:pPr>
      <w:r w:rsidRPr="000D05A3">
        <w:rPr>
          <w:caps/>
        </w:rPr>
        <w:t>Parex Resources Colombia</w:t>
      </w:r>
      <w:r w:rsidRPr="007E2727">
        <w:t xml:space="preserve"> LTD.</w:t>
      </w:r>
      <w:r w:rsidRPr="007E2727">
        <w:tab/>
      </w:r>
    </w:p>
    <w:p w14:paraId="00821721" w14:textId="02BA05F5" w:rsidR="007E2727" w:rsidRPr="00007E82" w:rsidRDefault="005E67A2" w:rsidP="007E2727">
      <w:pPr>
        <w:rPr>
          <w:rFonts w:cs="Arial"/>
          <w:i/>
          <w:iCs/>
          <w:sz w:val="22"/>
          <w:szCs w:val="22"/>
        </w:rPr>
      </w:pPr>
      <w:r>
        <w:rPr>
          <w:rFonts w:cs="Arial"/>
          <w:i/>
          <w:iCs/>
          <w:sz w:val="22"/>
          <w:szCs w:val="22"/>
        </w:rPr>
        <w:t>“</w:t>
      </w:r>
      <w:r w:rsidR="007E2727" w:rsidRPr="00007E82">
        <w:rPr>
          <w:rFonts w:cs="Arial"/>
          <w:i/>
          <w:iCs/>
          <w:sz w:val="22"/>
          <w:szCs w:val="22"/>
        </w:rPr>
        <w:t>Solicitamos se aclare qué se debe entender por conexión indirecta. Lo anterior dado que consideramos que el termino por sí solo, sin delimitar su alcance, podría permitir interpretaciones que lleven a desnaturalizar a los Campos Aislados por tener presuntas conexiones que corresponden a esquemas logísticos más que a conexiones reales a otros sistemas de orden regional tales como sistemas de distribución entre otros que a su vez puedan tener alguna conexión con el sistema Nacional de Transporte SNT.</w:t>
      </w:r>
      <w:r>
        <w:rPr>
          <w:rFonts w:cs="Arial"/>
          <w:i/>
          <w:iCs/>
          <w:sz w:val="22"/>
          <w:szCs w:val="22"/>
        </w:rPr>
        <w:t>”</w:t>
      </w:r>
    </w:p>
    <w:p w14:paraId="4CD4B7E3" w14:textId="179F52CA" w:rsidR="00007E82" w:rsidRDefault="00007E82" w:rsidP="007E2727">
      <w:pPr>
        <w:rPr>
          <w:rFonts w:cs="Arial"/>
          <w:sz w:val="22"/>
          <w:szCs w:val="22"/>
        </w:rPr>
      </w:pPr>
    </w:p>
    <w:p w14:paraId="5637C242" w14:textId="55849F20" w:rsidR="00007E82" w:rsidRPr="00007E82" w:rsidRDefault="00007E82" w:rsidP="007E2727">
      <w:pPr>
        <w:rPr>
          <w:rFonts w:cs="Arial"/>
          <w:b/>
          <w:bCs/>
          <w:sz w:val="22"/>
          <w:szCs w:val="22"/>
        </w:rPr>
      </w:pPr>
      <w:r w:rsidRPr="00007E82">
        <w:rPr>
          <w:rFonts w:cs="Arial"/>
          <w:b/>
          <w:bCs/>
          <w:sz w:val="22"/>
          <w:szCs w:val="22"/>
        </w:rPr>
        <w:t>Respuesta:</w:t>
      </w:r>
    </w:p>
    <w:p w14:paraId="5BD9610B" w14:textId="3D6CDBB5" w:rsidR="00007E82" w:rsidRDefault="00007E82" w:rsidP="007E2727">
      <w:pPr>
        <w:rPr>
          <w:rFonts w:cs="Arial"/>
          <w:sz w:val="22"/>
          <w:szCs w:val="22"/>
        </w:rPr>
      </w:pPr>
    </w:p>
    <w:p w14:paraId="14357A23" w14:textId="7332B7BC" w:rsidR="00007E82" w:rsidRDefault="00007E82"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_Ref131487399 \r \h </w:instrText>
      </w:r>
      <w:r>
        <w:rPr>
          <w:rFonts w:cs="Arial"/>
          <w:sz w:val="22"/>
          <w:szCs w:val="22"/>
        </w:rPr>
      </w:r>
      <w:r>
        <w:rPr>
          <w:rFonts w:cs="Arial"/>
          <w:sz w:val="22"/>
          <w:szCs w:val="22"/>
        </w:rPr>
        <w:fldChar w:fldCharType="separate"/>
      </w:r>
      <w:r w:rsidR="007651EA">
        <w:rPr>
          <w:rFonts w:cs="Arial"/>
          <w:sz w:val="22"/>
          <w:szCs w:val="22"/>
        </w:rPr>
        <w:t>17.5.1.3</w:t>
      </w:r>
      <w:r>
        <w:rPr>
          <w:rFonts w:cs="Arial"/>
          <w:sz w:val="22"/>
          <w:szCs w:val="22"/>
        </w:rPr>
        <w:fldChar w:fldCharType="end"/>
      </w:r>
      <w:r>
        <w:rPr>
          <w:rFonts w:cs="Arial"/>
          <w:sz w:val="22"/>
          <w:szCs w:val="22"/>
        </w:rPr>
        <w:t>.</w:t>
      </w:r>
    </w:p>
    <w:p w14:paraId="78072F51" w14:textId="77777777" w:rsidR="00007E82" w:rsidRPr="007E2727" w:rsidRDefault="00007E82" w:rsidP="007E2727">
      <w:pPr>
        <w:rPr>
          <w:rFonts w:cs="Arial"/>
          <w:sz w:val="22"/>
          <w:szCs w:val="22"/>
        </w:rPr>
      </w:pPr>
    </w:p>
    <w:p w14:paraId="3018051D" w14:textId="77777777" w:rsidR="0060003A" w:rsidRDefault="0060003A" w:rsidP="007E2727">
      <w:pPr>
        <w:rPr>
          <w:rFonts w:cs="Arial"/>
          <w:sz w:val="22"/>
          <w:szCs w:val="22"/>
        </w:rPr>
      </w:pPr>
    </w:p>
    <w:p w14:paraId="37842959" w14:textId="77777777" w:rsidR="0060003A" w:rsidRDefault="007E2727" w:rsidP="000D05A3">
      <w:pPr>
        <w:pStyle w:val="Ttulo4"/>
      </w:pPr>
      <w:r w:rsidRPr="0060003A">
        <w:rPr>
          <w:caps/>
        </w:rPr>
        <w:t>Parex Resources</w:t>
      </w:r>
      <w:r w:rsidRPr="007E2727">
        <w:t xml:space="preserve"> Colombia LTD.</w:t>
      </w:r>
      <w:r w:rsidRPr="007E2727">
        <w:tab/>
      </w:r>
    </w:p>
    <w:p w14:paraId="19BE099C" w14:textId="248904A6" w:rsidR="007E2727" w:rsidRPr="00007E82" w:rsidRDefault="007E2727" w:rsidP="007E2727">
      <w:pPr>
        <w:rPr>
          <w:rFonts w:cs="Arial"/>
          <w:i/>
          <w:iCs/>
          <w:sz w:val="22"/>
          <w:szCs w:val="22"/>
        </w:rPr>
      </w:pPr>
      <w:r w:rsidRPr="007E2727">
        <w:rPr>
          <w:rFonts w:cs="Arial"/>
          <w:sz w:val="22"/>
          <w:szCs w:val="22"/>
        </w:rPr>
        <w:t>"</w:t>
      </w:r>
      <w:r w:rsidRPr="00007E82">
        <w:rPr>
          <w:rFonts w:cs="Arial"/>
          <w:i/>
          <w:iCs/>
          <w:sz w:val="22"/>
          <w:szCs w:val="22"/>
        </w:rPr>
        <w:t xml:space="preserve">Observamos que el numeral </w:t>
      </w:r>
      <w:proofErr w:type="spellStart"/>
      <w:r w:rsidRPr="00007E82">
        <w:rPr>
          <w:rFonts w:cs="Arial"/>
          <w:i/>
          <w:iCs/>
          <w:sz w:val="22"/>
          <w:szCs w:val="22"/>
        </w:rPr>
        <w:t>ii</w:t>
      </w:r>
      <w:proofErr w:type="spellEnd"/>
      <w:r w:rsidRPr="00007E82">
        <w:rPr>
          <w:rFonts w:cs="Arial"/>
          <w:i/>
          <w:iCs/>
          <w:sz w:val="22"/>
          <w:szCs w:val="22"/>
        </w:rPr>
        <w:t xml:space="preserve"> del literal a) del numeral 1. del artículo 19 de la propuesta de resolución, contempla la posibilidad de incorporar de forma automática los cambios regulatorios futuros, en los contratos existentes de Campos Menores, una vez estos campos dejen de ser Campos Menores.</w:t>
      </w:r>
    </w:p>
    <w:p w14:paraId="2A835721" w14:textId="77777777" w:rsidR="007E2727" w:rsidRPr="00007E82" w:rsidRDefault="007E2727" w:rsidP="007E2727">
      <w:pPr>
        <w:rPr>
          <w:rFonts w:cs="Arial"/>
          <w:i/>
          <w:iCs/>
          <w:sz w:val="22"/>
          <w:szCs w:val="22"/>
        </w:rPr>
      </w:pPr>
    </w:p>
    <w:p w14:paraId="0BB24779" w14:textId="77777777" w:rsidR="007E2727" w:rsidRPr="00007E82" w:rsidRDefault="007E2727" w:rsidP="007E2727">
      <w:pPr>
        <w:rPr>
          <w:rFonts w:cs="Arial"/>
          <w:i/>
          <w:iCs/>
          <w:sz w:val="22"/>
          <w:szCs w:val="22"/>
        </w:rPr>
      </w:pPr>
      <w:r w:rsidRPr="00007E82">
        <w:rPr>
          <w:rFonts w:cs="Arial"/>
          <w:i/>
          <w:iCs/>
          <w:sz w:val="22"/>
          <w:szCs w:val="22"/>
        </w:rPr>
        <w:t>Consideramos respetuosamente que ésta regla podría vulnerar el principio jurídico de irretroactividad de la ley en el tiempo, y desconocería el principio jurídico de que a los contratos les aplican las normas vigentes al momento de su celebración. Por lo anterior se recomienda que el párrafo defina claramente que los cambios en la negociación y las condiciones de los contratos solo operan para los contratos que se suscriban a partir de la fecha en que se pierda la condición de Campo Menor.</w:t>
      </w:r>
    </w:p>
    <w:p w14:paraId="17AE9FED" w14:textId="77777777" w:rsidR="0060003A" w:rsidRPr="00007E82" w:rsidRDefault="0060003A" w:rsidP="007E2727">
      <w:pPr>
        <w:rPr>
          <w:rFonts w:cs="Arial"/>
          <w:i/>
          <w:iCs/>
          <w:sz w:val="22"/>
          <w:szCs w:val="22"/>
        </w:rPr>
      </w:pPr>
    </w:p>
    <w:p w14:paraId="516CAACF" w14:textId="64331B63" w:rsidR="007E2727" w:rsidRPr="007E2727" w:rsidRDefault="007E2727" w:rsidP="007E2727">
      <w:pPr>
        <w:rPr>
          <w:rFonts w:cs="Arial"/>
          <w:sz w:val="22"/>
          <w:szCs w:val="22"/>
        </w:rPr>
      </w:pPr>
      <w:r w:rsidRPr="00007E82">
        <w:rPr>
          <w:rFonts w:cs="Arial"/>
          <w:i/>
          <w:iCs/>
          <w:sz w:val="22"/>
          <w:szCs w:val="22"/>
        </w:rPr>
        <w:t>Así las cosas, solicitamos respetuosamente ajustar la regla incluyendo la claridad de que dicho cambio no tiene efectos retroactivos</w:t>
      </w:r>
      <w:r w:rsidRPr="007E2727">
        <w:rPr>
          <w:rFonts w:cs="Arial"/>
          <w:sz w:val="22"/>
          <w:szCs w:val="22"/>
        </w:rPr>
        <w:t>."</w:t>
      </w:r>
    </w:p>
    <w:p w14:paraId="48B9064A" w14:textId="15770B87" w:rsidR="0060003A" w:rsidRDefault="0060003A" w:rsidP="007E2727">
      <w:pPr>
        <w:rPr>
          <w:rFonts w:cs="Arial"/>
          <w:sz w:val="22"/>
          <w:szCs w:val="22"/>
        </w:rPr>
      </w:pPr>
    </w:p>
    <w:p w14:paraId="6FA515FF" w14:textId="4F0EDDDD" w:rsidR="00007E82" w:rsidRPr="00007E82" w:rsidRDefault="00007E82" w:rsidP="007E2727">
      <w:pPr>
        <w:rPr>
          <w:rFonts w:cs="Arial"/>
          <w:b/>
          <w:bCs/>
          <w:sz w:val="22"/>
          <w:szCs w:val="22"/>
        </w:rPr>
      </w:pPr>
      <w:r w:rsidRPr="00007E82">
        <w:rPr>
          <w:rFonts w:cs="Arial"/>
          <w:b/>
          <w:bCs/>
          <w:sz w:val="22"/>
          <w:szCs w:val="22"/>
        </w:rPr>
        <w:t>Respuesta:</w:t>
      </w:r>
    </w:p>
    <w:p w14:paraId="08624C11" w14:textId="47C71776" w:rsidR="00007E82" w:rsidRDefault="00007E82" w:rsidP="007E2727">
      <w:pPr>
        <w:rPr>
          <w:rFonts w:cs="Arial"/>
          <w:sz w:val="22"/>
          <w:szCs w:val="22"/>
        </w:rPr>
      </w:pPr>
    </w:p>
    <w:p w14:paraId="3BDBF085" w14:textId="334C2D86" w:rsidR="00007E82" w:rsidRDefault="00007E82" w:rsidP="007E2727">
      <w:pPr>
        <w:rPr>
          <w:rFonts w:cs="Arial"/>
          <w:sz w:val="22"/>
          <w:szCs w:val="22"/>
        </w:rPr>
      </w:pPr>
      <w:r>
        <w:rPr>
          <w:rFonts w:cs="Arial"/>
          <w:sz w:val="22"/>
          <w:szCs w:val="22"/>
        </w:rPr>
        <w:t>Se acoge el comentario parcialmente.</w:t>
      </w:r>
    </w:p>
    <w:p w14:paraId="0C7B498C" w14:textId="70C1277E" w:rsidR="00007E82" w:rsidRDefault="00007E82" w:rsidP="007E2727">
      <w:pPr>
        <w:rPr>
          <w:rFonts w:cs="Arial"/>
          <w:sz w:val="22"/>
          <w:szCs w:val="22"/>
        </w:rPr>
      </w:pPr>
    </w:p>
    <w:p w14:paraId="3D151059" w14:textId="48886450" w:rsidR="00007E82" w:rsidRDefault="00007E82" w:rsidP="007E2727">
      <w:pPr>
        <w:rPr>
          <w:rFonts w:cs="Arial"/>
          <w:sz w:val="22"/>
          <w:szCs w:val="22"/>
        </w:rPr>
      </w:pPr>
      <w:r>
        <w:rPr>
          <w:rFonts w:cs="Arial"/>
          <w:sz w:val="22"/>
          <w:szCs w:val="22"/>
        </w:rPr>
        <w:t xml:space="preserve">En la nueva propuesta se deja claro que la negociación para los nuevos contratos de suministro proveniente de campos menores, cuando </w:t>
      </w:r>
      <w:r w:rsidRPr="00007E82">
        <w:rPr>
          <w:rFonts w:cs="Arial"/>
          <w:sz w:val="22"/>
          <w:szCs w:val="22"/>
        </w:rPr>
        <w:t xml:space="preserve">se encuentre un mes a partir del cual el potencial </w:t>
      </w:r>
      <w:r>
        <w:rPr>
          <w:rFonts w:cs="Arial"/>
          <w:sz w:val="22"/>
          <w:szCs w:val="22"/>
        </w:rPr>
        <w:t xml:space="preserve">de producción </w:t>
      </w:r>
      <w:r w:rsidRPr="00007E82">
        <w:rPr>
          <w:rFonts w:cs="Arial"/>
          <w:sz w:val="22"/>
          <w:szCs w:val="22"/>
        </w:rPr>
        <w:t>deja de corresponder a un campo menor, cuya ejecución inicie en dicho mes</w:t>
      </w:r>
      <w:r>
        <w:rPr>
          <w:rFonts w:cs="Arial"/>
          <w:sz w:val="22"/>
          <w:szCs w:val="22"/>
        </w:rPr>
        <w:t>,</w:t>
      </w:r>
      <w:r w:rsidRPr="00007E82">
        <w:rPr>
          <w:rFonts w:cs="Arial"/>
          <w:sz w:val="22"/>
          <w:szCs w:val="22"/>
        </w:rPr>
        <w:t xml:space="preserve"> deberá seguir los mecanismos de comercialización establecidos por la CREG en la presente resolución</w:t>
      </w:r>
      <w:r>
        <w:rPr>
          <w:rFonts w:cs="Arial"/>
          <w:sz w:val="22"/>
          <w:szCs w:val="22"/>
        </w:rPr>
        <w:t>.</w:t>
      </w:r>
    </w:p>
    <w:p w14:paraId="1016B30A" w14:textId="77777777" w:rsidR="00007E82" w:rsidRDefault="00007E82" w:rsidP="007E2727">
      <w:pPr>
        <w:rPr>
          <w:rFonts w:cs="Arial"/>
          <w:sz w:val="22"/>
          <w:szCs w:val="22"/>
        </w:rPr>
      </w:pPr>
    </w:p>
    <w:p w14:paraId="2D428FFA" w14:textId="77777777" w:rsidR="0060003A" w:rsidRDefault="0060003A" w:rsidP="007E2727">
      <w:pPr>
        <w:rPr>
          <w:rFonts w:cs="Arial"/>
          <w:sz w:val="22"/>
          <w:szCs w:val="22"/>
        </w:rPr>
      </w:pPr>
    </w:p>
    <w:p w14:paraId="4DC16E81" w14:textId="77777777" w:rsidR="0060003A" w:rsidRDefault="007E2727" w:rsidP="002313DA">
      <w:pPr>
        <w:pStyle w:val="Ttulo2"/>
      </w:pPr>
      <w:bookmarkStart w:id="746" w:name="_Toc140506406"/>
      <w:r w:rsidRPr="007E2727">
        <w:t>PRIME ENERGIA</w:t>
      </w:r>
      <w:bookmarkEnd w:id="746"/>
      <w:r w:rsidRPr="007E2727">
        <w:tab/>
      </w:r>
    </w:p>
    <w:p w14:paraId="6D0A404F" w14:textId="77777777" w:rsidR="00F52B11" w:rsidRDefault="00F52B11" w:rsidP="00F52B11">
      <w:pPr>
        <w:pStyle w:val="Ttulo4"/>
      </w:pPr>
      <w:bookmarkStart w:id="747" w:name="_Ref132031670"/>
      <w:r w:rsidRPr="007E2727">
        <w:t>PRIME ENERGIA</w:t>
      </w:r>
      <w:bookmarkEnd w:id="747"/>
      <w:r w:rsidRPr="007E2727">
        <w:tab/>
      </w:r>
    </w:p>
    <w:p w14:paraId="50E1B215" w14:textId="1175B633" w:rsidR="007E2727" w:rsidRPr="00007E82" w:rsidRDefault="0024462A" w:rsidP="007E2727">
      <w:pPr>
        <w:rPr>
          <w:rFonts w:cs="Arial"/>
          <w:i/>
          <w:iCs/>
          <w:sz w:val="22"/>
          <w:szCs w:val="22"/>
        </w:rPr>
      </w:pPr>
      <w:r>
        <w:rPr>
          <w:rFonts w:cs="Arial"/>
          <w:i/>
          <w:iCs/>
          <w:sz w:val="22"/>
          <w:szCs w:val="22"/>
        </w:rPr>
        <w:t>“</w:t>
      </w:r>
      <w:r w:rsidR="007E2727" w:rsidRPr="00007E82">
        <w:rPr>
          <w:rFonts w:cs="Arial"/>
          <w:i/>
          <w:iCs/>
          <w:sz w:val="22"/>
          <w:szCs w:val="22"/>
        </w:rPr>
        <w:t>Respecto a los incentivos para nuevas fuentes o nuevos modos de suministro en el Mercado primario, en especial la flexibilidad que se está planteando para la comercialización de Gas Natural Licuado – GN</w:t>
      </w:r>
      <w:r w:rsidR="00007E82" w:rsidRPr="00007E82">
        <w:rPr>
          <w:rFonts w:cs="Arial"/>
          <w:i/>
          <w:iCs/>
          <w:sz w:val="22"/>
          <w:szCs w:val="22"/>
        </w:rPr>
        <w:t>L</w:t>
      </w:r>
      <w:r w:rsidR="00007E82">
        <w:rPr>
          <w:rFonts w:cs="Arial"/>
          <w:i/>
          <w:iCs/>
          <w:sz w:val="22"/>
          <w:szCs w:val="22"/>
        </w:rPr>
        <w:t>, p</w:t>
      </w:r>
      <w:r w:rsidR="00007E82" w:rsidRPr="00007E82">
        <w:rPr>
          <w:rFonts w:cs="Arial"/>
          <w:i/>
          <w:iCs/>
          <w:sz w:val="22"/>
          <w:szCs w:val="22"/>
        </w:rPr>
        <w:t>onemos a consideración de esta Comisión que la comercialización de estas fuentes quede excluida del MADE cuando se trate de la atención a la demanda térmica, teniendo en cuenta que ya ha sido excluida del gas local por la definición del Demanda Esencial.</w:t>
      </w:r>
      <w:r w:rsidR="005145B1">
        <w:rPr>
          <w:rFonts w:cs="Arial"/>
          <w:i/>
          <w:iCs/>
          <w:sz w:val="22"/>
          <w:szCs w:val="22"/>
        </w:rPr>
        <w:t>”</w:t>
      </w:r>
    </w:p>
    <w:p w14:paraId="583D006E" w14:textId="37466769" w:rsidR="00007E82" w:rsidRDefault="00007E82" w:rsidP="007E2727">
      <w:pPr>
        <w:rPr>
          <w:rFonts w:cs="Arial"/>
          <w:sz w:val="22"/>
          <w:szCs w:val="22"/>
        </w:rPr>
      </w:pPr>
    </w:p>
    <w:p w14:paraId="22F9ECC1" w14:textId="78CA3C0B" w:rsidR="00007E82" w:rsidRPr="00007E82" w:rsidRDefault="00007E82" w:rsidP="007E2727">
      <w:pPr>
        <w:rPr>
          <w:rFonts w:cs="Arial"/>
          <w:b/>
          <w:bCs/>
          <w:sz w:val="22"/>
          <w:szCs w:val="22"/>
        </w:rPr>
      </w:pPr>
      <w:r w:rsidRPr="00007E82">
        <w:rPr>
          <w:rFonts w:cs="Arial"/>
          <w:b/>
          <w:bCs/>
          <w:sz w:val="22"/>
          <w:szCs w:val="22"/>
        </w:rPr>
        <w:t>Respuesta:</w:t>
      </w:r>
    </w:p>
    <w:p w14:paraId="016E6863" w14:textId="03A75125" w:rsidR="00007E82" w:rsidRDefault="00007E82" w:rsidP="007E2727">
      <w:pPr>
        <w:rPr>
          <w:rFonts w:cs="Arial"/>
          <w:sz w:val="22"/>
          <w:szCs w:val="22"/>
        </w:rPr>
      </w:pPr>
    </w:p>
    <w:p w14:paraId="44E0AE3E" w14:textId="7AEA2DF1" w:rsidR="00007E82" w:rsidRDefault="00007E82" w:rsidP="007E2727">
      <w:pPr>
        <w:rPr>
          <w:rFonts w:cs="Arial"/>
          <w:sz w:val="22"/>
          <w:szCs w:val="22"/>
        </w:rPr>
      </w:pPr>
      <w:r>
        <w:rPr>
          <w:rFonts w:cs="Arial"/>
          <w:sz w:val="22"/>
          <w:szCs w:val="22"/>
        </w:rPr>
        <w:t>No se acoge el comentario.</w:t>
      </w:r>
    </w:p>
    <w:p w14:paraId="04F17688" w14:textId="3E5CFC2C" w:rsidR="00007E82" w:rsidRDefault="00007E82" w:rsidP="007E2727">
      <w:pPr>
        <w:rPr>
          <w:rFonts w:cs="Arial"/>
          <w:sz w:val="22"/>
          <w:szCs w:val="22"/>
        </w:rPr>
      </w:pPr>
    </w:p>
    <w:p w14:paraId="104309BD" w14:textId="27AAE0E2" w:rsidR="00007E82" w:rsidRDefault="00007E82" w:rsidP="007E2727">
      <w:pPr>
        <w:rPr>
          <w:rFonts w:cs="Arial"/>
          <w:sz w:val="22"/>
          <w:szCs w:val="22"/>
        </w:rPr>
      </w:pPr>
      <w:r>
        <w:rPr>
          <w:rFonts w:cs="Arial"/>
          <w:sz w:val="22"/>
          <w:szCs w:val="22"/>
        </w:rPr>
        <w:t>Para el mecanismo de acceso MADE se establecen dos tiempos, uno de información y otro de negociación. La comercialización de gas natural con destino al servicio público domiciliario debe seguir estos dos tiempos, indiferente del tipo de sector de consumo que se atiende.</w:t>
      </w:r>
    </w:p>
    <w:p w14:paraId="36A08AAD" w14:textId="47F4CEC3" w:rsidR="00007E82" w:rsidRDefault="00007E82" w:rsidP="007E2727">
      <w:pPr>
        <w:rPr>
          <w:rFonts w:cs="Arial"/>
          <w:sz w:val="22"/>
          <w:szCs w:val="22"/>
        </w:rPr>
      </w:pPr>
    </w:p>
    <w:p w14:paraId="15ACE65C" w14:textId="7985D352" w:rsidR="00007E82" w:rsidRDefault="00561453" w:rsidP="007E2727">
      <w:pPr>
        <w:rPr>
          <w:rFonts w:cs="Arial"/>
          <w:sz w:val="22"/>
          <w:szCs w:val="22"/>
        </w:rPr>
      </w:pPr>
      <w:r>
        <w:rPr>
          <w:rFonts w:cs="Arial"/>
          <w:sz w:val="22"/>
          <w:szCs w:val="22"/>
        </w:rPr>
        <w:t xml:space="preserve">Por otro lado, la definición de Demanda Esencial es la adoptada por el MME y no parte del origen del gas (si es de origen nacional o si es obtenido en el exterior) sino del sector de consumo del gas. 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sidR="003C4578">
        <w:rPr>
          <w:rFonts w:cs="Arial"/>
          <w:sz w:val="22"/>
          <w:szCs w:val="22"/>
        </w:rPr>
        <w:t>,</w:t>
      </w:r>
      <w:r>
        <w:rPr>
          <w:rFonts w:cs="Arial"/>
          <w:sz w:val="22"/>
          <w:szCs w:val="22"/>
        </w:rPr>
        <w:t xml:space="preserve"> el numeral </w:t>
      </w:r>
      <w:r>
        <w:rPr>
          <w:rFonts w:cs="Arial"/>
          <w:sz w:val="22"/>
          <w:szCs w:val="22"/>
        </w:rPr>
        <w:fldChar w:fldCharType="begin"/>
      </w:r>
      <w:r>
        <w:rPr>
          <w:rFonts w:cs="Arial"/>
          <w:sz w:val="22"/>
          <w:szCs w:val="22"/>
        </w:rPr>
        <w:instrText xml:space="preserve"> REF _Ref130286465 \r \h </w:instrText>
      </w:r>
      <w:r>
        <w:rPr>
          <w:rFonts w:cs="Arial"/>
          <w:sz w:val="22"/>
          <w:szCs w:val="22"/>
        </w:rPr>
      </w:r>
      <w:r>
        <w:rPr>
          <w:rFonts w:cs="Arial"/>
          <w:sz w:val="22"/>
          <w:szCs w:val="22"/>
        </w:rPr>
        <w:fldChar w:fldCharType="separate"/>
      </w:r>
      <w:r w:rsidR="007651EA">
        <w:rPr>
          <w:rFonts w:cs="Arial"/>
          <w:sz w:val="22"/>
          <w:szCs w:val="22"/>
        </w:rPr>
        <w:t>2.2.7</w:t>
      </w:r>
      <w:r>
        <w:rPr>
          <w:rFonts w:cs="Arial"/>
          <w:sz w:val="22"/>
          <w:szCs w:val="22"/>
        </w:rPr>
        <w:fldChar w:fldCharType="end"/>
      </w:r>
      <w:r w:rsidR="003C4578">
        <w:rPr>
          <w:rFonts w:cs="Arial"/>
          <w:sz w:val="22"/>
          <w:szCs w:val="22"/>
        </w:rPr>
        <w:t xml:space="preserve"> y el numeral </w:t>
      </w:r>
      <w:r w:rsidR="003C4578">
        <w:rPr>
          <w:rFonts w:cs="Arial"/>
          <w:sz w:val="22"/>
          <w:szCs w:val="22"/>
        </w:rPr>
        <w:fldChar w:fldCharType="begin"/>
      </w:r>
      <w:r w:rsidR="003C4578">
        <w:rPr>
          <w:rFonts w:cs="Arial"/>
          <w:sz w:val="22"/>
          <w:szCs w:val="22"/>
        </w:rPr>
        <w:instrText xml:space="preserve"> REF _Ref132025179 \r \h </w:instrText>
      </w:r>
      <w:r w:rsidR="003C4578">
        <w:rPr>
          <w:rFonts w:cs="Arial"/>
          <w:sz w:val="22"/>
          <w:szCs w:val="22"/>
        </w:rPr>
      </w:r>
      <w:r w:rsidR="003C4578">
        <w:rPr>
          <w:rFonts w:cs="Arial"/>
          <w:sz w:val="22"/>
          <w:szCs w:val="22"/>
        </w:rPr>
        <w:fldChar w:fldCharType="separate"/>
      </w:r>
      <w:r w:rsidR="007651EA">
        <w:rPr>
          <w:rFonts w:cs="Arial"/>
          <w:sz w:val="22"/>
          <w:szCs w:val="22"/>
        </w:rPr>
        <w:t>3.2.5</w:t>
      </w:r>
      <w:r w:rsidR="003C4578">
        <w:rPr>
          <w:rFonts w:cs="Arial"/>
          <w:sz w:val="22"/>
          <w:szCs w:val="22"/>
        </w:rPr>
        <w:fldChar w:fldCharType="end"/>
      </w:r>
      <w:r w:rsidR="003C4578">
        <w:rPr>
          <w:rFonts w:cs="Arial"/>
          <w:sz w:val="22"/>
          <w:szCs w:val="22"/>
        </w:rPr>
        <w:t>, entre otros</w:t>
      </w:r>
      <w:r>
        <w:rPr>
          <w:rFonts w:cs="Arial"/>
          <w:sz w:val="22"/>
          <w:szCs w:val="22"/>
        </w:rPr>
        <w:t>.</w:t>
      </w:r>
    </w:p>
    <w:p w14:paraId="7B99B82C" w14:textId="533B7295" w:rsidR="00561453" w:rsidRDefault="00561453" w:rsidP="007E2727">
      <w:pPr>
        <w:rPr>
          <w:rFonts w:cs="Arial"/>
          <w:sz w:val="22"/>
          <w:szCs w:val="22"/>
        </w:rPr>
      </w:pPr>
    </w:p>
    <w:p w14:paraId="2AA7AF0C" w14:textId="1CEAB7DF" w:rsidR="00561453" w:rsidRPr="007E2727" w:rsidRDefault="00561453" w:rsidP="007E2727">
      <w:pPr>
        <w:rPr>
          <w:rFonts w:cs="Arial"/>
          <w:sz w:val="22"/>
          <w:szCs w:val="22"/>
        </w:rPr>
      </w:pPr>
      <w:r>
        <w:rPr>
          <w:rFonts w:cs="Arial"/>
          <w:sz w:val="22"/>
          <w:szCs w:val="22"/>
        </w:rPr>
        <w:t>El requerimiento de contar con Respaldo Físico es exigible para la negociación de contratos de tipo firme o que garantizan firmeza. La nueva propuesta de resolución de la CREG incluye una definición de Respaldo Físico cuando el gas es obtenido en el exterior y se quiere comercializar en el mercado Mayorista.</w:t>
      </w:r>
    </w:p>
    <w:p w14:paraId="291566D3" w14:textId="77777777" w:rsidR="0060003A" w:rsidRDefault="0060003A" w:rsidP="007E2727">
      <w:pPr>
        <w:rPr>
          <w:rFonts w:cs="Arial"/>
          <w:sz w:val="22"/>
          <w:szCs w:val="22"/>
        </w:rPr>
      </w:pPr>
    </w:p>
    <w:p w14:paraId="38F0C6F3" w14:textId="77777777" w:rsidR="0060003A" w:rsidRDefault="0060003A" w:rsidP="007E2727">
      <w:pPr>
        <w:rPr>
          <w:rFonts w:cs="Arial"/>
          <w:sz w:val="22"/>
          <w:szCs w:val="22"/>
        </w:rPr>
      </w:pPr>
    </w:p>
    <w:p w14:paraId="7E177141" w14:textId="77777777" w:rsidR="0060003A" w:rsidRDefault="007E2727" w:rsidP="002313DA">
      <w:pPr>
        <w:pStyle w:val="Ttulo2"/>
      </w:pPr>
      <w:bookmarkStart w:id="748" w:name="_Toc140506407"/>
      <w:r w:rsidRPr="007E2727">
        <w:t>PROMIGAS</w:t>
      </w:r>
      <w:bookmarkEnd w:id="748"/>
      <w:r w:rsidRPr="007E2727">
        <w:tab/>
      </w:r>
    </w:p>
    <w:p w14:paraId="25175524" w14:textId="77777777" w:rsidR="00F52B11" w:rsidRDefault="00F52B11" w:rsidP="00F52B11">
      <w:pPr>
        <w:pStyle w:val="Ttulo4"/>
      </w:pPr>
      <w:bookmarkStart w:id="749" w:name="_Ref132026852"/>
      <w:r w:rsidRPr="007E2727">
        <w:t>PROMIGAS</w:t>
      </w:r>
      <w:bookmarkEnd w:id="749"/>
      <w:r w:rsidRPr="007E2727">
        <w:tab/>
      </w:r>
    </w:p>
    <w:p w14:paraId="7D79C0EB" w14:textId="080D3784" w:rsidR="007E2727" w:rsidRPr="003C4578" w:rsidRDefault="007E2727" w:rsidP="007E2727">
      <w:pPr>
        <w:rPr>
          <w:rFonts w:cs="Arial"/>
          <w:i/>
          <w:iCs/>
          <w:sz w:val="22"/>
          <w:szCs w:val="22"/>
        </w:rPr>
      </w:pPr>
      <w:r w:rsidRPr="007E2727">
        <w:rPr>
          <w:rFonts w:cs="Arial"/>
          <w:sz w:val="22"/>
          <w:szCs w:val="22"/>
        </w:rPr>
        <w:t>"</w:t>
      </w:r>
      <w:r w:rsidRPr="003C4578">
        <w:rPr>
          <w:rFonts w:cs="Arial"/>
          <w:i/>
          <w:iCs/>
          <w:sz w:val="22"/>
          <w:szCs w:val="22"/>
        </w:rPr>
        <w:t>Se consideran apropiadas las disposiciones que la CREG plantea en esta materia.</w:t>
      </w:r>
    </w:p>
    <w:p w14:paraId="42EAE9C9" w14:textId="77777777" w:rsidR="007E2727" w:rsidRPr="003C4578" w:rsidRDefault="007E2727" w:rsidP="007E2727">
      <w:pPr>
        <w:rPr>
          <w:rFonts w:cs="Arial"/>
          <w:i/>
          <w:iCs/>
          <w:sz w:val="22"/>
          <w:szCs w:val="22"/>
        </w:rPr>
      </w:pPr>
    </w:p>
    <w:p w14:paraId="2C2C3A48" w14:textId="39695A28" w:rsidR="007E2727" w:rsidRPr="003C4578" w:rsidRDefault="007E2727" w:rsidP="007E2727">
      <w:pPr>
        <w:rPr>
          <w:rFonts w:cs="Arial"/>
          <w:i/>
          <w:iCs/>
          <w:sz w:val="22"/>
          <w:szCs w:val="22"/>
        </w:rPr>
      </w:pPr>
      <w:r w:rsidRPr="003C4578">
        <w:rPr>
          <w:rFonts w:cs="Arial"/>
          <w:i/>
          <w:iCs/>
          <w:sz w:val="22"/>
          <w:szCs w:val="22"/>
        </w:rPr>
        <w:t>La flexibilidad requerida por algunos remitentes como los mencionados anteriormente va en línea con el funcionamiento de los contratos de GNL a nivel internacional, que se caracterizan porque los compradores pueden cambiar su estrategia de suministro durante el año (</w:t>
      </w:r>
      <w:proofErr w:type="spellStart"/>
      <w:r w:rsidRPr="003C4578">
        <w:rPr>
          <w:rFonts w:cs="Arial"/>
          <w:i/>
          <w:iCs/>
          <w:sz w:val="22"/>
          <w:szCs w:val="22"/>
        </w:rPr>
        <w:t>Annual</w:t>
      </w:r>
      <w:proofErr w:type="spellEnd"/>
      <w:r w:rsidRPr="003C4578">
        <w:rPr>
          <w:rFonts w:cs="Arial"/>
          <w:i/>
          <w:iCs/>
          <w:sz w:val="22"/>
          <w:szCs w:val="22"/>
        </w:rPr>
        <w:t xml:space="preserve"> </w:t>
      </w:r>
      <w:proofErr w:type="spellStart"/>
      <w:r w:rsidRPr="003C4578">
        <w:rPr>
          <w:rFonts w:cs="Arial"/>
          <w:i/>
          <w:iCs/>
          <w:sz w:val="22"/>
          <w:szCs w:val="22"/>
        </w:rPr>
        <w:t>Delivery</w:t>
      </w:r>
      <w:proofErr w:type="spellEnd"/>
      <w:r w:rsidRPr="003C4578">
        <w:rPr>
          <w:rFonts w:cs="Arial"/>
          <w:i/>
          <w:iCs/>
          <w:sz w:val="22"/>
          <w:szCs w:val="22"/>
        </w:rPr>
        <w:t xml:space="preserve"> </w:t>
      </w:r>
      <w:proofErr w:type="spellStart"/>
      <w:r w:rsidRPr="003C4578">
        <w:rPr>
          <w:rFonts w:cs="Arial"/>
          <w:i/>
          <w:iCs/>
          <w:sz w:val="22"/>
          <w:szCs w:val="22"/>
        </w:rPr>
        <w:t>Program</w:t>
      </w:r>
      <w:proofErr w:type="spellEnd"/>
      <w:r w:rsidRPr="003C4578">
        <w:rPr>
          <w:rFonts w:cs="Arial"/>
          <w:i/>
          <w:iCs/>
          <w:sz w:val="22"/>
          <w:szCs w:val="22"/>
        </w:rPr>
        <w:t xml:space="preserve">). Así, ante eventos en que no se prevean requerimientos de consumo en el mercado local, los comercializadores de GNI pueden variar sus necesidades de suministro a través de opciones </w:t>
      </w:r>
      <w:r w:rsidR="00A4490D">
        <w:rPr>
          <w:rFonts w:cs="Arial"/>
          <w:i/>
          <w:iCs/>
          <w:sz w:val="22"/>
          <w:szCs w:val="22"/>
        </w:rPr>
        <w:t>‘</w:t>
      </w:r>
      <w:proofErr w:type="spellStart"/>
      <w:r w:rsidRPr="003C4578">
        <w:rPr>
          <w:rFonts w:cs="Arial"/>
          <w:i/>
          <w:iCs/>
          <w:sz w:val="22"/>
          <w:szCs w:val="22"/>
        </w:rPr>
        <w:t>make</w:t>
      </w:r>
      <w:proofErr w:type="spellEnd"/>
      <w:r w:rsidRPr="003C4578">
        <w:rPr>
          <w:rFonts w:cs="Arial"/>
          <w:i/>
          <w:iCs/>
          <w:sz w:val="22"/>
          <w:szCs w:val="22"/>
        </w:rPr>
        <w:t>-up</w:t>
      </w:r>
      <w:r w:rsidR="00A4490D">
        <w:rPr>
          <w:rFonts w:cs="Arial"/>
          <w:i/>
          <w:iCs/>
          <w:sz w:val="22"/>
          <w:szCs w:val="22"/>
        </w:rPr>
        <w:t>’</w:t>
      </w:r>
      <w:r w:rsidRPr="003C4578">
        <w:rPr>
          <w:rFonts w:cs="Arial"/>
          <w:i/>
          <w:iCs/>
          <w:sz w:val="22"/>
          <w:szCs w:val="22"/>
        </w:rPr>
        <w:t xml:space="preserve"> que le permiten reprogramar la</w:t>
      </w:r>
      <w:r w:rsidR="00527FA0">
        <w:rPr>
          <w:rFonts w:cs="Arial"/>
          <w:i/>
          <w:iCs/>
          <w:sz w:val="22"/>
          <w:szCs w:val="22"/>
        </w:rPr>
        <w:t xml:space="preserve"> </w:t>
      </w:r>
      <w:r w:rsidRPr="003C4578">
        <w:rPr>
          <w:rFonts w:cs="Arial"/>
          <w:i/>
          <w:iCs/>
          <w:sz w:val="22"/>
          <w:szCs w:val="22"/>
        </w:rPr>
        <w:t>llegada de buques con nuevos cargamentos.</w:t>
      </w:r>
    </w:p>
    <w:p w14:paraId="37C4AE0E" w14:textId="77777777" w:rsidR="007E2727" w:rsidRPr="003C4578" w:rsidRDefault="007E2727" w:rsidP="007E2727">
      <w:pPr>
        <w:rPr>
          <w:rFonts w:cs="Arial"/>
          <w:i/>
          <w:iCs/>
          <w:sz w:val="22"/>
          <w:szCs w:val="22"/>
        </w:rPr>
      </w:pPr>
    </w:p>
    <w:p w14:paraId="0F561705" w14:textId="77777777" w:rsidR="007E2727" w:rsidRPr="003C4578" w:rsidRDefault="007E2727" w:rsidP="007E2727">
      <w:pPr>
        <w:rPr>
          <w:rFonts w:cs="Arial"/>
          <w:i/>
          <w:iCs/>
          <w:sz w:val="22"/>
          <w:szCs w:val="22"/>
        </w:rPr>
      </w:pPr>
      <w:r w:rsidRPr="003C4578">
        <w:rPr>
          <w:rFonts w:cs="Arial"/>
          <w:i/>
          <w:iCs/>
          <w:sz w:val="22"/>
          <w:szCs w:val="22"/>
        </w:rPr>
        <w:t>Sería un error entonces desconocer que el funcionamiento logístico, operativo y comercial del gas natural en estado líquido es distinto al del gas local, siendo esta la razón por la libertad para su comercialización propuesta por la Comisión es totalmente justificada. Esta propuesta fomentaría el desarrollo del gas importado en el mercado mayorista de gas en el país, ya que la flexibilidad existente en los contratos aguas arriba, es decir entre el vendedor y comprador de gas natural en el mercado internacional, podrían ser espejo para la comercialización de la molécula en Colombia.</w:t>
      </w:r>
    </w:p>
    <w:p w14:paraId="74BDDCAD" w14:textId="77777777" w:rsidR="007E2727" w:rsidRPr="003C4578" w:rsidRDefault="007E2727" w:rsidP="007E2727">
      <w:pPr>
        <w:rPr>
          <w:rFonts w:cs="Arial"/>
          <w:i/>
          <w:iCs/>
          <w:sz w:val="22"/>
          <w:szCs w:val="22"/>
        </w:rPr>
      </w:pPr>
    </w:p>
    <w:p w14:paraId="6C1FC1BC" w14:textId="1193A5F4" w:rsidR="007E2727" w:rsidRDefault="007E2727" w:rsidP="007E2727">
      <w:pPr>
        <w:rPr>
          <w:rFonts w:cs="Arial"/>
          <w:sz w:val="22"/>
          <w:szCs w:val="22"/>
        </w:rPr>
      </w:pPr>
      <w:r w:rsidRPr="003C4578">
        <w:rPr>
          <w:rFonts w:cs="Arial"/>
          <w:i/>
          <w:iCs/>
          <w:sz w:val="22"/>
          <w:szCs w:val="22"/>
        </w:rPr>
        <w:t>Teniendo en cuenta que el componente variable de la fórmula fluctúa diariamente, el comercializador de gas importado no podría garantizar un mismo precio durante un trimestre estándar, como lo establece la Resolución 226 de 2022 en el artículo 24. Por lo tanto, se sugiere que la condición de precio del artículo 24 para los contratos de gas importado sea mantener la misma fórmula del contrato durante el periodo y no el precio final al usuario. De lo contrario, el comercializador de gas importado deberá incurrir en coberturas financieras que agregarían más costos al precio final. Asimismo, se respalda la propuesta de la Comisión de exceptuar el gas importado de las ecuaciones de actualización anual de los precios</w:t>
      </w:r>
      <w:r w:rsidRPr="007E2727">
        <w:rPr>
          <w:rFonts w:cs="Arial"/>
          <w:sz w:val="22"/>
          <w:szCs w:val="22"/>
        </w:rPr>
        <w:t>."</w:t>
      </w:r>
    </w:p>
    <w:p w14:paraId="68523F9B" w14:textId="365EFF77" w:rsidR="003C4578" w:rsidRDefault="003C4578" w:rsidP="007E2727">
      <w:pPr>
        <w:rPr>
          <w:rFonts w:cs="Arial"/>
          <w:sz w:val="22"/>
          <w:szCs w:val="22"/>
        </w:rPr>
      </w:pPr>
    </w:p>
    <w:p w14:paraId="757B501E" w14:textId="19B1E6C2" w:rsidR="003C4578" w:rsidRPr="003C4578" w:rsidRDefault="003C4578" w:rsidP="007E2727">
      <w:pPr>
        <w:rPr>
          <w:rFonts w:cs="Arial"/>
          <w:b/>
          <w:bCs/>
          <w:sz w:val="22"/>
          <w:szCs w:val="22"/>
        </w:rPr>
      </w:pPr>
      <w:r w:rsidRPr="003C4578">
        <w:rPr>
          <w:rFonts w:cs="Arial"/>
          <w:b/>
          <w:bCs/>
          <w:sz w:val="22"/>
          <w:szCs w:val="22"/>
        </w:rPr>
        <w:t>Respuesta:</w:t>
      </w:r>
    </w:p>
    <w:p w14:paraId="58EE6B8E" w14:textId="4DA10093" w:rsidR="003C4578" w:rsidRDefault="003C4578" w:rsidP="007E2727">
      <w:pPr>
        <w:rPr>
          <w:rFonts w:cs="Arial"/>
          <w:sz w:val="22"/>
          <w:szCs w:val="22"/>
        </w:rPr>
      </w:pPr>
    </w:p>
    <w:p w14:paraId="349FE703" w14:textId="641AB1E3" w:rsidR="003C4578" w:rsidRDefault="00527FA0" w:rsidP="007E2727">
      <w:pPr>
        <w:rPr>
          <w:rFonts w:cs="Arial"/>
          <w:sz w:val="22"/>
          <w:szCs w:val="22"/>
        </w:rPr>
      </w:pPr>
      <w:r>
        <w:rPr>
          <w:rFonts w:cs="Arial"/>
          <w:sz w:val="22"/>
          <w:szCs w:val="22"/>
        </w:rPr>
        <w:t>Se acoge el comentario parcialmente.</w:t>
      </w:r>
    </w:p>
    <w:p w14:paraId="1C9E5681" w14:textId="016947EB" w:rsidR="00527FA0" w:rsidRDefault="00527FA0" w:rsidP="007E2727">
      <w:pPr>
        <w:rPr>
          <w:rFonts w:cs="Arial"/>
          <w:sz w:val="22"/>
          <w:szCs w:val="22"/>
        </w:rPr>
      </w:pPr>
    </w:p>
    <w:p w14:paraId="3EF8A690" w14:textId="2DD8DF37" w:rsidR="00527FA0" w:rsidRDefault="00527FA0" w:rsidP="007E2727">
      <w:pPr>
        <w:rPr>
          <w:rFonts w:cs="Arial"/>
          <w:sz w:val="22"/>
          <w:szCs w:val="22"/>
        </w:rPr>
      </w:pPr>
      <w:r>
        <w:rPr>
          <w:rFonts w:cs="Arial"/>
          <w:sz w:val="22"/>
          <w:szCs w:val="22"/>
        </w:rPr>
        <w:t>Debe tenerse en cuenta que en la nueva propuesta se está incluyendo una definición de Respaldo Físico cuando el gas es obtenido en el exterior, que afecta la contratación de tipo firme o que garantiza firmeza en el mercado Mayorista.</w:t>
      </w:r>
    </w:p>
    <w:p w14:paraId="73F81E30" w14:textId="10AB1625" w:rsidR="00527FA0" w:rsidRDefault="00527FA0" w:rsidP="007E2727">
      <w:pPr>
        <w:rPr>
          <w:rFonts w:cs="Arial"/>
          <w:sz w:val="22"/>
          <w:szCs w:val="22"/>
        </w:rPr>
      </w:pPr>
    </w:p>
    <w:p w14:paraId="0E7D42EA" w14:textId="3EBD0739" w:rsidR="00527FA0" w:rsidRDefault="00527FA0" w:rsidP="007E2727">
      <w:pPr>
        <w:rPr>
          <w:rFonts w:cs="Arial"/>
          <w:sz w:val="22"/>
          <w:szCs w:val="22"/>
        </w:rPr>
      </w:pPr>
      <w:r>
        <w:rPr>
          <w:rFonts w:cs="Arial"/>
          <w:sz w:val="22"/>
          <w:szCs w:val="22"/>
        </w:rPr>
        <w:t>Por otro lado, en la nueva propuesta se incluye la posibilidad de que las partes acuerden fórmulas de actualización de precios para el suministro de gas natural, independientemente de si el gas tiene origen nacional o es obtenido en el exterior. Lo anterior con una limitación en el sentido que la actualización de precios no puede realizarse en períodos inferiores a un trimestre.</w:t>
      </w:r>
    </w:p>
    <w:p w14:paraId="74CAD8C4" w14:textId="24EAC6D9" w:rsidR="00527FA0" w:rsidRDefault="00527FA0" w:rsidP="007E2727">
      <w:pPr>
        <w:rPr>
          <w:rFonts w:cs="Arial"/>
          <w:sz w:val="22"/>
          <w:szCs w:val="22"/>
        </w:rPr>
      </w:pPr>
    </w:p>
    <w:p w14:paraId="5DDB3F2F" w14:textId="4B876115" w:rsidR="00527FA0" w:rsidRDefault="00527FA0" w:rsidP="007E2727">
      <w:pPr>
        <w:rPr>
          <w:rFonts w:cs="Arial"/>
          <w:sz w:val="22"/>
          <w:szCs w:val="22"/>
        </w:rPr>
      </w:pPr>
      <w:r>
        <w:rPr>
          <w:rFonts w:cs="Arial"/>
          <w:sz w:val="22"/>
          <w:szCs w:val="22"/>
        </w:rPr>
        <w:t>Como en el mismo comentario se sugiere, el comercializador de gas importado (que es diferente a un agente importador de gas) debe lograr el mayor equilibrio entre otros aspectos, entre las cantidades del gas que debe adquirir previamente en los mercados internacionales, la programación de despachos internacionales de embarcaciones con GNL, el uso de las cláusulas de compensación volumétrica que son frecuentes en los contratos internacionales de GNL, la liquidez del GNL en los mercados internacionales, las capacidades y costos de almacenamiento de GNL en puertos nacionales, las duraciones de los contratos de suministro en el Mercado Mayorista, la estabilidad contractual con el comprador del Mercado Mayorista, y los tiempos de negociación previstos en la nueva propuesta con el MADE.</w:t>
      </w:r>
    </w:p>
    <w:p w14:paraId="6A01EBF0" w14:textId="66C54A66" w:rsidR="00527FA0" w:rsidRDefault="00527FA0" w:rsidP="007E2727">
      <w:pPr>
        <w:rPr>
          <w:rFonts w:cs="Arial"/>
          <w:sz w:val="22"/>
          <w:szCs w:val="22"/>
        </w:rPr>
      </w:pPr>
    </w:p>
    <w:p w14:paraId="15861CC8" w14:textId="77777777" w:rsidR="0060003A" w:rsidRDefault="0060003A" w:rsidP="007E2727">
      <w:pPr>
        <w:rPr>
          <w:rFonts w:cs="Arial"/>
          <w:sz w:val="22"/>
          <w:szCs w:val="22"/>
        </w:rPr>
      </w:pPr>
    </w:p>
    <w:p w14:paraId="1BB94609" w14:textId="77777777" w:rsidR="0060003A" w:rsidRDefault="007E2727" w:rsidP="002313DA">
      <w:pPr>
        <w:pStyle w:val="Ttulo2"/>
      </w:pPr>
      <w:bookmarkStart w:id="750" w:name="_Toc140506408"/>
      <w:r w:rsidRPr="007E2727">
        <w:t>SHELL</w:t>
      </w:r>
      <w:bookmarkEnd w:id="750"/>
    </w:p>
    <w:p w14:paraId="403D908C" w14:textId="77777777" w:rsidR="00F52B11" w:rsidRDefault="00F52B11" w:rsidP="00F52B11">
      <w:pPr>
        <w:pStyle w:val="Ttulo4"/>
      </w:pPr>
      <w:bookmarkStart w:id="751" w:name="_Ref132031704"/>
      <w:r w:rsidRPr="007E2727">
        <w:t>SHELL</w:t>
      </w:r>
      <w:bookmarkEnd w:id="751"/>
    </w:p>
    <w:p w14:paraId="1958418F" w14:textId="365BD39A" w:rsidR="007E2727" w:rsidRPr="00BE285F" w:rsidRDefault="007E2727" w:rsidP="007E2727">
      <w:pPr>
        <w:rPr>
          <w:rFonts w:cs="Arial"/>
          <w:i/>
          <w:iCs/>
          <w:sz w:val="22"/>
          <w:szCs w:val="22"/>
        </w:rPr>
      </w:pPr>
      <w:r w:rsidRPr="007E2727">
        <w:rPr>
          <w:rFonts w:cs="Arial"/>
          <w:sz w:val="22"/>
          <w:szCs w:val="22"/>
        </w:rPr>
        <w:t>"</w:t>
      </w:r>
      <w:r w:rsidRPr="00BE285F">
        <w:rPr>
          <w:rFonts w:cs="Arial"/>
          <w:i/>
          <w:iCs/>
          <w:sz w:val="22"/>
          <w:szCs w:val="22"/>
        </w:rPr>
        <w:t xml:space="preserve">La flexibilización de las condiciones comerciales para la inclusión de nuevas fuentes de suministro es clave para incrementar la competitividad de fuentes que tienen un alto nivel de costo de capital, por lo que creemos que es positiva la inclusión de los campos costa afuera dentro de las excepciones para la comercialización en cualquier momento del año. </w:t>
      </w:r>
    </w:p>
    <w:p w14:paraId="69D7D2F4" w14:textId="77777777" w:rsidR="007E2727" w:rsidRPr="00BE285F" w:rsidRDefault="007E2727" w:rsidP="007E2727">
      <w:pPr>
        <w:rPr>
          <w:rFonts w:cs="Arial"/>
          <w:i/>
          <w:iCs/>
          <w:sz w:val="22"/>
          <w:szCs w:val="22"/>
        </w:rPr>
      </w:pPr>
    </w:p>
    <w:p w14:paraId="17C4C9D6" w14:textId="77777777" w:rsidR="007E2727" w:rsidRPr="00BE285F" w:rsidRDefault="007E2727" w:rsidP="007E2727">
      <w:pPr>
        <w:rPr>
          <w:rFonts w:cs="Arial"/>
          <w:i/>
          <w:iCs/>
          <w:sz w:val="22"/>
          <w:szCs w:val="22"/>
        </w:rPr>
      </w:pPr>
      <w:r w:rsidRPr="00BE285F">
        <w:rPr>
          <w:rFonts w:cs="Arial"/>
          <w:i/>
          <w:iCs/>
          <w:sz w:val="22"/>
          <w:szCs w:val="22"/>
        </w:rPr>
        <w:t xml:space="preserve">Uno de los requisitos para que este tipo de proyectos puedan ser ejecutados en el país es la necesidad de tener contratada la producción potencial del campo con anterioridad a la toma de la decisión de la declaración de comercialidad. Por lo que entendemos que las fuentes de suministro costa afuera tienen la capacidad de comercialización de gas antes de la declaratoria de comercialidad y después de haberla realizado. </w:t>
      </w:r>
    </w:p>
    <w:p w14:paraId="737FDF7F" w14:textId="77777777" w:rsidR="007E2727" w:rsidRPr="00BE285F" w:rsidRDefault="007E2727" w:rsidP="007E2727">
      <w:pPr>
        <w:rPr>
          <w:rFonts w:cs="Arial"/>
          <w:i/>
          <w:iCs/>
          <w:sz w:val="22"/>
          <w:szCs w:val="22"/>
        </w:rPr>
      </w:pPr>
    </w:p>
    <w:p w14:paraId="0BADF34A" w14:textId="1BACF007" w:rsidR="007E2727" w:rsidRDefault="007E2727" w:rsidP="007E2727">
      <w:pPr>
        <w:rPr>
          <w:rFonts w:cs="Arial"/>
          <w:sz w:val="22"/>
          <w:szCs w:val="22"/>
        </w:rPr>
      </w:pPr>
      <w:r w:rsidRPr="00BE285F">
        <w:rPr>
          <w:rFonts w:cs="Arial"/>
          <w:i/>
          <w:iCs/>
          <w:sz w:val="22"/>
          <w:szCs w:val="22"/>
        </w:rPr>
        <w:t>En aras de lograr claridad respecto a este punto, se propone incorporar el texto presentado</w:t>
      </w:r>
      <w:r w:rsidRPr="007E2727">
        <w:rPr>
          <w:rFonts w:cs="Arial"/>
          <w:sz w:val="22"/>
          <w:szCs w:val="22"/>
        </w:rPr>
        <w:t>."</w:t>
      </w:r>
    </w:p>
    <w:p w14:paraId="5480F69D" w14:textId="6A90659D" w:rsidR="00BE285F" w:rsidRDefault="00BE285F" w:rsidP="007E2727">
      <w:pPr>
        <w:rPr>
          <w:rFonts w:cs="Arial"/>
          <w:sz w:val="22"/>
          <w:szCs w:val="22"/>
        </w:rPr>
      </w:pPr>
    </w:p>
    <w:p w14:paraId="40972E33" w14:textId="6E874A3F" w:rsidR="00BE285F" w:rsidRPr="00BE285F" w:rsidRDefault="00BE285F" w:rsidP="007E2727">
      <w:pPr>
        <w:rPr>
          <w:rFonts w:cs="Arial"/>
          <w:b/>
          <w:bCs/>
          <w:sz w:val="22"/>
          <w:szCs w:val="22"/>
        </w:rPr>
      </w:pPr>
      <w:r w:rsidRPr="00BE285F">
        <w:rPr>
          <w:rFonts w:cs="Arial"/>
          <w:b/>
          <w:bCs/>
          <w:sz w:val="22"/>
          <w:szCs w:val="22"/>
        </w:rPr>
        <w:t>Respuesta:</w:t>
      </w:r>
    </w:p>
    <w:p w14:paraId="57384573" w14:textId="24CD42A4" w:rsidR="00BE285F" w:rsidRDefault="00BE285F" w:rsidP="007E2727">
      <w:pPr>
        <w:rPr>
          <w:rFonts w:cs="Arial"/>
          <w:sz w:val="22"/>
          <w:szCs w:val="22"/>
        </w:rPr>
      </w:pPr>
    </w:p>
    <w:p w14:paraId="71825CB3" w14:textId="278AD461" w:rsidR="00BE285F" w:rsidRPr="007E2727" w:rsidRDefault="001728B4" w:rsidP="007E2727">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_Ref130637514 \r \h </w:instrText>
      </w:r>
      <w:r>
        <w:rPr>
          <w:rFonts w:cs="Arial"/>
          <w:sz w:val="22"/>
          <w:szCs w:val="22"/>
        </w:rPr>
      </w:r>
      <w:r>
        <w:rPr>
          <w:rFonts w:cs="Arial"/>
          <w:sz w:val="22"/>
          <w:szCs w:val="22"/>
        </w:rPr>
        <w:fldChar w:fldCharType="separate"/>
      </w:r>
      <w:r w:rsidR="007651EA">
        <w:rPr>
          <w:rFonts w:cs="Arial"/>
          <w:sz w:val="22"/>
          <w:szCs w:val="22"/>
        </w:rPr>
        <w:t>4.18</w:t>
      </w:r>
      <w:r>
        <w:rPr>
          <w:rFonts w:cs="Arial"/>
          <w:sz w:val="22"/>
          <w:szCs w:val="22"/>
        </w:rPr>
        <w:fldChar w:fldCharType="end"/>
      </w:r>
      <w:r>
        <w:rPr>
          <w:rFonts w:cs="Arial"/>
          <w:sz w:val="22"/>
          <w:szCs w:val="22"/>
        </w:rPr>
        <w:t xml:space="preserve"> y respuesta a </w:t>
      </w:r>
      <w:r>
        <w:rPr>
          <w:rFonts w:cs="Arial"/>
          <w:sz w:val="22"/>
          <w:szCs w:val="22"/>
        </w:rPr>
        <w:fldChar w:fldCharType="begin"/>
      </w:r>
      <w:r>
        <w:rPr>
          <w:rFonts w:cs="Arial"/>
          <w:sz w:val="22"/>
          <w:szCs w:val="22"/>
        </w:rPr>
        <w:instrText xml:space="preserve"> REF _Ref132019370 \r \h </w:instrText>
      </w:r>
      <w:r>
        <w:rPr>
          <w:rFonts w:cs="Arial"/>
          <w:sz w:val="22"/>
          <w:szCs w:val="22"/>
        </w:rPr>
      </w:r>
      <w:r>
        <w:rPr>
          <w:rFonts w:cs="Arial"/>
          <w:sz w:val="22"/>
          <w:szCs w:val="22"/>
        </w:rPr>
        <w:fldChar w:fldCharType="separate"/>
      </w:r>
      <w:r w:rsidR="007651EA">
        <w:rPr>
          <w:rFonts w:cs="Arial"/>
          <w:sz w:val="22"/>
          <w:szCs w:val="22"/>
        </w:rPr>
        <w:t>4.21.1.6</w:t>
      </w:r>
      <w:r>
        <w:rPr>
          <w:rFonts w:cs="Arial"/>
          <w:sz w:val="22"/>
          <w:szCs w:val="22"/>
        </w:rPr>
        <w:fldChar w:fldCharType="end"/>
      </w:r>
      <w:r>
        <w:rPr>
          <w:rFonts w:cs="Arial"/>
          <w:sz w:val="22"/>
          <w:szCs w:val="22"/>
        </w:rPr>
        <w:t xml:space="preserve"> respecto del cumplimiento del contrato de suministro con el uso de fuentes de suministro diferentes a las especificadas en el mismo.</w:t>
      </w:r>
    </w:p>
    <w:p w14:paraId="42164A8A" w14:textId="77777777" w:rsidR="0060003A" w:rsidRDefault="0060003A" w:rsidP="007E2727">
      <w:pPr>
        <w:rPr>
          <w:rFonts w:cs="Arial"/>
          <w:sz w:val="22"/>
          <w:szCs w:val="22"/>
        </w:rPr>
      </w:pPr>
    </w:p>
    <w:p w14:paraId="7F63DD6D" w14:textId="77777777" w:rsidR="0060003A" w:rsidRDefault="0060003A" w:rsidP="007E2727">
      <w:pPr>
        <w:rPr>
          <w:rFonts w:cs="Arial"/>
          <w:sz w:val="22"/>
          <w:szCs w:val="22"/>
        </w:rPr>
      </w:pPr>
    </w:p>
    <w:p w14:paraId="71A1349D" w14:textId="77777777" w:rsidR="0060003A" w:rsidRDefault="007E2727" w:rsidP="002313DA">
      <w:pPr>
        <w:pStyle w:val="Ttulo2"/>
      </w:pPr>
      <w:bookmarkStart w:id="752" w:name="_Toc140506409"/>
      <w:r w:rsidRPr="007E2727">
        <w:t>SPEC</w:t>
      </w:r>
      <w:bookmarkEnd w:id="752"/>
      <w:r w:rsidRPr="007E2727">
        <w:tab/>
      </w:r>
    </w:p>
    <w:p w14:paraId="50ECC83D" w14:textId="77777777" w:rsidR="00F52B11" w:rsidRDefault="00F52B11" w:rsidP="00F52B11">
      <w:pPr>
        <w:pStyle w:val="Ttulo4"/>
      </w:pPr>
      <w:r w:rsidRPr="007E2727">
        <w:t>SPEC</w:t>
      </w:r>
      <w:r w:rsidRPr="007E2727">
        <w:tab/>
      </w:r>
    </w:p>
    <w:p w14:paraId="627EA805" w14:textId="357D947A" w:rsidR="007E2727" w:rsidRPr="001728B4" w:rsidRDefault="007E2727" w:rsidP="007E2727">
      <w:pPr>
        <w:rPr>
          <w:rFonts w:cs="Arial"/>
          <w:i/>
          <w:iCs/>
          <w:sz w:val="22"/>
          <w:szCs w:val="22"/>
        </w:rPr>
      </w:pPr>
      <w:r w:rsidRPr="007E2727">
        <w:rPr>
          <w:rFonts w:cs="Arial"/>
          <w:sz w:val="22"/>
          <w:szCs w:val="22"/>
        </w:rPr>
        <w:t>"</w:t>
      </w:r>
      <w:r w:rsidRPr="001728B4">
        <w:rPr>
          <w:rFonts w:cs="Arial"/>
          <w:i/>
          <w:iCs/>
          <w:sz w:val="22"/>
          <w:szCs w:val="22"/>
        </w:rPr>
        <w:t>La flexibilidad requerida por algunos remitentes va en línea con el funcionamiento  de los contratos de GNL a nivel internacional, que se caracterizan porque los compradores pueden cambiar su estrategia de suministro durante el año (</w:t>
      </w:r>
      <w:proofErr w:type="spellStart"/>
      <w:r w:rsidRPr="001728B4">
        <w:rPr>
          <w:rFonts w:cs="Arial"/>
          <w:i/>
          <w:iCs/>
          <w:sz w:val="22"/>
          <w:szCs w:val="22"/>
        </w:rPr>
        <w:t>Annual</w:t>
      </w:r>
      <w:proofErr w:type="spellEnd"/>
      <w:r w:rsidRPr="001728B4">
        <w:rPr>
          <w:rFonts w:cs="Arial"/>
          <w:i/>
          <w:iCs/>
          <w:sz w:val="22"/>
          <w:szCs w:val="22"/>
        </w:rPr>
        <w:t xml:space="preserve"> </w:t>
      </w:r>
      <w:proofErr w:type="spellStart"/>
      <w:r w:rsidRPr="001728B4">
        <w:rPr>
          <w:rFonts w:cs="Arial"/>
          <w:i/>
          <w:iCs/>
          <w:sz w:val="22"/>
          <w:szCs w:val="22"/>
        </w:rPr>
        <w:t>Delivery</w:t>
      </w:r>
      <w:proofErr w:type="spellEnd"/>
      <w:r w:rsidRPr="001728B4">
        <w:rPr>
          <w:rFonts w:cs="Arial"/>
          <w:i/>
          <w:iCs/>
          <w:sz w:val="22"/>
          <w:szCs w:val="22"/>
        </w:rPr>
        <w:t xml:space="preserve"> </w:t>
      </w:r>
      <w:proofErr w:type="spellStart"/>
      <w:r w:rsidRPr="001728B4">
        <w:rPr>
          <w:rFonts w:cs="Arial"/>
          <w:i/>
          <w:iCs/>
          <w:sz w:val="22"/>
          <w:szCs w:val="22"/>
        </w:rPr>
        <w:t>Program</w:t>
      </w:r>
      <w:proofErr w:type="spellEnd"/>
      <w:r w:rsidRPr="001728B4">
        <w:rPr>
          <w:rFonts w:cs="Arial"/>
          <w:i/>
          <w:iCs/>
          <w:sz w:val="22"/>
          <w:szCs w:val="22"/>
        </w:rPr>
        <w:t xml:space="preserve">). Así, ante eventos en que no se prevean requerimientos de consumo en el mercado local, los comercializadores de GNI pueden variar sus necesidades de suministro a través de opciones </w:t>
      </w:r>
      <w:r w:rsidR="00AB3D7E">
        <w:rPr>
          <w:rFonts w:cs="Arial"/>
          <w:i/>
          <w:iCs/>
          <w:sz w:val="22"/>
          <w:szCs w:val="22"/>
        </w:rPr>
        <w:t>‘</w:t>
      </w:r>
      <w:proofErr w:type="spellStart"/>
      <w:r w:rsidRPr="001728B4">
        <w:rPr>
          <w:rFonts w:cs="Arial"/>
          <w:i/>
          <w:iCs/>
          <w:sz w:val="22"/>
          <w:szCs w:val="22"/>
        </w:rPr>
        <w:t>make</w:t>
      </w:r>
      <w:proofErr w:type="spellEnd"/>
      <w:r w:rsidRPr="001728B4">
        <w:rPr>
          <w:rFonts w:cs="Arial"/>
          <w:i/>
          <w:iCs/>
          <w:sz w:val="22"/>
          <w:szCs w:val="22"/>
        </w:rPr>
        <w:t>-up</w:t>
      </w:r>
      <w:r w:rsidR="00AB3D7E">
        <w:rPr>
          <w:rFonts w:cs="Arial"/>
          <w:i/>
          <w:iCs/>
          <w:sz w:val="22"/>
          <w:szCs w:val="22"/>
        </w:rPr>
        <w:t>’</w:t>
      </w:r>
      <w:r w:rsidRPr="001728B4">
        <w:rPr>
          <w:rFonts w:cs="Arial"/>
          <w:i/>
          <w:iCs/>
          <w:sz w:val="22"/>
          <w:szCs w:val="22"/>
        </w:rPr>
        <w:t xml:space="preserve"> que le permiten reprogramar la</w:t>
      </w:r>
      <w:r w:rsidR="0060003A" w:rsidRPr="001728B4">
        <w:rPr>
          <w:rFonts w:cs="Arial"/>
          <w:i/>
          <w:iCs/>
          <w:sz w:val="22"/>
          <w:szCs w:val="22"/>
        </w:rPr>
        <w:t xml:space="preserve">} </w:t>
      </w:r>
      <w:r w:rsidRPr="001728B4">
        <w:rPr>
          <w:rFonts w:cs="Arial"/>
          <w:i/>
          <w:iCs/>
          <w:sz w:val="22"/>
          <w:szCs w:val="22"/>
        </w:rPr>
        <w:t>llegada de buques con nuevos cargamentos.</w:t>
      </w:r>
    </w:p>
    <w:p w14:paraId="3000AEFE" w14:textId="77777777" w:rsidR="007E2727" w:rsidRPr="001728B4" w:rsidRDefault="007E2727" w:rsidP="007E2727">
      <w:pPr>
        <w:rPr>
          <w:rFonts w:cs="Arial"/>
          <w:i/>
          <w:iCs/>
          <w:sz w:val="22"/>
          <w:szCs w:val="22"/>
        </w:rPr>
      </w:pPr>
    </w:p>
    <w:p w14:paraId="254624AF" w14:textId="77777777" w:rsidR="007E2727" w:rsidRPr="001728B4" w:rsidRDefault="007E2727" w:rsidP="007E2727">
      <w:pPr>
        <w:rPr>
          <w:rFonts w:cs="Arial"/>
          <w:i/>
          <w:iCs/>
          <w:sz w:val="22"/>
          <w:szCs w:val="22"/>
        </w:rPr>
      </w:pPr>
      <w:r w:rsidRPr="001728B4">
        <w:rPr>
          <w:rFonts w:cs="Arial"/>
          <w:i/>
          <w:iCs/>
          <w:sz w:val="22"/>
          <w:szCs w:val="22"/>
        </w:rPr>
        <w:t>Sería un error entonces desconocer que el funcionamiento logístico, operativo y comercial del gas natural en estado líquido es distinto al del gas local, siendo esta la razón por la libertad para su comercialización propuesta por la Comisión es totalmente justificada. Esta propuesta fomentaría el desarrollo del gas importado en el mercado mayorista de gas en el país, ya que la flexibilidad existente en los contratos aguas arriba, es decir entre el vendedor y comprador de gas natural en el mercado internacional, podrían ser espejo para la comercialización de la molécula en Colombia.</w:t>
      </w:r>
    </w:p>
    <w:p w14:paraId="0EFA2252" w14:textId="77777777" w:rsidR="007E2727" w:rsidRPr="001728B4" w:rsidRDefault="007E2727" w:rsidP="007E2727">
      <w:pPr>
        <w:rPr>
          <w:rFonts w:cs="Arial"/>
          <w:i/>
          <w:iCs/>
          <w:sz w:val="22"/>
          <w:szCs w:val="22"/>
        </w:rPr>
      </w:pPr>
    </w:p>
    <w:p w14:paraId="2D0367FA" w14:textId="451C787B" w:rsidR="007E2727" w:rsidRDefault="007E2727" w:rsidP="007E2727">
      <w:pPr>
        <w:rPr>
          <w:rFonts w:cs="Arial"/>
          <w:sz w:val="22"/>
          <w:szCs w:val="22"/>
        </w:rPr>
      </w:pPr>
      <w:r w:rsidRPr="001728B4">
        <w:rPr>
          <w:rFonts w:cs="Arial"/>
          <w:i/>
          <w:iCs/>
          <w:sz w:val="22"/>
          <w:szCs w:val="22"/>
        </w:rPr>
        <w:t>Teniendo en cuenta que el componente variable de la fórmula fluctúa diariamente, el comercializador de gas importado no podría garantizar un mismo precio durante un trimestre estándar, como lo establece la Resolución 226 de 2022 en el artículo 24. Por lo tanto, se sugiere que la condición de precio del artículo 24 para los contratos de gas importado sea mantener la misma fórmula del contrato durante el periodo y no el precio final al usuario. De lo contrario, el comercializador de gas importado deberá incurrir en coberturas financieras que agregarían más costos al precio final. Asimismo, se respalda la propuesta de la Comisión de exceptuar el gas importado de las ecuaciones de actualización anual de los precios</w:t>
      </w:r>
      <w:r w:rsidRPr="007E2727">
        <w:rPr>
          <w:rFonts w:cs="Arial"/>
          <w:sz w:val="22"/>
          <w:szCs w:val="22"/>
        </w:rPr>
        <w:t>."</w:t>
      </w:r>
    </w:p>
    <w:p w14:paraId="7046E6D0" w14:textId="6B11BB7C" w:rsidR="001728B4" w:rsidRDefault="001728B4" w:rsidP="007E2727">
      <w:pPr>
        <w:rPr>
          <w:rFonts w:cs="Arial"/>
          <w:sz w:val="22"/>
          <w:szCs w:val="22"/>
        </w:rPr>
      </w:pPr>
    </w:p>
    <w:p w14:paraId="2252830D" w14:textId="3ACEF488" w:rsidR="001728B4" w:rsidRPr="001728B4" w:rsidRDefault="001728B4" w:rsidP="007E2727">
      <w:pPr>
        <w:rPr>
          <w:rFonts w:cs="Arial"/>
          <w:b/>
          <w:bCs/>
          <w:sz w:val="22"/>
          <w:szCs w:val="22"/>
        </w:rPr>
      </w:pPr>
      <w:r w:rsidRPr="001728B4">
        <w:rPr>
          <w:rFonts w:cs="Arial"/>
          <w:b/>
          <w:bCs/>
          <w:sz w:val="22"/>
          <w:szCs w:val="22"/>
        </w:rPr>
        <w:t>Respuesta:</w:t>
      </w:r>
    </w:p>
    <w:p w14:paraId="3087D821" w14:textId="667B31D8" w:rsidR="001728B4" w:rsidRDefault="001728B4" w:rsidP="007E2727">
      <w:pPr>
        <w:rPr>
          <w:rFonts w:cs="Arial"/>
          <w:sz w:val="22"/>
          <w:szCs w:val="22"/>
        </w:rPr>
      </w:pPr>
    </w:p>
    <w:p w14:paraId="1F340CBA" w14:textId="37BB4429" w:rsidR="001728B4" w:rsidRPr="007E2727" w:rsidRDefault="001728B4"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_Ref132026852 \r \h </w:instrText>
      </w:r>
      <w:r>
        <w:rPr>
          <w:rFonts w:cs="Arial"/>
          <w:sz w:val="22"/>
          <w:szCs w:val="22"/>
        </w:rPr>
      </w:r>
      <w:r>
        <w:rPr>
          <w:rFonts w:cs="Arial"/>
          <w:sz w:val="22"/>
          <w:szCs w:val="22"/>
        </w:rPr>
        <w:fldChar w:fldCharType="separate"/>
      </w:r>
      <w:r w:rsidR="007651EA">
        <w:rPr>
          <w:rFonts w:cs="Arial"/>
          <w:sz w:val="22"/>
          <w:szCs w:val="22"/>
        </w:rPr>
        <w:t>17.21.1.1</w:t>
      </w:r>
      <w:r>
        <w:rPr>
          <w:rFonts w:cs="Arial"/>
          <w:sz w:val="22"/>
          <w:szCs w:val="22"/>
        </w:rPr>
        <w:fldChar w:fldCharType="end"/>
      </w:r>
      <w:r>
        <w:rPr>
          <w:rFonts w:cs="Arial"/>
          <w:sz w:val="22"/>
          <w:szCs w:val="22"/>
        </w:rPr>
        <w:t>.</w:t>
      </w:r>
    </w:p>
    <w:p w14:paraId="69554099" w14:textId="77777777" w:rsidR="0060003A" w:rsidRDefault="0060003A" w:rsidP="007E2727">
      <w:pPr>
        <w:rPr>
          <w:rFonts w:cs="Arial"/>
          <w:sz w:val="22"/>
          <w:szCs w:val="22"/>
        </w:rPr>
      </w:pPr>
    </w:p>
    <w:p w14:paraId="2F397957" w14:textId="77777777" w:rsidR="0060003A" w:rsidRDefault="0060003A" w:rsidP="007E2727">
      <w:pPr>
        <w:rPr>
          <w:rFonts w:cs="Arial"/>
          <w:sz w:val="22"/>
          <w:szCs w:val="22"/>
        </w:rPr>
      </w:pPr>
    </w:p>
    <w:p w14:paraId="14983FFF" w14:textId="77777777" w:rsidR="0060003A" w:rsidRDefault="007E2727" w:rsidP="002313DA">
      <w:pPr>
        <w:pStyle w:val="Ttulo2"/>
      </w:pPr>
      <w:bookmarkStart w:id="753" w:name="_Toc140506410"/>
      <w:r w:rsidRPr="007E2727">
        <w:t>SSPD</w:t>
      </w:r>
      <w:bookmarkEnd w:id="753"/>
      <w:r w:rsidRPr="007E2727">
        <w:tab/>
      </w:r>
    </w:p>
    <w:p w14:paraId="082F8DDC" w14:textId="77777777" w:rsidR="00F52B11" w:rsidRDefault="00F52B11" w:rsidP="00F52B11">
      <w:pPr>
        <w:pStyle w:val="Ttulo4"/>
      </w:pPr>
      <w:r w:rsidRPr="007E2727">
        <w:t>SSPD</w:t>
      </w:r>
      <w:r w:rsidRPr="007E2727">
        <w:tab/>
      </w:r>
    </w:p>
    <w:p w14:paraId="76B8A088" w14:textId="4AF0D7EB" w:rsidR="007E2727" w:rsidRPr="001728B4" w:rsidRDefault="007E2727" w:rsidP="007E2727">
      <w:pPr>
        <w:rPr>
          <w:rFonts w:cs="Arial"/>
          <w:i/>
          <w:iCs/>
          <w:sz w:val="22"/>
          <w:szCs w:val="22"/>
        </w:rPr>
      </w:pPr>
      <w:r w:rsidRPr="007E2727">
        <w:rPr>
          <w:rFonts w:cs="Arial"/>
          <w:sz w:val="22"/>
          <w:szCs w:val="22"/>
        </w:rPr>
        <w:t>"</w:t>
      </w:r>
      <w:r w:rsidRPr="001728B4">
        <w:rPr>
          <w:rFonts w:cs="Arial"/>
          <w:i/>
          <w:iCs/>
          <w:sz w:val="22"/>
          <w:szCs w:val="22"/>
        </w:rPr>
        <w:t xml:space="preserve">Se sugiere que los campos menores conectados al Sistema Nacional de Transporte se sujeten a las mismas normas de comercialización de los campos mayores, dado que su oferta tiene un impacto directo en el abastecimiento del mercado nacional. Se considera que no se genera ninguna desventaja con esta propuesta, dado que la comercialización trimestral brinda bastante flexibilidad y permite reducir los riesgos asociados a la expectativa de producción a futuro del campo. </w:t>
      </w:r>
    </w:p>
    <w:p w14:paraId="23F382E2" w14:textId="77777777" w:rsidR="007E2727" w:rsidRPr="001728B4" w:rsidRDefault="007E2727" w:rsidP="007E2727">
      <w:pPr>
        <w:rPr>
          <w:rFonts w:cs="Arial"/>
          <w:i/>
          <w:iCs/>
          <w:sz w:val="22"/>
          <w:szCs w:val="22"/>
        </w:rPr>
      </w:pPr>
    </w:p>
    <w:p w14:paraId="4FF0ED25" w14:textId="0FDAD18F" w:rsidR="007E2727" w:rsidRPr="001728B4" w:rsidRDefault="007E2727" w:rsidP="007E2727">
      <w:pPr>
        <w:rPr>
          <w:rFonts w:cs="Arial"/>
          <w:i/>
          <w:iCs/>
          <w:sz w:val="22"/>
          <w:szCs w:val="22"/>
        </w:rPr>
      </w:pPr>
      <w:r w:rsidRPr="001728B4">
        <w:rPr>
          <w:rFonts w:cs="Arial"/>
          <w:i/>
          <w:iCs/>
          <w:sz w:val="22"/>
          <w:szCs w:val="22"/>
        </w:rPr>
        <w:t>Teniendo en cuenta que actualmente existen bastantes campos menores que, agregados representan un volumen considerable, lo dispuesto en este proyecto de resolución puede generar una distorsión importante en el mercado."</w:t>
      </w:r>
    </w:p>
    <w:p w14:paraId="58A61FBB" w14:textId="781C3F64" w:rsidR="001728B4" w:rsidRDefault="001728B4" w:rsidP="007E2727">
      <w:pPr>
        <w:rPr>
          <w:rFonts w:cs="Arial"/>
          <w:sz w:val="22"/>
          <w:szCs w:val="22"/>
        </w:rPr>
      </w:pPr>
    </w:p>
    <w:p w14:paraId="6EB8E632" w14:textId="34450BB8" w:rsidR="001728B4" w:rsidRPr="001728B4" w:rsidRDefault="001728B4" w:rsidP="007E2727">
      <w:pPr>
        <w:rPr>
          <w:rFonts w:cs="Arial"/>
          <w:b/>
          <w:bCs/>
          <w:sz w:val="22"/>
          <w:szCs w:val="22"/>
        </w:rPr>
      </w:pPr>
      <w:r w:rsidRPr="001728B4">
        <w:rPr>
          <w:rFonts w:cs="Arial"/>
          <w:b/>
          <w:bCs/>
          <w:sz w:val="22"/>
          <w:szCs w:val="22"/>
        </w:rPr>
        <w:t>Respuesta:</w:t>
      </w:r>
    </w:p>
    <w:p w14:paraId="57DF707A" w14:textId="31EAE1F8" w:rsidR="001728B4" w:rsidRDefault="001728B4" w:rsidP="007E2727">
      <w:pPr>
        <w:rPr>
          <w:rFonts w:cs="Arial"/>
          <w:sz w:val="22"/>
          <w:szCs w:val="22"/>
        </w:rPr>
      </w:pPr>
    </w:p>
    <w:p w14:paraId="33809C2D" w14:textId="7E876FED" w:rsidR="00C9733C" w:rsidRDefault="000509B9" w:rsidP="007E2727">
      <w:pPr>
        <w:rPr>
          <w:rFonts w:cs="Arial"/>
          <w:sz w:val="22"/>
          <w:szCs w:val="22"/>
        </w:rPr>
      </w:pPr>
      <w:r>
        <w:rPr>
          <w:rFonts w:cs="Arial"/>
          <w:sz w:val="22"/>
          <w:szCs w:val="22"/>
        </w:rPr>
        <w:t>No es potestad de la CREG establecer obligaciones con respecto a los mecanismos de comercialización que aplican al gas proveniente de Campos Menores, de acuerdo con lo establecido en el numeral 1. del Artículo 2.2.2.2.24 “</w:t>
      </w:r>
      <w:r w:rsidRPr="000509B9">
        <w:rPr>
          <w:rFonts w:cs="Arial"/>
          <w:i/>
          <w:iCs/>
          <w:sz w:val="22"/>
          <w:szCs w:val="22"/>
        </w:rPr>
        <w:t>Excepciones a los mecanismos y procedimientos de Comercialización de la PTDV</w:t>
      </w:r>
      <w:r>
        <w:rPr>
          <w:rFonts w:cs="Arial"/>
          <w:sz w:val="22"/>
          <w:szCs w:val="22"/>
        </w:rPr>
        <w:t xml:space="preserve">” del Decreto 1073 de 2015. </w:t>
      </w:r>
      <w:r w:rsidR="00C9733C">
        <w:rPr>
          <w:rFonts w:cs="Arial"/>
          <w:sz w:val="22"/>
          <w:szCs w:val="22"/>
        </w:rPr>
        <w:t xml:space="preserve">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Pr>
          <w:rFonts w:cs="Arial"/>
          <w:sz w:val="22"/>
          <w:szCs w:val="22"/>
        </w:rPr>
        <w:t>.</w:t>
      </w:r>
    </w:p>
    <w:p w14:paraId="79B1461E" w14:textId="77777777" w:rsidR="000509B9" w:rsidRPr="007E2727" w:rsidRDefault="000509B9" w:rsidP="007E2727">
      <w:pPr>
        <w:rPr>
          <w:rFonts w:cs="Arial"/>
          <w:sz w:val="22"/>
          <w:szCs w:val="22"/>
        </w:rPr>
      </w:pPr>
    </w:p>
    <w:p w14:paraId="1CDA5469" w14:textId="77777777" w:rsidR="0060003A" w:rsidRDefault="0060003A" w:rsidP="007E2727">
      <w:pPr>
        <w:rPr>
          <w:rFonts w:cs="Arial"/>
          <w:sz w:val="22"/>
          <w:szCs w:val="22"/>
        </w:rPr>
      </w:pPr>
    </w:p>
    <w:p w14:paraId="4012422B" w14:textId="77777777" w:rsidR="0060003A" w:rsidRDefault="007E2727" w:rsidP="000D05A3">
      <w:pPr>
        <w:pStyle w:val="Ttulo4"/>
      </w:pPr>
      <w:r w:rsidRPr="007E2727">
        <w:t>SSPD</w:t>
      </w:r>
      <w:r w:rsidRPr="007E2727">
        <w:tab/>
      </w:r>
    </w:p>
    <w:p w14:paraId="68C6847F" w14:textId="01B22E45" w:rsidR="007E2727" w:rsidRPr="000509B9" w:rsidRDefault="00AB3D7E" w:rsidP="007E2727">
      <w:pPr>
        <w:rPr>
          <w:rFonts w:cs="Arial"/>
          <w:i/>
          <w:iCs/>
          <w:sz w:val="22"/>
          <w:szCs w:val="22"/>
        </w:rPr>
      </w:pPr>
      <w:r>
        <w:rPr>
          <w:rFonts w:cs="Arial"/>
          <w:i/>
          <w:iCs/>
          <w:sz w:val="22"/>
          <w:szCs w:val="22"/>
        </w:rPr>
        <w:t>“</w:t>
      </w:r>
      <w:r w:rsidR="007E2727" w:rsidRPr="000509B9">
        <w:rPr>
          <w:rFonts w:cs="Arial"/>
          <w:i/>
          <w:iCs/>
          <w:sz w:val="22"/>
          <w:szCs w:val="22"/>
        </w:rPr>
        <w:t>El numeral d) se repite en el numeral h). Se debe eliminar alguno de los dos.</w:t>
      </w:r>
      <w:r>
        <w:rPr>
          <w:rFonts w:cs="Arial"/>
          <w:i/>
          <w:iCs/>
          <w:sz w:val="22"/>
          <w:szCs w:val="22"/>
        </w:rPr>
        <w:t>”</w:t>
      </w:r>
    </w:p>
    <w:p w14:paraId="2F54D981" w14:textId="65290007" w:rsidR="000509B9" w:rsidRDefault="000509B9" w:rsidP="007E2727">
      <w:pPr>
        <w:rPr>
          <w:rFonts w:cs="Arial"/>
          <w:sz w:val="22"/>
          <w:szCs w:val="22"/>
        </w:rPr>
      </w:pPr>
    </w:p>
    <w:p w14:paraId="70F30866" w14:textId="185CFB8F" w:rsidR="000509B9" w:rsidRPr="000509B9" w:rsidRDefault="000509B9" w:rsidP="007E2727">
      <w:pPr>
        <w:rPr>
          <w:rFonts w:cs="Arial"/>
          <w:b/>
          <w:bCs/>
          <w:sz w:val="22"/>
          <w:szCs w:val="22"/>
        </w:rPr>
      </w:pPr>
      <w:r w:rsidRPr="000509B9">
        <w:rPr>
          <w:rFonts w:cs="Arial"/>
          <w:b/>
          <w:bCs/>
          <w:sz w:val="22"/>
          <w:szCs w:val="22"/>
        </w:rPr>
        <w:t>Respuesta:</w:t>
      </w:r>
    </w:p>
    <w:p w14:paraId="422B4F60" w14:textId="1290F915" w:rsidR="000509B9" w:rsidRDefault="000509B9" w:rsidP="007E2727">
      <w:pPr>
        <w:rPr>
          <w:rFonts w:cs="Arial"/>
          <w:sz w:val="22"/>
          <w:szCs w:val="22"/>
        </w:rPr>
      </w:pPr>
    </w:p>
    <w:p w14:paraId="79151736" w14:textId="20BE8DBF" w:rsidR="000509B9" w:rsidRDefault="000509B9" w:rsidP="007E2727">
      <w:pPr>
        <w:rPr>
          <w:rFonts w:cs="Arial"/>
          <w:sz w:val="22"/>
          <w:szCs w:val="22"/>
        </w:rPr>
      </w:pPr>
      <w:r>
        <w:rPr>
          <w:rFonts w:cs="Arial"/>
          <w:sz w:val="22"/>
          <w:szCs w:val="22"/>
        </w:rPr>
        <w:t>En la nueva propuesta se corrige el error de redacción.</w:t>
      </w:r>
    </w:p>
    <w:p w14:paraId="32610B85" w14:textId="77777777" w:rsidR="000509B9" w:rsidRDefault="000509B9" w:rsidP="007E2727">
      <w:pPr>
        <w:rPr>
          <w:rFonts w:cs="Arial"/>
          <w:sz w:val="22"/>
          <w:szCs w:val="22"/>
        </w:rPr>
      </w:pPr>
    </w:p>
    <w:p w14:paraId="31F83A33" w14:textId="77777777" w:rsidR="0060003A" w:rsidRPr="007E2727" w:rsidRDefault="0060003A" w:rsidP="007E2727">
      <w:pPr>
        <w:rPr>
          <w:rFonts w:cs="Arial"/>
          <w:sz w:val="22"/>
          <w:szCs w:val="22"/>
        </w:rPr>
      </w:pPr>
    </w:p>
    <w:p w14:paraId="52EB6D37" w14:textId="77777777" w:rsidR="0060003A" w:rsidRDefault="007E2727" w:rsidP="000D05A3">
      <w:pPr>
        <w:pStyle w:val="Ttulo4"/>
      </w:pPr>
      <w:bookmarkStart w:id="754" w:name="_Ref132031731"/>
      <w:r w:rsidRPr="007E2727">
        <w:t>SSPD</w:t>
      </w:r>
      <w:bookmarkEnd w:id="754"/>
      <w:r w:rsidRPr="007E2727">
        <w:tab/>
      </w:r>
    </w:p>
    <w:p w14:paraId="22D5F719" w14:textId="1781356E" w:rsidR="007E2727" w:rsidRPr="000509B9" w:rsidRDefault="007E2727" w:rsidP="007E2727">
      <w:pPr>
        <w:rPr>
          <w:rFonts w:cs="Arial"/>
          <w:i/>
          <w:iCs/>
          <w:sz w:val="22"/>
          <w:szCs w:val="22"/>
        </w:rPr>
      </w:pPr>
      <w:r w:rsidRPr="007E2727">
        <w:rPr>
          <w:rFonts w:cs="Arial"/>
          <w:sz w:val="22"/>
          <w:szCs w:val="22"/>
        </w:rPr>
        <w:t>"</w:t>
      </w:r>
      <w:r w:rsidRPr="000509B9">
        <w:rPr>
          <w:rFonts w:cs="Arial"/>
          <w:i/>
          <w:iCs/>
          <w:sz w:val="22"/>
          <w:szCs w:val="22"/>
        </w:rPr>
        <w:t xml:space="preserve">Con respecto a la comercialización de gas importado, se tienen los siguientes comentarios: </w:t>
      </w:r>
    </w:p>
    <w:p w14:paraId="05753056" w14:textId="77777777" w:rsidR="007E2727" w:rsidRPr="000509B9" w:rsidRDefault="007E2727" w:rsidP="007E2727">
      <w:pPr>
        <w:rPr>
          <w:rFonts w:cs="Arial"/>
          <w:i/>
          <w:iCs/>
          <w:sz w:val="22"/>
          <w:szCs w:val="22"/>
        </w:rPr>
      </w:pPr>
    </w:p>
    <w:p w14:paraId="7BCBF3D5" w14:textId="77777777" w:rsidR="007E2727" w:rsidRPr="000509B9" w:rsidRDefault="007E2727" w:rsidP="007E2727">
      <w:pPr>
        <w:rPr>
          <w:rFonts w:cs="Arial"/>
          <w:i/>
          <w:iCs/>
          <w:sz w:val="22"/>
          <w:szCs w:val="22"/>
        </w:rPr>
      </w:pPr>
      <w:r w:rsidRPr="000509B9">
        <w:rPr>
          <w:rFonts w:cs="Arial"/>
          <w:i/>
          <w:iCs/>
          <w:sz w:val="22"/>
          <w:szCs w:val="22"/>
        </w:rPr>
        <w:t>1. La resolución no específica como se define el respaldo físico en el caso del gas importado. Se considera que es necesario que se haga esta claridad para que exista un entendimiento común para todos los agentes.</w:t>
      </w:r>
    </w:p>
    <w:p w14:paraId="5A56331B" w14:textId="77777777" w:rsidR="007E2727" w:rsidRPr="000509B9" w:rsidRDefault="007E2727" w:rsidP="007E2727">
      <w:pPr>
        <w:rPr>
          <w:rFonts w:cs="Arial"/>
          <w:i/>
          <w:iCs/>
          <w:sz w:val="22"/>
          <w:szCs w:val="22"/>
        </w:rPr>
      </w:pPr>
    </w:p>
    <w:p w14:paraId="37F36F0C" w14:textId="49509035" w:rsidR="007E2727" w:rsidRPr="000509B9" w:rsidRDefault="007E2727" w:rsidP="007E2727">
      <w:pPr>
        <w:rPr>
          <w:rFonts w:cs="Arial"/>
          <w:i/>
          <w:iCs/>
          <w:sz w:val="22"/>
          <w:szCs w:val="22"/>
        </w:rPr>
      </w:pPr>
      <w:r w:rsidRPr="000509B9">
        <w:rPr>
          <w:rFonts w:cs="Arial"/>
          <w:i/>
          <w:iCs/>
          <w:sz w:val="22"/>
          <w:szCs w:val="22"/>
        </w:rPr>
        <w:t>2. Para el caso del gas importado que respalda Obligaciones de Energía en Firme, no es claro si el comercializador tiene libertad para comercializar la totalidad del gas que respalda esas obligaciones o si, por las implicaciones que tiene para el sector eléctrico, este gas no se puede comercializar."</w:t>
      </w:r>
    </w:p>
    <w:p w14:paraId="32B92775" w14:textId="042B840E" w:rsidR="000509B9" w:rsidRDefault="000509B9" w:rsidP="007E2727">
      <w:pPr>
        <w:rPr>
          <w:rFonts w:cs="Arial"/>
          <w:sz w:val="22"/>
          <w:szCs w:val="22"/>
        </w:rPr>
      </w:pPr>
    </w:p>
    <w:p w14:paraId="1475CAAE" w14:textId="5C29B746" w:rsidR="000509B9" w:rsidRPr="000509B9" w:rsidRDefault="000509B9" w:rsidP="007E2727">
      <w:pPr>
        <w:rPr>
          <w:rFonts w:cs="Arial"/>
          <w:b/>
          <w:bCs/>
          <w:sz w:val="22"/>
          <w:szCs w:val="22"/>
        </w:rPr>
      </w:pPr>
      <w:r w:rsidRPr="000509B9">
        <w:rPr>
          <w:rFonts w:cs="Arial"/>
          <w:b/>
          <w:bCs/>
          <w:sz w:val="22"/>
          <w:szCs w:val="22"/>
        </w:rPr>
        <w:t>Respuesta:</w:t>
      </w:r>
    </w:p>
    <w:p w14:paraId="4768DF02" w14:textId="16558D12" w:rsidR="000509B9" w:rsidRDefault="000509B9" w:rsidP="007E2727">
      <w:pPr>
        <w:rPr>
          <w:rFonts w:cs="Arial"/>
          <w:sz w:val="22"/>
          <w:szCs w:val="22"/>
        </w:rPr>
      </w:pPr>
    </w:p>
    <w:p w14:paraId="6B11B351" w14:textId="15D60AB1" w:rsidR="000509B9" w:rsidRDefault="000509B9" w:rsidP="007E2727">
      <w:pPr>
        <w:rPr>
          <w:rFonts w:cs="Arial"/>
          <w:sz w:val="22"/>
          <w:szCs w:val="22"/>
        </w:rPr>
      </w:pPr>
      <w:r>
        <w:rPr>
          <w:rFonts w:cs="Arial"/>
          <w:sz w:val="22"/>
          <w:szCs w:val="22"/>
        </w:rPr>
        <w:t xml:space="preserve">En la nueva propuesta </w:t>
      </w:r>
      <w:r w:rsidR="006847AC">
        <w:rPr>
          <w:rFonts w:cs="Arial"/>
          <w:sz w:val="22"/>
          <w:szCs w:val="22"/>
        </w:rPr>
        <w:t xml:space="preserve">para comentarios </w:t>
      </w:r>
      <w:r>
        <w:rPr>
          <w:rFonts w:cs="Arial"/>
          <w:sz w:val="22"/>
          <w:szCs w:val="22"/>
        </w:rPr>
        <w:t xml:space="preserve">se incluye la definición de Respaldo Físico cuando el gas </w:t>
      </w:r>
      <w:r w:rsidR="006847AC">
        <w:rPr>
          <w:rFonts w:cs="Arial"/>
          <w:sz w:val="22"/>
          <w:szCs w:val="22"/>
        </w:rPr>
        <w:t xml:space="preserve">natural </w:t>
      </w:r>
      <w:r>
        <w:rPr>
          <w:rFonts w:cs="Arial"/>
          <w:sz w:val="22"/>
          <w:szCs w:val="22"/>
        </w:rPr>
        <w:t>de origen es obtenido en el exterior.</w:t>
      </w:r>
    </w:p>
    <w:p w14:paraId="3F9BE776" w14:textId="2A09EB13" w:rsidR="000509B9" w:rsidRDefault="000509B9" w:rsidP="007E2727">
      <w:pPr>
        <w:rPr>
          <w:rFonts w:cs="Arial"/>
          <w:sz w:val="22"/>
          <w:szCs w:val="22"/>
        </w:rPr>
      </w:pPr>
    </w:p>
    <w:p w14:paraId="598C0873" w14:textId="6D737461" w:rsidR="004C5A58" w:rsidRDefault="00371F27" w:rsidP="007E2727">
      <w:pPr>
        <w:rPr>
          <w:rFonts w:cs="Arial"/>
          <w:sz w:val="22"/>
          <w:szCs w:val="22"/>
        </w:rPr>
      </w:pPr>
      <w:r>
        <w:rPr>
          <w:rFonts w:cs="Arial"/>
          <w:sz w:val="22"/>
          <w:szCs w:val="22"/>
        </w:rPr>
        <w:t>El parágrafo 4 del Artículo 2.2.2.2.1 “</w:t>
      </w:r>
      <w:r w:rsidRPr="00371F27">
        <w:rPr>
          <w:rFonts w:cs="Arial"/>
          <w:i/>
          <w:iCs/>
          <w:sz w:val="22"/>
          <w:szCs w:val="22"/>
        </w:rPr>
        <w:t>Prioridad en el abastecimiento de gas natural</w:t>
      </w:r>
      <w:r>
        <w:rPr>
          <w:rFonts w:cs="Arial"/>
          <w:sz w:val="22"/>
          <w:szCs w:val="22"/>
        </w:rPr>
        <w:t>” del Decreto 1073 de 2015 establece lo siguiente:</w:t>
      </w:r>
    </w:p>
    <w:p w14:paraId="0144A068" w14:textId="40CA704D" w:rsidR="00371F27" w:rsidRDefault="00371F27" w:rsidP="007E2727">
      <w:pPr>
        <w:rPr>
          <w:rFonts w:cs="Arial"/>
          <w:sz w:val="22"/>
          <w:szCs w:val="22"/>
        </w:rPr>
      </w:pPr>
    </w:p>
    <w:p w14:paraId="31430E7F" w14:textId="7247D7E2" w:rsidR="00371F27" w:rsidRDefault="00371F27" w:rsidP="00371F27">
      <w:pPr>
        <w:ind w:left="708"/>
        <w:rPr>
          <w:rFonts w:cs="Arial"/>
          <w:sz w:val="22"/>
          <w:szCs w:val="22"/>
        </w:rPr>
      </w:pPr>
      <w:r>
        <w:rPr>
          <w:rFonts w:cs="Arial"/>
          <w:i/>
          <w:iCs/>
          <w:sz w:val="22"/>
          <w:szCs w:val="22"/>
        </w:rPr>
        <w:t>“</w:t>
      </w:r>
      <w:r w:rsidRPr="00371F27">
        <w:rPr>
          <w:rFonts w:cs="Arial"/>
          <w:i/>
          <w:iCs/>
          <w:sz w:val="22"/>
          <w:szCs w:val="22"/>
        </w:rPr>
        <w:t>ARTÍCULO 2.2.2.2.1. Prioridad en el abastecimiento de gas natural. Cuando se presenten insalvables restricciones en la oferta de gas natural o situaciones de grave emergencia, no transitorias, originadas en la infraestructura de suministro o de transporte, que impidan la prestación continúa del servicio, los productores comercializadores, los comercializadores y los transportadores atenderán a la demanda en el siguiente orden de prioridad</w:t>
      </w:r>
      <w:r>
        <w:rPr>
          <w:rFonts w:cs="Arial"/>
          <w:sz w:val="22"/>
          <w:szCs w:val="22"/>
        </w:rPr>
        <w:t>:</w:t>
      </w:r>
    </w:p>
    <w:p w14:paraId="4931FA6D" w14:textId="1D611538" w:rsidR="00371F27" w:rsidRDefault="00371F27" w:rsidP="00371F27">
      <w:pPr>
        <w:ind w:left="708"/>
        <w:rPr>
          <w:rFonts w:cs="Arial"/>
          <w:sz w:val="22"/>
          <w:szCs w:val="22"/>
        </w:rPr>
      </w:pPr>
    </w:p>
    <w:p w14:paraId="3077D538" w14:textId="546233B9" w:rsidR="00371F27" w:rsidRDefault="00371F27" w:rsidP="00371F27">
      <w:pPr>
        <w:ind w:left="708"/>
        <w:rPr>
          <w:rFonts w:cs="Arial"/>
          <w:sz w:val="22"/>
          <w:szCs w:val="22"/>
        </w:rPr>
      </w:pPr>
      <w:r>
        <w:rPr>
          <w:rFonts w:cs="Arial"/>
          <w:sz w:val="22"/>
          <w:szCs w:val="22"/>
        </w:rPr>
        <w:t xml:space="preserve">(…) </w:t>
      </w:r>
    </w:p>
    <w:p w14:paraId="115448A9" w14:textId="69743696" w:rsidR="00371F27" w:rsidRDefault="00371F27" w:rsidP="007E2727">
      <w:pPr>
        <w:rPr>
          <w:rFonts w:cs="Arial"/>
          <w:sz w:val="22"/>
          <w:szCs w:val="22"/>
        </w:rPr>
      </w:pPr>
    </w:p>
    <w:p w14:paraId="3D9DCF1A" w14:textId="70A793EC" w:rsidR="00371F27" w:rsidRPr="00371F27" w:rsidRDefault="00371F27" w:rsidP="00371F27">
      <w:pPr>
        <w:ind w:left="708"/>
        <w:rPr>
          <w:rFonts w:cs="Arial"/>
          <w:i/>
          <w:iCs/>
          <w:sz w:val="22"/>
          <w:szCs w:val="22"/>
        </w:rPr>
      </w:pPr>
      <w:r w:rsidRPr="00371F27">
        <w:rPr>
          <w:rFonts w:cs="Arial"/>
          <w:i/>
          <w:iCs/>
          <w:sz w:val="22"/>
          <w:szCs w:val="22"/>
        </w:rPr>
        <w:t>PARÁGRAFO 4.</w:t>
      </w:r>
      <w:r>
        <w:rPr>
          <w:rFonts w:cs="Arial"/>
          <w:sz w:val="22"/>
          <w:szCs w:val="22"/>
        </w:rPr>
        <w:t xml:space="preserve"> </w:t>
      </w:r>
      <w:r w:rsidRPr="00371F27">
        <w:rPr>
          <w:rFonts w:cs="Arial"/>
          <w:i/>
          <w:iCs/>
          <w:sz w:val="22"/>
          <w:szCs w:val="22"/>
        </w:rPr>
        <w:t>El gas natural que se importe para soportar obligaciones de energía firme de plantas termoeléctricas estará excluido de la aplicación de este artículo, salvo que (i) el gas natural de las otras fuentes de suministro no permita cubrir totalmente la demanda de usuarios residenciales y pequeños usuarios comerciales inmersos en la red de distribución; y siempre y cuando, (</w:t>
      </w:r>
      <w:proofErr w:type="spellStart"/>
      <w:r w:rsidRPr="00371F27">
        <w:rPr>
          <w:rFonts w:cs="Arial"/>
          <w:i/>
          <w:iCs/>
          <w:sz w:val="22"/>
          <w:szCs w:val="22"/>
        </w:rPr>
        <w:t>ii</w:t>
      </w:r>
      <w:proofErr w:type="spellEnd"/>
      <w:r w:rsidRPr="00371F27">
        <w:rPr>
          <w:rFonts w:cs="Arial"/>
          <w:i/>
          <w:iCs/>
          <w:sz w:val="22"/>
          <w:szCs w:val="22"/>
        </w:rPr>
        <w:t>) no se ponga en riesgo el suministro de gas natural con destino a las generaciones de seguridad y al cumplimiento de las obligaciones de energía firme de las plantas que soportan dichas obligaciones con la mencionada fuente.</w:t>
      </w:r>
    </w:p>
    <w:p w14:paraId="6A4CC7AF" w14:textId="77777777" w:rsidR="00371F27" w:rsidRPr="00371F27" w:rsidRDefault="00371F27" w:rsidP="00371F27">
      <w:pPr>
        <w:ind w:left="708"/>
        <w:rPr>
          <w:rFonts w:cs="Arial"/>
          <w:i/>
          <w:iCs/>
          <w:sz w:val="22"/>
          <w:szCs w:val="22"/>
        </w:rPr>
      </w:pPr>
    </w:p>
    <w:p w14:paraId="7417F1AD" w14:textId="67E2C40A" w:rsidR="002313DA" w:rsidRDefault="00371F27" w:rsidP="00371F27">
      <w:pPr>
        <w:ind w:left="708"/>
        <w:rPr>
          <w:rFonts w:cs="Arial"/>
          <w:sz w:val="22"/>
          <w:szCs w:val="22"/>
        </w:rPr>
      </w:pPr>
      <w:r w:rsidRPr="00371F27">
        <w:rPr>
          <w:rFonts w:cs="Arial"/>
          <w:i/>
          <w:iCs/>
          <w:sz w:val="22"/>
          <w:szCs w:val="22"/>
        </w:rPr>
        <w:t>En este evento, los excedentes del gas natural importado se destinarán prioritariamente a cubrir el faltante de los usuarios residenciales y pequeños usuarios comerciales inmersos en la red de distribución</w:t>
      </w:r>
      <w:r>
        <w:rPr>
          <w:rFonts w:cs="Arial"/>
          <w:sz w:val="22"/>
          <w:szCs w:val="22"/>
        </w:rPr>
        <w:t>.”</w:t>
      </w:r>
    </w:p>
    <w:p w14:paraId="3023CE4A" w14:textId="1769C762" w:rsidR="00371F27" w:rsidRDefault="00371F27" w:rsidP="00371F27">
      <w:pPr>
        <w:rPr>
          <w:rFonts w:cs="Arial"/>
          <w:sz w:val="22"/>
          <w:szCs w:val="22"/>
        </w:rPr>
      </w:pPr>
    </w:p>
    <w:p w14:paraId="5012A888" w14:textId="17EACEAA" w:rsidR="00371F27" w:rsidRDefault="00371F27" w:rsidP="00371F27">
      <w:pPr>
        <w:rPr>
          <w:rFonts w:cs="Arial"/>
          <w:sz w:val="22"/>
          <w:szCs w:val="22"/>
        </w:rPr>
      </w:pPr>
      <w:r>
        <w:rPr>
          <w:rFonts w:cs="Arial"/>
          <w:sz w:val="22"/>
          <w:szCs w:val="22"/>
        </w:rPr>
        <w:t>De lo anterior entendemos que el gas importado para la generación termoeléctrica por generaciones de seguridad del Sistema Interconectado Nacional o para cumplir Obligaciones de Energía Firme, puede ser comercializado siempre que se cumplan las condiciones establecidas en el Parágrafo en mención. Lo anterior dentro de los mecanismos de comercialización establecidos para los usuarios no regulados en el Mercado Secundario.</w:t>
      </w:r>
    </w:p>
    <w:p w14:paraId="6720B959" w14:textId="77777777" w:rsidR="00371F27" w:rsidRDefault="00371F27" w:rsidP="007E2727">
      <w:pPr>
        <w:rPr>
          <w:rFonts w:cs="Arial"/>
          <w:sz w:val="22"/>
          <w:szCs w:val="22"/>
        </w:rPr>
      </w:pPr>
    </w:p>
    <w:p w14:paraId="62F1ACD8" w14:textId="77777777" w:rsidR="002313DA" w:rsidRDefault="002313DA" w:rsidP="007E2727">
      <w:pPr>
        <w:rPr>
          <w:rFonts w:cs="Arial"/>
          <w:sz w:val="22"/>
          <w:szCs w:val="22"/>
        </w:rPr>
      </w:pPr>
    </w:p>
    <w:p w14:paraId="224418D8" w14:textId="77777777" w:rsidR="002313DA" w:rsidRDefault="007E2727" w:rsidP="002313DA">
      <w:pPr>
        <w:pStyle w:val="Ttulo2"/>
      </w:pPr>
      <w:bookmarkStart w:id="755" w:name="_Toc140506411"/>
      <w:r w:rsidRPr="007E2727">
        <w:t>SURTIGAS</w:t>
      </w:r>
      <w:bookmarkEnd w:id="755"/>
      <w:r w:rsidRPr="007E2727">
        <w:tab/>
      </w:r>
    </w:p>
    <w:p w14:paraId="73317FD7" w14:textId="77777777" w:rsidR="00F52B11" w:rsidRDefault="00F52B11" w:rsidP="00F52B11">
      <w:pPr>
        <w:pStyle w:val="Ttulo4"/>
      </w:pPr>
      <w:r w:rsidRPr="007E2727">
        <w:t>SURTIGAS</w:t>
      </w:r>
      <w:r w:rsidRPr="007E2727">
        <w:tab/>
      </w:r>
    </w:p>
    <w:p w14:paraId="11D2A5B7" w14:textId="260718BD" w:rsidR="007E2727" w:rsidRDefault="007E2727" w:rsidP="007E2727">
      <w:pPr>
        <w:rPr>
          <w:rFonts w:cs="Arial"/>
          <w:sz w:val="22"/>
          <w:szCs w:val="22"/>
        </w:rPr>
      </w:pPr>
      <w:r w:rsidRPr="007E2727">
        <w:rPr>
          <w:rFonts w:cs="Arial"/>
          <w:sz w:val="22"/>
          <w:szCs w:val="22"/>
        </w:rPr>
        <w:t>"</w:t>
      </w:r>
      <w:r w:rsidRPr="00371F27">
        <w:rPr>
          <w:rFonts w:cs="Arial"/>
          <w:i/>
          <w:iCs/>
          <w:sz w:val="22"/>
          <w:szCs w:val="22"/>
        </w:rPr>
        <w:t>Se consideran apropiadas las disposiciones que la CREG plantea en esta materia</w:t>
      </w:r>
      <w:r w:rsidRPr="007E2727">
        <w:rPr>
          <w:rFonts w:cs="Arial"/>
          <w:sz w:val="22"/>
          <w:szCs w:val="22"/>
        </w:rPr>
        <w:t>."</w:t>
      </w:r>
    </w:p>
    <w:p w14:paraId="794CE159" w14:textId="156E199B" w:rsidR="00371F27" w:rsidRDefault="00371F27" w:rsidP="007E2727">
      <w:pPr>
        <w:rPr>
          <w:rFonts w:cs="Arial"/>
          <w:sz w:val="22"/>
          <w:szCs w:val="22"/>
        </w:rPr>
      </w:pPr>
    </w:p>
    <w:p w14:paraId="3BD915F7" w14:textId="2F2554ED" w:rsidR="00371F27" w:rsidRPr="00371F27" w:rsidRDefault="00371F27" w:rsidP="007E2727">
      <w:pPr>
        <w:rPr>
          <w:rFonts w:cs="Arial"/>
          <w:b/>
          <w:bCs/>
          <w:sz w:val="22"/>
          <w:szCs w:val="22"/>
        </w:rPr>
      </w:pPr>
      <w:r w:rsidRPr="00371F27">
        <w:rPr>
          <w:rFonts w:cs="Arial"/>
          <w:b/>
          <w:bCs/>
          <w:sz w:val="22"/>
          <w:szCs w:val="22"/>
        </w:rPr>
        <w:t>Respuesta:</w:t>
      </w:r>
    </w:p>
    <w:p w14:paraId="4C2731EE" w14:textId="4637DEA4" w:rsidR="00371F27" w:rsidRDefault="00371F27" w:rsidP="007E2727">
      <w:pPr>
        <w:rPr>
          <w:rFonts w:cs="Arial"/>
          <w:sz w:val="22"/>
          <w:szCs w:val="22"/>
        </w:rPr>
      </w:pPr>
    </w:p>
    <w:p w14:paraId="788205CC" w14:textId="56A4CA9E" w:rsidR="00371F27" w:rsidRPr="007E2727" w:rsidRDefault="00371F27"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_Ref132028058 \r \h </w:instrText>
      </w:r>
      <w:r>
        <w:rPr>
          <w:rFonts w:cs="Arial"/>
          <w:sz w:val="22"/>
          <w:szCs w:val="22"/>
        </w:rPr>
      </w:r>
      <w:r>
        <w:rPr>
          <w:rFonts w:cs="Arial"/>
          <w:sz w:val="22"/>
          <w:szCs w:val="22"/>
        </w:rPr>
        <w:fldChar w:fldCharType="separate"/>
      </w:r>
      <w:r w:rsidR="007651EA">
        <w:rPr>
          <w:rFonts w:cs="Arial"/>
          <w:sz w:val="22"/>
          <w:szCs w:val="22"/>
        </w:rPr>
        <w:t>17.9.1.1</w:t>
      </w:r>
      <w:r>
        <w:rPr>
          <w:rFonts w:cs="Arial"/>
          <w:sz w:val="22"/>
          <w:szCs w:val="22"/>
        </w:rPr>
        <w:fldChar w:fldCharType="end"/>
      </w:r>
      <w:r>
        <w:rPr>
          <w:rFonts w:cs="Arial"/>
          <w:sz w:val="22"/>
          <w:szCs w:val="22"/>
        </w:rPr>
        <w:t>.</w:t>
      </w:r>
    </w:p>
    <w:p w14:paraId="506EBB83" w14:textId="77777777" w:rsidR="0060003A" w:rsidRDefault="0060003A" w:rsidP="007E2727">
      <w:pPr>
        <w:rPr>
          <w:rFonts w:cs="Arial"/>
          <w:sz w:val="22"/>
          <w:szCs w:val="22"/>
        </w:rPr>
      </w:pPr>
    </w:p>
    <w:p w14:paraId="35C3FD45" w14:textId="77777777" w:rsidR="0060003A" w:rsidRDefault="0060003A" w:rsidP="007E2727">
      <w:pPr>
        <w:rPr>
          <w:rFonts w:cs="Arial"/>
          <w:sz w:val="22"/>
          <w:szCs w:val="22"/>
        </w:rPr>
      </w:pPr>
    </w:p>
    <w:p w14:paraId="5B50EAE6" w14:textId="77777777" w:rsidR="0060003A" w:rsidRDefault="007E2727" w:rsidP="002313DA">
      <w:pPr>
        <w:pStyle w:val="Ttulo2"/>
      </w:pPr>
      <w:bookmarkStart w:id="756" w:name="_Toc140506412"/>
      <w:r w:rsidRPr="007E2727">
        <w:t>TEBSA</w:t>
      </w:r>
      <w:bookmarkEnd w:id="756"/>
      <w:r w:rsidRPr="007E2727">
        <w:tab/>
      </w:r>
    </w:p>
    <w:p w14:paraId="236F5E2C" w14:textId="77777777" w:rsidR="00F52B11" w:rsidRDefault="00F52B11" w:rsidP="00F52B11">
      <w:pPr>
        <w:pStyle w:val="Ttulo4"/>
      </w:pPr>
      <w:bookmarkStart w:id="757" w:name="_Ref132200942"/>
      <w:r w:rsidRPr="007E2727">
        <w:t>TEBSA</w:t>
      </w:r>
      <w:bookmarkEnd w:id="757"/>
      <w:r w:rsidRPr="007E2727">
        <w:tab/>
      </w:r>
    </w:p>
    <w:p w14:paraId="592C1154" w14:textId="0DDFBC8B" w:rsidR="007E2727" w:rsidRPr="00371F27" w:rsidRDefault="007E2727" w:rsidP="007E2727">
      <w:pPr>
        <w:rPr>
          <w:rFonts w:cs="Arial"/>
          <w:i/>
          <w:iCs/>
          <w:sz w:val="22"/>
          <w:szCs w:val="22"/>
        </w:rPr>
      </w:pPr>
      <w:r w:rsidRPr="007E2727">
        <w:rPr>
          <w:rFonts w:cs="Arial"/>
          <w:sz w:val="22"/>
          <w:szCs w:val="22"/>
        </w:rPr>
        <w:t>"</w:t>
      </w:r>
      <w:r w:rsidRPr="00371F27">
        <w:rPr>
          <w:rFonts w:cs="Arial"/>
          <w:i/>
          <w:iCs/>
          <w:sz w:val="22"/>
          <w:szCs w:val="22"/>
        </w:rPr>
        <w:t xml:space="preserve">En el literal i. punto a) del primero punto se indica que una de las maneras de negociación directa en cualquier momento del año es por medio de campos en pruebas, que no hayan declarado su comercialidad, y se enfatiza que también sean campos que no cuenten con respaldo físico, esta </w:t>
      </w:r>
      <w:proofErr w:type="spellStart"/>
      <w:r w:rsidRPr="00371F27">
        <w:rPr>
          <w:rFonts w:cs="Arial"/>
          <w:i/>
          <w:iCs/>
          <w:sz w:val="22"/>
          <w:szCs w:val="22"/>
        </w:rPr>
        <w:t>ultima</w:t>
      </w:r>
      <w:proofErr w:type="spellEnd"/>
      <w:r w:rsidRPr="00371F27">
        <w:rPr>
          <w:rFonts w:cs="Arial"/>
          <w:i/>
          <w:iCs/>
          <w:sz w:val="22"/>
          <w:szCs w:val="22"/>
        </w:rPr>
        <w:t xml:space="preserve"> parte aplicaría para demanda esencial, </w:t>
      </w:r>
      <w:proofErr w:type="gramStart"/>
      <w:r w:rsidRPr="00371F27">
        <w:rPr>
          <w:rFonts w:cs="Arial"/>
          <w:i/>
          <w:iCs/>
          <w:sz w:val="22"/>
          <w:szCs w:val="22"/>
        </w:rPr>
        <w:t>ya que</w:t>
      </w:r>
      <w:proofErr w:type="gramEnd"/>
      <w:r w:rsidRPr="00371F27">
        <w:rPr>
          <w:rFonts w:cs="Arial"/>
          <w:i/>
          <w:iCs/>
          <w:sz w:val="22"/>
          <w:szCs w:val="22"/>
        </w:rPr>
        <w:t xml:space="preserve"> según su definición, es la </w:t>
      </w:r>
      <w:proofErr w:type="spellStart"/>
      <w:r w:rsidRPr="00371F27">
        <w:rPr>
          <w:rFonts w:cs="Arial"/>
          <w:i/>
          <w:iCs/>
          <w:sz w:val="22"/>
          <w:szCs w:val="22"/>
        </w:rPr>
        <w:t>unica</w:t>
      </w:r>
      <w:proofErr w:type="spellEnd"/>
      <w:r w:rsidRPr="00371F27">
        <w:rPr>
          <w:rFonts w:cs="Arial"/>
          <w:i/>
          <w:iCs/>
          <w:sz w:val="22"/>
          <w:szCs w:val="22"/>
        </w:rPr>
        <w:t xml:space="preserve"> demanda que requiere respaldo físico.</w:t>
      </w:r>
    </w:p>
    <w:p w14:paraId="08BB62ED" w14:textId="77777777" w:rsidR="0060003A" w:rsidRPr="00371F27" w:rsidRDefault="0060003A" w:rsidP="007E2727">
      <w:pPr>
        <w:rPr>
          <w:rFonts w:cs="Arial"/>
          <w:i/>
          <w:iCs/>
          <w:sz w:val="22"/>
          <w:szCs w:val="22"/>
        </w:rPr>
      </w:pPr>
    </w:p>
    <w:p w14:paraId="0AA1B808" w14:textId="4A50618E" w:rsidR="007E2727" w:rsidRPr="00371F27" w:rsidRDefault="007E2727" w:rsidP="007E2727">
      <w:pPr>
        <w:rPr>
          <w:rFonts w:cs="Arial"/>
          <w:i/>
          <w:iCs/>
          <w:sz w:val="22"/>
          <w:szCs w:val="22"/>
        </w:rPr>
      </w:pPr>
      <w:r w:rsidRPr="00371F27">
        <w:rPr>
          <w:rFonts w:cs="Arial"/>
          <w:i/>
          <w:iCs/>
          <w:sz w:val="22"/>
          <w:szCs w:val="22"/>
        </w:rPr>
        <w:t xml:space="preserve">En el literal </w:t>
      </w:r>
      <w:proofErr w:type="spellStart"/>
      <w:r w:rsidRPr="00371F27">
        <w:rPr>
          <w:rFonts w:cs="Arial"/>
          <w:i/>
          <w:iCs/>
          <w:sz w:val="22"/>
          <w:szCs w:val="22"/>
        </w:rPr>
        <w:t>iii</w:t>
      </w:r>
      <w:proofErr w:type="spellEnd"/>
      <w:r w:rsidRPr="00371F27">
        <w:rPr>
          <w:rFonts w:cs="Arial"/>
          <w:i/>
          <w:iCs/>
          <w:sz w:val="22"/>
          <w:szCs w:val="22"/>
        </w:rPr>
        <w:t>. punto b) se entiende nuevamente que cuando se refiere a ""Compromisos contractuales Firmes o que Garantizan Firmeza con Respaldo Físico"" corresponde a la demanda esencial?</w:t>
      </w:r>
    </w:p>
    <w:p w14:paraId="727BFAE5" w14:textId="77777777" w:rsidR="0060003A" w:rsidRPr="00371F27" w:rsidRDefault="0060003A" w:rsidP="007E2727">
      <w:pPr>
        <w:rPr>
          <w:rFonts w:cs="Arial"/>
          <w:i/>
          <w:iCs/>
          <w:sz w:val="22"/>
          <w:szCs w:val="22"/>
        </w:rPr>
      </w:pPr>
    </w:p>
    <w:p w14:paraId="791DCFB0" w14:textId="17CEC583" w:rsidR="007E2727" w:rsidRPr="00371F27" w:rsidRDefault="007E2727" w:rsidP="007E2727">
      <w:pPr>
        <w:rPr>
          <w:rFonts w:cs="Arial"/>
          <w:i/>
          <w:iCs/>
          <w:sz w:val="22"/>
          <w:szCs w:val="22"/>
        </w:rPr>
      </w:pPr>
      <w:proofErr w:type="gramStart"/>
      <w:r w:rsidRPr="00371F27">
        <w:rPr>
          <w:rFonts w:cs="Arial"/>
          <w:i/>
          <w:iCs/>
          <w:sz w:val="22"/>
          <w:szCs w:val="22"/>
        </w:rPr>
        <w:t>En el punto d) en el caso del gas natural importado, se entiende que la cantidad comprometida es aquella cantidad que se espera exportar?</w:t>
      </w:r>
      <w:proofErr w:type="gramEnd"/>
      <w:r w:rsidRPr="00371F27">
        <w:rPr>
          <w:rFonts w:cs="Arial"/>
          <w:i/>
          <w:iCs/>
          <w:sz w:val="22"/>
          <w:szCs w:val="22"/>
        </w:rPr>
        <w:t xml:space="preserve"> y no aquella que se encuentra firmada o negociada?</w:t>
      </w:r>
    </w:p>
    <w:p w14:paraId="07B58967" w14:textId="77777777" w:rsidR="007E2727" w:rsidRPr="00371F27" w:rsidRDefault="007E2727" w:rsidP="007E2727">
      <w:pPr>
        <w:rPr>
          <w:rFonts w:cs="Arial"/>
          <w:i/>
          <w:iCs/>
          <w:sz w:val="22"/>
          <w:szCs w:val="22"/>
        </w:rPr>
      </w:pPr>
      <w:proofErr w:type="gramStart"/>
      <w:r w:rsidRPr="00371F27">
        <w:rPr>
          <w:rFonts w:cs="Arial"/>
          <w:i/>
          <w:iCs/>
          <w:sz w:val="22"/>
          <w:szCs w:val="22"/>
        </w:rPr>
        <w:t xml:space="preserve">En cuanto al punto f) En Colombia existen fuentes de suministro que provienen costa afuera, aquí se incluye </w:t>
      </w:r>
      <w:proofErr w:type="spellStart"/>
      <w:r w:rsidRPr="00371F27">
        <w:rPr>
          <w:rFonts w:cs="Arial"/>
          <w:i/>
          <w:iCs/>
          <w:sz w:val="22"/>
          <w:szCs w:val="22"/>
        </w:rPr>
        <w:t>chuchupa</w:t>
      </w:r>
      <w:proofErr w:type="spellEnd"/>
      <w:r w:rsidRPr="00371F27">
        <w:rPr>
          <w:rFonts w:cs="Arial"/>
          <w:i/>
          <w:iCs/>
          <w:sz w:val="22"/>
          <w:szCs w:val="22"/>
        </w:rPr>
        <w:t>?</w:t>
      </w:r>
      <w:proofErr w:type="gramEnd"/>
      <w:r w:rsidRPr="00371F27">
        <w:rPr>
          <w:rFonts w:cs="Arial"/>
          <w:i/>
          <w:iCs/>
          <w:sz w:val="22"/>
          <w:szCs w:val="22"/>
        </w:rPr>
        <w:t xml:space="preserve"> o es nuevas fuentes? </w:t>
      </w:r>
      <w:proofErr w:type="spellStart"/>
      <w:proofErr w:type="gramStart"/>
      <w:r w:rsidRPr="00371F27">
        <w:rPr>
          <w:rFonts w:cs="Arial"/>
          <w:i/>
          <w:iCs/>
          <w:sz w:val="22"/>
          <w:szCs w:val="22"/>
        </w:rPr>
        <w:t>Por que</w:t>
      </w:r>
      <w:proofErr w:type="spellEnd"/>
      <w:r w:rsidRPr="00371F27">
        <w:rPr>
          <w:rFonts w:cs="Arial"/>
          <w:i/>
          <w:iCs/>
          <w:sz w:val="22"/>
          <w:szCs w:val="22"/>
        </w:rPr>
        <w:t xml:space="preserve"> solo se permite costa afuera y no plataforma continental?</w:t>
      </w:r>
      <w:proofErr w:type="gramEnd"/>
    </w:p>
    <w:p w14:paraId="6E1CBAD3" w14:textId="77777777" w:rsidR="0060003A" w:rsidRPr="00371F27" w:rsidRDefault="0060003A" w:rsidP="007E2727">
      <w:pPr>
        <w:rPr>
          <w:rFonts w:cs="Arial"/>
          <w:i/>
          <w:iCs/>
          <w:sz w:val="22"/>
          <w:szCs w:val="22"/>
        </w:rPr>
      </w:pPr>
    </w:p>
    <w:p w14:paraId="5A64EEA3" w14:textId="195507E6" w:rsidR="007E2727" w:rsidRPr="00371F27" w:rsidRDefault="007E2727" w:rsidP="007E2727">
      <w:pPr>
        <w:rPr>
          <w:rFonts w:cs="Arial"/>
          <w:i/>
          <w:iCs/>
          <w:sz w:val="22"/>
          <w:szCs w:val="22"/>
        </w:rPr>
      </w:pPr>
      <w:r w:rsidRPr="00371F27">
        <w:rPr>
          <w:rFonts w:cs="Arial"/>
          <w:i/>
          <w:iCs/>
          <w:sz w:val="22"/>
          <w:szCs w:val="22"/>
        </w:rPr>
        <w:t>El punto h) esta repetido con el punto d)</w:t>
      </w:r>
    </w:p>
    <w:p w14:paraId="0655DA50" w14:textId="77777777" w:rsidR="0060003A" w:rsidRPr="00371F27" w:rsidRDefault="0060003A" w:rsidP="007E2727">
      <w:pPr>
        <w:rPr>
          <w:rFonts w:cs="Arial"/>
          <w:i/>
          <w:iCs/>
          <w:sz w:val="22"/>
          <w:szCs w:val="22"/>
        </w:rPr>
      </w:pPr>
    </w:p>
    <w:p w14:paraId="6D23C239" w14:textId="58424FBE" w:rsidR="007E2727" w:rsidRDefault="007E2727" w:rsidP="007E2727">
      <w:pPr>
        <w:rPr>
          <w:rFonts w:cs="Arial"/>
          <w:sz w:val="22"/>
          <w:szCs w:val="22"/>
        </w:rPr>
      </w:pPr>
      <w:r w:rsidRPr="00371F27">
        <w:rPr>
          <w:rFonts w:cs="Arial"/>
          <w:i/>
          <w:iCs/>
          <w:sz w:val="22"/>
          <w:szCs w:val="22"/>
        </w:rPr>
        <w:t>En el numeral 2 para los comercializadores de gas importado, tener presente que este punto debe referirse a demanda térmica</w:t>
      </w:r>
      <w:r w:rsidRPr="007E2727">
        <w:rPr>
          <w:rFonts w:cs="Arial"/>
          <w:sz w:val="22"/>
          <w:szCs w:val="22"/>
        </w:rPr>
        <w:t>"</w:t>
      </w:r>
      <w:r w:rsidR="00371F27">
        <w:rPr>
          <w:rFonts w:cs="Arial"/>
          <w:sz w:val="22"/>
          <w:szCs w:val="22"/>
        </w:rPr>
        <w:t>.</w:t>
      </w:r>
    </w:p>
    <w:p w14:paraId="02FA099D" w14:textId="4D4F7A7D" w:rsidR="00371F27" w:rsidRDefault="00371F27" w:rsidP="007E2727">
      <w:pPr>
        <w:rPr>
          <w:rFonts w:cs="Arial"/>
          <w:sz w:val="22"/>
          <w:szCs w:val="22"/>
        </w:rPr>
      </w:pPr>
    </w:p>
    <w:p w14:paraId="7D1AFEED" w14:textId="7782E937" w:rsidR="00371F27" w:rsidRPr="00371F27" w:rsidRDefault="00371F27" w:rsidP="007E2727">
      <w:pPr>
        <w:rPr>
          <w:rFonts w:cs="Arial"/>
          <w:b/>
          <w:bCs/>
          <w:sz w:val="22"/>
          <w:szCs w:val="22"/>
        </w:rPr>
      </w:pPr>
      <w:r w:rsidRPr="00371F27">
        <w:rPr>
          <w:rFonts w:cs="Arial"/>
          <w:b/>
          <w:bCs/>
          <w:sz w:val="22"/>
          <w:szCs w:val="22"/>
        </w:rPr>
        <w:t>Respuesta:</w:t>
      </w:r>
    </w:p>
    <w:p w14:paraId="7439DF95" w14:textId="1882A3A0" w:rsidR="00371F27" w:rsidRDefault="00371F27" w:rsidP="007E2727">
      <w:pPr>
        <w:rPr>
          <w:rFonts w:cs="Arial"/>
          <w:sz w:val="22"/>
          <w:szCs w:val="22"/>
        </w:rPr>
      </w:pPr>
    </w:p>
    <w:p w14:paraId="66CBE952" w14:textId="49E6BAF6" w:rsidR="00371F27" w:rsidRDefault="00371F27" w:rsidP="007E2727">
      <w:pPr>
        <w:rPr>
          <w:rFonts w:cs="Arial"/>
          <w:sz w:val="22"/>
          <w:szCs w:val="22"/>
        </w:rPr>
      </w:pPr>
      <w:r>
        <w:rPr>
          <w:rFonts w:cs="Arial"/>
          <w:sz w:val="22"/>
          <w:szCs w:val="22"/>
        </w:rPr>
        <w:t>El Respaldo Físico es requerido para que los agentes productores-comercializadores, comercializadores y transportadores puedan suscribir contratos de tipo firme o que garanticen firmeza, independientemente del sector de consumo que se atienda. Así se desprende de lo establecido en el Decreto 1073 de 2015, ver pi</w:t>
      </w:r>
      <w:r w:rsidR="00F1497A">
        <w:rPr>
          <w:rFonts w:cs="Arial"/>
          <w:sz w:val="22"/>
          <w:szCs w:val="22"/>
        </w:rPr>
        <w:t>e</w:t>
      </w:r>
      <w:r>
        <w:rPr>
          <w:rFonts w:cs="Arial"/>
          <w:sz w:val="22"/>
          <w:szCs w:val="22"/>
        </w:rPr>
        <w:t xml:space="preserve"> de página del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Pr>
          <w:rFonts w:cs="Arial"/>
          <w:sz w:val="22"/>
          <w:szCs w:val="22"/>
        </w:rPr>
        <w:t>.</w:t>
      </w:r>
    </w:p>
    <w:p w14:paraId="386F8C3A" w14:textId="2A6367BC" w:rsidR="00371F27" w:rsidRDefault="00371F27" w:rsidP="007E2727">
      <w:pPr>
        <w:rPr>
          <w:rFonts w:cs="Arial"/>
          <w:sz w:val="22"/>
          <w:szCs w:val="22"/>
        </w:rPr>
      </w:pPr>
    </w:p>
    <w:p w14:paraId="7080AE35" w14:textId="225306C2" w:rsidR="00496682" w:rsidRDefault="00371F27" w:rsidP="00496682">
      <w:pPr>
        <w:rPr>
          <w:rFonts w:cs="Arial"/>
          <w:sz w:val="22"/>
          <w:szCs w:val="22"/>
        </w:rPr>
      </w:pPr>
      <w:r>
        <w:rPr>
          <w:rFonts w:cs="Arial"/>
          <w:sz w:val="22"/>
          <w:szCs w:val="22"/>
        </w:rPr>
        <w:t>En la definición de Contrato firme o que garantiza firmeza del Decreto 1073 de 2015 se observa un elemento contundente: que este tipo de contrato requiere de Respaldo Físico. Por otro lado, en el Artículo 2.2.2.2.16 “</w:t>
      </w:r>
      <w:r w:rsidRPr="00371F27">
        <w:rPr>
          <w:rFonts w:cs="Arial"/>
          <w:i/>
          <w:iCs/>
          <w:sz w:val="22"/>
          <w:szCs w:val="22"/>
        </w:rPr>
        <w:t>Demanda Esencial</w:t>
      </w:r>
      <w:r>
        <w:rPr>
          <w:rFonts w:cs="Arial"/>
          <w:sz w:val="22"/>
          <w:szCs w:val="22"/>
        </w:rPr>
        <w:t>” del mismo Decreto se dice: “</w:t>
      </w:r>
      <w:r w:rsidRPr="00371F27">
        <w:rPr>
          <w:rFonts w:cs="Arial"/>
          <w:i/>
          <w:iCs/>
          <w:sz w:val="22"/>
          <w:szCs w:val="22"/>
        </w:rPr>
        <w:t>Los Agentes que atiendan la Demanda Esencial tienen la obligación de contratar el suministro y el transporte de gas natural para la atención de dicha demanda, según corresponda, con Agentes que cuenten con Respaldo Físico</w:t>
      </w:r>
      <w:r w:rsidRPr="00371F27">
        <w:rPr>
          <w:rFonts w:cs="Arial"/>
          <w:sz w:val="22"/>
          <w:szCs w:val="22"/>
        </w:rPr>
        <w:t xml:space="preserve">. </w:t>
      </w:r>
      <w:r>
        <w:rPr>
          <w:rFonts w:cs="Arial"/>
          <w:sz w:val="22"/>
          <w:szCs w:val="22"/>
        </w:rPr>
        <w:t>(…)”</w:t>
      </w:r>
      <w:r w:rsidR="00496682">
        <w:rPr>
          <w:rFonts w:cs="Arial"/>
          <w:sz w:val="22"/>
          <w:szCs w:val="22"/>
        </w:rPr>
        <w:t xml:space="preserve">. Luego en su Parágrafo 1 se dice: “(…) </w:t>
      </w:r>
      <w:r w:rsidR="00496682" w:rsidRPr="00496682">
        <w:rPr>
          <w:rFonts w:cs="Arial"/>
          <w:i/>
          <w:iCs/>
          <w:sz w:val="22"/>
          <w:szCs w:val="22"/>
        </w:rPr>
        <w:t>los Agentes que atiendan la Demanda Esencial no cuenten con los contratos Firmes o que Garanticen Firmeza asumirán</w:t>
      </w:r>
      <w:r w:rsidR="00496682">
        <w:rPr>
          <w:rFonts w:cs="Arial"/>
          <w:i/>
          <w:iCs/>
          <w:sz w:val="22"/>
          <w:szCs w:val="22"/>
        </w:rPr>
        <w:t xml:space="preserve"> </w:t>
      </w:r>
      <w:r w:rsidR="00496682" w:rsidRPr="00496682">
        <w:rPr>
          <w:rFonts w:cs="Arial"/>
          <w:i/>
          <w:iCs/>
          <w:sz w:val="22"/>
          <w:szCs w:val="22"/>
        </w:rPr>
        <w:t>directamente tos costos en que incurran los Agentes que por ello resulten afectados</w:t>
      </w:r>
      <w:r w:rsidR="00496682" w:rsidRPr="00496682">
        <w:rPr>
          <w:rFonts w:cs="Arial"/>
          <w:sz w:val="22"/>
          <w:szCs w:val="22"/>
        </w:rPr>
        <w:t>.</w:t>
      </w:r>
      <w:r w:rsidR="00496682">
        <w:rPr>
          <w:rFonts w:cs="Arial"/>
          <w:sz w:val="22"/>
          <w:szCs w:val="22"/>
        </w:rPr>
        <w:t xml:space="preserve">” </w:t>
      </w:r>
    </w:p>
    <w:p w14:paraId="34382E40" w14:textId="77777777" w:rsidR="00496682" w:rsidRDefault="00496682" w:rsidP="00496682">
      <w:pPr>
        <w:rPr>
          <w:rFonts w:cs="Arial"/>
          <w:sz w:val="22"/>
          <w:szCs w:val="22"/>
        </w:rPr>
      </w:pPr>
    </w:p>
    <w:p w14:paraId="428F68E5" w14:textId="7D2C64F3" w:rsidR="00371F27" w:rsidRDefault="00496682" w:rsidP="00496682">
      <w:pPr>
        <w:rPr>
          <w:rFonts w:cs="Arial"/>
          <w:sz w:val="22"/>
          <w:szCs w:val="22"/>
        </w:rPr>
      </w:pPr>
      <w:r>
        <w:rPr>
          <w:rFonts w:cs="Arial"/>
          <w:sz w:val="22"/>
          <w:szCs w:val="22"/>
        </w:rPr>
        <w:t>Se entiende de lo anterior que los contratos de tipo firme o que garanticen firmeza están atados al Respaldo Físico y se usa indistintamente en la propuesta ambas expresiones, de modo que cuando se habla de contratos de tipo firme o que garantizan firmeza se entienden que cuentan con Respaldo Físico y cuando se habla de Respaldo Físico se entiende que se trata de contratos de tipo firme o que garantizan firmeza. Lo anterior sin que ello se limite a la Demanda Esencial.</w:t>
      </w:r>
    </w:p>
    <w:p w14:paraId="11E1A4F9" w14:textId="77777777" w:rsidR="00371F27" w:rsidRPr="007E2727" w:rsidRDefault="00371F27" w:rsidP="007E2727">
      <w:pPr>
        <w:rPr>
          <w:rFonts w:cs="Arial"/>
          <w:sz w:val="22"/>
          <w:szCs w:val="22"/>
        </w:rPr>
      </w:pPr>
    </w:p>
    <w:p w14:paraId="1CC4CEA1" w14:textId="77777777" w:rsidR="0060003A" w:rsidRDefault="0060003A" w:rsidP="007E2727">
      <w:pPr>
        <w:rPr>
          <w:rFonts w:cs="Arial"/>
          <w:sz w:val="22"/>
          <w:szCs w:val="22"/>
        </w:rPr>
      </w:pPr>
    </w:p>
    <w:p w14:paraId="052107A7" w14:textId="77777777" w:rsidR="0060003A" w:rsidRDefault="0060003A" w:rsidP="007E2727">
      <w:pPr>
        <w:rPr>
          <w:rFonts w:cs="Arial"/>
          <w:sz w:val="22"/>
          <w:szCs w:val="22"/>
        </w:rPr>
      </w:pPr>
    </w:p>
    <w:p w14:paraId="35DAF2D4" w14:textId="77777777" w:rsidR="0060003A" w:rsidRDefault="007E2727" w:rsidP="002313DA">
      <w:pPr>
        <w:pStyle w:val="Ttulo2"/>
      </w:pPr>
      <w:bookmarkStart w:id="758" w:name="_Toc140506413"/>
      <w:r w:rsidRPr="007E2727">
        <w:t>TERPEL</w:t>
      </w:r>
      <w:bookmarkEnd w:id="758"/>
      <w:r w:rsidRPr="007E2727">
        <w:tab/>
      </w:r>
    </w:p>
    <w:p w14:paraId="188BD099" w14:textId="77777777" w:rsidR="00F52B11" w:rsidRDefault="00F52B11" w:rsidP="00F52B11">
      <w:pPr>
        <w:pStyle w:val="Ttulo4"/>
      </w:pPr>
      <w:r w:rsidRPr="007E2727">
        <w:t>TERPEL</w:t>
      </w:r>
      <w:r w:rsidRPr="007E2727">
        <w:tab/>
      </w:r>
    </w:p>
    <w:p w14:paraId="0FDEEAD6" w14:textId="5F2F54F4" w:rsidR="007E2727" w:rsidRPr="00496682" w:rsidRDefault="007E2727" w:rsidP="007E2727">
      <w:pPr>
        <w:rPr>
          <w:rFonts w:cs="Arial"/>
          <w:i/>
          <w:iCs/>
          <w:sz w:val="22"/>
          <w:szCs w:val="22"/>
        </w:rPr>
      </w:pPr>
      <w:r w:rsidRPr="007E2727">
        <w:rPr>
          <w:rFonts w:cs="Arial"/>
          <w:sz w:val="22"/>
          <w:szCs w:val="22"/>
        </w:rPr>
        <w:t>"</w:t>
      </w:r>
      <w:r w:rsidRPr="00496682">
        <w:rPr>
          <w:rFonts w:cs="Arial"/>
          <w:i/>
          <w:iCs/>
          <w:sz w:val="22"/>
          <w:szCs w:val="22"/>
        </w:rPr>
        <w:t xml:space="preserve">La flexibilidad en la comercialización de gas para los campos en pruebas juega un papel importante para incentivar la comercialidad de un nuevo campo de gas y su conexión al SNT. Por ello, los mecanismos para comercializar este gas de campos en pruebas deben apuntar a facilitar la toma de decisión de inversión que finalmente lleve a la declaración de comercialidad y posterior desarrollo de la producción del campo. Teniendo en cuenta lo anterior: </w:t>
      </w:r>
    </w:p>
    <w:p w14:paraId="75E3DD65" w14:textId="77777777" w:rsidR="007E2727" w:rsidRPr="00496682" w:rsidRDefault="007E2727" w:rsidP="007E2727">
      <w:pPr>
        <w:rPr>
          <w:rFonts w:cs="Arial"/>
          <w:i/>
          <w:iCs/>
          <w:sz w:val="22"/>
          <w:szCs w:val="22"/>
        </w:rPr>
      </w:pPr>
    </w:p>
    <w:p w14:paraId="41B15ABC" w14:textId="268AC905" w:rsidR="007E2727" w:rsidRDefault="007E2727" w:rsidP="007E2727">
      <w:pPr>
        <w:rPr>
          <w:rFonts w:cs="Arial"/>
          <w:sz w:val="22"/>
          <w:szCs w:val="22"/>
        </w:rPr>
      </w:pPr>
      <w:r w:rsidRPr="00496682">
        <w:rPr>
          <w:rFonts w:cs="Arial"/>
          <w:i/>
          <w:iCs/>
          <w:sz w:val="22"/>
          <w:szCs w:val="22"/>
        </w:rPr>
        <w:t xml:space="preserve">• Se recomienda precisar la redacción del numeral i. del literal a) del numeral 1 del artículo 19, de manera que quede clara la posibilidad de que estos campos en pruebas que tengan reservas probables y posibles (2P y 3P) puedan comercializar su gas con las modalidades contractuales que garantizan firmeza. Es necesaria claridad en este aspecto, debido a que la posibilidad de contratación en firme en estos </w:t>
      </w:r>
      <w:proofErr w:type="gramStart"/>
      <w:r w:rsidRPr="00496682">
        <w:rPr>
          <w:rFonts w:cs="Arial"/>
          <w:i/>
          <w:iCs/>
          <w:sz w:val="22"/>
          <w:szCs w:val="22"/>
        </w:rPr>
        <w:t>campos,</w:t>
      </w:r>
      <w:proofErr w:type="gramEnd"/>
      <w:r w:rsidRPr="00496682">
        <w:rPr>
          <w:rFonts w:cs="Arial"/>
          <w:i/>
          <w:iCs/>
          <w:sz w:val="22"/>
          <w:szCs w:val="22"/>
        </w:rPr>
        <w:t xml:space="preserve"> impulsa en algunos casos la posterior comercialidad y viabilidad económica de un campo de gas</w:t>
      </w:r>
      <w:r w:rsidRPr="007E2727">
        <w:rPr>
          <w:rFonts w:cs="Arial"/>
          <w:sz w:val="22"/>
          <w:szCs w:val="22"/>
        </w:rPr>
        <w:t>."</w:t>
      </w:r>
    </w:p>
    <w:p w14:paraId="354E9810" w14:textId="232C7016" w:rsidR="00496682" w:rsidRDefault="00496682" w:rsidP="007E2727">
      <w:pPr>
        <w:rPr>
          <w:rFonts w:cs="Arial"/>
          <w:sz w:val="22"/>
          <w:szCs w:val="22"/>
        </w:rPr>
      </w:pPr>
    </w:p>
    <w:p w14:paraId="7AD4C066" w14:textId="153E08F9" w:rsidR="00496682" w:rsidRPr="00496682" w:rsidRDefault="00496682" w:rsidP="007E2727">
      <w:pPr>
        <w:rPr>
          <w:rFonts w:cs="Arial"/>
          <w:b/>
          <w:bCs/>
          <w:sz w:val="22"/>
          <w:szCs w:val="22"/>
        </w:rPr>
      </w:pPr>
      <w:r w:rsidRPr="00496682">
        <w:rPr>
          <w:rFonts w:cs="Arial"/>
          <w:b/>
          <w:bCs/>
          <w:sz w:val="22"/>
          <w:szCs w:val="22"/>
        </w:rPr>
        <w:t>Respuesta:</w:t>
      </w:r>
    </w:p>
    <w:p w14:paraId="07EAECD6" w14:textId="5A8C7FF1" w:rsidR="00496682" w:rsidRDefault="00496682" w:rsidP="007E2727">
      <w:pPr>
        <w:rPr>
          <w:rFonts w:cs="Arial"/>
          <w:sz w:val="22"/>
          <w:szCs w:val="22"/>
        </w:rPr>
      </w:pPr>
    </w:p>
    <w:p w14:paraId="5B153536" w14:textId="01552198" w:rsidR="00496682" w:rsidRDefault="00496682"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_Ref132029431 \r \h </w:instrText>
      </w:r>
      <w:r>
        <w:rPr>
          <w:rFonts w:cs="Arial"/>
          <w:sz w:val="22"/>
          <w:szCs w:val="22"/>
        </w:rPr>
      </w:r>
      <w:r>
        <w:rPr>
          <w:rFonts w:cs="Arial"/>
          <w:sz w:val="22"/>
          <w:szCs w:val="22"/>
        </w:rPr>
        <w:fldChar w:fldCharType="separate"/>
      </w:r>
      <w:r w:rsidR="007651EA">
        <w:rPr>
          <w:rFonts w:cs="Arial"/>
          <w:sz w:val="22"/>
          <w:szCs w:val="22"/>
        </w:rPr>
        <w:t>17.1.1.1</w:t>
      </w:r>
      <w:r>
        <w:rPr>
          <w:rFonts w:cs="Arial"/>
          <w:sz w:val="22"/>
          <w:szCs w:val="22"/>
        </w:rPr>
        <w:fldChar w:fldCharType="end"/>
      </w:r>
      <w:r>
        <w:rPr>
          <w:rFonts w:cs="Arial"/>
          <w:sz w:val="22"/>
          <w:szCs w:val="22"/>
        </w:rPr>
        <w:t>.</w:t>
      </w:r>
    </w:p>
    <w:p w14:paraId="48F62E3F" w14:textId="77777777" w:rsidR="00496682" w:rsidRPr="007E2727" w:rsidRDefault="00496682" w:rsidP="007E2727">
      <w:pPr>
        <w:rPr>
          <w:rFonts w:cs="Arial"/>
          <w:sz w:val="22"/>
          <w:szCs w:val="22"/>
        </w:rPr>
      </w:pPr>
    </w:p>
    <w:p w14:paraId="1183981C" w14:textId="77777777" w:rsidR="0060003A" w:rsidRDefault="0060003A" w:rsidP="007E2727">
      <w:pPr>
        <w:rPr>
          <w:rFonts w:cs="Arial"/>
          <w:sz w:val="22"/>
          <w:szCs w:val="22"/>
        </w:rPr>
      </w:pPr>
    </w:p>
    <w:p w14:paraId="43554985" w14:textId="77777777" w:rsidR="0060003A" w:rsidRDefault="007E2727" w:rsidP="00F52B11">
      <w:pPr>
        <w:pStyle w:val="Ttulo4"/>
      </w:pPr>
      <w:r w:rsidRPr="007E2727">
        <w:t>TERPEL</w:t>
      </w:r>
      <w:r w:rsidRPr="007E2727">
        <w:tab/>
      </w:r>
    </w:p>
    <w:p w14:paraId="4BF2BFA1" w14:textId="3FC2D9DE" w:rsidR="007E2727" w:rsidRDefault="00DE5572" w:rsidP="007E2727">
      <w:pPr>
        <w:rPr>
          <w:rFonts w:cs="Arial"/>
          <w:sz w:val="22"/>
          <w:szCs w:val="22"/>
        </w:rPr>
      </w:pPr>
      <w:r>
        <w:rPr>
          <w:rFonts w:cs="Arial"/>
          <w:i/>
          <w:iCs/>
          <w:sz w:val="22"/>
          <w:szCs w:val="22"/>
        </w:rPr>
        <w:t>“</w:t>
      </w:r>
      <w:r w:rsidR="007E2727" w:rsidRPr="00496682">
        <w:rPr>
          <w:rFonts w:cs="Arial"/>
          <w:i/>
          <w:iCs/>
          <w:sz w:val="22"/>
          <w:szCs w:val="22"/>
        </w:rPr>
        <w:t xml:space="preserve">Aclarar esta disposición para los campos de </w:t>
      </w:r>
      <w:proofErr w:type="gramStart"/>
      <w:r w:rsidR="007E2727" w:rsidRPr="00496682">
        <w:rPr>
          <w:rFonts w:cs="Arial"/>
          <w:i/>
          <w:iCs/>
          <w:sz w:val="22"/>
          <w:szCs w:val="22"/>
        </w:rPr>
        <w:t>offshore</w:t>
      </w:r>
      <w:proofErr w:type="gramEnd"/>
      <w:r w:rsidR="007E2727" w:rsidRPr="00496682">
        <w:rPr>
          <w:rFonts w:cs="Arial"/>
          <w:i/>
          <w:iCs/>
          <w:sz w:val="22"/>
          <w:szCs w:val="22"/>
        </w:rPr>
        <w:t>, con exceptuando los campos offshore antiguos</w:t>
      </w:r>
      <w:r w:rsidR="007E2727" w:rsidRPr="007E2727">
        <w:rPr>
          <w:rFonts w:cs="Arial"/>
          <w:sz w:val="22"/>
          <w:szCs w:val="22"/>
        </w:rPr>
        <w:t>.</w:t>
      </w:r>
      <w:r>
        <w:rPr>
          <w:rFonts w:cs="Arial"/>
          <w:sz w:val="22"/>
          <w:szCs w:val="22"/>
        </w:rPr>
        <w:t>”</w:t>
      </w:r>
    </w:p>
    <w:p w14:paraId="7BA23EA0" w14:textId="1A496907" w:rsidR="00496682" w:rsidRDefault="00496682" w:rsidP="007E2727">
      <w:pPr>
        <w:rPr>
          <w:rFonts w:cs="Arial"/>
          <w:sz w:val="22"/>
          <w:szCs w:val="22"/>
        </w:rPr>
      </w:pPr>
    </w:p>
    <w:p w14:paraId="0D4EF069" w14:textId="48B73CCF" w:rsidR="00496682" w:rsidRPr="00496682" w:rsidRDefault="00496682" w:rsidP="007E2727">
      <w:pPr>
        <w:rPr>
          <w:rFonts w:cs="Arial"/>
          <w:b/>
          <w:bCs/>
          <w:sz w:val="22"/>
          <w:szCs w:val="22"/>
        </w:rPr>
      </w:pPr>
      <w:r w:rsidRPr="00496682">
        <w:rPr>
          <w:rFonts w:cs="Arial"/>
          <w:b/>
          <w:bCs/>
          <w:sz w:val="22"/>
          <w:szCs w:val="22"/>
        </w:rPr>
        <w:t>Respuesta:</w:t>
      </w:r>
    </w:p>
    <w:p w14:paraId="185C053E" w14:textId="1D41DD3D" w:rsidR="00496682" w:rsidRDefault="00496682" w:rsidP="007E2727">
      <w:pPr>
        <w:rPr>
          <w:rFonts w:cs="Arial"/>
          <w:sz w:val="22"/>
          <w:szCs w:val="22"/>
        </w:rPr>
      </w:pPr>
    </w:p>
    <w:p w14:paraId="02D12C1B" w14:textId="648E188A" w:rsidR="00496682" w:rsidRDefault="005D59EA" w:rsidP="007E2727">
      <w:pPr>
        <w:rPr>
          <w:rFonts w:cs="Arial"/>
          <w:sz w:val="22"/>
          <w:szCs w:val="22"/>
        </w:rPr>
      </w:pPr>
      <w:r>
        <w:rPr>
          <w:rFonts w:cs="Arial"/>
          <w:sz w:val="22"/>
          <w:szCs w:val="22"/>
        </w:rPr>
        <w:t>Se acoge el comentario.</w:t>
      </w:r>
    </w:p>
    <w:p w14:paraId="3A504B10" w14:textId="355C71FD" w:rsidR="005D59EA" w:rsidRDefault="005D59EA" w:rsidP="007E2727">
      <w:pPr>
        <w:rPr>
          <w:rFonts w:cs="Arial"/>
          <w:sz w:val="22"/>
          <w:szCs w:val="22"/>
        </w:rPr>
      </w:pPr>
    </w:p>
    <w:p w14:paraId="368DD432" w14:textId="3F0BB288" w:rsidR="005D59EA" w:rsidRDefault="005D59EA" w:rsidP="007E2727">
      <w:pPr>
        <w:rPr>
          <w:rFonts w:cs="Arial"/>
          <w:sz w:val="22"/>
          <w:szCs w:val="22"/>
        </w:rPr>
      </w:pPr>
      <w:r>
        <w:rPr>
          <w:rFonts w:cs="Arial"/>
          <w:sz w:val="22"/>
          <w:szCs w:val="22"/>
        </w:rPr>
        <w:t>En la nueva propuesta se hace mención de que sea c</w:t>
      </w:r>
      <w:r w:rsidRPr="005D59EA">
        <w:rPr>
          <w:rFonts w:cs="Arial"/>
          <w:sz w:val="22"/>
          <w:szCs w:val="22"/>
        </w:rPr>
        <w:t xml:space="preserve">uando provenga de una nueva Fuente de Suministro costa afuera. Se entenderá por fuente nueva aquella que declare comercialidad con posterioridad a la </w:t>
      </w:r>
      <w:proofErr w:type="gramStart"/>
      <w:r w:rsidRPr="005D59EA">
        <w:rPr>
          <w:rFonts w:cs="Arial"/>
          <w:sz w:val="22"/>
          <w:szCs w:val="22"/>
        </w:rPr>
        <w:t>entrada en vigencia</w:t>
      </w:r>
      <w:proofErr w:type="gramEnd"/>
      <w:r w:rsidRPr="005D59EA">
        <w:rPr>
          <w:rFonts w:cs="Arial"/>
          <w:sz w:val="22"/>
          <w:szCs w:val="22"/>
        </w:rPr>
        <w:t xml:space="preserve"> de la presente resolución.</w:t>
      </w:r>
    </w:p>
    <w:p w14:paraId="61D1CD20" w14:textId="77777777" w:rsidR="00496682" w:rsidRPr="007E2727" w:rsidRDefault="00496682" w:rsidP="007E2727">
      <w:pPr>
        <w:rPr>
          <w:rFonts w:cs="Arial"/>
          <w:sz w:val="22"/>
          <w:szCs w:val="22"/>
        </w:rPr>
      </w:pPr>
    </w:p>
    <w:p w14:paraId="1C92D6AF" w14:textId="77777777" w:rsidR="0060003A" w:rsidRDefault="0060003A" w:rsidP="007E2727">
      <w:pPr>
        <w:rPr>
          <w:rFonts w:cs="Arial"/>
          <w:sz w:val="22"/>
          <w:szCs w:val="22"/>
        </w:rPr>
      </w:pPr>
    </w:p>
    <w:p w14:paraId="40D6E153" w14:textId="77777777" w:rsidR="0060003A" w:rsidRDefault="007E2727" w:rsidP="00F52B11">
      <w:pPr>
        <w:pStyle w:val="Ttulo4"/>
      </w:pPr>
      <w:r w:rsidRPr="007E2727">
        <w:t>TERPEL</w:t>
      </w:r>
      <w:r w:rsidRPr="007E2727">
        <w:tab/>
      </w:r>
    </w:p>
    <w:p w14:paraId="3AAE5B74" w14:textId="4842AC40" w:rsidR="007E2727" w:rsidRPr="005D59EA" w:rsidRDefault="007E2727" w:rsidP="007E2727">
      <w:pPr>
        <w:rPr>
          <w:rFonts w:cs="Arial"/>
          <w:i/>
          <w:iCs/>
          <w:sz w:val="22"/>
          <w:szCs w:val="22"/>
        </w:rPr>
      </w:pPr>
      <w:r w:rsidRPr="007E2727">
        <w:rPr>
          <w:rFonts w:cs="Arial"/>
          <w:sz w:val="22"/>
          <w:szCs w:val="22"/>
        </w:rPr>
        <w:t>"</w:t>
      </w:r>
      <w:r w:rsidRPr="005D59EA">
        <w:rPr>
          <w:rFonts w:cs="Arial"/>
          <w:i/>
          <w:iCs/>
          <w:sz w:val="22"/>
          <w:szCs w:val="22"/>
        </w:rPr>
        <w:t>Vemos con preocupación la propuesta de flexibilizar la importación de gas natural, incluyendo esta modalidad dentro de las excepciones del artículo 19, de negociación directa en cualquier momento del año, y de la excepción del parágrafo del artículo 20, con la posibilidad de determinar libremente las condiciones de los contratos pactados. Entendemos la preocupación del regulador en dar señales a la demanda de suministro a largo plazo, sin embargo, la flexibilización total de las importaciones generaría asimetrías en competencia respecto de los campos de producción nacionales:</w:t>
      </w:r>
    </w:p>
    <w:p w14:paraId="4DF7546C" w14:textId="77777777" w:rsidR="007E2727" w:rsidRPr="005D59EA" w:rsidRDefault="007E2727" w:rsidP="007E2727">
      <w:pPr>
        <w:rPr>
          <w:rFonts w:cs="Arial"/>
          <w:i/>
          <w:iCs/>
          <w:sz w:val="22"/>
          <w:szCs w:val="22"/>
        </w:rPr>
      </w:pPr>
    </w:p>
    <w:p w14:paraId="246E8090" w14:textId="373739F6" w:rsidR="007E2727" w:rsidRDefault="007E2727" w:rsidP="007E2727">
      <w:pPr>
        <w:rPr>
          <w:rFonts w:cs="Arial"/>
          <w:i/>
          <w:iCs/>
          <w:sz w:val="22"/>
          <w:szCs w:val="22"/>
        </w:rPr>
      </w:pPr>
      <w:r w:rsidRPr="005D59EA">
        <w:rPr>
          <w:rFonts w:cs="Arial"/>
          <w:i/>
          <w:iCs/>
          <w:sz w:val="22"/>
          <w:szCs w:val="22"/>
        </w:rPr>
        <w:t xml:space="preserve">• Al incluir el </w:t>
      </w:r>
      <w:r w:rsidR="00DE5572">
        <w:rPr>
          <w:rFonts w:cs="Arial"/>
          <w:i/>
          <w:iCs/>
          <w:sz w:val="22"/>
          <w:szCs w:val="22"/>
        </w:rPr>
        <w:t>‘</w:t>
      </w:r>
      <w:r w:rsidRPr="005D59EA">
        <w:rPr>
          <w:rFonts w:cs="Arial"/>
          <w:i/>
          <w:iCs/>
          <w:sz w:val="22"/>
          <w:szCs w:val="22"/>
        </w:rPr>
        <w:t>suministro de gas natural mediante infraestructuras de importación establecidas en el Plan de Abastecimiento de Gas Natural vigente</w:t>
      </w:r>
      <w:r w:rsidR="00DE5572">
        <w:rPr>
          <w:rFonts w:cs="Arial"/>
          <w:i/>
          <w:iCs/>
          <w:sz w:val="22"/>
          <w:szCs w:val="22"/>
        </w:rPr>
        <w:t>’</w:t>
      </w:r>
      <w:r w:rsidRPr="005D59EA">
        <w:rPr>
          <w:rFonts w:cs="Arial"/>
          <w:i/>
          <w:iCs/>
          <w:sz w:val="22"/>
          <w:szCs w:val="22"/>
        </w:rPr>
        <w:t xml:space="preserve">, de acuerdo con el numeral </w:t>
      </w:r>
      <w:proofErr w:type="spellStart"/>
      <w:r w:rsidRPr="005D59EA">
        <w:rPr>
          <w:rFonts w:cs="Arial"/>
          <w:i/>
          <w:iCs/>
          <w:sz w:val="22"/>
          <w:szCs w:val="22"/>
        </w:rPr>
        <w:t>ii</w:t>
      </w:r>
      <w:proofErr w:type="spellEnd"/>
      <w:r w:rsidRPr="005D59EA">
        <w:rPr>
          <w:rFonts w:cs="Arial"/>
          <w:i/>
          <w:iCs/>
          <w:sz w:val="22"/>
          <w:szCs w:val="22"/>
        </w:rPr>
        <w:t>) del literal C del numeral 2 del artículo 19, se está incurriendo en un doble incentivo, pues estas infraestructuras, incluida la planta de regasificación del Pacífico y el gasoducto Buenaventura - Yumbo, serán pagadas por la demanda que se beneficie de la misma, reconociendo incluso una tasa de descuento del 10% de acuerdo con la Resolución CREG 127/2021. Es decir, el inversionista de la infraestructura de importación del Pacífico, no tendría un riesgo asociado a la comercialización del gas eventualmente importado, teniendo en cuenta que dicha infraestructura sería paga así no se use, la capacidad de importación de 400 MPCD, y la facilidad para comercializar dicha cantidad en el mercado, que este proyecto de resolución les estaría otorgando, flexibilidad y apoyo económico que no tienen los productores nacionales para invertir capital de riesgo en la exploración y producción y comercializar su gas.</w:t>
      </w:r>
      <w:r w:rsidR="00DE5572">
        <w:rPr>
          <w:rFonts w:cs="Arial"/>
          <w:i/>
          <w:iCs/>
          <w:sz w:val="22"/>
          <w:szCs w:val="22"/>
        </w:rPr>
        <w:t>”</w:t>
      </w:r>
    </w:p>
    <w:p w14:paraId="24D4A09E" w14:textId="0C228CCB" w:rsidR="005D59EA" w:rsidRDefault="005D59EA" w:rsidP="007E2727">
      <w:pPr>
        <w:rPr>
          <w:rFonts w:cs="Arial"/>
          <w:i/>
          <w:iCs/>
          <w:sz w:val="22"/>
          <w:szCs w:val="22"/>
        </w:rPr>
      </w:pPr>
    </w:p>
    <w:p w14:paraId="247FEE7C" w14:textId="0509ADCE" w:rsidR="005D59EA" w:rsidRPr="005D59EA" w:rsidRDefault="005D59EA" w:rsidP="007E2727">
      <w:pPr>
        <w:rPr>
          <w:rFonts w:cs="Arial"/>
          <w:b/>
          <w:bCs/>
          <w:sz w:val="22"/>
          <w:szCs w:val="22"/>
        </w:rPr>
      </w:pPr>
      <w:r w:rsidRPr="005D59EA">
        <w:rPr>
          <w:rFonts w:cs="Arial"/>
          <w:b/>
          <w:bCs/>
          <w:sz w:val="22"/>
          <w:szCs w:val="22"/>
        </w:rPr>
        <w:t>Respuesta:</w:t>
      </w:r>
    </w:p>
    <w:p w14:paraId="5F5D65C4" w14:textId="3B0EB8F5" w:rsidR="005D59EA" w:rsidRDefault="005D59EA" w:rsidP="007E2727">
      <w:pPr>
        <w:rPr>
          <w:rFonts w:cs="Arial"/>
          <w:i/>
          <w:iCs/>
          <w:sz w:val="22"/>
          <w:szCs w:val="22"/>
        </w:rPr>
      </w:pPr>
    </w:p>
    <w:p w14:paraId="3EDA53A3" w14:textId="3DC56B93" w:rsidR="005D59EA" w:rsidRPr="005D59EA" w:rsidRDefault="005D59EA" w:rsidP="007E2727">
      <w:pPr>
        <w:rPr>
          <w:rFonts w:cs="Arial"/>
          <w:sz w:val="22"/>
          <w:szCs w:val="22"/>
        </w:rPr>
      </w:pPr>
      <w:r w:rsidRPr="005D59EA">
        <w:rPr>
          <w:rFonts w:cs="Arial"/>
          <w:sz w:val="22"/>
          <w:szCs w:val="22"/>
        </w:rPr>
        <w:t xml:space="preserve">Ver respuesta a </w:t>
      </w:r>
      <w:r w:rsidRPr="005D59EA">
        <w:rPr>
          <w:rFonts w:cs="Arial"/>
          <w:sz w:val="22"/>
          <w:szCs w:val="22"/>
        </w:rPr>
        <w:fldChar w:fldCharType="begin"/>
      </w:r>
      <w:r w:rsidRPr="005D59EA">
        <w:rPr>
          <w:rFonts w:cs="Arial"/>
          <w:sz w:val="22"/>
          <w:szCs w:val="22"/>
        </w:rPr>
        <w:instrText xml:space="preserve"> REF _Ref130817932 \r \h </w:instrText>
      </w:r>
      <w:r>
        <w:rPr>
          <w:rFonts w:cs="Arial"/>
          <w:sz w:val="22"/>
          <w:szCs w:val="22"/>
        </w:rPr>
        <w:instrText xml:space="preserve"> \* MERGEFORMAT </w:instrText>
      </w:r>
      <w:r w:rsidRPr="005D59EA">
        <w:rPr>
          <w:rFonts w:cs="Arial"/>
          <w:sz w:val="22"/>
          <w:szCs w:val="22"/>
        </w:rPr>
      </w:r>
      <w:r w:rsidRPr="005D59EA">
        <w:rPr>
          <w:rFonts w:cs="Arial"/>
          <w:sz w:val="22"/>
          <w:szCs w:val="22"/>
        </w:rPr>
        <w:fldChar w:fldCharType="separate"/>
      </w:r>
      <w:r w:rsidR="007651EA">
        <w:rPr>
          <w:rFonts w:cs="Arial"/>
          <w:sz w:val="22"/>
          <w:szCs w:val="22"/>
        </w:rPr>
        <w:t>17.1.1.3</w:t>
      </w:r>
      <w:r w:rsidRPr="005D59EA">
        <w:rPr>
          <w:rFonts w:cs="Arial"/>
          <w:sz w:val="22"/>
          <w:szCs w:val="22"/>
        </w:rPr>
        <w:fldChar w:fldCharType="end"/>
      </w:r>
      <w:r w:rsidRPr="005D59EA">
        <w:rPr>
          <w:rFonts w:cs="Arial"/>
          <w:sz w:val="22"/>
          <w:szCs w:val="22"/>
        </w:rPr>
        <w:t>.</w:t>
      </w:r>
    </w:p>
    <w:p w14:paraId="3258BAB1" w14:textId="77777777" w:rsidR="005D59EA" w:rsidRDefault="005D59EA" w:rsidP="007E2727">
      <w:pPr>
        <w:rPr>
          <w:rFonts w:cs="Arial"/>
          <w:i/>
          <w:iCs/>
          <w:sz w:val="22"/>
          <w:szCs w:val="22"/>
        </w:rPr>
      </w:pPr>
    </w:p>
    <w:p w14:paraId="6EBD42C6" w14:textId="77777777" w:rsidR="005D59EA" w:rsidRPr="005D59EA" w:rsidRDefault="005D59EA" w:rsidP="007E2727">
      <w:pPr>
        <w:rPr>
          <w:rFonts w:cs="Arial"/>
          <w:i/>
          <w:iCs/>
          <w:sz w:val="22"/>
          <w:szCs w:val="22"/>
        </w:rPr>
      </w:pPr>
    </w:p>
    <w:p w14:paraId="3947D9DB" w14:textId="77777777" w:rsidR="005D59EA" w:rsidRDefault="005D59EA" w:rsidP="005D59EA">
      <w:pPr>
        <w:pStyle w:val="Ttulo4"/>
      </w:pPr>
      <w:r w:rsidRPr="007E2727">
        <w:t>TERPEL</w:t>
      </w:r>
      <w:r w:rsidRPr="007E2727">
        <w:tab/>
      </w:r>
    </w:p>
    <w:p w14:paraId="3F06440D" w14:textId="313D0D8D" w:rsidR="007E2727" w:rsidRPr="005D59EA" w:rsidRDefault="00DE5572" w:rsidP="007E2727">
      <w:pPr>
        <w:rPr>
          <w:rFonts w:cs="Arial"/>
          <w:i/>
          <w:iCs/>
          <w:sz w:val="22"/>
          <w:szCs w:val="22"/>
        </w:rPr>
      </w:pPr>
      <w:r>
        <w:rPr>
          <w:rFonts w:cs="Arial"/>
          <w:i/>
          <w:iCs/>
          <w:sz w:val="22"/>
          <w:szCs w:val="22"/>
        </w:rPr>
        <w:t>“</w:t>
      </w:r>
      <w:r w:rsidR="007E2727" w:rsidRPr="005D59EA">
        <w:rPr>
          <w:rFonts w:cs="Arial"/>
          <w:i/>
          <w:iCs/>
          <w:sz w:val="22"/>
          <w:szCs w:val="22"/>
        </w:rPr>
        <w:t>• Por otra parte, el proyecto de resolución no exige un respaldo físico con reservas para el gas importado, como si lo es exigido para la producción nacional al celebrar un contrato que garantice firmeza. Como lo han demostrado los eventos geopolíticos que acontecen desde hace unos meses, el mercado internacional de gas natural es finito y altamente volátil, lo que ha ocasionado un incremento importante en los precios internacionales de LNG.</w:t>
      </w:r>
      <w:r>
        <w:rPr>
          <w:rFonts w:cs="Arial"/>
          <w:i/>
          <w:iCs/>
          <w:sz w:val="22"/>
          <w:szCs w:val="22"/>
        </w:rPr>
        <w:t>”</w:t>
      </w:r>
      <w:r w:rsidR="007E2727" w:rsidRPr="005D59EA">
        <w:rPr>
          <w:rFonts w:cs="Arial"/>
          <w:i/>
          <w:iCs/>
          <w:sz w:val="22"/>
          <w:szCs w:val="22"/>
        </w:rPr>
        <w:t xml:space="preserve"> </w:t>
      </w:r>
    </w:p>
    <w:p w14:paraId="6E6D831B" w14:textId="752D9616" w:rsidR="007E2727" w:rsidRDefault="007E2727" w:rsidP="007E2727">
      <w:pPr>
        <w:rPr>
          <w:rFonts w:cs="Arial"/>
          <w:i/>
          <w:iCs/>
          <w:sz w:val="22"/>
          <w:szCs w:val="22"/>
        </w:rPr>
      </w:pPr>
    </w:p>
    <w:p w14:paraId="70E3C2D9" w14:textId="09AD1D98" w:rsidR="005D59EA" w:rsidRPr="005D59EA" w:rsidRDefault="005D59EA" w:rsidP="007E2727">
      <w:pPr>
        <w:rPr>
          <w:rFonts w:cs="Arial"/>
          <w:b/>
          <w:bCs/>
          <w:sz w:val="22"/>
          <w:szCs w:val="22"/>
        </w:rPr>
      </w:pPr>
      <w:r w:rsidRPr="005D59EA">
        <w:rPr>
          <w:rFonts w:cs="Arial"/>
          <w:b/>
          <w:bCs/>
          <w:sz w:val="22"/>
          <w:szCs w:val="22"/>
        </w:rPr>
        <w:t>Respuesta:</w:t>
      </w:r>
    </w:p>
    <w:p w14:paraId="515503D8" w14:textId="45815514" w:rsidR="005D59EA" w:rsidRDefault="005D59EA" w:rsidP="007E2727">
      <w:pPr>
        <w:rPr>
          <w:rFonts w:cs="Arial"/>
          <w:i/>
          <w:iCs/>
          <w:sz w:val="22"/>
          <w:szCs w:val="22"/>
        </w:rPr>
      </w:pPr>
    </w:p>
    <w:p w14:paraId="0DA9B16B" w14:textId="35E641B3" w:rsidR="005D59EA" w:rsidRPr="005D59EA" w:rsidRDefault="005D59EA" w:rsidP="007E2727">
      <w:pPr>
        <w:rPr>
          <w:rFonts w:cs="Arial"/>
          <w:sz w:val="22"/>
          <w:szCs w:val="22"/>
        </w:rPr>
      </w:pPr>
      <w:r w:rsidRPr="005D59EA">
        <w:rPr>
          <w:rFonts w:cs="Arial"/>
          <w:sz w:val="22"/>
          <w:szCs w:val="22"/>
        </w:rPr>
        <w:t xml:space="preserve">Ver respuesta a </w:t>
      </w:r>
      <w:r w:rsidRPr="005D59EA">
        <w:rPr>
          <w:rFonts w:cs="Arial"/>
          <w:sz w:val="22"/>
          <w:szCs w:val="22"/>
        </w:rPr>
        <w:fldChar w:fldCharType="begin"/>
      </w:r>
      <w:r w:rsidRPr="005D59EA">
        <w:rPr>
          <w:rFonts w:cs="Arial"/>
          <w:sz w:val="22"/>
          <w:szCs w:val="22"/>
        </w:rPr>
        <w:instrText xml:space="preserve"> REF _Ref132029756 \r \h </w:instrText>
      </w:r>
      <w:r>
        <w:rPr>
          <w:rFonts w:cs="Arial"/>
          <w:sz w:val="22"/>
          <w:szCs w:val="22"/>
        </w:rPr>
        <w:instrText xml:space="preserve"> \* MERGEFORMAT </w:instrText>
      </w:r>
      <w:r w:rsidRPr="005D59EA">
        <w:rPr>
          <w:rFonts w:cs="Arial"/>
          <w:sz w:val="22"/>
          <w:szCs w:val="22"/>
        </w:rPr>
      </w:r>
      <w:r w:rsidRPr="005D59EA">
        <w:rPr>
          <w:rFonts w:cs="Arial"/>
          <w:sz w:val="22"/>
          <w:szCs w:val="22"/>
        </w:rPr>
        <w:fldChar w:fldCharType="separate"/>
      </w:r>
      <w:r w:rsidR="007651EA">
        <w:rPr>
          <w:rFonts w:cs="Arial"/>
          <w:sz w:val="22"/>
          <w:szCs w:val="22"/>
        </w:rPr>
        <w:t>17.1.1.4</w:t>
      </w:r>
      <w:r w:rsidRPr="005D59EA">
        <w:rPr>
          <w:rFonts w:cs="Arial"/>
          <w:sz w:val="22"/>
          <w:szCs w:val="22"/>
        </w:rPr>
        <w:fldChar w:fldCharType="end"/>
      </w:r>
      <w:r w:rsidRPr="005D59EA">
        <w:rPr>
          <w:rFonts w:cs="Arial"/>
          <w:sz w:val="22"/>
          <w:szCs w:val="22"/>
        </w:rPr>
        <w:t>.</w:t>
      </w:r>
    </w:p>
    <w:p w14:paraId="43518ECB" w14:textId="77777777" w:rsidR="005D59EA" w:rsidRPr="005D59EA" w:rsidRDefault="005D59EA" w:rsidP="007E2727">
      <w:pPr>
        <w:rPr>
          <w:rFonts w:cs="Arial"/>
          <w:i/>
          <w:iCs/>
          <w:sz w:val="22"/>
          <w:szCs w:val="22"/>
        </w:rPr>
      </w:pPr>
    </w:p>
    <w:p w14:paraId="78094768" w14:textId="77777777" w:rsidR="005D59EA" w:rsidRDefault="005D59EA" w:rsidP="007E2727">
      <w:pPr>
        <w:rPr>
          <w:rFonts w:cs="Arial"/>
          <w:i/>
          <w:iCs/>
          <w:sz w:val="22"/>
          <w:szCs w:val="22"/>
        </w:rPr>
      </w:pPr>
    </w:p>
    <w:p w14:paraId="3AE4C385" w14:textId="77777777" w:rsidR="005D59EA" w:rsidRDefault="005D59EA" w:rsidP="005D59EA">
      <w:pPr>
        <w:pStyle w:val="Ttulo4"/>
      </w:pPr>
      <w:r w:rsidRPr="007E2727">
        <w:t>TERPEL</w:t>
      </w:r>
      <w:r w:rsidRPr="007E2727">
        <w:tab/>
      </w:r>
    </w:p>
    <w:p w14:paraId="7A4BA196" w14:textId="739DC496" w:rsidR="007E2727" w:rsidRDefault="004D7593" w:rsidP="007E2727">
      <w:pPr>
        <w:rPr>
          <w:rFonts w:cs="Arial"/>
          <w:i/>
          <w:iCs/>
          <w:sz w:val="22"/>
          <w:szCs w:val="22"/>
        </w:rPr>
      </w:pPr>
      <w:r>
        <w:rPr>
          <w:rFonts w:cs="Arial"/>
          <w:i/>
          <w:iCs/>
          <w:sz w:val="22"/>
          <w:szCs w:val="22"/>
        </w:rPr>
        <w:t>“</w:t>
      </w:r>
      <w:r w:rsidR="007E2727" w:rsidRPr="005D59EA">
        <w:rPr>
          <w:rFonts w:cs="Arial"/>
          <w:i/>
          <w:iCs/>
          <w:sz w:val="22"/>
          <w:szCs w:val="22"/>
        </w:rPr>
        <w:t>• Como hemos expresado en anteriores comunicaciones tanto al Ministerio como a la CREG, existen otras situaciones actuales que pueden generar asimetrías en competencia a favor del gas natural importado, en particular para el sector eléctrico: (i) mientras una molécula de gas nacional que abastece una térmica incluye todos los costos que permitan recuperar las inversiones de exploración y extracción, la molécula de gas importado en Cartagena sólo incluye una parte de los suyos porque parte de sus costos está subsidiado vía ingreso regulado, (</w:t>
      </w:r>
      <w:proofErr w:type="spellStart"/>
      <w:r w:rsidR="007E2727" w:rsidRPr="005D59EA">
        <w:rPr>
          <w:rFonts w:cs="Arial"/>
          <w:i/>
          <w:iCs/>
          <w:sz w:val="22"/>
          <w:szCs w:val="22"/>
        </w:rPr>
        <w:t>ii</w:t>
      </w:r>
      <w:proofErr w:type="spellEnd"/>
      <w:r w:rsidR="007E2727" w:rsidRPr="005D59EA">
        <w:rPr>
          <w:rFonts w:cs="Arial"/>
          <w:i/>
          <w:iCs/>
          <w:sz w:val="22"/>
          <w:szCs w:val="22"/>
        </w:rPr>
        <w:t>) el gas importado para abastecer el sector eléctrico cuenta con libertad de negociación, mientras que el gas nacional está sujeto a una serie de condiciones y mecanismos para atender dicha demanda.</w:t>
      </w:r>
      <w:r>
        <w:rPr>
          <w:rFonts w:cs="Arial"/>
          <w:i/>
          <w:iCs/>
          <w:sz w:val="22"/>
          <w:szCs w:val="22"/>
        </w:rPr>
        <w:t>”</w:t>
      </w:r>
    </w:p>
    <w:p w14:paraId="26190EC9" w14:textId="2A58F635" w:rsidR="005D59EA" w:rsidRDefault="005D59EA" w:rsidP="007E2727">
      <w:pPr>
        <w:rPr>
          <w:rFonts w:cs="Arial"/>
          <w:i/>
          <w:iCs/>
          <w:sz w:val="22"/>
          <w:szCs w:val="22"/>
        </w:rPr>
      </w:pPr>
    </w:p>
    <w:p w14:paraId="6841BE2A" w14:textId="58C31C49" w:rsidR="005D59EA" w:rsidRPr="005D59EA" w:rsidRDefault="005D59EA" w:rsidP="007E2727">
      <w:pPr>
        <w:rPr>
          <w:rFonts w:cs="Arial"/>
          <w:b/>
          <w:bCs/>
          <w:sz w:val="22"/>
          <w:szCs w:val="22"/>
        </w:rPr>
      </w:pPr>
      <w:r w:rsidRPr="005D59EA">
        <w:rPr>
          <w:rFonts w:cs="Arial"/>
          <w:b/>
          <w:bCs/>
          <w:sz w:val="22"/>
          <w:szCs w:val="22"/>
        </w:rPr>
        <w:t>Respuesta:</w:t>
      </w:r>
    </w:p>
    <w:p w14:paraId="502113E1" w14:textId="20048624" w:rsidR="005D59EA" w:rsidRDefault="005D59EA" w:rsidP="007E2727">
      <w:pPr>
        <w:rPr>
          <w:rFonts w:cs="Arial"/>
          <w:i/>
          <w:iCs/>
          <w:sz w:val="22"/>
          <w:szCs w:val="22"/>
        </w:rPr>
      </w:pPr>
    </w:p>
    <w:p w14:paraId="689AE007" w14:textId="2BB49203" w:rsidR="005D59EA" w:rsidRPr="005D59EA" w:rsidRDefault="005D59EA" w:rsidP="007E2727">
      <w:pPr>
        <w:rPr>
          <w:rFonts w:cs="Arial"/>
          <w:sz w:val="22"/>
          <w:szCs w:val="22"/>
        </w:rPr>
      </w:pPr>
      <w:r w:rsidRPr="005D59EA">
        <w:rPr>
          <w:rFonts w:cs="Arial"/>
          <w:sz w:val="22"/>
          <w:szCs w:val="22"/>
        </w:rPr>
        <w:t xml:space="preserve">Ver respuesta a </w:t>
      </w:r>
      <w:r w:rsidRPr="005D59EA">
        <w:rPr>
          <w:rFonts w:cs="Arial"/>
          <w:sz w:val="22"/>
          <w:szCs w:val="22"/>
        </w:rPr>
        <w:fldChar w:fldCharType="begin"/>
      </w:r>
      <w:r w:rsidRPr="005D59EA">
        <w:rPr>
          <w:rFonts w:cs="Arial"/>
          <w:sz w:val="22"/>
          <w:szCs w:val="22"/>
        </w:rPr>
        <w:instrText xml:space="preserve"> REF _Ref132029785 \r \h </w:instrText>
      </w:r>
      <w:r>
        <w:rPr>
          <w:rFonts w:cs="Arial"/>
          <w:sz w:val="22"/>
          <w:szCs w:val="22"/>
        </w:rPr>
        <w:instrText xml:space="preserve"> \* MERGEFORMAT </w:instrText>
      </w:r>
      <w:r w:rsidRPr="005D59EA">
        <w:rPr>
          <w:rFonts w:cs="Arial"/>
          <w:sz w:val="22"/>
          <w:szCs w:val="22"/>
        </w:rPr>
      </w:r>
      <w:r w:rsidRPr="005D59EA">
        <w:rPr>
          <w:rFonts w:cs="Arial"/>
          <w:sz w:val="22"/>
          <w:szCs w:val="22"/>
        </w:rPr>
        <w:fldChar w:fldCharType="separate"/>
      </w:r>
      <w:r w:rsidR="007651EA">
        <w:rPr>
          <w:rFonts w:cs="Arial"/>
          <w:sz w:val="22"/>
          <w:szCs w:val="22"/>
        </w:rPr>
        <w:t>17.1.1.5</w:t>
      </w:r>
      <w:r w:rsidRPr="005D59EA">
        <w:rPr>
          <w:rFonts w:cs="Arial"/>
          <w:sz w:val="22"/>
          <w:szCs w:val="22"/>
        </w:rPr>
        <w:fldChar w:fldCharType="end"/>
      </w:r>
      <w:r w:rsidRPr="005D59EA">
        <w:rPr>
          <w:rFonts w:cs="Arial"/>
          <w:sz w:val="22"/>
          <w:szCs w:val="22"/>
        </w:rPr>
        <w:t>.</w:t>
      </w:r>
    </w:p>
    <w:p w14:paraId="4282DE38" w14:textId="77777777" w:rsidR="007E2727" w:rsidRPr="005D59EA" w:rsidRDefault="007E2727" w:rsidP="007E2727">
      <w:pPr>
        <w:rPr>
          <w:rFonts w:cs="Arial"/>
          <w:i/>
          <w:iCs/>
          <w:sz w:val="22"/>
          <w:szCs w:val="22"/>
        </w:rPr>
      </w:pPr>
    </w:p>
    <w:p w14:paraId="5EB64278" w14:textId="77777777" w:rsidR="005D59EA" w:rsidRDefault="005D59EA" w:rsidP="007E2727">
      <w:pPr>
        <w:rPr>
          <w:rFonts w:cs="Arial"/>
          <w:i/>
          <w:iCs/>
          <w:sz w:val="22"/>
          <w:szCs w:val="22"/>
        </w:rPr>
      </w:pPr>
    </w:p>
    <w:p w14:paraId="2968CB60" w14:textId="77777777" w:rsidR="005D59EA" w:rsidRDefault="005D59EA" w:rsidP="005D59EA">
      <w:pPr>
        <w:pStyle w:val="Ttulo4"/>
      </w:pPr>
      <w:r w:rsidRPr="007E2727">
        <w:t>TERPEL</w:t>
      </w:r>
      <w:r w:rsidRPr="007E2727">
        <w:tab/>
      </w:r>
    </w:p>
    <w:p w14:paraId="00E10708" w14:textId="6BC19A0A" w:rsidR="007E2727" w:rsidRPr="005D59EA" w:rsidRDefault="004D7593" w:rsidP="007E2727">
      <w:pPr>
        <w:rPr>
          <w:rFonts w:cs="Arial"/>
          <w:i/>
          <w:iCs/>
          <w:sz w:val="22"/>
          <w:szCs w:val="22"/>
        </w:rPr>
      </w:pPr>
      <w:r>
        <w:rPr>
          <w:rFonts w:cs="Arial"/>
          <w:i/>
          <w:iCs/>
          <w:sz w:val="22"/>
          <w:szCs w:val="22"/>
        </w:rPr>
        <w:t>“</w:t>
      </w:r>
      <w:r w:rsidR="007E2727" w:rsidRPr="005D59EA">
        <w:rPr>
          <w:rFonts w:cs="Arial"/>
          <w:i/>
          <w:iCs/>
          <w:sz w:val="22"/>
          <w:szCs w:val="22"/>
        </w:rPr>
        <w:t xml:space="preserve">Por lo anterior, sugerimos a la CREG revisar las implicaciones de la flexibilidad en la comercialización que se le estaría otorgando al GNI en materia de autosuficiencia en la producción, vulnerabilidad del país ante los mercados internacionales y las asimetrías en competencia aquí mencionadas en contra del gas natural nacional. Adicionalmente, y en específico al incentivo del artículo 19 y 20 para suministro de gas natural mediante infraestructuras de importación establecidas en el Plan de Abastecimiento de Gas Natural, sugerimos que, de acuerdo a lo descrito en el documento CREG 188 de 2021 que acompaña esta resolución en consulta, la comercialización del gas importado a través de Infraestructuras de Regasificación incluidas en los Planes de Abastecimiento de Gas </w:t>
      </w:r>
      <w:proofErr w:type="gramStart"/>
      <w:r w:rsidR="007E2727" w:rsidRPr="005D59EA">
        <w:rPr>
          <w:rFonts w:cs="Arial"/>
          <w:i/>
          <w:iCs/>
          <w:sz w:val="22"/>
          <w:szCs w:val="22"/>
        </w:rPr>
        <w:t>Natural,</w:t>
      </w:r>
      <w:proofErr w:type="gramEnd"/>
      <w:r w:rsidR="007E2727" w:rsidRPr="005D59EA">
        <w:rPr>
          <w:rFonts w:cs="Arial"/>
          <w:i/>
          <w:iCs/>
          <w:sz w:val="22"/>
          <w:szCs w:val="22"/>
        </w:rPr>
        <w:t xml:space="preserve"> sea regulada en resolución posterior."</w:t>
      </w:r>
    </w:p>
    <w:p w14:paraId="53C8C779" w14:textId="58995B2D" w:rsidR="005D59EA" w:rsidRDefault="005D59EA" w:rsidP="007E2727">
      <w:pPr>
        <w:rPr>
          <w:rFonts w:cs="Arial"/>
          <w:sz w:val="22"/>
          <w:szCs w:val="22"/>
        </w:rPr>
      </w:pPr>
    </w:p>
    <w:p w14:paraId="0E4BAE9C" w14:textId="3C6EBFB3" w:rsidR="005D59EA" w:rsidRPr="005D59EA" w:rsidRDefault="005D59EA" w:rsidP="007E2727">
      <w:pPr>
        <w:rPr>
          <w:rFonts w:cs="Arial"/>
          <w:b/>
          <w:bCs/>
          <w:sz w:val="22"/>
          <w:szCs w:val="22"/>
        </w:rPr>
      </w:pPr>
      <w:r w:rsidRPr="005D59EA">
        <w:rPr>
          <w:rFonts w:cs="Arial"/>
          <w:b/>
          <w:bCs/>
          <w:sz w:val="22"/>
          <w:szCs w:val="22"/>
        </w:rPr>
        <w:t>Respuesta:</w:t>
      </w:r>
    </w:p>
    <w:p w14:paraId="7FBD0167" w14:textId="6F88BFD9" w:rsidR="005D59EA" w:rsidRDefault="005D59EA" w:rsidP="007E2727">
      <w:pPr>
        <w:rPr>
          <w:rFonts w:cs="Arial"/>
          <w:sz w:val="22"/>
          <w:szCs w:val="22"/>
        </w:rPr>
      </w:pPr>
    </w:p>
    <w:p w14:paraId="3F89135B" w14:textId="7293AB88" w:rsidR="005D59EA" w:rsidRPr="007E2727" w:rsidRDefault="005D59EA" w:rsidP="007E27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_Ref132029816 \r \h </w:instrText>
      </w:r>
      <w:r>
        <w:rPr>
          <w:rFonts w:cs="Arial"/>
          <w:sz w:val="22"/>
          <w:szCs w:val="22"/>
        </w:rPr>
      </w:r>
      <w:r>
        <w:rPr>
          <w:rFonts w:cs="Arial"/>
          <w:sz w:val="22"/>
          <w:szCs w:val="22"/>
        </w:rPr>
        <w:fldChar w:fldCharType="separate"/>
      </w:r>
      <w:r w:rsidR="007651EA">
        <w:rPr>
          <w:rFonts w:cs="Arial"/>
          <w:sz w:val="22"/>
          <w:szCs w:val="22"/>
        </w:rPr>
        <w:t>17.1.1.6</w:t>
      </w:r>
      <w:r>
        <w:rPr>
          <w:rFonts w:cs="Arial"/>
          <w:sz w:val="22"/>
          <w:szCs w:val="22"/>
        </w:rPr>
        <w:fldChar w:fldCharType="end"/>
      </w:r>
      <w:r>
        <w:rPr>
          <w:rFonts w:cs="Arial"/>
          <w:sz w:val="22"/>
          <w:szCs w:val="22"/>
        </w:rPr>
        <w:t>.</w:t>
      </w:r>
    </w:p>
    <w:p w14:paraId="4EEC0A8B" w14:textId="77777777" w:rsidR="0060003A" w:rsidRDefault="0060003A" w:rsidP="007E2727">
      <w:pPr>
        <w:rPr>
          <w:rFonts w:cs="Arial"/>
          <w:sz w:val="22"/>
          <w:szCs w:val="22"/>
        </w:rPr>
      </w:pPr>
    </w:p>
    <w:p w14:paraId="26B1C6FC" w14:textId="77777777" w:rsidR="0060003A" w:rsidRDefault="0060003A" w:rsidP="007E2727">
      <w:pPr>
        <w:rPr>
          <w:rFonts w:cs="Arial"/>
          <w:sz w:val="22"/>
          <w:szCs w:val="22"/>
        </w:rPr>
      </w:pPr>
    </w:p>
    <w:p w14:paraId="58DFFA09" w14:textId="77777777" w:rsidR="0060003A" w:rsidRDefault="007E2727" w:rsidP="002313DA">
      <w:pPr>
        <w:pStyle w:val="Ttulo2"/>
      </w:pPr>
      <w:bookmarkStart w:id="759" w:name="_Toc140506414"/>
      <w:r w:rsidRPr="007E2727">
        <w:t>VANTI</w:t>
      </w:r>
      <w:bookmarkEnd w:id="759"/>
      <w:r w:rsidRPr="007E2727">
        <w:tab/>
      </w:r>
    </w:p>
    <w:p w14:paraId="655475FE" w14:textId="77777777" w:rsidR="00F52B11" w:rsidRDefault="00F52B11" w:rsidP="00F52B11">
      <w:pPr>
        <w:pStyle w:val="Ttulo4"/>
      </w:pPr>
      <w:r w:rsidRPr="007E2727">
        <w:t>VANTI</w:t>
      </w:r>
      <w:r w:rsidRPr="007E2727">
        <w:tab/>
      </w:r>
    </w:p>
    <w:p w14:paraId="34CE4E1F" w14:textId="47444CF7" w:rsidR="0060003A" w:rsidRPr="005D59EA" w:rsidRDefault="004D7593" w:rsidP="007E2727">
      <w:pPr>
        <w:rPr>
          <w:rFonts w:cs="Arial"/>
          <w:i/>
          <w:iCs/>
          <w:sz w:val="22"/>
          <w:szCs w:val="22"/>
        </w:rPr>
      </w:pPr>
      <w:r>
        <w:rPr>
          <w:rFonts w:cs="Arial"/>
          <w:i/>
          <w:iCs/>
          <w:sz w:val="22"/>
          <w:szCs w:val="22"/>
        </w:rPr>
        <w:t>“</w:t>
      </w:r>
      <w:r w:rsidR="007E2727" w:rsidRPr="005D59EA">
        <w:rPr>
          <w:rFonts w:cs="Arial"/>
          <w:i/>
          <w:iCs/>
          <w:sz w:val="22"/>
          <w:szCs w:val="22"/>
        </w:rPr>
        <w:t xml:space="preserve">No es clara la liberalidad de la modalidad contractual, entre Fuentes de Suministro Nacionales vs Puntos de Importación que tengan esta logística GNC y GNL. Para Puntos de Importación, el parágrafo del artículo 20 exceptúa el regirse por las modalidades de contratos del artículo 8 a los comercializadores del numeral 2 literales a) y c) del artículo 19, esto es, a comercializadores de gas importado para la atención de consumo térmico (literal a) y a comercializadores de gas importado cuando se destine al servicio público de gas natural con suministro de GNC, GNL o gas metano en depósitos de carbón (literal c). Según esto, como lo entendemos, debe especificarse claramente en la resolución la liberalidad para Fuentes de Suministro nacionales, y en caso tal, incluir el literal g) del numeral 1, del artículo 19 dentro del parágrafo el artículo 20. </w:t>
      </w:r>
    </w:p>
    <w:p w14:paraId="7D677FB0" w14:textId="77777777" w:rsidR="0060003A" w:rsidRPr="005D59EA" w:rsidRDefault="0060003A" w:rsidP="007E2727">
      <w:pPr>
        <w:rPr>
          <w:rFonts w:cs="Arial"/>
          <w:i/>
          <w:iCs/>
          <w:sz w:val="22"/>
          <w:szCs w:val="22"/>
        </w:rPr>
      </w:pPr>
    </w:p>
    <w:p w14:paraId="6249F361" w14:textId="4858C6EB" w:rsidR="00D26961" w:rsidRDefault="007E2727" w:rsidP="007E2727">
      <w:pPr>
        <w:rPr>
          <w:rFonts w:cs="Arial"/>
          <w:sz w:val="22"/>
          <w:szCs w:val="22"/>
        </w:rPr>
      </w:pPr>
      <w:r w:rsidRPr="005D59EA">
        <w:rPr>
          <w:rFonts w:cs="Arial"/>
          <w:i/>
          <w:iCs/>
          <w:sz w:val="22"/>
          <w:szCs w:val="22"/>
        </w:rPr>
        <w:t>En cuanto a la liberalidad contractual del Gas Metano en Depósitos de Carbón (GMDC), no es clara la aplicación entre Fuentes de Suministro Nacionales vs Puntos de Importación, en lo cual estamos de acuerdo y se solicita el favor de aclarar</w:t>
      </w:r>
      <w:r w:rsidRPr="007E2727">
        <w:rPr>
          <w:rFonts w:cs="Arial"/>
          <w:sz w:val="22"/>
          <w:szCs w:val="22"/>
        </w:rPr>
        <w:t>.</w:t>
      </w:r>
      <w:r w:rsidR="00AD3048">
        <w:rPr>
          <w:rFonts w:cs="Arial"/>
          <w:sz w:val="22"/>
          <w:szCs w:val="22"/>
        </w:rPr>
        <w:t>”</w:t>
      </w:r>
    </w:p>
    <w:p w14:paraId="2C247208" w14:textId="0D376A59" w:rsidR="005D59EA" w:rsidRDefault="005D59EA" w:rsidP="007E2727">
      <w:pPr>
        <w:rPr>
          <w:rFonts w:cs="Arial"/>
          <w:sz w:val="22"/>
          <w:szCs w:val="22"/>
        </w:rPr>
      </w:pPr>
    </w:p>
    <w:p w14:paraId="21F79477" w14:textId="1BCF82E3" w:rsidR="005D59EA" w:rsidRPr="005D59EA" w:rsidRDefault="005D59EA" w:rsidP="007E2727">
      <w:pPr>
        <w:rPr>
          <w:rFonts w:cs="Arial"/>
          <w:b/>
          <w:bCs/>
          <w:sz w:val="22"/>
          <w:szCs w:val="22"/>
        </w:rPr>
      </w:pPr>
      <w:r w:rsidRPr="005D59EA">
        <w:rPr>
          <w:rFonts w:cs="Arial"/>
          <w:b/>
          <w:bCs/>
          <w:sz w:val="22"/>
          <w:szCs w:val="22"/>
        </w:rPr>
        <w:t>Respuesta:</w:t>
      </w:r>
    </w:p>
    <w:p w14:paraId="02DCF192" w14:textId="712C1CDE" w:rsidR="005D59EA" w:rsidRDefault="005D59EA" w:rsidP="007E2727">
      <w:pPr>
        <w:rPr>
          <w:rFonts w:cs="Arial"/>
          <w:sz w:val="22"/>
          <w:szCs w:val="22"/>
        </w:rPr>
      </w:pPr>
    </w:p>
    <w:p w14:paraId="445C5EA5" w14:textId="3FCF7511" w:rsidR="005D59EA" w:rsidRDefault="001A4697" w:rsidP="007E2727">
      <w:pPr>
        <w:rPr>
          <w:rFonts w:cs="Arial"/>
          <w:sz w:val="22"/>
          <w:szCs w:val="22"/>
        </w:rPr>
      </w:pPr>
      <w:r>
        <w:rPr>
          <w:rFonts w:cs="Arial"/>
          <w:sz w:val="22"/>
          <w:szCs w:val="22"/>
        </w:rPr>
        <w:t>Se acoge el comentario.</w:t>
      </w:r>
    </w:p>
    <w:p w14:paraId="14CAED76" w14:textId="48048B01" w:rsidR="001A4697" w:rsidRDefault="001A4697" w:rsidP="007E2727">
      <w:pPr>
        <w:rPr>
          <w:rFonts w:cs="Arial"/>
          <w:sz w:val="22"/>
          <w:szCs w:val="22"/>
        </w:rPr>
      </w:pPr>
    </w:p>
    <w:p w14:paraId="7155759C" w14:textId="3B91F651" w:rsidR="001A4697" w:rsidRDefault="001A4697" w:rsidP="007E2727">
      <w:pPr>
        <w:rPr>
          <w:rFonts w:cs="Arial"/>
          <w:sz w:val="22"/>
          <w:szCs w:val="22"/>
        </w:rPr>
      </w:pPr>
      <w:r>
        <w:rPr>
          <w:rFonts w:cs="Arial"/>
          <w:sz w:val="22"/>
          <w:szCs w:val="22"/>
        </w:rPr>
        <w:t>En la propuesta inicial se cometió un error de redacción al escribir literal f) del numeral 1 cuando realmente corresponde es la literal g) del numeral 1 como se puede observar en el listado del Anexo 1 del documento de soporte CREG 188 de 2021, en el que aparece en la columna “Modalidad contractual libre” que se adiciona en la fila “</w:t>
      </w:r>
      <w:r w:rsidRPr="001A4697">
        <w:rPr>
          <w:rFonts w:cs="Arial"/>
          <w:i/>
          <w:iCs/>
          <w:sz w:val="22"/>
          <w:szCs w:val="22"/>
        </w:rPr>
        <w:t>Cuando los productores-comercializadores ofrezcan gas natural licuado y gas natural comprimido</w:t>
      </w:r>
      <w:r>
        <w:rPr>
          <w:rFonts w:cs="Arial"/>
          <w:sz w:val="22"/>
          <w:szCs w:val="22"/>
        </w:rPr>
        <w:t>”  del grupo “</w:t>
      </w:r>
      <w:r w:rsidRPr="001A4697">
        <w:rPr>
          <w:rFonts w:cs="Arial"/>
          <w:i/>
          <w:iCs/>
          <w:sz w:val="22"/>
          <w:szCs w:val="22"/>
        </w:rPr>
        <w:t>Gas natural nacional</w:t>
      </w:r>
      <w:r>
        <w:rPr>
          <w:rFonts w:cs="Arial"/>
          <w:sz w:val="22"/>
          <w:szCs w:val="22"/>
        </w:rPr>
        <w:t>” y en la fila “</w:t>
      </w:r>
      <w:r w:rsidRPr="001A4697">
        <w:rPr>
          <w:rFonts w:cs="Arial"/>
          <w:i/>
          <w:iCs/>
          <w:sz w:val="22"/>
          <w:szCs w:val="22"/>
        </w:rPr>
        <w:t>Cuando se destine en general el servicio público domiciliario de gas combustible</w:t>
      </w:r>
      <w:r>
        <w:rPr>
          <w:rFonts w:cs="Arial"/>
          <w:sz w:val="22"/>
          <w:szCs w:val="22"/>
        </w:rPr>
        <w:t>” del grupo “</w:t>
      </w:r>
      <w:r w:rsidRPr="001A4697">
        <w:rPr>
          <w:rFonts w:cs="Arial"/>
          <w:i/>
          <w:iCs/>
          <w:sz w:val="22"/>
          <w:szCs w:val="22"/>
        </w:rPr>
        <w:t>Gas natural importado</w:t>
      </w:r>
      <w:r>
        <w:rPr>
          <w:rFonts w:cs="Arial"/>
          <w:sz w:val="22"/>
          <w:szCs w:val="22"/>
        </w:rPr>
        <w:t>”.</w:t>
      </w:r>
    </w:p>
    <w:p w14:paraId="69A35D49" w14:textId="3B3EADE2" w:rsidR="00D04C7A" w:rsidRDefault="00D04C7A" w:rsidP="007E2727">
      <w:pPr>
        <w:rPr>
          <w:rFonts w:cs="Arial"/>
          <w:sz w:val="22"/>
          <w:szCs w:val="22"/>
        </w:rPr>
      </w:pPr>
    </w:p>
    <w:p w14:paraId="62FFDD1E" w14:textId="2F0BC8F2" w:rsidR="007E2727" w:rsidRDefault="00D04C7A" w:rsidP="00371CB5">
      <w:pPr>
        <w:rPr>
          <w:rFonts w:cs="Arial"/>
          <w:b/>
          <w:bCs/>
          <w:sz w:val="22"/>
          <w:szCs w:val="22"/>
        </w:rPr>
      </w:pPr>
      <w:r>
        <w:rPr>
          <w:rFonts w:cs="Arial"/>
          <w:sz w:val="22"/>
          <w:szCs w:val="22"/>
        </w:rPr>
        <w:t xml:space="preserve">Ahora bien, en </w:t>
      </w:r>
      <w:r w:rsidR="00176489">
        <w:rPr>
          <w:rFonts w:cs="Arial"/>
          <w:sz w:val="22"/>
          <w:szCs w:val="22"/>
        </w:rPr>
        <w:t>la</w:t>
      </w:r>
      <w:r>
        <w:rPr>
          <w:rFonts w:cs="Arial"/>
          <w:sz w:val="22"/>
          <w:szCs w:val="22"/>
        </w:rPr>
        <w:t xml:space="preserve"> nueva propuesta la libertad de condiciones de los contratos </w:t>
      </w:r>
      <w:r w:rsidR="00176489">
        <w:rPr>
          <w:rFonts w:cs="Arial"/>
          <w:sz w:val="22"/>
          <w:szCs w:val="22"/>
        </w:rPr>
        <w:t xml:space="preserve">del parágrafo en mención </w:t>
      </w:r>
      <w:r>
        <w:rPr>
          <w:rFonts w:cs="Arial"/>
          <w:sz w:val="22"/>
          <w:szCs w:val="22"/>
        </w:rPr>
        <w:t xml:space="preserve">se </w:t>
      </w:r>
      <w:r w:rsidR="00E81169">
        <w:rPr>
          <w:rFonts w:cs="Arial"/>
          <w:sz w:val="22"/>
          <w:szCs w:val="22"/>
        </w:rPr>
        <w:t>posibilita</w:t>
      </w:r>
      <w:r>
        <w:rPr>
          <w:rFonts w:cs="Arial"/>
          <w:sz w:val="22"/>
          <w:szCs w:val="22"/>
        </w:rPr>
        <w:t xml:space="preserve"> a aquellos contratos que no son de tipo firme o que garanticen firmeza.</w:t>
      </w:r>
    </w:p>
    <w:p w14:paraId="0BB571BE" w14:textId="77777777" w:rsidR="007E2727" w:rsidRDefault="007E2727" w:rsidP="00371CB5">
      <w:pPr>
        <w:rPr>
          <w:rFonts w:cs="Arial"/>
          <w:b/>
          <w:bCs/>
          <w:sz w:val="22"/>
          <w:szCs w:val="22"/>
        </w:rPr>
      </w:pPr>
    </w:p>
    <w:p w14:paraId="36E0611C" w14:textId="65DDA381" w:rsidR="00D26961" w:rsidRDefault="00D26961" w:rsidP="00D26961">
      <w:pPr>
        <w:pStyle w:val="Ttulo1"/>
        <w:numPr>
          <w:ilvl w:val="0"/>
          <w:numId w:val="1"/>
        </w:numPr>
        <w:rPr>
          <w:caps/>
        </w:rPr>
      </w:pPr>
      <w:bookmarkStart w:id="760" w:name="_Toc140506415"/>
      <w:r>
        <w:t xml:space="preserve">ARTÍCULO </w:t>
      </w:r>
      <w:r w:rsidR="00EF1C07">
        <w:t>20</w:t>
      </w:r>
      <w:r>
        <w:t xml:space="preserve">. </w:t>
      </w:r>
      <w:r w:rsidR="0070732E" w:rsidRPr="0070732E">
        <w:rPr>
          <w:caps/>
        </w:rPr>
        <w:t>Contratos objeto de las negociaciones directas en cualquier momento del año</w:t>
      </w:r>
      <w:bookmarkEnd w:id="760"/>
    </w:p>
    <w:p w14:paraId="53EF1298" w14:textId="77777777" w:rsidR="0015505C" w:rsidRDefault="0015505C" w:rsidP="00712A1A">
      <w:pPr>
        <w:pStyle w:val="Ttulo2"/>
      </w:pPr>
      <w:bookmarkStart w:id="761" w:name="_Toc140506416"/>
      <w:r w:rsidRPr="0015505C">
        <w:t>ACP</w:t>
      </w:r>
      <w:bookmarkEnd w:id="761"/>
      <w:r w:rsidRPr="0015505C">
        <w:tab/>
      </w:r>
    </w:p>
    <w:p w14:paraId="07F520AC" w14:textId="77777777" w:rsidR="00712A1A" w:rsidRDefault="00712A1A" w:rsidP="00712A1A">
      <w:pPr>
        <w:pStyle w:val="Ttulo4"/>
      </w:pPr>
      <w:bookmarkStart w:id="762" w:name="_Ref132032020"/>
      <w:r w:rsidRPr="0015505C">
        <w:t>ACP</w:t>
      </w:r>
      <w:bookmarkEnd w:id="762"/>
      <w:r w:rsidRPr="0015505C">
        <w:tab/>
      </w:r>
    </w:p>
    <w:p w14:paraId="3092673D" w14:textId="04C77308" w:rsidR="0015505C" w:rsidRPr="00A943DE" w:rsidRDefault="0015505C" w:rsidP="0015505C">
      <w:pPr>
        <w:rPr>
          <w:rFonts w:cs="Arial"/>
          <w:i/>
          <w:iCs/>
          <w:sz w:val="22"/>
          <w:szCs w:val="22"/>
        </w:rPr>
      </w:pPr>
      <w:r w:rsidRPr="0015505C">
        <w:rPr>
          <w:rFonts w:cs="Arial"/>
          <w:sz w:val="22"/>
          <w:szCs w:val="22"/>
        </w:rPr>
        <w:t>"</w:t>
      </w:r>
      <w:r w:rsidRPr="00A943DE">
        <w:rPr>
          <w:rFonts w:cs="Arial"/>
          <w:i/>
          <w:iCs/>
          <w:sz w:val="22"/>
          <w:szCs w:val="22"/>
        </w:rPr>
        <w:t xml:space="preserve">Sugerimos aclarar la última frase del parágrafo, en específico </w:t>
      </w:r>
      <w:r w:rsidR="00DF1414">
        <w:rPr>
          <w:rFonts w:cs="Arial"/>
          <w:i/>
          <w:iCs/>
          <w:sz w:val="22"/>
          <w:szCs w:val="22"/>
        </w:rPr>
        <w:t>‘</w:t>
      </w:r>
      <w:r w:rsidRPr="00A943DE">
        <w:rPr>
          <w:rFonts w:cs="Arial"/>
          <w:i/>
          <w:iCs/>
          <w:sz w:val="22"/>
          <w:szCs w:val="22"/>
        </w:rPr>
        <w:t>En estos casos las partes definirán las condiciones de los contratos que celebren y deberán contener lo dispuesto en el Capítulo II del Título III de la presente resolución, excepto en los casos de campos en pruebas extensas y de actualización de precios para el gas natural importado.</w:t>
      </w:r>
      <w:r w:rsidR="00DF1414">
        <w:rPr>
          <w:rFonts w:cs="Arial"/>
          <w:i/>
          <w:iCs/>
          <w:sz w:val="22"/>
          <w:szCs w:val="22"/>
        </w:rPr>
        <w:t>’</w:t>
      </w:r>
      <w:r w:rsidRPr="00A943DE">
        <w:rPr>
          <w:rFonts w:cs="Arial"/>
          <w:i/>
          <w:iCs/>
          <w:sz w:val="22"/>
          <w:szCs w:val="22"/>
        </w:rPr>
        <w:t xml:space="preserve"> De la redacción no se entiende si los campos en pruebas extensas no pueden definir las condiciones de los contratos que celebren, o si están </w:t>
      </w:r>
      <w:proofErr w:type="spellStart"/>
      <w:r w:rsidRPr="00A943DE">
        <w:rPr>
          <w:rFonts w:cs="Arial"/>
          <w:i/>
          <w:iCs/>
          <w:sz w:val="22"/>
          <w:szCs w:val="22"/>
        </w:rPr>
        <w:t>exeptuados</w:t>
      </w:r>
      <w:proofErr w:type="spellEnd"/>
      <w:r w:rsidRPr="00A943DE">
        <w:rPr>
          <w:rFonts w:cs="Arial"/>
          <w:i/>
          <w:iCs/>
          <w:sz w:val="22"/>
          <w:szCs w:val="22"/>
        </w:rPr>
        <w:t xml:space="preserve"> </w:t>
      </w:r>
      <w:proofErr w:type="spellStart"/>
      <w:r w:rsidRPr="00A943DE">
        <w:rPr>
          <w:rFonts w:cs="Arial"/>
          <w:i/>
          <w:iCs/>
          <w:sz w:val="22"/>
          <w:szCs w:val="22"/>
        </w:rPr>
        <w:t>unicamente</w:t>
      </w:r>
      <w:proofErr w:type="spellEnd"/>
      <w:r w:rsidRPr="00A943DE">
        <w:rPr>
          <w:rFonts w:cs="Arial"/>
          <w:i/>
          <w:iCs/>
          <w:sz w:val="22"/>
          <w:szCs w:val="22"/>
        </w:rPr>
        <w:t xml:space="preserve"> de lo dispuesto en el  Capítulo II del Título III.</w:t>
      </w:r>
    </w:p>
    <w:p w14:paraId="7B8F5CC8" w14:textId="77777777" w:rsidR="0015505C" w:rsidRPr="00A943DE" w:rsidRDefault="0015505C" w:rsidP="0015505C">
      <w:pPr>
        <w:rPr>
          <w:rFonts w:cs="Arial"/>
          <w:i/>
          <w:iCs/>
          <w:sz w:val="22"/>
          <w:szCs w:val="22"/>
        </w:rPr>
      </w:pPr>
    </w:p>
    <w:p w14:paraId="45E76BC0" w14:textId="6EFBBA30" w:rsidR="0015505C" w:rsidRDefault="0015505C" w:rsidP="0015505C">
      <w:pPr>
        <w:rPr>
          <w:rFonts w:cs="Arial"/>
          <w:sz w:val="22"/>
          <w:szCs w:val="22"/>
        </w:rPr>
      </w:pPr>
      <w:r w:rsidRPr="00A943DE">
        <w:rPr>
          <w:rFonts w:cs="Arial"/>
          <w:i/>
          <w:iCs/>
          <w:sz w:val="22"/>
          <w:szCs w:val="22"/>
        </w:rPr>
        <w:t>En cualquier caso, sugerimos</w:t>
      </w:r>
      <w:r w:rsidRPr="0015505C">
        <w:rPr>
          <w:rFonts w:cs="Arial"/>
          <w:sz w:val="22"/>
          <w:szCs w:val="22"/>
        </w:rPr>
        <w:t xml:space="preserve"> que esta última frase del </w:t>
      </w:r>
      <w:proofErr w:type="gramStart"/>
      <w:r w:rsidRPr="0015505C">
        <w:rPr>
          <w:rFonts w:cs="Arial"/>
          <w:sz w:val="22"/>
          <w:szCs w:val="22"/>
        </w:rPr>
        <w:t>parágrafo,</w:t>
      </w:r>
      <w:proofErr w:type="gramEnd"/>
      <w:r w:rsidRPr="0015505C">
        <w:rPr>
          <w:rFonts w:cs="Arial"/>
          <w:sz w:val="22"/>
          <w:szCs w:val="22"/>
        </w:rPr>
        <w:t xml:space="preserve"> quede igual a como estaba en la Resolución 186/2021"</w:t>
      </w:r>
    </w:p>
    <w:p w14:paraId="4A22B1F5" w14:textId="45CBA7D7" w:rsidR="00A943DE" w:rsidRDefault="00A943DE" w:rsidP="0015505C">
      <w:pPr>
        <w:rPr>
          <w:rFonts w:cs="Arial"/>
          <w:sz w:val="22"/>
          <w:szCs w:val="22"/>
        </w:rPr>
      </w:pPr>
    </w:p>
    <w:p w14:paraId="30F2C8B6" w14:textId="583D5635" w:rsidR="00A943DE" w:rsidRPr="00A943DE" w:rsidRDefault="00A943DE" w:rsidP="0015505C">
      <w:pPr>
        <w:rPr>
          <w:rFonts w:cs="Arial"/>
          <w:b/>
          <w:bCs/>
          <w:sz w:val="22"/>
          <w:szCs w:val="22"/>
        </w:rPr>
      </w:pPr>
      <w:r w:rsidRPr="00A943DE">
        <w:rPr>
          <w:rFonts w:cs="Arial"/>
          <w:b/>
          <w:bCs/>
          <w:sz w:val="22"/>
          <w:szCs w:val="22"/>
        </w:rPr>
        <w:t>Respuesta:</w:t>
      </w:r>
    </w:p>
    <w:p w14:paraId="44210246" w14:textId="6C94A69D" w:rsidR="00A943DE" w:rsidRDefault="00A943DE" w:rsidP="0015505C">
      <w:pPr>
        <w:rPr>
          <w:rFonts w:cs="Arial"/>
          <w:sz w:val="22"/>
          <w:szCs w:val="22"/>
        </w:rPr>
      </w:pPr>
    </w:p>
    <w:p w14:paraId="1DC8D4B7" w14:textId="5E64CF7D" w:rsidR="00A943DE" w:rsidRDefault="00A943DE" w:rsidP="0015505C">
      <w:pPr>
        <w:rPr>
          <w:rFonts w:cs="Arial"/>
          <w:sz w:val="22"/>
          <w:szCs w:val="22"/>
        </w:rPr>
      </w:pPr>
      <w:r>
        <w:rPr>
          <w:rFonts w:cs="Arial"/>
          <w:sz w:val="22"/>
          <w:szCs w:val="22"/>
        </w:rPr>
        <w:t>Se acoge el comentario parcialmente.</w:t>
      </w:r>
    </w:p>
    <w:p w14:paraId="5C78DBA7" w14:textId="238F8F6E" w:rsidR="00A943DE" w:rsidRDefault="00A943DE" w:rsidP="0015505C">
      <w:pPr>
        <w:rPr>
          <w:rFonts w:cs="Arial"/>
          <w:sz w:val="22"/>
          <w:szCs w:val="22"/>
        </w:rPr>
      </w:pPr>
    </w:p>
    <w:p w14:paraId="0EB7133E" w14:textId="25480921" w:rsidR="00A943DE" w:rsidRDefault="00A943DE" w:rsidP="0015505C">
      <w:pPr>
        <w:rPr>
          <w:rFonts w:cs="Arial"/>
          <w:sz w:val="22"/>
          <w:szCs w:val="22"/>
        </w:rPr>
      </w:pPr>
      <w:r>
        <w:rPr>
          <w:rFonts w:cs="Arial"/>
          <w:sz w:val="22"/>
          <w:szCs w:val="22"/>
        </w:rPr>
        <w:t xml:space="preserve">En la nueva propuesta se establece un parágrafo claro al respecto de modo que </w:t>
      </w:r>
      <w:r w:rsidRPr="00A943DE">
        <w:rPr>
          <w:rFonts w:cs="Arial"/>
          <w:sz w:val="22"/>
          <w:szCs w:val="22"/>
        </w:rPr>
        <w:t xml:space="preserve">se exceptúan los </w:t>
      </w:r>
      <w:r>
        <w:rPr>
          <w:rFonts w:cs="Arial"/>
          <w:sz w:val="22"/>
          <w:szCs w:val="22"/>
        </w:rPr>
        <w:t>c</w:t>
      </w:r>
      <w:r w:rsidRPr="00A943DE">
        <w:rPr>
          <w:rFonts w:cs="Arial"/>
          <w:sz w:val="22"/>
          <w:szCs w:val="22"/>
        </w:rPr>
        <w:t xml:space="preserve">ampos que se encuentren en pruebas extensas o sobre los cuales no se haya declarado su comercialidad, </w:t>
      </w:r>
      <w:r>
        <w:rPr>
          <w:rFonts w:cs="Arial"/>
          <w:sz w:val="22"/>
          <w:szCs w:val="22"/>
        </w:rPr>
        <w:t>c</w:t>
      </w:r>
      <w:r w:rsidRPr="00A943DE">
        <w:rPr>
          <w:rFonts w:cs="Arial"/>
          <w:sz w:val="22"/>
          <w:szCs w:val="22"/>
        </w:rPr>
        <w:t xml:space="preserve">uando provenga de un campo aislado </w:t>
      </w:r>
      <w:r>
        <w:rPr>
          <w:rFonts w:cs="Arial"/>
          <w:sz w:val="22"/>
          <w:szCs w:val="22"/>
        </w:rPr>
        <w:t>c</w:t>
      </w:r>
      <w:r w:rsidRPr="00A943DE">
        <w:rPr>
          <w:rFonts w:cs="Arial"/>
          <w:sz w:val="22"/>
          <w:szCs w:val="22"/>
        </w:rPr>
        <w:t xml:space="preserve">uando provenga de Fuentes de Suministro nacionales que requieren logísticas especiales para su comercialización, como gas natural comprimido - GNC o gas natural licuado - GNL, </w:t>
      </w:r>
      <w:r>
        <w:rPr>
          <w:rFonts w:cs="Arial"/>
          <w:sz w:val="22"/>
          <w:szCs w:val="22"/>
        </w:rPr>
        <w:t>c</w:t>
      </w:r>
      <w:r w:rsidRPr="00A943DE">
        <w:rPr>
          <w:rFonts w:cs="Arial"/>
          <w:sz w:val="22"/>
          <w:szCs w:val="22"/>
        </w:rPr>
        <w:t>uando se destine a la atención de la demanda del sector térmico, en los términos señalados en la Resolución CREG 062 de 2013</w:t>
      </w:r>
      <w:r>
        <w:rPr>
          <w:rFonts w:cs="Arial"/>
          <w:sz w:val="22"/>
          <w:szCs w:val="22"/>
        </w:rPr>
        <w:t xml:space="preserve"> </w:t>
      </w:r>
      <w:r w:rsidRPr="00A943DE">
        <w:rPr>
          <w:rFonts w:cs="Arial"/>
          <w:sz w:val="22"/>
          <w:szCs w:val="22"/>
        </w:rPr>
        <w:t xml:space="preserve">y </w:t>
      </w:r>
      <w:r>
        <w:rPr>
          <w:rFonts w:cs="Arial"/>
          <w:sz w:val="22"/>
          <w:szCs w:val="22"/>
        </w:rPr>
        <w:t>c</w:t>
      </w:r>
      <w:r w:rsidRPr="00A943DE">
        <w:rPr>
          <w:rFonts w:cs="Arial"/>
          <w:sz w:val="22"/>
          <w:szCs w:val="22"/>
        </w:rPr>
        <w:t>uando se destine en general al servicio público de gas combustible</w:t>
      </w:r>
      <w:r>
        <w:rPr>
          <w:rFonts w:cs="Arial"/>
          <w:sz w:val="22"/>
          <w:szCs w:val="22"/>
        </w:rPr>
        <w:t xml:space="preserve">. </w:t>
      </w:r>
    </w:p>
    <w:p w14:paraId="1ABF3473" w14:textId="77777777" w:rsidR="00A943DE" w:rsidRDefault="00A943DE" w:rsidP="0015505C">
      <w:pPr>
        <w:rPr>
          <w:rFonts w:cs="Arial"/>
          <w:sz w:val="22"/>
          <w:szCs w:val="22"/>
        </w:rPr>
      </w:pPr>
    </w:p>
    <w:p w14:paraId="557E28CE" w14:textId="2069ED3E" w:rsidR="00A943DE" w:rsidRDefault="00A943DE" w:rsidP="0015505C">
      <w:pPr>
        <w:rPr>
          <w:rFonts w:cs="Arial"/>
          <w:sz w:val="22"/>
          <w:szCs w:val="22"/>
        </w:rPr>
      </w:pPr>
      <w:r>
        <w:rPr>
          <w:rFonts w:cs="Arial"/>
          <w:sz w:val="22"/>
          <w:szCs w:val="22"/>
        </w:rPr>
        <w:t xml:space="preserve">Todo lo anterior </w:t>
      </w:r>
      <w:r w:rsidRPr="00A943DE">
        <w:rPr>
          <w:rFonts w:cs="Arial"/>
          <w:sz w:val="22"/>
          <w:szCs w:val="22"/>
        </w:rPr>
        <w:t>siempre y cuando el suministro del gas que se contrate provenga de una sola Fuente de Suministro y no tenga por objeto el suministro de gas natural en firme o con garantía de firmeza de una cantidad del gas contratado. En estos casos exceptuados las partes, de común acuerdo, definirán las condiciones de los contratos que celebren.</w:t>
      </w:r>
    </w:p>
    <w:p w14:paraId="455BC4AB" w14:textId="77777777" w:rsidR="00A943DE" w:rsidRPr="0015505C" w:rsidRDefault="00A943DE" w:rsidP="0015505C">
      <w:pPr>
        <w:rPr>
          <w:rFonts w:cs="Arial"/>
          <w:sz w:val="22"/>
          <w:szCs w:val="22"/>
        </w:rPr>
      </w:pPr>
    </w:p>
    <w:p w14:paraId="1918EB44" w14:textId="77777777" w:rsidR="0015505C" w:rsidRDefault="0015505C" w:rsidP="0015505C">
      <w:pPr>
        <w:rPr>
          <w:rFonts w:cs="Arial"/>
          <w:sz w:val="22"/>
          <w:szCs w:val="22"/>
        </w:rPr>
      </w:pPr>
    </w:p>
    <w:p w14:paraId="53A53219" w14:textId="77777777" w:rsidR="0015505C" w:rsidRDefault="0015505C" w:rsidP="00712A1A">
      <w:pPr>
        <w:pStyle w:val="Ttulo2"/>
      </w:pPr>
      <w:bookmarkStart w:id="763" w:name="_Toc140506417"/>
      <w:r w:rsidRPr="0015505C">
        <w:t>CANACOL</w:t>
      </w:r>
      <w:bookmarkEnd w:id="763"/>
      <w:r w:rsidRPr="0015505C">
        <w:tab/>
      </w:r>
    </w:p>
    <w:p w14:paraId="7702EE43" w14:textId="77777777" w:rsidR="00712A1A" w:rsidRDefault="00712A1A" w:rsidP="00712A1A">
      <w:pPr>
        <w:pStyle w:val="Ttulo4"/>
      </w:pPr>
      <w:r w:rsidRPr="0015505C">
        <w:t>CANACOL</w:t>
      </w:r>
      <w:r w:rsidRPr="0015505C">
        <w:tab/>
      </w:r>
    </w:p>
    <w:p w14:paraId="5A1D91C5" w14:textId="12334330" w:rsidR="0015505C" w:rsidRPr="00A943DE" w:rsidRDefault="0015505C" w:rsidP="0015505C">
      <w:pPr>
        <w:rPr>
          <w:rFonts w:cs="Arial"/>
          <w:i/>
          <w:iCs/>
          <w:sz w:val="22"/>
          <w:szCs w:val="22"/>
        </w:rPr>
      </w:pPr>
      <w:r w:rsidRPr="0015505C">
        <w:rPr>
          <w:rFonts w:cs="Arial"/>
          <w:sz w:val="22"/>
          <w:szCs w:val="22"/>
        </w:rPr>
        <w:t>"</w:t>
      </w:r>
      <w:r w:rsidRPr="00A943DE">
        <w:rPr>
          <w:rFonts w:cs="Arial"/>
          <w:i/>
          <w:iCs/>
          <w:sz w:val="22"/>
          <w:szCs w:val="22"/>
        </w:rPr>
        <w:t xml:space="preserve">El parágrafo en mención establece condiciones </w:t>
      </w:r>
      <w:proofErr w:type="spellStart"/>
      <w:r w:rsidRPr="00A943DE">
        <w:rPr>
          <w:rFonts w:cs="Arial"/>
          <w:i/>
          <w:iCs/>
          <w:sz w:val="22"/>
          <w:szCs w:val="22"/>
        </w:rPr>
        <w:t>asimetricas</w:t>
      </w:r>
      <w:proofErr w:type="spellEnd"/>
      <w:r w:rsidRPr="00A943DE">
        <w:rPr>
          <w:rFonts w:cs="Arial"/>
          <w:i/>
          <w:iCs/>
          <w:sz w:val="22"/>
          <w:szCs w:val="22"/>
        </w:rPr>
        <w:t xml:space="preserve"> que afectan la libre competencia al dar libertad total de negociación a la importación y los campos off shore (incluso a un campo como </w:t>
      </w:r>
      <w:proofErr w:type="spellStart"/>
      <w:r w:rsidRPr="00A943DE">
        <w:rPr>
          <w:rFonts w:cs="Arial"/>
          <w:i/>
          <w:iCs/>
          <w:sz w:val="22"/>
          <w:szCs w:val="22"/>
        </w:rPr>
        <w:t>Chuchupa</w:t>
      </w:r>
      <w:proofErr w:type="spellEnd"/>
      <w:r w:rsidRPr="00A943DE">
        <w:rPr>
          <w:rFonts w:cs="Arial"/>
          <w:i/>
          <w:iCs/>
          <w:sz w:val="22"/>
          <w:szCs w:val="22"/>
        </w:rPr>
        <w:t xml:space="preserve"> que es un campo mayor y lleva décadas produciendo gas). </w:t>
      </w:r>
    </w:p>
    <w:p w14:paraId="3B6E176C" w14:textId="77777777" w:rsidR="0015505C" w:rsidRPr="00A943DE" w:rsidRDefault="0015505C" w:rsidP="0015505C">
      <w:pPr>
        <w:rPr>
          <w:rFonts w:cs="Arial"/>
          <w:i/>
          <w:iCs/>
          <w:sz w:val="22"/>
          <w:szCs w:val="22"/>
        </w:rPr>
      </w:pPr>
    </w:p>
    <w:p w14:paraId="778EC76F" w14:textId="575A29EC" w:rsidR="0015505C" w:rsidRPr="0015505C" w:rsidRDefault="0015505C" w:rsidP="0015505C">
      <w:pPr>
        <w:rPr>
          <w:rFonts w:cs="Arial"/>
          <w:sz w:val="22"/>
          <w:szCs w:val="22"/>
        </w:rPr>
      </w:pPr>
      <w:r w:rsidRPr="00A943DE">
        <w:rPr>
          <w:rFonts w:cs="Arial"/>
          <w:i/>
          <w:iCs/>
          <w:sz w:val="22"/>
          <w:szCs w:val="22"/>
        </w:rPr>
        <w:t xml:space="preserve">Así las cosas, esto se configura como una distorsión en el mercado, en contraposición de lo establecido en el artículo 365 de la Constitución Política, puesto que no se estaría garantizando la prestación eficiente del servicio público a todos los habitantes del territorio nacional, favoreciendo la importación de gas y los campos </w:t>
      </w:r>
      <w:proofErr w:type="gramStart"/>
      <w:r w:rsidRPr="00A943DE">
        <w:rPr>
          <w:rFonts w:cs="Arial"/>
          <w:i/>
          <w:iCs/>
          <w:sz w:val="22"/>
          <w:szCs w:val="22"/>
        </w:rPr>
        <w:t>offshore</w:t>
      </w:r>
      <w:proofErr w:type="gramEnd"/>
      <w:r w:rsidRPr="0015505C">
        <w:rPr>
          <w:rFonts w:cs="Arial"/>
          <w:sz w:val="22"/>
          <w:szCs w:val="22"/>
        </w:rPr>
        <w:t>. "</w:t>
      </w:r>
    </w:p>
    <w:p w14:paraId="63472966" w14:textId="77777777" w:rsidR="0015505C" w:rsidRDefault="0015505C" w:rsidP="0015505C">
      <w:pPr>
        <w:rPr>
          <w:rFonts w:cs="Arial"/>
          <w:sz w:val="22"/>
          <w:szCs w:val="22"/>
        </w:rPr>
      </w:pPr>
    </w:p>
    <w:p w14:paraId="3497ADDD" w14:textId="1B39CB42" w:rsidR="0015505C" w:rsidRDefault="00A943DE" w:rsidP="0015505C">
      <w:pPr>
        <w:rPr>
          <w:rFonts w:cs="Arial"/>
          <w:b/>
          <w:bCs/>
          <w:sz w:val="22"/>
          <w:szCs w:val="22"/>
        </w:rPr>
      </w:pPr>
      <w:r w:rsidRPr="00A943DE">
        <w:rPr>
          <w:rFonts w:cs="Arial"/>
          <w:b/>
          <w:bCs/>
          <w:sz w:val="22"/>
          <w:szCs w:val="22"/>
        </w:rPr>
        <w:t>Respuesta:</w:t>
      </w:r>
    </w:p>
    <w:p w14:paraId="133769F0" w14:textId="4FE7D030" w:rsidR="00A943DE" w:rsidRDefault="00A943DE" w:rsidP="0015505C">
      <w:pPr>
        <w:rPr>
          <w:rFonts w:cs="Arial"/>
          <w:b/>
          <w:bCs/>
          <w:sz w:val="22"/>
          <w:szCs w:val="22"/>
        </w:rPr>
      </w:pPr>
    </w:p>
    <w:p w14:paraId="0B2A9D87" w14:textId="2A907822" w:rsidR="00A943DE" w:rsidRPr="00C85DD2" w:rsidRDefault="00C85DD2" w:rsidP="0015505C">
      <w:pPr>
        <w:rPr>
          <w:rFonts w:cs="Arial"/>
          <w:sz w:val="22"/>
          <w:szCs w:val="22"/>
        </w:rPr>
      </w:pPr>
      <w:r w:rsidRPr="00C85DD2">
        <w:rPr>
          <w:rFonts w:cs="Arial"/>
          <w:sz w:val="22"/>
          <w:szCs w:val="22"/>
        </w:rPr>
        <w:t>No se acoge el comentario.</w:t>
      </w:r>
    </w:p>
    <w:p w14:paraId="035D7477" w14:textId="3349B0FA" w:rsidR="00C85DD2" w:rsidRDefault="00C85DD2" w:rsidP="0015505C">
      <w:pPr>
        <w:rPr>
          <w:rFonts w:cs="Arial"/>
          <w:b/>
          <w:bCs/>
          <w:sz w:val="22"/>
          <w:szCs w:val="22"/>
        </w:rPr>
      </w:pPr>
    </w:p>
    <w:p w14:paraId="2D17460E" w14:textId="7294B16D" w:rsidR="00C85DD2" w:rsidRPr="00C85DD2" w:rsidRDefault="00C85DD2" w:rsidP="0015505C">
      <w:pPr>
        <w:rPr>
          <w:rFonts w:cs="Arial"/>
          <w:sz w:val="22"/>
          <w:szCs w:val="22"/>
        </w:rPr>
      </w:pPr>
      <w:r w:rsidRPr="00C85DD2">
        <w:rPr>
          <w:rFonts w:cs="Arial"/>
          <w:sz w:val="22"/>
          <w:szCs w:val="22"/>
        </w:rPr>
        <w:t>Ver respuestas a</w:t>
      </w:r>
      <w:r>
        <w:rPr>
          <w:rFonts w:cs="Arial"/>
          <w:sz w:val="22"/>
          <w:szCs w:val="22"/>
        </w:rPr>
        <w:t xml:space="preserve"> </w:t>
      </w:r>
      <w:r>
        <w:rPr>
          <w:rFonts w:cs="Arial"/>
          <w:sz w:val="22"/>
          <w:szCs w:val="22"/>
        </w:rPr>
        <w:fldChar w:fldCharType="begin"/>
      </w:r>
      <w:r>
        <w:rPr>
          <w:rFonts w:cs="Arial"/>
          <w:sz w:val="22"/>
          <w:szCs w:val="22"/>
        </w:rPr>
        <w:instrText xml:space="preserve"> REF _Ref132031821 \r \h </w:instrText>
      </w:r>
      <w:r>
        <w:rPr>
          <w:rFonts w:cs="Arial"/>
          <w:sz w:val="22"/>
          <w:szCs w:val="22"/>
        </w:rPr>
      </w:r>
      <w:r>
        <w:rPr>
          <w:rFonts w:cs="Arial"/>
          <w:sz w:val="22"/>
          <w:szCs w:val="22"/>
        </w:rPr>
        <w:fldChar w:fldCharType="separate"/>
      </w:r>
      <w:r w:rsidR="007651EA">
        <w:rPr>
          <w:rFonts w:cs="Arial"/>
          <w:sz w:val="22"/>
          <w:szCs w:val="22"/>
        </w:rPr>
        <w:t>1.1.1.1</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_Ref130285959 \r \h </w:instrText>
      </w:r>
      <w:r>
        <w:rPr>
          <w:rFonts w:cs="Arial"/>
          <w:sz w:val="22"/>
          <w:szCs w:val="22"/>
        </w:rPr>
      </w:r>
      <w:r>
        <w:rPr>
          <w:rFonts w:cs="Arial"/>
          <w:sz w:val="22"/>
          <w:szCs w:val="22"/>
        </w:rPr>
        <w:fldChar w:fldCharType="separate"/>
      </w:r>
      <w:r w:rsidR="007651EA">
        <w:rPr>
          <w:rFonts w:cs="Arial"/>
          <w:sz w:val="22"/>
          <w:szCs w:val="22"/>
        </w:rPr>
        <w:t>1.2.1.5</w:t>
      </w:r>
      <w:r>
        <w:rPr>
          <w:rFonts w:cs="Arial"/>
          <w:sz w:val="22"/>
          <w:szCs w:val="22"/>
        </w:rPr>
        <w:fldChar w:fldCharType="end"/>
      </w:r>
      <w:r>
        <w:rPr>
          <w:rFonts w:cs="Arial"/>
          <w:sz w:val="22"/>
          <w:szCs w:val="22"/>
        </w:rPr>
        <w:t xml:space="preserve">, </w:t>
      </w:r>
      <w:r w:rsidRPr="00C85DD2">
        <w:rPr>
          <w:rFonts w:cs="Arial"/>
          <w:sz w:val="22"/>
          <w:szCs w:val="22"/>
        </w:rPr>
        <w:t xml:space="preserve"> </w:t>
      </w:r>
      <w:r>
        <w:rPr>
          <w:rFonts w:cs="Arial"/>
          <w:sz w:val="22"/>
          <w:szCs w:val="22"/>
        </w:rPr>
        <w:fldChar w:fldCharType="begin"/>
      </w:r>
      <w:r>
        <w:rPr>
          <w:rFonts w:cs="Arial"/>
          <w:sz w:val="22"/>
          <w:szCs w:val="22"/>
        </w:rPr>
        <w:instrText xml:space="preserve"> REF _Ref130818245 \r \h </w:instrText>
      </w:r>
      <w:r>
        <w:rPr>
          <w:rFonts w:cs="Arial"/>
          <w:sz w:val="22"/>
          <w:szCs w:val="22"/>
        </w:rPr>
      </w:r>
      <w:r>
        <w:rPr>
          <w:rFonts w:cs="Arial"/>
          <w:sz w:val="22"/>
          <w:szCs w:val="22"/>
        </w:rPr>
        <w:fldChar w:fldCharType="separate"/>
      </w:r>
      <w:r w:rsidR="007651EA">
        <w:rPr>
          <w:rFonts w:cs="Arial"/>
          <w:sz w:val="22"/>
          <w:szCs w:val="22"/>
        </w:rPr>
        <w:t>17.1.1.2</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_Ref130817932 \r \h </w:instrText>
      </w:r>
      <w:r>
        <w:rPr>
          <w:rFonts w:cs="Arial"/>
          <w:sz w:val="22"/>
          <w:szCs w:val="22"/>
        </w:rPr>
      </w:r>
      <w:r>
        <w:rPr>
          <w:rFonts w:cs="Arial"/>
          <w:sz w:val="22"/>
          <w:szCs w:val="22"/>
        </w:rPr>
        <w:fldChar w:fldCharType="separate"/>
      </w:r>
      <w:r w:rsidR="007651EA">
        <w:rPr>
          <w:rFonts w:cs="Arial"/>
          <w:sz w:val="22"/>
          <w:szCs w:val="22"/>
        </w:rPr>
        <w:t>17.1.1.3</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_Ref132029785 \r \h </w:instrText>
      </w:r>
      <w:r>
        <w:rPr>
          <w:rFonts w:cs="Arial"/>
          <w:sz w:val="22"/>
          <w:szCs w:val="22"/>
        </w:rPr>
      </w:r>
      <w:r>
        <w:rPr>
          <w:rFonts w:cs="Arial"/>
          <w:sz w:val="22"/>
          <w:szCs w:val="22"/>
        </w:rPr>
        <w:fldChar w:fldCharType="separate"/>
      </w:r>
      <w:r w:rsidR="007651EA">
        <w:rPr>
          <w:rFonts w:cs="Arial"/>
          <w:sz w:val="22"/>
          <w:szCs w:val="22"/>
        </w:rPr>
        <w:t>17.1.1.5</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_Ref132029816 \r \h </w:instrText>
      </w:r>
      <w:r>
        <w:rPr>
          <w:rFonts w:cs="Arial"/>
          <w:sz w:val="22"/>
          <w:szCs w:val="22"/>
        </w:rPr>
      </w:r>
      <w:r>
        <w:rPr>
          <w:rFonts w:cs="Arial"/>
          <w:sz w:val="22"/>
          <w:szCs w:val="22"/>
        </w:rPr>
        <w:fldChar w:fldCharType="separate"/>
      </w:r>
      <w:r w:rsidR="007651EA">
        <w:rPr>
          <w:rFonts w:cs="Arial"/>
          <w:sz w:val="22"/>
          <w:szCs w:val="22"/>
        </w:rPr>
        <w:t>17.1.1.6</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_Ref130973871 \r \h </w:instrText>
      </w:r>
      <w:r>
        <w:rPr>
          <w:rFonts w:cs="Arial"/>
          <w:sz w:val="22"/>
          <w:szCs w:val="22"/>
        </w:rPr>
      </w:r>
      <w:r>
        <w:rPr>
          <w:rFonts w:cs="Arial"/>
          <w:sz w:val="22"/>
          <w:szCs w:val="22"/>
        </w:rPr>
        <w:fldChar w:fldCharType="separate"/>
      </w:r>
      <w:r w:rsidR="007651EA">
        <w:rPr>
          <w:rFonts w:cs="Arial"/>
          <w:sz w:val="22"/>
          <w:szCs w:val="22"/>
        </w:rPr>
        <w:t>17.2.1.1</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_Ref132031612 \r \h </w:instrText>
      </w:r>
      <w:r>
        <w:rPr>
          <w:rFonts w:cs="Arial"/>
          <w:sz w:val="22"/>
          <w:szCs w:val="22"/>
        </w:rPr>
      </w:r>
      <w:r>
        <w:rPr>
          <w:rFonts w:cs="Arial"/>
          <w:sz w:val="22"/>
          <w:szCs w:val="22"/>
        </w:rPr>
        <w:fldChar w:fldCharType="separate"/>
      </w:r>
      <w:r w:rsidR="007651EA">
        <w:rPr>
          <w:rFonts w:cs="Arial"/>
          <w:sz w:val="22"/>
          <w:szCs w:val="22"/>
        </w:rPr>
        <w:t>17.14.1.8</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_Ref132031948 \r \h </w:instrText>
      </w:r>
      <w:r>
        <w:rPr>
          <w:rFonts w:cs="Arial"/>
          <w:sz w:val="22"/>
          <w:szCs w:val="22"/>
        </w:rPr>
      </w:r>
      <w:r>
        <w:rPr>
          <w:rFonts w:cs="Arial"/>
          <w:sz w:val="22"/>
          <w:szCs w:val="22"/>
        </w:rPr>
        <w:fldChar w:fldCharType="separate"/>
      </w:r>
      <w:r w:rsidR="007651EA">
        <w:rPr>
          <w:rFonts w:cs="Arial"/>
          <w:sz w:val="22"/>
          <w:szCs w:val="22"/>
        </w:rPr>
        <w:t>17.14.1.10</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_Ref132031670 \r \h </w:instrText>
      </w:r>
      <w:r>
        <w:rPr>
          <w:rFonts w:cs="Arial"/>
          <w:sz w:val="22"/>
          <w:szCs w:val="22"/>
        </w:rPr>
      </w:r>
      <w:r>
        <w:rPr>
          <w:rFonts w:cs="Arial"/>
          <w:sz w:val="22"/>
          <w:szCs w:val="22"/>
        </w:rPr>
        <w:fldChar w:fldCharType="separate"/>
      </w:r>
      <w:r w:rsidR="007651EA">
        <w:rPr>
          <w:rFonts w:cs="Arial"/>
          <w:sz w:val="22"/>
          <w:szCs w:val="22"/>
        </w:rPr>
        <w:t>17.20.1.1</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_Ref132026852 \r \h </w:instrText>
      </w:r>
      <w:r>
        <w:rPr>
          <w:rFonts w:cs="Arial"/>
          <w:sz w:val="22"/>
          <w:szCs w:val="22"/>
        </w:rPr>
      </w:r>
      <w:r>
        <w:rPr>
          <w:rFonts w:cs="Arial"/>
          <w:sz w:val="22"/>
          <w:szCs w:val="22"/>
        </w:rPr>
        <w:fldChar w:fldCharType="separate"/>
      </w:r>
      <w:r w:rsidR="007651EA">
        <w:rPr>
          <w:rFonts w:cs="Arial"/>
          <w:sz w:val="22"/>
          <w:szCs w:val="22"/>
        </w:rPr>
        <w:t>17.21.1.1</w:t>
      </w:r>
      <w:r>
        <w:rPr>
          <w:rFonts w:cs="Arial"/>
          <w:sz w:val="22"/>
          <w:szCs w:val="22"/>
        </w:rPr>
        <w:fldChar w:fldCharType="end"/>
      </w:r>
      <w:r>
        <w:rPr>
          <w:rFonts w:cs="Arial"/>
          <w:sz w:val="22"/>
          <w:szCs w:val="22"/>
        </w:rPr>
        <w:t xml:space="preserve">, </w:t>
      </w:r>
      <w:r>
        <w:rPr>
          <w:rFonts w:cs="Arial"/>
          <w:sz w:val="22"/>
          <w:szCs w:val="22"/>
        </w:rPr>
        <w:fldChar w:fldCharType="begin"/>
      </w:r>
      <w:r>
        <w:rPr>
          <w:rFonts w:cs="Arial"/>
          <w:sz w:val="22"/>
          <w:szCs w:val="22"/>
        </w:rPr>
        <w:instrText xml:space="preserve"> REF _Ref132031731 \r \h </w:instrText>
      </w:r>
      <w:r>
        <w:rPr>
          <w:rFonts w:cs="Arial"/>
          <w:sz w:val="22"/>
          <w:szCs w:val="22"/>
        </w:rPr>
      </w:r>
      <w:r>
        <w:rPr>
          <w:rFonts w:cs="Arial"/>
          <w:sz w:val="22"/>
          <w:szCs w:val="22"/>
        </w:rPr>
        <w:fldChar w:fldCharType="separate"/>
      </w:r>
      <w:r w:rsidR="007651EA">
        <w:rPr>
          <w:rFonts w:cs="Arial"/>
          <w:sz w:val="22"/>
          <w:szCs w:val="22"/>
        </w:rPr>
        <w:t>17.24.1.3</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_Ref132031704 \r \h </w:instrText>
      </w:r>
      <w:r>
        <w:rPr>
          <w:rFonts w:cs="Arial"/>
          <w:sz w:val="22"/>
          <w:szCs w:val="22"/>
        </w:rPr>
      </w:r>
      <w:r>
        <w:rPr>
          <w:rFonts w:cs="Arial"/>
          <w:sz w:val="22"/>
          <w:szCs w:val="22"/>
        </w:rPr>
        <w:fldChar w:fldCharType="separate"/>
      </w:r>
      <w:r w:rsidR="007651EA">
        <w:rPr>
          <w:rFonts w:cs="Arial"/>
          <w:sz w:val="22"/>
          <w:szCs w:val="22"/>
        </w:rPr>
        <w:t>17.22.1.1</w:t>
      </w:r>
      <w:r>
        <w:rPr>
          <w:rFonts w:cs="Arial"/>
          <w:sz w:val="22"/>
          <w:szCs w:val="22"/>
        </w:rPr>
        <w:fldChar w:fldCharType="end"/>
      </w:r>
      <w:r>
        <w:rPr>
          <w:rFonts w:cs="Arial"/>
          <w:sz w:val="22"/>
          <w:szCs w:val="22"/>
        </w:rPr>
        <w:t>.</w:t>
      </w:r>
    </w:p>
    <w:p w14:paraId="4B89FCC1" w14:textId="01FE8275" w:rsidR="00A943DE" w:rsidRDefault="00A943DE" w:rsidP="0015505C">
      <w:pPr>
        <w:rPr>
          <w:rFonts w:cs="Arial"/>
          <w:sz w:val="22"/>
          <w:szCs w:val="22"/>
        </w:rPr>
      </w:pPr>
    </w:p>
    <w:p w14:paraId="1BDF8258" w14:textId="77777777" w:rsidR="00A943DE" w:rsidRDefault="00A943DE" w:rsidP="0015505C">
      <w:pPr>
        <w:rPr>
          <w:rFonts w:cs="Arial"/>
          <w:sz w:val="22"/>
          <w:szCs w:val="22"/>
        </w:rPr>
      </w:pPr>
    </w:p>
    <w:p w14:paraId="26534B13" w14:textId="77777777" w:rsidR="0015505C" w:rsidRDefault="0015505C" w:rsidP="00712A1A">
      <w:pPr>
        <w:pStyle w:val="Ttulo2"/>
      </w:pPr>
      <w:bookmarkStart w:id="764" w:name="_Toc140506418"/>
      <w:r w:rsidRPr="0015505C">
        <w:t>ECOPETROL</w:t>
      </w:r>
      <w:bookmarkEnd w:id="764"/>
      <w:r w:rsidRPr="0015505C">
        <w:tab/>
      </w:r>
    </w:p>
    <w:p w14:paraId="3EF81E34" w14:textId="77777777" w:rsidR="00712A1A" w:rsidRDefault="00712A1A" w:rsidP="00712A1A">
      <w:pPr>
        <w:pStyle w:val="Ttulo4"/>
      </w:pPr>
      <w:r w:rsidRPr="0015505C">
        <w:t>ECOPETROL</w:t>
      </w:r>
      <w:r w:rsidRPr="0015505C">
        <w:tab/>
      </w:r>
    </w:p>
    <w:p w14:paraId="3B85F2D9" w14:textId="70A5B7A1" w:rsidR="0015505C" w:rsidRPr="00C85DD2" w:rsidRDefault="00DC5B6F" w:rsidP="0015505C">
      <w:pPr>
        <w:rPr>
          <w:rFonts w:cs="Arial"/>
          <w:i/>
          <w:iCs/>
          <w:sz w:val="22"/>
          <w:szCs w:val="22"/>
        </w:rPr>
      </w:pPr>
      <w:r>
        <w:rPr>
          <w:rFonts w:cs="Arial"/>
          <w:i/>
          <w:iCs/>
          <w:sz w:val="22"/>
          <w:szCs w:val="22"/>
        </w:rPr>
        <w:t>“</w:t>
      </w:r>
      <w:r w:rsidR="0015505C" w:rsidRPr="00C85DD2">
        <w:rPr>
          <w:rFonts w:cs="Arial"/>
          <w:i/>
          <w:iCs/>
          <w:sz w:val="22"/>
          <w:szCs w:val="22"/>
        </w:rPr>
        <w:t xml:space="preserve">El parágrafo plantea que mientras se trate de campos en pruebas extensas, campos para los cuales no se haya declarado la comercialidad, campos aislados, campos costa afuera y gas importado </w:t>
      </w:r>
      <w:r>
        <w:rPr>
          <w:rFonts w:cs="Arial"/>
          <w:i/>
          <w:iCs/>
          <w:sz w:val="22"/>
          <w:szCs w:val="22"/>
        </w:rPr>
        <w:t>‘</w:t>
      </w:r>
      <w:r w:rsidR="0015505C" w:rsidRPr="00C85DD2">
        <w:rPr>
          <w:rFonts w:cs="Arial"/>
          <w:i/>
          <w:iCs/>
          <w:sz w:val="22"/>
          <w:szCs w:val="22"/>
        </w:rPr>
        <w:t>las partes definirán las condiciones de los contratos que celebren</w:t>
      </w:r>
      <w:r>
        <w:rPr>
          <w:rFonts w:cs="Arial"/>
          <w:i/>
          <w:iCs/>
          <w:sz w:val="22"/>
          <w:szCs w:val="22"/>
        </w:rPr>
        <w:t>’</w:t>
      </w:r>
      <w:r w:rsidR="0015505C" w:rsidRPr="00C85DD2">
        <w:rPr>
          <w:rFonts w:cs="Arial"/>
          <w:i/>
          <w:iCs/>
          <w:sz w:val="22"/>
          <w:szCs w:val="22"/>
        </w:rPr>
        <w:t xml:space="preserve">. A pesar de lo anterior, inmediatamente después plantea que, en todo caso, </w:t>
      </w:r>
      <w:r>
        <w:rPr>
          <w:rFonts w:cs="Arial"/>
          <w:i/>
          <w:iCs/>
          <w:sz w:val="22"/>
          <w:szCs w:val="22"/>
        </w:rPr>
        <w:t>‘</w:t>
      </w:r>
      <w:r w:rsidR="0015505C" w:rsidRPr="00C85DD2">
        <w:rPr>
          <w:rFonts w:cs="Arial"/>
          <w:i/>
          <w:iCs/>
          <w:sz w:val="22"/>
          <w:szCs w:val="22"/>
        </w:rPr>
        <w:t>deberán contener lo dispuesto en el Capítulo II del Título III de la presente resolución</w:t>
      </w:r>
      <w:r>
        <w:rPr>
          <w:rFonts w:cs="Arial"/>
          <w:i/>
          <w:iCs/>
          <w:sz w:val="22"/>
          <w:szCs w:val="22"/>
        </w:rPr>
        <w:t>’</w:t>
      </w:r>
      <w:r w:rsidR="0015505C" w:rsidRPr="00C85DD2">
        <w:rPr>
          <w:rFonts w:cs="Arial"/>
          <w:i/>
          <w:iCs/>
          <w:sz w:val="22"/>
          <w:szCs w:val="22"/>
        </w:rPr>
        <w:t>. Así las cosas, no es del todo claro si las disposiciones planteadas por la norma en consulta en los artículos 10 (eventos de fuerza mayor, caso fortuito o causa extraña), 11 (eventos eximentes de responsabilidad), 12 (duración permisible en para suspensiones del servicio), 13 (incumplimientos), 14 (compensaciones) y 15 (actualización de precios), son aplicables o no a estas fuentes.</w:t>
      </w:r>
      <w:r>
        <w:rPr>
          <w:rFonts w:cs="Arial"/>
          <w:i/>
          <w:iCs/>
          <w:sz w:val="22"/>
          <w:szCs w:val="22"/>
        </w:rPr>
        <w:t>”</w:t>
      </w:r>
    </w:p>
    <w:p w14:paraId="3B89062D" w14:textId="12BEC105" w:rsidR="00C85DD2" w:rsidRDefault="00C85DD2" w:rsidP="0015505C">
      <w:pPr>
        <w:rPr>
          <w:rFonts w:cs="Arial"/>
          <w:sz w:val="22"/>
          <w:szCs w:val="22"/>
        </w:rPr>
      </w:pPr>
    </w:p>
    <w:p w14:paraId="3AFF9A09" w14:textId="4DD2C486" w:rsidR="00C85DD2" w:rsidRPr="00C85DD2" w:rsidRDefault="00C85DD2" w:rsidP="0015505C">
      <w:pPr>
        <w:rPr>
          <w:rFonts w:cs="Arial"/>
          <w:b/>
          <w:bCs/>
          <w:sz w:val="22"/>
          <w:szCs w:val="22"/>
        </w:rPr>
      </w:pPr>
      <w:r w:rsidRPr="00C85DD2">
        <w:rPr>
          <w:rFonts w:cs="Arial"/>
          <w:b/>
          <w:bCs/>
          <w:sz w:val="22"/>
          <w:szCs w:val="22"/>
        </w:rPr>
        <w:t>Respuesta:</w:t>
      </w:r>
    </w:p>
    <w:p w14:paraId="29CA352D" w14:textId="4D66D9C9" w:rsidR="00C85DD2" w:rsidRDefault="00C85DD2" w:rsidP="0015505C">
      <w:pPr>
        <w:rPr>
          <w:rFonts w:cs="Arial"/>
          <w:sz w:val="22"/>
          <w:szCs w:val="22"/>
        </w:rPr>
      </w:pPr>
    </w:p>
    <w:p w14:paraId="7DBDD712" w14:textId="063076CE" w:rsidR="00C85DD2" w:rsidRPr="0015505C" w:rsidRDefault="00B70D2D" w:rsidP="0015505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_Ref132032020 \r \h </w:instrText>
      </w:r>
      <w:r>
        <w:rPr>
          <w:rFonts w:cs="Arial"/>
          <w:sz w:val="22"/>
          <w:szCs w:val="22"/>
        </w:rPr>
      </w:r>
      <w:r>
        <w:rPr>
          <w:rFonts w:cs="Arial"/>
          <w:sz w:val="22"/>
          <w:szCs w:val="22"/>
        </w:rPr>
        <w:fldChar w:fldCharType="separate"/>
      </w:r>
      <w:r w:rsidR="007651EA">
        <w:rPr>
          <w:rFonts w:cs="Arial"/>
          <w:sz w:val="22"/>
          <w:szCs w:val="22"/>
        </w:rPr>
        <w:t>18.1.1.1</w:t>
      </w:r>
      <w:r>
        <w:rPr>
          <w:rFonts w:cs="Arial"/>
          <w:sz w:val="22"/>
          <w:szCs w:val="22"/>
        </w:rPr>
        <w:fldChar w:fldCharType="end"/>
      </w:r>
      <w:r>
        <w:rPr>
          <w:rFonts w:cs="Arial"/>
          <w:sz w:val="22"/>
          <w:szCs w:val="22"/>
        </w:rPr>
        <w:t>.</w:t>
      </w:r>
    </w:p>
    <w:p w14:paraId="4CF17002" w14:textId="77777777" w:rsidR="0015505C" w:rsidRDefault="0015505C" w:rsidP="0015505C">
      <w:pPr>
        <w:rPr>
          <w:rFonts w:cs="Arial"/>
          <w:sz w:val="22"/>
          <w:szCs w:val="22"/>
        </w:rPr>
      </w:pPr>
    </w:p>
    <w:p w14:paraId="1CDC7E32" w14:textId="77777777" w:rsidR="0015505C" w:rsidRDefault="0015505C" w:rsidP="0015505C">
      <w:pPr>
        <w:rPr>
          <w:rFonts w:cs="Arial"/>
          <w:sz w:val="22"/>
          <w:szCs w:val="22"/>
        </w:rPr>
      </w:pPr>
    </w:p>
    <w:p w14:paraId="6445277E" w14:textId="77777777" w:rsidR="0015505C" w:rsidRDefault="0015505C" w:rsidP="00712A1A">
      <w:pPr>
        <w:pStyle w:val="Ttulo2"/>
      </w:pPr>
      <w:bookmarkStart w:id="765" w:name="_Toc140506419"/>
      <w:r w:rsidRPr="0015505C">
        <w:t>ENERGY FOR THE CARIBBEAN</w:t>
      </w:r>
      <w:bookmarkEnd w:id="765"/>
      <w:r w:rsidRPr="0015505C">
        <w:tab/>
      </w:r>
    </w:p>
    <w:p w14:paraId="597E9349" w14:textId="77777777" w:rsidR="00712A1A" w:rsidRDefault="00712A1A" w:rsidP="00712A1A">
      <w:pPr>
        <w:pStyle w:val="Ttulo4"/>
      </w:pPr>
      <w:r w:rsidRPr="0015505C">
        <w:t>ENERGY FOR THE CARIBBEAN</w:t>
      </w:r>
      <w:r w:rsidRPr="0015505C">
        <w:tab/>
      </w:r>
    </w:p>
    <w:p w14:paraId="0258696B" w14:textId="4B84FF1A" w:rsidR="0015505C" w:rsidRDefault="0015505C" w:rsidP="0015505C">
      <w:pPr>
        <w:rPr>
          <w:rFonts w:cs="Arial"/>
          <w:sz w:val="22"/>
          <w:szCs w:val="22"/>
        </w:rPr>
      </w:pPr>
      <w:r w:rsidRPr="0015505C">
        <w:rPr>
          <w:rFonts w:cs="Arial"/>
          <w:sz w:val="22"/>
          <w:szCs w:val="22"/>
        </w:rPr>
        <w:t>"</w:t>
      </w:r>
      <w:r w:rsidRPr="00B70D2D">
        <w:rPr>
          <w:rFonts w:cs="Arial"/>
          <w:i/>
          <w:iCs/>
          <w:sz w:val="22"/>
          <w:szCs w:val="22"/>
        </w:rPr>
        <w:t xml:space="preserve">Se sugiere incluir todos los casos contenidos en el numeral 2 del Artículo 19 y la expresión </w:t>
      </w:r>
      <w:r w:rsidR="00DC5B6F">
        <w:rPr>
          <w:rFonts w:cs="Arial"/>
          <w:i/>
          <w:iCs/>
          <w:sz w:val="22"/>
          <w:szCs w:val="22"/>
        </w:rPr>
        <w:t>‘</w:t>
      </w:r>
      <w:r w:rsidRPr="00B70D2D">
        <w:rPr>
          <w:rFonts w:cs="Arial"/>
          <w:i/>
          <w:iCs/>
          <w:sz w:val="22"/>
          <w:szCs w:val="22"/>
        </w:rPr>
        <w:t>de común acuerdo</w:t>
      </w:r>
      <w:r w:rsidR="00DC5B6F">
        <w:rPr>
          <w:rFonts w:cs="Arial"/>
          <w:i/>
          <w:iCs/>
          <w:sz w:val="22"/>
          <w:szCs w:val="22"/>
        </w:rPr>
        <w:t>’</w:t>
      </w:r>
      <w:r w:rsidRPr="00B70D2D">
        <w:rPr>
          <w:rFonts w:cs="Arial"/>
          <w:i/>
          <w:iCs/>
          <w:sz w:val="22"/>
          <w:szCs w:val="22"/>
        </w:rPr>
        <w:t xml:space="preserve"> con la finalidad de cumplir los objetivos de la CREG 226 de 2021 acerca de incentivar una mayor oferta de gas, de fuentes nacionales o importadas y aumentar la flexibilidad en las contrataciones</w:t>
      </w:r>
      <w:r w:rsidRPr="0015505C">
        <w:rPr>
          <w:rFonts w:cs="Arial"/>
          <w:sz w:val="22"/>
          <w:szCs w:val="22"/>
        </w:rPr>
        <w:t>."</w:t>
      </w:r>
    </w:p>
    <w:p w14:paraId="1DF94637" w14:textId="7F075E7B" w:rsidR="00B70D2D" w:rsidRDefault="00B70D2D" w:rsidP="0015505C">
      <w:pPr>
        <w:rPr>
          <w:rFonts w:cs="Arial"/>
          <w:sz w:val="22"/>
          <w:szCs w:val="22"/>
        </w:rPr>
      </w:pPr>
    </w:p>
    <w:p w14:paraId="58C07EDB" w14:textId="571925B2" w:rsidR="00B70D2D" w:rsidRPr="00B70D2D" w:rsidRDefault="00B70D2D" w:rsidP="0015505C">
      <w:pPr>
        <w:rPr>
          <w:rFonts w:cs="Arial"/>
          <w:b/>
          <w:bCs/>
          <w:sz w:val="22"/>
          <w:szCs w:val="22"/>
        </w:rPr>
      </w:pPr>
      <w:r w:rsidRPr="00B70D2D">
        <w:rPr>
          <w:rFonts w:cs="Arial"/>
          <w:b/>
          <w:bCs/>
          <w:sz w:val="22"/>
          <w:szCs w:val="22"/>
        </w:rPr>
        <w:t>Respuesta:</w:t>
      </w:r>
    </w:p>
    <w:p w14:paraId="7AC805E3" w14:textId="6696C8B4" w:rsidR="00B70D2D" w:rsidRDefault="00B70D2D" w:rsidP="0015505C">
      <w:pPr>
        <w:rPr>
          <w:rFonts w:cs="Arial"/>
          <w:sz w:val="22"/>
          <w:szCs w:val="22"/>
        </w:rPr>
      </w:pPr>
    </w:p>
    <w:p w14:paraId="419E8951" w14:textId="53CA11C1" w:rsidR="00B70D2D" w:rsidRDefault="0037614B" w:rsidP="0015505C">
      <w:pPr>
        <w:rPr>
          <w:rFonts w:cs="Arial"/>
          <w:sz w:val="22"/>
          <w:szCs w:val="22"/>
        </w:rPr>
      </w:pPr>
      <w:r>
        <w:rPr>
          <w:rFonts w:cs="Arial"/>
          <w:sz w:val="22"/>
          <w:szCs w:val="22"/>
        </w:rPr>
        <w:t xml:space="preserve">No se acoge el comentario. </w:t>
      </w:r>
    </w:p>
    <w:p w14:paraId="38CBFBF5" w14:textId="048DA8C5" w:rsidR="0037614B" w:rsidRDefault="0037614B" w:rsidP="0015505C">
      <w:pPr>
        <w:rPr>
          <w:rFonts w:cs="Arial"/>
          <w:sz w:val="22"/>
          <w:szCs w:val="22"/>
        </w:rPr>
      </w:pPr>
    </w:p>
    <w:p w14:paraId="49903AF9" w14:textId="1EA6C008" w:rsidR="0037614B" w:rsidRPr="0015505C" w:rsidRDefault="0037614B" w:rsidP="0015505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_Ref132032020 \r \h </w:instrText>
      </w:r>
      <w:r>
        <w:rPr>
          <w:rFonts w:cs="Arial"/>
          <w:sz w:val="22"/>
          <w:szCs w:val="22"/>
        </w:rPr>
      </w:r>
      <w:r>
        <w:rPr>
          <w:rFonts w:cs="Arial"/>
          <w:sz w:val="22"/>
          <w:szCs w:val="22"/>
        </w:rPr>
        <w:fldChar w:fldCharType="separate"/>
      </w:r>
      <w:r w:rsidR="007651EA">
        <w:rPr>
          <w:rFonts w:cs="Arial"/>
          <w:sz w:val="22"/>
          <w:szCs w:val="22"/>
        </w:rPr>
        <w:t>18.1.1.1</w:t>
      </w:r>
      <w:r>
        <w:rPr>
          <w:rFonts w:cs="Arial"/>
          <w:sz w:val="22"/>
          <w:szCs w:val="22"/>
        </w:rPr>
        <w:fldChar w:fldCharType="end"/>
      </w:r>
      <w:r>
        <w:rPr>
          <w:rFonts w:cs="Arial"/>
          <w:sz w:val="22"/>
          <w:szCs w:val="22"/>
        </w:rPr>
        <w:t>.</w:t>
      </w:r>
    </w:p>
    <w:p w14:paraId="0C89A674" w14:textId="77777777" w:rsidR="0015505C" w:rsidRDefault="0015505C" w:rsidP="0015505C">
      <w:pPr>
        <w:rPr>
          <w:rFonts w:cs="Arial"/>
          <w:sz w:val="22"/>
          <w:szCs w:val="22"/>
        </w:rPr>
      </w:pPr>
    </w:p>
    <w:p w14:paraId="3C840513" w14:textId="77777777" w:rsidR="0015505C" w:rsidRDefault="0015505C" w:rsidP="0015505C">
      <w:pPr>
        <w:rPr>
          <w:rFonts w:cs="Arial"/>
          <w:sz w:val="22"/>
          <w:szCs w:val="22"/>
        </w:rPr>
      </w:pPr>
    </w:p>
    <w:p w14:paraId="7777462A" w14:textId="77777777" w:rsidR="0015505C" w:rsidRDefault="0015505C" w:rsidP="00712A1A">
      <w:pPr>
        <w:pStyle w:val="Ttulo2"/>
      </w:pPr>
      <w:bookmarkStart w:id="766" w:name="_Toc140506420"/>
      <w:r w:rsidRPr="0015505C">
        <w:t>LEWIS ENERGY</w:t>
      </w:r>
      <w:bookmarkEnd w:id="766"/>
      <w:r w:rsidRPr="0015505C">
        <w:tab/>
      </w:r>
    </w:p>
    <w:p w14:paraId="20D6F279" w14:textId="77777777" w:rsidR="00712A1A" w:rsidRDefault="00712A1A" w:rsidP="00712A1A">
      <w:pPr>
        <w:pStyle w:val="Ttulo4"/>
      </w:pPr>
      <w:r w:rsidRPr="0015505C">
        <w:t>LEWIS ENERGY</w:t>
      </w:r>
      <w:r w:rsidRPr="0015505C">
        <w:tab/>
      </w:r>
    </w:p>
    <w:p w14:paraId="14D0E685" w14:textId="2FC36E9D" w:rsidR="0015505C" w:rsidRPr="0037614B" w:rsidRDefault="0015505C" w:rsidP="0015505C">
      <w:pPr>
        <w:rPr>
          <w:rFonts w:cs="Arial"/>
          <w:i/>
          <w:iCs/>
          <w:sz w:val="22"/>
          <w:szCs w:val="22"/>
        </w:rPr>
      </w:pPr>
      <w:r w:rsidRPr="0015505C">
        <w:rPr>
          <w:rFonts w:cs="Arial"/>
          <w:sz w:val="22"/>
          <w:szCs w:val="22"/>
        </w:rPr>
        <w:t>"</w:t>
      </w:r>
      <w:r w:rsidRPr="0037614B">
        <w:rPr>
          <w:rFonts w:cs="Arial"/>
          <w:i/>
          <w:iCs/>
          <w:sz w:val="22"/>
          <w:szCs w:val="22"/>
        </w:rPr>
        <w:t xml:space="preserve">La propuesta regulatoria tal y como </w:t>
      </w:r>
      <w:proofErr w:type="spellStart"/>
      <w:r w:rsidRPr="0037614B">
        <w:rPr>
          <w:rFonts w:cs="Arial"/>
          <w:i/>
          <w:iCs/>
          <w:sz w:val="22"/>
          <w:szCs w:val="22"/>
        </w:rPr>
        <w:t>esta</w:t>
      </w:r>
      <w:proofErr w:type="spellEnd"/>
      <w:r w:rsidRPr="0037614B">
        <w:rPr>
          <w:rFonts w:cs="Arial"/>
          <w:i/>
          <w:iCs/>
          <w:sz w:val="22"/>
          <w:szCs w:val="22"/>
        </w:rPr>
        <w:t xml:space="preserve"> redactada implica una contradicción.</w:t>
      </w:r>
    </w:p>
    <w:p w14:paraId="2D283C16" w14:textId="77777777" w:rsidR="0015505C" w:rsidRPr="0037614B" w:rsidRDefault="0015505C" w:rsidP="0015505C">
      <w:pPr>
        <w:rPr>
          <w:rFonts w:cs="Arial"/>
          <w:i/>
          <w:iCs/>
          <w:sz w:val="22"/>
          <w:szCs w:val="22"/>
        </w:rPr>
      </w:pPr>
    </w:p>
    <w:p w14:paraId="7B95D235" w14:textId="77777777" w:rsidR="0015505C" w:rsidRPr="0037614B" w:rsidRDefault="0015505C" w:rsidP="0015505C">
      <w:pPr>
        <w:rPr>
          <w:rFonts w:cs="Arial"/>
          <w:i/>
          <w:iCs/>
          <w:sz w:val="22"/>
          <w:szCs w:val="22"/>
        </w:rPr>
      </w:pPr>
      <w:r w:rsidRPr="0037614B">
        <w:rPr>
          <w:rFonts w:cs="Arial"/>
          <w:i/>
          <w:iCs/>
          <w:sz w:val="22"/>
          <w:szCs w:val="22"/>
        </w:rPr>
        <w:t xml:space="preserve">En efecto, el artículo 20 establece cuales son los contratos y las condiciones contractuales que deben atender los contratos derivados de una negociación directa en cualquier momento del año. Ahora bien, el parágrafo tiene por objetivo establecer unas </w:t>
      </w:r>
      <w:proofErr w:type="spellStart"/>
      <w:r w:rsidRPr="0037614B">
        <w:rPr>
          <w:rFonts w:cs="Arial"/>
          <w:i/>
          <w:iCs/>
          <w:sz w:val="22"/>
          <w:szCs w:val="22"/>
        </w:rPr>
        <w:t>expceciones</w:t>
      </w:r>
      <w:proofErr w:type="spellEnd"/>
      <w:r w:rsidRPr="0037614B">
        <w:rPr>
          <w:rFonts w:cs="Arial"/>
          <w:i/>
          <w:iCs/>
          <w:sz w:val="22"/>
          <w:szCs w:val="22"/>
        </w:rPr>
        <w:t xml:space="preserve"> a dicha obligación regulatoria y señala con precisión los casos muy particulares en los que es posible pactar tanto la modalidad contractual como las condiciones regulatorias libremente. Sin embargo, la redacción actual genera confusión toda vez que señala en el parágrafo la excepción y al final señala que tales contratos exceptuados deben contener las condiciones mínimas reguladas contenidas en el </w:t>
      </w:r>
      <w:proofErr w:type="spellStart"/>
      <w:r w:rsidRPr="0037614B">
        <w:rPr>
          <w:rFonts w:cs="Arial"/>
          <w:i/>
          <w:iCs/>
          <w:sz w:val="22"/>
          <w:szCs w:val="22"/>
        </w:rPr>
        <w:t>capitulo</w:t>
      </w:r>
      <w:proofErr w:type="spellEnd"/>
      <w:r w:rsidRPr="0037614B">
        <w:rPr>
          <w:rFonts w:cs="Arial"/>
          <w:i/>
          <w:iCs/>
          <w:sz w:val="22"/>
          <w:szCs w:val="22"/>
        </w:rPr>
        <w:t xml:space="preserve"> II del </w:t>
      </w:r>
      <w:proofErr w:type="spellStart"/>
      <w:r w:rsidRPr="0037614B">
        <w:rPr>
          <w:rFonts w:cs="Arial"/>
          <w:i/>
          <w:iCs/>
          <w:sz w:val="22"/>
          <w:szCs w:val="22"/>
        </w:rPr>
        <w:t>Titulo</w:t>
      </w:r>
      <w:proofErr w:type="spellEnd"/>
      <w:r w:rsidRPr="0037614B">
        <w:rPr>
          <w:rFonts w:cs="Arial"/>
          <w:i/>
          <w:iCs/>
          <w:sz w:val="22"/>
          <w:szCs w:val="22"/>
        </w:rPr>
        <w:t xml:space="preserve"> III. </w:t>
      </w:r>
    </w:p>
    <w:p w14:paraId="3DAE40A0" w14:textId="77777777" w:rsidR="0015505C" w:rsidRPr="0037614B" w:rsidRDefault="0015505C" w:rsidP="0015505C">
      <w:pPr>
        <w:rPr>
          <w:rFonts w:cs="Arial"/>
          <w:i/>
          <w:iCs/>
          <w:sz w:val="22"/>
          <w:szCs w:val="22"/>
        </w:rPr>
      </w:pPr>
    </w:p>
    <w:p w14:paraId="60F22040" w14:textId="483B680E" w:rsidR="0015505C" w:rsidRDefault="0015505C" w:rsidP="0015505C">
      <w:pPr>
        <w:rPr>
          <w:rFonts w:cs="Arial"/>
          <w:sz w:val="22"/>
          <w:szCs w:val="22"/>
        </w:rPr>
      </w:pPr>
      <w:r w:rsidRPr="0037614B">
        <w:rPr>
          <w:rFonts w:cs="Arial"/>
          <w:i/>
          <w:iCs/>
          <w:sz w:val="22"/>
          <w:szCs w:val="22"/>
        </w:rPr>
        <w:t>Respetuosamente se le solicita a la comisión aclarar que en esos casos particulares pueden fijar las condiciones contractuales que ellos pacten y como se desprende de lo anterior que es la premisa principal, no se obligue a introducir las condiciones reguladas, pues ello iría en contra de permitirle pactar las condiciones contractuales. Y se sugiere eliminar la parte final del parágrafo</w:t>
      </w:r>
      <w:r w:rsidRPr="0015505C">
        <w:rPr>
          <w:rFonts w:cs="Arial"/>
          <w:sz w:val="22"/>
          <w:szCs w:val="22"/>
        </w:rPr>
        <w:t>."</w:t>
      </w:r>
    </w:p>
    <w:p w14:paraId="57DB1DC1" w14:textId="0C115B18" w:rsidR="0037614B" w:rsidRDefault="0037614B" w:rsidP="0015505C">
      <w:pPr>
        <w:rPr>
          <w:rFonts w:cs="Arial"/>
          <w:sz w:val="22"/>
          <w:szCs w:val="22"/>
        </w:rPr>
      </w:pPr>
    </w:p>
    <w:p w14:paraId="10E0635D" w14:textId="70175707" w:rsidR="0037614B" w:rsidRPr="0037614B" w:rsidRDefault="0037614B" w:rsidP="0015505C">
      <w:pPr>
        <w:rPr>
          <w:rFonts w:cs="Arial"/>
          <w:b/>
          <w:bCs/>
          <w:sz w:val="22"/>
          <w:szCs w:val="22"/>
        </w:rPr>
      </w:pPr>
      <w:r w:rsidRPr="0037614B">
        <w:rPr>
          <w:rFonts w:cs="Arial"/>
          <w:b/>
          <w:bCs/>
          <w:sz w:val="22"/>
          <w:szCs w:val="22"/>
        </w:rPr>
        <w:t>Respuesta:</w:t>
      </w:r>
    </w:p>
    <w:p w14:paraId="4A729D1B" w14:textId="2A01EE80" w:rsidR="0037614B" w:rsidRDefault="0037614B" w:rsidP="0015505C">
      <w:pPr>
        <w:rPr>
          <w:rFonts w:cs="Arial"/>
          <w:sz w:val="22"/>
          <w:szCs w:val="22"/>
        </w:rPr>
      </w:pPr>
    </w:p>
    <w:p w14:paraId="3EFDF90C" w14:textId="6C54CB22" w:rsidR="0015505C" w:rsidRDefault="0037614B" w:rsidP="0015505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_Ref132032020 \r \h </w:instrText>
      </w:r>
      <w:r>
        <w:rPr>
          <w:rFonts w:cs="Arial"/>
          <w:sz w:val="22"/>
          <w:szCs w:val="22"/>
        </w:rPr>
      </w:r>
      <w:r>
        <w:rPr>
          <w:rFonts w:cs="Arial"/>
          <w:sz w:val="22"/>
          <w:szCs w:val="22"/>
        </w:rPr>
        <w:fldChar w:fldCharType="separate"/>
      </w:r>
      <w:r w:rsidR="007651EA">
        <w:rPr>
          <w:rFonts w:cs="Arial"/>
          <w:sz w:val="22"/>
          <w:szCs w:val="22"/>
        </w:rPr>
        <w:t>18.1.1.1</w:t>
      </w:r>
      <w:r>
        <w:rPr>
          <w:rFonts w:cs="Arial"/>
          <w:sz w:val="22"/>
          <w:szCs w:val="22"/>
        </w:rPr>
        <w:fldChar w:fldCharType="end"/>
      </w:r>
      <w:r>
        <w:rPr>
          <w:rFonts w:cs="Arial"/>
          <w:sz w:val="22"/>
          <w:szCs w:val="22"/>
        </w:rPr>
        <w:t>.</w:t>
      </w:r>
    </w:p>
    <w:p w14:paraId="7CD8FC83" w14:textId="77777777" w:rsidR="0037614B" w:rsidRDefault="0037614B" w:rsidP="0015505C">
      <w:pPr>
        <w:rPr>
          <w:rFonts w:cs="Arial"/>
          <w:sz w:val="22"/>
          <w:szCs w:val="22"/>
        </w:rPr>
      </w:pPr>
    </w:p>
    <w:p w14:paraId="5770DA68" w14:textId="77777777" w:rsidR="0015505C" w:rsidRDefault="0015505C" w:rsidP="0015505C">
      <w:pPr>
        <w:rPr>
          <w:rFonts w:cs="Arial"/>
          <w:sz w:val="22"/>
          <w:szCs w:val="22"/>
        </w:rPr>
      </w:pPr>
    </w:p>
    <w:p w14:paraId="4EFB3A58" w14:textId="77777777" w:rsidR="0015505C" w:rsidRDefault="0015505C" w:rsidP="00712A1A">
      <w:pPr>
        <w:pStyle w:val="Ttulo2"/>
      </w:pPr>
      <w:bookmarkStart w:id="767" w:name="_Toc140506421"/>
      <w:r w:rsidRPr="00712A1A">
        <w:rPr>
          <w:caps/>
        </w:rPr>
        <w:t>Parex Resources Colombia</w:t>
      </w:r>
      <w:r w:rsidRPr="0015505C">
        <w:t xml:space="preserve"> LTD.</w:t>
      </w:r>
      <w:bookmarkEnd w:id="767"/>
      <w:r w:rsidRPr="0015505C">
        <w:tab/>
      </w:r>
    </w:p>
    <w:p w14:paraId="12EB8049" w14:textId="73D2FFED" w:rsidR="00712A1A" w:rsidRDefault="00712A1A" w:rsidP="00712A1A">
      <w:pPr>
        <w:pStyle w:val="Ttulo4"/>
      </w:pPr>
      <w:bookmarkStart w:id="768" w:name="_Ref133400850"/>
      <w:proofErr w:type="spellStart"/>
      <w:r w:rsidRPr="00712A1A">
        <w:t>Parex</w:t>
      </w:r>
      <w:proofErr w:type="spellEnd"/>
      <w:r w:rsidRPr="00712A1A">
        <w:t xml:space="preserve"> </w:t>
      </w:r>
      <w:proofErr w:type="spellStart"/>
      <w:r w:rsidRPr="00712A1A">
        <w:t>Resources</w:t>
      </w:r>
      <w:proofErr w:type="spellEnd"/>
      <w:r w:rsidRPr="00712A1A">
        <w:t xml:space="preserve"> Colombia</w:t>
      </w:r>
      <w:r w:rsidRPr="0015505C">
        <w:t xml:space="preserve"> LTD.</w:t>
      </w:r>
      <w:bookmarkEnd w:id="768"/>
      <w:r w:rsidRPr="0015505C">
        <w:tab/>
      </w:r>
    </w:p>
    <w:p w14:paraId="43CC2731" w14:textId="1F77B8DA" w:rsidR="0015505C" w:rsidRPr="0037614B" w:rsidRDefault="0015505C" w:rsidP="0015505C">
      <w:pPr>
        <w:rPr>
          <w:rFonts w:cs="Arial"/>
          <w:i/>
          <w:iCs/>
          <w:sz w:val="22"/>
          <w:szCs w:val="22"/>
        </w:rPr>
      </w:pPr>
      <w:r w:rsidRPr="0015505C">
        <w:rPr>
          <w:rFonts w:cs="Arial"/>
          <w:sz w:val="22"/>
          <w:szCs w:val="22"/>
        </w:rPr>
        <w:t>"</w:t>
      </w:r>
      <w:r w:rsidRPr="0037614B">
        <w:rPr>
          <w:rFonts w:cs="Arial"/>
          <w:i/>
          <w:iCs/>
          <w:sz w:val="22"/>
          <w:szCs w:val="22"/>
        </w:rPr>
        <w:t>Respecto de la regulación actual se efectúa una adición consistente en que los tipos de campos que pueden negociar gas directamente en cualquier momento del año, indicados en el Artículo 19, ahora deberían contener en sus contratos, lo dispuesto en el Capítulo II del Título III del proyecto de resolución (Fuerza Mayor, Eventos Eximentes, Compensaciones y  Actualización de Precios).</w:t>
      </w:r>
    </w:p>
    <w:p w14:paraId="0A086AE1" w14:textId="77777777" w:rsidR="0015505C" w:rsidRPr="0037614B" w:rsidRDefault="0015505C" w:rsidP="0015505C">
      <w:pPr>
        <w:rPr>
          <w:rFonts w:cs="Arial"/>
          <w:i/>
          <w:iCs/>
          <w:sz w:val="22"/>
          <w:szCs w:val="22"/>
        </w:rPr>
      </w:pPr>
    </w:p>
    <w:p w14:paraId="7FF8F8AD" w14:textId="77777777" w:rsidR="0015505C" w:rsidRPr="0037614B" w:rsidRDefault="0015505C" w:rsidP="0015505C">
      <w:pPr>
        <w:rPr>
          <w:rFonts w:cs="Arial"/>
          <w:i/>
          <w:iCs/>
          <w:sz w:val="22"/>
          <w:szCs w:val="22"/>
        </w:rPr>
      </w:pPr>
      <w:r w:rsidRPr="0037614B">
        <w:rPr>
          <w:rFonts w:cs="Arial"/>
          <w:i/>
          <w:iCs/>
          <w:sz w:val="22"/>
          <w:szCs w:val="22"/>
        </w:rPr>
        <w:t>Lo anterior es inconveniente en la medida en que los Campos Aislados perderán la posibilidad de pactar de forma flexible y bilateral en sus contratos en firme, los eventos eximentes de responsabilidad, la duración permisible para las suspensiones del servicio, la forma de actualización de precios y las compensaciones por incumplimientos, entre otros.</w:t>
      </w:r>
    </w:p>
    <w:p w14:paraId="0D68F4DE" w14:textId="77777777" w:rsidR="0015505C" w:rsidRPr="0037614B" w:rsidRDefault="0015505C" w:rsidP="0015505C">
      <w:pPr>
        <w:rPr>
          <w:rFonts w:cs="Arial"/>
          <w:i/>
          <w:iCs/>
          <w:sz w:val="22"/>
          <w:szCs w:val="22"/>
        </w:rPr>
      </w:pPr>
    </w:p>
    <w:p w14:paraId="0E86B168" w14:textId="77777777" w:rsidR="0015505C" w:rsidRPr="0037614B" w:rsidRDefault="0015505C" w:rsidP="0015505C">
      <w:pPr>
        <w:rPr>
          <w:rFonts w:cs="Arial"/>
          <w:i/>
          <w:iCs/>
          <w:sz w:val="22"/>
          <w:szCs w:val="22"/>
        </w:rPr>
      </w:pPr>
      <w:r w:rsidRPr="0037614B">
        <w:rPr>
          <w:rFonts w:cs="Arial"/>
          <w:i/>
          <w:iCs/>
          <w:sz w:val="22"/>
          <w:szCs w:val="22"/>
        </w:rPr>
        <w:t>Es importante resaltar la inconveniencia que ésta nueva regla traería para la oferta de gas de los Campos Aislados, que con dificultad logran competir con fuentes de gas consolidadas e interconectadas a los puntos de consumo; ya que al limitar la facultad de pactar libremente las condiciones de suministro se afecta gravemente la posibilidad de los campos aislados de viabilizar el suministro de gas al imponer condiciones gravosas para el productor de gas, que no se compadecen con las situaciones particulares que estos tipos de campos pueden tener, tales como las condiciones de acceso a los puntos de producción, bien sea por mal estado de infraestructura vial, situaciones de orden público, actos de terceros, entre muchas otras, y que tampoco tienen en cuenta las limitaciones que tiene el productor comercializador para garantizar la continuidad del suministro dada la cantidad de eventos que se tienen que sortear para acceder y mantener la producción continua en los campos aislados, las cuales no se limitan únicamente a contar con el respaldo de reservas en el subsuelo sino que abarcan todas las demás condiciones para lograr traer a la superficie el gas y lograr que efectivamente se pueda retirar el producto.</w:t>
      </w:r>
    </w:p>
    <w:p w14:paraId="6050A491" w14:textId="77777777" w:rsidR="0015505C" w:rsidRPr="0037614B" w:rsidRDefault="0015505C" w:rsidP="0015505C">
      <w:pPr>
        <w:rPr>
          <w:rFonts w:cs="Arial"/>
          <w:i/>
          <w:iCs/>
          <w:sz w:val="22"/>
          <w:szCs w:val="22"/>
        </w:rPr>
      </w:pPr>
    </w:p>
    <w:p w14:paraId="10C63AF3" w14:textId="77777777" w:rsidR="0015505C" w:rsidRPr="0037614B" w:rsidRDefault="0015505C" w:rsidP="0015505C">
      <w:pPr>
        <w:rPr>
          <w:rFonts w:cs="Arial"/>
          <w:i/>
          <w:iCs/>
          <w:sz w:val="22"/>
          <w:szCs w:val="22"/>
        </w:rPr>
      </w:pPr>
      <w:r w:rsidRPr="0037614B">
        <w:rPr>
          <w:rFonts w:cs="Arial"/>
          <w:i/>
          <w:iCs/>
          <w:sz w:val="22"/>
          <w:szCs w:val="22"/>
        </w:rPr>
        <w:t>Con base en lo anterior consideramos que para los Campos Aislados al definir vía regulación cláusulas fundamentales del negocio que deben obedecer a un pacto entre las partes de manera libre y atendiendo a las condiciones particulares de cada negocio, en vez de generar seguridad jurídica que aporte a la consolidación del mercado se podría terminar causando un efecto contrario que desincentive la producción y comercialización del gas en los Campos Aislados.</w:t>
      </w:r>
    </w:p>
    <w:p w14:paraId="54F90984" w14:textId="77777777" w:rsidR="00E8493E" w:rsidRDefault="00E8493E" w:rsidP="0015505C">
      <w:pPr>
        <w:rPr>
          <w:rFonts w:cs="Arial"/>
          <w:i/>
          <w:iCs/>
          <w:sz w:val="22"/>
          <w:szCs w:val="22"/>
        </w:rPr>
      </w:pPr>
    </w:p>
    <w:p w14:paraId="1FD041D0" w14:textId="18642556" w:rsidR="0015505C" w:rsidRDefault="0015505C" w:rsidP="0015505C">
      <w:pPr>
        <w:rPr>
          <w:rFonts w:cs="Arial"/>
          <w:sz w:val="22"/>
          <w:szCs w:val="22"/>
        </w:rPr>
      </w:pPr>
      <w:r w:rsidRPr="0037614B">
        <w:rPr>
          <w:rFonts w:cs="Arial"/>
          <w:i/>
          <w:iCs/>
          <w:sz w:val="22"/>
          <w:szCs w:val="22"/>
        </w:rPr>
        <w:t>Con base en todo lo expuesto solicitamos mantener el Parágrafo del Artículo 20 como se encuentra actualmente en la Resolución CREG 186 de 2020, en lo relacionado con las condiciones de los contratos de Campos Aislados; y exceptuarlos del cumplimiento del artículo 22</w:t>
      </w:r>
      <w:r w:rsidRPr="0015505C">
        <w:rPr>
          <w:rFonts w:cs="Arial"/>
          <w:sz w:val="22"/>
          <w:szCs w:val="22"/>
        </w:rPr>
        <w:t>."</w:t>
      </w:r>
    </w:p>
    <w:p w14:paraId="07FCD19A" w14:textId="0901ACDB" w:rsidR="0037614B" w:rsidRDefault="0037614B" w:rsidP="0015505C">
      <w:pPr>
        <w:rPr>
          <w:rFonts w:cs="Arial"/>
          <w:sz w:val="22"/>
          <w:szCs w:val="22"/>
        </w:rPr>
      </w:pPr>
    </w:p>
    <w:p w14:paraId="205111F8" w14:textId="69FB6959" w:rsidR="0037614B" w:rsidRPr="0037614B" w:rsidRDefault="0037614B" w:rsidP="0015505C">
      <w:pPr>
        <w:rPr>
          <w:rFonts w:cs="Arial"/>
          <w:b/>
          <w:bCs/>
          <w:sz w:val="22"/>
          <w:szCs w:val="22"/>
        </w:rPr>
      </w:pPr>
      <w:r w:rsidRPr="0037614B">
        <w:rPr>
          <w:rFonts w:cs="Arial"/>
          <w:b/>
          <w:bCs/>
          <w:sz w:val="22"/>
          <w:szCs w:val="22"/>
        </w:rPr>
        <w:t>Respuesta:</w:t>
      </w:r>
    </w:p>
    <w:p w14:paraId="6D056D25" w14:textId="04392147" w:rsidR="0037614B" w:rsidRDefault="0037614B" w:rsidP="0015505C">
      <w:pPr>
        <w:rPr>
          <w:rFonts w:cs="Arial"/>
          <w:sz w:val="22"/>
          <w:szCs w:val="22"/>
        </w:rPr>
      </w:pPr>
    </w:p>
    <w:p w14:paraId="1EBE4596" w14:textId="49582CEE" w:rsidR="0037614B" w:rsidRDefault="002B5D99" w:rsidP="0015505C">
      <w:pPr>
        <w:rPr>
          <w:rFonts w:cs="Arial"/>
          <w:sz w:val="22"/>
          <w:szCs w:val="22"/>
        </w:rPr>
      </w:pPr>
      <w:r>
        <w:rPr>
          <w:rFonts w:cs="Arial"/>
          <w:sz w:val="22"/>
          <w:szCs w:val="22"/>
        </w:rPr>
        <w:t>No se acoge el comentario.</w:t>
      </w:r>
    </w:p>
    <w:p w14:paraId="56C0761C" w14:textId="307FED3C" w:rsidR="002B5D99" w:rsidRDefault="002B5D99" w:rsidP="0015505C">
      <w:pPr>
        <w:rPr>
          <w:rFonts w:cs="Arial"/>
          <w:sz w:val="22"/>
          <w:szCs w:val="22"/>
        </w:rPr>
      </w:pPr>
    </w:p>
    <w:p w14:paraId="123DBA91" w14:textId="37EE462E" w:rsidR="0015505C" w:rsidRDefault="002B5D99" w:rsidP="0015505C">
      <w:pPr>
        <w:rPr>
          <w:rFonts w:cs="Arial"/>
          <w:sz w:val="22"/>
          <w:szCs w:val="22"/>
        </w:rPr>
      </w:pPr>
      <w:r>
        <w:rPr>
          <w:rFonts w:cs="Arial"/>
          <w:sz w:val="22"/>
          <w:szCs w:val="22"/>
        </w:rPr>
        <w:t xml:space="preserve">Las condiciones de cumplimiento de la garantía del suministro en un contrato de tipo firme o que garantiza firmeza no </w:t>
      </w:r>
      <w:r w:rsidR="0043370A">
        <w:rPr>
          <w:rFonts w:cs="Arial"/>
          <w:sz w:val="22"/>
          <w:szCs w:val="22"/>
        </w:rPr>
        <w:t xml:space="preserve">pueden </w:t>
      </w:r>
      <w:r>
        <w:rPr>
          <w:rFonts w:cs="Arial"/>
          <w:sz w:val="22"/>
          <w:szCs w:val="22"/>
        </w:rPr>
        <w:t>depende</w:t>
      </w:r>
      <w:r w:rsidR="0043370A">
        <w:rPr>
          <w:rFonts w:cs="Arial"/>
          <w:sz w:val="22"/>
          <w:szCs w:val="22"/>
        </w:rPr>
        <w:t>r</w:t>
      </w:r>
      <w:r>
        <w:rPr>
          <w:rFonts w:cs="Arial"/>
          <w:sz w:val="22"/>
          <w:szCs w:val="22"/>
        </w:rPr>
        <w:t xml:space="preserve"> de las condiciones específicas del campo. Si ello es así, se deberían suscribir dos contratos, uno de tipo firme por una cantidad que sí se pueda garantizar y otro con interrupciones para la cantidad que no se puede garantizar. </w:t>
      </w:r>
      <w:r w:rsidR="006A5368">
        <w:rPr>
          <w:rFonts w:cs="Arial"/>
          <w:sz w:val="22"/>
          <w:szCs w:val="22"/>
        </w:rPr>
        <w:t>Es de esperar que los precios pactados tengan en cuenta estas consideraciones.</w:t>
      </w:r>
    </w:p>
    <w:p w14:paraId="3A4B5648" w14:textId="7739E464" w:rsidR="0043370A" w:rsidRDefault="0043370A" w:rsidP="0015505C">
      <w:pPr>
        <w:rPr>
          <w:rFonts w:cs="Arial"/>
          <w:sz w:val="22"/>
          <w:szCs w:val="22"/>
        </w:rPr>
      </w:pPr>
    </w:p>
    <w:p w14:paraId="02FBC12D" w14:textId="50A976C5" w:rsidR="0043370A" w:rsidRDefault="0043370A" w:rsidP="0015505C">
      <w:pPr>
        <w:rPr>
          <w:rFonts w:cs="Arial"/>
          <w:sz w:val="22"/>
          <w:szCs w:val="22"/>
        </w:rPr>
      </w:pPr>
      <w:r>
        <w:rPr>
          <w:rFonts w:cs="Arial"/>
          <w:sz w:val="22"/>
          <w:szCs w:val="22"/>
        </w:rPr>
        <w:t>Los contratos firmes o que garantizan firmeza deben ser homogéneos en las condiciones mínimas establecidas por la CREG, pues ellas aplican a partir de</w:t>
      </w:r>
      <w:r w:rsidR="007F23D2">
        <w:rPr>
          <w:rFonts w:cs="Arial"/>
          <w:sz w:val="22"/>
          <w:szCs w:val="22"/>
        </w:rPr>
        <w:t>l objetivo de</w:t>
      </w:r>
      <w:r>
        <w:rPr>
          <w:rFonts w:cs="Arial"/>
          <w:sz w:val="22"/>
          <w:szCs w:val="22"/>
        </w:rPr>
        <w:t xml:space="preserve"> </w:t>
      </w:r>
      <w:r w:rsidR="004B6119">
        <w:rPr>
          <w:rFonts w:cs="Arial"/>
          <w:sz w:val="22"/>
          <w:szCs w:val="22"/>
        </w:rPr>
        <w:t>equilibrio de relaciones entre los agentes, como se expresa en el Artículo 2.2.2.2.26 “</w:t>
      </w:r>
      <w:r w:rsidR="004B6119" w:rsidRPr="004B6119">
        <w:rPr>
          <w:rFonts w:cs="Arial"/>
          <w:i/>
          <w:iCs/>
          <w:sz w:val="22"/>
          <w:szCs w:val="22"/>
        </w:rPr>
        <w:t>Condiciones mínimas de los contratos de suministro y transporte</w:t>
      </w:r>
      <w:r w:rsidR="004B6119">
        <w:rPr>
          <w:rFonts w:cs="Arial"/>
          <w:sz w:val="22"/>
          <w:szCs w:val="22"/>
        </w:rPr>
        <w:t>”  del Decreto 1073 de 2015 cuando dice: “</w:t>
      </w:r>
      <w:r w:rsidR="004B6119" w:rsidRPr="004B6119">
        <w:rPr>
          <w:rFonts w:cs="Arial"/>
          <w:i/>
          <w:iCs/>
          <w:sz w:val="22"/>
          <w:szCs w:val="22"/>
        </w:rPr>
        <w:t>Con el fin de propender por el equilibrio de las relaciones contractuales entre los Agentes Operacionales, la CREG establecerá los requisitos mínimos para cada una de las modalidades de contratos previstos en la regulación</w:t>
      </w:r>
      <w:r>
        <w:rPr>
          <w:rFonts w:cs="Arial"/>
          <w:sz w:val="22"/>
          <w:szCs w:val="22"/>
        </w:rPr>
        <w:t>.</w:t>
      </w:r>
      <w:r w:rsidR="004B6119">
        <w:rPr>
          <w:rFonts w:cs="Arial"/>
          <w:sz w:val="22"/>
          <w:szCs w:val="22"/>
        </w:rPr>
        <w:t xml:space="preserve">”. </w:t>
      </w:r>
      <w:r w:rsidR="00F600B1">
        <w:rPr>
          <w:rFonts w:cs="Arial"/>
          <w:sz w:val="22"/>
          <w:szCs w:val="22"/>
        </w:rPr>
        <w:t>L</w:t>
      </w:r>
      <w:r w:rsidR="004B6119">
        <w:rPr>
          <w:rFonts w:cs="Arial"/>
          <w:sz w:val="22"/>
          <w:szCs w:val="22"/>
        </w:rPr>
        <w:t xml:space="preserve">o anterior </w:t>
      </w:r>
      <w:r w:rsidR="008013CD">
        <w:rPr>
          <w:rFonts w:cs="Arial"/>
          <w:sz w:val="22"/>
          <w:szCs w:val="22"/>
        </w:rPr>
        <w:t>más aún</w:t>
      </w:r>
      <w:r w:rsidR="004B6119">
        <w:rPr>
          <w:rFonts w:cs="Arial"/>
          <w:sz w:val="22"/>
          <w:szCs w:val="22"/>
        </w:rPr>
        <w:t xml:space="preserve"> cuando se consideran </w:t>
      </w:r>
      <w:r w:rsidR="006A5368">
        <w:rPr>
          <w:rFonts w:cs="Arial"/>
          <w:sz w:val="22"/>
          <w:szCs w:val="22"/>
        </w:rPr>
        <w:t>posible</w:t>
      </w:r>
      <w:r w:rsidR="008013CD">
        <w:rPr>
          <w:rFonts w:cs="Arial"/>
          <w:sz w:val="22"/>
          <w:szCs w:val="22"/>
        </w:rPr>
        <w:t>s</w:t>
      </w:r>
      <w:r w:rsidR="006A5368">
        <w:rPr>
          <w:rFonts w:cs="Arial"/>
          <w:sz w:val="22"/>
          <w:szCs w:val="22"/>
        </w:rPr>
        <w:t xml:space="preserve"> </w:t>
      </w:r>
      <w:r w:rsidR="004B6119">
        <w:rPr>
          <w:rFonts w:cs="Arial"/>
          <w:sz w:val="22"/>
          <w:szCs w:val="22"/>
        </w:rPr>
        <w:t xml:space="preserve">efectos de lo analizado en el numeral </w:t>
      </w:r>
      <w:r w:rsidR="006A5368">
        <w:rPr>
          <w:rFonts w:cs="Arial"/>
          <w:sz w:val="22"/>
          <w:szCs w:val="22"/>
        </w:rPr>
        <w:fldChar w:fldCharType="begin"/>
      </w:r>
      <w:r w:rsidR="006A5368">
        <w:rPr>
          <w:rFonts w:cs="Arial"/>
          <w:sz w:val="22"/>
          <w:szCs w:val="22"/>
        </w:rPr>
        <w:instrText xml:space="preserve"> REF _Ref130303703 \r \h </w:instrText>
      </w:r>
      <w:r w:rsidR="006A5368">
        <w:rPr>
          <w:rFonts w:cs="Arial"/>
          <w:sz w:val="22"/>
          <w:szCs w:val="22"/>
        </w:rPr>
      </w:r>
      <w:r w:rsidR="006A5368">
        <w:rPr>
          <w:rFonts w:cs="Arial"/>
          <w:sz w:val="22"/>
          <w:szCs w:val="22"/>
        </w:rPr>
        <w:fldChar w:fldCharType="separate"/>
      </w:r>
      <w:r w:rsidR="007651EA">
        <w:rPr>
          <w:rFonts w:cs="Arial"/>
          <w:sz w:val="22"/>
          <w:szCs w:val="22"/>
        </w:rPr>
        <w:t>2.2.1</w:t>
      </w:r>
      <w:r w:rsidR="006A5368">
        <w:rPr>
          <w:rFonts w:cs="Arial"/>
          <w:sz w:val="22"/>
          <w:szCs w:val="22"/>
        </w:rPr>
        <w:fldChar w:fldCharType="end"/>
      </w:r>
      <w:r w:rsidR="004B6119">
        <w:rPr>
          <w:rFonts w:cs="Arial"/>
          <w:sz w:val="22"/>
          <w:szCs w:val="22"/>
        </w:rPr>
        <w:t>.</w:t>
      </w:r>
    </w:p>
    <w:p w14:paraId="765E6C09" w14:textId="1F638EA8" w:rsidR="002B5D99" w:rsidRDefault="002B5D99" w:rsidP="0015505C">
      <w:pPr>
        <w:rPr>
          <w:rFonts w:cs="Arial"/>
          <w:sz w:val="22"/>
          <w:szCs w:val="22"/>
        </w:rPr>
      </w:pPr>
    </w:p>
    <w:p w14:paraId="49648066" w14:textId="52F65D08" w:rsidR="002B5D99" w:rsidRDefault="002B5D99" w:rsidP="0015505C">
      <w:pPr>
        <w:rPr>
          <w:rFonts w:cs="Arial"/>
          <w:sz w:val="22"/>
          <w:szCs w:val="22"/>
        </w:rPr>
      </w:pPr>
      <w:r>
        <w:rPr>
          <w:rFonts w:cs="Arial"/>
          <w:sz w:val="22"/>
          <w:szCs w:val="22"/>
        </w:rPr>
        <w:t xml:space="preserve">Ver </w:t>
      </w:r>
      <w:r w:rsidR="0043370A">
        <w:rPr>
          <w:rFonts w:cs="Arial"/>
          <w:sz w:val="22"/>
          <w:szCs w:val="22"/>
        </w:rPr>
        <w:t xml:space="preserve">el comentario y su </w:t>
      </w:r>
      <w:r>
        <w:rPr>
          <w:rFonts w:cs="Arial"/>
          <w:sz w:val="22"/>
          <w:szCs w:val="22"/>
        </w:rPr>
        <w:t xml:space="preserve">respuesta a </w:t>
      </w:r>
      <w:r w:rsidR="0043370A">
        <w:rPr>
          <w:rFonts w:cs="Arial"/>
          <w:sz w:val="22"/>
          <w:szCs w:val="22"/>
        </w:rPr>
        <w:fldChar w:fldCharType="begin"/>
      </w:r>
      <w:r w:rsidR="0043370A">
        <w:rPr>
          <w:rFonts w:cs="Arial"/>
          <w:sz w:val="22"/>
          <w:szCs w:val="22"/>
        </w:rPr>
        <w:instrText xml:space="preserve"> REF _Ref132005153 \r \h </w:instrText>
      </w:r>
      <w:r w:rsidR="0043370A">
        <w:rPr>
          <w:rFonts w:cs="Arial"/>
          <w:sz w:val="22"/>
          <w:szCs w:val="22"/>
        </w:rPr>
      </w:r>
      <w:r w:rsidR="0043370A">
        <w:rPr>
          <w:rFonts w:cs="Arial"/>
          <w:sz w:val="22"/>
          <w:szCs w:val="22"/>
        </w:rPr>
        <w:fldChar w:fldCharType="separate"/>
      </w:r>
      <w:r w:rsidR="007651EA">
        <w:rPr>
          <w:rFonts w:cs="Arial"/>
          <w:sz w:val="22"/>
          <w:szCs w:val="22"/>
        </w:rPr>
        <w:t>17.13.1.1</w:t>
      </w:r>
      <w:r w:rsidR="0043370A">
        <w:rPr>
          <w:rFonts w:cs="Arial"/>
          <w:sz w:val="22"/>
          <w:szCs w:val="22"/>
        </w:rPr>
        <w:fldChar w:fldCharType="end"/>
      </w:r>
      <w:r w:rsidR="0043370A">
        <w:rPr>
          <w:rFonts w:cs="Arial"/>
          <w:sz w:val="22"/>
          <w:szCs w:val="22"/>
        </w:rPr>
        <w:t>.</w:t>
      </w:r>
    </w:p>
    <w:p w14:paraId="4A8C57C9" w14:textId="77777777" w:rsidR="002B5D99" w:rsidRDefault="002B5D99" w:rsidP="0015505C">
      <w:pPr>
        <w:rPr>
          <w:rFonts w:cs="Arial"/>
          <w:sz w:val="22"/>
          <w:szCs w:val="22"/>
        </w:rPr>
      </w:pPr>
    </w:p>
    <w:p w14:paraId="3EB45E33" w14:textId="77777777" w:rsidR="0015505C" w:rsidRDefault="0015505C" w:rsidP="0015505C">
      <w:pPr>
        <w:rPr>
          <w:rFonts w:cs="Arial"/>
          <w:sz w:val="22"/>
          <w:szCs w:val="22"/>
        </w:rPr>
      </w:pPr>
    </w:p>
    <w:p w14:paraId="051BE69D" w14:textId="77777777" w:rsidR="0015505C" w:rsidRDefault="0015505C" w:rsidP="00712A1A">
      <w:pPr>
        <w:pStyle w:val="Ttulo2"/>
      </w:pPr>
      <w:bookmarkStart w:id="769" w:name="_Toc140506422"/>
      <w:r w:rsidRPr="0015505C">
        <w:t>SHELL</w:t>
      </w:r>
      <w:bookmarkEnd w:id="769"/>
    </w:p>
    <w:p w14:paraId="2DD9D545" w14:textId="77777777" w:rsidR="00712A1A" w:rsidRDefault="00712A1A" w:rsidP="00712A1A">
      <w:pPr>
        <w:pStyle w:val="Ttulo4"/>
      </w:pPr>
      <w:r w:rsidRPr="0015505C">
        <w:t>SHELL</w:t>
      </w:r>
    </w:p>
    <w:p w14:paraId="1379919F" w14:textId="415BB2B5" w:rsidR="0015505C" w:rsidRPr="00A13105" w:rsidRDefault="0015505C" w:rsidP="0015505C">
      <w:pPr>
        <w:rPr>
          <w:rFonts w:cs="Arial"/>
          <w:i/>
          <w:iCs/>
          <w:sz w:val="22"/>
          <w:szCs w:val="22"/>
        </w:rPr>
      </w:pPr>
      <w:r w:rsidRPr="0015505C">
        <w:rPr>
          <w:rFonts w:cs="Arial"/>
          <w:sz w:val="22"/>
          <w:szCs w:val="22"/>
        </w:rPr>
        <w:t>"</w:t>
      </w:r>
      <w:r w:rsidRPr="00A13105">
        <w:rPr>
          <w:rFonts w:cs="Arial"/>
          <w:i/>
          <w:iCs/>
          <w:sz w:val="22"/>
          <w:szCs w:val="22"/>
        </w:rPr>
        <w:t xml:space="preserve">El documento soporte de la Resolución 226 de 2022 establece en el punto 4.8 sobre Incentivos para nuevas fuentes o nuevos modos de suministro en el Mercado primario que </w:t>
      </w:r>
      <w:r w:rsidR="00020CD8">
        <w:rPr>
          <w:rFonts w:cs="Arial"/>
          <w:i/>
          <w:iCs/>
          <w:sz w:val="22"/>
          <w:szCs w:val="22"/>
        </w:rPr>
        <w:t>‘</w:t>
      </w:r>
      <w:r w:rsidRPr="00A13105">
        <w:rPr>
          <w:rFonts w:cs="Arial"/>
          <w:i/>
          <w:iCs/>
          <w:sz w:val="22"/>
          <w:szCs w:val="22"/>
        </w:rPr>
        <w:t>(…) Se incluyen propuestas con varios aspectos de flexibilidad e incentivos en la comercialización del gas natural proveniente de campos costa afuera (negociación directa, registro del contrato en cualquier momento del año, condiciones del contrato sin necesidad de cumplir las condiciones o requisitos mínimos establecidos por la CREG, modalidad contractual libre y comercialización conjunta), así como para el gas natural proveniente de importaciones, que buscan incentivar su comercialización con destino al servicio público de gas con el fin de promover el abastecimiento del energético, dando adicionalmente aplicación a lo establecido en el lineamiento de política del Artículo 2.2.2.2.412 del Decreto 1073 de 2015 (…)</w:t>
      </w:r>
      <w:r w:rsidR="00020CD8">
        <w:rPr>
          <w:rFonts w:cs="Arial"/>
          <w:i/>
          <w:iCs/>
          <w:sz w:val="22"/>
          <w:szCs w:val="22"/>
        </w:rPr>
        <w:t>’</w:t>
      </w:r>
      <w:r w:rsidRPr="00A13105">
        <w:rPr>
          <w:rFonts w:cs="Arial"/>
          <w:i/>
          <w:iCs/>
          <w:sz w:val="22"/>
          <w:szCs w:val="22"/>
        </w:rPr>
        <w:t xml:space="preserve"> (negrilla adicionada).</w:t>
      </w:r>
    </w:p>
    <w:p w14:paraId="39D4380F" w14:textId="77777777" w:rsidR="0015505C" w:rsidRPr="00A13105" w:rsidRDefault="0015505C" w:rsidP="0015505C">
      <w:pPr>
        <w:rPr>
          <w:rFonts w:cs="Arial"/>
          <w:i/>
          <w:iCs/>
          <w:sz w:val="22"/>
          <w:szCs w:val="22"/>
        </w:rPr>
      </w:pPr>
    </w:p>
    <w:p w14:paraId="1D77733D" w14:textId="77777777" w:rsidR="0015505C" w:rsidRPr="00A13105" w:rsidRDefault="0015505C" w:rsidP="0015505C">
      <w:pPr>
        <w:rPr>
          <w:rFonts w:cs="Arial"/>
          <w:i/>
          <w:iCs/>
          <w:sz w:val="22"/>
          <w:szCs w:val="22"/>
        </w:rPr>
      </w:pPr>
      <w:r w:rsidRPr="00A13105">
        <w:rPr>
          <w:rFonts w:cs="Arial"/>
          <w:i/>
          <w:iCs/>
          <w:sz w:val="22"/>
          <w:szCs w:val="22"/>
        </w:rPr>
        <w:t xml:space="preserve">Sin embargo, la redacción del parágrafo de la resolución que incluye este incentivo no refleja con totalidad lo propuesto por la comisión. El parágrafo propuesto por la Comisión es el siguiente:  </w:t>
      </w:r>
    </w:p>
    <w:p w14:paraId="0A8CB232" w14:textId="77777777" w:rsidR="0015505C" w:rsidRPr="00A13105" w:rsidRDefault="0015505C" w:rsidP="0015505C">
      <w:pPr>
        <w:rPr>
          <w:rFonts w:cs="Arial"/>
          <w:i/>
          <w:iCs/>
          <w:sz w:val="22"/>
          <w:szCs w:val="22"/>
        </w:rPr>
      </w:pPr>
    </w:p>
    <w:p w14:paraId="529CE322" w14:textId="77777777" w:rsidR="0015505C" w:rsidRPr="00A13105" w:rsidRDefault="0015505C" w:rsidP="0015505C">
      <w:pPr>
        <w:rPr>
          <w:rFonts w:cs="Arial"/>
          <w:i/>
          <w:iCs/>
          <w:sz w:val="22"/>
          <w:szCs w:val="22"/>
        </w:rPr>
      </w:pPr>
      <w:r w:rsidRPr="00A13105">
        <w:rPr>
          <w:rFonts w:cs="Arial"/>
          <w:i/>
          <w:iCs/>
          <w:sz w:val="22"/>
          <w:szCs w:val="22"/>
        </w:rPr>
        <w:t>“(…) Parágrafo. De esta disposición se exceptúan los casos señalados en el numeral i del literal a) del numeral 1, en los literales b) y f) del numeral 1, los literales a) y c) del numeral 2 del Artículo 19 de esta Resolución, siempre y cuando el suministro del gas que se contrata provenga de una sola Fuente de Suministro. En estos casos las partes definirán las condiciones de los contratos que celebren y deberán contener lo dispuesto en el Capítulo II del Título III de la presente resolución, excepto en los casos de campos en pruebas extensas y de actualización de precios para el gas natural importado (…).”</w:t>
      </w:r>
    </w:p>
    <w:p w14:paraId="67C26751" w14:textId="77777777" w:rsidR="0015505C" w:rsidRPr="00A13105" w:rsidRDefault="0015505C" w:rsidP="0015505C">
      <w:pPr>
        <w:rPr>
          <w:rFonts w:cs="Arial"/>
          <w:i/>
          <w:iCs/>
          <w:sz w:val="22"/>
          <w:szCs w:val="22"/>
        </w:rPr>
      </w:pPr>
    </w:p>
    <w:p w14:paraId="280271B5" w14:textId="3AA5BD45" w:rsidR="0015505C" w:rsidRPr="00A13105" w:rsidRDefault="0015505C" w:rsidP="0015505C">
      <w:pPr>
        <w:rPr>
          <w:rFonts w:cs="Arial"/>
          <w:i/>
          <w:iCs/>
          <w:sz w:val="22"/>
          <w:szCs w:val="22"/>
        </w:rPr>
      </w:pPr>
      <w:r w:rsidRPr="00A13105">
        <w:rPr>
          <w:rFonts w:cs="Arial"/>
          <w:i/>
          <w:iCs/>
          <w:sz w:val="22"/>
          <w:szCs w:val="22"/>
        </w:rPr>
        <w:t xml:space="preserve">Adicionalmente el parágrafo propuesto por la comisión limita la creación de un portafolio de gas, es decir, la flexibilidad para que un Productor Comercializador ofrezca alternativas de suministro en un contrato en aras de lograr mayor seguridad de suministro para el cliente, al establecer que de la disposición presentada se exceptúan </w:t>
      </w:r>
      <w:r w:rsidR="00020CD8">
        <w:rPr>
          <w:rFonts w:cs="Arial"/>
          <w:i/>
          <w:iCs/>
          <w:sz w:val="22"/>
          <w:szCs w:val="22"/>
        </w:rPr>
        <w:t>‘</w:t>
      </w:r>
      <w:r w:rsidRPr="00A13105">
        <w:rPr>
          <w:rFonts w:cs="Arial"/>
          <w:i/>
          <w:iCs/>
          <w:sz w:val="22"/>
          <w:szCs w:val="22"/>
        </w:rPr>
        <w:t>los casos señalados en el numeral i del literal a) del numeral 1, en los literales b) y f) del numeral 1, los literales a) y c) del numeral 2 del Artículo 19 de esta Resolución, siempre y cuando el suministro del gas que se contrata provenga de una sola Fuente de Suministro</w:t>
      </w:r>
      <w:r w:rsidR="00020CD8">
        <w:rPr>
          <w:rFonts w:cs="Arial"/>
          <w:i/>
          <w:iCs/>
          <w:sz w:val="22"/>
          <w:szCs w:val="22"/>
        </w:rPr>
        <w:t>’</w:t>
      </w:r>
      <w:r w:rsidRPr="00A13105">
        <w:rPr>
          <w:rFonts w:cs="Arial"/>
          <w:i/>
          <w:iCs/>
          <w:sz w:val="22"/>
          <w:szCs w:val="22"/>
        </w:rPr>
        <w:t xml:space="preserve">. Lo anterior, creemos que limita la posibilidad de desarrollas estrategias para crear un portafolio de opciones de gas que sean flexibles y respondan a las necesidades de usuarios regulados y no regulados. </w:t>
      </w:r>
    </w:p>
    <w:p w14:paraId="00D0FA16" w14:textId="77777777" w:rsidR="0015505C" w:rsidRPr="00A13105" w:rsidRDefault="0015505C" w:rsidP="0015505C">
      <w:pPr>
        <w:rPr>
          <w:rFonts w:cs="Arial"/>
          <w:i/>
          <w:iCs/>
          <w:sz w:val="22"/>
          <w:szCs w:val="22"/>
        </w:rPr>
      </w:pPr>
    </w:p>
    <w:p w14:paraId="6C16BC7C" w14:textId="5F3DBD28" w:rsidR="0015505C" w:rsidRDefault="0015505C" w:rsidP="0015505C">
      <w:pPr>
        <w:rPr>
          <w:rFonts w:cs="Arial"/>
          <w:sz w:val="22"/>
          <w:szCs w:val="22"/>
        </w:rPr>
      </w:pPr>
      <w:r w:rsidRPr="00A13105">
        <w:rPr>
          <w:rFonts w:cs="Arial"/>
          <w:i/>
          <w:iCs/>
          <w:sz w:val="22"/>
          <w:szCs w:val="22"/>
        </w:rPr>
        <w:t>Además, la creación de un portafolio de gas, que ofrezca diferentes fuentes de suministro puede incentivar al productor en desarrollar estrategias comerciales que permitan aumentar la competitividad de suministro y dar alternativas de Puntos de Entrega</w:t>
      </w:r>
      <w:r w:rsidRPr="0015505C">
        <w:rPr>
          <w:rFonts w:cs="Arial"/>
          <w:sz w:val="22"/>
          <w:szCs w:val="22"/>
        </w:rPr>
        <w:t>."</w:t>
      </w:r>
    </w:p>
    <w:p w14:paraId="7E3E1BBF" w14:textId="2FBB63E0" w:rsidR="00A13105" w:rsidRDefault="00A13105" w:rsidP="0015505C">
      <w:pPr>
        <w:rPr>
          <w:rFonts w:cs="Arial"/>
          <w:sz w:val="22"/>
          <w:szCs w:val="22"/>
        </w:rPr>
      </w:pPr>
    </w:p>
    <w:p w14:paraId="42F35B05" w14:textId="67F62BD7" w:rsidR="00A13105" w:rsidRPr="00A13105" w:rsidRDefault="00A13105" w:rsidP="0015505C">
      <w:pPr>
        <w:rPr>
          <w:rFonts w:cs="Arial"/>
          <w:b/>
          <w:bCs/>
          <w:sz w:val="22"/>
          <w:szCs w:val="22"/>
        </w:rPr>
      </w:pPr>
      <w:r w:rsidRPr="00A13105">
        <w:rPr>
          <w:rFonts w:cs="Arial"/>
          <w:b/>
          <w:bCs/>
          <w:sz w:val="22"/>
          <w:szCs w:val="22"/>
        </w:rPr>
        <w:t>Respuesta:</w:t>
      </w:r>
    </w:p>
    <w:p w14:paraId="69FCC76C" w14:textId="217B5ECA" w:rsidR="00A13105" w:rsidRDefault="00A13105" w:rsidP="0015505C">
      <w:pPr>
        <w:rPr>
          <w:rFonts w:cs="Arial"/>
          <w:sz w:val="22"/>
          <w:szCs w:val="22"/>
        </w:rPr>
      </w:pPr>
    </w:p>
    <w:p w14:paraId="14F03C15" w14:textId="75CFB516" w:rsidR="00A13105" w:rsidRPr="0015505C" w:rsidRDefault="004F37A3" w:rsidP="0015505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_Ref132033149 \r \h </w:instrText>
      </w:r>
      <w:r>
        <w:rPr>
          <w:rFonts w:cs="Arial"/>
          <w:sz w:val="22"/>
          <w:szCs w:val="22"/>
        </w:rPr>
      </w:r>
      <w:r>
        <w:rPr>
          <w:rFonts w:cs="Arial"/>
          <w:sz w:val="22"/>
          <w:szCs w:val="22"/>
        </w:rPr>
        <w:fldChar w:fldCharType="separate"/>
      </w:r>
      <w:r w:rsidR="007651EA">
        <w:rPr>
          <w:rFonts w:cs="Arial"/>
          <w:sz w:val="22"/>
          <w:szCs w:val="22"/>
        </w:rPr>
        <w:t>17.16.1.1</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_Ref132019370 \r \h </w:instrText>
      </w:r>
      <w:r>
        <w:rPr>
          <w:rFonts w:cs="Arial"/>
          <w:sz w:val="22"/>
          <w:szCs w:val="22"/>
        </w:rPr>
      </w:r>
      <w:r>
        <w:rPr>
          <w:rFonts w:cs="Arial"/>
          <w:sz w:val="22"/>
          <w:szCs w:val="22"/>
        </w:rPr>
        <w:fldChar w:fldCharType="separate"/>
      </w:r>
      <w:r w:rsidR="007651EA">
        <w:rPr>
          <w:rFonts w:cs="Arial"/>
          <w:sz w:val="22"/>
          <w:szCs w:val="22"/>
        </w:rPr>
        <w:t>4.21.1.6</w:t>
      </w:r>
      <w:r>
        <w:rPr>
          <w:rFonts w:cs="Arial"/>
          <w:sz w:val="22"/>
          <w:szCs w:val="22"/>
        </w:rPr>
        <w:fldChar w:fldCharType="end"/>
      </w:r>
      <w:r>
        <w:rPr>
          <w:rFonts w:cs="Arial"/>
          <w:sz w:val="22"/>
          <w:szCs w:val="22"/>
        </w:rPr>
        <w:t xml:space="preserve"> respecto del cumplimiento del contrato de suministro con el uso de fuentes de suministro diferentes a las especificadas en el mismo.</w:t>
      </w:r>
    </w:p>
    <w:p w14:paraId="6AB449F4" w14:textId="77777777" w:rsidR="0015505C" w:rsidRDefault="0015505C" w:rsidP="0015505C">
      <w:pPr>
        <w:rPr>
          <w:rFonts w:cs="Arial"/>
          <w:sz w:val="22"/>
          <w:szCs w:val="22"/>
        </w:rPr>
      </w:pPr>
    </w:p>
    <w:p w14:paraId="2D6E8EC2" w14:textId="77777777" w:rsidR="0015505C" w:rsidRDefault="0015505C" w:rsidP="0015505C">
      <w:pPr>
        <w:rPr>
          <w:rFonts w:cs="Arial"/>
          <w:sz w:val="22"/>
          <w:szCs w:val="22"/>
        </w:rPr>
      </w:pPr>
    </w:p>
    <w:p w14:paraId="6CA0AA62" w14:textId="77777777" w:rsidR="0015505C" w:rsidRDefault="0015505C" w:rsidP="00712A1A">
      <w:pPr>
        <w:pStyle w:val="Ttulo2"/>
      </w:pPr>
      <w:bookmarkStart w:id="770" w:name="_Toc140506423"/>
      <w:r w:rsidRPr="0015505C">
        <w:t>TERPEL</w:t>
      </w:r>
      <w:bookmarkEnd w:id="770"/>
      <w:r w:rsidRPr="0015505C">
        <w:tab/>
      </w:r>
    </w:p>
    <w:p w14:paraId="175ECFF2" w14:textId="77777777" w:rsidR="00712A1A" w:rsidRDefault="00712A1A" w:rsidP="00712A1A">
      <w:pPr>
        <w:pStyle w:val="Ttulo4"/>
      </w:pPr>
      <w:r w:rsidRPr="0015505C">
        <w:t>TERPEL</w:t>
      </w:r>
      <w:r w:rsidRPr="0015505C">
        <w:tab/>
      </w:r>
    </w:p>
    <w:p w14:paraId="3F49DE7A" w14:textId="4CA90A82" w:rsidR="0015505C" w:rsidRPr="004F37A3" w:rsidRDefault="0015505C" w:rsidP="0015505C">
      <w:pPr>
        <w:rPr>
          <w:rFonts w:cs="Arial"/>
          <w:i/>
          <w:iCs/>
          <w:sz w:val="22"/>
          <w:szCs w:val="22"/>
        </w:rPr>
      </w:pPr>
      <w:r w:rsidRPr="0015505C">
        <w:rPr>
          <w:rFonts w:cs="Arial"/>
          <w:sz w:val="22"/>
          <w:szCs w:val="22"/>
        </w:rPr>
        <w:t>"</w:t>
      </w:r>
      <w:r w:rsidRPr="004F37A3">
        <w:rPr>
          <w:rFonts w:cs="Arial"/>
          <w:i/>
          <w:iCs/>
          <w:sz w:val="22"/>
          <w:szCs w:val="22"/>
        </w:rPr>
        <w:t xml:space="preserve">Sugerimos aclarar la última frase del parágrafo, en específico </w:t>
      </w:r>
      <w:r w:rsidR="00C757EC">
        <w:rPr>
          <w:rFonts w:cs="Arial"/>
          <w:i/>
          <w:iCs/>
          <w:sz w:val="22"/>
          <w:szCs w:val="22"/>
        </w:rPr>
        <w:t>‘</w:t>
      </w:r>
      <w:r w:rsidRPr="004F37A3">
        <w:rPr>
          <w:rFonts w:cs="Arial"/>
          <w:i/>
          <w:iCs/>
          <w:sz w:val="22"/>
          <w:szCs w:val="22"/>
        </w:rPr>
        <w:t>En estos casos las partes definirán las condiciones de los contratos que celebren y deberán contener lo dispuesto en el Capítulo II del Título III de la presente resolución, excepto en los casos de campos en pruebas extensas y de actualización de precios para el gas natural importado</w:t>
      </w:r>
      <w:r w:rsidR="00C757EC">
        <w:rPr>
          <w:rFonts w:cs="Arial"/>
          <w:i/>
          <w:iCs/>
          <w:sz w:val="22"/>
          <w:szCs w:val="22"/>
        </w:rPr>
        <w:t>’</w:t>
      </w:r>
      <w:r w:rsidRPr="004F37A3">
        <w:rPr>
          <w:rFonts w:cs="Arial"/>
          <w:i/>
          <w:iCs/>
          <w:sz w:val="22"/>
          <w:szCs w:val="22"/>
        </w:rPr>
        <w:t xml:space="preserve">. De la redacción no se entiende si los campos en pruebas extensas no pueden definir las condiciones de los contratos que celebren, o si están </w:t>
      </w:r>
      <w:proofErr w:type="spellStart"/>
      <w:r w:rsidRPr="004F37A3">
        <w:rPr>
          <w:rFonts w:cs="Arial"/>
          <w:i/>
          <w:iCs/>
          <w:sz w:val="22"/>
          <w:szCs w:val="22"/>
        </w:rPr>
        <w:t>exeptuados</w:t>
      </w:r>
      <w:proofErr w:type="spellEnd"/>
      <w:r w:rsidRPr="004F37A3">
        <w:rPr>
          <w:rFonts w:cs="Arial"/>
          <w:i/>
          <w:iCs/>
          <w:sz w:val="22"/>
          <w:szCs w:val="22"/>
        </w:rPr>
        <w:t xml:space="preserve"> </w:t>
      </w:r>
      <w:proofErr w:type="spellStart"/>
      <w:r w:rsidRPr="004F37A3">
        <w:rPr>
          <w:rFonts w:cs="Arial"/>
          <w:i/>
          <w:iCs/>
          <w:sz w:val="22"/>
          <w:szCs w:val="22"/>
        </w:rPr>
        <w:t>unicamente</w:t>
      </w:r>
      <w:proofErr w:type="spellEnd"/>
      <w:r w:rsidRPr="004F37A3">
        <w:rPr>
          <w:rFonts w:cs="Arial"/>
          <w:i/>
          <w:iCs/>
          <w:sz w:val="22"/>
          <w:szCs w:val="22"/>
        </w:rPr>
        <w:t xml:space="preserve"> de lo dispuesto en el  Capítulo II del Título III.</w:t>
      </w:r>
    </w:p>
    <w:p w14:paraId="0FE8D640" w14:textId="77777777" w:rsidR="0015505C" w:rsidRPr="004F37A3" w:rsidRDefault="0015505C" w:rsidP="0015505C">
      <w:pPr>
        <w:rPr>
          <w:rFonts w:cs="Arial"/>
          <w:i/>
          <w:iCs/>
          <w:sz w:val="22"/>
          <w:szCs w:val="22"/>
        </w:rPr>
      </w:pPr>
    </w:p>
    <w:p w14:paraId="6548DA02" w14:textId="46CE9A2F" w:rsidR="00D26961" w:rsidRPr="004F37A3" w:rsidRDefault="0015505C" w:rsidP="0015505C">
      <w:pPr>
        <w:rPr>
          <w:rFonts w:cs="Arial"/>
          <w:i/>
          <w:iCs/>
          <w:sz w:val="22"/>
          <w:szCs w:val="22"/>
        </w:rPr>
      </w:pPr>
      <w:r w:rsidRPr="004F37A3">
        <w:rPr>
          <w:rFonts w:cs="Arial"/>
          <w:i/>
          <w:iCs/>
          <w:sz w:val="22"/>
          <w:szCs w:val="22"/>
        </w:rPr>
        <w:t xml:space="preserve">En cualquier caso, sugerimos que esta última frase del </w:t>
      </w:r>
      <w:proofErr w:type="gramStart"/>
      <w:r w:rsidRPr="004F37A3">
        <w:rPr>
          <w:rFonts w:cs="Arial"/>
          <w:i/>
          <w:iCs/>
          <w:sz w:val="22"/>
          <w:szCs w:val="22"/>
        </w:rPr>
        <w:t>parágrafo,</w:t>
      </w:r>
      <w:proofErr w:type="gramEnd"/>
      <w:r w:rsidRPr="004F37A3">
        <w:rPr>
          <w:rFonts w:cs="Arial"/>
          <w:i/>
          <w:iCs/>
          <w:sz w:val="22"/>
          <w:szCs w:val="22"/>
        </w:rPr>
        <w:t xml:space="preserve"> quede igual a como estaba en la Resolución 186/2021"</w:t>
      </w:r>
    </w:p>
    <w:p w14:paraId="7EFDCDD8" w14:textId="69CED053" w:rsidR="004F37A3" w:rsidRDefault="004F37A3" w:rsidP="0015505C">
      <w:pPr>
        <w:rPr>
          <w:rFonts w:cs="Arial"/>
          <w:sz w:val="22"/>
          <w:szCs w:val="22"/>
        </w:rPr>
      </w:pPr>
    </w:p>
    <w:p w14:paraId="3E1AFFE8" w14:textId="3496E372" w:rsidR="004F37A3" w:rsidRPr="004F37A3" w:rsidRDefault="004F37A3" w:rsidP="0015505C">
      <w:pPr>
        <w:rPr>
          <w:rFonts w:cs="Arial"/>
          <w:b/>
          <w:bCs/>
          <w:sz w:val="22"/>
          <w:szCs w:val="22"/>
        </w:rPr>
      </w:pPr>
      <w:r w:rsidRPr="004F37A3">
        <w:rPr>
          <w:rFonts w:cs="Arial"/>
          <w:b/>
          <w:bCs/>
          <w:sz w:val="22"/>
          <w:szCs w:val="22"/>
        </w:rPr>
        <w:t>Respuesta:</w:t>
      </w:r>
    </w:p>
    <w:p w14:paraId="1BA06941" w14:textId="73F2981C" w:rsidR="004F37A3" w:rsidRDefault="004F37A3" w:rsidP="0015505C">
      <w:pPr>
        <w:rPr>
          <w:rFonts w:cs="Arial"/>
          <w:sz w:val="22"/>
          <w:szCs w:val="22"/>
        </w:rPr>
      </w:pPr>
    </w:p>
    <w:p w14:paraId="3CC25E89" w14:textId="3B9CCFEA" w:rsidR="004F37A3" w:rsidRPr="0015505C" w:rsidRDefault="004F37A3" w:rsidP="0015505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_Ref132032020 \r \h </w:instrText>
      </w:r>
      <w:r>
        <w:rPr>
          <w:rFonts w:cs="Arial"/>
          <w:sz w:val="22"/>
          <w:szCs w:val="22"/>
        </w:rPr>
      </w:r>
      <w:r>
        <w:rPr>
          <w:rFonts w:cs="Arial"/>
          <w:sz w:val="22"/>
          <w:szCs w:val="22"/>
        </w:rPr>
        <w:fldChar w:fldCharType="separate"/>
      </w:r>
      <w:r w:rsidR="007651EA">
        <w:rPr>
          <w:rFonts w:cs="Arial"/>
          <w:sz w:val="22"/>
          <w:szCs w:val="22"/>
        </w:rPr>
        <w:t>18.1.1.1</w:t>
      </w:r>
      <w:r>
        <w:rPr>
          <w:rFonts w:cs="Arial"/>
          <w:sz w:val="22"/>
          <w:szCs w:val="22"/>
        </w:rPr>
        <w:fldChar w:fldCharType="end"/>
      </w:r>
      <w:r>
        <w:rPr>
          <w:rFonts w:cs="Arial"/>
          <w:sz w:val="22"/>
          <w:szCs w:val="22"/>
        </w:rPr>
        <w:t>.</w:t>
      </w:r>
    </w:p>
    <w:p w14:paraId="33721CED" w14:textId="7868CA32" w:rsidR="00D26961" w:rsidRDefault="00D26961" w:rsidP="00371CB5">
      <w:pPr>
        <w:rPr>
          <w:rFonts w:cs="Arial"/>
          <w:b/>
          <w:bCs/>
          <w:sz w:val="22"/>
          <w:szCs w:val="22"/>
        </w:rPr>
      </w:pPr>
    </w:p>
    <w:p w14:paraId="6721D5E0" w14:textId="47249AF0" w:rsidR="0015505C" w:rsidRDefault="0015505C" w:rsidP="00371CB5">
      <w:pPr>
        <w:rPr>
          <w:rFonts w:cs="Arial"/>
          <w:b/>
          <w:bCs/>
          <w:sz w:val="22"/>
          <w:szCs w:val="22"/>
        </w:rPr>
      </w:pPr>
    </w:p>
    <w:p w14:paraId="2B5805FB" w14:textId="5BD065F1" w:rsidR="00D26961" w:rsidRPr="0028726C" w:rsidRDefault="00D26961" w:rsidP="004D7395">
      <w:pPr>
        <w:pStyle w:val="Ttulo1"/>
        <w:numPr>
          <w:ilvl w:val="0"/>
          <w:numId w:val="1"/>
        </w:numPr>
        <w:rPr>
          <w:caps/>
        </w:rPr>
      </w:pPr>
      <w:bookmarkStart w:id="771" w:name="_Toc140506424"/>
      <w:r>
        <w:t xml:space="preserve">ARTÍCULO </w:t>
      </w:r>
      <w:r w:rsidR="00EF1C07">
        <w:t>21</w:t>
      </w:r>
      <w:r>
        <w:t xml:space="preserve">. </w:t>
      </w:r>
      <w:r w:rsidR="0070732E" w:rsidRPr="0028726C">
        <w:rPr>
          <w:caps/>
        </w:rPr>
        <w:t>Mecanismo de Aseguramiento de la Demanda Esencial, MADE</w:t>
      </w:r>
      <w:bookmarkEnd w:id="771"/>
    </w:p>
    <w:p w14:paraId="1D56E6EA" w14:textId="77777777" w:rsidR="00C53D76" w:rsidRDefault="0028726C" w:rsidP="0090195C">
      <w:pPr>
        <w:pStyle w:val="Ttulo2"/>
      </w:pPr>
      <w:bookmarkStart w:id="772" w:name="_Toc140506425"/>
      <w:r w:rsidRPr="0028726C">
        <w:t>ACOLGEN</w:t>
      </w:r>
      <w:bookmarkEnd w:id="772"/>
      <w:r w:rsidRPr="0028726C">
        <w:tab/>
      </w:r>
    </w:p>
    <w:p w14:paraId="278B324C" w14:textId="77777777" w:rsidR="00002A82" w:rsidRDefault="00002A82" w:rsidP="000D05A3">
      <w:pPr>
        <w:pStyle w:val="Ttulo4"/>
      </w:pPr>
      <w:bookmarkStart w:id="773" w:name="_Ref132197558"/>
      <w:r w:rsidRPr="0028726C">
        <w:t>ACOLGEN</w:t>
      </w:r>
      <w:bookmarkEnd w:id="773"/>
      <w:r w:rsidRPr="0028726C">
        <w:tab/>
      </w:r>
    </w:p>
    <w:p w14:paraId="4865E227" w14:textId="76C3B8D2" w:rsidR="0028726C" w:rsidRPr="00055F7C" w:rsidRDefault="0028726C" w:rsidP="0028726C">
      <w:pPr>
        <w:rPr>
          <w:rFonts w:cs="Arial"/>
          <w:i/>
          <w:iCs/>
          <w:sz w:val="22"/>
          <w:szCs w:val="22"/>
        </w:rPr>
      </w:pPr>
      <w:r w:rsidRPr="0028726C">
        <w:rPr>
          <w:rFonts w:cs="Arial"/>
          <w:sz w:val="22"/>
          <w:szCs w:val="22"/>
        </w:rPr>
        <w:t>"</w:t>
      </w:r>
      <w:r w:rsidRPr="00055F7C">
        <w:rPr>
          <w:rFonts w:cs="Arial"/>
          <w:i/>
          <w:iCs/>
          <w:sz w:val="22"/>
          <w:szCs w:val="22"/>
        </w:rPr>
        <w:t xml:space="preserve">Frente a las modificaciones propuestas al mecanismo de comercialización (art 21) estamos de acuerdo con una periodicidad trimestral, toda vez que da la posibilidad de contratar teniendo en cuenta posibles periodos de baja hidrología, que reconocen la operación del parque térmico. Sin embargo, nos quedan dudas sobre la metodología de cálculo utilizada para la definición de la situación de déficit. Para este cálculo, la CREG realiza un balance agregado nacional desde 2017, y se ha encontrado que la oferta ha estado en general en un 6% por encima de la demanda, no obstante, la realidad de la oferta es diferente en el mercado del interior como en el de la costa tal como lo reconoce la comisión, al establecer que los balances que realice el </w:t>
      </w:r>
      <w:r w:rsidR="005114C6">
        <w:rPr>
          <w:rFonts w:cs="Arial"/>
          <w:i/>
          <w:iCs/>
          <w:sz w:val="22"/>
          <w:szCs w:val="22"/>
        </w:rPr>
        <w:t>Gestor del Mercado</w:t>
      </w:r>
      <w:r w:rsidRPr="00055F7C">
        <w:rPr>
          <w:rFonts w:cs="Arial"/>
          <w:i/>
          <w:iCs/>
          <w:sz w:val="22"/>
          <w:szCs w:val="22"/>
        </w:rPr>
        <w:t xml:space="preserve"> deberán realizarse por puntos de referencia. En este sentido, consideramos necesario que el cálculo del balance comercial de referencia del 94% para activar una condición de subasta trimestral, se revise y calcule de manera independiente entre los nodos de la costa(superavitarios) y los nodos del interior (deficitarios), lo cual mostraría valores más exigentes para la oferta en el interior, superiores a un 6% sobre la demanda para activar tal condición. Para la Asociación existen claras diferencias entre las dos regiones sobre las condiciones de oferta, por lo menos hasta que exista una nueva fuente de gas nacional o importado que equilibre la oferta del interior, o sea físicamente posible la interconexión de los dos sistemas o, lo que vemos más eficiente aún y es migrar a un esquema de remuneración </w:t>
      </w:r>
      <w:proofErr w:type="spellStart"/>
      <w:r w:rsidRPr="00055F7C">
        <w:rPr>
          <w:rFonts w:cs="Arial"/>
          <w:i/>
          <w:iCs/>
          <w:sz w:val="22"/>
          <w:szCs w:val="22"/>
        </w:rPr>
        <w:t>Entry</w:t>
      </w:r>
      <w:proofErr w:type="spellEnd"/>
      <w:r w:rsidRPr="00055F7C">
        <w:rPr>
          <w:rFonts w:cs="Arial"/>
          <w:i/>
          <w:iCs/>
          <w:sz w:val="22"/>
          <w:szCs w:val="22"/>
        </w:rPr>
        <w:t xml:space="preserve"> -</w:t>
      </w:r>
      <w:proofErr w:type="spellStart"/>
      <w:r w:rsidRPr="00055F7C">
        <w:rPr>
          <w:rFonts w:cs="Arial"/>
          <w:i/>
          <w:iCs/>
          <w:sz w:val="22"/>
          <w:szCs w:val="22"/>
        </w:rPr>
        <w:t>Exit</w:t>
      </w:r>
      <w:proofErr w:type="spellEnd"/>
      <w:r w:rsidRPr="00055F7C">
        <w:rPr>
          <w:rFonts w:cs="Arial"/>
          <w:i/>
          <w:iCs/>
          <w:sz w:val="22"/>
          <w:szCs w:val="22"/>
        </w:rPr>
        <w:t xml:space="preserve"> en transporte, en donde sea posible adquirir gas desde cualquier fuente disponible evitando el arbitraje del transporte, y que haría posible un balance comercial agregado dado que en teoría sería posible comprar gas desde cualquier fuente disponible.</w:t>
      </w:r>
    </w:p>
    <w:p w14:paraId="07A1C352" w14:textId="77777777" w:rsidR="0028726C" w:rsidRPr="00055F7C" w:rsidRDefault="0028726C" w:rsidP="0028726C">
      <w:pPr>
        <w:rPr>
          <w:rFonts w:cs="Arial"/>
          <w:i/>
          <w:iCs/>
          <w:sz w:val="22"/>
          <w:szCs w:val="22"/>
        </w:rPr>
      </w:pPr>
    </w:p>
    <w:p w14:paraId="63CEC966" w14:textId="201F0AFB" w:rsidR="0028726C" w:rsidRDefault="0028726C" w:rsidP="0028726C">
      <w:pPr>
        <w:rPr>
          <w:rFonts w:cs="Arial"/>
          <w:sz w:val="22"/>
          <w:szCs w:val="22"/>
        </w:rPr>
      </w:pPr>
      <w:r w:rsidRPr="00055F7C">
        <w:rPr>
          <w:rFonts w:cs="Arial"/>
          <w:i/>
          <w:iCs/>
          <w:sz w:val="22"/>
          <w:szCs w:val="22"/>
        </w:rPr>
        <w:t>De otra parte, hacer más exigente el valor de oferta para evitar una subasta en un determinado trimestre, podría incentivarlo a colocar más gas de sus reservas sobre la mesa, para poder seguir negociando bilateralmente</w:t>
      </w:r>
      <w:r w:rsidRPr="0028726C">
        <w:rPr>
          <w:rFonts w:cs="Arial"/>
          <w:sz w:val="22"/>
          <w:szCs w:val="22"/>
        </w:rPr>
        <w:t>."</w:t>
      </w:r>
    </w:p>
    <w:p w14:paraId="61F4FCEC" w14:textId="0E97DD5A" w:rsidR="00055F7C" w:rsidRPr="00055F7C" w:rsidRDefault="00055F7C" w:rsidP="0028726C">
      <w:pPr>
        <w:rPr>
          <w:rFonts w:cs="Arial"/>
          <w:b/>
          <w:bCs/>
          <w:sz w:val="22"/>
          <w:szCs w:val="22"/>
        </w:rPr>
      </w:pPr>
    </w:p>
    <w:p w14:paraId="73138395" w14:textId="22BEF82E" w:rsidR="00055F7C" w:rsidRPr="00055F7C" w:rsidRDefault="00055F7C" w:rsidP="0028726C">
      <w:pPr>
        <w:rPr>
          <w:rFonts w:cs="Arial"/>
          <w:b/>
          <w:bCs/>
          <w:sz w:val="22"/>
          <w:szCs w:val="22"/>
        </w:rPr>
      </w:pPr>
      <w:r w:rsidRPr="00055F7C">
        <w:rPr>
          <w:rFonts w:cs="Arial"/>
          <w:b/>
          <w:bCs/>
          <w:sz w:val="22"/>
          <w:szCs w:val="22"/>
        </w:rPr>
        <w:t>Respuesta:</w:t>
      </w:r>
    </w:p>
    <w:p w14:paraId="1343B68F" w14:textId="27BF481E" w:rsidR="00055F7C" w:rsidRDefault="00055F7C" w:rsidP="0028726C">
      <w:pPr>
        <w:rPr>
          <w:rFonts w:cs="Arial"/>
          <w:sz w:val="22"/>
          <w:szCs w:val="22"/>
        </w:rPr>
      </w:pPr>
    </w:p>
    <w:p w14:paraId="703E7B44" w14:textId="619DF9E8" w:rsidR="00055F7C" w:rsidRDefault="00055F7C" w:rsidP="0028726C">
      <w:pPr>
        <w:rPr>
          <w:rFonts w:cs="Arial"/>
          <w:sz w:val="22"/>
          <w:szCs w:val="22"/>
        </w:rPr>
      </w:pPr>
      <w:r>
        <w:rPr>
          <w:rFonts w:cs="Arial"/>
          <w:sz w:val="22"/>
          <w:szCs w:val="22"/>
        </w:rPr>
        <w:t>Sobre el contenido del comentario hay que hacer varias aclaraciones:</w:t>
      </w:r>
    </w:p>
    <w:p w14:paraId="04892C3A" w14:textId="1D726100" w:rsidR="00055F7C" w:rsidRDefault="00055F7C" w:rsidP="0028726C">
      <w:pPr>
        <w:rPr>
          <w:rFonts w:cs="Arial"/>
          <w:sz w:val="22"/>
          <w:szCs w:val="22"/>
        </w:rPr>
      </w:pPr>
    </w:p>
    <w:p w14:paraId="47FFEBC1" w14:textId="614C8DBD" w:rsidR="00055F7C" w:rsidRDefault="00055F7C" w:rsidP="00055F7C">
      <w:pPr>
        <w:pStyle w:val="Prrafodelista"/>
        <w:numPr>
          <w:ilvl w:val="0"/>
          <w:numId w:val="24"/>
        </w:numPr>
        <w:rPr>
          <w:rFonts w:cs="Arial"/>
          <w:sz w:val="22"/>
          <w:szCs w:val="22"/>
        </w:rPr>
      </w:pPr>
      <w:r>
        <w:rPr>
          <w:rFonts w:cs="Arial"/>
          <w:sz w:val="22"/>
          <w:szCs w:val="22"/>
        </w:rPr>
        <w:t xml:space="preserve">La CREG no ha encontrado que la oferta ha estado en general en un 6% por encima de la demanda. Lo que observó la CREG y se muestra en la gráfica 9 del numeral </w:t>
      </w:r>
      <w:r w:rsidRPr="00055F7C">
        <w:rPr>
          <w:rFonts w:cs="Arial"/>
          <w:sz w:val="22"/>
          <w:szCs w:val="22"/>
        </w:rPr>
        <w:t xml:space="preserve">4.10.2 </w:t>
      </w:r>
      <w:r>
        <w:rPr>
          <w:rFonts w:cs="Arial"/>
          <w:sz w:val="22"/>
          <w:szCs w:val="22"/>
        </w:rPr>
        <w:t>“</w:t>
      </w:r>
      <w:r w:rsidRPr="00055F7C">
        <w:rPr>
          <w:rFonts w:cs="Arial"/>
          <w:i/>
          <w:iCs/>
          <w:sz w:val="22"/>
          <w:szCs w:val="22"/>
        </w:rPr>
        <w:t>Aseguramiento de la Demanda Esencial”</w:t>
      </w:r>
      <w:r>
        <w:rPr>
          <w:rFonts w:cs="Arial"/>
          <w:sz w:val="22"/>
          <w:szCs w:val="22"/>
        </w:rPr>
        <w:t xml:space="preserve"> del documento soporte CREG D-188 de 2021 es que, para un mismo período futuro de las diferentes declaraciones de potencial de producción realizadas al MME entre 2018 y 2021, se observa que hay un incremento del 6,2%</w:t>
      </w:r>
      <w:r w:rsidR="00576772">
        <w:rPr>
          <w:rFonts w:cs="Arial"/>
          <w:sz w:val="22"/>
          <w:szCs w:val="22"/>
        </w:rPr>
        <w:t xml:space="preserve"> en promedio aritmético</w:t>
      </w:r>
      <w:r w:rsidR="00AB5EA6">
        <w:rPr>
          <w:rFonts w:cs="Arial"/>
          <w:sz w:val="22"/>
          <w:szCs w:val="22"/>
        </w:rPr>
        <w:t xml:space="preserve">. Es decir, el potencial de producción para un período futuro, por </w:t>
      </w:r>
      <w:proofErr w:type="gramStart"/>
      <w:r w:rsidR="00AB5EA6">
        <w:rPr>
          <w:rFonts w:cs="Arial"/>
          <w:sz w:val="22"/>
          <w:szCs w:val="22"/>
        </w:rPr>
        <w:t>ejemplo</w:t>
      </w:r>
      <w:proofErr w:type="gramEnd"/>
      <w:r>
        <w:rPr>
          <w:rFonts w:cs="Arial"/>
          <w:sz w:val="22"/>
          <w:szCs w:val="22"/>
        </w:rPr>
        <w:t xml:space="preserve"> </w:t>
      </w:r>
      <w:r w:rsidR="00AB5EA6">
        <w:rPr>
          <w:rFonts w:cs="Arial"/>
          <w:sz w:val="22"/>
          <w:szCs w:val="22"/>
        </w:rPr>
        <w:t xml:space="preserve">el año de gas dic 2025 a nov 2026, muestra un incremento en esos 4 años (entre la declaración de 2018 y la declaración de 2021) del 31%, por lo que en un año el incremento promedio </w:t>
      </w:r>
      <w:r w:rsidR="00576772">
        <w:rPr>
          <w:rFonts w:cs="Arial"/>
          <w:sz w:val="22"/>
          <w:szCs w:val="22"/>
        </w:rPr>
        <w:t xml:space="preserve">simple </w:t>
      </w:r>
      <w:r w:rsidR="00AB5EA6">
        <w:rPr>
          <w:rFonts w:cs="Arial"/>
          <w:sz w:val="22"/>
          <w:szCs w:val="22"/>
        </w:rPr>
        <w:t xml:space="preserve">sería de 7,8%. Así se hacen las demás observaciones para años de gas futuros y se obtiene el 6,2%. No se hace entonces una comparación de oferta y demanda sino solo del </w:t>
      </w:r>
      <w:r w:rsidR="00576772">
        <w:rPr>
          <w:rFonts w:cs="Arial"/>
          <w:sz w:val="22"/>
          <w:szCs w:val="22"/>
        </w:rPr>
        <w:t xml:space="preserve">incremento del </w:t>
      </w:r>
      <w:r w:rsidR="00AB5EA6">
        <w:rPr>
          <w:rFonts w:cs="Arial"/>
          <w:sz w:val="22"/>
          <w:szCs w:val="22"/>
        </w:rPr>
        <w:t>potencial de producción.</w:t>
      </w:r>
    </w:p>
    <w:p w14:paraId="4D3F5C3E" w14:textId="77777777" w:rsidR="001D4AC4" w:rsidRDefault="001D4AC4" w:rsidP="001D4AC4">
      <w:pPr>
        <w:pStyle w:val="Prrafodelista"/>
        <w:ind w:left="360"/>
        <w:rPr>
          <w:rFonts w:cs="Arial"/>
          <w:sz w:val="22"/>
          <w:szCs w:val="22"/>
        </w:rPr>
      </w:pPr>
    </w:p>
    <w:p w14:paraId="617231EB" w14:textId="3C44DDE8" w:rsidR="001D4AC4" w:rsidRDefault="001D4AC4" w:rsidP="00055F7C">
      <w:pPr>
        <w:pStyle w:val="Prrafodelista"/>
        <w:numPr>
          <w:ilvl w:val="0"/>
          <w:numId w:val="24"/>
        </w:numPr>
        <w:rPr>
          <w:rFonts w:cs="Arial"/>
          <w:sz w:val="22"/>
          <w:szCs w:val="22"/>
        </w:rPr>
      </w:pPr>
      <w:r>
        <w:rPr>
          <w:rFonts w:cs="Arial"/>
          <w:sz w:val="22"/>
          <w:szCs w:val="22"/>
        </w:rPr>
        <w:t>Se parte de la presunción que la oferta nacional estará disponible en cualquier punto del SNT como consecuencia de la implementación de los proyectos del Plan de Abastecimiento de Gas Natural adoptado por el MME y de iniciativa de los agentes actuales y futuros, precisamente por las señales de largo plazo que se esperan percibir de los balances trimestrales, la formación de precios de acuerdo con los mecanismos de comercialización propuestos, la contratación de largo plazo y demás señales e incentivos propuestos.</w:t>
      </w:r>
    </w:p>
    <w:p w14:paraId="181DCCAC" w14:textId="77777777" w:rsidR="00505E6D" w:rsidRPr="00505E6D" w:rsidRDefault="00505E6D" w:rsidP="00505E6D">
      <w:pPr>
        <w:pStyle w:val="Prrafodelista"/>
        <w:rPr>
          <w:rFonts w:cs="Arial"/>
          <w:sz w:val="22"/>
          <w:szCs w:val="22"/>
        </w:rPr>
      </w:pPr>
    </w:p>
    <w:p w14:paraId="3901E0E7" w14:textId="32C57AD0" w:rsidR="00505E6D" w:rsidRDefault="00505E6D" w:rsidP="00055F7C">
      <w:pPr>
        <w:pStyle w:val="Prrafodelista"/>
        <w:numPr>
          <w:ilvl w:val="0"/>
          <w:numId w:val="24"/>
        </w:numPr>
        <w:rPr>
          <w:rFonts w:cs="Arial"/>
          <w:sz w:val="22"/>
          <w:szCs w:val="22"/>
        </w:rPr>
      </w:pPr>
      <w:r>
        <w:rPr>
          <w:rFonts w:cs="Arial"/>
          <w:sz w:val="22"/>
          <w:szCs w:val="22"/>
        </w:rPr>
        <w:t>Sin embargo, para la propuesta inicial se estaría asumiendo que el comportamiento de crecimiento total del potencial de producción nacional mantiene la tendencia observada entre 2018 y 2021, lo cual no es lo más adecuado.</w:t>
      </w:r>
    </w:p>
    <w:p w14:paraId="28CD42EC" w14:textId="77777777" w:rsidR="001D4AC4" w:rsidRPr="001D4AC4" w:rsidRDefault="001D4AC4" w:rsidP="001D4AC4">
      <w:pPr>
        <w:pStyle w:val="Prrafodelista"/>
        <w:rPr>
          <w:rFonts w:cs="Arial"/>
          <w:sz w:val="22"/>
          <w:szCs w:val="22"/>
        </w:rPr>
      </w:pPr>
    </w:p>
    <w:p w14:paraId="068B4B1D" w14:textId="33E8F415" w:rsidR="001D4AC4" w:rsidRDefault="001D4AC4" w:rsidP="001D4AC4">
      <w:pPr>
        <w:rPr>
          <w:rFonts w:cs="Arial"/>
          <w:sz w:val="22"/>
          <w:szCs w:val="22"/>
        </w:rPr>
      </w:pPr>
      <w:r>
        <w:rPr>
          <w:rFonts w:cs="Arial"/>
          <w:sz w:val="22"/>
          <w:szCs w:val="22"/>
        </w:rPr>
        <w:t>Una vez analizados los comentarios en general y la armonía con otros ajustes</w:t>
      </w:r>
      <w:r w:rsidR="00505E6D">
        <w:rPr>
          <w:rFonts w:cs="Arial"/>
          <w:sz w:val="22"/>
          <w:szCs w:val="22"/>
        </w:rPr>
        <w:t>,</w:t>
      </w:r>
      <w:r>
        <w:rPr>
          <w:rFonts w:cs="Arial"/>
          <w:sz w:val="22"/>
          <w:szCs w:val="22"/>
        </w:rPr>
        <w:t xml:space="preserve"> </w:t>
      </w:r>
      <w:r w:rsidR="00505E6D">
        <w:rPr>
          <w:rFonts w:cs="Arial"/>
          <w:sz w:val="22"/>
          <w:szCs w:val="22"/>
        </w:rPr>
        <w:t>en la nueva propuesta</w:t>
      </w:r>
      <w:r>
        <w:rPr>
          <w:rFonts w:cs="Arial"/>
          <w:sz w:val="22"/>
          <w:szCs w:val="22"/>
        </w:rPr>
        <w:t xml:space="preserve"> ya no se incluye el cociente inicialmente propuesto </w:t>
      </w:r>
      <w:r w:rsidR="00505E6D">
        <w:rPr>
          <w:rFonts w:cs="Arial"/>
          <w:sz w:val="22"/>
          <w:szCs w:val="22"/>
        </w:rPr>
        <w:t xml:space="preserve">de 0,96 </w:t>
      </w:r>
      <w:r>
        <w:rPr>
          <w:rFonts w:cs="Arial"/>
          <w:sz w:val="22"/>
          <w:szCs w:val="22"/>
        </w:rPr>
        <w:t>para evaluar si hay o no un déficit de oferta comercial, es decir, negociable mediante contratos físicos.</w:t>
      </w:r>
      <w:r w:rsidR="00505E6D">
        <w:rPr>
          <w:rFonts w:cs="Arial"/>
          <w:sz w:val="22"/>
          <w:szCs w:val="22"/>
        </w:rPr>
        <w:t xml:space="preserve"> Para los balances comerciales que se hagan en cada trimestre de negociación de cada uno de los siguientes ve</w:t>
      </w:r>
      <w:r w:rsidR="00B1447D">
        <w:rPr>
          <w:rFonts w:cs="Arial"/>
          <w:sz w:val="22"/>
          <w:szCs w:val="22"/>
        </w:rPr>
        <w:t>i</w:t>
      </w:r>
      <w:r w:rsidR="00505E6D">
        <w:rPr>
          <w:rFonts w:cs="Arial"/>
          <w:sz w:val="22"/>
          <w:szCs w:val="22"/>
        </w:rPr>
        <w:t xml:space="preserve">nte trimestres estándar </w:t>
      </w:r>
      <w:r w:rsidR="00B1447D">
        <w:rPr>
          <w:rFonts w:cs="Arial"/>
          <w:sz w:val="22"/>
          <w:szCs w:val="22"/>
        </w:rPr>
        <w:t xml:space="preserve">siguientes </w:t>
      </w:r>
      <w:r w:rsidR="00505E6D">
        <w:rPr>
          <w:rFonts w:cs="Arial"/>
          <w:sz w:val="22"/>
          <w:szCs w:val="22"/>
        </w:rPr>
        <w:t xml:space="preserve">al trimestre de negociación, se utilizará la información obtenida por el </w:t>
      </w:r>
      <w:r w:rsidR="005114C6">
        <w:rPr>
          <w:rFonts w:cs="Arial"/>
          <w:sz w:val="22"/>
          <w:szCs w:val="22"/>
        </w:rPr>
        <w:t>Gestor del Mercado</w:t>
      </w:r>
      <w:r w:rsidR="00505E6D">
        <w:rPr>
          <w:rFonts w:cs="Arial"/>
          <w:sz w:val="22"/>
          <w:szCs w:val="22"/>
        </w:rPr>
        <w:t xml:space="preserve"> de las declaraciones de vendedores y compradores del Mercado Primario, tal cual, y si</w:t>
      </w:r>
      <w:r w:rsidR="00505E6D" w:rsidRPr="00505E6D">
        <w:rPr>
          <w:rFonts w:cs="Arial"/>
          <w:sz w:val="22"/>
          <w:szCs w:val="22"/>
        </w:rPr>
        <w:t xml:space="preserve"> los valores totales sumados de PTDVF y CIDVF son superiores o iguales a las cantidades requeridas por los compradores </w:t>
      </w:r>
      <w:r w:rsidR="00B1447D">
        <w:rPr>
          <w:rFonts w:cs="Arial"/>
          <w:sz w:val="22"/>
          <w:szCs w:val="22"/>
        </w:rPr>
        <w:t xml:space="preserve">en la segunda instancia de declaración al </w:t>
      </w:r>
      <w:r w:rsidR="005114C6">
        <w:rPr>
          <w:rFonts w:cs="Arial"/>
          <w:sz w:val="22"/>
          <w:szCs w:val="22"/>
        </w:rPr>
        <w:t>Gestor del Mercado</w:t>
      </w:r>
      <w:r w:rsidR="00505E6D" w:rsidRPr="00505E6D">
        <w:rPr>
          <w:rFonts w:cs="Arial"/>
          <w:sz w:val="22"/>
          <w:szCs w:val="22"/>
        </w:rPr>
        <w:t>, el balance comercial para ese punto de referencia y ese trimestre estándar será superavitario. En caso de un resultado contrario, el balance comercial será deficitario.</w:t>
      </w:r>
    </w:p>
    <w:p w14:paraId="2B5EE6BE" w14:textId="72C6C057" w:rsidR="00B1447D" w:rsidRDefault="00B1447D" w:rsidP="001D4AC4">
      <w:pPr>
        <w:rPr>
          <w:rFonts w:cs="Arial"/>
          <w:sz w:val="22"/>
          <w:szCs w:val="22"/>
        </w:rPr>
      </w:pPr>
    </w:p>
    <w:p w14:paraId="4DCDC815" w14:textId="10308F92" w:rsidR="00B1447D" w:rsidRPr="001D4AC4" w:rsidRDefault="00B1447D" w:rsidP="001D4AC4">
      <w:pPr>
        <w:rPr>
          <w:rFonts w:cs="Arial"/>
          <w:sz w:val="22"/>
          <w:szCs w:val="22"/>
        </w:rPr>
      </w:pPr>
      <w:r>
        <w:rPr>
          <w:rFonts w:cs="Arial"/>
          <w:sz w:val="22"/>
          <w:szCs w:val="22"/>
        </w:rPr>
        <w:t>Para lo anterior, los agentes compradores deberán considerar la dinámica que se puede observar en las declaraciones de producción que presentan los vendedores del Mercado Primario al MME y en los resultados de las negociaciones que se dan en cada trimestre de negociación. Cada resultado de un proceso de negociación trimestral sirve de información para que en los siguientes trimestres de negociación se acuerden cantidades y precios de trimestres futuros de suministro, tanto para los vendedores en función de realizar mayores inversiones en sus programas de desarrollo de los campos de producción existentes y para decisiones de comercialidad de campos en evaluación, como para los compradores en función del crecimiento observado del consumo de su demanda actual y del consumo potencial de nuevos usuarios. De por medio también ambos tipos de agentes deben considerar la expansión del SNT y de otros m</w:t>
      </w:r>
      <w:r w:rsidR="007B79AA">
        <w:rPr>
          <w:rFonts w:cs="Arial"/>
          <w:sz w:val="22"/>
          <w:szCs w:val="22"/>
        </w:rPr>
        <w:t>odos</w:t>
      </w:r>
      <w:r>
        <w:rPr>
          <w:rFonts w:cs="Arial"/>
          <w:sz w:val="22"/>
          <w:szCs w:val="22"/>
        </w:rPr>
        <w:t xml:space="preserve"> de suministro del gas natural, tales como el </w:t>
      </w:r>
      <w:r w:rsidR="00727551">
        <w:rPr>
          <w:rFonts w:cs="Arial"/>
          <w:sz w:val="22"/>
          <w:szCs w:val="22"/>
        </w:rPr>
        <w:t xml:space="preserve">caso del </w:t>
      </w:r>
      <w:r>
        <w:rPr>
          <w:rFonts w:cs="Arial"/>
          <w:sz w:val="22"/>
          <w:szCs w:val="22"/>
        </w:rPr>
        <w:t xml:space="preserve">GNC y </w:t>
      </w:r>
      <w:r w:rsidR="00727551">
        <w:rPr>
          <w:rFonts w:cs="Arial"/>
          <w:sz w:val="22"/>
          <w:szCs w:val="22"/>
        </w:rPr>
        <w:t>d</w:t>
      </w:r>
      <w:r>
        <w:rPr>
          <w:rFonts w:cs="Arial"/>
          <w:sz w:val="22"/>
          <w:szCs w:val="22"/>
        </w:rPr>
        <w:t>el GNL.</w:t>
      </w:r>
    </w:p>
    <w:p w14:paraId="60C4CC3F" w14:textId="77777777" w:rsidR="00C53D76" w:rsidRDefault="00C53D76" w:rsidP="0028726C">
      <w:pPr>
        <w:rPr>
          <w:rFonts w:cs="Arial"/>
          <w:sz w:val="22"/>
          <w:szCs w:val="22"/>
        </w:rPr>
      </w:pPr>
    </w:p>
    <w:p w14:paraId="3E5D1134" w14:textId="77777777" w:rsidR="00C53D76" w:rsidRDefault="00C53D76" w:rsidP="0028726C">
      <w:pPr>
        <w:rPr>
          <w:rFonts w:cs="Arial"/>
          <w:sz w:val="22"/>
          <w:szCs w:val="22"/>
        </w:rPr>
      </w:pPr>
    </w:p>
    <w:p w14:paraId="5C2FD528" w14:textId="77777777" w:rsidR="00C53D76" w:rsidRDefault="0028726C" w:rsidP="0090195C">
      <w:pPr>
        <w:pStyle w:val="Ttulo2"/>
      </w:pPr>
      <w:bookmarkStart w:id="774" w:name="_Toc140506426"/>
      <w:r w:rsidRPr="0028726C">
        <w:t>ACP</w:t>
      </w:r>
      <w:bookmarkEnd w:id="774"/>
      <w:r w:rsidRPr="0028726C">
        <w:tab/>
      </w:r>
    </w:p>
    <w:p w14:paraId="3399C315" w14:textId="77777777" w:rsidR="00002A82" w:rsidRDefault="00002A82" w:rsidP="000D05A3">
      <w:pPr>
        <w:pStyle w:val="Ttulo4"/>
      </w:pPr>
      <w:bookmarkStart w:id="775" w:name="_Ref132185996"/>
      <w:r w:rsidRPr="0028726C">
        <w:t>ACP</w:t>
      </w:r>
      <w:bookmarkEnd w:id="775"/>
      <w:r w:rsidRPr="0028726C">
        <w:tab/>
      </w:r>
    </w:p>
    <w:p w14:paraId="24DF1387" w14:textId="14A2D3A7" w:rsidR="0028726C" w:rsidRPr="00576772" w:rsidRDefault="0028726C" w:rsidP="0028726C">
      <w:pPr>
        <w:rPr>
          <w:rFonts w:cs="Arial"/>
          <w:i/>
          <w:iCs/>
          <w:sz w:val="22"/>
          <w:szCs w:val="22"/>
        </w:rPr>
      </w:pPr>
      <w:r w:rsidRPr="0028726C">
        <w:rPr>
          <w:rFonts w:cs="Arial"/>
          <w:sz w:val="22"/>
          <w:szCs w:val="22"/>
        </w:rPr>
        <w:t>"</w:t>
      </w:r>
      <w:r w:rsidRPr="00576772">
        <w:rPr>
          <w:rFonts w:cs="Arial"/>
          <w:i/>
          <w:iCs/>
          <w:sz w:val="22"/>
          <w:szCs w:val="22"/>
        </w:rPr>
        <w:t xml:space="preserve">• El mercado de gas natural en Colombia está concentrado en dos regiones y pocos puntos de entrega, o para el caso del MADE, puntos de referencia donde se realizarían los balances trimestrales de oferta y demanda de gas. Los puntos de referencia resultantes de los análisis que realice el </w:t>
      </w:r>
      <w:r w:rsidR="005114C6">
        <w:rPr>
          <w:rFonts w:cs="Arial"/>
          <w:i/>
          <w:iCs/>
          <w:sz w:val="22"/>
          <w:szCs w:val="22"/>
        </w:rPr>
        <w:t>Gestor del Mercado</w:t>
      </w:r>
      <w:r w:rsidRPr="00576772">
        <w:rPr>
          <w:rFonts w:cs="Arial"/>
          <w:i/>
          <w:iCs/>
          <w:sz w:val="22"/>
          <w:szCs w:val="22"/>
        </w:rPr>
        <w:t>, y posteriormente los balances de oferta / demanda, podrían ser distorsionados, debido a que puede existir el caso en el que se reporte una PTDVF excedentario en un punto de referencia donde la mayor parte de la demanda no sea esencial, y en otro punto de referencia ocurra lo contrario (mayor demanda esencial, baja PTDV), pero que en la práctica y realidad operativa, puedan suplirse las necesidades de la demanda esencial en un punto deficitario, desde un punto excedentario, sin necesidad de acudir a un proceso de subasta que genere percepción de desabastecimiento en algunas zonas del país.</w:t>
      </w:r>
      <w:r w:rsidR="00303EC0">
        <w:rPr>
          <w:rFonts w:cs="Arial"/>
          <w:i/>
          <w:iCs/>
          <w:sz w:val="22"/>
          <w:szCs w:val="22"/>
        </w:rPr>
        <w:t>”</w:t>
      </w:r>
    </w:p>
    <w:p w14:paraId="1CFCF9B6" w14:textId="5A1C5A96" w:rsidR="0028726C" w:rsidRDefault="0028726C" w:rsidP="0028726C">
      <w:pPr>
        <w:rPr>
          <w:rFonts w:cs="Arial"/>
          <w:i/>
          <w:iCs/>
          <w:sz w:val="22"/>
          <w:szCs w:val="22"/>
        </w:rPr>
      </w:pPr>
    </w:p>
    <w:p w14:paraId="0B85EC42" w14:textId="77777777" w:rsidR="00E4118E" w:rsidRPr="00576772" w:rsidRDefault="00E4118E" w:rsidP="00E4118E">
      <w:pPr>
        <w:rPr>
          <w:rFonts w:cs="Arial"/>
          <w:b/>
          <w:bCs/>
          <w:sz w:val="22"/>
          <w:szCs w:val="22"/>
        </w:rPr>
      </w:pPr>
      <w:r w:rsidRPr="00576772">
        <w:rPr>
          <w:rFonts w:cs="Arial"/>
          <w:b/>
          <w:bCs/>
          <w:sz w:val="22"/>
          <w:szCs w:val="22"/>
        </w:rPr>
        <w:t>Respuesta:</w:t>
      </w:r>
    </w:p>
    <w:p w14:paraId="0CCC0FC7" w14:textId="2BC564D6" w:rsidR="00E4118E" w:rsidRDefault="00E4118E" w:rsidP="0028726C">
      <w:pPr>
        <w:rPr>
          <w:rFonts w:cs="Arial"/>
          <w:i/>
          <w:iCs/>
          <w:sz w:val="22"/>
          <w:szCs w:val="22"/>
        </w:rPr>
      </w:pPr>
    </w:p>
    <w:p w14:paraId="4EBA3CCF" w14:textId="0E1775B4" w:rsidR="00E4118E" w:rsidRPr="00366E4A" w:rsidRDefault="00366E4A" w:rsidP="00366E4A">
      <w:pPr>
        <w:rPr>
          <w:rFonts w:cs="Arial"/>
          <w:sz w:val="22"/>
          <w:szCs w:val="22"/>
        </w:rPr>
      </w:pPr>
      <w:r w:rsidRPr="00366E4A">
        <w:rPr>
          <w:rFonts w:cs="Arial"/>
          <w:sz w:val="22"/>
          <w:szCs w:val="22"/>
        </w:rPr>
        <w:t xml:space="preserve">En la nueva propuesta el </w:t>
      </w:r>
      <w:r w:rsidR="005114C6">
        <w:rPr>
          <w:rFonts w:cs="Arial"/>
          <w:sz w:val="22"/>
          <w:szCs w:val="22"/>
        </w:rPr>
        <w:t>Gestor del Mercado</w:t>
      </w:r>
      <w:r w:rsidRPr="00366E4A">
        <w:rPr>
          <w:rFonts w:cs="Arial"/>
          <w:sz w:val="22"/>
          <w:szCs w:val="22"/>
        </w:rPr>
        <w:t xml:space="preserve"> deberá establecer los Puntos de Referencia, con base, entre otros aspectos, en los diferentes puntos de entrega identificados en los contratos de suministro de gas actualmente registrados y en los puntos de entrega reportados por los vendedores, reportados por éstos en </w:t>
      </w:r>
      <w:r>
        <w:rPr>
          <w:rFonts w:cs="Arial"/>
          <w:sz w:val="22"/>
          <w:szCs w:val="22"/>
        </w:rPr>
        <w:t>l</w:t>
      </w:r>
      <w:r w:rsidR="001706B2">
        <w:rPr>
          <w:rFonts w:cs="Arial"/>
          <w:sz w:val="22"/>
          <w:szCs w:val="22"/>
        </w:rPr>
        <w:t>a</w:t>
      </w:r>
      <w:r>
        <w:rPr>
          <w:rFonts w:cs="Arial"/>
          <w:sz w:val="22"/>
          <w:szCs w:val="22"/>
        </w:rPr>
        <w:t xml:space="preserve"> declaración de cantidades al </w:t>
      </w:r>
      <w:r w:rsidR="005114C6">
        <w:rPr>
          <w:rFonts w:cs="Arial"/>
          <w:sz w:val="22"/>
          <w:szCs w:val="22"/>
        </w:rPr>
        <w:t>Gestor del Mercado</w:t>
      </w:r>
      <w:r w:rsidRPr="00366E4A">
        <w:rPr>
          <w:rFonts w:cs="Arial"/>
          <w:sz w:val="22"/>
          <w:szCs w:val="22"/>
        </w:rPr>
        <w:t>. Asimismo, debe considerar que los puntos de entrega que conformen un punto de referencia estén conectados a un mismo sistema de transporte o a otros sistemas de transporte interconectados en el STN. Finalmente debe considerar que un Punto de Referencia puede conformarse con uno o varios de los Puntos de Entrega</w:t>
      </w:r>
      <w:r>
        <w:rPr>
          <w:rFonts w:cs="Arial"/>
          <w:sz w:val="22"/>
          <w:szCs w:val="22"/>
        </w:rPr>
        <w:t>. Además, se establece que e</w:t>
      </w:r>
      <w:r w:rsidRPr="00366E4A">
        <w:rPr>
          <w:rFonts w:cs="Arial"/>
          <w:sz w:val="22"/>
          <w:szCs w:val="22"/>
        </w:rPr>
        <w:t xml:space="preserve">l </w:t>
      </w:r>
      <w:r w:rsidR="005114C6">
        <w:rPr>
          <w:rFonts w:cs="Arial"/>
          <w:sz w:val="22"/>
          <w:szCs w:val="22"/>
        </w:rPr>
        <w:t>Gestor del Mercado</w:t>
      </w:r>
      <w:r w:rsidRPr="00366E4A">
        <w:rPr>
          <w:rFonts w:cs="Arial"/>
          <w:sz w:val="22"/>
          <w:szCs w:val="22"/>
        </w:rPr>
        <w:t xml:space="preserve"> podrá establecer los puntos de referencia utilizando criterios adicionales a los mencionados en la presente resolución, siempre que hayan sido acordados con los vendedores del mercado primario y consultados con los compradores del mismo mercado.</w:t>
      </w:r>
      <w:r w:rsidR="000D0F05">
        <w:rPr>
          <w:rFonts w:cs="Arial"/>
          <w:sz w:val="22"/>
          <w:szCs w:val="22"/>
        </w:rPr>
        <w:t xml:space="preserve"> Ver numeral </w:t>
      </w:r>
      <w:r w:rsidR="000D0F05">
        <w:rPr>
          <w:rFonts w:cs="Arial"/>
          <w:sz w:val="22"/>
          <w:szCs w:val="22"/>
        </w:rPr>
        <w:fldChar w:fldCharType="begin"/>
      </w:r>
      <w:r w:rsidR="000D0F05">
        <w:rPr>
          <w:rFonts w:cs="Arial"/>
          <w:sz w:val="22"/>
          <w:szCs w:val="22"/>
        </w:rPr>
        <w:instrText xml:space="preserve"> REF _Ref130304509 \r \h </w:instrText>
      </w:r>
      <w:r w:rsidR="000D0F05">
        <w:rPr>
          <w:rFonts w:cs="Arial"/>
          <w:sz w:val="22"/>
          <w:szCs w:val="22"/>
        </w:rPr>
      </w:r>
      <w:r w:rsidR="000D0F05">
        <w:rPr>
          <w:rFonts w:cs="Arial"/>
          <w:sz w:val="22"/>
          <w:szCs w:val="22"/>
        </w:rPr>
        <w:fldChar w:fldCharType="separate"/>
      </w:r>
      <w:r w:rsidR="000D0F05">
        <w:rPr>
          <w:rFonts w:cs="Arial"/>
          <w:sz w:val="22"/>
          <w:szCs w:val="22"/>
        </w:rPr>
        <w:t>4.11.1</w:t>
      </w:r>
      <w:r w:rsidR="000D0F05">
        <w:rPr>
          <w:rFonts w:cs="Arial"/>
          <w:sz w:val="22"/>
          <w:szCs w:val="22"/>
        </w:rPr>
        <w:fldChar w:fldCharType="end"/>
      </w:r>
      <w:r w:rsidR="000D0F05">
        <w:rPr>
          <w:rFonts w:cs="Arial"/>
          <w:sz w:val="22"/>
          <w:szCs w:val="22"/>
        </w:rPr>
        <w:t>.</w:t>
      </w:r>
    </w:p>
    <w:p w14:paraId="28865542" w14:textId="77777777" w:rsidR="00366E4A" w:rsidRDefault="00366E4A" w:rsidP="0028726C">
      <w:pPr>
        <w:rPr>
          <w:rFonts w:cs="Arial"/>
          <w:i/>
          <w:iCs/>
          <w:sz w:val="22"/>
          <w:szCs w:val="22"/>
        </w:rPr>
      </w:pPr>
    </w:p>
    <w:p w14:paraId="0BC1362D" w14:textId="5A621A87" w:rsidR="00366E4A" w:rsidRPr="00366E4A" w:rsidRDefault="00366E4A" w:rsidP="0028726C">
      <w:pPr>
        <w:rPr>
          <w:rFonts w:cs="Arial"/>
          <w:sz w:val="22"/>
          <w:szCs w:val="22"/>
        </w:rPr>
      </w:pPr>
      <w:r w:rsidRPr="00366E4A">
        <w:rPr>
          <w:rFonts w:cs="Arial"/>
          <w:sz w:val="22"/>
          <w:szCs w:val="22"/>
        </w:rPr>
        <w:t xml:space="preserve">Con respecto a la posible distorsión que </w:t>
      </w:r>
      <w:r w:rsidR="001706B2">
        <w:rPr>
          <w:rFonts w:cs="Arial"/>
          <w:sz w:val="22"/>
          <w:szCs w:val="22"/>
        </w:rPr>
        <w:t>se</w:t>
      </w:r>
      <w:r w:rsidRPr="00366E4A">
        <w:rPr>
          <w:rFonts w:cs="Arial"/>
          <w:sz w:val="22"/>
          <w:szCs w:val="22"/>
        </w:rPr>
        <w:t xml:space="preserve"> menciona en el comentario</w:t>
      </w:r>
      <w:r>
        <w:rPr>
          <w:rFonts w:cs="Arial"/>
          <w:sz w:val="22"/>
          <w:szCs w:val="22"/>
        </w:rPr>
        <w:t>, si en la práctica y realidad operativa</w:t>
      </w:r>
      <w:r w:rsidR="00217193">
        <w:rPr>
          <w:rFonts w:cs="Arial"/>
          <w:sz w:val="22"/>
          <w:szCs w:val="22"/>
        </w:rPr>
        <w:t xml:space="preserve"> se encuentra que</w:t>
      </w:r>
      <w:r>
        <w:rPr>
          <w:rFonts w:cs="Arial"/>
          <w:sz w:val="22"/>
          <w:szCs w:val="22"/>
        </w:rPr>
        <w:t xml:space="preserve"> las necesidades de parte de la demanda total de un punto deficitario pueden suplirse desde un punto excedentario</w:t>
      </w:r>
      <w:r w:rsidR="00217193">
        <w:rPr>
          <w:rFonts w:cs="Arial"/>
          <w:sz w:val="22"/>
          <w:szCs w:val="22"/>
        </w:rPr>
        <w:t xml:space="preserve">, se evidencia entonces que tales puntos realmente se pueden agrupar en un solo punto de referencia, y eso es lo que debe analizar continuamente el </w:t>
      </w:r>
      <w:r w:rsidR="005114C6">
        <w:rPr>
          <w:rFonts w:cs="Arial"/>
          <w:sz w:val="22"/>
          <w:szCs w:val="22"/>
        </w:rPr>
        <w:t>Gestor del Mercado</w:t>
      </w:r>
      <w:r w:rsidR="00217193">
        <w:rPr>
          <w:rFonts w:cs="Arial"/>
          <w:sz w:val="22"/>
          <w:szCs w:val="22"/>
        </w:rPr>
        <w:t xml:space="preserve"> junto con los agentes. Lo anterior sobre todo porque en el futuro empezarán a entrar en operación proyectos del Plan de Abastecimiento de Gas Natural, que permitirán varias unificaciones.</w:t>
      </w:r>
      <w:r>
        <w:rPr>
          <w:rFonts w:cs="Arial"/>
          <w:sz w:val="22"/>
          <w:szCs w:val="22"/>
        </w:rPr>
        <w:t xml:space="preserve">  </w:t>
      </w:r>
    </w:p>
    <w:p w14:paraId="7B1F199B" w14:textId="77777777" w:rsidR="00366E4A" w:rsidRPr="00576772" w:rsidRDefault="00366E4A" w:rsidP="0028726C">
      <w:pPr>
        <w:rPr>
          <w:rFonts w:cs="Arial"/>
          <w:i/>
          <w:iCs/>
          <w:sz w:val="22"/>
          <w:szCs w:val="22"/>
        </w:rPr>
      </w:pPr>
    </w:p>
    <w:p w14:paraId="1F0167A5" w14:textId="77777777" w:rsidR="00E4118E" w:rsidRDefault="00E4118E" w:rsidP="0028726C">
      <w:pPr>
        <w:rPr>
          <w:rFonts w:cs="Arial"/>
          <w:i/>
          <w:iCs/>
          <w:sz w:val="22"/>
          <w:szCs w:val="22"/>
        </w:rPr>
      </w:pPr>
    </w:p>
    <w:p w14:paraId="239526D1" w14:textId="77777777" w:rsidR="00E4118E" w:rsidRDefault="00E4118E" w:rsidP="00E4118E">
      <w:pPr>
        <w:pStyle w:val="Ttulo4"/>
      </w:pPr>
      <w:bookmarkStart w:id="776" w:name="_Ref132190563"/>
      <w:r w:rsidRPr="0028726C">
        <w:t>ACP</w:t>
      </w:r>
      <w:bookmarkEnd w:id="776"/>
      <w:r w:rsidRPr="0028726C">
        <w:tab/>
      </w:r>
    </w:p>
    <w:p w14:paraId="30048286" w14:textId="1BF121F2" w:rsidR="0028726C" w:rsidRPr="00576772" w:rsidRDefault="00D202D8" w:rsidP="0028726C">
      <w:pPr>
        <w:rPr>
          <w:rFonts w:cs="Arial"/>
          <w:i/>
          <w:iCs/>
          <w:sz w:val="22"/>
          <w:szCs w:val="22"/>
        </w:rPr>
      </w:pPr>
      <w:r>
        <w:rPr>
          <w:rFonts w:cs="Arial"/>
          <w:i/>
          <w:iCs/>
          <w:sz w:val="22"/>
          <w:szCs w:val="22"/>
        </w:rPr>
        <w:t>“</w:t>
      </w:r>
      <w:r w:rsidR="0028726C" w:rsidRPr="00576772">
        <w:rPr>
          <w:rFonts w:cs="Arial"/>
          <w:i/>
          <w:iCs/>
          <w:sz w:val="22"/>
          <w:szCs w:val="22"/>
        </w:rPr>
        <w:t>• Aún hay poco entendimiento del MADE y no se conocen ejercicios o pruebas prácticas previas que demuestren la efectividad de este mecanismo bajo los términos propuestos. Al respecto es necesario que se realicen análisis de los posibles puntos de referencias y balances teniendo en cuenta las declaraciones de producción actuales, para evaluar la conveniencia o no, de este mecanismo para el mercado.</w:t>
      </w:r>
      <w:r>
        <w:rPr>
          <w:rFonts w:cs="Arial"/>
          <w:i/>
          <w:iCs/>
          <w:sz w:val="22"/>
          <w:szCs w:val="22"/>
        </w:rPr>
        <w:t>”</w:t>
      </w:r>
    </w:p>
    <w:p w14:paraId="4B444A02" w14:textId="77777777" w:rsidR="00E4118E" w:rsidRDefault="00E4118E" w:rsidP="00E4118E">
      <w:pPr>
        <w:rPr>
          <w:rFonts w:cs="Arial"/>
          <w:b/>
          <w:bCs/>
          <w:sz w:val="22"/>
          <w:szCs w:val="22"/>
        </w:rPr>
      </w:pPr>
    </w:p>
    <w:p w14:paraId="59BBAD96" w14:textId="0FFF2BE9" w:rsidR="00E4118E" w:rsidRPr="00576772" w:rsidRDefault="00E4118E" w:rsidP="00E4118E">
      <w:pPr>
        <w:rPr>
          <w:rFonts w:cs="Arial"/>
          <w:b/>
          <w:bCs/>
          <w:sz w:val="22"/>
          <w:szCs w:val="22"/>
        </w:rPr>
      </w:pPr>
      <w:r w:rsidRPr="00576772">
        <w:rPr>
          <w:rFonts w:cs="Arial"/>
          <w:b/>
          <w:bCs/>
          <w:sz w:val="22"/>
          <w:szCs w:val="22"/>
        </w:rPr>
        <w:t>Respuesta:</w:t>
      </w:r>
    </w:p>
    <w:p w14:paraId="38102C7E" w14:textId="77DD271C" w:rsidR="0028726C" w:rsidRDefault="0028726C" w:rsidP="0028726C">
      <w:pPr>
        <w:rPr>
          <w:rFonts w:cs="Arial"/>
          <w:i/>
          <w:iCs/>
          <w:sz w:val="22"/>
          <w:szCs w:val="22"/>
        </w:rPr>
      </w:pPr>
    </w:p>
    <w:p w14:paraId="230A5764" w14:textId="77777777" w:rsidR="00217193" w:rsidRDefault="00217193" w:rsidP="0028726C">
      <w:pPr>
        <w:rPr>
          <w:rFonts w:cs="Arial"/>
          <w:sz w:val="22"/>
          <w:szCs w:val="22"/>
        </w:rPr>
      </w:pPr>
      <w:r w:rsidRPr="00217193">
        <w:rPr>
          <w:rFonts w:cs="Arial"/>
          <w:sz w:val="22"/>
          <w:szCs w:val="22"/>
        </w:rPr>
        <w:t>El MADE consta de dos etapas: una etapa inicial de información, de declaraciones de oferta de cantidades en firme y de requerimientos de compra de la demanda</w:t>
      </w:r>
      <w:r>
        <w:rPr>
          <w:rFonts w:cs="Arial"/>
          <w:sz w:val="22"/>
          <w:szCs w:val="22"/>
        </w:rPr>
        <w:t>, de desarrollo de balances entre las dos cantidades</w:t>
      </w:r>
      <w:r w:rsidRPr="00217193">
        <w:rPr>
          <w:rFonts w:cs="Arial"/>
          <w:sz w:val="22"/>
          <w:szCs w:val="22"/>
        </w:rPr>
        <w:t xml:space="preserve"> </w:t>
      </w:r>
      <w:r>
        <w:rPr>
          <w:rFonts w:cs="Arial"/>
          <w:sz w:val="22"/>
          <w:szCs w:val="22"/>
        </w:rPr>
        <w:t xml:space="preserve">y de publicación de los resultados de </w:t>
      </w:r>
      <w:proofErr w:type="gramStart"/>
      <w:r>
        <w:rPr>
          <w:rFonts w:cs="Arial"/>
          <w:sz w:val="22"/>
          <w:szCs w:val="22"/>
        </w:rPr>
        <w:t>los mismos</w:t>
      </w:r>
      <w:proofErr w:type="gramEnd"/>
      <w:r>
        <w:rPr>
          <w:rFonts w:cs="Arial"/>
          <w:sz w:val="22"/>
          <w:szCs w:val="22"/>
        </w:rPr>
        <w:t xml:space="preserve">. En la segunda etapa se desarrollan las negociaciones o procesos de asignación de cantidades mediante mecanismos de comercialización bien sea directos o establecidos por la CREG; en forma adicional, dependiendo de los resultados de los balances, se establece un mecanismo a aplicar en cualquier tipo de fuente de suministro sin excepción, para priorizar la asignación de las cantidades declaradas por los compradores requeridas para atender la Demanda Esencial. </w:t>
      </w:r>
    </w:p>
    <w:p w14:paraId="2122B4C4" w14:textId="77777777" w:rsidR="00217193" w:rsidRDefault="00217193" w:rsidP="0028726C">
      <w:pPr>
        <w:rPr>
          <w:rFonts w:cs="Arial"/>
          <w:sz w:val="22"/>
          <w:szCs w:val="22"/>
        </w:rPr>
      </w:pPr>
    </w:p>
    <w:p w14:paraId="7A32555B" w14:textId="0C04FEB6" w:rsidR="00E4118E" w:rsidRDefault="00217193" w:rsidP="0028726C">
      <w:pPr>
        <w:rPr>
          <w:rFonts w:cs="Arial"/>
          <w:sz w:val="22"/>
          <w:szCs w:val="22"/>
        </w:rPr>
      </w:pPr>
      <w:r w:rsidRPr="00217193">
        <w:rPr>
          <w:rFonts w:cs="Arial"/>
          <w:sz w:val="22"/>
          <w:szCs w:val="22"/>
        </w:rPr>
        <w:t xml:space="preserve">El </w:t>
      </w:r>
      <w:r w:rsidR="005114C6">
        <w:rPr>
          <w:rFonts w:cs="Arial"/>
          <w:sz w:val="22"/>
          <w:szCs w:val="22"/>
        </w:rPr>
        <w:t>Gestor del Mercado</w:t>
      </w:r>
      <w:r w:rsidRPr="00217193">
        <w:rPr>
          <w:rFonts w:cs="Arial"/>
          <w:sz w:val="22"/>
          <w:szCs w:val="22"/>
        </w:rPr>
        <w:t xml:space="preserve"> deberá coordinar y adelantar un ejercicio de simulación de la realización del balance comercial del Artículo 21 de la </w:t>
      </w:r>
      <w:r w:rsidR="00983885">
        <w:rPr>
          <w:rFonts w:cs="Arial"/>
          <w:sz w:val="22"/>
          <w:szCs w:val="22"/>
        </w:rPr>
        <w:t>propuesta regulatoria</w:t>
      </w:r>
      <w:r w:rsidRPr="00217193">
        <w:rPr>
          <w:rFonts w:cs="Arial"/>
          <w:sz w:val="22"/>
          <w:szCs w:val="22"/>
        </w:rPr>
        <w:t>, dentro de</w:t>
      </w:r>
      <w:r w:rsidR="008F501E">
        <w:rPr>
          <w:rFonts w:cs="Arial"/>
          <w:sz w:val="22"/>
          <w:szCs w:val="22"/>
        </w:rPr>
        <w:t>l mes calendario</w:t>
      </w:r>
      <w:r w:rsidRPr="00217193">
        <w:rPr>
          <w:rFonts w:cs="Arial"/>
          <w:sz w:val="22"/>
          <w:szCs w:val="22"/>
        </w:rPr>
        <w:t xml:space="preserve"> siguientes a la fecha de publicación de Resolución definitiva.</w:t>
      </w:r>
      <w:r w:rsidR="000D0F05">
        <w:rPr>
          <w:rFonts w:cs="Arial"/>
          <w:sz w:val="22"/>
          <w:szCs w:val="22"/>
        </w:rPr>
        <w:t xml:space="preserve"> Sin embargo, el Gestor puede desarrollar más ejercicios de </w:t>
      </w:r>
      <w:r w:rsidR="008D1507">
        <w:rPr>
          <w:rFonts w:cs="Arial"/>
          <w:sz w:val="22"/>
          <w:szCs w:val="22"/>
        </w:rPr>
        <w:t xml:space="preserve">los establecidos, con el fin de determinar puntos de referencia. </w:t>
      </w:r>
    </w:p>
    <w:p w14:paraId="1CF76634" w14:textId="77777777" w:rsidR="00217193" w:rsidRDefault="00217193" w:rsidP="0028726C">
      <w:pPr>
        <w:rPr>
          <w:rFonts w:cs="Arial"/>
          <w:sz w:val="22"/>
          <w:szCs w:val="22"/>
        </w:rPr>
      </w:pPr>
    </w:p>
    <w:p w14:paraId="6D8F1EA5" w14:textId="35C31443" w:rsidR="00217193" w:rsidRDefault="00217193" w:rsidP="0028726C">
      <w:pPr>
        <w:rPr>
          <w:rFonts w:cs="Arial"/>
          <w:sz w:val="22"/>
          <w:szCs w:val="22"/>
        </w:rPr>
      </w:pPr>
      <w:r>
        <w:rPr>
          <w:rFonts w:cs="Arial"/>
          <w:sz w:val="22"/>
          <w:szCs w:val="22"/>
        </w:rPr>
        <w:t>En cuanto al mecanismo centralizado de la subasta que se propone</w:t>
      </w:r>
      <w:r w:rsidR="006B7877">
        <w:rPr>
          <w:rFonts w:cs="Arial"/>
          <w:sz w:val="22"/>
          <w:szCs w:val="22"/>
        </w:rPr>
        <w:t xml:space="preserve"> para las fuentes de suministro obligadas al uso de los mecanismos de comercialización establecidos por la CREG</w:t>
      </w:r>
      <w:r>
        <w:rPr>
          <w:rFonts w:cs="Arial"/>
          <w:sz w:val="22"/>
          <w:szCs w:val="22"/>
        </w:rPr>
        <w:t xml:space="preserve">, este es adaptado del original establecido en </w:t>
      </w:r>
      <w:r w:rsidR="006B7877">
        <w:rPr>
          <w:rFonts w:cs="Arial"/>
          <w:sz w:val="22"/>
          <w:szCs w:val="22"/>
        </w:rPr>
        <w:t xml:space="preserve">el Anexo 5 de </w:t>
      </w:r>
      <w:r>
        <w:rPr>
          <w:rFonts w:cs="Arial"/>
          <w:sz w:val="22"/>
          <w:szCs w:val="22"/>
        </w:rPr>
        <w:t>la Resolución CREG 089 de 2013, que posteriormente fuer adaptado para las subastas anuales de los contratos de las modalidades C1 y C2</w:t>
      </w:r>
      <w:r w:rsidR="006B7877">
        <w:rPr>
          <w:rFonts w:cs="Arial"/>
          <w:sz w:val="22"/>
          <w:szCs w:val="22"/>
        </w:rPr>
        <w:t xml:space="preserve"> y que ya fue utilizado por el </w:t>
      </w:r>
      <w:r w:rsidR="005114C6">
        <w:rPr>
          <w:rFonts w:cs="Arial"/>
          <w:sz w:val="22"/>
          <w:szCs w:val="22"/>
        </w:rPr>
        <w:t>Gestor del Mercado</w:t>
      </w:r>
      <w:r w:rsidR="006B7877">
        <w:rPr>
          <w:rFonts w:cs="Arial"/>
          <w:sz w:val="22"/>
          <w:szCs w:val="22"/>
        </w:rPr>
        <w:t>, es decir, que ya conocen los agentes su funcionamiento</w:t>
      </w:r>
      <w:r>
        <w:rPr>
          <w:rFonts w:cs="Arial"/>
          <w:sz w:val="22"/>
          <w:szCs w:val="22"/>
        </w:rPr>
        <w:t>.</w:t>
      </w:r>
    </w:p>
    <w:p w14:paraId="2A3AF59F" w14:textId="77777777" w:rsidR="00217193" w:rsidRPr="00217193" w:rsidRDefault="00217193" w:rsidP="0028726C">
      <w:pPr>
        <w:rPr>
          <w:rFonts w:cs="Arial"/>
          <w:sz w:val="22"/>
          <w:szCs w:val="22"/>
        </w:rPr>
      </w:pPr>
    </w:p>
    <w:p w14:paraId="69817B05" w14:textId="77777777" w:rsidR="00E4118E" w:rsidRPr="00576772" w:rsidRDefault="00E4118E" w:rsidP="0028726C">
      <w:pPr>
        <w:rPr>
          <w:rFonts w:cs="Arial"/>
          <w:i/>
          <w:iCs/>
          <w:sz w:val="22"/>
          <w:szCs w:val="22"/>
        </w:rPr>
      </w:pPr>
    </w:p>
    <w:p w14:paraId="08E943DD" w14:textId="77777777" w:rsidR="00E4118E" w:rsidRDefault="00E4118E" w:rsidP="00E4118E">
      <w:pPr>
        <w:pStyle w:val="Ttulo4"/>
      </w:pPr>
      <w:bookmarkStart w:id="777" w:name="_Ref132704770"/>
      <w:r w:rsidRPr="0028726C">
        <w:t>ACP</w:t>
      </w:r>
      <w:bookmarkEnd w:id="777"/>
      <w:r w:rsidRPr="0028726C">
        <w:tab/>
      </w:r>
    </w:p>
    <w:p w14:paraId="5F87A122" w14:textId="7B948EB1" w:rsidR="0028726C" w:rsidRPr="00576772" w:rsidRDefault="0077719C" w:rsidP="0028726C">
      <w:pPr>
        <w:rPr>
          <w:rFonts w:cs="Arial"/>
          <w:i/>
          <w:iCs/>
          <w:sz w:val="22"/>
          <w:szCs w:val="22"/>
        </w:rPr>
      </w:pPr>
      <w:r>
        <w:rPr>
          <w:rFonts w:cs="Arial"/>
          <w:i/>
          <w:iCs/>
          <w:sz w:val="22"/>
          <w:szCs w:val="22"/>
        </w:rPr>
        <w:t>“</w:t>
      </w:r>
      <w:r w:rsidR="0028726C" w:rsidRPr="00576772">
        <w:rPr>
          <w:rFonts w:cs="Arial"/>
          <w:i/>
          <w:iCs/>
          <w:sz w:val="22"/>
          <w:szCs w:val="22"/>
        </w:rPr>
        <w:t>• Los mecanismos actuales para garantizar que los usuarios regulados se contraten en firme, han sido efectivos. De acuerdo con los procesos de comercialización resultantes de los últimos años, esta demanda ha sido efectiva en contratarse a largo plazo durante las etapas de negociación directa bajo el esquema actual de comercialización. Eso ha llevado a que en los procesos de comercialización de 2020 y 2021, no se hayan presentado solicitudes de reserva de cantidades para usuarios regulados. De igual manera, en los procesos de comercialización de 2018 y 2019, se efectuaron reservas de cantidades para usuarios regulados por 20,2 GBTUD y 8 GBTUD respectivamente, siendo efectivo el mecanismo actualmente aplicado, tanto del periodo de negociaciones directas, como del periodo de reserva de cantidades para usuarios regulados.</w:t>
      </w:r>
      <w:r w:rsidR="00E938FA">
        <w:rPr>
          <w:rFonts w:cs="Arial"/>
          <w:i/>
          <w:iCs/>
          <w:sz w:val="22"/>
          <w:szCs w:val="22"/>
        </w:rPr>
        <w:t>”</w:t>
      </w:r>
    </w:p>
    <w:p w14:paraId="713D7A81" w14:textId="15D809B1" w:rsidR="0028726C" w:rsidRDefault="0028726C" w:rsidP="0028726C">
      <w:pPr>
        <w:rPr>
          <w:rFonts w:cs="Arial"/>
          <w:i/>
          <w:iCs/>
          <w:sz w:val="22"/>
          <w:szCs w:val="22"/>
        </w:rPr>
      </w:pPr>
    </w:p>
    <w:p w14:paraId="2A158815" w14:textId="77777777" w:rsidR="00E4118E" w:rsidRDefault="00E4118E" w:rsidP="00E4118E">
      <w:pPr>
        <w:rPr>
          <w:rFonts w:cs="Arial"/>
          <w:b/>
          <w:bCs/>
          <w:sz w:val="22"/>
          <w:szCs w:val="22"/>
        </w:rPr>
      </w:pPr>
      <w:r w:rsidRPr="00576772">
        <w:rPr>
          <w:rFonts w:cs="Arial"/>
          <w:b/>
          <w:bCs/>
          <w:sz w:val="22"/>
          <w:szCs w:val="22"/>
        </w:rPr>
        <w:t>Respuesta:</w:t>
      </w:r>
    </w:p>
    <w:p w14:paraId="36877B5F" w14:textId="77777777" w:rsidR="00BD0147" w:rsidRDefault="00BD0147" w:rsidP="00E4118E">
      <w:pPr>
        <w:rPr>
          <w:rFonts w:cs="Arial"/>
          <w:b/>
          <w:bCs/>
          <w:sz w:val="22"/>
          <w:szCs w:val="22"/>
        </w:rPr>
      </w:pPr>
    </w:p>
    <w:p w14:paraId="1369CA9F" w14:textId="6186A896" w:rsidR="00BD0147" w:rsidRPr="00BD0147" w:rsidRDefault="00BD0147" w:rsidP="00E4118E">
      <w:pPr>
        <w:rPr>
          <w:rFonts w:cs="Arial"/>
          <w:sz w:val="22"/>
          <w:szCs w:val="22"/>
        </w:rPr>
      </w:pPr>
      <w:r w:rsidRPr="00BD0147">
        <w:rPr>
          <w:rFonts w:cs="Arial"/>
          <w:sz w:val="22"/>
          <w:szCs w:val="22"/>
        </w:rPr>
        <w:t>No se acoge el comentario.</w:t>
      </w:r>
    </w:p>
    <w:p w14:paraId="0A8D9607" w14:textId="77777777" w:rsidR="00BD0147" w:rsidRDefault="00BD0147" w:rsidP="00E4118E">
      <w:pPr>
        <w:rPr>
          <w:rFonts w:cs="Arial"/>
          <w:b/>
          <w:bCs/>
          <w:sz w:val="22"/>
          <w:szCs w:val="22"/>
        </w:rPr>
      </w:pPr>
    </w:p>
    <w:p w14:paraId="12AB168D" w14:textId="1A741454" w:rsidR="00B75D1A" w:rsidRPr="00BD0147" w:rsidRDefault="00B75D1A" w:rsidP="00B75D1A">
      <w:pPr>
        <w:rPr>
          <w:rFonts w:cs="Arial"/>
          <w:sz w:val="22"/>
          <w:szCs w:val="22"/>
        </w:rPr>
      </w:pPr>
      <w:r w:rsidRPr="00BD0147">
        <w:rPr>
          <w:rFonts w:cs="Arial"/>
          <w:sz w:val="22"/>
          <w:szCs w:val="22"/>
        </w:rPr>
        <w:t xml:space="preserve">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sidR="007651EA">
        <w:rPr>
          <w:rFonts w:cs="Arial"/>
          <w:sz w:val="22"/>
          <w:szCs w:val="22"/>
        </w:rPr>
        <w:t>2.2.3</w:t>
      </w:r>
      <w:r>
        <w:rPr>
          <w:rFonts w:cs="Arial"/>
          <w:sz w:val="22"/>
          <w:szCs w:val="22"/>
        </w:rPr>
        <w:fldChar w:fldCharType="end"/>
      </w:r>
      <w:r>
        <w:rPr>
          <w:rFonts w:cs="Arial"/>
          <w:sz w:val="22"/>
          <w:szCs w:val="22"/>
        </w:rPr>
        <w:t>.</w:t>
      </w:r>
    </w:p>
    <w:p w14:paraId="52E7BDDB" w14:textId="77777777" w:rsidR="00B75D1A" w:rsidRDefault="00B75D1A" w:rsidP="00E4118E">
      <w:pPr>
        <w:rPr>
          <w:rFonts w:cs="Arial"/>
          <w:sz w:val="22"/>
          <w:szCs w:val="22"/>
        </w:rPr>
      </w:pPr>
    </w:p>
    <w:p w14:paraId="209E8F8E" w14:textId="4452C23E" w:rsidR="0034651E" w:rsidRDefault="00B75D1A" w:rsidP="00E4118E">
      <w:pPr>
        <w:rPr>
          <w:rFonts w:cs="Arial"/>
          <w:sz w:val="22"/>
          <w:szCs w:val="22"/>
        </w:rPr>
      </w:pPr>
      <w:r>
        <w:rPr>
          <w:rFonts w:cs="Arial"/>
          <w:sz w:val="22"/>
          <w:szCs w:val="22"/>
        </w:rPr>
        <w:t>Por otra parte, l</w:t>
      </w:r>
      <w:r w:rsidR="0034651E">
        <w:rPr>
          <w:rFonts w:cs="Arial"/>
          <w:sz w:val="22"/>
          <w:szCs w:val="22"/>
        </w:rPr>
        <w:t>a Demanda Esencial no solo incluye parte de la demanda regulada sino también demanda de usuarios no regulados, que actualmente no est</w:t>
      </w:r>
      <w:r>
        <w:rPr>
          <w:rFonts w:cs="Arial"/>
          <w:sz w:val="22"/>
          <w:szCs w:val="22"/>
        </w:rPr>
        <w:t>a</w:t>
      </w:r>
      <w:r w:rsidR="0034651E">
        <w:rPr>
          <w:rFonts w:cs="Arial"/>
          <w:sz w:val="22"/>
          <w:szCs w:val="22"/>
        </w:rPr>
        <w:t>rían cobijados por el mecanismo vigente de separación de cantidades para la demanda regulada.</w:t>
      </w:r>
    </w:p>
    <w:p w14:paraId="633E397E" w14:textId="77777777" w:rsidR="0034651E" w:rsidRDefault="0034651E" w:rsidP="00E4118E">
      <w:pPr>
        <w:rPr>
          <w:rFonts w:cs="Arial"/>
          <w:sz w:val="22"/>
          <w:szCs w:val="22"/>
        </w:rPr>
      </w:pPr>
    </w:p>
    <w:p w14:paraId="1BF89269" w14:textId="77777777" w:rsidR="00E4118E" w:rsidRPr="00576772" w:rsidRDefault="00E4118E" w:rsidP="0028726C">
      <w:pPr>
        <w:rPr>
          <w:rFonts w:cs="Arial"/>
          <w:i/>
          <w:iCs/>
          <w:sz w:val="22"/>
          <w:szCs w:val="22"/>
        </w:rPr>
      </w:pPr>
    </w:p>
    <w:p w14:paraId="76461EDE" w14:textId="77777777" w:rsidR="00E4118E" w:rsidRDefault="00E4118E" w:rsidP="00E4118E">
      <w:pPr>
        <w:pStyle w:val="Ttulo4"/>
      </w:pPr>
      <w:bookmarkStart w:id="778" w:name="_Ref132704804"/>
      <w:r w:rsidRPr="0028726C">
        <w:t>ACP</w:t>
      </w:r>
      <w:bookmarkEnd w:id="778"/>
      <w:r w:rsidRPr="0028726C">
        <w:tab/>
      </w:r>
    </w:p>
    <w:p w14:paraId="103F7CEA" w14:textId="7E1F8881" w:rsidR="0028726C" w:rsidRDefault="00E938FA" w:rsidP="0028726C">
      <w:pPr>
        <w:rPr>
          <w:rFonts w:cs="Arial"/>
          <w:sz w:val="22"/>
          <w:szCs w:val="22"/>
        </w:rPr>
      </w:pPr>
      <w:r>
        <w:rPr>
          <w:rFonts w:cs="Arial"/>
          <w:i/>
          <w:iCs/>
          <w:sz w:val="22"/>
          <w:szCs w:val="22"/>
        </w:rPr>
        <w:t>“</w:t>
      </w:r>
      <w:r w:rsidR="0028726C" w:rsidRPr="00576772">
        <w:rPr>
          <w:rFonts w:cs="Arial"/>
          <w:i/>
          <w:iCs/>
          <w:sz w:val="22"/>
          <w:szCs w:val="22"/>
        </w:rPr>
        <w:t>• Bajo el esquema de MADE propuesto, al incluir el consumo de refinerías por ser demanda esencial, podría generarse una distorsión en algunos puntos de referencia, principalmente por el gran consumo de las dos refinerías en dos puntos donde en algunos casos existan pocos campos, o campos de un solo productor, que podrían ver su producción comprometida con una sola demanda, en este caso, de refinería. Este es un riesgo que vale la pena ser analizado preliminarmente ante de una eventual implementación de este mecanismo</w:t>
      </w:r>
      <w:r w:rsidR="0028726C" w:rsidRPr="0028726C">
        <w:rPr>
          <w:rFonts w:cs="Arial"/>
          <w:sz w:val="22"/>
          <w:szCs w:val="22"/>
        </w:rPr>
        <w:t>."</w:t>
      </w:r>
    </w:p>
    <w:p w14:paraId="362EDEDD" w14:textId="3F28A5D8" w:rsidR="00576772" w:rsidRDefault="00576772" w:rsidP="0028726C">
      <w:pPr>
        <w:rPr>
          <w:rFonts w:cs="Arial"/>
          <w:sz w:val="22"/>
          <w:szCs w:val="22"/>
        </w:rPr>
      </w:pPr>
    </w:p>
    <w:p w14:paraId="156F15FB" w14:textId="0C4CCD03" w:rsidR="00576772" w:rsidRPr="00576772" w:rsidRDefault="00576772" w:rsidP="0028726C">
      <w:pPr>
        <w:rPr>
          <w:rFonts w:cs="Arial"/>
          <w:b/>
          <w:bCs/>
          <w:sz w:val="22"/>
          <w:szCs w:val="22"/>
        </w:rPr>
      </w:pPr>
      <w:r w:rsidRPr="00576772">
        <w:rPr>
          <w:rFonts w:cs="Arial"/>
          <w:b/>
          <w:bCs/>
          <w:sz w:val="22"/>
          <w:szCs w:val="22"/>
        </w:rPr>
        <w:t>Respuesta:</w:t>
      </w:r>
    </w:p>
    <w:p w14:paraId="7961AA47" w14:textId="32CE5CDB" w:rsidR="00576772" w:rsidRDefault="00576772" w:rsidP="0028726C">
      <w:pPr>
        <w:rPr>
          <w:rFonts w:cs="Arial"/>
          <w:sz w:val="22"/>
          <w:szCs w:val="22"/>
        </w:rPr>
      </w:pPr>
    </w:p>
    <w:p w14:paraId="31CD092A" w14:textId="676C42B1" w:rsidR="00576772" w:rsidRDefault="00BE3832" w:rsidP="00BE3832">
      <w:pPr>
        <w:rPr>
          <w:rFonts w:cs="Arial"/>
          <w:sz w:val="22"/>
          <w:szCs w:val="22"/>
        </w:rPr>
      </w:pPr>
      <w:r>
        <w:rPr>
          <w:rFonts w:cs="Arial"/>
          <w:sz w:val="22"/>
          <w:szCs w:val="22"/>
        </w:rPr>
        <w:t>En el Artículo 2.2.2.2.16 “</w:t>
      </w:r>
      <w:r w:rsidRPr="00BE3832">
        <w:rPr>
          <w:rFonts w:cs="Arial"/>
          <w:i/>
          <w:iCs/>
          <w:sz w:val="22"/>
          <w:szCs w:val="22"/>
        </w:rPr>
        <w:t>Demanda Esencial</w:t>
      </w:r>
      <w:r>
        <w:rPr>
          <w:rFonts w:cs="Arial"/>
          <w:sz w:val="22"/>
          <w:szCs w:val="22"/>
        </w:rPr>
        <w:t xml:space="preserve">” del Decreto 1073 de 2015 se establece que “(…) </w:t>
      </w:r>
      <w:r w:rsidRPr="00BE3832">
        <w:rPr>
          <w:rFonts w:cs="Arial"/>
          <w:i/>
          <w:iCs/>
          <w:sz w:val="22"/>
          <w:szCs w:val="22"/>
        </w:rPr>
        <w:t>las cantidades de gas declaradas en virtud del artículo 2.2.2.2.21</w:t>
      </w:r>
      <w:r>
        <w:rPr>
          <w:rFonts w:cs="Arial"/>
          <w:i/>
          <w:iCs/>
          <w:sz w:val="22"/>
          <w:szCs w:val="22"/>
        </w:rPr>
        <w:t xml:space="preserve"> (</w:t>
      </w:r>
      <w:r w:rsidRPr="00BE3832">
        <w:rPr>
          <w:rFonts w:cs="Arial"/>
          <w:sz w:val="22"/>
          <w:szCs w:val="22"/>
        </w:rPr>
        <w:t xml:space="preserve">realmente es el Artículo 2.2.2.2.20) </w:t>
      </w:r>
      <w:r w:rsidRPr="00BE3832">
        <w:rPr>
          <w:rFonts w:cs="Arial"/>
          <w:i/>
          <w:iCs/>
          <w:sz w:val="22"/>
          <w:szCs w:val="22"/>
        </w:rPr>
        <w:t>de este Decreto y que se destinen para la atención de la demanda de gas natural para las refinerías tendrán el tratamiento de contratadas para los efectos de este artículo</w:t>
      </w:r>
      <w:r w:rsidRPr="00BE3832">
        <w:rPr>
          <w:rFonts w:cs="Arial"/>
          <w:sz w:val="22"/>
          <w:szCs w:val="22"/>
        </w:rPr>
        <w:t>.</w:t>
      </w:r>
      <w:r>
        <w:rPr>
          <w:rFonts w:cs="Arial"/>
          <w:sz w:val="22"/>
          <w:szCs w:val="22"/>
        </w:rPr>
        <w:t>” A su vez el Artículo 2.2.2.2.20 establece lo siguiente:</w:t>
      </w:r>
    </w:p>
    <w:p w14:paraId="3117CC58" w14:textId="77777777" w:rsidR="00BE3832" w:rsidRDefault="00BE3832" w:rsidP="00BE3832">
      <w:pPr>
        <w:rPr>
          <w:rFonts w:cs="Arial"/>
          <w:sz w:val="22"/>
          <w:szCs w:val="22"/>
        </w:rPr>
      </w:pPr>
    </w:p>
    <w:p w14:paraId="22A9C338" w14:textId="38B97136" w:rsidR="00BE3832" w:rsidRDefault="00BE3832" w:rsidP="00BE3832">
      <w:pPr>
        <w:ind w:left="708"/>
        <w:rPr>
          <w:rFonts w:cs="Arial"/>
          <w:sz w:val="22"/>
          <w:szCs w:val="22"/>
        </w:rPr>
      </w:pPr>
      <w:r>
        <w:rPr>
          <w:rFonts w:cs="Arial"/>
          <w:sz w:val="22"/>
          <w:szCs w:val="22"/>
        </w:rPr>
        <w:t>“</w:t>
      </w:r>
      <w:r w:rsidRPr="00BE3832">
        <w:rPr>
          <w:rFonts w:cs="Arial"/>
          <w:i/>
          <w:iCs/>
          <w:sz w:val="22"/>
          <w:szCs w:val="22"/>
        </w:rPr>
        <w:t>ARTÍCULO 2.2.2.2.20. El productor o productor-comercializador declarará en los términos previstos en el artículo siguiente las cantidades diarias promedio mes de gas natural, medidas en GBTUD, de las que sea propietario y que sean destinadas para su propio consumo</w:t>
      </w:r>
      <w:r w:rsidRPr="00BE3832">
        <w:rPr>
          <w:rFonts w:cs="Arial"/>
          <w:sz w:val="22"/>
          <w:szCs w:val="22"/>
        </w:rPr>
        <w:t>.</w:t>
      </w:r>
      <w:r>
        <w:rPr>
          <w:rFonts w:cs="Arial"/>
          <w:sz w:val="22"/>
          <w:szCs w:val="22"/>
        </w:rPr>
        <w:t>”</w:t>
      </w:r>
    </w:p>
    <w:p w14:paraId="26DD485A" w14:textId="77777777" w:rsidR="00BE3832" w:rsidRDefault="00BE3832" w:rsidP="0028726C">
      <w:pPr>
        <w:rPr>
          <w:rFonts w:cs="Arial"/>
          <w:sz w:val="22"/>
          <w:szCs w:val="22"/>
        </w:rPr>
      </w:pPr>
    </w:p>
    <w:p w14:paraId="030A86CA" w14:textId="4D9C44ED" w:rsidR="00BE3832" w:rsidRDefault="00BE3832" w:rsidP="0028726C">
      <w:pPr>
        <w:rPr>
          <w:rFonts w:cs="Arial"/>
          <w:sz w:val="22"/>
          <w:szCs w:val="22"/>
        </w:rPr>
      </w:pPr>
      <w:r>
        <w:rPr>
          <w:rFonts w:cs="Arial"/>
          <w:sz w:val="22"/>
          <w:szCs w:val="22"/>
        </w:rPr>
        <w:t xml:space="preserve">Actualmente en las declaraciones de producción que se entregan al MME, el productor </w:t>
      </w:r>
      <w:r w:rsidR="009848F6">
        <w:rPr>
          <w:rFonts w:cs="Arial"/>
          <w:sz w:val="22"/>
          <w:szCs w:val="22"/>
        </w:rPr>
        <w:t>especifica</w:t>
      </w:r>
      <w:r>
        <w:rPr>
          <w:rFonts w:cs="Arial"/>
          <w:sz w:val="22"/>
          <w:szCs w:val="22"/>
        </w:rPr>
        <w:t xml:space="preserve"> en una fila dedicada </w:t>
      </w:r>
      <w:r w:rsidR="009848F6">
        <w:rPr>
          <w:rFonts w:cs="Arial"/>
          <w:sz w:val="22"/>
          <w:szCs w:val="22"/>
        </w:rPr>
        <w:t xml:space="preserve">del formato en Excel, </w:t>
      </w:r>
      <w:r>
        <w:rPr>
          <w:rFonts w:cs="Arial"/>
          <w:sz w:val="22"/>
          <w:szCs w:val="22"/>
        </w:rPr>
        <w:t>las cantidades de gas que separa para el consumo propio</w:t>
      </w:r>
      <w:r w:rsidR="009848F6">
        <w:rPr>
          <w:rFonts w:cs="Arial"/>
          <w:sz w:val="22"/>
          <w:szCs w:val="22"/>
        </w:rPr>
        <w:t xml:space="preserve"> destinado a refinerías</w:t>
      </w:r>
      <w:r>
        <w:rPr>
          <w:rFonts w:cs="Arial"/>
          <w:sz w:val="22"/>
          <w:szCs w:val="22"/>
        </w:rPr>
        <w:t xml:space="preserve">, como una parte de la declaración de la producción comprometida PC. </w:t>
      </w:r>
      <w:r w:rsidR="009848F6">
        <w:rPr>
          <w:rFonts w:cs="Arial"/>
          <w:sz w:val="22"/>
          <w:szCs w:val="22"/>
        </w:rPr>
        <w:t xml:space="preserve">De este modo, esas cantidades se descuentan del potencial de producción con lo que se obtiene una PTDV que ya no incluye los consumos de refinerías. Es por ello </w:t>
      </w:r>
      <w:proofErr w:type="gramStart"/>
      <w:r w:rsidR="009848F6">
        <w:rPr>
          <w:rFonts w:cs="Arial"/>
          <w:sz w:val="22"/>
          <w:szCs w:val="22"/>
        </w:rPr>
        <w:t>que</w:t>
      </w:r>
      <w:proofErr w:type="gramEnd"/>
      <w:r w:rsidR="009848F6">
        <w:rPr>
          <w:rFonts w:cs="Arial"/>
          <w:sz w:val="22"/>
          <w:szCs w:val="22"/>
        </w:rPr>
        <w:t xml:space="preserve"> hoy en día puede ocurrir que la producción de un campo de producción se dedique completamente al consumo de refinería y nada se coloque como potencia de venta. </w:t>
      </w:r>
    </w:p>
    <w:p w14:paraId="7799A17C" w14:textId="77777777" w:rsidR="00F112EE" w:rsidRDefault="00F112EE" w:rsidP="0028726C">
      <w:pPr>
        <w:rPr>
          <w:rFonts w:cs="Arial"/>
          <w:sz w:val="22"/>
          <w:szCs w:val="22"/>
        </w:rPr>
      </w:pPr>
    </w:p>
    <w:p w14:paraId="18D0AB80" w14:textId="5911141D" w:rsidR="00F112EE" w:rsidRDefault="00F112EE" w:rsidP="0028726C">
      <w:pPr>
        <w:rPr>
          <w:rFonts w:cs="Arial"/>
          <w:sz w:val="22"/>
          <w:szCs w:val="22"/>
        </w:rPr>
      </w:pPr>
      <w:r>
        <w:rPr>
          <w:rFonts w:cs="Arial"/>
          <w:sz w:val="22"/>
          <w:szCs w:val="22"/>
        </w:rPr>
        <w:t xml:space="preserve">Lo que no debe ocurrir es que el productor-comercializador realice el descuento de cantidades de consumo en refinerías y que las refinerías como usuarios no regulados, declaren al </w:t>
      </w:r>
      <w:r w:rsidR="005114C6">
        <w:rPr>
          <w:rFonts w:cs="Arial"/>
          <w:sz w:val="22"/>
          <w:szCs w:val="22"/>
        </w:rPr>
        <w:t>Gestor del Mercado</w:t>
      </w:r>
      <w:r>
        <w:rPr>
          <w:rFonts w:cs="Arial"/>
          <w:sz w:val="22"/>
          <w:szCs w:val="22"/>
        </w:rPr>
        <w:t xml:space="preserve"> requerimientos de cantidades para atender el consumo de refinerías, siendo que ya han sido descontadas.</w:t>
      </w:r>
      <w:r w:rsidR="00DD296F">
        <w:rPr>
          <w:rFonts w:cs="Arial"/>
          <w:sz w:val="22"/>
          <w:szCs w:val="22"/>
        </w:rPr>
        <w:t xml:space="preserve"> Es por ello que en la nueva propuesta se establece que l</w:t>
      </w:r>
      <w:r w:rsidR="00DD296F" w:rsidRPr="00DD296F">
        <w:rPr>
          <w:rFonts w:cs="Arial"/>
          <w:sz w:val="22"/>
          <w:szCs w:val="22"/>
        </w:rPr>
        <w:t>os vendedores que presentan declaración de PTDVF para una o varias fuente de suministro, para cualquiera de los trimestres de suministro siguientes, que pueden de</w:t>
      </w:r>
      <w:r w:rsidR="006400F4">
        <w:rPr>
          <w:rFonts w:cs="Arial"/>
          <w:sz w:val="22"/>
          <w:szCs w:val="22"/>
        </w:rPr>
        <w:t xml:space="preserve">clarar al Ministerio de Minas y Energía como producción comprometida PC </w:t>
      </w:r>
      <w:r w:rsidR="00DD296F" w:rsidRPr="00DD296F">
        <w:rPr>
          <w:rFonts w:cs="Arial"/>
          <w:sz w:val="22"/>
          <w:szCs w:val="22"/>
        </w:rPr>
        <w:t xml:space="preserve">las cantidades requeridas para tales propios consumos y que en ese caso pertenecen a la Demanda Esencial en los términos de lo establecido en el Artículo 2.2.2.2.20 del Decreto 1073 de 2015, no podrán informar al </w:t>
      </w:r>
      <w:r w:rsidR="005114C6">
        <w:rPr>
          <w:rFonts w:cs="Arial"/>
          <w:sz w:val="22"/>
          <w:szCs w:val="22"/>
        </w:rPr>
        <w:t>Gestor del Mercado</w:t>
      </w:r>
      <w:r w:rsidR="00DD296F" w:rsidRPr="00DD296F">
        <w:rPr>
          <w:rFonts w:cs="Arial"/>
          <w:sz w:val="22"/>
          <w:szCs w:val="22"/>
        </w:rPr>
        <w:t xml:space="preserve"> requerimientos de compra de cantidades para atender tales propios consumos para esos mismos trimestres y para los puntos de referencia en los que se incluyen las fuentes de suministro para las que declaró PTDVF.     </w:t>
      </w:r>
    </w:p>
    <w:p w14:paraId="3659AC98" w14:textId="77777777" w:rsidR="00DD296F" w:rsidRDefault="00DD296F" w:rsidP="0028726C">
      <w:pPr>
        <w:rPr>
          <w:rFonts w:cs="Arial"/>
          <w:sz w:val="22"/>
          <w:szCs w:val="22"/>
        </w:rPr>
      </w:pPr>
    </w:p>
    <w:p w14:paraId="7D13F5D4" w14:textId="77777777" w:rsidR="00BE3832" w:rsidRDefault="00BE3832" w:rsidP="0028726C">
      <w:pPr>
        <w:rPr>
          <w:rFonts w:cs="Arial"/>
          <w:sz w:val="22"/>
          <w:szCs w:val="22"/>
        </w:rPr>
      </w:pPr>
    </w:p>
    <w:p w14:paraId="6200A096" w14:textId="77777777" w:rsidR="00C53D76" w:rsidRDefault="0028726C" w:rsidP="000D05A3">
      <w:pPr>
        <w:pStyle w:val="Ttulo4"/>
      </w:pPr>
      <w:r w:rsidRPr="0028726C">
        <w:t>ACP</w:t>
      </w:r>
      <w:r w:rsidRPr="0028726C">
        <w:tab/>
      </w:r>
    </w:p>
    <w:p w14:paraId="6EA7DE0B" w14:textId="0A381DEE" w:rsidR="0028726C" w:rsidRPr="00E4118E" w:rsidRDefault="009177B7" w:rsidP="0028726C">
      <w:pPr>
        <w:rPr>
          <w:rFonts w:cs="Arial"/>
          <w:i/>
          <w:iCs/>
          <w:sz w:val="22"/>
          <w:szCs w:val="22"/>
        </w:rPr>
      </w:pPr>
      <w:r>
        <w:rPr>
          <w:rFonts w:cs="Arial"/>
          <w:i/>
          <w:iCs/>
          <w:sz w:val="22"/>
          <w:szCs w:val="22"/>
        </w:rPr>
        <w:t>“</w:t>
      </w:r>
      <w:r w:rsidR="0028726C" w:rsidRPr="00E4118E">
        <w:rPr>
          <w:rFonts w:cs="Arial"/>
          <w:i/>
          <w:iCs/>
          <w:sz w:val="22"/>
          <w:szCs w:val="22"/>
        </w:rPr>
        <w:t>Algunos productores tienen vigentes contratos de transporte, los cuales fueron firmados antes de la resolución CREG 185 de 2020. ¿Cómo se articula esta situación en el MADE?</w:t>
      </w:r>
      <w:r>
        <w:rPr>
          <w:rFonts w:cs="Arial"/>
          <w:i/>
          <w:iCs/>
          <w:sz w:val="22"/>
          <w:szCs w:val="22"/>
        </w:rPr>
        <w:t>”</w:t>
      </w:r>
    </w:p>
    <w:p w14:paraId="3732429D" w14:textId="1E324AD8" w:rsidR="00E4118E" w:rsidRDefault="00E4118E" w:rsidP="0028726C">
      <w:pPr>
        <w:rPr>
          <w:rFonts w:cs="Arial"/>
          <w:sz w:val="22"/>
          <w:szCs w:val="22"/>
        </w:rPr>
      </w:pPr>
    </w:p>
    <w:p w14:paraId="36B8C226" w14:textId="77777777" w:rsidR="00E4118E" w:rsidRPr="00576772" w:rsidRDefault="00E4118E" w:rsidP="00E4118E">
      <w:pPr>
        <w:rPr>
          <w:rFonts w:cs="Arial"/>
          <w:b/>
          <w:bCs/>
          <w:sz w:val="22"/>
          <w:szCs w:val="22"/>
        </w:rPr>
      </w:pPr>
      <w:r w:rsidRPr="00576772">
        <w:rPr>
          <w:rFonts w:cs="Arial"/>
          <w:b/>
          <w:bCs/>
          <w:sz w:val="22"/>
          <w:szCs w:val="22"/>
        </w:rPr>
        <w:t>Respuesta:</w:t>
      </w:r>
    </w:p>
    <w:p w14:paraId="0A6DF0BA" w14:textId="68FCF695" w:rsidR="00E4118E" w:rsidRDefault="00E4118E" w:rsidP="0028726C">
      <w:pPr>
        <w:rPr>
          <w:rFonts w:cs="Arial"/>
          <w:sz w:val="22"/>
          <w:szCs w:val="22"/>
        </w:rPr>
      </w:pPr>
    </w:p>
    <w:p w14:paraId="35635580" w14:textId="3B704A2E" w:rsidR="006400F4" w:rsidRDefault="006400F4" w:rsidP="0028726C">
      <w:pPr>
        <w:rPr>
          <w:rFonts w:cs="Arial"/>
          <w:sz w:val="22"/>
          <w:szCs w:val="22"/>
        </w:rPr>
      </w:pPr>
      <w:r>
        <w:rPr>
          <w:rFonts w:cs="Arial"/>
          <w:sz w:val="22"/>
          <w:szCs w:val="22"/>
        </w:rPr>
        <w:t>En la propuesta de resolución de ajustes del Mercado Mayorista de suministro de gas natural no se incluyen normas que corresponden a la comercialización de la capacidad de transporte de gas natural, que como se menciona en el comentario son objeto de resolución aparte.</w:t>
      </w:r>
    </w:p>
    <w:p w14:paraId="4B8C969B" w14:textId="6B7AA866" w:rsidR="00E4118E" w:rsidRDefault="00E4118E" w:rsidP="0028726C">
      <w:pPr>
        <w:rPr>
          <w:rFonts w:cs="Arial"/>
          <w:sz w:val="22"/>
          <w:szCs w:val="22"/>
        </w:rPr>
      </w:pPr>
    </w:p>
    <w:p w14:paraId="5B9B4711" w14:textId="77777777" w:rsidR="00E4118E" w:rsidRDefault="00E4118E" w:rsidP="0028726C">
      <w:pPr>
        <w:rPr>
          <w:rFonts w:cs="Arial"/>
          <w:sz w:val="22"/>
          <w:szCs w:val="22"/>
        </w:rPr>
      </w:pPr>
    </w:p>
    <w:p w14:paraId="2D15AFF2" w14:textId="77777777" w:rsidR="00C53D76" w:rsidRDefault="0028726C" w:rsidP="0090195C">
      <w:pPr>
        <w:pStyle w:val="Ttulo2"/>
      </w:pPr>
      <w:bookmarkStart w:id="779" w:name="_Toc140506427"/>
      <w:r w:rsidRPr="0028726C">
        <w:t>ALCANOS</w:t>
      </w:r>
      <w:bookmarkEnd w:id="779"/>
      <w:r w:rsidRPr="0028726C">
        <w:tab/>
      </w:r>
    </w:p>
    <w:p w14:paraId="1AD115DB" w14:textId="77777777" w:rsidR="00002A82" w:rsidRDefault="00002A82" w:rsidP="000D05A3">
      <w:pPr>
        <w:pStyle w:val="Ttulo4"/>
      </w:pPr>
      <w:r w:rsidRPr="0028726C">
        <w:t>ALCANOS</w:t>
      </w:r>
      <w:r w:rsidRPr="0028726C">
        <w:tab/>
      </w:r>
    </w:p>
    <w:p w14:paraId="72EB9A8B" w14:textId="7895BAD1" w:rsidR="0028726C" w:rsidRPr="006400F4" w:rsidRDefault="009177B7" w:rsidP="0028726C">
      <w:pPr>
        <w:rPr>
          <w:rFonts w:cs="Arial"/>
          <w:i/>
          <w:iCs/>
          <w:sz w:val="22"/>
          <w:szCs w:val="22"/>
        </w:rPr>
      </w:pPr>
      <w:r>
        <w:rPr>
          <w:rFonts w:cs="Arial"/>
          <w:i/>
          <w:iCs/>
          <w:sz w:val="22"/>
          <w:szCs w:val="22"/>
        </w:rPr>
        <w:t>“</w:t>
      </w:r>
      <w:r w:rsidR="0028726C" w:rsidRPr="006400F4">
        <w:rPr>
          <w:rFonts w:cs="Arial"/>
          <w:i/>
          <w:iCs/>
          <w:sz w:val="22"/>
          <w:szCs w:val="22"/>
        </w:rPr>
        <w:t xml:space="preserve">Dentro de la </w:t>
      </w:r>
      <w:r w:rsidR="006400F4" w:rsidRPr="006400F4">
        <w:rPr>
          <w:rFonts w:cs="Arial"/>
          <w:i/>
          <w:iCs/>
          <w:sz w:val="22"/>
          <w:szCs w:val="22"/>
        </w:rPr>
        <w:t>regulación</w:t>
      </w:r>
      <w:r w:rsidR="0028726C" w:rsidRPr="006400F4">
        <w:rPr>
          <w:rFonts w:cs="Arial"/>
          <w:i/>
          <w:iCs/>
          <w:sz w:val="22"/>
          <w:szCs w:val="22"/>
        </w:rPr>
        <w:t xml:space="preserve"> no es claro la </w:t>
      </w:r>
      <w:r w:rsidR="006400F4" w:rsidRPr="006400F4">
        <w:rPr>
          <w:rFonts w:cs="Arial"/>
          <w:i/>
          <w:iCs/>
          <w:sz w:val="22"/>
          <w:szCs w:val="22"/>
        </w:rPr>
        <w:t>distinción</w:t>
      </w:r>
      <w:r w:rsidR="0028726C" w:rsidRPr="006400F4">
        <w:rPr>
          <w:rFonts w:cs="Arial"/>
          <w:i/>
          <w:iCs/>
          <w:sz w:val="22"/>
          <w:szCs w:val="22"/>
        </w:rPr>
        <w:t xml:space="preserve"> entre las defi</w:t>
      </w:r>
      <w:r w:rsidR="006400F4" w:rsidRPr="006400F4">
        <w:rPr>
          <w:rFonts w:cs="Arial"/>
          <w:i/>
          <w:iCs/>
          <w:sz w:val="22"/>
          <w:szCs w:val="22"/>
        </w:rPr>
        <w:t>ni</w:t>
      </w:r>
      <w:r w:rsidR="0028726C" w:rsidRPr="006400F4">
        <w:rPr>
          <w:rFonts w:cs="Arial"/>
          <w:i/>
          <w:iCs/>
          <w:sz w:val="22"/>
          <w:szCs w:val="22"/>
        </w:rPr>
        <w:t>ciones de entre el trimestre estándar de negociación, y el trimestre estándar de ejecución del contrato.</w:t>
      </w:r>
      <w:r>
        <w:rPr>
          <w:rFonts w:cs="Arial"/>
          <w:i/>
          <w:iCs/>
          <w:sz w:val="22"/>
          <w:szCs w:val="22"/>
        </w:rPr>
        <w:t>”</w:t>
      </w:r>
    </w:p>
    <w:p w14:paraId="0A3DE10C" w14:textId="77777777" w:rsidR="006400F4" w:rsidRDefault="006400F4" w:rsidP="0028726C">
      <w:pPr>
        <w:rPr>
          <w:rFonts w:cs="Arial"/>
          <w:sz w:val="22"/>
          <w:szCs w:val="22"/>
        </w:rPr>
      </w:pPr>
    </w:p>
    <w:p w14:paraId="32000CC2" w14:textId="3F7F8F7C" w:rsidR="006400F4" w:rsidRPr="006400F4" w:rsidRDefault="006400F4" w:rsidP="0028726C">
      <w:pPr>
        <w:rPr>
          <w:rFonts w:cs="Arial"/>
          <w:b/>
          <w:bCs/>
          <w:sz w:val="22"/>
          <w:szCs w:val="22"/>
        </w:rPr>
      </w:pPr>
      <w:r w:rsidRPr="006400F4">
        <w:rPr>
          <w:rFonts w:cs="Arial"/>
          <w:b/>
          <w:bCs/>
          <w:sz w:val="22"/>
          <w:szCs w:val="22"/>
        </w:rPr>
        <w:t>Respuesta:</w:t>
      </w:r>
    </w:p>
    <w:p w14:paraId="577480F9" w14:textId="77777777" w:rsidR="006400F4" w:rsidRDefault="006400F4" w:rsidP="0028726C">
      <w:pPr>
        <w:rPr>
          <w:rFonts w:cs="Arial"/>
          <w:sz w:val="22"/>
          <w:szCs w:val="22"/>
        </w:rPr>
      </w:pPr>
    </w:p>
    <w:p w14:paraId="770F255F" w14:textId="420D8C54" w:rsidR="006400F4" w:rsidRDefault="00D23DD1" w:rsidP="0028726C">
      <w:pPr>
        <w:rPr>
          <w:rFonts w:cs="Arial"/>
          <w:sz w:val="22"/>
          <w:szCs w:val="22"/>
        </w:rPr>
      </w:pPr>
      <w:r>
        <w:rPr>
          <w:rFonts w:cs="Arial"/>
          <w:sz w:val="22"/>
          <w:szCs w:val="22"/>
        </w:rPr>
        <w:t>Se acoge el comentario.</w:t>
      </w:r>
    </w:p>
    <w:p w14:paraId="0AC35310" w14:textId="77777777" w:rsidR="00D23DD1" w:rsidRDefault="00D23DD1" w:rsidP="0028726C">
      <w:pPr>
        <w:rPr>
          <w:rFonts w:cs="Arial"/>
          <w:sz w:val="22"/>
          <w:szCs w:val="22"/>
        </w:rPr>
      </w:pPr>
    </w:p>
    <w:p w14:paraId="417A2DBA" w14:textId="5D966634" w:rsidR="00D23DD1" w:rsidRDefault="00D23DD1" w:rsidP="0028726C">
      <w:pPr>
        <w:rPr>
          <w:rFonts w:cs="Arial"/>
          <w:sz w:val="22"/>
          <w:szCs w:val="22"/>
        </w:rPr>
      </w:pPr>
      <w:r>
        <w:rPr>
          <w:rFonts w:cs="Arial"/>
          <w:sz w:val="22"/>
          <w:szCs w:val="22"/>
        </w:rPr>
        <w:t>En la nueva propuesta de incluye las definiciones de cada trimestre estándar.</w:t>
      </w:r>
    </w:p>
    <w:p w14:paraId="1E4BF757" w14:textId="77777777" w:rsidR="006400F4" w:rsidRPr="0028726C" w:rsidRDefault="006400F4" w:rsidP="0028726C">
      <w:pPr>
        <w:rPr>
          <w:rFonts w:cs="Arial"/>
          <w:sz w:val="22"/>
          <w:szCs w:val="22"/>
        </w:rPr>
      </w:pPr>
    </w:p>
    <w:p w14:paraId="3FC7EAF1" w14:textId="77777777" w:rsidR="00C53D76" w:rsidRDefault="00C53D76" w:rsidP="0028726C">
      <w:pPr>
        <w:rPr>
          <w:rFonts w:cs="Arial"/>
          <w:sz w:val="22"/>
          <w:szCs w:val="22"/>
        </w:rPr>
      </w:pPr>
    </w:p>
    <w:p w14:paraId="00205BD6" w14:textId="77777777" w:rsidR="00C53D76" w:rsidRDefault="0028726C" w:rsidP="000D05A3">
      <w:pPr>
        <w:pStyle w:val="Ttulo4"/>
      </w:pPr>
      <w:bookmarkStart w:id="780" w:name="_Ref132117030"/>
      <w:r w:rsidRPr="0028726C">
        <w:t>ALCANOS</w:t>
      </w:r>
      <w:bookmarkEnd w:id="780"/>
      <w:r w:rsidRPr="0028726C">
        <w:tab/>
      </w:r>
    </w:p>
    <w:p w14:paraId="5394C37A" w14:textId="38F2C9DD" w:rsidR="0028726C" w:rsidRPr="00D23DD1" w:rsidRDefault="009177B7" w:rsidP="0028726C">
      <w:pPr>
        <w:rPr>
          <w:rFonts w:cs="Arial"/>
          <w:i/>
          <w:iCs/>
          <w:sz w:val="22"/>
          <w:szCs w:val="22"/>
        </w:rPr>
      </w:pPr>
      <w:r>
        <w:rPr>
          <w:rFonts w:cs="Arial"/>
          <w:i/>
          <w:iCs/>
          <w:sz w:val="22"/>
          <w:szCs w:val="22"/>
        </w:rPr>
        <w:t>“</w:t>
      </w:r>
      <w:r w:rsidR="0028726C" w:rsidRPr="00D23DD1">
        <w:rPr>
          <w:rFonts w:cs="Arial"/>
          <w:i/>
          <w:iCs/>
          <w:sz w:val="22"/>
          <w:szCs w:val="22"/>
        </w:rPr>
        <w:t>No hay señal de precio desde el principio del proceso de comercialización por parte de los productores en el MADE</w:t>
      </w:r>
      <w:r>
        <w:rPr>
          <w:rFonts w:cs="Arial"/>
          <w:i/>
          <w:iCs/>
          <w:sz w:val="22"/>
          <w:szCs w:val="22"/>
        </w:rPr>
        <w:t>”</w:t>
      </w:r>
    </w:p>
    <w:p w14:paraId="23360126" w14:textId="77777777" w:rsidR="00D23DD1" w:rsidRDefault="00D23DD1" w:rsidP="0028726C">
      <w:pPr>
        <w:rPr>
          <w:rFonts w:cs="Arial"/>
          <w:sz w:val="22"/>
          <w:szCs w:val="22"/>
        </w:rPr>
      </w:pPr>
    </w:p>
    <w:p w14:paraId="6F105404" w14:textId="0ABCE685" w:rsidR="00D23DD1" w:rsidRPr="00D23DD1" w:rsidRDefault="00D23DD1" w:rsidP="0028726C">
      <w:pPr>
        <w:rPr>
          <w:rFonts w:cs="Arial"/>
          <w:b/>
          <w:bCs/>
          <w:sz w:val="22"/>
          <w:szCs w:val="22"/>
        </w:rPr>
      </w:pPr>
      <w:r w:rsidRPr="00D23DD1">
        <w:rPr>
          <w:rFonts w:cs="Arial"/>
          <w:b/>
          <w:bCs/>
          <w:sz w:val="22"/>
          <w:szCs w:val="22"/>
        </w:rPr>
        <w:t>Respuesta:</w:t>
      </w:r>
    </w:p>
    <w:p w14:paraId="4DD35BDB" w14:textId="77777777" w:rsidR="00D23DD1" w:rsidRDefault="00D23DD1" w:rsidP="0028726C">
      <w:pPr>
        <w:rPr>
          <w:rFonts w:cs="Arial"/>
          <w:sz w:val="22"/>
          <w:szCs w:val="22"/>
        </w:rPr>
      </w:pPr>
    </w:p>
    <w:p w14:paraId="5E7A6FCF" w14:textId="5EBAB164" w:rsidR="004A45A3" w:rsidRDefault="004A45A3" w:rsidP="0028726C">
      <w:pPr>
        <w:rPr>
          <w:rFonts w:cs="Arial"/>
          <w:sz w:val="22"/>
          <w:szCs w:val="22"/>
        </w:rPr>
      </w:pPr>
      <w:r>
        <w:rPr>
          <w:rFonts w:cs="Arial"/>
          <w:sz w:val="22"/>
          <w:szCs w:val="22"/>
        </w:rPr>
        <w:t>El proceso de negociación se repite una y otra vez en cada trimestre de negociación. El resultado de un proceso de negociación trimestral (cantidades, precios) puede servir de referencia para los siguientes procesos de negociación. En el MADE se establecen dos instancias de declaración de las cantidades a comprar por parte de los compradores, en que no se determina obligación alguna sobre los mínimos a contratar para atender la demanda de los trimestres de suministro futuros. Así, un comprador puede distribuir en varios trimestres de negociación las cantidades a comprar para ser suministradas en un mismo trimestre futuro, de modo de lograr la asignación de cantidades a contratar mediante negociación directa o mediante subasta centralizada</w:t>
      </w:r>
      <w:r w:rsidR="00473900">
        <w:rPr>
          <w:rFonts w:cs="Arial"/>
          <w:sz w:val="22"/>
          <w:szCs w:val="22"/>
        </w:rPr>
        <w:t>, considerando la evolución de su propias estimaciones de demanda futura, de crecimientos de PTDVF/CIDVF y de los efectos de la implementación de los proyectos adoptados en el Plan de Abastecimiento de Gas Natural, entre otros factores.</w:t>
      </w:r>
      <w:r>
        <w:rPr>
          <w:rFonts w:cs="Arial"/>
          <w:sz w:val="22"/>
          <w:szCs w:val="22"/>
        </w:rPr>
        <w:t xml:space="preserve">.  </w:t>
      </w:r>
    </w:p>
    <w:p w14:paraId="4BAF92CE" w14:textId="2FFED692" w:rsidR="00D23DD1" w:rsidRPr="0028726C" w:rsidRDefault="004A45A3" w:rsidP="0028726C">
      <w:pPr>
        <w:rPr>
          <w:rFonts w:cs="Arial"/>
          <w:sz w:val="22"/>
          <w:szCs w:val="22"/>
        </w:rPr>
      </w:pPr>
      <w:r>
        <w:rPr>
          <w:rFonts w:cs="Arial"/>
          <w:sz w:val="22"/>
          <w:szCs w:val="22"/>
        </w:rPr>
        <w:t xml:space="preserve"> </w:t>
      </w:r>
    </w:p>
    <w:p w14:paraId="7EF9D35D" w14:textId="19C0E832" w:rsidR="00C53D76" w:rsidRDefault="001328DC" w:rsidP="0028726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sidR="007651EA">
        <w:rPr>
          <w:rFonts w:cs="Arial"/>
          <w:sz w:val="22"/>
          <w:szCs w:val="22"/>
        </w:rPr>
        <w:t>4.11.1</w:t>
      </w:r>
      <w:r>
        <w:rPr>
          <w:rFonts w:cs="Arial"/>
          <w:sz w:val="22"/>
          <w:szCs w:val="22"/>
        </w:rPr>
        <w:fldChar w:fldCharType="end"/>
      </w:r>
      <w:r>
        <w:rPr>
          <w:rFonts w:cs="Arial"/>
          <w:sz w:val="22"/>
          <w:szCs w:val="22"/>
        </w:rPr>
        <w:t>.</w:t>
      </w:r>
    </w:p>
    <w:p w14:paraId="63367950" w14:textId="77777777" w:rsidR="001328DC" w:rsidRDefault="001328DC" w:rsidP="0028726C">
      <w:pPr>
        <w:rPr>
          <w:rFonts w:cs="Arial"/>
          <w:sz w:val="22"/>
          <w:szCs w:val="22"/>
        </w:rPr>
      </w:pPr>
    </w:p>
    <w:p w14:paraId="5AF7A6F0" w14:textId="77777777" w:rsidR="00C53D76" w:rsidRDefault="00C53D76" w:rsidP="0028726C">
      <w:pPr>
        <w:rPr>
          <w:rFonts w:cs="Arial"/>
          <w:sz w:val="22"/>
          <w:szCs w:val="22"/>
        </w:rPr>
      </w:pPr>
    </w:p>
    <w:p w14:paraId="59F11D22" w14:textId="77777777" w:rsidR="00C53D76" w:rsidRDefault="0028726C" w:rsidP="0090195C">
      <w:pPr>
        <w:pStyle w:val="Ttulo2"/>
      </w:pPr>
      <w:bookmarkStart w:id="781" w:name="_Toc140506428"/>
      <w:r w:rsidRPr="0028726C">
        <w:t>ANDEG</w:t>
      </w:r>
      <w:bookmarkEnd w:id="781"/>
      <w:r w:rsidRPr="0028726C">
        <w:tab/>
      </w:r>
    </w:p>
    <w:p w14:paraId="70FDC78A" w14:textId="77777777" w:rsidR="00002A82" w:rsidRDefault="00002A82" w:rsidP="000D05A3">
      <w:pPr>
        <w:pStyle w:val="Ttulo4"/>
      </w:pPr>
      <w:bookmarkStart w:id="782" w:name="_Ref132192704"/>
      <w:r w:rsidRPr="0028726C">
        <w:t>ANDEG</w:t>
      </w:r>
      <w:bookmarkEnd w:id="782"/>
      <w:r w:rsidRPr="0028726C">
        <w:tab/>
      </w:r>
    </w:p>
    <w:p w14:paraId="050FED1F" w14:textId="259ECB36" w:rsidR="0028726C" w:rsidRDefault="00057D9D" w:rsidP="0028726C">
      <w:pPr>
        <w:rPr>
          <w:rFonts w:cs="Arial"/>
          <w:sz w:val="22"/>
          <w:szCs w:val="22"/>
        </w:rPr>
      </w:pPr>
      <w:r>
        <w:rPr>
          <w:rFonts w:cs="Arial"/>
          <w:i/>
          <w:iCs/>
          <w:sz w:val="22"/>
          <w:szCs w:val="22"/>
        </w:rPr>
        <w:t>“</w:t>
      </w:r>
      <w:r w:rsidR="0028726C" w:rsidRPr="00E10B94">
        <w:rPr>
          <w:rFonts w:cs="Arial"/>
          <w:i/>
          <w:iCs/>
          <w:sz w:val="22"/>
          <w:szCs w:val="22"/>
        </w:rPr>
        <w:t>La propuesta del MADE fomenta indirectamente a que el Mercado primario sea un mercado estático, basado en contratación firme de agentes particulares y coberturas de obligaciones, mientras que se plantea un mercado secundario como un esquema de compra/venta de excedentes ocasionales ante eventos específicos, reduciendo de esta forma, el volumen y liquidez del mercado mayorista de gas natural. Así las cosas, la propuesta general de la Resolución CREG 226 afecta no solo al titular de los contratos sino también a aquellos que requieren suministro en el mercado diario</w:t>
      </w:r>
      <w:r w:rsidR="0028726C" w:rsidRPr="0028726C">
        <w:rPr>
          <w:rFonts w:cs="Arial"/>
          <w:sz w:val="22"/>
          <w:szCs w:val="22"/>
        </w:rPr>
        <w:t>.</w:t>
      </w:r>
      <w:r w:rsidR="000E18E5">
        <w:rPr>
          <w:rFonts w:cs="Arial"/>
          <w:sz w:val="22"/>
          <w:szCs w:val="22"/>
        </w:rPr>
        <w:t>”</w:t>
      </w:r>
    </w:p>
    <w:p w14:paraId="6215155C" w14:textId="77777777" w:rsidR="00E10B94" w:rsidRDefault="00E10B94" w:rsidP="0028726C">
      <w:pPr>
        <w:rPr>
          <w:rFonts w:cs="Arial"/>
          <w:sz w:val="22"/>
          <w:szCs w:val="22"/>
        </w:rPr>
      </w:pPr>
    </w:p>
    <w:p w14:paraId="280CD89B" w14:textId="081F60ED" w:rsidR="00E10B94" w:rsidRPr="00E10B94" w:rsidRDefault="00E10B94" w:rsidP="0028726C">
      <w:pPr>
        <w:rPr>
          <w:rFonts w:cs="Arial"/>
          <w:b/>
          <w:bCs/>
          <w:sz w:val="22"/>
          <w:szCs w:val="22"/>
        </w:rPr>
      </w:pPr>
      <w:r w:rsidRPr="00E10B94">
        <w:rPr>
          <w:rFonts w:cs="Arial"/>
          <w:b/>
          <w:bCs/>
          <w:sz w:val="22"/>
          <w:szCs w:val="22"/>
        </w:rPr>
        <w:t>Respuesta:</w:t>
      </w:r>
    </w:p>
    <w:p w14:paraId="4F4D48D2" w14:textId="77777777" w:rsidR="00E10B94" w:rsidRDefault="00E10B94" w:rsidP="0028726C">
      <w:pPr>
        <w:rPr>
          <w:rFonts w:cs="Arial"/>
          <w:sz w:val="22"/>
          <w:szCs w:val="22"/>
        </w:rPr>
      </w:pPr>
    </w:p>
    <w:p w14:paraId="1BDECB1D" w14:textId="6BEB4415" w:rsidR="00E10B94" w:rsidRDefault="00E10B94" w:rsidP="0028726C">
      <w:pPr>
        <w:rPr>
          <w:rFonts w:cs="Arial"/>
          <w:sz w:val="22"/>
          <w:szCs w:val="22"/>
        </w:rPr>
      </w:pPr>
      <w:r>
        <w:rPr>
          <w:rFonts w:cs="Arial"/>
          <w:sz w:val="22"/>
          <w:szCs w:val="22"/>
        </w:rPr>
        <w:t>No se acoge el comentario.</w:t>
      </w:r>
    </w:p>
    <w:p w14:paraId="7D6EFDD1" w14:textId="77777777" w:rsidR="00E10B94" w:rsidRDefault="00E10B94" w:rsidP="0028726C">
      <w:pPr>
        <w:rPr>
          <w:rFonts w:cs="Arial"/>
          <w:sz w:val="22"/>
          <w:szCs w:val="22"/>
        </w:rPr>
      </w:pPr>
    </w:p>
    <w:p w14:paraId="319FB4C9" w14:textId="43D01759" w:rsidR="00E10B94" w:rsidRDefault="00E10B94" w:rsidP="0028726C">
      <w:pPr>
        <w:rPr>
          <w:rFonts w:cs="Arial"/>
          <w:sz w:val="22"/>
          <w:szCs w:val="22"/>
        </w:rPr>
      </w:pPr>
      <w:r>
        <w:rPr>
          <w:rFonts w:cs="Arial"/>
          <w:sz w:val="22"/>
          <w:szCs w:val="22"/>
        </w:rPr>
        <w:t xml:space="preserve">Se considera que la propuesta lleva a un mercado primario y </w:t>
      </w:r>
      <w:r w:rsidR="00371C6C">
        <w:rPr>
          <w:rFonts w:cs="Arial"/>
          <w:sz w:val="22"/>
          <w:szCs w:val="22"/>
        </w:rPr>
        <w:t xml:space="preserve">a un mercado </w:t>
      </w:r>
      <w:r>
        <w:rPr>
          <w:rFonts w:cs="Arial"/>
          <w:sz w:val="22"/>
          <w:szCs w:val="22"/>
        </w:rPr>
        <w:t>secundario mucho más dinámicos, no solo en razón a la mayor frecuencia de períodos de negociación para contratar el suministro parcial o total de cualquiera de los veinte trimestres estándar siguientes al trimestre de negociación, sino a la inclusión de la demanda a contratar</w:t>
      </w:r>
      <w:r w:rsidR="00371C6C">
        <w:rPr>
          <w:rFonts w:cs="Arial"/>
          <w:sz w:val="22"/>
          <w:szCs w:val="22"/>
        </w:rPr>
        <w:t>, a las cantidades variables de demanda en diferentes trimestres, a la liberación de fórmulas de actualización de precios, a la incorporación de otras fuentes de suministro, al desarrollo de los proyectos del Plan de Abastecimiento de Gas Natural, y, en general, a los demás ajustes que se proponen al esquema actual</w:t>
      </w:r>
      <w:r>
        <w:rPr>
          <w:rFonts w:cs="Arial"/>
          <w:sz w:val="22"/>
          <w:szCs w:val="22"/>
        </w:rPr>
        <w:t xml:space="preserve">. </w:t>
      </w:r>
    </w:p>
    <w:p w14:paraId="02CB8DA7" w14:textId="77777777" w:rsidR="00E10B94" w:rsidRDefault="00E10B94" w:rsidP="0028726C">
      <w:pPr>
        <w:rPr>
          <w:rFonts w:cs="Arial"/>
          <w:sz w:val="22"/>
          <w:szCs w:val="22"/>
        </w:rPr>
      </w:pPr>
    </w:p>
    <w:p w14:paraId="3CE96275" w14:textId="2EE0BED6" w:rsidR="00E10B94" w:rsidRDefault="00E10B94" w:rsidP="0028726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sidR="007651EA">
        <w:rPr>
          <w:rFonts w:cs="Arial"/>
          <w:sz w:val="22"/>
          <w:szCs w:val="22"/>
        </w:rPr>
        <w:t>4.11.1</w:t>
      </w:r>
      <w:r>
        <w:rPr>
          <w:rFonts w:cs="Arial"/>
          <w:sz w:val="22"/>
          <w:szCs w:val="22"/>
        </w:rPr>
        <w:fldChar w:fldCharType="end"/>
      </w:r>
      <w:r>
        <w:rPr>
          <w:rFonts w:cs="Arial"/>
          <w:sz w:val="22"/>
          <w:szCs w:val="22"/>
        </w:rPr>
        <w:t>.</w:t>
      </w:r>
    </w:p>
    <w:p w14:paraId="714AAE2D" w14:textId="77777777" w:rsidR="00772183" w:rsidRDefault="00772183" w:rsidP="0028726C">
      <w:pPr>
        <w:rPr>
          <w:rFonts w:cs="Arial"/>
          <w:sz w:val="22"/>
          <w:szCs w:val="22"/>
        </w:rPr>
      </w:pPr>
    </w:p>
    <w:p w14:paraId="449839A1" w14:textId="57C62BC8" w:rsidR="00772183" w:rsidRDefault="00772183" w:rsidP="0028726C">
      <w:pPr>
        <w:rPr>
          <w:rFonts w:cs="Arial"/>
          <w:sz w:val="22"/>
          <w:szCs w:val="22"/>
        </w:rPr>
      </w:pPr>
    </w:p>
    <w:p w14:paraId="7B52BD61" w14:textId="77777777" w:rsidR="00C53D76" w:rsidRDefault="0028726C" w:rsidP="000D05A3">
      <w:pPr>
        <w:pStyle w:val="Ttulo4"/>
      </w:pPr>
      <w:bookmarkStart w:id="783" w:name="_Ref132198575"/>
      <w:r w:rsidRPr="0028726C">
        <w:t>ANDEG</w:t>
      </w:r>
      <w:bookmarkEnd w:id="783"/>
      <w:r w:rsidRPr="0028726C">
        <w:tab/>
      </w:r>
    </w:p>
    <w:p w14:paraId="4F087C60" w14:textId="32786118" w:rsidR="0028726C" w:rsidRPr="00772183" w:rsidRDefault="004131A9" w:rsidP="0028726C">
      <w:pPr>
        <w:rPr>
          <w:rFonts w:cs="Arial"/>
          <w:i/>
          <w:iCs/>
          <w:sz w:val="22"/>
          <w:szCs w:val="22"/>
        </w:rPr>
      </w:pPr>
      <w:r>
        <w:rPr>
          <w:rFonts w:cs="Arial"/>
          <w:i/>
          <w:iCs/>
          <w:sz w:val="22"/>
          <w:szCs w:val="22"/>
        </w:rPr>
        <w:t>“</w:t>
      </w:r>
      <w:r w:rsidR="0028726C" w:rsidRPr="00772183">
        <w:rPr>
          <w:rFonts w:cs="Arial"/>
          <w:i/>
          <w:iCs/>
          <w:sz w:val="22"/>
          <w:szCs w:val="22"/>
        </w:rPr>
        <w:t>Insistimos en la importancia de asegurar la realización del balance por parte del Gestor de Gas, una vez conocida la información de la próxima declaración de oferta por parte de los productores-comercializadores.</w:t>
      </w:r>
      <w:r>
        <w:rPr>
          <w:rFonts w:cs="Arial"/>
          <w:i/>
          <w:iCs/>
          <w:sz w:val="22"/>
          <w:szCs w:val="22"/>
        </w:rPr>
        <w:t>”</w:t>
      </w:r>
    </w:p>
    <w:p w14:paraId="38F256F9" w14:textId="77777777" w:rsidR="00772183" w:rsidRDefault="00772183" w:rsidP="0028726C">
      <w:pPr>
        <w:rPr>
          <w:rFonts w:cs="Arial"/>
          <w:sz w:val="22"/>
          <w:szCs w:val="22"/>
        </w:rPr>
      </w:pPr>
    </w:p>
    <w:p w14:paraId="16CDA36E" w14:textId="44EC7A99" w:rsidR="00772183" w:rsidRPr="00772183" w:rsidRDefault="00772183" w:rsidP="0028726C">
      <w:pPr>
        <w:rPr>
          <w:rFonts w:cs="Arial"/>
          <w:b/>
          <w:bCs/>
          <w:sz w:val="22"/>
          <w:szCs w:val="22"/>
        </w:rPr>
      </w:pPr>
      <w:r w:rsidRPr="00772183">
        <w:rPr>
          <w:rFonts w:cs="Arial"/>
          <w:b/>
          <w:bCs/>
          <w:sz w:val="22"/>
          <w:szCs w:val="22"/>
        </w:rPr>
        <w:t>Respuesta:</w:t>
      </w:r>
    </w:p>
    <w:p w14:paraId="0194C834" w14:textId="77777777" w:rsidR="00772183" w:rsidRDefault="00772183" w:rsidP="0028726C">
      <w:pPr>
        <w:rPr>
          <w:rFonts w:cs="Arial"/>
          <w:sz w:val="22"/>
          <w:szCs w:val="22"/>
        </w:rPr>
      </w:pPr>
    </w:p>
    <w:p w14:paraId="476F5034" w14:textId="613572B2" w:rsidR="00772183" w:rsidRDefault="00772183" w:rsidP="0028726C">
      <w:pPr>
        <w:rPr>
          <w:rFonts w:cs="Arial"/>
          <w:sz w:val="22"/>
          <w:szCs w:val="22"/>
        </w:rPr>
      </w:pPr>
      <w:r>
        <w:rPr>
          <w:rFonts w:cs="Arial"/>
          <w:sz w:val="22"/>
          <w:szCs w:val="22"/>
        </w:rPr>
        <w:t xml:space="preserve">El balance comercial se repite en cada trimestre de negociación, para lo cual se requiere a los productores-comercializadores y comercializadores de gas importado sus declaraciones de PTDVF y/o CIDVF. Es de tener en cuenta que los productores-comercializadores </w:t>
      </w:r>
      <w:r w:rsidR="00D64641">
        <w:rPr>
          <w:rFonts w:cs="Arial"/>
          <w:sz w:val="22"/>
          <w:szCs w:val="22"/>
        </w:rPr>
        <w:t>pueden actualizar sus declaraciones de producción sin que sea únicamente e</w:t>
      </w:r>
      <w:r w:rsidR="004B3968">
        <w:rPr>
          <w:rFonts w:cs="Arial"/>
          <w:sz w:val="22"/>
          <w:szCs w:val="22"/>
        </w:rPr>
        <w:t>l 31 de</w:t>
      </w:r>
      <w:r w:rsidR="00D64641">
        <w:rPr>
          <w:rFonts w:cs="Arial"/>
          <w:sz w:val="22"/>
          <w:szCs w:val="22"/>
        </w:rPr>
        <w:t xml:space="preserve"> marzo de cada año, según se establece en el Artículo 2.2.2.2.22 del Decreto 1073 de 2015 que se transcribe a continuación:</w:t>
      </w:r>
    </w:p>
    <w:p w14:paraId="350E04D7" w14:textId="77777777" w:rsidR="00D64641" w:rsidRDefault="00D64641" w:rsidP="0028726C">
      <w:pPr>
        <w:rPr>
          <w:rFonts w:cs="Arial"/>
          <w:sz w:val="22"/>
          <w:szCs w:val="22"/>
        </w:rPr>
      </w:pPr>
    </w:p>
    <w:p w14:paraId="2695B766" w14:textId="0FDFCC26" w:rsidR="00D64641" w:rsidRPr="0028726C" w:rsidRDefault="00D64641" w:rsidP="00D64641">
      <w:pPr>
        <w:ind w:left="576"/>
        <w:rPr>
          <w:rFonts w:cs="Arial"/>
          <w:sz w:val="22"/>
          <w:szCs w:val="22"/>
        </w:rPr>
      </w:pPr>
      <w:r>
        <w:rPr>
          <w:rFonts w:cs="Arial"/>
          <w:sz w:val="22"/>
          <w:szCs w:val="22"/>
        </w:rPr>
        <w:t>“</w:t>
      </w:r>
      <w:r w:rsidRPr="00D64641">
        <w:rPr>
          <w:rFonts w:cs="Arial"/>
          <w:i/>
          <w:iCs/>
          <w:sz w:val="22"/>
          <w:szCs w:val="22"/>
        </w:rPr>
        <w:t xml:space="preserve">ARTÍCULO 2.2.2.2.22. Actualización de la declaración de producción. Todos los productores, los productores-comercializadores de gas natural y los comercializadores de gas importado obligados a declarar conforme a lo previsto en el presente Decreto, </w:t>
      </w:r>
      <w:r w:rsidRPr="00D64641">
        <w:rPr>
          <w:rFonts w:cs="Arial"/>
          <w:b/>
          <w:bCs/>
          <w:i/>
          <w:iCs/>
          <w:sz w:val="22"/>
          <w:szCs w:val="22"/>
          <w:u w:val="single"/>
        </w:rPr>
        <w:t>deberán actualizar su declaración exponiendo y documentando las razones que la justifican, por variación en la información disponible al momento de la declaración y/o inmediatamente se surta un procedimiento de comercialización</w:t>
      </w:r>
      <w:r w:rsidRPr="00D64641">
        <w:rPr>
          <w:rFonts w:cs="Arial"/>
          <w:i/>
          <w:iCs/>
          <w:sz w:val="22"/>
          <w:szCs w:val="22"/>
        </w:rPr>
        <w:t>, conforme a lo previsto en este Decreto</w:t>
      </w:r>
      <w:r w:rsidRPr="00D64641">
        <w:rPr>
          <w:rFonts w:cs="Arial"/>
          <w:sz w:val="22"/>
          <w:szCs w:val="22"/>
        </w:rPr>
        <w:t>.</w:t>
      </w:r>
      <w:r>
        <w:rPr>
          <w:rFonts w:cs="Arial"/>
          <w:sz w:val="22"/>
          <w:szCs w:val="22"/>
        </w:rPr>
        <w:t>” (subrayado con resaltado fuera de texto)</w:t>
      </w:r>
    </w:p>
    <w:p w14:paraId="75D75786" w14:textId="77777777" w:rsidR="00C53D76" w:rsidRDefault="00C53D76" w:rsidP="0028726C">
      <w:pPr>
        <w:rPr>
          <w:rFonts w:cs="Arial"/>
          <w:sz w:val="22"/>
          <w:szCs w:val="22"/>
        </w:rPr>
      </w:pPr>
    </w:p>
    <w:p w14:paraId="474E7BE2" w14:textId="77777777" w:rsidR="00C53D76" w:rsidRDefault="00C53D76" w:rsidP="0028726C">
      <w:pPr>
        <w:rPr>
          <w:rFonts w:cs="Arial"/>
          <w:sz w:val="22"/>
          <w:szCs w:val="22"/>
        </w:rPr>
      </w:pPr>
    </w:p>
    <w:p w14:paraId="1D3C97AA" w14:textId="77777777" w:rsidR="00C53D76" w:rsidRDefault="0028726C" w:rsidP="0090195C">
      <w:pPr>
        <w:pStyle w:val="Ttulo2"/>
      </w:pPr>
      <w:bookmarkStart w:id="784" w:name="_Toc140506429"/>
      <w:r w:rsidRPr="0028726C">
        <w:t>ANDESCO</w:t>
      </w:r>
      <w:bookmarkEnd w:id="784"/>
      <w:r w:rsidRPr="0028726C">
        <w:tab/>
      </w:r>
    </w:p>
    <w:p w14:paraId="517EA243" w14:textId="77777777" w:rsidR="00002A82" w:rsidRDefault="00002A82" w:rsidP="000D05A3">
      <w:pPr>
        <w:pStyle w:val="Ttulo4"/>
      </w:pPr>
      <w:bookmarkStart w:id="785" w:name="_Ref132621441"/>
      <w:r w:rsidRPr="0028726C">
        <w:t>ANDESCO</w:t>
      </w:r>
      <w:bookmarkEnd w:id="785"/>
      <w:r w:rsidRPr="0028726C">
        <w:tab/>
      </w:r>
    </w:p>
    <w:p w14:paraId="694E9915" w14:textId="7DCEFF06" w:rsidR="0028726C" w:rsidRDefault="0028726C" w:rsidP="0028726C">
      <w:pPr>
        <w:rPr>
          <w:rFonts w:cs="Arial"/>
          <w:sz w:val="22"/>
          <w:szCs w:val="22"/>
        </w:rPr>
      </w:pPr>
      <w:r w:rsidRPr="0028726C">
        <w:rPr>
          <w:rFonts w:cs="Arial"/>
          <w:sz w:val="22"/>
          <w:szCs w:val="22"/>
        </w:rPr>
        <w:t>"</w:t>
      </w:r>
      <w:r w:rsidRPr="009C55F5">
        <w:rPr>
          <w:rFonts w:cs="Arial"/>
          <w:i/>
          <w:iCs/>
          <w:sz w:val="22"/>
          <w:szCs w:val="22"/>
        </w:rPr>
        <w:t>Vemos relevante las señales económicas a largo plazo, por lo tanto, consideramos que una acotación a máximo 40 trimestres estándar para prórroga de los contratos de suministro podría ir en contravía de este objetivo. Lo anterior, teniendo en cuenta que, por ejemplo, para el desarrollo de proyectos costa afuera que podrían requerir infraestructura para GNL, se necesitarían este tipo de señales para su inversión</w:t>
      </w:r>
      <w:r w:rsidRPr="0028726C">
        <w:rPr>
          <w:rFonts w:cs="Arial"/>
          <w:sz w:val="22"/>
          <w:szCs w:val="22"/>
        </w:rPr>
        <w:t>."</w:t>
      </w:r>
    </w:p>
    <w:p w14:paraId="2892C933" w14:textId="77777777" w:rsidR="009C55F5" w:rsidRDefault="009C55F5" w:rsidP="0028726C">
      <w:pPr>
        <w:rPr>
          <w:rFonts w:cs="Arial"/>
          <w:sz w:val="22"/>
          <w:szCs w:val="22"/>
        </w:rPr>
      </w:pPr>
    </w:p>
    <w:p w14:paraId="28875121" w14:textId="7927852C" w:rsidR="009C55F5" w:rsidRPr="009C55F5" w:rsidRDefault="009C55F5" w:rsidP="0028726C">
      <w:pPr>
        <w:rPr>
          <w:rFonts w:cs="Arial"/>
          <w:b/>
          <w:bCs/>
          <w:sz w:val="22"/>
          <w:szCs w:val="22"/>
        </w:rPr>
      </w:pPr>
      <w:r w:rsidRPr="009C55F5">
        <w:rPr>
          <w:rFonts w:cs="Arial"/>
          <w:b/>
          <w:bCs/>
          <w:sz w:val="22"/>
          <w:szCs w:val="22"/>
        </w:rPr>
        <w:t>Respuesta:</w:t>
      </w:r>
    </w:p>
    <w:p w14:paraId="5ECD2CB5" w14:textId="77777777" w:rsidR="009C55F5" w:rsidRDefault="009C55F5" w:rsidP="0028726C">
      <w:pPr>
        <w:rPr>
          <w:rFonts w:cs="Arial"/>
          <w:sz w:val="22"/>
          <w:szCs w:val="22"/>
        </w:rPr>
      </w:pPr>
    </w:p>
    <w:p w14:paraId="65B5B875" w14:textId="50CDCAA1" w:rsidR="00722A7E" w:rsidRDefault="00722A7E" w:rsidP="0028726C">
      <w:pPr>
        <w:rPr>
          <w:rFonts w:cs="Arial"/>
          <w:sz w:val="22"/>
          <w:szCs w:val="22"/>
        </w:rPr>
      </w:pPr>
      <w:r>
        <w:rPr>
          <w:rFonts w:cs="Arial"/>
          <w:sz w:val="22"/>
          <w:szCs w:val="22"/>
        </w:rPr>
        <w:t>Se acoge el comentario.</w:t>
      </w:r>
    </w:p>
    <w:p w14:paraId="4593C3DD" w14:textId="77777777" w:rsidR="00722A7E" w:rsidRDefault="00722A7E" w:rsidP="0028726C">
      <w:pPr>
        <w:rPr>
          <w:rFonts w:cs="Arial"/>
          <w:sz w:val="22"/>
          <w:szCs w:val="22"/>
        </w:rPr>
      </w:pPr>
    </w:p>
    <w:p w14:paraId="26718007" w14:textId="1D8E26CB" w:rsidR="009C55F5" w:rsidRPr="0028726C" w:rsidRDefault="000119A8" w:rsidP="0028726C">
      <w:pPr>
        <w:rPr>
          <w:rFonts w:cs="Arial"/>
          <w:sz w:val="22"/>
          <w:szCs w:val="22"/>
        </w:rPr>
      </w:pPr>
      <w:r>
        <w:rPr>
          <w:rFonts w:cs="Arial"/>
          <w:sz w:val="22"/>
          <w:szCs w:val="22"/>
        </w:rPr>
        <w:t xml:space="preserve">Ver respuesta a </w:t>
      </w:r>
      <w:r w:rsidR="00722A7E">
        <w:rPr>
          <w:rFonts w:cs="Arial"/>
          <w:sz w:val="22"/>
          <w:szCs w:val="22"/>
        </w:rPr>
        <w:fldChar w:fldCharType="begin"/>
      </w:r>
      <w:r w:rsidR="00722A7E">
        <w:rPr>
          <w:rFonts w:cs="Arial"/>
          <w:sz w:val="22"/>
          <w:szCs w:val="22"/>
        </w:rPr>
        <w:instrText xml:space="preserve"> REF _Ref130564650 \r \h </w:instrText>
      </w:r>
      <w:r w:rsidR="00722A7E">
        <w:rPr>
          <w:rFonts w:cs="Arial"/>
          <w:sz w:val="22"/>
          <w:szCs w:val="22"/>
        </w:rPr>
      </w:r>
      <w:r w:rsidR="00722A7E">
        <w:rPr>
          <w:rFonts w:cs="Arial"/>
          <w:sz w:val="22"/>
          <w:szCs w:val="22"/>
        </w:rPr>
        <w:fldChar w:fldCharType="separate"/>
      </w:r>
      <w:r w:rsidR="007651EA">
        <w:rPr>
          <w:rFonts w:cs="Arial"/>
          <w:sz w:val="22"/>
          <w:szCs w:val="22"/>
        </w:rPr>
        <w:t>1.6.1.1</w:t>
      </w:r>
      <w:r w:rsidR="00722A7E">
        <w:rPr>
          <w:rFonts w:cs="Arial"/>
          <w:sz w:val="22"/>
          <w:szCs w:val="22"/>
        </w:rPr>
        <w:fldChar w:fldCharType="end"/>
      </w:r>
      <w:r w:rsidR="00722A7E">
        <w:rPr>
          <w:rFonts w:cs="Arial"/>
          <w:sz w:val="22"/>
          <w:szCs w:val="22"/>
        </w:rPr>
        <w:t>.</w:t>
      </w:r>
    </w:p>
    <w:p w14:paraId="58467B3E" w14:textId="77777777" w:rsidR="00C53D76" w:rsidRDefault="00C53D76" w:rsidP="0028726C">
      <w:pPr>
        <w:rPr>
          <w:rFonts w:cs="Arial"/>
          <w:sz w:val="22"/>
          <w:szCs w:val="22"/>
        </w:rPr>
      </w:pPr>
    </w:p>
    <w:p w14:paraId="5C5ADDA6" w14:textId="77777777" w:rsidR="00C53D76" w:rsidRDefault="00C53D76" w:rsidP="0028726C">
      <w:pPr>
        <w:rPr>
          <w:rFonts w:cs="Arial"/>
          <w:sz w:val="22"/>
          <w:szCs w:val="22"/>
        </w:rPr>
      </w:pPr>
    </w:p>
    <w:p w14:paraId="0F5EB789" w14:textId="77777777" w:rsidR="00C53D76" w:rsidRDefault="0028726C" w:rsidP="000D05A3">
      <w:pPr>
        <w:pStyle w:val="Ttulo4"/>
      </w:pPr>
      <w:bookmarkStart w:id="786" w:name="_Ref132123018"/>
      <w:r w:rsidRPr="0028726C">
        <w:t>ANDESCO</w:t>
      </w:r>
      <w:bookmarkEnd w:id="786"/>
      <w:r w:rsidRPr="0028726C">
        <w:tab/>
      </w:r>
    </w:p>
    <w:p w14:paraId="0753AB66" w14:textId="79EF3F47" w:rsidR="0028726C" w:rsidRPr="00722A7E" w:rsidRDefault="00BA0BA3" w:rsidP="0028726C">
      <w:pPr>
        <w:rPr>
          <w:rFonts w:cs="Arial"/>
          <w:i/>
          <w:iCs/>
          <w:sz w:val="22"/>
          <w:szCs w:val="22"/>
        </w:rPr>
      </w:pPr>
      <w:r>
        <w:rPr>
          <w:rFonts w:cs="Arial"/>
          <w:i/>
          <w:iCs/>
          <w:sz w:val="22"/>
          <w:szCs w:val="22"/>
        </w:rPr>
        <w:t>“</w:t>
      </w:r>
      <w:r w:rsidR="0028726C" w:rsidRPr="00722A7E">
        <w:rPr>
          <w:rFonts w:cs="Arial"/>
          <w:i/>
          <w:iCs/>
          <w:sz w:val="22"/>
          <w:szCs w:val="22"/>
        </w:rPr>
        <w:t>Adicionalmente, vemos con preocupación el Mecanismo de Aseguramiento de la Demanda Esencial de comercialización en situaciones de potencial escasez, principalmente por la ausencia de una señal de precio asociada a dicho mecanismo. En ausencia de dicha señal de precio, no es claro que las solicitudes de cantidades de los agentes al productor sean vinculantes. La ausencia de señales de precios puede llevar a los agentes a realizar subastas innecesarias; por lo tanto, vemos pertinente modificar el diseño de este mecanismo como una herramienta efectiva de asignación en situación de escasez, para lo cual sugerimos evaluar, por ejemplo, una asignación a prorrata de las cantidades y un precio regulado para la demanda esencial.</w:t>
      </w:r>
      <w:r w:rsidR="00B45B95">
        <w:rPr>
          <w:rFonts w:cs="Arial"/>
          <w:i/>
          <w:iCs/>
          <w:sz w:val="22"/>
          <w:szCs w:val="22"/>
        </w:rPr>
        <w:t>”</w:t>
      </w:r>
    </w:p>
    <w:p w14:paraId="4C92F448" w14:textId="77777777" w:rsidR="00722A7E" w:rsidRDefault="00722A7E" w:rsidP="0028726C">
      <w:pPr>
        <w:rPr>
          <w:rFonts w:cs="Arial"/>
          <w:sz w:val="22"/>
          <w:szCs w:val="22"/>
        </w:rPr>
      </w:pPr>
    </w:p>
    <w:p w14:paraId="2115F591" w14:textId="7475C72D" w:rsidR="00722A7E" w:rsidRPr="00722A7E" w:rsidRDefault="00722A7E" w:rsidP="0028726C">
      <w:pPr>
        <w:rPr>
          <w:rFonts w:cs="Arial"/>
          <w:b/>
          <w:bCs/>
          <w:sz w:val="22"/>
          <w:szCs w:val="22"/>
        </w:rPr>
      </w:pPr>
      <w:r w:rsidRPr="00722A7E">
        <w:rPr>
          <w:rFonts w:cs="Arial"/>
          <w:b/>
          <w:bCs/>
          <w:sz w:val="22"/>
          <w:szCs w:val="22"/>
        </w:rPr>
        <w:t>Respuesta:</w:t>
      </w:r>
    </w:p>
    <w:p w14:paraId="3A3A16C0" w14:textId="77777777" w:rsidR="00722A7E" w:rsidRDefault="00722A7E" w:rsidP="0028726C">
      <w:pPr>
        <w:rPr>
          <w:rFonts w:cs="Arial"/>
          <w:sz w:val="22"/>
          <w:szCs w:val="22"/>
        </w:rPr>
      </w:pPr>
    </w:p>
    <w:p w14:paraId="29316CFD" w14:textId="4A7628FD" w:rsidR="00722A7E" w:rsidRDefault="00722A7E" w:rsidP="0028726C">
      <w:pPr>
        <w:rPr>
          <w:rFonts w:cs="Arial"/>
          <w:sz w:val="22"/>
          <w:szCs w:val="22"/>
        </w:rPr>
      </w:pPr>
      <w:r>
        <w:rPr>
          <w:rFonts w:cs="Arial"/>
          <w:sz w:val="22"/>
          <w:szCs w:val="22"/>
        </w:rPr>
        <w:t>No se acoge el comentario.</w:t>
      </w:r>
    </w:p>
    <w:p w14:paraId="0E2EF9AB" w14:textId="0A26E6FE" w:rsidR="00722A7E" w:rsidRDefault="00722A7E" w:rsidP="0028726C">
      <w:pPr>
        <w:rPr>
          <w:rFonts w:cs="Arial"/>
          <w:sz w:val="22"/>
          <w:szCs w:val="22"/>
        </w:rPr>
      </w:pPr>
    </w:p>
    <w:p w14:paraId="5188B18A" w14:textId="620069FF" w:rsidR="00722A7E" w:rsidRPr="0028726C" w:rsidRDefault="00722A7E"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_Ref132117030 \r \h </w:instrText>
      </w:r>
      <w:r>
        <w:rPr>
          <w:rFonts w:cs="Arial"/>
          <w:sz w:val="22"/>
          <w:szCs w:val="22"/>
        </w:rPr>
      </w:r>
      <w:r>
        <w:rPr>
          <w:rFonts w:cs="Arial"/>
          <w:sz w:val="22"/>
          <w:szCs w:val="22"/>
        </w:rPr>
        <w:fldChar w:fldCharType="separate"/>
      </w:r>
      <w:r w:rsidR="007651EA">
        <w:rPr>
          <w:rFonts w:cs="Arial"/>
          <w:sz w:val="22"/>
          <w:szCs w:val="22"/>
        </w:rPr>
        <w:t>19.3.1.2</w:t>
      </w:r>
      <w:r>
        <w:rPr>
          <w:rFonts w:cs="Arial"/>
          <w:sz w:val="22"/>
          <w:szCs w:val="22"/>
        </w:rPr>
        <w:fldChar w:fldCharType="end"/>
      </w:r>
      <w:r>
        <w:rPr>
          <w:rFonts w:cs="Arial"/>
          <w:sz w:val="22"/>
          <w:szCs w:val="22"/>
        </w:rPr>
        <w:t>.</w:t>
      </w:r>
    </w:p>
    <w:p w14:paraId="6DD07022" w14:textId="77777777" w:rsidR="00C53D76" w:rsidRDefault="00C53D76" w:rsidP="0028726C">
      <w:pPr>
        <w:rPr>
          <w:rFonts w:cs="Arial"/>
          <w:sz w:val="22"/>
          <w:szCs w:val="22"/>
        </w:rPr>
      </w:pPr>
    </w:p>
    <w:p w14:paraId="47D9CC95" w14:textId="77777777" w:rsidR="00C53D76" w:rsidRDefault="00C53D76" w:rsidP="0028726C">
      <w:pPr>
        <w:rPr>
          <w:rFonts w:cs="Arial"/>
          <w:sz w:val="22"/>
          <w:szCs w:val="22"/>
        </w:rPr>
      </w:pPr>
    </w:p>
    <w:p w14:paraId="19220252" w14:textId="77777777" w:rsidR="00C53D76" w:rsidRDefault="0028726C" w:rsidP="0090195C">
      <w:pPr>
        <w:pStyle w:val="Ttulo2"/>
      </w:pPr>
      <w:bookmarkStart w:id="787" w:name="_Toc140506430"/>
      <w:r w:rsidRPr="0028726C">
        <w:t>ANDI</w:t>
      </w:r>
      <w:bookmarkEnd w:id="787"/>
      <w:r w:rsidRPr="0028726C">
        <w:tab/>
      </w:r>
    </w:p>
    <w:p w14:paraId="03D5A2A0" w14:textId="77777777" w:rsidR="00002A82" w:rsidRDefault="00002A82" w:rsidP="000D05A3">
      <w:pPr>
        <w:pStyle w:val="Ttulo4"/>
      </w:pPr>
      <w:r w:rsidRPr="0028726C">
        <w:t>ANDI</w:t>
      </w:r>
      <w:r w:rsidRPr="0028726C">
        <w:tab/>
      </w:r>
    </w:p>
    <w:p w14:paraId="2FE329B1" w14:textId="36AC4BA8" w:rsidR="0028726C" w:rsidRPr="00722A7E" w:rsidRDefault="00B45B95" w:rsidP="0028726C">
      <w:pPr>
        <w:rPr>
          <w:rFonts w:cs="Arial"/>
          <w:i/>
          <w:iCs/>
          <w:sz w:val="22"/>
          <w:szCs w:val="22"/>
        </w:rPr>
      </w:pPr>
      <w:r>
        <w:rPr>
          <w:rFonts w:cs="Arial"/>
          <w:i/>
          <w:iCs/>
          <w:sz w:val="22"/>
          <w:szCs w:val="22"/>
        </w:rPr>
        <w:t>“</w:t>
      </w:r>
      <w:r w:rsidR="0028726C" w:rsidRPr="00722A7E">
        <w:rPr>
          <w:rFonts w:cs="Arial"/>
          <w:i/>
          <w:iCs/>
          <w:sz w:val="22"/>
          <w:szCs w:val="22"/>
        </w:rPr>
        <w:t>Mecanismo de aseguramiento de la demanda esencial, MADE. Consideramos que la prórroga hasta por 10 años de los contratos exclusivamente de la demanda esencial y/o de la demanda termoeléctrica, genera discriminación con respecto a la demanda industrial. Para recordar, el gas natural representa el 29% de la canasta energética del sector industrial, la cual no tiene alternativas para abastecer sus necesidades de energía térmica, cumpliendo los compromisos de Gobierno Nacional con la comunidad internacional.</w:t>
      </w:r>
      <w:r>
        <w:rPr>
          <w:rFonts w:cs="Arial"/>
          <w:i/>
          <w:iCs/>
          <w:sz w:val="22"/>
          <w:szCs w:val="22"/>
        </w:rPr>
        <w:t>”</w:t>
      </w:r>
    </w:p>
    <w:p w14:paraId="4B918D37" w14:textId="77777777" w:rsidR="00722A7E" w:rsidRDefault="00722A7E" w:rsidP="0028726C">
      <w:pPr>
        <w:rPr>
          <w:rFonts w:cs="Arial"/>
          <w:sz w:val="22"/>
          <w:szCs w:val="22"/>
        </w:rPr>
      </w:pPr>
    </w:p>
    <w:p w14:paraId="13AE36CA" w14:textId="711CDA1D" w:rsidR="00722A7E" w:rsidRPr="00722A7E" w:rsidRDefault="00722A7E" w:rsidP="0028726C">
      <w:pPr>
        <w:rPr>
          <w:rFonts w:cs="Arial"/>
          <w:b/>
          <w:bCs/>
          <w:sz w:val="22"/>
          <w:szCs w:val="22"/>
        </w:rPr>
      </w:pPr>
      <w:r w:rsidRPr="00722A7E">
        <w:rPr>
          <w:rFonts w:cs="Arial"/>
          <w:b/>
          <w:bCs/>
          <w:sz w:val="22"/>
          <w:szCs w:val="22"/>
        </w:rPr>
        <w:t>Respuesta:</w:t>
      </w:r>
    </w:p>
    <w:p w14:paraId="43846469" w14:textId="77777777" w:rsidR="00722A7E" w:rsidRDefault="00722A7E" w:rsidP="0028726C">
      <w:pPr>
        <w:rPr>
          <w:rFonts w:cs="Arial"/>
          <w:sz w:val="22"/>
          <w:szCs w:val="22"/>
        </w:rPr>
      </w:pPr>
    </w:p>
    <w:p w14:paraId="10033404" w14:textId="441533EE" w:rsidR="00722A7E" w:rsidRDefault="00722A7E" w:rsidP="0028726C">
      <w:pPr>
        <w:rPr>
          <w:rFonts w:cs="Arial"/>
          <w:sz w:val="22"/>
          <w:szCs w:val="22"/>
        </w:rPr>
      </w:pPr>
      <w:r>
        <w:rPr>
          <w:rFonts w:cs="Arial"/>
          <w:sz w:val="22"/>
          <w:szCs w:val="22"/>
        </w:rPr>
        <w:t>Se acoge el comentario.</w:t>
      </w:r>
    </w:p>
    <w:p w14:paraId="594B873F" w14:textId="77777777" w:rsidR="00722A7E" w:rsidRDefault="00722A7E" w:rsidP="0028726C">
      <w:pPr>
        <w:rPr>
          <w:rFonts w:cs="Arial"/>
          <w:sz w:val="22"/>
          <w:szCs w:val="22"/>
        </w:rPr>
      </w:pPr>
    </w:p>
    <w:p w14:paraId="6E322B41" w14:textId="2AFCB74D" w:rsidR="00722A7E" w:rsidRPr="0028726C" w:rsidRDefault="00722A7E" w:rsidP="00722A7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_Ref130564650 \r \h </w:instrText>
      </w:r>
      <w:r>
        <w:rPr>
          <w:rFonts w:cs="Arial"/>
          <w:sz w:val="22"/>
          <w:szCs w:val="22"/>
        </w:rPr>
      </w:r>
      <w:r>
        <w:rPr>
          <w:rFonts w:cs="Arial"/>
          <w:sz w:val="22"/>
          <w:szCs w:val="22"/>
        </w:rPr>
        <w:fldChar w:fldCharType="separate"/>
      </w:r>
      <w:r w:rsidR="007651EA">
        <w:rPr>
          <w:rFonts w:cs="Arial"/>
          <w:sz w:val="22"/>
          <w:szCs w:val="22"/>
        </w:rPr>
        <w:t>1.6.1.1</w:t>
      </w:r>
      <w:r>
        <w:rPr>
          <w:rFonts w:cs="Arial"/>
          <w:sz w:val="22"/>
          <w:szCs w:val="22"/>
        </w:rPr>
        <w:fldChar w:fldCharType="end"/>
      </w:r>
      <w:r>
        <w:rPr>
          <w:rFonts w:cs="Arial"/>
          <w:sz w:val="22"/>
          <w:szCs w:val="22"/>
        </w:rPr>
        <w:t>.</w:t>
      </w:r>
    </w:p>
    <w:p w14:paraId="7F7EAB02" w14:textId="77777777" w:rsidR="00C53D76" w:rsidRDefault="00C53D76" w:rsidP="0028726C">
      <w:pPr>
        <w:rPr>
          <w:rFonts w:cs="Arial"/>
          <w:sz w:val="22"/>
          <w:szCs w:val="22"/>
        </w:rPr>
      </w:pPr>
    </w:p>
    <w:p w14:paraId="1A796CCC" w14:textId="77777777" w:rsidR="00C53D76" w:rsidRDefault="00C53D76" w:rsidP="0028726C">
      <w:pPr>
        <w:rPr>
          <w:rFonts w:cs="Arial"/>
          <w:sz w:val="22"/>
          <w:szCs w:val="22"/>
        </w:rPr>
      </w:pPr>
    </w:p>
    <w:p w14:paraId="6CA61590" w14:textId="77777777" w:rsidR="00C53D76" w:rsidRDefault="0028726C" w:rsidP="0090195C">
      <w:pPr>
        <w:pStyle w:val="Ttulo2"/>
      </w:pPr>
      <w:bookmarkStart w:id="788" w:name="_Toc140506431"/>
      <w:r w:rsidRPr="0028726C">
        <w:t>ASOENERGIA</w:t>
      </w:r>
      <w:bookmarkEnd w:id="788"/>
      <w:r w:rsidRPr="0028726C">
        <w:tab/>
      </w:r>
    </w:p>
    <w:p w14:paraId="68D6C62F" w14:textId="77777777" w:rsidR="00002A82" w:rsidRDefault="00002A82" w:rsidP="000D05A3">
      <w:pPr>
        <w:pStyle w:val="Ttulo4"/>
      </w:pPr>
      <w:bookmarkStart w:id="789" w:name="_Ref132188238"/>
      <w:r w:rsidRPr="0028726C">
        <w:t>ASOENERGIA</w:t>
      </w:r>
      <w:bookmarkEnd w:id="789"/>
      <w:r w:rsidRPr="0028726C">
        <w:tab/>
      </w:r>
    </w:p>
    <w:p w14:paraId="38C349A3" w14:textId="72F4C5C2" w:rsidR="0028726C" w:rsidRPr="00722A7E" w:rsidRDefault="005F0026" w:rsidP="0028726C">
      <w:pPr>
        <w:rPr>
          <w:rFonts w:cs="Arial"/>
          <w:i/>
          <w:iCs/>
          <w:sz w:val="22"/>
          <w:szCs w:val="22"/>
        </w:rPr>
      </w:pPr>
      <w:r>
        <w:rPr>
          <w:rFonts w:cs="Arial"/>
          <w:i/>
          <w:iCs/>
          <w:sz w:val="22"/>
          <w:szCs w:val="22"/>
        </w:rPr>
        <w:t>“</w:t>
      </w:r>
      <w:r w:rsidR="0028726C" w:rsidRPr="00722A7E">
        <w:rPr>
          <w:rFonts w:cs="Arial"/>
          <w:i/>
          <w:iCs/>
          <w:sz w:val="22"/>
          <w:szCs w:val="22"/>
        </w:rPr>
        <w:t xml:space="preserve">Consideramos totalmente inconveniente la intervención del </w:t>
      </w:r>
      <w:r w:rsidR="005114C6">
        <w:rPr>
          <w:rFonts w:cs="Arial"/>
          <w:i/>
          <w:iCs/>
          <w:sz w:val="22"/>
          <w:szCs w:val="22"/>
        </w:rPr>
        <w:t>Gestor del Mercado</w:t>
      </w:r>
      <w:r w:rsidR="0028726C" w:rsidRPr="00722A7E">
        <w:rPr>
          <w:rFonts w:cs="Arial"/>
          <w:i/>
          <w:iCs/>
          <w:sz w:val="22"/>
          <w:szCs w:val="22"/>
        </w:rPr>
        <w:t xml:space="preserve"> para realizar balances comerciales y, en ese sentido, el procedimiento del Mecanismo de Aseguramiento de la Demanda Esencial propuesta para la contratación del gas en firme. Lo anterior, dado que dicho procedimiento está incentivando a una escasez ficticia y, por ende, a la realización de subastas que conllevan a incrementos en los precios del suministro de gas natural. Además, teniendo en cuenta que de por sí el mecanismo planteado es ya una propuesta para regular la escasez. En este caso, la propuesta de que el productor, en primera instancia, desagregue la disponibilidad del gas natural por modalidad contractual y por tipo de gas natural puede conllevar a que dicha disponibilidad sea repartida en modalidades contractuales o tipos de gas diferentes a las necesidades de la demanda puede conllevar a un balance deficitario ficticio. Es necesario evitar cualquier tipo de situación de escasez, sobre todo ficticia, y lo anterior solo se puede realizar dándole la oportunidad y la confianza a los mismos participantes del Mercado Primario para que la gestionen y la resuelvan en una primera instancia y no a través de mecanismos rígidos e intervencionistas, con apariencia de transparentes, que terminan siendo, al final, en un obstáculo para el desarrollo de un mercado eficiente.</w:t>
      </w:r>
      <w:r>
        <w:rPr>
          <w:rFonts w:cs="Arial"/>
          <w:i/>
          <w:iCs/>
          <w:sz w:val="22"/>
          <w:szCs w:val="22"/>
        </w:rPr>
        <w:t>”</w:t>
      </w:r>
      <w:r w:rsidR="0028726C" w:rsidRPr="00722A7E">
        <w:rPr>
          <w:rFonts w:cs="Arial"/>
          <w:i/>
          <w:iCs/>
          <w:sz w:val="22"/>
          <w:szCs w:val="22"/>
        </w:rPr>
        <w:t xml:space="preserve"> </w:t>
      </w:r>
    </w:p>
    <w:p w14:paraId="1696CAA1" w14:textId="77777777" w:rsidR="00722A7E" w:rsidRDefault="00722A7E" w:rsidP="0028726C">
      <w:pPr>
        <w:rPr>
          <w:rFonts w:cs="Arial"/>
          <w:sz w:val="22"/>
          <w:szCs w:val="22"/>
        </w:rPr>
      </w:pPr>
    </w:p>
    <w:p w14:paraId="35372D39" w14:textId="7C6AA65B" w:rsidR="00722A7E" w:rsidRPr="00722A7E" w:rsidRDefault="00722A7E" w:rsidP="0028726C">
      <w:pPr>
        <w:rPr>
          <w:rFonts w:cs="Arial"/>
          <w:b/>
          <w:bCs/>
          <w:sz w:val="22"/>
          <w:szCs w:val="22"/>
        </w:rPr>
      </w:pPr>
      <w:r w:rsidRPr="00722A7E">
        <w:rPr>
          <w:rFonts w:cs="Arial"/>
          <w:b/>
          <w:bCs/>
          <w:sz w:val="22"/>
          <w:szCs w:val="22"/>
        </w:rPr>
        <w:t>Respuesta:</w:t>
      </w:r>
    </w:p>
    <w:p w14:paraId="2B29EC94" w14:textId="77777777" w:rsidR="00722A7E" w:rsidRDefault="00722A7E" w:rsidP="0028726C">
      <w:pPr>
        <w:rPr>
          <w:rFonts w:cs="Arial"/>
          <w:sz w:val="22"/>
          <w:szCs w:val="22"/>
        </w:rPr>
      </w:pPr>
    </w:p>
    <w:p w14:paraId="12592227" w14:textId="38482B72" w:rsidR="00722A7E" w:rsidRDefault="000335BD" w:rsidP="0028726C">
      <w:pPr>
        <w:rPr>
          <w:rFonts w:cs="Arial"/>
          <w:sz w:val="22"/>
          <w:szCs w:val="22"/>
        </w:rPr>
      </w:pPr>
      <w:r>
        <w:rPr>
          <w:rFonts w:cs="Arial"/>
          <w:sz w:val="22"/>
          <w:szCs w:val="22"/>
        </w:rPr>
        <w:t>Se acoge el comentario parcialmente.</w:t>
      </w:r>
    </w:p>
    <w:p w14:paraId="70A30A45" w14:textId="77777777" w:rsidR="000335BD" w:rsidRDefault="000335BD" w:rsidP="0028726C">
      <w:pPr>
        <w:rPr>
          <w:rFonts w:cs="Arial"/>
          <w:sz w:val="22"/>
          <w:szCs w:val="22"/>
        </w:rPr>
      </w:pPr>
    </w:p>
    <w:p w14:paraId="4726E559" w14:textId="6EFD8AC8" w:rsidR="000335BD" w:rsidRDefault="000335BD" w:rsidP="0028726C">
      <w:pPr>
        <w:rPr>
          <w:rFonts w:cs="Arial"/>
          <w:sz w:val="22"/>
          <w:szCs w:val="22"/>
        </w:rPr>
      </w:pPr>
      <w:r>
        <w:rPr>
          <w:rFonts w:cs="Arial"/>
          <w:sz w:val="22"/>
          <w:szCs w:val="22"/>
        </w:rPr>
        <w:t xml:space="preserve">Los balances comerciales que se proponen realizar trimestralmente buscan lograr mayor eficiencia en los procesos de negociación de los agentes vendedores y compradores del Mercado Primario. Como se explica en el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sidR="007651EA">
        <w:rPr>
          <w:rFonts w:cs="Arial"/>
          <w:sz w:val="22"/>
          <w:szCs w:val="22"/>
        </w:rPr>
        <w:t>4.11.1</w:t>
      </w:r>
      <w:r>
        <w:rPr>
          <w:rFonts w:cs="Arial"/>
          <w:sz w:val="22"/>
          <w:szCs w:val="22"/>
        </w:rPr>
        <w:fldChar w:fldCharType="end"/>
      </w:r>
      <w:r>
        <w:rPr>
          <w:rFonts w:cs="Arial"/>
          <w:sz w:val="22"/>
          <w:szCs w:val="22"/>
        </w:rPr>
        <w:t xml:space="preserve"> </w:t>
      </w:r>
      <w:r w:rsidR="00AA0F79">
        <w:rPr>
          <w:rFonts w:cs="Arial"/>
          <w:sz w:val="22"/>
          <w:szCs w:val="22"/>
        </w:rPr>
        <w:t xml:space="preserve">del presente documento, </w:t>
      </w:r>
      <w:r>
        <w:rPr>
          <w:rFonts w:cs="Arial"/>
          <w:sz w:val="22"/>
          <w:szCs w:val="22"/>
        </w:rPr>
        <w:t xml:space="preserve">la propuesta no establece cantidades o porcentajes mínimos a ser requeridas por los compradores para la atención de los consumos esperados futuros de los usuarios que atienden o de sí mismos, en el caso de usuarios no regulados. En ese sentido, los balances comerciales que se realizan trimestralmente  tienen una sola instancia de declaración de oferta de los vendedores y dos instancias de declaración de requerimientos de suministro de los compradores, estando de por medio entre estas dos instancias de los compradores, la publicación por parte del </w:t>
      </w:r>
      <w:r w:rsidR="005114C6">
        <w:rPr>
          <w:rFonts w:cs="Arial"/>
          <w:sz w:val="22"/>
          <w:szCs w:val="22"/>
        </w:rPr>
        <w:t>Gestor del Mercado</w:t>
      </w:r>
      <w:r>
        <w:rPr>
          <w:rFonts w:cs="Arial"/>
          <w:sz w:val="22"/>
          <w:szCs w:val="22"/>
        </w:rPr>
        <w:t xml:space="preserve"> de las cantidades totales ofertadas y las cantidades totales deseadas de compra para cada uno de los siguientes veinte trimestres estándar, en cada punto de referencia. Lo anterior ayuda al comprador a determinar si se mantiene en sus cantidades deseadas a requerir o si se reduce y deja para posteriores trimestres de negociación las cantidades requeridas a declarar en la segunda instancia ante el </w:t>
      </w:r>
      <w:r w:rsidR="005114C6">
        <w:rPr>
          <w:rFonts w:cs="Arial"/>
          <w:sz w:val="22"/>
          <w:szCs w:val="22"/>
        </w:rPr>
        <w:t>Gestor del Mercado</w:t>
      </w:r>
      <w:r>
        <w:rPr>
          <w:rFonts w:cs="Arial"/>
          <w:sz w:val="22"/>
          <w:szCs w:val="22"/>
        </w:rPr>
        <w:t xml:space="preserve">. </w:t>
      </w:r>
    </w:p>
    <w:p w14:paraId="160A714C" w14:textId="77777777" w:rsidR="000335BD" w:rsidRDefault="000335BD" w:rsidP="0028726C">
      <w:pPr>
        <w:rPr>
          <w:rFonts w:cs="Arial"/>
          <w:sz w:val="22"/>
          <w:szCs w:val="22"/>
        </w:rPr>
      </w:pPr>
    </w:p>
    <w:p w14:paraId="59334DA7" w14:textId="0ADF4713" w:rsidR="000335BD" w:rsidRDefault="000335BD" w:rsidP="0028726C">
      <w:pPr>
        <w:rPr>
          <w:rFonts w:cs="Arial"/>
          <w:sz w:val="22"/>
          <w:szCs w:val="22"/>
        </w:rPr>
      </w:pPr>
      <w:r>
        <w:rPr>
          <w:rFonts w:cs="Arial"/>
          <w:sz w:val="22"/>
          <w:szCs w:val="22"/>
        </w:rPr>
        <w:t xml:space="preserve">A medida que se va acercando al </w:t>
      </w:r>
      <w:r w:rsidR="009D22E9">
        <w:rPr>
          <w:rFonts w:cs="Arial"/>
          <w:sz w:val="22"/>
          <w:szCs w:val="22"/>
        </w:rPr>
        <w:t>trimestre estándar de ejecución</w:t>
      </w:r>
      <w:r>
        <w:rPr>
          <w:rFonts w:cs="Arial"/>
          <w:sz w:val="22"/>
          <w:szCs w:val="22"/>
        </w:rPr>
        <w:t xml:space="preserve"> que se desea contratar la dinámica de los procesos de negociación llevará a que el precio pueda ser superior o inferior respecto del alcanzado en trimestres de negociación anteriores, para cada una de las fuentes de suministro de un mismo punto de referencia.</w:t>
      </w:r>
      <w:r w:rsidR="002B55BE">
        <w:rPr>
          <w:rFonts w:cs="Arial"/>
          <w:sz w:val="22"/>
          <w:szCs w:val="22"/>
        </w:rPr>
        <w:t xml:space="preserve"> </w:t>
      </w:r>
      <w:r w:rsidR="00F064A1">
        <w:rPr>
          <w:rFonts w:cs="Arial"/>
          <w:sz w:val="22"/>
          <w:szCs w:val="22"/>
        </w:rPr>
        <w:t xml:space="preserve">No se puede predecir si será superior o será inferior, pues como se ha mencionado, los productores pueden hacer inversiones mayores para aumentar la capacidad de producción y procesamiento del gas ante precios negociados en procesos previos para una fuente de suministro y los compradores pueden realizar ajustes a la baja para atender la demanda futura, y así otras situaciones que no son predecibles sino a medida que se hace más cercano el trimestre en que se requiere el suministro. </w:t>
      </w:r>
    </w:p>
    <w:p w14:paraId="5452D0A1" w14:textId="77777777" w:rsidR="00F064A1" w:rsidRDefault="00F064A1" w:rsidP="0028726C">
      <w:pPr>
        <w:rPr>
          <w:rFonts w:cs="Arial"/>
          <w:sz w:val="22"/>
          <w:szCs w:val="22"/>
        </w:rPr>
      </w:pPr>
    </w:p>
    <w:p w14:paraId="7F5E917C" w14:textId="167FAA38" w:rsidR="00F064A1" w:rsidRDefault="00F064A1" w:rsidP="0028726C">
      <w:pPr>
        <w:rPr>
          <w:rFonts w:cs="Arial"/>
          <w:sz w:val="22"/>
          <w:szCs w:val="22"/>
        </w:rPr>
      </w:pPr>
      <w:r>
        <w:rPr>
          <w:rFonts w:cs="Arial"/>
          <w:sz w:val="22"/>
          <w:szCs w:val="22"/>
        </w:rPr>
        <w:t xml:space="preserve">Por otro lado, en la propuesta de la Resolución CREG 226 de 2021 no se establece como criterio de determinación </w:t>
      </w:r>
      <w:r w:rsidR="00E31ED9">
        <w:rPr>
          <w:rFonts w:cs="Arial"/>
          <w:sz w:val="22"/>
          <w:szCs w:val="22"/>
        </w:rPr>
        <w:t>del</w:t>
      </w:r>
      <w:r>
        <w:rPr>
          <w:rFonts w:cs="Arial"/>
          <w:sz w:val="22"/>
          <w:szCs w:val="22"/>
        </w:rPr>
        <w:t xml:space="preserve"> balance comercial </w:t>
      </w:r>
      <w:r w:rsidR="00C55CB4">
        <w:rPr>
          <w:rFonts w:cs="Arial"/>
          <w:sz w:val="22"/>
          <w:szCs w:val="22"/>
        </w:rPr>
        <w:t xml:space="preserve">(superavitario o deficitario) </w:t>
      </w:r>
      <w:r>
        <w:rPr>
          <w:rFonts w:cs="Arial"/>
          <w:sz w:val="22"/>
          <w:szCs w:val="22"/>
        </w:rPr>
        <w:t>para un trimestre futuro y un punto de referencia</w:t>
      </w:r>
      <w:r w:rsidR="00E31ED9">
        <w:rPr>
          <w:rFonts w:cs="Arial"/>
          <w:sz w:val="22"/>
          <w:szCs w:val="22"/>
        </w:rPr>
        <w:t>,</w:t>
      </w:r>
      <w:r>
        <w:rPr>
          <w:rFonts w:cs="Arial"/>
          <w:sz w:val="22"/>
          <w:szCs w:val="22"/>
        </w:rPr>
        <w:t xml:space="preserve"> con base en </w:t>
      </w:r>
      <w:r w:rsidR="00E31ED9">
        <w:rPr>
          <w:rFonts w:cs="Arial"/>
          <w:sz w:val="22"/>
          <w:szCs w:val="22"/>
        </w:rPr>
        <w:t>cada una de las modalidades contractuales</w:t>
      </w:r>
      <w:r>
        <w:rPr>
          <w:rFonts w:cs="Arial"/>
          <w:sz w:val="22"/>
          <w:szCs w:val="22"/>
        </w:rPr>
        <w:t xml:space="preserve"> ofrecida</w:t>
      </w:r>
      <w:r w:rsidR="00E31ED9">
        <w:rPr>
          <w:rFonts w:cs="Arial"/>
          <w:sz w:val="22"/>
          <w:szCs w:val="22"/>
        </w:rPr>
        <w:t>s</w:t>
      </w:r>
      <w:r>
        <w:rPr>
          <w:rFonts w:cs="Arial"/>
          <w:sz w:val="22"/>
          <w:szCs w:val="22"/>
        </w:rPr>
        <w:t xml:space="preserve"> por el vendedor o requerida</w:t>
      </w:r>
      <w:r w:rsidR="00E31ED9">
        <w:rPr>
          <w:rFonts w:cs="Arial"/>
          <w:sz w:val="22"/>
          <w:szCs w:val="22"/>
        </w:rPr>
        <w:t>s</w:t>
      </w:r>
      <w:r>
        <w:rPr>
          <w:rFonts w:cs="Arial"/>
          <w:sz w:val="22"/>
          <w:szCs w:val="22"/>
        </w:rPr>
        <w:t xml:space="preserve"> por el comprador, como se entiende del comentario recibido. </w:t>
      </w:r>
      <w:r w:rsidR="00C55CB4">
        <w:rPr>
          <w:rFonts w:cs="Arial"/>
          <w:sz w:val="22"/>
          <w:szCs w:val="22"/>
        </w:rPr>
        <w:t xml:space="preserve">Sin embargo, el texto publicado </w:t>
      </w:r>
      <w:r w:rsidR="00A8638B">
        <w:rPr>
          <w:rFonts w:cs="Arial"/>
          <w:sz w:val="22"/>
          <w:szCs w:val="22"/>
        </w:rPr>
        <w:t xml:space="preserve">puede no haber sido </w:t>
      </w:r>
      <w:r w:rsidR="00C55CB4">
        <w:rPr>
          <w:rFonts w:cs="Arial"/>
          <w:sz w:val="22"/>
          <w:szCs w:val="22"/>
        </w:rPr>
        <w:t xml:space="preserve">suficientemente claro al respecto. </w:t>
      </w:r>
      <w:r w:rsidR="00643ACA">
        <w:rPr>
          <w:rFonts w:cs="Arial"/>
          <w:sz w:val="22"/>
          <w:szCs w:val="22"/>
        </w:rPr>
        <w:t>Se ha precisado que el</w:t>
      </w:r>
      <w:r>
        <w:rPr>
          <w:rFonts w:cs="Arial"/>
          <w:sz w:val="22"/>
          <w:szCs w:val="22"/>
        </w:rPr>
        <w:t xml:space="preserve"> balance comercial se hace con base en las cantidades ofrecidas </w:t>
      </w:r>
      <w:r w:rsidR="00E31ED9">
        <w:rPr>
          <w:rFonts w:cs="Arial"/>
          <w:sz w:val="22"/>
          <w:szCs w:val="22"/>
        </w:rPr>
        <w:t xml:space="preserve">PTDVF y CIDVF </w:t>
      </w:r>
      <w:r>
        <w:rPr>
          <w:rFonts w:cs="Arial"/>
          <w:sz w:val="22"/>
          <w:szCs w:val="22"/>
        </w:rPr>
        <w:t>en unidades de energía (MBTUD) y las cantidades requeridas en la segunda instancia de declaración de los compradores, también en unidades de energía (MBTUD)</w:t>
      </w:r>
      <w:r w:rsidR="00E31ED9">
        <w:rPr>
          <w:rFonts w:cs="Arial"/>
          <w:sz w:val="22"/>
          <w:szCs w:val="22"/>
        </w:rPr>
        <w:t>,</w:t>
      </w:r>
      <w:r>
        <w:rPr>
          <w:rFonts w:cs="Arial"/>
          <w:sz w:val="22"/>
          <w:szCs w:val="22"/>
        </w:rPr>
        <w:t xml:space="preserve"> lo que hace irrelevante en e</w:t>
      </w:r>
      <w:r w:rsidR="00E31ED9">
        <w:rPr>
          <w:rFonts w:cs="Arial"/>
          <w:sz w:val="22"/>
          <w:szCs w:val="22"/>
        </w:rPr>
        <w:t>l</w:t>
      </w:r>
      <w:r>
        <w:rPr>
          <w:rFonts w:cs="Arial"/>
          <w:sz w:val="22"/>
          <w:szCs w:val="22"/>
        </w:rPr>
        <w:t xml:space="preserve"> momento </w:t>
      </w:r>
      <w:r w:rsidR="00E31ED9">
        <w:rPr>
          <w:rFonts w:cs="Arial"/>
          <w:sz w:val="22"/>
          <w:szCs w:val="22"/>
        </w:rPr>
        <w:t xml:space="preserve">de realizar el balance </w:t>
      </w:r>
      <w:r>
        <w:rPr>
          <w:rFonts w:cs="Arial"/>
          <w:sz w:val="22"/>
          <w:szCs w:val="22"/>
        </w:rPr>
        <w:t>la modalidad contractual o la forma del suministro del gas natural.</w:t>
      </w:r>
    </w:p>
    <w:p w14:paraId="58660A11" w14:textId="77777777" w:rsidR="002B55BE" w:rsidRDefault="002B55BE" w:rsidP="0028726C">
      <w:pPr>
        <w:rPr>
          <w:rFonts w:cs="Arial"/>
          <w:sz w:val="22"/>
          <w:szCs w:val="22"/>
        </w:rPr>
      </w:pPr>
    </w:p>
    <w:p w14:paraId="6C6EB171" w14:textId="3AB1D433" w:rsidR="002B55BE" w:rsidRDefault="002B55BE" w:rsidP="0028726C">
      <w:pPr>
        <w:rPr>
          <w:rFonts w:cs="Arial"/>
          <w:sz w:val="22"/>
          <w:szCs w:val="22"/>
        </w:rPr>
      </w:pPr>
      <w:r>
        <w:rPr>
          <w:rFonts w:cs="Arial"/>
          <w:sz w:val="22"/>
          <w:szCs w:val="22"/>
        </w:rPr>
        <w:t xml:space="preserve">Acogiendo parte del comentario, en la nueva propuesta se elimina la discriminación que se requería en la propuesta inicial </w:t>
      </w:r>
      <w:r w:rsidR="001E7E3B">
        <w:rPr>
          <w:rFonts w:cs="Arial"/>
          <w:sz w:val="22"/>
          <w:szCs w:val="22"/>
        </w:rPr>
        <w:t xml:space="preserve">hacer </w:t>
      </w:r>
      <w:r>
        <w:rPr>
          <w:rFonts w:cs="Arial"/>
          <w:sz w:val="22"/>
          <w:szCs w:val="22"/>
        </w:rPr>
        <w:t xml:space="preserve">a los vendedores y </w:t>
      </w:r>
      <w:r w:rsidR="00A45494">
        <w:rPr>
          <w:rFonts w:cs="Arial"/>
          <w:sz w:val="22"/>
          <w:szCs w:val="22"/>
        </w:rPr>
        <w:t xml:space="preserve">a </w:t>
      </w:r>
      <w:r>
        <w:rPr>
          <w:rFonts w:cs="Arial"/>
          <w:sz w:val="22"/>
          <w:szCs w:val="22"/>
        </w:rPr>
        <w:t>los compradores</w:t>
      </w:r>
      <w:r w:rsidR="001E7E3B">
        <w:rPr>
          <w:rFonts w:cs="Arial"/>
          <w:sz w:val="22"/>
          <w:szCs w:val="22"/>
        </w:rPr>
        <w:t>, sobre</w:t>
      </w:r>
      <w:r>
        <w:rPr>
          <w:rFonts w:cs="Arial"/>
          <w:sz w:val="22"/>
          <w:szCs w:val="22"/>
        </w:rPr>
        <w:t xml:space="preserve"> la modalidad contractual</w:t>
      </w:r>
      <w:r w:rsidR="00F064A1">
        <w:rPr>
          <w:rFonts w:cs="Arial"/>
          <w:sz w:val="22"/>
          <w:szCs w:val="22"/>
        </w:rPr>
        <w:t xml:space="preserve"> y </w:t>
      </w:r>
      <w:r w:rsidR="00DB4881">
        <w:rPr>
          <w:rFonts w:cs="Arial"/>
          <w:sz w:val="22"/>
          <w:szCs w:val="22"/>
        </w:rPr>
        <w:t>se mantiene la declaración p</w:t>
      </w:r>
      <w:r w:rsidR="001E7E3B">
        <w:rPr>
          <w:rFonts w:cs="Arial"/>
          <w:sz w:val="22"/>
          <w:szCs w:val="22"/>
        </w:rPr>
        <w:t>ara</w:t>
      </w:r>
      <w:r w:rsidR="00DB4881">
        <w:rPr>
          <w:rFonts w:cs="Arial"/>
          <w:sz w:val="22"/>
          <w:szCs w:val="22"/>
        </w:rPr>
        <w:t xml:space="preserve"> la forma del suministro</w:t>
      </w:r>
      <w:r w:rsidR="001E7E3B">
        <w:rPr>
          <w:rFonts w:cs="Arial"/>
          <w:sz w:val="22"/>
          <w:szCs w:val="22"/>
        </w:rPr>
        <w:t xml:space="preserve"> (gas en estado natural, GNC o GNL)</w:t>
      </w:r>
      <w:r w:rsidR="00DB4881">
        <w:rPr>
          <w:rFonts w:cs="Arial"/>
          <w:sz w:val="22"/>
          <w:szCs w:val="22"/>
        </w:rPr>
        <w:t>, tanto de los vendedores como de los compradores</w:t>
      </w:r>
      <w:r w:rsidR="00E31ED9">
        <w:rPr>
          <w:rFonts w:cs="Arial"/>
          <w:sz w:val="22"/>
          <w:szCs w:val="22"/>
        </w:rPr>
        <w:t xml:space="preserve">. El </w:t>
      </w:r>
      <w:r w:rsidR="00DB4881">
        <w:rPr>
          <w:rFonts w:cs="Arial"/>
          <w:sz w:val="22"/>
          <w:szCs w:val="22"/>
        </w:rPr>
        <w:t>balance comercial se realizará con base en las cantidades energéticas (MBTUD) de la PTDVF y</w:t>
      </w:r>
      <w:r w:rsidR="001E7E3B">
        <w:rPr>
          <w:rFonts w:cs="Arial"/>
          <w:sz w:val="22"/>
          <w:szCs w:val="22"/>
        </w:rPr>
        <w:t xml:space="preserve"> de la</w:t>
      </w:r>
      <w:r w:rsidR="00DB4881">
        <w:rPr>
          <w:rFonts w:cs="Arial"/>
          <w:sz w:val="22"/>
          <w:szCs w:val="22"/>
        </w:rPr>
        <w:t xml:space="preserve"> CIDVF </w:t>
      </w:r>
      <w:r w:rsidR="00F064A1">
        <w:rPr>
          <w:rFonts w:cs="Arial"/>
          <w:sz w:val="22"/>
          <w:szCs w:val="22"/>
        </w:rPr>
        <w:t xml:space="preserve">y de las cantidades requeridas para compra también en unidades de energía </w:t>
      </w:r>
      <w:r w:rsidR="00E31ED9">
        <w:rPr>
          <w:rFonts w:cs="Arial"/>
          <w:sz w:val="22"/>
          <w:szCs w:val="22"/>
        </w:rPr>
        <w:t xml:space="preserve">(MBTUD) </w:t>
      </w:r>
      <w:r w:rsidR="00DB4881">
        <w:rPr>
          <w:rFonts w:cs="Arial"/>
          <w:sz w:val="22"/>
          <w:szCs w:val="22"/>
        </w:rPr>
        <w:t>para cada uno de los veinte trimestres estándar siguientes al trimestre de negociación y para cada punto de referencia determinado</w:t>
      </w:r>
      <w:r>
        <w:rPr>
          <w:rFonts w:cs="Arial"/>
          <w:sz w:val="22"/>
          <w:szCs w:val="22"/>
        </w:rPr>
        <w:t xml:space="preserve">.  </w:t>
      </w:r>
    </w:p>
    <w:p w14:paraId="2C3730F4" w14:textId="011362FB" w:rsidR="000335BD" w:rsidRPr="0028726C" w:rsidRDefault="000335BD" w:rsidP="0028726C">
      <w:pPr>
        <w:rPr>
          <w:rFonts w:cs="Arial"/>
          <w:sz w:val="22"/>
          <w:szCs w:val="22"/>
        </w:rPr>
      </w:pPr>
      <w:r>
        <w:rPr>
          <w:rFonts w:cs="Arial"/>
          <w:sz w:val="22"/>
          <w:szCs w:val="22"/>
        </w:rPr>
        <w:t xml:space="preserve"> </w:t>
      </w:r>
    </w:p>
    <w:p w14:paraId="2A8AF46F" w14:textId="77777777" w:rsidR="00C53D76" w:rsidRDefault="00C53D76" w:rsidP="0028726C">
      <w:pPr>
        <w:rPr>
          <w:rFonts w:cs="Arial"/>
          <w:sz w:val="22"/>
          <w:szCs w:val="22"/>
        </w:rPr>
      </w:pPr>
    </w:p>
    <w:p w14:paraId="5E775C8A" w14:textId="77777777" w:rsidR="00C53D76" w:rsidRDefault="0028726C" w:rsidP="000D05A3">
      <w:pPr>
        <w:pStyle w:val="Ttulo4"/>
      </w:pPr>
      <w:r w:rsidRPr="0028726C">
        <w:t>ASOENERGIA</w:t>
      </w:r>
      <w:r w:rsidRPr="0028726C">
        <w:tab/>
      </w:r>
    </w:p>
    <w:p w14:paraId="36ECBFFE" w14:textId="568D0D7E" w:rsidR="0028726C" w:rsidRPr="0046097B" w:rsidRDefault="007C1317" w:rsidP="0028726C">
      <w:pPr>
        <w:rPr>
          <w:rFonts w:cs="Arial"/>
          <w:i/>
          <w:iCs/>
          <w:sz w:val="22"/>
          <w:szCs w:val="22"/>
        </w:rPr>
      </w:pPr>
      <w:r>
        <w:rPr>
          <w:rFonts w:cs="Arial"/>
          <w:i/>
          <w:iCs/>
          <w:sz w:val="22"/>
          <w:szCs w:val="22"/>
        </w:rPr>
        <w:t>“</w:t>
      </w:r>
      <w:r w:rsidR="0028726C" w:rsidRPr="0046097B">
        <w:rPr>
          <w:rFonts w:cs="Arial"/>
          <w:i/>
          <w:iCs/>
          <w:sz w:val="22"/>
          <w:szCs w:val="22"/>
        </w:rPr>
        <w:t xml:space="preserve">En este caso, otro factor que puede generar o incentivar a una escasez ficticia es el hecho de la intervención del </w:t>
      </w:r>
      <w:r w:rsidR="005114C6">
        <w:rPr>
          <w:rFonts w:cs="Arial"/>
          <w:i/>
          <w:iCs/>
          <w:sz w:val="22"/>
          <w:szCs w:val="22"/>
        </w:rPr>
        <w:t>Gestor del Mercado</w:t>
      </w:r>
      <w:r w:rsidR="0028726C" w:rsidRPr="0046097B">
        <w:rPr>
          <w:rFonts w:cs="Arial"/>
          <w:i/>
          <w:iCs/>
          <w:sz w:val="22"/>
          <w:szCs w:val="22"/>
        </w:rPr>
        <w:t xml:space="preserve"> para efectos de definir los puntos de referencia. Es importante considerar, en este caso, que la función del </w:t>
      </w:r>
      <w:r w:rsidR="005114C6">
        <w:rPr>
          <w:rFonts w:cs="Arial"/>
          <w:i/>
          <w:iCs/>
          <w:sz w:val="22"/>
          <w:szCs w:val="22"/>
        </w:rPr>
        <w:t>Gestor del Mercado</w:t>
      </w:r>
      <w:r w:rsidR="0028726C" w:rsidRPr="0046097B">
        <w:rPr>
          <w:rFonts w:cs="Arial"/>
          <w:i/>
          <w:iCs/>
          <w:sz w:val="22"/>
          <w:szCs w:val="22"/>
        </w:rPr>
        <w:t xml:space="preserve"> es la </w:t>
      </w:r>
      <w:r w:rsidR="0071397F">
        <w:rPr>
          <w:rFonts w:cs="Arial"/>
          <w:i/>
          <w:iCs/>
          <w:sz w:val="22"/>
          <w:szCs w:val="22"/>
        </w:rPr>
        <w:t>‘</w:t>
      </w:r>
      <w:r w:rsidR="0028726C" w:rsidRPr="0046097B">
        <w:rPr>
          <w:rFonts w:cs="Arial"/>
          <w:i/>
          <w:iCs/>
          <w:sz w:val="22"/>
          <w:szCs w:val="22"/>
        </w:rPr>
        <w:t>prestación de los servicios de gestión del mercado primario y del mercado secundario</w:t>
      </w:r>
      <w:r w:rsidR="0071397F">
        <w:rPr>
          <w:rFonts w:cs="Arial"/>
          <w:i/>
          <w:iCs/>
          <w:sz w:val="22"/>
          <w:szCs w:val="22"/>
        </w:rPr>
        <w:t>’</w:t>
      </w:r>
      <w:r w:rsidR="0028726C" w:rsidRPr="0046097B">
        <w:rPr>
          <w:rFonts w:cs="Arial"/>
          <w:i/>
          <w:iCs/>
          <w:sz w:val="22"/>
          <w:szCs w:val="22"/>
        </w:rPr>
        <w:t xml:space="preserve"> y, claramente, la toma tomar decisiones como en este caso la de la definición del punto de referencia para efectos de realizar los balances comerciales no es una prestación de un servicio m</w:t>
      </w:r>
      <w:r w:rsidR="0071397F">
        <w:rPr>
          <w:rFonts w:cs="Arial"/>
          <w:i/>
          <w:iCs/>
          <w:sz w:val="22"/>
          <w:szCs w:val="22"/>
        </w:rPr>
        <w:t>á</w:t>
      </w:r>
      <w:r w:rsidR="0028726C" w:rsidRPr="0046097B">
        <w:rPr>
          <w:rFonts w:cs="Arial"/>
          <w:i/>
          <w:iCs/>
          <w:sz w:val="22"/>
          <w:szCs w:val="22"/>
        </w:rPr>
        <w:t>s sí una extralimitación de las funciones del Gestor y una intervención del desarrollo eficiente del mercado.</w:t>
      </w:r>
      <w:r w:rsidR="0071397F">
        <w:rPr>
          <w:rFonts w:cs="Arial"/>
          <w:i/>
          <w:iCs/>
          <w:sz w:val="22"/>
          <w:szCs w:val="22"/>
        </w:rPr>
        <w:t>”</w:t>
      </w:r>
    </w:p>
    <w:p w14:paraId="7710438B" w14:textId="77777777" w:rsidR="0046097B" w:rsidRDefault="0046097B" w:rsidP="0028726C">
      <w:pPr>
        <w:rPr>
          <w:rFonts w:cs="Arial"/>
          <w:sz w:val="22"/>
          <w:szCs w:val="22"/>
        </w:rPr>
      </w:pPr>
    </w:p>
    <w:p w14:paraId="74D21308" w14:textId="1EF89ACB" w:rsidR="0046097B" w:rsidRPr="0046097B" w:rsidRDefault="0046097B" w:rsidP="0028726C">
      <w:pPr>
        <w:rPr>
          <w:rFonts w:cs="Arial"/>
          <w:b/>
          <w:bCs/>
          <w:sz w:val="22"/>
          <w:szCs w:val="22"/>
        </w:rPr>
      </w:pPr>
      <w:r w:rsidRPr="0046097B">
        <w:rPr>
          <w:rFonts w:cs="Arial"/>
          <w:b/>
          <w:bCs/>
          <w:sz w:val="22"/>
          <w:szCs w:val="22"/>
        </w:rPr>
        <w:t>Respuesta:</w:t>
      </w:r>
    </w:p>
    <w:p w14:paraId="1AF17D34" w14:textId="77777777" w:rsidR="008D1507" w:rsidRDefault="008D1507" w:rsidP="0028726C">
      <w:pPr>
        <w:rPr>
          <w:rFonts w:cs="Arial"/>
          <w:sz w:val="22"/>
          <w:szCs w:val="22"/>
        </w:rPr>
      </w:pPr>
    </w:p>
    <w:p w14:paraId="22FA1556" w14:textId="63D91B19" w:rsidR="0046097B" w:rsidRDefault="004C4211" w:rsidP="0028726C">
      <w:pPr>
        <w:rPr>
          <w:rFonts w:cs="Arial"/>
          <w:sz w:val="22"/>
          <w:szCs w:val="22"/>
        </w:rPr>
      </w:pPr>
      <w:r>
        <w:rPr>
          <w:rFonts w:cs="Arial"/>
          <w:sz w:val="22"/>
          <w:szCs w:val="22"/>
        </w:rPr>
        <w:t>No se acoge el comentario.</w:t>
      </w:r>
    </w:p>
    <w:p w14:paraId="2DCD0BE1" w14:textId="77777777" w:rsidR="004C4211" w:rsidRDefault="004C4211" w:rsidP="0028726C">
      <w:pPr>
        <w:rPr>
          <w:rFonts w:cs="Arial"/>
          <w:sz w:val="22"/>
          <w:szCs w:val="22"/>
        </w:rPr>
      </w:pPr>
    </w:p>
    <w:p w14:paraId="6D1E3890" w14:textId="5B31A23E" w:rsidR="004C4211" w:rsidRDefault="004C4211" w:rsidP="0028726C">
      <w:pPr>
        <w:rPr>
          <w:rFonts w:cs="Arial"/>
          <w:sz w:val="22"/>
          <w:szCs w:val="22"/>
        </w:rPr>
      </w:pPr>
      <w:r>
        <w:rPr>
          <w:rFonts w:cs="Arial"/>
          <w:sz w:val="22"/>
          <w:szCs w:val="22"/>
        </w:rPr>
        <w:t xml:space="preserve">En los ajustes propuestos se establecen </w:t>
      </w:r>
      <w:r w:rsidR="00D64637">
        <w:rPr>
          <w:rFonts w:cs="Arial"/>
          <w:sz w:val="22"/>
          <w:szCs w:val="22"/>
        </w:rPr>
        <w:t>servicios</w:t>
      </w:r>
      <w:r>
        <w:rPr>
          <w:rFonts w:cs="Arial"/>
          <w:sz w:val="22"/>
          <w:szCs w:val="22"/>
        </w:rPr>
        <w:t xml:space="preserve"> específic</w:t>
      </w:r>
      <w:r w:rsidR="004D6FA4">
        <w:rPr>
          <w:rFonts w:cs="Arial"/>
          <w:sz w:val="22"/>
          <w:szCs w:val="22"/>
        </w:rPr>
        <w:t>o</w:t>
      </w:r>
      <w:r>
        <w:rPr>
          <w:rFonts w:cs="Arial"/>
          <w:sz w:val="22"/>
          <w:szCs w:val="22"/>
        </w:rPr>
        <w:t xml:space="preserve">s al </w:t>
      </w:r>
      <w:r w:rsidR="005114C6">
        <w:rPr>
          <w:rFonts w:cs="Arial"/>
          <w:sz w:val="22"/>
          <w:szCs w:val="22"/>
        </w:rPr>
        <w:t>Gestor del Mercado</w:t>
      </w:r>
      <w:r>
        <w:rPr>
          <w:rFonts w:cs="Arial"/>
          <w:sz w:val="22"/>
          <w:szCs w:val="22"/>
        </w:rPr>
        <w:t xml:space="preserve">, </w:t>
      </w:r>
      <w:r w:rsidR="004D6FA4">
        <w:rPr>
          <w:rFonts w:cs="Arial"/>
          <w:sz w:val="22"/>
          <w:szCs w:val="22"/>
        </w:rPr>
        <w:t xml:space="preserve">el cual </w:t>
      </w:r>
      <w:r>
        <w:rPr>
          <w:rFonts w:cs="Arial"/>
          <w:sz w:val="22"/>
          <w:szCs w:val="22"/>
        </w:rPr>
        <w:t xml:space="preserve"> cuenta con la información de los contratos, de las cantidades ofertadas, de las cantidades requeridas, de los puntos de entrega propuestos y de las condiciones propias de gestión del Mercado Mayorista.</w:t>
      </w:r>
    </w:p>
    <w:p w14:paraId="27DF8CCD" w14:textId="77777777" w:rsidR="004C4211" w:rsidRDefault="004C4211" w:rsidP="0028726C">
      <w:pPr>
        <w:rPr>
          <w:rFonts w:cs="Arial"/>
          <w:sz w:val="22"/>
          <w:szCs w:val="22"/>
        </w:rPr>
      </w:pPr>
    </w:p>
    <w:p w14:paraId="798A71E2" w14:textId="3B423121" w:rsidR="004C4211" w:rsidRDefault="004C421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_Ref130533713 \r \h </w:instrText>
      </w:r>
      <w:r>
        <w:rPr>
          <w:rFonts w:cs="Arial"/>
          <w:sz w:val="22"/>
          <w:szCs w:val="22"/>
        </w:rPr>
      </w:r>
      <w:r>
        <w:rPr>
          <w:rFonts w:cs="Arial"/>
          <w:sz w:val="22"/>
          <w:szCs w:val="22"/>
        </w:rPr>
        <w:fldChar w:fldCharType="separate"/>
      </w:r>
      <w:r w:rsidR="007651EA">
        <w:rPr>
          <w:rFonts w:cs="Arial"/>
          <w:sz w:val="22"/>
          <w:szCs w:val="22"/>
        </w:rPr>
        <w:t>4.7.1.3</w:t>
      </w:r>
      <w:r>
        <w:rPr>
          <w:rFonts w:cs="Arial"/>
          <w:sz w:val="22"/>
          <w:szCs w:val="22"/>
        </w:rPr>
        <w:fldChar w:fldCharType="end"/>
      </w:r>
      <w:r>
        <w:rPr>
          <w:rFonts w:cs="Arial"/>
          <w:sz w:val="22"/>
          <w:szCs w:val="22"/>
        </w:rPr>
        <w:t>.</w:t>
      </w:r>
    </w:p>
    <w:p w14:paraId="0484A925" w14:textId="77777777" w:rsidR="0046097B" w:rsidRPr="0028726C" w:rsidRDefault="0046097B" w:rsidP="0028726C">
      <w:pPr>
        <w:rPr>
          <w:rFonts w:cs="Arial"/>
          <w:sz w:val="22"/>
          <w:szCs w:val="22"/>
        </w:rPr>
      </w:pPr>
    </w:p>
    <w:p w14:paraId="62E19D07" w14:textId="77777777" w:rsidR="00C53D76" w:rsidRDefault="00C53D76" w:rsidP="0028726C">
      <w:pPr>
        <w:rPr>
          <w:rFonts w:cs="Arial"/>
          <w:sz w:val="22"/>
          <w:szCs w:val="22"/>
        </w:rPr>
      </w:pPr>
    </w:p>
    <w:p w14:paraId="58675C9B" w14:textId="77777777" w:rsidR="00C53D76" w:rsidRDefault="0028726C" w:rsidP="000D05A3">
      <w:pPr>
        <w:pStyle w:val="Ttulo4"/>
      </w:pPr>
      <w:r w:rsidRPr="0028726C">
        <w:t>ASOENERGIA</w:t>
      </w:r>
      <w:r w:rsidRPr="0028726C">
        <w:tab/>
      </w:r>
    </w:p>
    <w:p w14:paraId="338E3B95" w14:textId="10037336" w:rsidR="0028726C" w:rsidRPr="00146943" w:rsidRDefault="00E15115" w:rsidP="0028726C">
      <w:pPr>
        <w:rPr>
          <w:rFonts w:cs="Arial"/>
          <w:i/>
          <w:iCs/>
          <w:sz w:val="22"/>
          <w:szCs w:val="22"/>
        </w:rPr>
      </w:pPr>
      <w:r>
        <w:rPr>
          <w:rFonts w:cs="Arial"/>
          <w:i/>
          <w:iCs/>
          <w:sz w:val="22"/>
          <w:szCs w:val="22"/>
        </w:rPr>
        <w:t>“</w:t>
      </w:r>
      <w:r w:rsidR="0028726C" w:rsidRPr="00146943">
        <w:rPr>
          <w:rFonts w:cs="Arial"/>
          <w:i/>
          <w:iCs/>
          <w:sz w:val="22"/>
          <w:szCs w:val="22"/>
        </w:rPr>
        <w:t>Además de considerar los aspectos anteriormente mencionados en relación con la escasez ficticia y sus implicaciones, el mecanismo propuesto, teniendo en cuenta que obliga al comprador a publicar sus necesidades sin un previo conocimiento del precio, conlleva a que se tomen decisiones inadecuadas como lo son la realización de una subasta, con las implicaciones que esto conlleva y, en ese sentido, al desarrollo ineficiente del precio de gas natural en el mercado.</w:t>
      </w:r>
      <w:r>
        <w:rPr>
          <w:rFonts w:cs="Arial"/>
          <w:i/>
          <w:iCs/>
          <w:sz w:val="22"/>
          <w:szCs w:val="22"/>
        </w:rPr>
        <w:t>”</w:t>
      </w:r>
      <w:r w:rsidR="0028726C" w:rsidRPr="00146943">
        <w:rPr>
          <w:rFonts w:cs="Arial"/>
          <w:i/>
          <w:iCs/>
          <w:sz w:val="22"/>
          <w:szCs w:val="22"/>
        </w:rPr>
        <w:t xml:space="preserve"> </w:t>
      </w:r>
    </w:p>
    <w:p w14:paraId="4383D076" w14:textId="77777777" w:rsidR="00146943" w:rsidRDefault="00146943" w:rsidP="0028726C">
      <w:pPr>
        <w:rPr>
          <w:rFonts w:cs="Arial"/>
          <w:sz w:val="22"/>
          <w:szCs w:val="22"/>
        </w:rPr>
      </w:pPr>
    </w:p>
    <w:p w14:paraId="7685ADBC" w14:textId="15E1651E" w:rsidR="00146943" w:rsidRPr="00146943" w:rsidRDefault="00146943" w:rsidP="0028726C">
      <w:pPr>
        <w:rPr>
          <w:rFonts w:cs="Arial"/>
          <w:b/>
          <w:bCs/>
          <w:sz w:val="22"/>
          <w:szCs w:val="22"/>
        </w:rPr>
      </w:pPr>
      <w:r w:rsidRPr="00146943">
        <w:rPr>
          <w:rFonts w:cs="Arial"/>
          <w:b/>
          <w:bCs/>
          <w:sz w:val="22"/>
          <w:szCs w:val="22"/>
        </w:rPr>
        <w:t>Respuesta:</w:t>
      </w:r>
    </w:p>
    <w:p w14:paraId="70D94E51" w14:textId="77777777" w:rsidR="00146943" w:rsidRDefault="00146943" w:rsidP="0028726C">
      <w:pPr>
        <w:rPr>
          <w:rFonts w:cs="Arial"/>
          <w:sz w:val="22"/>
          <w:szCs w:val="22"/>
        </w:rPr>
      </w:pPr>
    </w:p>
    <w:p w14:paraId="7C707A9A" w14:textId="06F6A532" w:rsidR="00AD171D" w:rsidRDefault="00AD171D"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_Ref132123018 \r \h </w:instrText>
      </w:r>
      <w:r>
        <w:rPr>
          <w:rFonts w:cs="Arial"/>
          <w:sz w:val="22"/>
          <w:szCs w:val="22"/>
        </w:rPr>
      </w:r>
      <w:r>
        <w:rPr>
          <w:rFonts w:cs="Arial"/>
          <w:sz w:val="22"/>
          <w:szCs w:val="22"/>
        </w:rPr>
        <w:fldChar w:fldCharType="separate"/>
      </w:r>
      <w:r w:rsidR="007651EA">
        <w:rPr>
          <w:rFonts w:cs="Arial"/>
          <w:sz w:val="22"/>
          <w:szCs w:val="22"/>
        </w:rPr>
        <w:t>19.5.1.2</w:t>
      </w:r>
      <w:r>
        <w:rPr>
          <w:rFonts w:cs="Arial"/>
          <w:sz w:val="22"/>
          <w:szCs w:val="22"/>
        </w:rPr>
        <w:fldChar w:fldCharType="end"/>
      </w:r>
      <w:r>
        <w:rPr>
          <w:rFonts w:cs="Arial"/>
          <w:sz w:val="22"/>
          <w:szCs w:val="22"/>
        </w:rPr>
        <w:t>.</w:t>
      </w:r>
    </w:p>
    <w:p w14:paraId="6803914D" w14:textId="77777777" w:rsidR="00146943" w:rsidRPr="0028726C" w:rsidRDefault="00146943" w:rsidP="0028726C">
      <w:pPr>
        <w:rPr>
          <w:rFonts w:cs="Arial"/>
          <w:sz w:val="22"/>
          <w:szCs w:val="22"/>
        </w:rPr>
      </w:pPr>
    </w:p>
    <w:p w14:paraId="301ECD9F" w14:textId="77777777" w:rsidR="00C53D76" w:rsidRDefault="00C53D76" w:rsidP="0028726C">
      <w:pPr>
        <w:rPr>
          <w:rFonts w:cs="Arial"/>
          <w:sz w:val="22"/>
          <w:szCs w:val="22"/>
        </w:rPr>
      </w:pPr>
    </w:p>
    <w:p w14:paraId="08BCAB60" w14:textId="77777777" w:rsidR="00C53D76" w:rsidRDefault="0028726C" w:rsidP="000D05A3">
      <w:pPr>
        <w:pStyle w:val="Ttulo4"/>
      </w:pPr>
      <w:bookmarkStart w:id="790" w:name="_Ref132198348"/>
      <w:r w:rsidRPr="0028726C">
        <w:t>ASOENERGIA</w:t>
      </w:r>
      <w:bookmarkEnd w:id="790"/>
      <w:r w:rsidRPr="0028726C">
        <w:tab/>
      </w:r>
    </w:p>
    <w:p w14:paraId="2CC3B73B" w14:textId="41EA0C15" w:rsidR="0028726C" w:rsidRPr="00AD171D" w:rsidRDefault="00E15115" w:rsidP="0028726C">
      <w:pPr>
        <w:rPr>
          <w:rFonts w:cs="Arial"/>
          <w:i/>
          <w:iCs/>
          <w:sz w:val="22"/>
          <w:szCs w:val="22"/>
        </w:rPr>
      </w:pPr>
      <w:r>
        <w:rPr>
          <w:rFonts w:cs="Arial"/>
          <w:i/>
          <w:iCs/>
          <w:sz w:val="22"/>
          <w:szCs w:val="22"/>
        </w:rPr>
        <w:t>“</w:t>
      </w:r>
      <w:r w:rsidR="0028726C" w:rsidRPr="00AD171D">
        <w:rPr>
          <w:rFonts w:cs="Arial"/>
          <w:i/>
          <w:iCs/>
          <w:sz w:val="22"/>
          <w:szCs w:val="22"/>
        </w:rPr>
        <w:t xml:space="preserve">Consideramos que el hecho de comprometerse a un valor </w:t>
      </w:r>
      <w:r>
        <w:rPr>
          <w:rFonts w:cs="Arial"/>
          <w:i/>
          <w:iCs/>
          <w:sz w:val="22"/>
          <w:szCs w:val="22"/>
        </w:rPr>
        <w:t>‘</w:t>
      </w:r>
      <w:r w:rsidR="0028726C" w:rsidRPr="00AD171D">
        <w:rPr>
          <w:rFonts w:cs="Arial"/>
          <w:i/>
          <w:iCs/>
          <w:sz w:val="22"/>
          <w:szCs w:val="22"/>
        </w:rPr>
        <w:t>máximo</w:t>
      </w:r>
      <w:r>
        <w:rPr>
          <w:rFonts w:cs="Arial"/>
          <w:i/>
          <w:iCs/>
          <w:sz w:val="22"/>
          <w:szCs w:val="22"/>
        </w:rPr>
        <w:t>’</w:t>
      </w:r>
      <w:r w:rsidR="0028726C" w:rsidRPr="00AD171D">
        <w:rPr>
          <w:rFonts w:cs="Arial"/>
          <w:i/>
          <w:iCs/>
          <w:sz w:val="22"/>
          <w:szCs w:val="22"/>
        </w:rPr>
        <w:t xml:space="preserve"> para el caso de requerirse una subasta y considerando el proceso establecido, el cual establece el mecanismo obligatorio de subasta ante un balance deficitario, lo anterior sin establecer previamente el precio del gas natural en el mercado, es otro factor que puede conllevar a una escasez ficticia. Ante un precio no competitivo de gas natural, se puede dar el caso de que el comprador no decida realizar la compra del gas natural, lo cual puede conllevar a que, al final, no exista el </w:t>
      </w:r>
      <w:r w:rsidR="00A60919">
        <w:rPr>
          <w:rFonts w:cs="Arial"/>
          <w:i/>
          <w:iCs/>
          <w:sz w:val="22"/>
          <w:szCs w:val="22"/>
        </w:rPr>
        <w:t>‘</w:t>
      </w:r>
      <w:r w:rsidR="0028726C" w:rsidRPr="00AD171D">
        <w:rPr>
          <w:rFonts w:cs="Arial"/>
          <w:i/>
          <w:iCs/>
          <w:sz w:val="22"/>
          <w:szCs w:val="22"/>
        </w:rPr>
        <w:t>déficit</w:t>
      </w:r>
      <w:r w:rsidR="00A60919">
        <w:rPr>
          <w:rFonts w:cs="Arial"/>
          <w:i/>
          <w:iCs/>
          <w:sz w:val="22"/>
          <w:szCs w:val="22"/>
        </w:rPr>
        <w:t>’</w:t>
      </w:r>
      <w:r w:rsidR="0028726C" w:rsidRPr="00AD171D">
        <w:rPr>
          <w:rFonts w:cs="Arial"/>
          <w:i/>
          <w:iCs/>
          <w:sz w:val="22"/>
          <w:szCs w:val="22"/>
        </w:rPr>
        <w:t xml:space="preserve"> calculado. Sin embargo, dado que el mecanismo propuesto revela el precio después de la decisión de realizar una subasta o no, lo anterior conlleva a que se genere una subasta sin necesidad de hacerla, con las implicaciones en el precio del gas natural que conlleva este tipo de mecanismos.</w:t>
      </w:r>
      <w:r w:rsidR="00A60919">
        <w:rPr>
          <w:rFonts w:cs="Arial"/>
          <w:i/>
          <w:iCs/>
          <w:sz w:val="22"/>
          <w:szCs w:val="22"/>
        </w:rPr>
        <w:t>”</w:t>
      </w:r>
      <w:r w:rsidR="0028726C" w:rsidRPr="00AD171D">
        <w:rPr>
          <w:rFonts w:cs="Arial"/>
          <w:i/>
          <w:iCs/>
          <w:sz w:val="22"/>
          <w:szCs w:val="22"/>
        </w:rPr>
        <w:t xml:space="preserve"> </w:t>
      </w:r>
    </w:p>
    <w:p w14:paraId="7FDB3942" w14:textId="77777777" w:rsidR="00AD171D" w:rsidRDefault="00AD171D" w:rsidP="0028726C">
      <w:pPr>
        <w:rPr>
          <w:rFonts w:cs="Arial"/>
          <w:sz w:val="22"/>
          <w:szCs w:val="22"/>
        </w:rPr>
      </w:pPr>
    </w:p>
    <w:p w14:paraId="1C546152" w14:textId="166521E4" w:rsidR="00AD171D" w:rsidRPr="00AD171D" w:rsidRDefault="00AD171D" w:rsidP="0028726C">
      <w:pPr>
        <w:rPr>
          <w:rFonts w:cs="Arial"/>
          <w:b/>
          <w:bCs/>
          <w:sz w:val="22"/>
          <w:szCs w:val="22"/>
        </w:rPr>
      </w:pPr>
      <w:r w:rsidRPr="00AD171D">
        <w:rPr>
          <w:rFonts w:cs="Arial"/>
          <w:b/>
          <w:bCs/>
          <w:sz w:val="22"/>
          <w:szCs w:val="22"/>
        </w:rPr>
        <w:t>Respuesta:</w:t>
      </w:r>
    </w:p>
    <w:p w14:paraId="51BC8422" w14:textId="77777777" w:rsidR="00AD171D" w:rsidRDefault="00AD171D" w:rsidP="0028726C">
      <w:pPr>
        <w:rPr>
          <w:rFonts w:cs="Arial"/>
          <w:sz w:val="22"/>
          <w:szCs w:val="22"/>
        </w:rPr>
      </w:pPr>
    </w:p>
    <w:p w14:paraId="7C51F4E6" w14:textId="0AE16B59" w:rsidR="00AD171D" w:rsidRDefault="00E3026B" w:rsidP="0028726C">
      <w:pPr>
        <w:rPr>
          <w:rFonts w:cs="Arial"/>
          <w:sz w:val="22"/>
          <w:szCs w:val="22"/>
        </w:rPr>
      </w:pPr>
      <w:r>
        <w:rPr>
          <w:rFonts w:cs="Arial"/>
          <w:sz w:val="22"/>
          <w:szCs w:val="22"/>
        </w:rPr>
        <w:t>No se acoge el comentario.</w:t>
      </w:r>
    </w:p>
    <w:p w14:paraId="1B60B0FB" w14:textId="77777777" w:rsidR="00E3026B" w:rsidRDefault="00E3026B" w:rsidP="0028726C">
      <w:pPr>
        <w:rPr>
          <w:rFonts w:cs="Arial"/>
          <w:sz w:val="22"/>
          <w:szCs w:val="22"/>
        </w:rPr>
      </w:pPr>
    </w:p>
    <w:p w14:paraId="5451FDE5" w14:textId="5CD59B1B" w:rsidR="00F90E99" w:rsidRDefault="00E3026B" w:rsidP="0028726C">
      <w:pPr>
        <w:rPr>
          <w:rFonts w:cs="Arial"/>
          <w:sz w:val="22"/>
          <w:szCs w:val="22"/>
        </w:rPr>
      </w:pPr>
      <w:r>
        <w:rPr>
          <w:rFonts w:cs="Arial"/>
          <w:sz w:val="22"/>
          <w:szCs w:val="22"/>
        </w:rPr>
        <w:t xml:space="preserve">Para la propuesta </w:t>
      </w:r>
      <w:r w:rsidR="00530036">
        <w:rPr>
          <w:rFonts w:cs="Arial"/>
          <w:sz w:val="22"/>
          <w:szCs w:val="22"/>
        </w:rPr>
        <w:t xml:space="preserve">publicada </w:t>
      </w:r>
      <w:r w:rsidR="005C0459">
        <w:rPr>
          <w:rFonts w:cs="Arial"/>
          <w:sz w:val="22"/>
          <w:szCs w:val="22"/>
        </w:rPr>
        <w:t xml:space="preserve">por la CREG en la Resolución 226 de 2021, </w:t>
      </w:r>
      <w:r>
        <w:rPr>
          <w:rFonts w:cs="Arial"/>
          <w:sz w:val="22"/>
          <w:szCs w:val="22"/>
        </w:rPr>
        <w:t xml:space="preserve">se considera que las cantidades requeridas por el comprador declaradas al </w:t>
      </w:r>
      <w:r w:rsidR="005114C6">
        <w:rPr>
          <w:rFonts w:cs="Arial"/>
          <w:sz w:val="22"/>
          <w:szCs w:val="22"/>
        </w:rPr>
        <w:t>Gestor del Mercado</w:t>
      </w:r>
      <w:r>
        <w:rPr>
          <w:rFonts w:cs="Arial"/>
          <w:sz w:val="22"/>
          <w:szCs w:val="22"/>
        </w:rPr>
        <w:t xml:space="preserve"> en la segunda instancia para un punto de referencia dado y para un </w:t>
      </w:r>
      <w:r w:rsidR="009D22E9">
        <w:rPr>
          <w:rFonts w:cs="Arial"/>
          <w:sz w:val="22"/>
          <w:szCs w:val="22"/>
        </w:rPr>
        <w:t>trimestre estándar de ejecución</w:t>
      </w:r>
      <w:r>
        <w:rPr>
          <w:rFonts w:cs="Arial"/>
          <w:sz w:val="22"/>
          <w:szCs w:val="22"/>
        </w:rPr>
        <w:t xml:space="preserve"> dado, son aquellas que el comprador necesariamente debe adquirir porque considera que no puede esperar más trimestres de negociación futuros para asegurar ese suministro, siendo este el caso más evidente el de la Demanda Esencial de usuarios regulados. </w:t>
      </w:r>
    </w:p>
    <w:p w14:paraId="79C9D370" w14:textId="77777777" w:rsidR="00F90E99" w:rsidRDefault="00F90E99" w:rsidP="0028726C">
      <w:pPr>
        <w:rPr>
          <w:rFonts w:cs="Arial"/>
          <w:sz w:val="22"/>
          <w:szCs w:val="22"/>
        </w:rPr>
      </w:pPr>
    </w:p>
    <w:p w14:paraId="50A86D99" w14:textId="191EBA2E" w:rsidR="004B1D0B" w:rsidRDefault="00E3026B" w:rsidP="0028726C">
      <w:pPr>
        <w:rPr>
          <w:rFonts w:cs="Arial"/>
          <w:sz w:val="22"/>
          <w:szCs w:val="22"/>
        </w:rPr>
      </w:pPr>
      <w:r>
        <w:rPr>
          <w:rFonts w:cs="Arial"/>
          <w:sz w:val="22"/>
          <w:szCs w:val="22"/>
        </w:rPr>
        <w:t xml:space="preserve">Si el vendedor declara un </w:t>
      </w:r>
      <w:r w:rsidR="004B1D0B">
        <w:rPr>
          <w:rFonts w:cs="Arial"/>
          <w:sz w:val="22"/>
          <w:szCs w:val="22"/>
        </w:rPr>
        <w:t>precio de reserva</w:t>
      </w:r>
      <w:r>
        <w:rPr>
          <w:rFonts w:cs="Arial"/>
          <w:sz w:val="22"/>
          <w:szCs w:val="22"/>
        </w:rPr>
        <w:t xml:space="preserve"> </w:t>
      </w:r>
      <w:r w:rsidR="003761A8">
        <w:rPr>
          <w:rFonts w:cs="Arial"/>
          <w:sz w:val="22"/>
          <w:szCs w:val="22"/>
        </w:rPr>
        <w:t xml:space="preserve">para una fuente de suministro </w:t>
      </w:r>
      <w:r w:rsidR="00F11CC5">
        <w:rPr>
          <w:rFonts w:cs="Arial"/>
          <w:sz w:val="22"/>
          <w:szCs w:val="22"/>
        </w:rPr>
        <w:t xml:space="preserve">que hace parte de ese punto de referencia, con </w:t>
      </w:r>
      <w:r>
        <w:rPr>
          <w:rFonts w:cs="Arial"/>
          <w:sz w:val="22"/>
          <w:szCs w:val="22"/>
        </w:rPr>
        <w:t xml:space="preserve">un valor </w:t>
      </w:r>
      <w:r w:rsidR="00530036">
        <w:rPr>
          <w:rFonts w:cs="Arial"/>
          <w:sz w:val="22"/>
          <w:szCs w:val="22"/>
        </w:rPr>
        <w:t xml:space="preserve">considerado </w:t>
      </w:r>
      <w:r>
        <w:rPr>
          <w:rFonts w:cs="Arial"/>
          <w:sz w:val="22"/>
          <w:szCs w:val="22"/>
        </w:rPr>
        <w:t>alto, en cumplimiento de las reglas de comportamiento establecidas en la Resolución  CREG 080 de 2019 o aquellas que la modifiquen o sustituyan</w:t>
      </w:r>
      <w:r w:rsidR="00530036">
        <w:rPr>
          <w:rFonts w:cs="Arial"/>
          <w:sz w:val="22"/>
          <w:szCs w:val="22"/>
        </w:rPr>
        <w:t xml:space="preserve"> y sin que pueda conocer </w:t>
      </w:r>
      <w:r w:rsidR="00F11CC5">
        <w:rPr>
          <w:rFonts w:cs="Arial"/>
          <w:sz w:val="22"/>
          <w:szCs w:val="22"/>
        </w:rPr>
        <w:t xml:space="preserve">el vendedor </w:t>
      </w:r>
      <w:r w:rsidR="00530036">
        <w:rPr>
          <w:rFonts w:cs="Arial"/>
          <w:sz w:val="22"/>
          <w:szCs w:val="22"/>
        </w:rPr>
        <w:t xml:space="preserve">en el momento de </w:t>
      </w:r>
      <w:r w:rsidR="00F11CC5">
        <w:rPr>
          <w:rFonts w:cs="Arial"/>
          <w:sz w:val="22"/>
          <w:szCs w:val="22"/>
        </w:rPr>
        <w:t>su</w:t>
      </w:r>
      <w:r w:rsidR="00530036">
        <w:rPr>
          <w:rFonts w:cs="Arial"/>
          <w:sz w:val="22"/>
          <w:szCs w:val="22"/>
        </w:rPr>
        <w:t xml:space="preserve"> declaración de precios de reserva si hay cantidades suficientes </w:t>
      </w:r>
      <w:r w:rsidR="00F11CC5">
        <w:rPr>
          <w:rFonts w:cs="Arial"/>
          <w:sz w:val="22"/>
          <w:szCs w:val="22"/>
        </w:rPr>
        <w:t xml:space="preserve">en ese punto de referencia </w:t>
      </w:r>
      <w:r w:rsidR="00530036">
        <w:rPr>
          <w:rFonts w:cs="Arial"/>
          <w:sz w:val="22"/>
          <w:szCs w:val="22"/>
        </w:rPr>
        <w:t xml:space="preserve">no solo para atender la Demanda Esencial requerida sino también para </w:t>
      </w:r>
      <w:r w:rsidR="00F11CC5">
        <w:rPr>
          <w:rFonts w:cs="Arial"/>
          <w:sz w:val="22"/>
          <w:szCs w:val="22"/>
        </w:rPr>
        <w:t xml:space="preserve">atender parte de </w:t>
      </w:r>
      <w:r w:rsidR="00530036">
        <w:rPr>
          <w:rFonts w:cs="Arial"/>
          <w:sz w:val="22"/>
          <w:szCs w:val="22"/>
        </w:rPr>
        <w:t>la</w:t>
      </w:r>
      <w:r w:rsidR="00F11CC5">
        <w:rPr>
          <w:rFonts w:cs="Arial"/>
          <w:sz w:val="22"/>
          <w:szCs w:val="22"/>
        </w:rPr>
        <w:t>s cantidades requeridas por la</w:t>
      </w:r>
      <w:r w:rsidR="00530036">
        <w:rPr>
          <w:rFonts w:cs="Arial"/>
          <w:sz w:val="22"/>
          <w:szCs w:val="22"/>
        </w:rPr>
        <w:t xml:space="preserve"> demás demanda, puede ocurrir que el vendedor no venda en la subasta los excedentes </w:t>
      </w:r>
      <w:r w:rsidR="00F11CC5">
        <w:rPr>
          <w:rFonts w:cs="Arial"/>
          <w:sz w:val="22"/>
          <w:szCs w:val="22"/>
        </w:rPr>
        <w:t xml:space="preserve">para la demás demanda </w:t>
      </w:r>
      <w:r w:rsidR="00530036">
        <w:rPr>
          <w:rFonts w:cs="Arial"/>
          <w:sz w:val="22"/>
          <w:szCs w:val="22"/>
        </w:rPr>
        <w:t xml:space="preserve">de gas natural para el </w:t>
      </w:r>
      <w:r w:rsidR="009D22E9">
        <w:rPr>
          <w:rFonts w:cs="Arial"/>
          <w:sz w:val="22"/>
          <w:szCs w:val="22"/>
        </w:rPr>
        <w:t>trimestre estándar de ejecución</w:t>
      </w:r>
      <w:r w:rsidR="00530036">
        <w:rPr>
          <w:rFonts w:cs="Arial"/>
          <w:sz w:val="22"/>
          <w:szCs w:val="22"/>
        </w:rPr>
        <w:t xml:space="preserve"> futuro, al menos en ese trimestre de negociació</w:t>
      </w:r>
      <w:r w:rsidR="003761A8">
        <w:rPr>
          <w:rFonts w:cs="Arial"/>
          <w:sz w:val="22"/>
          <w:szCs w:val="22"/>
        </w:rPr>
        <w:t xml:space="preserve">n; en ese caso se deben suscribir los contratos para atender las cantidades de la Demanda Esencial requerida en la segunda instancia de declaración de los compradores al </w:t>
      </w:r>
      <w:r w:rsidR="005114C6">
        <w:rPr>
          <w:rFonts w:cs="Arial"/>
          <w:sz w:val="22"/>
          <w:szCs w:val="22"/>
        </w:rPr>
        <w:t>Gestor del Mercado</w:t>
      </w:r>
      <w:r w:rsidR="003761A8">
        <w:rPr>
          <w:rFonts w:cs="Arial"/>
          <w:sz w:val="22"/>
          <w:szCs w:val="22"/>
        </w:rPr>
        <w:t>, a ese precio de reserva</w:t>
      </w:r>
      <w:r w:rsidR="00530036">
        <w:rPr>
          <w:rFonts w:cs="Arial"/>
          <w:sz w:val="22"/>
          <w:szCs w:val="22"/>
        </w:rPr>
        <w:t xml:space="preserve">. </w:t>
      </w:r>
    </w:p>
    <w:p w14:paraId="44CD52E2" w14:textId="77777777" w:rsidR="004B1D0B" w:rsidRDefault="004B1D0B" w:rsidP="0028726C">
      <w:pPr>
        <w:rPr>
          <w:rFonts w:cs="Arial"/>
          <w:sz w:val="22"/>
          <w:szCs w:val="22"/>
        </w:rPr>
      </w:pPr>
    </w:p>
    <w:p w14:paraId="6155592B" w14:textId="2DA9B165" w:rsidR="00E3026B" w:rsidRDefault="00530036" w:rsidP="0028726C">
      <w:pPr>
        <w:rPr>
          <w:rFonts w:cs="Arial"/>
          <w:sz w:val="22"/>
          <w:szCs w:val="22"/>
        </w:rPr>
      </w:pPr>
      <w:r>
        <w:rPr>
          <w:rFonts w:cs="Arial"/>
          <w:sz w:val="22"/>
          <w:szCs w:val="22"/>
        </w:rPr>
        <w:t xml:space="preserve">Si en un trimestre de negociación posterior ocurre de nuevo que para el mismo </w:t>
      </w:r>
      <w:r w:rsidR="009D22E9">
        <w:rPr>
          <w:rFonts w:cs="Arial"/>
          <w:sz w:val="22"/>
          <w:szCs w:val="22"/>
        </w:rPr>
        <w:t>trimestre estándar de ejecución</w:t>
      </w:r>
      <w:r>
        <w:rPr>
          <w:rFonts w:cs="Arial"/>
          <w:sz w:val="22"/>
          <w:szCs w:val="22"/>
        </w:rPr>
        <w:t xml:space="preserve"> futuro se requiere aplicar el mecanismo de subasta centralizada y el vendedor declara un precio de reserva inferior al declarado en </w:t>
      </w:r>
      <w:r w:rsidR="00F11CC5">
        <w:rPr>
          <w:rFonts w:cs="Arial"/>
          <w:sz w:val="22"/>
          <w:szCs w:val="22"/>
        </w:rPr>
        <w:t xml:space="preserve">la </w:t>
      </w:r>
      <w:r>
        <w:rPr>
          <w:rFonts w:cs="Arial"/>
          <w:sz w:val="22"/>
          <w:szCs w:val="22"/>
        </w:rPr>
        <w:t>oportunidad anterior</w:t>
      </w:r>
      <w:r w:rsidR="003761A8">
        <w:rPr>
          <w:rFonts w:cs="Arial"/>
          <w:sz w:val="22"/>
          <w:szCs w:val="22"/>
        </w:rPr>
        <w:t xml:space="preserve"> para esa misma fuente de suministro y ese mismo </w:t>
      </w:r>
      <w:r w:rsidR="009D22E9">
        <w:rPr>
          <w:rFonts w:cs="Arial"/>
          <w:sz w:val="22"/>
          <w:szCs w:val="22"/>
        </w:rPr>
        <w:t>trimestre estándar de ejecución</w:t>
      </w:r>
      <w:r w:rsidR="003761A8">
        <w:rPr>
          <w:rFonts w:cs="Arial"/>
          <w:sz w:val="22"/>
          <w:szCs w:val="22"/>
        </w:rPr>
        <w:t>, podría estar incurriendo en una violación a las reglas de comportamiento.</w:t>
      </w:r>
      <w:r w:rsidR="00F90E99">
        <w:rPr>
          <w:rFonts w:cs="Arial"/>
          <w:sz w:val="22"/>
          <w:szCs w:val="22"/>
        </w:rPr>
        <w:t xml:space="preserve"> Incluso cuando se da el caso </w:t>
      </w:r>
      <w:proofErr w:type="gramStart"/>
      <w:r w:rsidR="00F90E99">
        <w:rPr>
          <w:rFonts w:cs="Arial"/>
          <w:sz w:val="22"/>
          <w:szCs w:val="22"/>
        </w:rPr>
        <w:t>que</w:t>
      </w:r>
      <w:proofErr w:type="gramEnd"/>
      <w:r w:rsidR="00F90E99">
        <w:rPr>
          <w:rFonts w:cs="Arial"/>
          <w:sz w:val="22"/>
          <w:szCs w:val="22"/>
        </w:rPr>
        <w:t xml:space="preserve"> para trimestres de suministro anteriores o posteriores al trimestre con balance comercial deficitario, haya contratado en negociaciones directas, precios inferiores para la misma fuente de suministro.</w:t>
      </w:r>
    </w:p>
    <w:p w14:paraId="553ADF7D" w14:textId="77777777" w:rsidR="005C0459" w:rsidRDefault="005C0459" w:rsidP="0028726C">
      <w:pPr>
        <w:rPr>
          <w:rFonts w:cs="Arial"/>
          <w:sz w:val="22"/>
          <w:szCs w:val="22"/>
        </w:rPr>
      </w:pPr>
    </w:p>
    <w:p w14:paraId="6C2A1726" w14:textId="4D2991BE" w:rsidR="005C0459" w:rsidRDefault="005C0459" w:rsidP="00577E48">
      <w:pPr>
        <w:rPr>
          <w:rFonts w:cs="Arial"/>
          <w:sz w:val="22"/>
          <w:szCs w:val="22"/>
        </w:rPr>
      </w:pPr>
      <w:r>
        <w:rPr>
          <w:rFonts w:cs="Arial"/>
          <w:sz w:val="22"/>
          <w:szCs w:val="22"/>
        </w:rPr>
        <w:t>En el caso anterior, a pesar de que n</w:t>
      </w:r>
      <w:r w:rsidR="00F11CC5">
        <w:rPr>
          <w:rFonts w:cs="Arial"/>
          <w:sz w:val="22"/>
          <w:szCs w:val="22"/>
        </w:rPr>
        <w:t>o</w:t>
      </w:r>
      <w:r>
        <w:rPr>
          <w:rFonts w:cs="Arial"/>
          <w:sz w:val="22"/>
          <w:szCs w:val="22"/>
        </w:rPr>
        <w:t xml:space="preserve"> hay asignaciones de cantidades subastadas, sí quedan esas mismas cantidades disponibles pa</w:t>
      </w:r>
      <w:r w:rsidR="00F11CC5">
        <w:rPr>
          <w:rFonts w:cs="Arial"/>
          <w:sz w:val="22"/>
          <w:szCs w:val="22"/>
        </w:rPr>
        <w:t>r</w:t>
      </w:r>
      <w:r>
        <w:rPr>
          <w:rFonts w:cs="Arial"/>
          <w:sz w:val="22"/>
          <w:szCs w:val="22"/>
        </w:rPr>
        <w:t>a la venta en los trimestres de negociación siguientes. Es posible entonces que en futuros trimestres de negociación se diese el caso de que</w:t>
      </w:r>
      <w:r w:rsidR="00F11CC5">
        <w:rPr>
          <w:rFonts w:cs="Arial"/>
          <w:sz w:val="22"/>
          <w:szCs w:val="22"/>
        </w:rPr>
        <w:t>,</w:t>
      </w:r>
      <w:r>
        <w:rPr>
          <w:rFonts w:cs="Arial"/>
          <w:sz w:val="22"/>
          <w:szCs w:val="22"/>
        </w:rPr>
        <w:t xml:space="preserve"> para el mismo trimestre futuro de suministro, mismo punto de referencia y misma fuente de suministro se presente un balance comercial superavitario, que lleva a proceder con negociaciones directas, que debería</w:t>
      </w:r>
      <w:r w:rsidR="00F11CC5">
        <w:rPr>
          <w:rFonts w:cs="Arial"/>
          <w:sz w:val="22"/>
          <w:szCs w:val="22"/>
        </w:rPr>
        <w:t>n</w:t>
      </w:r>
      <w:r>
        <w:rPr>
          <w:rFonts w:cs="Arial"/>
          <w:sz w:val="22"/>
          <w:szCs w:val="22"/>
        </w:rPr>
        <w:t xml:space="preserve"> llevar a precios superiores al precio de reserva declarado en el anterior trimestre de negociación en que se dio el balance deficitario con resultados de subasta sin asignación de cantidades</w:t>
      </w:r>
      <w:r w:rsidR="00F11CC5">
        <w:rPr>
          <w:rFonts w:cs="Arial"/>
          <w:sz w:val="22"/>
          <w:szCs w:val="22"/>
        </w:rPr>
        <w:t xml:space="preserve"> para la demanda que no es Demanda Esencial requerida</w:t>
      </w:r>
      <w:r>
        <w:rPr>
          <w:rFonts w:cs="Arial"/>
          <w:sz w:val="22"/>
          <w:szCs w:val="22"/>
        </w:rPr>
        <w:t xml:space="preserve">. Sería bastante extraño que se diese el caso de que en negociaciones directas el precio negociado sea inferior al precio de reserva declarado para esa misma fuente de suministro y ese mismo </w:t>
      </w:r>
      <w:r w:rsidR="009D22E9">
        <w:rPr>
          <w:rFonts w:cs="Arial"/>
          <w:sz w:val="22"/>
          <w:szCs w:val="22"/>
        </w:rPr>
        <w:t>trimestre estándar de ejecución</w:t>
      </w:r>
      <w:r w:rsidR="00F11CC5">
        <w:rPr>
          <w:rFonts w:cs="Arial"/>
          <w:sz w:val="22"/>
          <w:szCs w:val="22"/>
        </w:rPr>
        <w:t>, siendo que el precio de reserva se define</w:t>
      </w:r>
      <w:r w:rsidR="00577E48">
        <w:rPr>
          <w:rFonts w:cs="Arial"/>
          <w:sz w:val="22"/>
          <w:szCs w:val="22"/>
        </w:rPr>
        <w:t xml:space="preserve"> como </w:t>
      </w:r>
      <w:r w:rsidR="00577E48" w:rsidRPr="00577E48">
        <w:rPr>
          <w:rFonts w:cs="Arial"/>
          <w:sz w:val="22"/>
          <w:szCs w:val="22"/>
        </w:rPr>
        <w:t>precio mínimo al cual se ofrece para</w:t>
      </w:r>
      <w:r w:rsidR="00577E48">
        <w:rPr>
          <w:rFonts w:cs="Arial"/>
          <w:sz w:val="22"/>
          <w:szCs w:val="22"/>
        </w:rPr>
        <w:t xml:space="preserve"> </w:t>
      </w:r>
      <w:r w:rsidR="00577E48" w:rsidRPr="00577E48">
        <w:rPr>
          <w:rFonts w:cs="Arial"/>
          <w:sz w:val="22"/>
          <w:szCs w:val="22"/>
        </w:rPr>
        <w:t>la venta un producto en una subasta.</w:t>
      </w:r>
      <w:r w:rsidR="004B1D0B">
        <w:rPr>
          <w:rFonts w:cs="Arial"/>
          <w:sz w:val="22"/>
          <w:szCs w:val="22"/>
        </w:rPr>
        <w:t xml:space="preserve"> Por ello se espera que el Precio de Reserva realmente refleje el precio mínimo al cual </w:t>
      </w:r>
      <w:r w:rsidR="004B1D0B" w:rsidRPr="004B1D0B">
        <w:rPr>
          <w:rFonts w:cs="Arial"/>
          <w:sz w:val="22"/>
          <w:szCs w:val="22"/>
        </w:rPr>
        <w:t xml:space="preserve">mínimo </w:t>
      </w:r>
      <w:r w:rsidR="004B1D0B">
        <w:rPr>
          <w:rFonts w:cs="Arial"/>
          <w:sz w:val="22"/>
          <w:szCs w:val="22"/>
        </w:rPr>
        <w:t>que</w:t>
      </w:r>
      <w:r w:rsidR="004B1D0B" w:rsidRPr="004B1D0B">
        <w:rPr>
          <w:rFonts w:cs="Arial"/>
          <w:sz w:val="22"/>
          <w:szCs w:val="22"/>
        </w:rPr>
        <w:t xml:space="preserve"> </w:t>
      </w:r>
      <w:r w:rsidR="004B1D0B">
        <w:rPr>
          <w:rFonts w:cs="Arial"/>
          <w:sz w:val="22"/>
          <w:szCs w:val="22"/>
        </w:rPr>
        <w:t>un vendedor puede ofrecer</w:t>
      </w:r>
      <w:r w:rsidR="004B1D0B" w:rsidRPr="004B1D0B">
        <w:rPr>
          <w:rFonts w:cs="Arial"/>
          <w:sz w:val="22"/>
          <w:szCs w:val="22"/>
        </w:rPr>
        <w:t xml:space="preserve"> para la venta gas natural en una subasta o en un mecanismo de concurrencia de interesados en comprar gas</w:t>
      </w:r>
    </w:p>
    <w:p w14:paraId="24A438E9" w14:textId="77777777" w:rsidR="00E3026B" w:rsidRDefault="00E3026B" w:rsidP="0028726C">
      <w:pPr>
        <w:rPr>
          <w:rFonts w:cs="Arial"/>
          <w:sz w:val="22"/>
          <w:szCs w:val="22"/>
        </w:rPr>
      </w:pPr>
    </w:p>
    <w:p w14:paraId="37179287" w14:textId="77777777" w:rsidR="00C53D76" w:rsidRDefault="00C53D76" w:rsidP="0028726C">
      <w:pPr>
        <w:rPr>
          <w:rFonts w:cs="Arial"/>
          <w:sz w:val="22"/>
          <w:szCs w:val="22"/>
        </w:rPr>
      </w:pPr>
    </w:p>
    <w:p w14:paraId="75A77392" w14:textId="77777777" w:rsidR="00C53D76" w:rsidRDefault="0028726C" w:rsidP="000D05A3">
      <w:pPr>
        <w:pStyle w:val="Ttulo4"/>
      </w:pPr>
      <w:bookmarkStart w:id="791" w:name="_Ref132619310"/>
      <w:r w:rsidRPr="0028726C">
        <w:t>ASOENERGIA</w:t>
      </w:r>
      <w:bookmarkEnd w:id="791"/>
      <w:r w:rsidRPr="0028726C">
        <w:tab/>
      </w:r>
    </w:p>
    <w:p w14:paraId="7276B99C" w14:textId="0F5F90A0" w:rsidR="00C53D76" w:rsidRPr="00577E48" w:rsidRDefault="00CE09D1" w:rsidP="0028726C">
      <w:pPr>
        <w:rPr>
          <w:rFonts w:cs="Arial"/>
          <w:i/>
          <w:iCs/>
          <w:sz w:val="22"/>
          <w:szCs w:val="22"/>
        </w:rPr>
      </w:pPr>
      <w:r>
        <w:rPr>
          <w:rFonts w:cs="Arial"/>
          <w:i/>
          <w:iCs/>
          <w:sz w:val="22"/>
          <w:szCs w:val="22"/>
        </w:rPr>
        <w:t>“</w:t>
      </w:r>
      <w:r w:rsidR="0028726C" w:rsidRPr="00577E48">
        <w:rPr>
          <w:rFonts w:cs="Arial"/>
          <w:i/>
          <w:iCs/>
          <w:sz w:val="22"/>
          <w:szCs w:val="22"/>
        </w:rPr>
        <w:t xml:space="preserve">En consideración con lo establecido en el literal i (del presente </w:t>
      </w:r>
      <w:proofErr w:type="spellStart"/>
      <w:r w:rsidR="0028726C" w:rsidRPr="00577E48">
        <w:rPr>
          <w:rFonts w:cs="Arial"/>
          <w:i/>
          <w:iCs/>
          <w:sz w:val="22"/>
          <w:szCs w:val="22"/>
        </w:rPr>
        <w:t>excel</w:t>
      </w:r>
      <w:proofErr w:type="spellEnd"/>
      <w:r w:rsidR="0028726C" w:rsidRPr="00577E48">
        <w:rPr>
          <w:rFonts w:cs="Arial"/>
          <w:i/>
          <w:iCs/>
          <w:sz w:val="22"/>
          <w:szCs w:val="22"/>
        </w:rPr>
        <w:t xml:space="preserve">), el caso excedentario está estableciendo un mecanismo de asignación mas no un mecanismo del desarrollo eficiente de un </w:t>
      </w:r>
    </w:p>
    <w:p w14:paraId="53A5F1E6" w14:textId="05EF4613" w:rsidR="0028726C" w:rsidRPr="00577E48" w:rsidRDefault="0028726C" w:rsidP="0028726C">
      <w:pPr>
        <w:rPr>
          <w:rFonts w:cs="Arial"/>
          <w:i/>
          <w:iCs/>
          <w:sz w:val="22"/>
          <w:szCs w:val="22"/>
        </w:rPr>
      </w:pPr>
      <w:r w:rsidRPr="00577E48">
        <w:rPr>
          <w:rFonts w:cs="Arial"/>
          <w:i/>
          <w:iCs/>
          <w:sz w:val="22"/>
          <w:szCs w:val="22"/>
        </w:rPr>
        <w:t>precio de gas natural entre una oferta y una demanda.</w:t>
      </w:r>
      <w:r w:rsidR="00CC424D">
        <w:rPr>
          <w:rFonts w:cs="Arial"/>
          <w:i/>
          <w:iCs/>
          <w:sz w:val="22"/>
          <w:szCs w:val="22"/>
        </w:rPr>
        <w:t>”</w:t>
      </w:r>
      <w:r w:rsidRPr="00577E48">
        <w:rPr>
          <w:rFonts w:cs="Arial"/>
          <w:i/>
          <w:iCs/>
          <w:sz w:val="22"/>
          <w:szCs w:val="22"/>
        </w:rPr>
        <w:t xml:space="preserve"> </w:t>
      </w:r>
    </w:p>
    <w:p w14:paraId="600A0B72" w14:textId="77777777" w:rsidR="00577E48" w:rsidRDefault="00577E48" w:rsidP="0028726C">
      <w:pPr>
        <w:rPr>
          <w:rFonts w:cs="Arial"/>
          <w:sz w:val="22"/>
          <w:szCs w:val="22"/>
        </w:rPr>
      </w:pPr>
    </w:p>
    <w:p w14:paraId="6DD6A0C2" w14:textId="03537E74" w:rsidR="00577E48" w:rsidRPr="00577E48" w:rsidRDefault="00577E48" w:rsidP="0028726C">
      <w:pPr>
        <w:rPr>
          <w:rFonts w:cs="Arial"/>
          <w:b/>
          <w:bCs/>
          <w:sz w:val="22"/>
          <w:szCs w:val="22"/>
        </w:rPr>
      </w:pPr>
      <w:r w:rsidRPr="00577E48">
        <w:rPr>
          <w:rFonts w:cs="Arial"/>
          <w:b/>
          <w:bCs/>
          <w:sz w:val="22"/>
          <w:szCs w:val="22"/>
        </w:rPr>
        <w:t>Respuesta:</w:t>
      </w:r>
    </w:p>
    <w:p w14:paraId="2CCFE494" w14:textId="77777777" w:rsidR="00577E48" w:rsidRDefault="00577E48" w:rsidP="0028726C">
      <w:pPr>
        <w:rPr>
          <w:rFonts w:cs="Arial"/>
          <w:sz w:val="22"/>
          <w:szCs w:val="22"/>
        </w:rPr>
      </w:pPr>
    </w:p>
    <w:p w14:paraId="6C50EAB3" w14:textId="3CBDC1C5" w:rsidR="00577E48" w:rsidRDefault="00577E48" w:rsidP="0028726C">
      <w:pPr>
        <w:rPr>
          <w:rFonts w:cs="Arial"/>
          <w:sz w:val="22"/>
          <w:szCs w:val="22"/>
        </w:rPr>
      </w:pPr>
      <w:r>
        <w:rPr>
          <w:rFonts w:cs="Arial"/>
          <w:sz w:val="22"/>
          <w:szCs w:val="22"/>
        </w:rPr>
        <w:t>No se acoge el comentario.</w:t>
      </w:r>
    </w:p>
    <w:p w14:paraId="07E13851" w14:textId="77777777" w:rsidR="00577E48" w:rsidRDefault="00577E48" w:rsidP="0028726C">
      <w:pPr>
        <w:rPr>
          <w:rFonts w:cs="Arial"/>
          <w:sz w:val="22"/>
          <w:szCs w:val="22"/>
        </w:rPr>
      </w:pPr>
    </w:p>
    <w:p w14:paraId="5EDE9FD7" w14:textId="0E774532" w:rsidR="00577E48" w:rsidRDefault="00577E48" w:rsidP="0028726C">
      <w:pPr>
        <w:rPr>
          <w:rFonts w:cs="Arial"/>
          <w:sz w:val="22"/>
          <w:szCs w:val="22"/>
        </w:rPr>
      </w:pPr>
      <w:r>
        <w:rPr>
          <w:rFonts w:cs="Arial"/>
          <w:sz w:val="22"/>
          <w:szCs w:val="22"/>
        </w:rPr>
        <w:t xml:space="preserve">En el caso de resultar un </w:t>
      </w:r>
      <w:r w:rsidR="009D22E9">
        <w:rPr>
          <w:rFonts w:cs="Arial"/>
          <w:sz w:val="22"/>
          <w:szCs w:val="22"/>
        </w:rPr>
        <w:t>trimestre estándar de ejecución</w:t>
      </w:r>
      <w:r>
        <w:rPr>
          <w:rFonts w:cs="Arial"/>
          <w:sz w:val="22"/>
          <w:szCs w:val="22"/>
        </w:rPr>
        <w:t xml:space="preserve"> con balance excedentario, proceden las negociaciones directas</w:t>
      </w:r>
      <w:r w:rsidR="00E55612">
        <w:rPr>
          <w:rFonts w:cs="Arial"/>
          <w:sz w:val="22"/>
          <w:szCs w:val="22"/>
        </w:rPr>
        <w:t xml:space="preserve"> entre vendedores y compradores</w:t>
      </w:r>
      <w:r>
        <w:rPr>
          <w:rFonts w:cs="Arial"/>
          <w:sz w:val="22"/>
          <w:szCs w:val="22"/>
        </w:rPr>
        <w:t xml:space="preserve">, en el que las partes pueden negociar libremente el precio con las cantidades que se negociarían </w:t>
      </w:r>
      <w:r w:rsidR="00E55612">
        <w:rPr>
          <w:rFonts w:cs="Arial"/>
          <w:sz w:val="22"/>
          <w:szCs w:val="22"/>
        </w:rPr>
        <w:t>de un modo bastante similar al</w:t>
      </w:r>
      <w:r>
        <w:rPr>
          <w:rFonts w:cs="Arial"/>
          <w:sz w:val="22"/>
          <w:szCs w:val="22"/>
        </w:rPr>
        <w:t xml:space="preserve"> que hoy en día se negocian</w:t>
      </w:r>
      <w:r w:rsidR="00E55612">
        <w:rPr>
          <w:rFonts w:cs="Arial"/>
          <w:sz w:val="22"/>
          <w:szCs w:val="22"/>
        </w:rPr>
        <w:t xml:space="preserve"> directamente</w:t>
      </w:r>
      <w:r>
        <w:rPr>
          <w:rFonts w:cs="Arial"/>
          <w:sz w:val="22"/>
          <w:szCs w:val="22"/>
        </w:rPr>
        <w:t>.</w:t>
      </w:r>
    </w:p>
    <w:p w14:paraId="27D7EDB7" w14:textId="77777777" w:rsidR="00577E48" w:rsidRDefault="00577E48" w:rsidP="0028726C">
      <w:pPr>
        <w:rPr>
          <w:rFonts w:cs="Arial"/>
          <w:sz w:val="22"/>
          <w:szCs w:val="22"/>
        </w:rPr>
      </w:pPr>
    </w:p>
    <w:p w14:paraId="73FA9400" w14:textId="29CD9915" w:rsidR="00577E48" w:rsidRDefault="00577E48" w:rsidP="0028726C">
      <w:pPr>
        <w:rPr>
          <w:rFonts w:cs="Arial"/>
          <w:sz w:val="22"/>
          <w:szCs w:val="22"/>
        </w:rPr>
      </w:pPr>
      <w:r>
        <w:rPr>
          <w:rFonts w:cs="Arial"/>
          <w:sz w:val="22"/>
          <w:szCs w:val="22"/>
        </w:rPr>
        <w:t xml:space="preserve">Lo que no puede ocurrir es que un comprador no logre negociar las cantidades requeridas declaradas al </w:t>
      </w:r>
      <w:r w:rsidR="005114C6">
        <w:rPr>
          <w:rFonts w:cs="Arial"/>
          <w:sz w:val="22"/>
          <w:szCs w:val="22"/>
        </w:rPr>
        <w:t>Gestor del Mercado</w:t>
      </w:r>
      <w:r>
        <w:rPr>
          <w:rFonts w:cs="Arial"/>
          <w:sz w:val="22"/>
          <w:szCs w:val="22"/>
        </w:rPr>
        <w:t xml:space="preserve"> para un punto de referencia </w:t>
      </w:r>
      <w:r w:rsidR="00E55612">
        <w:rPr>
          <w:rFonts w:cs="Arial"/>
          <w:sz w:val="22"/>
          <w:szCs w:val="22"/>
        </w:rPr>
        <w:t xml:space="preserve">en la segunda instancia. Es por ello </w:t>
      </w:r>
      <w:proofErr w:type="gramStart"/>
      <w:r w:rsidR="00E55612">
        <w:rPr>
          <w:rFonts w:cs="Arial"/>
          <w:sz w:val="22"/>
          <w:szCs w:val="22"/>
        </w:rPr>
        <w:t>que</w:t>
      </w:r>
      <w:proofErr w:type="gramEnd"/>
      <w:r w:rsidR="00E55612">
        <w:rPr>
          <w:rFonts w:cs="Arial"/>
          <w:sz w:val="22"/>
          <w:szCs w:val="22"/>
        </w:rPr>
        <w:t xml:space="preserve"> en la nueva propuesta se establecen dos etapas de negociación cuando se da el caso de un trimestre superavitario.</w:t>
      </w:r>
      <w:r>
        <w:rPr>
          <w:rFonts w:cs="Arial"/>
          <w:sz w:val="22"/>
          <w:szCs w:val="22"/>
        </w:rPr>
        <w:t xml:space="preserve"> </w:t>
      </w:r>
    </w:p>
    <w:p w14:paraId="53A0A67F" w14:textId="77777777" w:rsidR="00577E48" w:rsidRDefault="00577E48" w:rsidP="0028726C">
      <w:pPr>
        <w:rPr>
          <w:rFonts w:cs="Arial"/>
          <w:sz w:val="22"/>
          <w:szCs w:val="22"/>
        </w:rPr>
      </w:pPr>
    </w:p>
    <w:p w14:paraId="00265C29" w14:textId="77777777" w:rsidR="00C53D76" w:rsidRDefault="00C53D76" w:rsidP="0028726C">
      <w:pPr>
        <w:rPr>
          <w:rFonts w:cs="Arial"/>
          <w:sz w:val="22"/>
          <w:szCs w:val="22"/>
        </w:rPr>
      </w:pPr>
    </w:p>
    <w:p w14:paraId="510AE250" w14:textId="77777777" w:rsidR="00C53D76" w:rsidRDefault="0028726C" w:rsidP="000D05A3">
      <w:pPr>
        <w:pStyle w:val="Ttulo4"/>
      </w:pPr>
      <w:r w:rsidRPr="0028726C">
        <w:t>ASOENERGIA</w:t>
      </w:r>
      <w:r w:rsidRPr="0028726C">
        <w:tab/>
      </w:r>
    </w:p>
    <w:p w14:paraId="01CB8BE2" w14:textId="5F0124F7" w:rsidR="0028726C" w:rsidRDefault="00CC424D" w:rsidP="0028726C">
      <w:pPr>
        <w:rPr>
          <w:rFonts w:cs="Arial"/>
          <w:sz w:val="22"/>
          <w:szCs w:val="22"/>
        </w:rPr>
      </w:pPr>
      <w:r>
        <w:rPr>
          <w:rFonts w:cs="Arial"/>
          <w:i/>
          <w:iCs/>
          <w:sz w:val="22"/>
          <w:szCs w:val="22"/>
        </w:rPr>
        <w:t>“</w:t>
      </w:r>
      <w:r w:rsidR="0028726C" w:rsidRPr="00227706">
        <w:rPr>
          <w:rFonts w:cs="Arial"/>
          <w:i/>
          <w:iCs/>
          <w:sz w:val="22"/>
          <w:szCs w:val="22"/>
        </w:rPr>
        <w:t>Celebramos el cambio en el sentido de que flexibiliza el mecanismo de contratación al darle la posibilidad a los agentes de negociar el gas natural más de una vez al año</w:t>
      </w:r>
      <w:r w:rsidR="0028726C" w:rsidRPr="0028726C">
        <w:rPr>
          <w:rFonts w:cs="Arial"/>
          <w:sz w:val="22"/>
          <w:szCs w:val="22"/>
        </w:rPr>
        <w:t>.</w:t>
      </w:r>
      <w:r>
        <w:rPr>
          <w:rFonts w:cs="Arial"/>
          <w:sz w:val="22"/>
          <w:szCs w:val="22"/>
        </w:rPr>
        <w:t>”</w:t>
      </w:r>
    </w:p>
    <w:p w14:paraId="6F8DFD24" w14:textId="77777777" w:rsidR="00227706" w:rsidRDefault="00227706" w:rsidP="0028726C">
      <w:pPr>
        <w:rPr>
          <w:rFonts w:cs="Arial"/>
          <w:sz w:val="22"/>
          <w:szCs w:val="22"/>
        </w:rPr>
      </w:pPr>
    </w:p>
    <w:p w14:paraId="4C239D6A" w14:textId="0D89C9DF" w:rsidR="00227706" w:rsidRPr="00227706" w:rsidRDefault="00227706" w:rsidP="0028726C">
      <w:pPr>
        <w:rPr>
          <w:rFonts w:cs="Arial"/>
          <w:b/>
          <w:bCs/>
          <w:sz w:val="22"/>
          <w:szCs w:val="22"/>
        </w:rPr>
      </w:pPr>
      <w:r w:rsidRPr="00227706">
        <w:rPr>
          <w:rFonts w:cs="Arial"/>
          <w:b/>
          <w:bCs/>
          <w:sz w:val="22"/>
          <w:szCs w:val="22"/>
        </w:rPr>
        <w:t>Respuesta:</w:t>
      </w:r>
    </w:p>
    <w:p w14:paraId="22C61CA8" w14:textId="77777777" w:rsidR="00227706" w:rsidRDefault="00227706" w:rsidP="0028726C">
      <w:pPr>
        <w:rPr>
          <w:rFonts w:cs="Arial"/>
          <w:sz w:val="22"/>
          <w:szCs w:val="22"/>
        </w:rPr>
      </w:pPr>
    </w:p>
    <w:p w14:paraId="5246F381" w14:textId="5F2F467B" w:rsidR="00227706" w:rsidRDefault="00227706" w:rsidP="0028726C">
      <w:pPr>
        <w:rPr>
          <w:rFonts w:cs="Arial"/>
          <w:sz w:val="22"/>
          <w:szCs w:val="22"/>
        </w:rPr>
      </w:pPr>
      <w:r>
        <w:rPr>
          <w:rFonts w:cs="Arial"/>
          <w:sz w:val="22"/>
          <w:szCs w:val="22"/>
        </w:rPr>
        <w:t>Se deben tener en cuenta los ajustes realizados en la nueva propuesta.</w:t>
      </w:r>
    </w:p>
    <w:p w14:paraId="0DA50E85" w14:textId="77777777" w:rsidR="00227706" w:rsidRPr="0028726C" w:rsidRDefault="00227706" w:rsidP="0028726C">
      <w:pPr>
        <w:rPr>
          <w:rFonts w:cs="Arial"/>
          <w:sz w:val="22"/>
          <w:szCs w:val="22"/>
        </w:rPr>
      </w:pPr>
    </w:p>
    <w:p w14:paraId="6E13606B" w14:textId="77777777" w:rsidR="00C53D76" w:rsidRDefault="00C53D76" w:rsidP="0028726C">
      <w:pPr>
        <w:rPr>
          <w:rFonts w:cs="Arial"/>
          <w:sz w:val="22"/>
          <w:szCs w:val="22"/>
        </w:rPr>
      </w:pPr>
    </w:p>
    <w:p w14:paraId="1F9AE921" w14:textId="77777777" w:rsidR="00C53D76" w:rsidRDefault="0028726C" w:rsidP="000D05A3">
      <w:pPr>
        <w:pStyle w:val="Ttulo4"/>
      </w:pPr>
      <w:bookmarkStart w:id="792" w:name="_Ref132191736"/>
      <w:r w:rsidRPr="0028726C">
        <w:t>ASOENERGIA</w:t>
      </w:r>
      <w:bookmarkEnd w:id="792"/>
      <w:r w:rsidRPr="0028726C">
        <w:tab/>
      </w:r>
    </w:p>
    <w:p w14:paraId="78C20EED" w14:textId="7926F53A" w:rsidR="0028726C" w:rsidRPr="00227706" w:rsidRDefault="00CC424D" w:rsidP="0028726C">
      <w:pPr>
        <w:rPr>
          <w:rFonts w:cs="Arial"/>
          <w:i/>
          <w:iCs/>
          <w:sz w:val="22"/>
          <w:szCs w:val="22"/>
        </w:rPr>
      </w:pPr>
      <w:r>
        <w:rPr>
          <w:rFonts w:cs="Arial"/>
          <w:i/>
          <w:iCs/>
          <w:sz w:val="22"/>
          <w:szCs w:val="22"/>
        </w:rPr>
        <w:t>“</w:t>
      </w:r>
      <w:r w:rsidR="0028726C" w:rsidRPr="00227706">
        <w:rPr>
          <w:rFonts w:cs="Arial"/>
          <w:i/>
          <w:iCs/>
          <w:sz w:val="22"/>
          <w:szCs w:val="22"/>
        </w:rPr>
        <w:t>Celebramos el cambio en el sentido de que flexibiliza el mecanismo de contratación al dar la posibilidad de contratar como mínimo un mes en firme y no un año. Sin embargo, solicitamos que dicha contratación sea posible en todos los meses del año.</w:t>
      </w:r>
      <w:r>
        <w:rPr>
          <w:rFonts w:cs="Arial"/>
          <w:i/>
          <w:iCs/>
          <w:sz w:val="22"/>
          <w:szCs w:val="22"/>
        </w:rPr>
        <w:t>”</w:t>
      </w:r>
    </w:p>
    <w:p w14:paraId="77F6F8F8" w14:textId="77777777" w:rsidR="00227706" w:rsidRDefault="00227706" w:rsidP="0028726C">
      <w:pPr>
        <w:rPr>
          <w:rFonts w:cs="Arial"/>
          <w:sz w:val="22"/>
          <w:szCs w:val="22"/>
        </w:rPr>
      </w:pPr>
    </w:p>
    <w:p w14:paraId="79E20E22" w14:textId="26C66298" w:rsidR="00227706" w:rsidRPr="00227706" w:rsidRDefault="00227706" w:rsidP="0028726C">
      <w:pPr>
        <w:rPr>
          <w:rFonts w:cs="Arial"/>
          <w:b/>
          <w:bCs/>
          <w:sz w:val="22"/>
          <w:szCs w:val="22"/>
        </w:rPr>
      </w:pPr>
      <w:r w:rsidRPr="00227706">
        <w:rPr>
          <w:rFonts w:cs="Arial"/>
          <w:b/>
          <w:bCs/>
          <w:sz w:val="22"/>
          <w:szCs w:val="22"/>
        </w:rPr>
        <w:t>Respuesta:</w:t>
      </w:r>
    </w:p>
    <w:p w14:paraId="463D290B" w14:textId="77777777" w:rsidR="00227706" w:rsidRDefault="00227706" w:rsidP="0028726C">
      <w:pPr>
        <w:rPr>
          <w:rFonts w:cs="Arial"/>
          <w:sz w:val="22"/>
          <w:szCs w:val="22"/>
        </w:rPr>
      </w:pPr>
    </w:p>
    <w:p w14:paraId="4E409D7F" w14:textId="1594B166" w:rsidR="00227706" w:rsidRDefault="00227706" w:rsidP="0028726C">
      <w:pPr>
        <w:rPr>
          <w:rFonts w:cs="Arial"/>
          <w:sz w:val="22"/>
          <w:szCs w:val="22"/>
        </w:rPr>
      </w:pPr>
      <w:r>
        <w:rPr>
          <w:rFonts w:cs="Arial"/>
          <w:sz w:val="22"/>
          <w:szCs w:val="22"/>
        </w:rPr>
        <w:t>No se acoge el comentario.</w:t>
      </w:r>
    </w:p>
    <w:p w14:paraId="654D5EFD" w14:textId="508BB298" w:rsidR="00227706" w:rsidRDefault="00227706" w:rsidP="0028726C">
      <w:pPr>
        <w:rPr>
          <w:rFonts w:cs="Arial"/>
          <w:sz w:val="22"/>
          <w:szCs w:val="22"/>
        </w:rPr>
      </w:pPr>
    </w:p>
    <w:p w14:paraId="6DFC9BC2" w14:textId="54C3E8AD" w:rsidR="00227706" w:rsidRDefault="00227706" w:rsidP="0028726C">
      <w:pPr>
        <w:rPr>
          <w:rFonts w:cs="Arial"/>
          <w:sz w:val="22"/>
          <w:szCs w:val="22"/>
        </w:rPr>
      </w:pPr>
      <w:r>
        <w:rPr>
          <w:rFonts w:cs="Arial"/>
          <w:sz w:val="22"/>
          <w:szCs w:val="22"/>
        </w:rPr>
        <w:t>Con la propuesta es posible la contratación de duración de un mes en todos los meses del año, solo que</w:t>
      </w:r>
      <w:r w:rsidR="0030229C">
        <w:rPr>
          <w:rFonts w:cs="Arial"/>
          <w:sz w:val="22"/>
          <w:szCs w:val="22"/>
        </w:rPr>
        <w:t>,</w:t>
      </w:r>
      <w:r>
        <w:rPr>
          <w:rFonts w:cs="Arial"/>
          <w:sz w:val="22"/>
          <w:szCs w:val="22"/>
        </w:rPr>
        <w:t xml:space="preserve"> dependiendo de la condición de oferta, la antelación de la negociación de tales contratos es como máximo de un trimestre, que es cada trimestre estándar de negociación</w:t>
      </w:r>
      <w:r w:rsidR="0030229C">
        <w:rPr>
          <w:rFonts w:cs="Arial"/>
          <w:sz w:val="22"/>
          <w:szCs w:val="22"/>
        </w:rPr>
        <w:t xml:space="preserve"> anterior al mes del siguiente trimestre sobre el que se desea negociar un contrato de duración mensual</w:t>
      </w:r>
      <w:r>
        <w:rPr>
          <w:rFonts w:cs="Arial"/>
          <w:sz w:val="22"/>
          <w:szCs w:val="22"/>
        </w:rPr>
        <w:t>.</w:t>
      </w:r>
    </w:p>
    <w:p w14:paraId="10D856D4" w14:textId="77777777" w:rsidR="00227706" w:rsidRDefault="00227706" w:rsidP="0028726C">
      <w:pPr>
        <w:rPr>
          <w:rFonts w:cs="Arial"/>
          <w:sz w:val="22"/>
          <w:szCs w:val="22"/>
        </w:rPr>
      </w:pPr>
    </w:p>
    <w:p w14:paraId="19B34EF8" w14:textId="561DB653" w:rsidR="00C53D76" w:rsidRDefault="00227706" w:rsidP="0028726C">
      <w:pPr>
        <w:rPr>
          <w:rFonts w:cs="Arial"/>
          <w:sz w:val="22"/>
          <w:szCs w:val="22"/>
        </w:rPr>
      </w:pPr>
      <w:r>
        <w:rPr>
          <w:rFonts w:cs="Arial"/>
          <w:sz w:val="22"/>
          <w:szCs w:val="22"/>
        </w:rPr>
        <w:t xml:space="preserve">En la nueva propuesta se adicionó la posibilidad que en un trimestre de negociación no solo se negocien cantidades de contratos de duración mensual para el siguiente </w:t>
      </w:r>
      <w:r w:rsidR="009D22E9">
        <w:rPr>
          <w:rFonts w:cs="Arial"/>
          <w:sz w:val="22"/>
          <w:szCs w:val="22"/>
        </w:rPr>
        <w:t>trimestre estándar de ejecución</w:t>
      </w:r>
      <w:r w:rsidR="009E638D">
        <w:rPr>
          <w:rFonts w:cs="Arial"/>
          <w:sz w:val="22"/>
          <w:szCs w:val="22"/>
        </w:rPr>
        <w:t xml:space="preserve"> que se pueden registrar ante el </w:t>
      </w:r>
      <w:r w:rsidR="005114C6">
        <w:rPr>
          <w:rFonts w:cs="Arial"/>
          <w:sz w:val="22"/>
          <w:szCs w:val="22"/>
        </w:rPr>
        <w:t>Gestor del Mercado</w:t>
      </w:r>
      <w:r>
        <w:rPr>
          <w:rFonts w:cs="Arial"/>
          <w:sz w:val="22"/>
          <w:szCs w:val="22"/>
        </w:rPr>
        <w:t xml:space="preserve"> en las condiciones establecidas para ello, sino que también se pueden negociar cantidades para ser suministradas durante el mismo trimestre de negociación</w:t>
      </w:r>
      <w:r w:rsidR="009E638D">
        <w:rPr>
          <w:rFonts w:cs="Arial"/>
          <w:sz w:val="22"/>
          <w:szCs w:val="22"/>
        </w:rPr>
        <w:t>,</w:t>
      </w:r>
      <w:r w:rsidR="009E638D" w:rsidRPr="009E638D">
        <w:rPr>
          <w:rFonts w:cs="Arial"/>
          <w:sz w:val="22"/>
          <w:szCs w:val="22"/>
        </w:rPr>
        <w:t xml:space="preserve"> si para</w:t>
      </w:r>
      <w:r w:rsidR="009E638D">
        <w:rPr>
          <w:rFonts w:cs="Arial"/>
          <w:sz w:val="22"/>
          <w:szCs w:val="22"/>
        </w:rPr>
        <w:t xml:space="preserve"> </w:t>
      </w:r>
      <w:r w:rsidR="008B2E2D">
        <w:rPr>
          <w:rFonts w:cs="Arial"/>
          <w:sz w:val="22"/>
          <w:szCs w:val="22"/>
        </w:rPr>
        <w:t xml:space="preserve">el segundo o tercer mes </w:t>
      </w:r>
      <w:r w:rsidR="009E638D">
        <w:rPr>
          <w:rFonts w:cs="Arial"/>
          <w:sz w:val="22"/>
          <w:szCs w:val="22"/>
        </w:rPr>
        <w:t>de ese</w:t>
      </w:r>
      <w:r w:rsidR="009E638D" w:rsidRPr="009E638D">
        <w:rPr>
          <w:rFonts w:cs="Arial"/>
          <w:sz w:val="22"/>
          <w:szCs w:val="22"/>
        </w:rPr>
        <w:t xml:space="preserve"> trimestre estándar de negociación existe aún disponible PTDVF y/o CIDVF declarada en el trimestre estándar de negociación anterior.   </w:t>
      </w:r>
    </w:p>
    <w:p w14:paraId="69CC3758" w14:textId="77777777" w:rsidR="006F36E4" w:rsidRDefault="006F36E4" w:rsidP="0028726C">
      <w:pPr>
        <w:rPr>
          <w:rFonts w:cs="Arial"/>
          <w:sz w:val="22"/>
          <w:szCs w:val="22"/>
        </w:rPr>
      </w:pPr>
    </w:p>
    <w:p w14:paraId="3119FD2A" w14:textId="1BB86DA7" w:rsidR="006F36E4" w:rsidRDefault="006F36E4" w:rsidP="0028726C">
      <w:pPr>
        <w:rPr>
          <w:rFonts w:cs="Arial"/>
          <w:sz w:val="22"/>
          <w:szCs w:val="22"/>
        </w:rPr>
      </w:pPr>
      <w:r>
        <w:rPr>
          <w:rFonts w:cs="Arial"/>
          <w:sz w:val="22"/>
          <w:szCs w:val="22"/>
        </w:rPr>
        <w:t>Un ejemplo de lo anterior es el siguiente:</w:t>
      </w:r>
    </w:p>
    <w:p w14:paraId="55582E2F" w14:textId="77777777" w:rsidR="006F36E4" w:rsidRDefault="006F36E4" w:rsidP="0028726C">
      <w:pPr>
        <w:rPr>
          <w:rFonts w:cs="Arial"/>
          <w:sz w:val="22"/>
          <w:szCs w:val="22"/>
        </w:rPr>
      </w:pPr>
    </w:p>
    <w:p w14:paraId="2BA6D9C6" w14:textId="5ED01F82" w:rsidR="0070462F" w:rsidRDefault="0070462F" w:rsidP="006F36E4">
      <w:pPr>
        <w:pStyle w:val="Prrafodelista"/>
        <w:numPr>
          <w:ilvl w:val="0"/>
          <w:numId w:val="24"/>
        </w:numPr>
        <w:rPr>
          <w:rFonts w:cs="Arial"/>
          <w:sz w:val="22"/>
          <w:szCs w:val="22"/>
        </w:rPr>
      </w:pPr>
      <w:r>
        <w:rPr>
          <w:rFonts w:cs="Arial"/>
          <w:sz w:val="22"/>
          <w:szCs w:val="22"/>
        </w:rPr>
        <w:t xml:space="preserve">Un vendedor declara al </w:t>
      </w:r>
      <w:r w:rsidR="005114C6">
        <w:rPr>
          <w:rFonts w:cs="Arial"/>
          <w:sz w:val="22"/>
          <w:szCs w:val="22"/>
        </w:rPr>
        <w:t>Gestor del Mercado</w:t>
      </w:r>
      <w:r>
        <w:rPr>
          <w:rFonts w:cs="Arial"/>
          <w:sz w:val="22"/>
          <w:szCs w:val="22"/>
        </w:rPr>
        <w:t xml:space="preserve"> en el plazo establecido, en un trimestre estándar de negociación, una PTDVF, así:</w:t>
      </w:r>
    </w:p>
    <w:p w14:paraId="0D7BF82B" w14:textId="77777777" w:rsidR="0070462F" w:rsidRDefault="0070462F" w:rsidP="0070462F">
      <w:pPr>
        <w:rPr>
          <w:rFonts w:cs="Arial"/>
          <w:sz w:val="22"/>
          <w:szCs w:val="22"/>
        </w:rPr>
      </w:pPr>
    </w:p>
    <w:p w14:paraId="1B497E90" w14:textId="2C427E92" w:rsidR="008B2E2D" w:rsidRDefault="008B2E2D" w:rsidP="007B44B9">
      <w:pPr>
        <w:ind w:left="360"/>
        <w:rPr>
          <w:rFonts w:cs="Arial"/>
          <w:sz w:val="22"/>
          <w:szCs w:val="22"/>
        </w:rPr>
      </w:pPr>
      <w:r>
        <w:rPr>
          <w:rFonts w:cs="Arial"/>
          <w:sz w:val="22"/>
          <w:szCs w:val="22"/>
        </w:rPr>
        <w:t>Nombre del campo: Gaseoso</w:t>
      </w:r>
    </w:p>
    <w:p w14:paraId="231EDED7" w14:textId="0C4B27D0" w:rsidR="008B2E2D" w:rsidRDefault="008B2E2D" w:rsidP="007B44B9">
      <w:pPr>
        <w:ind w:left="360"/>
        <w:rPr>
          <w:rFonts w:cs="Arial"/>
          <w:sz w:val="22"/>
          <w:szCs w:val="22"/>
        </w:rPr>
      </w:pPr>
      <w:r>
        <w:rPr>
          <w:rFonts w:cs="Arial"/>
          <w:sz w:val="22"/>
          <w:szCs w:val="22"/>
        </w:rPr>
        <w:t xml:space="preserve">Declaración </w:t>
      </w:r>
      <w:r w:rsidR="00CF2F2D">
        <w:rPr>
          <w:rFonts w:cs="Arial"/>
          <w:sz w:val="22"/>
          <w:szCs w:val="22"/>
        </w:rPr>
        <w:t>realizada en</w:t>
      </w:r>
      <w:r>
        <w:rPr>
          <w:rFonts w:cs="Arial"/>
          <w:sz w:val="22"/>
          <w:szCs w:val="22"/>
        </w:rPr>
        <w:t xml:space="preserve"> el trimestre de negociación </w:t>
      </w:r>
      <w:r w:rsidR="00CF2F2D">
        <w:rPr>
          <w:rFonts w:cs="Arial"/>
          <w:sz w:val="22"/>
          <w:szCs w:val="22"/>
        </w:rPr>
        <w:t xml:space="preserve">septiembre a noviembre de 2024 </w:t>
      </w:r>
    </w:p>
    <w:p w14:paraId="7801E524" w14:textId="77777777" w:rsidR="008B2E2D" w:rsidRDefault="008B2E2D" w:rsidP="0070462F">
      <w:pPr>
        <w:rPr>
          <w:rFonts w:cs="Arial"/>
          <w:sz w:val="22"/>
          <w:szCs w:val="22"/>
        </w:rPr>
      </w:pPr>
    </w:p>
    <w:tbl>
      <w:tblPr>
        <w:tblStyle w:val="Tablaconcuadrcula"/>
        <w:tblW w:w="0" w:type="auto"/>
        <w:tblLook w:val="04A0" w:firstRow="1" w:lastRow="0" w:firstColumn="1" w:lastColumn="0" w:noHBand="0" w:noVBand="1"/>
      </w:tblPr>
      <w:tblGrid>
        <w:gridCol w:w="3115"/>
        <w:gridCol w:w="3115"/>
        <w:gridCol w:w="3115"/>
      </w:tblGrid>
      <w:tr w:rsidR="008B2E2D" w14:paraId="0817146C" w14:textId="77777777" w:rsidTr="007B44B9">
        <w:tc>
          <w:tcPr>
            <w:tcW w:w="3115" w:type="dxa"/>
            <w:shd w:val="clear" w:color="auto" w:fill="D9D9D9" w:themeFill="background1" w:themeFillShade="D9"/>
          </w:tcPr>
          <w:p w14:paraId="0FE21B48" w14:textId="7D73CC28" w:rsidR="008B2E2D" w:rsidRPr="007B44B9" w:rsidRDefault="007B44B9" w:rsidP="007B44B9">
            <w:pPr>
              <w:jc w:val="center"/>
              <w:rPr>
                <w:rFonts w:cs="Arial"/>
                <w:b/>
                <w:bCs/>
                <w:sz w:val="22"/>
                <w:szCs w:val="22"/>
              </w:rPr>
            </w:pPr>
            <w:r w:rsidRPr="007B44B9">
              <w:rPr>
                <w:rFonts w:cs="Arial"/>
                <w:b/>
                <w:bCs/>
                <w:sz w:val="22"/>
                <w:szCs w:val="22"/>
              </w:rPr>
              <w:t>Año</w:t>
            </w:r>
          </w:p>
        </w:tc>
        <w:tc>
          <w:tcPr>
            <w:tcW w:w="3115" w:type="dxa"/>
            <w:shd w:val="clear" w:color="auto" w:fill="D9D9D9" w:themeFill="background1" w:themeFillShade="D9"/>
          </w:tcPr>
          <w:p w14:paraId="703D5CE4" w14:textId="024D1807" w:rsidR="008B2E2D" w:rsidRPr="007B44B9" w:rsidRDefault="007B44B9" w:rsidP="007B44B9">
            <w:pPr>
              <w:jc w:val="center"/>
              <w:rPr>
                <w:rFonts w:cs="Arial"/>
                <w:b/>
                <w:bCs/>
                <w:sz w:val="22"/>
                <w:szCs w:val="22"/>
              </w:rPr>
            </w:pPr>
            <w:r w:rsidRPr="007B44B9">
              <w:rPr>
                <w:rFonts w:cs="Arial"/>
                <w:b/>
                <w:bCs/>
                <w:sz w:val="22"/>
                <w:szCs w:val="22"/>
              </w:rPr>
              <w:t>Mes</w:t>
            </w:r>
          </w:p>
        </w:tc>
        <w:tc>
          <w:tcPr>
            <w:tcW w:w="3115" w:type="dxa"/>
            <w:shd w:val="clear" w:color="auto" w:fill="D9D9D9" w:themeFill="background1" w:themeFillShade="D9"/>
          </w:tcPr>
          <w:p w14:paraId="7D217875" w14:textId="03AF3DB7" w:rsidR="008B2E2D" w:rsidRPr="007B44B9" w:rsidRDefault="007B44B9" w:rsidP="007B44B9">
            <w:pPr>
              <w:jc w:val="center"/>
              <w:rPr>
                <w:rFonts w:cs="Arial"/>
                <w:b/>
                <w:bCs/>
                <w:sz w:val="22"/>
                <w:szCs w:val="22"/>
              </w:rPr>
            </w:pPr>
            <w:r w:rsidRPr="007B44B9">
              <w:rPr>
                <w:rFonts w:cs="Arial"/>
                <w:b/>
                <w:bCs/>
                <w:sz w:val="22"/>
                <w:szCs w:val="22"/>
              </w:rPr>
              <w:t>PTDVF</w:t>
            </w:r>
            <w:r>
              <w:rPr>
                <w:rFonts w:cs="Arial"/>
                <w:b/>
                <w:bCs/>
                <w:sz w:val="22"/>
                <w:szCs w:val="22"/>
              </w:rPr>
              <w:t xml:space="preserve"> [MBTUD]</w:t>
            </w:r>
          </w:p>
        </w:tc>
      </w:tr>
      <w:tr w:rsidR="008B2E2D" w14:paraId="36C6ECE6" w14:textId="77777777" w:rsidTr="008B2E2D">
        <w:tc>
          <w:tcPr>
            <w:tcW w:w="3115" w:type="dxa"/>
          </w:tcPr>
          <w:p w14:paraId="787726B5" w14:textId="14F4D2CF" w:rsidR="008B2E2D" w:rsidRDefault="007B44B9" w:rsidP="007B44B9">
            <w:pPr>
              <w:jc w:val="center"/>
              <w:rPr>
                <w:rFonts w:cs="Arial"/>
                <w:sz w:val="22"/>
                <w:szCs w:val="22"/>
              </w:rPr>
            </w:pPr>
            <w:r>
              <w:rPr>
                <w:rFonts w:cs="Arial"/>
                <w:sz w:val="22"/>
                <w:szCs w:val="22"/>
              </w:rPr>
              <w:t>2024</w:t>
            </w:r>
          </w:p>
        </w:tc>
        <w:tc>
          <w:tcPr>
            <w:tcW w:w="3115" w:type="dxa"/>
          </w:tcPr>
          <w:p w14:paraId="0E14E5CB" w14:textId="6810C374" w:rsidR="008B2E2D" w:rsidRDefault="007B44B9" w:rsidP="007B44B9">
            <w:pPr>
              <w:jc w:val="center"/>
              <w:rPr>
                <w:rFonts w:cs="Arial"/>
                <w:sz w:val="22"/>
                <w:szCs w:val="22"/>
              </w:rPr>
            </w:pPr>
            <w:r>
              <w:rPr>
                <w:rFonts w:cs="Arial"/>
                <w:sz w:val="22"/>
                <w:szCs w:val="22"/>
              </w:rPr>
              <w:t>octubre</w:t>
            </w:r>
          </w:p>
        </w:tc>
        <w:tc>
          <w:tcPr>
            <w:tcW w:w="3115" w:type="dxa"/>
          </w:tcPr>
          <w:p w14:paraId="52C04FEC" w14:textId="4166E4AC" w:rsidR="008B2E2D" w:rsidRDefault="007B44B9" w:rsidP="007B44B9">
            <w:pPr>
              <w:jc w:val="center"/>
              <w:rPr>
                <w:rFonts w:cs="Arial"/>
                <w:sz w:val="22"/>
                <w:szCs w:val="22"/>
              </w:rPr>
            </w:pPr>
            <w:r>
              <w:rPr>
                <w:rFonts w:cs="Arial"/>
                <w:sz w:val="22"/>
                <w:szCs w:val="22"/>
              </w:rPr>
              <w:t>2</w:t>
            </w:r>
          </w:p>
        </w:tc>
      </w:tr>
      <w:tr w:rsidR="008B2E2D" w14:paraId="12750A3A" w14:textId="77777777" w:rsidTr="008B2E2D">
        <w:tc>
          <w:tcPr>
            <w:tcW w:w="3115" w:type="dxa"/>
          </w:tcPr>
          <w:p w14:paraId="087AF712" w14:textId="01FAF723" w:rsidR="008B2E2D" w:rsidRDefault="007B44B9" w:rsidP="007B44B9">
            <w:pPr>
              <w:jc w:val="center"/>
              <w:rPr>
                <w:rFonts w:cs="Arial"/>
                <w:sz w:val="22"/>
                <w:szCs w:val="22"/>
              </w:rPr>
            </w:pPr>
            <w:r>
              <w:rPr>
                <w:rFonts w:cs="Arial"/>
                <w:sz w:val="22"/>
                <w:szCs w:val="22"/>
              </w:rPr>
              <w:t>2024</w:t>
            </w:r>
          </w:p>
        </w:tc>
        <w:tc>
          <w:tcPr>
            <w:tcW w:w="3115" w:type="dxa"/>
          </w:tcPr>
          <w:p w14:paraId="706513E6" w14:textId="2043EEAE" w:rsidR="008B2E2D" w:rsidRDefault="007B44B9" w:rsidP="007B44B9">
            <w:pPr>
              <w:jc w:val="center"/>
              <w:rPr>
                <w:rFonts w:cs="Arial"/>
                <w:sz w:val="22"/>
                <w:szCs w:val="22"/>
              </w:rPr>
            </w:pPr>
            <w:r>
              <w:rPr>
                <w:rFonts w:cs="Arial"/>
                <w:sz w:val="22"/>
                <w:szCs w:val="22"/>
              </w:rPr>
              <w:t>noviembre</w:t>
            </w:r>
          </w:p>
        </w:tc>
        <w:tc>
          <w:tcPr>
            <w:tcW w:w="3115" w:type="dxa"/>
          </w:tcPr>
          <w:p w14:paraId="70B95EC1" w14:textId="225FCA69" w:rsidR="008B2E2D" w:rsidRDefault="007B44B9" w:rsidP="007B44B9">
            <w:pPr>
              <w:jc w:val="center"/>
              <w:rPr>
                <w:rFonts w:cs="Arial"/>
                <w:sz w:val="22"/>
                <w:szCs w:val="22"/>
              </w:rPr>
            </w:pPr>
            <w:r>
              <w:rPr>
                <w:rFonts w:cs="Arial"/>
                <w:sz w:val="22"/>
                <w:szCs w:val="22"/>
              </w:rPr>
              <w:t>4</w:t>
            </w:r>
          </w:p>
        </w:tc>
      </w:tr>
      <w:tr w:rsidR="008B2E2D" w14:paraId="0E584E42" w14:textId="77777777" w:rsidTr="008B2E2D">
        <w:tc>
          <w:tcPr>
            <w:tcW w:w="3115" w:type="dxa"/>
          </w:tcPr>
          <w:p w14:paraId="2F160D24" w14:textId="65B16857" w:rsidR="008B2E2D" w:rsidRDefault="007B44B9" w:rsidP="007B44B9">
            <w:pPr>
              <w:jc w:val="center"/>
              <w:rPr>
                <w:rFonts w:cs="Arial"/>
                <w:sz w:val="22"/>
                <w:szCs w:val="22"/>
              </w:rPr>
            </w:pPr>
            <w:r>
              <w:rPr>
                <w:rFonts w:cs="Arial"/>
                <w:sz w:val="22"/>
                <w:szCs w:val="22"/>
              </w:rPr>
              <w:t>2024</w:t>
            </w:r>
          </w:p>
        </w:tc>
        <w:tc>
          <w:tcPr>
            <w:tcW w:w="3115" w:type="dxa"/>
          </w:tcPr>
          <w:p w14:paraId="7C02EF26" w14:textId="0ED23027" w:rsidR="008B2E2D" w:rsidRDefault="007B44B9" w:rsidP="007B44B9">
            <w:pPr>
              <w:jc w:val="center"/>
              <w:rPr>
                <w:rFonts w:cs="Arial"/>
                <w:sz w:val="22"/>
                <w:szCs w:val="22"/>
              </w:rPr>
            </w:pPr>
            <w:r>
              <w:rPr>
                <w:rFonts w:cs="Arial"/>
                <w:sz w:val="22"/>
                <w:szCs w:val="22"/>
              </w:rPr>
              <w:t>diciembre</w:t>
            </w:r>
          </w:p>
        </w:tc>
        <w:tc>
          <w:tcPr>
            <w:tcW w:w="3115" w:type="dxa"/>
          </w:tcPr>
          <w:p w14:paraId="179D732D" w14:textId="4E410202" w:rsidR="008B2E2D" w:rsidRDefault="007B44B9" w:rsidP="007B44B9">
            <w:pPr>
              <w:jc w:val="center"/>
              <w:rPr>
                <w:rFonts w:cs="Arial"/>
                <w:sz w:val="22"/>
                <w:szCs w:val="22"/>
              </w:rPr>
            </w:pPr>
            <w:r>
              <w:rPr>
                <w:rFonts w:cs="Arial"/>
                <w:sz w:val="22"/>
                <w:szCs w:val="22"/>
              </w:rPr>
              <w:t>12</w:t>
            </w:r>
          </w:p>
        </w:tc>
      </w:tr>
      <w:tr w:rsidR="008B2E2D" w14:paraId="08CB1371" w14:textId="77777777" w:rsidTr="008B2E2D">
        <w:tc>
          <w:tcPr>
            <w:tcW w:w="3115" w:type="dxa"/>
          </w:tcPr>
          <w:p w14:paraId="6CBEE356" w14:textId="06CA6757" w:rsidR="008B2E2D" w:rsidRDefault="007B44B9" w:rsidP="007B44B9">
            <w:pPr>
              <w:jc w:val="center"/>
              <w:rPr>
                <w:rFonts w:cs="Arial"/>
                <w:sz w:val="22"/>
                <w:szCs w:val="22"/>
              </w:rPr>
            </w:pPr>
            <w:r>
              <w:rPr>
                <w:rFonts w:cs="Arial"/>
                <w:sz w:val="22"/>
                <w:szCs w:val="22"/>
              </w:rPr>
              <w:t>2025</w:t>
            </w:r>
          </w:p>
        </w:tc>
        <w:tc>
          <w:tcPr>
            <w:tcW w:w="3115" w:type="dxa"/>
          </w:tcPr>
          <w:p w14:paraId="72243E45" w14:textId="240EEECF" w:rsidR="008B2E2D" w:rsidRDefault="007B44B9" w:rsidP="007B44B9">
            <w:pPr>
              <w:jc w:val="center"/>
              <w:rPr>
                <w:rFonts w:cs="Arial"/>
                <w:sz w:val="22"/>
                <w:szCs w:val="22"/>
              </w:rPr>
            </w:pPr>
            <w:r>
              <w:rPr>
                <w:rFonts w:cs="Arial"/>
                <w:sz w:val="22"/>
                <w:szCs w:val="22"/>
              </w:rPr>
              <w:t>enero</w:t>
            </w:r>
          </w:p>
        </w:tc>
        <w:tc>
          <w:tcPr>
            <w:tcW w:w="3115" w:type="dxa"/>
          </w:tcPr>
          <w:p w14:paraId="7375C9C9" w14:textId="5B42BECF" w:rsidR="008B2E2D" w:rsidRDefault="006E2730" w:rsidP="007B44B9">
            <w:pPr>
              <w:jc w:val="center"/>
              <w:rPr>
                <w:rFonts w:cs="Arial"/>
                <w:sz w:val="22"/>
                <w:szCs w:val="22"/>
              </w:rPr>
            </w:pPr>
            <w:r>
              <w:rPr>
                <w:rFonts w:cs="Arial"/>
                <w:sz w:val="22"/>
                <w:szCs w:val="22"/>
              </w:rPr>
              <w:t>11</w:t>
            </w:r>
          </w:p>
        </w:tc>
      </w:tr>
      <w:tr w:rsidR="008B2E2D" w14:paraId="3BF56D86" w14:textId="77777777" w:rsidTr="008B2E2D">
        <w:tc>
          <w:tcPr>
            <w:tcW w:w="3115" w:type="dxa"/>
          </w:tcPr>
          <w:p w14:paraId="71B58D6C" w14:textId="03A7FA8A" w:rsidR="008B2E2D" w:rsidRDefault="007B44B9" w:rsidP="007B44B9">
            <w:pPr>
              <w:jc w:val="center"/>
              <w:rPr>
                <w:rFonts w:cs="Arial"/>
                <w:sz w:val="22"/>
                <w:szCs w:val="22"/>
              </w:rPr>
            </w:pPr>
            <w:r>
              <w:rPr>
                <w:rFonts w:cs="Arial"/>
                <w:sz w:val="22"/>
                <w:szCs w:val="22"/>
              </w:rPr>
              <w:t>2025</w:t>
            </w:r>
          </w:p>
        </w:tc>
        <w:tc>
          <w:tcPr>
            <w:tcW w:w="3115" w:type="dxa"/>
          </w:tcPr>
          <w:p w14:paraId="5CFF4AFD" w14:textId="7580E4F7" w:rsidR="008B2E2D" w:rsidRDefault="007B44B9" w:rsidP="007B44B9">
            <w:pPr>
              <w:jc w:val="center"/>
              <w:rPr>
                <w:rFonts w:cs="Arial"/>
                <w:sz w:val="22"/>
                <w:szCs w:val="22"/>
              </w:rPr>
            </w:pPr>
            <w:r>
              <w:rPr>
                <w:rFonts w:cs="Arial"/>
                <w:sz w:val="22"/>
                <w:szCs w:val="22"/>
              </w:rPr>
              <w:t>febrero</w:t>
            </w:r>
          </w:p>
        </w:tc>
        <w:tc>
          <w:tcPr>
            <w:tcW w:w="3115" w:type="dxa"/>
          </w:tcPr>
          <w:p w14:paraId="48ECB556" w14:textId="6883BCA5" w:rsidR="008B2E2D" w:rsidRDefault="006E2730" w:rsidP="007B44B9">
            <w:pPr>
              <w:jc w:val="center"/>
              <w:rPr>
                <w:rFonts w:cs="Arial"/>
                <w:sz w:val="22"/>
                <w:szCs w:val="22"/>
              </w:rPr>
            </w:pPr>
            <w:r>
              <w:rPr>
                <w:rFonts w:cs="Arial"/>
                <w:sz w:val="22"/>
                <w:szCs w:val="22"/>
              </w:rPr>
              <w:t>10</w:t>
            </w:r>
          </w:p>
        </w:tc>
      </w:tr>
      <w:tr w:rsidR="008B2E2D" w14:paraId="65C0C45E" w14:textId="77777777" w:rsidTr="008B2E2D">
        <w:tc>
          <w:tcPr>
            <w:tcW w:w="3115" w:type="dxa"/>
          </w:tcPr>
          <w:p w14:paraId="517779E2" w14:textId="3C2820E4" w:rsidR="008B2E2D" w:rsidRDefault="007B44B9" w:rsidP="007B44B9">
            <w:pPr>
              <w:jc w:val="center"/>
              <w:rPr>
                <w:rFonts w:cs="Arial"/>
                <w:sz w:val="22"/>
                <w:szCs w:val="22"/>
              </w:rPr>
            </w:pPr>
            <w:r>
              <w:rPr>
                <w:rFonts w:cs="Arial"/>
                <w:sz w:val="22"/>
                <w:szCs w:val="22"/>
              </w:rPr>
              <w:t>2025</w:t>
            </w:r>
          </w:p>
        </w:tc>
        <w:tc>
          <w:tcPr>
            <w:tcW w:w="3115" w:type="dxa"/>
          </w:tcPr>
          <w:p w14:paraId="6F8BA286" w14:textId="2BB3A800" w:rsidR="008B2E2D" w:rsidRDefault="007B44B9" w:rsidP="007B44B9">
            <w:pPr>
              <w:jc w:val="center"/>
              <w:rPr>
                <w:rFonts w:cs="Arial"/>
                <w:sz w:val="22"/>
                <w:szCs w:val="22"/>
              </w:rPr>
            </w:pPr>
            <w:r>
              <w:rPr>
                <w:rFonts w:cs="Arial"/>
                <w:sz w:val="22"/>
                <w:szCs w:val="22"/>
              </w:rPr>
              <w:t>marzo</w:t>
            </w:r>
          </w:p>
        </w:tc>
        <w:tc>
          <w:tcPr>
            <w:tcW w:w="3115" w:type="dxa"/>
          </w:tcPr>
          <w:p w14:paraId="5AE6DD33" w14:textId="4CECD8F8" w:rsidR="008B2E2D" w:rsidRDefault="007B44B9" w:rsidP="007B44B9">
            <w:pPr>
              <w:jc w:val="center"/>
              <w:rPr>
                <w:rFonts w:cs="Arial"/>
                <w:sz w:val="22"/>
                <w:szCs w:val="22"/>
              </w:rPr>
            </w:pPr>
            <w:r>
              <w:rPr>
                <w:rFonts w:cs="Arial"/>
                <w:sz w:val="22"/>
                <w:szCs w:val="22"/>
              </w:rPr>
              <w:t>20</w:t>
            </w:r>
          </w:p>
        </w:tc>
      </w:tr>
      <w:tr w:rsidR="008B2E2D" w14:paraId="248C3DAF" w14:textId="77777777" w:rsidTr="008B2E2D">
        <w:tc>
          <w:tcPr>
            <w:tcW w:w="3115" w:type="dxa"/>
          </w:tcPr>
          <w:p w14:paraId="2F3A37FF" w14:textId="4D5B5BF9" w:rsidR="008B2E2D" w:rsidRDefault="007B44B9" w:rsidP="007B44B9">
            <w:pPr>
              <w:jc w:val="center"/>
              <w:rPr>
                <w:rFonts w:cs="Arial"/>
                <w:sz w:val="22"/>
                <w:szCs w:val="22"/>
              </w:rPr>
            </w:pPr>
            <w:r>
              <w:rPr>
                <w:rFonts w:cs="Arial"/>
                <w:sz w:val="22"/>
                <w:szCs w:val="22"/>
              </w:rPr>
              <w:t>2025</w:t>
            </w:r>
          </w:p>
        </w:tc>
        <w:tc>
          <w:tcPr>
            <w:tcW w:w="3115" w:type="dxa"/>
          </w:tcPr>
          <w:p w14:paraId="6782F00D" w14:textId="07DD1216" w:rsidR="008B2E2D" w:rsidRDefault="007B44B9" w:rsidP="007B44B9">
            <w:pPr>
              <w:jc w:val="center"/>
              <w:rPr>
                <w:rFonts w:cs="Arial"/>
                <w:sz w:val="22"/>
                <w:szCs w:val="22"/>
              </w:rPr>
            </w:pPr>
            <w:r>
              <w:rPr>
                <w:rFonts w:cs="Arial"/>
                <w:sz w:val="22"/>
                <w:szCs w:val="22"/>
              </w:rPr>
              <w:t>abril</w:t>
            </w:r>
          </w:p>
        </w:tc>
        <w:tc>
          <w:tcPr>
            <w:tcW w:w="3115" w:type="dxa"/>
          </w:tcPr>
          <w:p w14:paraId="25400854" w14:textId="2C5CCB0A" w:rsidR="008B2E2D" w:rsidRDefault="006E2730" w:rsidP="007B44B9">
            <w:pPr>
              <w:jc w:val="center"/>
              <w:rPr>
                <w:rFonts w:cs="Arial"/>
                <w:sz w:val="22"/>
                <w:szCs w:val="22"/>
              </w:rPr>
            </w:pPr>
            <w:r>
              <w:rPr>
                <w:rFonts w:cs="Arial"/>
                <w:sz w:val="22"/>
                <w:szCs w:val="22"/>
              </w:rPr>
              <w:t>19</w:t>
            </w:r>
          </w:p>
        </w:tc>
      </w:tr>
      <w:tr w:rsidR="008B2E2D" w14:paraId="77A98EA0" w14:textId="77777777" w:rsidTr="008B2E2D">
        <w:tc>
          <w:tcPr>
            <w:tcW w:w="3115" w:type="dxa"/>
          </w:tcPr>
          <w:p w14:paraId="33271AC6" w14:textId="05EED5F2" w:rsidR="008B2E2D" w:rsidRDefault="007B44B9" w:rsidP="007B44B9">
            <w:pPr>
              <w:jc w:val="center"/>
              <w:rPr>
                <w:rFonts w:cs="Arial"/>
                <w:sz w:val="22"/>
                <w:szCs w:val="22"/>
              </w:rPr>
            </w:pPr>
            <w:r>
              <w:rPr>
                <w:rFonts w:cs="Arial"/>
                <w:sz w:val="22"/>
                <w:szCs w:val="22"/>
              </w:rPr>
              <w:t>2025</w:t>
            </w:r>
          </w:p>
        </w:tc>
        <w:tc>
          <w:tcPr>
            <w:tcW w:w="3115" w:type="dxa"/>
          </w:tcPr>
          <w:p w14:paraId="7E3ADA3E" w14:textId="1BBF5BD7" w:rsidR="008B2E2D" w:rsidRDefault="007B44B9" w:rsidP="007B44B9">
            <w:pPr>
              <w:jc w:val="center"/>
              <w:rPr>
                <w:rFonts w:cs="Arial"/>
                <w:sz w:val="22"/>
                <w:szCs w:val="22"/>
              </w:rPr>
            </w:pPr>
            <w:r>
              <w:rPr>
                <w:rFonts w:cs="Arial"/>
                <w:sz w:val="22"/>
                <w:szCs w:val="22"/>
              </w:rPr>
              <w:t>mayo</w:t>
            </w:r>
          </w:p>
        </w:tc>
        <w:tc>
          <w:tcPr>
            <w:tcW w:w="3115" w:type="dxa"/>
          </w:tcPr>
          <w:p w14:paraId="32D38532" w14:textId="6C2E8647" w:rsidR="008B2E2D" w:rsidRDefault="006E2730" w:rsidP="007B44B9">
            <w:pPr>
              <w:jc w:val="center"/>
              <w:rPr>
                <w:rFonts w:cs="Arial"/>
                <w:sz w:val="22"/>
                <w:szCs w:val="22"/>
              </w:rPr>
            </w:pPr>
            <w:r>
              <w:rPr>
                <w:rFonts w:cs="Arial"/>
                <w:sz w:val="22"/>
                <w:szCs w:val="22"/>
              </w:rPr>
              <w:t>18</w:t>
            </w:r>
          </w:p>
        </w:tc>
      </w:tr>
      <w:tr w:rsidR="008B2E2D" w14:paraId="0CDB616A" w14:textId="77777777" w:rsidTr="008B2E2D">
        <w:tc>
          <w:tcPr>
            <w:tcW w:w="3115" w:type="dxa"/>
          </w:tcPr>
          <w:p w14:paraId="3ED18A8F" w14:textId="77777777" w:rsidR="008B2E2D" w:rsidRDefault="008B2E2D" w:rsidP="007B44B9">
            <w:pPr>
              <w:jc w:val="center"/>
              <w:rPr>
                <w:rFonts w:cs="Arial"/>
                <w:sz w:val="22"/>
                <w:szCs w:val="22"/>
              </w:rPr>
            </w:pPr>
          </w:p>
        </w:tc>
        <w:tc>
          <w:tcPr>
            <w:tcW w:w="3115" w:type="dxa"/>
          </w:tcPr>
          <w:p w14:paraId="07BD624D" w14:textId="759AE5C5" w:rsidR="008B2E2D" w:rsidRDefault="007B44B9" w:rsidP="007B44B9">
            <w:pPr>
              <w:jc w:val="center"/>
              <w:rPr>
                <w:rFonts w:cs="Arial"/>
                <w:sz w:val="22"/>
                <w:szCs w:val="22"/>
              </w:rPr>
            </w:pPr>
            <w:r>
              <w:rPr>
                <w:rFonts w:cs="Arial"/>
                <w:sz w:val="22"/>
                <w:szCs w:val="22"/>
              </w:rPr>
              <w:t>…</w:t>
            </w:r>
          </w:p>
        </w:tc>
        <w:tc>
          <w:tcPr>
            <w:tcW w:w="3115" w:type="dxa"/>
          </w:tcPr>
          <w:p w14:paraId="0770C8FE" w14:textId="77777777" w:rsidR="008B2E2D" w:rsidRDefault="008B2E2D" w:rsidP="007B44B9">
            <w:pPr>
              <w:jc w:val="center"/>
              <w:rPr>
                <w:rFonts w:cs="Arial"/>
                <w:sz w:val="22"/>
                <w:szCs w:val="22"/>
              </w:rPr>
            </w:pPr>
          </w:p>
        </w:tc>
      </w:tr>
      <w:tr w:rsidR="008B2E2D" w14:paraId="2D1D6D87" w14:textId="77777777" w:rsidTr="008B2E2D">
        <w:tc>
          <w:tcPr>
            <w:tcW w:w="3115" w:type="dxa"/>
          </w:tcPr>
          <w:p w14:paraId="5734C845" w14:textId="77777777" w:rsidR="008B2E2D" w:rsidRDefault="008B2E2D" w:rsidP="007B44B9">
            <w:pPr>
              <w:jc w:val="center"/>
              <w:rPr>
                <w:rFonts w:cs="Arial"/>
                <w:sz w:val="22"/>
                <w:szCs w:val="22"/>
              </w:rPr>
            </w:pPr>
          </w:p>
        </w:tc>
        <w:tc>
          <w:tcPr>
            <w:tcW w:w="3115" w:type="dxa"/>
          </w:tcPr>
          <w:p w14:paraId="1EF3D1B7" w14:textId="3B9C8EF5" w:rsidR="008B2E2D" w:rsidRDefault="007B44B9" w:rsidP="007B44B9">
            <w:pPr>
              <w:jc w:val="center"/>
              <w:rPr>
                <w:rFonts w:cs="Arial"/>
                <w:sz w:val="22"/>
                <w:szCs w:val="22"/>
              </w:rPr>
            </w:pPr>
            <w:r>
              <w:rPr>
                <w:rFonts w:cs="Arial"/>
                <w:sz w:val="22"/>
                <w:szCs w:val="22"/>
              </w:rPr>
              <w:t>…</w:t>
            </w:r>
          </w:p>
        </w:tc>
        <w:tc>
          <w:tcPr>
            <w:tcW w:w="3115" w:type="dxa"/>
          </w:tcPr>
          <w:p w14:paraId="0AC11A5F" w14:textId="77777777" w:rsidR="008B2E2D" w:rsidRDefault="008B2E2D" w:rsidP="007B44B9">
            <w:pPr>
              <w:jc w:val="center"/>
              <w:rPr>
                <w:rFonts w:cs="Arial"/>
                <w:sz w:val="22"/>
                <w:szCs w:val="22"/>
              </w:rPr>
            </w:pPr>
          </w:p>
        </w:tc>
      </w:tr>
      <w:tr w:rsidR="008B2E2D" w14:paraId="3A9FA813" w14:textId="77777777" w:rsidTr="008B2E2D">
        <w:tc>
          <w:tcPr>
            <w:tcW w:w="3115" w:type="dxa"/>
          </w:tcPr>
          <w:p w14:paraId="5CFFA4AA" w14:textId="39442014" w:rsidR="008B2E2D" w:rsidRDefault="007B44B9" w:rsidP="007B44B9">
            <w:pPr>
              <w:jc w:val="center"/>
              <w:rPr>
                <w:rFonts w:cs="Arial"/>
                <w:sz w:val="22"/>
                <w:szCs w:val="22"/>
              </w:rPr>
            </w:pPr>
            <w:r>
              <w:rPr>
                <w:rFonts w:cs="Arial"/>
                <w:sz w:val="22"/>
                <w:szCs w:val="22"/>
              </w:rPr>
              <w:t>2029</w:t>
            </w:r>
          </w:p>
        </w:tc>
        <w:tc>
          <w:tcPr>
            <w:tcW w:w="3115" w:type="dxa"/>
          </w:tcPr>
          <w:p w14:paraId="565CF8AE" w14:textId="47F06D40" w:rsidR="008B2E2D" w:rsidRDefault="007B44B9" w:rsidP="007B44B9">
            <w:pPr>
              <w:jc w:val="center"/>
              <w:rPr>
                <w:rFonts w:cs="Arial"/>
                <w:sz w:val="22"/>
                <w:szCs w:val="22"/>
              </w:rPr>
            </w:pPr>
            <w:r>
              <w:rPr>
                <w:rFonts w:cs="Arial"/>
                <w:sz w:val="22"/>
                <w:szCs w:val="22"/>
              </w:rPr>
              <w:t>septiembre</w:t>
            </w:r>
          </w:p>
        </w:tc>
        <w:tc>
          <w:tcPr>
            <w:tcW w:w="3115" w:type="dxa"/>
          </w:tcPr>
          <w:p w14:paraId="47BD0CC4" w14:textId="6DA42147" w:rsidR="008B2E2D" w:rsidRDefault="007B44B9" w:rsidP="007B44B9">
            <w:pPr>
              <w:jc w:val="center"/>
              <w:rPr>
                <w:rFonts w:cs="Arial"/>
                <w:sz w:val="22"/>
                <w:szCs w:val="22"/>
              </w:rPr>
            </w:pPr>
            <w:r>
              <w:rPr>
                <w:rFonts w:cs="Arial"/>
                <w:sz w:val="22"/>
                <w:szCs w:val="22"/>
              </w:rPr>
              <w:t>0</w:t>
            </w:r>
          </w:p>
        </w:tc>
      </w:tr>
      <w:tr w:rsidR="008B2E2D" w14:paraId="740A1967" w14:textId="77777777" w:rsidTr="008B2E2D">
        <w:tc>
          <w:tcPr>
            <w:tcW w:w="3115" w:type="dxa"/>
          </w:tcPr>
          <w:p w14:paraId="19FFB7D2" w14:textId="5B847A8E" w:rsidR="008B2E2D" w:rsidRDefault="007B44B9" w:rsidP="007B44B9">
            <w:pPr>
              <w:jc w:val="center"/>
              <w:rPr>
                <w:rFonts w:cs="Arial"/>
                <w:sz w:val="22"/>
                <w:szCs w:val="22"/>
              </w:rPr>
            </w:pPr>
            <w:r>
              <w:rPr>
                <w:rFonts w:cs="Arial"/>
                <w:sz w:val="22"/>
                <w:szCs w:val="22"/>
              </w:rPr>
              <w:t>2029</w:t>
            </w:r>
          </w:p>
        </w:tc>
        <w:tc>
          <w:tcPr>
            <w:tcW w:w="3115" w:type="dxa"/>
          </w:tcPr>
          <w:p w14:paraId="023BC1BE" w14:textId="0B96EDD7" w:rsidR="008B2E2D" w:rsidRDefault="007B44B9" w:rsidP="007B44B9">
            <w:pPr>
              <w:jc w:val="center"/>
              <w:rPr>
                <w:rFonts w:cs="Arial"/>
                <w:sz w:val="22"/>
                <w:szCs w:val="22"/>
              </w:rPr>
            </w:pPr>
            <w:r>
              <w:rPr>
                <w:rFonts w:cs="Arial"/>
                <w:sz w:val="22"/>
                <w:szCs w:val="22"/>
              </w:rPr>
              <w:t>octubre</w:t>
            </w:r>
          </w:p>
        </w:tc>
        <w:tc>
          <w:tcPr>
            <w:tcW w:w="3115" w:type="dxa"/>
          </w:tcPr>
          <w:p w14:paraId="49845051" w14:textId="4C9D9588" w:rsidR="008B2E2D" w:rsidRDefault="007B44B9" w:rsidP="007B44B9">
            <w:pPr>
              <w:jc w:val="center"/>
              <w:rPr>
                <w:rFonts w:cs="Arial"/>
                <w:sz w:val="22"/>
                <w:szCs w:val="22"/>
              </w:rPr>
            </w:pPr>
            <w:r>
              <w:rPr>
                <w:rFonts w:cs="Arial"/>
                <w:sz w:val="22"/>
                <w:szCs w:val="22"/>
              </w:rPr>
              <w:t>0</w:t>
            </w:r>
          </w:p>
        </w:tc>
      </w:tr>
      <w:tr w:rsidR="008B2E2D" w14:paraId="26F26122" w14:textId="77777777" w:rsidTr="008B2E2D">
        <w:tc>
          <w:tcPr>
            <w:tcW w:w="3115" w:type="dxa"/>
          </w:tcPr>
          <w:p w14:paraId="427D7D6D" w14:textId="25E21FDD" w:rsidR="008B2E2D" w:rsidRDefault="007B44B9" w:rsidP="007B44B9">
            <w:pPr>
              <w:jc w:val="center"/>
              <w:rPr>
                <w:rFonts w:cs="Arial"/>
                <w:sz w:val="22"/>
                <w:szCs w:val="22"/>
              </w:rPr>
            </w:pPr>
            <w:r>
              <w:rPr>
                <w:rFonts w:cs="Arial"/>
                <w:sz w:val="22"/>
                <w:szCs w:val="22"/>
              </w:rPr>
              <w:t>2029</w:t>
            </w:r>
          </w:p>
        </w:tc>
        <w:tc>
          <w:tcPr>
            <w:tcW w:w="3115" w:type="dxa"/>
          </w:tcPr>
          <w:p w14:paraId="6341A5EC" w14:textId="058F8313" w:rsidR="008B2E2D" w:rsidRDefault="007B44B9" w:rsidP="007B44B9">
            <w:pPr>
              <w:jc w:val="center"/>
              <w:rPr>
                <w:rFonts w:cs="Arial"/>
                <w:sz w:val="22"/>
                <w:szCs w:val="22"/>
              </w:rPr>
            </w:pPr>
            <w:r>
              <w:rPr>
                <w:rFonts w:cs="Arial"/>
                <w:sz w:val="22"/>
                <w:szCs w:val="22"/>
              </w:rPr>
              <w:t>noviembre</w:t>
            </w:r>
          </w:p>
        </w:tc>
        <w:tc>
          <w:tcPr>
            <w:tcW w:w="3115" w:type="dxa"/>
          </w:tcPr>
          <w:p w14:paraId="68873B14" w14:textId="547E5C3F" w:rsidR="008B2E2D" w:rsidRDefault="007B44B9" w:rsidP="007B44B9">
            <w:pPr>
              <w:jc w:val="center"/>
              <w:rPr>
                <w:rFonts w:cs="Arial"/>
                <w:sz w:val="22"/>
                <w:szCs w:val="22"/>
              </w:rPr>
            </w:pPr>
            <w:r>
              <w:rPr>
                <w:rFonts w:cs="Arial"/>
                <w:sz w:val="22"/>
                <w:szCs w:val="22"/>
              </w:rPr>
              <w:t>0</w:t>
            </w:r>
          </w:p>
        </w:tc>
      </w:tr>
    </w:tbl>
    <w:p w14:paraId="6D63B494" w14:textId="77777777" w:rsidR="0070462F" w:rsidRDefault="0070462F" w:rsidP="0070462F">
      <w:pPr>
        <w:rPr>
          <w:rFonts w:cs="Arial"/>
          <w:sz w:val="22"/>
          <w:szCs w:val="22"/>
        </w:rPr>
      </w:pPr>
    </w:p>
    <w:p w14:paraId="3BF2CCC3" w14:textId="256DF6F7" w:rsidR="007B44B9" w:rsidRDefault="007B44B9" w:rsidP="0070462F">
      <w:pPr>
        <w:rPr>
          <w:rFonts w:cs="Arial"/>
          <w:sz w:val="22"/>
          <w:szCs w:val="22"/>
        </w:rPr>
      </w:pPr>
      <w:r>
        <w:rPr>
          <w:rFonts w:cs="Arial"/>
          <w:sz w:val="22"/>
          <w:szCs w:val="22"/>
        </w:rPr>
        <w:t xml:space="preserve">En este ejemplo, se pueden negociar </w:t>
      </w:r>
      <w:r w:rsidR="006E2730">
        <w:rPr>
          <w:rFonts w:cs="Arial"/>
          <w:sz w:val="22"/>
          <w:szCs w:val="22"/>
        </w:rPr>
        <w:t xml:space="preserve">las cantidades PTDVF de octubre (2) y noviembre (4) de 2024, que son </w:t>
      </w:r>
      <w:proofErr w:type="gramStart"/>
      <w:r w:rsidR="006E2730">
        <w:rPr>
          <w:rFonts w:cs="Arial"/>
          <w:sz w:val="22"/>
          <w:szCs w:val="22"/>
        </w:rPr>
        <w:t>cantidades a suministrar</w:t>
      </w:r>
      <w:proofErr w:type="gramEnd"/>
      <w:r w:rsidR="006E2730">
        <w:rPr>
          <w:rFonts w:cs="Arial"/>
          <w:sz w:val="22"/>
          <w:szCs w:val="22"/>
        </w:rPr>
        <w:t xml:space="preserve"> en el segundo y tercer mes del trimestre de negociación.</w:t>
      </w:r>
    </w:p>
    <w:p w14:paraId="71DBEE5B" w14:textId="77777777" w:rsidR="007B44B9" w:rsidRDefault="007B44B9" w:rsidP="0070462F">
      <w:pPr>
        <w:rPr>
          <w:rFonts w:cs="Arial"/>
          <w:sz w:val="22"/>
          <w:szCs w:val="22"/>
        </w:rPr>
      </w:pPr>
    </w:p>
    <w:p w14:paraId="549067E0" w14:textId="1EBECEBD" w:rsidR="006F36E4" w:rsidRDefault="007B44B9" w:rsidP="0070462F">
      <w:pPr>
        <w:rPr>
          <w:rFonts w:cs="Arial"/>
          <w:sz w:val="22"/>
          <w:szCs w:val="22"/>
        </w:rPr>
      </w:pPr>
      <w:r>
        <w:rPr>
          <w:rFonts w:cs="Arial"/>
          <w:sz w:val="22"/>
          <w:szCs w:val="22"/>
        </w:rPr>
        <w:t>Para el punto de referencia asignado a la fuente de suministro, se asume que se encontró balance superavitario en todos los trimestres de suministro</w:t>
      </w:r>
      <w:r w:rsidR="006E2730">
        <w:rPr>
          <w:rFonts w:cs="Arial"/>
          <w:sz w:val="22"/>
          <w:szCs w:val="22"/>
        </w:rPr>
        <w:t xml:space="preserve"> siguientes al trimestre estándar de negociación</w:t>
      </w:r>
      <w:r>
        <w:rPr>
          <w:rFonts w:cs="Arial"/>
          <w:sz w:val="22"/>
          <w:szCs w:val="22"/>
        </w:rPr>
        <w:t>, así que se pueden desarrollar negociaciones directas. Después de negociadas las cantidades trimestrales</w:t>
      </w:r>
      <w:r w:rsidR="006E2730">
        <w:rPr>
          <w:rFonts w:cs="Arial"/>
          <w:sz w:val="22"/>
          <w:szCs w:val="22"/>
        </w:rPr>
        <w:t xml:space="preserve"> en forma directa</w:t>
      </w:r>
      <w:r>
        <w:rPr>
          <w:rFonts w:cs="Arial"/>
          <w:sz w:val="22"/>
          <w:szCs w:val="22"/>
        </w:rPr>
        <w:t>, la PTDVF le queda así:</w:t>
      </w:r>
    </w:p>
    <w:p w14:paraId="3BC46D3B" w14:textId="77777777" w:rsidR="007B44B9" w:rsidRDefault="007B44B9" w:rsidP="0070462F">
      <w:pPr>
        <w:rPr>
          <w:rFonts w:cs="Arial"/>
          <w:sz w:val="22"/>
          <w:szCs w:val="22"/>
        </w:rPr>
      </w:pPr>
    </w:p>
    <w:tbl>
      <w:tblPr>
        <w:tblStyle w:val="Tablaconcuadrcula"/>
        <w:tblW w:w="0" w:type="auto"/>
        <w:tblLook w:val="04A0" w:firstRow="1" w:lastRow="0" w:firstColumn="1" w:lastColumn="0" w:noHBand="0" w:noVBand="1"/>
      </w:tblPr>
      <w:tblGrid>
        <w:gridCol w:w="3115"/>
        <w:gridCol w:w="3115"/>
        <w:gridCol w:w="3115"/>
      </w:tblGrid>
      <w:tr w:rsidR="007B44B9" w14:paraId="74F963FA" w14:textId="77777777" w:rsidTr="004D7395">
        <w:tc>
          <w:tcPr>
            <w:tcW w:w="3115" w:type="dxa"/>
            <w:shd w:val="clear" w:color="auto" w:fill="D9D9D9" w:themeFill="background1" w:themeFillShade="D9"/>
          </w:tcPr>
          <w:p w14:paraId="1E10D095" w14:textId="77777777" w:rsidR="007B44B9" w:rsidRPr="007B44B9" w:rsidRDefault="007B44B9" w:rsidP="004D7395">
            <w:pPr>
              <w:jc w:val="center"/>
              <w:rPr>
                <w:rFonts w:cs="Arial"/>
                <w:b/>
                <w:bCs/>
                <w:sz w:val="22"/>
                <w:szCs w:val="22"/>
              </w:rPr>
            </w:pPr>
            <w:r w:rsidRPr="007B44B9">
              <w:rPr>
                <w:rFonts w:cs="Arial"/>
                <w:b/>
                <w:bCs/>
                <w:sz w:val="22"/>
                <w:szCs w:val="22"/>
              </w:rPr>
              <w:t>Año</w:t>
            </w:r>
          </w:p>
        </w:tc>
        <w:tc>
          <w:tcPr>
            <w:tcW w:w="3115" w:type="dxa"/>
            <w:shd w:val="clear" w:color="auto" w:fill="D9D9D9" w:themeFill="background1" w:themeFillShade="D9"/>
          </w:tcPr>
          <w:p w14:paraId="061E9AC1" w14:textId="77777777" w:rsidR="007B44B9" w:rsidRPr="007B44B9" w:rsidRDefault="007B44B9" w:rsidP="004D7395">
            <w:pPr>
              <w:jc w:val="center"/>
              <w:rPr>
                <w:rFonts w:cs="Arial"/>
                <w:b/>
                <w:bCs/>
                <w:sz w:val="22"/>
                <w:szCs w:val="22"/>
              </w:rPr>
            </w:pPr>
            <w:r w:rsidRPr="007B44B9">
              <w:rPr>
                <w:rFonts w:cs="Arial"/>
                <w:b/>
                <w:bCs/>
                <w:sz w:val="22"/>
                <w:szCs w:val="22"/>
              </w:rPr>
              <w:t>Mes</w:t>
            </w:r>
          </w:p>
        </w:tc>
        <w:tc>
          <w:tcPr>
            <w:tcW w:w="3115" w:type="dxa"/>
            <w:shd w:val="clear" w:color="auto" w:fill="D9D9D9" w:themeFill="background1" w:themeFillShade="D9"/>
          </w:tcPr>
          <w:p w14:paraId="5F23A18C" w14:textId="77777777" w:rsidR="007B44B9" w:rsidRPr="007B44B9" w:rsidRDefault="007B44B9" w:rsidP="004D7395">
            <w:pPr>
              <w:jc w:val="center"/>
              <w:rPr>
                <w:rFonts w:cs="Arial"/>
                <w:b/>
                <w:bCs/>
                <w:sz w:val="22"/>
                <w:szCs w:val="22"/>
              </w:rPr>
            </w:pPr>
            <w:r w:rsidRPr="007B44B9">
              <w:rPr>
                <w:rFonts w:cs="Arial"/>
                <w:b/>
                <w:bCs/>
                <w:sz w:val="22"/>
                <w:szCs w:val="22"/>
              </w:rPr>
              <w:t>PTDVF</w:t>
            </w:r>
            <w:r>
              <w:rPr>
                <w:rFonts w:cs="Arial"/>
                <w:b/>
                <w:bCs/>
                <w:sz w:val="22"/>
                <w:szCs w:val="22"/>
              </w:rPr>
              <w:t xml:space="preserve"> [MBTUD]</w:t>
            </w:r>
          </w:p>
        </w:tc>
      </w:tr>
      <w:tr w:rsidR="007B44B9" w14:paraId="4483B31D" w14:textId="77777777" w:rsidTr="004D7395">
        <w:tc>
          <w:tcPr>
            <w:tcW w:w="3115" w:type="dxa"/>
          </w:tcPr>
          <w:p w14:paraId="3BECBEED" w14:textId="77777777" w:rsidR="007B44B9" w:rsidRDefault="007B44B9" w:rsidP="004D7395">
            <w:pPr>
              <w:jc w:val="center"/>
              <w:rPr>
                <w:rFonts w:cs="Arial"/>
                <w:sz w:val="22"/>
                <w:szCs w:val="22"/>
              </w:rPr>
            </w:pPr>
            <w:r>
              <w:rPr>
                <w:rFonts w:cs="Arial"/>
                <w:sz w:val="22"/>
                <w:szCs w:val="22"/>
              </w:rPr>
              <w:t>2024</w:t>
            </w:r>
          </w:p>
        </w:tc>
        <w:tc>
          <w:tcPr>
            <w:tcW w:w="3115" w:type="dxa"/>
          </w:tcPr>
          <w:p w14:paraId="04656E5B" w14:textId="77777777" w:rsidR="007B44B9" w:rsidRDefault="007B44B9" w:rsidP="004D7395">
            <w:pPr>
              <w:jc w:val="center"/>
              <w:rPr>
                <w:rFonts w:cs="Arial"/>
                <w:sz w:val="22"/>
                <w:szCs w:val="22"/>
              </w:rPr>
            </w:pPr>
            <w:r>
              <w:rPr>
                <w:rFonts w:cs="Arial"/>
                <w:sz w:val="22"/>
                <w:szCs w:val="22"/>
              </w:rPr>
              <w:t>diciembre</w:t>
            </w:r>
          </w:p>
        </w:tc>
        <w:tc>
          <w:tcPr>
            <w:tcW w:w="3115" w:type="dxa"/>
          </w:tcPr>
          <w:p w14:paraId="42474DE2" w14:textId="3844EA7C" w:rsidR="007B44B9" w:rsidRDefault="006E2730" w:rsidP="004D7395">
            <w:pPr>
              <w:jc w:val="center"/>
              <w:rPr>
                <w:rFonts w:cs="Arial"/>
                <w:sz w:val="22"/>
                <w:szCs w:val="22"/>
              </w:rPr>
            </w:pPr>
            <w:r>
              <w:rPr>
                <w:rFonts w:cs="Arial"/>
                <w:sz w:val="22"/>
                <w:szCs w:val="22"/>
              </w:rPr>
              <w:t>3</w:t>
            </w:r>
          </w:p>
        </w:tc>
      </w:tr>
      <w:tr w:rsidR="007B44B9" w14:paraId="7AE12026" w14:textId="77777777" w:rsidTr="004D7395">
        <w:tc>
          <w:tcPr>
            <w:tcW w:w="3115" w:type="dxa"/>
          </w:tcPr>
          <w:p w14:paraId="0B7B3B7A" w14:textId="77777777" w:rsidR="007B44B9" w:rsidRDefault="007B44B9" w:rsidP="004D7395">
            <w:pPr>
              <w:jc w:val="center"/>
              <w:rPr>
                <w:rFonts w:cs="Arial"/>
                <w:sz w:val="22"/>
                <w:szCs w:val="22"/>
              </w:rPr>
            </w:pPr>
            <w:r>
              <w:rPr>
                <w:rFonts w:cs="Arial"/>
                <w:sz w:val="22"/>
                <w:szCs w:val="22"/>
              </w:rPr>
              <w:t>2025</w:t>
            </w:r>
          </w:p>
        </w:tc>
        <w:tc>
          <w:tcPr>
            <w:tcW w:w="3115" w:type="dxa"/>
          </w:tcPr>
          <w:p w14:paraId="11A565EE" w14:textId="77777777" w:rsidR="007B44B9" w:rsidRDefault="007B44B9" w:rsidP="004D7395">
            <w:pPr>
              <w:jc w:val="center"/>
              <w:rPr>
                <w:rFonts w:cs="Arial"/>
                <w:sz w:val="22"/>
                <w:szCs w:val="22"/>
              </w:rPr>
            </w:pPr>
            <w:r>
              <w:rPr>
                <w:rFonts w:cs="Arial"/>
                <w:sz w:val="22"/>
                <w:szCs w:val="22"/>
              </w:rPr>
              <w:t>enero</w:t>
            </w:r>
          </w:p>
        </w:tc>
        <w:tc>
          <w:tcPr>
            <w:tcW w:w="3115" w:type="dxa"/>
          </w:tcPr>
          <w:p w14:paraId="11440E31" w14:textId="43083A71" w:rsidR="007B44B9" w:rsidRDefault="006E2730" w:rsidP="004D7395">
            <w:pPr>
              <w:jc w:val="center"/>
              <w:rPr>
                <w:rFonts w:cs="Arial"/>
                <w:sz w:val="22"/>
                <w:szCs w:val="22"/>
              </w:rPr>
            </w:pPr>
            <w:r>
              <w:rPr>
                <w:rFonts w:cs="Arial"/>
                <w:sz w:val="22"/>
                <w:szCs w:val="22"/>
              </w:rPr>
              <w:t>2</w:t>
            </w:r>
          </w:p>
        </w:tc>
      </w:tr>
      <w:tr w:rsidR="007B44B9" w14:paraId="05BDD606" w14:textId="77777777" w:rsidTr="004D7395">
        <w:tc>
          <w:tcPr>
            <w:tcW w:w="3115" w:type="dxa"/>
          </w:tcPr>
          <w:p w14:paraId="299B5468" w14:textId="77777777" w:rsidR="007B44B9" w:rsidRDefault="007B44B9" w:rsidP="004D7395">
            <w:pPr>
              <w:jc w:val="center"/>
              <w:rPr>
                <w:rFonts w:cs="Arial"/>
                <w:sz w:val="22"/>
                <w:szCs w:val="22"/>
              </w:rPr>
            </w:pPr>
            <w:r>
              <w:rPr>
                <w:rFonts w:cs="Arial"/>
                <w:sz w:val="22"/>
                <w:szCs w:val="22"/>
              </w:rPr>
              <w:t>2025</w:t>
            </w:r>
          </w:p>
        </w:tc>
        <w:tc>
          <w:tcPr>
            <w:tcW w:w="3115" w:type="dxa"/>
          </w:tcPr>
          <w:p w14:paraId="4701E456" w14:textId="77777777" w:rsidR="007B44B9" w:rsidRDefault="007B44B9" w:rsidP="004D7395">
            <w:pPr>
              <w:jc w:val="center"/>
              <w:rPr>
                <w:rFonts w:cs="Arial"/>
                <w:sz w:val="22"/>
                <w:szCs w:val="22"/>
              </w:rPr>
            </w:pPr>
            <w:r>
              <w:rPr>
                <w:rFonts w:cs="Arial"/>
                <w:sz w:val="22"/>
                <w:szCs w:val="22"/>
              </w:rPr>
              <w:t>febrero</w:t>
            </w:r>
          </w:p>
        </w:tc>
        <w:tc>
          <w:tcPr>
            <w:tcW w:w="3115" w:type="dxa"/>
          </w:tcPr>
          <w:p w14:paraId="2EA186D1" w14:textId="5A209833" w:rsidR="007B44B9" w:rsidRDefault="006E2730" w:rsidP="004D7395">
            <w:pPr>
              <w:jc w:val="center"/>
              <w:rPr>
                <w:rFonts w:cs="Arial"/>
                <w:sz w:val="22"/>
                <w:szCs w:val="22"/>
              </w:rPr>
            </w:pPr>
            <w:r>
              <w:rPr>
                <w:rFonts w:cs="Arial"/>
                <w:sz w:val="22"/>
                <w:szCs w:val="22"/>
              </w:rPr>
              <w:t>1</w:t>
            </w:r>
          </w:p>
        </w:tc>
      </w:tr>
      <w:tr w:rsidR="007B44B9" w14:paraId="6206E343" w14:textId="77777777" w:rsidTr="004D7395">
        <w:tc>
          <w:tcPr>
            <w:tcW w:w="3115" w:type="dxa"/>
          </w:tcPr>
          <w:p w14:paraId="5EC84C57" w14:textId="77777777" w:rsidR="007B44B9" w:rsidRDefault="007B44B9" w:rsidP="004D7395">
            <w:pPr>
              <w:jc w:val="center"/>
              <w:rPr>
                <w:rFonts w:cs="Arial"/>
                <w:sz w:val="22"/>
                <w:szCs w:val="22"/>
              </w:rPr>
            </w:pPr>
            <w:r>
              <w:rPr>
                <w:rFonts w:cs="Arial"/>
                <w:sz w:val="22"/>
                <w:szCs w:val="22"/>
              </w:rPr>
              <w:t>2025</w:t>
            </w:r>
          </w:p>
        </w:tc>
        <w:tc>
          <w:tcPr>
            <w:tcW w:w="3115" w:type="dxa"/>
          </w:tcPr>
          <w:p w14:paraId="45258D3B" w14:textId="77777777" w:rsidR="007B44B9" w:rsidRDefault="007B44B9" w:rsidP="004D7395">
            <w:pPr>
              <w:jc w:val="center"/>
              <w:rPr>
                <w:rFonts w:cs="Arial"/>
                <w:sz w:val="22"/>
                <w:szCs w:val="22"/>
              </w:rPr>
            </w:pPr>
            <w:r>
              <w:rPr>
                <w:rFonts w:cs="Arial"/>
                <w:sz w:val="22"/>
                <w:szCs w:val="22"/>
              </w:rPr>
              <w:t>marzo</w:t>
            </w:r>
          </w:p>
        </w:tc>
        <w:tc>
          <w:tcPr>
            <w:tcW w:w="3115" w:type="dxa"/>
          </w:tcPr>
          <w:p w14:paraId="4CA7F24A" w14:textId="348AF12E" w:rsidR="007B44B9" w:rsidRDefault="007B44B9" w:rsidP="004D7395">
            <w:pPr>
              <w:jc w:val="center"/>
              <w:rPr>
                <w:rFonts w:cs="Arial"/>
                <w:sz w:val="22"/>
                <w:szCs w:val="22"/>
              </w:rPr>
            </w:pPr>
            <w:r>
              <w:rPr>
                <w:rFonts w:cs="Arial"/>
                <w:sz w:val="22"/>
                <w:szCs w:val="22"/>
              </w:rPr>
              <w:t>10</w:t>
            </w:r>
          </w:p>
        </w:tc>
      </w:tr>
      <w:tr w:rsidR="007B44B9" w14:paraId="692D36CC" w14:textId="77777777" w:rsidTr="004D7395">
        <w:tc>
          <w:tcPr>
            <w:tcW w:w="3115" w:type="dxa"/>
          </w:tcPr>
          <w:p w14:paraId="3D496E23" w14:textId="77777777" w:rsidR="007B44B9" w:rsidRDefault="007B44B9" w:rsidP="004D7395">
            <w:pPr>
              <w:jc w:val="center"/>
              <w:rPr>
                <w:rFonts w:cs="Arial"/>
                <w:sz w:val="22"/>
                <w:szCs w:val="22"/>
              </w:rPr>
            </w:pPr>
            <w:r>
              <w:rPr>
                <w:rFonts w:cs="Arial"/>
                <w:sz w:val="22"/>
                <w:szCs w:val="22"/>
              </w:rPr>
              <w:t>2025</w:t>
            </w:r>
          </w:p>
        </w:tc>
        <w:tc>
          <w:tcPr>
            <w:tcW w:w="3115" w:type="dxa"/>
          </w:tcPr>
          <w:p w14:paraId="451304AA" w14:textId="77777777" w:rsidR="007B44B9" w:rsidRDefault="007B44B9" w:rsidP="004D7395">
            <w:pPr>
              <w:jc w:val="center"/>
              <w:rPr>
                <w:rFonts w:cs="Arial"/>
                <w:sz w:val="22"/>
                <w:szCs w:val="22"/>
              </w:rPr>
            </w:pPr>
            <w:r>
              <w:rPr>
                <w:rFonts w:cs="Arial"/>
                <w:sz w:val="22"/>
                <w:szCs w:val="22"/>
              </w:rPr>
              <w:t>abril</w:t>
            </w:r>
          </w:p>
        </w:tc>
        <w:tc>
          <w:tcPr>
            <w:tcW w:w="3115" w:type="dxa"/>
          </w:tcPr>
          <w:p w14:paraId="05A6C055" w14:textId="385222D9" w:rsidR="007B44B9" w:rsidRDefault="006E2730" w:rsidP="004D7395">
            <w:pPr>
              <w:jc w:val="center"/>
              <w:rPr>
                <w:rFonts w:cs="Arial"/>
                <w:sz w:val="22"/>
                <w:szCs w:val="22"/>
              </w:rPr>
            </w:pPr>
            <w:r>
              <w:rPr>
                <w:rFonts w:cs="Arial"/>
                <w:sz w:val="22"/>
                <w:szCs w:val="22"/>
              </w:rPr>
              <w:t>9</w:t>
            </w:r>
          </w:p>
        </w:tc>
      </w:tr>
      <w:tr w:rsidR="007B44B9" w14:paraId="2795BFBA" w14:textId="77777777" w:rsidTr="004D7395">
        <w:tc>
          <w:tcPr>
            <w:tcW w:w="3115" w:type="dxa"/>
          </w:tcPr>
          <w:p w14:paraId="069C199D" w14:textId="730A0CC4" w:rsidR="007B44B9" w:rsidRDefault="007B44B9" w:rsidP="004D7395">
            <w:pPr>
              <w:jc w:val="center"/>
              <w:rPr>
                <w:rFonts w:cs="Arial"/>
                <w:sz w:val="22"/>
                <w:szCs w:val="22"/>
              </w:rPr>
            </w:pPr>
            <w:r>
              <w:rPr>
                <w:rFonts w:cs="Arial"/>
                <w:sz w:val="22"/>
                <w:szCs w:val="22"/>
              </w:rPr>
              <w:t>2025</w:t>
            </w:r>
          </w:p>
        </w:tc>
        <w:tc>
          <w:tcPr>
            <w:tcW w:w="3115" w:type="dxa"/>
          </w:tcPr>
          <w:p w14:paraId="2D8F45EC" w14:textId="7FC03E95" w:rsidR="007B44B9" w:rsidRDefault="007B44B9" w:rsidP="007B44B9">
            <w:pPr>
              <w:jc w:val="center"/>
              <w:rPr>
                <w:rFonts w:cs="Arial"/>
                <w:sz w:val="22"/>
                <w:szCs w:val="22"/>
              </w:rPr>
            </w:pPr>
            <w:r>
              <w:rPr>
                <w:rFonts w:cs="Arial"/>
                <w:sz w:val="22"/>
                <w:szCs w:val="22"/>
              </w:rPr>
              <w:t>mayo</w:t>
            </w:r>
          </w:p>
        </w:tc>
        <w:tc>
          <w:tcPr>
            <w:tcW w:w="3115" w:type="dxa"/>
          </w:tcPr>
          <w:p w14:paraId="6C7A36D0" w14:textId="7FE4D506" w:rsidR="007B44B9" w:rsidRDefault="006E2730" w:rsidP="004D7395">
            <w:pPr>
              <w:jc w:val="center"/>
              <w:rPr>
                <w:rFonts w:cs="Arial"/>
                <w:sz w:val="22"/>
                <w:szCs w:val="22"/>
              </w:rPr>
            </w:pPr>
            <w:r>
              <w:rPr>
                <w:rFonts w:cs="Arial"/>
                <w:sz w:val="22"/>
                <w:szCs w:val="22"/>
              </w:rPr>
              <w:t>8</w:t>
            </w:r>
          </w:p>
        </w:tc>
      </w:tr>
      <w:tr w:rsidR="007B44B9" w14:paraId="3B677879" w14:textId="77777777" w:rsidTr="004D7395">
        <w:tc>
          <w:tcPr>
            <w:tcW w:w="3115" w:type="dxa"/>
          </w:tcPr>
          <w:p w14:paraId="36E90748" w14:textId="77777777" w:rsidR="007B44B9" w:rsidRDefault="007B44B9" w:rsidP="004D7395">
            <w:pPr>
              <w:jc w:val="center"/>
              <w:rPr>
                <w:rFonts w:cs="Arial"/>
                <w:sz w:val="22"/>
                <w:szCs w:val="22"/>
              </w:rPr>
            </w:pPr>
          </w:p>
        </w:tc>
        <w:tc>
          <w:tcPr>
            <w:tcW w:w="3115" w:type="dxa"/>
          </w:tcPr>
          <w:p w14:paraId="24C91E4A" w14:textId="77777777" w:rsidR="007B44B9" w:rsidRDefault="007B44B9" w:rsidP="004D7395">
            <w:pPr>
              <w:jc w:val="center"/>
              <w:rPr>
                <w:rFonts w:cs="Arial"/>
                <w:sz w:val="22"/>
                <w:szCs w:val="22"/>
              </w:rPr>
            </w:pPr>
            <w:r>
              <w:rPr>
                <w:rFonts w:cs="Arial"/>
                <w:sz w:val="22"/>
                <w:szCs w:val="22"/>
              </w:rPr>
              <w:t>…</w:t>
            </w:r>
          </w:p>
        </w:tc>
        <w:tc>
          <w:tcPr>
            <w:tcW w:w="3115" w:type="dxa"/>
          </w:tcPr>
          <w:p w14:paraId="529BBB26" w14:textId="77777777" w:rsidR="007B44B9" w:rsidRDefault="007B44B9" w:rsidP="004D7395">
            <w:pPr>
              <w:jc w:val="center"/>
              <w:rPr>
                <w:rFonts w:cs="Arial"/>
                <w:sz w:val="22"/>
                <w:szCs w:val="22"/>
              </w:rPr>
            </w:pPr>
          </w:p>
        </w:tc>
      </w:tr>
      <w:tr w:rsidR="007B44B9" w14:paraId="210F6CB5" w14:textId="77777777" w:rsidTr="004D7395">
        <w:tc>
          <w:tcPr>
            <w:tcW w:w="3115" w:type="dxa"/>
          </w:tcPr>
          <w:p w14:paraId="0B85815E" w14:textId="77777777" w:rsidR="007B44B9" w:rsidRDefault="007B44B9" w:rsidP="004D7395">
            <w:pPr>
              <w:jc w:val="center"/>
              <w:rPr>
                <w:rFonts w:cs="Arial"/>
                <w:sz w:val="22"/>
                <w:szCs w:val="22"/>
              </w:rPr>
            </w:pPr>
          </w:p>
        </w:tc>
        <w:tc>
          <w:tcPr>
            <w:tcW w:w="3115" w:type="dxa"/>
          </w:tcPr>
          <w:p w14:paraId="1BC0AA99" w14:textId="77777777" w:rsidR="007B44B9" w:rsidRDefault="007B44B9" w:rsidP="004D7395">
            <w:pPr>
              <w:jc w:val="center"/>
              <w:rPr>
                <w:rFonts w:cs="Arial"/>
                <w:sz w:val="22"/>
                <w:szCs w:val="22"/>
              </w:rPr>
            </w:pPr>
            <w:r>
              <w:rPr>
                <w:rFonts w:cs="Arial"/>
                <w:sz w:val="22"/>
                <w:szCs w:val="22"/>
              </w:rPr>
              <w:t>…</w:t>
            </w:r>
          </w:p>
        </w:tc>
        <w:tc>
          <w:tcPr>
            <w:tcW w:w="3115" w:type="dxa"/>
          </w:tcPr>
          <w:p w14:paraId="495D72F1" w14:textId="77777777" w:rsidR="007B44B9" w:rsidRDefault="007B44B9" w:rsidP="004D7395">
            <w:pPr>
              <w:jc w:val="center"/>
              <w:rPr>
                <w:rFonts w:cs="Arial"/>
                <w:sz w:val="22"/>
                <w:szCs w:val="22"/>
              </w:rPr>
            </w:pPr>
          </w:p>
        </w:tc>
      </w:tr>
      <w:tr w:rsidR="007B44B9" w14:paraId="7571160E" w14:textId="77777777" w:rsidTr="004D7395">
        <w:tc>
          <w:tcPr>
            <w:tcW w:w="3115" w:type="dxa"/>
          </w:tcPr>
          <w:p w14:paraId="67CA1778" w14:textId="77777777" w:rsidR="007B44B9" w:rsidRDefault="007B44B9" w:rsidP="004D7395">
            <w:pPr>
              <w:jc w:val="center"/>
              <w:rPr>
                <w:rFonts w:cs="Arial"/>
                <w:sz w:val="22"/>
                <w:szCs w:val="22"/>
              </w:rPr>
            </w:pPr>
            <w:r>
              <w:rPr>
                <w:rFonts w:cs="Arial"/>
                <w:sz w:val="22"/>
                <w:szCs w:val="22"/>
              </w:rPr>
              <w:t>2029</w:t>
            </w:r>
          </w:p>
        </w:tc>
        <w:tc>
          <w:tcPr>
            <w:tcW w:w="3115" w:type="dxa"/>
          </w:tcPr>
          <w:p w14:paraId="4EF34DE1" w14:textId="77777777" w:rsidR="007B44B9" w:rsidRDefault="007B44B9" w:rsidP="004D7395">
            <w:pPr>
              <w:jc w:val="center"/>
              <w:rPr>
                <w:rFonts w:cs="Arial"/>
                <w:sz w:val="22"/>
                <w:szCs w:val="22"/>
              </w:rPr>
            </w:pPr>
            <w:r>
              <w:rPr>
                <w:rFonts w:cs="Arial"/>
                <w:sz w:val="22"/>
                <w:szCs w:val="22"/>
              </w:rPr>
              <w:t>septiembre</w:t>
            </w:r>
          </w:p>
        </w:tc>
        <w:tc>
          <w:tcPr>
            <w:tcW w:w="3115" w:type="dxa"/>
          </w:tcPr>
          <w:p w14:paraId="66FF912B" w14:textId="77777777" w:rsidR="007B44B9" w:rsidRDefault="007B44B9" w:rsidP="004D7395">
            <w:pPr>
              <w:jc w:val="center"/>
              <w:rPr>
                <w:rFonts w:cs="Arial"/>
                <w:sz w:val="22"/>
                <w:szCs w:val="22"/>
              </w:rPr>
            </w:pPr>
            <w:r>
              <w:rPr>
                <w:rFonts w:cs="Arial"/>
                <w:sz w:val="22"/>
                <w:szCs w:val="22"/>
              </w:rPr>
              <w:t>0</w:t>
            </w:r>
          </w:p>
        </w:tc>
      </w:tr>
      <w:tr w:rsidR="007B44B9" w14:paraId="77B959AD" w14:textId="77777777" w:rsidTr="004D7395">
        <w:tc>
          <w:tcPr>
            <w:tcW w:w="3115" w:type="dxa"/>
          </w:tcPr>
          <w:p w14:paraId="0E680575" w14:textId="77777777" w:rsidR="007B44B9" w:rsidRDefault="007B44B9" w:rsidP="004D7395">
            <w:pPr>
              <w:jc w:val="center"/>
              <w:rPr>
                <w:rFonts w:cs="Arial"/>
                <w:sz w:val="22"/>
                <w:szCs w:val="22"/>
              </w:rPr>
            </w:pPr>
            <w:r>
              <w:rPr>
                <w:rFonts w:cs="Arial"/>
                <w:sz w:val="22"/>
                <w:szCs w:val="22"/>
              </w:rPr>
              <w:t>2029</w:t>
            </w:r>
          </w:p>
        </w:tc>
        <w:tc>
          <w:tcPr>
            <w:tcW w:w="3115" w:type="dxa"/>
          </w:tcPr>
          <w:p w14:paraId="47A62269" w14:textId="77777777" w:rsidR="007B44B9" w:rsidRDefault="007B44B9" w:rsidP="004D7395">
            <w:pPr>
              <w:jc w:val="center"/>
              <w:rPr>
                <w:rFonts w:cs="Arial"/>
                <w:sz w:val="22"/>
                <w:szCs w:val="22"/>
              </w:rPr>
            </w:pPr>
            <w:r>
              <w:rPr>
                <w:rFonts w:cs="Arial"/>
                <w:sz w:val="22"/>
                <w:szCs w:val="22"/>
              </w:rPr>
              <w:t>octubre</w:t>
            </w:r>
          </w:p>
        </w:tc>
        <w:tc>
          <w:tcPr>
            <w:tcW w:w="3115" w:type="dxa"/>
          </w:tcPr>
          <w:p w14:paraId="4B82E5DE" w14:textId="77777777" w:rsidR="007B44B9" w:rsidRDefault="007B44B9" w:rsidP="004D7395">
            <w:pPr>
              <w:jc w:val="center"/>
              <w:rPr>
                <w:rFonts w:cs="Arial"/>
                <w:sz w:val="22"/>
                <w:szCs w:val="22"/>
              </w:rPr>
            </w:pPr>
            <w:r>
              <w:rPr>
                <w:rFonts w:cs="Arial"/>
                <w:sz w:val="22"/>
                <w:szCs w:val="22"/>
              </w:rPr>
              <w:t>0</w:t>
            </w:r>
          </w:p>
        </w:tc>
      </w:tr>
      <w:tr w:rsidR="007B44B9" w14:paraId="35B8BCDD" w14:textId="77777777" w:rsidTr="004D7395">
        <w:tc>
          <w:tcPr>
            <w:tcW w:w="3115" w:type="dxa"/>
          </w:tcPr>
          <w:p w14:paraId="1CB22E7F" w14:textId="77777777" w:rsidR="007B44B9" w:rsidRDefault="007B44B9" w:rsidP="004D7395">
            <w:pPr>
              <w:jc w:val="center"/>
              <w:rPr>
                <w:rFonts w:cs="Arial"/>
                <w:sz w:val="22"/>
                <w:szCs w:val="22"/>
              </w:rPr>
            </w:pPr>
            <w:r>
              <w:rPr>
                <w:rFonts w:cs="Arial"/>
                <w:sz w:val="22"/>
                <w:szCs w:val="22"/>
              </w:rPr>
              <w:t>2029</w:t>
            </w:r>
          </w:p>
        </w:tc>
        <w:tc>
          <w:tcPr>
            <w:tcW w:w="3115" w:type="dxa"/>
          </w:tcPr>
          <w:p w14:paraId="7AAE804C" w14:textId="77777777" w:rsidR="007B44B9" w:rsidRDefault="007B44B9" w:rsidP="004D7395">
            <w:pPr>
              <w:jc w:val="center"/>
              <w:rPr>
                <w:rFonts w:cs="Arial"/>
                <w:sz w:val="22"/>
                <w:szCs w:val="22"/>
              </w:rPr>
            </w:pPr>
            <w:r>
              <w:rPr>
                <w:rFonts w:cs="Arial"/>
                <w:sz w:val="22"/>
                <w:szCs w:val="22"/>
              </w:rPr>
              <w:t>noviembre</w:t>
            </w:r>
          </w:p>
        </w:tc>
        <w:tc>
          <w:tcPr>
            <w:tcW w:w="3115" w:type="dxa"/>
          </w:tcPr>
          <w:p w14:paraId="137CCC5D" w14:textId="77777777" w:rsidR="007B44B9" w:rsidRDefault="007B44B9" w:rsidP="004D7395">
            <w:pPr>
              <w:jc w:val="center"/>
              <w:rPr>
                <w:rFonts w:cs="Arial"/>
                <w:sz w:val="22"/>
                <w:szCs w:val="22"/>
              </w:rPr>
            </w:pPr>
            <w:r>
              <w:rPr>
                <w:rFonts w:cs="Arial"/>
                <w:sz w:val="22"/>
                <w:szCs w:val="22"/>
              </w:rPr>
              <w:t>0</w:t>
            </w:r>
          </w:p>
        </w:tc>
      </w:tr>
    </w:tbl>
    <w:p w14:paraId="6F3BEDBD" w14:textId="77777777" w:rsidR="007B44B9" w:rsidRDefault="007B44B9" w:rsidP="0070462F">
      <w:pPr>
        <w:rPr>
          <w:rFonts w:cs="Arial"/>
          <w:sz w:val="22"/>
          <w:szCs w:val="22"/>
        </w:rPr>
      </w:pPr>
    </w:p>
    <w:p w14:paraId="49EF19E4" w14:textId="37AF9757" w:rsidR="007B44B9" w:rsidRDefault="007B44B9" w:rsidP="0070462F">
      <w:pPr>
        <w:rPr>
          <w:rFonts w:cs="Arial"/>
          <w:sz w:val="22"/>
          <w:szCs w:val="22"/>
        </w:rPr>
      </w:pPr>
      <w:r>
        <w:rPr>
          <w:rFonts w:cs="Arial"/>
          <w:sz w:val="22"/>
          <w:szCs w:val="22"/>
        </w:rPr>
        <w:t>En este ejemplo, quedan cantidades d</w:t>
      </w:r>
      <w:r w:rsidR="006E2730">
        <w:rPr>
          <w:rFonts w:cs="Arial"/>
          <w:sz w:val="22"/>
          <w:szCs w:val="22"/>
        </w:rPr>
        <w:t>isponibles para negociar contratos para suministro en diciembre</w:t>
      </w:r>
      <w:r>
        <w:rPr>
          <w:rFonts w:cs="Arial"/>
          <w:sz w:val="22"/>
          <w:szCs w:val="22"/>
        </w:rPr>
        <w:t xml:space="preserve"> </w:t>
      </w:r>
      <w:r w:rsidR="006E2730">
        <w:rPr>
          <w:rFonts w:cs="Arial"/>
          <w:sz w:val="22"/>
          <w:szCs w:val="22"/>
        </w:rPr>
        <w:t>de 2024 (3), enero de 2025 (2) y febrero de 2025 (1). Se realizan las negociaciones de contratos mensuales para diciembre (2), enero (2) y febrero (0) y queda la siguiente PTDVF:</w:t>
      </w:r>
    </w:p>
    <w:p w14:paraId="6C707643" w14:textId="77777777" w:rsidR="006E2730" w:rsidRDefault="006E2730" w:rsidP="0070462F">
      <w:pPr>
        <w:rPr>
          <w:rFonts w:cs="Arial"/>
          <w:sz w:val="22"/>
          <w:szCs w:val="22"/>
        </w:rPr>
      </w:pPr>
    </w:p>
    <w:tbl>
      <w:tblPr>
        <w:tblStyle w:val="Tablaconcuadrcula"/>
        <w:tblW w:w="0" w:type="auto"/>
        <w:tblLook w:val="04A0" w:firstRow="1" w:lastRow="0" w:firstColumn="1" w:lastColumn="0" w:noHBand="0" w:noVBand="1"/>
      </w:tblPr>
      <w:tblGrid>
        <w:gridCol w:w="3115"/>
        <w:gridCol w:w="3115"/>
        <w:gridCol w:w="3115"/>
      </w:tblGrid>
      <w:tr w:rsidR="006E2730" w14:paraId="792720B7" w14:textId="77777777" w:rsidTr="004D7395">
        <w:tc>
          <w:tcPr>
            <w:tcW w:w="3115" w:type="dxa"/>
            <w:shd w:val="clear" w:color="auto" w:fill="D9D9D9" w:themeFill="background1" w:themeFillShade="D9"/>
          </w:tcPr>
          <w:p w14:paraId="2FFED6F6" w14:textId="77777777" w:rsidR="006E2730" w:rsidRPr="007B44B9" w:rsidRDefault="006E2730" w:rsidP="004D7395">
            <w:pPr>
              <w:jc w:val="center"/>
              <w:rPr>
                <w:rFonts w:cs="Arial"/>
                <w:b/>
                <w:bCs/>
                <w:sz w:val="22"/>
                <w:szCs w:val="22"/>
              </w:rPr>
            </w:pPr>
            <w:r w:rsidRPr="007B44B9">
              <w:rPr>
                <w:rFonts w:cs="Arial"/>
                <w:b/>
                <w:bCs/>
                <w:sz w:val="22"/>
                <w:szCs w:val="22"/>
              </w:rPr>
              <w:t>Año</w:t>
            </w:r>
          </w:p>
        </w:tc>
        <w:tc>
          <w:tcPr>
            <w:tcW w:w="3115" w:type="dxa"/>
            <w:shd w:val="clear" w:color="auto" w:fill="D9D9D9" w:themeFill="background1" w:themeFillShade="D9"/>
          </w:tcPr>
          <w:p w14:paraId="5E8970EF" w14:textId="77777777" w:rsidR="006E2730" w:rsidRPr="007B44B9" w:rsidRDefault="006E2730" w:rsidP="004D7395">
            <w:pPr>
              <w:jc w:val="center"/>
              <w:rPr>
                <w:rFonts w:cs="Arial"/>
                <w:b/>
                <w:bCs/>
                <w:sz w:val="22"/>
                <w:szCs w:val="22"/>
              </w:rPr>
            </w:pPr>
            <w:r w:rsidRPr="007B44B9">
              <w:rPr>
                <w:rFonts w:cs="Arial"/>
                <w:b/>
                <w:bCs/>
                <w:sz w:val="22"/>
                <w:szCs w:val="22"/>
              </w:rPr>
              <w:t>Mes</w:t>
            </w:r>
          </w:p>
        </w:tc>
        <w:tc>
          <w:tcPr>
            <w:tcW w:w="3115" w:type="dxa"/>
            <w:shd w:val="clear" w:color="auto" w:fill="D9D9D9" w:themeFill="background1" w:themeFillShade="D9"/>
          </w:tcPr>
          <w:p w14:paraId="59BE6B4C" w14:textId="77777777" w:rsidR="006E2730" w:rsidRPr="007B44B9" w:rsidRDefault="006E2730" w:rsidP="004D7395">
            <w:pPr>
              <w:jc w:val="center"/>
              <w:rPr>
                <w:rFonts w:cs="Arial"/>
                <w:b/>
                <w:bCs/>
                <w:sz w:val="22"/>
                <w:szCs w:val="22"/>
              </w:rPr>
            </w:pPr>
            <w:r w:rsidRPr="007B44B9">
              <w:rPr>
                <w:rFonts w:cs="Arial"/>
                <w:b/>
                <w:bCs/>
                <w:sz w:val="22"/>
                <w:szCs w:val="22"/>
              </w:rPr>
              <w:t>PTDVF</w:t>
            </w:r>
            <w:r>
              <w:rPr>
                <w:rFonts w:cs="Arial"/>
                <w:b/>
                <w:bCs/>
                <w:sz w:val="22"/>
                <w:szCs w:val="22"/>
              </w:rPr>
              <w:t xml:space="preserve"> [MBTUD]</w:t>
            </w:r>
          </w:p>
        </w:tc>
      </w:tr>
      <w:tr w:rsidR="006E2730" w14:paraId="3DAE0B61" w14:textId="77777777" w:rsidTr="004D7395">
        <w:tc>
          <w:tcPr>
            <w:tcW w:w="3115" w:type="dxa"/>
          </w:tcPr>
          <w:p w14:paraId="6D1F1213" w14:textId="77777777" w:rsidR="006E2730" w:rsidRDefault="006E2730" w:rsidP="004D7395">
            <w:pPr>
              <w:jc w:val="center"/>
              <w:rPr>
                <w:rFonts w:cs="Arial"/>
                <w:sz w:val="22"/>
                <w:szCs w:val="22"/>
              </w:rPr>
            </w:pPr>
            <w:r>
              <w:rPr>
                <w:rFonts w:cs="Arial"/>
                <w:sz w:val="22"/>
                <w:szCs w:val="22"/>
              </w:rPr>
              <w:t>2024</w:t>
            </w:r>
          </w:p>
        </w:tc>
        <w:tc>
          <w:tcPr>
            <w:tcW w:w="3115" w:type="dxa"/>
          </w:tcPr>
          <w:p w14:paraId="5C055E02" w14:textId="77777777" w:rsidR="006E2730" w:rsidRDefault="006E2730" w:rsidP="004D7395">
            <w:pPr>
              <w:jc w:val="center"/>
              <w:rPr>
                <w:rFonts w:cs="Arial"/>
                <w:sz w:val="22"/>
                <w:szCs w:val="22"/>
              </w:rPr>
            </w:pPr>
            <w:r>
              <w:rPr>
                <w:rFonts w:cs="Arial"/>
                <w:sz w:val="22"/>
                <w:szCs w:val="22"/>
              </w:rPr>
              <w:t>diciembre</w:t>
            </w:r>
          </w:p>
        </w:tc>
        <w:tc>
          <w:tcPr>
            <w:tcW w:w="3115" w:type="dxa"/>
          </w:tcPr>
          <w:p w14:paraId="54F45D59" w14:textId="5D1EBB3C" w:rsidR="006E2730" w:rsidRDefault="006E2730" w:rsidP="004D7395">
            <w:pPr>
              <w:jc w:val="center"/>
              <w:rPr>
                <w:rFonts w:cs="Arial"/>
                <w:sz w:val="22"/>
                <w:szCs w:val="22"/>
              </w:rPr>
            </w:pPr>
            <w:r>
              <w:rPr>
                <w:rFonts w:cs="Arial"/>
                <w:sz w:val="22"/>
                <w:szCs w:val="22"/>
              </w:rPr>
              <w:t>1</w:t>
            </w:r>
          </w:p>
        </w:tc>
      </w:tr>
      <w:tr w:rsidR="006E2730" w14:paraId="20C9DE4A" w14:textId="77777777" w:rsidTr="004D7395">
        <w:tc>
          <w:tcPr>
            <w:tcW w:w="3115" w:type="dxa"/>
          </w:tcPr>
          <w:p w14:paraId="58F75F3B" w14:textId="77777777" w:rsidR="006E2730" w:rsidRDefault="006E2730" w:rsidP="004D7395">
            <w:pPr>
              <w:jc w:val="center"/>
              <w:rPr>
                <w:rFonts w:cs="Arial"/>
                <w:sz w:val="22"/>
                <w:szCs w:val="22"/>
              </w:rPr>
            </w:pPr>
            <w:r>
              <w:rPr>
                <w:rFonts w:cs="Arial"/>
                <w:sz w:val="22"/>
                <w:szCs w:val="22"/>
              </w:rPr>
              <w:t>2025</w:t>
            </w:r>
          </w:p>
        </w:tc>
        <w:tc>
          <w:tcPr>
            <w:tcW w:w="3115" w:type="dxa"/>
          </w:tcPr>
          <w:p w14:paraId="250D2FDB" w14:textId="77777777" w:rsidR="006E2730" w:rsidRDefault="006E2730" w:rsidP="004D7395">
            <w:pPr>
              <w:jc w:val="center"/>
              <w:rPr>
                <w:rFonts w:cs="Arial"/>
                <w:sz w:val="22"/>
                <w:szCs w:val="22"/>
              </w:rPr>
            </w:pPr>
            <w:r>
              <w:rPr>
                <w:rFonts w:cs="Arial"/>
                <w:sz w:val="22"/>
                <w:szCs w:val="22"/>
              </w:rPr>
              <w:t>enero</w:t>
            </w:r>
          </w:p>
        </w:tc>
        <w:tc>
          <w:tcPr>
            <w:tcW w:w="3115" w:type="dxa"/>
          </w:tcPr>
          <w:p w14:paraId="05F19ABC" w14:textId="01B85231" w:rsidR="006E2730" w:rsidRDefault="006E2730" w:rsidP="004D7395">
            <w:pPr>
              <w:jc w:val="center"/>
              <w:rPr>
                <w:rFonts w:cs="Arial"/>
                <w:sz w:val="22"/>
                <w:szCs w:val="22"/>
              </w:rPr>
            </w:pPr>
            <w:r>
              <w:rPr>
                <w:rFonts w:cs="Arial"/>
                <w:sz w:val="22"/>
                <w:szCs w:val="22"/>
              </w:rPr>
              <w:t>0</w:t>
            </w:r>
          </w:p>
        </w:tc>
      </w:tr>
      <w:tr w:rsidR="006E2730" w14:paraId="172BB9F9" w14:textId="77777777" w:rsidTr="004D7395">
        <w:tc>
          <w:tcPr>
            <w:tcW w:w="3115" w:type="dxa"/>
          </w:tcPr>
          <w:p w14:paraId="7B617500" w14:textId="77777777" w:rsidR="006E2730" w:rsidRDefault="006E2730" w:rsidP="004D7395">
            <w:pPr>
              <w:jc w:val="center"/>
              <w:rPr>
                <w:rFonts w:cs="Arial"/>
                <w:sz w:val="22"/>
                <w:szCs w:val="22"/>
              </w:rPr>
            </w:pPr>
            <w:r>
              <w:rPr>
                <w:rFonts w:cs="Arial"/>
                <w:sz w:val="22"/>
                <w:szCs w:val="22"/>
              </w:rPr>
              <w:t>2025</w:t>
            </w:r>
          </w:p>
        </w:tc>
        <w:tc>
          <w:tcPr>
            <w:tcW w:w="3115" w:type="dxa"/>
          </w:tcPr>
          <w:p w14:paraId="64D28313" w14:textId="77777777" w:rsidR="006E2730" w:rsidRDefault="006E2730" w:rsidP="004D7395">
            <w:pPr>
              <w:jc w:val="center"/>
              <w:rPr>
                <w:rFonts w:cs="Arial"/>
                <w:sz w:val="22"/>
                <w:szCs w:val="22"/>
              </w:rPr>
            </w:pPr>
            <w:r>
              <w:rPr>
                <w:rFonts w:cs="Arial"/>
                <w:sz w:val="22"/>
                <w:szCs w:val="22"/>
              </w:rPr>
              <w:t>febrero</w:t>
            </w:r>
          </w:p>
        </w:tc>
        <w:tc>
          <w:tcPr>
            <w:tcW w:w="3115" w:type="dxa"/>
          </w:tcPr>
          <w:p w14:paraId="7AFB5653" w14:textId="77777777" w:rsidR="006E2730" w:rsidRDefault="006E2730" w:rsidP="004D7395">
            <w:pPr>
              <w:jc w:val="center"/>
              <w:rPr>
                <w:rFonts w:cs="Arial"/>
                <w:sz w:val="22"/>
                <w:szCs w:val="22"/>
              </w:rPr>
            </w:pPr>
            <w:r>
              <w:rPr>
                <w:rFonts w:cs="Arial"/>
                <w:sz w:val="22"/>
                <w:szCs w:val="22"/>
              </w:rPr>
              <w:t>1</w:t>
            </w:r>
          </w:p>
        </w:tc>
      </w:tr>
      <w:tr w:rsidR="006E2730" w14:paraId="28FF4A98" w14:textId="77777777" w:rsidTr="004D7395">
        <w:tc>
          <w:tcPr>
            <w:tcW w:w="3115" w:type="dxa"/>
          </w:tcPr>
          <w:p w14:paraId="038A36D7" w14:textId="77777777" w:rsidR="006E2730" w:rsidRDefault="006E2730" w:rsidP="004D7395">
            <w:pPr>
              <w:jc w:val="center"/>
              <w:rPr>
                <w:rFonts w:cs="Arial"/>
                <w:sz w:val="22"/>
                <w:szCs w:val="22"/>
              </w:rPr>
            </w:pPr>
            <w:r>
              <w:rPr>
                <w:rFonts w:cs="Arial"/>
                <w:sz w:val="22"/>
                <w:szCs w:val="22"/>
              </w:rPr>
              <w:t>2025</w:t>
            </w:r>
          </w:p>
        </w:tc>
        <w:tc>
          <w:tcPr>
            <w:tcW w:w="3115" w:type="dxa"/>
          </w:tcPr>
          <w:p w14:paraId="68667E1D" w14:textId="77777777" w:rsidR="006E2730" w:rsidRDefault="006E2730" w:rsidP="004D7395">
            <w:pPr>
              <w:jc w:val="center"/>
              <w:rPr>
                <w:rFonts w:cs="Arial"/>
                <w:sz w:val="22"/>
                <w:szCs w:val="22"/>
              </w:rPr>
            </w:pPr>
            <w:r>
              <w:rPr>
                <w:rFonts w:cs="Arial"/>
                <w:sz w:val="22"/>
                <w:szCs w:val="22"/>
              </w:rPr>
              <w:t>marzo</w:t>
            </w:r>
          </w:p>
        </w:tc>
        <w:tc>
          <w:tcPr>
            <w:tcW w:w="3115" w:type="dxa"/>
          </w:tcPr>
          <w:p w14:paraId="3F011E97" w14:textId="77777777" w:rsidR="006E2730" w:rsidRDefault="006E2730" w:rsidP="004D7395">
            <w:pPr>
              <w:jc w:val="center"/>
              <w:rPr>
                <w:rFonts w:cs="Arial"/>
                <w:sz w:val="22"/>
                <w:szCs w:val="22"/>
              </w:rPr>
            </w:pPr>
            <w:r>
              <w:rPr>
                <w:rFonts w:cs="Arial"/>
                <w:sz w:val="22"/>
                <w:szCs w:val="22"/>
              </w:rPr>
              <w:t>10</w:t>
            </w:r>
          </w:p>
        </w:tc>
      </w:tr>
      <w:tr w:rsidR="006E2730" w14:paraId="54A1B02A" w14:textId="77777777" w:rsidTr="004D7395">
        <w:tc>
          <w:tcPr>
            <w:tcW w:w="3115" w:type="dxa"/>
          </w:tcPr>
          <w:p w14:paraId="64DD647C" w14:textId="77777777" w:rsidR="006E2730" w:rsidRDefault="006E2730" w:rsidP="004D7395">
            <w:pPr>
              <w:jc w:val="center"/>
              <w:rPr>
                <w:rFonts w:cs="Arial"/>
                <w:sz w:val="22"/>
                <w:szCs w:val="22"/>
              </w:rPr>
            </w:pPr>
            <w:r>
              <w:rPr>
                <w:rFonts w:cs="Arial"/>
                <w:sz w:val="22"/>
                <w:szCs w:val="22"/>
              </w:rPr>
              <w:t>2025</w:t>
            </w:r>
          </w:p>
        </w:tc>
        <w:tc>
          <w:tcPr>
            <w:tcW w:w="3115" w:type="dxa"/>
          </w:tcPr>
          <w:p w14:paraId="1C64DCE3" w14:textId="77777777" w:rsidR="006E2730" w:rsidRDefault="006E2730" w:rsidP="004D7395">
            <w:pPr>
              <w:jc w:val="center"/>
              <w:rPr>
                <w:rFonts w:cs="Arial"/>
                <w:sz w:val="22"/>
                <w:szCs w:val="22"/>
              </w:rPr>
            </w:pPr>
            <w:r>
              <w:rPr>
                <w:rFonts w:cs="Arial"/>
                <w:sz w:val="22"/>
                <w:szCs w:val="22"/>
              </w:rPr>
              <w:t>abril</w:t>
            </w:r>
          </w:p>
        </w:tc>
        <w:tc>
          <w:tcPr>
            <w:tcW w:w="3115" w:type="dxa"/>
          </w:tcPr>
          <w:p w14:paraId="647AC342" w14:textId="77777777" w:rsidR="006E2730" w:rsidRDefault="006E2730" w:rsidP="004D7395">
            <w:pPr>
              <w:jc w:val="center"/>
              <w:rPr>
                <w:rFonts w:cs="Arial"/>
                <w:sz w:val="22"/>
                <w:szCs w:val="22"/>
              </w:rPr>
            </w:pPr>
            <w:r>
              <w:rPr>
                <w:rFonts w:cs="Arial"/>
                <w:sz w:val="22"/>
                <w:szCs w:val="22"/>
              </w:rPr>
              <w:t>9</w:t>
            </w:r>
          </w:p>
        </w:tc>
      </w:tr>
      <w:tr w:rsidR="006E2730" w14:paraId="4911F616" w14:textId="77777777" w:rsidTr="004D7395">
        <w:tc>
          <w:tcPr>
            <w:tcW w:w="3115" w:type="dxa"/>
          </w:tcPr>
          <w:p w14:paraId="59F01864" w14:textId="77777777" w:rsidR="006E2730" w:rsidRDefault="006E2730" w:rsidP="004D7395">
            <w:pPr>
              <w:jc w:val="center"/>
              <w:rPr>
                <w:rFonts w:cs="Arial"/>
                <w:sz w:val="22"/>
                <w:szCs w:val="22"/>
              </w:rPr>
            </w:pPr>
            <w:r>
              <w:rPr>
                <w:rFonts w:cs="Arial"/>
                <w:sz w:val="22"/>
                <w:szCs w:val="22"/>
              </w:rPr>
              <w:t>2025</w:t>
            </w:r>
          </w:p>
        </w:tc>
        <w:tc>
          <w:tcPr>
            <w:tcW w:w="3115" w:type="dxa"/>
          </w:tcPr>
          <w:p w14:paraId="6AE4AC10" w14:textId="77777777" w:rsidR="006E2730" w:rsidRDefault="006E2730" w:rsidP="004D7395">
            <w:pPr>
              <w:jc w:val="center"/>
              <w:rPr>
                <w:rFonts w:cs="Arial"/>
                <w:sz w:val="22"/>
                <w:szCs w:val="22"/>
              </w:rPr>
            </w:pPr>
            <w:r>
              <w:rPr>
                <w:rFonts w:cs="Arial"/>
                <w:sz w:val="22"/>
                <w:szCs w:val="22"/>
              </w:rPr>
              <w:t>mayo</w:t>
            </w:r>
          </w:p>
        </w:tc>
        <w:tc>
          <w:tcPr>
            <w:tcW w:w="3115" w:type="dxa"/>
          </w:tcPr>
          <w:p w14:paraId="61A9C5B1" w14:textId="77777777" w:rsidR="006E2730" w:rsidRDefault="006E2730" w:rsidP="004D7395">
            <w:pPr>
              <w:jc w:val="center"/>
              <w:rPr>
                <w:rFonts w:cs="Arial"/>
                <w:sz w:val="22"/>
                <w:szCs w:val="22"/>
              </w:rPr>
            </w:pPr>
            <w:r>
              <w:rPr>
                <w:rFonts w:cs="Arial"/>
                <w:sz w:val="22"/>
                <w:szCs w:val="22"/>
              </w:rPr>
              <w:t>8</w:t>
            </w:r>
          </w:p>
        </w:tc>
      </w:tr>
      <w:tr w:rsidR="006E2730" w14:paraId="4BF72F97" w14:textId="77777777" w:rsidTr="004D7395">
        <w:tc>
          <w:tcPr>
            <w:tcW w:w="3115" w:type="dxa"/>
          </w:tcPr>
          <w:p w14:paraId="511A7B37" w14:textId="77777777" w:rsidR="006E2730" w:rsidRDefault="006E2730" w:rsidP="004D7395">
            <w:pPr>
              <w:jc w:val="center"/>
              <w:rPr>
                <w:rFonts w:cs="Arial"/>
                <w:sz w:val="22"/>
                <w:szCs w:val="22"/>
              </w:rPr>
            </w:pPr>
          </w:p>
        </w:tc>
        <w:tc>
          <w:tcPr>
            <w:tcW w:w="3115" w:type="dxa"/>
          </w:tcPr>
          <w:p w14:paraId="7FF5C2EB" w14:textId="77777777" w:rsidR="006E2730" w:rsidRDefault="006E2730" w:rsidP="004D7395">
            <w:pPr>
              <w:jc w:val="center"/>
              <w:rPr>
                <w:rFonts w:cs="Arial"/>
                <w:sz w:val="22"/>
                <w:szCs w:val="22"/>
              </w:rPr>
            </w:pPr>
            <w:r>
              <w:rPr>
                <w:rFonts w:cs="Arial"/>
                <w:sz w:val="22"/>
                <w:szCs w:val="22"/>
              </w:rPr>
              <w:t>…</w:t>
            </w:r>
          </w:p>
        </w:tc>
        <w:tc>
          <w:tcPr>
            <w:tcW w:w="3115" w:type="dxa"/>
          </w:tcPr>
          <w:p w14:paraId="1243BEB0" w14:textId="77777777" w:rsidR="006E2730" w:rsidRDefault="006E2730" w:rsidP="004D7395">
            <w:pPr>
              <w:jc w:val="center"/>
              <w:rPr>
                <w:rFonts w:cs="Arial"/>
                <w:sz w:val="22"/>
                <w:szCs w:val="22"/>
              </w:rPr>
            </w:pPr>
          </w:p>
        </w:tc>
      </w:tr>
      <w:tr w:rsidR="006E2730" w14:paraId="0C82B977" w14:textId="77777777" w:rsidTr="004D7395">
        <w:tc>
          <w:tcPr>
            <w:tcW w:w="3115" w:type="dxa"/>
          </w:tcPr>
          <w:p w14:paraId="64E9A2E6" w14:textId="77777777" w:rsidR="006E2730" w:rsidRDefault="006E2730" w:rsidP="004D7395">
            <w:pPr>
              <w:jc w:val="center"/>
              <w:rPr>
                <w:rFonts w:cs="Arial"/>
                <w:sz w:val="22"/>
                <w:szCs w:val="22"/>
              </w:rPr>
            </w:pPr>
          </w:p>
        </w:tc>
        <w:tc>
          <w:tcPr>
            <w:tcW w:w="3115" w:type="dxa"/>
          </w:tcPr>
          <w:p w14:paraId="721B32BC" w14:textId="77777777" w:rsidR="006E2730" w:rsidRDefault="006E2730" w:rsidP="004D7395">
            <w:pPr>
              <w:jc w:val="center"/>
              <w:rPr>
                <w:rFonts w:cs="Arial"/>
                <w:sz w:val="22"/>
                <w:szCs w:val="22"/>
              </w:rPr>
            </w:pPr>
            <w:r>
              <w:rPr>
                <w:rFonts w:cs="Arial"/>
                <w:sz w:val="22"/>
                <w:szCs w:val="22"/>
              </w:rPr>
              <w:t>…</w:t>
            </w:r>
          </w:p>
        </w:tc>
        <w:tc>
          <w:tcPr>
            <w:tcW w:w="3115" w:type="dxa"/>
          </w:tcPr>
          <w:p w14:paraId="187646B1" w14:textId="77777777" w:rsidR="006E2730" w:rsidRDefault="006E2730" w:rsidP="004D7395">
            <w:pPr>
              <w:jc w:val="center"/>
              <w:rPr>
                <w:rFonts w:cs="Arial"/>
                <w:sz w:val="22"/>
                <w:szCs w:val="22"/>
              </w:rPr>
            </w:pPr>
          </w:p>
        </w:tc>
      </w:tr>
      <w:tr w:rsidR="006E2730" w14:paraId="0926E440" w14:textId="77777777" w:rsidTr="004D7395">
        <w:tc>
          <w:tcPr>
            <w:tcW w:w="3115" w:type="dxa"/>
          </w:tcPr>
          <w:p w14:paraId="0E11B073" w14:textId="77777777" w:rsidR="006E2730" w:rsidRDefault="006E2730" w:rsidP="004D7395">
            <w:pPr>
              <w:jc w:val="center"/>
              <w:rPr>
                <w:rFonts w:cs="Arial"/>
                <w:sz w:val="22"/>
                <w:szCs w:val="22"/>
              </w:rPr>
            </w:pPr>
            <w:r>
              <w:rPr>
                <w:rFonts w:cs="Arial"/>
                <w:sz w:val="22"/>
                <w:szCs w:val="22"/>
              </w:rPr>
              <w:t>2029</w:t>
            </w:r>
          </w:p>
        </w:tc>
        <w:tc>
          <w:tcPr>
            <w:tcW w:w="3115" w:type="dxa"/>
          </w:tcPr>
          <w:p w14:paraId="57AAD151" w14:textId="77777777" w:rsidR="006E2730" w:rsidRDefault="006E2730" w:rsidP="004D7395">
            <w:pPr>
              <w:jc w:val="center"/>
              <w:rPr>
                <w:rFonts w:cs="Arial"/>
                <w:sz w:val="22"/>
                <w:szCs w:val="22"/>
              </w:rPr>
            </w:pPr>
            <w:r>
              <w:rPr>
                <w:rFonts w:cs="Arial"/>
                <w:sz w:val="22"/>
                <w:szCs w:val="22"/>
              </w:rPr>
              <w:t>septiembre</w:t>
            </w:r>
          </w:p>
        </w:tc>
        <w:tc>
          <w:tcPr>
            <w:tcW w:w="3115" w:type="dxa"/>
          </w:tcPr>
          <w:p w14:paraId="4F2CEA57" w14:textId="77777777" w:rsidR="006E2730" w:rsidRDefault="006E2730" w:rsidP="004D7395">
            <w:pPr>
              <w:jc w:val="center"/>
              <w:rPr>
                <w:rFonts w:cs="Arial"/>
                <w:sz w:val="22"/>
                <w:szCs w:val="22"/>
              </w:rPr>
            </w:pPr>
            <w:r>
              <w:rPr>
                <w:rFonts w:cs="Arial"/>
                <w:sz w:val="22"/>
                <w:szCs w:val="22"/>
              </w:rPr>
              <w:t>0</w:t>
            </w:r>
          </w:p>
        </w:tc>
      </w:tr>
      <w:tr w:rsidR="006E2730" w14:paraId="6C9908DD" w14:textId="77777777" w:rsidTr="004D7395">
        <w:tc>
          <w:tcPr>
            <w:tcW w:w="3115" w:type="dxa"/>
          </w:tcPr>
          <w:p w14:paraId="340F1A28" w14:textId="77777777" w:rsidR="006E2730" w:rsidRDefault="006E2730" w:rsidP="004D7395">
            <w:pPr>
              <w:jc w:val="center"/>
              <w:rPr>
                <w:rFonts w:cs="Arial"/>
                <w:sz w:val="22"/>
                <w:szCs w:val="22"/>
              </w:rPr>
            </w:pPr>
            <w:r>
              <w:rPr>
                <w:rFonts w:cs="Arial"/>
                <w:sz w:val="22"/>
                <w:szCs w:val="22"/>
              </w:rPr>
              <w:t>2029</w:t>
            </w:r>
          </w:p>
        </w:tc>
        <w:tc>
          <w:tcPr>
            <w:tcW w:w="3115" w:type="dxa"/>
          </w:tcPr>
          <w:p w14:paraId="426B3F22" w14:textId="77777777" w:rsidR="006E2730" w:rsidRDefault="006E2730" w:rsidP="004D7395">
            <w:pPr>
              <w:jc w:val="center"/>
              <w:rPr>
                <w:rFonts w:cs="Arial"/>
                <w:sz w:val="22"/>
                <w:szCs w:val="22"/>
              </w:rPr>
            </w:pPr>
            <w:r>
              <w:rPr>
                <w:rFonts w:cs="Arial"/>
                <w:sz w:val="22"/>
                <w:szCs w:val="22"/>
              </w:rPr>
              <w:t>octubre</w:t>
            </w:r>
          </w:p>
        </w:tc>
        <w:tc>
          <w:tcPr>
            <w:tcW w:w="3115" w:type="dxa"/>
          </w:tcPr>
          <w:p w14:paraId="2761C396" w14:textId="77777777" w:rsidR="006E2730" w:rsidRDefault="006E2730" w:rsidP="004D7395">
            <w:pPr>
              <w:jc w:val="center"/>
              <w:rPr>
                <w:rFonts w:cs="Arial"/>
                <w:sz w:val="22"/>
                <w:szCs w:val="22"/>
              </w:rPr>
            </w:pPr>
            <w:r>
              <w:rPr>
                <w:rFonts w:cs="Arial"/>
                <w:sz w:val="22"/>
                <w:szCs w:val="22"/>
              </w:rPr>
              <w:t>0</w:t>
            </w:r>
          </w:p>
        </w:tc>
      </w:tr>
      <w:tr w:rsidR="006E2730" w14:paraId="6A79B822" w14:textId="77777777" w:rsidTr="004D7395">
        <w:tc>
          <w:tcPr>
            <w:tcW w:w="3115" w:type="dxa"/>
          </w:tcPr>
          <w:p w14:paraId="45F5E90A" w14:textId="77777777" w:rsidR="006E2730" w:rsidRDefault="006E2730" w:rsidP="004D7395">
            <w:pPr>
              <w:jc w:val="center"/>
              <w:rPr>
                <w:rFonts w:cs="Arial"/>
                <w:sz w:val="22"/>
                <w:szCs w:val="22"/>
              </w:rPr>
            </w:pPr>
            <w:r>
              <w:rPr>
                <w:rFonts w:cs="Arial"/>
                <w:sz w:val="22"/>
                <w:szCs w:val="22"/>
              </w:rPr>
              <w:t>2029</w:t>
            </w:r>
          </w:p>
        </w:tc>
        <w:tc>
          <w:tcPr>
            <w:tcW w:w="3115" w:type="dxa"/>
          </w:tcPr>
          <w:p w14:paraId="05FA0E10" w14:textId="77777777" w:rsidR="006E2730" w:rsidRDefault="006E2730" w:rsidP="004D7395">
            <w:pPr>
              <w:jc w:val="center"/>
              <w:rPr>
                <w:rFonts w:cs="Arial"/>
                <w:sz w:val="22"/>
                <w:szCs w:val="22"/>
              </w:rPr>
            </w:pPr>
            <w:r>
              <w:rPr>
                <w:rFonts w:cs="Arial"/>
                <w:sz w:val="22"/>
                <w:szCs w:val="22"/>
              </w:rPr>
              <w:t>noviembre</w:t>
            </w:r>
          </w:p>
        </w:tc>
        <w:tc>
          <w:tcPr>
            <w:tcW w:w="3115" w:type="dxa"/>
          </w:tcPr>
          <w:p w14:paraId="64FA1EBA" w14:textId="77777777" w:rsidR="006E2730" w:rsidRDefault="006E2730" w:rsidP="004D7395">
            <w:pPr>
              <w:jc w:val="center"/>
              <w:rPr>
                <w:rFonts w:cs="Arial"/>
                <w:sz w:val="22"/>
                <w:szCs w:val="22"/>
              </w:rPr>
            </w:pPr>
            <w:r>
              <w:rPr>
                <w:rFonts w:cs="Arial"/>
                <w:sz w:val="22"/>
                <w:szCs w:val="22"/>
              </w:rPr>
              <w:t>0</w:t>
            </w:r>
          </w:p>
        </w:tc>
      </w:tr>
    </w:tbl>
    <w:p w14:paraId="23C99780" w14:textId="77777777" w:rsidR="006E2730" w:rsidRDefault="006E2730" w:rsidP="0070462F">
      <w:pPr>
        <w:rPr>
          <w:rFonts w:cs="Arial"/>
          <w:sz w:val="22"/>
          <w:szCs w:val="22"/>
        </w:rPr>
      </w:pPr>
    </w:p>
    <w:p w14:paraId="1A1C0144" w14:textId="5CE6BAC5" w:rsidR="006E2730" w:rsidRDefault="006E2730" w:rsidP="0070462F">
      <w:pPr>
        <w:rPr>
          <w:rFonts w:cs="Arial"/>
          <w:sz w:val="22"/>
          <w:szCs w:val="22"/>
        </w:rPr>
      </w:pPr>
      <w:r>
        <w:rPr>
          <w:rFonts w:cs="Arial"/>
          <w:sz w:val="22"/>
          <w:szCs w:val="22"/>
        </w:rPr>
        <w:t>Por ello, en el siguiente trimestre de negociación de diciembre 2024 a febrero 2025, asumiendo que el potencial de producción no cambia, se tendría esta declaración del vendedor para esta fuente</w:t>
      </w:r>
      <w:r w:rsidR="00437F59">
        <w:rPr>
          <w:rFonts w:cs="Arial"/>
          <w:sz w:val="22"/>
          <w:szCs w:val="22"/>
        </w:rPr>
        <w:t>, a partir de lo cual se repite el ciclo anterior</w:t>
      </w:r>
      <w:r>
        <w:rPr>
          <w:rFonts w:cs="Arial"/>
          <w:sz w:val="22"/>
          <w:szCs w:val="22"/>
        </w:rPr>
        <w:t>:</w:t>
      </w:r>
    </w:p>
    <w:p w14:paraId="0FBA59A4" w14:textId="77777777" w:rsidR="006E2730" w:rsidRPr="0070462F" w:rsidRDefault="006E2730" w:rsidP="0070462F">
      <w:pPr>
        <w:rPr>
          <w:rFonts w:cs="Arial"/>
          <w:sz w:val="22"/>
          <w:szCs w:val="22"/>
        </w:rPr>
      </w:pPr>
      <w:r>
        <w:rPr>
          <w:rFonts w:cs="Arial"/>
          <w:sz w:val="22"/>
          <w:szCs w:val="22"/>
        </w:rPr>
        <w:t xml:space="preserve"> </w:t>
      </w:r>
    </w:p>
    <w:tbl>
      <w:tblPr>
        <w:tblStyle w:val="Tablaconcuadrcula"/>
        <w:tblW w:w="0" w:type="auto"/>
        <w:tblLook w:val="04A0" w:firstRow="1" w:lastRow="0" w:firstColumn="1" w:lastColumn="0" w:noHBand="0" w:noVBand="1"/>
      </w:tblPr>
      <w:tblGrid>
        <w:gridCol w:w="3115"/>
        <w:gridCol w:w="3115"/>
        <w:gridCol w:w="3115"/>
      </w:tblGrid>
      <w:tr w:rsidR="006E2730" w14:paraId="6A4DE426" w14:textId="77777777" w:rsidTr="004D7395">
        <w:tc>
          <w:tcPr>
            <w:tcW w:w="3115" w:type="dxa"/>
            <w:shd w:val="clear" w:color="auto" w:fill="D9D9D9" w:themeFill="background1" w:themeFillShade="D9"/>
          </w:tcPr>
          <w:p w14:paraId="7B0D94DC" w14:textId="77777777" w:rsidR="006E2730" w:rsidRPr="007B44B9" w:rsidRDefault="006E2730" w:rsidP="004D7395">
            <w:pPr>
              <w:jc w:val="center"/>
              <w:rPr>
                <w:rFonts w:cs="Arial"/>
                <w:b/>
                <w:bCs/>
                <w:sz w:val="22"/>
                <w:szCs w:val="22"/>
              </w:rPr>
            </w:pPr>
            <w:r w:rsidRPr="007B44B9">
              <w:rPr>
                <w:rFonts w:cs="Arial"/>
                <w:b/>
                <w:bCs/>
                <w:sz w:val="22"/>
                <w:szCs w:val="22"/>
              </w:rPr>
              <w:t>Año</w:t>
            </w:r>
          </w:p>
        </w:tc>
        <w:tc>
          <w:tcPr>
            <w:tcW w:w="3115" w:type="dxa"/>
            <w:shd w:val="clear" w:color="auto" w:fill="D9D9D9" w:themeFill="background1" w:themeFillShade="D9"/>
          </w:tcPr>
          <w:p w14:paraId="5314A32C" w14:textId="77777777" w:rsidR="006E2730" w:rsidRPr="007B44B9" w:rsidRDefault="006E2730" w:rsidP="004D7395">
            <w:pPr>
              <w:jc w:val="center"/>
              <w:rPr>
                <w:rFonts w:cs="Arial"/>
                <w:b/>
                <w:bCs/>
                <w:sz w:val="22"/>
                <w:szCs w:val="22"/>
              </w:rPr>
            </w:pPr>
            <w:r w:rsidRPr="007B44B9">
              <w:rPr>
                <w:rFonts w:cs="Arial"/>
                <w:b/>
                <w:bCs/>
                <w:sz w:val="22"/>
                <w:szCs w:val="22"/>
              </w:rPr>
              <w:t>Mes</w:t>
            </w:r>
          </w:p>
        </w:tc>
        <w:tc>
          <w:tcPr>
            <w:tcW w:w="3115" w:type="dxa"/>
            <w:shd w:val="clear" w:color="auto" w:fill="D9D9D9" w:themeFill="background1" w:themeFillShade="D9"/>
          </w:tcPr>
          <w:p w14:paraId="59C4B483" w14:textId="77777777" w:rsidR="006E2730" w:rsidRPr="007B44B9" w:rsidRDefault="006E2730" w:rsidP="004D7395">
            <w:pPr>
              <w:jc w:val="center"/>
              <w:rPr>
                <w:rFonts w:cs="Arial"/>
                <w:b/>
                <w:bCs/>
                <w:sz w:val="22"/>
                <w:szCs w:val="22"/>
              </w:rPr>
            </w:pPr>
            <w:r w:rsidRPr="007B44B9">
              <w:rPr>
                <w:rFonts w:cs="Arial"/>
                <w:b/>
                <w:bCs/>
                <w:sz w:val="22"/>
                <w:szCs w:val="22"/>
              </w:rPr>
              <w:t>PTDVF</w:t>
            </w:r>
            <w:r>
              <w:rPr>
                <w:rFonts w:cs="Arial"/>
                <w:b/>
                <w:bCs/>
                <w:sz w:val="22"/>
                <w:szCs w:val="22"/>
              </w:rPr>
              <w:t xml:space="preserve"> [MBTUD]</w:t>
            </w:r>
          </w:p>
        </w:tc>
      </w:tr>
      <w:tr w:rsidR="006E2730" w14:paraId="7BA3A5DD" w14:textId="77777777" w:rsidTr="004D7395">
        <w:tc>
          <w:tcPr>
            <w:tcW w:w="3115" w:type="dxa"/>
          </w:tcPr>
          <w:p w14:paraId="13770CF3" w14:textId="77777777" w:rsidR="006E2730" w:rsidRDefault="006E2730" w:rsidP="004D7395">
            <w:pPr>
              <w:jc w:val="center"/>
              <w:rPr>
                <w:rFonts w:cs="Arial"/>
                <w:sz w:val="22"/>
                <w:szCs w:val="22"/>
              </w:rPr>
            </w:pPr>
            <w:r>
              <w:rPr>
                <w:rFonts w:cs="Arial"/>
                <w:sz w:val="22"/>
                <w:szCs w:val="22"/>
              </w:rPr>
              <w:t>2025</w:t>
            </w:r>
          </w:p>
        </w:tc>
        <w:tc>
          <w:tcPr>
            <w:tcW w:w="3115" w:type="dxa"/>
          </w:tcPr>
          <w:p w14:paraId="593883B8" w14:textId="77777777" w:rsidR="006E2730" w:rsidRDefault="006E2730" w:rsidP="004D7395">
            <w:pPr>
              <w:jc w:val="center"/>
              <w:rPr>
                <w:rFonts w:cs="Arial"/>
                <w:sz w:val="22"/>
                <w:szCs w:val="22"/>
              </w:rPr>
            </w:pPr>
            <w:r>
              <w:rPr>
                <w:rFonts w:cs="Arial"/>
                <w:sz w:val="22"/>
                <w:szCs w:val="22"/>
              </w:rPr>
              <w:t>enero</w:t>
            </w:r>
          </w:p>
        </w:tc>
        <w:tc>
          <w:tcPr>
            <w:tcW w:w="3115" w:type="dxa"/>
          </w:tcPr>
          <w:p w14:paraId="68220195" w14:textId="77777777" w:rsidR="006E2730" w:rsidRDefault="006E2730" w:rsidP="004D7395">
            <w:pPr>
              <w:jc w:val="center"/>
              <w:rPr>
                <w:rFonts w:cs="Arial"/>
                <w:sz w:val="22"/>
                <w:szCs w:val="22"/>
              </w:rPr>
            </w:pPr>
            <w:r>
              <w:rPr>
                <w:rFonts w:cs="Arial"/>
                <w:sz w:val="22"/>
                <w:szCs w:val="22"/>
              </w:rPr>
              <w:t>0</w:t>
            </w:r>
          </w:p>
        </w:tc>
      </w:tr>
      <w:tr w:rsidR="006E2730" w14:paraId="3296FA87" w14:textId="77777777" w:rsidTr="004D7395">
        <w:tc>
          <w:tcPr>
            <w:tcW w:w="3115" w:type="dxa"/>
          </w:tcPr>
          <w:p w14:paraId="501F0F56" w14:textId="77777777" w:rsidR="006E2730" w:rsidRDefault="006E2730" w:rsidP="004D7395">
            <w:pPr>
              <w:jc w:val="center"/>
              <w:rPr>
                <w:rFonts w:cs="Arial"/>
                <w:sz w:val="22"/>
                <w:szCs w:val="22"/>
              </w:rPr>
            </w:pPr>
            <w:r>
              <w:rPr>
                <w:rFonts w:cs="Arial"/>
                <w:sz w:val="22"/>
                <w:szCs w:val="22"/>
              </w:rPr>
              <w:t>2025</w:t>
            </w:r>
          </w:p>
        </w:tc>
        <w:tc>
          <w:tcPr>
            <w:tcW w:w="3115" w:type="dxa"/>
          </w:tcPr>
          <w:p w14:paraId="529C406A" w14:textId="77777777" w:rsidR="006E2730" w:rsidRDefault="006E2730" w:rsidP="004D7395">
            <w:pPr>
              <w:jc w:val="center"/>
              <w:rPr>
                <w:rFonts w:cs="Arial"/>
                <w:sz w:val="22"/>
                <w:szCs w:val="22"/>
              </w:rPr>
            </w:pPr>
            <w:r>
              <w:rPr>
                <w:rFonts w:cs="Arial"/>
                <w:sz w:val="22"/>
                <w:szCs w:val="22"/>
              </w:rPr>
              <w:t>febrero</w:t>
            </w:r>
          </w:p>
        </w:tc>
        <w:tc>
          <w:tcPr>
            <w:tcW w:w="3115" w:type="dxa"/>
          </w:tcPr>
          <w:p w14:paraId="4F600B1B" w14:textId="77777777" w:rsidR="006E2730" w:rsidRDefault="006E2730" w:rsidP="004D7395">
            <w:pPr>
              <w:jc w:val="center"/>
              <w:rPr>
                <w:rFonts w:cs="Arial"/>
                <w:sz w:val="22"/>
                <w:szCs w:val="22"/>
              </w:rPr>
            </w:pPr>
            <w:r>
              <w:rPr>
                <w:rFonts w:cs="Arial"/>
                <w:sz w:val="22"/>
                <w:szCs w:val="22"/>
              </w:rPr>
              <w:t>1</w:t>
            </w:r>
          </w:p>
        </w:tc>
      </w:tr>
      <w:tr w:rsidR="006E2730" w14:paraId="2AB96BF8" w14:textId="77777777" w:rsidTr="004D7395">
        <w:tc>
          <w:tcPr>
            <w:tcW w:w="3115" w:type="dxa"/>
          </w:tcPr>
          <w:p w14:paraId="6515E036" w14:textId="77777777" w:rsidR="006E2730" w:rsidRDefault="006E2730" w:rsidP="004D7395">
            <w:pPr>
              <w:jc w:val="center"/>
              <w:rPr>
                <w:rFonts w:cs="Arial"/>
                <w:sz w:val="22"/>
                <w:szCs w:val="22"/>
              </w:rPr>
            </w:pPr>
            <w:r>
              <w:rPr>
                <w:rFonts w:cs="Arial"/>
                <w:sz w:val="22"/>
                <w:szCs w:val="22"/>
              </w:rPr>
              <w:t>2025</w:t>
            </w:r>
          </w:p>
        </w:tc>
        <w:tc>
          <w:tcPr>
            <w:tcW w:w="3115" w:type="dxa"/>
          </w:tcPr>
          <w:p w14:paraId="13476949" w14:textId="77777777" w:rsidR="006E2730" w:rsidRDefault="006E2730" w:rsidP="004D7395">
            <w:pPr>
              <w:jc w:val="center"/>
              <w:rPr>
                <w:rFonts w:cs="Arial"/>
                <w:sz w:val="22"/>
                <w:szCs w:val="22"/>
              </w:rPr>
            </w:pPr>
            <w:r>
              <w:rPr>
                <w:rFonts w:cs="Arial"/>
                <w:sz w:val="22"/>
                <w:szCs w:val="22"/>
              </w:rPr>
              <w:t>marzo</w:t>
            </w:r>
          </w:p>
        </w:tc>
        <w:tc>
          <w:tcPr>
            <w:tcW w:w="3115" w:type="dxa"/>
          </w:tcPr>
          <w:p w14:paraId="359EDE0D" w14:textId="77777777" w:rsidR="006E2730" w:rsidRDefault="006E2730" w:rsidP="004D7395">
            <w:pPr>
              <w:jc w:val="center"/>
              <w:rPr>
                <w:rFonts w:cs="Arial"/>
                <w:sz w:val="22"/>
                <w:szCs w:val="22"/>
              </w:rPr>
            </w:pPr>
            <w:r>
              <w:rPr>
                <w:rFonts w:cs="Arial"/>
                <w:sz w:val="22"/>
                <w:szCs w:val="22"/>
              </w:rPr>
              <w:t>10</w:t>
            </w:r>
          </w:p>
        </w:tc>
      </w:tr>
      <w:tr w:rsidR="006E2730" w14:paraId="7188BDC9" w14:textId="77777777" w:rsidTr="004D7395">
        <w:tc>
          <w:tcPr>
            <w:tcW w:w="3115" w:type="dxa"/>
          </w:tcPr>
          <w:p w14:paraId="266FDB5E" w14:textId="77777777" w:rsidR="006E2730" w:rsidRDefault="006E2730" w:rsidP="004D7395">
            <w:pPr>
              <w:jc w:val="center"/>
              <w:rPr>
                <w:rFonts w:cs="Arial"/>
                <w:sz w:val="22"/>
                <w:szCs w:val="22"/>
              </w:rPr>
            </w:pPr>
            <w:r>
              <w:rPr>
                <w:rFonts w:cs="Arial"/>
                <w:sz w:val="22"/>
                <w:szCs w:val="22"/>
              </w:rPr>
              <w:t>2025</w:t>
            </w:r>
          </w:p>
        </w:tc>
        <w:tc>
          <w:tcPr>
            <w:tcW w:w="3115" w:type="dxa"/>
          </w:tcPr>
          <w:p w14:paraId="2C3F698F" w14:textId="77777777" w:rsidR="006E2730" w:rsidRDefault="006E2730" w:rsidP="004D7395">
            <w:pPr>
              <w:jc w:val="center"/>
              <w:rPr>
                <w:rFonts w:cs="Arial"/>
                <w:sz w:val="22"/>
                <w:szCs w:val="22"/>
              </w:rPr>
            </w:pPr>
            <w:r>
              <w:rPr>
                <w:rFonts w:cs="Arial"/>
                <w:sz w:val="22"/>
                <w:szCs w:val="22"/>
              </w:rPr>
              <w:t>abril</w:t>
            </w:r>
          </w:p>
        </w:tc>
        <w:tc>
          <w:tcPr>
            <w:tcW w:w="3115" w:type="dxa"/>
          </w:tcPr>
          <w:p w14:paraId="17C16692" w14:textId="77777777" w:rsidR="006E2730" w:rsidRDefault="006E2730" w:rsidP="004D7395">
            <w:pPr>
              <w:jc w:val="center"/>
              <w:rPr>
                <w:rFonts w:cs="Arial"/>
                <w:sz w:val="22"/>
                <w:szCs w:val="22"/>
              </w:rPr>
            </w:pPr>
            <w:r>
              <w:rPr>
                <w:rFonts w:cs="Arial"/>
                <w:sz w:val="22"/>
                <w:szCs w:val="22"/>
              </w:rPr>
              <w:t>9</w:t>
            </w:r>
          </w:p>
        </w:tc>
      </w:tr>
      <w:tr w:rsidR="006E2730" w14:paraId="060326B7" w14:textId="77777777" w:rsidTr="004D7395">
        <w:tc>
          <w:tcPr>
            <w:tcW w:w="3115" w:type="dxa"/>
          </w:tcPr>
          <w:p w14:paraId="25E5C48D" w14:textId="77777777" w:rsidR="006E2730" w:rsidRDefault="006E2730" w:rsidP="004D7395">
            <w:pPr>
              <w:jc w:val="center"/>
              <w:rPr>
                <w:rFonts w:cs="Arial"/>
                <w:sz w:val="22"/>
                <w:szCs w:val="22"/>
              </w:rPr>
            </w:pPr>
            <w:r>
              <w:rPr>
                <w:rFonts w:cs="Arial"/>
                <w:sz w:val="22"/>
                <w:szCs w:val="22"/>
              </w:rPr>
              <w:t>2025</w:t>
            </w:r>
          </w:p>
        </w:tc>
        <w:tc>
          <w:tcPr>
            <w:tcW w:w="3115" w:type="dxa"/>
          </w:tcPr>
          <w:p w14:paraId="7AB22ADD" w14:textId="77777777" w:rsidR="006E2730" w:rsidRDefault="006E2730" w:rsidP="004D7395">
            <w:pPr>
              <w:jc w:val="center"/>
              <w:rPr>
                <w:rFonts w:cs="Arial"/>
                <w:sz w:val="22"/>
                <w:szCs w:val="22"/>
              </w:rPr>
            </w:pPr>
            <w:r>
              <w:rPr>
                <w:rFonts w:cs="Arial"/>
                <w:sz w:val="22"/>
                <w:szCs w:val="22"/>
              </w:rPr>
              <w:t>mayo</w:t>
            </w:r>
          </w:p>
        </w:tc>
        <w:tc>
          <w:tcPr>
            <w:tcW w:w="3115" w:type="dxa"/>
          </w:tcPr>
          <w:p w14:paraId="202351BB" w14:textId="77777777" w:rsidR="006E2730" w:rsidRDefault="006E2730" w:rsidP="004D7395">
            <w:pPr>
              <w:jc w:val="center"/>
              <w:rPr>
                <w:rFonts w:cs="Arial"/>
                <w:sz w:val="22"/>
                <w:szCs w:val="22"/>
              </w:rPr>
            </w:pPr>
            <w:r>
              <w:rPr>
                <w:rFonts w:cs="Arial"/>
                <w:sz w:val="22"/>
                <w:szCs w:val="22"/>
              </w:rPr>
              <w:t>8</w:t>
            </w:r>
          </w:p>
        </w:tc>
      </w:tr>
      <w:tr w:rsidR="006E2730" w14:paraId="417E46E6" w14:textId="77777777" w:rsidTr="004D7395">
        <w:tc>
          <w:tcPr>
            <w:tcW w:w="3115" w:type="dxa"/>
          </w:tcPr>
          <w:p w14:paraId="41F0DB4D" w14:textId="77777777" w:rsidR="006E2730" w:rsidRDefault="006E2730" w:rsidP="004D7395">
            <w:pPr>
              <w:jc w:val="center"/>
              <w:rPr>
                <w:rFonts w:cs="Arial"/>
                <w:sz w:val="22"/>
                <w:szCs w:val="22"/>
              </w:rPr>
            </w:pPr>
          </w:p>
        </w:tc>
        <w:tc>
          <w:tcPr>
            <w:tcW w:w="3115" w:type="dxa"/>
          </w:tcPr>
          <w:p w14:paraId="5019E1E1" w14:textId="77777777" w:rsidR="006E2730" w:rsidRDefault="006E2730" w:rsidP="004D7395">
            <w:pPr>
              <w:jc w:val="center"/>
              <w:rPr>
                <w:rFonts w:cs="Arial"/>
                <w:sz w:val="22"/>
                <w:szCs w:val="22"/>
              </w:rPr>
            </w:pPr>
            <w:r>
              <w:rPr>
                <w:rFonts w:cs="Arial"/>
                <w:sz w:val="22"/>
                <w:szCs w:val="22"/>
              </w:rPr>
              <w:t>…</w:t>
            </w:r>
          </w:p>
        </w:tc>
        <w:tc>
          <w:tcPr>
            <w:tcW w:w="3115" w:type="dxa"/>
          </w:tcPr>
          <w:p w14:paraId="0BFB4477" w14:textId="77777777" w:rsidR="006E2730" w:rsidRDefault="006E2730" w:rsidP="004D7395">
            <w:pPr>
              <w:jc w:val="center"/>
              <w:rPr>
                <w:rFonts w:cs="Arial"/>
                <w:sz w:val="22"/>
                <w:szCs w:val="22"/>
              </w:rPr>
            </w:pPr>
          </w:p>
        </w:tc>
      </w:tr>
      <w:tr w:rsidR="006E2730" w14:paraId="51631BA6" w14:textId="77777777" w:rsidTr="004D7395">
        <w:tc>
          <w:tcPr>
            <w:tcW w:w="3115" w:type="dxa"/>
          </w:tcPr>
          <w:p w14:paraId="2472ABD7" w14:textId="77777777" w:rsidR="006E2730" w:rsidRDefault="006E2730" w:rsidP="004D7395">
            <w:pPr>
              <w:jc w:val="center"/>
              <w:rPr>
                <w:rFonts w:cs="Arial"/>
                <w:sz w:val="22"/>
                <w:szCs w:val="22"/>
              </w:rPr>
            </w:pPr>
          </w:p>
        </w:tc>
        <w:tc>
          <w:tcPr>
            <w:tcW w:w="3115" w:type="dxa"/>
          </w:tcPr>
          <w:p w14:paraId="5E37191E" w14:textId="77777777" w:rsidR="006E2730" w:rsidRDefault="006E2730" w:rsidP="004D7395">
            <w:pPr>
              <w:jc w:val="center"/>
              <w:rPr>
                <w:rFonts w:cs="Arial"/>
                <w:sz w:val="22"/>
                <w:szCs w:val="22"/>
              </w:rPr>
            </w:pPr>
            <w:r>
              <w:rPr>
                <w:rFonts w:cs="Arial"/>
                <w:sz w:val="22"/>
                <w:szCs w:val="22"/>
              </w:rPr>
              <w:t>…</w:t>
            </w:r>
          </w:p>
        </w:tc>
        <w:tc>
          <w:tcPr>
            <w:tcW w:w="3115" w:type="dxa"/>
          </w:tcPr>
          <w:p w14:paraId="02CB6EB7" w14:textId="77777777" w:rsidR="006E2730" w:rsidRDefault="006E2730" w:rsidP="004D7395">
            <w:pPr>
              <w:jc w:val="center"/>
              <w:rPr>
                <w:rFonts w:cs="Arial"/>
                <w:sz w:val="22"/>
                <w:szCs w:val="22"/>
              </w:rPr>
            </w:pPr>
          </w:p>
        </w:tc>
      </w:tr>
      <w:tr w:rsidR="006E2730" w14:paraId="575FBB32" w14:textId="77777777" w:rsidTr="004D7395">
        <w:tc>
          <w:tcPr>
            <w:tcW w:w="3115" w:type="dxa"/>
          </w:tcPr>
          <w:p w14:paraId="62289FD9" w14:textId="77777777" w:rsidR="006E2730" w:rsidRDefault="006E2730" w:rsidP="004D7395">
            <w:pPr>
              <w:jc w:val="center"/>
              <w:rPr>
                <w:rFonts w:cs="Arial"/>
                <w:sz w:val="22"/>
                <w:szCs w:val="22"/>
              </w:rPr>
            </w:pPr>
            <w:r>
              <w:rPr>
                <w:rFonts w:cs="Arial"/>
                <w:sz w:val="22"/>
                <w:szCs w:val="22"/>
              </w:rPr>
              <w:t>2029</w:t>
            </w:r>
          </w:p>
        </w:tc>
        <w:tc>
          <w:tcPr>
            <w:tcW w:w="3115" w:type="dxa"/>
          </w:tcPr>
          <w:p w14:paraId="4B8931EE" w14:textId="77777777" w:rsidR="006E2730" w:rsidRDefault="006E2730" w:rsidP="004D7395">
            <w:pPr>
              <w:jc w:val="center"/>
              <w:rPr>
                <w:rFonts w:cs="Arial"/>
                <w:sz w:val="22"/>
                <w:szCs w:val="22"/>
              </w:rPr>
            </w:pPr>
            <w:r>
              <w:rPr>
                <w:rFonts w:cs="Arial"/>
                <w:sz w:val="22"/>
                <w:szCs w:val="22"/>
              </w:rPr>
              <w:t>septiembre</w:t>
            </w:r>
          </w:p>
        </w:tc>
        <w:tc>
          <w:tcPr>
            <w:tcW w:w="3115" w:type="dxa"/>
          </w:tcPr>
          <w:p w14:paraId="694D5917" w14:textId="77777777" w:rsidR="006E2730" w:rsidRDefault="006E2730" w:rsidP="004D7395">
            <w:pPr>
              <w:jc w:val="center"/>
              <w:rPr>
                <w:rFonts w:cs="Arial"/>
                <w:sz w:val="22"/>
                <w:szCs w:val="22"/>
              </w:rPr>
            </w:pPr>
            <w:r>
              <w:rPr>
                <w:rFonts w:cs="Arial"/>
                <w:sz w:val="22"/>
                <w:szCs w:val="22"/>
              </w:rPr>
              <w:t>0</w:t>
            </w:r>
          </w:p>
        </w:tc>
      </w:tr>
      <w:tr w:rsidR="006E2730" w14:paraId="5A85F38F" w14:textId="77777777" w:rsidTr="004D7395">
        <w:tc>
          <w:tcPr>
            <w:tcW w:w="3115" w:type="dxa"/>
          </w:tcPr>
          <w:p w14:paraId="0E9D3FF7" w14:textId="77777777" w:rsidR="006E2730" w:rsidRDefault="006E2730" w:rsidP="004D7395">
            <w:pPr>
              <w:jc w:val="center"/>
              <w:rPr>
                <w:rFonts w:cs="Arial"/>
                <w:sz w:val="22"/>
                <w:szCs w:val="22"/>
              </w:rPr>
            </w:pPr>
            <w:r>
              <w:rPr>
                <w:rFonts w:cs="Arial"/>
                <w:sz w:val="22"/>
                <w:szCs w:val="22"/>
              </w:rPr>
              <w:t>2029</w:t>
            </w:r>
          </w:p>
        </w:tc>
        <w:tc>
          <w:tcPr>
            <w:tcW w:w="3115" w:type="dxa"/>
          </w:tcPr>
          <w:p w14:paraId="41AB8F31" w14:textId="77777777" w:rsidR="006E2730" w:rsidRDefault="006E2730" w:rsidP="004D7395">
            <w:pPr>
              <w:jc w:val="center"/>
              <w:rPr>
                <w:rFonts w:cs="Arial"/>
                <w:sz w:val="22"/>
                <w:szCs w:val="22"/>
              </w:rPr>
            </w:pPr>
            <w:r>
              <w:rPr>
                <w:rFonts w:cs="Arial"/>
                <w:sz w:val="22"/>
                <w:szCs w:val="22"/>
              </w:rPr>
              <w:t>octubre</w:t>
            </w:r>
          </w:p>
        </w:tc>
        <w:tc>
          <w:tcPr>
            <w:tcW w:w="3115" w:type="dxa"/>
          </w:tcPr>
          <w:p w14:paraId="6DA127EF" w14:textId="77777777" w:rsidR="006E2730" w:rsidRDefault="006E2730" w:rsidP="004D7395">
            <w:pPr>
              <w:jc w:val="center"/>
              <w:rPr>
                <w:rFonts w:cs="Arial"/>
                <w:sz w:val="22"/>
                <w:szCs w:val="22"/>
              </w:rPr>
            </w:pPr>
            <w:r>
              <w:rPr>
                <w:rFonts w:cs="Arial"/>
                <w:sz w:val="22"/>
                <w:szCs w:val="22"/>
              </w:rPr>
              <w:t>0</w:t>
            </w:r>
          </w:p>
        </w:tc>
      </w:tr>
      <w:tr w:rsidR="006E2730" w14:paraId="3617711F" w14:textId="77777777" w:rsidTr="004D7395">
        <w:tc>
          <w:tcPr>
            <w:tcW w:w="3115" w:type="dxa"/>
          </w:tcPr>
          <w:p w14:paraId="5FDD98FA" w14:textId="77777777" w:rsidR="006E2730" w:rsidRDefault="006E2730" w:rsidP="004D7395">
            <w:pPr>
              <w:jc w:val="center"/>
              <w:rPr>
                <w:rFonts w:cs="Arial"/>
                <w:sz w:val="22"/>
                <w:szCs w:val="22"/>
              </w:rPr>
            </w:pPr>
            <w:r>
              <w:rPr>
                <w:rFonts w:cs="Arial"/>
                <w:sz w:val="22"/>
                <w:szCs w:val="22"/>
              </w:rPr>
              <w:t>2029</w:t>
            </w:r>
          </w:p>
        </w:tc>
        <w:tc>
          <w:tcPr>
            <w:tcW w:w="3115" w:type="dxa"/>
          </w:tcPr>
          <w:p w14:paraId="53429B77" w14:textId="77777777" w:rsidR="006E2730" w:rsidRDefault="006E2730" w:rsidP="004D7395">
            <w:pPr>
              <w:jc w:val="center"/>
              <w:rPr>
                <w:rFonts w:cs="Arial"/>
                <w:sz w:val="22"/>
                <w:szCs w:val="22"/>
              </w:rPr>
            </w:pPr>
            <w:r>
              <w:rPr>
                <w:rFonts w:cs="Arial"/>
                <w:sz w:val="22"/>
                <w:szCs w:val="22"/>
              </w:rPr>
              <w:t>noviembre</w:t>
            </w:r>
          </w:p>
        </w:tc>
        <w:tc>
          <w:tcPr>
            <w:tcW w:w="3115" w:type="dxa"/>
          </w:tcPr>
          <w:p w14:paraId="3D530C9B" w14:textId="77777777" w:rsidR="006E2730" w:rsidRDefault="006E2730" w:rsidP="004D7395">
            <w:pPr>
              <w:jc w:val="center"/>
              <w:rPr>
                <w:rFonts w:cs="Arial"/>
                <w:sz w:val="22"/>
                <w:szCs w:val="22"/>
              </w:rPr>
            </w:pPr>
            <w:r>
              <w:rPr>
                <w:rFonts w:cs="Arial"/>
                <w:sz w:val="22"/>
                <w:szCs w:val="22"/>
              </w:rPr>
              <w:t>0</w:t>
            </w:r>
          </w:p>
        </w:tc>
      </w:tr>
    </w:tbl>
    <w:p w14:paraId="5BE7EB63" w14:textId="77777777" w:rsidR="009E638D" w:rsidRDefault="009E638D" w:rsidP="0028726C">
      <w:pPr>
        <w:rPr>
          <w:rFonts w:cs="Arial"/>
          <w:sz w:val="22"/>
          <w:szCs w:val="22"/>
        </w:rPr>
      </w:pPr>
    </w:p>
    <w:p w14:paraId="27D1F8A6" w14:textId="55CC967A" w:rsidR="00487E23" w:rsidRDefault="00487E23" w:rsidP="0028726C">
      <w:pPr>
        <w:rPr>
          <w:rFonts w:cs="Arial"/>
          <w:sz w:val="22"/>
          <w:szCs w:val="22"/>
        </w:rPr>
      </w:pPr>
      <w:r>
        <w:rPr>
          <w:rFonts w:cs="Arial"/>
          <w:sz w:val="22"/>
          <w:szCs w:val="22"/>
        </w:rPr>
        <w:t xml:space="preserve">En la nueva propuesta se incluye que no será evento eximente </w:t>
      </w:r>
      <w:r w:rsidRPr="00487E23">
        <w:rPr>
          <w:rFonts w:cs="Arial"/>
          <w:sz w:val="22"/>
          <w:szCs w:val="22"/>
        </w:rPr>
        <w:t>las suspensiones por labores programadas para reparaciones técnicas o mantenimientos</w:t>
      </w:r>
      <w:r>
        <w:rPr>
          <w:rFonts w:cs="Arial"/>
          <w:sz w:val="22"/>
          <w:szCs w:val="22"/>
        </w:rPr>
        <w:t>.</w:t>
      </w:r>
    </w:p>
    <w:p w14:paraId="492EC077" w14:textId="77777777" w:rsidR="00487E23" w:rsidRDefault="00487E23" w:rsidP="0028726C">
      <w:pPr>
        <w:rPr>
          <w:rFonts w:cs="Arial"/>
          <w:sz w:val="22"/>
          <w:szCs w:val="22"/>
        </w:rPr>
      </w:pPr>
    </w:p>
    <w:p w14:paraId="424A72E1" w14:textId="77777777" w:rsidR="00487E23" w:rsidRDefault="00487E23" w:rsidP="0028726C">
      <w:pPr>
        <w:rPr>
          <w:rFonts w:cs="Arial"/>
          <w:sz w:val="22"/>
          <w:szCs w:val="22"/>
        </w:rPr>
      </w:pPr>
    </w:p>
    <w:p w14:paraId="437D5F42" w14:textId="77777777" w:rsidR="00C53D76" w:rsidRDefault="0028726C" w:rsidP="0090195C">
      <w:pPr>
        <w:pStyle w:val="Ttulo2"/>
      </w:pPr>
      <w:bookmarkStart w:id="793" w:name="_Toc140506432"/>
      <w:r w:rsidRPr="0028726C">
        <w:t>BOLSA MERCANTIL DE COLOMBIA</w:t>
      </w:r>
      <w:bookmarkEnd w:id="793"/>
      <w:r w:rsidRPr="0028726C">
        <w:tab/>
      </w:r>
    </w:p>
    <w:p w14:paraId="1A1AB862" w14:textId="77777777" w:rsidR="00002A82" w:rsidRDefault="00002A82" w:rsidP="000D05A3">
      <w:pPr>
        <w:pStyle w:val="Ttulo4"/>
      </w:pPr>
      <w:r w:rsidRPr="0028726C">
        <w:t>BOLSA MERCANTIL DE COLOMBIA</w:t>
      </w:r>
      <w:r w:rsidRPr="0028726C">
        <w:tab/>
      </w:r>
    </w:p>
    <w:p w14:paraId="47C39249" w14:textId="61810B1F" w:rsidR="0028726C" w:rsidRPr="00057853" w:rsidRDefault="00395673" w:rsidP="0028726C">
      <w:pPr>
        <w:rPr>
          <w:rFonts w:cs="Arial"/>
          <w:i/>
          <w:iCs/>
          <w:sz w:val="22"/>
          <w:szCs w:val="22"/>
        </w:rPr>
      </w:pPr>
      <w:r>
        <w:rPr>
          <w:rFonts w:cs="Arial"/>
          <w:i/>
          <w:iCs/>
          <w:sz w:val="22"/>
          <w:szCs w:val="22"/>
        </w:rPr>
        <w:t>“</w:t>
      </w:r>
      <w:r w:rsidR="0028726C" w:rsidRPr="00057853">
        <w:rPr>
          <w:rFonts w:cs="Arial"/>
          <w:i/>
          <w:iCs/>
          <w:sz w:val="22"/>
          <w:szCs w:val="22"/>
        </w:rPr>
        <w:t xml:space="preserve">Falta precisar los criterios con base en los cuales el </w:t>
      </w:r>
      <w:r w:rsidR="005114C6">
        <w:rPr>
          <w:rFonts w:cs="Arial"/>
          <w:i/>
          <w:iCs/>
          <w:sz w:val="22"/>
          <w:szCs w:val="22"/>
        </w:rPr>
        <w:t>Gestor del Mercado</w:t>
      </w:r>
      <w:r w:rsidR="0028726C" w:rsidRPr="00057853">
        <w:rPr>
          <w:rFonts w:cs="Arial"/>
          <w:i/>
          <w:iCs/>
          <w:sz w:val="22"/>
          <w:szCs w:val="22"/>
        </w:rPr>
        <w:t xml:space="preserve"> determinará los Puntos de Referencia en los cuales se realizará el balance de la oferta.</w:t>
      </w:r>
      <w:r>
        <w:rPr>
          <w:rFonts w:cs="Arial"/>
          <w:i/>
          <w:iCs/>
          <w:sz w:val="22"/>
          <w:szCs w:val="22"/>
        </w:rPr>
        <w:t>”</w:t>
      </w:r>
    </w:p>
    <w:p w14:paraId="7B3A49BC" w14:textId="77777777" w:rsidR="002A01A4" w:rsidRDefault="002A01A4" w:rsidP="0028726C">
      <w:pPr>
        <w:rPr>
          <w:rFonts w:cs="Arial"/>
          <w:sz w:val="22"/>
          <w:szCs w:val="22"/>
        </w:rPr>
      </w:pPr>
    </w:p>
    <w:p w14:paraId="536F525A" w14:textId="210704E8" w:rsidR="002A01A4" w:rsidRPr="002A01A4" w:rsidRDefault="002A01A4" w:rsidP="0028726C">
      <w:pPr>
        <w:rPr>
          <w:rFonts w:cs="Arial"/>
          <w:b/>
          <w:bCs/>
          <w:sz w:val="22"/>
          <w:szCs w:val="22"/>
        </w:rPr>
      </w:pPr>
      <w:r w:rsidRPr="002A01A4">
        <w:rPr>
          <w:rFonts w:cs="Arial"/>
          <w:b/>
          <w:bCs/>
          <w:sz w:val="22"/>
          <w:szCs w:val="22"/>
        </w:rPr>
        <w:t>Respuesta:</w:t>
      </w:r>
    </w:p>
    <w:p w14:paraId="2131B003" w14:textId="77777777" w:rsidR="002A01A4" w:rsidRDefault="002A01A4" w:rsidP="0028726C">
      <w:pPr>
        <w:rPr>
          <w:rFonts w:cs="Arial"/>
          <w:sz w:val="22"/>
          <w:szCs w:val="22"/>
        </w:rPr>
      </w:pPr>
    </w:p>
    <w:p w14:paraId="7204C465" w14:textId="4C8C6A15" w:rsidR="002A01A4" w:rsidRDefault="00D03069" w:rsidP="0028726C">
      <w:pPr>
        <w:rPr>
          <w:rFonts w:cs="Arial"/>
          <w:sz w:val="22"/>
          <w:szCs w:val="22"/>
        </w:rPr>
      </w:pPr>
      <w:r>
        <w:rPr>
          <w:rFonts w:cs="Arial"/>
          <w:sz w:val="22"/>
          <w:szCs w:val="22"/>
        </w:rPr>
        <w:t>Se acoge el comentario parcialmente.</w:t>
      </w:r>
    </w:p>
    <w:p w14:paraId="29A2F1C5" w14:textId="77777777" w:rsidR="00D03069" w:rsidRDefault="00D03069" w:rsidP="0028726C">
      <w:pPr>
        <w:rPr>
          <w:rFonts w:cs="Arial"/>
          <w:sz w:val="22"/>
          <w:szCs w:val="22"/>
        </w:rPr>
      </w:pPr>
    </w:p>
    <w:p w14:paraId="1820E483" w14:textId="19625476" w:rsidR="00D03069" w:rsidRDefault="00D03069" w:rsidP="0028726C">
      <w:pPr>
        <w:rPr>
          <w:rFonts w:cs="Arial"/>
          <w:sz w:val="22"/>
          <w:szCs w:val="22"/>
        </w:rPr>
      </w:pPr>
      <w:r>
        <w:rPr>
          <w:rFonts w:cs="Arial"/>
          <w:sz w:val="22"/>
          <w:szCs w:val="22"/>
        </w:rPr>
        <w:t xml:space="preserve">Ver respuesta a </w:t>
      </w:r>
      <w:r w:rsidR="001706B2">
        <w:rPr>
          <w:rFonts w:cs="Arial"/>
          <w:sz w:val="22"/>
          <w:szCs w:val="22"/>
        </w:rPr>
        <w:fldChar w:fldCharType="begin"/>
      </w:r>
      <w:r w:rsidR="001706B2">
        <w:rPr>
          <w:rFonts w:cs="Arial"/>
          <w:sz w:val="22"/>
          <w:szCs w:val="22"/>
        </w:rPr>
        <w:instrText xml:space="preserve"> REF _Ref132185996 \r \h </w:instrText>
      </w:r>
      <w:r w:rsidR="001706B2">
        <w:rPr>
          <w:rFonts w:cs="Arial"/>
          <w:sz w:val="22"/>
          <w:szCs w:val="22"/>
        </w:rPr>
      </w:r>
      <w:r w:rsidR="001706B2">
        <w:rPr>
          <w:rFonts w:cs="Arial"/>
          <w:sz w:val="22"/>
          <w:szCs w:val="22"/>
        </w:rPr>
        <w:fldChar w:fldCharType="separate"/>
      </w:r>
      <w:r w:rsidR="007651EA">
        <w:rPr>
          <w:rFonts w:cs="Arial"/>
          <w:sz w:val="22"/>
          <w:szCs w:val="22"/>
        </w:rPr>
        <w:t>19.2.1.1</w:t>
      </w:r>
      <w:r w:rsidR="001706B2">
        <w:rPr>
          <w:rFonts w:cs="Arial"/>
          <w:sz w:val="22"/>
          <w:szCs w:val="22"/>
        </w:rPr>
        <w:fldChar w:fldCharType="end"/>
      </w:r>
      <w:r w:rsidR="001706B2">
        <w:rPr>
          <w:rFonts w:cs="Arial"/>
          <w:sz w:val="22"/>
          <w:szCs w:val="22"/>
        </w:rPr>
        <w:t>.</w:t>
      </w:r>
    </w:p>
    <w:p w14:paraId="19D8143D" w14:textId="77777777" w:rsidR="00D03069" w:rsidRDefault="00D03069" w:rsidP="0028726C">
      <w:pPr>
        <w:rPr>
          <w:rFonts w:cs="Arial"/>
          <w:sz w:val="22"/>
          <w:szCs w:val="22"/>
        </w:rPr>
      </w:pPr>
    </w:p>
    <w:p w14:paraId="2EB22DC4" w14:textId="77777777" w:rsidR="00C53D76" w:rsidRDefault="00C53D76" w:rsidP="0028726C">
      <w:pPr>
        <w:rPr>
          <w:rFonts w:cs="Arial"/>
          <w:sz w:val="22"/>
          <w:szCs w:val="22"/>
        </w:rPr>
      </w:pPr>
    </w:p>
    <w:p w14:paraId="054749B1" w14:textId="77777777" w:rsidR="00C53D76" w:rsidRDefault="0028726C" w:rsidP="000D05A3">
      <w:pPr>
        <w:pStyle w:val="Ttulo4"/>
      </w:pPr>
      <w:r w:rsidRPr="0028726C">
        <w:t>BOLSA MERCANTIL DE COLOMBIA</w:t>
      </w:r>
      <w:r w:rsidRPr="0028726C">
        <w:tab/>
      </w:r>
    </w:p>
    <w:p w14:paraId="34CFD290" w14:textId="74BE1ADE" w:rsidR="0028726C" w:rsidRDefault="00395673" w:rsidP="0028726C">
      <w:pPr>
        <w:rPr>
          <w:rFonts w:cs="Arial"/>
          <w:i/>
          <w:iCs/>
          <w:sz w:val="22"/>
          <w:szCs w:val="22"/>
        </w:rPr>
      </w:pPr>
      <w:r>
        <w:rPr>
          <w:rFonts w:cs="Arial"/>
          <w:i/>
          <w:iCs/>
          <w:sz w:val="22"/>
          <w:szCs w:val="22"/>
        </w:rPr>
        <w:t>“</w:t>
      </w:r>
      <w:r w:rsidR="0028726C" w:rsidRPr="001706B2">
        <w:rPr>
          <w:rFonts w:cs="Arial"/>
          <w:i/>
          <w:iCs/>
          <w:sz w:val="22"/>
          <w:szCs w:val="22"/>
        </w:rPr>
        <w:t>Se requiere de precisiones sobre el Mecanismo de Aseguramiento de la Demanda Esencial MADE, Numeral 1</w:t>
      </w:r>
      <w:r w:rsidR="00CA046F">
        <w:rPr>
          <w:rFonts w:cs="Arial"/>
          <w:i/>
          <w:iCs/>
          <w:sz w:val="22"/>
          <w:szCs w:val="22"/>
        </w:rPr>
        <w:t>:</w:t>
      </w:r>
    </w:p>
    <w:p w14:paraId="0DE3A46A" w14:textId="77777777" w:rsidR="00CA046F" w:rsidRDefault="00CA046F" w:rsidP="0028726C">
      <w:pPr>
        <w:rPr>
          <w:rFonts w:cs="Arial"/>
          <w:i/>
          <w:iCs/>
          <w:sz w:val="22"/>
          <w:szCs w:val="22"/>
        </w:rPr>
      </w:pPr>
    </w:p>
    <w:p w14:paraId="5FA22B7A" w14:textId="62CC99C6" w:rsidR="00CA046F" w:rsidRDefault="00CA046F" w:rsidP="00CA046F">
      <w:pPr>
        <w:rPr>
          <w:rFonts w:cs="Arial"/>
          <w:i/>
          <w:iCs/>
          <w:sz w:val="22"/>
          <w:szCs w:val="22"/>
        </w:rPr>
      </w:pPr>
      <w:r w:rsidRPr="00CA046F">
        <w:rPr>
          <w:rFonts w:cs="Arial"/>
          <w:i/>
          <w:iCs/>
          <w:sz w:val="22"/>
          <w:szCs w:val="22"/>
        </w:rPr>
        <w:t xml:space="preserve">Literal b) Se sugiere aclarar si la publicación que realiza el </w:t>
      </w:r>
      <w:r w:rsidR="005114C6">
        <w:rPr>
          <w:rFonts w:cs="Arial"/>
          <w:i/>
          <w:iCs/>
          <w:sz w:val="22"/>
          <w:szCs w:val="22"/>
        </w:rPr>
        <w:t>Gestor del Mercado</w:t>
      </w:r>
      <w:r w:rsidRPr="00CA046F">
        <w:rPr>
          <w:rFonts w:cs="Arial"/>
          <w:i/>
          <w:iCs/>
          <w:sz w:val="22"/>
          <w:szCs w:val="22"/>
        </w:rPr>
        <w:t xml:space="preserve"> referente a la  PTDVF/CIDVF deberá incluir el nombre del (de los) vendedores para cada punto de referencia en los que hay disponibilidad de oferta, es decir, si a cada operador se le asocia sus cantidades respectivas.</w:t>
      </w:r>
      <w:r w:rsidR="00395673">
        <w:rPr>
          <w:rFonts w:cs="Arial"/>
          <w:i/>
          <w:iCs/>
          <w:sz w:val="22"/>
          <w:szCs w:val="22"/>
        </w:rPr>
        <w:t>”</w:t>
      </w:r>
    </w:p>
    <w:p w14:paraId="7BA57526" w14:textId="77777777" w:rsidR="00CA046F" w:rsidRDefault="00CA046F" w:rsidP="00CA046F">
      <w:pPr>
        <w:rPr>
          <w:rFonts w:cs="Arial"/>
          <w:i/>
          <w:iCs/>
          <w:sz w:val="22"/>
          <w:szCs w:val="22"/>
        </w:rPr>
      </w:pPr>
    </w:p>
    <w:p w14:paraId="3B37EBF5" w14:textId="5B6D4FEE" w:rsidR="00CA046F" w:rsidRPr="00CA046F" w:rsidRDefault="00CA046F" w:rsidP="00CA046F">
      <w:pPr>
        <w:rPr>
          <w:rFonts w:cs="Arial"/>
          <w:b/>
          <w:bCs/>
          <w:sz w:val="22"/>
          <w:szCs w:val="22"/>
        </w:rPr>
      </w:pPr>
      <w:r w:rsidRPr="00CA046F">
        <w:rPr>
          <w:rFonts w:cs="Arial"/>
          <w:b/>
          <w:bCs/>
          <w:sz w:val="22"/>
          <w:szCs w:val="22"/>
        </w:rPr>
        <w:t>Respuesta:</w:t>
      </w:r>
    </w:p>
    <w:p w14:paraId="1C7096E8" w14:textId="77777777" w:rsidR="00CA046F" w:rsidRDefault="00CA046F" w:rsidP="00CA046F">
      <w:pPr>
        <w:rPr>
          <w:rFonts w:cs="Arial"/>
          <w:i/>
          <w:iCs/>
          <w:sz w:val="22"/>
          <w:szCs w:val="22"/>
        </w:rPr>
      </w:pPr>
    </w:p>
    <w:p w14:paraId="6560D7B2" w14:textId="35327E24" w:rsidR="00CA046F" w:rsidRPr="00CA046F" w:rsidRDefault="00CA046F" w:rsidP="00CA046F">
      <w:pPr>
        <w:rPr>
          <w:rFonts w:cs="Arial"/>
          <w:sz w:val="22"/>
          <w:szCs w:val="22"/>
        </w:rPr>
      </w:pPr>
      <w:r>
        <w:rPr>
          <w:rFonts w:cs="Arial"/>
          <w:sz w:val="22"/>
          <w:szCs w:val="22"/>
        </w:rPr>
        <w:t>Al nombre del vendedor de un punto de referencia no se le debe incluir las cantidades de PTDVF y CIDVF que éste oferta, solamente se enuncia, y el Gestor también publica las cantidades totales de PTDVF y CIDVF de todos los vendedores de ese mismo punto de referencia. En la nueva versión se añade más claridad en el texto.</w:t>
      </w:r>
    </w:p>
    <w:p w14:paraId="6B6ADDEE" w14:textId="77777777" w:rsidR="00CA046F" w:rsidRDefault="00CA046F" w:rsidP="00CA046F">
      <w:pPr>
        <w:rPr>
          <w:rFonts w:cs="Arial"/>
          <w:i/>
          <w:iCs/>
          <w:sz w:val="22"/>
          <w:szCs w:val="22"/>
        </w:rPr>
      </w:pPr>
    </w:p>
    <w:p w14:paraId="6C56E74A" w14:textId="77777777" w:rsidR="00CA046F" w:rsidRDefault="00CA046F" w:rsidP="00CA046F">
      <w:pPr>
        <w:rPr>
          <w:rFonts w:cs="Arial"/>
          <w:i/>
          <w:iCs/>
          <w:sz w:val="22"/>
          <w:szCs w:val="22"/>
        </w:rPr>
      </w:pPr>
    </w:p>
    <w:p w14:paraId="2764BACC" w14:textId="77777777" w:rsidR="00CA046F" w:rsidRDefault="00CA046F" w:rsidP="00CA046F">
      <w:pPr>
        <w:pStyle w:val="Ttulo4"/>
      </w:pPr>
      <w:r w:rsidRPr="0028726C">
        <w:t>BOLSA MERCANTIL DE COLOMBIA</w:t>
      </w:r>
      <w:r w:rsidRPr="0028726C">
        <w:tab/>
      </w:r>
    </w:p>
    <w:p w14:paraId="7DD0E1E7" w14:textId="65A7F243" w:rsidR="00CA046F" w:rsidRDefault="00F27267" w:rsidP="00CA046F">
      <w:pPr>
        <w:rPr>
          <w:rFonts w:cs="Arial"/>
          <w:i/>
          <w:iCs/>
          <w:sz w:val="22"/>
          <w:szCs w:val="22"/>
        </w:rPr>
      </w:pPr>
      <w:r>
        <w:rPr>
          <w:rFonts w:cs="Arial"/>
          <w:i/>
          <w:iCs/>
          <w:sz w:val="22"/>
          <w:szCs w:val="22"/>
        </w:rPr>
        <w:t>“</w:t>
      </w:r>
      <w:r w:rsidR="00CA046F" w:rsidRPr="00CA046F">
        <w:rPr>
          <w:rFonts w:cs="Arial"/>
          <w:i/>
          <w:iCs/>
          <w:sz w:val="22"/>
          <w:szCs w:val="22"/>
        </w:rPr>
        <w:t xml:space="preserve">- Así mismo, se recomienda evaluar hasta </w:t>
      </w:r>
      <w:proofErr w:type="spellStart"/>
      <w:r w:rsidR="00CA046F" w:rsidRPr="00CA046F">
        <w:rPr>
          <w:rFonts w:cs="Arial"/>
          <w:i/>
          <w:iCs/>
          <w:sz w:val="22"/>
          <w:szCs w:val="22"/>
        </w:rPr>
        <w:t>que</w:t>
      </w:r>
      <w:proofErr w:type="spellEnd"/>
      <w:r w:rsidR="00CA046F" w:rsidRPr="00CA046F">
        <w:rPr>
          <w:rFonts w:cs="Arial"/>
          <w:i/>
          <w:iCs/>
          <w:sz w:val="22"/>
          <w:szCs w:val="22"/>
        </w:rPr>
        <w:t xml:space="preserve"> punto es factible para el productor – comercializador determinar el medio de transporte en el que se ofrece el suministro de gas, </w:t>
      </w:r>
      <w:proofErr w:type="spellStart"/>
      <w:r w:rsidR="00CA046F" w:rsidRPr="00CA046F">
        <w:rPr>
          <w:rFonts w:cs="Arial"/>
          <w:i/>
          <w:iCs/>
          <w:sz w:val="22"/>
          <w:szCs w:val="22"/>
        </w:rPr>
        <w:t>mas</w:t>
      </w:r>
      <w:proofErr w:type="spellEnd"/>
      <w:r w:rsidR="00CA046F" w:rsidRPr="00CA046F">
        <w:rPr>
          <w:rFonts w:cs="Arial"/>
          <w:i/>
          <w:iCs/>
          <w:sz w:val="22"/>
          <w:szCs w:val="22"/>
        </w:rPr>
        <w:t xml:space="preserve"> aun si no debe tener participación en la actividad de transporte.</w:t>
      </w:r>
      <w:r>
        <w:rPr>
          <w:rFonts w:cs="Arial"/>
          <w:i/>
          <w:iCs/>
          <w:sz w:val="22"/>
          <w:szCs w:val="22"/>
        </w:rPr>
        <w:t>”</w:t>
      </w:r>
    </w:p>
    <w:p w14:paraId="1221CF91" w14:textId="77777777" w:rsidR="00F27267" w:rsidRPr="00CA046F" w:rsidRDefault="00F27267" w:rsidP="00CA046F">
      <w:pPr>
        <w:rPr>
          <w:rFonts w:cs="Arial"/>
          <w:i/>
          <w:iCs/>
          <w:sz w:val="22"/>
          <w:szCs w:val="22"/>
        </w:rPr>
      </w:pPr>
    </w:p>
    <w:p w14:paraId="5177513B" w14:textId="243C617B" w:rsidR="00CA046F" w:rsidRPr="00CA046F" w:rsidRDefault="00CA046F" w:rsidP="00CA046F">
      <w:pPr>
        <w:rPr>
          <w:rFonts w:cs="Arial"/>
          <w:b/>
          <w:bCs/>
          <w:sz w:val="22"/>
          <w:szCs w:val="22"/>
        </w:rPr>
      </w:pPr>
      <w:r w:rsidRPr="00CA046F">
        <w:rPr>
          <w:rFonts w:cs="Arial"/>
          <w:b/>
          <w:bCs/>
          <w:sz w:val="22"/>
          <w:szCs w:val="22"/>
        </w:rPr>
        <w:t xml:space="preserve">Respuesta: </w:t>
      </w:r>
    </w:p>
    <w:p w14:paraId="7BD509A8" w14:textId="77777777" w:rsidR="00CA046F" w:rsidRDefault="00CA046F" w:rsidP="00CA046F">
      <w:pPr>
        <w:rPr>
          <w:rFonts w:cs="Arial"/>
          <w:i/>
          <w:iCs/>
          <w:sz w:val="22"/>
          <w:szCs w:val="22"/>
        </w:rPr>
      </w:pPr>
    </w:p>
    <w:p w14:paraId="5A40A857" w14:textId="597EA464" w:rsidR="00CA046F" w:rsidRPr="00CA046F" w:rsidRDefault="00CA046F" w:rsidP="00CA046F">
      <w:pPr>
        <w:rPr>
          <w:rFonts w:cs="Arial"/>
          <w:sz w:val="22"/>
          <w:szCs w:val="22"/>
        </w:rPr>
      </w:pPr>
      <w:r>
        <w:rPr>
          <w:rFonts w:cs="Arial"/>
          <w:sz w:val="22"/>
          <w:szCs w:val="22"/>
        </w:rPr>
        <w:t>El vendedor no ofrece un modo de transporte, sino una forma de suministro, dependiendo de si su fuente de suministro está conectada al SNT o no, y la capacidad de transporte de esa conexión en caso de que exista. Lo que parece ser normal actualmente es que el vendedor ofrezca el gas en estado natural a entregar en un punto de entrada al SNT si existe y es responsabilidad del comprador tomar ese gas en ese punto de entrada al SNT. Si no existe acceso al SNT el vendedor puede contemplar la venta en otras formas como las mencionadas GNC o GNL, pero ello implica un costo adicional en el precio de venta.</w:t>
      </w:r>
    </w:p>
    <w:p w14:paraId="6DCDA004" w14:textId="77777777" w:rsidR="00CA046F" w:rsidRDefault="00CA046F" w:rsidP="00CA046F">
      <w:pPr>
        <w:rPr>
          <w:rFonts w:cs="Arial"/>
          <w:i/>
          <w:iCs/>
          <w:sz w:val="22"/>
          <w:szCs w:val="22"/>
        </w:rPr>
      </w:pPr>
    </w:p>
    <w:p w14:paraId="59A150E1" w14:textId="77777777" w:rsidR="00CA046F" w:rsidRDefault="00CA046F" w:rsidP="00CA046F">
      <w:pPr>
        <w:rPr>
          <w:rFonts w:cs="Arial"/>
          <w:i/>
          <w:iCs/>
          <w:sz w:val="22"/>
          <w:szCs w:val="22"/>
        </w:rPr>
      </w:pPr>
    </w:p>
    <w:p w14:paraId="002A72C0" w14:textId="77777777" w:rsidR="00CA046F" w:rsidRDefault="00CA046F" w:rsidP="00CA046F">
      <w:pPr>
        <w:pStyle w:val="Ttulo4"/>
      </w:pPr>
      <w:bookmarkStart w:id="794" w:name="_Ref132717187"/>
      <w:r w:rsidRPr="0028726C">
        <w:t>BOLSA MERCANTIL DE COLOMBIA</w:t>
      </w:r>
      <w:bookmarkEnd w:id="794"/>
      <w:r w:rsidRPr="0028726C">
        <w:tab/>
      </w:r>
    </w:p>
    <w:p w14:paraId="69741714" w14:textId="5FC7EDC7" w:rsidR="00CA046F" w:rsidRDefault="00F27267" w:rsidP="00CA046F">
      <w:pPr>
        <w:rPr>
          <w:rFonts w:cs="Arial"/>
          <w:i/>
          <w:iCs/>
          <w:sz w:val="22"/>
          <w:szCs w:val="22"/>
        </w:rPr>
      </w:pPr>
      <w:r>
        <w:rPr>
          <w:rFonts w:cs="Arial"/>
          <w:i/>
          <w:iCs/>
          <w:sz w:val="22"/>
          <w:szCs w:val="22"/>
        </w:rPr>
        <w:t>“</w:t>
      </w:r>
      <w:r w:rsidR="00CA046F" w:rsidRPr="00CA046F">
        <w:rPr>
          <w:rFonts w:cs="Arial"/>
          <w:i/>
          <w:iCs/>
          <w:sz w:val="22"/>
          <w:szCs w:val="22"/>
        </w:rPr>
        <w:t>- De otra parte, dado que la norma prevé la posibilidad de adelantarse negociaciones en un horizonte de hasta 40 trimestres posteriores al trimestre de negociación, se recomienda acotar dicho periodo a los trimestres que cuenten con Declaración de Producción publicada por el Ministerio de Minas y Energía.</w:t>
      </w:r>
      <w:r>
        <w:rPr>
          <w:rFonts w:cs="Arial"/>
          <w:i/>
          <w:iCs/>
          <w:sz w:val="22"/>
          <w:szCs w:val="22"/>
        </w:rPr>
        <w:t>”</w:t>
      </w:r>
      <w:r w:rsidR="00CA046F" w:rsidRPr="00CA046F">
        <w:rPr>
          <w:rFonts w:cs="Arial"/>
          <w:i/>
          <w:iCs/>
          <w:sz w:val="22"/>
          <w:szCs w:val="22"/>
        </w:rPr>
        <w:t xml:space="preserve"> </w:t>
      </w:r>
    </w:p>
    <w:p w14:paraId="1039DFB7" w14:textId="77777777" w:rsidR="00CA046F" w:rsidRDefault="00CA046F" w:rsidP="00CA046F">
      <w:pPr>
        <w:rPr>
          <w:rFonts w:cs="Arial"/>
          <w:i/>
          <w:iCs/>
          <w:sz w:val="22"/>
          <w:szCs w:val="22"/>
        </w:rPr>
      </w:pPr>
    </w:p>
    <w:p w14:paraId="46C5136A" w14:textId="6AE089BD" w:rsidR="00CA046F" w:rsidRPr="00CA046F" w:rsidRDefault="00CA046F" w:rsidP="00CA046F">
      <w:pPr>
        <w:rPr>
          <w:rFonts w:cs="Arial"/>
          <w:b/>
          <w:bCs/>
          <w:sz w:val="22"/>
          <w:szCs w:val="22"/>
        </w:rPr>
      </w:pPr>
      <w:r w:rsidRPr="00CA046F">
        <w:rPr>
          <w:rFonts w:cs="Arial"/>
          <w:b/>
          <w:bCs/>
          <w:sz w:val="22"/>
          <w:szCs w:val="22"/>
        </w:rPr>
        <w:t>Respuesta:</w:t>
      </w:r>
    </w:p>
    <w:p w14:paraId="7D639DEE" w14:textId="77777777" w:rsidR="00CA046F" w:rsidRDefault="00CA046F" w:rsidP="00CA046F">
      <w:pPr>
        <w:rPr>
          <w:rFonts w:cs="Arial"/>
          <w:i/>
          <w:iCs/>
          <w:sz w:val="22"/>
          <w:szCs w:val="22"/>
        </w:rPr>
      </w:pPr>
    </w:p>
    <w:p w14:paraId="53B40F29" w14:textId="5718869E" w:rsidR="00CA046F" w:rsidRDefault="00B117BD" w:rsidP="00CA046F">
      <w:pPr>
        <w:rPr>
          <w:rFonts w:cs="Arial"/>
          <w:sz w:val="22"/>
          <w:szCs w:val="22"/>
        </w:rPr>
      </w:pPr>
      <w:r>
        <w:rPr>
          <w:rFonts w:cs="Arial"/>
          <w:sz w:val="22"/>
          <w:szCs w:val="22"/>
        </w:rPr>
        <w:t>Se acoge el comentario.</w:t>
      </w:r>
    </w:p>
    <w:p w14:paraId="2CB0525C" w14:textId="77777777" w:rsidR="00B117BD" w:rsidRDefault="00B117BD" w:rsidP="00CA046F">
      <w:pPr>
        <w:rPr>
          <w:rFonts w:cs="Arial"/>
          <w:sz w:val="22"/>
          <w:szCs w:val="22"/>
        </w:rPr>
      </w:pPr>
    </w:p>
    <w:p w14:paraId="54A0A6AC" w14:textId="17375A7C" w:rsidR="00B117BD" w:rsidRPr="00CA046F" w:rsidRDefault="00B117BD" w:rsidP="00CA046F">
      <w:pPr>
        <w:rPr>
          <w:rFonts w:cs="Arial"/>
          <w:sz w:val="22"/>
          <w:szCs w:val="22"/>
        </w:rPr>
      </w:pPr>
      <w:r>
        <w:rPr>
          <w:rFonts w:cs="Arial"/>
          <w:sz w:val="22"/>
          <w:szCs w:val="22"/>
        </w:rPr>
        <w:t>En la nueva propuesta se establece incluso que los vendedores pueden declarar cantidades PTDVF/CIDVF siempre que de ellas se haya hecho previamente declaración al MME, de modo que si el MME modifica el período de declaración que deben realizar los productores, no haya necesidad de modificar el período de 40 trimestres.</w:t>
      </w:r>
    </w:p>
    <w:p w14:paraId="25A64185" w14:textId="77777777" w:rsidR="00CA046F" w:rsidRDefault="00CA046F" w:rsidP="00CA046F">
      <w:pPr>
        <w:rPr>
          <w:rFonts w:cs="Arial"/>
          <w:i/>
          <w:iCs/>
          <w:sz w:val="22"/>
          <w:szCs w:val="22"/>
        </w:rPr>
      </w:pPr>
    </w:p>
    <w:p w14:paraId="0BAD2D73" w14:textId="77777777" w:rsidR="00CA046F" w:rsidRDefault="00CA046F" w:rsidP="00CA046F">
      <w:pPr>
        <w:rPr>
          <w:rFonts w:cs="Arial"/>
          <w:i/>
          <w:iCs/>
          <w:sz w:val="22"/>
          <w:szCs w:val="22"/>
        </w:rPr>
      </w:pPr>
    </w:p>
    <w:p w14:paraId="4E02E7CA" w14:textId="77777777" w:rsidR="00CA046F" w:rsidRDefault="00CA046F" w:rsidP="00CA046F">
      <w:pPr>
        <w:pStyle w:val="Ttulo4"/>
      </w:pPr>
      <w:bookmarkStart w:id="795" w:name="_Ref132191929"/>
      <w:r w:rsidRPr="0028726C">
        <w:t>BOLSA MERCANTIL DE COLOMBIA</w:t>
      </w:r>
      <w:bookmarkEnd w:id="795"/>
      <w:r w:rsidRPr="0028726C">
        <w:tab/>
      </w:r>
    </w:p>
    <w:p w14:paraId="762C4A54" w14:textId="76B91DA9" w:rsidR="00CA046F" w:rsidRDefault="00AB5C19" w:rsidP="00CA046F">
      <w:pPr>
        <w:rPr>
          <w:rFonts w:cs="Arial"/>
          <w:i/>
          <w:iCs/>
          <w:sz w:val="22"/>
          <w:szCs w:val="22"/>
        </w:rPr>
      </w:pPr>
      <w:r>
        <w:rPr>
          <w:rFonts w:cs="Arial"/>
          <w:i/>
          <w:iCs/>
          <w:sz w:val="22"/>
          <w:szCs w:val="22"/>
        </w:rPr>
        <w:t>“</w:t>
      </w:r>
      <w:r w:rsidR="00CA046F" w:rsidRPr="00CA046F">
        <w:rPr>
          <w:rFonts w:cs="Arial"/>
          <w:i/>
          <w:iCs/>
          <w:sz w:val="22"/>
          <w:szCs w:val="22"/>
        </w:rPr>
        <w:t xml:space="preserve">- Se solicita aclarar si los productores-comercializadores deben declarar al </w:t>
      </w:r>
      <w:r w:rsidR="005114C6">
        <w:rPr>
          <w:rFonts w:cs="Arial"/>
          <w:i/>
          <w:iCs/>
          <w:sz w:val="22"/>
          <w:szCs w:val="22"/>
        </w:rPr>
        <w:t>Gestor del Mercado</w:t>
      </w:r>
      <w:r w:rsidR="00CA046F" w:rsidRPr="00CA046F">
        <w:rPr>
          <w:rFonts w:cs="Arial"/>
          <w:i/>
          <w:iCs/>
          <w:sz w:val="22"/>
          <w:szCs w:val="22"/>
        </w:rPr>
        <w:t xml:space="preserve"> en cero (0) la PTDVF expresamente o si la no declaración de PTDVF se entendería como una declaración de no disponibilidad.</w:t>
      </w:r>
      <w:r>
        <w:rPr>
          <w:rFonts w:cs="Arial"/>
          <w:i/>
          <w:iCs/>
          <w:sz w:val="22"/>
          <w:szCs w:val="22"/>
        </w:rPr>
        <w:t>”</w:t>
      </w:r>
    </w:p>
    <w:p w14:paraId="5718C3BB" w14:textId="77777777" w:rsidR="00B117BD" w:rsidRDefault="00B117BD" w:rsidP="00CA046F">
      <w:pPr>
        <w:rPr>
          <w:rFonts w:cs="Arial"/>
          <w:i/>
          <w:iCs/>
          <w:sz w:val="22"/>
          <w:szCs w:val="22"/>
        </w:rPr>
      </w:pPr>
    </w:p>
    <w:p w14:paraId="340F3E60" w14:textId="619CD9AB" w:rsidR="00B117BD" w:rsidRPr="00B117BD" w:rsidRDefault="00B117BD" w:rsidP="00CA046F">
      <w:pPr>
        <w:rPr>
          <w:rFonts w:cs="Arial"/>
          <w:b/>
          <w:bCs/>
          <w:sz w:val="22"/>
          <w:szCs w:val="22"/>
        </w:rPr>
      </w:pPr>
      <w:r w:rsidRPr="00B117BD">
        <w:rPr>
          <w:rFonts w:cs="Arial"/>
          <w:b/>
          <w:bCs/>
          <w:sz w:val="22"/>
          <w:szCs w:val="22"/>
        </w:rPr>
        <w:t>Respuesta:</w:t>
      </w:r>
    </w:p>
    <w:p w14:paraId="093D19D9" w14:textId="77777777" w:rsidR="00B117BD" w:rsidRDefault="00B117BD" w:rsidP="00CA046F">
      <w:pPr>
        <w:rPr>
          <w:rFonts w:cs="Arial"/>
          <w:i/>
          <w:iCs/>
          <w:sz w:val="22"/>
          <w:szCs w:val="22"/>
        </w:rPr>
      </w:pPr>
    </w:p>
    <w:p w14:paraId="34E49A21" w14:textId="3F2F2409" w:rsidR="00B117BD" w:rsidRPr="00CA046F" w:rsidRDefault="00B117BD" w:rsidP="00CA046F">
      <w:pPr>
        <w:rPr>
          <w:rFonts w:cs="Arial"/>
          <w:i/>
          <w:iCs/>
          <w:sz w:val="22"/>
          <w:szCs w:val="22"/>
        </w:rPr>
      </w:pPr>
      <w:r w:rsidRPr="00B117BD">
        <w:rPr>
          <w:rFonts w:cs="Arial"/>
          <w:sz w:val="22"/>
          <w:szCs w:val="22"/>
        </w:rPr>
        <w:t>Los productores-comercializadores deben declarar en cero la PTDVF y la CIDVF cuando ello corresponda, tal como declaran al MME en cero el potencial de producción y/o la PTDV.</w:t>
      </w:r>
      <w:r>
        <w:rPr>
          <w:rFonts w:cs="Arial"/>
          <w:sz w:val="22"/>
          <w:szCs w:val="22"/>
        </w:rPr>
        <w:t xml:space="preserve"> De tal modo que no haya lugar a duda que no hay ofrecimiento de cantidades.</w:t>
      </w:r>
    </w:p>
    <w:p w14:paraId="1C2C6F81" w14:textId="77777777" w:rsidR="00CA046F" w:rsidRDefault="00CA046F" w:rsidP="00CA046F">
      <w:pPr>
        <w:rPr>
          <w:rFonts w:cs="Arial"/>
          <w:i/>
          <w:iCs/>
          <w:sz w:val="22"/>
          <w:szCs w:val="22"/>
        </w:rPr>
      </w:pPr>
    </w:p>
    <w:p w14:paraId="58074954" w14:textId="77777777" w:rsidR="00CA046F" w:rsidRDefault="00CA046F" w:rsidP="00CA046F">
      <w:pPr>
        <w:rPr>
          <w:rFonts w:cs="Arial"/>
          <w:i/>
          <w:iCs/>
          <w:sz w:val="22"/>
          <w:szCs w:val="22"/>
        </w:rPr>
      </w:pPr>
    </w:p>
    <w:p w14:paraId="1130CD9F" w14:textId="77777777" w:rsidR="00CA046F" w:rsidRDefault="00CA046F" w:rsidP="00CA046F">
      <w:pPr>
        <w:pStyle w:val="Ttulo4"/>
      </w:pPr>
      <w:r w:rsidRPr="0028726C">
        <w:t>BOLSA MERCANTIL DE COLOMBIA</w:t>
      </w:r>
      <w:r w:rsidRPr="0028726C">
        <w:tab/>
      </w:r>
    </w:p>
    <w:p w14:paraId="6FBE6C6C" w14:textId="1A68C856" w:rsidR="00CA046F" w:rsidRDefault="00D95FFF" w:rsidP="00CA046F">
      <w:pPr>
        <w:rPr>
          <w:rFonts w:cs="Arial"/>
          <w:i/>
          <w:iCs/>
          <w:sz w:val="22"/>
          <w:szCs w:val="22"/>
        </w:rPr>
      </w:pPr>
      <w:r>
        <w:rPr>
          <w:rFonts w:cs="Arial"/>
          <w:i/>
          <w:iCs/>
          <w:sz w:val="22"/>
          <w:szCs w:val="22"/>
        </w:rPr>
        <w:t>“</w:t>
      </w:r>
      <w:r w:rsidR="00CA046F" w:rsidRPr="00CA046F">
        <w:rPr>
          <w:rFonts w:cs="Arial"/>
          <w:i/>
          <w:iCs/>
          <w:sz w:val="22"/>
          <w:szCs w:val="22"/>
        </w:rPr>
        <w:t>- Se sugiere desarrollar un debido proceso para la definición de los Puntos de Referencia en consenso con los productores-comercializadores de manera que su conformación definitiva resulte del trabajo conjunto entre el Gestor y estos operadores.</w:t>
      </w:r>
      <w:r>
        <w:rPr>
          <w:rFonts w:cs="Arial"/>
          <w:i/>
          <w:iCs/>
          <w:sz w:val="22"/>
          <w:szCs w:val="22"/>
        </w:rPr>
        <w:t>”</w:t>
      </w:r>
    </w:p>
    <w:p w14:paraId="1DD287BC" w14:textId="77777777" w:rsidR="00B117BD" w:rsidRDefault="00B117BD" w:rsidP="00CA046F">
      <w:pPr>
        <w:rPr>
          <w:rFonts w:cs="Arial"/>
          <w:i/>
          <w:iCs/>
          <w:sz w:val="22"/>
          <w:szCs w:val="22"/>
        </w:rPr>
      </w:pPr>
    </w:p>
    <w:p w14:paraId="1AC6E319" w14:textId="64968EE5" w:rsidR="00B117BD" w:rsidRPr="00B117BD" w:rsidRDefault="00B117BD" w:rsidP="00CA046F">
      <w:pPr>
        <w:rPr>
          <w:rFonts w:cs="Arial"/>
          <w:b/>
          <w:bCs/>
          <w:sz w:val="22"/>
          <w:szCs w:val="22"/>
        </w:rPr>
      </w:pPr>
      <w:r w:rsidRPr="00B117BD">
        <w:rPr>
          <w:rFonts w:cs="Arial"/>
          <w:b/>
          <w:bCs/>
          <w:sz w:val="22"/>
          <w:szCs w:val="22"/>
        </w:rPr>
        <w:t>Respuesta:</w:t>
      </w:r>
    </w:p>
    <w:p w14:paraId="121C195C" w14:textId="77777777" w:rsidR="00B117BD" w:rsidRDefault="00B117BD" w:rsidP="00CA046F">
      <w:pPr>
        <w:rPr>
          <w:rFonts w:cs="Arial"/>
          <w:i/>
          <w:iCs/>
          <w:sz w:val="22"/>
          <w:szCs w:val="22"/>
        </w:rPr>
      </w:pPr>
    </w:p>
    <w:p w14:paraId="35640CC0" w14:textId="79F53B63" w:rsidR="00B117BD" w:rsidRDefault="00B117BD" w:rsidP="00CA046F">
      <w:pPr>
        <w:rPr>
          <w:rFonts w:cs="Arial"/>
          <w:sz w:val="22"/>
          <w:szCs w:val="22"/>
        </w:rPr>
      </w:pPr>
      <w:r>
        <w:rPr>
          <w:rFonts w:cs="Arial"/>
          <w:sz w:val="22"/>
          <w:szCs w:val="22"/>
        </w:rPr>
        <w:t>Se acoge el comentario.</w:t>
      </w:r>
    </w:p>
    <w:p w14:paraId="603204F6" w14:textId="77777777" w:rsidR="00B117BD" w:rsidRDefault="00B117BD" w:rsidP="00CA046F">
      <w:pPr>
        <w:rPr>
          <w:rFonts w:cs="Arial"/>
          <w:sz w:val="22"/>
          <w:szCs w:val="22"/>
        </w:rPr>
      </w:pPr>
    </w:p>
    <w:p w14:paraId="03138FB1" w14:textId="2D62A78D" w:rsidR="00B117BD" w:rsidRPr="00CA046F" w:rsidRDefault="00B117BD" w:rsidP="00CA046F">
      <w:pPr>
        <w:rPr>
          <w:rFonts w:cs="Arial"/>
          <w:i/>
          <w:iCs/>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_Ref132185996 \r \h </w:instrText>
      </w:r>
      <w:r>
        <w:rPr>
          <w:rFonts w:cs="Arial"/>
          <w:sz w:val="22"/>
          <w:szCs w:val="22"/>
        </w:rPr>
      </w:r>
      <w:r>
        <w:rPr>
          <w:rFonts w:cs="Arial"/>
          <w:sz w:val="22"/>
          <w:szCs w:val="22"/>
        </w:rPr>
        <w:fldChar w:fldCharType="separate"/>
      </w:r>
      <w:r w:rsidR="007651EA">
        <w:rPr>
          <w:rFonts w:cs="Arial"/>
          <w:sz w:val="22"/>
          <w:szCs w:val="22"/>
        </w:rPr>
        <w:t>19.2.1.1</w:t>
      </w:r>
      <w:r>
        <w:rPr>
          <w:rFonts w:cs="Arial"/>
          <w:sz w:val="22"/>
          <w:szCs w:val="22"/>
        </w:rPr>
        <w:fldChar w:fldCharType="end"/>
      </w:r>
      <w:r>
        <w:rPr>
          <w:rFonts w:cs="Arial"/>
          <w:sz w:val="22"/>
          <w:szCs w:val="22"/>
        </w:rPr>
        <w:t>.</w:t>
      </w:r>
    </w:p>
    <w:p w14:paraId="77524CCA" w14:textId="77777777" w:rsidR="00CA046F" w:rsidRDefault="00CA046F" w:rsidP="00CA046F">
      <w:pPr>
        <w:rPr>
          <w:rFonts w:cs="Arial"/>
          <w:i/>
          <w:iCs/>
          <w:sz w:val="22"/>
          <w:szCs w:val="22"/>
        </w:rPr>
      </w:pPr>
    </w:p>
    <w:p w14:paraId="0AB1A4D0" w14:textId="77777777" w:rsidR="00CA046F" w:rsidRDefault="00CA046F" w:rsidP="00CA046F">
      <w:pPr>
        <w:rPr>
          <w:rFonts w:cs="Arial"/>
          <w:i/>
          <w:iCs/>
          <w:sz w:val="22"/>
          <w:szCs w:val="22"/>
        </w:rPr>
      </w:pPr>
    </w:p>
    <w:p w14:paraId="52A1EA67" w14:textId="77777777" w:rsidR="00CA046F" w:rsidRDefault="00CA046F" w:rsidP="00CA046F">
      <w:pPr>
        <w:pStyle w:val="Ttulo4"/>
      </w:pPr>
      <w:r w:rsidRPr="0028726C">
        <w:t>BOLSA MERCANTIL DE COLOMBIA</w:t>
      </w:r>
      <w:r w:rsidRPr="0028726C">
        <w:tab/>
      </w:r>
    </w:p>
    <w:p w14:paraId="2B58CE68" w14:textId="539F48CB" w:rsidR="00CA046F" w:rsidRDefault="00D95FFF" w:rsidP="00CA046F">
      <w:pPr>
        <w:rPr>
          <w:rFonts w:cs="Arial"/>
          <w:i/>
          <w:iCs/>
          <w:sz w:val="22"/>
          <w:szCs w:val="22"/>
        </w:rPr>
      </w:pPr>
      <w:r>
        <w:rPr>
          <w:rFonts w:cs="Arial"/>
          <w:i/>
          <w:iCs/>
          <w:sz w:val="22"/>
          <w:szCs w:val="22"/>
        </w:rPr>
        <w:t>“</w:t>
      </w:r>
      <w:r w:rsidR="00CA046F" w:rsidRPr="00CA046F">
        <w:rPr>
          <w:rFonts w:cs="Arial"/>
          <w:i/>
          <w:iCs/>
          <w:sz w:val="22"/>
          <w:szCs w:val="22"/>
        </w:rPr>
        <w:t>- Tal como se indicó para las definiciones de PTDVF y CIDVF se sugiere exigir la declaración de la demanda por parte de los compradores en unidades de MBTUD (Millones de BTU por día)</w:t>
      </w:r>
      <w:r>
        <w:rPr>
          <w:rFonts w:cs="Arial"/>
          <w:i/>
          <w:iCs/>
          <w:sz w:val="22"/>
          <w:szCs w:val="22"/>
        </w:rPr>
        <w:t>”</w:t>
      </w:r>
    </w:p>
    <w:p w14:paraId="692DF305" w14:textId="77777777" w:rsidR="00B117BD" w:rsidRDefault="00B117BD" w:rsidP="00CA046F">
      <w:pPr>
        <w:rPr>
          <w:rFonts w:cs="Arial"/>
          <w:i/>
          <w:iCs/>
          <w:sz w:val="22"/>
          <w:szCs w:val="22"/>
        </w:rPr>
      </w:pPr>
    </w:p>
    <w:p w14:paraId="43417374" w14:textId="2B2B3510" w:rsidR="00B117BD" w:rsidRPr="00B117BD" w:rsidRDefault="00B117BD" w:rsidP="00CA046F">
      <w:pPr>
        <w:rPr>
          <w:rFonts w:cs="Arial"/>
          <w:b/>
          <w:bCs/>
          <w:sz w:val="22"/>
          <w:szCs w:val="22"/>
        </w:rPr>
      </w:pPr>
      <w:r w:rsidRPr="00B117BD">
        <w:rPr>
          <w:rFonts w:cs="Arial"/>
          <w:b/>
          <w:bCs/>
          <w:sz w:val="22"/>
          <w:szCs w:val="22"/>
        </w:rPr>
        <w:t>Respuesta:</w:t>
      </w:r>
    </w:p>
    <w:p w14:paraId="04D5E95C" w14:textId="77777777" w:rsidR="00B117BD" w:rsidRDefault="00B117BD" w:rsidP="00CA046F">
      <w:pPr>
        <w:rPr>
          <w:rFonts w:cs="Arial"/>
          <w:i/>
          <w:iCs/>
          <w:sz w:val="22"/>
          <w:szCs w:val="22"/>
        </w:rPr>
      </w:pPr>
    </w:p>
    <w:p w14:paraId="739DA611" w14:textId="0EF1F486" w:rsidR="00B117BD" w:rsidRDefault="00B117BD" w:rsidP="00CA046F">
      <w:pPr>
        <w:rPr>
          <w:rFonts w:cs="Arial"/>
          <w:sz w:val="22"/>
          <w:szCs w:val="22"/>
        </w:rPr>
      </w:pPr>
      <w:r>
        <w:rPr>
          <w:rFonts w:cs="Arial"/>
          <w:sz w:val="22"/>
          <w:szCs w:val="22"/>
        </w:rPr>
        <w:t>Se acoge el comentario.</w:t>
      </w:r>
    </w:p>
    <w:p w14:paraId="3F37D024" w14:textId="77777777" w:rsidR="00B117BD" w:rsidRDefault="00B117BD" w:rsidP="00CA046F">
      <w:pPr>
        <w:rPr>
          <w:rFonts w:cs="Arial"/>
          <w:sz w:val="22"/>
          <w:szCs w:val="22"/>
        </w:rPr>
      </w:pPr>
    </w:p>
    <w:p w14:paraId="2B8F7441" w14:textId="36548B64" w:rsidR="00B117BD" w:rsidRPr="00B117BD" w:rsidRDefault="004B4C7C" w:rsidP="00CA046F">
      <w:pPr>
        <w:rPr>
          <w:rFonts w:cs="Arial"/>
          <w:sz w:val="22"/>
          <w:szCs w:val="22"/>
        </w:rPr>
      </w:pPr>
      <w:r>
        <w:rPr>
          <w:rFonts w:cs="Arial"/>
          <w:sz w:val="22"/>
          <w:szCs w:val="22"/>
        </w:rPr>
        <w:t>A pesar de que las declaraciones de producción que se entregan al MME en GBTUD, por lo que la PTDV se declara también en GBTUD, e</w:t>
      </w:r>
      <w:r w:rsidR="00B117BD">
        <w:rPr>
          <w:rFonts w:cs="Arial"/>
          <w:sz w:val="22"/>
          <w:szCs w:val="22"/>
        </w:rPr>
        <w:t>n la nueva propuesta se hace la modificación de las unidades de energía a utilizar</w:t>
      </w:r>
      <w:r>
        <w:rPr>
          <w:rFonts w:cs="Arial"/>
          <w:sz w:val="22"/>
          <w:szCs w:val="22"/>
        </w:rPr>
        <w:t>, considerando que son las que se han venido utilizando de tiempo atrás y podría llevar a la necesidad de realizar modificaciones en formatos Excel que podrían generar errores inconvenientes.</w:t>
      </w:r>
    </w:p>
    <w:p w14:paraId="70777A03" w14:textId="77777777" w:rsidR="00B117BD" w:rsidRPr="00CA046F" w:rsidRDefault="00B117BD" w:rsidP="00CA046F">
      <w:pPr>
        <w:rPr>
          <w:rFonts w:cs="Arial"/>
          <w:i/>
          <w:iCs/>
          <w:sz w:val="22"/>
          <w:szCs w:val="22"/>
        </w:rPr>
      </w:pPr>
    </w:p>
    <w:p w14:paraId="4382C257" w14:textId="77777777" w:rsidR="00CA046F" w:rsidRDefault="00CA046F" w:rsidP="00CA046F">
      <w:pPr>
        <w:rPr>
          <w:rFonts w:cs="Arial"/>
          <w:i/>
          <w:iCs/>
          <w:sz w:val="22"/>
          <w:szCs w:val="22"/>
        </w:rPr>
      </w:pPr>
    </w:p>
    <w:p w14:paraId="47DB3143" w14:textId="77777777" w:rsidR="00CA046F" w:rsidRDefault="00CA046F" w:rsidP="00CA046F">
      <w:pPr>
        <w:pStyle w:val="Ttulo4"/>
      </w:pPr>
      <w:r w:rsidRPr="0028726C">
        <w:t>BOLSA MERCANTIL DE COLOMBIA</w:t>
      </w:r>
      <w:r w:rsidRPr="0028726C">
        <w:tab/>
      </w:r>
    </w:p>
    <w:p w14:paraId="73AC6581" w14:textId="0E863F3F" w:rsidR="00CA046F" w:rsidRDefault="005610D6" w:rsidP="00CA046F">
      <w:pPr>
        <w:rPr>
          <w:rFonts w:cs="Arial"/>
          <w:i/>
          <w:iCs/>
          <w:sz w:val="22"/>
          <w:szCs w:val="22"/>
        </w:rPr>
      </w:pPr>
      <w:r>
        <w:rPr>
          <w:rFonts w:cs="Arial"/>
          <w:i/>
          <w:iCs/>
          <w:sz w:val="22"/>
          <w:szCs w:val="22"/>
        </w:rPr>
        <w:t>“</w:t>
      </w:r>
      <w:r w:rsidR="00CA046F" w:rsidRPr="00CA046F">
        <w:rPr>
          <w:rFonts w:cs="Arial"/>
          <w:i/>
          <w:iCs/>
          <w:sz w:val="22"/>
          <w:szCs w:val="22"/>
        </w:rPr>
        <w:t>- Solicitamos aclarar lo descrito en el ordinal (</w:t>
      </w:r>
      <w:proofErr w:type="spellStart"/>
      <w:r w:rsidR="00CA046F" w:rsidRPr="00CA046F">
        <w:rPr>
          <w:rFonts w:cs="Arial"/>
          <w:i/>
          <w:iCs/>
          <w:sz w:val="22"/>
          <w:szCs w:val="22"/>
        </w:rPr>
        <w:t>ii</w:t>
      </w:r>
      <w:proofErr w:type="spellEnd"/>
      <w:r w:rsidR="00CA046F" w:rsidRPr="00CA046F">
        <w:rPr>
          <w:rFonts w:cs="Arial"/>
          <w:i/>
          <w:iCs/>
          <w:sz w:val="22"/>
          <w:szCs w:val="22"/>
        </w:rPr>
        <w:t xml:space="preserve">) del literal f) del numeral 1 referente a la metodología de determinación del balance comercial por cuanto se establece que la relación deberá incluir en el denominador </w:t>
      </w:r>
      <w:r>
        <w:rPr>
          <w:rFonts w:cs="Arial"/>
          <w:i/>
          <w:iCs/>
          <w:sz w:val="22"/>
          <w:szCs w:val="22"/>
        </w:rPr>
        <w:t>‘</w:t>
      </w:r>
      <w:r w:rsidR="00CA046F" w:rsidRPr="00CA046F">
        <w:rPr>
          <w:rFonts w:cs="Arial"/>
          <w:i/>
          <w:iCs/>
          <w:sz w:val="22"/>
          <w:szCs w:val="22"/>
        </w:rPr>
        <w:t>(…) las cantidades de gas natural licuado, gas natural comprimido y gas metano en depósitos de carbón-GMDC de ese Punto de Referencia</w:t>
      </w:r>
      <w:r>
        <w:rPr>
          <w:rFonts w:cs="Arial"/>
          <w:i/>
          <w:iCs/>
          <w:sz w:val="22"/>
          <w:szCs w:val="22"/>
        </w:rPr>
        <w:t>’</w:t>
      </w:r>
      <w:r w:rsidR="00CA046F" w:rsidRPr="00CA046F">
        <w:rPr>
          <w:rFonts w:cs="Arial"/>
          <w:i/>
          <w:iCs/>
          <w:sz w:val="22"/>
          <w:szCs w:val="22"/>
        </w:rPr>
        <w:t>”.</w:t>
      </w:r>
    </w:p>
    <w:p w14:paraId="0014110C" w14:textId="77777777" w:rsidR="004B4C7C" w:rsidRDefault="004B4C7C" w:rsidP="00CA046F">
      <w:pPr>
        <w:rPr>
          <w:rFonts w:cs="Arial"/>
          <w:i/>
          <w:iCs/>
          <w:sz w:val="22"/>
          <w:szCs w:val="22"/>
        </w:rPr>
      </w:pPr>
    </w:p>
    <w:p w14:paraId="229FA1B0" w14:textId="3322571F" w:rsidR="004B4C7C" w:rsidRPr="004B4C7C" w:rsidRDefault="004B4C7C" w:rsidP="00CA046F">
      <w:pPr>
        <w:rPr>
          <w:rFonts w:cs="Arial"/>
          <w:b/>
          <w:bCs/>
          <w:sz w:val="22"/>
          <w:szCs w:val="22"/>
        </w:rPr>
      </w:pPr>
      <w:r w:rsidRPr="004B4C7C">
        <w:rPr>
          <w:rFonts w:cs="Arial"/>
          <w:b/>
          <w:bCs/>
          <w:sz w:val="22"/>
          <w:szCs w:val="22"/>
        </w:rPr>
        <w:t>Respuesta:</w:t>
      </w:r>
    </w:p>
    <w:p w14:paraId="6EEDB1DA" w14:textId="77777777" w:rsidR="004B4C7C" w:rsidRPr="004B4C7C" w:rsidRDefault="004B4C7C" w:rsidP="00CA046F">
      <w:pPr>
        <w:rPr>
          <w:rFonts w:cs="Arial"/>
          <w:sz w:val="22"/>
          <w:szCs w:val="22"/>
        </w:rPr>
      </w:pPr>
    </w:p>
    <w:p w14:paraId="64625E62" w14:textId="1E067C17" w:rsidR="004B4C7C" w:rsidRDefault="003C6D1D" w:rsidP="00CA046F">
      <w:pPr>
        <w:rPr>
          <w:rFonts w:cs="Arial"/>
          <w:sz w:val="22"/>
          <w:szCs w:val="22"/>
        </w:rPr>
      </w:pPr>
      <w:r>
        <w:rPr>
          <w:rFonts w:cs="Arial"/>
          <w:sz w:val="22"/>
          <w:szCs w:val="22"/>
        </w:rPr>
        <w:t>Se acoge el comentario.</w:t>
      </w:r>
    </w:p>
    <w:p w14:paraId="36BE2375" w14:textId="77777777" w:rsidR="003C6D1D" w:rsidRDefault="003C6D1D" w:rsidP="00CA046F">
      <w:pPr>
        <w:rPr>
          <w:rFonts w:cs="Arial"/>
          <w:sz w:val="22"/>
          <w:szCs w:val="22"/>
        </w:rPr>
      </w:pPr>
    </w:p>
    <w:p w14:paraId="6D0176F8" w14:textId="109D9A2E" w:rsidR="003C6D1D" w:rsidRPr="004B4C7C" w:rsidRDefault="003C6D1D" w:rsidP="00CA046F">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_Ref132188238 \r \h </w:instrText>
      </w:r>
      <w:r>
        <w:rPr>
          <w:rFonts w:cs="Arial"/>
          <w:sz w:val="22"/>
          <w:szCs w:val="22"/>
        </w:rPr>
      </w:r>
      <w:r>
        <w:rPr>
          <w:rFonts w:cs="Arial"/>
          <w:sz w:val="22"/>
          <w:szCs w:val="22"/>
        </w:rPr>
        <w:fldChar w:fldCharType="separate"/>
      </w:r>
      <w:r w:rsidR="007651EA">
        <w:rPr>
          <w:rFonts w:cs="Arial"/>
          <w:sz w:val="22"/>
          <w:szCs w:val="22"/>
        </w:rPr>
        <w:t>19.7.1.1</w:t>
      </w:r>
      <w:r>
        <w:rPr>
          <w:rFonts w:cs="Arial"/>
          <w:sz w:val="22"/>
          <w:szCs w:val="22"/>
        </w:rPr>
        <w:fldChar w:fldCharType="end"/>
      </w:r>
      <w:r>
        <w:rPr>
          <w:rFonts w:cs="Arial"/>
          <w:sz w:val="22"/>
          <w:szCs w:val="22"/>
        </w:rPr>
        <w:t>.</w:t>
      </w:r>
    </w:p>
    <w:p w14:paraId="37BF0983" w14:textId="77777777" w:rsidR="00CA046F" w:rsidRPr="004B4C7C" w:rsidRDefault="00CA046F" w:rsidP="00CA046F">
      <w:pPr>
        <w:rPr>
          <w:rFonts w:cs="Arial"/>
          <w:sz w:val="22"/>
          <w:szCs w:val="22"/>
        </w:rPr>
      </w:pPr>
    </w:p>
    <w:p w14:paraId="36E2E4CD" w14:textId="77777777" w:rsidR="00CA046F" w:rsidRDefault="00CA046F" w:rsidP="00CA046F">
      <w:pPr>
        <w:rPr>
          <w:rFonts w:cs="Arial"/>
          <w:i/>
          <w:iCs/>
          <w:sz w:val="22"/>
          <w:szCs w:val="22"/>
        </w:rPr>
      </w:pPr>
    </w:p>
    <w:p w14:paraId="4AF69CD1" w14:textId="77777777" w:rsidR="00CA046F" w:rsidRDefault="00CA046F" w:rsidP="00CA046F">
      <w:pPr>
        <w:pStyle w:val="Ttulo4"/>
      </w:pPr>
      <w:r w:rsidRPr="0028726C">
        <w:t>BOLSA MERCANTIL DE COLOMBIA</w:t>
      </w:r>
      <w:r w:rsidRPr="0028726C">
        <w:tab/>
      </w:r>
    </w:p>
    <w:p w14:paraId="05D601FB" w14:textId="072C07BC" w:rsidR="00CA046F" w:rsidRDefault="005610D6" w:rsidP="00CA046F">
      <w:pPr>
        <w:rPr>
          <w:rFonts w:cs="Arial"/>
          <w:i/>
          <w:iCs/>
          <w:sz w:val="22"/>
          <w:szCs w:val="22"/>
        </w:rPr>
      </w:pPr>
      <w:r>
        <w:rPr>
          <w:rFonts w:cs="Arial"/>
          <w:i/>
          <w:iCs/>
          <w:sz w:val="22"/>
          <w:szCs w:val="22"/>
        </w:rPr>
        <w:t>“</w:t>
      </w:r>
      <w:r w:rsidR="00CA046F" w:rsidRPr="00CA046F">
        <w:rPr>
          <w:rFonts w:cs="Arial"/>
          <w:i/>
          <w:iCs/>
          <w:sz w:val="22"/>
          <w:szCs w:val="22"/>
        </w:rPr>
        <w:t>- Con respecto al ordinal (</w:t>
      </w:r>
      <w:proofErr w:type="spellStart"/>
      <w:r w:rsidR="00CA046F" w:rsidRPr="00CA046F">
        <w:rPr>
          <w:rFonts w:cs="Arial"/>
          <w:i/>
          <w:iCs/>
          <w:sz w:val="22"/>
          <w:szCs w:val="22"/>
        </w:rPr>
        <w:t>iv</w:t>
      </w:r>
      <w:proofErr w:type="spellEnd"/>
      <w:r w:rsidR="00CA046F" w:rsidRPr="00CA046F">
        <w:rPr>
          <w:rFonts w:cs="Arial"/>
          <w:i/>
          <w:iCs/>
          <w:sz w:val="22"/>
          <w:szCs w:val="22"/>
        </w:rPr>
        <w:t xml:space="preserve">) del literal f) del numeral 1, sugerimos aclarar que la notificación realizada por parte del </w:t>
      </w:r>
      <w:r w:rsidR="005114C6">
        <w:rPr>
          <w:rFonts w:cs="Arial"/>
          <w:i/>
          <w:iCs/>
          <w:sz w:val="22"/>
          <w:szCs w:val="22"/>
        </w:rPr>
        <w:t>Gestor del Mercado</w:t>
      </w:r>
      <w:r w:rsidR="00CA046F" w:rsidRPr="00CA046F">
        <w:rPr>
          <w:rFonts w:cs="Arial"/>
          <w:i/>
          <w:iCs/>
          <w:sz w:val="22"/>
          <w:szCs w:val="22"/>
        </w:rPr>
        <w:t xml:space="preserve"> se realiza cuando el balance comercial resulta deficitario.</w:t>
      </w:r>
      <w:r>
        <w:rPr>
          <w:rFonts w:cs="Arial"/>
          <w:i/>
          <w:iCs/>
          <w:sz w:val="22"/>
          <w:szCs w:val="22"/>
        </w:rPr>
        <w:t>”</w:t>
      </w:r>
    </w:p>
    <w:p w14:paraId="4994E119" w14:textId="77777777" w:rsidR="00CA046F" w:rsidRDefault="00CA046F" w:rsidP="0028726C">
      <w:pPr>
        <w:rPr>
          <w:rFonts w:cs="Arial"/>
          <w:i/>
          <w:iCs/>
          <w:sz w:val="22"/>
          <w:szCs w:val="22"/>
        </w:rPr>
      </w:pPr>
    </w:p>
    <w:p w14:paraId="2019B9E3" w14:textId="26512BCE" w:rsidR="001706B2" w:rsidRPr="001706B2" w:rsidRDefault="001706B2" w:rsidP="0028726C">
      <w:pPr>
        <w:rPr>
          <w:rFonts w:cs="Arial"/>
          <w:b/>
          <w:bCs/>
          <w:sz w:val="22"/>
          <w:szCs w:val="22"/>
        </w:rPr>
      </w:pPr>
      <w:r w:rsidRPr="001706B2">
        <w:rPr>
          <w:rFonts w:cs="Arial"/>
          <w:b/>
          <w:bCs/>
          <w:sz w:val="22"/>
          <w:szCs w:val="22"/>
        </w:rPr>
        <w:t>Respuesta:</w:t>
      </w:r>
    </w:p>
    <w:p w14:paraId="0D8D8823" w14:textId="77777777" w:rsidR="001706B2" w:rsidRDefault="001706B2" w:rsidP="0028726C">
      <w:pPr>
        <w:rPr>
          <w:rFonts w:cs="Arial"/>
          <w:sz w:val="22"/>
          <w:szCs w:val="22"/>
        </w:rPr>
      </w:pPr>
    </w:p>
    <w:p w14:paraId="34C7B311" w14:textId="24FEF769" w:rsidR="001706B2" w:rsidRDefault="002D0FED" w:rsidP="0028726C">
      <w:pPr>
        <w:rPr>
          <w:rFonts w:cs="Arial"/>
          <w:sz w:val="22"/>
          <w:szCs w:val="22"/>
        </w:rPr>
      </w:pPr>
      <w:r>
        <w:rPr>
          <w:rFonts w:cs="Arial"/>
          <w:sz w:val="22"/>
          <w:szCs w:val="22"/>
        </w:rPr>
        <w:t>Se acoge el comentario.</w:t>
      </w:r>
    </w:p>
    <w:p w14:paraId="4060D1B5" w14:textId="77777777" w:rsidR="002D0FED" w:rsidRDefault="002D0FED" w:rsidP="0028726C">
      <w:pPr>
        <w:rPr>
          <w:rFonts w:cs="Arial"/>
          <w:sz w:val="22"/>
          <w:szCs w:val="22"/>
        </w:rPr>
      </w:pPr>
    </w:p>
    <w:p w14:paraId="5C99EAC5" w14:textId="5858C8E4" w:rsidR="002D0FED" w:rsidRPr="0028726C" w:rsidRDefault="002D0FED" w:rsidP="0028726C">
      <w:pPr>
        <w:rPr>
          <w:rFonts w:cs="Arial"/>
          <w:sz w:val="22"/>
          <w:szCs w:val="22"/>
        </w:rPr>
      </w:pPr>
      <w:r>
        <w:rPr>
          <w:rFonts w:cs="Arial"/>
          <w:sz w:val="22"/>
          <w:szCs w:val="22"/>
        </w:rPr>
        <w:t>En la nueva versión se corrige el error de redacción del texto comentado.</w:t>
      </w:r>
    </w:p>
    <w:p w14:paraId="05B8413F" w14:textId="77777777" w:rsidR="00C53D76" w:rsidRDefault="00C53D76" w:rsidP="0028726C">
      <w:pPr>
        <w:rPr>
          <w:rFonts w:cs="Arial"/>
          <w:sz w:val="22"/>
          <w:szCs w:val="22"/>
        </w:rPr>
      </w:pPr>
    </w:p>
    <w:p w14:paraId="420308FD" w14:textId="77777777" w:rsidR="00C53D76" w:rsidRDefault="00C53D76" w:rsidP="0028726C">
      <w:pPr>
        <w:rPr>
          <w:rFonts w:cs="Arial"/>
          <w:sz w:val="22"/>
          <w:szCs w:val="22"/>
        </w:rPr>
      </w:pPr>
    </w:p>
    <w:p w14:paraId="0FBBAC14" w14:textId="77777777" w:rsidR="00C53D76" w:rsidRDefault="0028726C" w:rsidP="000D05A3">
      <w:pPr>
        <w:pStyle w:val="Ttulo4"/>
      </w:pPr>
      <w:bookmarkStart w:id="796" w:name="_Ref132198414"/>
      <w:r w:rsidRPr="0028726C">
        <w:t>BOLSA MERCANTIL DE COLOMBIA</w:t>
      </w:r>
      <w:bookmarkEnd w:id="796"/>
      <w:r w:rsidRPr="0028726C">
        <w:tab/>
      </w:r>
    </w:p>
    <w:p w14:paraId="23CDA233" w14:textId="7AFCA2D5" w:rsidR="0028726C" w:rsidRDefault="005610D6" w:rsidP="0028726C">
      <w:pPr>
        <w:rPr>
          <w:rFonts w:cs="Arial"/>
          <w:i/>
          <w:iCs/>
          <w:sz w:val="22"/>
          <w:szCs w:val="22"/>
        </w:rPr>
      </w:pPr>
      <w:r>
        <w:rPr>
          <w:rFonts w:cs="Arial"/>
          <w:i/>
          <w:iCs/>
          <w:sz w:val="22"/>
          <w:szCs w:val="22"/>
        </w:rPr>
        <w:t>“</w:t>
      </w:r>
      <w:r w:rsidR="0028726C" w:rsidRPr="002D0FED">
        <w:rPr>
          <w:rFonts w:cs="Arial"/>
          <w:i/>
          <w:iCs/>
          <w:sz w:val="22"/>
          <w:szCs w:val="22"/>
        </w:rPr>
        <w:t>Se requiere de precisiones sobre el Mecanismo de Aseguramiento de la Demanda Esencial MADE, Numeral 2.</w:t>
      </w:r>
    </w:p>
    <w:p w14:paraId="1C8F6D77" w14:textId="77777777" w:rsidR="002D0FED" w:rsidRDefault="002D0FED" w:rsidP="0028726C">
      <w:pPr>
        <w:rPr>
          <w:rFonts w:cs="Arial"/>
          <w:i/>
          <w:iCs/>
          <w:sz w:val="22"/>
          <w:szCs w:val="22"/>
        </w:rPr>
      </w:pPr>
    </w:p>
    <w:p w14:paraId="66AFC95C" w14:textId="2E05C8A7" w:rsidR="002D0FED" w:rsidRPr="002D0FED" w:rsidRDefault="002D0FED" w:rsidP="002D0FED">
      <w:pPr>
        <w:rPr>
          <w:rFonts w:cs="Arial"/>
          <w:i/>
          <w:iCs/>
          <w:sz w:val="22"/>
          <w:szCs w:val="22"/>
        </w:rPr>
      </w:pPr>
      <w:r w:rsidRPr="002D0FED">
        <w:rPr>
          <w:rFonts w:cs="Arial"/>
          <w:i/>
          <w:iCs/>
          <w:sz w:val="22"/>
          <w:szCs w:val="22"/>
        </w:rPr>
        <w:t xml:space="preserve">En cuanto a las previsiones del literal a) del numeral 2, dado que se está considerando que los compradores acudan directamente ante los vendedores para desarrollar las negociaciones directas, solicitamos evaluar la pertinencia del </w:t>
      </w:r>
      <w:r w:rsidR="005114C6">
        <w:rPr>
          <w:rFonts w:cs="Arial"/>
          <w:i/>
          <w:iCs/>
          <w:sz w:val="22"/>
          <w:szCs w:val="22"/>
        </w:rPr>
        <w:t>Gestor del Mercado</w:t>
      </w:r>
      <w:r w:rsidRPr="002D0FED">
        <w:rPr>
          <w:rFonts w:cs="Arial"/>
          <w:i/>
          <w:iCs/>
          <w:sz w:val="22"/>
          <w:szCs w:val="22"/>
        </w:rPr>
        <w:t xml:space="preserve"> aporte a los vendedores o publique información sobre la demanda de manera que se evite la posibilidad de acaparamiento de cantidades.</w:t>
      </w:r>
      <w:r w:rsidR="005610D6">
        <w:rPr>
          <w:rFonts w:cs="Arial"/>
          <w:i/>
          <w:iCs/>
          <w:sz w:val="22"/>
          <w:szCs w:val="22"/>
        </w:rPr>
        <w:t>”</w:t>
      </w:r>
    </w:p>
    <w:p w14:paraId="00CCA9FD" w14:textId="77777777" w:rsidR="002D0FED" w:rsidRDefault="002D0FED" w:rsidP="002D0FED">
      <w:pPr>
        <w:rPr>
          <w:rFonts w:cs="Arial"/>
          <w:i/>
          <w:iCs/>
          <w:sz w:val="22"/>
          <w:szCs w:val="22"/>
        </w:rPr>
      </w:pPr>
    </w:p>
    <w:p w14:paraId="72EEABC5" w14:textId="77777777" w:rsidR="002D0FED" w:rsidRPr="002D0FED" w:rsidRDefault="002D0FED" w:rsidP="002D0FED">
      <w:pPr>
        <w:rPr>
          <w:rFonts w:cs="Arial"/>
          <w:b/>
          <w:bCs/>
          <w:sz w:val="22"/>
          <w:szCs w:val="22"/>
        </w:rPr>
      </w:pPr>
      <w:r w:rsidRPr="002D0FED">
        <w:rPr>
          <w:rFonts w:cs="Arial"/>
          <w:b/>
          <w:bCs/>
          <w:sz w:val="22"/>
          <w:szCs w:val="22"/>
        </w:rPr>
        <w:t>Respuesta:</w:t>
      </w:r>
    </w:p>
    <w:p w14:paraId="5ECE195D" w14:textId="77777777" w:rsidR="002D0FED" w:rsidRDefault="002D0FED" w:rsidP="002D0FED">
      <w:pPr>
        <w:rPr>
          <w:rFonts w:cs="Arial"/>
          <w:i/>
          <w:iCs/>
          <w:sz w:val="22"/>
          <w:szCs w:val="22"/>
        </w:rPr>
      </w:pPr>
    </w:p>
    <w:p w14:paraId="4CF00E7D" w14:textId="2A6EE03E" w:rsidR="002D0FED" w:rsidRPr="002D0FED" w:rsidRDefault="002D0FED" w:rsidP="002D0FED">
      <w:pPr>
        <w:rPr>
          <w:rFonts w:cs="Arial"/>
          <w:sz w:val="22"/>
          <w:szCs w:val="22"/>
        </w:rPr>
      </w:pPr>
      <w:r w:rsidRPr="002D0FED">
        <w:rPr>
          <w:rFonts w:cs="Arial"/>
          <w:sz w:val="22"/>
          <w:szCs w:val="22"/>
        </w:rPr>
        <w:t>No se acoge el comentario.</w:t>
      </w:r>
    </w:p>
    <w:p w14:paraId="05005716" w14:textId="77777777" w:rsidR="002D0FED" w:rsidRDefault="002D0FED" w:rsidP="002D0FED">
      <w:pPr>
        <w:rPr>
          <w:rFonts w:cs="Arial"/>
          <w:i/>
          <w:iCs/>
          <w:sz w:val="22"/>
          <w:szCs w:val="22"/>
        </w:rPr>
      </w:pPr>
    </w:p>
    <w:p w14:paraId="134A288C" w14:textId="2417AF6C" w:rsidR="00F325A8" w:rsidRDefault="002D0FED" w:rsidP="00F325A8">
      <w:pPr>
        <w:rPr>
          <w:bCs/>
          <w:sz w:val="22"/>
          <w:szCs w:val="22"/>
        </w:rPr>
      </w:pPr>
      <w:r w:rsidRPr="002D0FED">
        <w:rPr>
          <w:rFonts w:cs="Arial"/>
          <w:sz w:val="22"/>
          <w:szCs w:val="22"/>
        </w:rPr>
        <w:t>En la nueva propuesta</w:t>
      </w:r>
      <w:r w:rsidR="00F325A8">
        <w:rPr>
          <w:rFonts w:cs="Arial"/>
          <w:sz w:val="22"/>
          <w:szCs w:val="22"/>
        </w:rPr>
        <w:t>, e</w:t>
      </w:r>
      <w:r w:rsidR="00F325A8">
        <w:rPr>
          <w:bCs/>
          <w:sz w:val="22"/>
          <w:szCs w:val="22"/>
        </w:rPr>
        <w:t xml:space="preserve">n cuanto a la negociación de los contratos de suministro de tipo firme o que garantizan firmeza para atender la Demanda Esencial, se dan dos situaciones dependiendo de los resultados de los balances comerciales de un punto de referencia para un trimestre futuro: </w:t>
      </w:r>
    </w:p>
    <w:p w14:paraId="1F02513D" w14:textId="77777777" w:rsidR="00F325A8" w:rsidRDefault="00F325A8" w:rsidP="00F325A8">
      <w:pPr>
        <w:rPr>
          <w:bCs/>
          <w:sz w:val="22"/>
          <w:szCs w:val="22"/>
        </w:rPr>
      </w:pPr>
    </w:p>
    <w:p w14:paraId="36F3447D" w14:textId="0E3A46CC" w:rsidR="00F325A8" w:rsidRDefault="00F325A8" w:rsidP="00F325A8">
      <w:pPr>
        <w:pStyle w:val="Prrafodelista"/>
        <w:numPr>
          <w:ilvl w:val="0"/>
          <w:numId w:val="24"/>
        </w:numPr>
        <w:rPr>
          <w:bCs/>
          <w:sz w:val="22"/>
          <w:szCs w:val="22"/>
        </w:rPr>
      </w:pPr>
      <w:r>
        <w:rPr>
          <w:bCs/>
          <w:sz w:val="22"/>
          <w:szCs w:val="22"/>
        </w:rPr>
        <w:t xml:space="preserve">Si el balance es superavitario, procede el mecanismo de negociación directa, en dos etapas. En la primera etapa se tiene por objetivo que se negocien las cantidades mínimas requeridas por los compradores, de acuerdo con las cantidades declaradas por los mismos en la segunda instancia de declaración al Gestor del Mercado, para ese mismo punto de referencia y mismo </w:t>
      </w:r>
      <w:r w:rsidR="009D22E9">
        <w:rPr>
          <w:bCs/>
          <w:sz w:val="22"/>
          <w:szCs w:val="22"/>
        </w:rPr>
        <w:t>trimestre estándar de ejecución</w:t>
      </w:r>
      <w:r>
        <w:rPr>
          <w:bCs/>
          <w:sz w:val="22"/>
          <w:szCs w:val="22"/>
        </w:rPr>
        <w:t xml:space="preserve">, para lo cual se establece un plazo determinado. En esta etapa se incluye la negociación de cualquier tipo de sector demanda, no solo de aquellas que hace parte de la Demanda Esencial, sino de los demás tipos (industrial, termoeléctrica, comercial, …). </w:t>
      </w:r>
    </w:p>
    <w:p w14:paraId="2D973326" w14:textId="77777777" w:rsidR="00F325A8" w:rsidRDefault="00F325A8" w:rsidP="00F325A8">
      <w:pPr>
        <w:rPr>
          <w:bCs/>
          <w:sz w:val="22"/>
          <w:szCs w:val="22"/>
        </w:rPr>
      </w:pPr>
    </w:p>
    <w:p w14:paraId="1C91F413" w14:textId="77777777" w:rsidR="00F325A8" w:rsidRDefault="00F325A8" w:rsidP="00F325A8">
      <w:pPr>
        <w:ind w:left="360"/>
        <w:rPr>
          <w:bCs/>
          <w:sz w:val="22"/>
          <w:szCs w:val="22"/>
        </w:rPr>
      </w:pPr>
      <w:r>
        <w:rPr>
          <w:bCs/>
          <w:sz w:val="22"/>
          <w:szCs w:val="22"/>
        </w:rPr>
        <w:t xml:space="preserve">En la segunda etapa, una vez terminada la primera, se negocian las cantidades declaradas por los compradores en la primera instancia al Gestor del Mercado que exceden las cantidades de la segunda instancia. </w:t>
      </w:r>
    </w:p>
    <w:p w14:paraId="264D4A61" w14:textId="77777777" w:rsidR="00F325A8" w:rsidRDefault="00F325A8" w:rsidP="00F325A8">
      <w:pPr>
        <w:ind w:left="360"/>
        <w:rPr>
          <w:bCs/>
          <w:sz w:val="22"/>
          <w:szCs w:val="22"/>
        </w:rPr>
      </w:pPr>
    </w:p>
    <w:p w14:paraId="7E2B3E08" w14:textId="77777777" w:rsidR="00F325A8" w:rsidRDefault="00F325A8" w:rsidP="00F325A8">
      <w:pPr>
        <w:pStyle w:val="Prrafodelista"/>
        <w:numPr>
          <w:ilvl w:val="0"/>
          <w:numId w:val="24"/>
        </w:numPr>
        <w:rPr>
          <w:bCs/>
          <w:sz w:val="22"/>
          <w:szCs w:val="22"/>
        </w:rPr>
      </w:pPr>
      <w:r>
        <w:rPr>
          <w:bCs/>
          <w:sz w:val="22"/>
          <w:szCs w:val="22"/>
        </w:rPr>
        <w:t>Si el balance es deficitario, procede el mecanismo de priorización de cantidades para la Demanda Esencial y, dependiendo de si hay cantidades excedentarias, la realización posterior de una subasta centralizada que se establece en Anexo de la nueva propuesta. Para ambos casos, se tendrá en cuenta el contenido de</w:t>
      </w:r>
      <w:r w:rsidRPr="005425D6">
        <w:rPr>
          <w:bCs/>
          <w:sz w:val="22"/>
          <w:szCs w:val="22"/>
        </w:rPr>
        <w:t xml:space="preserve"> la minuta del contrato que garantice firmeza, que será utilizada para la modalidad contractual CF95, de suministro con firmeza condicionada CFC o de opción de compra de gas OCG</w:t>
      </w:r>
      <w:r>
        <w:rPr>
          <w:bCs/>
          <w:sz w:val="22"/>
          <w:szCs w:val="22"/>
        </w:rPr>
        <w:t>, declarada por los vendedores como parte de la información entregada al Gestor del Mercado.</w:t>
      </w:r>
    </w:p>
    <w:p w14:paraId="5BF7AE18" w14:textId="77777777" w:rsidR="00F325A8" w:rsidRDefault="00F325A8" w:rsidP="00F325A8">
      <w:pPr>
        <w:ind w:left="360"/>
        <w:rPr>
          <w:bCs/>
          <w:sz w:val="22"/>
          <w:szCs w:val="22"/>
        </w:rPr>
      </w:pPr>
    </w:p>
    <w:p w14:paraId="47DEABDB" w14:textId="77777777" w:rsidR="00F325A8" w:rsidRPr="005425D6" w:rsidRDefault="00F325A8" w:rsidP="00F325A8">
      <w:pPr>
        <w:rPr>
          <w:bCs/>
          <w:sz w:val="22"/>
          <w:szCs w:val="22"/>
        </w:rPr>
      </w:pPr>
      <w:r>
        <w:rPr>
          <w:bCs/>
          <w:sz w:val="22"/>
          <w:szCs w:val="22"/>
        </w:rPr>
        <w:t xml:space="preserve">Todo lo anterior se debe dar cumpliendo las reglas de comportamiento establecidas en la Resolución CREG 080 de 2019 y aquellas que la modifiquen o sustituyan.  </w:t>
      </w:r>
    </w:p>
    <w:p w14:paraId="4473C1EE" w14:textId="77777777" w:rsidR="00F325A8" w:rsidRDefault="00F325A8" w:rsidP="00F325A8">
      <w:pPr>
        <w:rPr>
          <w:bCs/>
          <w:sz w:val="22"/>
          <w:szCs w:val="22"/>
        </w:rPr>
      </w:pPr>
    </w:p>
    <w:p w14:paraId="2E7AC099" w14:textId="77777777" w:rsidR="002D0FED" w:rsidRDefault="002D0FED" w:rsidP="002D0FED">
      <w:pPr>
        <w:rPr>
          <w:rFonts w:cs="Arial"/>
          <w:i/>
          <w:iCs/>
          <w:sz w:val="22"/>
          <w:szCs w:val="22"/>
        </w:rPr>
      </w:pPr>
    </w:p>
    <w:p w14:paraId="1B0B5367" w14:textId="77777777" w:rsidR="002D0FED" w:rsidRDefault="002D0FED" w:rsidP="002D0FED">
      <w:pPr>
        <w:pStyle w:val="Ttulo4"/>
      </w:pPr>
      <w:r w:rsidRPr="0028726C">
        <w:t>BOLSA MERCANTIL DE COLOMBIA</w:t>
      </w:r>
      <w:r w:rsidRPr="0028726C">
        <w:tab/>
      </w:r>
    </w:p>
    <w:p w14:paraId="46A20109" w14:textId="18013E4B" w:rsidR="002D0FED" w:rsidRPr="002D0FED" w:rsidRDefault="00A30E76" w:rsidP="002D0FED">
      <w:pPr>
        <w:rPr>
          <w:rFonts w:cs="Arial"/>
          <w:i/>
          <w:iCs/>
          <w:sz w:val="22"/>
          <w:szCs w:val="22"/>
        </w:rPr>
      </w:pPr>
      <w:r>
        <w:rPr>
          <w:rFonts w:cs="Arial"/>
          <w:i/>
          <w:iCs/>
          <w:sz w:val="22"/>
          <w:szCs w:val="22"/>
        </w:rPr>
        <w:t>“</w:t>
      </w:r>
      <w:r w:rsidR="002D0FED" w:rsidRPr="002D0FED">
        <w:rPr>
          <w:rFonts w:cs="Arial"/>
          <w:i/>
          <w:iCs/>
          <w:sz w:val="22"/>
          <w:szCs w:val="22"/>
        </w:rPr>
        <w:t xml:space="preserve">En caso de que se diera aplicación a lo dispuesto en el literal b) del numeral 2 del Artículo 21, </w:t>
      </w:r>
      <w:proofErr w:type="spellStart"/>
      <w:r w:rsidR="002D0FED" w:rsidRPr="002D0FED">
        <w:rPr>
          <w:rFonts w:cs="Arial"/>
          <w:i/>
          <w:iCs/>
          <w:sz w:val="22"/>
          <w:szCs w:val="22"/>
        </w:rPr>
        <w:t>cual</w:t>
      </w:r>
      <w:proofErr w:type="spellEnd"/>
      <w:r w:rsidR="002D0FED" w:rsidRPr="002D0FED">
        <w:rPr>
          <w:rFonts w:cs="Arial"/>
          <w:i/>
          <w:iCs/>
          <w:sz w:val="22"/>
          <w:szCs w:val="22"/>
        </w:rPr>
        <w:t xml:space="preserve"> sería la fecha máxima de aplicación del mecanismo de mercado transparente y neutral implementado por los vendedores que hubieran recibido solicitudes por encima de su oferta disponible considerando que el periodo de negociación directa esta acotado entre el vigésimo y vigésimo noveno día hábil del trimestre estándar de negociación, siendo esta fecha la máxima para efectos del registro de contratos.</w:t>
      </w:r>
      <w:r>
        <w:rPr>
          <w:rFonts w:cs="Arial"/>
          <w:i/>
          <w:iCs/>
          <w:sz w:val="22"/>
          <w:szCs w:val="22"/>
        </w:rPr>
        <w:t>”</w:t>
      </w:r>
      <w:r w:rsidR="002D0FED" w:rsidRPr="002D0FED">
        <w:rPr>
          <w:rFonts w:cs="Arial"/>
          <w:i/>
          <w:iCs/>
          <w:sz w:val="22"/>
          <w:szCs w:val="22"/>
        </w:rPr>
        <w:t xml:space="preserve">  </w:t>
      </w:r>
    </w:p>
    <w:p w14:paraId="500EA3F7" w14:textId="77777777" w:rsidR="002D0FED" w:rsidRDefault="002D0FED" w:rsidP="002D0FED">
      <w:pPr>
        <w:rPr>
          <w:rFonts w:cs="Arial"/>
          <w:i/>
          <w:iCs/>
          <w:sz w:val="22"/>
          <w:szCs w:val="22"/>
        </w:rPr>
      </w:pPr>
    </w:p>
    <w:p w14:paraId="76A7C802" w14:textId="77777777" w:rsidR="002D0FED" w:rsidRPr="002D0FED" w:rsidRDefault="002D0FED" w:rsidP="002D0FED">
      <w:pPr>
        <w:rPr>
          <w:rFonts w:cs="Arial"/>
          <w:b/>
          <w:bCs/>
          <w:sz w:val="22"/>
          <w:szCs w:val="22"/>
        </w:rPr>
      </w:pPr>
      <w:r w:rsidRPr="002D0FED">
        <w:rPr>
          <w:rFonts w:cs="Arial"/>
          <w:b/>
          <w:bCs/>
          <w:sz w:val="22"/>
          <w:szCs w:val="22"/>
        </w:rPr>
        <w:t>Respuesta:</w:t>
      </w:r>
    </w:p>
    <w:p w14:paraId="4C2F99B3" w14:textId="77777777" w:rsidR="002D0FED" w:rsidRDefault="002D0FED" w:rsidP="002D0FED">
      <w:pPr>
        <w:rPr>
          <w:rFonts w:cs="Arial"/>
          <w:i/>
          <w:iCs/>
          <w:sz w:val="22"/>
          <w:szCs w:val="22"/>
        </w:rPr>
      </w:pPr>
    </w:p>
    <w:p w14:paraId="29B3D492" w14:textId="6B68AE1C" w:rsidR="002D0FED" w:rsidRPr="00E16095" w:rsidRDefault="002D0FED" w:rsidP="002D0FED">
      <w:pPr>
        <w:rPr>
          <w:rFonts w:cs="Arial"/>
          <w:sz w:val="22"/>
          <w:szCs w:val="22"/>
        </w:rPr>
      </w:pPr>
      <w:r w:rsidRPr="00E16095">
        <w:rPr>
          <w:rFonts w:cs="Arial"/>
          <w:sz w:val="22"/>
          <w:szCs w:val="22"/>
        </w:rPr>
        <w:t>Se acoge el comentario.</w:t>
      </w:r>
    </w:p>
    <w:p w14:paraId="692B8D8F" w14:textId="77777777" w:rsidR="002D0FED" w:rsidRPr="00E16095" w:rsidRDefault="002D0FED" w:rsidP="002D0FED">
      <w:pPr>
        <w:rPr>
          <w:rFonts w:cs="Arial"/>
          <w:sz w:val="22"/>
          <w:szCs w:val="22"/>
        </w:rPr>
      </w:pPr>
    </w:p>
    <w:p w14:paraId="7E7B88A0" w14:textId="4F34FC6C" w:rsidR="002D0FED" w:rsidRPr="00E16095" w:rsidRDefault="002D0FED" w:rsidP="002D0FED">
      <w:pPr>
        <w:rPr>
          <w:rFonts w:cs="Arial"/>
          <w:sz w:val="22"/>
          <w:szCs w:val="22"/>
        </w:rPr>
      </w:pPr>
      <w:r w:rsidRPr="00E16095">
        <w:rPr>
          <w:rFonts w:cs="Arial"/>
          <w:sz w:val="22"/>
          <w:szCs w:val="22"/>
        </w:rPr>
        <w:t>En la nueva propuesta se est</w:t>
      </w:r>
      <w:r w:rsidR="00E16095" w:rsidRPr="00E16095">
        <w:rPr>
          <w:rFonts w:cs="Arial"/>
          <w:sz w:val="22"/>
          <w:szCs w:val="22"/>
        </w:rPr>
        <w:t>ablecen</w:t>
      </w:r>
      <w:r w:rsidRPr="00E16095">
        <w:rPr>
          <w:rFonts w:cs="Arial"/>
          <w:sz w:val="22"/>
          <w:szCs w:val="22"/>
        </w:rPr>
        <w:t xml:space="preserve"> plazos para </w:t>
      </w:r>
      <w:r w:rsidR="00E16095" w:rsidRPr="00E16095">
        <w:rPr>
          <w:rFonts w:cs="Arial"/>
          <w:sz w:val="22"/>
          <w:szCs w:val="22"/>
        </w:rPr>
        <w:t>q</w:t>
      </w:r>
      <w:r w:rsidRPr="00E16095">
        <w:rPr>
          <w:rFonts w:cs="Arial"/>
          <w:sz w:val="22"/>
          <w:szCs w:val="22"/>
        </w:rPr>
        <w:t xml:space="preserve">ue los vendedores informen a los compradores </w:t>
      </w:r>
      <w:r w:rsidR="00E16095" w:rsidRPr="00E16095">
        <w:rPr>
          <w:rFonts w:cs="Arial"/>
          <w:sz w:val="22"/>
          <w:szCs w:val="22"/>
        </w:rPr>
        <w:t xml:space="preserve">si cuentan o no con cantidades </w:t>
      </w:r>
      <w:r w:rsidR="00E16095">
        <w:rPr>
          <w:rFonts w:cs="Arial"/>
          <w:sz w:val="22"/>
          <w:szCs w:val="22"/>
        </w:rPr>
        <w:t>suficientes para atenderlos y el plazo para que informen las asignaciones de las cantidades disponibles para que los compradores con cantidades no atendidas puedan acudir a los demás vendedores.</w:t>
      </w:r>
    </w:p>
    <w:p w14:paraId="41A1F4C6" w14:textId="77777777" w:rsidR="002D0FED" w:rsidRDefault="002D0FED" w:rsidP="002D0FED">
      <w:pPr>
        <w:rPr>
          <w:rFonts w:cs="Arial"/>
          <w:i/>
          <w:iCs/>
          <w:sz w:val="22"/>
          <w:szCs w:val="22"/>
        </w:rPr>
      </w:pPr>
    </w:p>
    <w:p w14:paraId="31602A29" w14:textId="77777777" w:rsidR="002D0FED" w:rsidRDefault="002D0FED" w:rsidP="002D0FED">
      <w:pPr>
        <w:rPr>
          <w:rFonts w:cs="Arial"/>
          <w:i/>
          <w:iCs/>
          <w:sz w:val="22"/>
          <w:szCs w:val="22"/>
        </w:rPr>
      </w:pPr>
    </w:p>
    <w:p w14:paraId="01DE5FAD" w14:textId="77777777" w:rsidR="002D0FED" w:rsidRDefault="002D0FED" w:rsidP="002D0FED">
      <w:pPr>
        <w:pStyle w:val="Ttulo4"/>
      </w:pPr>
      <w:r w:rsidRPr="0028726C">
        <w:t>BOLSA MERCANTIL DE COLOMBIA</w:t>
      </w:r>
      <w:r w:rsidRPr="0028726C">
        <w:tab/>
      </w:r>
    </w:p>
    <w:p w14:paraId="249B3F5A" w14:textId="3EC49F57" w:rsidR="002D0FED" w:rsidRPr="002D0FED" w:rsidRDefault="009D792C" w:rsidP="002D0FED">
      <w:pPr>
        <w:rPr>
          <w:rFonts w:cs="Arial"/>
          <w:i/>
          <w:iCs/>
          <w:sz w:val="22"/>
          <w:szCs w:val="22"/>
        </w:rPr>
      </w:pPr>
      <w:r>
        <w:rPr>
          <w:rFonts w:cs="Arial"/>
          <w:i/>
          <w:iCs/>
          <w:sz w:val="22"/>
          <w:szCs w:val="22"/>
        </w:rPr>
        <w:t>“</w:t>
      </w:r>
      <w:r w:rsidR="002D0FED" w:rsidRPr="002D0FED">
        <w:rPr>
          <w:rFonts w:cs="Arial"/>
          <w:i/>
          <w:iCs/>
          <w:sz w:val="22"/>
          <w:szCs w:val="22"/>
        </w:rPr>
        <w:t>Teniendo en cuenta que la propuesta regulatoria busca priorizar la contratación con garantía firmeza y respaldo físico de la Demanda Esencial y que en consecuencia se ha establecido como plazo máximo de registro de contratos el vigésimo noveno (29) día hábil del trimestre estándar de negociación (conforme el literal e) del numeral 2 del Artículo 21) respecto de las fuentes de suministro diferentes a las referidas en el Artículo 19, nos surge la inquietud si dicha premisa, no debería ser aplicable igualmente respecto de la Demanda Esencial que se abastece desde las fuentes incluidas en el Artículo 19. Lo anterior, dado que no establecer un plazo máximo para el registro de contratos de estas últimas, podría dar lugar a dificultades en la atención de este tipo de demanda.</w:t>
      </w:r>
      <w:r>
        <w:rPr>
          <w:rFonts w:cs="Arial"/>
          <w:i/>
          <w:iCs/>
          <w:sz w:val="22"/>
          <w:szCs w:val="22"/>
        </w:rPr>
        <w:t>”</w:t>
      </w:r>
    </w:p>
    <w:p w14:paraId="0712D03F" w14:textId="77777777" w:rsidR="002D0FED" w:rsidRDefault="002D0FED" w:rsidP="0028726C">
      <w:pPr>
        <w:rPr>
          <w:rFonts w:cs="Arial"/>
          <w:sz w:val="22"/>
          <w:szCs w:val="22"/>
        </w:rPr>
      </w:pPr>
    </w:p>
    <w:p w14:paraId="5D490027" w14:textId="21ECF872" w:rsidR="002D0FED" w:rsidRPr="002D0FED" w:rsidRDefault="002D0FED" w:rsidP="0028726C">
      <w:pPr>
        <w:rPr>
          <w:rFonts w:cs="Arial"/>
          <w:b/>
          <w:bCs/>
          <w:sz w:val="22"/>
          <w:szCs w:val="22"/>
        </w:rPr>
      </w:pPr>
      <w:r w:rsidRPr="002D0FED">
        <w:rPr>
          <w:rFonts w:cs="Arial"/>
          <w:b/>
          <w:bCs/>
          <w:sz w:val="22"/>
          <w:szCs w:val="22"/>
        </w:rPr>
        <w:t>Respuesta:</w:t>
      </w:r>
    </w:p>
    <w:p w14:paraId="00418C36" w14:textId="77777777" w:rsidR="002D0FED" w:rsidRDefault="002D0FED" w:rsidP="0028726C">
      <w:pPr>
        <w:rPr>
          <w:rFonts w:cs="Arial"/>
          <w:sz w:val="22"/>
          <w:szCs w:val="22"/>
        </w:rPr>
      </w:pPr>
    </w:p>
    <w:p w14:paraId="106E399B" w14:textId="433CBD9D" w:rsidR="002D0FED" w:rsidRPr="0028726C" w:rsidRDefault="00E16095" w:rsidP="0028726C">
      <w:pPr>
        <w:rPr>
          <w:rFonts w:cs="Arial"/>
          <w:sz w:val="22"/>
          <w:szCs w:val="22"/>
        </w:rPr>
      </w:pPr>
      <w:r>
        <w:rPr>
          <w:rFonts w:cs="Arial"/>
          <w:sz w:val="22"/>
          <w:szCs w:val="22"/>
        </w:rPr>
        <w:t xml:space="preserve">En la nueva propuesta se incluyen plazos máximos con mayor extensión en el tiempo para permitir un flujo de información más oportuno y registro de los contratos ante el </w:t>
      </w:r>
      <w:r w:rsidR="005114C6">
        <w:rPr>
          <w:rFonts w:cs="Arial"/>
          <w:sz w:val="22"/>
          <w:szCs w:val="22"/>
        </w:rPr>
        <w:t>Gestor del Mercado</w:t>
      </w:r>
      <w:r>
        <w:rPr>
          <w:rFonts w:cs="Arial"/>
          <w:sz w:val="22"/>
          <w:szCs w:val="22"/>
        </w:rPr>
        <w:t>, tanto de los agentes vendedores como de los compradores.</w:t>
      </w:r>
    </w:p>
    <w:p w14:paraId="02E3A693" w14:textId="77777777" w:rsidR="00C53D76" w:rsidRDefault="00C53D76" w:rsidP="0028726C">
      <w:pPr>
        <w:rPr>
          <w:rFonts w:cs="Arial"/>
          <w:sz w:val="22"/>
          <w:szCs w:val="22"/>
        </w:rPr>
      </w:pPr>
    </w:p>
    <w:p w14:paraId="505CDE46" w14:textId="77777777" w:rsidR="00C53D76" w:rsidRDefault="00C53D76" w:rsidP="0028726C">
      <w:pPr>
        <w:rPr>
          <w:rFonts w:cs="Arial"/>
          <w:sz w:val="22"/>
          <w:szCs w:val="22"/>
        </w:rPr>
      </w:pPr>
    </w:p>
    <w:p w14:paraId="3285E62C" w14:textId="77777777" w:rsidR="00C53D76" w:rsidRDefault="0028726C" w:rsidP="000D05A3">
      <w:pPr>
        <w:pStyle w:val="Ttulo4"/>
      </w:pPr>
      <w:bookmarkStart w:id="797" w:name="_Ref132207182"/>
      <w:r w:rsidRPr="0028726C">
        <w:t>BOLSA MERCANTIL DE COLOMBIA</w:t>
      </w:r>
      <w:bookmarkEnd w:id="797"/>
      <w:r w:rsidRPr="0028726C">
        <w:tab/>
      </w:r>
    </w:p>
    <w:p w14:paraId="22D447BC" w14:textId="32B11B3D" w:rsidR="0028726C" w:rsidRDefault="00C12F62" w:rsidP="0028726C">
      <w:pPr>
        <w:rPr>
          <w:rFonts w:cs="Arial"/>
          <w:i/>
          <w:iCs/>
          <w:sz w:val="22"/>
          <w:szCs w:val="22"/>
        </w:rPr>
      </w:pPr>
      <w:r>
        <w:rPr>
          <w:rFonts w:cs="Arial"/>
          <w:i/>
          <w:iCs/>
          <w:sz w:val="22"/>
          <w:szCs w:val="22"/>
        </w:rPr>
        <w:t>“</w:t>
      </w:r>
      <w:r w:rsidR="0028726C" w:rsidRPr="00E16095">
        <w:rPr>
          <w:rFonts w:cs="Arial"/>
          <w:i/>
          <w:iCs/>
          <w:sz w:val="22"/>
          <w:szCs w:val="22"/>
        </w:rPr>
        <w:t>Se requiere de precisiones sobre el Mecanismo de Aseguramiento de la Demanda Esencial MADE, Numeral 3.</w:t>
      </w:r>
    </w:p>
    <w:p w14:paraId="5D3F5828" w14:textId="77777777" w:rsidR="00E16095" w:rsidRDefault="00E16095" w:rsidP="0028726C">
      <w:pPr>
        <w:rPr>
          <w:rFonts w:cs="Arial"/>
          <w:i/>
          <w:iCs/>
          <w:sz w:val="22"/>
          <w:szCs w:val="22"/>
        </w:rPr>
      </w:pPr>
    </w:p>
    <w:p w14:paraId="038A9C2B" w14:textId="220AC055" w:rsidR="00E16095" w:rsidRPr="00E16095" w:rsidRDefault="00E16095" w:rsidP="00E16095">
      <w:pPr>
        <w:rPr>
          <w:rFonts w:cs="Arial"/>
          <w:i/>
          <w:iCs/>
          <w:sz w:val="22"/>
          <w:szCs w:val="22"/>
        </w:rPr>
      </w:pPr>
      <w:r w:rsidRPr="00E16095">
        <w:rPr>
          <w:rFonts w:cs="Arial"/>
          <w:i/>
          <w:iCs/>
          <w:sz w:val="22"/>
          <w:szCs w:val="22"/>
        </w:rPr>
        <w:t xml:space="preserve">Al respecto, dado que se ha asignado en cabeza del </w:t>
      </w:r>
      <w:r w:rsidR="005114C6">
        <w:rPr>
          <w:rFonts w:cs="Arial"/>
          <w:i/>
          <w:iCs/>
          <w:sz w:val="22"/>
          <w:szCs w:val="22"/>
        </w:rPr>
        <w:t>Gestor del Mercado</w:t>
      </w:r>
      <w:r w:rsidRPr="00E16095">
        <w:rPr>
          <w:rFonts w:cs="Arial"/>
          <w:i/>
          <w:iCs/>
          <w:sz w:val="22"/>
          <w:szCs w:val="22"/>
        </w:rPr>
        <w:t xml:space="preserve"> la función de definir el mecanismo de asignación mediante subasta cuando el balance comercial resulte deficitario, solicitamos aclarar las condiciones que regirán para la presentación por parte del Gestor y aprobación de dicha propuesta por parte de la CREG.</w:t>
      </w:r>
      <w:r w:rsidR="00224A18">
        <w:rPr>
          <w:rFonts w:cs="Arial"/>
          <w:i/>
          <w:iCs/>
          <w:sz w:val="22"/>
          <w:szCs w:val="22"/>
        </w:rPr>
        <w:t>”</w:t>
      </w:r>
    </w:p>
    <w:p w14:paraId="7795DB22" w14:textId="77777777" w:rsidR="00E16095" w:rsidRDefault="00E16095" w:rsidP="00E16095">
      <w:pPr>
        <w:rPr>
          <w:rFonts w:cs="Arial"/>
          <w:i/>
          <w:iCs/>
          <w:sz w:val="22"/>
          <w:szCs w:val="22"/>
        </w:rPr>
      </w:pPr>
    </w:p>
    <w:p w14:paraId="53D97413" w14:textId="77777777" w:rsidR="00E16095" w:rsidRPr="00E16095" w:rsidRDefault="00E16095" w:rsidP="00E16095">
      <w:pPr>
        <w:rPr>
          <w:rFonts w:cs="Arial"/>
          <w:b/>
          <w:bCs/>
          <w:sz w:val="22"/>
          <w:szCs w:val="22"/>
        </w:rPr>
      </w:pPr>
      <w:r w:rsidRPr="00E16095">
        <w:rPr>
          <w:rFonts w:cs="Arial"/>
          <w:b/>
          <w:bCs/>
          <w:sz w:val="22"/>
          <w:szCs w:val="22"/>
        </w:rPr>
        <w:t>Respuesta:</w:t>
      </w:r>
    </w:p>
    <w:p w14:paraId="084DF643" w14:textId="77777777" w:rsidR="00E16095" w:rsidRDefault="00E16095" w:rsidP="00E16095">
      <w:pPr>
        <w:rPr>
          <w:rFonts w:cs="Arial"/>
          <w:i/>
          <w:iCs/>
          <w:sz w:val="22"/>
          <w:szCs w:val="22"/>
        </w:rPr>
      </w:pPr>
    </w:p>
    <w:p w14:paraId="2F3BF91F" w14:textId="4F64F6DE" w:rsidR="00E16095" w:rsidRPr="00A77418" w:rsidRDefault="00A77418" w:rsidP="00E16095">
      <w:pPr>
        <w:rPr>
          <w:rFonts w:cs="Arial"/>
          <w:sz w:val="22"/>
          <w:szCs w:val="22"/>
        </w:rPr>
      </w:pPr>
      <w:r w:rsidRPr="00A77418">
        <w:rPr>
          <w:rFonts w:cs="Arial"/>
          <w:sz w:val="22"/>
          <w:szCs w:val="22"/>
        </w:rPr>
        <w:t>En la nueva propuesta se incluye un Anexo que reglamenta la subasta centralizada comentada.</w:t>
      </w:r>
    </w:p>
    <w:p w14:paraId="1DEEB6CD" w14:textId="77777777" w:rsidR="00A77418" w:rsidRDefault="00A77418" w:rsidP="00E16095">
      <w:pPr>
        <w:rPr>
          <w:rFonts w:cs="Arial"/>
          <w:i/>
          <w:iCs/>
          <w:sz w:val="22"/>
          <w:szCs w:val="22"/>
        </w:rPr>
      </w:pPr>
    </w:p>
    <w:p w14:paraId="402E76F1" w14:textId="2734D979" w:rsidR="00A77418" w:rsidRPr="00A77418" w:rsidRDefault="00A77418" w:rsidP="00E16095">
      <w:pPr>
        <w:rPr>
          <w:rFonts w:cs="Arial"/>
          <w:sz w:val="22"/>
          <w:szCs w:val="22"/>
        </w:rPr>
      </w:pPr>
      <w:r w:rsidRPr="00A77418">
        <w:rPr>
          <w:rFonts w:cs="Arial"/>
          <w:sz w:val="22"/>
          <w:szCs w:val="22"/>
        </w:rPr>
        <w:t xml:space="preserve">Ver respuesta a </w:t>
      </w:r>
      <w:r w:rsidRPr="00A77418">
        <w:rPr>
          <w:rFonts w:cs="Arial"/>
          <w:sz w:val="22"/>
          <w:szCs w:val="22"/>
        </w:rPr>
        <w:fldChar w:fldCharType="begin"/>
      </w:r>
      <w:r w:rsidRPr="00A77418">
        <w:rPr>
          <w:rFonts w:cs="Arial"/>
          <w:sz w:val="22"/>
          <w:szCs w:val="22"/>
        </w:rPr>
        <w:instrText xml:space="preserve"> REF _Ref132190563 \r \h </w:instrText>
      </w:r>
      <w:r>
        <w:rPr>
          <w:rFonts w:cs="Arial"/>
          <w:sz w:val="22"/>
          <w:szCs w:val="22"/>
        </w:rPr>
        <w:instrText xml:space="preserve"> \* MERGEFORMAT </w:instrText>
      </w:r>
      <w:r w:rsidRPr="00A77418">
        <w:rPr>
          <w:rFonts w:cs="Arial"/>
          <w:sz w:val="22"/>
          <w:szCs w:val="22"/>
        </w:rPr>
      </w:r>
      <w:r w:rsidRPr="00A77418">
        <w:rPr>
          <w:rFonts w:cs="Arial"/>
          <w:sz w:val="22"/>
          <w:szCs w:val="22"/>
        </w:rPr>
        <w:fldChar w:fldCharType="separate"/>
      </w:r>
      <w:r w:rsidR="007651EA">
        <w:rPr>
          <w:rFonts w:cs="Arial"/>
          <w:sz w:val="22"/>
          <w:szCs w:val="22"/>
        </w:rPr>
        <w:t>19.2.1.2</w:t>
      </w:r>
      <w:r w:rsidRPr="00A77418">
        <w:rPr>
          <w:rFonts w:cs="Arial"/>
          <w:sz w:val="22"/>
          <w:szCs w:val="22"/>
        </w:rPr>
        <w:fldChar w:fldCharType="end"/>
      </w:r>
      <w:r w:rsidRPr="00A77418">
        <w:rPr>
          <w:rFonts w:cs="Arial"/>
          <w:sz w:val="22"/>
          <w:szCs w:val="22"/>
        </w:rPr>
        <w:t>.</w:t>
      </w:r>
    </w:p>
    <w:p w14:paraId="76C5D15B" w14:textId="77777777" w:rsidR="00A77418" w:rsidRDefault="00A77418" w:rsidP="00E16095">
      <w:pPr>
        <w:rPr>
          <w:rFonts w:cs="Arial"/>
          <w:i/>
          <w:iCs/>
          <w:sz w:val="22"/>
          <w:szCs w:val="22"/>
        </w:rPr>
      </w:pPr>
    </w:p>
    <w:p w14:paraId="2B121390" w14:textId="77777777" w:rsidR="00E16095" w:rsidRDefault="00E16095" w:rsidP="00E16095">
      <w:pPr>
        <w:rPr>
          <w:rFonts w:cs="Arial"/>
          <w:i/>
          <w:iCs/>
          <w:sz w:val="22"/>
          <w:szCs w:val="22"/>
        </w:rPr>
      </w:pPr>
    </w:p>
    <w:p w14:paraId="7A0627A1" w14:textId="77777777" w:rsidR="00E16095" w:rsidRDefault="00E16095" w:rsidP="00E16095">
      <w:pPr>
        <w:pStyle w:val="Ttulo4"/>
      </w:pPr>
      <w:r w:rsidRPr="0028726C">
        <w:t>BOLSA MERCANTIL DE COLOMBIA</w:t>
      </w:r>
      <w:r w:rsidRPr="0028726C">
        <w:tab/>
      </w:r>
    </w:p>
    <w:p w14:paraId="4B04AC6D" w14:textId="7FAE85B7" w:rsidR="00E16095" w:rsidRPr="00E16095" w:rsidRDefault="00224A18" w:rsidP="00E16095">
      <w:pPr>
        <w:rPr>
          <w:rFonts w:cs="Arial"/>
          <w:i/>
          <w:iCs/>
          <w:sz w:val="22"/>
          <w:szCs w:val="22"/>
        </w:rPr>
      </w:pPr>
      <w:r>
        <w:rPr>
          <w:rFonts w:cs="Arial"/>
          <w:i/>
          <w:iCs/>
          <w:sz w:val="22"/>
          <w:szCs w:val="22"/>
        </w:rPr>
        <w:t>“</w:t>
      </w:r>
      <w:r w:rsidR="00E16095" w:rsidRPr="00E16095">
        <w:rPr>
          <w:rFonts w:cs="Arial"/>
          <w:i/>
          <w:iCs/>
          <w:sz w:val="22"/>
          <w:szCs w:val="22"/>
        </w:rPr>
        <w:t>Entendiendo que las cantidades remanentes que estarían disponibles en las subastas en caso de balance comercial deficitario respecto de las fuentes de suministro diferentes al Artículo 19 estarían a disposición de demanda no esencial y la demanda esencial no regulada, solicitamos aclarar si el precio de cierre de dichas subastas aplicaría tanto a los contratos asignados a la demanda esencial como no esencial.</w:t>
      </w:r>
      <w:r>
        <w:rPr>
          <w:rFonts w:cs="Arial"/>
          <w:i/>
          <w:iCs/>
          <w:sz w:val="22"/>
          <w:szCs w:val="22"/>
        </w:rPr>
        <w:t>”</w:t>
      </w:r>
      <w:r w:rsidR="00E16095" w:rsidRPr="00E16095">
        <w:rPr>
          <w:rFonts w:cs="Arial"/>
          <w:i/>
          <w:iCs/>
          <w:sz w:val="22"/>
          <w:szCs w:val="22"/>
        </w:rPr>
        <w:t xml:space="preserve"> </w:t>
      </w:r>
    </w:p>
    <w:p w14:paraId="0D579BDB" w14:textId="77777777" w:rsidR="00E16095" w:rsidRPr="00E16095" w:rsidRDefault="00E16095" w:rsidP="00E16095">
      <w:pPr>
        <w:rPr>
          <w:rFonts w:cs="Arial"/>
          <w:i/>
          <w:iCs/>
          <w:sz w:val="22"/>
          <w:szCs w:val="22"/>
        </w:rPr>
      </w:pPr>
    </w:p>
    <w:p w14:paraId="67F5FA36" w14:textId="77777777" w:rsidR="00E16095" w:rsidRPr="00E16095" w:rsidRDefault="00E16095" w:rsidP="00E16095">
      <w:pPr>
        <w:rPr>
          <w:rFonts w:cs="Arial"/>
          <w:b/>
          <w:bCs/>
          <w:sz w:val="22"/>
          <w:szCs w:val="22"/>
        </w:rPr>
      </w:pPr>
      <w:r w:rsidRPr="00E16095">
        <w:rPr>
          <w:rFonts w:cs="Arial"/>
          <w:b/>
          <w:bCs/>
          <w:sz w:val="22"/>
          <w:szCs w:val="22"/>
        </w:rPr>
        <w:t>Respuesta:</w:t>
      </w:r>
    </w:p>
    <w:p w14:paraId="4B9FDCBE" w14:textId="77777777" w:rsidR="00E16095" w:rsidRDefault="00E16095" w:rsidP="00E16095">
      <w:pPr>
        <w:rPr>
          <w:rFonts w:cs="Arial"/>
          <w:i/>
          <w:iCs/>
          <w:sz w:val="22"/>
          <w:szCs w:val="22"/>
        </w:rPr>
      </w:pPr>
    </w:p>
    <w:p w14:paraId="529CB2D7" w14:textId="7FDC0D2E" w:rsidR="00E16095" w:rsidRDefault="00A77418" w:rsidP="00E16095">
      <w:pPr>
        <w:rPr>
          <w:rFonts w:cs="Arial"/>
          <w:sz w:val="22"/>
          <w:szCs w:val="22"/>
        </w:rPr>
      </w:pPr>
      <w:r w:rsidRPr="00A77418">
        <w:rPr>
          <w:rFonts w:cs="Arial"/>
          <w:sz w:val="22"/>
          <w:szCs w:val="22"/>
        </w:rPr>
        <w:t xml:space="preserve">El precio de cierre de la subasta se </w:t>
      </w:r>
      <w:r>
        <w:rPr>
          <w:rFonts w:cs="Arial"/>
          <w:sz w:val="22"/>
          <w:szCs w:val="22"/>
        </w:rPr>
        <w:t>aplica</w:t>
      </w:r>
      <w:r w:rsidRPr="00A77418">
        <w:rPr>
          <w:rFonts w:cs="Arial"/>
          <w:sz w:val="22"/>
          <w:szCs w:val="22"/>
        </w:rPr>
        <w:t xml:space="preserve"> a las cantidades asignadas</w:t>
      </w:r>
      <w:r>
        <w:rPr>
          <w:rFonts w:cs="Arial"/>
          <w:sz w:val="22"/>
          <w:szCs w:val="22"/>
        </w:rPr>
        <w:t xml:space="preserve"> en la subasta</w:t>
      </w:r>
      <w:r w:rsidRPr="00A77418">
        <w:rPr>
          <w:rFonts w:cs="Arial"/>
          <w:sz w:val="22"/>
          <w:szCs w:val="22"/>
        </w:rPr>
        <w:t xml:space="preserve">, sea que son parte de Demanda Esencial no regulada o de la demás demanda, </w:t>
      </w:r>
      <w:r>
        <w:rPr>
          <w:rFonts w:cs="Arial"/>
          <w:sz w:val="22"/>
          <w:szCs w:val="22"/>
        </w:rPr>
        <w:t>y a las cantidades de Demanda esencial requerida que fueron priorizadas previamente a la subasta, con el procedimiento de prorrata establecido para ello.</w:t>
      </w:r>
    </w:p>
    <w:p w14:paraId="6C5D7CF3" w14:textId="77777777" w:rsidR="00A77418" w:rsidRDefault="00A77418" w:rsidP="00E16095">
      <w:pPr>
        <w:rPr>
          <w:rFonts w:cs="Arial"/>
          <w:sz w:val="22"/>
          <w:szCs w:val="22"/>
        </w:rPr>
      </w:pPr>
    </w:p>
    <w:p w14:paraId="6ACD7789" w14:textId="1EAC7D33" w:rsidR="00A77418" w:rsidRPr="00A77418" w:rsidRDefault="00A77418" w:rsidP="00E16095">
      <w:pPr>
        <w:rPr>
          <w:rFonts w:cs="Arial"/>
          <w:sz w:val="22"/>
          <w:szCs w:val="22"/>
        </w:rPr>
      </w:pPr>
      <w:r>
        <w:rPr>
          <w:rFonts w:cs="Arial"/>
          <w:sz w:val="22"/>
          <w:szCs w:val="22"/>
        </w:rPr>
        <w:t xml:space="preserve">En la nueva propuesta se incluye un mayor nivel de detalle con las fórmulas con que se calculan las asignaciones de las fuentes de suministro a la Demanda Esencial requerida. Es de tener en cuenta que en la Demanda Esencial requerida declarada en la segunda instancia ante el </w:t>
      </w:r>
      <w:r w:rsidR="005114C6">
        <w:rPr>
          <w:rFonts w:cs="Arial"/>
          <w:sz w:val="22"/>
          <w:szCs w:val="22"/>
        </w:rPr>
        <w:t>Gestor del Mercado</w:t>
      </w:r>
      <w:r>
        <w:rPr>
          <w:rFonts w:cs="Arial"/>
          <w:sz w:val="22"/>
          <w:szCs w:val="22"/>
        </w:rPr>
        <w:t xml:space="preserve"> puede incluir cantidades de Demanda Esencial no regulada que se priorizan de modo que no participan en la subasta.</w:t>
      </w:r>
    </w:p>
    <w:p w14:paraId="65840071" w14:textId="77777777" w:rsidR="00A77418" w:rsidRDefault="00A77418" w:rsidP="00E16095">
      <w:pPr>
        <w:rPr>
          <w:rFonts w:cs="Arial"/>
          <w:i/>
          <w:iCs/>
          <w:sz w:val="22"/>
          <w:szCs w:val="22"/>
        </w:rPr>
      </w:pPr>
    </w:p>
    <w:p w14:paraId="4FF71731" w14:textId="77777777" w:rsidR="00E16095" w:rsidRDefault="00E16095" w:rsidP="00E16095">
      <w:pPr>
        <w:pStyle w:val="Ttulo4"/>
      </w:pPr>
      <w:r w:rsidRPr="0028726C">
        <w:t>BOLSA MERCANTIL DE COLOMBIA</w:t>
      </w:r>
      <w:r w:rsidRPr="0028726C">
        <w:tab/>
      </w:r>
    </w:p>
    <w:p w14:paraId="7502D442" w14:textId="26C00EB3" w:rsidR="00E16095" w:rsidRPr="00E16095" w:rsidRDefault="0056530B" w:rsidP="00E16095">
      <w:pPr>
        <w:rPr>
          <w:rFonts w:cs="Arial"/>
          <w:i/>
          <w:iCs/>
          <w:sz w:val="22"/>
          <w:szCs w:val="22"/>
        </w:rPr>
      </w:pPr>
      <w:r>
        <w:rPr>
          <w:rFonts w:cs="Arial"/>
          <w:i/>
          <w:iCs/>
          <w:sz w:val="22"/>
          <w:szCs w:val="22"/>
        </w:rPr>
        <w:t>“</w:t>
      </w:r>
      <w:r w:rsidR="00E16095" w:rsidRPr="00E16095">
        <w:rPr>
          <w:rFonts w:cs="Arial"/>
          <w:i/>
          <w:iCs/>
          <w:sz w:val="22"/>
          <w:szCs w:val="22"/>
        </w:rPr>
        <w:t xml:space="preserve">Se sugiere aclarar que el plazo máximo de registro de contratos señalado en el literal l) del numeral 3 corresponde a las negociaciones resultantes de la distribución realizada por el </w:t>
      </w:r>
      <w:r w:rsidR="005114C6">
        <w:rPr>
          <w:rFonts w:cs="Arial"/>
          <w:i/>
          <w:iCs/>
          <w:sz w:val="22"/>
          <w:szCs w:val="22"/>
        </w:rPr>
        <w:t>Gestor del Mercado</w:t>
      </w:r>
      <w:r w:rsidR="00E16095" w:rsidRPr="00E16095">
        <w:rPr>
          <w:rFonts w:cs="Arial"/>
          <w:i/>
          <w:iCs/>
          <w:sz w:val="22"/>
          <w:szCs w:val="22"/>
        </w:rPr>
        <w:t xml:space="preserve"> en cumplimiento de lo previsto en los literales f, g y h, mientras la fecha máxima de registro de contratos a que hace referencia el literal o) corresponde a las negociaciones resultantes de la aplicación del mecanismo de subasta.</w:t>
      </w:r>
      <w:r>
        <w:rPr>
          <w:rFonts w:cs="Arial"/>
          <w:i/>
          <w:iCs/>
          <w:sz w:val="22"/>
          <w:szCs w:val="22"/>
        </w:rPr>
        <w:t>”</w:t>
      </w:r>
    </w:p>
    <w:p w14:paraId="0895CE8F" w14:textId="77777777" w:rsidR="00E16095" w:rsidRDefault="00E16095" w:rsidP="00E16095">
      <w:pPr>
        <w:rPr>
          <w:rFonts w:cs="Arial"/>
          <w:i/>
          <w:iCs/>
          <w:sz w:val="22"/>
          <w:szCs w:val="22"/>
        </w:rPr>
      </w:pPr>
    </w:p>
    <w:p w14:paraId="4A60359F" w14:textId="77777777" w:rsidR="00E16095" w:rsidRDefault="00E16095" w:rsidP="00E16095">
      <w:pPr>
        <w:rPr>
          <w:rFonts w:cs="Arial"/>
          <w:b/>
          <w:bCs/>
          <w:sz w:val="22"/>
          <w:szCs w:val="22"/>
        </w:rPr>
      </w:pPr>
      <w:r w:rsidRPr="00E16095">
        <w:rPr>
          <w:rFonts w:cs="Arial"/>
          <w:b/>
          <w:bCs/>
          <w:sz w:val="22"/>
          <w:szCs w:val="22"/>
        </w:rPr>
        <w:t>Respuesta:</w:t>
      </w:r>
    </w:p>
    <w:p w14:paraId="4DC2ADCF" w14:textId="77777777" w:rsidR="008A3870" w:rsidRDefault="008A3870" w:rsidP="00E16095">
      <w:pPr>
        <w:rPr>
          <w:rFonts w:cs="Arial"/>
          <w:b/>
          <w:bCs/>
          <w:sz w:val="22"/>
          <w:szCs w:val="22"/>
        </w:rPr>
      </w:pPr>
    </w:p>
    <w:p w14:paraId="0A8DB904" w14:textId="0DBE3DCF" w:rsidR="008A3870" w:rsidRPr="008A3870" w:rsidRDefault="008A3870" w:rsidP="00E16095">
      <w:pPr>
        <w:rPr>
          <w:rFonts w:cs="Arial"/>
          <w:sz w:val="22"/>
          <w:szCs w:val="22"/>
        </w:rPr>
      </w:pPr>
      <w:r w:rsidRPr="008A3870">
        <w:rPr>
          <w:rFonts w:cs="Arial"/>
          <w:sz w:val="22"/>
          <w:szCs w:val="22"/>
        </w:rPr>
        <w:t>Se acoge el comentario.</w:t>
      </w:r>
    </w:p>
    <w:p w14:paraId="3AB099A3" w14:textId="77777777" w:rsidR="008A3870" w:rsidRPr="008A3870" w:rsidRDefault="008A3870" w:rsidP="00E16095">
      <w:pPr>
        <w:rPr>
          <w:rFonts w:cs="Arial"/>
          <w:sz w:val="22"/>
          <w:szCs w:val="22"/>
        </w:rPr>
      </w:pPr>
    </w:p>
    <w:p w14:paraId="1BDAE11B" w14:textId="6B44856D" w:rsidR="008A3870" w:rsidRPr="008A3870" w:rsidRDefault="008A3870" w:rsidP="00E16095">
      <w:pPr>
        <w:rPr>
          <w:rFonts w:cs="Arial"/>
          <w:sz w:val="22"/>
          <w:szCs w:val="22"/>
        </w:rPr>
      </w:pPr>
      <w:r w:rsidRPr="008A3870">
        <w:rPr>
          <w:rFonts w:cs="Arial"/>
          <w:sz w:val="22"/>
          <w:szCs w:val="22"/>
        </w:rPr>
        <w:t>En la nueva propuesta se deja claro los plazos correspondientes.</w:t>
      </w:r>
    </w:p>
    <w:p w14:paraId="070AF4DB" w14:textId="77777777" w:rsidR="00E16095" w:rsidRPr="00E16095" w:rsidRDefault="00E16095" w:rsidP="00E16095">
      <w:pPr>
        <w:rPr>
          <w:rFonts w:cs="Arial"/>
          <w:i/>
          <w:iCs/>
          <w:sz w:val="22"/>
          <w:szCs w:val="22"/>
        </w:rPr>
      </w:pPr>
    </w:p>
    <w:p w14:paraId="2716076A" w14:textId="77777777" w:rsidR="00E16095" w:rsidRDefault="00E16095" w:rsidP="00E16095">
      <w:pPr>
        <w:rPr>
          <w:rFonts w:cs="Arial"/>
          <w:i/>
          <w:iCs/>
          <w:sz w:val="22"/>
          <w:szCs w:val="22"/>
        </w:rPr>
      </w:pPr>
    </w:p>
    <w:p w14:paraId="4888263E" w14:textId="77777777" w:rsidR="00E16095" w:rsidRDefault="00E16095" w:rsidP="00E16095">
      <w:pPr>
        <w:pStyle w:val="Ttulo4"/>
      </w:pPr>
      <w:r w:rsidRPr="0028726C">
        <w:t>BOLSA MERCANTIL DE COLOMBIA</w:t>
      </w:r>
      <w:r w:rsidRPr="0028726C">
        <w:tab/>
      </w:r>
    </w:p>
    <w:p w14:paraId="62949D34" w14:textId="49539222" w:rsidR="00E16095" w:rsidRPr="00E16095" w:rsidRDefault="0056530B" w:rsidP="00E16095">
      <w:pPr>
        <w:rPr>
          <w:rFonts w:cs="Arial"/>
          <w:i/>
          <w:iCs/>
          <w:sz w:val="22"/>
          <w:szCs w:val="22"/>
        </w:rPr>
      </w:pPr>
      <w:r>
        <w:rPr>
          <w:rFonts w:cs="Arial"/>
          <w:i/>
          <w:iCs/>
          <w:sz w:val="22"/>
          <w:szCs w:val="22"/>
        </w:rPr>
        <w:t>“</w:t>
      </w:r>
      <w:r w:rsidR="00E16095" w:rsidRPr="00E16095">
        <w:rPr>
          <w:rFonts w:cs="Arial"/>
          <w:i/>
          <w:iCs/>
          <w:sz w:val="22"/>
          <w:szCs w:val="22"/>
        </w:rPr>
        <w:t xml:space="preserve">Solicitamos precisar el alcance de la simulación que se deberá realizar de manera coordinada entre los participantes y el </w:t>
      </w:r>
      <w:r w:rsidR="005114C6">
        <w:rPr>
          <w:rFonts w:cs="Arial"/>
          <w:i/>
          <w:iCs/>
          <w:sz w:val="22"/>
          <w:szCs w:val="22"/>
        </w:rPr>
        <w:t>Gestor del Mercado</w:t>
      </w:r>
      <w:r w:rsidR="00E16095" w:rsidRPr="00E16095">
        <w:rPr>
          <w:rFonts w:cs="Arial"/>
          <w:i/>
          <w:iCs/>
          <w:sz w:val="22"/>
          <w:szCs w:val="22"/>
        </w:rPr>
        <w:t>, de acuerdo con lo dispuesto en el parágrafo 8 del Artículo 21.</w:t>
      </w:r>
      <w:r>
        <w:rPr>
          <w:rFonts w:cs="Arial"/>
          <w:i/>
          <w:iCs/>
          <w:sz w:val="22"/>
          <w:szCs w:val="22"/>
        </w:rPr>
        <w:t>”</w:t>
      </w:r>
    </w:p>
    <w:p w14:paraId="7A10749B" w14:textId="77777777" w:rsidR="00E16095" w:rsidRDefault="00E16095" w:rsidP="0028726C">
      <w:pPr>
        <w:rPr>
          <w:rFonts w:cs="Arial"/>
          <w:sz w:val="22"/>
          <w:szCs w:val="22"/>
        </w:rPr>
      </w:pPr>
    </w:p>
    <w:p w14:paraId="5D8C1AC1" w14:textId="26429166" w:rsidR="00E16095" w:rsidRPr="00E16095" w:rsidRDefault="00E16095" w:rsidP="0028726C">
      <w:pPr>
        <w:rPr>
          <w:rFonts w:cs="Arial"/>
          <w:b/>
          <w:bCs/>
          <w:sz w:val="22"/>
          <w:szCs w:val="22"/>
        </w:rPr>
      </w:pPr>
      <w:r w:rsidRPr="00E16095">
        <w:rPr>
          <w:rFonts w:cs="Arial"/>
          <w:b/>
          <w:bCs/>
          <w:sz w:val="22"/>
          <w:szCs w:val="22"/>
        </w:rPr>
        <w:t>Respuesta:</w:t>
      </w:r>
    </w:p>
    <w:p w14:paraId="7EE6FFD1" w14:textId="77777777" w:rsidR="00E16095" w:rsidRDefault="00E16095" w:rsidP="0028726C">
      <w:pPr>
        <w:rPr>
          <w:rFonts w:cs="Arial"/>
          <w:sz w:val="22"/>
          <w:szCs w:val="22"/>
        </w:rPr>
      </w:pPr>
    </w:p>
    <w:p w14:paraId="7E771375" w14:textId="182199DC" w:rsidR="00E16095" w:rsidRDefault="00A91FAC" w:rsidP="0028726C">
      <w:pPr>
        <w:rPr>
          <w:rFonts w:cs="Arial"/>
          <w:sz w:val="22"/>
          <w:szCs w:val="22"/>
        </w:rPr>
      </w:pPr>
      <w:r>
        <w:rPr>
          <w:rFonts w:cs="Arial"/>
          <w:sz w:val="22"/>
          <w:szCs w:val="22"/>
        </w:rPr>
        <w:t xml:space="preserve">La simulación se realiza sobre la parte del proceso que es informativo, que </w:t>
      </w:r>
      <w:r w:rsidR="00BA708E">
        <w:rPr>
          <w:rFonts w:cs="Arial"/>
          <w:sz w:val="22"/>
          <w:szCs w:val="22"/>
        </w:rPr>
        <w:t xml:space="preserve">finaliza </w:t>
      </w:r>
      <w:r>
        <w:rPr>
          <w:rFonts w:cs="Arial"/>
          <w:sz w:val="22"/>
          <w:szCs w:val="22"/>
        </w:rPr>
        <w:t xml:space="preserve">con la determinación de parte del </w:t>
      </w:r>
      <w:r w:rsidR="005114C6">
        <w:rPr>
          <w:rFonts w:cs="Arial"/>
          <w:sz w:val="22"/>
          <w:szCs w:val="22"/>
        </w:rPr>
        <w:t>Gestor del Mercado</w:t>
      </w:r>
      <w:r>
        <w:rPr>
          <w:rFonts w:cs="Arial"/>
          <w:sz w:val="22"/>
          <w:szCs w:val="22"/>
        </w:rPr>
        <w:t xml:space="preserve"> de balances comerciales superavitarios o deficitarios de los siguientes veinte trimestres de suministro y puntos de referencia.</w:t>
      </w:r>
    </w:p>
    <w:p w14:paraId="21419DB0" w14:textId="77777777" w:rsidR="00A91FAC" w:rsidRDefault="00A91FAC" w:rsidP="0028726C">
      <w:pPr>
        <w:rPr>
          <w:rFonts w:cs="Arial"/>
          <w:sz w:val="22"/>
          <w:szCs w:val="22"/>
        </w:rPr>
      </w:pPr>
    </w:p>
    <w:p w14:paraId="1F3705D6" w14:textId="73E78E45" w:rsidR="00A91FAC" w:rsidRPr="0028726C" w:rsidRDefault="00A91FAC" w:rsidP="0028726C">
      <w:pPr>
        <w:rPr>
          <w:rFonts w:cs="Arial"/>
          <w:sz w:val="22"/>
          <w:szCs w:val="22"/>
        </w:rPr>
      </w:pPr>
      <w:r>
        <w:rPr>
          <w:rFonts w:cs="Arial"/>
          <w:sz w:val="22"/>
          <w:szCs w:val="22"/>
        </w:rPr>
        <w:t>En la nueva propuesta se reorganizan en dos artículos separados el proceso de información y el proceso de negociación.</w:t>
      </w:r>
    </w:p>
    <w:p w14:paraId="73B895E8" w14:textId="77777777" w:rsidR="00C53D76" w:rsidRDefault="00C53D76" w:rsidP="0028726C">
      <w:pPr>
        <w:rPr>
          <w:rFonts w:cs="Arial"/>
          <w:sz w:val="22"/>
          <w:szCs w:val="22"/>
        </w:rPr>
      </w:pPr>
    </w:p>
    <w:p w14:paraId="6048CEBD" w14:textId="77777777" w:rsidR="00C53D76" w:rsidRDefault="00C53D76" w:rsidP="0028726C">
      <w:pPr>
        <w:rPr>
          <w:rFonts w:cs="Arial"/>
          <w:sz w:val="22"/>
          <w:szCs w:val="22"/>
        </w:rPr>
      </w:pPr>
    </w:p>
    <w:p w14:paraId="2499EF1C" w14:textId="77777777" w:rsidR="00C53D76" w:rsidRDefault="0028726C" w:rsidP="0090195C">
      <w:pPr>
        <w:pStyle w:val="Ttulo2"/>
      </w:pPr>
      <w:bookmarkStart w:id="798" w:name="_Toc140506433"/>
      <w:r w:rsidRPr="0028726C">
        <w:t>ECOPETROL</w:t>
      </w:r>
      <w:bookmarkEnd w:id="798"/>
      <w:r w:rsidRPr="0028726C">
        <w:tab/>
      </w:r>
    </w:p>
    <w:p w14:paraId="3B128F97" w14:textId="77777777" w:rsidR="00002A82" w:rsidRDefault="00002A82" w:rsidP="000D05A3">
      <w:pPr>
        <w:pStyle w:val="Ttulo4"/>
      </w:pPr>
      <w:r w:rsidRPr="0028726C">
        <w:t>ECOPETROL</w:t>
      </w:r>
      <w:r w:rsidRPr="0028726C">
        <w:tab/>
      </w:r>
    </w:p>
    <w:p w14:paraId="44D0BC88" w14:textId="64301B73" w:rsidR="0028726C" w:rsidRPr="00006F76" w:rsidRDefault="0028726C" w:rsidP="0028726C">
      <w:pPr>
        <w:rPr>
          <w:rFonts w:cs="Arial"/>
          <w:i/>
          <w:iCs/>
          <w:sz w:val="22"/>
          <w:szCs w:val="22"/>
        </w:rPr>
      </w:pPr>
      <w:r w:rsidRPr="0028726C">
        <w:rPr>
          <w:rFonts w:cs="Arial"/>
          <w:sz w:val="22"/>
          <w:szCs w:val="22"/>
        </w:rPr>
        <w:t>"</w:t>
      </w:r>
      <w:r w:rsidRPr="00006F76">
        <w:rPr>
          <w:rFonts w:cs="Arial"/>
          <w:i/>
          <w:iCs/>
          <w:sz w:val="22"/>
          <w:szCs w:val="22"/>
        </w:rPr>
        <w:t>En el parágrafo 2 se propone que las cantidades en firme solo puedan ser actualizadas para las fuentes contempladas en el artículo 19 de la resolución.</w:t>
      </w:r>
    </w:p>
    <w:p w14:paraId="0284184E" w14:textId="77777777" w:rsidR="00006F76" w:rsidRPr="00006F76" w:rsidRDefault="00006F76" w:rsidP="0028726C">
      <w:pPr>
        <w:rPr>
          <w:rFonts w:cs="Arial"/>
          <w:i/>
          <w:iCs/>
          <w:sz w:val="22"/>
          <w:szCs w:val="22"/>
        </w:rPr>
      </w:pPr>
    </w:p>
    <w:p w14:paraId="16DD80F4" w14:textId="77777777" w:rsidR="0028726C" w:rsidRDefault="0028726C" w:rsidP="0028726C">
      <w:pPr>
        <w:rPr>
          <w:rFonts w:cs="Arial"/>
          <w:sz w:val="22"/>
          <w:szCs w:val="22"/>
        </w:rPr>
      </w:pPr>
      <w:r w:rsidRPr="00006F76">
        <w:rPr>
          <w:rFonts w:cs="Arial"/>
          <w:i/>
          <w:iCs/>
          <w:sz w:val="22"/>
          <w:szCs w:val="22"/>
        </w:rPr>
        <w:t>No obstante, en la medida en que se está abriendo la posibilidad para comercializar los excedentes de gas natural durante cada trimestre, se recomienda homogenizar el criterio y permitir las actualizaciones para todos los campos. Es importante anotar que, con la opción de hacer contratos de corto plazo, las PTDVF podrían tener ajustes trimestrales para reflejar las cantidades contratadas y la terminación de acuerdos. Esto no estaría considerado en la propuesta regulatoria planteada por la Comisión</w:t>
      </w:r>
      <w:r w:rsidRPr="0028726C">
        <w:rPr>
          <w:rFonts w:cs="Arial"/>
          <w:sz w:val="22"/>
          <w:szCs w:val="22"/>
        </w:rPr>
        <w:t>."</w:t>
      </w:r>
    </w:p>
    <w:p w14:paraId="76B9084C" w14:textId="77777777" w:rsidR="00006F76" w:rsidRDefault="00006F76" w:rsidP="0028726C">
      <w:pPr>
        <w:rPr>
          <w:rFonts w:cs="Arial"/>
          <w:sz w:val="22"/>
          <w:szCs w:val="22"/>
        </w:rPr>
      </w:pPr>
    </w:p>
    <w:p w14:paraId="5B53C308" w14:textId="5FFF9B87" w:rsidR="00006F76" w:rsidRPr="00006F76" w:rsidRDefault="00006F76" w:rsidP="0028726C">
      <w:pPr>
        <w:rPr>
          <w:rFonts w:cs="Arial"/>
          <w:b/>
          <w:bCs/>
          <w:sz w:val="22"/>
          <w:szCs w:val="22"/>
        </w:rPr>
      </w:pPr>
      <w:r w:rsidRPr="00006F76">
        <w:rPr>
          <w:rFonts w:cs="Arial"/>
          <w:b/>
          <w:bCs/>
          <w:sz w:val="22"/>
          <w:szCs w:val="22"/>
        </w:rPr>
        <w:t>Respuesta:</w:t>
      </w:r>
    </w:p>
    <w:p w14:paraId="1D3E7941" w14:textId="77777777" w:rsidR="00006F76" w:rsidRDefault="00006F76" w:rsidP="0028726C">
      <w:pPr>
        <w:rPr>
          <w:rFonts w:cs="Arial"/>
          <w:sz w:val="22"/>
          <w:szCs w:val="22"/>
        </w:rPr>
      </w:pPr>
    </w:p>
    <w:p w14:paraId="2467C622" w14:textId="4DA9D7DF" w:rsidR="00006F76" w:rsidRDefault="006F22D7" w:rsidP="0028726C">
      <w:pPr>
        <w:rPr>
          <w:rFonts w:cs="Arial"/>
          <w:sz w:val="22"/>
          <w:szCs w:val="22"/>
        </w:rPr>
      </w:pPr>
      <w:r>
        <w:rPr>
          <w:rFonts w:cs="Arial"/>
          <w:sz w:val="22"/>
          <w:szCs w:val="22"/>
        </w:rPr>
        <w:t>Se acoge el comentario.</w:t>
      </w:r>
    </w:p>
    <w:p w14:paraId="1F9C2635" w14:textId="77777777" w:rsidR="006F22D7" w:rsidRDefault="006F22D7" w:rsidP="0028726C">
      <w:pPr>
        <w:rPr>
          <w:rFonts w:cs="Arial"/>
          <w:sz w:val="22"/>
          <w:szCs w:val="22"/>
        </w:rPr>
      </w:pPr>
    </w:p>
    <w:p w14:paraId="771B10EB" w14:textId="31464A1C" w:rsidR="006F22D7" w:rsidRDefault="006F22D7" w:rsidP="0028726C">
      <w:pPr>
        <w:rPr>
          <w:rFonts w:cs="Arial"/>
          <w:sz w:val="22"/>
          <w:szCs w:val="22"/>
        </w:rPr>
      </w:pPr>
      <w:r>
        <w:rPr>
          <w:rFonts w:cs="Arial"/>
          <w:sz w:val="22"/>
          <w:szCs w:val="22"/>
        </w:rPr>
        <w:t xml:space="preserve">En la nueva propuesta todas las fuentes de suministro, sin excepción, podrán actualizar la declaración al </w:t>
      </w:r>
      <w:r w:rsidR="005114C6">
        <w:rPr>
          <w:rFonts w:cs="Arial"/>
          <w:sz w:val="22"/>
          <w:szCs w:val="22"/>
        </w:rPr>
        <w:t>Gestor del Mercado</w:t>
      </w:r>
      <w:r>
        <w:rPr>
          <w:rFonts w:cs="Arial"/>
          <w:sz w:val="22"/>
          <w:szCs w:val="22"/>
        </w:rPr>
        <w:t xml:space="preserve"> de la PTDVF y CIDVF solamente dentro de los plazos establecidos al inicio de cada trimestre de negociación, por lo que ninguna fuente podrá actualizar dicha declaración en plazos diferentes.</w:t>
      </w:r>
    </w:p>
    <w:p w14:paraId="5F5FB128" w14:textId="77777777" w:rsidR="004B08E9" w:rsidRDefault="004B08E9" w:rsidP="0028726C">
      <w:pPr>
        <w:rPr>
          <w:rFonts w:cs="Arial"/>
          <w:sz w:val="22"/>
          <w:szCs w:val="22"/>
        </w:rPr>
      </w:pPr>
    </w:p>
    <w:p w14:paraId="538202CE" w14:textId="3E79A0C9" w:rsidR="004B08E9" w:rsidRPr="0028726C" w:rsidRDefault="004B08E9"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_Ref132191736 \r \h </w:instrText>
      </w:r>
      <w:r>
        <w:rPr>
          <w:rFonts w:cs="Arial"/>
          <w:sz w:val="22"/>
          <w:szCs w:val="22"/>
        </w:rPr>
      </w:r>
      <w:r>
        <w:rPr>
          <w:rFonts w:cs="Arial"/>
          <w:sz w:val="22"/>
          <w:szCs w:val="22"/>
        </w:rPr>
        <w:fldChar w:fldCharType="separate"/>
      </w:r>
      <w:r w:rsidR="007651EA">
        <w:rPr>
          <w:rFonts w:cs="Arial"/>
          <w:sz w:val="22"/>
          <w:szCs w:val="22"/>
        </w:rPr>
        <w:t>19.7.1.7</w:t>
      </w:r>
      <w:r>
        <w:rPr>
          <w:rFonts w:cs="Arial"/>
          <w:sz w:val="22"/>
          <w:szCs w:val="22"/>
        </w:rPr>
        <w:fldChar w:fldCharType="end"/>
      </w:r>
      <w:r>
        <w:rPr>
          <w:rFonts w:cs="Arial"/>
          <w:sz w:val="22"/>
          <w:szCs w:val="22"/>
        </w:rPr>
        <w:t>.</w:t>
      </w:r>
    </w:p>
    <w:p w14:paraId="26D59BA0" w14:textId="77777777" w:rsidR="00C53D76" w:rsidRDefault="00C53D76" w:rsidP="0028726C">
      <w:pPr>
        <w:rPr>
          <w:rFonts w:cs="Arial"/>
          <w:sz w:val="22"/>
          <w:szCs w:val="22"/>
        </w:rPr>
      </w:pPr>
    </w:p>
    <w:p w14:paraId="3FA94D5A" w14:textId="77777777" w:rsidR="00C53D76" w:rsidRDefault="00C53D76" w:rsidP="0028726C">
      <w:pPr>
        <w:rPr>
          <w:rFonts w:cs="Arial"/>
          <w:sz w:val="22"/>
          <w:szCs w:val="22"/>
        </w:rPr>
      </w:pPr>
    </w:p>
    <w:p w14:paraId="460CB12B" w14:textId="77777777" w:rsidR="00C53D76" w:rsidRPr="000D05A3" w:rsidRDefault="0028726C" w:rsidP="000D05A3">
      <w:pPr>
        <w:pStyle w:val="Ttulo4"/>
      </w:pPr>
      <w:r w:rsidRPr="000D05A3">
        <w:t>ECOPETROL</w:t>
      </w:r>
      <w:r w:rsidRPr="000D05A3">
        <w:tab/>
      </w:r>
    </w:p>
    <w:p w14:paraId="4AA8D86C" w14:textId="5D093A41" w:rsidR="0028726C" w:rsidRPr="004B08E9" w:rsidRDefault="0028726C" w:rsidP="0028726C">
      <w:pPr>
        <w:rPr>
          <w:rFonts w:cs="Arial"/>
          <w:i/>
          <w:iCs/>
          <w:sz w:val="22"/>
          <w:szCs w:val="22"/>
        </w:rPr>
      </w:pPr>
      <w:r w:rsidRPr="0028726C">
        <w:rPr>
          <w:rFonts w:cs="Arial"/>
          <w:sz w:val="22"/>
          <w:szCs w:val="22"/>
        </w:rPr>
        <w:t>"</w:t>
      </w:r>
      <w:r w:rsidRPr="004B08E9">
        <w:rPr>
          <w:rFonts w:cs="Arial"/>
          <w:i/>
          <w:iCs/>
          <w:sz w:val="22"/>
          <w:szCs w:val="22"/>
        </w:rPr>
        <w:t>Según lo planteado en el artículo 21, entendemos que el productor, para efectos de las declaraciones asociadas al mecanismo, debe publicar, de manera desagregada por tipo de modalidad, las cantidades con las que cuenta y que puede suscribir en los mecanismos de comercialización establecidos por la CREG. Además, plantea que esto deberá hacerse para un periodo de mínimo 5 y máximo 10 años.</w:t>
      </w:r>
    </w:p>
    <w:p w14:paraId="4A838186" w14:textId="77777777" w:rsidR="0028726C" w:rsidRPr="004B08E9" w:rsidRDefault="0028726C" w:rsidP="0028726C">
      <w:pPr>
        <w:rPr>
          <w:rFonts w:cs="Arial"/>
          <w:i/>
          <w:iCs/>
          <w:sz w:val="22"/>
          <w:szCs w:val="22"/>
        </w:rPr>
      </w:pPr>
    </w:p>
    <w:p w14:paraId="320CC6CD" w14:textId="77777777" w:rsidR="0028726C" w:rsidRPr="0028726C" w:rsidRDefault="0028726C" w:rsidP="0028726C">
      <w:pPr>
        <w:rPr>
          <w:rFonts w:cs="Arial"/>
          <w:sz w:val="22"/>
          <w:szCs w:val="22"/>
        </w:rPr>
      </w:pPr>
      <w:r w:rsidRPr="004B08E9">
        <w:rPr>
          <w:rFonts w:cs="Arial"/>
          <w:i/>
          <w:iCs/>
          <w:sz w:val="22"/>
          <w:szCs w:val="22"/>
        </w:rPr>
        <w:t xml:space="preserve">Al respecto sugerimos: i) no acotar la posibilidad de declaración y eventual suscripción de contratos a 10 años, pues es posible que algunos agentes tengan certidumbre técnica para comercializar el gas natural en un horizonte de tiempo superior a 10 años; y </w:t>
      </w:r>
      <w:proofErr w:type="spellStart"/>
      <w:r w:rsidRPr="004B08E9">
        <w:rPr>
          <w:rFonts w:cs="Arial"/>
          <w:i/>
          <w:iCs/>
          <w:sz w:val="22"/>
          <w:szCs w:val="22"/>
        </w:rPr>
        <w:t>ii</w:t>
      </w:r>
      <w:proofErr w:type="spellEnd"/>
      <w:r w:rsidRPr="004B08E9">
        <w:rPr>
          <w:rFonts w:cs="Arial"/>
          <w:i/>
          <w:iCs/>
          <w:sz w:val="22"/>
          <w:szCs w:val="22"/>
        </w:rPr>
        <w:t>) precisar que dichas declaraciones podrán ser cero, en los casos en los que no se cuente con disponibilidad de gas natural para ofrecer al mercado</w:t>
      </w:r>
      <w:r w:rsidRPr="0028726C">
        <w:rPr>
          <w:rFonts w:cs="Arial"/>
          <w:sz w:val="22"/>
          <w:szCs w:val="22"/>
        </w:rPr>
        <w:t>."</w:t>
      </w:r>
    </w:p>
    <w:p w14:paraId="3EC0D7B1" w14:textId="77777777" w:rsidR="00C53D76" w:rsidRDefault="00C53D76" w:rsidP="0028726C">
      <w:pPr>
        <w:rPr>
          <w:rFonts w:cs="Arial"/>
          <w:sz w:val="22"/>
          <w:szCs w:val="22"/>
        </w:rPr>
      </w:pPr>
    </w:p>
    <w:p w14:paraId="3CD0D3E4" w14:textId="6EE96F1E" w:rsidR="004B08E9" w:rsidRPr="004B08E9" w:rsidRDefault="004B08E9" w:rsidP="0028726C">
      <w:pPr>
        <w:rPr>
          <w:rFonts w:cs="Arial"/>
          <w:b/>
          <w:bCs/>
          <w:sz w:val="22"/>
          <w:szCs w:val="22"/>
        </w:rPr>
      </w:pPr>
      <w:r w:rsidRPr="004B08E9">
        <w:rPr>
          <w:rFonts w:cs="Arial"/>
          <w:b/>
          <w:bCs/>
          <w:sz w:val="22"/>
          <w:szCs w:val="22"/>
        </w:rPr>
        <w:t>Respuesta:</w:t>
      </w:r>
    </w:p>
    <w:p w14:paraId="4733392C" w14:textId="77777777" w:rsidR="004B08E9" w:rsidRDefault="004B08E9" w:rsidP="0028726C">
      <w:pPr>
        <w:rPr>
          <w:rFonts w:cs="Arial"/>
          <w:sz w:val="22"/>
          <w:szCs w:val="22"/>
        </w:rPr>
      </w:pPr>
    </w:p>
    <w:p w14:paraId="163D7C93" w14:textId="5B3FF721" w:rsidR="004B08E9" w:rsidRDefault="004B08E9" w:rsidP="0028726C">
      <w:pPr>
        <w:rPr>
          <w:rFonts w:cs="Arial"/>
          <w:sz w:val="22"/>
          <w:szCs w:val="22"/>
        </w:rPr>
      </w:pPr>
      <w:r>
        <w:rPr>
          <w:rFonts w:cs="Arial"/>
          <w:sz w:val="22"/>
          <w:szCs w:val="22"/>
        </w:rPr>
        <w:t>Se acogen los comentarios.</w:t>
      </w:r>
    </w:p>
    <w:p w14:paraId="3E504E0E" w14:textId="77777777" w:rsidR="004B08E9" w:rsidRDefault="004B08E9" w:rsidP="0028726C">
      <w:pPr>
        <w:rPr>
          <w:rFonts w:cs="Arial"/>
          <w:sz w:val="22"/>
          <w:szCs w:val="22"/>
        </w:rPr>
      </w:pPr>
    </w:p>
    <w:p w14:paraId="1144513A" w14:textId="155AA906" w:rsidR="004B08E9" w:rsidRDefault="004B08E9" w:rsidP="0028726C">
      <w:pPr>
        <w:rPr>
          <w:rFonts w:cs="Arial"/>
          <w:sz w:val="22"/>
          <w:szCs w:val="22"/>
        </w:rPr>
      </w:pPr>
      <w:r>
        <w:rPr>
          <w:rFonts w:cs="Arial"/>
          <w:sz w:val="22"/>
          <w:szCs w:val="22"/>
        </w:rPr>
        <w:t xml:space="preserve">En la nueva propuesta ya no se requiere al vendedor declarar la PTDVF y/o CIDVF bajo alguna modalidad contractual de tipo firme o que garantiza firmeza. Ver respuesta a </w:t>
      </w:r>
      <w:r>
        <w:rPr>
          <w:rFonts w:cs="Arial"/>
          <w:sz w:val="22"/>
          <w:szCs w:val="22"/>
        </w:rPr>
        <w:fldChar w:fldCharType="begin"/>
      </w:r>
      <w:r>
        <w:rPr>
          <w:rFonts w:cs="Arial"/>
          <w:sz w:val="22"/>
          <w:szCs w:val="22"/>
        </w:rPr>
        <w:instrText xml:space="preserve"> REF _Ref132188238 \r \h </w:instrText>
      </w:r>
      <w:r>
        <w:rPr>
          <w:rFonts w:cs="Arial"/>
          <w:sz w:val="22"/>
          <w:szCs w:val="22"/>
        </w:rPr>
      </w:r>
      <w:r>
        <w:rPr>
          <w:rFonts w:cs="Arial"/>
          <w:sz w:val="22"/>
          <w:szCs w:val="22"/>
        </w:rPr>
        <w:fldChar w:fldCharType="separate"/>
      </w:r>
      <w:r w:rsidR="007651EA">
        <w:rPr>
          <w:rFonts w:cs="Arial"/>
          <w:sz w:val="22"/>
          <w:szCs w:val="22"/>
        </w:rPr>
        <w:t>19.7.1.1</w:t>
      </w:r>
      <w:r>
        <w:rPr>
          <w:rFonts w:cs="Arial"/>
          <w:sz w:val="22"/>
          <w:szCs w:val="22"/>
        </w:rPr>
        <w:fldChar w:fldCharType="end"/>
      </w:r>
      <w:r>
        <w:rPr>
          <w:rFonts w:cs="Arial"/>
          <w:sz w:val="22"/>
          <w:szCs w:val="22"/>
        </w:rPr>
        <w:t>.</w:t>
      </w:r>
    </w:p>
    <w:p w14:paraId="1963F9FB" w14:textId="77777777" w:rsidR="004B08E9" w:rsidRDefault="004B08E9" w:rsidP="0028726C">
      <w:pPr>
        <w:rPr>
          <w:rFonts w:cs="Arial"/>
          <w:sz w:val="22"/>
          <w:szCs w:val="22"/>
        </w:rPr>
      </w:pPr>
    </w:p>
    <w:p w14:paraId="6F11F417" w14:textId="13B0D68B" w:rsidR="004B08E9" w:rsidRDefault="004B08E9" w:rsidP="0028726C">
      <w:pPr>
        <w:rPr>
          <w:rFonts w:cs="Arial"/>
          <w:sz w:val="22"/>
          <w:szCs w:val="22"/>
        </w:rPr>
      </w:pPr>
      <w:r>
        <w:rPr>
          <w:rFonts w:cs="Arial"/>
          <w:sz w:val="22"/>
          <w:szCs w:val="22"/>
        </w:rPr>
        <w:t>Por otro lado, sobre la posibilidad de declarar y suscribir contratos de más de 10 años, se debe considerar que las negociaciones del MADE se realizan para contratos de tipo firme o que garantizan firmeza, por lo que es necesario contar con la declaración de producción realizada al MME para cualquier período contratar, que incluye la PTDV. Es competencia del MME modificar el período de declaración de los productores, que actualmente est</w:t>
      </w:r>
      <w:r w:rsidR="009835AE">
        <w:rPr>
          <w:rFonts w:cs="Arial"/>
          <w:sz w:val="22"/>
          <w:szCs w:val="22"/>
        </w:rPr>
        <w:t>á</w:t>
      </w:r>
      <w:r>
        <w:rPr>
          <w:rFonts w:cs="Arial"/>
          <w:sz w:val="22"/>
          <w:szCs w:val="22"/>
        </w:rPr>
        <w:t xml:space="preserve"> establecido </w:t>
      </w:r>
      <w:r w:rsidR="002B1A02">
        <w:rPr>
          <w:rFonts w:cs="Arial"/>
          <w:sz w:val="22"/>
          <w:szCs w:val="22"/>
        </w:rPr>
        <w:t xml:space="preserve">por 10 años </w:t>
      </w:r>
      <w:r>
        <w:rPr>
          <w:rFonts w:cs="Arial"/>
          <w:sz w:val="22"/>
          <w:szCs w:val="22"/>
        </w:rPr>
        <w:t xml:space="preserve">en el </w:t>
      </w:r>
      <w:r w:rsidR="009835AE">
        <w:rPr>
          <w:rFonts w:cs="Arial"/>
          <w:sz w:val="22"/>
          <w:szCs w:val="22"/>
        </w:rPr>
        <w:t>Artículo 2.2.2.2.21 “</w:t>
      </w:r>
      <w:r w:rsidR="009835AE" w:rsidRPr="009835AE">
        <w:rPr>
          <w:rFonts w:cs="Arial"/>
          <w:i/>
          <w:iCs/>
          <w:sz w:val="22"/>
          <w:szCs w:val="22"/>
        </w:rPr>
        <w:t>Declaración de producción</w:t>
      </w:r>
      <w:r w:rsidR="009835AE">
        <w:rPr>
          <w:rFonts w:cs="Arial"/>
          <w:sz w:val="22"/>
          <w:szCs w:val="22"/>
        </w:rPr>
        <w:t xml:space="preserve">” del </w:t>
      </w:r>
      <w:r>
        <w:rPr>
          <w:rFonts w:cs="Arial"/>
          <w:sz w:val="22"/>
          <w:szCs w:val="22"/>
        </w:rPr>
        <w:t xml:space="preserve">Decreto 1073 de 2015. En todo caso, el texto de la nueva propuesta ya no especifica la referencia de 10 años, sino que hace referencia </w:t>
      </w:r>
      <w:r w:rsidR="009835AE" w:rsidRPr="009835AE">
        <w:rPr>
          <w:rFonts w:cs="Arial"/>
          <w:sz w:val="22"/>
          <w:szCs w:val="22"/>
        </w:rPr>
        <w:t>hasta el Trimestre Estándar con el que se cuente con información de PTDV de las declaraciones de producción que se realizan al Ministerio de Minas y Energía</w:t>
      </w:r>
      <w:r w:rsidR="009835AE">
        <w:rPr>
          <w:rFonts w:cs="Arial"/>
          <w:sz w:val="22"/>
          <w:szCs w:val="22"/>
        </w:rPr>
        <w:t>.</w:t>
      </w:r>
    </w:p>
    <w:p w14:paraId="60DE8945" w14:textId="77777777" w:rsidR="004B08E9" w:rsidRDefault="004B08E9" w:rsidP="0028726C">
      <w:pPr>
        <w:rPr>
          <w:rFonts w:cs="Arial"/>
          <w:sz w:val="22"/>
          <w:szCs w:val="22"/>
        </w:rPr>
      </w:pPr>
    </w:p>
    <w:p w14:paraId="7AC30900" w14:textId="41131E6C" w:rsidR="004B08E9" w:rsidRDefault="004B08E9" w:rsidP="0028726C">
      <w:pPr>
        <w:rPr>
          <w:rFonts w:cs="Arial"/>
          <w:sz w:val="22"/>
          <w:szCs w:val="22"/>
        </w:rPr>
      </w:pPr>
      <w:r>
        <w:rPr>
          <w:rFonts w:cs="Arial"/>
          <w:sz w:val="22"/>
          <w:szCs w:val="22"/>
        </w:rPr>
        <w:t xml:space="preserve">Finalmente, respecto de declaraciones en cero de PTDVF ver respuesta a </w:t>
      </w:r>
      <w:r>
        <w:rPr>
          <w:rFonts w:cs="Arial"/>
          <w:sz w:val="22"/>
          <w:szCs w:val="22"/>
        </w:rPr>
        <w:fldChar w:fldCharType="begin"/>
      </w:r>
      <w:r>
        <w:rPr>
          <w:rFonts w:cs="Arial"/>
          <w:sz w:val="22"/>
          <w:szCs w:val="22"/>
        </w:rPr>
        <w:instrText xml:space="preserve"> REF _Ref132191929 \r \h </w:instrText>
      </w:r>
      <w:r>
        <w:rPr>
          <w:rFonts w:cs="Arial"/>
          <w:sz w:val="22"/>
          <w:szCs w:val="22"/>
        </w:rPr>
      </w:r>
      <w:r>
        <w:rPr>
          <w:rFonts w:cs="Arial"/>
          <w:sz w:val="22"/>
          <w:szCs w:val="22"/>
        </w:rPr>
        <w:fldChar w:fldCharType="separate"/>
      </w:r>
      <w:r w:rsidR="007651EA">
        <w:rPr>
          <w:rFonts w:cs="Arial"/>
          <w:sz w:val="22"/>
          <w:szCs w:val="22"/>
        </w:rPr>
        <w:t>19.8.1.5</w:t>
      </w:r>
      <w:r>
        <w:rPr>
          <w:rFonts w:cs="Arial"/>
          <w:sz w:val="22"/>
          <w:szCs w:val="22"/>
        </w:rPr>
        <w:fldChar w:fldCharType="end"/>
      </w:r>
      <w:r>
        <w:rPr>
          <w:rFonts w:cs="Arial"/>
          <w:sz w:val="22"/>
          <w:szCs w:val="22"/>
        </w:rPr>
        <w:t>.</w:t>
      </w:r>
    </w:p>
    <w:p w14:paraId="72CB2F36" w14:textId="77777777" w:rsidR="004B08E9" w:rsidRDefault="004B08E9" w:rsidP="0028726C">
      <w:pPr>
        <w:rPr>
          <w:rFonts w:cs="Arial"/>
          <w:sz w:val="22"/>
          <w:szCs w:val="22"/>
        </w:rPr>
      </w:pPr>
    </w:p>
    <w:p w14:paraId="5C0EF968" w14:textId="77777777" w:rsidR="00C53D76" w:rsidRDefault="00C53D76" w:rsidP="0028726C">
      <w:pPr>
        <w:rPr>
          <w:rFonts w:cs="Arial"/>
          <w:sz w:val="22"/>
          <w:szCs w:val="22"/>
        </w:rPr>
      </w:pPr>
    </w:p>
    <w:p w14:paraId="4B5B247B" w14:textId="77777777" w:rsidR="00C53D76" w:rsidRDefault="0028726C" w:rsidP="000D05A3">
      <w:pPr>
        <w:pStyle w:val="Ttulo4"/>
      </w:pPr>
      <w:bookmarkStart w:id="799" w:name="_Ref132619094"/>
      <w:r w:rsidRPr="0028726C">
        <w:t>ECOPETROL</w:t>
      </w:r>
      <w:bookmarkEnd w:id="799"/>
      <w:r w:rsidRPr="0028726C">
        <w:tab/>
      </w:r>
    </w:p>
    <w:p w14:paraId="2F336723" w14:textId="4582F0C2" w:rsidR="0028726C" w:rsidRPr="00A64340" w:rsidRDefault="0028726C" w:rsidP="0028726C">
      <w:pPr>
        <w:rPr>
          <w:rFonts w:cs="Arial"/>
          <w:i/>
          <w:iCs/>
          <w:sz w:val="22"/>
          <w:szCs w:val="22"/>
        </w:rPr>
      </w:pPr>
      <w:r w:rsidRPr="0028726C">
        <w:rPr>
          <w:rFonts w:cs="Arial"/>
          <w:sz w:val="22"/>
          <w:szCs w:val="22"/>
        </w:rPr>
        <w:t>"</w:t>
      </w:r>
      <w:r w:rsidRPr="00A64340">
        <w:rPr>
          <w:rFonts w:cs="Arial"/>
          <w:i/>
          <w:iCs/>
          <w:sz w:val="22"/>
          <w:szCs w:val="22"/>
        </w:rPr>
        <w:t>En el numeral 2 del literal h) se abre la posibilidad de suscribir contratos con duración de un mes, una vez se haya finalizado el ciclo de negociación que se llevará a cabo en cada uno de los trimestres estándar.</w:t>
      </w:r>
    </w:p>
    <w:p w14:paraId="62087A30" w14:textId="77777777" w:rsidR="0028726C" w:rsidRPr="00A64340" w:rsidRDefault="0028726C" w:rsidP="0028726C">
      <w:pPr>
        <w:rPr>
          <w:rFonts w:cs="Arial"/>
          <w:i/>
          <w:iCs/>
          <w:sz w:val="22"/>
          <w:szCs w:val="22"/>
        </w:rPr>
      </w:pPr>
    </w:p>
    <w:p w14:paraId="7A44606C" w14:textId="77777777" w:rsidR="0028726C" w:rsidRPr="00A64340" w:rsidRDefault="0028726C" w:rsidP="0028726C">
      <w:pPr>
        <w:rPr>
          <w:rFonts w:cs="Arial"/>
          <w:i/>
          <w:iCs/>
          <w:sz w:val="22"/>
          <w:szCs w:val="22"/>
        </w:rPr>
      </w:pPr>
      <w:r w:rsidRPr="00A64340">
        <w:rPr>
          <w:rFonts w:cs="Arial"/>
          <w:i/>
          <w:iCs/>
          <w:sz w:val="22"/>
          <w:szCs w:val="22"/>
        </w:rPr>
        <w:t>A pesar de lo anterior, estos contratos podrán iniciar su vigencia únicamente el trimestre estándar posterior. Es decir, no se plantea en la resolución propuesta la posibilidad de suscribir contratos, y por tanto llevar excedentes al mercado, por medio de contratos de un mes que se suscriban e inicien en un mismo trimestre estándar. En nuestra consideración, esto limitaría la posibilidad de llevar excedentes al mercado y atender necesidades puntuales que tenga la demanda."</w:t>
      </w:r>
    </w:p>
    <w:p w14:paraId="32543EEE" w14:textId="77777777" w:rsidR="00A64340" w:rsidRDefault="00A64340" w:rsidP="0028726C">
      <w:pPr>
        <w:rPr>
          <w:rFonts w:cs="Arial"/>
          <w:sz w:val="22"/>
          <w:szCs w:val="22"/>
        </w:rPr>
      </w:pPr>
    </w:p>
    <w:p w14:paraId="01E3453F" w14:textId="2AA3A3EE" w:rsidR="00A64340" w:rsidRPr="00A64340" w:rsidRDefault="00A64340" w:rsidP="0028726C">
      <w:pPr>
        <w:rPr>
          <w:rFonts w:cs="Arial"/>
          <w:b/>
          <w:bCs/>
          <w:sz w:val="22"/>
          <w:szCs w:val="22"/>
        </w:rPr>
      </w:pPr>
      <w:r w:rsidRPr="00A64340">
        <w:rPr>
          <w:rFonts w:cs="Arial"/>
          <w:b/>
          <w:bCs/>
          <w:sz w:val="22"/>
          <w:szCs w:val="22"/>
        </w:rPr>
        <w:t>Respuesta:</w:t>
      </w:r>
    </w:p>
    <w:p w14:paraId="1539751F" w14:textId="77777777" w:rsidR="00A64340" w:rsidRDefault="00A64340" w:rsidP="0028726C">
      <w:pPr>
        <w:rPr>
          <w:rFonts w:cs="Arial"/>
          <w:sz w:val="22"/>
          <w:szCs w:val="22"/>
        </w:rPr>
      </w:pPr>
    </w:p>
    <w:p w14:paraId="67FAABAE" w14:textId="31A12FF4" w:rsidR="00A64340" w:rsidRDefault="00A64340" w:rsidP="0028726C">
      <w:pPr>
        <w:rPr>
          <w:rFonts w:cs="Arial"/>
          <w:sz w:val="22"/>
          <w:szCs w:val="22"/>
        </w:rPr>
      </w:pPr>
      <w:r>
        <w:rPr>
          <w:rFonts w:cs="Arial"/>
          <w:sz w:val="22"/>
          <w:szCs w:val="22"/>
        </w:rPr>
        <w:t>Se acoge el comentario.</w:t>
      </w:r>
    </w:p>
    <w:p w14:paraId="56C28F60" w14:textId="77777777" w:rsidR="00A64340" w:rsidRDefault="00A64340" w:rsidP="0028726C">
      <w:pPr>
        <w:rPr>
          <w:rFonts w:cs="Arial"/>
          <w:sz w:val="22"/>
          <w:szCs w:val="22"/>
        </w:rPr>
      </w:pPr>
    </w:p>
    <w:p w14:paraId="7591AB63" w14:textId="5C3430E6" w:rsidR="00A64340" w:rsidRPr="0028726C" w:rsidRDefault="00A64340"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_Ref132191736 \r \h </w:instrText>
      </w:r>
      <w:r>
        <w:rPr>
          <w:rFonts w:cs="Arial"/>
          <w:sz w:val="22"/>
          <w:szCs w:val="22"/>
        </w:rPr>
      </w:r>
      <w:r>
        <w:rPr>
          <w:rFonts w:cs="Arial"/>
          <w:sz w:val="22"/>
          <w:szCs w:val="22"/>
        </w:rPr>
        <w:fldChar w:fldCharType="separate"/>
      </w:r>
      <w:r w:rsidR="007651EA">
        <w:rPr>
          <w:rFonts w:cs="Arial"/>
          <w:sz w:val="22"/>
          <w:szCs w:val="22"/>
        </w:rPr>
        <w:t>19.7.1.7</w:t>
      </w:r>
      <w:r>
        <w:rPr>
          <w:rFonts w:cs="Arial"/>
          <w:sz w:val="22"/>
          <w:szCs w:val="22"/>
        </w:rPr>
        <w:fldChar w:fldCharType="end"/>
      </w:r>
      <w:r>
        <w:rPr>
          <w:rFonts w:cs="Arial"/>
          <w:sz w:val="22"/>
          <w:szCs w:val="22"/>
        </w:rPr>
        <w:t>.</w:t>
      </w:r>
    </w:p>
    <w:p w14:paraId="6DAFAB8D" w14:textId="77777777" w:rsidR="00C53D76" w:rsidRDefault="00C53D76" w:rsidP="0028726C">
      <w:pPr>
        <w:rPr>
          <w:rFonts w:cs="Arial"/>
          <w:sz w:val="22"/>
          <w:szCs w:val="22"/>
        </w:rPr>
      </w:pPr>
    </w:p>
    <w:p w14:paraId="6B36CE0C" w14:textId="77777777" w:rsidR="00C53D76" w:rsidRDefault="00C53D76" w:rsidP="0028726C">
      <w:pPr>
        <w:rPr>
          <w:rFonts w:cs="Arial"/>
          <w:sz w:val="22"/>
          <w:szCs w:val="22"/>
        </w:rPr>
      </w:pPr>
    </w:p>
    <w:p w14:paraId="77166992" w14:textId="77777777" w:rsidR="00C53D76" w:rsidRDefault="0028726C" w:rsidP="000D05A3">
      <w:pPr>
        <w:pStyle w:val="Ttulo4"/>
      </w:pPr>
      <w:r w:rsidRPr="0028726C">
        <w:t>ECOPETROL</w:t>
      </w:r>
      <w:r w:rsidRPr="0028726C">
        <w:tab/>
      </w:r>
    </w:p>
    <w:p w14:paraId="2C33F909" w14:textId="4776938A" w:rsidR="0028726C" w:rsidRPr="00A64340" w:rsidRDefault="005D5A4A" w:rsidP="0028726C">
      <w:pPr>
        <w:rPr>
          <w:rFonts w:cs="Arial"/>
          <w:i/>
          <w:iCs/>
          <w:sz w:val="22"/>
          <w:szCs w:val="22"/>
        </w:rPr>
      </w:pPr>
      <w:r>
        <w:rPr>
          <w:rFonts w:cs="Arial"/>
          <w:i/>
          <w:iCs/>
          <w:sz w:val="22"/>
          <w:szCs w:val="22"/>
        </w:rPr>
        <w:t>“</w:t>
      </w:r>
      <w:r w:rsidR="0028726C" w:rsidRPr="00A64340">
        <w:rPr>
          <w:rFonts w:cs="Arial"/>
          <w:i/>
          <w:iCs/>
          <w:sz w:val="22"/>
          <w:szCs w:val="22"/>
        </w:rPr>
        <w:t>Sugerimos que se precise cómo se hará la estimación de los balances por punto de referencia, por parte del Gestor de Mercado, para mayor certidumbre de los agentes del mercado.</w:t>
      </w:r>
      <w:r>
        <w:rPr>
          <w:rFonts w:cs="Arial"/>
          <w:i/>
          <w:iCs/>
          <w:sz w:val="22"/>
          <w:szCs w:val="22"/>
        </w:rPr>
        <w:t>”</w:t>
      </w:r>
    </w:p>
    <w:p w14:paraId="68CE346E" w14:textId="77777777" w:rsidR="00A64340" w:rsidRDefault="00A64340" w:rsidP="0028726C">
      <w:pPr>
        <w:rPr>
          <w:rFonts w:cs="Arial"/>
          <w:sz w:val="22"/>
          <w:szCs w:val="22"/>
        </w:rPr>
      </w:pPr>
    </w:p>
    <w:p w14:paraId="25A1B245" w14:textId="6080BD3E" w:rsidR="00A64340" w:rsidRPr="00A64340" w:rsidRDefault="00A64340" w:rsidP="0028726C">
      <w:pPr>
        <w:rPr>
          <w:rFonts w:cs="Arial"/>
          <w:b/>
          <w:bCs/>
          <w:sz w:val="22"/>
          <w:szCs w:val="22"/>
        </w:rPr>
      </w:pPr>
      <w:r w:rsidRPr="00A64340">
        <w:rPr>
          <w:rFonts w:cs="Arial"/>
          <w:b/>
          <w:bCs/>
          <w:sz w:val="22"/>
          <w:szCs w:val="22"/>
        </w:rPr>
        <w:t>Respuesta:</w:t>
      </w:r>
    </w:p>
    <w:p w14:paraId="1103E47A" w14:textId="77777777" w:rsidR="00A64340" w:rsidRDefault="00A64340" w:rsidP="0028726C">
      <w:pPr>
        <w:rPr>
          <w:rFonts w:cs="Arial"/>
          <w:sz w:val="22"/>
          <w:szCs w:val="22"/>
        </w:rPr>
      </w:pPr>
    </w:p>
    <w:p w14:paraId="647E28E3" w14:textId="70DD9A3A" w:rsidR="00A64340" w:rsidRDefault="00BF686D" w:rsidP="0028726C">
      <w:pPr>
        <w:rPr>
          <w:rFonts w:cs="Arial"/>
          <w:sz w:val="22"/>
          <w:szCs w:val="22"/>
        </w:rPr>
      </w:pPr>
      <w:r>
        <w:rPr>
          <w:rFonts w:cs="Arial"/>
          <w:sz w:val="22"/>
          <w:szCs w:val="22"/>
        </w:rPr>
        <w:t>Se acoge el comentario.</w:t>
      </w:r>
    </w:p>
    <w:p w14:paraId="47171B63" w14:textId="77777777" w:rsidR="00BF686D" w:rsidRDefault="00BF686D" w:rsidP="0028726C">
      <w:pPr>
        <w:rPr>
          <w:rFonts w:cs="Arial"/>
          <w:sz w:val="22"/>
          <w:szCs w:val="22"/>
        </w:rPr>
      </w:pPr>
    </w:p>
    <w:p w14:paraId="140E3012" w14:textId="406272D8" w:rsidR="00BF686D" w:rsidRDefault="00BF686D" w:rsidP="0028726C">
      <w:pPr>
        <w:rPr>
          <w:rFonts w:cs="Arial"/>
          <w:sz w:val="22"/>
          <w:szCs w:val="22"/>
        </w:rPr>
      </w:pPr>
      <w:r>
        <w:rPr>
          <w:rFonts w:cs="Arial"/>
          <w:sz w:val="22"/>
          <w:szCs w:val="22"/>
        </w:rPr>
        <w:t xml:space="preserve">En la nueva propuesta se incluye la descripción de la manera en que se determina el resultado de un balance comercial trimestral. Ver respuesta a </w:t>
      </w:r>
      <w:r>
        <w:rPr>
          <w:rFonts w:cs="Arial"/>
          <w:sz w:val="22"/>
          <w:szCs w:val="22"/>
        </w:rPr>
        <w:fldChar w:fldCharType="begin"/>
      </w:r>
      <w:r>
        <w:rPr>
          <w:rFonts w:cs="Arial"/>
          <w:sz w:val="22"/>
          <w:szCs w:val="22"/>
        </w:rPr>
        <w:instrText xml:space="preserve"> REF _Ref132188238 \r \h </w:instrText>
      </w:r>
      <w:r>
        <w:rPr>
          <w:rFonts w:cs="Arial"/>
          <w:sz w:val="22"/>
          <w:szCs w:val="22"/>
        </w:rPr>
      </w:r>
      <w:r>
        <w:rPr>
          <w:rFonts w:cs="Arial"/>
          <w:sz w:val="22"/>
          <w:szCs w:val="22"/>
        </w:rPr>
        <w:fldChar w:fldCharType="separate"/>
      </w:r>
      <w:r w:rsidR="007651EA">
        <w:rPr>
          <w:rFonts w:cs="Arial"/>
          <w:sz w:val="22"/>
          <w:szCs w:val="22"/>
        </w:rPr>
        <w:t>19.7.1.1</w:t>
      </w:r>
      <w:r>
        <w:rPr>
          <w:rFonts w:cs="Arial"/>
          <w:sz w:val="22"/>
          <w:szCs w:val="22"/>
        </w:rPr>
        <w:fldChar w:fldCharType="end"/>
      </w:r>
      <w:r>
        <w:rPr>
          <w:rFonts w:cs="Arial"/>
          <w:sz w:val="22"/>
          <w:szCs w:val="22"/>
        </w:rPr>
        <w:t>.</w:t>
      </w:r>
    </w:p>
    <w:p w14:paraId="52D0CE32" w14:textId="77777777" w:rsidR="00A64340" w:rsidRPr="0028726C" w:rsidRDefault="00A64340" w:rsidP="0028726C">
      <w:pPr>
        <w:rPr>
          <w:rFonts w:cs="Arial"/>
          <w:sz w:val="22"/>
          <w:szCs w:val="22"/>
        </w:rPr>
      </w:pPr>
    </w:p>
    <w:p w14:paraId="77D6EBA8" w14:textId="77777777" w:rsidR="00C53D76" w:rsidRDefault="00C53D76" w:rsidP="0028726C">
      <w:pPr>
        <w:rPr>
          <w:rFonts w:cs="Arial"/>
          <w:sz w:val="22"/>
          <w:szCs w:val="22"/>
        </w:rPr>
      </w:pPr>
    </w:p>
    <w:p w14:paraId="3C35BC3B" w14:textId="77777777" w:rsidR="00C53D76" w:rsidRDefault="0028726C" w:rsidP="000D05A3">
      <w:pPr>
        <w:pStyle w:val="Ttulo4"/>
      </w:pPr>
      <w:bookmarkStart w:id="800" w:name="_Ref132192810"/>
      <w:r w:rsidRPr="0028726C">
        <w:t>ECOPETROL</w:t>
      </w:r>
      <w:bookmarkEnd w:id="800"/>
      <w:r w:rsidRPr="0028726C">
        <w:tab/>
      </w:r>
    </w:p>
    <w:p w14:paraId="60E59407" w14:textId="76153397" w:rsidR="0028726C" w:rsidRPr="00BF686D" w:rsidRDefault="005D5A4A" w:rsidP="0028726C">
      <w:pPr>
        <w:rPr>
          <w:rFonts w:cs="Arial"/>
          <w:i/>
          <w:iCs/>
          <w:sz w:val="22"/>
          <w:szCs w:val="22"/>
        </w:rPr>
      </w:pPr>
      <w:r>
        <w:rPr>
          <w:rFonts w:cs="Arial"/>
          <w:i/>
          <w:iCs/>
          <w:sz w:val="22"/>
          <w:szCs w:val="22"/>
        </w:rPr>
        <w:t>“</w:t>
      </w:r>
      <w:r w:rsidR="0028726C" w:rsidRPr="00BF686D">
        <w:rPr>
          <w:rFonts w:cs="Arial"/>
          <w:i/>
          <w:iCs/>
          <w:sz w:val="22"/>
          <w:szCs w:val="22"/>
        </w:rPr>
        <w:t>Sugerimos que se realicen ajustes que faciliten la gestión de la demanda, pues tanto los vendedores como los compradores serían pasivos luego de realizar las declaraciones respectivas. Esto en la medida en que no tendrían oportunidad de realizar ajustes, por ejemplo, en las cantidades que estarían interesados en contratar por modalidad, que son acciones que normalmente se realizan en una negociación bilateral.</w:t>
      </w:r>
      <w:r>
        <w:rPr>
          <w:rFonts w:cs="Arial"/>
          <w:i/>
          <w:iCs/>
          <w:sz w:val="22"/>
          <w:szCs w:val="22"/>
        </w:rPr>
        <w:t>”</w:t>
      </w:r>
    </w:p>
    <w:p w14:paraId="29B6B13D" w14:textId="77777777" w:rsidR="00BF686D" w:rsidRDefault="00BF686D" w:rsidP="0028726C">
      <w:pPr>
        <w:rPr>
          <w:rFonts w:cs="Arial"/>
          <w:sz w:val="22"/>
          <w:szCs w:val="22"/>
        </w:rPr>
      </w:pPr>
    </w:p>
    <w:p w14:paraId="63C84898" w14:textId="3676F6DC" w:rsidR="00BF686D" w:rsidRPr="00BF686D" w:rsidRDefault="00BF686D" w:rsidP="0028726C">
      <w:pPr>
        <w:rPr>
          <w:rFonts w:cs="Arial"/>
          <w:b/>
          <w:bCs/>
          <w:sz w:val="22"/>
          <w:szCs w:val="22"/>
        </w:rPr>
      </w:pPr>
      <w:r w:rsidRPr="00BF686D">
        <w:rPr>
          <w:rFonts w:cs="Arial"/>
          <w:b/>
          <w:bCs/>
          <w:sz w:val="22"/>
          <w:szCs w:val="22"/>
        </w:rPr>
        <w:t>Respuesta:</w:t>
      </w:r>
    </w:p>
    <w:p w14:paraId="67FFB5B9" w14:textId="77777777" w:rsidR="00BF686D" w:rsidRDefault="00BF686D" w:rsidP="0028726C">
      <w:pPr>
        <w:rPr>
          <w:rFonts w:cs="Arial"/>
          <w:sz w:val="22"/>
          <w:szCs w:val="22"/>
        </w:rPr>
      </w:pPr>
    </w:p>
    <w:p w14:paraId="7FEC1E01" w14:textId="67492EF9" w:rsidR="00BF686D" w:rsidRDefault="00426203" w:rsidP="0028726C">
      <w:pPr>
        <w:rPr>
          <w:rFonts w:cs="Arial"/>
          <w:sz w:val="22"/>
          <w:szCs w:val="22"/>
        </w:rPr>
      </w:pPr>
      <w:r>
        <w:rPr>
          <w:rFonts w:cs="Arial"/>
          <w:sz w:val="22"/>
          <w:szCs w:val="22"/>
        </w:rPr>
        <w:t>No se acoge el comentario.</w:t>
      </w:r>
    </w:p>
    <w:p w14:paraId="62FDD27E" w14:textId="77777777" w:rsidR="00426203" w:rsidRDefault="00426203" w:rsidP="0028726C">
      <w:pPr>
        <w:rPr>
          <w:rFonts w:cs="Arial"/>
          <w:sz w:val="22"/>
          <w:szCs w:val="22"/>
        </w:rPr>
      </w:pPr>
    </w:p>
    <w:p w14:paraId="774B237F" w14:textId="647C096F" w:rsidR="00426203" w:rsidRDefault="00426203" w:rsidP="0028726C">
      <w:pPr>
        <w:rPr>
          <w:rFonts w:cs="Arial"/>
          <w:sz w:val="22"/>
          <w:szCs w:val="22"/>
        </w:rPr>
      </w:pPr>
      <w:r>
        <w:rPr>
          <w:rFonts w:cs="Arial"/>
          <w:sz w:val="22"/>
          <w:szCs w:val="22"/>
        </w:rPr>
        <w:t xml:space="preserve">Ver numeral </w:t>
      </w:r>
      <w:r w:rsidR="000124E7">
        <w:rPr>
          <w:rFonts w:cs="Arial"/>
          <w:sz w:val="22"/>
          <w:szCs w:val="22"/>
        </w:rPr>
        <w:fldChar w:fldCharType="begin"/>
      </w:r>
      <w:r w:rsidR="000124E7">
        <w:rPr>
          <w:rFonts w:cs="Arial"/>
          <w:sz w:val="22"/>
          <w:szCs w:val="22"/>
        </w:rPr>
        <w:instrText xml:space="preserve"> REF _Ref130304509 \r \h </w:instrText>
      </w:r>
      <w:r w:rsidR="000124E7">
        <w:rPr>
          <w:rFonts w:cs="Arial"/>
          <w:sz w:val="22"/>
          <w:szCs w:val="22"/>
        </w:rPr>
      </w:r>
      <w:r w:rsidR="000124E7">
        <w:rPr>
          <w:rFonts w:cs="Arial"/>
          <w:sz w:val="22"/>
          <w:szCs w:val="22"/>
        </w:rPr>
        <w:fldChar w:fldCharType="separate"/>
      </w:r>
      <w:r w:rsidR="007651EA">
        <w:rPr>
          <w:rFonts w:cs="Arial"/>
          <w:sz w:val="22"/>
          <w:szCs w:val="22"/>
        </w:rPr>
        <w:t>4.11.1</w:t>
      </w:r>
      <w:r w:rsidR="000124E7">
        <w:rPr>
          <w:rFonts w:cs="Arial"/>
          <w:sz w:val="22"/>
          <w:szCs w:val="22"/>
        </w:rPr>
        <w:fldChar w:fldCharType="end"/>
      </w:r>
      <w:r>
        <w:rPr>
          <w:rFonts w:cs="Arial"/>
          <w:sz w:val="22"/>
          <w:szCs w:val="22"/>
        </w:rPr>
        <w:t xml:space="preserve"> y </w:t>
      </w:r>
      <w:r w:rsidR="000124E7">
        <w:rPr>
          <w:rFonts w:cs="Arial"/>
          <w:sz w:val="22"/>
          <w:szCs w:val="22"/>
        </w:rPr>
        <w:t xml:space="preserve">la </w:t>
      </w:r>
      <w:r>
        <w:rPr>
          <w:rFonts w:cs="Arial"/>
          <w:sz w:val="22"/>
          <w:szCs w:val="22"/>
        </w:rPr>
        <w:t xml:space="preserve">respuesta a </w:t>
      </w:r>
      <w:r w:rsidR="004C58D5">
        <w:rPr>
          <w:rFonts w:cs="Arial"/>
          <w:sz w:val="22"/>
          <w:szCs w:val="22"/>
        </w:rPr>
        <w:fldChar w:fldCharType="begin"/>
      </w:r>
      <w:r w:rsidR="004C58D5">
        <w:rPr>
          <w:rFonts w:cs="Arial"/>
          <w:sz w:val="22"/>
          <w:szCs w:val="22"/>
        </w:rPr>
        <w:instrText xml:space="preserve"> REF _Ref132192704 \r \h </w:instrText>
      </w:r>
      <w:r w:rsidR="004C58D5">
        <w:rPr>
          <w:rFonts w:cs="Arial"/>
          <w:sz w:val="22"/>
          <w:szCs w:val="22"/>
        </w:rPr>
      </w:r>
      <w:r w:rsidR="004C58D5">
        <w:rPr>
          <w:rFonts w:cs="Arial"/>
          <w:sz w:val="22"/>
          <w:szCs w:val="22"/>
        </w:rPr>
        <w:fldChar w:fldCharType="separate"/>
      </w:r>
      <w:r w:rsidR="007651EA">
        <w:rPr>
          <w:rFonts w:cs="Arial"/>
          <w:sz w:val="22"/>
          <w:szCs w:val="22"/>
        </w:rPr>
        <w:t>19.4.1.1</w:t>
      </w:r>
      <w:r w:rsidR="004C58D5">
        <w:rPr>
          <w:rFonts w:cs="Arial"/>
          <w:sz w:val="22"/>
          <w:szCs w:val="22"/>
        </w:rPr>
        <w:fldChar w:fldCharType="end"/>
      </w:r>
      <w:r w:rsidR="004C58D5">
        <w:rPr>
          <w:rFonts w:cs="Arial"/>
          <w:sz w:val="22"/>
          <w:szCs w:val="22"/>
        </w:rPr>
        <w:t xml:space="preserve"> y a </w:t>
      </w:r>
      <w:r w:rsidR="004C58D5">
        <w:rPr>
          <w:rFonts w:cs="Arial"/>
          <w:sz w:val="22"/>
          <w:szCs w:val="22"/>
        </w:rPr>
        <w:fldChar w:fldCharType="begin"/>
      </w:r>
      <w:r w:rsidR="004C58D5">
        <w:rPr>
          <w:rFonts w:cs="Arial"/>
          <w:sz w:val="22"/>
          <w:szCs w:val="22"/>
        </w:rPr>
        <w:instrText xml:space="preserve"> REF _Ref132188238 \r \h </w:instrText>
      </w:r>
      <w:r w:rsidR="004C58D5">
        <w:rPr>
          <w:rFonts w:cs="Arial"/>
          <w:sz w:val="22"/>
          <w:szCs w:val="22"/>
        </w:rPr>
      </w:r>
      <w:r w:rsidR="004C58D5">
        <w:rPr>
          <w:rFonts w:cs="Arial"/>
          <w:sz w:val="22"/>
          <w:szCs w:val="22"/>
        </w:rPr>
        <w:fldChar w:fldCharType="separate"/>
      </w:r>
      <w:r w:rsidR="007651EA">
        <w:rPr>
          <w:rFonts w:cs="Arial"/>
          <w:sz w:val="22"/>
          <w:szCs w:val="22"/>
        </w:rPr>
        <w:t>19.7.1.1</w:t>
      </w:r>
      <w:r w:rsidR="004C58D5">
        <w:rPr>
          <w:rFonts w:cs="Arial"/>
          <w:sz w:val="22"/>
          <w:szCs w:val="22"/>
        </w:rPr>
        <w:fldChar w:fldCharType="end"/>
      </w:r>
      <w:r w:rsidR="004C58D5">
        <w:rPr>
          <w:rFonts w:cs="Arial"/>
          <w:sz w:val="22"/>
          <w:szCs w:val="22"/>
        </w:rPr>
        <w:t>.</w:t>
      </w:r>
    </w:p>
    <w:p w14:paraId="04200A92" w14:textId="77777777" w:rsidR="00BF686D" w:rsidRPr="0028726C" w:rsidRDefault="00BF686D" w:rsidP="0028726C">
      <w:pPr>
        <w:rPr>
          <w:rFonts w:cs="Arial"/>
          <w:sz w:val="22"/>
          <w:szCs w:val="22"/>
        </w:rPr>
      </w:pPr>
    </w:p>
    <w:p w14:paraId="5DBFF4AE" w14:textId="77777777" w:rsidR="00C53D76" w:rsidRDefault="00C53D76" w:rsidP="0028726C">
      <w:pPr>
        <w:rPr>
          <w:rFonts w:cs="Arial"/>
          <w:sz w:val="22"/>
          <w:szCs w:val="22"/>
        </w:rPr>
      </w:pPr>
    </w:p>
    <w:p w14:paraId="226E8107" w14:textId="77777777" w:rsidR="00C53D76" w:rsidRDefault="0028726C" w:rsidP="000D05A3">
      <w:pPr>
        <w:pStyle w:val="Ttulo4"/>
      </w:pPr>
      <w:r w:rsidRPr="0028726C">
        <w:t>ECOPETROL</w:t>
      </w:r>
      <w:r w:rsidRPr="0028726C">
        <w:tab/>
      </w:r>
    </w:p>
    <w:p w14:paraId="626CAE80" w14:textId="281AAD13" w:rsidR="0028726C" w:rsidRPr="004C58D5" w:rsidRDefault="0028726C" w:rsidP="0028726C">
      <w:pPr>
        <w:rPr>
          <w:rFonts w:cs="Arial"/>
          <w:i/>
          <w:iCs/>
          <w:sz w:val="22"/>
          <w:szCs w:val="22"/>
        </w:rPr>
      </w:pPr>
      <w:r w:rsidRPr="0028726C">
        <w:rPr>
          <w:rFonts w:cs="Arial"/>
          <w:sz w:val="22"/>
          <w:szCs w:val="22"/>
        </w:rPr>
        <w:t>"</w:t>
      </w:r>
      <w:r w:rsidRPr="004C58D5">
        <w:rPr>
          <w:rFonts w:cs="Arial"/>
          <w:i/>
          <w:iCs/>
          <w:sz w:val="22"/>
          <w:szCs w:val="22"/>
        </w:rPr>
        <w:t xml:space="preserve">Con el fin de anticipar y gestionar posibles déficits en trimestres estándar, </w:t>
      </w:r>
      <w:proofErr w:type="gramStart"/>
      <w:r w:rsidRPr="004C58D5">
        <w:rPr>
          <w:rFonts w:cs="Arial"/>
          <w:i/>
          <w:iCs/>
          <w:sz w:val="22"/>
          <w:szCs w:val="22"/>
        </w:rPr>
        <w:t>especificar</w:t>
      </w:r>
      <w:proofErr w:type="gramEnd"/>
      <w:r w:rsidRPr="004C58D5">
        <w:rPr>
          <w:rFonts w:cs="Arial"/>
          <w:i/>
          <w:iCs/>
          <w:sz w:val="22"/>
          <w:szCs w:val="22"/>
        </w:rPr>
        <w:t xml:space="preserve"> que las estimaciones de los balances se realizarán con suficiente antelación al inicio del trimestre, de tal forma que se permita un espacio posterior a la publicación del balance, y previo al inicio del trimestre estándar, para que los agentes planeen y ejecuten las actividades requeridas para asegurar sus necesidades de suministro y transporte de gas natural.</w:t>
      </w:r>
    </w:p>
    <w:p w14:paraId="7E6F5C28" w14:textId="77777777" w:rsidR="0028726C" w:rsidRPr="004C58D5" w:rsidRDefault="0028726C" w:rsidP="0028726C">
      <w:pPr>
        <w:rPr>
          <w:rFonts w:cs="Arial"/>
          <w:i/>
          <w:iCs/>
          <w:sz w:val="22"/>
          <w:szCs w:val="22"/>
        </w:rPr>
      </w:pPr>
    </w:p>
    <w:p w14:paraId="112F6DCF" w14:textId="77777777" w:rsidR="0028726C" w:rsidRPr="004C58D5" w:rsidRDefault="0028726C" w:rsidP="0028726C">
      <w:pPr>
        <w:rPr>
          <w:rFonts w:cs="Arial"/>
          <w:i/>
          <w:iCs/>
          <w:sz w:val="22"/>
          <w:szCs w:val="22"/>
        </w:rPr>
      </w:pPr>
      <w:r w:rsidRPr="004C58D5">
        <w:rPr>
          <w:rFonts w:cs="Arial"/>
          <w:i/>
          <w:iCs/>
          <w:sz w:val="22"/>
          <w:szCs w:val="22"/>
        </w:rPr>
        <w:t>De manera alternativa al punto anterior, permitir que el inicio de las negociaciones se dé con dos trimestres de anticipación, y en dos etapas: en la primera, habilitar la negociación bilateral; y en la segunda, en caso de que la oferta no sea suficiente para satisfacer las necesidades de la demanda, ejecutar el mecanismo competitivo que se defina."</w:t>
      </w:r>
    </w:p>
    <w:p w14:paraId="3900A489" w14:textId="77777777" w:rsidR="004C58D5" w:rsidRDefault="004C58D5" w:rsidP="0028726C">
      <w:pPr>
        <w:rPr>
          <w:rFonts w:cs="Arial"/>
          <w:sz w:val="22"/>
          <w:szCs w:val="22"/>
        </w:rPr>
      </w:pPr>
    </w:p>
    <w:p w14:paraId="01956F78" w14:textId="15306CC5" w:rsidR="004C58D5" w:rsidRPr="004C58D5" w:rsidRDefault="004C58D5" w:rsidP="0028726C">
      <w:pPr>
        <w:rPr>
          <w:rFonts w:cs="Arial"/>
          <w:b/>
          <w:bCs/>
          <w:sz w:val="22"/>
          <w:szCs w:val="22"/>
        </w:rPr>
      </w:pPr>
      <w:r w:rsidRPr="004C58D5">
        <w:rPr>
          <w:rFonts w:cs="Arial"/>
          <w:b/>
          <w:bCs/>
          <w:sz w:val="22"/>
          <w:szCs w:val="22"/>
        </w:rPr>
        <w:t>Respuesta:</w:t>
      </w:r>
    </w:p>
    <w:p w14:paraId="37A6F59F" w14:textId="77777777" w:rsidR="004C58D5" w:rsidRDefault="004C58D5" w:rsidP="0028726C">
      <w:pPr>
        <w:rPr>
          <w:rFonts w:cs="Arial"/>
          <w:sz w:val="22"/>
          <w:szCs w:val="22"/>
        </w:rPr>
      </w:pPr>
    </w:p>
    <w:p w14:paraId="42D88809" w14:textId="04DD1290" w:rsidR="004C58D5" w:rsidRDefault="00742286"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_Ref132192810 \r \h </w:instrText>
      </w:r>
      <w:r>
        <w:rPr>
          <w:rFonts w:cs="Arial"/>
          <w:sz w:val="22"/>
          <w:szCs w:val="22"/>
        </w:rPr>
      </w:r>
      <w:r>
        <w:rPr>
          <w:rFonts w:cs="Arial"/>
          <w:sz w:val="22"/>
          <w:szCs w:val="22"/>
        </w:rPr>
        <w:fldChar w:fldCharType="separate"/>
      </w:r>
      <w:r w:rsidR="007651EA">
        <w:rPr>
          <w:rFonts w:cs="Arial"/>
          <w:sz w:val="22"/>
          <w:szCs w:val="22"/>
        </w:rPr>
        <w:t>19.9.1.5</w:t>
      </w:r>
      <w:r>
        <w:rPr>
          <w:rFonts w:cs="Arial"/>
          <w:sz w:val="22"/>
          <w:szCs w:val="22"/>
        </w:rPr>
        <w:fldChar w:fldCharType="end"/>
      </w:r>
      <w:r>
        <w:rPr>
          <w:rFonts w:cs="Arial"/>
          <w:sz w:val="22"/>
          <w:szCs w:val="22"/>
        </w:rPr>
        <w:t>.</w:t>
      </w:r>
    </w:p>
    <w:p w14:paraId="7A4BA7AF" w14:textId="77777777" w:rsidR="00742286" w:rsidRPr="0028726C" w:rsidRDefault="00742286" w:rsidP="0028726C">
      <w:pPr>
        <w:rPr>
          <w:rFonts w:cs="Arial"/>
          <w:sz w:val="22"/>
          <w:szCs w:val="22"/>
        </w:rPr>
      </w:pPr>
    </w:p>
    <w:p w14:paraId="5B3864B0" w14:textId="77777777" w:rsidR="00C53D76" w:rsidRDefault="00C53D76" w:rsidP="0028726C">
      <w:pPr>
        <w:rPr>
          <w:rFonts w:cs="Arial"/>
          <w:sz w:val="22"/>
          <w:szCs w:val="22"/>
        </w:rPr>
      </w:pPr>
    </w:p>
    <w:p w14:paraId="29B5890D" w14:textId="77777777" w:rsidR="00C53D76" w:rsidRDefault="0028726C" w:rsidP="000D05A3">
      <w:pPr>
        <w:pStyle w:val="Ttulo4"/>
      </w:pPr>
      <w:bookmarkStart w:id="801" w:name="_Ref132710169"/>
      <w:r w:rsidRPr="0028726C">
        <w:t>ECOPETROL</w:t>
      </w:r>
      <w:bookmarkEnd w:id="801"/>
      <w:r w:rsidRPr="0028726C">
        <w:tab/>
      </w:r>
    </w:p>
    <w:p w14:paraId="63945AAA" w14:textId="0A66F629" w:rsidR="0028726C" w:rsidRPr="00742286" w:rsidRDefault="009D6C51" w:rsidP="0028726C">
      <w:pPr>
        <w:rPr>
          <w:rFonts w:cs="Arial"/>
          <w:i/>
          <w:iCs/>
          <w:sz w:val="22"/>
          <w:szCs w:val="22"/>
        </w:rPr>
      </w:pPr>
      <w:r>
        <w:rPr>
          <w:rFonts w:cs="Arial"/>
          <w:i/>
          <w:iCs/>
          <w:sz w:val="22"/>
          <w:szCs w:val="22"/>
        </w:rPr>
        <w:t>“</w:t>
      </w:r>
      <w:r w:rsidR="0028726C" w:rsidRPr="00742286">
        <w:rPr>
          <w:rFonts w:cs="Arial"/>
          <w:i/>
          <w:iCs/>
          <w:sz w:val="22"/>
          <w:szCs w:val="22"/>
        </w:rPr>
        <w:t>Permitir que las partes seleccionen las modalidades contractuales bajo las cuales se daría la compraventa de las cantidades contratadas, esto es, no fijar las cantidades a ofrecer por modalidad por parte de la oferta y la demanda, de manera previa a la negociación y sin posibilidad de ajustes, pues restaría flexibilidad para que las necesidades de la oferta y la demanda se encuentren.</w:t>
      </w:r>
      <w:r>
        <w:rPr>
          <w:rFonts w:cs="Arial"/>
          <w:i/>
          <w:iCs/>
          <w:sz w:val="22"/>
          <w:szCs w:val="22"/>
        </w:rPr>
        <w:t>”</w:t>
      </w:r>
    </w:p>
    <w:p w14:paraId="4080BB6C" w14:textId="77777777" w:rsidR="00742286" w:rsidRDefault="00742286" w:rsidP="0028726C">
      <w:pPr>
        <w:rPr>
          <w:rFonts w:cs="Arial"/>
          <w:sz w:val="22"/>
          <w:szCs w:val="22"/>
        </w:rPr>
      </w:pPr>
    </w:p>
    <w:p w14:paraId="763977E9" w14:textId="4404EA8B" w:rsidR="00742286" w:rsidRPr="00742286" w:rsidRDefault="00742286" w:rsidP="0028726C">
      <w:pPr>
        <w:rPr>
          <w:rFonts w:cs="Arial"/>
          <w:b/>
          <w:bCs/>
          <w:sz w:val="22"/>
          <w:szCs w:val="22"/>
        </w:rPr>
      </w:pPr>
      <w:r w:rsidRPr="00742286">
        <w:rPr>
          <w:rFonts w:cs="Arial"/>
          <w:b/>
          <w:bCs/>
          <w:sz w:val="22"/>
          <w:szCs w:val="22"/>
        </w:rPr>
        <w:t>Respuesta:</w:t>
      </w:r>
    </w:p>
    <w:p w14:paraId="172BE95F" w14:textId="77777777" w:rsidR="00742286" w:rsidRDefault="00742286" w:rsidP="0028726C">
      <w:pPr>
        <w:rPr>
          <w:rFonts w:cs="Arial"/>
          <w:sz w:val="22"/>
          <w:szCs w:val="22"/>
        </w:rPr>
      </w:pPr>
    </w:p>
    <w:p w14:paraId="67929878" w14:textId="204272BC" w:rsidR="00742286" w:rsidRDefault="00742286" w:rsidP="0028726C">
      <w:pPr>
        <w:rPr>
          <w:rFonts w:cs="Arial"/>
          <w:sz w:val="22"/>
          <w:szCs w:val="22"/>
        </w:rPr>
      </w:pPr>
      <w:r>
        <w:rPr>
          <w:rFonts w:cs="Arial"/>
          <w:sz w:val="22"/>
          <w:szCs w:val="22"/>
        </w:rPr>
        <w:t>Se acoge el comentario.</w:t>
      </w:r>
    </w:p>
    <w:p w14:paraId="7D3EC265" w14:textId="77777777" w:rsidR="00742286" w:rsidRDefault="00742286" w:rsidP="0028726C">
      <w:pPr>
        <w:rPr>
          <w:rFonts w:cs="Arial"/>
          <w:sz w:val="22"/>
          <w:szCs w:val="22"/>
        </w:rPr>
      </w:pPr>
    </w:p>
    <w:p w14:paraId="0C555F1C" w14:textId="3F916086" w:rsidR="00742286" w:rsidRDefault="00742286" w:rsidP="0028726C">
      <w:pPr>
        <w:rPr>
          <w:rFonts w:cs="Arial"/>
          <w:sz w:val="22"/>
          <w:szCs w:val="22"/>
        </w:rPr>
      </w:pPr>
      <w:r>
        <w:rPr>
          <w:rFonts w:cs="Arial"/>
          <w:sz w:val="22"/>
          <w:szCs w:val="22"/>
        </w:rPr>
        <w:t xml:space="preserve">En la nueva propuesta no se requiere fijar cantidades por modalidad contractual en las declaraciones de los vendedores y de los compradores al </w:t>
      </w:r>
      <w:r w:rsidR="005114C6">
        <w:rPr>
          <w:rFonts w:cs="Arial"/>
          <w:sz w:val="22"/>
          <w:szCs w:val="22"/>
        </w:rPr>
        <w:t>Gestor del Mercado</w:t>
      </w:r>
      <w:r>
        <w:rPr>
          <w:rFonts w:cs="Arial"/>
          <w:sz w:val="22"/>
          <w:szCs w:val="22"/>
        </w:rPr>
        <w:t>.</w:t>
      </w:r>
    </w:p>
    <w:p w14:paraId="3E2E73DE" w14:textId="77777777" w:rsidR="00C11BBA" w:rsidRDefault="00C11BBA" w:rsidP="0028726C">
      <w:pPr>
        <w:rPr>
          <w:rFonts w:cs="Arial"/>
          <w:sz w:val="22"/>
          <w:szCs w:val="22"/>
        </w:rPr>
      </w:pPr>
    </w:p>
    <w:p w14:paraId="262ACEC9" w14:textId="77777777" w:rsidR="00C11BBA" w:rsidRDefault="00C11BBA" w:rsidP="00C11BBA">
      <w:pPr>
        <w:rPr>
          <w:rFonts w:cs="Arial"/>
          <w:sz w:val="22"/>
          <w:szCs w:val="22"/>
        </w:rPr>
      </w:pPr>
      <w:r>
        <w:rPr>
          <w:rFonts w:cs="Arial"/>
          <w:sz w:val="22"/>
          <w:szCs w:val="22"/>
        </w:rPr>
        <w:t xml:space="preserve">En caso de ser necesaria la utilización del mecanismo de comercialización de subasta centralizada, cuando se obtiene un balance comercial deficitario, el esquema de subasta que se incluye en la nueva </w:t>
      </w:r>
      <w:proofErr w:type="gramStart"/>
      <w:r>
        <w:rPr>
          <w:rFonts w:cs="Arial"/>
          <w:sz w:val="22"/>
          <w:szCs w:val="22"/>
        </w:rPr>
        <w:t>propuesta,</w:t>
      </w:r>
      <w:proofErr w:type="gramEnd"/>
      <w:r>
        <w:rPr>
          <w:rFonts w:cs="Arial"/>
          <w:sz w:val="22"/>
          <w:szCs w:val="22"/>
        </w:rPr>
        <w:t xml:space="preserve"> sí requerirá la definición del producto que se ofrece (CF95, OCG y CFC) por parte del vendedor.</w:t>
      </w:r>
    </w:p>
    <w:p w14:paraId="1B47B7B7" w14:textId="77777777" w:rsidR="00C53D76" w:rsidRDefault="00C53D76" w:rsidP="0028726C">
      <w:pPr>
        <w:rPr>
          <w:rFonts w:cs="Arial"/>
          <w:sz w:val="22"/>
          <w:szCs w:val="22"/>
        </w:rPr>
      </w:pPr>
    </w:p>
    <w:p w14:paraId="56A299D3" w14:textId="77777777" w:rsidR="00C53D76" w:rsidRDefault="00C53D76" w:rsidP="0028726C">
      <w:pPr>
        <w:rPr>
          <w:rFonts w:cs="Arial"/>
          <w:sz w:val="22"/>
          <w:szCs w:val="22"/>
        </w:rPr>
      </w:pPr>
    </w:p>
    <w:p w14:paraId="4FC13DE3" w14:textId="77777777" w:rsidR="00C53D76" w:rsidRDefault="0028726C" w:rsidP="0090195C">
      <w:pPr>
        <w:pStyle w:val="Ttulo2"/>
      </w:pPr>
      <w:bookmarkStart w:id="802" w:name="_Toc140506434"/>
      <w:r w:rsidRPr="0028726C">
        <w:t>ENERGY FOR THE CARIBBEAN</w:t>
      </w:r>
      <w:bookmarkEnd w:id="802"/>
      <w:r w:rsidRPr="0028726C">
        <w:tab/>
      </w:r>
    </w:p>
    <w:p w14:paraId="691A6B43" w14:textId="77777777" w:rsidR="00002A82" w:rsidRDefault="00002A82" w:rsidP="000D05A3">
      <w:pPr>
        <w:pStyle w:val="Ttulo4"/>
      </w:pPr>
      <w:r w:rsidRPr="0028726C">
        <w:t>ENERGY FOR THE CARIBBEAN</w:t>
      </w:r>
      <w:r w:rsidRPr="0028726C">
        <w:tab/>
      </w:r>
    </w:p>
    <w:p w14:paraId="78CC8C36" w14:textId="272A5723" w:rsidR="0028726C" w:rsidRPr="00C676D0" w:rsidRDefault="0028726C" w:rsidP="0028726C">
      <w:pPr>
        <w:rPr>
          <w:rFonts w:cs="Arial"/>
          <w:i/>
          <w:iCs/>
          <w:sz w:val="22"/>
          <w:szCs w:val="22"/>
        </w:rPr>
      </w:pPr>
      <w:r w:rsidRPr="0028726C">
        <w:rPr>
          <w:rFonts w:cs="Arial"/>
          <w:sz w:val="22"/>
          <w:szCs w:val="22"/>
        </w:rPr>
        <w:t>"</w:t>
      </w:r>
      <w:r w:rsidRPr="00C676D0">
        <w:rPr>
          <w:rFonts w:cs="Arial"/>
          <w:i/>
          <w:iCs/>
          <w:sz w:val="22"/>
          <w:szCs w:val="22"/>
        </w:rPr>
        <w:t>Con la inclusión del aparte sugerido se tendrían en cuenta los objetivos y/o finalidades del Borrador</w:t>
      </w:r>
      <w:r w:rsidR="00C53D76" w:rsidRPr="00C676D0">
        <w:rPr>
          <w:rFonts w:cs="Arial"/>
          <w:i/>
          <w:iCs/>
          <w:sz w:val="22"/>
          <w:szCs w:val="22"/>
        </w:rPr>
        <w:t xml:space="preserve"> </w:t>
      </w:r>
      <w:r w:rsidRPr="00C676D0">
        <w:rPr>
          <w:rFonts w:cs="Arial"/>
          <w:i/>
          <w:iCs/>
          <w:sz w:val="22"/>
          <w:szCs w:val="22"/>
        </w:rPr>
        <w:t>CREG 226 de 2021, por cuanto, asegura el cumplimiento de la demanda esencial que en Colombia es</w:t>
      </w:r>
      <w:r w:rsidR="00C53D76" w:rsidRPr="00C676D0">
        <w:rPr>
          <w:rFonts w:cs="Arial"/>
          <w:i/>
          <w:iCs/>
          <w:sz w:val="22"/>
          <w:szCs w:val="22"/>
        </w:rPr>
        <w:t xml:space="preserve"> </w:t>
      </w:r>
      <w:r w:rsidRPr="00C676D0">
        <w:rPr>
          <w:rFonts w:cs="Arial"/>
          <w:i/>
          <w:iCs/>
          <w:sz w:val="22"/>
          <w:szCs w:val="22"/>
        </w:rPr>
        <w:t>de suma importancia y a su vez, estimula y/o incentiva la exploración de gas nacional e impulsa la</w:t>
      </w:r>
      <w:r w:rsidR="00C53D76" w:rsidRPr="00C676D0">
        <w:rPr>
          <w:rFonts w:cs="Arial"/>
          <w:i/>
          <w:iCs/>
          <w:sz w:val="22"/>
          <w:szCs w:val="22"/>
        </w:rPr>
        <w:t xml:space="preserve"> </w:t>
      </w:r>
      <w:r w:rsidRPr="00C676D0">
        <w:rPr>
          <w:rFonts w:cs="Arial"/>
          <w:i/>
          <w:iCs/>
          <w:sz w:val="22"/>
          <w:szCs w:val="22"/>
        </w:rPr>
        <w:t>inversión en infraestructura de importación de gas.</w:t>
      </w:r>
    </w:p>
    <w:p w14:paraId="010A5BC6" w14:textId="77777777" w:rsidR="00C53D76" w:rsidRPr="00C676D0" w:rsidRDefault="00C53D76" w:rsidP="0028726C">
      <w:pPr>
        <w:rPr>
          <w:rFonts w:cs="Arial"/>
          <w:i/>
          <w:iCs/>
          <w:sz w:val="22"/>
          <w:szCs w:val="22"/>
        </w:rPr>
      </w:pPr>
    </w:p>
    <w:p w14:paraId="23438467" w14:textId="77777777" w:rsidR="00C676D0" w:rsidRDefault="0028726C" w:rsidP="0028726C">
      <w:pPr>
        <w:rPr>
          <w:rFonts w:cs="Arial"/>
          <w:sz w:val="22"/>
          <w:szCs w:val="22"/>
        </w:rPr>
      </w:pPr>
      <w:r w:rsidRPr="00C676D0">
        <w:rPr>
          <w:rFonts w:cs="Arial"/>
          <w:i/>
          <w:iCs/>
          <w:sz w:val="22"/>
          <w:szCs w:val="22"/>
        </w:rPr>
        <w:t>La inclusión sugerida es una posibilidad de progreso para Colombia, no solo en materia de seguridad</w:t>
      </w:r>
      <w:r w:rsidR="00C53D76" w:rsidRPr="00C676D0">
        <w:rPr>
          <w:rFonts w:cs="Arial"/>
          <w:i/>
          <w:iCs/>
          <w:sz w:val="22"/>
          <w:szCs w:val="22"/>
        </w:rPr>
        <w:t xml:space="preserve"> </w:t>
      </w:r>
      <w:r w:rsidRPr="00C676D0">
        <w:rPr>
          <w:rFonts w:cs="Arial"/>
          <w:i/>
          <w:iCs/>
          <w:sz w:val="22"/>
          <w:szCs w:val="22"/>
        </w:rPr>
        <w:t>energética sino también a nivel de desarrollo económico. Aunado a lo anterior, el aseguramiento de un</w:t>
      </w:r>
      <w:r w:rsidR="00C53D76" w:rsidRPr="00C676D0">
        <w:rPr>
          <w:rFonts w:cs="Arial"/>
          <w:i/>
          <w:iCs/>
          <w:sz w:val="22"/>
          <w:szCs w:val="22"/>
        </w:rPr>
        <w:t xml:space="preserve"> </w:t>
      </w:r>
      <w:r w:rsidRPr="00C676D0">
        <w:rPr>
          <w:rFonts w:cs="Arial"/>
          <w:i/>
          <w:iCs/>
          <w:sz w:val="22"/>
          <w:szCs w:val="22"/>
        </w:rPr>
        <w:t>consumo mínimo y el conocimiento certero de que el gas será comercializado en equidad, genera un</w:t>
      </w:r>
      <w:r w:rsidR="00C53D76" w:rsidRPr="00C676D0">
        <w:rPr>
          <w:rFonts w:cs="Arial"/>
          <w:i/>
          <w:iCs/>
          <w:sz w:val="22"/>
          <w:szCs w:val="22"/>
        </w:rPr>
        <w:t xml:space="preserve"> </w:t>
      </w:r>
      <w:r w:rsidRPr="00C676D0">
        <w:rPr>
          <w:rFonts w:cs="Arial"/>
          <w:i/>
          <w:iCs/>
          <w:sz w:val="22"/>
          <w:szCs w:val="22"/>
        </w:rPr>
        <w:t>escenario que posibilita a los agentes para involucrarse en el mercado con total tranquilidad</w:t>
      </w:r>
      <w:r w:rsidRPr="0028726C">
        <w:rPr>
          <w:rFonts w:cs="Arial"/>
          <w:sz w:val="22"/>
          <w:szCs w:val="22"/>
        </w:rPr>
        <w:t>.</w:t>
      </w:r>
    </w:p>
    <w:p w14:paraId="293A1AB7" w14:textId="77777777" w:rsidR="00C676D0" w:rsidRDefault="00C676D0" w:rsidP="0028726C">
      <w:pPr>
        <w:rPr>
          <w:rFonts w:cs="Arial"/>
          <w:sz w:val="22"/>
          <w:szCs w:val="22"/>
        </w:rPr>
      </w:pPr>
    </w:p>
    <w:p w14:paraId="5379A5BF" w14:textId="2932B078" w:rsidR="0028726C" w:rsidRDefault="00C676D0" w:rsidP="00C676D0">
      <w:pPr>
        <w:rPr>
          <w:rFonts w:cs="Arial"/>
          <w:sz w:val="22"/>
          <w:szCs w:val="22"/>
        </w:rPr>
      </w:pPr>
      <w:r w:rsidRPr="00C676D0">
        <w:rPr>
          <w:rFonts w:cs="Arial"/>
          <w:sz w:val="22"/>
          <w:szCs w:val="22"/>
        </w:rPr>
        <w:t xml:space="preserve">(…) </w:t>
      </w:r>
      <w:r w:rsidRPr="00C676D0">
        <w:rPr>
          <w:rFonts w:cs="Arial"/>
          <w:i/>
          <w:iCs/>
          <w:sz w:val="22"/>
          <w:szCs w:val="22"/>
        </w:rPr>
        <w:t>Parágrafo 10. Con la finalidad de asegurar la demanda esencial, a partir del año 2025 y siempre que se cuente con un punto nuevo de abastecimiento de gas importado adicional a la terminal de SPEC, los Participantes del Mercado que atiendan demanda esencial deberán comprar al menos un 50% de su demanda esencial del año inmediato anterior a los vendedores del mercado primario, esto es, productores o importadores. Las cantidades se contratarán en firme por un período mínimo de 5 años y máximo de 10 años a partir del PTDVF y del CIDVF, disponible para la venta.”</w:t>
      </w:r>
      <w:r w:rsidRPr="00C676D0">
        <w:rPr>
          <w:rFonts w:cs="Arial"/>
          <w:sz w:val="22"/>
          <w:szCs w:val="22"/>
        </w:rPr>
        <w:t xml:space="preserve"> </w:t>
      </w:r>
      <w:r w:rsidR="0028726C" w:rsidRPr="0028726C">
        <w:rPr>
          <w:rFonts w:cs="Arial"/>
          <w:sz w:val="22"/>
          <w:szCs w:val="22"/>
        </w:rPr>
        <w:t>"</w:t>
      </w:r>
    </w:p>
    <w:p w14:paraId="0604BD50" w14:textId="77777777" w:rsidR="00C676D0" w:rsidRDefault="00C676D0" w:rsidP="0028726C">
      <w:pPr>
        <w:rPr>
          <w:rFonts w:cs="Arial"/>
          <w:sz w:val="22"/>
          <w:szCs w:val="22"/>
        </w:rPr>
      </w:pPr>
    </w:p>
    <w:p w14:paraId="42367E94" w14:textId="64B1576A" w:rsidR="00C676D0" w:rsidRPr="00C676D0" w:rsidRDefault="00C676D0" w:rsidP="0028726C">
      <w:pPr>
        <w:rPr>
          <w:rFonts w:cs="Arial"/>
          <w:b/>
          <w:bCs/>
          <w:sz w:val="22"/>
          <w:szCs w:val="22"/>
        </w:rPr>
      </w:pPr>
      <w:r w:rsidRPr="00C676D0">
        <w:rPr>
          <w:rFonts w:cs="Arial"/>
          <w:b/>
          <w:bCs/>
          <w:sz w:val="22"/>
          <w:szCs w:val="22"/>
        </w:rPr>
        <w:t>Respuesta:</w:t>
      </w:r>
    </w:p>
    <w:p w14:paraId="21DBB59D" w14:textId="77777777" w:rsidR="00C676D0" w:rsidRDefault="00C676D0" w:rsidP="0028726C">
      <w:pPr>
        <w:rPr>
          <w:rFonts w:cs="Arial"/>
          <w:sz w:val="22"/>
          <w:szCs w:val="22"/>
        </w:rPr>
      </w:pPr>
    </w:p>
    <w:p w14:paraId="1C2CB633" w14:textId="66631233" w:rsidR="00C676D0" w:rsidRDefault="00C676D0" w:rsidP="0028726C">
      <w:pPr>
        <w:rPr>
          <w:rFonts w:cs="Arial"/>
          <w:sz w:val="22"/>
          <w:szCs w:val="22"/>
        </w:rPr>
      </w:pPr>
      <w:r>
        <w:rPr>
          <w:rFonts w:cs="Arial"/>
          <w:sz w:val="22"/>
          <w:szCs w:val="22"/>
        </w:rPr>
        <w:t>No se acoge el comentario.</w:t>
      </w:r>
    </w:p>
    <w:p w14:paraId="4490BDC9" w14:textId="77777777" w:rsidR="00C676D0" w:rsidRDefault="00C676D0" w:rsidP="0028726C">
      <w:pPr>
        <w:rPr>
          <w:rFonts w:cs="Arial"/>
          <w:sz w:val="22"/>
          <w:szCs w:val="22"/>
        </w:rPr>
      </w:pPr>
    </w:p>
    <w:p w14:paraId="2EA88684" w14:textId="1094868F" w:rsidR="00C676D0" w:rsidRPr="0028726C" w:rsidRDefault="00C676D0" w:rsidP="0028726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sidR="007651EA">
        <w:rPr>
          <w:rFonts w:cs="Arial"/>
          <w:sz w:val="22"/>
          <w:szCs w:val="22"/>
        </w:rPr>
        <w:t>4.11.1</w:t>
      </w:r>
      <w:r>
        <w:rPr>
          <w:rFonts w:cs="Arial"/>
          <w:sz w:val="22"/>
          <w:szCs w:val="22"/>
        </w:rPr>
        <w:fldChar w:fldCharType="end"/>
      </w:r>
      <w:r>
        <w:rPr>
          <w:rFonts w:cs="Arial"/>
          <w:sz w:val="22"/>
          <w:szCs w:val="22"/>
        </w:rPr>
        <w:t xml:space="preserve"> y respuesta a </w:t>
      </w:r>
      <w:r>
        <w:rPr>
          <w:rFonts w:cs="Arial"/>
          <w:sz w:val="22"/>
          <w:szCs w:val="22"/>
        </w:rPr>
        <w:fldChar w:fldCharType="begin"/>
      </w:r>
      <w:r>
        <w:rPr>
          <w:rFonts w:cs="Arial"/>
          <w:sz w:val="22"/>
          <w:szCs w:val="22"/>
        </w:rPr>
        <w:instrText xml:space="preserve"> REF _Ref132188238 \r \h </w:instrText>
      </w:r>
      <w:r>
        <w:rPr>
          <w:rFonts w:cs="Arial"/>
          <w:sz w:val="22"/>
          <w:szCs w:val="22"/>
        </w:rPr>
      </w:r>
      <w:r>
        <w:rPr>
          <w:rFonts w:cs="Arial"/>
          <w:sz w:val="22"/>
          <w:szCs w:val="22"/>
        </w:rPr>
        <w:fldChar w:fldCharType="separate"/>
      </w:r>
      <w:r w:rsidR="007651EA">
        <w:rPr>
          <w:rFonts w:cs="Arial"/>
          <w:sz w:val="22"/>
          <w:szCs w:val="22"/>
        </w:rPr>
        <w:t>19.7.1.1</w:t>
      </w:r>
      <w:r>
        <w:rPr>
          <w:rFonts w:cs="Arial"/>
          <w:sz w:val="22"/>
          <w:szCs w:val="22"/>
        </w:rPr>
        <w:fldChar w:fldCharType="end"/>
      </w:r>
      <w:r>
        <w:rPr>
          <w:rFonts w:cs="Arial"/>
          <w:sz w:val="22"/>
          <w:szCs w:val="22"/>
        </w:rPr>
        <w:t>.</w:t>
      </w:r>
    </w:p>
    <w:p w14:paraId="1DF148B5" w14:textId="77777777" w:rsidR="00C53D76" w:rsidRDefault="00C53D76" w:rsidP="0028726C">
      <w:pPr>
        <w:rPr>
          <w:rFonts w:cs="Arial"/>
          <w:sz w:val="22"/>
          <w:szCs w:val="22"/>
        </w:rPr>
      </w:pPr>
    </w:p>
    <w:p w14:paraId="421D7022" w14:textId="77777777" w:rsidR="00C53D76" w:rsidRDefault="00C53D76" w:rsidP="0028726C">
      <w:pPr>
        <w:rPr>
          <w:rFonts w:cs="Arial"/>
          <w:sz w:val="22"/>
          <w:szCs w:val="22"/>
        </w:rPr>
      </w:pPr>
    </w:p>
    <w:p w14:paraId="4FEA5C9E" w14:textId="77777777" w:rsidR="00C53D76" w:rsidRDefault="0028726C" w:rsidP="0090195C">
      <w:pPr>
        <w:pStyle w:val="Ttulo2"/>
      </w:pPr>
      <w:bookmarkStart w:id="803" w:name="_Toc140506435"/>
      <w:r w:rsidRPr="0028726C">
        <w:t>EPM</w:t>
      </w:r>
      <w:bookmarkEnd w:id="803"/>
      <w:r w:rsidRPr="0028726C">
        <w:tab/>
      </w:r>
    </w:p>
    <w:p w14:paraId="33FECF70" w14:textId="77777777" w:rsidR="00002A82" w:rsidRDefault="00002A82" w:rsidP="000D05A3">
      <w:pPr>
        <w:pStyle w:val="Ttulo4"/>
      </w:pPr>
      <w:r w:rsidRPr="0028726C">
        <w:t>EPM</w:t>
      </w:r>
      <w:r w:rsidRPr="0028726C">
        <w:tab/>
      </w:r>
    </w:p>
    <w:p w14:paraId="7CD8679A" w14:textId="7E63A629" w:rsidR="0028726C" w:rsidRPr="00C676D0" w:rsidRDefault="0028726C" w:rsidP="0028726C">
      <w:pPr>
        <w:rPr>
          <w:rFonts w:cs="Arial"/>
          <w:i/>
          <w:iCs/>
          <w:sz w:val="22"/>
          <w:szCs w:val="22"/>
        </w:rPr>
      </w:pPr>
      <w:r w:rsidRPr="0028726C">
        <w:rPr>
          <w:rFonts w:cs="Arial"/>
          <w:sz w:val="22"/>
          <w:szCs w:val="22"/>
        </w:rPr>
        <w:t>"</w:t>
      </w:r>
      <w:r w:rsidRPr="00C676D0">
        <w:rPr>
          <w:rFonts w:cs="Arial"/>
          <w:i/>
          <w:iCs/>
          <w:sz w:val="22"/>
          <w:szCs w:val="22"/>
        </w:rPr>
        <w:t>En la primera parte del mecanismo MADE entendemos que el objetivo de la CREG es que exista una oferta comercial superavitaria en cada punto de referencia del sistema, para permitir la contratación bilateral a la demanda en un trimestre estándar y para ello, se propone que el cociente entre la PTVF/</w:t>
      </w:r>
      <w:proofErr w:type="spellStart"/>
      <w:r w:rsidRPr="00C676D0">
        <w:rPr>
          <w:rFonts w:cs="Arial"/>
          <w:i/>
          <w:iCs/>
          <w:sz w:val="22"/>
          <w:szCs w:val="22"/>
        </w:rPr>
        <w:t>Qs</w:t>
      </w:r>
      <w:proofErr w:type="spellEnd"/>
      <w:r w:rsidRPr="00C676D0">
        <w:rPr>
          <w:rFonts w:cs="Arial"/>
          <w:i/>
          <w:iCs/>
          <w:sz w:val="22"/>
          <w:szCs w:val="22"/>
        </w:rPr>
        <w:t xml:space="preserve">=0.94, donde el numerador es la oferta y el denominador serían las cantidades solicitadas cada trimestre. Esta formulación mencionada en el inciso </w:t>
      </w:r>
      <w:proofErr w:type="spellStart"/>
      <w:r w:rsidRPr="00C676D0">
        <w:rPr>
          <w:rFonts w:cs="Arial"/>
          <w:i/>
          <w:iCs/>
          <w:sz w:val="22"/>
          <w:szCs w:val="22"/>
        </w:rPr>
        <w:t>iii</w:t>
      </w:r>
      <w:proofErr w:type="spellEnd"/>
      <w:r w:rsidRPr="00C676D0">
        <w:rPr>
          <w:rFonts w:cs="Arial"/>
          <w:i/>
          <w:iCs/>
          <w:sz w:val="22"/>
          <w:szCs w:val="22"/>
        </w:rPr>
        <w:t xml:space="preserve">, </w:t>
      </w:r>
      <w:proofErr w:type="spellStart"/>
      <w:r w:rsidRPr="00C676D0">
        <w:rPr>
          <w:rFonts w:cs="Arial"/>
          <w:i/>
          <w:iCs/>
          <w:sz w:val="22"/>
          <w:szCs w:val="22"/>
        </w:rPr>
        <w:t>lit</w:t>
      </w:r>
      <w:proofErr w:type="spellEnd"/>
      <w:r w:rsidRPr="00C676D0">
        <w:rPr>
          <w:rFonts w:cs="Arial"/>
          <w:i/>
          <w:iCs/>
          <w:sz w:val="22"/>
          <w:szCs w:val="22"/>
        </w:rPr>
        <w:t xml:space="preserve"> f numeral 1 del artículo 21 de la propuesta, indicaría que la PTDVF=0.94Qs, con lo cual se estaría diciendo que la oferta solo llegaría a un 94% de las cantidades solicitadas en un trimestre y no, que supere a las cantidades solicitadas en un 6% que es el objetivo planteado en el documento soporte.</w:t>
      </w:r>
    </w:p>
    <w:p w14:paraId="150B6946" w14:textId="77777777" w:rsidR="0028726C" w:rsidRPr="00C676D0" w:rsidRDefault="0028726C" w:rsidP="0028726C">
      <w:pPr>
        <w:rPr>
          <w:rFonts w:cs="Arial"/>
          <w:i/>
          <w:iCs/>
          <w:sz w:val="22"/>
          <w:szCs w:val="22"/>
        </w:rPr>
      </w:pPr>
    </w:p>
    <w:p w14:paraId="71D24C50" w14:textId="7F7C6966" w:rsidR="0028726C" w:rsidRPr="00C676D0" w:rsidRDefault="0028726C" w:rsidP="0028726C">
      <w:pPr>
        <w:rPr>
          <w:rFonts w:cs="Arial"/>
          <w:i/>
          <w:iCs/>
          <w:sz w:val="22"/>
          <w:szCs w:val="22"/>
        </w:rPr>
      </w:pPr>
      <w:r w:rsidRPr="00C676D0">
        <w:rPr>
          <w:rFonts w:cs="Arial"/>
          <w:i/>
          <w:iCs/>
          <w:sz w:val="22"/>
          <w:szCs w:val="22"/>
        </w:rPr>
        <w:t>Para subsanar lo anterior, proponemos revisar dicho cociente con un valor que garantice que en efecto la oferta de cualquier campo en un trimestre determinado siempre sea superior a las cantidades solicitadas. Si dicho valor es un 6%, en todo caso sugerimos reescribir la fórmula así: PTDVF/</w:t>
      </w:r>
      <w:proofErr w:type="spellStart"/>
      <w:r w:rsidRPr="00C676D0">
        <w:rPr>
          <w:rFonts w:cs="Arial"/>
          <w:i/>
          <w:iCs/>
          <w:sz w:val="22"/>
          <w:szCs w:val="22"/>
        </w:rPr>
        <w:t>Qs</w:t>
      </w:r>
      <w:proofErr w:type="spellEnd"/>
      <w:r w:rsidRPr="00C676D0">
        <w:rPr>
          <w:rFonts w:cs="Arial"/>
          <w:i/>
          <w:iCs/>
          <w:sz w:val="22"/>
          <w:szCs w:val="22"/>
        </w:rPr>
        <w:t>=1,06.</w:t>
      </w:r>
      <w:r w:rsidR="00111C83">
        <w:rPr>
          <w:rFonts w:cs="Arial"/>
          <w:i/>
          <w:iCs/>
          <w:sz w:val="22"/>
          <w:szCs w:val="22"/>
        </w:rPr>
        <w:t>”</w:t>
      </w:r>
    </w:p>
    <w:p w14:paraId="2BC68782" w14:textId="77777777" w:rsidR="0028726C" w:rsidRDefault="0028726C" w:rsidP="0028726C">
      <w:pPr>
        <w:rPr>
          <w:rFonts w:cs="Arial"/>
          <w:i/>
          <w:iCs/>
          <w:sz w:val="22"/>
          <w:szCs w:val="22"/>
        </w:rPr>
      </w:pPr>
    </w:p>
    <w:p w14:paraId="3224C752" w14:textId="18D1696B" w:rsidR="00C676D0" w:rsidRPr="00C676D0" w:rsidRDefault="00C676D0" w:rsidP="0028726C">
      <w:pPr>
        <w:rPr>
          <w:rFonts w:cs="Arial"/>
          <w:b/>
          <w:bCs/>
          <w:sz w:val="22"/>
          <w:szCs w:val="22"/>
        </w:rPr>
      </w:pPr>
      <w:r w:rsidRPr="00C676D0">
        <w:rPr>
          <w:rFonts w:cs="Arial"/>
          <w:b/>
          <w:bCs/>
          <w:sz w:val="22"/>
          <w:szCs w:val="22"/>
        </w:rPr>
        <w:t>Respuesta:</w:t>
      </w:r>
    </w:p>
    <w:p w14:paraId="27E133CE" w14:textId="77777777" w:rsidR="00C676D0" w:rsidRDefault="00C676D0" w:rsidP="0028726C">
      <w:pPr>
        <w:rPr>
          <w:rFonts w:cs="Arial"/>
          <w:i/>
          <w:iCs/>
          <w:sz w:val="22"/>
          <w:szCs w:val="22"/>
        </w:rPr>
      </w:pPr>
    </w:p>
    <w:p w14:paraId="1518D54F" w14:textId="3BED9406" w:rsidR="00C676D0" w:rsidRPr="00C676D0" w:rsidRDefault="00C676D0" w:rsidP="0028726C">
      <w:pPr>
        <w:rPr>
          <w:rFonts w:cs="Arial"/>
          <w:sz w:val="22"/>
          <w:szCs w:val="22"/>
        </w:rPr>
      </w:pPr>
      <w:r w:rsidRPr="00C676D0">
        <w:rPr>
          <w:rFonts w:cs="Arial"/>
          <w:sz w:val="22"/>
          <w:szCs w:val="22"/>
        </w:rPr>
        <w:t>No se acoge el comentario.</w:t>
      </w:r>
    </w:p>
    <w:p w14:paraId="5AACB63A" w14:textId="77777777" w:rsidR="00C676D0" w:rsidRPr="00C676D0" w:rsidRDefault="00C676D0" w:rsidP="0028726C">
      <w:pPr>
        <w:rPr>
          <w:rFonts w:cs="Arial"/>
          <w:sz w:val="22"/>
          <w:szCs w:val="22"/>
        </w:rPr>
      </w:pPr>
    </w:p>
    <w:p w14:paraId="2443AFA0" w14:textId="3035F4C4" w:rsidR="00C676D0" w:rsidRPr="00C676D0" w:rsidRDefault="00C676D0" w:rsidP="0028726C">
      <w:pPr>
        <w:rPr>
          <w:rFonts w:cs="Arial"/>
          <w:sz w:val="22"/>
          <w:szCs w:val="22"/>
        </w:rPr>
      </w:pPr>
      <w:r w:rsidRPr="00C676D0">
        <w:rPr>
          <w:rFonts w:cs="Arial"/>
          <w:sz w:val="22"/>
          <w:szCs w:val="22"/>
        </w:rPr>
        <w:t xml:space="preserve">Ver respuesta a </w:t>
      </w:r>
      <w:r>
        <w:rPr>
          <w:rFonts w:cs="Arial"/>
          <w:sz w:val="22"/>
          <w:szCs w:val="22"/>
        </w:rPr>
        <w:fldChar w:fldCharType="begin"/>
      </w:r>
      <w:r>
        <w:rPr>
          <w:rFonts w:cs="Arial"/>
          <w:sz w:val="22"/>
          <w:szCs w:val="22"/>
        </w:rPr>
        <w:instrText xml:space="preserve"> REF _Ref132197558 \r \h </w:instrText>
      </w:r>
      <w:r>
        <w:rPr>
          <w:rFonts w:cs="Arial"/>
          <w:sz w:val="22"/>
          <w:szCs w:val="22"/>
        </w:rPr>
      </w:r>
      <w:r>
        <w:rPr>
          <w:rFonts w:cs="Arial"/>
          <w:sz w:val="22"/>
          <w:szCs w:val="22"/>
        </w:rPr>
        <w:fldChar w:fldCharType="separate"/>
      </w:r>
      <w:r w:rsidR="007651EA">
        <w:rPr>
          <w:rFonts w:cs="Arial"/>
          <w:sz w:val="22"/>
          <w:szCs w:val="22"/>
        </w:rPr>
        <w:t>19.1.1.1</w:t>
      </w:r>
      <w:r>
        <w:rPr>
          <w:rFonts w:cs="Arial"/>
          <w:sz w:val="22"/>
          <w:szCs w:val="22"/>
        </w:rPr>
        <w:fldChar w:fldCharType="end"/>
      </w:r>
      <w:r>
        <w:rPr>
          <w:rFonts w:cs="Arial"/>
          <w:sz w:val="22"/>
          <w:szCs w:val="22"/>
        </w:rPr>
        <w:t>.</w:t>
      </w:r>
    </w:p>
    <w:p w14:paraId="69B8E52F" w14:textId="77777777" w:rsidR="00C676D0" w:rsidRDefault="00C676D0" w:rsidP="0028726C">
      <w:pPr>
        <w:rPr>
          <w:rFonts w:cs="Arial"/>
          <w:i/>
          <w:iCs/>
          <w:sz w:val="22"/>
          <w:szCs w:val="22"/>
        </w:rPr>
      </w:pPr>
    </w:p>
    <w:p w14:paraId="45AF0A76" w14:textId="77777777" w:rsidR="00C676D0" w:rsidRDefault="00C676D0" w:rsidP="0028726C">
      <w:pPr>
        <w:rPr>
          <w:rFonts w:cs="Arial"/>
          <w:i/>
          <w:iCs/>
          <w:sz w:val="22"/>
          <w:szCs w:val="22"/>
        </w:rPr>
      </w:pPr>
    </w:p>
    <w:p w14:paraId="080ECF96" w14:textId="77777777" w:rsidR="00C676D0" w:rsidRDefault="00C676D0" w:rsidP="00C676D0">
      <w:pPr>
        <w:pStyle w:val="Ttulo4"/>
      </w:pPr>
      <w:r w:rsidRPr="0028726C">
        <w:t>EPM</w:t>
      </w:r>
      <w:r w:rsidRPr="0028726C">
        <w:tab/>
      </w:r>
    </w:p>
    <w:p w14:paraId="7A49562C" w14:textId="15DA7D60" w:rsidR="0028726C" w:rsidRDefault="00111C83" w:rsidP="0028726C">
      <w:pPr>
        <w:rPr>
          <w:rFonts w:cs="Arial"/>
          <w:sz w:val="22"/>
          <w:szCs w:val="22"/>
        </w:rPr>
      </w:pPr>
      <w:r>
        <w:rPr>
          <w:rFonts w:cs="Arial"/>
          <w:i/>
          <w:iCs/>
          <w:sz w:val="22"/>
          <w:szCs w:val="22"/>
        </w:rPr>
        <w:t>“</w:t>
      </w:r>
      <w:r w:rsidR="0028726C" w:rsidRPr="00C676D0">
        <w:rPr>
          <w:rFonts w:cs="Arial"/>
          <w:i/>
          <w:iCs/>
          <w:sz w:val="22"/>
          <w:szCs w:val="22"/>
        </w:rPr>
        <w:t>Adicionalmente, sugerimos revisar el potencial de producción por mercado, pues como mínimo durante los próximos 5 años existirán dos mercados separados sin interconexión física, un mercado superavitario en oferta (costa) y otro deficitario (interior) y puede que los valores de referencia separados muestren valores más exigentes para determinar una oferta superavitaria. Lo anterior daría una señal al productor para colocar en un determinado trimestre mayores cantidades de gas de sus reservas 1P y 2P, si su objetivo es permanecer bajo una negociación bilateral durante los próximos 20 trimestres y ayudaría a revelar las verdaderas cantidades que en efecto quiere vender el productor</w:t>
      </w:r>
      <w:r w:rsidR="0028726C" w:rsidRPr="0028726C">
        <w:rPr>
          <w:rFonts w:cs="Arial"/>
          <w:sz w:val="22"/>
          <w:szCs w:val="22"/>
        </w:rPr>
        <w:t>."</w:t>
      </w:r>
    </w:p>
    <w:p w14:paraId="3FDA32F9" w14:textId="77777777" w:rsidR="00C676D0" w:rsidRDefault="00C676D0" w:rsidP="0028726C">
      <w:pPr>
        <w:rPr>
          <w:rFonts w:cs="Arial"/>
          <w:sz w:val="22"/>
          <w:szCs w:val="22"/>
        </w:rPr>
      </w:pPr>
    </w:p>
    <w:p w14:paraId="754CC2D4" w14:textId="0FB4A036" w:rsidR="00C676D0" w:rsidRPr="00C676D0" w:rsidRDefault="00C676D0" w:rsidP="0028726C">
      <w:pPr>
        <w:rPr>
          <w:rFonts w:cs="Arial"/>
          <w:b/>
          <w:bCs/>
          <w:sz w:val="22"/>
          <w:szCs w:val="22"/>
        </w:rPr>
      </w:pPr>
      <w:r w:rsidRPr="00C676D0">
        <w:rPr>
          <w:rFonts w:cs="Arial"/>
          <w:b/>
          <w:bCs/>
          <w:sz w:val="22"/>
          <w:szCs w:val="22"/>
        </w:rPr>
        <w:t>Respuesta:</w:t>
      </w:r>
    </w:p>
    <w:p w14:paraId="14EB9DD4" w14:textId="77777777" w:rsidR="00C676D0" w:rsidRDefault="00C676D0" w:rsidP="0028726C">
      <w:pPr>
        <w:rPr>
          <w:rFonts w:cs="Arial"/>
          <w:sz w:val="22"/>
          <w:szCs w:val="22"/>
        </w:rPr>
      </w:pPr>
    </w:p>
    <w:p w14:paraId="4E08292D" w14:textId="120E21F1" w:rsidR="00C53D76" w:rsidRDefault="00C676D0"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_Ref130533713 \r \h </w:instrText>
      </w:r>
      <w:r>
        <w:rPr>
          <w:rFonts w:cs="Arial"/>
          <w:sz w:val="22"/>
          <w:szCs w:val="22"/>
        </w:rPr>
      </w:r>
      <w:r>
        <w:rPr>
          <w:rFonts w:cs="Arial"/>
          <w:sz w:val="22"/>
          <w:szCs w:val="22"/>
        </w:rPr>
        <w:fldChar w:fldCharType="separate"/>
      </w:r>
      <w:r w:rsidR="007651EA">
        <w:rPr>
          <w:rFonts w:cs="Arial"/>
          <w:sz w:val="22"/>
          <w:szCs w:val="22"/>
        </w:rPr>
        <w:t>4.7.1.3</w:t>
      </w:r>
      <w:r>
        <w:rPr>
          <w:rFonts w:cs="Arial"/>
          <w:sz w:val="22"/>
          <w:szCs w:val="22"/>
        </w:rPr>
        <w:fldChar w:fldCharType="end"/>
      </w:r>
      <w:r>
        <w:rPr>
          <w:rFonts w:cs="Arial"/>
          <w:sz w:val="22"/>
          <w:szCs w:val="22"/>
        </w:rPr>
        <w:t xml:space="preserve">, a </w:t>
      </w:r>
      <w:r>
        <w:rPr>
          <w:rFonts w:cs="Arial"/>
          <w:sz w:val="22"/>
          <w:szCs w:val="22"/>
        </w:rPr>
        <w:fldChar w:fldCharType="begin"/>
      </w:r>
      <w:r>
        <w:rPr>
          <w:rFonts w:cs="Arial"/>
          <w:sz w:val="22"/>
          <w:szCs w:val="22"/>
        </w:rPr>
        <w:instrText xml:space="preserve"> REF _Ref132197558 \r \h </w:instrText>
      </w:r>
      <w:r>
        <w:rPr>
          <w:rFonts w:cs="Arial"/>
          <w:sz w:val="22"/>
          <w:szCs w:val="22"/>
        </w:rPr>
      </w:r>
      <w:r>
        <w:rPr>
          <w:rFonts w:cs="Arial"/>
          <w:sz w:val="22"/>
          <w:szCs w:val="22"/>
        </w:rPr>
        <w:fldChar w:fldCharType="separate"/>
      </w:r>
      <w:r w:rsidR="007651EA">
        <w:rPr>
          <w:rFonts w:cs="Arial"/>
          <w:sz w:val="22"/>
          <w:szCs w:val="22"/>
        </w:rPr>
        <w:t>19.1.1.1</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_Ref132185996 \r \h </w:instrText>
      </w:r>
      <w:r>
        <w:rPr>
          <w:rFonts w:cs="Arial"/>
          <w:sz w:val="22"/>
          <w:szCs w:val="22"/>
        </w:rPr>
      </w:r>
      <w:r>
        <w:rPr>
          <w:rFonts w:cs="Arial"/>
          <w:sz w:val="22"/>
          <w:szCs w:val="22"/>
        </w:rPr>
        <w:fldChar w:fldCharType="separate"/>
      </w:r>
      <w:r w:rsidR="007651EA">
        <w:rPr>
          <w:rFonts w:cs="Arial"/>
          <w:sz w:val="22"/>
          <w:szCs w:val="22"/>
        </w:rPr>
        <w:t>19.2.1.1</w:t>
      </w:r>
      <w:r>
        <w:rPr>
          <w:rFonts w:cs="Arial"/>
          <w:sz w:val="22"/>
          <w:szCs w:val="22"/>
        </w:rPr>
        <w:fldChar w:fldCharType="end"/>
      </w:r>
      <w:r>
        <w:rPr>
          <w:rFonts w:cs="Arial"/>
          <w:sz w:val="22"/>
          <w:szCs w:val="22"/>
        </w:rPr>
        <w:t>.</w:t>
      </w:r>
    </w:p>
    <w:p w14:paraId="75EF4182" w14:textId="77777777" w:rsidR="00C676D0" w:rsidRDefault="00C676D0" w:rsidP="0028726C">
      <w:pPr>
        <w:rPr>
          <w:rFonts w:cs="Arial"/>
          <w:sz w:val="22"/>
          <w:szCs w:val="22"/>
        </w:rPr>
      </w:pPr>
    </w:p>
    <w:p w14:paraId="3981025B" w14:textId="77777777" w:rsidR="00C53D76" w:rsidRDefault="00C53D76" w:rsidP="0028726C">
      <w:pPr>
        <w:rPr>
          <w:rFonts w:cs="Arial"/>
          <w:sz w:val="22"/>
          <w:szCs w:val="22"/>
        </w:rPr>
      </w:pPr>
    </w:p>
    <w:p w14:paraId="41E74AA9" w14:textId="77777777" w:rsidR="00C53D76" w:rsidRDefault="0028726C" w:rsidP="0090195C">
      <w:pPr>
        <w:pStyle w:val="Ttulo2"/>
      </w:pPr>
      <w:bookmarkStart w:id="804" w:name="_Toc140506436"/>
      <w:r w:rsidRPr="0028726C">
        <w:t>GASES DE LA GUAJIRA</w:t>
      </w:r>
      <w:bookmarkEnd w:id="804"/>
      <w:r w:rsidRPr="0028726C">
        <w:tab/>
      </w:r>
    </w:p>
    <w:p w14:paraId="519AB240" w14:textId="77777777" w:rsidR="00002A82" w:rsidRDefault="00002A82" w:rsidP="000D05A3">
      <w:pPr>
        <w:pStyle w:val="Ttulo4"/>
      </w:pPr>
      <w:bookmarkStart w:id="805" w:name="_Ref132289884"/>
      <w:r w:rsidRPr="0028726C">
        <w:t>GASES DE LA GUAJIRA</w:t>
      </w:r>
      <w:bookmarkEnd w:id="805"/>
      <w:r w:rsidRPr="0028726C">
        <w:tab/>
      </w:r>
    </w:p>
    <w:p w14:paraId="6A7BCEEB" w14:textId="5B043BCD" w:rsidR="0028726C" w:rsidRPr="00C676D0" w:rsidRDefault="00264887" w:rsidP="0028726C">
      <w:pPr>
        <w:rPr>
          <w:rFonts w:cs="Arial"/>
          <w:i/>
          <w:iCs/>
          <w:sz w:val="22"/>
          <w:szCs w:val="22"/>
        </w:rPr>
      </w:pPr>
      <w:r>
        <w:rPr>
          <w:rFonts w:cs="Arial"/>
          <w:i/>
          <w:iCs/>
          <w:sz w:val="22"/>
          <w:szCs w:val="22"/>
        </w:rPr>
        <w:t>“</w:t>
      </w:r>
      <w:r w:rsidR="0028726C" w:rsidRPr="00C676D0">
        <w:rPr>
          <w:rFonts w:cs="Arial"/>
          <w:i/>
          <w:iCs/>
          <w:sz w:val="22"/>
          <w:szCs w:val="22"/>
        </w:rPr>
        <w:t>Se pregunta: ¿al que se hace relación, se involucran todos los campos con independencia de su condición?</w:t>
      </w:r>
      <w:r>
        <w:rPr>
          <w:rFonts w:cs="Arial"/>
          <w:i/>
          <w:iCs/>
          <w:sz w:val="22"/>
          <w:szCs w:val="22"/>
        </w:rPr>
        <w:t>”</w:t>
      </w:r>
    </w:p>
    <w:p w14:paraId="045BF631" w14:textId="77777777" w:rsidR="00C676D0" w:rsidRDefault="00C676D0" w:rsidP="0028726C">
      <w:pPr>
        <w:rPr>
          <w:rFonts w:cs="Arial"/>
          <w:sz w:val="22"/>
          <w:szCs w:val="22"/>
        </w:rPr>
      </w:pPr>
    </w:p>
    <w:p w14:paraId="477187D7" w14:textId="5C22161B" w:rsidR="00C676D0" w:rsidRPr="00C676D0" w:rsidRDefault="00C676D0" w:rsidP="0028726C">
      <w:pPr>
        <w:rPr>
          <w:rFonts w:cs="Arial"/>
          <w:b/>
          <w:bCs/>
          <w:sz w:val="22"/>
          <w:szCs w:val="22"/>
        </w:rPr>
      </w:pPr>
      <w:r w:rsidRPr="00C676D0">
        <w:rPr>
          <w:rFonts w:cs="Arial"/>
          <w:b/>
          <w:bCs/>
          <w:sz w:val="22"/>
          <w:szCs w:val="22"/>
        </w:rPr>
        <w:t>Respuesta:</w:t>
      </w:r>
    </w:p>
    <w:p w14:paraId="5E0E800D" w14:textId="77777777" w:rsidR="00C676D0" w:rsidRDefault="00C676D0" w:rsidP="0028726C">
      <w:pPr>
        <w:rPr>
          <w:rFonts w:cs="Arial"/>
          <w:sz w:val="22"/>
          <w:szCs w:val="22"/>
        </w:rPr>
      </w:pPr>
    </w:p>
    <w:p w14:paraId="3441861A" w14:textId="75CBCE22" w:rsidR="00C676D0" w:rsidRDefault="00D92FFC" w:rsidP="0028726C">
      <w:pPr>
        <w:rPr>
          <w:rFonts w:cs="Arial"/>
          <w:sz w:val="22"/>
          <w:szCs w:val="22"/>
        </w:rPr>
      </w:pPr>
      <w:r>
        <w:rPr>
          <w:rFonts w:cs="Arial"/>
          <w:sz w:val="22"/>
          <w:szCs w:val="22"/>
        </w:rPr>
        <w:t xml:space="preserve">La información que se requiere declarar a los vendedores del Mercado Primario corresponde a todas las fuentes de suministro, sin excepción ninguna. en la nueva propuesta se menciona lo anterior para que no haya cabida a dudas al respecto. Ver numeral </w:t>
      </w:r>
      <w:r>
        <w:rPr>
          <w:rFonts w:cs="Arial"/>
          <w:sz w:val="22"/>
          <w:szCs w:val="22"/>
        </w:rPr>
        <w:fldChar w:fldCharType="begin"/>
      </w:r>
      <w:r>
        <w:rPr>
          <w:rFonts w:cs="Arial"/>
          <w:sz w:val="22"/>
          <w:szCs w:val="22"/>
        </w:rPr>
        <w:instrText xml:space="preserve"> REF _Ref130808646 \r \h </w:instrText>
      </w:r>
      <w:r>
        <w:rPr>
          <w:rFonts w:cs="Arial"/>
          <w:sz w:val="22"/>
          <w:szCs w:val="22"/>
        </w:rPr>
      </w:r>
      <w:r>
        <w:rPr>
          <w:rFonts w:cs="Arial"/>
          <w:sz w:val="22"/>
          <w:szCs w:val="22"/>
        </w:rPr>
        <w:fldChar w:fldCharType="separate"/>
      </w:r>
      <w:r w:rsidR="007651EA">
        <w:rPr>
          <w:rFonts w:cs="Arial"/>
          <w:sz w:val="22"/>
          <w:szCs w:val="22"/>
        </w:rPr>
        <w:t>4.10</w:t>
      </w:r>
      <w:r>
        <w:rPr>
          <w:rFonts w:cs="Arial"/>
          <w:sz w:val="22"/>
          <w:szCs w:val="22"/>
        </w:rPr>
        <w:fldChar w:fldCharType="end"/>
      </w:r>
      <w:r>
        <w:rPr>
          <w:rFonts w:cs="Arial"/>
          <w:sz w:val="22"/>
          <w:szCs w:val="22"/>
        </w:rPr>
        <w:t xml:space="preserve">. </w:t>
      </w:r>
    </w:p>
    <w:p w14:paraId="32FCFBD6" w14:textId="77777777" w:rsidR="00C676D0" w:rsidRPr="0028726C" w:rsidRDefault="00C676D0" w:rsidP="0028726C">
      <w:pPr>
        <w:rPr>
          <w:rFonts w:cs="Arial"/>
          <w:sz w:val="22"/>
          <w:szCs w:val="22"/>
        </w:rPr>
      </w:pPr>
    </w:p>
    <w:p w14:paraId="5B4A2688" w14:textId="77777777" w:rsidR="00C53D76" w:rsidRDefault="00C53D76" w:rsidP="0028726C">
      <w:pPr>
        <w:rPr>
          <w:rFonts w:cs="Arial"/>
          <w:sz w:val="22"/>
          <w:szCs w:val="22"/>
        </w:rPr>
      </w:pPr>
    </w:p>
    <w:p w14:paraId="67B29357" w14:textId="77777777" w:rsidR="00C53D76" w:rsidRDefault="0028726C" w:rsidP="000D05A3">
      <w:pPr>
        <w:pStyle w:val="Ttulo4"/>
      </w:pPr>
      <w:bookmarkStart w:id="806" w:name="_Ref132289923"/>
      <w:r w:rsidRPr="0028726C">
        <w:t>GASES DE LA GUAJIRA</w:t>
      </w:r>
      <w:bookmarkEnd w:id="806"/>
      <w:r w:rsidRPr="0028726C">
        <w:tab/>
      </w:r>
    </w:p>
    <w:p w14:paraId="2ABDEDCE" w14:textId="68472225" w:rsidR="0028726C" w:rsidRPr="00D92FFC" w:rsidRDefault="00264887" w:rsidP="0028726C">
      <w:pPr>
        <w:rPr>
          <w:rFonts w:cs="Arial"/>
          <w:i/>
          <w:iCs/>
          <w:sz w:val="22"/>
          <w:szCs w:val="22"/>
        </w:rPr>
      </w:pPr>
      <w:r>
        <w:rPr>
          <w:rFonts w:cs="Arial"/>
          <w:i/>
          <w:iCs/>
          <w:sz w:val="22"/>
          <w:szCs w:val="22"/>
        </w:rPr>
        <w:t>“</w:t>
      </w:r>
      <w:r w:rsidR="0028726C" w:rsidRPr="00D92FFC">
        <w:rPr>
          <w:rFonts w:cs="Arial"/>
          <w:i/>
          <w:iCs/>
          <w:sz w:val="22"/>
          <w:szCs w:val="22"/>
        </w:rPr>
        <w:t>En consideración a que para este momento todos los productores e importadores tuvieron que haber hecho la declaración ante el ministerio de la PTDVF y de la CIDVF, abrir la oportunidad para una declaración distinta, permitiría que las cantidades fueran diferentes. Esto debe ser regulado de manera más estricta por el regulador, de manera tal que no se abra una posibilidad para que los volúmenes de venta de gas se afecten respecto de lo que se declaró frente al mercado</w:t>
      </w:r>
      <w:r w:rsidR="00D92FFC" w:rsidRPr="00D92FFC">
        <w:rPr>
          <w:rFonts w:cs="Arial"/>
          <w:i/>
          <w:iCs/>
          <w:sz w:val="22"/>
          <w:szCs w:val="22"/>
        </w:rPr>
        <w:t>.</w:t>
      </w:r>
      <w:r>
        <w:rPr>
          <w:rFonts w:cs="Arial"/>
          <w:i/>
          <w:iCs/>
          <w:sz w:val="22"/>
          <w:szCs w:val="22"/>
        </w:rPr>
        <w:t>”</w:t>
      </w:r>
    </w:p>
    <w:p w14:paraId="6B2B2F1E" w14:textId="77777777" w:rsidR="00D92FFC" w:rsidRDefault="00D92FFC" w:rsidP="0028726C">
      <w:pPr>
        <w:rPr>
          <w:rFonts w:cs="Arial"/>
          <w:sz w:val="22"/>
          <w:szCs w:val="22"/>
        </w:rPr>
      </w:pPr>
    </w:p>
    <w:p w14:paraId="2025E9AD" w14:textId="7EC272F7" w:rsidR="00D92FFC" w:rsidRPr="00D92FFC" w:rsidRDefault="00D92FFC" w:rsidP="0028726C">
      <w:pPr>
        <w:rPr>
          <w:rFonts w:cs="Arial"/>
          <w:b/>
          <w:bCs/>
          <w:sz w:val="22"/>
          <w:szCs w:val="22"/>
        </w:rPr>
      </w:pPr>
      <w:r w:rsidRPr="00D92FFC">
        <w:rPr>
          <w:rFonts w:cs="Arial"/>
          <w:b/>
          <w:bCs/>
          <w:sz w:val="22"/>
          <w:szCs w:val="22"/>
        </w:rPr>
        <w:t>Respuesta:</w:t>
      </w:r>
    </w:p>
    <w:p w14:paraId="0915CE06" w14:textId="77777777" w:rsidR="00D92FFC" w:rsidRDefault="00D92FFC" w:rsidP="0028726C">
      <w:pPr>
        <w:rPr>
          <w:rFonts w:cs="Arial"/>
          <w:sz w:val="22"/>
          <w:szCs w:val="22"/>
        </w:rPr>
      </w:pPr>
    </w:p>
    <w:p w14:paraId="617FCC03" w14:textId="26F7619E" w:rsidR="00D92FFC" w:rsidRDefault="00D92FFC" w:rsidP="0028726C">
      <w:pPr>
        <w:rPr>
          <w:rFonts w:cs="Arial"/>
          <w:sz w:val="22"/>
          <w:szCs w:val="22"/>
        </w:rPr>
      </w:pPr>
      <w:r>
        <w:rPr>
          <w:rFonts w:cs="Arial"/>
          <w:sz w:val="22"/>
          <w:szCs w:val="22"/>
        </w:rPr>
        <w:t>Las cantidades que los vendedores del Mercado Primario deben declarar al Gestor del Mercado de PTDVF y/o CIDVF deben cumplir con varias condiciones que se mencionan en la propuesta, siendo una de ellas ya actualmente exigible que es que la cantidad declarada al MME de PTDV/CIDV debe ser igual o superior a la cantidad PTDVF/CIDVF para una misma fuente de suministro, para un mismo período mensual.</w:t>
      </w:r>
    </w:p>
    <w:p w14:paraId="2DC47215" w14:textId="77777777" w:rsidR="00D92FFC" w:rsidRDefault="00D92FFC" w:rsidP="0028726C">
      <w:pPr>
        <w:rPr>
          <w:rFonts w:cs="Arial"/>
          <w:sz w:val="22"/>
          <w:szCs w:val="22"/>
        </w:rPr>
      </w:pPr>
    </w:p>
    <w:p w14:paraId="51F41783" w14:textId="4F8E07E7" w:rsidR="00D92FFC" w:rsidRDefault="00D92FFC" w:rsidP="0028726C">
      <w:pPr>
        <w:rPr>
          <w:rFonts w:cs="Arial"/>
          <w:sz w:val="22"/>
          <w:szCs w:val="22"/>
        </w:rPr>
      </w:pPr>
      <w:r>
        <w:rPr>
          <w:rFonts w:cs="Arial"/>
          <w:sz w:val="22"/>
          <w:szCs w:val="22"/>
        </w:rPr>
        <w:t>Ver respuesta a</w:t>
      </w:r>
      <w:r w:rsidR="000A3567">
        <w:rPr>
          <w:rFonts w:cs="Arial"/>
          <w:sz w:val="22"/>
          <w:szCs w:val="22"/>
        </w:rPr>
        <w:t xml:space="preserve"> </w:t>
      </w:r>
      <w:r w:rsidR="000A3567">
        <w:rPr>
          <w:rFonts w:cs="Arial"/>
          <w:sz w:val="22"/>
          <w:szCs w:val="22"/>
        </w:rPr>
        <w:fldChar w:fldCharType="begin"/>
      </w:r>
      <w:r w:rsidR="000A3567">
        <w:rPr>
          <w:rFonts w:cs="Arial"/>
          <w:sz w:val="22"/>
          <w:szCs w:val="22"/>
        </w:rPr>
        <w:instrText xml:space="preserve"> REF _Ref132198575 \r \h </w:instrText>
      </w:r>
      <w:r w:rsidR="000A3567">
        <w:rPr>
          <w:rFonts w:cs="Arial"/>
          <w:sz w:val="22"/>
          <w:szCs w:val="22"/>
        </w:rPr>
      </w:r>
      <w:r w:rsidR="000A3567">
        <w:rPr>
          <w:rFonts w:cs="Arial"/>
          <w:sz w:val="22"/>
          <w:szCs w:val="22"/>
        </w:rPr>
        <w:fldChar w:fldCharType="separate"/>
      </w:r>
      <w:r w:rsidR="007651EA">
        <w:rPr>
          <w:rFonts w:cs="Arial"/>
          <w:sz w:val="22"/>
          <w:szCs w:val="22"/>
        </w:rPr>
        <w:t>19.4.1.2</w:t>
      </w:r>
      <w:r w:rsidR="000A3567">
        <w:rPr>
          <w:rFonts w:cs="Arial"/>
          <w:sz w:val="22"/>
          <w:szCs w:val="22"/>
        </w:rPr>
        <w:fldChar w:fldCharType="end"/>
      </w:r>
      <w:r w:rsidR="000A3567">
        <w:rPr>
          <w:rFonts w:cs="Arial"/>
          <w:sz w:val="22"/>
          <w:szCs w:val="22"/>
        </w:rPr>
        <w:t>, a</w:t>
      </w:r>
      <w:r>
        <w:rPr>
          <w:rFonts w:cs="Arial"/>
          <w:sz w:val="22"/>
          <w:szCs w:val="22"/>
        </w:rPr>
        <w:t xml:space="preserve"> </w:t>
      </w:r>
      <w:r w:rsidR="00CB72E7">
        <w:rPr>
          <w:rFonts w:cs="Arial"/>
          <w:sz w:val="22"/>
          <w:szCs w:val="22"/>
        </w:rPr>
        <w:fldChar w:fldCharType="begin"/>
      </w:r>
      <w:r w:rsidR="00CB72E7">
        <w:rPr>
          <w:rFonts w:cs="Arial"/>
          <w:sz w:val="22"/>
          <w:szCs w:val="22"/>
        </w:rPr>
        <w:instrText xml:space="preserve"> REF _Ref132198348 \r \h </w:instrText>
      </w:r>
      <w:r w:rsidR="00CB72E7">
        <w:rPr>
          <w:rFonts w:cs="Arial"/>
          <w:sz w:val="22"/>
          <w:szCs w:val="22"/>
        </w:rPr>
      </w:r>
      <w:r w:rsidR="00CB72E7">
        <w:rPr>
          <w:rFonts w:cs="Arial"/>
          <w:sz w:val="22"/>
          <w:szCs w:val="22"/>
        </w:rPr>
        <w:fldChar w:fldCharType="separate"/>
      </w:r>
      <w:r w:rsidR="007651EA">
        <w:rPr>
          <w:rFonts w:cs="Arial"/>
          <w:sz w:val="22"/>
          <w:szCs w:val="22"/>
        </w:rPr>
        <w:t>19.7.1.4</w:t>
      </w:r>
      <w:r w:rsidR="00CB72E7">
        <w:rPr>
          <w:rFonts w:cs="Arial"/>
          <w:sz w:val="22"/>
          <w:szCs w:val="22"/>
        </w:rPr>
        <w:fldChar w:fldCharType="end"/>
      </w:r>
      <w:r w:rsidR="00CB72E7">
        <w:rPr>
          <w:rFonts w:cs="Arial"/>
          <w:sz w:val="22"/>
          <w:szCs w:val="22"/>
        </w:rPr>
        <w:t xml:space="preserve"> y a </w:t>
      </w:r>
      <w:r w:rsidR="00CB72E7">
        <w:rPr>
          <w:rFonts w:cs="Arial"/>
          <w:sz w:val="22"/>
          <w:szCs w:val="22"/>
        </w:rPr>
        <w:fldChar w:fldCharType="begin"/>
      </w:r>
      <w:r w:rsidR="00CB72E7">
        <w:rPr>
          <w:rFonts w:cs="Arial"/>
          <w:sz w:val="22"/>
          <w:szCs w:val="22"/>
        </w:rPr>
        <w:instrText xml:space="preserve"> REF _Ref132198414 \r \h </w:instrText>
      </w:r>
      <w:r w:rsidR="00CB72E7">
        <w:rPr>
          <w:rFonts w:cs="Arial"/>
          <w:sz w:val="22"/>
          <w:szCs w:val="22"/>
        </w:rPr>
      </w:r>
      <w:r w:rsidR="00CB72E7">
        <w:rPr>
          <w:rFonts w:cs="Arial"/>
          <w:sz w:val="22"/>
          <w:szCs w:val="22"/>
        </w:rPr>
        <w:fldChar w:fldCharType="separate"/>
      </w:r>
      <w:r w:rsidR="007651EA">
        <w:rPr>
          <w:rFonts w:cs="Arial"/>
          <w:sz w:val="22"/>
          <w:szCs w:val="22"/>
        </w:rPr>
        <w:t>19.8.1.10</w:t>
      </w:r>
      <w:r w:rsidR="00CB72E7">
        <w:rPr>
          <w:rFonts w:cs="Arial"/>
          <w:sz w:val="22"/>
          <w:szCs w:val="22"/>
        </w:rPr>
        <w:fldChar w:fldCharType="end"/>
      </w:r>
      <w:r w:rsidR="00CB72E7">
        <w:rPr>
          <w:rFonts w:cs="Arial"/>
          <w:sz w:val="22"/>
          <w:szCs w:val="22"/>
        </w:rPr>
        <w:t>.</w:t>
      </w:r>
    </w:p>
    <w:p w14:paraId="0C5E1318" w14:textId="77777777" w:rsidR="00D92FFC" w:rsidRPr="0028726C" w:rsidRDefault="00D92FFC" w:rsidP="0028726C">
      <w:pPr>
        <w:rPr>
          <w:rFonts w:cs="Arial"/>
          <w:sz w:val="22"/>
          <w:szCs w:val="22"/>
        </w:rPr>
      </w:pPr>
    </w:p>
    <w:p w14:paraId="19C1EBAA" w14:textId="77777777" w:rsidR="00C53D76" w:rsidRDefault="00C53D76" w:rsidP="0028726C">
      <w:pPr>
        <w:rPr>
          <w:rFonts w:cs="Arial"/>
          <w:sz w:val="22"/>
          <w:szCs w:val="22"/>
        </w:rPr>
      </w:pPr>
    </w:p>
    <w:p w14:paraId="5D23174B" w14:textId="77777777" w:rsidR="00C53D76" w:rsidRDefault="0028726C" w:rsidP="000D05A3">
      <w:pPr>
        <w:pStyle w:val="Ttulo4"/>
      </w:pPr>
      <w:bookmarkStart w:id="807" w:name="_Ref132289969"/>
      <w:r w:rsidRPr="0028726C">
        <w:t>GASES DE LA GUAJIRA</w:t>
      </w:r>
      <w:bookmarkEnd w:id="807"/>
      <w:r w:rsidRPr="0028726C">
        <w:tab/>
      </w:r>
    </w:p>
    <w:p w14:paraId="5358C8E8" w14:textId="3F7A97EC" w:rsidR="0028726C" w:rsidRPr="000A3567" w:rsidRDefault="0028726C" w:rsidP="0028726C">
      <w:pPr>
        <w:rPr>
          <w:rFonts w:cs="Arial"/>
          <w:i/>
          <w:iCs/>
          <w:sz w:val="22"/>
          <w:szCs w:val="22"/>
        </w:rPr>
      </w:pPr>
      <w:r w:rsidRPr="0028726C">
        <w:rPr>
          <w:rFonts w:cs="Arial"/>
          <w:sz w:val="22"/>
          <w:szCs w:val="22"/>
        </w:rPr>
        <w:t>"</w:t>
      </w:r>
      <w:r w:rsidRPr="000A3567">
        <w:rPr>
          <w:rFonts w:cs="Arial"/>
          <w:i/>
          <w:iCs/>
          <w:sz w:val="22"/>
          <w:szCs w:val="22"/>
        </w:rPr>
        <w:t>Respecto de estos se pregunta lo siguiente:</w:t>
      </w:r>
    </w:p>
    <w:p w14:paraId="10205AA7" w14:textId="77777777" w:rsidR="0028726C" w:rsidRPr="000A3567" w:rsidRDefault="0028726C" w:rsidP="0028726C">
      <w:pPr>
        <w:rPr>
          <w:rFonts w:cs="Arial"/>
          <w:i/>
          <w:iCs/>
          <w:sz w:val="22"/>
          <w:szCs w:val="22"/>
        </w:rPr>
      </w:pPr>
    </w:p>
    <w:p w14:paraId="44428180" w14:textId="77777777" w:rsidR="0028726C" w:rsidRPr="000A3567" w:rsidRDefault="0028726C" w:rsidP="0028726C">
      <w:pPr>
        <w:rPr>
          <w:rFonts w:cs="Arial"/>
          <w:i/>
          <w:iCs/>
          <w:sz w:val="22"/>
          <w:szCs w:val="22"/>
        </w:rPr>
      </w:pPr>
      <w:r w:rsidRPr="000A3567">
        <w:rPr>
          <w:rFonts w:cs="Arial"/>
          <w:i/>
          <w:iCs/>
          <w:sz w:val="22"/>
          <w:szCs w:val="22"/>
        </w:rPr>
        <w:t xml:space="preserve">¿Qué ocurre cuando la infraestructura de GNC o de GNL no le pertenece al </w:t>
      </w:r>
      <w:proofErr w:type="gramStart"/>
      <w:r w:rsidRPr="000A3567">
        <w:rPr>
          <w:rFonts w:cs="Arial"/>
          <w:i/>
          <w:iCs/>
          <w:sz w:val="22"/>
          <w:szCs w:val="22"/>
        </w:rPr>
        <w:t>productor</w:t>
      </w:r>
      <w:proofErr w:type="gramEnd"/>
      <w:r w:rsidRPr="000A3567">
        <w:rPr>
          <w:rFonts w:cs="Arial"/>
          <w:i/>
          <w:iCs/>
          <w:sz w:val="22"/>
          <w:szCs w:val="22"/>
        </w:rPr>
        <w:t xml:space="preserve"> sino que debe ser colocada por el comprador?"</w:t>
      </w:r>
    </w:p>
    <w:p w14:paraId="542C5CAC" w14:textId="77777777" w:rsidR="000A3567" w:rsidRDefault="000A3567" w:rsidP="0028726C">
      <w:pPr>
        <w:rPr>
          <w:rFonts w:cs="Arial"/>
          <w:sz w:val="22"/>
          <w:szCs w:val="22"/>
        </w:rPr>
      </w:pPr>
    </w:p>
    <w:p w14:paraId="2E0944AE" w14:textId="68C5191D" w:rsidR="000A3567" w:rsidRPr="000A3567" w:rsidRDefault="000A3567" w:rsidP="0028726C">
      <w:pPr>
        <w:rPr>
          <w:rFonts w:cs="Arial"/>
          <w:b/>
          <w:bCs/>
          <w:sz w:val="22"/>
          <w:szCs w:val="22"/>
        </w:rPr>
      </w:pPr>
      <w:r w:rsidRPr="000A3567">
        <w:rPr>
          <w:rFonts w:cs="Arial"/>
          <w:b/>
          <w:bCs/>
          <w:sz w:val="22"/>
          <w:szCs w:val="22"/>
        </w:rPr>
        <w:t>Respuesta:</w:t>
      </w:r>
    </w:p>
    <w:p w14:paraId="6ED5F32F" w14:textId="77777777" w:rsidR="000A3567" w:rsidRDefault="000A3567" w:rsidP="0028726C">
      <w:pPr>
        <w:rPr>
          <w:rFonts w:cs="Arial"/>
          <w:sz w:val="22"/>
          <w:szCs w:val="22"/>
        </w:rPr>
      </w:pPr>
    </w:p>
    <w:p w14:paraId="1846EEF1" w14:textId="77777777" w:rsidR="000A3567" w:rsidRDefault="000A3567" w:rsidP="0028726C">
      <w:pPr>
        <w:rPr>
          <w:rFonts w:cs="Arial"/>
          <w:sz w:val="22"/>
          <w:szCs w:val="22"/>
        </w:rPr>
      </w:pPr>
      <w:r>
        <w:rPr>
          <w:rFonts w:cs="Arial"/>
          <w:sz w:val="22"/>
          <w:szCs w:val="22"/>
        </w:rPr>
        <w:t xml:space="preserve">Se entiende que el vendedor del Mercado Primario puede vender el gas natural en estado natural o en forma de GNC o de GNL, independientemente de si él mismo es el dueño de la infraestructura de compresión o de licuefacción que le permite entregar el gas al comprador en la forma respectiva mencionada. </w:t>
      </w:r>
    </w:p>
    <w:p w14:paraId="3E97B6C7" w14:textId="77777777" w:rsidR="000A3567" w:rsidRDefault="000A3567" w:rsidP="0028726C">
      <w:pPr>
        <w:rPr>
          <w:rFonts w:cs="Arial"/>
          <w:sz w:val="22"/>
          <w:szCs w:val="22"/>
        </w:rPr>
      </w:pPr>
    </w:p>
    <w:p w14:paraId="79ABE7E1" w14:textId="00615D23" w:rsidR="000A3567" w:rsidRDefault="000A3567" w:rsidP="0028726C">
      <w:pPr>
        <w:rPr>
          <w:rFonts w:cs="Arial"/>
          <w:sz w:val="22"/>
          <w:szCs w:val="22"/>
        </w:rPr>
      </w:pPr>
      <w:r>
        <w:rPr>
          <w:rFonts w:cs="Arial"/>
          <w:sz w:val="22"/>
          <w:szCs w:val="22"/>
        </w:rPr>
        <w:t xml:space="preserve">Ahora, si es el comprador quien recibe el gas </w:t>
      </w:r>
      <w:r w:rsidR="009B5B70">
        <w:rPr>
          <w:rFonts w:cs="Arial"/>
          <w:sz w:val="22"/>
          <w:szCs w:val="22"/>
        </w:rPr>
        <w:t xml:space="preserve">en estado natural </w:t>
      </w:r>
      <w:r>
        <w:rPr>
          <w:rFonts w:cs="Arial"/>
          <w:sz w:val="22"/>
          <w:szCs w:val="22"/>
        </w:rPr>
        <w:t xml:space="preserve">de parte del vendedor y lo lleva a estado de GNC o de GNL, se entiende que el </w:t>
      </w:r>
      <w:r w:rsidR="009B5B70">
        <w:rPr>
          <w:rFonts w:cs="Arial"/>
          <w:sz w:val="22"/>
          <w:szCs w:val="22"/>
        </w:rPr>
        <w:t>vendedor</w:t>
      </w:r>
      <w:r>
        <w:rPr>
          <w:rFonts w:cs="Arial"/>
          <w:sz w:val="22"/>
          <w:szCs w:val="22"/>
        </w:rPr>
        <w:t xml:space="preserve"> está vendiendo gas en estado natural </w:t>
      </w:r>
      <w:r w:rsidR="009B5B70">
        <w:rPr>
          <w:rFonts w:cs="Arial"/>
          <w:sz w:val="22"/>
          <w:szCs w:val="22"/>
        </w:rPr>
        <w:t xml:space="preserve">al comprador </w:t>
      </w:r>
      <w:r>
        <w:rPr>
          <w:rFonts w:cs="Arial"/>
          <w:sz w:val="22"/>
          <w:szCs w:val="22"/>
        </w:rPr>
        <w:t>para lo cual debe</w:t>
      </w:r>
      <w:r w:rsidR="009B5B70">
        <w:rPr>
          <w:rFonts w:cs="Arial"/>
          <w:sz w:val="22"/>
          <w:szCs w:val="22"/>
        </w:rPr>
        <w:t>rá</w:t>
      </w:r>
      <w:r>
        <w:rPr>
          <w:rFonts w:cs="Arial"/>
          <w:sz w:val="22"/>
          <w:szCs w:val="22"/>
        </w:rPr>
        <w:t xml:space="preserve"> mediar un contrato de tipo firme o que garantiza firmeza bajo las modalidades </w:t>
      </w:r>
      <w:r w:rsidR="009B5B70">
        <w:rPr>
          <w:rFonts w:cs="Arial"/>
          <w:sz w:val="22"/>
          <w:szCs w:val="22"/>
        </w:rPr>
        <w:t xml:space="preserve">de ese tipo </w:t>
      </w:r>
      <w:r>
        <w:rPr>
          <w:rFonts w:cs="Arial"/>
          <w:sz w:val="22"/>
          <w:szCs w:val="22"/>
        </w:rPr>
        <w:t>y las condiciones mínimas establecidas por la CREG. En ese caso, la venta de dicho gas natural por parte del vendedor no es sujeto de las excepciones propuestas para la negociación directa en cualquier momento del año, al menos las propuestas para el caso de venta en forma</w:t>
      </w:r>
      <w:r w:rsidR="009B5B70">
        <w:rPr>
          <w:rFonts w:cs="Arial"/>
          <w:sz w:val="22"/>
          <w:szCs w:val="22"/>
        </w:rPr>
        <w:t>s</w:t>
      </w:r>
      <w:r>
        <w:rPr>
          <w:rFonts w:cs="Arial"/>
          <w:sz w:val="22"/>
          <w:szCs w:val="22"/>
        </w:rPr>
        <w:t xml:space="preserve"> de </w:t>
      </w:r>
      <w:r w:rsidR="009B5B70">
        <w:rPr>
          <w:rFonts w:cs="Arial"/>
          <w:sz w:val="22"/>
          <w:szCs w:val="22"/>
        </w:rPr>
        <w:t xml:space="preserve">suministro como </w:t>
      </w:r>
      <w:r>
        <w:rPr>
          <w:rFonts w:cs="Arial"/>
          <w:sz w:val="22"/>
          <w:szCs w:val="22"/>
        </w:rPr>
        <w:t xml:space="preserve">GNC o de GNL. </w:t>
      </w:r>
    </w:p>
    <w:p w14:paraId="3338F5F9" w14:textId="77777777" w:rsidR="000A3567" w:rsidRPr="0028726C" w:rsidRDefault="000A3567" w:rsidP="0028726C">
      <w:pPr>
        <w:rPr>
          <w:rFonts w:cs="Arial"/>
          <w:sz w:val="22"/>
          <w:szCs w:val="22"/>
        </w:rPr>
      </w:pPr>
    </w:p>
    <w:p w14:paraId="3915B868" w14:textId="77777777" w:rsidR="00C53D76" w:rsidRDefault="00C53D76" w:rsidP="0028726C">
      <w:pPr>
        <w:rPr>
          <w:rFonts w:cs="Arial"/>
          <w:sz w:val="22"/>
          <w:szCs w:val="22"/>
        </w:rPr>
      </w:pPr>
    </w:p>
    <w:p w14:paraId="4BE49DF5" w14:textId="77777777" w:rsidR="00C53D76" w:rsidRDefault="0028726C" w:rsidP="000D05A3">
      <w:pPr>
        <w:pStyle w:val="Ttulo4"/>
      </w:pPr>
      <w:bookmarkStart w:id="808" w:name="_Ref132262088"/>
      <w:r w:rsidRPr="0028726C">
        <w:t>GASES DE LA GUAJIRA</w:t>
      </w:r>
      <w:bookmarkEnd w:id="808"/>
      <w:r w:rsidRPr="0028726C">
        <w:tab/>
      </w:r>
    </w:p>
    <w:p w14:paraId="466ED441" w14:textId="4ABD4B2E" w:rsidR="0028726C" w:rsidRPr="00B466C4" w:rsidRDefault="0078656D" w:rsidP="0028726C">
      <w:pPr>
        <w:rPr>
          <w:rFonts w:cs="Arial"/>
          <w:i/>
          <w:iCs/>
          <w:sz w:val="22"/>
          <w:szCs w:val="22"/>
        </w:rPr>
      </w:pPr>
      <w:r>
        <w:rPr>
          <w:rFonts w:cs="Arial"/>
          <w:i/>
          <w:iCs/>
          <w:sz w:val="22"/>
          <w:szCs w:val="22"/>
        </w:rPr>
        <w:t>“</w:t>
      </w:r>
      <w:r w:rsidR="0028726C" w:rsidRPr="00B466C4">
        <w:rPr>
          <w:rFonts w:cs="Arial"/>
          <w:i/>
          <w:iCs/>
          <w:sz w:val="22"/>
          <w:szCs w:val="22"/>
        </w:rPr>
        <w:t>No es clara la razón por la cual el regulador le permite al productor hacer una declaración menor a aquella que hizo frente al ministerio de minas y energía. Cualquier variación respecto de la declaración hecha al ministerio de minas y energía, o para aumentar las, debe ser claramente explicado y sustentado de manera pública, de forma tal que el Mercado tenga tranquilidad respecto del comportamiento de los agentes en la cadena</w:t>
      </w:r>
      <w:r w:rsidR="009B5B70" w:rsidRPr="00B466C4">
        <w:rPr>
          <w:rFonts w:cs="Arial"/>
          <w:i/>
          <w:iCs/>
          <w:sz w:val="22"/>
          <w:szCs w:val="22"/>
        </w:rPr>
        <w:t>.</w:t>
      </w:r>
      <w:r>
        <w:rPr>
          <w:rFonts w:cs="Arial"/>
          <w:i/>
          <w:iCs/>
          <w:sz w:val="22"/>
          <w:szCs w:val="22"/>
        </w:rPr>
        <w:t>”</w:t>
      </w:r>
    </w:p>
    <w:p w14:paraId="5906B291" w14:textId="77777777" w:rsidR="009B5B70" w:rsidRDefault="009B5B70" w:rsidP="0028726C">
      <w:pPr>
        <w:rPr>
          <w:rFonts w:cs="Arial"/>
          <w:sz w:val="22"/>
          <w:szCs w:val="22"/>
        </w:rPr>
      </w:pPr>
    </w:p>
    <w:p w14:paraId="3EEF58A4" w14:textId="08746969" w:rsidR="009B5B70" w:rsidRPr="009B5B70" w:rsidRDefault="009B5B70" w:rsidP="0028726C">
      <w:pPr>
        <w:rPr>
          <w:rFonts w:cs="Arial"/>
          <w:b/>
          <w:bCs/>
          <w:sz w:val="22"/>
          <w:szCs w:val="22"/>
        </w:rPr>
      </w:pPr>
      <w:r w:rsidRPr="009B5B70">
        <w:rPr>
          <w:rFonts w:cs="Arial"/>
          <w:b/>
          <w:bCs/>
          <w:sz w:val="22"/>
          <w:szCs w:val="22"/>
        </w:rPr>
        <w:t>Respuesta:</w:t>
      </w:r>
    </w:p>
    <w:p w14:paraId="1AB5D43A" w14:textId="77777777" w:rsidR="009B5B70" w:rsidRDefault="009B5B70" w:rsidP="0028726C">
      <w:pPr>
        <w:rPr>
          <w:rFonts w:cs="Arial"/>
          <w:sz w:val="22"/>
          <w:szCs w:val="22"/>
        </w:rPr>
      </w:pPr>
    </w:p>
    <w:p w14:paraId="032E7BB4" w14:textId="16BB325E" w:rsidR="009B5B70" w:rsidRDefault="00B466C4" w:rsidP="0028726C">
      <w:pPr>
        <w:rPr>
          <w:rFonts w:cs="Arial"/>
          <w:sz w:val="22"/>
          <w:szCs w:val="22"/>
        </w:rPr>
      </w:pPr>
      <w:r>
        <w:rPr>
          <w:rFonts w:cs="Arial"/>
          <w:sz w:val="22"/>
          <w:szCs w:val="22"/>
        </w:rPr>
        <w:t>No se acoge el comentario.</w:t>
      </w:r>
    </w:p>
    <w:p w14:paraId="490A2DC1" w14:textId="77777777" w:rsidR="00B466C4" w:rsidRDefault="00B466C4" w:rsidP="0028726C">
      <w:pPr>
        <w:rPr>
          <w:rFonts w:cs="Arial"/>
          <w:sz w:val="22"/>
          <w:szCs w:val="22"/>
        </w:rPr>
      </w:pPr>
    </w:p>
    <w:p w14:paraId="3D7FC152" w14:textId="77777777" w:rsidR="00B466C4" w:rsidRDefault="00B466C4" w:rsidP="0028726C">
      <w:pPr>
        <w:rPr>
          <w:rFonts w:cs="Arial"/>
          <w:sz w:val="22"/>
          <w:szCs w:val="22"/>
        </w:rPr>
      </w:pPr>
      <w:r>
        <w:rPr>
          <w:rFonts w:cs="Arial"/>
          <w:sz w:val="22"/>
          <w:szCs w:val="22"/>
        </w:rPr>
        <w:t>El productor presenta una declaración de producción al MME, en la que discrimina el potencial de producción de gas natural PP, la producción comprometida PC, la producción total disponible para la venta PTDV y el gas natural de propiedad del Estado. Dicho de un modo, la PTDV resulta de restar al PP, la PC y el gas natural de propiedad del Estado. Ahora, el PP está definido en el Decreto 1073 de 2015 como:</w:t>
      </w:r>
    </w:p>
    <w:p w14:paraId="4974E474" w14:textId="77777777" w:rsidR="00B466C4" w:rsidRDefault="00B466C4" w:rsidP="0028726C">
      <w:pPr>
        <w:rPr>
          <w:rFonts w:cs="Arial"/>
          <w:sz w:val="22"/>
          <w:szCs w:val="22"/>
        </w:rPr>
      </w:pPr>
    </w:p>
    <w:p w14:paraId="1AAA35A3" w14:textId="15F6CD2B" w:rsidR="00B466C4" w:rsidRDefault="00B466C4" w:rsidP="00B466C4">
      <w:pPr>
        <w:ind w:left="708"/>
        <w:rPr>
          <w:rFonts w:cs="Arial"/>
          <w:sz w:val="22"/>
          <w:szCs w:val="22"/>
        </w:rPr>
      </w:pPr>
      <w:r>
        <w:rPr>
          <w:rFonts w:cs="Arial"/>
          <w:i/>
          <w:iCs/>
          <w:sz w:val="22"/>
          <w:szCs w:val="22"/>
        </w:rPr>
        <w:t>“</w:t>
      </w:r>
      <w:r w:rsidRPr="00B466C4">
        <w:rPr>
          <w:rFonts w:cs="Arial"/>
          <w:i/>
          <w:iCs/>
          <w:sz w:val="22"/>
          <w:szCs w:val="22"/>
        </w:rPr>
        <w:t xml:space="preserve">Pronóstico de las cantidades de gas natural, medidas en GBTUD, que pueden ser producidas diariamente en promedio mes, en cada campo o puestas en un punto de entrada al SNT para atender los requerimientos de la demanda, descontando las cantidades de gas natural requeridas para la operación. Este pronóstico considera el desarrollo de las Reservas de Gas Natural, la información técnica de los yacimientos del campo o campos de producción </w:t>
      </w:r>
      <w:r w:rsidRPr="00B466C4">
        <w:rPr>
          <w:rFonts w:cs="Arial"/>
          <w:b/>
          <w:bCs/>
          <w:i/>
          <w:iCs/>
          <w:sz w:val="22"/>
          <w:szCs w:val="22"/>
          <w:u w:val="single"/>
        </w:rPr>
        <w:t>a la tasa máxima eficiente de recobro y está basado en la capacidad nominal de las instalaciones de producción existentes y proyectadas</w:t>
      </w:r>
      <w:r w:rsidRPr="00B466C4">
        <w:rPr>
          <w:rFonts w:cs="Arial"/>
          <w:b/>
          <w:bCs/>
          <w:sz w:val="22"/>
          <w:szCs w:val="22"/>
          <w:u w:val="single"/>
        </w:rPr>
        <w:t xml:space="preserve"> </w:t>
      </w:r>
      <w:r>
        <w:rPr>
          <w:rFonts w:cs="Arial"/>
          <w:sz w:val="22"/>
          <w:szCs w:val="22"/>
        </w:rPr>
        <w:t>(…)” (subrayado con resaltado fuera de texto).</w:t>
      </w:r>
    </w:p>
    <w:p w14:paraId="2F949767" w14:textId="77777777" w:rsidR="00B466C4" w:rsidRDefault="00B466C4" w:rsidP="00B466C4">
      <w:pPr>
        <w:ind w:left="708"/>
        <w:rPr>
          <w:rFonts w:cs="Arial"/>
          <w:sz w:val="22"/>
          <w:szCs w:val="22"/>
        </w:rPr>
      </w:pPr>
    </w:p>
    <w:p w14:paraId="5C9E4913" w14:textId="1426775D" w:rsidR="00B466C4" w:rsidRDefault="00B466C4" w:rsidP="00B466C4">
      <w:pPr>
        <w:rPr>
          <w:rFonts w:cs="Arial"/>
          <w:sz w:val="22"/>
          <w:szCs w:val="22"/>
        </w:rPr>
      </w:pPr>
      <w:r>
        <w:rPr>
          <w:rFonts w:cs="Arial"/>
          <w:sz w:val="22"/>
          <w:szCs w:val="22"/>
        </w:rPr>
        <w:t xml:space="preserve">De la definición se observa entonces que el PP es una cantidad en condiciones operativas nominales y de recobro máximas. Y de ello se encuentra que la PTDV está determinada en esas condiciones. En ese sentido es posible que un productor encuentre un nivel de riesgo no manejable en contratos de tipo firme o que garanticen firmeza si la PTDVF que declara al Gestor del Mercado es igual a la PTDV que depende de que se presenten las mejores condiciones de recobro y nominales de producción (extracción y procesamiento incluidos) en forma continua durante el período contratado. </w:t>
      </w:r>
    </w:p>
    <w:p w14:paraId="6A187598" w14:textId="77777777" w:rsidR="00B466C4" w:rsidRDefault="00B466C4" w:rsidP="00B466C4">
      <w:pPr>
        <w:rPr>
          <w:rFonts w:cs="Arial"/>
          <w:sz w:val="22"/>
          <w:szCs w:val="22"/>
        </w:rPr>
      </w:pPr>
    </w:p>
    <w:p w14:paraId="6B5DFE5F" w14:textId="4F2EE55C" w:rsidR="00B466C4" w:rsidRDefault="00B466C4" w:rsidP="00B466C4">
      <w:pPr>
        <w:rPr>
          <w:rFonts w:cs="Arial"/>
          <w:sz w:val="22"/>
          <w:szCs w:val="22"/>
        </w:rPr>
      </w:pPr>
      <w:r>
        <w:rPr>
          <w:rFonts w:cs="Arial"/>
          <w:sz w:val="22"/>
          <w:szCs w:val="22"/>
        </w:rPr>
        <w:t xml:space="preserve">Por otra parte, el mismo </w:t>
      </w:r>
      <w:r w:rsidR="002610A0">
        <w:rPr>
          <w:rFonts w:cs="Arial"/>
          <w:sz w:val="22"/>
          <w:szCs w:val="22"/>
        </w:rPr>
        <w:t>D</w:t>
      </w:r>
      <w:r>
        <w:rPr>
          <w:rFonts w:cs="Arial"/>
          <w:sz w:val="22"/>
          <w:szCs w:val="22"/>
        </w:rPr>
        <w:t xml:space="preserve">ecreto establece </w:t>
      </w:r>
      <w:r w:rsidR="002610A0">
        <w:rPr>
          <w:rFonts w:cs="Arial"/>
          <w:sz w:val="22"/>
          <w:szCs w:val="22"/>
        </w:rPr>
        <w:t xml:space="preserve">en el Artículo 2.2.2.2.16 </w:t>
      </w:r>
      <w:r>
        <w:rPr>
          <w:rFonts w:cs="Arial"/>
          <w:sz w:val="22"/>
          <w:szCs w:val="22"/>
        </w:rPr>
        <w:t>que:</w:t>
      </w:r>
    </w:p>
    <w:p w14:paraId="714EE3E3" w14:textId="77777777" w:rsidR="00B466C4" w:rsidRDefault="00B466C4" w:rsidP="00B466C4">
      <w:pPr>
        <w:rPr>
          <w:rFonts w:cs="Arial"/>
          <w:sz w:val="22"/>
          <w:szCs w:val="22"/>
        </w:rPr>
      </w:pPr>
    </w:p>
    <w:p w14:paraId="03F8E7E0" w14:textId="49870333" w:rsidR="00B466C4" w:rsidRDefault="002610A0" w:rsidP="002610A0">
      <w:pPr>
        <w:ind w:left="708"/>
        <w:rPr>
          <w:rFonts w:cs="Arial"/>
          <w:sz w:val="22"/>
          <w:szCs w:val="22"/>
        </w:rPr>
      </w:pPr>
      <w:r>
        <w:rPr>
          <w:rFonts w:cs="Arial"/>
          <w:sz w:val="22"/>
          <w:szCs w:val="22"/>
        </w:rPr>
        <w:t>“</w:t>
      </w:r>
      <w:r w:rsidRPr="002610A0">
        <w:rPr>
          <w:rFonts w:cs="Arial"/>
          <w:i/>
          <w:iCs/>
          <w:sz w:val="22"/>
          <w:szCs w:val="22"/>
        </w:rPr>
        <w:t xml:space="preserve">Todos los productores, los productores-comercializadores de gas natural y los comercializadores de gas importado obligados a declarar conforme a lo previsto en el presente Decreto, deberán actualizar su declaración </w:t>
      </w:r>
      <w:r w:rsidRPr="002610A0">
        <w:rPr>
          <w:rFonts w:cs="Arial"/>
          <w:b/>
          <w:bCs/>
          <w:i/>
          <w:iCs/>
          <w:sz w:val="22"/>
          <w:szCs w:val="22"/>
          <w:u w:val="single"/>
        </w:rPr>
        <w:t>exponiendo y documentando las razones que la justifican, por variación en la información disponible al momento de la declaración</w:t>
      </w:r>
      <w:r w:rsidRPr="002610A0">
        <w:rPr>
          <w:rFonts w:cs="Arial"/>
          <w:i/>
          <w:iCs/>
          <w:sz w:val="22"/>
          <w:szCs w:val="22"/>
        </w:rPr>
        <w:t xml:space="preserve"> y/o inmediatamente se surta un procedimiento de comercialización, conforme a lo previsto en este Decreto</w:t>
      </w:r>
      <w:r w:rsidRPr="002610A0">
        <w:rPr>
          <w:rFonts w:cs="Arial"/>
          <w:sz w:val="22"/>
          <w:szCs w:val="22"/>
        </w:rPr>
        <w:t>.</w:t>
      </w:r>
      <w:r>
        <w:rPr>
          <w:rFonts w:cs="Arial"/>
          <w:sz w:val="22"/>
          <w:szCs w:val="22"/>
        </w:rPr>
        <w:t>” (subrayado con resaltado fuera de texto)</w:t>
      </w:r>
    </w:p>
    <w:p w14:paraId="0C2C9349" w14:textId="77777777" w:rsidR="002610A0" w:rsidRDefault="002610A0" w:rsidP="002610A0">
      <w:pPr>
        <w:ind w:left="708"/>
        <w:rPr>
          <w:rFonts w:cs="Arial"/>
          <w:sz w:val="22"/>
          <w:szCs w:val="22"/>
        </w:rPr>
      </w:pPr>
    </w:p>
    <w:p w14:paraId="19790AB3" w14:textId="6C7A0224" w:rsidR="002610A0" w:rsidRDefault="002610A0" w:rsidP="002610A0">
      <w:pPr>
        <w:rPr>
          <w:rFonts w:cs="Arial"/>
          <w:sz w:val="22"/>
          <w:szCs w:val="22"/>
        </w:rPr>
      </w:pPr>
      <w:r>
        <w:rPr>
          <w:rFonts w:cs="Arial"/>
          <w:sz w:val="22"/>
          <w:szCs w:val="22"/>
        </w:rPr>
        <w:t>En todo caso, los vendedores deben observar y cumplir la resolución CREG 080 de 2019 que establece las reglas de comportamiento de los agentes.</w:t>
      </w:r>
    </w:p>
    <w:p w14:paraId="33D4C755" w14:textId="77777777" w:rsidR="00B466C4" w:rsidRPr="0028726C" w:rsidRDefault="00B466C4" w:rsidP="0028726C">
      <w:pPr>
        <w:rPr>
          <w:rFonts w:cs="Arial"/>
          <w:sz w:val="22"/>
          <w:szCs w:val="22"/>
        </w:rPr>
      </w:pPr>
    </w:p>
    <w:p w14:paraId="57D19255" w14:textId="77777777" w:rsidR="00C53D76" w:rsidRDefault="00C53D76" w:rsidP="0028726C">
      <w:pPr>
        <w:rPr>
          <w:rFonts w:cs="Arial"/>
          <w:sz w:val="22"/>
          <w:szCs w:val="22"/>
        </w:rPr>
      </w:pPr>
    </w:p>
    <w:p w14:paraId="59BD0823" w14:textId="77777777" w:rsidR="00C53D76" w:rsidRDefault="0028726C" w:rsidP="000D05A3">
      <w:pPr>
        <w:pStyle w:val="Ttulo4"/>
      </w:pPr>
      <w:r w:rsidRPr="0028726C">
        <w:t>GASES DE LA GUAJIRA</w:t>
      </w:r>
      <w:r w:rsidRPr="0028726C">
        <w:tab/>
      </w:r>
    </w:p>
    <w:p w14:paraId="24D1A9C4" w14:textId="1DE79E9F" w:rsidR="0028726C" w:rsidRPr="00CF6543" w:rsidRDefault="0028726C" w:rsidP="0028726C">
      <w:pPr>
        <w:rPr>
          <w:rFonts w:cs="Arial"/>
          <w:i/>
          <w:iCs/>
          <w:sz w:val="22"/>
          <w:szCs w:val="22"/>
        </w:rPr>
      </w:pPr>
      <w:r w:rsidRPr="0028726C">
        <w:rPr>
          <w:rFonts w:cs="Arial"/>
          <w:sz w:val="22"/>
          <w:szCs w:val="22"/>
        </w:rPr>
        <w:t>"</w:t>
      </w:r>
      <w:r w:rsidRPr="00CF6543">
        <w:rPr>
          <w:rFonts w:cs="Arial"/>
          <w:i/>
          <w:iCs/>
          <w:sz w:val="22"/>
          <w:szCs w:val="22"/>
        </w:rPr>
        <w:t xml:space="preserve">Se reitera la necesidad de que el regulador, determine la forma como se define los puntos de referencia, y los criterios que el gestor debe tener en cuenta para la formación de </w:t>
      </w:r>
      <w:proofErr w:type="gramStart"/>
      <w:r w:rsidRPr="00CF6543">
        <w:rPr>
          <w:rFonts w:cs="Arial"/>
          <w:i/>
          <w:iCs/>
          <w:sz w:val="22"/>
          <w:szCs w:val="22"/>
        </w:rPr>
        <w:t>los mismos</w:t>
      </w:r>
      <w:proofErr w:type="gramEnd"/>
      <w:r w:rsidRPr="00CF6543">
        <w:rPr>
          <w:rFonts w:cs="Arial"/>
          <w:i/>
          <w:iCs/>
          <w:sz w:val="22"/>
          <w:szCs w:val="22"/>
        </w:rPr>
        <w:t>.</w:t>
      </w:r>
    </w:p>
    <w:p w14:paraId="1A6A8A1D" w14:textId="77777777" w:rsidR="0028726C" w:rsidRPr="00CF6543" w:rsidRDefault="0028726C" w:rsidP="0028726C">
      <w:pPr>
        <w:rPr>
          <w:rFonts w:cs="Arial"/>
          <w:i/>
          <w:iCs/>
          <w:sz w:val="22"/>
          <w:szCs w:val="22"/>
        </w:rPr>
      </w:pPr>
    </w:p>
    <w:p w14:paraId="04414013" w14:textId="77777777" w:rsidR="0028726C" w:rsidRPr="00CF6543" w:rsidRDefault="0028726C" w:rsidP="0028726C">
      <w:pPr>
        <w:rPr>
          <w:rFonts w:cs="Arial"/>
          <w:i/>
          <w:iCs/>
          <w:sz w:val="22"/>
          <w:szCs w:val="22"/>
        </w:rPr>
      </w:pPr>
      <w:r w:rsidRPr="00CF6543">
        <w:rPr>
          <w:rFonts w:cs="Arial"/>
          <w:i/>
          <w:iCs/>
          <w:sz w:val="22"/>
          <w:szCs w:val="22"/>
        </w:rPr>
        <w:t>Asimismo, teniendo en cuenta el mecanismo previsto para el funcionamiento de los puntos de referencia, debería incluirse que este debe tener al menos dos por cada punto de referencia."</w:t>
      </w:r>
    </w:p>
    <w:p w14:paraId="6A94685D" w14:textId="77777777" w:rsidR="00CF6543" w:rsidRDefault="00CF6543" w:rsidP="0028726C">
      <w:pPr>
        <w:rPr>
          <w:rFonts w:cs="Arial"/>
          <w:sz w:val="22"/>
          <w:szCs w:val="22"/>
        </w:rPr>
      </w:pPr>
    </w:p>
    <w:p w14:paraId="4B335D01" w14:textId="3FE276F9" w:rsidR="00CF6543" w:rsidRPr="00CF6543" w:rsidRDefault="00CF6543" w:rsidP="0028726C">
      <w:pPr>
        <w:rPr>
          <w:rFonts w:cs="Arial"/>
          <w:b/>
          <w:bCs/>
          <w:sz w:val="22"/>
          <w:szCs w:val="22"/>
        </w:rPr>
      </w:pPr>
      <w:r w:rsidRPr="00CF6543">
        <w:rPr>
          <w:rFonts w:cs="Arial"/>
          <w:b/>
          <w:bCs/>
          <w:sz w:val="22"/>
          <w:szCs w:val="22"/>
        </w:rPr>
        <w:t>Respuesta:</w:t>
      </w:r>
    </w:p>
    <w:p w14:paraId="50E1EFA5" w14:textId="77777777" w:rsidR="00CF6543" w:rsidRDefault="00CF6543" w:rsidP="0028726C">
      <w:pPr>
        <w:rPr>
          <w:rFonts w:cs="Arial"/>
          <w:sz w:val="22"/>
          <w:szCs w:val="22"/>
        </w:rPr>
      </w:pPr>
    </w:p>
    <w:p w14:paraId="2CDF484B" w14:textId="7567EC19" w:rsidR="00CF6543" w:rsidRDefault="00CE0AFC"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_Ref130533713 \r \h </w:instrText>
      </w:r>
      <w:r>
        <w:rPr>
          <w:rFonts w:cs="Arial"/>
          <w:sz w:val="22"/>
          <w:szCs w:val="22"/>
        </w:rPr>
      </w:r>
      <w:r>
        <w:rPr>
          <w:rFonts w:cs="Arial"/>
          <w:sz w:val="22"/>
          <w:szCs w:val="22"/>
        </w:rPr>
        <w:fldChar w:fldCharType="separate"/>
      </w:r>
      <w:r w:rsidR="007651EA">
        <w:rPr>
          <w:rFonts w:cs="Arial"/>
          <w:sz w:val="22"/>
          <w:szCs w:val="22"/>
        </w:rPr>
        <w:t>4.7.1.3</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_Ref132185996 \r \h </w:instrText>
      </w:r>
      <w:r>
        <w:rPr>
          <w:rFonts w:cs="Arial"/>
          <w:sz w:val="22"/>
          <w:szCs w:val="22"/>
        </w:rPr>
      </w:r>
      <w:r>
        <w:rPr>
          <w:rFonts w:cs="Arial"/>
          <w:sz w:val="22"/>
          <w:szCs w:val="22"/>
        </w:rPr>
        <w:fldChar w:fldCharType="separate"/>
      </w:r>
      <w:r w:rsidR="007651EA">
        <w:rPr>
          <w:rFonts w:cs="Arial"/>
          <w:sz w:val="22"/>
          <w:szCs w:val="22"/>
        </w:rPr>
        <w:t>19.2.1.1</w:t>
      </w:r>
      <w:r>
        <w:rPr>
          <w:rFonts w:cs="Arial"/>
          <w:sz w:val="22"/>
          <w:szCs w:val="22"/>
        </w:rPr>
        <w:fldChar w:fldCharType="end"/>
      </w:r>
      <w:r>
        <w:rPr>
          <w:rFonts w:cs="Arial"/>
          <w:sz w:val="22"/>
          <w:szCs w:val="22"/>
        </w:rPr>
        <w:t>.</w:t>
      </w:r>
    </w:p>
    <w:p w14:paraId="4FC956A6" w14:textId="77777777" w:rsidR="00CF6543" w:rsidRPr="0028726C" w:rsidRDefault="00CF6543" w:rsidP="0028726C">
      <w:pPr>
        <w:rPr>
          <w:rFonts w:cs="Arial"/>
          <w:sz w:val="22"/>
          <w:szCs w:val="22"/>
        </w:rPr>
      </w:pPr>
    </w:p>
    <w:p w14:paraId="1C925985" w14:textId="77777777" w:rsidR="00C53D76" w:rsidRDefault="00C53D76" w:rsidP="0028726C">
      <w:pPr>
        <w:rPr>
          <w:rFonts w:cs="Arial"/>
          <w:sz w:val="22"/>
          <w:szCs w:val="22"/>
        </w:rPr>
      </w:pPr>
    </w:p>
    <w:p w14:paraId="30B38DF8" w14:textId="77777777" w:rsidR="00C53D76" w:rsidRPr="000D05A3" w:rsidRDefault="0028726C" w:rsidP="000D05A3">
      <w:pPr>
        <w:pStyle w:val="Ttulo4"/>
      </w:pPr>
      <w:r w:rsidRPr="000D05A3">
        <w:t>GASES DE LA GUAJIRA</w:t>
      </w:r>
      <w:r w:rsidRPr="000D05A3">
        <w:tab/>
      </w:r>
    </w:p>
    <w:p w14:paraId="5643BB98" w14:textId="2AFD8C9A" w:rsidR="0028726C" w:rsidRPr="008B15F8" w:rsidRDefault="005D47C4" w:rsidP="0028726C">
      <w:pPr>
        <w:rPr>
          <w:rFonts w:cs="Arial"/>
          <w:i/>
          <w:iCs/>
          <w:sz w:val="22"/>
          <w:szCs w:val="22"/>
        </w:rPr>
      </w:pPr>
      <w:r>
        <w:rPr>
          <w:rFonts w:cs="Arial"/>
          <w:i/>
          <w:iCs/>
          <w:sz w:val="22"/>
          <w:szCs w:val="22"/>
        </w:rPr>
        <w:t>“</w:t>
      </w:r>
      <w:r w:rsidR="0028726C" w:rsidRPr="008B15F8">
        <w:rPr>
          <w:rFonts w:cs="Arial"/>
          <w:i/>
          <w:iCs/>
          <w:sz w:val="22"/>
          <w:szCs w:val="22"/>
        </w:rPr>
        <w:t xml:space="preserve">De acuerdo con lo que se establece la resolución, es evidente </w:t>
      </w:r>
      <w:proofErr w:type="gramStart"/>
      <w:r w:rsidR="0028726C" w:rsidRPr="008B15F8">
        <w:rPr>
          <w:rFonts w:cs="Arial"/>
          <w:i/>
          <w:iCs/>
          <w:sz w:val="22"/>
          <w:szCs w:val="22"/>
        </w:rPr>
        <w:t>que</w:t>
      </w:r>
      <w:proofErr w:type="gramEnd"/>
      <w:r w:rsidR="0028726C" w:rsidRPr="008B15F8">
        <w:rPr>
          <w:rFonts w:cs="Arial"/>
          <w:i/>
          <w:iCs/>
          <w:sz w:val="22"/>
          <w:szCs w:val="22"/>
        </w:rPr>
        <w:t xml:space="preserve"> para esta etapa del mecanismo, los compradores no tienen ningún tipo de señal respecto del precio del gas a adquirir.  En ese sentido, se entiende que las declaraciones de las </w:t>
      </w:r>
      <w:proofErr w:type="gramStart"/>
      <w:r w:rsidR="0028726C" w:rsidRPr="008B15F8">
        <w:rPr>
          <w:rFonts w:cs="Arial"/>
          <w:i/>
          <w:iCs/>
          <w:sz w:val="22"/>
          <w:szCs w:val="22"/>
        </w:rPr>
        <w:t>cantidades,</w:t>
      </w:r>
      <w:proofErr w:type="gramEnd"/>
      <w:r w:rsidR="0028726C" w:rsidRPr="008B15F8">
        <w:rPr>
          <w:rFonts w:cs="Arial"/>
          <w:i/>
          <w:iCs/>
          <w:sz w:val="22"/>
          <w:szCs w:val="22"/>
        </w:rPr>
        <w:t xml:space="preserve"> se darían bajo unos supuestos que cada comprador tendría, que podrían alterarse al momento que los productores revelen el precio.</w:t>
      </w:r>
      <w:r>
        <w:rPr>
          <w:rFonts w:cs="Arial"/>
          <w:i/>
          <w:iCs/>
          <w:sz w:val="22"/>
          <w:szCs w:val="22"/>
        </w:rPr>
        <w:t>”</w:t>
      </w:r>
    </w:p>
    <w:p w14:paraId="00342888" w14:textId="77777777" w:rsidR="008B15F8" w:rsidRDefault="008B15F8" w:rsidP="0028726C">
      <w:pPr>
        <w:rPr>
          <w:rFonts w:cs="Arial"/>
          <w:sz w:val="22"/>
          <w:szCs w:val="22"/>
        </w:rPr>
      </w:pPr>
    </w:p>
    <w:p w14:paraId="63022C20" w14:textId="4406CC02" w:rsidR="008B15F8" w:rsidRPr="008B15F8" w:rsidRDefault="008B15F8" w:rsidP="0028726C">
      <w:pPr>
        <w:rPr>
          <w:rFonts w:cs="Arial"/>
          <w:b/>
          <w:bCs/>
          <w:sz w:val="22"/>
          <w:szCs w:val="22"/>
        </w:rPr>
      </w:pPr>
      <w:r w:rsidRPr="008B15F8">
        <w:rPr>
          <w:rFonts w:cs="Arial"/>
          <w:b/>
          <w:bCs/>
          <w:sz w:val="22"/>
          <w:szCs w:val="22"/>
        </w:rPr>
        <w:t>Respuesta:</w:t>
      </w:r>
    </w:p>
    <w:p w14:paraId="06962E4C" w14:textId="77777777" w:rsidR="008B15F8" w:rsidRDefault="008B15F8" w:rsidP="0028726C">
      <w:pPr>
        <w:rPr>
          <w:rFonts w:cs="Arial"/>
          <w:sz w:val="22"/>
          <w:szCs w:val="22"/>
        </w:rPr>
      </w:pPr>
    </w:p>
    <w:p w14:paraId="591FADD7" w14:textId="43D7333A" w:rsidR="008B15F8" w:rsidRDefault="003236A6" w:rsidP="0028726C">
      <w:pPr>
        <w:rPr>
          <w:rFonts w:cs="Arial"/>
          <w:sz w:val="22"/>
          <w:szCs w:val="22"/>
        </w:rPr>
      </w:pPr>
      <w:r w:rsidRPr="003236A6">
        <w:rPr>
          <w:rFonts w:cs="Arial"/>
          <w:sz w:val="22"/>
          <w:szCs w:val="22"/>
        </w:rPr>
        <w:t xml:space="preserve">Ver numeral </w:t>
      </w:r>
      <w:r w:rsidR="00760B11">
        <w:rPr>
          <w:rFonts w:cs="Arial"/>
          <w:sz w:val="22"/>
          <w:szCs w:val="22"/>
        </w:rPr>
        <w:fldChar w:fldCharType="begin"/>
      </w:r>
      <w:r w:rsidR="00760B11">
        <w:rPr>
          <w:rFonts w:cs="Arial"/>
          <w:sz w:val="22"/>
          <w:szCs w:val="22"/>
        </w:rPr>
        <w:instrText xml:space="preserve"> REF _Ref130304509 \r \h </w:instrText>
      </w:r>
      <w:r w:rsidR="00760B11">
        <w:rPr>
          <w:rFonts w:cs="Arial"/>
          <w:sz w:val="22"/>
          <w:szCs w:val="22"/>
        </w:rPr>
      </w:r>
      <w:r w:rsidR="00760B11">
        <w:rPr>
          <w:rFonts w:cs="Arial"/>
          <w:sz w:val="22"/>
          <w:szCs w:val="22"/>
        </w:rPr>
        <w:fldChar w:fldCharType="separate"/>
      </w:r>
      <w:r w:rsidR="00760B11">
        <w:rPr>
          <w:rFonts w:cs="Arial"/>
          <w:sz w:val="22"/>
          <w:szCs w:val="22"/>
        </w:rPr>
        <w:t>4.11.1</w:t>
      </w:r>
      <w:r w:rsidR="00760B11">
        <w:rPr>
          <w:rFonts w:cs="Arial"/>
          <w:sz w:val="22"/>
          <w:szCs w:val="22"/>
        </w:rPr>
        <w:fldChar w:fldCharType="end"/>
      </w:r>
      <w:r w:rsidRPr="003236A6">
        <w:rPr>
          <w:rFonts w:cs="Arial"/>
          <w:sz w:val="22"/>
          <w:szCs w:val="22"/>
        </w:rPr>
        <w:t xml:space="preserve"> y ver respuesta a </w:t>
      </w:r>
      <w:r w:rsidR="00760B11">
        <w:rPr>
          <w:rFonts w:cs="Arial"/>
          <w:sz w:val="22"/>
          <w:szCs w:val="22"/>
        </w:rPr>
        <w:fldChar w:fldCharType="begin"/>
      </w:r>
      <w:r w:rsidR="00760B11">
        <w:rPr>
          <w:rFonts w:cs="Arial"/>
          <w:sz w:val="22"/>
          <w:szCs w:val="22"/>
        </w:rPr>
        <w:instrText xml:space="preserve"> REF _Ref132117030 \r \h </w:instrText>
      </w:r>
      <w:r w:rsidR="00760B11">
        <w:rPr>
          <w:rFonts w:cs="Arial"/>
          <w:sz w:val="22"/>
          <w:szCs w:val="22"/>
        </w:rPr>
      </w:r>
      <w:r w:rsidR="00760B11">
        <w:rPr>
          <w:rFonts w:cs="Arial"/>
          <w:sz w:val="22"/>
          <w:szCs w:val="22"/>
        </w:rPr>
        <w:fldChar w:fldCharType="separate"/>
      </w:r>
      <w:r w:rsidR="00760B11">
        <w:rPr>
          <w:rFonts w:cs="Arial"/>
          <w:sz w:val="22"/>
          <w:szCs w:val="22"/>
        </w:rPr>
        <w:t>19.3.1.2</w:t>
      </w:r>
      <w:r w:rsidR="00760B11">
        <w:rPr>
          <w:rFonts w:cs="Arial"/>
          <w:sz w:val="22"/>
          <w:szCs w:val="22"/>
        </w:rPr>
        <w:fldChar w:fldCharType="end"/>
      </w:r>
      <w:r w:rsidR="00760B11">
        <w:rPr>
          <w:rFonts w:cs="Arial"/>
          <w:sz w:val="22"/>
          <w:szCs w:val="22"/>
        </w:rPr>
        <w:t xml:space="preserve"> y a </w:t>
      </w:r>
      <w:r w:rsidR="00760B11">
        <w:rPr>
          <w:rFonts w:cs="Arial"/>
          <w:sz w:val="22"/>
          <w:szCs w:val="22"/>
        </w:rPr>
        <w:fldChar w:fldCharType="begin"/>
      </w:r>
      <w:r w:rsidR="00760B11">
        <w:rPr>
          <w:rFonts w:cs="Arial"/>
          <w:sz w:val="22"/>
          <w:szCs w:val="22"/>
        </w:rPr>
        <w:instrText xml:space="preserve"> REF _Ref132198348 \r \h </w:instrText>
      </w:r>
      <w:r w:rsidR="00760B11">
        <w:rPr>
          <w:rFonts w:cs="Arial"/>
          <w:sz w:val="22"/>
          <w:szCs w:val="22"/>
        </w:rPr>
      </w:r>
      <w:r w:rsidR="00760B11">
        <w:rPr>
          <w:rFonts w:cs="Arial"/>
          <w:sz w:val="22"/>
          <w:szCs w:val="22"/>
        </w:rPr>
        <w:fldChar w:fldCharType="separate"/>
      </w:r>
      <w:r w:rsidR="00760B11">
        <w:rPr>
          <w:rFonts w:cs="Arial"/>
          <w:sz w:val="22"/>
          <w:szCs w:val="22"/>
        </w:rPr>
        <w:t>19.7.1.4</w:t>
      </w:r>
      <w:r w:rsidR="00760B11">
        <w:rPr>
          <w:rFonts w:cs="Arial"/>
          <w:sz w:val="22"/>
          <w:szCs w:val="22"/>
        </w:rPr>
        <w:fldChar w:fldCharType="end"/>
      </w:r>
      <w:r w:rsidRPr="003236A6">
        <w:rPr>
          <w:rFonts w:cs="Arial"/>
          <w:sz w:val="22"/>
          <w:szCs w:val="22"/>
        </w:rPr>
        <w:t>.</w:t>
      </w:r>
    </w:p>
    <w:p w14:paraId="3A43BECA" w14:textId="77777777" w:rsidR="003236A6" w:rsidRPr="0028726C" w:rsidRDefault="003236A6" w:rsidP="0028726C">
      <w:pPr>
        <w:rPr>
          <w:rFonts w:cs="Arial"/>
          <w:sz w:val="22"/>
          <w:szCs w:val="22"/>
        </w:rPr>
      </w:pPr>
    </w:p>
    <w:p w14:paraId="66D23AA7" w14:textId="77777777" w:rsidR="00C53D76" w:rsidRDefault="00C53D76" w:rsidP="0028726C">
      <w:pPr>
        <w:rPr>
          <w:rFonts w:cs="Arial"/>
          <w:sz w:val="22"/>
          <w:szCs w:val="22"/>
        </w:rPr>
      </w:pPr>
    </w:p>
    <w:p w14:paraId="4D82B135" w14:textId="77777777" w:rsidR="00C53D76" w:rsidRDefault="0028726C" w:rsidP="000D05A3">
      <w:pPr>
        <w:pStyle w:val="Ttulo4"/>
      </w:pPr>
      <w:bookmarkStart w:id="809" w:name="_Ref132207349"/>
      <w:r w:rsidRPr="0028726C">
        <w:t>GASES DE LA GUAJIRA</w:t>
      </w:r>
      <w:bookmarkEnd w:id="809"/>
      <w:r w:rsidRPr="0028726C">
        <w:tab/>
      </w:r>
    </w:p>
    <w:p w14:paraId="7F8093E0" w14:textId="29D52223" w:rsidR="0028726C" w:rsidRPr="00B651DD" w:rsidRDefault="0028726C" w:rsidP="0028726C">
      <w:pPr>
        <w:rPr>
          <w:rFonts w:cs="Arial"/>
          <w:i/>
          <w:iCs/>
          <w:sz w:val="22"/>
          <w:szCs w:val="22"/>
        </w:rPr>
      </w:pPr>
      <w:r w:rsidRPr="0028726C">
        <w:rPr>
          <w:rFonts w:cs="Arial"/>
          <w:sz w:val="22"/>
          <w:szCs w:val="22"/>
        </w:rPr>
        <w:t>"</w:t>
      </w:r>
      <w:r w:rsidRPr="00B651DD">
        <w:rPr>
          <w:rFonts w:cs="Arial"/>
          <w:i/>
          <w:iCs/>
          <w:sz w:val="22"/>
          <w:szCs w:val="22"/>
        </w:rPr>
        <w:t xml:space="preserve">El reporte del respaldo físico resulta un una contradicción, si se tiene en cuenta que todas las ventas que se hagan en el mercado primario deben tener un respaldo físico, y al mismo tiempo, que todas las modalidades que se pueden ofrecer en el mercado primario, corresponden a contratos en firme o que garantizan firmeza se solicita se aclare a qué se refiere el regulador cuando la demanda tiene que determinar que cantidades requieren respaldo físico, y por lo tanto las reservas necesarias para honrar los compromisos, y </w:t>
      </w:r>
      <w:proofErr w:type="spellStart"/>
      <w:r w:rsidRPr="00B651DD">
        <w:rPr>
          <w:rFonts w:cs="Arial"/>
          <w:i/>
          <w:iCs/>
          <w:sz w:val="22"/>
          <w:szCs w:val="22"/>
        </w:rPr>
        <w:t>cuales</w:t>
      </w:r>
      <w:proofErr w:type="spellEnd"/>
      <w:r w:rsidRPr="00B651DD">
        <w:rPr>
          <w:rFonts w:cs="Arial"/>
          <w:i/>
          <w:iCs/>
          <w:sz w:val="22"/>
          <w:szCs w:val="22"/>
        </w:rPr>
        <w:t xml:space="preserve"> son los contratos que se darían sin respaldo físico.</w:t>
      </w:r>
    </w:p>
    <w:p w14:paraId="02B5FA88" w14:textId="77777777" w:rsidR="0028726C" w:rsidRPr="00B651DD" w:rsidRDefault="0028726C" w:rsidP="0028726C">
      <w:pPr>
        <w:rPr>
          <w:rFonts w:cs="Arial"/>
          <w:i/>
          <w:iCs/>
          <w:sz w:val="22"/>
          <w:szCs w:val="22"/>
        </w:rPr>
      </w:pPr>
    </w:p>
    <w:p w14:paraId="1A58D427" w14:textId="77777777" w:rsidR="0028726C" w:rsidRPr="00B651DD" w:rsidRDefault="0028726C" w:rsidP="0028726C">
      <w:pPr>
        <w:rPr>
          <w:rFonts w:cs="Arial"/>
          <w:i/>
          <w:iCs/>
          <w:sz w:val="22"/>
          <w:szCs w:val="22"/>
        </w:rPr>
      </w:pPr>
      <w:r w:rsidRPr="00B651DD">
        <w:rPr>
          <w:rFonts w:cs="Arial"/>
          <w:i/>
          <w:iCs/>
          <w:sz w:val="22"/>
          <w:szCs w:val="22"/>
        </w:rPr>
        <w:t xml:space="preserve">Al mismo tiempo, se solicita aclarar si esto significa que los Productores podrían ofrecer cantidades sin respaldo físico, </w:t>
      </w:r>
      <w:proofErr w:type="gramStart"/>
      <w:r w:rsidRPr="00B651DD">
        <w:rPr>
          <w:rFonts w:cs="Arial"/>
          <w:i/>
          <w:iCs/>
          <w:sz w:val="22"/>
          <w:szCs w:val="22"/>
        </w:rPr>
        <w:t>y</w:t>
      </w:r>
      <w:proofErr w:type="gramEnd"/>
      <w:r w:rsidRPr="00B651DD">
        <w:rPr>
          <w:rFonts w:cs="Arial"/>
          <w:i/>
          <w:iCs/>
          <w:sz w:val="22"/>
          <w:szCs w:val="22"/>
        </w:rPr>
        <w:t xml:space="preserve"> por tanto, sin reservas. </w:t>
      </w:r>
      <w:proofErr w:type="gramStart"/>
      <w:r w:rsidRPr="00B651DD">
        <w:rPr>
          <w:rFonts w:cs="Arial"/>
          <w:i/>
          <w:iCs/>
          <w:sz w:val="22"/>
          <w:szCs w:val="22"/>
        </w:rPr>
        <w:t>En caso que</w:t>
      </w:r>
      <w:proofErr w:type="gramEnd"/>
      <w:r w:rsidRPr="00B651DD">
        <w:rPr>
          <w:rFonts w:cs="Arial"/>
          <w:i/>
          <w:iCs/>
          <w:sz w:val="22"/>
          <w:szCs w:val="22"/>
        </w:rPr>
        <w:t xml:space="preserve"> sea así, se solicita se incluya dentro del análisis de impacto normativo, y específicamente porque considera el regulador que no se presentaría lo mismo que en el 2010, donde el mercado estaba subcontratado."</w:t>
      </w:r>
    </w:p>
    <w:p w14:paraId="2D3C52DE" w14:textId="77777777" w:rsidR="00B651DD" w:rsidRDefault="00B651DD" w:rsidP="0028726C">
      <w:pPr>
        <w:rPr>
          <w:rFonts w:cs="Arial"/>
          <w:sz w:val="22"/>
          <w:szCs w:val="22"/>
        </w:rPr>
      </w:pPr>
    </w:p>
    <w:p w14:paraId="0CFEA350" w14:textId="4770EA3D" w:rsidR="00B651DD" w:rsidRPr="00B651DD" w:rsidRDefault="00B651DD" w:rsidP="0028726C">
      <w:pPr>
        <w:rPr>
          <w:rFonts w:cs="Arial"/>
          <w:b/>
          <w:bCs/>
          <w:sz w:val="22"/>
          <w:szCs w:val="22"/>
        </w:rPr>
      </w:pPr>
      <w:r w:rsidRPr="00B651DD">
        <w:rPr>
          <w:rFonts w:cs="Arial"/>
          <w:b/>
          <w:bCs/>
          <w:sz w:val="22"/>
          <w:szCs w:val="22"/>
        </w:rPr>
        <w:t>Respuesta:</w:t>
      </w:r>
    </w:p>
    <w:p w14:paraId="3F3C1C47" w14:textId="77777777" w:rsidR="00B651DD" w:rsidRDefault="00B651DD" w:rsidP="0028726C">
      <w:pPr>
        <w:rPr>
          <w:rFonts w:cs="Arial"/>
          <w:sz w:val="22"/>
          <w:szCs w:val="22"/>
        </w:rPr>
      </w:pPr>
    </w:p>
    <w:p w14:paraId="58EE8AF9" w14:textId="7ED15E58" w:rsidR="00B651DD" w:rsidRDefault="0036449C" w:rsidP="0028726C">
      <w:pPr>
        <w:rPr>
          <w:rFonts w:cs="Arial"/>
          <w:sz w:val="22"/>
          <w:szCs w:val="22"/>
        </w:rPr>
      </w:pPr>
      <w:r>
        <w:rPr>
          <w:rFonts w:cs="Arial"/>
          <w:sz w:val="22"/>
          <w:szCs w:val="22"/>
        </w:rPr>
        <w:t>Se acoge el comentario.</w:t>
      </w:r>
    </w:p>
    <w:p w14:paraId="1CEFEE33" w14:textId="77777777" w:rsidR="0036449C" w:rsidRDefault="0036449C" w:rsidP="0028726C">
      <w:pPr>
        <w:rPr>
          <w:rFonts w:cs="Arial"/>
          <w:sz w:val="22"/>
          <w:szCs w:val="22"/>
        </w:rPr>
      </w:pPr>
    </w:p>
    <w:p w14:paraId="66B50A36" w14:textId="6516F6D3" w:rsidR="0036449C" w:rsidRDefault="0036449C" w:rsidP="0028726C">
      <w:pPr>
        <w:rPr>
          <w:rFonts w:cs="Arial"/>
          <w:sz w:val="22"/>
          <w:szCs w:val="22"/>
        </w:rPr>
      </w:pPr>
      <w:r>
        <w:rPr>
          <w:rFonts w:cs="Arial"/>
          <w:sz w:val="22"/>
          <w:szCs w:val="22"/>
        </w:rPr>
        <w:t xml:space="preserve">Ver respuesta a </w:t>
      </w:r>
      <w:r w:rsidR="00F1497A">
        <w:rPr>
          <w:rFonts w:cs="Arial"/>
          <w:sz w:val="22"/>
          <w:szCs w:val="22"/>
        </w:rPr>
        <w:fldChar w:fldCharType="begin"/>
      </w:r>
      <w:r w:rsidR="00F1497A">
        <w:rPr>
          <w:rFonts w:cs="Arial"/>
          <w:sz w:val="22"/>
          <w:szCs w:val="22"/>
        </w:rPr>
        <w:instrText xml:space="preserve"> REF _Ref132200942 \r \h </w:instrText>
      </w:r>
      <w:r w:rsidR="00F1497A">
        <w:rPr>
          <w:rFonts w:cs="Arial"/>
          <w:sz w:val="22"/>
          <w:szCs w:val="22"/>
        </w:rPr>
      </w:r>
      <w:r w:rsidR="00F1497A">
        <w:rPr>
          <w:rFonts w:cs="Arial"/>
          <w:sz w:val="22"/>
          <w:szCs w:val="22"/>
        </w:rPr>
        <w:fldChar w:fldCharType="separate"/>
      </w:r>
      <w:r w:rsidR="007651EA">
        <w:rPr>
          <w:rFonts w:cs="Arial"/>
          <w:sz w:val="22"/>
          <w:szCs w:val="22"/>
        </w:rPr>
        <w:t>17.26.1.1</w:t>
      </w:r>
      <w:r w:rsidR="00F1497A">
        <w:rPr>
          <w:rFonts w:cs="Arial"/>
          <w:sz w:val="22"/>
          <w:szCs w:val="22"/>
        </w:rPr>
        <w:fldChar w:fldCharType="end"/>
      </w:r>
      <w:r w:rsidR="00F1497A">
        <w:rPr>
          <w:rFonts w:cs="Arial"/>
          <w:sz w:val="22"/>
          <w:szCs w:val="22"/>
        </w:rPr>
        <w:t>.</w:t>
      </w:r>
    </w:p>
    <w:p w14:paraId="6B5EF7BC" w14:textId="77777777" w:rsidR="00B651DD" w:rsidRPr="0028726C" w:rsidRDefault="00B651DD" w:rsidP="0028726C">
      <w:pPr>
        <w:rPr>
          <w:rFonts w:cs="Arial"/>
          <w:sz w:val="22"/>
          <w:szCs w:val="22"/>
        </w:rPr>
      </w:pPr>
    </w:p>
    <w:p w14:paraId="61725293" w14:textId="77777777" w:rsidR="00C53D76" w:rsidRDefault="00C53D76" w:rsidP="0028726C">
      <w:pPr>
        <w:rPr>
          <w:rFonts w:cs="Arial"/>
          <w:sz w:val="22"/>
          <w:szCs w:val="22"/>
        </w:rPr>
      </w:pPr>
    </w:p>
    <w:p w14:paraId="57E36F50" w14:textId="4B323D9B" w:rsidR="00C53D76" w:rsidRDefault="0028726C" w:rsidP="000D05A3">
      <w:pPr>
        <w:pStyle w:val="Ttulo4"/>
      </w:pPr>
      <w:bookmarkStart w:id="810" w:name="_Ref132290223"/>
      <w:r w:rsidRPr="0028726C">
        <w:t>GASES DE LA GUAJIRA</w:t>
      </w:r>
      <w:bookmarkEnd w:id="810"/>
      <w:r w:rsidRPr="0028726C">
        <w:tab/>
      </w:r>
    </w:p>
    <w:p w14:paraId="5CCF9E1B" w14:textId="3FEF242B" w:rsidR="0028726C" w:rsidRPr="00F1497A" w:rsidRDefault="0028726C" w:rsidP="0028726C">
      <w:pPr>
        <w:rPr>
          <w:rFonts w:cs="Arial"/>
          <w:i/>
          <w:iCs/>
          <w:sz w:val="22"/>
          <w:szCs w:val="22"/>
        </w:rPr>
      </w:pPr>
      <w:r w:rsidRPr="0028726C">
        <w:rPr>
          <w:rFonts w:cs="Arial"/>
          <w:sz w:val="22"/>
          <w:szCs w:val="22"/>
        </w:rPr>
        <w:t>"</w:t>
      </w:r>
      <w:r w:rsidRPr="00F1497A">
        <w:rPr>
          <w:rFonts w:cs="Arial"/>
          <w:i/>
          <w:iCs/>
          <w:sz w:val="22"/>
          <w:szCs w:val="22"/>
        </w:rPr>
        <w:t>En este punto específico, el regulador está solicitando a los compradores que tomen una decisión sin tener la totalidad de los datos necesarios para la misma. En ese sentido, el regulador determina que la demanda está obligada a adquirir unos volúmenes determinados, sin conocer el precio y las condiciones con las cuales los mismos se darían, lo cual no resulta razonable.</w:t>
      </w:r>
      <w:r w:rsidR="00E37F53">
        <w:rPr>
          <w:rFonts w:cs="Arial"/>
          <w:i/>
          <w:iCs/>
          <w:sz w:val="22"/>
          <w:szCs w:val="22"/>
        </w:rPr>
        <w:t>”</w:t>
      </w:r>
    </w:p>
    <w:p w14:paraId="23F15CA9" w14:textId="77777777" w:rsidR="0028726C" w:rsidRDefault="0028726C" w:rsidP="0028726C">
      <w:pPr>
        <w:rPr>
          <w:rFonts w:cs="Arial"/>
          <w:i/>
          <w:iCs/>
          <w:sz w:val="22"/>
          <w:szCs w:val="22"/>
        </w:rPr>
      </w:pPr>
    </w:p>
    <w:p w14:paraId="26A1C0F3" w14:textId="0F52D89F" w:rsidR="00F1497A" w:rsidRPr="00F1497A" w:rsidRDefault="00F1497A" w:rsidP="0028726C">
      <w:pPr>
        <w:rPr>
          <w:rFonts w:cs="Arial"/>
          <w:b/>
          <w:bCs/>
          <w:sz w:val="22"/>
          <w:szCs w:val="22"/>
        </w:rPr>
      </w:pPr>
      <w:r w:rsidRPr="00F1497A">
        <w:rPr>
          <w:rFonts w:cs="Arial"/>
          <w:b/>
          <w:bCs/>
          <w:sz w:val="22"/>
          <w:szCs w:val="22"/>
        </w:rPr>
        <w:t>Respuesta:</w:t>
      </w:r>
    </w:p>
    <w:p w14:paraId="3FF95587" w14:textId="77777777" w:rsidR="00F1497A" w:rsidRPr="00F1497A" w:rsidRDefault="00F1497A" w:rsidP="0028726C">
      <w:pPr>
        <w:rPr>
          <w:rFonts w:cs="Arial"/>
          <w:sz w:val="22"/>
          <w:szCs w:val="22"/>
        </w:rPr>
      </w:pPr>
    </w:p>
    <w:p w14:paraId="16C14705" w14:textId="5A4B1C3A" w:rsidR="00F1497A" w:rsidRDefault="00F1497A" w:rsidP="0028726C">
      <w:pPr>
        <w:rPr>
          <w:rFonts w:cs="Arial"/>
          <w:sz w:val="22"/>
          <w:szCs w:val="22"/>
        </w:rPr>
      </w:pPr>
      <w:r>
        <w:rPr>
          <w:rFonts w:cs="Arial"/>
          <w:sz w:val="22"/>
          <w:szCs w:val="22"/>
        </w:rPr>
        <w:t>No se acoge el comentario.</w:t>
      </w:r>
    </w:p>
    <w:p w14:paraId="6545AAB9" w14:textId="77777777" w:rsidR="00F1497A" w:rsidRDefault="00F1497A" w:rsidP="0028726C">
      <w:pPr>
        <w:rPr>
          <w:rFonts w:cs="Arial"/>
          <w:sz w:val="22"/>
          <w:szCs w:val="22"/>
        </w:rPr>
      </w:pPr>
    </w:p>
    <w:p w14:paraId="6B8AB9A7" w14:textId="77777777" w:rsidR="00845C08" w:rsidRDefault="00F1497A" w:rsidP="0028726C">
      <w:pPr>
        <w:rPr>
          <w:rFonts w:cs="Arial"/>
          <w:sz w:val="22"/>
          <w:szCs w:val="22"/>
        </w:rPr>
      </w:pPr>
      <w:r>
        <w:rPr>
          <w:rFonts w:cs="Arial"/>
          <w:sz w:val="22"/>
          <w:szCs w:val="22"/>
        </w:rPr>
        <w:t xml:space="preserve">En la propuesta se establece que el comprador tiene dos instancias de declaración de cantidades demandadas al Gestor del Mercado. Para la primera instancia se </w:t>
      </w:r>
      <w:r w:rsidR="002E0BE6">
        <w:rPr>
          <w:rFonts w:cs="Arial"/>
          <w:sz w:val="22"/>
          <w:szCs w:val="22"/>
        </w:rPr>
        <w:t xml:space="preserve">propuso que el comprador declarara las cantidades totales a ser suministradas, especificando las que tienen como destino atender la Demanda Esencial. En la determinación de tales cantidades específicas de la Demanda Esencial la propuesta no establece parámetros a ser considerados, dejando total autonomía al comprador para determinar las cantidades a declarar. </w:t>
      </w:r>
    </w:p>
    <w:p w14:paraId="7AE793D9" w14:textId="77777777" w:rsidR="00845C08" w:rsidRDefault="00845C08" w:rsidP="0028726C">
      <w:pPr>
        <w:rPr>
          <w:rFonts w:cs="Arial"/>
          <w:sz w:val="22"/>
          <w:szCs w:val="22"/>
        </w:rPr>
      </w:pPr>
    </w:p>
    <w:p w14:paraId="7FC84239" w14:textId="2620E16D" w:rsidR="002E0BE6" w:rsidRDefault="00845C08" w:rsidP="0028726C">
      <w:pPr>
        <w:rPr>
          <w:rFonts w:cs="Arial"/>
          <w:sz w:val="22"/>
          <w:szCs w:val="22"/>
        </w:rPr>
      </w:pPr>
      <w:r>
        <w:rPr>
          <w:rFonts w:cs="Arial"/>
          <w:sz w:val="22"/>
          <w:szCs w:val="22"/>
        </w:rPr>
        <w:t>En la segunda instancia de declaración del comprador al Gestor del Mercado, se propuso que el vendedor debía declarar las cantidades que se obliga a comprar como máximo para el caso de requerirse una subasta</w:t>
      </w:r>
      <w:r w:rsidR="002E0BE6">
        <w:rPr>
          <w:rFonts w:cs="Arial"/>
          <w:sz w:val="22"/>
          <w:szCs w:val="22"/>
        </w:rPr>
        <w:t xml:space="preserve"> </w:t>
      </w:r>
      <w:r>
        <w:rPr>
          <w:rFonts w:cs="Arial"/>
          <w:sz w:val="22"/>
          <w:szCs w:val="22"/>
        </w:rPr>
        <w:t>pudiendo ser menores a las declaradas en la primera instancia para atender aquella demanda que no hace parte de la Demanda Esencial. De nuevo, en este caso la propuesta no establece parámetros a ser considerados para que el comprador determine esos máximos, dejando total autonomía al comprador para determinar las cantidades a declarar.</w:t>
      </w:r>
    </w:p>
    <w:p w14:paraId="0EBCB8AC" w14:textId="77777777" w:rsidR="002E0BE6" w:rsidRDefault="002E0BE6" w:rsidP="0028726C">
      <w:pPr>
        <w:rPr>
          <w:rFonts w:cs="Arial"/>
          <w:sz w:val="22"/>
          <w:szCs w:val="22"/>
        </w:rPr>
      </w:pPr>
    </w:p>
    <w:p w14:paraId="1036B7A3" w14:textId="42DAD012" w:rsidR="00F7228B" w:rsidRDefault="00845C08" w:rsidP="0028726C">
      <w:pPr>
        <w:rPr>
          <w:rFonts w:cs="Arial"/>
          <w:sz w:val="22"/>
          <w:szCs w:val="22"/>
        </w:rPr>
      </w:pPr>
      <w:r w:rsidRPr="00845C08">
        <w:rPr>
          <w:rFonts w:cs="Arial"/>
          <w:sz w:val="22"/>
          <w:szCs w:val="22"/>
        </w:rPr>
        <w:t>Para lo anterior el comprador puede determinar diversas estrategias de compra, para cubrir poco a poco las necesidades identificadas por el comprador como necesarias</w:t>
      </w:r>
      <w:r>
        <w:rPr>
          <w:rFonts w:cs="Arial"/>
          <w:sz w:val="22"/>
          <w:szCs w:val="22"/>
        </w:rPr>
        <w:t xml:space="preserve"> a adquirir en cada trimestre de negociación para futuros trimestres de suministro. </w:t>
      </w:r>
      <w:r w:rsidR="00EF6F1B">
        <w:rPr>
          <w:rFonts w:cs="Arial"/>
          <w:sz w:val="22"/>
          <w:szCs w:val="22"/>
        </w:rPr>
        <w:t>Lo anterior, para la atención de su demanda</w:t>
      </w:r>
      <w:r w:rsidR="003565AF">
        <w:rPr>
          <w:rFonts w:cs="Arial"/>
          <w:sz w:val="22"/>
          <w:szCs w:val="22"/>
        </w:rPr>
        <w:t>.</w:t>
      </w:r>
    </w:p>
    <w:p w14:paraId="5A274F59" w14:textId="77777777" w:rsidR="00E711FC" w:rsidRDefault="00E711FC" w:rsidP="0028726C">
      <w:pPr>
        <w:rPr>
          <w:rFonts w:cs="Arial"/>
          <w:sz w:val="22"/>
          <w:szCs w:val="22"/>
        </w:rPr>
      </w:pPr>
    </w:p>
    <w:p w14:paraId="17C9CAEF" w14:textId="73F48DF7" w:rsidR="00E711FC" w:rsidRDefault="00E711FC" w:rsidP="0028726C">
      <w:pPr>
        <w:rPr>
          <w:rFonts w:cs="Arial"/>
          <w:sz w:val="22"/>
          <w:szCs w:val="22"/>
        </w:rPr>
      </w:pPr>
      <w:r>
        <w:rPr>
          <w:rFonts w:cs="Arial"/>
          <w:sz w:val="22"/>
          <w:szCs w:val="22"/>
        </w:rPr>
        <w:t>Por otra parte en la nueva propuesta se está incluyendo la obligación del vendedor de declarar al Gestor del Mercado e</w:t>
      </w:r>
      <w:r w:rsidRPr="00E711FC">
        <w:rPr>
          <w:rFonts w:cs="Arial"/>
          <w:sz w:val="22"/>
          <w:szCs w:val="22"/>
        </w:rPr>
        <w:t>l contenido de la minuta del contrato que garantice firmeza, que será utilizada para la modalidad contractual CF95, de suministro con firmeza condicionada CFC o de opción de compra de gas OCG, solo en caso de requerirse aplicar el mecanismo de subasta, o en caso de utilizarse mecanismos de concurrencia de interesados para las fuentes de suministro que pueden aplicar negociaciones directas</w:t>
      </w:r>
      <w:r>
        <w:rPr>
          <w:rFonts w:cs="Arial"/>
          <w:sz w:val="22"/>
          <w:szCs w:val="22"/>
        </w:rPr>
        <w:t>.</w:t>
      </w:r>
    </w:p>
    <w:p w14:paraId="255A711E" w14:textId="77777777" w:rsidR="00F7228B" w:rsidRDefault="00F7228B" w:rsidP="0028726C">
      <w:pPr>
        <w:rPr>
          <w:rFonts w:cs="Arial"/>
          <w:sz w:val="22"/>
          <w:szCs w:val="22"/>
        </w:rPr>
      </w:pPr>
    </w:p>
    <w:p w14:paraId="496C8D44" w14:textId="7B9CA5CF" w:rsidR="00845C08" w:rsidRDefault="00F7228B" w:rsidP="0028726C">
      <w:pPr>
        <w:rPr>
          <w:rFonts w:cs="Arial"/>
          <w:sz w:val="22"/>
          <w:szCs w:val="22"/>
        </w:rPr>
      </w:pPr>
      <w:r>
        <w:rPr>
          <w:rFonts w:cs="Arial"/>
          <w:sz w:val="22"/>
          <w:szCs w:val="22"/>
        </w:rPr>
        <w:t xml:space="preserve">Ver </w:t>
      </w:r>
      <w:r w:rsidR="00A45494">
        <w:rPr>
          <w:rFonts w:cs="Arial"/>
          <w:sz w:val="22"/>
          <w:szCs w:val="22"/>
        </w:rPr>
        <w:t xml:space="preserve">respuesta a </w:t>
      </w:r>
      <w:r w:rsidR="00A45494">
        <w:rPr>
          <w:rFonts w:cs="Arial"/>
          <w:sz w:val="22"/>
          <w:szCs w:val="22"/>
        </w:rPr>
        <w:fldChar w:fldCharType="begin"/>
      </w:r>
      <w:r w:rsidR="00A45494">
        <w:rPr>
          <w:rFonts w:cs="Arial"/>
          <w:sz w:val="22"/>
          <w:szCs w:val="22"/>
        </w:rPr>
        <w:instrText xml:space="preserve"> REF _Ref132117030 \r \h </w:instrText>
      </w:r>
      <w:r w:rsidR="00A45494">
        <w:rPr>
          <w:rFonts w:cs="Arial"/>
          <w:sz w:val="22"/>
          <w:szCs w:val="22"/>
        </w:rPr>
      </w:r>
      <w:r w:rsidR="00A45494">
        <w:rPr>
          <w:rFonts w:cs="Arial"/>
          <w:sz w:val="22"/>
          <w:szCs w:val="22"/>
        </w:rPr>
        <w:fldChar w:fldCharType="separate"/>
      </w:r>
      <w:r w:rsidR="007651EA">
        <w:rPr>
          <w:rFonts w:cs="Arial"/>
          <w:sz w:val="22"/>
          <w:szCs w:val="22"/>
        </w:rPr>
        <w:t>19.3.1.2</w:t>
      </w:r>
      <w:r w:rsidR="00A45494">
        <w:rPr>
          <w:rFonts w:cs="Arial"/>
          <w:sz w:val="22"/>
          <w:szCs w:val="22"/>
        </w:rPr>
        <w:fldChar w:fldCharType="end"/>
      </w:r>
      <w:r w:rsidR="00A45494">
        <w:rPr>
          <w:rFonts w:cs="Arial"/>
          <w:sz w:val="22"/>
          <w:szCs w:val="22"/>
        </w:rPr>
        <w:t xml:space="preserve"> y a </w:t>
      </w:r>
      <w:r w:rsidR="00A45494">
        <w:rPr>
          <w:rFonts w:cs="Arial"/>
          <w:sz w:val="22"/>
          <w:szCs w:val="22"/>
        </w:rPr>
        <w:fldChar w:fldCharType="begin"/>
      </w:r>
      <w:r w:rsidR="00A45494">
        <w:rPr>
          <w:rFonts w:cs="Arial"/>
          <w:sz w:val="22"/>
          <w:szCs w:val="22"/>
        </w:rPr>
        <w:instrText xml:space="preserve"> REF _Ref132188238 \r \h </w:instrText>
      </w:r>
      <w:r w:rsidR="00A45494">
        <w:rPr>
          <w:rFonts w:cs="Arial"/>
          <w:sz w:val="22"/>
          <w:szCs w:val="22"/>
        </w:rPr>
      </w:r>
      <w:r w:rsidR="00A45494">
        <w:rPr>
          <w:rFonts w:cs="Arial"/>
          <w:sz w:val="22"/>
          <w:szCs w:val="22"/>
        </w:rPr>
        <w:fldChar w:fldCharType="separate"/>
      </w:r>
      <w:r w:rsidR="007651EA">
        <w:rPr>
          <w:rFonts w:cs="Arial"/>
          <w:sz w:val="22"/>
          <w:szCs w:val="22"/>
        </w:rPr>
        <w:t>19.7.1.1</w:t>
      </w:r>
      <w:r w:rsidR="00A45494">
        <w:rPr>
          <w:rFonts w:cs="Arial"/>
          <w:sz w:val="22"/>
          <w:szCs w:val="22"/>
        </w:rPr>
        <w:fldChar w:fldCharType="end"/>
      </w:r>
      <w:r>
        <w:rPr>
          <w:rFonts w:cs="Arial"/>
          <w:sz w:val="22"/>
          <w:szCs w:val="22"/>
        </w:rPr>
        <w:t>.</w:t>
      </w:r>
    </w:p>
    <w:p w14:paraId="59C06F25" w14:textId="77777777" w:rsidR="00845C08" w:rsidRDefault="00845C08" w:rsidP="0028726C">
      <w:pPr>
        <w:rPr>
          <w:rFonts w:cs="Arial"/>
          <w:sz w:val="22"/>
          <w:szCs w:val="22"/>
        </w:rPr>
      </w:pPr>
    </w:p>
    <w:p w14:paraId="78E4B623" w14:textId="64743920" w:rsidR="00F1497A" w:rsidRPr="00845C08" w:rsidRDefault="00845C08" w:rsidP="0028726C">
      <w:pPr>
        <w:rPr>
          <w:rFonts w:cs="Arial"/>
          <w:sz w:val="22"/>
          <w:szCs w:val="22"/>
        </w:rPr>
      </w:pPr>
      <w:r w:rsidRPr="00845C08">
        <w:rPr>
          <w:rFonts w:cs="Arial"/>
          <w:sz w:val="22"/>
          <w:szCs w:val="22"/>
        </w:rPr>
        <w:t xml:space="preserve"> </w:t>
      </w:r>
    </w:p>
    <w:p w14:paraId="4915963E" w14:textId="77777777" w:rsidR="00F1497A" w:rsidRDefault="00F1497A" w:rsidP="00F1497A">
      <w:pPr>
        <w:pStyle w:val="Ttulo4"/>
      </w:pPr>
      <w:r w:rsidRPr="0028726C">
        <w:t>GASES DE LA GUAJIRA</w:t>
      </w:r>
      <w:r w:rsidRPr="0028726C">
        <w:tab/>
      </w:r>
    </w:p>
    <w:p w14:paraId="7D7C739E" w14:textId="4FD5270B" w:rsidR="0028726C" w:rsidRDefault="003565AF" w:rsidP="0028726C">
      <w:pPr>
        <w:rPr>
          <w:rFonts w:cs="Arial"/>
          <w:sz w:val="22"/>
          <w:szCs w:val="22"/>
        </w:rPr>
      </w:pPr>
      <w:r>
        <w:rPr>
          <w:rFonts w:cs="Arial"/>
          <w:i/>
          <w:iCs/>
          <w:sz w:val="22"/>
          <w:szCs w:val="22"/>
        </w:rPr>
        <w:t>“</w:t>
      </w:r>
      <w:r w:rsidR="0028726C" w:rsidRPr="00F1497A">
        <w:rPr>
          <w:rFonts w:cs="Arial"/>
          <w:i/>
          <w:iCs/>
          <w:sz w:val="22"/>
          <w:szCs w:val="22"/>
        </w:rPr>
        <w:t xml:space="preserve">Al mismo tiempo, el regulador estaría creando una situación donde el Productor podría poner cualquier precio a </w:t>
      </w:r>
      <w:r w:rsidR="00206AB4">
        <w:rPr>
          <w:rFonts w:cs="Arial"/>
          <w:i/>
          <w:iCs/>
          <w:sz w:val="22"/>
          <w:szCs w:val="22"/>
        </w:rPr>
        <w:t>e</w:t>
      </w:r>
      <w:r w:rsidR="0028726C" w:rsidRPr="00F1497A">
        <w:rPr>
          <w:rFonts w:cs="Arial"/>
          <w:i/>
          <w:iCs/>
          <w:sz w:val="22"/>
          <w:szCs w:val="22"/>
        </w:rPr>
        <w:t>se gas, con la seguridad que la demanda tendría que adquirirla, mucho más si un punto de referencia solo incluye un Productor, con diferentes fuentes de suministro</w:t>
      </w:r>
      <w:r w:rsidR="0028726C" w:rsidRPr="0028726C">
        <w:rPr>
          <w:rFonts w:cs="Arial"/>
          <w:sz w:val="22"/>
          <w:szCs w:val="22"/>
        </w:rPr>
        <w:t>."</w:t>
      </w:r>
    </w:p>
    <w:p w14:paraId="6889A329" w14:textId="77777777" w:rsidR="00F1497A" w:rsidRDefault="00F1497A" w:rsidP="0028726C">
      <w:pPr>
        <w:rPr>
          <w:rFonts w:cs="Arial"/>
          <w:sz w:val="22"/>
          <w:szCs w:val="22"/>
        </w:rPr>
      </w:pPr>
    </w:p>
    <w:p w14:paraId="12E30B2F" w14:textId="4E956092" w:rsidR="00F1497A" w:rsidRPr="00F1497A" w:rsidRDefault="00F1497A" w:rsidP="0028726C">
      <w:pPr>
        <w:rPr>
          <w:rFonts w:cs="Arial"/>
          <w:b/>
          <w:bCs/>
          <w:sz w:val="22"/>
          <w:szCs w:val="22"/>
        </w:rPr>
      </w:pPr>
      <w:r w:rsidRPr="00F1497A">
        <w:rPr>
          <w:rFonts w:cs="Arial"/>
          <w:b/>
          <w:bCs/>
          <w:sz w:val="22"/>
          <w:szCs w:val="22"/>
        </w:rPr>
        <w:t>Respuesta:</w:t>
      </w:r>
    </w:p>
    <w:p w14:paraId="38C74477" w14:textId="77777777" w:rsidR="00F1497A" w:rsidRDefault="00F1497A" w:rsidP="0028726C">
      <w:pPr>
        <w:rPr>
          <w:rFonts w:cs="Arial"/>
          <w:sz w:val="22"/>
          <w:szCs w:val="22"/>
        </w:rPr>
      </w:pPr>
    </w:p>
    <w:p w14:paraId="2DD80554" w14:textId="518140EC" w:rsidR="00F1497A" w:rsidRDefault="00206AB4"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_Ref132198348 \r \h </w:instrText>
      </w:r>
      <w:r>
        <w:rPr>
          <w:rFonts w:cs="Arial"/>
          <w:sz w:val="22"/>
          <w:szCs w:val="22"/>
        </w:rPr>
      </w:r>
      <w:r>
        <w:rPr>
          <w:rFonts w:cs="Arial"/>
          <w:sz w:val="22"/>
          <w:szCs w:val="22"/>
        </w:rPr>
        <w:fldChar w:fldCharType="separate"/>
      </w:r>
      <w:r w:rsidR="007651EA">
        <w:rPr>
          <w:rFonts w:cs="Arial"/>
          <w:sz w:val="22"/>
          <w:szCs w:val="22"/>
        </w:rPr>
        <w:t>19.7.1.4</w:t>
      </w:r>
      <w:r>
        <w:rPr>
          <w:rFonts w:cs="Arial"/>
          <w:sz w:val="22"/>
          <w:szCs w:val="22"/>
        </w:rPr>
        <w:fldChar w:fldCharType="end"/>
      </w:r>
      <w:r>
        <w:rPr>
          <w:rFonts w:cs="Arial"/>
          <w:sz w:val="22"/>
          <w:szCs w:val="22"/>
        </w:rPr>
        <w:t>.</w:t>
      </w:r>
    </w:p>
    <w:p w14:paraId="6E031BCC" w14:textId="77777777" w:rsidR="00F1497A" w:rsidRPr="0028726C" w:rsidRDefault="00F1497A" w:rsidP="0028726C">
      <w:pPr>
        <w:rPr>
          <w:rFonts w:cs="Arial"/>
          <w:sz w:val="22"/>
          <w:szCs w:val="22"/>
        </w:rPr>
      </w:pPr>
    </w:p>
    <w:p w14:paraId="3FAFEA71" w14:textId="77777777" w:rsidR="00C53D76" w:rsidRDefault="00C53D76" w:rsidP="0028726C">
      <w:pPr>
        <w:rPr>
          <w:rFonts w:cs="Arial"/>
          <w:sz w:val="22"/>
          <w:szCs w:val="22"/>
        </w:rPr>
      </w:pPr>
    </w:p>
    <w:p w14:paraId="54A60020" w14:textId="77777777" w:rsidR="00C53D76" w:rsidRDefault="0028726C" w:rsidP="000D05A3">
      <w:pPr>
        <w:pStyle w:val="Ttulo4"/>
      </w:pPr>
      <w:bookmarkStart w:id="811" w:name="_Ref132290328"/>
      <w:r w:rsidRPr="0028726C">
        <w:t>GASES DE LA GUAJIRA</w:t>
      </w:r>
      <w:bookmarkEnd w:id="811"/>
      <w:r w:rsidRPr="0028726C">
        <w:tab/>
      </w:r>
    </w:p>
    <w:p w14:paraId="2A6C6564" w14:textId="5AC1B768" w:rsidR="0028726C" w:rsidRPr="00206AB4" w:rsidRDefault="0028726C" w:rsidP="0028726C">
      <w:pPr>
        <w:rPr>
          <w:rFonts w:cs="Arial"/>
          <w:i/>
          <w:iCs/>
          <w:sz w:val="22"/>
          <w:szCs w:val="22"/>
        </w:rPr>
      </w:pPr>
      <w:r w:rsidRPr="0028726C">
        <w:rPr>
          <w:rFonts w:cs="Arial"/>
          <w:sz w:val="22"/>
          <w:szCs w:val="22"/>
        </w:rPr>
        <w:t>"</w:t>
      </w:r>
      <w:r w:rsidRPr="00206AB4">
        <w:rPr>
          <w:rFonts w:cs="Arial"/>
          <w:i/>
          <w:iCs/>
          <w:sz w:val="22"/>
          <w:szCs w:val="22"/>
        </w:rPr>
        <w:t>Se solicita aclarar en este parte lo siguiente:</w:t>
      </w:r>
    </w:p>
    <w:p w14:paraId="1B7A83DF" w14:textId="77777777" w:rsidR="0028726C" w:rsidRPr="00206AB4" w:rsidRDefault="0028726C" w:rsidP="0028726C">
      <w:pPr>
        <w:rPr>
          <w:rFonts w:cs="Arial"/>
          <w:i/>
          <w:iCs/>
          <w:sz w:val="22"/>
          <w:szCs w:val="22"/>
        </w:rPr>
      </w:pPr>
    </w:p>
    <w:p w14:paraId="4621D3FC" w14:textId="77777777" w:rsidR="0028726C" w:rsidRPr="00206AB4" w:rsidRDefault="0028726C" w:rsidP="0028726C">
      <w:pPr>
        <w:rPr>
          <w:rFonts w:cs="Arial"/>
          <w:i/>
          <w:iCs/>
          <w:sz w:val="22"/>
          <w:szCs w:val="22"/>
        </w:rPr>
      </w:pPr>
      <w:r w:rsidRPr="00206AB4">
        <w:rPr>
          <w:rFonts w:cs="Arial"/>
          <w:i/>
          <w:iCs/>
          <w:sz w:val="22"/>
          <w:szCs w:val="22"/>
        </w:rPr>
        <w:t>¿Los compradores serán asignados a cada punto de referencia?</w:t>
      </w:r>
    </w:p>
    <w:p w14:paraId="1ACE3973" w14:textId="77777777" w:rsidR="0028726C" w:rsidRPr="00206AB4" w:rsidRDefault="0028726C" w:rsidP="0028726C">
      <w:pPr>
        <w:rPr>
          <w:rFonts w:cs="Arial"/>
          <w:i/>
          <w:iCs/>
          <w:sz w:val="22"/>
          <w:szCs w:val="22"/>
        </w:rPr>
      </w:pPr>
    </w:p>
    <w:p w14:paraId="747EAE84" w14:textId="77777777" w:rsidR="0028726C" w:rsidRPr="00206AB4" w:rsidRDefault="0028726C" w:rsidP="0028726C">
      <w:pPr>
        <w:rPr>
          <w:rFonts w:cs="Arial"/>
          <w:i/>
          <w:iCs/>
          <w:sz w:val="22"/>
          <w:szCs w:val="22"/>
        </w:rPr>
      </w:pPr>
      <w:r w:rsidRPr="00206AB4">
        <w:rPr>
          <w:rFonts w:cs="Arial"/>
          <w:i/>
          <w:iCs/>
          <w:sz w:val="22"/>
          <w:szCs w:val="22"/>
        </w:rPr>
        <w:t>¿Los compradores serán asignados a cada fuente de suministro de cada productor de cada punto de referencia?</w:t>
      </w:r>
    </w:p>
    <w:p w14:paraId="3AF9F191" w14:textId="77777777" w:rsidR="0028726C" w:rsidRPr="00206AB4" w:rsidRDefault="0028726C" w:rsidP="0028726C">
      <w:pPr>
        <w:rPr>
          <w:rFonts w:cs="Arial"/>
          <w:i/>
          <w:iCs/>
          <w:sz w:val="22"/>
          <w:szCs w:val="22"/>
        </w:rPr>
      </w:pPr>
    </w:p>
    <w:p w14:paraId="21B52C02" w14:textId="77777777" w:rsidR="0028726C" w:rsidRPr="00206AB4" w:rsidRDefault="0028726C" w:rsidP="0028726C">
      <w:pPr>
        <w:rPr>
          <w:rFonts w:cs="Arial"/>
          <w:i/>
          <w:iCs/>
          <w:sz w:val="22"/>
          <w:szCs w:val="22"/>
        </w:rPr>
      </w:pPr>
      <w:r w:rsidRPr="00206AB4">
        <w:rPr>
          <w:rFonts w:cs="Arial"/>
          <w:i/>
          <w:iCs/>
          <w:sz w:val="22"/>
          <w:szCs w:val="22"/>
        </w:rPr>
        <w:t>En caso negativo:</w:t>
      </w:r>
    </w:p>
    <w:p w14:paraId="3E660485" w14:textId="77777777" w:rsidR="0028726C" w:rsidRPr="00206AB4" w:rsidRDefault="0028726C" w:rsidP="0028726C">
      <w:pPr>
        <w:rPr>
          <w:rFonts w:cs="Arial"/>
          <w:i/>
          <w:iCs/>
          <w:sz w:val="22"/>
          <w:szCs w:val="22"/>
        </w:rPr>
      </w:pPr>
      <w:r w:rsidRPr="00206AB4">
        <w:rPr>
          <w:rFonts w:cs="Arial"/>
          <w:i/>
          <w:iCs/>
          <w:sz w:val="22"/>
          <w:szCs w:val="22"/>
        </w:rPr>
        <w:t>¿Cualquier comprador podría ir a cualquier punto de referencia?</w:t>
      </w:r>
    </w:p>
    <w:p w14:paraId="6AC83A34" w14:textId="77777777" w:rsidR="0028726C" w:rsidRPr="00206AB4" w:rsidRDefault="0028726C" w:rsidP="0028726C">
      <w:pPr>
        <w:rPr>
          <w:rFonts w:cs="Arial"/>
          <w:i/>
          <w:iCs/>
          <w:sz w:val="22"/>
          <w:szCs w:val="22"/>
        </w:rPr>
      </w:pPr>
    </w:p>
    <w:p w14:paraId="1E6DDF91" w14:textId="77777777" w:rsidR="0028726C" w:rsidRPr="00206AB4" w:rsidRDefault="0028726C" w:rsidP="0028726C">
      <w:pPr>
        <w:rPr>
          <w:rFonts w:cs="Arial"/>
          <w:i/>
          <w:iCs/>
          <w:sz w:val="22"/>
          <w:szCs w:val="22"/>
        </w:rPr>
      </w:pPr>
      <w:r w:rsidRPr="00206AB4">
        <w:rPr>
          <w:rFonts w:cs="Arial"/>
          <w:i/>
          <w:iCs/>
          <w:sz w:val="22"/>
          <w:szCs w:val="22"/>
        </w:rPr>
        <w:t>¿Cualquier comprador puede acudir a cualquier productor en cada punto de referencia?</w:t>
      </w:r>
    </w:p>
    <w:p w14:paraId="78268F1F" w14:textId="77777777" w:rsidR="0028726C" w:rsidRPr="00206AB4" w:rsidRDefault="0028726C" w:rsidP="0028726C">
      <w:pPr>
        <w:rPr>
          <w:rFonts w:cs="Arial"/>
          <w:i/>
          <w:iCs/>
          <w:sz w:val="22"/>
          <w:szCs w:val="22"/>
        </w:rPr>
      </w:pPr>
    </w:p>
    <w:p w14:paraId="7A4D831B" w14:textId="77777777" w:rsidR="0028726C" w:rsidRDefault="0028726C" w:rsidP="0028726C">
      <w:pPr>
        <w:rPr>
          <w:rFonts w:cs="Arial"/>
          <w:sz w:val="22"/>
          <w:szCs w:val="22"/>
        </w:rPr>
      </w:pPr>
      <w:r w:rsidRPr="00206AB4">
        <w:rPr>
          <w:rFonts w:cs="Arial"/>
          <w:i/>
          <w:iCs/>
          <w:sz w:val="22"/>
          <w:szCs w:val="22"/>
        </w:rPr>
        <w:t>¿Qué ocurre si un punto de referencia tiene un solo productor</w:t>
      </w:r>
      <w:r w:rsidRPr="0028726C">
        <w:rPr>
          <w:rFonts w:cs="Arial"/>
          <w:sz w:val="22"/>
          <w:szCs w:val="22"/>
        </w:rPr>
        <w:t>?"</w:t>
      </w:r>
    </w:p>
    <w:p w14:paraId="6C79B709" w14:textId="77777777" w:rsidR="00206AB4" w:rsidRDefault="00206AB4" w:rsidP="0028726C">
      <w:pPr>
        <w:rPr>
          <w:rFonts w:cs="Arial"/>
          <w:sz w:val="22"/>
          <w:szCs w:val="22"/>
        </w:rPr>
      </w:pPr>
    </w:p>
    <w:p w14:paraId="1FF7E5FC" w14:textId="747E41E6" w:rsidR="00206AB4" w:rsidRPr="00206AB4" w:rsidRDefault="00206AB4" w:rsidP="0028726C">
      <w:pPr>
        <w:rPr>
          <w:rFonts w:cs="Arial"/>
          <w:b/>
          <w:bCs/>
          <w:sz w:val="22"/>
          <w:szCs w:val="22"/>
        </w:rPr>
      </w:pPr>
      <w:r w:rsidRPr="00206AB4">
        <w:rPr>
          <w:rFonts w:cs="Arial"/>
          <w:b/>
          <w:bCs/>
          <w:sz w:val="22"/>
          <w:szCs w:val="22"/>
        </w:rPr>
        <w:t>Respuesta:</w:t>
      </w:r>
    </w:p>
    <w:p w14:paraId="2F8CD220" w14:textId="77777777" w:rsidR="00206AB4" w:rsidRDefault="00206AB4" w:rsidP="0028726C">
      <w:pPr>
        <w:rPr>
          <w:rFonts w:cs="Arial"/>
          <w:sz w:val="22"/>
          <w:szCs w:val="22"/>
        </w:rPr>
      </w:pPr>
    </w:p>
    <w:p w14:paraId="097B1B96" w14:textId="533B28FD" w:rsidR="00206AB4" w:rsidRDefault="001A0C46" w:rsidP="0028726C">
      <w:pPr>
        <w:rPr>
          <w:rFonts w:cs="Arial"/>
          <w:sz w:val="22"/>
          <w:szCs w:val="22"/>
        </w:rPr>
      </w:pPr>
      <w:r>
        <w:rPr>
          <w:rFonts w:cs="Arial"/>
          <w:sz w:val="22"/>
          <w:szCs w:val="22"/>
        </w:rPr>
        <w:t xml:space="preserve">Para atender el comentario se debe tener en cuenta la manera en que se definen los puntos de referencia, ver respuesta a </w:t>
      </w:r>
      <w:r w:rsidR="00E711FC">
        <w:rPr>
          <w:rFonts w:cs="Arial"/>
          <w:sz w:val="22"/>
          <w:szCs w:val="22"/>
        </w:rPr>
        <w:fldChar w:fldCharType="begin"/>
      </w:r>
      <w:r w:rsidR="00E711FC">
        <w:rPr>
          <w:rFonts w:cs="Arial"/>
          <w:sz w:val="22"/>
          <w:szCs w:val="22"/>
        </w:rPr>
        <w:instrText xml:space="preserve"> REF _Ref132185996 \r \h </w:instrText>
      </w:r>
      <w:r w:rsidR="00E711FC">
        <w:rPr>
          <w:rFonts w:cs="Arial"/>
          <w:sz w:val="22"/>
          <w:szCs w:val="22"/>
        </w:rPr>
      </w:r>
      <w:r w:rsidR="00E711FC">
        <w:rPr>
          <w:rFonts w:cs="Arial"/>
          <w:sz w:val="22"/>
          <w:szCs w:val="22"/>
        </w:rPr>
        <w:fldChar w:fldCharType="separate"/>
      </w:r>
      <w:r w:rsidR="007651EA">
        <w:rPr>
          <w:rFonts w:cs="Arial"/>
          <w:sz w:val="22"/>
          <w:szCs w:val="22"/>
        </w:rPr>
        <w:t>19.2.1.1</w:t>
      </w:r>
      <w:r w:rsidR="00E711FC">
        <w:rPr>
          <w:rFonts w:cs="Arial"/>
          <w:sz w:val="22"/>
          <w:szCs w:val="22"/>
        </w:rPr>
        <w:fldChar w:fldCharType="end"/>
      </w:r>
      <w:r w:rsidR="00E711FC">
        <w:rPr>
          <w:rFonts w:cs="Arial"/>
          <w:sz w:val="22"/>
          <w:szCs w:val="22"/>
        </w:rPr>
        <w:t>.</w:t>
      </w:r>
    </w:p>
    <w:p w14:paraId="27980769" w14:textId="77777777" w:rsidR="00E711FC" w:rsidRDefault="00E711FC" w:rsidP="0028726C">
      <w:pPr>
        <w:rPr>
          <w:rFonts w:cs="Arial"/>
          <w:sz w:val="22"/>
          <w:szCs w:val="22"/>
        </w:rPr>
      </w:pPr>
    </w:p>
    <w:p w14:paraId="7D9D1D62" w14:textId="77777777" w:rsidR="00CD26A5" w:rsidRDefault="00E711FC" w:rsidP="0028726C">
      <w:pPr>
        <w:rPr>
          <w:rFonts w:cs="Arial"/>
          <w:sz w:val="22"/>
          <w:szCs w:val="22"/>
        </w:rPr>
      </w:pPr>
      <w:r>
        <w:rPr>
          <w:rFonts w:cs="Arial"/>
          <w:sz w:val="22"/>
          <w:szCs w:val="22"/>
        </w:rPr>
        <w:t xml:space="preserve">De acuerdo con la propuesta el Gestor del Mercado publica la información declarada por los vendedores sobre PTDVF y CIDVF </w:t>
      </w:r>
      <w:r w:rsidR="00CD26A5">
        <w:rPr>
          <w:rFonts w:cs="Arial"/>
          <w:sz w:val="22"/>
          <w:szCs w:val="22"/>
        </w:rPr>
        <w:t>con el nivel de detalle determinado. Parte de la información incluye los puntos de referencia identificados y las fuentes de suministro que hacen parte de cada uno de los puntos de referencia.</w:t>
      </w:r>
    </w:p>
    <w:p w14:paraId="4FFC3F8C" w14:textId="77777777" w:rsidR="00CD26A5" w:rsidRDefault="00CD26A5" w:rsidP="0028726C">
      <w:pPr>
        <w:rPr>
          <w:rFonts w:cs="Arial"/>
          <w:sz w:val="22"/>
          <w:szCs w:val="22"/>
        </w:rPr>
      </w:pPr>
    </w:p>
    <w:p w14:paraId="3CD410E5" w14:textId="6A6760AA" w:rsidR="00E711FC" w:rsidRDefault="00CD26A5" w:rsidP="0028726C">
      <w:pPr>
        <w:rPr>
          <w:rFonts w:cs="Arial"/>
          <w:sz w:val="22"/>
          <w:szCs w:val="22"/>
        </w:rPr>
      </w:pPr>
      <w:r>
        <w:rPr>
          <w:rFonts w:cs="Arial"/>
          <w:sz w:val="22"/>
          <w:szCs w:val="22"/>
        </w:rPr>
        <w:t xml:space="preserve">Luego </w:t>
      </w:r>
      <w:r w:rsidR="00E711FC">
        <w:rPr>
          <w:rFonts w:cs="Arial"/>
          <w:sz w:val="22"/>
          <w:szCs w:val="22"/>
        </w:rPr>
        <w:t>cada comprador declara al Gestor del Mercado en dos instancias diferentes,</w:t>
      </w:r>
      <w:r>
        <w:rPr>
          <w:rFonts w:cs="Arial"/>
          <w:sz w:val="22"/>
          <w:szCs w:val="22"/>
        </w:rPr>
        <w:t xml:space="preserve"> las cantidades inicialmente demandadas y las cantidades que se obliga a comprar finalmente. Cada comprador es libre de declarar las cantidades que requiere en cada punto de referencia. En tal sentido, el comprador es quien determina los puntos de referencia en que negociará cantidades de suministro. </w:t>
      </w:r>
      <w:r w:rsidR="00E711FC">
        <w:rPr>
          <w:rFonts w:cs="Arial"/>
          <w:sz w:val="22"/>
          <w:szCs w:val="22"/>
        </w:rPr>
        <w:t xml:space="preserve"> </w:t>
      </w:r>
    </w:p>
    <w:p w14:paraId="26779A3A" w14:textId="77777777" w:rsidR="00CD26A5" w:rsidRDefault="00CD26A5" w:rsidP="0028726C">
      <w:pPr>
        <w:rPr>
          <w:rFonts w:cs="Arial"/>
          <w:sz w:val="22"/>
          <w:szCs w:val="22"/>
        </w:rPr>
      </w:pPr>
    </w:p>
    <w:p w14:paraId="0B15E873" w14:textId="76BFE9C2" w:rsidR="00CD26A5" w:rsidRDefault="00CD26A5" w:rsidP="0028726C">
      <w:pPr>
        <w:rPr>
          <w:rFonts w:cs="Arial"/>
          <w:sz w:val="22"/>
          <w:szCs w:val="22"/>
        </w:rPr>
      </w:pPr>
      <w:r>
        <w:rPr>
          <w:rFonts w:cs="Arial"/>
          <w:sz w:val="22"/>
          <w:szCs w:val="22"/>
        </w:rPr>
        <w:t>Derivado de lo anterior cualquier comprador podrá acudir a cualquier punto de referencia, sin que por ello requiera cantidades para atender una misma demanda en más de un punto de referencia, es decir, no se deben doblar cantidades totales. Del mismo modo, cualquier comprador puede acudir a cualquier vendedor que hace parte de un mis</w:t>
      </w:r>
      <w:r w:rsidR="002045FE">
        <w:rPr>
          <w:rFonts w:cs="Arial"/>
          <w:sz w:val="22"/>
          <w:szCs w:val="22"/>
        </w:rPr>
        <w:t>m</w:t>
      </w:r>
      <w:r>
        <w:rPr>
          <w:rFonts w:cs="Arial"/>
          <w:sz w:val="22"/>
          <w:szCs w:val="22"/>
        </w:rPr>
        <w:t>o punto de referencia, de acuerdo con lo que debe publicar el Gestor del Mercado.</w:t>
      </w:r>
    </w:p>
    <w:p w14:paraId="5B5BDDF4" w14:textId="77777777" w:rsidR="00CD26A5" w:rsidRDefault="00CD26A5" w:rsidP="0028726C">
      <w:pPr>
        <w:rPr>
          <w:rFonts w:cs="Arial"/>
          <w:sz w:val="22"/>
          <w:szCs w:val="22"/>
        </w:rPr>
      </w:pPr>
    </w:p>
    <w:p w14:paraId="41AB0C45" w14:textId="33F74709" w:rsidR="00CD26A5" w:rsidRDefault="00CD26A5" w:rsidP="0028726C">
      <w:pPr>
        <w:rPr>
          <w:rFonts w:cs="Arial"/>
          <w:sz w:val="22"/>
          <w:szCs w:val="22"/>
        </w:rPr>
      </w:pPr>
      <w:r>
        <w:rPr>
          <w:rFonts w:cs="Arial"/>
          <w:sz w:val="22"/>
          <w:szCs w:val="22"/>
        </w:rPr>
        <w:t xml:space="preserve">Si un punto de referencia tiene un solo vendedor, el proceso de negociación se simplifica pues todas las solicitudes de compra se dirigen a ese vendedor. Ahora, puede ocurrir </w:t>
      </w:r>
      <w:proofErr w:type="gramStart"/>
      <w:r>
        <w:rPr>
          <w:rFonts w:cs="Arial"/>
          <w:sz w:val="22"/>
          <w:szCs w:val="22"/>
        </w:rPr>
        <w:t>que</w:t>
      </w:r>
      <w:proofErr w:type="gramEnd"/>
      <w:r>
        <w:rPr>
          <w:rFonts w:cs="Arial"/>
          <w:sz w:val="22"/>
          <w:szCs w:val="22"/>
        </w:rPr>
        <w:t xml:space="preserve"> aunque existe un solo vendedor, el punto de referencia contenga varias fuentes de suministro que pueden tener diferentes precios de oferta</w:t>
      </w:r>
      <w:r w:rsidR="001E46D0">
        <w:rPr>
          <w:rFonts w:cs="Arial"/>
          <w:sz w:val="22"/>
          <w:szCs w:val="22"/>
        </w:rPr>
        <w:t xml:space="preserve">. En esa situación, corresponde al vendedor determinar el mecanismo libre para asignar el gas de cada fuente de suministro entre los diferentes compradores. </w:t>
      </w:r>
    </w:p>
    <w:p w14:paraId="5ECADBF3" w14:textId="77777777" w:rsidR="001E46D0" w:rsidRDefault="001E46D0" w:rsidP="0028726C">
      <w:pPr>
        <w:rPr>
          <w:rFonts w:cs="Arial"/>
          <w:sz w:val="22"/>
          <w:szCs w:val="22"/>
        </w:rPr>
      </w:pPr>
    </w:p>
    <w:p w14:paraId="622C35C2" w14:textId="414448B5" w:rsidR="001E46D0" w:rsidRDefault="001E46D0" w:rsidP="0028726C">
      <w:pPr>
        <w:rPr>
          <w:rFonts w:cs="Arial"/>
          <w:sz w:val="22"/>
          <w:szCs w:val="22"/>
        </w:rPr>
      </w:pPr>
      <w:r>
        <w:rPr>
          <w:rFonts w:cs="Arial"/>
          <w:sz w:val="22"/>
          <w:szCs w:val="22"/>
        </w:rPr>
        <w:t xml:space="preserve">En la nueva propuesta se incluyeron </w:t>
      </w:r>
      <w:r w:rsidR="00E34D99">
        <w:rPr>
          <w:rFonts w:cs="Arial"/>
          <w:sz w:val="22"/>
          <w:szCs w:val="22"/>
        </w:rPr>
        <w:t>dos etapas de negociación cuando se da el caso de un trimestre superavitario.</w:t>
      </w:r>
    </w:p>
    <w:p w14:paraId="12E2DD56" w14:textId="77777777" w:rsidR="00C53D76" w:rsidRDefault="00C53D76" w:rsidP="0028726C">
      <w:pPr>
        <w:rPr>
          <w:rFonts w:cs="Arial"/>
          <w:sz w:val="22"/>
          <w:szCs w:val="22"/>
        </w:rPr>
      </w:pPr>
    </w:p>
    <w:p w14:paraId="76E04668" w14:textId="77777777" w:rsidR="00C53D76" w:rsidRDefault="0028726C" w:rsidP="000D05A3">
      <w:pPr>
        <w:pStyle w:val="Ttulo4"/>
      </w:pPr>
      <w:bookmarkStart w:id="812" w:name="_Ref132207410"/>
      <w:r w:rsidRPr="0028726C">
        <w:t>GASES DE LA GUAJIRA</w:t>
      </w:r>
      <w:bookmarkEnd w:id="812"/>
      <w:r w:rsidRPr="0028726C">
        <w:tab/>
      </w:r>
    </w:p>
    <w:p w14:paraId="0AABA3EA" w14:textId="5F16C92D" w:rsidR="0028726C" w:rsidRPr="00F4587C" w:rsidRDefault="0028726C" w:rsidP="0028726C">
      <w:pPr>
        <w:rPr>
          <w:rFonts w:cs="Arial"/>
          <w:i/>
          <w:iCs/>
          <w:sz w:val="22"/>
          <w:szCs w:val="22"/>
        </w:rPr>
      </w:pPr>
      <w:r w:rsidRPr="0028726C">
        <w:rPr>
          <w:rFonts w:cs="Arial"/>
          <w:sz w:val="22"/>
          <w:szCs w:val="22"/>
        </w:rPr>
        <w:t>"</w:t>
      </w:r>
      <w:r w:rsidRPr="00F4587C">
        <w:rPr>
          <w:rFonts w:cs="Arial"/>
          <w:i/>
          <w:iCs/>
          <w:sz w:val="22"/>
          <w:szCs w:val="22"/>
        </w:rPr>
        <w:t>Estas facultades que se le otorgan al productor, resultan contradictorias con la de declaración de excedentario de un Punto de Referencia. En ese sentido, un productor podría iniciar una subasta, con mecanismos que no se conocen, y a los cuales el comprador se debe acomodar.</w:t>
      </w:r>
    </w:p>
    <w:p w14:paraId="75BBFA48" w14:textId="77777777" w:rsidR="0028726C" w:rsidRPr="00F4587C" w:rsidRDefault="0028726C" w:rsidP="0028726C">
      <w:pPr>
        <w:rPr>
          <w:rFonts w:cs="Arial"/>
          <w:i/>
          <w:iCs/>
          <w:sz w:val="22"/>
          <w:szCs w:val="22"/>
        </w:rPr>
      </w:pPr>
    </w:p>
    <w:p w14:paraId="477D97CA" w14:textId="77777777" w:rsidR="0028726C" w:rsidRPr="00F4587C" w:rsidRDefault="0028726C" w:rsidP="0028726C">
      <w:pPr>
        <w:rPr>
          <w:rFonts w:cs="Arial"/>
          <w:i/>
          <w:iCs/>
          <w:sz w:val="22"/>
          <w:szCs w:val="22"/>
        </w:rPr>
      </w:pPr>
      <w:r w:rsidRPr="00F4587C">
        <w:rPr>
          <w:rFonts w:cs="Arial"/>
          <w:i/>
          <w:iCs/>
          <w:sz w:val="22"/>
          <w:szCs w:val="22"/>
        </w:rPr>
        <w:t xml:space="preserve">Al mismo tiempo, el regulador dentro de las </w:t>
      </w:r>
      <w:proofErr w:type="gramStart"/>
      <w:r w:rsidRPr="00F4587C">
        <w:rPr>
          <w:rFonts w:cs="Arial"/>
          <w:i/>
          <w:iCs/>
          <w:sz w:val="22"/>
          <w:szCs w:val="22"/>
        </w:rPr>
        <w:t>presentaciones,</w:t>
      </w:r>
      <w:proofErr w:type="gramEnd"/>
      <w:r w:rsidRPr="00F4587C">
        <w:rPr>
          <w:rFonts w:cs="Arial"/>
          <w:i/>
          <w:iCs/>
          <w:sz w:val="22"/>
          <w:szCs w:val="22"/>
        </w:rPr>
        <w:t xml:space="preserve"> anunció que esperaba que los productores pudieran hacer discriminaciones, siempre y cuando se respetara el tipo de mercado. En ese sentido, es importante que la CREG de manera expresa determine cuales son las discriminaciones que pueden hacer los productores entre demanda, y determinar los parámetros a los que deben ajustarse en cada caso.</w:t>
      </w:r>
    </w:p>
    <w:p w14:paraId="3834EF22" w14:textId="77777777" w:rsidR="0028726C" w:rsidRPr="00F4587C" w:rsidRDefault="0028726C" w:rsidP="0028726C">
      <w:pPr>
        <w:rPr>
          <w:rFonts w:cs="Arial"/>
          <w:i/>
          <w:iCs/>
          <w:sz w:val="22"/>
          <w:szCs w:val="22"/>
        </w:rPr>
      </w:pPr>
    </w:p>
    <w:p w14:paraId="61C6C184" w14:textId="77777777" w:rsidR="0028726C" w:rsidRDefault="0028726C" w:rsidP="0028726C">
      <w:pPr>
        <w:rPr>
          <w:rFonts w:cs="Arial"/>
          <w:sz w:val="22"/>
          <w:szCs w:val="22"/>
        </w:rPr>
      </w:pPr>
      <w:r w:rsidRPr="00F4587C">
        <w:rPr>
          <w:rFonts w:cs="Arial"/>
          <w:i/>
          <w:iCs/>
          <w:sz w:val="22"/>
          <w:szCs w:val="22"/>
        </w:rPr>
        <w:t xml:space="preserve">Finalmente, es importante tener en cuenta que es posible que la situación de mayores cantidades </w:t>
      </w:r>
      <w:proofErr w:type="gramStart"/>
      <w:r w:rsidRPr="00F4587C">
        <w:rPr>
          <w:rFonts w:cs="Arial"/>
          <w:i/>
          <w:iCs/>
          <w:sz w:val="22"/>
          <w:szCs w:val="22"/>
        </w:rPr>
        <w:t>demandadas,</w:t>
      </w:r>
      <w:proofErr w:type="gramEnd"/>
      <w:r w:rsidRPr="00F4587C">
        <w:rPr>
          <w:rFonts w:cs="Arial"/>
          <w:i/>
          <w:iCs/>
          <w:sz w:val="22"/>
          <w:szCs w:val="22"/>
        </w:rPr>
        <w:t xml:space="preserve"> puede darse para más de un trimestre, por lo que es necesario que el regulador determine la forma como se debe proceder en ese caso específico</w:t>
      </w:r>
      <w:r w:rsidRPr="0028726C">
        <w:rPr>
          <w:rFonts w:cs="Arial"/>
          <w:sz w:val="22"/>
          <w:szCs w:val="22"/>
        </w:rPr>
        <w:t>."</w:t>
      </w:r>
    </w:p>
    <w:p w14:paraId="51213186" w14:textId="77777777" w:rsidR="00F4587C" w:rsidRDefault="00F4587C" w:rsidP="0028726C">
      <w:pPr>
        <w:rPr>
          <w:rFonts w:cs="Arial"/>
          <w:sz w:val="22"/>
          <w:szCs w:val="22"/>
        </w:rPr>
      </w:pPr>
    </w:p>
    <w:p w14:paraId="1E87B965" w14:textId="0CF0E8FD" w:rsidR="00F4587C" w:rsidRPr="00F4587C" w:rsidRDefault="00F4587C" w:rsidP="0028726C">
      <w:pPr>
        <w:rPr>
          <w:rFonts w:cs="Arial"/>
          <w:b/>
          <w:bCs/>
          <w:sz w:val="22"/>
          <w:szCs w:val="22"/>
        </w:rPr>
      </w:pPr>
      <w:r w:rsidRPr="00F4587C">
        <w:rPr>
          <w:rFonts w:cs="Arial"/>
          <w:b/>
          <w:bCs/>
          <w:sz w:val="22"/>
          <w:szCs w:val="22"/>
        </w:rPr>
        <w:t>Respuesta:</w:t>
      </w:r>
    </w:p>
    <w:p w14:paraId="1DBEE72E" w14:textId="77777777" w:rsidR="00F4587C" w:rsidRDefault="00F4587C" w:rsidP="0028726C">
      <w:pPr>
        <w:rPr>
          <w:rFonts w:cs="Arial"/>
          <w:sz w:val="22"/>
          <w:szCs w:val="22"/>
        </w:rPr>
      </w:pPr>
    </w:p>
    <w:p w14:paraId="04A170E7" w14:textId="39E2152D" w:rsidR="00C81C86" w:rsidRDefault="00C81C86" w:rsidP="0028726C">
      <w:pPr>
        <w:rPr>
          <w:rFonts w:cs="Arial"/>
          <w:sz w:val="22"/>
          <w:szCs w:val="22"/>
        </w:rPr>
      </w:pPr>
      <w:r>
        <w:rPr>
          <w:rFonts w:cs="Arial"/>
          <w:sz w:val="22"/>
          <w:szCs w:val="22"/>
        </w:rPr>
        <w:t xml:space="preserve">En la nueva propuesta se incluyen criterios generales para ser aplicados en el caso de que el vendedor decida desarrollar subastas o en general, procesos de concurrencia de interesados, </w:t>
      </w:r>
      <w:r w:rsidRPr="009216F0">
        <w:rPr>
          <w:rFonts w:cs="Arial"/>
          <w:sz w:val="22"/>
          <w:szCs w:val="22"/>
        </w:rPr>
        <w:t xml:space="preserve">sin excepciones, a partir del mecanismo de negociaciones directas, </w:t>
      </w:r>
      <w:r>
        <w:rPr>
          <w:rFonts w:cs="Arial"/>
          <w:sz w:val="22"/>
          <w:szCs w:val="22"/>
        </w:rPr>
        <w:t xml:space="preserve">como son los de eficiencia, publicidad, neutralidad, simplicidad y objetividad. </w:t>
      </w:r>
      <w:r w:rsidRPr="009216F0">
        <w:rPr>
          <w:rFonts w:cs="Arial"/>
          <w:sz w:val="22"/>
          <w:szCs w:val="22"/>
        </w:rPr>
        <w:t xml:space="preserve"> </w:t>
      </w:r>
    </w:p>
    <w:p w14:paraId="67D0F28C" w14:textId="77777777" w:rsidR="00C81C86" w:rsidRDefault="00C81C86" w:rsidP="0028726C">
      <w:pPr>
        <w:rPr>
          <w:rFonts w:cs="Arial"/>
          <w:sz w:val="22"/>
          <w:szCs w:val="22"/>
        </w:rPr>
      </w:pPr>
    </w:p>
    <w:p w14:paraId="3744A14A" w14:textId="2D4BBA20" w:rsidR="00C81C86" w:rsidRDefault="00C81C86" w:rsidP="00C81C86">
      <w:pPr>
        <w:rPr>
          <w:rFonts w:cs="Arial"/>
          <w:sz w:val="22"/>
          <w:szCs w:val="22"/>
        </w:rPr>
      </w:pPr>
      <w:r>
        <w:rPr>
          <w:rFonts w:cs="Arial"/>
          <w:sz w:val="22"/>
          <w:szCs w:val="22"/>
        </w:rPr>
        <w:t>Asimismo, en la nueva propuesta se está incluyendo la obligación del vendedor de declarar al Gestor del Mercado e</w:t>
      </w:r>
      <w:r w:rsidRPr="00E711FC">
        <w:rPr>
          <w:rFonts w:cs="Arial"/>
          <w:sz w:val="22"/>
          <w:szCs w:val="22"/>
        </w:rPr>
        <w:t>l contenido de la minuta del contrato que garantice firmeza, que será utilizada para la modalidad contractual CF95, de suministro con firmeza condicionada CFC o de opción de compra de gas OCG, solo en caso de requerirse aplicar el mecanismo de subasta, o en caso de utilizarse mecanismos de concurrencia de interesados para las fuentes de suministro que pueden aplicar negociaciones directas</w:t>
      </w:r>
      <w:r>
        <w:rPr>
          <w:rFonts w:cs="Arial"/>
          <w:sz w:val="22"/>
          <w:szCs w:val="22"/>
        </w:rPr>
        <w:t>.</w:t>
      </w:r>
    </w:p>
    <w:p w14:paraId="516D9602" w14:textId="5EEC60D5" w:rsidR="00C81C86" w:rsidRDefault="00C81C86" w:rsidP="0028726C">
      <w:pPr>
        <w:rPr>
          <w:rFonts w:cs="Arial"/>
          <w:sz w:val="22"/>
          <w:szCs w:val="22"/>
        </w:rPr>
      </w:pPr>
    </w:p>
    <w:p w14:paraId="009485A8" w14:textId="37FDAEC8" w:rsidR="00975750" w:rsidRDefault="00C81C86" w:rsidP="0028726C">
      <w:pPr>
        <w:rPr>
          <w:rFonts w:cs="Arial"/>
          <w:sz w:val="22"/>
          <w:szCs w:val="22"/>
        </w:rPr>
      </w:pPr>
      <w:r>
        <w:rPr>
          <w:rFonts w:cs="Arial"/>
          <w:sz w:val="22"/>
          <w:szCs w:val="22"/>
        </w:rPr>
        <w:t>Por otra parte, e</w:t>
      </w:r>
      <w:r w:rsidR="00975750">
        <w:rPr>
          <w:rFonts w:cs="Arial"/>
          <w:sz w:val="22"/>
          <w:szCs w:val="22"/>
        </w:rPr>
        <w:t>n el Artículo 19 “</w:t>
      </w:r>
      <w:r w:rsidR="00975750" w:rsidRPr="00975750">
        <w:rPr>
          <w:rFonts w:cs="Arial"/>
          <w:i/>
          <w:iCs/>
          <w:sz w:val="22"/>
          <w:szCs w:val="22"/>
        </w:rPr>
        <w:t>Tratamiento neutral</w:t>
      </w:r>
      <w:r w:rsidR="00975750">
        <w:rPr>
          <w:rFonts w:cs="Arial"/>
          <w:sz w:val="22"/>
          <w:szCs w:val="22"/>
        </w:rPr>
        <w:t>” de la Resolución CREG 080 de 2019, que determina reglas de comportamiento de los agentes, se establece que:</w:t>
      </w:r>
    </w:p>
    <w:p w14:paraId="69CB3E1C" w14:textId="77777777" w:rsidR="00975750" w:rsidRDefault="00975750" w:rsidP="0028726C">
      <w:pPr>
        <w:rPr>
          <w:rFonts w:cs="Arial"/>
          <w:sz w:val="22"/>
          <w:szCs w:val="22"/>
        </w:rPr>
      </w:pPr>
    </w:p>
    <w:p w14:paraId="62AFADF7" w14:textId="0FC5A8FB" w:rsidR="00975750" w:rsidRPr="00975750" w:rsidRDefault="00975750" w:rsidP="00975750">
      <w:pPr>
        <w:ind w:left="708"/>
        <w:rPr>
          <w:rFonts w:cs="Arial"/>
          <w:i/>
          <w:iCs/>
          <w:sz w:val="22"/>
          <w:szCs w:val="22"/>
        </w:rPr>
      </w:pPr>
      <w:r>
        <w:rPr>
          <w:rFonts w:cs="Arial"/>
          <w:sz w:val="22"/>
          <w:szCs w:val="22"/>
        </w:rPr>
        <w:t xml:space="preserve">“(…) </w:t>
      </w:r>
      <w:r w:rsidRPr="00975750">
        <w:rPr>
          <w:rFonts w:cs="Arial"/>
          <w:i/>
          <w:iCs/>
          <w:sz w:val="22"/>
          <w:szCs w:val="22"/>
        </w:rPr>
        <w:t xml:space="preserve">los agentes deben abstenerse de utilizar mecanismos, estrategias o cualquier otro instrumento que tenga la capacidad, el propósito o el efecto de </w:t>
      </w:r>
      <w:r w:rsidRPr="00C81C86">
        <w:rPr>
          <w:rFonts w:cs="Arial"/>
          <w:b/>
          <w:bCs/>
          <w:i/>
          <w:iCs/>
          <w:sz w:val="22"/>
          <w:szCs w:val="22"/>
          <w:u w:val="single"/>
        </w:rPr>
        <w:t>discriminar entre usuarios o entre prestadores con características análogas</w:t>
      </w:r>
      <w:r w:rsidRPr="00975750">
        <w:rPr>
          <w:rFonts w:cs="Arial"/>
          <w:i/>
          <w:iCs/>
          <w:sz w:val="22"/>
          <w:szCs w:val="22"/>
        </w:rPr>
        <w:t>.</w:t>
      </w:r>
    </w:p>
    <w:p w14:paraId="08B1CF60" w14:textId="77777777" w:rsidR="00975750" w:rsidRPr="00975750" w:rsidRDefault="00975750" w:rsidP="00975750">
      <w:pPr>
        <w:ind w:left="708"/>
        <w:rPr>
          <w:rFonts w:cs="Arial"/>
          <w:i/>
          <w:iCs/>
          <w:sz w:val="22"/>
          <w:szCs w:val="22"/>
        </w:rPr>
      </w:pPr>
    </w:p>
    <w:p w14:paraId="666C4819" w14:textId="50A280D2" w:rsidR="00F4587C" w:rsidRDefault="00975750" w:rsidP="00975750">
      <w:pPr>
        <w:ind w:left="708"/>
        <w:rPr>
          <w:rFonts w:cs="Arial"/>
          <w:sz w:val="22"/>
          <w:szCs w:val="22"/>
        </w:rPr>
      </w:pPr>
      <w:r w:rsidRPr="00975750">
        <w:rPr>
          <w:rFonts w:cs="Arial"/>
          <w:i/>
          <w:iCs/>
          <w:sz w:val="22"/>
          <w:szCs w:val="22"/>
        </w:rPr>
        <w:t>Excepcionalmente, si existen razones explícitas, objetivas, verificables y previamente definidas, los agentes podrán apartarse del cumplimiento de las obligaciones contenidas en este artículo. Dichas razones deben estar documentadas y ser verificables por parte de las autoridades de vigilancia y control</w:t>
      </w:r>
      <w:r>
        <w:rPr>
          <w:rFonts w:cs="Arial"/>
          <w:sz w:val="22"/>
          <w:szCs w:val="22"/>
        </w:rPr>
        <w:t>.”</w:t>
      </w:r>
      <w:r w:rsidR="00C81C86">
        <w:rPr>
          <w:rFonts w:cs="Arial"/>
          <w:sz w:val="22"/>
          <w:szCs w:val="22"/>
        </w:rPr>
        <w:t xml:space="preserve"> (subrayado con resaltado fuera de texto)</w:t>
      </w:r>
    </w:p>
    <w:p w14:paraId="00FC59E9" w14:textId="77777777" w:rsidR="00F4587C" w:rsidRDefault="00F4587C" w:rsidP="0028726C">
      <w:pPr>
        <w:rPr>
          <w:rFonts w:cs="Arial"/>
          <w:sz w:val="22"/>
          <w:szCs w:val="22"/>
        </w:rPr>
      </w:pPr>
    </w:p>
    <w:p w14:paraId="3676D996" w14:textId="38A643AE" w:rsidR="009216F0" w:rsidRPr="009216F0" w:rsidRDefault="00C81C86" w:rsidP="009216F0">
      <w:pPr>
        <w:rPr>
          <w:rFonts w:cs="Arial"/>
          <w:sz w:val="22"/>
          <w:szCs w:val="22"/>
        </w:rPr>
      </w:pPr>
      <w:r>
        <w:rPr>
          <w:rFonts w:cs="Arial"/>
          <w:sz w:val="22"/>
          <w:szCs w:val="22"/>
        </w:rPr>
        <w:t>Respecto del comentario sobre la eventual situación de mayores cantidades demandadas que pueda darse en más de un trimestre, el procedimiento es igual en cualquiera de estos caso</w:t>
      </w:r>
      <w:r w:rsidR="007420C7">
        <w:rPr>
          <w:rFonts w:cs="Arial"/>
          <w:sz w:val="22"/>
          <w:szCs w:val="22"/>
        </w:rPr>
        <w:t>s</w:t>
      </w:r>
      <w:r>
        <w:rPr>
          <w:rFonts w:cs="Arial"/>
          <w:sz w:val="22"/>
          <w:szCs w:val="22"/>
        </w:rPr>
        <w:t>, así se repita la situación en diferentes trimestres de suministro.</w:t>
      </w:r>
    </w:p>
    <w:p w14:paraId="090A4E08" w14:textId="77777777" w:rsidR="00F4587C" w:rsidRPr="0028726C" w:rsidRDefault="00F4587C" w:rsidP="0028726C">
      <w:pPr>
        <w:rPr>
          <w:rFonts w:cs="Arial"/>
          <w:sz w:val="22"/>
          <w:szCs w:val="22"/>
        </w:rPr>
      </w:pPr>
    </w:p>
    <w:p w14:paraId="0301F30F" w14:textId="77777777" w:rsidR="00C53D76" w:rsidRDefault="00C53D76" w:rsidP="0028726C">
      <w:pPr>
        <w:rPr>
          <w:rFonts w:cs="Arial"/>
          <w:sz w:val="22"/>
          <w:szCs w:val="22"/>
        </w:rPr>
      </w:pPr>
    </w:p>
    <w:p w14:paraId="390C844A" w14:textId="303BD909" w:rsidR="00C53D76" w:rsidRDefault="0028726C" w:rsidP="000D05A3">
      <w:pPr>
        <w:pStyle w:val="Ttulo4"/>
      </w:pPr>
      <w:bookmarkStart w:id="813" w:name="_Ref132290406"/>
      <w:r w:rsidRPr="0028726C">
        <w:t>GASES DE LA GUAJIRA</w:t>
      </w:r>
      <w:bookmarkEnd w:id="813"/>
      <w:r w:rsidRPr="0028726C">
        <w:tab/>
      </w:r>
    </w:p>
    <w:p w14:paraId="20FAE0D0" w14:textId="086C97D9" w:rsidR="0028726C" w:rsidRPr="00C81C86" w:rsidRDefault="007420C7" w:rsidP="0028726C">
      <w:pPr>
        <w:rPr>
          <w:rFonts w:cs="Arial"/>
          <w:i/>
          <w:iCs/>
          <w:sz w:val="22"/>
          <w:szCs w:val="22"/>
        </w:rPr>
      </w:pPr>
      <w:r>
        <w:rPr>
          <w:rFonts w:cs="Arial"/>
          <w:i/>
          <w:iCs/>
          <w:sz w:val="22"/>
          <w:szCs w:val="22"/>
        </w:rPr>
        <w:t>“</w:t>
      </w:r>
      <w:r w:rsidR="0028726C" w:rsidRPr="00C81C86">
        <w:rPr>
          <w:rFonts w:cs="Arial"/>
          <w:i/>
          <w:iCs/>
          <w:sz w:val="22"/>
          <w:szCs w:val="22"/>
        </w:rPr>
        <w:t xml:space="preserve">Esta previsión no es clara, sobre todo si se tiene en cuenta el tema en la práctica. Si como parece el comprador es libre de adquirir el gas a cualquier productor agrupado en un Punto de Referencia, el comprador en realidad no está atado a ninguno, por lo que no es claro porque solo </w:t>
      </w:r>
      <w:proofErr w:type="spellStart"/>
      <w:r w:rsidR="0028726C" w:rsidRPr="00C81C86">
        <w:rPr>
          <w:rFonts w:cs="Arial"/>
          <w:i/>
          <w:iCs/>
          <w:sz w:val="22"/>
          <w:szCs w:val="22"/>
        </w:rPr>
        <w:t>ha</w:t>
      </w:r>
      <w:proofErr w:type="spellEnd"/>
      <w:r w:rsidR="0028726C" w:rsidRPr="00C81C86">
        <w:rPr>
          <w:rFonts w:cs="Arial"/>
          <w:i/>
          <w:iCs/>
          <w:sz w:val="22"/>
          <w:szCs w:val="22"/>
        </w:rPr>
        <w:t xml:space="preserve"> partir de que el procedimiento que implemente un productor, permite que el comprador pueda acudir a otro. Favor aclarar.</w:t>
      </w:r>
      <w:r>
        <w:rPr>
          <w:rFonts w:cs="Arial"/>
          <w:i/>
          <w:iCs/>
          <w:sz w:val="22"/>
          <w:szCs w:val="22"/>
        </w:rPr>
        <w:t>”</w:t>
      </w:r>
    </w:p>
    <w:p w14:paraId="66FD607F" w14:textId="77777777" w:rsidR="00C81C86" w:rsidRDefault="00C81C86" w:rsidP="0028726C">
      <w:pPr>
        <w:rPr>
          <w:rFonts w:cs="Arial"/>
          <w:sz w:val="22"/>
          <w:szCs w:val="22"/>
        </w:rPr>
      </w:pPr>
    </w:p>
    <w:p w14:paraId="4286B13F" w14:textId="1BE5DED1" w:rsidR="00C81C86" w:rsidRPr="00C81C86" w:rsidRDefault="00C81C86" w:rsidP="0028726C">
      <w:pPr>
        <w:rPr>
          <w:rFonts w:cs="Arial"/>
          <w:b/>
          <w:bCs/>
          <w:sz w:val="22"/>
          <w:szCs w:val="22"/>
        </w:rPr>
      </w:pPr>
      <w:r w:rsidRPr="00C81C86">
        <w:rPr>
          <w:rFonts w:cs="Arial"/>
          <w:b/>
          <w:bCs/>
          <w:sz w:val="22"/>
          <w:szCs w:val="22"/>
        </w:rPr>
        <w:t>Respuesta:</w:t>
      </w:r>
    </w:p>
    <w:p w14:paraId="43F9A068" w14:textId="77777777" w:rsidR="00C81C86" w:rsidRDefault="00C81C86" w:rsidP="0028726C">
      <w:pPr>
        <w:rPr>
          <w:rFonts w:cs="Arial"/>
          <w:sz w:val="22"/>
          <w:szCs w:val="22"/>
        </w:rPr>
      </w:pPr>
    </w:p>
    <w:p w14:paraId="352BCE4A" w14:textId="0D17C51F" w:rsidR="00C81C86" w:rsidRDefault="00535DA9" w:rsidP="0028726C">
      <w:pPr>
        <w:rPr>
          <w:rFonts w:cs="Arial"/>
          <w:sz w:val="22"/>
          <w:szCs w:val="22"/>
        </w:rPr>
      </w:pPr>
      <w:r>
        <w:rPr>
          <w:rFonts w:cs="Arial"/>
          <w:sz w:val="22"/>
          <w:szCs w:val="22"/>
        </w:rPr>
        <w:t>En la nueva propuesta se da claridad en el sentido de que el comprador puede acudir desde un principio del período de negociación directa a cualquier vendedor del punto de referencia. Lo que se puede prever es que con el conocimiento de los resultados (precios promedio y cantidades) de las fuentes de suministro en los trimestres de negociación anteriores, los compradores querrán acudir inicialmente a la fuente de suministro de menor precio promedio anterior.</w:t>
      </w:r>
    </w:p>
    <w:p w14:paraId="49C74F70" w14:textId="77777777" w:rsidR="00C81C86" w:rsidRPr="0028726C" w:rsidRDefault="00C81C86" w:rsidP="0028726C">
      <w:pPr>
        <w:rPr>
          <w:rFonts w:cs="Arial"/>
          <w:sz w:val="22"/>
          <w:szCs w:val="22"/>
        </w:rPr>
      </w:pPr>
    </w:p>
    <w:p w14:paraId="40035B96" w14:textId="77777777" w:rsidR="00C53D76" w:rsidRDefault="00C53D76" w:rsidP="0028726C">
      <w:pPr>
        <w:rPr>
          <w:rFonts w:cs="Arial"/>
          <w:sz w:val="22"/>
          <w:szCs w:val="22"/>
        </w:rPr>
      </w:pPr>
    </w:p>
    <w:p w14:paraId="54A92309" w14:textId="77777777" w:rsidR="00C53D76" w:rsidRDefault="0028726C" w:rsidP="000D05A3">
      <w:pPr>
        <w:pStyle w:val="Ttulo4"/>
      </w:pPr>
      <w:bookmarkStart w:id="814" w:name="_Ref132207034"/>
      <w:r w:rsidRPr="0028726C">
        <w:t>GASES DE LA GUAJIRA</w:t>
      </w:r>
      <w:bookmarkEnd w:id="814"/>
      <w:r w:rsidRPr="0028726C">
        <w:tab/>
      </w:r>
    </w:p>
    <w:p w14:paraId="538F48B4" w14:textId="2FD94469" w:rsidR="0028726C" w:rsidRPr="00535DA9" w:rsidRDefault="00FA24A3" w:rsidP="0028726C">
      <w:pPr>
        <w:rPr>
          <w:rFonts w:cs="Arial"/>
          <w:i/>
          <w:iCs/>
          <w:sz w:val="22"/>
          <w:szCs w:val="22"/>
        </w:rPr>
      </w:pPr>
      <w:r>
        <w:rPr>
          <w:rFonts w:cs="Arial"/>
          <w:i/>
          <w:iCs/>
          <w:sz w:val="22"/>
          <w:szCs w:val="22"/>
        </w:rPr>
        <w:t>“</w:t>
      </w:r>
      <w:r w:rsidR="0028726C" w:rsidRPr="00535DA9">
        <w:rPr>
          <w:rFonts w:cs="Arial"/>
          <w:i/>
          <w:iCs/>
          <w:sz w:val="22"/>
          <w:szCs w:val="22"/>
        </w:rPr>
        <w:t>Que ocurre si en efecto se presenta una demanda que no se contrató?</w:t>
      </w:r>
      <w:r>
        <w:rPr>
          <w:rFonts w:cs="Arial"/>
          <w:i/>
          <w:iCs/>
          <w:sz w:val="22"/>
          <w:szCs w:val="22"/>
        </w:rPr>
        <w:t>”</w:t>
      </w:r>
    </w:p>
    <w:p w14:paraId="3FE10ABC" w14:textId="77777777" w:rsidR="00535DA9" w:rsidRDefault="00535DA9" w:rsidP="0028726C">
      <w:pPr>
        <w:rPr>
          <w:rFonts w:cs="Arial"/>
          <w:sz w:val="22"/>
          <w:szCs w:val="22"/>
        </w:rPr>
      </w:pPr>
    </w:p>
    <w:p w14:paraId="5112C258" w14:textId="55BEA048" w:rsidR="00535DA9" w:rsidRPr="00535DA9" w:rsidRDefault="00535DA9" w:rsidP="0028726C">
      <w:pPr>
        <w:rPr>
          <w:rFonts w:cs="Arial"/>
          <w:b/>
          <w:bCs/>
          <w:sz w:val="22"/>
          <w:szCs w:val="22"/>
        </w:rPr>
      </w:pPr>
      <w:r w:rsidRPr="00535DA9">
        <w:rPr>
          <w:rFonts w:cs="Arial"/>
          <w:b/>
          <w:bCs/>
          <w:sz w:val="22"/>
          <w:szCs w:val="22"/>
        </w:rPr>
        <w:t>Respuesta:</w:t>
      </w:r>
    </w:p>
    <w:p w14:paraId="3BBDCFF1" w14:textId="77777777" w:rsidR="00535DA9" w:rsidRDefault="00535DA9" w:rsidP="0028726C">
      <w:pPr>
        <w:rPr>
          <w:rFonts w:cs="Arial"/>
          <w:sz w:val="22"/>
          <w:szCs w:val="22"/>
        </w:rPr>
      </w:pPr>
    </w:p>
    <w:p w14:paraId="39142AE7" w14:textId="5760BC6C" w:rsidR="00535DA9" w:rsidRDefault="00C92974" w:rsidP="0028726C">
      <w:pPr>
        <w:rPr>
          <w:rFonts w:cs="Arial"/>
          <w:sz w:val="22"/>
          <w:szCs w:val="22"/>
        </w:rPr>
      </w:pPr>
      <w:r>
        <w:rPr>
          <w:rFonts w:cs="Arial"/>
          <w:sz w:val="22"/>
          <w:szCs w:val="22"/>
        </w:rPr>
        <w:t xml:space="preserve">La respuesta se da dependiendo de la condición en que no se contrató: si fue cuando se realizaron negociaciones directas porque el </w:t>
      </w:r>
      <w:r w:rsidR="009D22E9">
        <w:rPr>
          <w:rFonts w:cs="Arial"/>
          <w:sz w:val="22"/>
          <w:szCs w:val="22"/>
        </w:rPr>
        <w:t>trimestre estándar de ejecución</w:t>
      </w:r>
      <w:r>
        <w:rPr>
          <w:rFonts w:cs="Arial"/>
          <w:sz w:val="22"/>
          <w:szCs w:val="22"/>
        </w:rPr>
        <w:t xml:space="preserve"> fue de balance comercial superavitario o si fue de un proceso de asignación de cantidades priorizadas a la Demanda Esencial en los casos en que el </w:t>
      </w:r>
      <w:r w:rsidR="009D22E9">
        <w:rPr>
          <w:rFonts w:cs="Arial"/>
          <w:sz w:val="22"/>
          <w:szCs w:val="22"/>
        </w:rPr>
        <w:t>trimestre estándar de ejecución</w:t>
      </w:r>
      <w:r>
        <w:rPr>
          <w:rFonts w:cs="Arial"/>
          <w:sz w:val="22"/>
          <w:szCs w:val="22"/>
        </w:rPr>
        <w:t xml:space="preserve"> fue de balance comercial deficitario. Corresponde a las entidades de vigilancia y control la revisión de cada caso.</w:t>
      </w:r>
    </w:p>
    <w:p w14:paraId="62E1D18F" w14:textId="77777777" w:rsidR="00C92974" w:rsidRDefault="00C92974" w:rsidP="0028726C">
      <w:pPr>
        <w:rPr>
          <w:rFonts w:cs="Arial"/>
          <w:sz w:val="22"/>
          <w:szCs w:val="22"/>
        </w:rPr>
      </w:pPr>
    </w:p>
    <w:p w14:paraId="5C071E66" w14:textId="29EE9161" w:rsidR="00C92974" w:rsidRDefault="00C92974" w:rsidP="0028726C">
      <w:pPr>
        <w:rPr>
          <w:rFonts w:cs="Arial"/>
          <w:sz w:val="22"/>
          <w:szCs w:val="22"/>
        </w:rPr>
      </w:pPr>
      <w:r>
        <w:rPr>
          <w:rFonts w:cs="Arial"/>
          <w:sz w:val="22"/>
          <w:szCs w:val="22"/>
        </w:rPr>
        <w:t>En todo caso en la nueva propuesta se están adicionando textos para que no haya ninguna razón aceptable para que las negociaciones bajo el esquema MADE (directas o por asignación de subasta) no terminen con la suscripción del contrato de suministro y posterior registro ante el Gestor del Mercado.</w:t>
      </w:r>
    </w:p>
    <w:p w14:paraId="5591E773" w14:textId="77777777" w:rsidR="00535DA9" w:rsidRPr="0028726C" w:rsidRDefault="00535DA9" w:rsidP="0028726C">
      <w:pPr>
        <w:rPr>
          <w:rFonts w:cs="Arial"/>
          <w:sz w:val="22"/>
          <w:szCs w:val="22"/>
        </w:rPr>
      </w:pPr>
    </w:p>
    <w:p w14:paraId="02322609" w14:textId="77777777" w:rsidR="00C53D76" w:rsidRDefault="00C53D76" w:rsidP="0028726C">
      <w:pPr>
        <w:rPr>
          <w:rFonts w:cs="Arial"/>
          <w:sz w:val="22"/>
          <w:szCs w:val="22"/>
        </w:rPr>
      </w:pPr>
    </w:p>
    <w:p w14:paraId="1BF5C008" w14:textId="77777777" w:rsidR="00C53D76" w:rsidRDefault="0028726C" w:rsidP="000D05A3">
      <w:pPr>
        <w:pStyle w:val="Ttulo4"/>
      </w:pPr>
      <w:bookmarkStart w:id="815" w:name="_Ref132290500"/>
      <w:r w:rsidRPr="0028726C">
        <w:t>GASES DE LA GUAJIRA</w:t>
      </w:r>
      <w:bookmarkEnd w:id="815"/>
      <w:r w:rsidRPr="0028726C">
        <w:tab/>
      </w:r>
    </w:p>
    <w:p w14:paraId="3AE5039F" w14:textId="45FADC3C" w:rsidR="0028726C" w:rsidRPr="006F3233" w:rsidRDefault="00B47F19" w:rsidP="0028726C">
      <w:pPr>
        <w:rPr>
          <w:rFonts w:cs="Arial"/>
          <w:i/>
          <w:iCs/>
          <w:sz w:val="22"/>
          <w:szCs w:val="22"/>
        </w:rPr>
      </w:pPr>
      <w:r>
        <w:rPr>
          <w:rFonts w:cs="Arial"/>
          <w:i/>
          <w:iCs/>
          <w:sz w:val="22"/>
          <w:szCs w:val="22"/>
        </w:rPr>
        <w:t>“</w:t>
      </w:r>
      <w:r w:rsidR="0028726C" w:rsidRPr="006F3233">
        <w:rPr>
          <w:rFonts w:cs="Arial"/>
          <w:i/>
          <w:iCs/>
          <w:sz w:val="22"/>
          <w:szCs w:val="22"/>
        </w:rPr>
        <w:t xml:space="preserve">Se solicita aclarar si, de acuerdo con lo anterior, los contratos CF80 solo podrían pactarse y registrarse, por periodos mensuales, para la demanda regulada no esencial, y solo en el mercado primario. </w:t>
      </w:r>
      <w:proofErr w:type="gramStart"/>
      <w:r w:rsidR="0028726C" w:rsidRPr="006F3233">
        <w:rPr>
          <w:rFonts w:cs="Arial"/>
          <w:i/>
          <w:iCs/>
          <w:sz w:val="22"/>
          <w:szCs w:val="22"/>
        </w:rPr>
        <w:t>Al mismo tiempo, si son mensuales, significa que deben ser negociados cada mes?</w:t>
      </w:r>
      <w:proofErr w:type="gramEnd"/>
      <w:r>
        <w:rPr>
          <w:rFonts w:cs="Arial"/>
          <w:i/>
          <w:iCs/>
          <w:sz w:val="22"/>
          <w:szCs w:val="22"/>
        </w:rPr>
        <w:t>”</w:t>
      </w:r>
    </w:p>
    <w:p w14:paraId="22DCC21E" w14:textId="77777777" w:rsidR="006F3233" w:rsidRDefault="006F3233" w:rsidP="0028726C">
      <w:pPr>
        <w:rPr>
          <w:rFonts w:cs="Arial"/>
          <w:sz w:val="22"/>
          <w:szCs w:val="22"/>
        </w:rPr>
      </w:pPr>
    </w:p>
    <w:p w14:paraId="19964B0C" w14:textId="1EF83BB5" w:rsidR="006F3233" w:rsidRPr="006F3233" w:rsidRDefault="006F3233" w:rsidP="0028726C">
      <w:pPr>
        <w:rPr>
          <w:rFonts w:cs="Arial"/>
          <w:b/>
          <w:bCs/>
          <w:sz w:val="22"/>
          <w:szCs w:val="22"/>
        </w:rPr>
      </w:pPr>
      <w:r w:rsidRPr="006F3233">
        <w:rPr>
          <w:rFonts w:cs="Arial"/>
          <w:b/>
          <w:bCs/>
          <w:sz w:val="22"/>
          <w:szCs w:val="22"/>
        </w:rPr>
        <w:t>Respuesta:</w:t>
      </w:r>
    </w:p>
    <w:p w14:paraId="7DB8E78E" w14:textId="77777777" w:rsidR="006F3233" w:rsidRDefault="006F3233" w:rsidP="0028726C">
      <w:pPr>
        <w:rPr>
          <w:rFonts w:cs="Arial"/>
          <w:sz w:val="22"/>
          <w:szCs w:val="22"/>
        </w:rPr>
      </w:pPr>
    </w:p>
    <w:p w14:paraId="1F7F5A18" w14:textId="5870CEDA" w:rsidR="006F3233" w:rsidRDefault="006B5F17" w:rsidP="0028726C">
      <w:pPr>
        <w:rPr>
          <w:rFonts w:cs="Arial"/>
          <w:sz w:val="22"/>
          <w:szCs w:val="22"/>
        </w:rPr>
      </w:pPr>
      <w:r>
        <w:rPr>
          <w:rFonts w:cs="Arial"/>
          <w:sz w:val="22"/>
          <w:szCs w:val="22"/>
        </w:rPr>
        <w:t xml:space="preserve">Con base en los comentarios recibidos y análisis adicionales realizados al interior de la Comisión, en la nueva propuesta se determina que, en el caso de que haya un </w:t>
      </w:r>
      <w:r w:rsidR="009D22E9">
        <w:rPr>
          <w:rFonts w:cs="Arial"/>
          <w:sz w:val="22"/>
          <w:szCs w:val="22"/>
        </w:rPr>
        <w:t>trimestre estándar de ejecución</w:t>
      </w:r>
      <w:r>
        <w:rPr>
          <w:rFonts w:cs="Arial"/>
          <w:sz w:val="22"/>
          <w:szCs w:val="22"/>
        </w:rPr>
        <w:t xml:space="preserve"> con balance superavitario, los agentes podrán negociar directamente contratos de la modalidad propuesta CF80 o de la modalidad CF95 para ese </w:t>
      </w:r>
      <w:r w:rsidR="009D22E9">
        <w:rPr>
          <w:rFonts w:cs="Arial"/>
          <w:sz w:val="22"/>
          <w:szCs w:val="22"/>
        </w:rPr>
        <w:t>trimestre estándar de ejecución</w:t>
      </w:r>
      <w:r>
        <w:rPr>
          <w:rFonts w:cs="Arial"/>
          <w:sz w:val="22"/>
          <w:szCs w:val="22"/>
        </w:rPr>
        <w:t xml:space="preserve">, para cualquier tipo de demanda incluida la Demanda Esencial. La duración de los contratos podrá ser de cualquier plazo y cualquier modalidad, siempre y cuando se cumplan las condiciones para ello sea que se traten de contratos de duración </w:t>
      </w:r>
      <w:proofErr w:type="spellStart"/>
      <w:r>
        <w:rPr>
          <w:rFonts w:cs="Arial"/>
          <w:sz w:val="22"/>
          <w:szCs w:val="22"/>
        </w:rPr>
        <w:t>multitrimestral</w:t>
      </w:r>
      <w:proofErr w:type="spellEnd"/>
      <w:r>
        <w:rPr>
          <w:rFonts w:cs="Arial"/>
          <w:sz w:val="22"/>
          <w:szCs w:val="22"/>
        </w:rPr>
        <w:t xml:space="preserve"> o de duración mensual.</w:t>
      </w:r>
    </w:p>
    <w:p w14:paraId="3628C3EF" w14:textId="77777777" w:rsidR="006B5F17" w:rsidRPr="0028726C" w:rsidRDefault="006B5F17" w:rsidP="0028726C">
      <w:pPr>
        <w:rPr>
          <w:rFonts w:cs="Arial"/>
          <w:sz w:val="22"/>
          <w:szCs w:val="22"/>
        </w:rPr>
      </w:pPr>
    </w:p>
    <w:p w14:paraId="25BD0436" w14:textId="77777777" w:rsidR="00C53D76" w:rsidRDefault="00C53D76" w:rsidP="0028726C">
      <w:pPr>
        <w:rPr>
          <w:rFonts w:cs="Arial"/>
          <w:sz w:val="22"/>
          <w:szCs w:val="22"/>
        </w:rPr>
      </w:pPr>
    </w:p>
    <w:p w14:paraId="325B5F09" w14:textId="77777777" w:rsidR="00C53D76" w:rsidRDefault="0028726C" w:rsidP="000D05A3">
      <w:pPr>
        <w:pStyle w:val="Ttulo4"/>
      </w:pPr>
      <w:bookmarkStart w:id="816" w:name="_Ref132290541"/>
      <w:r w:rsidRPr="0028726C">
        <w:t>GASES DE LA GUAJIRA</w:t>
      </w:r>
      <w:bookmarkEnd w:id="816"/>
      <w:r w:rsidRPr="0028726C">
        <w:tab/>
      </w:r>
    </w:p>
    <w:p w14:paraId="7EC8C99E" w14:textId="5F574769" w:rsidR="0028726C" w:rsidRPr="006B5F17" w:rsidRDefault="0028726C" w:rsidP="0028726C">
      <w:pPr>
        <w:rPr>
          <w:rFonts w:cs="Arial"/>
          <w:i/>
          <w:iCs/>
          <w:sz w:val="22"/>
          <w:szCs w:val="22"/>
        </w:rPr>
      </w:pPr>
      <w:r w:rsidRPr="0028726C">
        <w:rPr>
          <w:rFonts w:cs="Arial"/>
          <w:sz w:val="22"/>
          <w:szCs w:val="22"/>
        </w:rPr>
        <w:t>"</w:t>
      </w:r>
      <w:r w:rsidRPr="006B5F17">
        <w:rPr>
          <w:rFonts w:cs="Arial"/>
          <w:i/>
          <w:iCs/>
          <w:sz w:val="22"/>
          <w:szCs w:val="22"/>
        </w:rPr>
        <w:t>Al igual que comentarios anteriores, es importante que la CREG le determine al Gestor los parámetros dentro de los cuales hace la asignación, de manera que no se entienda como una delegación de la función regulatoria, y exista transparencia en las reglas que aplica el Gestor.</w:t>
      </w:r>
    </w:p>
    <w:p w14:paraId="77EBB0F3" w14:textId="77777777" w:rsidR="0028726C" w:rsidRPr="006B5F17" w:rsidRDefault="0028726C" w:rsidP="0028726C">
      <w:pPr>
        <w:rPr>
          <w:rFonts w:cs="Arial"/>
          <w:i/>
          <w:iCs/>
          <w:sz w:val="22"/>
          <w:szCs w:val="22"/>
        </w:rPr>
      </w:pPr>
    </w:p>
    <w:p w14:paraId="27F0528A" w14:textId="77777777" w:rsidR="0028726C" w:rsidRDefault="0028726C" w:rsidP="0028726C">
      <w:pPr>
        <w:rPr>
          <w:rFonts w:cs="Arial"/>
          <w:sz w:val="22"/>
          <w:szCs w:val="22"/>
        </w:rPr>
      </w:pPr>
      <w:r w:rsidRPr="006B5F17">
        <w:rPr>
          <w:rFonts w:cs="Arial"/>
          <w:i/>
          <w:iCs/>
          <w:sz w:val="22"/>
          <w:szCs w:val="22"/>
        </w:rPr>
        <w:t>Al mismo tiempo, la asignación debería tener en consideración la disponibilidad de la capacidad de transporte, y la cercanía que pueda darse entre los agentes y la fuente respectiva</w:t>
      </w:r>
      <w:r w:rsidRPr="0028726C">
        <w:rPr>
          <w:rFonts w:cs="Arial"/>
          <w:sz w:val="22"/>
          <w:szCs w:val="22"/>
        </w:rPr>
        <w:t>"</w:t>
      </w:r>
    </w:p>
    <w:p w14:paraId="5A2411B6" w14:textId="77777777" w:rsidR="006B5F17" w:rsidRDefault="006B5F17" w:rsidP="0028726C">
      <w:pPr>
        <w:rPr>
          <w:rFonts w:cs="Arial"/>
          <w:sz w:val="22"/>
          <w:szCs w:val="22"/>
        </w:rPr>
      </w:pPr>
    </w:p>
    <w:p w14:paraId="02572F07" w14:textId="64CA1E21" w:rsidR="006B5F17" w:rsidRPr="006B5F17" w:rsidRDefault="006B5F17" w:rsidP="0028726C">
      <w:pPr>
        <w:rPr>
          <w:rFonts w:cs="Arial"/>
          <w:b/>
          <w:bCs/>
          <w:sz w:val="22"/>
          <w:szCs w:val="22"/>
        </w:rPr>
      </w:pPr>
      <w:r w:rsidRPr="006B5F17">
        <w:rPr>
          <w:rFonts w:cs="Arial"/>
          <w:b/>
          <w:bCs/>
          <w:sz w:val="22"/>
          <w:szCs w:val="22"/>
        </w:rPr>
        <w:t>Respuesta:</w:t>
      </w:r>
    </w:p>
    <w:p w14:paraId="519FC38F" w14:textId="77777777" w:rsidR="006B5F17" w:rsidRDefault="006B5F17" w:rsidP="0028726C">
      <w:pPr>
        <w:rPr>
          <w:rFonts w:cs="Arial"/>
          <w:sz w:val="22"/>
          <w:szCs w:val="22"/>
        </w:rPr>
      </w:pPr>
    </w:p>
    <w:p w14:paraId="4B23690C" w14:textId="1F8D721B" w:rsidR="006B5F17" w:rsidRDefault="002157F8" w:rsidP="0028726C">
      <w:pPr>
        <w:rPr>
          <w:rFonts w:cs="Arial"/>
          <w:sz w:val="22"/>
          <w:szCs w:val="22"/>
        </w:rPr>
      </w:pPr>
      <w:r>
        <w:rPr>
          <w:rFonts w:cs="Arial"/>
          <w:sz w:val="22"/>
          <w:szCs w:val="22"/>
        </w:rPr>
        <w:t>Se acoge el comentario parcialmente.</w:t>
      </w:r>
    </w:p>
    <w:p w14:paraId="3E980066" w14:textId="77777777" w:rsidR="002157F8" w:rsidRDefault="002157F8" w:rsidP="0028726C">
      <w:pPr>
        <w:rPr>
          <w:rFonts w:cs="Arial"/>
          <w:sz w:val="22"/>
          <w:szCs w:val="22"/>
        </w:rPr>
      </w:pPr>
    </w:p>
    <w:p w14:paraId="7C673868" w14:textId="645C19EE" w:rsidR="002157F8" w:rsidRDefault="002157F8" w:rsidP="0028726C">
      <w:pPr>
        <w:rPr>
          <w:rFonts w:cs="Arial"/>
          <w:sz w:val="22"/>
          <w:szCs w:val="22"/>
        </w:rPr>
      </w:pPr>
      <w:r>
        <w:rPr>
          <w:rFonts w:cs="Arial"/>
          <w:sz w:val="22"/>
          <w:szCs w:val="22"/>
        </w:rPr>
        <w:t>En la nueva propuesta se especifican las fórmulas de cálculo para la priorización de las cantidades que debe hacer el Gestor del Mercado sobre las cantidades declaradas por los compradores como requeridas para la Demanda Esencial en la segunda instancia de declaración.</w:t>
      </w:r>
    </w:p>
    <w:p w14:paraId="249E67E9" w14:textId="77777777" w:rsidR="002157F8" w:rsidRDefault="002157F8" w:rsidP="0028726C">
      <w:pPr>
        <w:rPr>
          <w:rFonts w:cs="Arial"/>
          <w:sz w:val="22"/>
          <w:szCs w:val="22"/>
        </w:rPr>
      </w:pPr>
    </w:p>
    <w:p w14:paraId="30CD8404" w14:textId="474A81FD" w:rsidR="002157F8" w:rsidRDefault="002157F8" w:rsidP="0028726C">
      <w:pPr>
        <w:rPr>
          <w:rFonts w:cs="Arial"/>
          <w:sz w:val="22"/>
          <w:szCs w:val="22"/>
        </w:rPr>
      </w:pPr>
      <w:r>
        <w:rPr>
          <w:rFonts w:cs="Arial"/>
          <w:sz w:val="22"/>
          <w:szCs w:val="22"/>
        </w:rPr>
        <w:t>La distribución priorizada resulta de una prorrata entre todas las fuentes de suministro para cada comprador, lo que implica que el precio promedio ponderado de los contratos a firmar de los compradores entre las diferentes fuentes de suministro será igual entre ellos. Lo anterior no implica que el precio de las fuentes de suministro resulte igual entre ellas, pues cada una tendrá su precio de reserva que puede ser diferente.</w:t>
      </w:r>
      <w:r w:rsidR="007E33F2">
        <w:rPr>
          <w:rFonts w:cs="Arial"/>
          <w:sz w:val="22"/>
          <w:szCs w:val="22"/>
        </w:rPr>
        <w:t xml:space="preserve"> Par el cálculo de la distribución no se encuentra pertinente tener en cuenta la disponibilidad de capacidad de transporte de los compradores.</w:t>
      </w:r>
    </w:p>
    <w:p w14:paraId="191911FA" w14:textId="77777777" w:rsidR="002157F8" w:rsidRDefault="002157F8" w:rsidP="0028726C">
      <w:pPr>
        <w:rPr>
          <w:rFonts w:cs="Arial"/>
          <w:sz w:val="22"/>
          <w:szCs w:val="22"/>
        </w:rPr>
      </w:pPr>
    </w:p>
    <w:p w14:paraId="6B0AFD93" w14:textId="77777777" w:rsidR="00C53D76" w:rsidRDefault="00C53D76" w:rsidP="0028726C">
      <w:pPr>
        <w:rPr>
          <w:rFonts w:cs="Arial"/>
          <w:sz w:val="22"/>
          <w:szCs w:val="22"/>
        </w:rPr>
      </w:pPr>
    </w:p>
    <w:p w14:paraId="1220E0C9" w14:textId="77777777" w:rsidR="00C53D76" w:rsidRDefault="0028726C" w:rsidP="000D05A3">
      <w:pPr>
        <w:pStyle w:val="Ttulo4"/>
      </w:pPr>
      <w:bookmarkStart w:id="817" w:name="_Ref132290590"/>
      <w:r w:rsidRPr="0028726C">
        <w:t>GASES DE LA GUAJIRA</w:t>
      </w:r>
      <w:bookmarkEnd w:id="817"/>
      <w:r w:rsidRPr="0028726C">
        <w:tab/>
      </w:r>
    </w:p>
    <w:p w14:paraId="499B4023" w14:textId="31DC5CD0" w:rsidR="0028726C" w:rsidRDefault="00CD353C" w:rsidP="0028726C">
      <w:pPr>
        <w:rPr>
          <w:rFonts w:cs="Arial"/>
          <w:sz w:val="22"/>
          <w:szCs w:val="22"/>
        </w:rPr>
      </w:pPr>
      <w:r>
        <w:rPr>
          <w:rFonts w:cs="Arial"/>
          <w:i/>
          <w:iCs/>
          <w:sz w:val="22"/>
          <w:szCs w:val="22"/>
        </w:rPr>
        <w:t>“</w:t>
      </w:r>
      <w:r w:rsidR="0028726C" w:rsidRPr="007E33F2">
        <w:rPr>
          <w:rFonts w:cs="Arial"/>
          <w:i/>
          <w:iCs/>
          <w:sz w:val="22"/>
          <w:szCs w:val="22"/>
        </w:rPr>
        <w:t xml:space="preserve">Esta condición no resulta aceptable en un mecanismo de asignación administrada, ya que permitiría a las partes salirse de sus compromisos. En Ese sentido, sería necesario que antes de iniciar el proceso, Los Productores Comercializadores, deban declarar tanto su precio de reserva, como </w:t>
      </w:r>
      <w:proofErr w:type="gramStart"/>
      <w:r w:rsidR="0028726C" w:rsidRPr="007E33F2">
        <w:rPr>
          <w:rFonts w:cs="Arial"/>
          <w:i/>
          <w:iCs/>
          <w:sz w:val="22"/>
          <w:szCs w:val="22"/>
        </w:rPr>
        <w:t>su las garantías</w:t>
      </w:r>
      <w:proofErr w:type="gramEnd"/>
      <w:r w:rsidR="0028726C" w:rsidRPr="007E33F2">
        <w:rPr>
          <w:rFonts w:cs="Arial"/>
          <w:i/>
          <w:iCs/>
          <w:sz w:val="22"/>
          <w:szCs w:val="22"/>
        </w:rPr>
        <w:t xml:space="preserve"> de pago que requieren para el efecto, que son las únicas razones por las cuales un Productor podría negarse a suscribir un acuerdo de este tipo</w:t>
      </w:r>
      <w:r w:rsidR="0028726C" w:rsidRPr="0028726C">
        <w:rPr>
          <w:rFonts w:cs="Arial"/>
          <w:sz w:val="22"/>
          <w:szCs w:val="22"/>
        </w:rPr>
        <w:t>.</w:t>
      </w:r>
      <w:r>
        <w:rPr>
          <w:rFonts w:cs="Arial"/>
          <w:sz w:val="22"/>
          <w:szCs w:val="22"/>
        </w:rPr>
        <w:t>”</w:t>
      </w:r>
    </w:p>
    <w:p w14:paraId="4134414F" w14:textId="77777777" w:rsidR="007E33F2" w:rsidRDefault="007E33F2" w:rsidP="0028726C">
      <w:pPr>
        <w:rPr>
          <w:rFonts w:cs="Arial"/>
          <w:sz w:val="22"/>
          <w:szCs w:val="22"/>
        </w:rPr>
      </w:pPr>
    </w:p>
    <w:p w14:paraId="600CF206" w14:textId="4B77DBEA" w:rsidR="007E33F2" w:rsidRPr="007E33F2" w:rsidRDefault="007E33F2" w:rsidP="0028726C">
      <w:pPr>
        <w:rPr>
          <w:rFonts w:cs="Arial"/>
          <w:b/>
          <w:bCs/>
          <w:sz w:val="22"/>
          <w:szCs w:val="22"/>
        </w:rPr>
      </w:pPr>
      <w:r w:rsidRPr="007E33F2">
        <w:rPr>
          <w:rFonts w:cs="Arial"/>
          <w:b/>
          <w:bCs/>
          <w:sz w:val="22"/>
          <w:szCs w:val="22"/>
        </w:rPr>
        <w:t>Respuesta:</w:t>
      </w:r>
    </w:p>
    <w:p w14:paraId="3AF8CD0E" w14:textId="77777777" w:rsidR="007E33F2" w:rsidRDefault="007E33F2" w:rsidP="0028726C">
      <w:pPr>
        <w:rPr>
          <w:rFonts w:cs="Arial"/>
          <w:sz w:val="22"/>
          <w:szCs w:val="22"/>
        </w:rPr>
      </w:pPr>
    </w:p>
    <w:p w14:paraId="1486FC06" w14:textId="2DA56932" w:rsidR="007E33F2" w:rsidRDefault="007E33F2" w:rsidP="0028726C">
      <w:pPr>
        <w:rPr>
          <w:rFonts w:cs="Arial"/>
          <w:sz w:val="22"/>
          <w:szCs w:val="22"/>
        </w:rPr>
      </w:pPr>
      <w:r>
        <w:rPr>
          <w:rFonts w:cs="Arial"/>
          <w:sz w:val="22"/>
          <w:szCs w:val="22"/>
        </w:rPr>
        <w:t>Se acoge el comentario parcialmente.</w:t>
      </w:r>
    </w:p>
    <w:p w14:paraId="3E61D506" w14:textId="77777777" w:rsidR="007E33F2" w:rsidRDefault="007E33F2" w:rsidP="0028726C">
      <w:pPr>
        <w:rPr>
          <w:rFonts w:cs="Arial"/>
          <w:sz w:val="22"/>
          <w:szCs w:val="22"/>
        </w:rPr>
      </w:pPr>
    </w:p>
    <w:p w14:paraId="6F3D58F5" w14:textId="1D82FF51" w:rsidR="00A96F4A" w:rsidRDefault="00A96F4A"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_Ref132207034 \r \h </w:instrText>
      </w:r>
      <w:r>
        <w:rPr>
          <w:rFonts w:cs="Arial"/>
          <w:sz w:val="22"/>
          <w:szCs w:val="22"/>
        </w:rPr>
      </w:r>
      <w:r>
        <w:rPr>
          <w:rFonts w:cs="Arial"/>
          <w:sz w:val="22"/>
          <w:szCs w:val="22"/>
        </w:rPr>
        <w:fldChar w:fldCharType="separate"/>
      </w:r>
      <w:r w:rsidR="007651EA">
        <w:rPr>
          <w:rFonts w:cs="Arial"/>
          <w:sz w:val="22"/>
          <w:szCs w:val="22"/>
        </w:rPr>
        <w:t>19.12.1.13</w:t>
      </w:r>
      <w:r>
        <w:rPr>
          <w:rFonts w:cs="Arial"/>
          <w:sz w:val="22"/>
          <w:szCs w:val="22"/>
        </w:rPr>
        <w:fldChar w:fldCharType="end"/>
      </w:r>
      <w:r>
        <w:rPr>
          <w:rFonts w:cs="Arial"/>
          <w:sz w:val="22"/>
          <w:szCs w:val="22"/>
        </w:rPr>
        <w:t xml:space="preserve"> sobre salirse de los compromisos de las negociaciones avanzadas.</w:t>
      </w:r>
    </w:p>
    <w:p w14:paraId="2411D137" w14:textId="77777777" w:rsidR="00A96F4A" w:rsidRDefault="00A96F4A" w:rsidP="0028726C">
      <w:pPr>
        <w:rPr>
          <w:rFonts w:cs="Arial"/>
          <w:sz w:val="22"/>
          <w:szCs w:val="22"/>
        </w:rPr>
      </w:pPr>
    </w:p>
    <w:p w14:paraId="1A9A831C" w14:textId="2747F695" w:rsidR="007E33F2" w:rsidRDefault="00A96F4A" w:rsidP="0028726C">
      <w:pPr>
        <w:rPr>
          <w:rFonts w:cs="Arial"/>
          <w:sz w:val="22"/>
          <w:szCs w:val="22"/>
        </w:rPr>
      </w:pPr>
      <w:r>
        <w:rPr>
          <w:rFonts w:cs="Arial"/>
          <w:sz w:val="22"/>
          <w:szCs w:val="22"/>
        </w:rPr>
        <w:t>Por otro lado, s</w:t>
      </w:r>
      <w:r w:rsidR="007E33F2">
        <w:rPr>
          <w:rFonts w:cs="Arial"/>
          <w:sz w:val="22"/>
          <w:szCs w:val="22"/>
        </w:rPr>
        <w:t xml:space="preserve">e considera más efectivo y transparente que los productores-comercializadores declaren sus precios de reserva solamente cuando se determine por el Gestor del Mercado que hay un </w:t>
      </w:r>
      <w:r w:rsidR="009D22E9">
        <w:rPr>
          <w:rFonts w:cs="Arial"/>
          <w:sz w:val="22"/>
          <w:szCs w:val="22"/>
        </w:rPr>
        <w:t>trimestre estándar de ejecución</w:t>
      </w:r>
      <w:r w:rsidR="007E33F2">
        <w:rPr>
          <w:rFonts w:cs="Arial"/>
          <w:sz w:val="22"/>
          <w:szCs w:val="22"/>
        </w:rPr>
        <w:t xml:space="preserve"> con balance comercial deficitario, no antes. Ver respuesta a </w:t>
      </w:r>
      <w:r>
        <w:rPr>
          <w:rFonts w:cs="Arial"/>
          <w:sz w:val="22"/>
          <w:szCs w:val="22"/>
        </w:rPr>
        <w:fldChar w:fldCharType="begin"/>
      </w:r>
      <w:r>
        <w:rPr>
          <w:rFonts w:cs="Arial"/>
          <w:sz w:val="22"/>
          <w:szCs w:val="22"/>
        </w:rPr>
        <w:instrText xml:space="preserve"> REF _Ref132198348 \r \h </w:instrText>
      </w:r>
      <w:r>
        <w:rPr>
          <w:rFonts w:cs="Arial"/>
          <w:sz w:val="22"/>
          <w:szCs w:val="22"/>
        </w:rPr>
      </w:r>
      <w:r>
        <w:rPr>
          <w:rFonts w:cs="Arial"/>
          <w:sz w:val="22"/>
          <w:szCs w:val="22"/>
        </w:rPr>
        <w:fldChar w:fldCharType="separate"/>
      </w:r>
      <w:r w:rsidR="007651EA">
        <w:rPr>
          <w:rFonts w:cs="Arial"/>
          <w:sz w:val="22"/>
          <w:szCs w:val="22"/>
        </w:rPr>
        <w:t>19.7.1.4</w:t>
      </w:r>
      <w:r>
        <w:rPr>
          <w:rFonts w:cs="Arial"/>
          <w:sz w:val="22"/>
          <w:szCs w:val="22"/>
        </w:rPr>
        <w:fldChar w:fldCharType="end"/>
      </w:r>
      <w:r>
        <w:rPr>
          <w:rFonts w:cs="Arial"/>
          <w:sz w:val="22"/>
          <w:szCs w:val="22"/>
        </w:rPr>
        <w:t>.</w:t>
      </w:r>
    </w:p>
    <w:p w14:paraId="18D46268" w14:textId="77777777" w:rsidR="007E33F2" w:rsidRDefault="007E33F2" w:rsidP="0028726C">
      <w:pPr>
        <w:rPr>
          <w:rFonts w:cs="Arial"/>
          <w:sz w:val="22"/>
          <w:szCs w:val="22"/>
        </w:rPr>
      </w:pPr>
    </w:p>
    <w:p w14:paraId="740050AD" w14:textId="77777777" w:rsidR="00A96F4A" w:rsidRPr="0028726C" w:rsidRDefault="00A96F4A" w:rsidP="0028726C">
      <w:pPr>
        <w:rPr>
          <w:rFonts w:cs="Arial"/>
          <w:sz w:val="22"/>
          <w:szCs w:val="22"/>
        </w:rPr>
      </w:pPr>
    </w:p>
    <w:p w14:paraId="448B2671" w14:textId="77777777" w:rsidR="00C53D76" w:rsidRDefault="0028726C" w:rsidP="000D05A3">
      <w:pPr>
        <w:pStyle w:val="Ttulo4"/>
      </w:pPr>
      <w:r w:rsidRPr="0028726C">
        <w:t>GASES DE LA GUAJIRA</w:t>
      </w:r>
      <w:r w:rsidRPr="0028726C">
        <w:tab/>
      </w:r>
    </w:p>
    <w:p w14:paraId="63F86DE8" w14:textId="1903D1AA" w:rsidR="0028726C" w:rsidRPr="00A96F4A" w:rsidRDefault="00CD353C" w:rsidP="0028726C">
      <w:pPr>
        <w:rPr>
          <w:rFonts w:cs="Arial"/>
          <w:i/>
          <w:iCs/>
          <w:sz w:val="22"/>
          <w:szCs w:val="22"/>
        </w:rPr>
      </w:pPr>
      <w:r>
        <w:rPr>
          <w:rFonts w:cs="Arial"/>
          <w:i/>
          <w:iCs/>
          <w:sz w:val="22"/>
          <w:szCs w:val="22"/>
        </w:rPr>
        <w:t>“</w:t>
      </w:r>
      <w:r w:rsidR="0028726C" w:rsidRPr="00A96F4A">
        <w:rPr>
          <w:rFonts w:cs="Arial"/>
          <w:i/>
          <w:iCs/>
          <w:sz w:val="22"/>
          <w:szCs w:val="22"/>
        </w:rPr>
        <w:t>Para poder hacer una valoración integral de la propuesta del regulador, se requiere necesariamente conocer el funcionamiento de la subasta, máxime si se tiene en cuenta que la demanda esencial es tomadora del precio que resulte de la misma</w:t>
      </w:r>
      <w:r w:rsidR="00A96F4A" w:rsidRPr="00A96F4A">
        <w:rPr>
          <w:rFonts w:cs="Arial"/>
          <w:i/>
          <w:iCs/>
          <w:sz w:val="22"/>
          <w:szCs w:val="22"/>
        </w:rPr>
        <w:t>.</w:t>
      </w:r>
      <w:r>
        <w:rPr>
          <w:rFonts w:cs="Arial"/>
          <w:i/>
          <w:iCs/>
          <w:sz w:val="22"/>
          <w:szCs w:val="22"/>
        </w:rPr>
        <w:t>”</w:t>
      </w:r>
    </w:p>
    <w:p w14:paraId="368BDE74" w14:textId="77777777" w:rsidR="00A96F4A" w:rsidRDefault="00A96F4A" w:rsidP="0028726C">
      <w:pPr>
        <w:rPr>
          <w:rFonts w:cs="Arial"/>
          <w:sz w:val="22"/>
          <w:szCs w:val="22"/>
        </w:rPr>
      </w:pPr>
    </w:p>
    <w:p w14:paraId="138372F6" w14:textId="2DC12F77" w:rsidR="00A96F4A" w:rsidRPr="00A96F4A" w:rsidRDefault="00A96F4A" w:rsidP="0028726C">
      <w:pPr>
        <w:rPr>
          <w:rFonts w:cs="Arial"/>
          <w:b/>
          <w:bCs/>
          <w:sz w:val="22"/>
          <w:szCs w:val="22"/>
        </w:rPr>
      </w:pPr>
      <w:r w:rsidRPr="00A96F4A">
        <w:rPr>
          <w:rFonts w:cs="Arial"/>
          <w:b/>
          <w:bCs/>
          <w:sz w:val="22"/>
          <w:szCs w:val="22"/>
        </w:rPr>
        <w:t>Respuesta:</w:t>
      </w:r>
    </w:p>
    <w:p w14:paraId="1E98F4D8" w14:textId="77777777" w:rsidR="00A96F4A" w:rsidRDefault="00A96F4A" w:rsidP="0028726C">
      <w:pPr>
        <w:rPr>
          <w:rFonts w:cs="Arial"/>
          <w:sz w:val="22"/>
          <w:szCs w:val="22"/>
        </w:rPr>
      </w:pPr>
    </w:p>
    <w:p w14:paraId="2DD84278" w14:textId="6E3AF61F" w:rsidR="00A96F4A" w:rsidRDefault="00AE3897" w:rsidP="0028726C">
      <w:pPr>
        <w:rPr>
          <w:rFonts w:cs="Arial"/>
          <w:sz w:val="22"/>
          <w:szCs w:val="22"/>
        </w:rPr>
      </w:pPr>
      <w:r>
        <w:rPr>
          <w:rFonts w:cs="Arial"/>
          <w:sz w:val="22"/>
          <w:szCs w:val="22"/>
        </w:rPr>
        <w:t xml:space="preserve">Ver repuesta a </w:t>
      </w:r>
      <w:r>
        <w:rPr>
          <w:rFonts w:cs="Arial"/>
          <w:sz w:val="22"/>
          <w:szCs w:val="22"/>
        </w:rPr>
        <w:fldChar w:fldCharType="begin"/>
      </w:r>
      <w:r>
        <w:rPr>
          <w:rFonts w:cs="Arial"/>
          <w:sz w:val="22"/>
          <w:szCs w:val="22"/>
        </w:rPr>
        <w:instrText xml:space="preserve"> REF _Ref132190563 \r \h </w:instrText>
      </w:r>
      <w:r>
        <w:rPr>
          <w:rFonts w:cs="Arial"/>
          <w:sz w:val="22"/>
          <w:szCs w:val="22"/>
        </w:rPr>
      </w:r>
      <w:r>
        <w:rPr>
          <w:rFonts w:cs="Arial"/>
          <w:sz w:val="22"/>
          <w:szCs w:val="22"/>
        </w:rPr>
        <w:fldChar w:fldCharType="separate"/>
      </w:r>
      <w:r w:rsidR="007651EA">
        <w:rPr>
          <w:rFonts w:cs="Arial"/>
          <w:sz w:val="22"/>
          <w:szCs w:val="22"/>
        </w:rPr>
        <w:t>19.2.1.2</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_Ref132207182 \r \h </w:instrText>
      </w:r>
      <w:r>
        <w:rPr>
          <w:rFonts w:cs="Arial"/>
          <w:sz w:val="22"/>
          <w:szCs w:val="22"/>
        </w:rPr>
      </w:r>
      <w:r>
        <w:rPr>
          <w:rFonts w:cs="Arial"/>
          <w:sz w:val="22"/>
          <w:szCs w:val="22"/>
        </w:rPr>
        <w:fldChar w:fldCharType="separate"/>
      </w:r>
      <w:r w:rsidR="007651EA">
        <w:rPr>
          <w:rFonts w:cs="Arial"/>
          <w:sz w:val="22"/>
          <w:szCs w:val="22"/>
        </w:rPr>
        <w:t>19.8.1.13</w:t>
      </w:r>
      <w:r>
        <w:rPr>
          <w:rFonts w:cs="Arial"/>
          <w:sz w:val="22"/>
          <w:szCs w:val="22"/>
        </w:rPr>
        <w:fldChar w:fldCharType="end"/>
      </w:r>
      <w:r>
        <w:rPr>
          <w:rFonts w:cs="Arial"/>
          <w:sz w:val="22"/>
          <w:szCs w:val="22"/>
        </w:rPr>
        <w:t>.</w:t>
      </w:r>
    </w:p>
    <w:p w14:paraId="6CB9FAE9" w14:textId="77777777" w:rsidR="00A96F4A" w:rsidRPr="0028726C" w:rsidRDefault="00A96F4A" w:rsidP="0028726C">
      <w:pPr>
        <w:rPr>
          <w:rFonts w:cs="Arial"/>
          <w:sz w:val="22"/>
          <w:szCs w:val="22"/>
        </w:rPr>
      </w:pPr>
    </w:p>
    <w:p w14:paraId="45BD88FC" w14:textId="77777777" w:rsidR="00C53D76" w:rsidRDefault="00C53D76" w:rsidP="0028726C">
      <w:pPr>
        <w:rPr>
          <w:rFonts w:cs="Arial"/>
          <w:sz w:val="22"/>
          <w:szCs w:val="22"/>
        </w:rPr>
      </w:pPr>
    </w:p>
    <w:p w14:paraId="27213758" w14:textId="77777777" w:rsidR="00C53D76" w:rsidRDefault="0028726C" w:rsidP="000D05A3">
      <w:pPr>
        <w:pStyle w:val="Ttulo4"/>
      </w:pPr>
      <w:r w:rsidRPr="0028726C">
        <w:t>GASES DE LA GUAJIRA</w:t>
      </w:r>
      <w:r w:rsidRPr="0028726C">
        <w:tab/>
      </w:r>
    </w:p>
    <w:p w14:paraId="4C9D4C66" w14:textId="133D0623" w:rsidR="0028726C" w:rsidRPr="00FC240D" w:rsidRDefault="0028726C" w:rsidP="0028726C">
      <w:pPr>
        <w:rPr>
          <w:rFonts w:cs="Arial"/>
          <w:i/>
          <w:iCs/>
          <w:sz w:val="22"/>
          <w:szCs w:val="22"/>
        </w:rPr>
      </w:pPr>
      <w:r w:rsidRPr="0028726C">
        <w:rPr>
          <w:rFonts w:cs="Arial"/>
          <w:sz w:val="22"/>
          <w:szCs w:val="22"/>
        </w:rPr>
        <w:t>"</w:t>
      </w:r>
      <w:r w:rsidRPr="00FC240D">
        <w:rPr>
          <w:rFonts w:cs="Arial"/>
          <w:i/>
          <w:iCs/>
          <w:sz w:val="22"/>
          <w:szCs w:val="22"/>
        </w:rPr>
        <w:t>Estos apartes de la resolución resultan confusos, según se explica a continuación:</w:t>
      </w:r>
    </w:p>
    <w:p w14:paraId="4988CD34" w14:textId="77777777" w:rsidR="0028726C" w:rsidRPr="00FC240D" w:rsidRDefault="0028726C" w:rsidP="0028726C">
      <w:pPr>
        <w:rPr>
          <w:rFonts w:cs="Arial"/>
          <w:i/>
          <w:iCs/>
          <w:sz w:val="22"/>
          <w:szCs w:val="22"/>
        </w:rPr>
      </w:pPr>
    </w:p>
    <w:p w14:paraId="2035302A" w14:textId="77777777" w:rsidR="0028726C" w:rsidRPr="00FC240D" w:rsidRDefault="0028726C" w:rsidP="0028726C">
      <w:pPr>
        <w:rPr>
          <w:rFonts w:cs="Arial"/>
          <w:i/>
          <w:iCs/>
          <w:sz w:val="22"/>
          <w:szCs w:val="22"/>
        </w:rPr>
      </w:pPr>
      <w:r w:rsidRPr="00FC240D">
        <w:rPr>
          <w:rFonts w:cs="Arial"/>
          <w:i/>
          <w:iCs/>
          <w:sz w:val="22"/>
          <w:szCs w:val="22"/>
        </w:rPr>
        <w:t xml:space="preserve">Si los productores tienen que declarar la PTDVF, significa que esta por principio, </w:t>
      </w:r>
      <w:proofErr w:type="gramStart"/>
      <w:r w:rsidRPr="00FC240D">
        <w:rPr>
          <w:rFonts w:cs="Arial"/>
          <w:i/>
          <w:iCs/>
          <w:sz w:val="22"/>
          <w:szCs w:val="22"/>
        </w:rPr>
        <w:t>tiene que tener</w:t>
      </w:r>
      <w:proofErr w:type="gramEnd"/>
      <w:r w:rsidRPr="00FC240D">
        <w:rPr>
          <w:rFonts w:cs="Arial"/>
          <w:i/>
          <w:iCs/>
          <w:sz w:val="22"/>
          <w:szCs w:val="22"/>
        </w:rPr>
        <w:t xml:space="preserve"> respaldo físico, es decir, reservas de gas permitan cumplir los compromisos que se adquieren.</w:t>
      </w:r>
    </w:p>
    <w:p w14:paraId="338580CB" w14:textId="77777777" w:rsidR="0028726C" w:rsidRPr="00FC240D" w:rsidRDefault="0028726C" w:rsidP="0028726C">
      <w:pPr>
        <w:rPr>
          <w:rFonts w:cs="Arial"/>
          <w:i/>
          <w:iCs/>
          <w:sz w:val="22"/>
          <w:szCs w:val="22"/>
        </w:rPr>
      </w:pPr>
    </w:p>
    <w:p w14:paraId="23AAB4CE" w14:textId="77777777" w:rsidR="0028726C" w:rsidRPr="00FC240D" w:rsidRDefault="0028726C" w:rsidP="0028726C">
      <w:pPr>
        <w:rPr>
          <w:rFonts w:cs="Arial"/>
          <w:i/>
          <w:iCs/>
          <w:sz w:val="22"/>
          <w:szCs w:val="22"/>
        </w:rPr>
      </w:pPr>
      <w:r w:rsidRPr="00FC240D">
        <w:rPr>
          <w:rFonts w:cs="Arial"/>
          <w:i/>
          <w:iCs/>
          <w:sz w:val="22"/>
          <w:szCs w:val="22"/>
        </w:rPr>
        <w:t>Si lo anterior es así, y todas las transacciones del mercado mayorista deben tener respaldo físico, ¿Por qué se incluyen estos parágrafos?</w:t>
      </w:r>
    </w:p>
    <w:p w14:paraId="66E6FA22" w14:textId="77777777" w:rsidR="0028726C" w:rsidRPr="00FC240D" w:rsidRDefault="0028726C" w:rsidP="0028726C">
      <w:pPr>
        <w:rPr>
          <w:rFonts w:cs="Arial"/>
          <w:i/>
          <w:iCs/>
          <w:sz w:val="22"/>
          <w:szCs w:val="22"/>
        </w:rPr>
      </w:pPr>
    </w:p>
    <w:p w14:paraId="4616C624" w14:textId="77777777" w:rsidR="0028726C" w:rsidRDefault="0028726C" w:rsidP="0028726C">
      <w:pPr>
        <w:rPr>
          <w:rFonts w:cs="Arial"/>
          <w:sz w:val="22"/>
          <w:szCs w:val="22"/>
        </w:rPr>
      </w:pPr>
      <w:r w:rsidRPr="00FC240D">
        <w:rPr>
          <w:rFonts w:cs="Arial"/>
          <w:i/>
          <w:iCs/>
          <w:sz w:val="22"/>
          <w:szCs w:val="22"/>
        </w:rPr>
        <w:t>Ahora bien, si la intención es que los vendedores puedan pactar y registrar contratos, sin tener respaldo físico, lo que implica una especulación en el mercado de gas, el regulador debería señalarlo así, de manera que todos los agentes tengan clara la señal respectiva</w:t>
      </w:r>
      <w:r w:rsidRPr="0028726C">
        <w:rPr>
          <w:rFonts w:cs="Arial"/>
          <w:sz w:val="22"/>
          <w:szCs w:val="22"/>
        </w:rPr>
        <w:t>."</w:t>
      </w:r>
    </w:p>
    <w:p w14:paraId="5839CC73" w14:textId="77777777" w:rsidR="00FC240D" w:rsidRDefault="00FC240D" w:rsidP="0028726C">
      <w:pPr>
        <w:rPr>
          <w:rFonts w:cs="Arial"/>
          <w:sz w:val="22"/>
          <w:szCs w:val="22"/>
        </w:rPr>
      </w:pPr>
    </w:p>
    <w:p w14:paraId="15073FB7" w14:textId="72408FEB" w:rsidR="00FC240D" w:rsidRPr="00FC240D" w:rsidRDefault="00FC240D" w:rsidP="0028726C">
      <w:pPr>
        <w:rPr>
          <w:rFonts w:cs="Arial"/>
          <w:b/>
          <w:bCs/>
          <w:sz w:val="22"/>
          <w:szCs w:val="22"/>
        </w:rPr>
      </w:pPr>
      <w:r w:rsidRPr="00FC240D">
        <w:rPr>
          <w:rFonts w:cs="Arial"/>
          <w:b/>
          <w:bCs/>
          <w:sz w:val="22"/>
          <w:szCs w:val="22"/>
        </w:rPr>
        <w:t>Respuesta:</w:t>
      </w:r>
    </w:p>
    <w:p w14:paraId="326A82B5" w14:textId="77777777" w:rsidR="00FC240D" w:rsidRDefault="00FC240D" w:rsidP="0028726C">
      <w:pPr>
        <w:rPr>
          <w:rFonts w:cs="Arial"/>
          <w:sz w:val="22"/>
          <w:szCs w:val="22"/>
        </w:rPr>
      </w:pPr>
    </w:p>
    <w:p w14:paraId="08277CC8" w14:textId="2D369AAC" w:rsidR="00FC240D" w:rsidRDefault="00FC240D" w:rsidP="0028726C">
      <w:pPr>
        <w:rPr>
          <w:rFonts w:cs="Arial"/>
          <w:sz w:val="22"/>
          <w:szCs w:val="22"/>
        </w:rPr>
      </w:pPr>
      <w:r>
        <w:rPr>
          <w:rFonts w:cs="Arial"/>
          <w:sz w:val="22"/>
          <w:szCs w:val="22"/>
        </w:rPr>
        <w:t xml:space="preserve">Ver respuesta a </w:t>
      </w:r>
      <w:r w:rsidR="00A1197E">
        <w:rPr>
          <w:rFonts w:cs="Arial"/>
          <w:sz w:val="22"/>
          <w:szCs w:val="22"/>
        </w:rPr>
        <w:fldChar w:fldCharType="begin"/>
      </w:r>
      <w:r w:rsidR="00A1197E">
        <w:rPr>
          <w:rFonts w:cs="Arial"/>
          <w:sz w:val="22"/>
          <w:szCs w:val="22"/>
        </w:rPr>
        <w:instrText xml:space="preserve"> REF _Ref132207349 \r \h </w:instrText>
      </w:r>
      <w:r w:rsidR="00A1197E">
        <w:rPr>
          <w:rFonts w:cs="Arial"/>
          <w:sz w:val="22"/>
          <w:szCs w:val="22"/>
        </w:rPr>
      </w:r>
      <w:r w:rsidR="00A1197E">
        <w:rPr>
          <w:rFonts w:cs="Arial"/>
          <w:sz w:val="22"/>
          <w:szCs w:val="22"/>
        </w:rPr>
        <w:fldChar w:fldCharType="separate"/>
      </w:r>
      <w:r w:rsidR="007651EA">
        <w:rPr>
          <w:rFonts w:cs="Arial"/>
          <w:sz w:val="22"/>
          <w:szCs w:val="22"/>
        </w:rPr>
        <w:t>19.12.1.7</w:t>
      </w:r>
      <w:r w:rsidR="00A1197E">
        <w:rPr>
          <w:rFonts w:cs="Arial"/>
          <w:sz w:val="22"/>
          <w:szCs w:val="22"/>
        </w:rPr>
        <w:fldChar w:fldCharType="end"/>
      </w:r>
      <w:r w:rsidR="00A1197E">
        <w:rPr>
          <w:rFonts w:cs="Arial"/>
          <w:sz w:val="22"/>
          <w:szCs w:val="22"/>
        </w:rPr>
        <w:t>.</w:t>
      </w:r>
    </w:p>
    <w:p w14:paraId="42A5E79D" w14:textId="77777777" w:rsidR="00FC240D" w:rsidRPr="0028726C" w:rsidRDefault="00FC240D" w:rsidP="0028726C">
      <w:pPr>
        <w:rPr>
          <w:rFonts w:cs="Arial"/>
          <w:sz w:val="22"/>
          <w:szCs w:val="22"/>
        </w:rPr>
      </w:pPr>
    </w:p>
    <w:p w14:paraId="1827D090" w14:textId="77777777" w:rsidR="00C53D76" w:rsidRDefault="00C53D76" w:rsidP="0028726C">
      <w:pPr>
        <w:rPr>
          <w:rFonts w:cs="Arial"/>
          <w:sz w:val="22"/>
          <w:szCs w:val="22"/>
        </w:rPr>
      </w:pPr>
    </w:p>
    <w:p w14:paraId="1D1742B9" w14:textId="77777777" w:rsidR="00C53D76" w:rsidRDefault="0028726C" w:rsidP="000D05A3">
      <w:pPr>
        <w:pStyle w:val="Ttulo4"/>
      </w:pPr>
      <w:r w:rsidRPr="0028726C">
        <w:t>GASES DE LA GUAJIRA</w:t>
      </w:r>
      <w:r w:rsidRPr="0028726C">
        <w:tab/>
      </w:r>
    </w:p>
    <w:p w14:paraId="72BC1A1B" w14:textId="4A78F336" w:rsidR="0028726C" w:rsidRPr="00A1197E" w:rsidRDefault="0028726C" w:rsidP="0028726C">
      <w:pPr>
        <w:rPr>
          <w:rFonts w:cs="Arial"/>
          <w:i/>
          <w:iCs/>
          <w:sz w:val="22"/>
          <w:szCs w:val="22"/>
        </w:rPr>
      </w:pPr>
      <w:r w:rsidRPr="00A1197E">
        <w:rPr>
          <w:rFonts w:cs="Arial"/>
          <w:i/>
          <w:iCs/>
          <w:sz w:val="22"/>
          <w:szCs w:val="22"/>
        </w:rPr>
        <w:t xml:space="preserve">"Como se dijo con anterioridad, es importante </w:t>
      </w:r>
      <w:proofErr w:type="gramStart"/>
      <w:r w:rsidRPr="00A1197E">
        <w:rPr>
          <w:rFonts w:cs="Arial"/>
          <w:i/>
          <w:iCs/>
          <w:sz w:val="22"/>
          <w:szCs w:val="22"/>
        </w:rPr>
        <w:t>que</w:t>
      </w:r>
      <w:proofErr w:type="gramEnd"/>
      <w:r w:rsidRPr="00A1197E">
        <w:rPr>
          <w:rFonts w:cs="Arial"/>
          <w:i/>
          <w:iCs/>
          <w:sz w:val="22"/>
          <w:szCs w:val="22"/>
        </w:rPr>
        <w:t xml:space="preserve"> si el regulador requiere grados de discriminación, por ser estos deseables dadas las condiciones del mercado, esto se incluya expresamente como criterio.</w:t>
      </w:r>
    </w:p>
    <w:p w14:paraId="35428581" w14:textId="77777777" w:rsidR="0028726C" w:rsidRPr="00A1197E" w:rsidRDefault="0028726C" w:rsidP="0028726C">
      <w:pPr>
        <w:rPr>
          <w:rFonts w:cs="Arial"/>
          <w:i/>
          <w:iCs/>
          <w:sz w:val="22"/>
          <w:szCs w:val="22"/>
        </w:rPr>
      </w:pPr>
    </w:p>
    <w:p w14:paraId="54087DE7" w14:textId="77777777" w:rsidR="0028726C" w:rsidRPr="00A1197E" w:rsidRDefault="0028726C" w:rsidP="0028726C">
      <w:pPr>
        <w:rPr>
          <w:rFonts w:cs="Arial"/>
          <w:i/>
          <w:iCs/>
          <w:sz w:val="22"/>
          <w:szCs w:val="22"/>
        </w:rPr>
      </w:pPr>
      <w:r w:rsidRPr="00A1197E">
        <w:rPr>
          <w:rFonts w:cs="Arial"/>
          <w:i/>
          <w:iCs/>
          <w:sz w:val="22"/>
          <w:szCs w:val="22"/>
        </w:rPr>
        <w:t xml:space="preserve">En ese sentido, es importante tener en cuenta que muy pocos productores discriminan por tipo de demanda, o por volumen, sino que sacan un solo precio, sin considerar la disponibilidad a pagar de las demandas, si la elasticidad precio de </w:t>
      </w:r>
      <w:proofErr w:type="gramStart"/>
      <w:r w:rsidRPr="00A1197E">
        <w:rPr>
          <w:rFonts w:cs="Arial"/>
          <w:i/>
          <w:iCs/>
          <w:sz w:val="22"/>
          <w:szCs w:val="22"/>
        </w:rPr>
        <w:t>las mismas</w:t>
      </w:r>
      <w:proofErr w:type="gramEnd"/>
      <w:r w:rsidRPr="00A1197E">
        <w:rPr>
          <w:rFonts w:cs="Arial"/>
          <w:i/>
          <w:iCs/>
          <w:sz w:val="22"/>
          <w:szCs w:val="22"/>
        </w:rPr>
        <w:t>.</w:t>
      </w:r>
    </w:p>
    <w:p w14:paraId="64D2F12A" w14:textId="77777777" w:rsidR="0028726C" w:rsidRPr="00A1197E" w:rsidRDefault="0028726C" w:rsidP="0028726C">
      <w:pPr>
        <w:rPr>
          <w:rFonts w:cs="Arial"/>
          <w:i/>
          <w:iCs/>
          <w:sz w:val="22"/>
          <w:szCs w:val="22"/>
        </w:rPr>
      </w:pPr>
    </w:p>
    <w:p w14:paraId="0B7AC7D4" w14:textId="0FA60DDC" w:rsidR="0028726C" w:rsidRPr="00A1197E" w:rsidRDefault="0028726C" w:rsidP="0028726C">
      <w:pPr>
        <w:rPr>
          <w:rFonts w:cs="Arial"/>
          <w:i/>
          <w:iCs/>
          <w:sz w:val="22"/>
          <w:szCs w:val="22"/>
        </w:rPr>
      </w:pPr>
      <w:r w:rsidRPr="00A1197E">
        <w:rPr>
          <w:rFonts w:cs="Arial"/>
          <w:i/>
          <w:iCs/>
          <w:sz w:val="22"/>
          <w:szCs w:val="22"/>
        </w:rPr>
        <w:t>La intervención del regulador sería deseable, ya que es la única excepción a los parámetros de competencia."</w:t>
      </w:r>
    </w:p>
    <w:p w14:paraId="297B2B9A" w14:textId="77777777" w:rsidR="00A1197E" w:rsidRDefault="00A1197E" w:rsidP="0028726C">
      <w:pPr>
        <w:rPr>
          <w:rFonts w:cs="Arial"/>
          <w:sz w:val="22"/>
          <w:szCs w:val="22"/>
        </w:rPr>
      </w:pPr>
    </w:p>
    <w:p w14:paraId="5C846A1F" w14:textId="0E8AB22E" w:rsidR="00A1197E" w:rsidRPr="00A1197E" w:rsidRDefault="00A1197E" w:rsidP="0028726C">
      <w:pPr>
        <w:rPr>
          <w:rFonts w:cs="Arial"/>
          <w:b/>
          <w:bCs/>
          <w:sz w:val="22"/>
          <w:szCs w:val="22"/>
        </w:rPr>
      </w:pPr>
      <w:r w:rsidRPr="00A1197E">
        <w:rPr>
          <w:rFonts w:cs="Arial"/>
          <w:b/>
          <w:bCs/>
          <w:sz w:val="22"/>
          <w:szCs w:val="22"/>
        </w:rPr>
        <w:t>Respuesta:</w:t>
      </w:r>
    </w:p>
    <w:p w14:paraId="7606D4A5" w14:textId="77777777" w:rsidR="00A1197E" w:rsidRDefault="00A1197E" w:rsidP="0028726C">
      <w:pPr>
        <w:rPr>
          <w:rFonts w:cs="Arial"/>
          <w:sz w:val="22"/>
          <w:szCs w:val="22"/>
        </w:rPr>
      </w:pPr>
    </w:p>
    <w:p w14:paraId="709D01B5" w14:textId="657019FE" w:rsidR="00A1197E" w:rsidRDefault="00760EFA"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_Ref132207410 \r \h </w:instrText>
      </w:r>
      <w:r>
        <w:rPr>
          <w:rFonts w:cs="Arial"/>
          <w:sz w:val="22"/>
          <w:szCs w:val="22"/>
        </w:rPr>
      </w:r>
      <w:r>
        <w:rPr>
          <w:rFonts w:cs="Arial"/>
          <w:sz w:val="22"/>
          <w:szCs w:val="22"/>
        </w:rPr>
        <w:fldChar w:fldCharType="separate"/>
      </w:r>
      <w:r w:rsidR="007651EA">
        <w:rPr>
          <w:rFonts w:cs="Arial"/>
          <w:sz w:val="22"/>
          <w:szCs w:val="22"/>
        </w:rPr>
        <w:t>19.12.1.11</w:t>
      </w:r>
      <w:r>
        <w:rPr>
          <w:rFonts w:cs="Arial"/>
          <w:sz w:val="22"/>
          <w:szCs w:val="22"/>
        </w:rPr>
        <w:fldChar w:fldCharType="end"/>
      </w:r>
      <w:r>
        <w:rPr>
          <w:rFonts w:cs="Arial"/>
          <w:sz w:val="22"/>
          <w:szCs w:val="22"/>
        </w:rPr>
        <w:t>.</w:t>
      </w:r>
    </w:p>
    <w:p w14:paraId="706E7C99" w14:textId="77777777" w:rsidR="00002A82" w:rsidRPr="0028726C" w:rsidRDefault="00002A82" w:rsidP="0028726C">
      <w:pPr>
        <w:rPr>
          <w:rFonts w:cs="Arial"/>
          <w:sz w:val="22"/>
          <w:szCs w:val="22"/>
        </w:rPr>
      </w:pPr>
    </w:p>
    <w:p w14:paraId="3DB7ECC2" w14:textId="77777777" w:rsidR="00C53D76" w:rsidRDefault="00C53D76" w:rsidP="0028726C">
      <w:pPr>
        <w:rPr>
          <w:rFonts w:cs="Arial"/>
          <w:sz w:val="22"/>
          <w:szCs w:val="22"/>
        </w:rPr>
      </w:pPr>
    </w:p>
    <w:p w14:paraId="0533BAC6" w14:textId="77777777" w:rsidR="00C53D76" w:rsidRDefault="0028726C" w:rsidP="0090195C">
      <w:pPr>
        <w:pStyle w:val="Ttulo2"/>
      </w:pPr>
      <w:bookmarkStart w:id="818" w:name="_Toc140506437"/>
      <w:r w:rsidRPr="0028726C">
        <w:t>GASES DE OCCIDENTE</w:t>
      </w:r>
      <w:bookmarkEnd w:id="818"/>
      <w:r w:rsidRPr="0028726C">
        <w:tab/>
      </w:r>
    </w:p>
    <w:p w14:paraId="5DBA2D3C" w14:textId="77777777" w:rsidR="00002A82" w:rsidRDefault="00002A82" w:rsidP="000D05A3">
      <w:pPr>
        <w:pStyle w:val="Ttulo4"/>
      </w:pPr>
      <w:bookmarkStart w:id="819" w:name="_Ref132279194"/>
      <w:r w:rsidRPr="0028726C">
        <w:t>GASES DE OCCIDENTE</w:t>
      </w:r>
      <w:bookmarkEnd w:id="819"/>
      <w:r w:rsidRPr="0028726C">
        <w:tab/>
      </w:r>
    </w:p>
    <w:p w14:paraId="0050D541" w14:textId="66A85513" w:rsidR="0028726C" w:rsidRPr="00D66ACB" w:rsidRDefault="00E868A7" w:rsidP="0028726C">
      <w:pPr>
        <w:rPr>
          <w:rFonts w:cs="Arial"/>
          <w:i/>
          <w:iCs/>
          <w:sz w:val="22"/>
          <w:szCs w:val="22"/>
        </w:rPr>
      </w:pPr>
      <w:r>
        <w:rPr>
          <w:rFonts w:cs="Arial"/>
          <w:i/>
          <w:iCs/>
          <w:sz w:val="22"/>
          <w:szCs w:val="22"/>
        </w:rPr>
        <w:t>“</w:t>
      </w:r>
      <w:r w:rsidR="0028726C" w:rsidRPr="00D66ACB">
        <w:rPr>
          <w:rFonts w:cs="Arial"/>
          <w:i/>
          <w:iCs/>
          <w:sz w:val="22"/>
          <w:szCs w:val="22"/>
        </w:rPr>
        <w:t>Se debería establecer la obligatoriedad de que los vendedores en el mercado primario ofrezcan en los procesos de comercialización la totalidad de su PTDV declarada y las modalidades contractuales que ofrecerían con los respectivos precios. Serían los compradores los que definirían la modalidad contractual a la que se acogen, las cantidades a contratar y el período o los períodos a contratar, de acuerdo con lo exigido por la regulación.</w:t>
      </w:r>
      <w:r>
        <w:rPr>
          <w:rFonts w:cs="Arial"/>
          <w:i/>
          <w:iCs/>
          <w:sz w:val="22"/>
          <w:szCs w:val="22"/>
        </w:rPr>
        <w:t>”</w:t>
      </w:r>
    </w:p>
    <w:p w14:paraId="5D84DCAE" w14:textId="77777777" w:rsidR="00D66ACB" w:rsidRDefault="00D66ACB" w:rsidP="0028726C">
      <w:pPr>
        <w:rPr>
          <w:rFonts w:cs="Arial"/>
          <w:sz w:val="22"/>
          <w:szCs w:val="22"/>
        </w:rPr>
      </w:pPr>
    </w:p>
    <w:p w14:paraId="68FDA3CB" w14:textId="140F67BC" w:rsidR="00D66ACB" w:rsidRPr="00D66ACB" w:rsidRDefault="00D66ACB" w:rsidP="0028726C">
      <w:pPr>
        <w:rPr>
          <w:rFonts w:cs="Arial"/>
          <w:b/>
          <w:bCs/>
          <w:sz w:val="22"/>
          <w:szCs w:val="22"/>
        </w:rPr>
      </w:pPr>
      <w:r w:rsidRPr="00D66ACB">
        <w:rPr>
          <w:rFonts w:cs="Arial"/>
          <w:b/>
          <w:bCs/>
          <w:sz w:val="22"/>
          <w:szCs w:val="22"/>
        </w:rPr>
        <w:t>Respuesta:</w:t>
      </w:r>
    </w:p>
    <w:p w14:paraId="031AD5C7" w14:textId="77777777" w:rsidR="00D66ACB" w:rsidRDefault="00D66ACB" w:rsidP="0028726C">
      <w:pPr>
        <w:rPr>
          <w:rFonts w:cs="Arial"/>
          <w:sz w:val="22"/>
          <w:szCs w:val="22"/>
        </w:rPr>
      </w:pPr>
    </w:p>
    <w:p w14:paraId="72AA30E1" w14:textId="6C0EE5FA" w:rsidR="00D66ACB" w:rsidRDefault="00D66ACB" w:rsidP="0028726C">
      <w:pPr>
        <w:rPr>
          <w:rFonts w:cs="Arial"/>
          <w:sz w:val="22"/>
          <w:szCs w:val="22"/>
        </w:rPr>
      </w:pPr>
      <w:r>
        <w:rPr>
          <w:rFonts w:cs="Arial"/>
          <w:sz w:val="22"/>
          <w:szCs w:val="22"/>
        </w:rPr>
        <w:t>No se acoge el comentario.</w:t>
      </w:r>
    </w:p>
    <w:p w14:paraId="794BAD83" w14:textId="77777777" w:rsidR="00D66ACB" w:rsidRDefault="00D66ACB" w:rsidP="0028726C">
      <w:pPr>
        <w:rPr>
          <w:rFonts w:cs="Arial"/>
          <w:sz w:val="22"/>
          <w:szCs w:val="22"/>
        </w:rPr>
      </w:pPr>
    </w:p>
    <w:p w14:paraId="7D34C24C" w14:textId="2B7E4476" w:rsidR="00D66ACB" w:rsidRDefault="00B33677" w:rsidP="0028726C">
      <w:pPr>
        <w:rPr>
          <w:rFonts w:cs="Arial"/>
          <w:sz w:val="22"/>
          <w:szCs w:val="22"/>
        </w:rPr>
      </w:pPr>
      <w:r>
        <w:rPr>
          <w:rFonts w:cs="Arial"/>
          <w:sz w:val="22"/>
          <w:szCs w:val="22"/>
        </w:rPr>
        <w:t>Los vendedores son libres de proponer las cantidades de suministro que ofrecen para ser comprometidas en contratos de tipo firme o que garantizan firmeza</w:t>
      </w:r>
      <w:r w:rsidR="00DF05E1">
        <w:rPr>
          <w:rFonts w:cs="Arial"/>
          <w:sz w:val="22"/>
          <w:szCs w:val="22"/>
        </w:rPr>
        <w:t xml:space="preserve"> PTDVF/CIDVF</w:t>
      </w:r>
      <w:r>
        <w:rPr>
          <w:rFonts w:cs="Arial"/>
          <w:sz w:val="22"/>
          <w:szCs w:val="22"/>
        </w:rPr>
        <w:t>, bajo las modalidades CREG o cual</w:t>
      </w:r>
      <w:r w:rsidR="00DF05E1">
        <w:rPr>
          <w:rFonts w:cs="Arial"/>
          <w:sz w:val="22"/>
          <w:szCs w:val="22"/>
        </w:rPr>
        <w:t>es</w:t>
      </w:r>
      <w:r>
        <w:rPr>
          <w:rFonts w:cs="Arial"/>
          <w:sz w:val="22"/>
          <w:szCs w:val="22"/>
        </w:rPr>
        <w:t>quiera otra</w:t>
      </w:r>
      <w:r w:rsidR="00DF05E1">
        <w:rPr>
          <w:rFonts w:cs="Arial"/>
          <w:sz w:val="22"/>
          <w:szCs w:val="22"/>
        </w:rPr>
        <w:t xml:space="preserve">s </w:t>
      </w:r>
      <w:r w:rsidR="00EE0A72">
        <w:rPr>
          <w:rFonts w:cs="Arial"/>
          <w:sz w:val="22"/>
          <w:szCs w:val="22"/>
        </w:rPr>
        <w:t>en los casos específicos que se permitan</w:t>
      </w:r>
      <w:r>
        <w:rPr>
          <w:rFonts w:cs="Arial"/>
          <w:sz w:val="22"/>
          <w:szCs w:val="22"/>
        </w:rPr>
        <w:t xml:space="preserve">, pues son quienes asumen el riesgo contractual del cumplimiento del suministro bajo las condiciones mínimas establecidas por la CREG. </w:t>
      </w:r>
      <w:r w:rsidR="007F1F37">
        <w:rPr>
          <w:rFonts w:cs="Arial"/>
          <w:sz w:val="22"/>
          <w:szCs w:val="22"/>
        </w:rPr>
        <w:t xml:space="preserve">Dicho nivel de riesgo también es factor para negociar el precio en las negociaciones directas. </w:t>
      </w:r>
      <w:r>
        <w:rPr>
          <w:rFonts w:cs="Arial"/>
          <w:sz w:val="22"/>
          <w:szCs w:val="22"/>
        </w:rPr>
        <w:t>Lo anterior en el entendido de que los vendedores cumplen correctamente las reglas de comportamiento establecidas en la Resolución CREG 080 de 2019, o aquellas que las modifiquen o sustituyan.</w:t>
      </w:r>
    </w:p>
    <w:p w14:paraId="180517BD" w14:textId="77777777" w:rsidR="00B33677" w:rsidRDefault="00B33677" w:rsidP="0028726C">
      <w:pPr>
        <w:rPr>
          <w:rFonts w:cs="Arial"/>
          <w:sz w:val="22"/>
          <w:szCs w:val="22"/>
        </w:rPr>
      </w:pPr>
    </w:p>
    <w:p w14:paraId="5AA001CD" w14:textId="32ABF4A4" w:rsidR="00B33677" w:rsidRDefault="00B33677" w:rsidP="0028726C">
      <w:pPr>
        <w:rPr>
          <w:rFonts w:cs="Arial"/>
          <w:sz w:val="22"/>
          <w:szCs w:val="22"/>
        </w:rPr>
      </w:pPr>
      <w:r>
        <w:rPr>
          <w:rFonts w:cs="Arial"/>
          <w:sz w:val="22"/>
          <w:szCs w:val="22"/>
        </w:rPr>
        <w:t>Ver respuesta a</w:t>
      </w:r>
      <w:r w:rsidR="007F1F37">
        <w:rPr>
          <w:rFonts w:cs="Arial"/>
          <w:sz w:val="22"/>
          <w:szCs w:val="22"/>
        </w:rPr>
        <w:t xml:space="preserve"> </w:t>
      </w:r>
      <w:r w:rsidR="007F1F37">
        <w:rPr>
          <w:rFonts w:cs="Arial"/>
          <w:sz w:val="22"/>
          <w:szCs w:val="22"/>
        </w:rPr>
        <w:fldChar w:fldCharType="begin"/>
      </w:r>
      <w:r w:rsidR="007F1F37">
        <w:rPr>
          <w:rFonts w:cs="Arial"/>
          <w:sz w:val="22"/>
          <w:szCs w:val="22"/>
        </w:rPr>
        <w:instrText xml:space="preserve"> REF _Ref132188238 \r \h </w:instrText>
      </w:r>
      <w:r w:rsidR="007F1F37">
        <w:rPr>
          <w:rFonts w:cs="Arial"/>
          <w:sz w:val="22"/>
          <w:szCs w:val="22"/>
        </w:rPr>
      </w:r>
      <w:r w:rsidR="007F1F37">
        <w:rPr>
          <w:rFonts w:cs="Arial"/>
          <w:sz w:val="22"/>
          <w:szCs w:val="22"/>
        </w:rPr>
        <w:fldChar w:fldCharType="separate"/>
      </w:r>
      <w:r w:rsidR="007F1F37">
        <w:rPr>
          <w:rFonts w:cs="Arial"/>
          <w:sz w:val="22"/>
          <w:szCs w:val="22"/>
        </w:rPr>
        <w:t>19.7.1.1</w:t>
      </w:r>
      <w:r w:rsidR="007F1F37">
        <w:rPr>
          <w:rFonts w:cs="Arial"/>
          <w:sz w:val="22"/>
          <w:szCs w:val="22"/>
        </w:rPr>
        <w:fldChar w:fldCharType="end"/>
      </w:r>
      <w:r w:rsidR="007F1F37">
        <w:rPr>
          <w:rFonts w:cs="Arial"/>
          <w:sz w:val="22"/>
          <w:szCs w:val="22"/>
        </w:rPr>
        <w:t xml:space="preserve"> y a</w:t>
      </w:r>
      <w:r>
        <w:rPr>
          <w:rFonts w:cs="Arial"/>
          <w:sz w:val="22"/>
          <w:szCs w:val="22"/>
        </w:rPr>
        <w:t xml:space="preserve"> </w:t>
      </w:r>
      <w:r w:rsidR="007F1F37">
        <w:rPr>
          <w:rFonts w:cs="Arial"/>
          <w:sz w:val="22"/>
          <w:szCs w:val="22"/>
        </w:rPr>
        <w:fldChar w:fldCharType="begin"/>
      </w:r>
      <w:r w:rsidR="007F1F37">
        <w:rPr>
          <w:rFonts w:cs="Arial"/>
          <w:sz w:val="22"/>
          <w:szCs w:val="22"/>
        </w:rPr>
        <w:instrText xml:space="preserve"> REF _Ref132262088 \r \h </w:instrText>
      </w:r>
      <w:r w:rsidR="007F1F37">
        <w:rPr>
          <w:rFonts w:cs="Arial"/>
          <w:sz w:val="22"/>
          <w:szCs w:val="22"/>
        </w:rPr>
      </w:r>
      <w:r w:rsidR="007F1F37">
        <w:rPr>
          <w:rFonts w:cs="Arial"/>
          <w:sz w:val="22"/>
          <w:szCs w:val="22"/>
        </w:rPr>
        <w:fldChar w:fldCharType="separate"/>
      </w:r>
      <w:r w:rsidR="007F1F37">
        <w:rPr>
          <w:rFonts w:cs="Arial"/>
          <w:sz w:val="22"/>
          <w:szCs w:val="22"/>
        </w:rPr>
        <w:t>19.12.1.4</w:t>
      </w:r>
      <w:r w:rsidR="007F1F37">
        <w:rPr>
          <w:rFonts w:cs="Arial"/>
          <w:sz w:val="22"/>
          <w:szCs w:val="22"/>
        </w:rPr>
        <w:fldChar w:fldCharType="end"/>
      </w:r>
      <w:r w:rsidR="007F1F37">
        <w:rPr>
          <w:rFonts w:cs="Arial"/>
          <w:sz w:val="22"/>
          <w:szCs w:val="22"/>
        </w:rPr>
        <w:t xml:space="preserve">. </w:t>
      </w:r>
    </w:p>
    <w:p w14:paraId="399CF2B7" w14:textId="77777777" w:rsidR="00D66ACB" w:rsidRPr="0028726C" w:rsidRDefault="00D66ACB" w:rsidP="0028726C">
      <w:pPr>
        <w:rPr>
          <w:rFonts w:cs="Arial"/>
          <w:sz w:val="22"/>
          <w:szCs w:val="22"/>
        </w:rPr>
      </w:pPr>
    </w:p>
    <w:p w14:paraId="4FDA70D5" w14:textId="77777777" w:rsidR="00C53D76" w:rsidRDefault="00C53D76" w:rsidP="0028726C">
      <w:pPr>
        <w:rPr>
          <w:rFonts w:cs="Arial"/>
          <w:sz w:val="22"/>
          <w:szCs w:val="22"/>
        </w:rPr>
      </w:pPr>
    </w:p>
    <w:p w14:paraId="26ABF850" w14:textId="77777777" w:rsidR="00C53D76" w:rsidRPr="000D05A3" w:rsidRDefault="0028726C" w:rsidP="000D05A3">
      <w:pPr>
        <w:pStyle w:val="Ttulo4"/>
      </w:pPr>
      <w:bookmarkStart w:id="820" w:name="_Ref132639178"/>
      <w:r w:rsidRPr="000D05A3">
        <w:t>GASES DE OCCIDENTE</w:t>
      </w:r>
      <w:bookmarkEnd w:id="820"/>
      <w:r w:rsidRPr="000D05A3">
        <w:tab/>
      </w:r>
    </w:p>
    <w:p w14:paraId="3811CBCC" w14:textId="0A277479" w:rsidR="0028726C" w:rsidRPr="007F1F37" w:rsidRDefault="0028726C" w:rsidP="0028726C">
      <w:pPr>
        <w:rPr>
          <w:rFonts w:cs="Arial"/>
          <w:i/>
          <w:iCs/>
          <w:sz w:val="22"/>
          <w:szCs w:val="22"/>
        </w:rPr>
      </w:pPr>
      <w:r w:rsidRPr="0028726C">
        <w:rPr>
          <w:rFonts w:cs="Arial"/>
          <w:sz w:val="22"/>
          <w:szCs w:val="22"/>
        </w:rPr>
        <w:t>"</w:t>
      </w:r>
      <w:r w:rsidRPr="007F1F37">
        <w:rPr>
          <w:rFonts w:cs="Arial"/>
          <w:i/>
          <w:iCs/>
          <w:sz w:val="22"/>
          <w:szCs w:val="22"/>
        </w:rPr>
        <w:t>Se tienen las siguientes consideraciones sobre los tratamientos que la Comisión propone aplicar a las modalidades CF95 y CF80:</w:t>
      </w:r>
    </w:p>
    <w:p w14:paraId="1DC418E5" w14:textId="77777777" w:rsidR="0028726C" w:rsidRPr="007F1F37" w:rsidRDefault="0028726C" w:rsidP="0028726C">
      <w:pPr>
        <w:rPr>
          <w:rFonts w:cs="Arial"/>
          <w:i/>
          <w:iCs/>
          <w:sz w:val="22"/>
          <w:szCs w:val="22"/>
        </w:rPr>
      </w:pPr>
    </w:p>
    <w:p w14:paraId="06FBCB82" w14:textId="77777777" w:rsidR="0028726C" w:rsidRPr="007F1F37" w:rsidRDefault="0028726C" w:rsidP="0028726C">
      <w:pPr>
        <w:rPr>
          <w:rFonts w:cs="Arial"/>
          <w:i/>
          <w:iCs/>
          <w:sz w:val="22"/>
          <w:szCs w:val="22"/>
        </w:rPr>
      </w:pPr>
      <w:r w:rsidRPr="007F1F37">
        <w:rPr>
          <w:rFonts w:cs="Arial"/>
          <w:i/>
          <w:iCs/>
          <w:sz w:val="22"/>
          <w:szCs w:val="22"/>
        </w:rPr>
        <w:t>▪ Se restringe la modalidad CF80 para la atención de la demanda diferente a la demanda regulada que hace parte de la Demanda Esencial. Tanto los Contratos CF95, como en los Contratos CF80 garantizan el servicio de suministro de una cantidad diaria máxima de gas natural sin interrupciones, durante un período determinado. La única diferencia esperada entre ambos contratos, como también lo manifiesta la CREG, es el precio. La racionalidad económica indica que la única diferencia justificable entre ambos contratos es el precio. Es decir, se esperaría que el precio del CF80 supere el precio del CF95, en la medida en que en el último caso (CF95) el productor-comercializador estaría asumiendo menor riesgo de demanda.</w:t>
      </w:r>
    </w:p>
    <w:p w14:paraId="04BAE431" w14:textId="77777777" w:rsidR="0028726C" w:rsidRPr="007F1F37" w:rsidRDefault="0028726C" w:rsidP="0028726C">
      <w:pPr>
        <w:rPr>
          <w:rFonts w:cs="Arial"/>
          <w:i/>
          <w:iCs/>
          <w:sz w:val="22"/>
          <w:szCs w:val="22"/>
        </w:rPr>
      </w:pPr>
    </w:p>
    <w:p w14:paraId="36748B17" w14:textId="7036590A" w:rsidR="0028726C" w:rsidRPr="007F1F37" w:rsidRDefault="0028726C" w:rsidP="0028726C">
      <w:pPr>
        <w:rPr>
          <w:rFonts w:cs="Arial"/>
          <w:i/>
          <w:iCs/>
          <w:sz w:val="22"/>
          <w:szCs w:val="22"/>
        </w:rPr>
      </w:pPr>
      <w:r w:rsidRPr="007F1F37">
        <w:rPr>
          <w:rFonts w:cs="Arial"/>
          <w:i/>
          <w:iCs/>
          <w:sz w:val="22"/>
          <w:szCs w:val="22"/>
        </w:rPr>
        <w:t>Teniendo en cuenta lo anterior, es el comprador el que debería escoger el tipo de contrato que mejor se ajusta a las necesidades de su demanda regulada (esencial y no esencial), teniendo en consideración el precio y el riesgo de excedentes no remunerados que pueda enfrentar (Proyecto de Resolución CREG-227 de 2021)."</w:t>
      </w:r>
    </w:p>
    <w:p w14:paraId="042D829F" w14:textId="77777777" w:rsidR="007F1F37" w:rsidRDefault="007F1F37" w:rsidP="0028726C">
      <w:pPr>
        <w:rPr>
          <w:rFonts w:cs="Arial"/>
          <w:sz w:val="22"/>
          <w:szCs w:val="22"/>
        </w:rPr>
      </w:pPr>
    </w:p>
    <w:p w14:paraId="56C714CE" w14:textId="60D16DF2" w:rsidR="007F1F37" w:rsidRPr="007F1F37" w:rsidRDefault="007F1F37" w:rsidP="0028726C">
      <w:pPr>
        <w:rPr>
          <w:rFonts w:cs="Arial"/>
          <w:b/>
          <w:bCs/>
          <w:sz w:val="22"/>
          <w:szCs w:val="22"/>
        </w:rPr>
      </w:pPr>
      <w:r w:rsidRPr="007F1F37">
        <w:rPr>
          <w:rFonts w:cs="Arial"/>
          <w:b/>
          <w:bCs/>
          <w:sz w:val="22"/>
          <w:szCs w:val="22"/>
        </w:rPr>
        <w:t>Respuesta:</w:t>
      </w:r>
    </w:p>
    <w:p w14:paraId="3D5BE316" w14:textId="77777777" w:rsidR="007F1F37" w:rsidRDefault="007F1F37" w:rsidP="0028726C">
      <w:pPr>
        <w:rPr>
          <w:rFonts w:cs="Arial"/>
          <w:sz w:val="22"/>
          <w:szCs w:val="22"/>
        </w:rPr>
      </w:pPr>
    </w:p>
    <w:p w14:paraId="2929B7B8" w14:textId="4B06450B" w:rsidR="005C0405" w:rsidRDefault="005C0405" w:rsidP="0028726C">
      <w:pPr>
        <w:rPr>
          <w:rFonts w:cs="Arial"/>
          <w:sz w:val="22"/>
          <w:szCs w:val="22"/>
        </w:rPr>
      </w:pPr>
      <w:r>
        <w:rPr>
          <w:rFonts w:cs="Arial"/>
          <w:sz w:val="22"/>
          <w:szCs w:val="22"/>
        </w:rPr>
        <w:t>Se acoge el comentario.</w:t>
      </w:r>
    </w:p>
    <w:p w14:paraId="1808EBDC" w14:textId="77777777" w:rsidR="005C0405" w:rsidRDefault="005C0405" w:rsidP="0028726C">
      <w:pPr>
        <w:rPr>
          <w:rFonts w:cs="Arial"/>
          <w:sz w:val="22"/>
          <w:szCs w:val="22"/>
        </w:rPr>
      </w:pPr>
    </w:p>
    <w:p w14:paraId="0D410976" w14:textId="7BA7F856" w:rsidR="005C0405" w:rsidRDefault="005C0405" w:rsidP="0028726C">
      <w:pPr>
        <w:rPr>
          <w:rFonts w:cs="Arial"/>
          <w:sz w:val="22"/>
          <w:szCs w:val="22"/>
        </w:rPr>
      </w:pPr>
      <w:r>
        <w:rPr>
          <w:rFonts w:cs="Arial"/>
          <w:sz w:val="22"/>
          <w:szCs w:val="22"/>
        </w:rPr>
        <w:t>En la nueva propuesta no se colocan limitaciones para la negociación de contratos bajo la modalidad contractual CF80, siempre y cuando corresponda a trimestres estándar de suministro y puntos de referencia en los que el balance comercial más reciente realizados por el Gestor del Mercado para ese mismo trimestre estándar y mismo punto de referencia haya resultado superavitario.</w:t>
      </w:r>
    </w:p>
    <w:p w14:paraId="33396C19" w14:textId="77777777" w:rsidR="007F1F37" w:rsidRDefault="007F1F37" w:rsidP="0028726C">
      <w:pPr>
        <w:rPr>
          <w:rFonts w:cs="Arial"/>
          <w:sz w:val="22"/>
          <w:szCs w:val="22"/>
        </w:rPr>
      </w:pPr>
    </w:p>
    <w:p w14:paraId="78B323AA" w14:textId="77777777" w:rsidR="00C53D76" w:rsidRDefault="00C53D76" w:rsidP="0028726C">
      <w:pPr>
        <w:rPr>
          <w:rFonts w:cs="Arial"/>
          <w:sz w:val="22"/>
          <w:szCs w:val="22"/>
        </w:rPr>
      </w:pPr>
    </w:p>
    <w:p w14:paraId="4E09FCDC" w14:textId="77777777" w:rsidR="00C53D76" w:rsidRDefault="0028726C" w:rsidP="000D05A3">
      <w:pPr>
        <w:pStyle w:val="Ttulo4"/>
      </w:pPr>
      <w:bookmarkStart w:id="821" w:name="_Ref132639279"/>
      <w:r w:rsidRPr="0028726C">
        <w:t>GASES DE OCCIDENTE</w:t>
      </w:r>
      <w:bookmarkEnd w:id="821"/>
      <w:r w:rsidRPr="0028726C">
        <w:tab/>
      </w:r>
    </w:p>
    <w:p w14:paraId="3008B65E" w14:textId="5E0CF1B7" w:rsidR="0028726C" w:rsidRPr="005C0405" w:rsidRDefault="0028726C" w:rsidP="0028726C">
      <w:pPr>
        <w:rPr>
          <w:rFonts w:cs="Arial"/>
          <w:i/>
          <w:iCs/>
          <w:sz w:val="22"/>
          <w:szCs w:val="22"/>
        </w:rPr>
      </w:pPr>
      <w:r w:rsidRPr="0028726C">
        <w:rPr>
          <w:rFonts w:cs="Arial"/>
          <w:sz w:val="22"/>
          <w:szCs w:val="22"/>
        </w:rPr>
        <w:t>"</w:t>
      </w:r>
      <w:r w:rsidRPr="005C0405">
        <w:rPr>
          <w:rFonts w:cs="Arial"/>
          <w:i/>
          <w:iCs/>
          <w:sz w:val="22"/>
          <w:szCs w:val="22"/>
        </w:rPr>
        <w:t xml:space="preserve">La CREG manifiesta que las modalidades contractuales CF95 y CF80 pueden implicar </w:t>
      </w:r>
      <w:r w:rsidR="00022A5F">
        <w:rPr>
          <w:rFonts w:cs="Arial"/>
          <w:i/>
          <w:iCs/>
          <w:sz w:val="22"/>
          <w:szCs w:val="22"/>
        </w:rPr>
        <w:t>‘</w:t>
      </w:r>
      <w:r w:rsidRPr="005C0405">
        <w:rPr>
          <w:rFonts w:cs="Arial"/>
          <w:i/>
          <w:iCs/>
          <w:sz w:val="22"/>
          <w:szCs w:val="22"/>
        </w:rPr>
        <w:t>atrapamiento</w:t>
      </w:r>
      <w:r w:rsidR="00022A5F">
        <w:rPr>
          <w:rFonts w:cs="Arial"/>
          <w:i/>
          <w:iCs/>
          <w:sz w:val="22"/>
          <w:szCs w:val="22"/>
        </w:rPr>
        <w:t>’</w:t>
      </w:r>
      <w:r w:rsidRPr="005C0405">
        <w:rPr>
          <w:rFonts w:cs="Arial"/>
          <w:i/>
          <w:iCs/>
          <w:sz w:val="22"/>
          <w:szCs w:val="22"/>
        </w:rPr>
        <w:t xml:space="preserve"> de cantidades con Respaldo Físico por parte de algunos agentes compradores del mercado primario y que por ello restringe la modalidad CF80 para la atención de la demanda regulada diferente a la Demanda Esencial, en la medida que el </w:t>
      </w:r>
      <w:r w:rsidR="001C1EFA">
        <w:rPr>
          <w:rFonts w:cs="Arial"/>
          <w:i/>
          <w:iCs/>
          <w:sz w:val="22"/>
          <w:szCs w:val="22"/>
        </w:rPr>
        <w:t>‘</w:t>
      </w:r>
      <w:r w:rsidRPr="005C0405">
        <w:rPr>
          <w:rFonts w:cs="Arial"/>
          <w:i/>
          <w:iCs/>
          <w:sz w:val="22"/>
          <w:szCs w:val="22"/>
        </w:rPr>
        <w:t>atrapamiento</w:t>
      </w:r>
      <w:r w:rsidR="001C1EFA">
        <w:rPr>
          <w:rFonts w:cs="Arial"/>
          <w:i/>
          <w:iCs/>
          <w:sz w:val="22"/>
          <w:szCs w:val="22"/>
        </w:rPr>
        <w:t>’</w:t>
      </w:r>
      <w:r w:rsidRPr="005C0405">
        <w:rPr>
          <w:rFonts w:cs="Arial"/>
          <w:i/>
          <w:iCs/>
          <w:sz w:val="22"/>
          <w:szCs w:val="22"/>
        </w:rPr>
        <w:t xml:space="preserve"> será mayor cuando la obligación de pago mínimo es menor respecto de las cantidades de suministro garantizadas.</w:t>
      </w:r>
    </w:p>
    <w:p w14:paraId="5948F2CA" w14:textId="77777777" w:rsidR="0028726C" w:rsidRPr="005C0405" w:rsidRDefault="0028726C" w:rsidP="0028726C">
      <w:pPr>
        <w:rPr>
          <w:rFonts w:cs="Arial"/>
          <w:i/>
          <w:iCs/>
          <w:sz w:val="22"/>
          <w:szCs w:val="22"/>
        </w:rPr>
      </w:pPr>
    </w:p>
    <w:p w14:paraId="5E970387" w14:textId="77777777" w:rsidR="0028726C" w:rsidRPr="005C0405" w:rsidRDefault="0028726C" w:rsidP="0028726C">
      <w:pPr>
        <w:rPr>
          <w:rFonts w:cs="Arial"/>
          <w:i/>
          <w:iCs/>
          <w:sz w:val="22"/>
          <w:szCs w:val="22"/>
        </w:rPr>
      </w:pPr>
      <w:r w:rsidRPr="005C0405">
        <w:rPr>
          <w:rFonts w:cs="Arial"/>
          <w:i/>
          <w:iCs/>
          <w:sz w:val="22"/>
          <w:szCs w:val="22"/>
        </w:rPr>
        <w:t>Según la CREG la disponibilidad de esta nueva modalidad contractual estará sujeta a la existencia de un superávit en el balance comercial, pues en caso contrario la estrechez de la oferta comercial de mediano y largo plazo estimada por la CREG, puede aumentarse.</w:t>
      </w:r>
    </w:p>
    <w:p w14:paraId="626F2B35" w14:textId="77777777" w:rsidR="0028726C" w:rsidRPr="005C0405" w:rsidRDefault="0028726C" w:rsidP="0028726C">
      <w:pPr>
        <w:rPr>
          <w:rFonts w:cs="Arial"/>
          <w:i/>
          <w:iCs/>
          <w:sz w:val="22"/>
          <w:szCs w:val="22"/>
        </w:rPr>
      </w:pPr>
    </w:p>
    <w:p w14:paraId="5DD96FF0" w14:textId="77777777" w:rsidR="0028726C" w:rsidRPr="005C0405" w:rsidRDefault="0028726C" w:rsidP="0028726C">
      <w:pPr>
        <w:rPr>
          <w:rFonts w:cs="Arial"/>
          <w:i/>
          <w:iCs/>
          <w:sz w:val="22"/>
          <w:szCs w:val="22"/>
        </w:rPr>
      </w:pPr>
      <w:r w:rsidRPr="005C0405">
        <w:rPr>
          <w:rFonts w:cs="Arial"/>
          <w:i/>
          <w:iCs/>
          <w:sz w:val="22"/>
          <w:szCs w:val="22"/>
        </w:rPr>
        <w:t>Las afirmaciones de la CREG, atrás referenciadas, no son ciertas. La Comisión confunde las modalidades contractuales con la demanda de gas. Esta última es la que es, con independencia de la modalidad contractual de suministro que se utilice, en el mercado primario, en el mercado secundario, o en el mercado úselo o véndalo.</w:t>
      </w:r>
    </w:p>
    <w:p w14:paraId="79A8224D" w14:textId="77777777" w:rsidR="0028726C" w:rsidRPr="005C0405" w:rsidRDefault="0028726C" w:rsidP="0028726C">
      <w:pPr>
        <w:rPr>
          <w:rFonts w:cs="Arial"/>
          <w:i/>
          <w:iCs/>
          <w:sz w:val="22"/>
          <w:szCs w:val="22"/>
        </w:rPr>
      </w:pPr>
    </w:p>
    <w:p w14:paraId="4238D531" w14:textId="2C2D180E" w:rsidR="0028726C" w:rsidRPr="005C0405" w:rsidRDefault="0028726C" w:rsidP="0028726C">
      <w:pPr>
        <w:rPr>
          <w:rFonts w:cs="Arial"/>
          <w:i/>
          <w:iCs/>
          <w:sz w:val="22"/>
          <w:szCs w:val="22"/>
        </w:rPr>
      </w:pPr>
      <w:r w:rsidRPr="005C0405">
        <w:rPr>
          <w:rFonts w:cs="Arial"/>
          <w:i/>
          <w:iCs/>
          <w:sz w:val="22"/>
          <w:szCs w:val="22"/>
        </w:rPr>
        <w:t xml:space="preserve">- La expresión </w:t>
      </w:r>
      <w:r w:rsidR="00451417">
        <w:rPr>
          <w:rFonts w:cs="Arial"/>
          <w:i/>
          <w:iCs/>
          <w:sz w:val="22"/>
          <w:szCs w:val="22"/>
        </w:rPr>
        <w:t>‘</w:t>
      </w:r>
      <w:r w:rsidRPr="005C0405">
        <w:rPr>
          <w:rFonts w:cs="Arial"/>
          <w:i/>
          <w:iCs/>
          <w:sz w:val="22"/>
          <w:szCs w:val="22"/>
        </w:rPr>
        <w:t>atrapamiento</w:t>
      </w:r>
      <w:r w:rsidR="00451417">
        <w:rPr>
          <w:rFonts w:cs="Arial"/>
          <w:i/>
          <w:iCs/>
          <w:sz w:val="22"/>
          <w:szCs w:val="22"/>
        </w:rPr>
        <w:t>’</w:t>
      </w:r>
      <w:r w:rsidRPr="005C0405">
        <w:rPr>
          <w:rFonts w:cs="Arial"/>
          <w:i/>
          <w:iCs/>
          <w:sz w:val="22"/>
          <w:szCs w:val="22"/>
        </w:rPr>
        <w:t xml:space="preserve"> y su inconveniencia sería válida, si el no uso de este gas </w:t>
      </w:r>
      <w:r w:rsidR="00451417">
        <w:rPr>
          <w:rFonts w:cs="Arial"/>
          <w:i/>
          <w:iCs/>
          <w:sz w:val="22"/>
          <w:szCs w:val="22"/>
        </w:rPr>
        <w:t>‘</w:t>
      </w:r>
      <w:r w:rsidRPr="005C0405">
        <w:rPr>
          <w:rFonts w:cs="Arial"/>
          <w:i/>
          <w:iCs/>
          <w:sz w:val="22"/>
          <w:szCs w:val="22"/>
        </w:rPr>
        <w:t>atrapado</w:t>
      </w:r>
      <w:r w:rsidR="00451417">
        <w:rPr>
          <w:rFonts w:cs="Arial"/>
          <w:i/>
          <w:iCs/>
          <w:sz w:val="22"/>
          <w:szCs w:val="22"/>
        </w:rPr>
        <w:t>’</w:t>
      </w:r>
      <w:r w:rsidRPr="005C0405">
        <w:rPr>
          <w:rFonts w:cs="Arial"/>
          <w:i/>
          <w:iCs/>
          <w:sz w:val="22"/>
          <w:szCs w:val="22"/>
        </w:rPr>
        <w:t xml:space="preserve"> estuviera implicando racionamiento de demanda. Mientras la demanda se encuentre satisfecha no se puede hablar de </w:t>
      </w:r>
      <w:r w:rsidR="00451417">
        <w:rPr>
          <w:rFonts w:cs="Arial"/>
          <w:i/>
          <w:iCs/>
          <w:sz w:val="22"/>
          <w:szCs w:val="22"/>
        </w:rPr>
        <w:t>‘</w:t>
      </w:r>
      <w:r w:rsidRPr="005C0405">
        <w:rPr>
          <w:rFonts w:cs="Arial"/>
          <w:i/>
          <w:iCs/>
          <w:sz w:val="22"/>
          <w:szCs w:val="22"/>
        </w:rPr>
        <w:t>atrapamiento</w:t>
      </w:r>
      <w:r w:rsidR="00451417">
        <w:rPr>
          <w:rFonts w:cs="Arial"/>
          <w:i/>
          <w:iCs/>
          <w:sz w:val="22"/>
          <w:szCs w:val="22"/>
        </w:rPr>
        <w:t>’</w:t>
      </w:r>
      <w:r w:rsidRPr="005C0405">
        <w:rPr>
          <w:rFonts w:cs="Arial"/>
          <w:i/>
          <w:iCs/>
          <w:sz w:val="22"/>
          <w:szCs w:val="22"/>
        </w:rPr>
        <w:t xml:space="preserve"> toda vez que el gas que permanece en los campos es gas que no se requiere.</w:t>
      </w:r>
    </w:p>
    <w:p w14:paraId="19577DF6" w14:textId="77777777" w:rsidR="0028726C" w:rsidRPr="005C0405" w:rsidRDefault="0028726C" w:rsidP="0028726C">
      <w:pPr>
        <w:rPr>
          <w:rFonts w:cs="Arial"/>
          <w:i/>
          <w:iCs/>
          <w:sz w:val="22"/>
          <w:szCs w:val="22"/>
        </w:rPr>
      </w:pPr>
    </w:p>
    <w:p w14:paraId="4C8812F2" w14:textId="0A1472FD" w:rsidR="0028726C" w:rsidRDefault="0028726C" w:rsidP="0028726C">
      <w:pPr>
        <w:rPr>
          <w:rFonts w:cs="Arial"/>
          <w:i/>
          <w:iCs/>
          <w:sz w:val="22"/>
          <w:szCs w:val="22"/>
        </w:rPr>
      </w:pPr>
      <w:r w:rsidRPr="005C0405">
        <w:rPr>
          <w:rFonts w:cs="Arial"/>
          <w:i/>
          <w:iCs/>
          <w:sz w:val="22"/>
          <w:szCs w:val="22"/>
        </w:rPr>
        <w:t xml:space="preserve">- Los Contratos CF95 y CF80 garantizan el servicio de suministro de una cantidad diaria máxima de gas natural que con alta probabilidad se registrará a lo largo de la duración del contrato, más aún con la reducción de la </w:t>
      </w:r>
      <w:r w:rsidR="00ED29E5">
        <w:rPr>
          <w:rFonts w:cs="Arial"/>
          <w:i/>
          <w:iCs/>
          <w:sz w:val="22"/>
          <w:szCs w:val="22"/>
        </w:rPr>
        <w:t>‘</w:t>
      </w:r>
      <w:r w:rsidRPr="005C0405">
        <w:rPr>
          <w:rFonts w:cs="Arial"/>
          <w:i/>
          <w:iCs/>
          <w:sz w:val="22"/>
          <w:szCs w:val="22"/>
        </w:rPr>
        <w:t>Banda de Acotación de Compras de Gas Natural para la atención de la Demanda Regulada Esencial</w:t>
      </w:r>
      <w:r w:rsidR="00ED29E5">
        <w:rPr>
          <w:rFonts w:cs="Arial"/>
          <w:i/>
          <w:iCs/>
          <w:sz w:val="22"/>
          <w:szCs w:val="22"/>
        </w:rPr>
        <w:t>’</w:t>
      </w:r>
      <w:r w:rsidRPr="005C0405">
        <w:rPr>
          <w:rFonts w:cs="Arial"/>
          <w:i/>
          <w:iCs/>
          <w:sz w:val="22"/>
          <w:szCs w:val="22"/>
        </w:rPr>
        <w:t xml:space="preserve"> que propone la CREG en el Proyecto de Resolución 227 de 2021.</w:t>
      </w:r>
      <w:r w:rsidR="00ED29E5">
        <w:rPr>
          <w:rFonts w:cs="Arial"/>
          <w:i/>
          <w:iCs/>
          <w:sz w:val="22"/>
          <w:szCs w:val="22"/>
        </w:rPr>
        <w:t>”</w:t>
      </w:r>
    </w:p>
    <w:p w14:paraId="4D2D4B5F" w14:textId="77777777" w:rsidR="00045714" w:rsidRDefault="00045714" w:rsidP="0028726C">
      <w:pPr>
        <w:rPr>
          <w:rFonts w:cs="Arial"/>
          <w:i/>
          <w:iCs/>
          <w:sz w:val="22"/>
          <w:szCs w:val="22"/>
        </w:rPr>
      </w:pPr>
    </w:p>
    <w:p w14:paraId="34192928" w14:textId="47DC5A8A" w:rsidR="00045714" w:rsidRPr="00045714" w:rsidRDefault="00045714" w:rsidP="0028726C">
      <w:pPr>
        <w:rPr>
          <w:rFonts w:cs="Arial"/>
          <w:b/>
          <w:bCs/>
          <w:sz w:val="22"/>
          <w:szCs w:val="22"/>
        </w:rPr>
      </w:pPr>
      <w:r w:rsidRPr="00045714">
        <w:rPr>
          <w:rFonts w:cs="Arial"/>
          <w:b/>
          <w:bCs/>
          <w:sz w:val="22"/>
          <w:szCs w:val="22"/>
        </w:rPr>
        <w:t>Respuesta:</w:t>
      </w:r>
    </w:p>
    <w:p w14:paraId="32FE1EB0" w14:textId="77777777" w:rsidR="00045714" w:rsidRDefault="00045714" w:rsidP="0028726C">
      <w:pPr>
        <w:rPr>
          <w:rFonts w:cs="Arial"/>
          <w:i/>
          <w:iCs/>
          <w:sz w:val="22"/>
          <w:szCs w:val="22"/>
        </w:rPr>
      </w:pPr>
    </w:p>
    <w:p w14:paraId="50BFFBA8" w14:textId="4B29E145" w:rsidR="00045714" w:rsidRDefault="00BB64A2" w:rsidP="0028726C">
      <w:pPr>
        <w:rPr>
          <w:rFonts w:cs="Arial"/>
          <w:sz w:val="22"/>
          <w:szCs w:val="22"/>
        </w:rPr>
      </w:pPr>
      <w:r>
        <w:rPr>
          <w:rFonts w:cs="Arial"/>
          <w:sz w:val="22"/>
          <w:szCs w:val="22"/>
        </w:rPr>
        <w:t>No se acoge el comentario.</w:t>
      </w:r>
    </w:p>
    <w:p w14:paraId="316752B4" w14:textId="77777777" w:rsidR="00BB64A2" w:rsidRDefault="00BB64A2" w:rsidP="0028726C">
      <w:pPr>
        <w:rPr>
          <w:rFonts w:cs="Arial"/>
          <w:sz w:val="22"/>
          <w:szCs w:val="22"/>
        </w:rPr>
      </w:pPr>
    </w:p>
    <w:p w14:paraId="75974160" w14:textId="0A1222A1" w:rsidR="005278CA" w:rsidRPr="00ED29E5" w:rsidRDefault="00BB64A2" w:rsidP="0028726C">
      <w:pPr>
        <w:rPr>
          <w:rFonts w:cs="Arial"/>
          <w:color w:val="000000" w:themeColor="text1"/>
          <w:sz w:val="22"/>
          <w:szCs w:val="22"/>
          <w:lang w:val="es-CO" w:eastAsia="es-CO"/>
        </w:rPr>
      </w:pPr>
      <w:r w:rsidRPr="00ED29E5">
        <w:rPr>
          <w:rFonts w:cs="Arial"/>
          <w:sz w:val="22"/>
          <w:szCs w:val="22"/>
        </w:rPr>
        <w:t>Cuando la CREG menciona “atrapamiento” en el contexto de la negociación de contratos en el Mercado Primario, se refiere a un atrapamiento contractual</w:t>
      </w:r>
      <w:r w:rsidR="000C2FEA" w:rsidRPr="00ED29E5">
        <w:rPr>
          <w:rFonts w:cs="Arial"/>
          <w:sz w:val="22"/>
          <w:szCs w:val="22"/>
        </w:rPr>
        <w:t xml:space="preserve"> o comercial</w:t>
      </w:r>
      <w:r w:rsidR="00E6660F" w:rsidRPr="00ED29E5">
        <w:rPr>
          <w:rFonts w:cs="Arial"/>
          <w:sz w:val="22"/>
          <w:szCs w:val="22"/>
        </w:rPr>
        <w:t xml:space="preserve"> de no corto plazo</w:t>
      </w:r>
      <w:r w:rsidR="004236D7" w:rsidRPr="00ED29E5">
        <w:rPr>
          <w:rFonts w:cs="Arial"/>
          <w:sz w:val="22"/>
          <w:szCs w:val="22"/>
        </w:rPr>
        <w:t xml:space="preserve">, </w:t>
      </w:r>
      <w:r w:rsidR="000C2FEA" w:rsidRPr="00ED29E5">
        <w:rPr>
          <w:rFonts w:cs="Arial"/>
          <w:sz w:val="22"/>
          <w:szCs w:val="22"/>
        </w:rPr>
        <w:t xml:space="preserve">mas </w:t>
      </w:r>
      <w:r w:rsidR="004236D7" w:rsidRPr="00ED29E5">
        <w:rPr>
          <w:rFonts w:cs="Arial"/>
          <w:sz w:val="22"/>
          <w:szCs w:val="22"/>
        </w:rPr>
        <w:t>no a un atrapamiento físico</w:t>
      </w:r>
      <w:r w:rsidR="00535970" w:rsidRPr="00ED29E5">
        <w:rPr>
          <w:rFonts w:cs="Arial"/>
          <w:sz w:val="22"/>
          <w:szCs w:val="22"/>
        </w:rPr>
        <w:t xml:space="preserve"> que pudiese llevar a racionamiento de gas</w:t>
      </w:r>
      <w:r w:rsidRPr="00ED29E5">
        <w:rPr>
          <w:rFonts w:cs="Arial"/>
          <w:sz w:val="22"/>
          <w:szCs w:val="22"/>
        </w:rPr>
        <w:t xml:space="preserve">. </w:t>
      </w:r>
      <w:r w:rsidR="005278CA" w:rsidRPr="00ED29E5">
        <w:rPr>
          <w:rFonts w:cs="Arial"/>
          <w:sz w:val="22"/>
          <w:szCs w:val="22"/>
        </w:rPr>
        <w:t xml:space="preserve">Es un término asimilable al de congestión </w:t>
      </w:r>
      <w:r w:rsidR="00E6660F" w:rsidRPr="00ED29E5">
        <w:rPr>
          <w:rFonts w:cs="Arial"/>
          <w:sz w:val="22"/>
          <w:szCs w:val="22"/>
        </w:rPr>
        <w:t xml:space="preserve">contractual </w:t>
      </w:r>
      <w:r w:rsidR="005278CA" w:rsidRPr="00ED29E5">
        <w:rPr>
          <w:rFonts w:cs="Arial"/>
          <w:sz w:val="22"/>
          <w:szCs w:val="22"/>
        </w:rPr>
        <w:t xml:space="preserve">que se define </w:t>
      </w:r>
      <w:r w:rsidR="00E6660F" w:rsidRPr="00ED29E5">
        <w:rPr>
          <w:rFonts w:cs="Arial"/>
          <w:sz w:val="22"/>
          <w:szCs w:val="22"/>
        </w:rPr>
        <w:t xml:space="preserve">en la Resolución CREG 185 de 2020, para efectos de comercialización de capacidad de transporte, como </w:t>
      </w:r>
      <w:r w:rsidR="00E6660F" w:rsidRPr="00ED29E5">
        <w:rPr>
          <w:rFonts w:cs="Arial"/>
          <w:color w:val="000000" w:themeColor="text1"/>
          <w:sz w:val="22"/>
          <w:szCs w:val="22"/>
          <w:lang w:val="es-CO" w:eastAsia="es-CO"/>
        </w:rPr>
        <w:t>la condición en la que el valor total de las solicitudes de capacidad firme durante un período en un tramo o grupo de gasoductos es mayor que la capacidad disponible primaria para el mismo período. En el caso del suministro las cantidades solicitadas en firme son superiores a las cantidades que pueden entregar una fuente de suministro.</w:t>
      </w:r>
    </w:p>
    <w:p w14:paraId="459412A7" w14:textId="77777777" w:rsidR="005278CA" w:rsidRDefault="005278CA" w:rsidP="0028726C">
      <w:pPr>
        <w:rPr>
          <w:rFonts w:cs="Arial"/>
          <w:sz w:val="22"/>
          <w:szCs w:val="22"/>
        </w:rPr>
      </w:pPr>
    </w:p>
    <w:p w14:paraId="1797672A" w14:textId="0793A0FF" w:rsidR="00BB64A2" w:rsidRDefault="004236D7" w:rsidP="0028726C">
      <w:pPr>
        <w:rPr>
          <w:rFonts w:cs="Arial"/>
          <w:sz w:val="22"/>
          <w:szCs w:val="22"/>
        </w:rPr>
      </w:pPr>
      <w:r>
        <w:rPr>
          <w:rFonts w:cs="Arial"/>
          <w:sz w:val="22"/>
          <w:szCs w:val="22"/>
        </w:rPr>
        <w:t>L</w:t>
      </w:r>
      <w:r w:rsidR="00BB64A2">
        <w:rPr>
          <w:rFonts w:cs="Arial"/>
          <w:sz w:val="22"/>
          <w:szCs w:val="22"/>
        </w:rPr>
        <w:t xml:space="preserve">as cantidades disponibles de la oferta </w:t>
      </w:r>
      <w:r w:rsidR="008219C9">
        <w:rPr>
          <w:rFonts w:cs="Arial"/>
          <w:sz w:val="22"/>
          <w:szCs w:val="22"/>
        </w:rPr>
        <w:t xml:space="preserve">PTDVF/CIDVF </w:t>
      </w:r>
      <w:r w:rsidR="00BB64A2">
        <w:rPr>
          <w:rFonts w:cs="Arial"/>
          <w:sz w:val="22"/>
          <w:szCs w:val="22"/>
        </w:rPr>
        <w:t xml:space="preserve">de los vendedores de gas </w:t>
      </w:r>
      <w:r w:rsidR="008219C9">
        <w:rPr>
          <w:rFonts w:cs="Arial"/>
          <w:sz w:val="22"/>
          <w:szCs w:val="22"/>
        </w:rPr>
        <w:t xml:space="preserve">en el Mercado Primario </w:t>
      </w:r>
      <w:r w:rsidR="00BB64A2">
        <w:rPr>
          <w:rFonts w:cs="Arial"/>
          <w:sz w:val="22"/>
          <w:szCs w:val="22"/>
        </w:rPr>
        <w:t>no van a cambiar por la modalidad contractual de tipo firme o que garantiza firmeza que se use, sea la CF95 o la propuesta CF80. Se asume que el vendedor está dispuesto a suscribir contratos de estas modalidades en los que la cantidad a garantizar de suministro diario máxima es el 100% de la cantidad contratada</w:t>
      </w:r>
      <w:r w:rsidR="008219C9">
        <w:rPr>
          <w:rFonts w:cs="Arial"/>
          <w:sz w:val="22"/>
          <w:szCs w:val="22"/>
        </w:rPr>
        <w:t>;</w:t>
      </w:r>
      <w:r w:rsidR="00BB64A2">
        <w:rPr>
          <w:rFonts w:cs="Arial"/>
          <w:sz w:val="22"/>
          <w:szCs w:val="22"/>
        </w:rPr>
        <w:t xml:space="preserve"> no es que la cantidad garantizada corresponda al 95% de la cantidad contratada en un CF95 o al 80% de la cantidad contratada en un CF80. El pago mínimo es el que está referido a ese porcentaje, </w:t>
      </w:r>
      <w:r w:rsidR="008219C9">
        <w:rPr>
          <w:rFonts w:cs="Arial"/>
          <w:sz w:val="22"/>
          <w:szCs w:val="22"/>
        </w:rPr>
        <w:t xml:space="preserve">de modo que </w:t>
      </w:r>
      <w:r w:rsidR="00BB64A2">
        <w:rPr>
          <w:rFonts w:cs="Arial"/>
          <w:sz w:val="22"/>
          <w:szCs w:val="22"/>
        </w:rPr>
        <w:t>así se nomine o no un promedio mensual</w:t>
      </w:r>
      <w:r>
        <w:rPr>
          <w:rFonts w:cs="Arial"/>
          <w:sz w:val="22"/>
          <w:szCs w:val="22"/>
        </w:rPr>
        <w:t xml:space="preserve"> de volúmenes </w:t>
      </w:r>
      <w:r w:rsidR="00BB64A2">
        <w:rPr>
          <w:rFonts w:cs="Arial"/>
          <w:sz w:val="22"/>
          <w:szCs w:val="22"/>
        </w:rPr>
        <w:t>igual</w:t>
      </w:r>
      <w:r>
        <w:rPr>
          <w:rFonts w:cs="Arial"/>
          <w:sz w:val="22"/>
          <w:szCs w:val="22"/>
        </w:rPr>
        <w:t xml:space="preserve">es o inferiores </w:t>
      </w:r>
      <w:r w:rsidR="00BB64A2">
        <w:rPr>
          <w:rFonts w:cs="Arial"/>
          <w:sz w:val="22"/>
          <w:szCs w:val="22"/>
        </w:rPr>
        <w:t>al porcentaje de pago mínimo</w:t>
      </w:r>
      <w:r w:rsidR="008219C9">
        <w:rPr>
          <w:rFonts w:cs="Arial"/>
          <w:sz w:val="22"/>
          <w:szCs w:val="22"/>
        </w:rPr>
        <w:t>, el pago mínimo se debe cumplir</w:t>
      </w:r>
      <w:r w:rsidR="006949D0">
        <w:rPr>
          <w:rFonts w:cs="Arial"/>
          <w:sz w:val="22"/>
          <w:szCs w:val="22"/>
        </w:rPr>
        <w:t xml:space="preserve"> y el vendedor </w:t>
      </w:r>
      <w:proofErr w:type="gramStart"/>
      <w:r w:rsidR="006949D0">
        <w:rPr>
          <w:rFonts w:cs="Arial"/>
          <w:sz w:val="22"/>
          <w:szCs w:val="22"/>
        </w:rPr>
        <w:t>tiene que tener</w:t>
      </w:r>
      <w:proofErr w:type="gramEnd"/>
      <w:r w:rsidR="006949D0">
        <w:rPr>
          <w:rFonts w:cs="Arial"/>
          <w:sz w:val="22"/>
          <w:szCs w:val="22"/>
        </w:rPr>
        <w:t xml:space="preserve"> disponible el 100% de lo necesario en infraestructura y capacidad de producción para cumplir el contrato en el momento que le nominen el 100% de la cantidad contratada</w:t>
      </w:r>
      <w:r>
        <w:rPr>
          <w:rFonts w:cs="Arial"/>
          <w:sz w:val="22"/>
          <w:szCs w:val="22"/>
        </w:rPr>
        <w:t>.</w:t>
      </w:r>
      <w:r w:rsidR="00BB64A2">
        <w:rPr>
          <w:rFonts w:cs="Arial"/>
          <w:sz w:val="22"/>
          <w:szCs w:val="22"/>
        </w:rPr>
        <w:t xml:space="preserve">  </w:t>
      </w:r>
    </w:p>
    <w:p w14:paraId="6CCFF360" w14:textId="77777777" w:rsidR="00BB64A2" w:rsidRDefault="00BB64A2" w:rsidP="0028726C">
      <w:pPr>
        <w:rPr>
          <w:rFonts w:cs="Arial"/>
          <w:sz w:val="22"/>
          <w:szCs w:val="22"/>
        </w:rPr>
      </w:pPr>
    </w:p>
    <w:p w14:paraId="7C234C8D" w14:textId="5FF90D15" w:rsidR="00BB64A2" w:rsidRDefault="008219C9" w:rsidP="0028726C">
      <w:pPr>
        <w:rPr>
          <w:rFonts w:cs="Arial"/>
          <w:sz w:val="22"/>
          <w:szCs w:val="22"/>
        </w:rPr>
      </w:pPr>
      <w:r>
        <w:rPr>
          <w:rFonts w:cs="Arial"/>
          <w:sz w:val="22"/>
          <w:szCs w:val="22"/>
        </w:rPr>
        <w:t xml:space="preserve">Con respecto a los compradores del Mercado Primario lo que podría ocurrir, dependiendo del precio que se negocia, es que se contraten cantidades superiores a las necesarias a cubrir, bajo el entendido de </w:t>
      </w:r>
      <w:proofErr w:type="gramStart"/>
      <w:r>
        <w:rPr>
          <w:rFonts w:cs="Arial"/>
          <w:sz w:val="22"/>
          <w:szCs w:val="22"/>
        </w:rPr>
        <w:t>que</w:t>
      </w:r>
      <w:proofErr w:type="gramEnd"/>
      <w:r>
        <w:rPr>
          <w:rFonts w:cs="Arial"/>
          <w:sz w:val="22"/>
          <w:szCs w:val="22"/>
        </w:rPr>
        <w:t xml:space="preserve"> si no las nominan en su totalidad</w:t>
      </w:r>
      <w:r w:rsidR="006949D0">
        <w:rPr>
          <w:rFonts w:cs="Arial"/>
          <w:sz w:val="22"/>
          <w:szCs w:val="22"/>
        </w:rPr>
        <w:t>,</w:t>
      </w:r>
      <w:r>
        <w:rPr>
          <w:rFonts w:cs="Arial"/>
          <w:sz w:val="22"/>
          <w:szCs w:val="22"/>
        </w:rPr>
        <w:t xml:space="preserve"> el pagó mínimo ya no será del 95% en el caso del CF95 sino del 80% en el caso del CF80</w:t>
      </w:r>
      <w:r w:rsidR="006949D0">
        <w:rPr>
          <w:rFonts w:cs="Arial"/>
          <w:sz w:val="22"/>
          <w:szCs w:val="22"/>
        </w:rPr>
        <w:t xml:space="preserve"> en apariencia un pago menor</w:t>
      </w:r>
      <w:r>
        <w:rPr>
          <w:rFonts w:cs="Arial"/>
          <w:sz w:val="22"/>
          <w:szCs w:val="22"/>
        </w:rPr>
        <w:t xml:space="preserve">. Esa posibilidad podría llevar entonces a </w:t>
      </w:r>
      <w:proofErr w:type="gramStart"/>
      <w:r>
        <w:rPr>
          <w:rFonts w:cs="Arial"/>
          <w:sz w:val="22"/>
          <w:szCs w:val="22"/>
        </w:rPr>
        <w:t>que</w:t>
      </w:r>
      <w:proofErr w:type="gramEnd"/>
      <w:r>
        <w:rPr>
          <w:rFonts w:cs="Arial"/>
          <w:sz w:val="22"/>
          <w:szCs w:val="22"/>
        </w:rPr>
        <w:t xml:space="preserve"> en las declaraciones de cantidades requeridas de compra al Gestor del Mercado en la segunda instancia, los compradores requieran más cantidades de las que requerirían garantizar si solo se negociase el CF95, lo cual induciría una mayor probabilidad de que el Gestor del Mercado encuentre un balance comercial deficitario, pues como ya se mencionó arriba, las cantidades ofertadas por loe vendedores no cambian. </w:t>
      </w:r>
      <w:proofErr w:type="gramStart"/>
      <w:r>
        <w:rPr>
          <w:rFonts w:cs="Arial"/>
          <w:sz w:val="22"/>
          <w:szCs w:val="22"/>
        </w:rPr>
        <w:t>Es</w:t>
      </w:r>
      <w:r w:rsidR="006949D0">
        <w:rPr>
          <w:rFonts w:cs="Arial"/>
          <w:sz w:val="22"/>
          <w:szCs w:val="22"/>
        </w:rPr>
        <w:t>o</w:t>
      </w:r>
      <w:proofErr w:type="gramEnd"/>
      <w:r>
        <w:rPr>
          <w:rFonts w:cs="Arial"/>
          <w:sz w:val="22"/>
          <w:szCs w:val="22"/>
        </w:rPr>
        <w:t xml:space="preserve"> por una parte, siendo consecuente con ello que el precio negociado sea superior</w:t>
      </w:r>
      <w:r w:rsidR="00905EB8">
        <w:rPr>
          <w:rFonts w:cs="Arial"/>
          <w:sz w:val="22"/>
          <w:szCs w:val="22"/>
        </w:rPr>
        <w:t xml:space="preserve"> ya sea en negociaciones directas o como resultado de asignación mediante subasta</w:t>
      </w:r>
      <w:r>
        <w:rPr>
          <w:rFonts w:cs="Arial"/>
          <w:sz w:val="22"/>
          <w:szCs w:val="22"/>
        </w:rPr>
        <w:t>.</w:t>
      </w:r>
    </w:p>
    <w:p w14:paraId="1089B91B" w14:textId="77777777" w:rsidR="008219C9" w:rsidRDefault="008219C9" w:rsidP="0028726C">
      <w:pPr>
        <w:rPr>
          <w:rFonts w:cs="Arial"/>
          <w:sz w:val="22"/>
          <w:szCs w:val="22"/>
        </w:rPr>
      </w:pPr>
    </w:p>
    <w:p w14:paraId="4C49EC31" w14:textId="00A43094" w:rsidR="008219C9" w:rsidRDefault="004308B1" w:rsidP="0028726C">
      <w:pPr>
        <w:rPr>
          <w:rFonts w:cs="Arial"/>
          <w:sz w:val="22"/>
          <w:szCs w:val="22"/>
        </w:rPr>
      </w:pPr>
      <w:r>
        <w:rPr>
          <w:rFonts w:cs="Arial"/>
          <w:sz w:val="22"/>
          <w:szCs w:val="22"/>
        </w:rPr>
        <w:t xml:space="preserve">Por otra parte, </w:t>
      </w:r>
      <w:r w:rsidR="006949D0">
        <w:rPr>
          <w:rFonts w:cs="Arial"/>
          <w:sz w:val="22"/>
          <w:szCs w:val="22"/>
        </w:rPr>
        <w:t>como potencial resultado de</w:t>
      </w:r>
      <w:r>
        <w:rPr>
          <w:rFonts w:cs="Arial"/>
          <w:sz w:val="22"/>
          <w:szCs w:val="22"/>
        </w:rPr>
        <w:t xml:space="preserve"> lo anterior</w:t>
      </w:r>
      <w:r w:rsidR="008219C9">
        <w:rPr>
          <w:rFonts w:cs="Arial"/>
          <w:sz w:val="22"/>
          <w:szCs w:val="22"/>
        </w:rPr>
        <w:t xml:space="preserve">, podría ocurrir que menos agentes compradores tengan acceso a contratos en el Mercado Primario por </w:t>
      </w:r>
      <w:r w:rsidR="00CE12A8">
        <w:rPr>
          <w:rFonts w:cs="Arial"/>
          <w:sz w:val="22"/>
          <w:szCs w:val="22"/>
        </w:rPr>
        <w:t>el</w:t>
      </w:r>
      <w:r w:rsidR="008219C9">
        <w:rPr>
          <w:rFonts w:cs="Arial"/>
          <w:sz w:val="22"/>
          <w:szCs w:val="22"/>
        </w:rPr>
        <w:t xml:space="preserve"> posible </w:t>
      </w:r>
      <w:r w:rsidR="00CE12A8">
        <w:rPr>
          <w:rFonts w:cs="Arial"/>
          <w:sz w:val="22"/>
          <w:szCs w:val="22"/>
        </w:rPr>
        <w:t>atrapamiento</w:t>
      </w:r>
      <w:r w:rsidR="008219C9">
        <w:rPr>
          <w:rFonts w:cs="Arial"/>
          <w:sz w:val="22"/>
          <w:szCs w:val="22"/>
        </w:rPr>
        <w:t xml:space="preserve"> contractual</w:t>
      </w:r>
      <w:r w:rsidR="006949D0">
        <w:rPr>
          <w:rFonts w:cs="Arial"/>
          <w:sz w:val="22"/>
          <w:szCs w:val="22"/>
        </w:rPr>
        <w:t xml:space="preserve"> o comercial</w:t>
      </w:r>
      <w:r w:rsidR="008219C9">
        <w:rPr>
          <w:rFonts w:cs="Arial"/>
          <w:sz w:val="22"/>
          <w:szCs w:val="22"/>
        </w:rPr>
        <w:t>. Puesto que realmente no hay atrapamiento físico, lo que podría luego ocurrir es que los compradores del Mercado Primario acudan a vender excedentes de las compras de gas en el Mercado Secundario</w:t>
      </w:r>
      <w:r w:rsidR="009372ED">
        <w:rPr>
          <w:rFonts w:cs="Arial"/>
          <w:sz w:val="22"/>
          <w:szCs w:val="22"/>
        </w:rPr>
        <w:t>. A ese Mercado Secundario</w:t>
      </w:r>
      <w:r w:rsidR="008219C9">
        <w:rPr>
          <w:rFonts w:cs="Arial"/>
          <w:sz w:val="22"/>
          <w:szCs w:val="22"/>
        </w:rPr>
        <w:t xml:space="preserve"> acudirían los compradores que no tuvieron acceso a contratos en el Mercado Primario</w:t>
      </w:r>
      <w:r w:rsidR="006949D0">
        <w:rPr>
          <w:rFonts w:cs="Arial"/>
          <w:sz w:val="22"/>
          <w:szCs w:val="22"/>
        </w:rPr>
        <w:t xml:space="preserve"> por el atrapamiento</w:t>
      </w:r>
      <w:r w:rsidR="008219C9">
        <w:rPr>
          <w:rFonts w:cs="Arial"/>
          <w:sz w:val="22"/>
          <w:szCs w:val="22"/>
        </w:rPr>
        <w:t>, solo que a</w:t>
      </w:r>
      <w:r w:rsidR="009372ED">
        <w:rPr>
          <w:rFonts w:cs="Arial"/>
          <w:sz w:val="22"/>
          <w:szCs w:val="22"/>
        </w:rPr>
        <w:t xml:space="preserve">ccederían a </w:t>
      </w:r>
      <w:r w:rsidR="008219C9">
        <w:rPr>
          <w:rFonts w:cs="Arial"/>
          <w:sz w:val="22"/>
          <w:szCs w:val="22"/>
        </w:rPr>
        <w:t>un costo superior</w:t>
      </w:r>
      <w:r w:rsidR="009372ED">
        <w:rPr>
          <w:rFonts w:cs="Arial"/>
          <w:sz w:val="22"/>
          <w:szCs w:val="22"/>
        </w:rPr>
        <w:t xml:space="preserve"> a</w:t>
      </w:r>
      <w:r w:rsidR="00CE12A8">
        <w:rPr>
          <w:rFonts w:cs="Arial"/>
          <w:sz w:val="22"/>
          <w:szCs w:val="22"/>
        </w:rPr>
        <w:t>l que habrían obtenido en el caso de haber podido acceder al contrato CF95 en el Mercado Primario</w:t>
      </w:r>
      <w:r w:rsidR="009372ED">
        <w:rPr>
          <w:rFonts w:cs="Arial"/>
          <w:sz w:val="22"/>
          <w:szCs w:val="22"/>
        </w:rPr>
        <w:t xml:space="preserve">, por el origen de la negociación </w:t>
      </w:r>
      <w:r w:rsidR="00481EBC">
        <w:rPr>
          <w:rFonts w:cs="Arial"/>
          <w:sz w:val="22"/>
          <w:szCs w:val="22"/>
        </w:rPr>
        <w:t xml:space="preserve">arriba explicado, </w:t>
      </w:r>
      <w:r w:rsidR="009372ED">
        <w:rPr>
          <w:rFonts w:cs="Arial"/>
          <w:sz w:val="22"/>
          <w:szCs w:val="22"/>
        </w:rPr>
        <w:t xml:space="preserve">bajo un contrato CF80 del comprador del Mercado Primario que vendería en el </w:t>
      </w:r>
      <w:r w:rsidR="00F25B31">
        <w:rPr>
          <w:rFonts w:cs="Arial"/>
          <w:sz w:val="22"/>
          <w:szCs w:val="22"/>
        </w:rPr>
        <w:t xml:space="preserve">Mercado </w:t>
      </w:r>
      <w:r w:rsidR="009372ED">
        <w:rPr>
          <w:rFonts w:cs="Arial"/>
          <w:sz w:val="22"/>
          <w:szCs w:val="22"/>
        </w:rPr>
        <w:t>Secundario</w:t>
      </w:r>
      <w:r w:rsidR="008219C9">
        <w:rPr>
          <w:rFonts w:cs="Arial"/>
          <w:sz w:val="22"/>
          <w:szCs w:val="22"/>
        </w:rPr>
        <w:t>.</w:t>
      </w:r>
    </w:p>
    <w:p w14:paraId="1C445172" w14:textId="77777777" w:rsidR="008219C9" w:rsidRDefault="008219C9" w:rsidP="0028726C">
      <w:pPr>
        <w:rPr>
          <w:rFonts w:cs="Arial"/>
          <w:sz w:val="22"/>
          <w:szCs w:val="22"/>
        </w:rPr>
      </w:pPr>
    </w:p>
    <w:p w14:paraId="6EAB1C09" w14:textId="77777777" w:rsidR="00045714" w:rsidRPr="005C0405" w:rsidRDefault="00045714" w:rsidP="0028726C">
      <w:pPr>
        <w:rPr>
          <w:rFonts w:cs="Arial"/>
          <w:i/>
          <w:iCs/>
          <w:sz w:val="22"/>
          <w:szCs w:val="22"/>
        </w:rPr>
      </w:pPr>
    </w:p>
    <w:p w14:paraId="280CB8B2" w14:textId="77777777" w:rsidR="00045714" w:rsidRDefault="00045714" w:rsidP="00045714">
      <w:pPr>
        <w:pStyle w:val="Ttulo4"/>
      </w:pPr>
      <w:bookmarkStart w:id="822" w:name="_Ref132266813"/>
      <w:r w:rsidRPr="0028726C">
        <w:t>GASES DE OCCIDENTE</w:t>
      </w:r>
      <w:bookmarkEnd w:id="822"/>
      <w:r w:rsidRPr="0028726C">
        <w:tab/>
      </w:r>
    </w:p>
    <w:p w14:paraId="3E58C0D7" w14:textId="5AD9FE22" w:rsidR="0028726C" w:rsidRPr="005C0405" w:rsidRDefault="00D76186" w:rsidP="0028726C">
      <w:pPr>
        <w:rPr>
          <w:rFonts w:cs="Arial"/>
          <w:i/>
          <w:iCs/>
          <w:sz w:val="22"/>
          <w:szCs w:val="22"/>
        </w:rPr>
      </w:pPr>
      <w:r>
        <w:rPr>
          <w:rFonts w:cs="Arial"/>
          <w:i/>
          <w:iCs/>
          <w:sz w:val="22"/>
          <w:szCs w:val="22"/>
        </w:rPr>
        <w:t>“</w:t>
      </w:r>
      <w:r w:rsidR="0028726C" w:rsidRPr="005C0405">
        <w:rPr>
          <w:rFonts w:cs="Arial"/>
          <w:i/>
          <w:iCs/>
          <w:sz w:val="22"/>
          <w:szCs w:val="22"/>
        </w:rPr>
        <w:t>- En este Proyecto de Resolución la CREG autoriza a los productores-comercializadores a vender bajo la modalidad interrumpible, la parte variable de los contratos con modalidades CF80 y CF95, cuando dicha cantidad variable no sea nominada por el comprador. O la parte variable la vende el comprador, o la parte variable la vende el productor-comercializador, en caso de que este gas sea requerido por terceros.</w:t>
      </w:r>
      <w:r>
        <w:rPr>
          <w:rFonts w:cs="Arial"/>
          <w:i/>
          <w:iCs/>
          <w:sz w:val="22"/>
          <w:szCs w:val="22"/>
        </w:rPr>
        <w:t>”</w:t>
      </w:r>
    </w:p>
    <w:p w14:paraId="6DEAD0BE" w14:textId="77777777" w:rsidR="0028726C" w:rsidRDefault="0028726C" w:rsidP="0028726C">
      <w:pPr>
        <w:rPr>
          <w:rFonts w:cs="Arial"/>
          <w:i/>
          <w:iCs/>
          <w:sz w:val="22"/>
          <w:szCs w:val="22"/>
        </w:rPr>
      </w:pPr>
    </w:p>
    <w:p w14:paraId="4947D92A" w14:textId="3695C65F" w:rsidR="00481EBC" w:rsidRPr="00481EBC" w:rsidRDefault="00481EBC" w:rsidP="0028726C">
      <w:pPr>
        <w:rPr>
          <w:rFonts w:cs="Arial"/>
          <w:b/>
          <w:bCs/>
          <w:sz w:val="22"/>
          <w:szCs w:val="22"/>
        </w:rPr>
      </w:pPr>
      <w:r w:rsidRPr="00481EBC">
        <w:rPr>
          <w:rFonts w:cs="Arial"/>
          <w:b/>
          <w:bCs/>
          <w:sz w:val="22"/>
          <w:szCs w:val="22"/>
        </w:rPr>
        <w:t>Respuesta:</w:t>
      </w:r>
    </w:p>
    <w:p w14:paraId="20D0CFD2" w14:textId="77777777" w:rsidR="00481EBC" w:rsidRDefault="00481EBC" w:rsidP="0028726C">
      <w:pPr>
        <w:rPr>
          <w:rFonts w:cs="Arial"/>
          <w:i/>
          <w:iCs/>
          <w:sz w:val="22"/>
          <w:szCs w:val="22"/>
        </w:rPr>
      </w:pPr>
    </w:p>
    <w:p w14:paraId="67490C45" w14:textId="11E84254" w:rsidR="00481EBC" w:rsidRDefault="00481EBC" w:rsidP="0028726C">
      <w:pPr>
        <w:rPr>
          <w:rFonts w:cs="Arial"/>
          <w:sz w:val="22"/>
          <w:szCs w:val="22"/>
        </w:rPr>
      </w:pPr>
      <w:r>
        <w:rPr>
          <w:rFonts w:cs="Arial"/>
          <w:sz w:val="22"/>
          <w:szCs w:val="22"/>
        </w:rPr>
        <w:t xml:space="preserve">Se debe </w:t>
      </w:r>
      <w:proofErr w:type="gramStart"/>
      <w:r>
        <w:rPr>
          <w:rFonts w:cs="Arial"/>
          <w:sz w:val="22"/>
          <w:szCs w:val="22"/>
        </w:rPr>
        <w:t>aclarar</w:t>
      </w:r>
      <w:proofErr w:type="gramEnd"/>
      <w:r>
        <w:rPr>
          <w:rFonts w:cs="Arial"/>
          <w:sz w:val="22"/>
          <w:szCs w:val="22"/>
        </w:rPr>
        <w:t xml:space="preserve"> antes que nada, que no existe la modalidad CREG denominada en el comentario como “interrumpible”. La modalidad CREG se denomina “contrato con interrupciones” que corresponde a un contrato del tipo general definido por el MME en el Decreto 1073 de 2015 como “contrato interrumpible”, solo </w:t>
      </w:r>
      <w:proofErr w:type="gramStart"/>
      <w:r>
        <w:rPr>
          <w:rFonts w:cs="Arial"/>
          <w:sz w:val="22"/>
          <w:szCs w:val="22"/>
        </w:rPr>
        <w:t>que</w:t>
      </w:r>
      <w:proofErr w:type="gramEnd"/>
      <w:r>
        <w:rPr>
          <w:rFonts w:cs="Arial"/>
          <w:sz w:val="22"/>
          <w:szCs w:val="22"/>
        </w:rPr>
        <w:t xml:space="preserve"> </w:t>
      </w:r>
      <w:r w:rsidR="00F92388">
        <w:rPr>
          <w:rFonts w:cs="Arial"/>
          <w:sz w:val="22"/>
          <w:szCs w:val="22"/>
        </w:rPr>
        <w:t>sin</w:t>
      </w:r>
      <w:r>
        <w:rPr>
          <w:rFonts w:cs="Arial"/>
          <w:sz w:val="22"/>
          <w:szCs w:val="22"/>
        </w:rPr>
        <w:t xml:space="preserve"> condiciones </w:t>
      </w:r>
      <w:r w:rsidR="00F92388">
        <w:rPr>
          <w:rFonts w:cs="Arial"/>
          <w:sz w:val="22"/>
          <w:szCs w:val="22"/>
        </w:rPr>
        <w:t>establecidas</w:t>
      </w:r>
      <w:r>
        <w:rPr>
          <w:rFonts w:cs="Arial"/>
          <w:sz w:val="22"/>
          <w:szCs w:val="22"/>
        </w:rPr>
        <w:t xml:space="preserve"> para su cumplimiento</w:t>
      </w:r>
      <w:r w:rsidR="00F92388">
        <w:rPr>
          <w:rFonts w:cs="Arial"/>
          <w:sz w:val="22"/>
          <w:szCs w:val="22"/>
        </w:rPr>
        <w:t>, más allá de un precio máximo y una cantidad máxima</w:t>
      </w:r>
      <w:r>
        <w:rPr>
          <w:rFonts w:cs="Arial"/>
          <w:sz w:val="22"/>
          <w:szCs w:val="22"/>
        </w:rPr>
        <w:t xml:space="preserve">. Por otro lado, la venta de cantidades en un contrato con interrupciones realmente se produce, no con la firma del contrato, sino cuando se da la simultaneidad entre la disposición del vendedor de entregar el gas en un día dado, y la disposición del comprador de recibir ese gas en ese mismo día, bajo </w:t>
      </w:r>
      <w:r w:rsidR="00F92388">
        <w:rPr>
          <w:rFonts w:cs="Arial"/>
          <w:sz w:val="22"/>
          <w:szCs w:val="22"/>
        </w:rPr>
        <w:t>l</w:t>
      </w:r>
      <w:r>
        <w:rPr>
          <w:rFonts w:cs="Arial"/>
          <w:sz w:val="22"/>
          <w:szCs w:val="22"/>
        </w:rPr>
        <w:t>as condiciones establecidas en el contrato de cantidad máxima y de precio máximo.</w:t>
      </w:r>
    </w:p>
    <w:p w14:paraId="561F5B91" w14:textId="77777777" w:rsidR="00481EBC" w:rsidRDefault="00481EBC" w:rsidP="0028726C">
      <w:pPr>
        <w:rPr>
          <w:rFonts w:cs="Arial"/>
          <w:sz w:val="22"/>
          <w:szCs w:val="22"/>
        </w:rPr>
      </w:pPr>
    </w:p>
    <w:p w14:paraId="346A8A40" w14:textId="77777777" w:rsidR="00915AA9" w:rsidRDefault="00915AA9" w:rsidP="00915AA9">
      <w:pPr>
        <w:rPr>
          <w:bCs/>
          <w:sz w:val="22"/>
          <w:szCs w:val="22"/>
        </w:rPr>
      </w:pPr>
      <w:r>
        <w:rPr>
          <w:bCs/>
          <w:sz w:val="22"/>
          <w:szCs w:val="22"/>
        </w:rPr>
        <w:t>En la nueva propuesta se hace un ajuste al respecto en el sentido que los v</w:t>
      </w:r>
      <w:r w:rsidRPr="00915AA9">
        <w:rPr>
          <w:bCs/>
          <w:sz w:val="22"/>
          <w:szCs w:val="22"/>
        </w:rPr>
        <w:t>endedores del mercado primario podrán negociar directamente el suministro del gas natural mediante contratos con interrupciones de los volúmenes que provengan de la parte variable de los contratos con modalidades CF80 y CF95, cuya nominación podrá ser autorizada por el vendedor del mercado primario</w:t>
      </w:r>
      <w:r>
        <w:rPr>
          <w:bCs/>
          <w:sz w:val="22"/>
          <w:szCs w:val="22"/>
        </w:rPr>
        <w:t xml:space="preserve"> siempre y </w:t>
      </w:r>
      <w:r w:rsidRPr="00915AA9">
        <w:rPr>
          <w:bCs/>
          <w:sz w:val="22"/>
          <w:szCs w:val="22"/>
        </w:rPr>
        <w:t>cuando dicha cantidad de pago variable del contrato CF80 y CF95 no sea nominada por el comprador que suscribió dicho contrato</w:t>
      </w:r>
      <w:r>
        <w:rPr>
          <w:bCs/>
          <w:sz w:val="22"/>
          <w:szCs w:val="22"/>
        </w:rPr>
        <w:t>.</w:t>
      </w:r>
    </w:p>
    <w:p w14:paraId="3965F69B" w14:textId="77777777" w:rsidR="00F47BD5" w:rsidRDefault="00F47BD5" w:rsidP="0028726C">
      <w:pPr>
        <w:rPr>
          <w:rFonts w:cs="Arial"/>
          <w:sz w:val="22"/>
          <w:szCs w:val="22"/>
        </w:rPr>
      </w:pPr>
    </w:p>
    <w:p w14:paraId="453EB08D" w14:textId="1EAC5BB1" w:rsidR="00481EBC" w:rsidRPr="00481EBC" w:rsidRDefault="00F47BD5" w:rsidP="0028726C">
      <w:pPr>
        <w:rPr>
          <w:rFonts w:cs="Arial"/>
          <w:sz w:val="22"/>
          <w:szCs w:val="22"/>
        </w:rPr>
      </w:pPr>
      <w:r>
        <w:rPr>
          <w:rFonts w:cs="Arial"/>
          <w:sz w:val="22"/>
          <w:szCs w:val="22"/>
        </w:rPr>
        <w:t xml:space="preserve">Es de considerar que actualmente en el mecanismo de comercialización de la subasta Úselo o Véndalo de Corto Plazo solo se tiene en cuenta subastar las cantidades no nominadas del volumen de pago mínimo, lo que no incluye por tanto las cantidades de pago variable.  </w:t>
      </w:r>
      <w:r w:rsidR="00481EBC">
        <w:rPr>
          <w:rFonts w:cs="Arial"/>
          <w:sz w:val="22"/>
          <w:szCs w:val="22"/>
        </w:rPr>
        <w:t xml:space="preserve"> </w:t>
      </w:r>
    </w:p>
    <w:p w14:paraId="2EA3B0A0" w14:textId="77777777" w:rsidR="00481EBC" w:rsidRDefault="00481EBC" w:rsidP="0028726C">
      <w:pPr>
        <w:rPr>
          <w:rFonts w:cs="Arial"/>
          <w:i/>
          <w:iCs/>
          <w:sz w:val="22"/>
          <w:szCs w:val="22"/>
        </w:rPr>
      </w:pPr>
    </w:p>
    <w:p w14:paraId="35A4948D" w14:textId="77777777" w:rsidR="00481EBC" w:rsidRDefault="00481EBC" w:rsidP="0028726C">
      <w:pPr>
        <w:rPr>
          <w:rFonts w:cs="Arial"/>
          <w:i/>
          <w:iCs/>
          <w:sz w:val="22"/>
          <w:szCs w:val="22"/>
        </w:rPr>
      </w:pPr>
    </w:p>
    <w:p w14:paraId="3E9991A3" w14:textId="77777777" w:rsidR="00481EBC" w:rsidRDefault="00481EBC" w:rsidP="00481EBC">
      <w:pPr>
        <w:pStyle w:val="Ttulo4"/>
      </w:pPr>
      <w:bookmarkStart w:id="823" w:name="_Ref132639400"/>
      <w:r w:rsidRPr="0028726C">
        <w:t>GASES DE OCCIDENTE</w:t>
      </w:r>
      <w:bookmarkEnd w:id="823"/>
      <w:r w:rsidRPr="0028726C">
        <w:tab/>
      </w:r>
    </w:p>
    <w:p w14:paraId="645704A7" w14:textId="6D7DCDB6" w:rsidR="0028726C" w:rsidRPr="005C0405" w:rsidRDefault="00933870" w:rsidP="0028726C">
      <w:pPr>
        <w:rPr>
          <w:rFonts w:cs="Arial"/>
          <w:i/>
          <w:iCs/>
          <w:sz w:val="22"/>
          <w:szCs w:val="22"/>
        </w:rPr>
      </w:pPr>
      <w:r>
        <w:rPr>
          <w:rFonts w:cs="Arial"/>
          <w:i/>
          <w:iCs/>
          <w:sz w:val="22"/>
          <w:szCs w:val="22"/>
        </w:rPr>
        <w:t>“</w:t>
      </w:r>
      <w:r w:rsidR="0028726C" w:rsidRPr="005C0405">
        <w:rPr>
          <w:rFonts w:cs="Arial"/>
          <w:i/>
          <w:iCs/>
          <w:sz w:val="22"/>
          <w:szCs w:val="22"/>
        </w:rPr>
        <w:t>La CREG manifiesta que el uso residual y condicionado de la modalidad CF80 se sustenta también en que se dificulta la realización de un balance comercial, cuando se incluyen las modalidades CF80 y CF95 como opciones simultáneas y que la modalidad CF95 será la base para estimar si la oferta de suministro de gas natural con garantía de firmeza con Respaldo Físico es superavitaria o deficitaria en los períodos futuros de suministro a contratar.</w:t>
      </w:r>
    </w:p>
    <w:p w14:paraId="795A6FC7" w14:textId="77777777" w:rsidR="0028726C" w:rsidRPr="005C0405" w:rsidRDefault="0028726C" w:rsidP="0028726C">
      <w:pPr>
        <w:rPr>
          <w:rFonts w:cs="Arial"/>
          <w:i/>
          <w:iCs/>
          <w:sz w:val="22"/>
          <w:szCs w:val="22"/>
        </w:rPr>
      </w:pPr>
    </w:p>
    <w:p w14:paraId="1D7F21D4" w14:textId="77777777" w:rsidR="0028726C" w:rsidRDefault="0028726C" w:rsidP="0028726C">
      <w:pPr>
        <w:rPr>
          <w:rFonts w:cs="Arial"/>
          <w:sz w:val="22"/>
          <w:szCs w:val="22"/>
        </w:rPr>
      </w:pPr>
      <w:r w:rsidRPr="005C0405">
        <w:rPr>
          <w:rFonts w:cs="Arial"/>
          <w:i/>
          <w:iCs/>
          <w:sz w:val="22"/>
          <w:szCs w:val="22"/>
        </w:rPr>
        <w:t>No es una modalidad contractual en particular la que permite definir si el balance comercial es superavitario y suficiente para abastecer la demanda que requiere respaldo físico. Es la disponibilidad de oferta (declaraciones de producción comprometida y no comprometida en contratos) y la proyección de la demanda a la que se le exige suministro de gas con respaldo físico, las variables que permiten establecer dicho balance</w:t>
      </w:r>
      <w:r w:rsidRPr="0028726C">
        <w:rPr>
          <w:rFonts w:cs="Arial"/>
          <w:sz w:val="22"/>
          <w:szCs w:val="22"/>
        </w:rPr>
        <w:t>."</w:t>
      </w:r>
    </w:p>
    <w:p w14:paraId="78413276" w14:textId="77777777" w:rsidR="005C0405" w:rsidRDefault="005C0405" w:rsidP="0028726C">
      <w:pPr>
        <w:rPr>
          <w:rFonts w:cs="Arial"/>
          <w:sz w:val="22"/>
          <w:szCs w:val="22"/>
        </w:rPr>
      </w:pPr>
    </w:p>
    <w:p w14:paraId="5E0A1C21" w14:textId="03577365" w:rsidR="005C0405" w:rsidRPr="005C0405" w:rsidRDefault="005C0405" w:rsidP="0028726C">
      <w:pPr>
        <w:rPr>
          <w:rFonts w:cs="Arial"/>
          <w:b/>
          <w:bCs/>
          <w:sz w:val="22"/>
          <w:szCs w:val="22"/>
        </w:rPr>
      </w:pPr>
      <w:r w:rsidRPr="005C0405">
        <w:rPr>
          <w:rFonts w:cs="Arial"/>
          <w:b/>
          <w:bCs/>
          <w:sz w:val="22"/>
          <w:szCs w:val="22"/>
        </w:rPr>
        <w:t>Respuesta:</w:t>
      </w:r>
    </w:p>
    <w:p w14:paraId="2D8285E3" w14:textId="77777777" w:rsidR="005C0405" w:rsidRDefault="005C0405" w:rsidP="0028726C">
      <w:pPr>
        <w:rPr>
          <w:rFonts w:cs="Arial"/>
          <w:sz w:val="22"/>
          <w:szCs w:val="22"/>
        </w:rPr>
      </w:pPr>
    </w:p>
    <w:p w14:paraId="404071B8" w14:textId="51032AD0" w:rsidR="005C0405" w:rsidRDefault="00045714" w:rsidP="0028726C">
      <w:pPr>
        <w:rPr>
          <w:rFonts w:cs="Arial"/>
          <w:sz w:val="22"/>
          <w:szCs w:val="22"/>
        </w:rPr>
      </w:pPr>
      <w:r>
        <w:rPr>
          <w:rFonts w:cs="Arial"/>
          <w:sz w:val="22"/>
          <w:szCs w:val="22"/>
        </w:rPr>
        <w:t>No se acoge el comentario.</w:t>
      </w:r>
    </w:p>
    <w:p w14:paraId="7ECB100F" w14:textId="77777777" w:rsidR="00D16B8C" w:rsidRDefault="00D16B8C" w:rsidP="0028726C">
      <w:pPr>
        <w:rPr>
          <w:rFonts w:cs="Arial"/>
          <w:sz w:val="22"/>
          <w:szCs w:val="22"/>
        </w:rPr>
      </w:pPr>
    </w:p>
    <w:p w14:paraId="502027D6" w14:textId="413BC187" w:rsidR="007542A3" w:rsidRDefault="00D16B8C" w:rsidP="007542A3">
      <w:pPr>
        <w:rPr>
          <w:rFonts w:cs="Arial"/>
          <w:sz w:val="22"/>
          <w:szCs w:val="22"/>
        </w:rPr>
      </w:pPr>
      <w:r>
        <w:rPr>
          <w:rFonts w:cs="Arial"/>
          <w:sz w:val="22"/>
          <w:szCs w:val="22"/>
        </w:rPr>
        <w:t>En la propuesta</w:t>
      </w:r>
      <w:r w:rsidR="00F92388">
        <w:rPr>
          <w:rFonts w:cs="Arial"/>
          <w:sz w:val="22"/>
          <w:szCs w:val="22"/>
        </w:rPr>
        <w:t xml:space="preserve"> publicada</w:t>
      </w:r>
      <w:r>
        <w:rPr>
          <w:rFonts w:cs="Arial"/>
          <w:sz w:val="22"/>
          <w:szCs w:val="22"/>
        </w:rPr>
        <w:t xml:space="preserve"> se ha hecho uso de la expresión “balance comercial” precisamente con el objetivo de no confundirlo con un </w:t>
      </w:r>
      <w:r w:rsidR="00F92388">
        <w:rPr>
          <w:rFonts w:cs="Arial"/>
          <w:sz w:val="22"/>
          <w:szCs w:val="22"/>
        </w:rPr>
        <w:t>“</w:t>
      </w:r>
      <w:r>
        <w:rPr>
          <w:rFonts w:cs="Arial"/>
          <w:sz w:val="22"/>
          <w:szCs w:val="22"/>
        </w:rPr>
        <w:t>bala</w:t>
      </w:r>
      <w:r w:rsidR="00902F70">
        <w:rPr>
          <w:rFonts w:cs="Arial"/>
          <w:sz w:val="22"/>
          <w:szCs w:val="22"/>
        </w:rPr>
        <w:t>n</w:t>
      </w:r>
      <w:r>
        <w:rPr>
          <w:rFonts w:cs="Arial"/>
          <w:sz w:val="22"/>
          <w:szCs w:val="22"/>
        </w:rPr>
        <w:t>ce físico</w:t>
      </w:r>
      <w:r w:rsidR="00F92388">
        <w:rPr>
          <w:rFonts w:cs="Arial"/>
          <w:sz w:val="22"/>
          <w:szCs w:val="22"/>
        </w:rPr>
        <w:t>”</w:t>
      </w:r>
      <w:r>
        <w:rPr>
          <w:rFonts w:cs="Arial"/>
          <w:sz w:val="22"/>
          <w:szCs w:val="22"/>
        </w:rPr>
        <w:t xml:space="preserve">, como </w:t>
      </w:r>
      <w:r w:rsidR="00AB4946">
        <w:rPr>
          <w:rFonts w:cs="Arial"/>
          <w:sz w:val="22"/>
          <w:szCs w:val="22"/>
        </w:rPr>
        <w:t xml:space="preserve">es </w:t>
      </w:r>
      <w:r>
        <w:rPr>
          <w:rFonts w:cs="Arial"/>
          <w:sz w:val="22"/>
          <w:szCs w:val="22"/>
        </w:rPr>
        <w:t xml:space="preserve">el </w:t>
      </w:r>
      <w:r w:rsidR="00902F70">
        <w:rPr>
          <w:rFonts w:cs="Arial"/>
          <w:sz w:val="22"/>
          <w:szCs w:val="22"/>
        </w:rPr>
        <w:t>q</w:t>
      </w:r>
      <w:r>
        <w:rPr>
          <w:rFonts w:cs="Arial"/>
          <w:sz w:val="22"/>
          <w:szCs w:val="22"/>
        </w:rPr>
        <w:t>ue desarrolla la UPME.</w:t>
      </w:r>
      <w:r w:rsidR="00902F70">
        <w:rPr>
          <w:rFonts w:cs="Arial"/>
          <w:sz w:val="22"/>
          <w:szCs w:val="22"/>
        </w:rPr>
        <w:t xml:space="preserve"> El desarrollo del Mercado Mayorista busca dar los elementos comerciales de la compra y venta del suministro de gas natural, siendo </w:t>
      </w:r>
      <w:r w:rsidR="00F92388">
        <w:rPr>
          <w:rFonts w:cs="Arial"/>
          <w:sz w:val="22"/>
          <w:szCs w:val="22"/>
        </w:rPr>
        <w:t>un aspecto</w:t>
      </w:r>
      <w:r w:rsidR="00902F70">
        <w:rPr>
          <w:rFonts w:cs="Arial"/>
          <w:sz w:val="22"/>
          <w:szCs w:val="22"/>
        </w:rPr>
        <w:t xml:space="preserve"> esencial </w:t>
      </w:r>
      <w:r w:rsidR="00AB4946">
        <w:rPr>
          <w:rFonts w:cs="Arial"/>
          <w:sz w:val="22"/>
          <w:szCs w:val="22"/>
        </w:rPr>
        <w:t xml:space="preserve">en ello </w:t>
      </w:r>
      <w:r w:rsidR="00902F70">
        <w:rPr>
          <w:rFonts w:cs="Arial"/>
          <w:sz w:val="22"/>
          <w:szCs w:val="22"/>
        </w:rPr>
        <w:t xml:space="preserve">los contratos y su negociación. Es el balance comercial una referencia fundamental para posteriormente ejecutar el mecanismo de comercialización que se considera más eficiente y oportuno </w:t>
      </w:r>
      <w:r w:rsidR="00F92388">
        <w:rPr>
          <w:rFonts w:cs="Arial"/>
          <w:sz w:val="22"/>
          <w:szCs w:val="22"/>
        </w:rPr>
        <w:t>con el fin de</w:t>
      </w:r>
      <w:r w:rsidR="00902F70">
        <w:rPr>
          <w:rFonts w:cs="Arial"/>
          <w:sz w:val="22"/>
          <w:szCs w:val="22"/>
        </w:rPr>
        <w:t xml:space="preserve"> resolver las c</w:t>
      </w:r>
      <w:r w:rsidR="007542A3">
        <w:rPr>
          <w:rFonts w:cs="Arial"/>
          <w:sz w:val="22"/>
          <w:szCs w:val="22"/>
        </w:rPr>
        <w:t>a</w:t>
      </w:r>
      <w:r w:rsidR="00902F70">
        <w:rPr>
          <w:rFonts w:cs="Arial"/>
          <w:sz w:val="22"/>
          <w:szCs w:val="22"/>
        </w:rPr>
        <w:t>ntid</w:t>
      </w:r>
      <w:r w:rsidR="007542A3">
        <w:rPr>
          <w:rFonts w:cs="Arial"/>
          <w:sz w:val="22"/>
          <w:szCs w:val="22"/>
        </w:rPr>
        <w:t>a</w:t>
      </w:r>
      <w:r w:rsidR="00902F70">
        <w:rPr>
          <w:rFonts w:cs="Arial"/>
          <w:sz w:val="22"/>
          <w:szCs w:val="22"/>
        </w:rPr>
        <w:t>des y precios de</w:t>
      </w:r>
      <w:r w:rsidR="007542A3">
        <w:rPr>
          <w:rFonts w:cs="Arial"/>
          <w:sz w:val="22"/>
          <w:szCs w:val="22"/>
        </w:rPr>
        <w:t>l suministro, dependiendo d</w:t>
      </w:r>
      <w:r w:rsidR="00902F70">
        <w:rPr>
          <w:rFonts w:cs="Arial"/>
          <w:sz w:val="22"/>
          <w:szCs w:val="22"/>
        </w:rPr>
        <w:t>el resultado del balance comercial.</w:t>
      </w:r>
      <w:r w:rsidR="007542A3" w:rsidRPr="007542A3">
        <w:rPr>
          <w:rFonts w:cs="Arial"/>
          <w:sz w:val="22"/>
          <w:szCs w:val="22"/>
        </w:rPr>
        <w:t xml:space="preserve"> </w:t>
      </w:r>
      <w:r w:rsidR="007542A3">
        <w:rPr>
          <w:rFonts w:cs="Arial"/>
          <w:sz w:val="22"/>
          <w:szCs w:val="22"/>
        </w:rPr>
        <w:t xml:space="preserve">Ver numeral </w:t>
      </w:r>
      <w:r w:rsidR="007542A3">
        <w:rPr>
          <w:rFonts w:cs="Arial"/>
          <w:sz w:val="22"/>
          <w:szCs w:val="22"/>
        </w:rPr>
        <w:fldChar w:fldCharType="begin"/>
      </w:r>
      <w:r w:rsidR="007542A3">
        <w:rPr>
          <w:rFonts w:cs="Arial"/>
          <w:sz w:val="22"/>
          <w:szCs w:val="22"/>
        </w:rPr>
        <w:instrText xml:space="preserve"> REF _Ref130303703 \r \h </w:instrText>
      </w:r>
      <w:r w:rsidR="007542A3">
        <w:rPr>
          <w:rFonts w:cs="Arial"/>
          <w:sz w:val="22"/>
          <w:szCs w:val="22"/>
        </w:rPr>
      </w:r>
      <w:r w:rsidR="007542A3">
        <w:rPr>
          <w:rFonts w:cs="Arial"/>
          <w:sz w:val="22"/>
          <w:szCs w:val="22"/>
        </w:rPr>
        <w:fldChar w:fldCharType="separate"/>
      </w:r>
      <w:r w:rsidR="007542A3">
        <w:rPr>
          <w:rFonts w:cs="Arial"/>
          <w:sz w:val="22"/>
          <w:szCs w:val="22"/>
        </w:rPr>
        <w:t>2.2.1</w:t>
      </w:r>
      <w:r w:rsidR="007542A3">
        <w:rPr>
          <w:rFonts w:cs="Arial"/>
          <w:sz w:val="22"/>
          <w:szCs w:val="22"/>
        </w:rPr>
        <w:fldChar w:fldCharType="end"/>
      </w:r>
      <w:r w:rsidR="007542A3">
        <w:rPr>
          <w:rFonts w:cs="Arial"/>
          <w:sz w:val="22"/>
          <w:szCs w:val="22"/>
        </w:rPr>
        <w:t xml:space="preserve">, figura 3 y respuesta a </w:t>
      </w:r>
      <w:r w:rsidR="007542A3">
        <w:rPr>
          <w:rFonts w:cs="Arial"/>
          <w:sz w:val="22"/>
          <w:szCs w:val="22"/>
        </w:rPr>
        <w:fldChar w:fldCharType="begin"/>
      </w:r>
      <w:r w:rsidR="007542A3">
        <w:rPr>
          <w:rFonts w:cs="Arial"/>
          <w:sz w:val="22"/>
          <w:szCs w:val="22"/>
        </w:rPr>
        <w:instrText xml:space="preserve"> REF _Ref132266813 \r \h </w:instrText>
      </w:r>
      <w:r w:rsidR="007542A3">
        <w:rPr>
          <w:rFonts w:cs="Arial"/>
          <w:sz w:val="22"/>
          <w:szCs w:val="22"/>
        </w:rPr>
      </w:r>
      <w:r w:rsidR="007542A3">
        <w:rPr>
          <w:rFonts w:cs="Arial"/>
          <w:sz w:val="22"/>
          <w:szCs w:val="22"/>
        </w:rPr>
        <w:fldChar w:fldCharType="separate"/>
      </w:r>
      <w:r w:rsidR="007542A3">
        <w:rPr>
          <w:rFonts w:cs="Arial"/>
          <w:sz w:val="22"/>
          <w:szCs w:val="22"/>
        </w:rPr>
        <w:t>19.13.1.4</w:t>
      </w:r>
      <w:r w:rsidR="007542A3">
        <w:rPr>
          <w:rFonts w:cs="Arial"/>
          <w:sz w:val="22"/>
          <w:szCs w:val="22"/>
        </w:rPr>
        <w:fldChar w:fldCharType="end"/>
      </w:r>
      <w:r w:rsidR="007542A3">
        <w:rPr>
          <w:rFonts w:cs="Arial"/>
          <w:sz w:val="22"/>
          <w:szCs w:val="22"/>
        </w:rPr>
        <w:t>.</w:t>
      </w:r>
    </w:p>
    <w:p w14:paraId="067BC5E0" w14:textId="77777777" w:rsidR="00902F70" w:rsidRDefault="00902F70" w:rsidP="0028726C">
      <w:pPr>
        <w:rPr>
          <w:rFonts w:cs="Arial"/>
          <w:sz w:val="22"/>
          <w:szCs w:val="22"/>
        </w:rPr>
      </w:pPr>
    </w:p>
    <w:p w14:paraId="4C8D540A" w14:textId="015825C9" w:rsidR="00902F70" w:rsidRDefault="00902F70" w:rsidP="0028726C">
      <w:pPr>
        <w:rPr>
          <w:rFonts w:cs="Arial"/>
          <w:sz w:val="22"/>
          <w:szCs w:val="22"/>
        </w:rPr>
      </w:pPr>
      <w:r>
        <w:rPr>
          <w:rFonts w:cs="Arial"/>
          <w:sz w:val="22"/>
          <w:szCs w:val="22"/>
        </w:rPr>
        <w:t xml:space="preserve">Lo anterior debe permitir cumplir con las funciones de la CREG establecidas por la política energética, como sucede en el caso del aseguramiento de acceso a los contratos para atender la Demanda Esencial. 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Pr>
          <w:rFonts w:cs="Arial"/>
          <w:sz w:val="22"/>
          <w:szCs w:val="22"/>
        </w:rPr>
        <w:t>2.2.3</w:t>
      </w:r>
      <w:r>
        <w:rPr>
          <w:rFonts w:cs="Arial"/>
          <w:sz w:val="22"/>
          <w:szCs w:val="22"/>
        </w:rPr>
        <w:fldChar w:fldCharType="end"/>
      </w:r>
      <w:r>
        <w:rPr>
          <w:rFonts w:cs="Arial"/>
          <w:sz w:val="22"/>
          <w:szCs w:val="22"/>
        </w:rPr>
        <w:t>.</w:t>
      </w:r>
    </w:p>
    <w:p w14:paraId="1C94DD69" w14:textId="77777777" w:rsidR="00902F70" w:rsidRDefault="00902F70" w:rsidP="0028726C">
      <w:pPr>
        <w:rPr>
          <w:rFonts w:cs="Arial"/>
          <w:sz w:val="22"/>
          <w:szCs w:val="22"/>
        </w:rPr>
      </w:pPr>
    </w:p>
    <w:p w14:paraId="67CA253B" w14:textId="77777777" w:rsidR="00045714" w:rsidRDefault="00045714" w:rsidP="0028726C">
      <w:pPr>
        <w:rPr>
          <w:rFonts w:cs="Arial"/>
          <w:sz w:val="22"/>
          <w:szCs w:val="22"/>
        </w:rPr>
      </w:pPr>
    </w:p>
    <w:p w14:paraId="4B049969" w14:textId="77777777" w:rsidR="00C53D76" w:rsidRDefault="0028726C" w:rsidP="000D05A3">
      <w:pPr>
        <w:pStyle w:val="Ttulo4"/>
      </w:pPr>
      <w:bookmarkStart w:id="824" w:name="_Ref132639498"/>
      <w:r w:rsidRPr="0028726C">
        <w:t>GASES DE OCCIDENTE</w:t>
      </w:r>
      <w:bookmarkEnd w:id="824"/>
      <w:r w:rsidRPr="0028726C">
        <w:tab/>
      </w:r>
    </w:p>
    <w:p w14:paraId="726CDB1F" w14:textId="4D8C07E9" w:rsidR="004C2EF4" w:rsidRPr="004C2EF4" w:rsidRDefault="004C2EF4" w:rsidP="004C2EF4">
      <w:pPr>
        <w:rPr>
          <w:rFonts w:cs="Arial"/>
          <w:i/>
          <w:iCs/>
          <w:sz w:val="22"/>
          <w:szCs w:val="22"/>
        </w:rPr>
      </w:pPr>
      <w:r>
        <w:rPr>
          <w:rFonts w:cs="Arial"/>
          <w:sz w:val="22"/>
          <w:szCs w:val="22"/>
        </w:rPr>
        <w:t>“</w:t>
      </w:r>
      <w:r w:rsidRPr="004C2EF4">
        <w:rPr>
          <w:rFonts w:cs="Arial"/>
          <w:i/>
          <w:iCs/>
          <w:sz w:val="22"/>
          <w:szCs w:val="22"/>
        </w:rPr>
        <w:t>Declaración de información de PTDVF/CIDVF de todas las fuentes de suministro</w:t>
      </w:r>
    </w:p>
    <w:p w14:paraId="32A96381" w14:textId="77777777" w:rsidR="004C2EF4" w:rsidRPr="004C2EF4" w:rsidRDefault="004C2EF4" w:rsidP="004C2EF4">
      <w:pPr>
        <w:rPr>
          <w:rFonts w:cs="Arial"/>
          <w:i/>
          <w:iCs/>
          <w:sz w:val="22"/>
          <w:szCs w:val="22"/>
        </w:rPr>
      </w:pPr>
    </w:p>
    <w:p w14:paraId="56676304" w14:textId="100455D8" w:rsidR="004C2EF4" w:rsidRDefault="004C2EF4" w:rsidP="004C2EF4">
      <w:pPr>
        <w:rPr>
          <w:rFonts w:cs="Arial"/>
          <w:sz w:val="22"/>
          <w:szCs w:val="22"/>
        </w:rPr>
      </w:pPr>
      <w:r w:rsidRPr="004C2EF4">
        <w:rPr>
          <w:rFonts w:cs="Arial"/>
          <w:i/>
          <w:iCs/>
          <w:sz w:val="22"/>
          <w:szCs w:val="22"/>
        </w:rPr>
        <w:t xml:space="preserve">La CREG </w:t>
      </w:r>
      <w:r w:rsidR="00775717">
        <w:rPr>
          <w:rFonts w:cs="Arial"/>
          <w:i/>
          <w:iCs/>
          <w:sz w:val="22"/>
          <w:szCs w:val="22"/>
        </w:rPr>
        <w:t>‘</w:t>
      </w:r>
      <w:r w:rsidRPr="004C2EF4">
        <w:rPr>
          <w:rFonts w:cs="Arial"/>
          <w:i/>
          <w:iCs/>
          <w:sz w:val="22"/>
          <w:szCs w:val="22"/>
        </w:rPr>
        <w:t>…propone para realizar balances comerciales periódicos de oferta y demanda,</w:t>
      </w:r>
      <w:r>
        <w:rPr>
          <w:rFonts w:cs="Arial"/>
          <w:i/>
          <w:iCs/>
          <w:sz w:val="22"/>
          <w:szCs w:val="22"/>
        </w:rPr>
        <w:t xml:space="preserve"> </w:t>
      </w:r>
      <w:r w:rsidRPr="004C2EF4">
        <w:rPr>
          <w:rFonts w:cs="Arial"/>
          <w:i/>
          <w:iCs/>
          <w:sz w:val="22"/>
          <w:szCs w:val="22"/>
        </w:rPr>
        <w:t>dado que la oferta de suministro de gas natural incluye todas las fuentes de suministro, sin</w:t>
      </w:r>
      <w:r>
        <w:rPr>
          <w:rFonts w:cs="Arial"/>
          <w:i/>
          <w:iCs/>
          <w:sz w:val="22"/>
          <w:szCs w:val="22"/>
        </w:rPr>
        <w:t xml:space="preserve"> </w:t>
      </w:r>
      <w:r w:rsidRPr="004C2EF4">
        <w:rPr>
          <w:rFonts w:cs="Arial"/>
          <w:i/>
          <w:iCs/>
          <w:sz w:val="22"/>
          <w:szCs w:val="22"/>
        </w:rPr>
        <w:t>excepción ninguna, y que para la suscripción de contratos con Respaldo Físico con garantía</w:t>
      </w:r>
      <w:r>
        <w:rPr>
          <w:rFonts w:cs="Arial"/>
          <w:i/>
          <w:iCs/>
          <w:sz w:val="22"/>
          <w:szCs w:val="22"/>
        </w:rPr>
        <w:t xml:space="preserve"> </w:t>
      </w:r>
      <w:r w:rsidRPr="004C2EF4">
        <w:rPr>
          <w:rFonts w:cs="Arial"/>
          <w:i/>
          <w:iCs/>
          <w:sz w:val="22"/>
          <w:szCs w:val="22"/>
        </w:rPr>
        <w:t>de firmeza se requiere contar con oferta de PTDVF y/o CIDVF, se propone que estas</w:t>
      </w:r>
      <w:r>
        <w:rPr>
          <w:rFonts w:cs="Arial"/>
          <w:i/>
          <w:iCs/>
          <w:sz w:val="22"/>
          <w:szCs w:val="22"/>
        </w:rPr>
        <w:t xml:space="preserve"> </w:t>
      </w:r>
      <w:r w:rsidRPr="004C2EF4">
        <w:rPr>
          <w:rFonts w:cs="Arial"/>
          <w:i/>
          <w:iCs/>
          <w:sz w:val="22"/>
          <w:szCs w:val="22"/>
        </w:rPr>
        <w:t>declaraciones de cantidades deban ser presentadas para la totalidad de las fuentes de</w:t>
      </w:r>
      <w:r>
        <w:rPr>
          <w:rFonts w:cs="Arial"/>
          <w:i/>
          <w:iCs/>
          <w:sz w:val="22"/>
          <w:szCs w:val="22"/>
        </w:rPr>
        <w:t xml:space="preserve"> </w:t>
      </w:r>
      <w:r w:rsidRPr="004C2EF4">
        <w:rPr>
          <w:rFonts w:cs="Arial"/>
          <w:i/>
          <w:iCs/>
          <w:sz w:val="22"/>
          <w:szCs w:val="22"/>
        </w:rPr>
        <w:t>suministro con Respaldo Físico, incluyendo los campos de producción en pruebas o que no</w:t>
      </w:r>
      <w:r>
        <w:rPr>
          <w:rFonts w:cs="Arial"/>
          <w:i/>
          <w:iCs/>
          <w:sz w:val="22"/>
          <w:szCs w:val="22"/>
        </w:rPr>
        <w:t xml:space="preserve"> </w:t>
      </w:r>
      <w:r w:rsidRPr="004C2EF4">
        <w:rPr>
          <w:rFonts w:cs="Arial"/>
          <w:i/>
          <w:iCs/>
          <w:sz w:val="22"/>
          <w:szCs w:val="22"/>
        </w:rPr>
        <w:t>hayan declarado comercialidad pero que tienen certificación de reservas</w:t>
      </w:r>
      <w:r w:rsidR="00775717">
        <w:rPr>
          <w:rFonts w:cs="Arial"/>
          <w:sz w:val="22"/>
          <w:szCs w:val="22"/>
        </w:rPr>
        <w:t>’</w:t>
      </w:r>
      <w:r w:rsidRPr="004C2EF4">
        <w:rPr>
          <w:rFonts w:cs="Arial"/>
          <w:sz w:val="22"/>
          <w:szCs w:val="22"/>
        </w:rPr>
        <w:t>.</w:t>
      </w:r>
    </w:p>
    <w:p w14:paraId="75C3B740" w14:textId="77777777" w:rsidR="004C2EF4" w:rsidRDefault="004C2EF4" w:rsidP="0028726C">
      <w:pPr>
        <w:rPr>
          <w:rFonts w:cs="Arial"/>
          <w:sz w:val="22"/>
          <w:szCs w:val="22"/>
        </w:rPr>
      </w:pPr>
    </w:p>
    <w:p w14:paraId="3141714C" w14:textId="078DEAAF" w:rsidR="0028726C" w:rsidRPr="00F92388" w:rsidRDefault="0028726C" w:rsidP="0028726C">
      <w:pPr>
        <w:rPr>
          <w:rFonts w:cs="Arial"/>
          <w:i/>
          <w:iCs/>
          <w:sz w:val="22"/>
          <w:szCs w:val="22"/>
        </w:rPr>
      </w:pPr>
      <w:r w:rsidRPr="00F92388">
        <w:rPr>
          <w:rFonts w:cs="Arial"/>
          <w:i/>
          <w:iCs/>
          <w:sz w:val="22"/>
          <w:szCs w:val="22"/>
        </w:rPr>
        <w:t>Por hermenéutica jurídica, consideramos que la obligatoriedad de los productores-comercializadores de declarar la oferta PTDF y/o CIDF, requiere la modificación del Decreto 2100 de 2011, compilado en el Decreto 1073 de 2015, y cuyo artículo 9 establece lo siguiente:</w:t>
      </w:r>
    </w:p>
    <w:p w14:paraId="36A43BB0" w14:textId="77777777" w:rsidR="0028726C" w:rsidRPr="00F92388" w:rsidRDefault="0028726C" w:rsidP="0028726C">
      <w:pPr>
        <w:rPr>
          <w:rFonts w:cs="Arial"/>
          <w:i/>
          <w:iCs/>
          <w:sz w:val="22"/>
          <w:szCs w:val="22"/>
        </w:rPr>
      </w:pPr>
    </w:p>
    <w:p w14:paraId="76676BB4" w14:textId="5AE50F1B" w:rsidR="0028726C" w:rsidRDefault="00412046" w:rsidP="0028726C">
      <w:pPr>
        <w:rPr>
          <w:rFonts w:cs="Arial"/>
          <w:sz w:val="22"/>
          <w:szCs w:val="22"/>
        </w:rPr>
      </w:pPr>
      <w:r>
        <w:rPr>
          <w:rFonts w:cs="Arial"/>
          <w:i/>
          <w:iCs/>
          <w:sz w:val="22"/>
          <w:szCs w:val="22"/>
        </w:rPr>
        <w:t>‘</w:t>
      </w:r>
      <w:r w:rsidR="0028726C" w:rsidRPr="00F92388">
        <w:rPr>
          <w:rFonts w:cs="Arial"/>
          <w:i/>
          <w:iCs/>
          <w:sz w:val="22"/>
          <w:szCs w:val="22"/>
        </w:rPr>
        <w:t>Declaración de producción. Los productores y los productores-comercializadores de gas natural declararán al MME o a quien este determine y con base en toda la información disponible al momento de calcularla: (i) la PTDV; (</w:t>
      </w:r>
      <w:proofErr w:type="spellStart"/>
      <w:r w:rsidR="0028726C" w:rsidRPr="00F92388">
        <w:rPr>
          <w:rFonts w:cs="Arial"/>
          <w:i/>
          <w:iCs/>
          <w:sz w:val="22"/>
          <w:szCs w:val="22"/>
        </w:rPr>
        <w:t>ii</w:t>
      </w:r>
      <w:proofErr w:type="spellEnd"/>
      <w:r w:rsidR="0028726C" w:rsidRPr="00F92388">
        <w:rPr>
          <w:rFonts w:cs="Arial"/>
          <w:i/>
          <w:iCs/>
          <w:sz w:val="22"/>
          <w:szCs w:val="22"/>
        </w:rPr>
        <w:t>) la PC debidamente discriminada conforme a lo indicado en los artículos 2° y 8° del presente decreto. Así mismo, el productor que sea el operador del campo declarará: (i) el PP de cada campo, y (</w:t>
      </w:r>
      <w:proofErr w:type="spellStart"/>
      <w:r w:rsidR="0028726C" w:rsidRPr="00F92388">
        <w:rPr>
          <w:rFonts w:cs="Arial"/>
          <w:i/>
          <w:iCs/>
          <w:sz w:val="22"/>
          <w:szCs w:val="22"/>
        </w:rPr>
        <w:t>ii</w:t>
      </w:r>
      <w:proofErr w:type="spellEnd"/>
      <w:r w:rsidR="0028726C" w:rsidRPr="00F92388">
        <w:rPr>
          <w:rFonts w:cs="Arial"/>
          <w:i/>
          <w:iCs/>
          <w:sz w:val="22"/>
          <w:szCs w:val="22"/>
        </w:rPr>
        <w:t>) el porcentaje de participación de los productores y el Estado en la producción de hidrocarburos de dicho campo o de aquellos de explotación integrada. Tal declaración deberá presentarse desagregada mensualmente, a más tardar, el 31 de marzo de cada año o cuando así lo determine el MME para un periodo de diez (10) años contados a partir de la fecha en el cual se elabora. En el caso de que un productor no cuente con PTDV, así deberá declararlo, motivando y documentando suficientemente esta condición. El productor-comercializador o comercializador que, de conformidad con lo señalado del artículo 6° del presente decreto, comercialice el Gas Natural de Propiedad del Estado proveniente de Regalías y/o de las Participaciones de la ANH deberá declararlo en los términos del presente artículo</w:t>
      </w:r>
      <w:r>
        <w:rPr>
          <w:rFonts w:cs="Arial"/>
          <w:sz w:val="22"/>
          <w:szCs w:val="22"/>
        </w:rPr>
        <w:t>’</w:t>
      </w:r>
      <w:r w:rsidR="0028726C" w:rsidRPr="0028726C">
        <w:rPr>
          <w:rFonts w:cs="Arial"/>
          <w:sz w:val="22"/>
          <w:szCs w:val="22"/>
        </w:rPr>
        <w:t>."</w:t>
      </w:r>
    </w:p>
    <w:p w14:paraId="3178F4F5" w14:textId="77777777" w:rsidR="00F92388" w:rsidRDefault="00F92388" w:rsidP="0028726C">
      <w:pPr>
        <w:rPr>
          <w:rFonts w:cs="Arial"/>
          <w:sz w:val="22"/>
          <w:szCs w:val="22"/>
        </w:rPr>
      </w:pPr>
    </w:p>
    <w:p w14:paraId="081A2F1A" w14:textId="0223CEDF" w:rsidR="00F92388" w:rsidRPr="00F92388" w:rsidRDefault="00F92388" w:rsidP="0028726C">
      <w:pPr>
        <w:rPr>
          <w:rFonts w:cs="Arial"/>
          <w:b/>
          <w:bCs/>
          <w:sz w:val="22"/>
          <w:szCs w:val="22"/>
        </w:rPr>
      </w:pPr>
      <w:r w:rsidRPr="00F92388">
        <w:rPr>
          <w:rFonts w:cs="Arial"/>
          <w:b/>
          <w:bCs/>
          <w:sz w:val="22"/>
          <w:szCs w:val="22"/>
        </w:rPr>
        <w:t>Respuesta:</w:t>
      </w:r>
    </w:p>
    <w:p w14:paraId="20C6C543" w14:textId="77777777" w:rsidR="00F92388" w:rsidRDefault="00F92388" w:rsidP="0028726C">
      <w:pPr>
        <w:rPr>
          <w:rFonts w:cs="Arial"/>
          <w:sz w:val="22"/>
          <w:szCs w:val="22"/>
        </w:rPr>
      </w:pPr>
    </w:p>
    <w:p w14:paraId="4AFB42B5" w14:textId="3E9067D4" w:rsidR="00F92388" w:rsidRDefault="00665730" w:rsidP="0028726C">
      <w:pPr>
        <w:rPr>
          <w:rFonts w:cs="Arial"/>
          <w:sz w:val="22"/>
          <w:szCs w:val="22"/>
        </w:rPr>
      </w:pPr>
      <w:r>
        <w:rPr>
          <w:rFonts w:cs="Arial"/>
          <w:sz w:val="22"/>
          <w:szCs w:val="22"/>
        </w:rPr>
        <w:t>No se acoge el comentario.</w:t>
      </w:r>
    </w:p>
    <w:p w14:paraId="2D6B51EE" w14:textId="77777777" w:rsidR="00665730" w:rsidRDefault="00665730" w:rsidP="0028726C">
      <w:pPr>
        <w:rPr>
          <w:rFonts w:cs="Arial"/>
          <w:sz w:val="22"/>
          <w:szCs w:val="22"/>
        </w:rPr>
      </w:pPr>
    </w:p>
    <w:p w14:paraId="02A205AD" w14:textId="0103E4E7" w:rsidR="00665730" w:rsidRDefault="00665730" w:rsidP="0028726C">
      <w:pPr>
        <w:rPr>
          <w:rFonts w:cs="Arial"/>
          <w:sz w:val="22"/>
          <w:szCs w:val="22"/>
        </w:rPr>
      </w:pPr>
      <w:r>
        <w:rPr>
          <w:rFonts w:cs="Arial"/>
          <w:sz w:val="22"/>
          <w:szCs w:val="22"/>
        </w:rPr>
        <w:t>No se observa mención alguna en el texto transcrito en el comentario del Artículo 9 del Decreto 2100 de 2011 de declaración de PTDVF y/o CIDVF. La Resolución CREG 186 de 2020 actualmente contempla que l</w:t>
      </w:r>
      <w:r w:rsidRPr="00665730">
        <w:rPr>
          <w:rFonts w:cs="Arial"/>
          <w:sz w:val="22"/>
          <w:szCs w:val="22"/>
        </w:rPr>
        <w:t>a oferta de PTDVF o la oferta de CIDVF deberá ser igual o inferior al valor vigente de la PTDV o CIDV, según corresponda, aprobado por el Ministerio de Minas y Energía en cumplimiento del Decreto 2100 de 2011 o aquel que lo modifique o sustituya.</w:t>
      </w:r>
    </w:p>
    <w:p w14:paraId="611A4656" w14:textId="77777777" w:rsidR="00665730" w:rsidRDefault="00665730" w:rsidP="0028726C">
      <w:pPr>
        <w:rPr>
          <w:rFonts w:cs="Arial"/>
          <w:sz w:val="22"/>
          <w:szCs w:val="22"/>
        </w:rPr>
      </w:pPr>
    </w:p>
    <w:p w14:paraId="25AC34F0" w14:textId="4BA91C19" w:rsidR="00665730" w:rsidRDefault="00665730" w:rsidP="0028726C">
      <w:pPr>
        <w:rPr>
          <w:rFonts w:cs="Arial"/>
          <w:sz w:val="22"/>
          <w:szCs w:val="22"/>
        </w:rPr>
      </w:pPr>
      <w:r>
        <w:rPr>
          <w:rFonts w:cs="Arial"/>
          <w:sz w:val="22"/>
          <w:szCs w:val="22"/>
        </w:rPr>
        <w:t xml:space="preserve">La declaración de PTDVF/CIDVF de una fuente de suministro que regula la CREG corresponde a aquella que se realiza al Gestor del Mercado a partir de la cual se pueden negociar en el Mercado Primario las cantidades a ser comprometidas en contratos de tipo firme o que requieren firmeza de esa fuente de suministro. </w:t>
      </w:r>
      <w:proofErr w:type="gramStart"/>
      <w:r>
        <w:rPr>
          <w:rFonts w:cs="Arial"/>
          <w:sz w:val="22"/>
          <w:szCs w:val="22"/>
        </w:rPr>
        <w:t>Es</w:t>
      </w:r>
      <w:proofErr w:type="gramEnd"/>
      <w:r>
        <w:rPr>
          <w:rFonts w:cs="Arial"/>
          <w:sz w:val="22"/>
          <w:szCs w:val="22"/>
        </w:rPr>
        <w:t xml:space="preserve"> por tanto, diferente a la declaración de producción que deben realizar los productores al MME según el Artículo 9 del Decreto 2100 de 2011. </w:t>
      </w:r>
    </w:p>
    <w:p w14:paraId="047A8193" w14:textId="77777777" w:rsidR="00F92388" w:rsidRPr="0028726C" w:rsidRDefault="00F92388" w:rsidP="0028726C">
      <w:pPr>
        <w:rPr>
          <w:rFonts w:cs="Arial"/>
          <w:sz w:val="22"/>
          <w:szCs w:val="22"/>
        </w:rPr>
      </w:pPr>
    </w:p>
    <w:p w14:paraId="27717E22" w14:textId="77777777" w:rsidR="00C53D76" w:rsidRDefault="00C53D76" w:rsidP="0028726C">
      <w:pPr>
        <w:rPr>
          <w:rFonts w:cs="Arial"/>
          <w:sz w:val="22"/>
          <w:szCs w:val="22"/>
        </w:rPr>
      </w:pPr>
    </w:p>
    <w:p w14:paraId="59C1B9DC" w14:textId="77777777" w:rsidR="00C53D76" w:rsidRDefault="0028726C" w:rsidP="000D05A3">
      <w:pPr>
        <w:pStyle w:val="Ttulo4"/>
      </w:pPr>
      <w:bookmarkStart w:id="825" w:name="_Ref132639585"/>
      <w:r w:rsidRPr="0028726C">
        <w:t>GASES DE OCCIDENTE</w:t>
      </w:r>
      <w:bookmarkEnd w:id="825"/>
      <w:r w:rsidRPr="0028726C">
        <w:tab/>
      </w:r>
    </w:p>
    <w:p w14:paraId="1FB798D2" w14:textId="1C8071FF" w:rsidR="00C53D76" w:rsidRPr="00665730" w:rsidRDefault="0028726C" w:rsidP="0028726C">
      <w:pPr>
        <w:rPr>
          <w:rFonts w:cs="Arial"/>
          <w:i/>
          <w:iCs/>
          <w:sz w:val="22"/>
          <w:szCs w:val="22"/>
        </w:rPr>
      </w:pPr>
      <w:r w:rsidRPr="0028726C">
        <w:rPr>
          <w:rFonts w:cs="Arial"/>
          <w:sz w:val="22"/>
          <w:szCs w:val="22"/>
        </w:rPr>
        <w:t>"</w:t>
      </w:r>
      <w:r w:rsidRPr="00665730">
        <w:rPr>
          <w:rFonts w:cs="Arial"/>
          <w:i/>
          <w:iCs/>
          <w:sz w:val="22"/>
          <w:szCs w:val="22"/>
        </w:rPr>
        <w:t xml:space="preserve">Propone también la CREG que en dichas declaraciones </w:t>
      </w:r>
      <w:r w:rsidR="009424A2">
        <w:rPr>
          <w:rFonts w:cs="Arial"/>
          <w:i/>
          <w:iCs/>
          <w:sz w:val="22"/>
          <w:szCs w:val="22"/>
        </w:rPr>
        <w:t>‘</w:t>
      </w:r>
      <w:r w:rsidRPr="00665730">
        <w:rPr>
          <w:rFonts w:cs="Arial"/>
          <w:i/>
          <w:iCs/>
          <w:sz w:val="22"/>
          <w:szCs w:val="22"/>
        </w:rPr>
        <w:t>se deberán especificar las fuentes de suministro y sus cantidades por Punto de Entrega sobre los que se declara la PTDVF y/o CIDVF</w:t>
      </w:r>
      <w:r w:rsidR="009424A2">
        <w:rPr>
          <w:rFonts w:cs="Arial"/>
          <w:i/>
          <w:iCs/>
          <w:sz w:val="22"/>
          <w:szCs w:val="22"/>
        </w:rPr>
        <w:t>’</w:t>
      </w:r>
      <w:r w:rsidRPr="00665730">
        <w:rPr>
          <w:rFonts w:cs="Arial"/>
          <w:i/>
          <w:iCs/>
          <w:sz w:val="22"/>
          <w:szCs w:val="22"/>
        </w:rPr>
        <w:t xml:space="preserve">. </w:t>
      </w:r>
    </w:p>
    <w:p w14:paraId="67AA91AF" w14:textId="77777777" w:rsidR="00C53D76" w:rsidRPr="00665730" w:rsidRDefault="00C53D76" w:rsidP="0028726C">
      <w:pPr>
        <w:rPr>
          <w:rFonts w:cs="Arial"/>
          <w:i/>
          <w:iCs/>
          <w:sz w:val="22"/>
          <w:szCs w:val="22"/>
        </w:rPr>
      </w:pPr>
    </w:p>
    <w:p w14:paraId="789BCFE6" w14:textId="616E8328" w:rsidR="0028726C" w:rsidRDefault="0028726C" w:rsidP="0028726C">
      <w:pPr>
        <w:rPr>
          <w:rFonts w:cs="Arial"/>
          <w:i/>
          <w:iCs/>
          <w:sz w:val="22"/>
          <w:szCs w:val="22"/>
        </w:rPr>
      </w:pPr>
      <w:r w:rsidRPr="00665730">
        <w:rPr>
          <w:rFonts w:cs="Arial"/>
          <w:i/>
          <w:iCs/>
          <w:sz w:val="22"/>
          <w:szCs w:val="22"/>
        </w:rPr>
        <w:t>En el Proyecto de Resolución están definidos los siguientes conceptos:</w:t>
      </w:r>
    </w:p>
    <w:p w14:paraId="5ACD0FDF" w14:textId="77777777" w:rsidR="00665730" w:rsidRPr="00665730" w:rsidRDefault="00665730" w:rsidP="0028726C">
      <w:pPr>
        <w:rPr>
          <w:rFonts w:cs="Arial"/>
          <w:i/>
          <w:iCs/>
          <w:sz w:val="22"/>
          <w:szCs w:val="22"/>
        </w:rPr>
      </w:pPr>
    </w:p>
    <w:p w14:paraId="0C839FF9" w14:textId="06A20FFE" w:rsidR="0028726C" w:rsidRPr="00665730" w:rsidRDefault="009424A2" w:rsidP="00665730">
      <w:pPr>
        <w:ind w:left="708"/>
        <w:rPr>
          <w:rFonts w:cs="Arial"/>
          <w:i/>
          <w:iCs/>
          <w:sz w:val="22"/>
          <w:szCs w:val="22"/>
        </w:rPr>
      </w:pPr>
      <w:r>
        <w:rPr>
          <w:rFonts w:cs="Arial"/>
          <w:i/>
          <w:iCs/>
          <w:sz w:val="22"/>
          <w:szCs w:val="22"/>
        </w:rPr>
        <w:t>‘</w:t>
      </w:r>
      <w:r w:rsidR="0028726C" w:rsidRPr="00665730">
        <w:rPr>
          <w:rFonts w:cs="Arial"/>
          <w:i/>
          <w:iCs/>
          <w:sz w:val="22"/>
          <w:szCs w:val="22"/>
        </w:rPr>
        <w:t xml:space="preserve">Punto de Entrega: </w:t>
      </w:r>
      <w:r w:rsidR="0028726C" w:rsidRPr="00665730">
        <w:rPr>
          <w:rFonts w:cs="Arial"/>
          <w:i/>
          <w:iCs/>
          <w:sz w:val="22"/>
          <w:szCs w:val="22"/>
          <w:u w:val="single"/>
        </w:rPr>
        <w:t>lugar físico identificado y caracterizado, pactado en los contratos de suministro</w:t>
      </w:r>
      <w:r w:rsidR="0028726C" w:rsidRPr="00665730">
        <w:rPr>
          <w:rFonts w:cs="Arial"/>
          <w:i/>
          <w:iCs/>
          <w:sz w:val="22"/>
          <w:szCs w:val="22"/>
        </w:rPr>
        <w:t xml:space="preserve"> del mercado mayorista </w:t>
      </w:r>
      <w:r w:rsidR="0028726C" w:rsidRPr="00665730">
        <w:rPr>
          <w:rFonts w:cs="Arial"/>
          <w:i/>
          <w:iCs/>
          <w:sz w:val="22"/>
          <w:szCs w:val="22"/>
          <w:u w:val="single"/>
        </w:rPr>
        <w:t>donde se mide y los vendedores del mercado primario entregan físicamente el gas y se determinan los precios de venta del gas natural</w:t>
      </w:r>
      <w:r w:rsidR="0028726C" w:rsidRPr="00665730">
        <w:rPr>
          <w:rFonts w:cs="Arial"/>
          <w:i/>
          <w:iCs/>
          <w:sz w:val="22"/>
          <w:szCs w:val="22"/>
        </w:rPr>
        <w:t xml:space="preserve">. Todos los Puntos de entrega deben estar asociados a una o varias Fuentes de Suministro, y así debe estar determinado en los contratos de suministro del mercado mayorista. </w:t>
      </w:r>
      <w:r w:rsidR="0028726C" w:rsidRPr="00665730">
        <w:rPr>
          <w:rFonts w:cs="Arial"/>
          <w:i/>
          <w:iCs/>
          <w:sz w:val="22"/>
          <w:szCs w:val="22"/>
          <w:u w:val="single"/>
        </w:rPr>
        <w:t>Un Punto de Entrega puede ser o no un Punto de Importación, así como también un Punto de Entrega puede ser o no un Punto de entrada al Sistema Nacional de transporte</w:t>
      </w:r>
      <w:r w:rsidR="0028726C" w:rsidRPr="00665730">
        <w:rPr>
          <w:rFonts w:cs="Arial"/>
          <w:i/>
          <w:iCs/>
          <w:sz w:val="22"/>
          <w:szCs w:val="22"/>
        </w:rPr>
        <w:t xml:space="preserve">. Todos los Puntos de entrega deben ser registrados e informados al </w:t>
      </w:r>
      <w:r w:rsidR="005114C6" w:rsidRPr="00665730">
        <w:rPr>
          <w:rFonts w:cs="Arial"/>
          <w:i/>
          <w:iCs/>
          <w:sz w:val="22"/>
          <w:szCs w:val="22"/>
        </w:rPr>
        <w:t>Gestor del Mercado</w:t>
      </w:r>
      <w:r w:rsidR="0028726C" w:rsidRPr="00665730">
        <w:rPr>
          <w:rFonts w:cs="Arial"/>
          <w:i/>
          <w:iCs/>
          <w:sz w:val="22"/>
          <w:szCs w:val="22"/>
        </w:rPr>
        <w:t>, en los formatos que éste último defina para este efecto.</w:t>
      </w:r>
    </w:p>
    <w:p w14:paraId="309CB8D9" w14:textId="77777777" w:rsidR="0028726C" w:rsidRPr="00665730" w:rsidRDefault="0028726C" w:rsidP="00665730">
      <w:pPr>
        <w:ind w:left="708"/>
        <w:rPr>
          <w:rFonts w:cs="Arial"/>
          <w:i/>
          <w:iCs/>
          <w:sz w:val="22"/>
          <w:szCs w:val="22"/>
        </w:rPr>
      </w:pPr>
    </w:p>
    <w:p w14:paraId="076C28D0" w14:textId="77777777" w:rsidR="0028726C" w:rsidRPr="00665730" w:rsidRDefault="0028726C" w:rsidP="00665730">
      <w:pPr>
        <w:ind w:left="708"/>
        <w:rPr>
          <w:rFonts w:cs="Arial"/>
          <w:i/>
          <w:iCs/>
          <w:sz w:val="22"/>
          <w:szCs w:val="22"/>
        </w:rPr>
      </w:pPr>
      <w:r w:rsidRPr="00665730">
        <w:rPr>
          <w:rFonts w:cs="Arial"/>
          <w:i/>
          <w:iCs/>
          <w:sz w:val="22"/>
          <w:szCs w:val="22"/>
        </w:rPr>
        <w:t xml:space="preserve">Punto de Importación: lugar físico plenamente identificado y caracterizado, ubicado en la Infraestructura de Importación, habilitado para llevar a cabo la introducción a territorio nacional de gas natural obtenido en el exterior. </w:t>
      </w:r>
      <w:r w:rsidRPr="00665730">
        <w:rPr>
          <w:rFonts w:cs="Arial"/>
          <w:i/>
          <w:iCs/>
          <w:sz w:val="22"/>
          <w:szCs w:val="22"/>
          <w:u w:val="single"/>
        </w:rPr>
        <w:t>Puede ser o no un Punto de Entrega</w:t>
      </w:r>
      <w:r w:rsidRPr="00665730">
        <w:rPr>
          <w:rFonts w:cs="Arial"/>
          <w:i/>
          <w:iCs/>
          <w:sz w:val="22"/>
          <w:szCs w:val="22"/>
        </w:rPr>
        <w:t>.</w:t>
      </w:r>
    </w:p>
    <w:p w14:paraId="5B666E15" w14:textId="77777777" w:rsidR="0028726C" w:rsidRPr="00665730" w:rsidRDefault="0028726C" w:rsidP="00665730">
      <w:pPr>
        <w:ind w:left="708"/>
        <w:rPr>
          <w:rFonts w:cs="Arial"/>
          <w:i/>
          <w:iCs/>
          <w:sz w:val="22"/>
          <w:szCs w:val="22"/>
        </w:rPr>
      </w:pPr>
    </w:p>
    <w:p w14:paraId="0399F027" w14:textId="77777777" w:rsidR="0028726C" w:rsidRPr="00665730" w:rsidRDefault="0028726C" w:rsidP="00665730">
      <w:pPr>
        <w:ind w:left="708"/>
        <w:rPr>
          <w:rFonts w:cs="Arial"/>
          <w:i/>
          <w:iCs/>
          <w:sz w:val="22"/>
          <w:szCs w:val="22"/>
        </w:rPr>
      </w:pPr>
      <w:r w:rsidRPr="00665730">
        <w:rPr>
          <w:rFonts w:cs="Arial"/>
          <w:i/>
          <w:iCs/>
          <w:sz w:val="22"/>
          <w:szCs w:val="22"/>
        </w:rPr>
        <w:t xml:space="preserve">Punto de Inyección: lugar físico donde el vendedor del mercado primario entrega físicamente el gas proveniente de las fuentes de producción conectadas al Sistema Nacional de Transporte. El Punto de Inyección es un Punto de Entrega, y también un Punto de Entrada del SNT, cuando las Fuentes de suministro de gas están conectadas directamente al Sistema Nacional de transporte, SNT. </w:t>
      </w:r>
      <w:r w:rsidRPr="00665730">
        <w:rPr>
          <w:rFonts w:cs="Arial"/>
          <w:i/>
          <w:iCs/>
          <w:sz w:val="22"/>
          <w:szCs w:val="22"/>
          <w:u w:val="single"/>
        </w:rPr>
        <w:t>Todos los Puntos de Inyección son Puntos de Entrega</w:t>
      </w:r>
      <w:r w:rsidRPr="00665730">
        <w:rPr>
          <w:rFonts w:cs="Arial"/>
          <w:i/>
          <w:iCs/>
          <w:sz w:val="22"/>
          <w:szCs w:val="22"/>
        </w:rPr>
        <w:t>.</w:t>
      </w:r>
    </w:p>
    <w:p w14:paraId="439EB773" w14:textId="77777777" w:rsidR="0028726C" w:rsidRPr="00665730" w:rsidRDefault="0028726C" w:rsidP="00665730">
      <w:pPr>
        <w:ind w:left="708"/>
        <w:rPr>
          <w:rFonts w:cs="Arial"/>
          <w:i/>
          <w:iCs/>
          <w:sz w:val="22"/>
          <w:szCs w:val="22"/>
        </w:rPr>
      </w:pPr>
    </w:p>
    <w:p w14:paraId="3AF081DB" w14:textId="2DF1D182" w:rsidR="0028726C" w:rsidRPr="00665730" w:rsidRDefault="0028726C" w:rsidP="00665730">
      <w:pPr>
        <w:ind w:left="708"/>
        <w:rPr>
          <w:rFonts w:cs="Arial"/>
          <w:i/>
          <w:iCs/>
          <w:sz w:val="22"/>
          <w:szCs w:val="22"/>
        </w:rPr>
      </w:pPr>
      <w:r w:rsidRPr="00665730">
        <w:rPr>
          <w:rFonts w:cs="Arial"/>
          <w:i/>
          <w:iCs/>
          <w:sz w:val="22"/>
          <w:szCs w:val="22"/>
        </w:rPr>
        <w:t xml:space="preserve">Punto de Referencia: </w:t>
      </w:r>
      <w:r w:rsidRPr="00665730">
        <w:rPr>
          <w:rFonts w:cs="Arial"/>
          <w:i/>
          <w:iCs/>
          <w:sz w:val="22"/>
          <w:szCs w:val="22"/>
          <w:u w:val="single"/>
        </w:rPr>
        <w:t xml:space="preserve">lugar físico y específico determinado por el </w:t>
      </w:r>
      <w:r w:rsidR="005114C6" w:rsidRPr="00665730">
        <w:rPr>
          <w:rFonts w:cs="Arial"/>
          <w:i/>
          <w:iCs/>
          <w:sz w:val="22"/>
          <w:szCs w:val="22"/>
          <w:u w:val="single"/>
        </w:rPr>
        <w:t>Gestor del Mercado</w:t>
      </w:r>
      <w:r w:rsidRPr="00665730">
        <w:rPr>
          <w:rFonts w:cs="Arial"/>
          <w:i/>
          <w:iCs/>
          <w:sz w:val="22"/>
          <w:szCs w:val="22"/>
        </w:rPr>
        <w:t>, con el fin exclusivo de realizar balances comerciales de que trata el Artículo 21 de la presente resolución.</w:t>
      </w:r>
    </w:p>
    <w:p w14:paraId="37B2888C" w14:textId="77777777" w:rsidR="0028726C" w:rsidRPr="00665730" w:rsidRDefault="0028726C" w:rsidP="00665730">
      <w:pPr>
        <w:ind w:left="708"/>
        <w:rPr>
          <w:rFonts w:cs="Arial"/>
          <w:i/>
          <w:iCs/>
          <w:sz w:val="22"/>
          <w:szCs w:val="22"/>
        </w:rPr>
      </w:pPr>
    </w:p>
    <w:p w14:paraId="572D4277" w14:textId="124C3A46" w:rsidR="0028726C" w:rsidRPr="00665730" w:rsidRDefault="0028726C" w:rsidP="00665730">
      <w:pPr>
        <w:ind w:left="708"/>
        <w:rPr>
          <w:rFonts w:cs="Arial"/>
          <w:i/>
          <w:iCs/>
          <w:sz w:val="22"/>
          <w:szCs w:val="22"/>
        </w:rPr>
      </w:pPr>
      <w:r w:rsidRPr="00665730">
        <w:rPr>
          <w:rFonts w:cs="Arial"/>
          <w:i/>
          <w:iCs/>
          <w:sz w:val="22"/>
          <w:szCs w:val="22"/>
        </w:rPr>
        <w:t xml:space="preserve">Puntos Estándar de Entrega: </w:t>
      </w:r>
      <w:r w:rsidRPr="00665730">
        <w:rPr>
          <w:rFonts w:cs="Arial"/>
          <w:i/>
          <w:iCs/>
          <w:sz w:val="22"/>
          <w:szCs w:val="22"/>
          <w:u w:val="single"/>
        </w:rPr>
        <w:t>lugar físico plenamente identificado y caracterizado, determinado por la Comisión</w:t>
      </w:r>
      <w:r w:rsidRPr="00665730">
        <w:rPr>
          <w:rFonts w:cs="Arial"/>
          <w:i/>
          <w:iCs/>
          <w:sz w:val="22"/>
          <w:szCs w:val="22"/>
        </w:rPr>
        <w:t>, que deberán pactar los comercializadores del mercado secundario en los contratos de derechos de suministro, y donde se medirá y se entregará físicamente el gas por parte de los vendedores del mercado secundario y se determinan los precios de intermediación del gas. Puede ser o no un Punto de Entrega</w:t>
      </w:r>
      <w:r w:rsidR="009424A2">
        <w:rPr>
          <w:rFonts w:cs="Arial"/>
          <w:i/>
          <w:iCs/>
          <w:sz w:val="22"/>
          <w:szCs w:val="22"/>
        </w:rPr>
        <w:t>’</w:t>
      </w:r>
      <w:r w:rsidRPr="00665730">
        <w:rPr>
          <w:rFonts w:cs="Arial"/>
          <w:i/>
          <w:iCs/>
          <w:sz w:val="22"/>
          <w:szCs w:val="22"/>
        </w:rPr>
        <w:t>. (Subrayado Fuera de Texto).</w:t>
      </w:r>
    </w:p>
    <w:p w14:paraId="7E5BC6BD" w14:textId="77777777" w:rsidR="0028726C" w:rsidRPr="00665730" w:rsidRDefault="0028726C" w:rsidP="0028726C">
      <w:pPr>
        <w:rPr>
          <w:rFonts w:cs="Arial"/>
          <w:i/>
          <w:iCs/>
          <w:sz w:val="22"/>
          <w:szCs w:val="22"/>
        </w:rPr>
      </w:pPr>
    </w:p>
    <w:p w14:paraId="21E43600" w14:textId="295E4695" w:rsidR="0028726C" w:rsidRPr="00665730" w:rsidRDefault="0028726C" w:rsidP="0028726C">
      <w:pPr>
        <w:rPr>
          <w:rFonts w:cs="Arial"/>
          <w:i/>
          <w:iCs/>
          <w:sz w:val="22"/>
          <w:szCs w:val="22"/>
        </w:rPr>
      </w:pPr>
      <w:r w:rsidRPr="00665730">
        <w:rPr>
          <w:rFonts w:cs="Arial"/>
          <w:i/>
          <w:iCs/>
          <w:sz w:val="22"/>
          <w:szCs w:val="22"/>
        </w:rPr>
        <w:t xml:space="preserve">De los textos que se subrayan es clara la confusión que se presenta cuando la CREG habla de uno cualquiera de estos </w:t>
      </w:r>
      <w:r w:rsidR="009424A2">
        <w:rPr>
          <w:rFonts w:cs="Arial"/>
          <w:i/>
          <w:iCs/>
          <w:sz w:val="22"/>
          <w:szCs w:val="22"/>
        </w:rPr>
        <w:t>‘</w:t>
      </w:r>
      <w:r w:rsidRPr="00665730">
        <w:rPr>
          <w:rFonts w:cs="Arial"/>
          <w:i/>
          <w:iCs/>
          <w:sz w:val="22"/>
          <w:szCs w:val="22"/>
        </w:rPr>
        <w:t>Puntos</w:t>
      </w:r>
      <w:r w:rsidR="009424A2">
        <w:rPr>
          <w:rFonts w:cs="Arial"/>
          <w:i/>
          <w:iCs/>
          <w:sz w:val="22"/>
          <w:szCs w:val="22"/>
        </w:rPr>
        <w:t>’</w:t>
      </w:r>
      <w:r w:rsidRPr="00665730">
        <w:rPr>
          <w:rFonts w:cs="Arial"/>
          <w:i/>
          <w:iCs/>
          <w:sz w:val="22"/>
          <w:szCs w:val="22"/>
        </w:rPr>
        <w:t xml:space="preserve">. En el caso particular de los </w:t>
      </w:r>
      <w:r w:rsidR="009424A2">
        <w:rPr>
          <w:rFonts w:cs="Arial"/>
          <w:i/>
          <w:iCs/>
          <w:sz w:val="22"/>
          <w:szCs w:val="22"/>
        </w:rPr>
        <w:t>‘</w:t>
      </w:r>
      <w:r w:rsidRPr="00665730">
        <w:rPr>
          <w:rFonts w:cs="Arial"/>
          <w:i/>
          <w:iCs/>
          <w:sz w:val="22"/>
          <w:szCs w:val="22"/>
        </w:rPr>
        <w:t>Puntos de Entrega</w:t>
      </w:r>
      <w:r w:rsidR="009424A2">
        <w:rPr>
          <w:rFonts w:cs="Arial"/>
          <w:i/>
          <w:iCs/>
          <w:sz w:val="22"/>
          <w:szCs w:val="22"/>
        </w:rPr>
        <w:t>’</w:t>
      </w:r>
      <w:r w:rsidRPr="00665730">
        <w:rPr>
          <w:rFonts w:cs="Arial"/>
          <w:i/>
          <w:iCs/>
          <w:sz w:val="22"/>
          <w:szCs w:val="22"/>
        </w:rPr>
        <w:t xml:space="preserve"> según las definiciones de la CREG transcritas, éstos pueden ser el lugar físico pactado en los contratos de suministro donde se mide, puede ser o no un </w:t>
      </w:r>
      <w:r w:rsidR="009424A2">
        <w:rPr>
          <w:rFonts w:cs="Arial"/>
          <w:i/>
          <w:iCs/>
          <w:sz w:val="22"/>
          <w:szCs w:val="22"/>
        </w:rPr>
        <w:t>‘</w:t>
      </w:r>
      <w:r w:rsidRPr="00665730">
        <w:rPr>
          <w:rFonts w:cs="Arial"/>
          <w:i/>
          <w:iCs/>
          <w:sz w:val="22"/>
          <w:szCs w:val="22"/>
        </w:rPr>
        <w:t>Punto de Importación</w:t>
      </w:r>
      <w:r w:rsidR="009424A2">
        <w:rPr>
          <w:rFonts w:cs="Arial"/>
          <w:i/>
          <w:iCs/>
          <w:sz w:val="22"/>
          <w:szCs w:val="22"/>
        </w:rPr>
        <w:t>’</w:t>
      </w:r>
      <w:r w:rsidRPr="00665730">
        <w:rPr>
          <w:rFonts w:cs="Arial"/>
          <w:i/>
          <w:iCs/>
          <w:sz w:val="22"/>
          <w:szCs w:val="22"/>
        </w:rPr>
        <w:t xml:space="preserve">, puede ser o no un </w:t>
      </w:r>
      <w:r w:rsidR="009424A2">
        <w:rPr>
          <w:rFonts w:cs="Arial"/>
          <w:i/>
          <w:iCs/>
          <w:sz w:val="22"/>
          <w:szCs w:val="22"/>
        </w:rPr>
        <w:t>‘</w:t>
      </w:r>
      <w:r w:rsidRPr="00665730">
        <w:rPr>
          <w:rFonts w:cs="Arial"/>
          <w:i/>
          <w:iCs/>
          <w:sz w:val="22"/>
          <w:szCs w:val="22"/>
        </w:rPr>
        <w:t>Punto de Inyección</w:t>
      </w:r>
      <w:r w:rsidR="009424A2">
        <w:rPr>
          <w:rFonts w:cs="Arial"/>
          <w:i/>
          <w:iCs/>
          <w:sz w:val="22"/>
          <w:szCs w:val="22"/>
        </w:rPr>
        <w:t>’</w:t>
      </w:r>
      <w:r w:rsidRPr="00665730">
        <w:rPr>
          <w:rFonts w:cs="Arial"/>
          <w:i/>
          <w:iCs/>
          <w:sz w:val="22"/>
          <w:szCs w:val="22"/>
        </w:rPr>
        <w:t xml:space="preserve"> y puede ser o no un </w:t>
      </w:r>
      <w:r w:rsidR="009424A2">
        <w:rPr>
          <w:rFonts w:cs="Arial"/>
          <w:i/>
          <w:iCs/>
          <w:sz w:val="22"/>
          <w:szCs w:val="22"/>
        </w:rPr>
        <w:t>‘</w:t>
      </w:r>
      <w:r w:rsidRPr="00665730">
        <w:rPr>
          <w:rFonts w:cs="Arial"/>
          <w:i/>
          <w:iCs/>
          <w:sz w:val="22"/>
          <w:szCs w:val="22"/>
        </w:rPr>
        <w:t>Punto Estándar de Entrega</w:t>
      </w:r>
      <w:r w:rsidR="009424A2">
        <w:rPr>
          <w:rFonts w:cs="Arial"/>
          <w:i/>
          <w:iCs/>
          <w:sz w:val="22"/>
          <w:szCs w:val="22"/>
        </w:rPr>
        <w:t>’</w:t>
      </w:r>
      <w:r w:rsidRPr="00665730">
        <w:rPr>
          <w:rFonts w:cs="Arial"/>
          <w:i/>
          <w:iCs/>
          <w:sz w:val="22"/>
          <w:szCs w:val="22"/>
        </w:rPr>
        <w:t>.</w:t>
      </w:r>
    </w:p>
    <w:p w14:paraId="4AF862DC" w14:textId="77777777" w:rsidR="0028726C" w:rsidRPr="00665730" w:rsidRDefault="0028726C" w:rsidP="0028726C">
      <w:pPr>
        <w:rPr>
          <w:rFonts w:cs="Arial"/>
          <w:i/>
          <w:iCs/>
          <w:sz w:val="22"/>
          <w:szCs w:val="22"/>
        </w:rPr>
      </w:pPr>
    </w:p>
    <w:p w14:paraId="35F568FD" w14:textId="155D4F1D" w:rsidR="0028726C" w:rsidRPr="0028726C" w:rsidRDefault="0028726C" w:rsidP="0028726C">
      <w:pPr>
        <w:rPr>
          <w:rFonts w:cs="Arial"/>
          <w:sz w:val="22"/>
          <w:szCs w:val="22"/>
        </w:rPr>
      </w:pPr>
      <w:r w:rsidRPr="00665730">
        <w:rPr>
          <w:rFonts w:cs="Arial"/>
          <w:i/>
          <w:iCs/>
          <w:sz w:val="22"/>
          <w:szCs w:val="22"/>
        </w:rPr>
        <w:t xml:space="preserve">Si el </w:t>
      </w:r>
      <w:r w:rsidR="009424A2">
        <w:rPr>
          <w:rFonts w:cs="Arial"/>
          <w:i/>
          <w:iCs/>
          <w:sz w:val="22"/>
          <w:szCs w:val="22"/>
        </w:rPr>
        <w:t>‘</w:t>
      </w:r>
      <w:r w:rsidRPr="00665730">
        <w:rPr>
          <w:rFonts w:cs="Arial"/>
          <w:i/>
          <w:iCs/>
          <w:sz w:val="22"/>
          <w:szCs w:val="22"/>
        </w:rPr>
        <w:t>Punto de Entrega</w:t>
      </w:r>
      <w:r w:rsidR="009424A2">
        <w:rPr>
          <w:rFonts w:cs="Arial"/>
          <w:i/>
          <w:iCs/>
          <w:sz w:val="22"/>
          <w:szCs w:val="22"/>
        </w:rPr>
        <w:t>’</w:t>
      </w:r>
      <w:r w:rsidRPr="00665730">
        <w:rPr>
          <w:rFonts w:cs="Arial"/>
          <w:i/>
          <w:iCs/>
          <w:sz w:val="22"/>
          <w:szCs w:val="22"/>
        </w:rPr>
        <w:t xml:space="preserve"> se refiere al lugar físico pactado en los contratos de suministro, el productor-comercializador solo podrá declarar </w:t>
      </w:r>
      <w:r w:rsidR="009424A2">
        <w:rPr>
          <w:rFonts w:cs="Arial"/>
          <w:i/>
          <w:iCs/>
          <w:sz w:val="22"/>
          <w:szCs w:val="22"/>
        </w:rPr>
        <w:t>‘</w:t>
      </w:r>
      <w:r w:rsidRPr="00665730">
        <w:rPr>
          <w:rFonts w:cs="Arial"/>
          <w:i/>
          <w:iCs/>
          <w:sz w:val="22"/>
          <w:szCs w:val="22"/>
        </w:rPr>
        <w:t>Puntos de Entrega</w:t>
      </w:r>
      <w:r w:rsidR="009424A2">
        <w:rPr>
          <w:rFonts w:cs="Arial"/>
          <w:i/>
          <w:iCs/>
          <w:sz w:val="22"/>
          <w:szCs w:val="22"/>
        </w:rPr>
        <w:t>’</w:t>
      </w:r>
      <w:r w:rsidRPr="00665730">
        <w:rPr>
          <w:rFonts w:cs="Arial"/>
          <w:i/>
          <w:iCs/>
          <w:sz w:val="22"/>
          <w:szCs w:val="22"/>
        </w:rPr>
        <w:t xml:space="preserve"> para los contratos que se encuentren vigentes, pues no es posible anticipar los </w:t>
      </w:r>
      <w:r w:rsidR="009424A2">
        <w:rPr>
          <w:rFonts w:cs="Arial"/>
          <w:i/>
          <w:iCs/>
          <w:sz w:val="22"/>
          <w:szCs w:val="22"/>
        </w:rPr>
        <w:t>‘</w:t>
      </w:r>
      <w:r w:rsidRPr="00665730">
        <w:rPr>
          <w:rFonts w:cs="Arial"/>
          <w:i/>
          <w:iCs/>
          <w:sz w:val="22"/>
          <w:szCs w:val="22"/>
        </w:rPr>
        <w:t>Puntos de Entrega</w:t>
      </w:r>
      <w:r w:rsidR="009424A2">
        <w:rPr>
          <w:rFonts w:cs="Arial"/>
          <w:i/>
          <w:iCs/>
          <w:sz w:val="22"/>
          <w:szCs w:val="22"/>
        </w:rPr>
        <w:t>’</w:t>
      </w:r>
      <w:r w:rsidRPr="00665730">
        <w:rPr>
          <w:rFonts w:cs="Arial"/>
          <w:i/>
          <w:iCs/>
          <w:sz w:val="22"/>
          <w:szCs w:val="22"/>
        </w:rPr>
        <w:t xml:space="preserve"> que se lleguen a pactar en futuros contratos. En estas circunstancias, no es clara la utilidad que tendría esta información de corte transversal</w:t>
      </w:r>
      <w:r w:rsidRPr="0028726C">
        <w:rPr>
          <w:rFonts w:cs="Arial"/>
          <w:sz w:val="22"/>
          <w:szCs w:val="22"/>
        </w:rPr>
        <w:t>."</w:t>
      </w:r>
    </w:p>
    <w:p w14:paraId="4BB99363" w14:textId="77777777" w:rsidR="00C53D76" w:rsidRDefault="00C53D76" w:rsidP="0028726C">
      <w:pPr>
        <w:rPr>
          <w:rFonts w:cs="Arial"/>
          <w:sz w:val="22"/>
          <w:szCs w:val="22"/>
        </w:rPr>
      </w:pPr>
    </w:p>
    <w:p w14:paraId="0C09859C" w14:textId="3C718158" w:rsidR="00665730" w:rsidRPr="00665730" w:rsidRDefault="00665730" w:rsidP="0028726C">
      <w:pPr>
        <w:rPr>
          <w:rFonts w:cs="Arial"/>
          <w:b/>
          <w:bCs/>
          <w:sz w:val="22"/>
          <w:szCs w:val="22"/>
        </w:rPr>
      </w:pPr>
      <w:r w:rsidRPr="00665730">
        <w:rPr>
          <w:rFonts w:cs="Arial"/>
          <w:b/>
          <w:bCs/>
          <w:sz w:val="22"/>
          <w:szCs w:val="22"/>
        </w:rPr>
        <w:t>Respuesta:</w:t>
      </w:r>
    </w:p>
    <w:p w14:paraId="4EA363C8" w14:textId="77777777" w:rsidR="00665730" w:rsidRDefault="00665730" w:rsidP="0028726C">
      <w:pPr>
        <w:rPr>
          <w:rFonts w:cs="Arial"/>
          <w:sz w:val="22"/>
          <w:szCs w:val="22"/>
        </w:rPr>
      </w:pPr>
    </w:p>
    <w:p w14:paraId="3B7DDCF8" w14:textId="1FDBD113" w:rsidR="00665730" w:rsidRDefault="008B5692" w:rsidP="0028726C">
      <w:pPr>
        <w:rPr>
          <w:rFonts w:cs="Arial"/>
          <w:sz w:val="22"/>
          <w:szCs w:val="22"/>
        </w:rPr>
      </w:pPr>
      <w:r>
        <w:rPr>
          <w:rFonts w:cs="Arial"/>
          <w:sz w:val="22"/>
          <w:szCs w:val="22"/>
        </w:rPr>
        <w:t>Se</w:t>
      </w:r>
      <w:r w:rsidR="00665730">
        <w:rPr>
          <w:rFonts w:cs="Arial"/>
          <w:sz w:val="22"/>
          <w:szCs w:val="22"/>
        </w:rPr>
        <w:t xml:space="preserve"> acoge el comentario</w:t>
      </w:r>
      <w:r>
        <w:rPr>
          <w:rFonts w:cs="Arial"/>
          <w:sz w:val="22"/>
          <w:szCs w:val="22"/>
        </w:rPr>
        <w:t xml:space="preserve"> parcialmente</w:t>
      </w:r>
      <w:r w:rsidR="00665730">
        <w:rPr>
          <w:rFonts w:cs="Arial"/>
          <w:sz w:val="22"/>
          <w:szCs w:val="22"/>
        </w:rPr>
        <w:t>.</w:t>
      </w:r>
    </w:p>
    <w:p w14:paraId="7DBD49C1" w14:textId="77777777" w:rsidR="008B5692" w:rsidRDefault="008B5692" w:rsidP="0028726C">
      <w:pPr>
        <w:rPr>
          <w:rFonts w:cs="Arial"/>
          <w:sz w:val="22"/>
          <w:szCs w:val="22"/>
        </w:rPr>
      </w:pPr>
    </w:p>
    <w:p w14:paraId="2BBEB1DE" w14:textId="77777777" w:rsidR="008B5692" w:rsidRDefault="008B5692" w:rsidP="0028726C">
      <w:pPr>
        <w:rPr>
          <w:rFonts w:cs="Arial"/>
          <w:sz w:val="22"/>
          <w:szCs w:val="22"/>
        </w:rPr>
      </w:pPr>
      <w:r>
        <w:rPr>
          <w:rFonts w:cs="Arial"/>
          <w:sz w:val="22"/>
          <w:szCs w:val="22"/>
        </w:rPr>
        <w:t xml:space="preserve">En la nueva propuesta se está adicionando al texto la claridad de que, en la declaración del vendedor al Gestor del Mercado, para una misma fuente de suministro se pueden declarar uno o varios puntos de entrega. Las fuentes de suministro pueden tener uno o varios puntos de entrega, como se aprecia en la lectura de algunos contratos vigentes. </w:t>
      </w:r>
    </w:p>
    <w:p w14:paraId="02393D6A" w14:textId="77777777" w:rsidR="008B5692" w:rsidRDefault="008B5692" w:rsidP="0028726C">
      <w:pPr>
        <w:rPr>
          <w:rFonts w:cs="Arial"/>
          <w:sz w:val="22"/>
          <w:szCs w:val="22"/>
        </w:rPr>
      </w:pPr>
    </w:p>
    <w:p w14:paraId="700108F0" w14:textId="242FBC66" w:rsidR="00665730" w:rsidRDefault="008B5692" w:rsidP="0028726C">
      <w:pPr>
        <w:rPr>
          <w:rFonts w:cs="Arial"/>
          <w:sz w:val="22"/>
          <w:szCs w:val="22"/>
        </w:rPr>
      </w:pPr>
      <w:r>
        <w:rPr>
          <w:rFonts w:cs="Arial"/>
          <w:sz w:val="22"/>
          <w:szCs w:val="22"/>
        </w:rPr>
        <w:t xml:space="preserve">La utilidad de lo anterior es que, a partir de la información al respecto y de otros criterios adicionales, el Gestor del Mercado deberá determinar los puntos de referencia, que pueden agregar uno a varios puntos de entrega. </w:t>
      </w:r>
      <w:r w:rsidR="0028388E">
        <w:rPr>
          <w:rFonts w:cs="Arial"/>
          <w:sz w:val="22"/>
          <w:szCs w:val="22"/>
        </w:rPr>
        <w:t xml:space="preserve">Ya con los puntos de referencia determinados publicados por el Gestor del Mercado con el detalle de las fuentes de suministro incluidas en cada punto de referencia, los compradores declararán al Gestor del Mercado las cantidades a demandar para cada punto de referencia. </w:t>
      </w:r>
    </w:p>
    <w:p w14:paraId="424F68F6" w14:textId="77777777" w:rsidR="008B5692" w:rsidRDefault="008B5692" w:rsidP="0028726C">
      <w:pPr>
        <w:rPr>
          <w:rFonts w:cs="Arial"/>
          <w:sz w:val="22"/>
          <w:szCs w:val="22"/>
        </w:rPr>
      </w:pPr>
    </w:p>
    <w:p w14:paraId="27E189BC" w14:textId="77777777" w:rsidR="008B5692" w:rsidRDefault="008B5692" w:rsidP="0028726C">
      <w:pPr>
        <w:rPr>
          <w:rFonts w:cs="Arial"/>
          <w:sz w:val="22"/>
          <w:szCs w:val="22"/>
        </w:rPr>
      </w:pPr>
    </w:p>
    <w:p w14:paraId="3469C342" w14:textId="77777777" w:rsidR="00C53D76" w:rsidRDefault="0028726C" w:rsidP="000D05A3">
      <w:pPr>
        <w:pStyle w:val="Ttulo4"/>
      </w:pPr>
      <w:bookmarkStart w:id="826" w:name="_Ref132284958"/>
      <w:r w:rsidRPr="0028726C">
        <w:t>GASES DE OCCIDENTE</w:t>
      </w:r>
      <w:bookmarkEnd w:id="826"/>
      <w:r w:rsidRPr="0028726C">
        <w:tab/>
      </w:r>
    </w:p>
    <w:p w14:paraId="22C98E4D" w14:textId="29581D53" w:rsidR="0028726C" w:rsidRPr="0028388E" w:rsidRDefault="0028726C" w:rsidP="0028726C">
      <w:pPr>
        <w:rPr>
          <w:rFonts w:cs="Arial"/>
          <w:i/>
          <w:iCs/>
          <w:sz w:val="22"/>
          <w:szCs w:val="22"/>
        </w:rPr>
      </w:pPr>
      <w:r w:rsidRPr="0028726C">
        <w:rPr>
          <w:rFonts w:cs="Arial"/>
          <w:sz w:val="22"/>
          <w:szCs w:val="22"/>
        </w:rPr>
        <w:t>"</w:t>
      </w:r>
      <w:r w:rsidRPr="0028388E">
        <w:rPr>
          <w:rFonts w:cs="Arial"/>
          <w:i/>
          <w:iCs/>
          <w:sz w:val="22"/>
          <w:szCs w:val="22"/>
        </w:rPr>
        <w:t>Balances comerciales: Busca determinar en cada trimestre de negociación de los contratos de suministro con garantía de firmeza, si hay oferta superavitaria o deficitaria de gas con respaldo físico para cada uno de los veinte (20) trimestres estándar siguientes al trimestre estándar de negociación durante el cual se desarrolla el balance.</w:t>
      </w:r>
    </w:p>
    <w:p w14:paraId="2964D207" w14:textId="77777777" w:rsidR="0028726C" w:rsidRPr="0028388E" w:rsidRDefault="0028726C" w:rsidP="0028726C">
      <w:pPr>
        <w:rPr>
          <w:rFonts w:cs="Arial"/>
          <w:i/>
          <w:iCs/>
          <w:sz w:val="22"/>
          <w:szCs w:val="22"/>
        </w:rPr>
      </w:pPr>
    </w:p>
    <w:p w14:paraId="1BDA16E9" w14:textId="77777777" w:rsidR="0028726C" w:rsidRPr="0028388E" w:rsidRDefault="0028726C" w:rsidP="0028726C">
      <w:pPr>
        <w:rPr>
          <w:rFonts w:cs="Arial"/>
          <w:i/>
          <w:iCs/>
          <w:sz w:val="22"/>
          <w:szCs w:val="22"/>
        </w:rPr>
      </w:pPr>
      <w:r w:rsidRPr="0028388E">
        <w:rPr>
          <w:rFonts w:cs="Arial"/>
          <w:i/>
          <w:iCs/>
          <w:sz w:val="22"/>
          <w:szCs w:val="22"/>
        </w:rPr>
        <w:t>Se podría anticipar que para los productores-comercializadores de campos en declinación y de campos que se encuentren en pruebas extensas, aún si cuentan con certificado de reservas probables y/o posibles, una declaración del tenor planteado estará marcada por la incertidumbre y difícilmente dichos productores-comercializadores aceptarán avenirse al cumplimiento de esta norma.</w:t>
      </w:r>
    </w:p>
    <w:p w14:paraId="18AD9D3F" w14:textId="77777777" w:rsidR="0028726C" w:rsidRPr="0028388E" w:rsidRDefault="0028726C" w:rsidP="0028726C">
      <w:pPr>
        <w:rPr>
          <w:rFonts w:cs="Arial"/>
          <w:i/>
          <w:iCs/>
          <w:sz w:val="22"/>
          <w:szCs w:val="22"/>
        </w:rPr>
      </w:pPr>
    </w:p>
    <w:p w14:paraId="468F333F" w14:textId="5487629D" w:rsidR="0028726C" w:rsidRDefault="0028726C" w:rsidP="0028726C">
      <w:pPr>
        <w:rPr>
          <w:rFonts w:cs="Arial"/>
          <w:sz w:val="22"/>
          <w:szCs w:val="22"/>
        </w:rPr>
      </w:pPr>
      <w:r w:rsidRPr="0028388E">
        <w:rPr>
          <w:rFonts w:cs="Arial"/>
          <w:i/>
          <w:iCs/>
          <w:sz w:val="22"/>
          <w:szCs w:val="22"/>
        </w:rPr>
        <w:t>En todo caso, las eventuales declaraciones de la PTDVF signadas por la incertidumbre, serán de poca utilidad para los propósitos de la CREG</w:t>
      </w:r>
      <w:r w:rsidRPr="0028726C">
        <w:rPr>
          <w:rFonts w:cs="Arial"/>
          <w:sz w:val="22"/>
          <w:szCs w:val="22"/>
        </w:rPr>
        <w:t>."</w:t>
      </w:r>
    </w:p>
    <w:p w14:paraId="09B20E05" w14:textId="77777777" w:rsidR="0028388E" w:rsidRDefault="0028388E" w:rsidP="0028726C">
      <w:pPr>
        <w:rPr>
          <w:rFonts w:cs="Arial"/>
          <w:sz w:val="22"/>
          <w:szCs w:val="22"/>
        </w:rPr>
      </w:pPr>
    </w:p>
    <w:p w14:paraId="48A5DA6A" w14:textId="12A4A9CB" w:rsidR="0028388E" w:rsidRPr="0028388E" w:rsidRDefault="0028388E" w:rsidP="0028726C">
      <w:pPr>
        <w:rPr>
          <w:rFonts w:cs="Arial"/>
          <w:b/>
          <w:bCs/>
          <w:sz w:val="22"/>
          <w:szCs w:val="22"/>
        </w:rPr>
      </w:pPr>
      <w:r w:rsidRPr="0028388E">
        <w:rPr>
          <w:rFonts w:cs="Arial"/>
          <w:b/>
          <w:bCs/>
          <w:sz w:val="22"/>
          <w:szCs w:val="22"/>
        </w:rPr>
        <w:t>Respuesta:</w:t>
      </w:r>
    </w:p>
    <w:p w14:paraId="2F2A450E" w14:textId="77777777" w:rsidR="0028388E" w:rsidRDefault="0028388E" w:rsidP="0028726C">
      <w:pPr>
        <w:rPr>
          <w:rFonts w:cs="Arial"/>
          <w:sz w:val="22"/>
          <w:szCs w:val="22"/>
        </w:rPr>
      </w:pPr>
    </w:p>
    <w:p w14:paraId="5FAE4CA3" w14:textId="5B760F4F" w:rsidR="0028388E" w:rsidRDefault="00A0367D" w:rsidP="0028726C">
      <w:pPr>
        <w:rPr>
          <w:rFonts w:cs="Arial"/>
          <w:sz w:val="22"/>
          <w:szCs w:val="22"/>
        </w:rPr>
      </w:pPr>
      <w:r>
        <w:rPr>
          <w:rFonts w:cs="Arial"/>
          <w:sz w:val="22"/>
          <w:szCs w:val="22"/>
        </w:rPr>
        <w:t>No se acoge el comentario.</w:t>
      </w:r>
    </w:p>
    <w:p w14:paraId="47B90E66" w14:textId="77777777" w:rsidR="00A0367D" w:rsidRDefault="00A0367D" w:rsidP="0028726C">
      <w:pPr>
        <w:rPr>
          <w:rFonts w:cs="Arial"/>
          <w:sz w:val="22"/>
          <w:szCs w:val="22"/>
        </w:rPr>
      </w:pPr>
    </w:p>
    <w:p w14:paraId="031E1A7B" w14:textId="4F7F4E53" w:rsidR="00A0367D" w:rsidRDefault="00A0367D" w:rsidP="0028726C">
      <w:pPr>
        <w:rPr>
          <w:rFonts w:cs="Arial"/>
          <w:sz w:val="22"/>
          <w:szCs w:val="22"/>
        </w:rPr>
      </w:pPr>
      <w:r>
        <w:rPr>
          <w:rFonts w:cs="Arial"/>
          <w:sz w:val="22"/>
          <w:szCs w:val="22"/>
        </w:rPr>
        <w:t xml:space="preserve">Para la certificación de reservas existen criterios establecidos en normas internacionales adoptadas por la ANH, según se observa en el Acuerdo No. 11 de 2008 de dicha entidad, por medio del cual se adopta la metodología de valoración de recursos y reservas de hidrocarburos en el país. El nivel de </w:t>
      </w:r>
      <w:proofErr w:type="gramStart"/>
      <w:r>
        <w:rPr>
          <w:rFonts w:cs="Arial"/>
          <w:sz w:val="22"/>
          <w:szCs w:val="22"/>
        </w:rPr>
        <w:t>incertidumbre</w:t>
      </w:r>
      <w:proofErr w:type="gramEnd"/>
      <w:r>
        <w:rPr>
          <w:rFonts w:cs="Arial"/>
          <w:sz w:val="22"/>
          <w:szCs w:val="22"/>
        </w:rPr>
        <w:t xml:space="preserve"> por tanto, es mitigado bajo el uso de estas normas.</w:t>
      </w:r>
    </w:p>
    <w:p w14:paraId="6C786CEA" w14:textId="77777777" w:rsidR="008A65B0" w:rsidRDefault="008A65B0" w:rsidP="0028726C">
      <w:pPr>
        <w:rPr>
          <w:rFonts w:cs="Arial"/>
          <w:sz w:val="22"/>
          <w:szCs w:val="22"/>
        </w:rPr>
      </w:pPr>
    </w:p>
    <w:p w14:paraId="417443BB" w14:textId="1C475B92" w:rsidR="008A65B0" w:rsidRDefault="008A65B0" w:rsidP="0028726C">
      <w:pPr>
        <w:rPr>
          <w:rFonts w:cs="Arial"/>
          <w:sz w:val="22"/>
          <w:szCs w:val="22"/>
        </w:rPr>
      </w:pPr>
      <w:r>
        <w:rPr>
          <w:rFonts w:cs="Arial"/>
          <w:sz w:val="22"/>
          <w:szCs w:val="22"/>
        </w:rPr>
        <w:t xml:space="preserve">Si un productor-comercializador considera que hay cantidades que tiene alto riesgo en que puedan ser producidas, y </w:t>
      </w:r>
      <w:proofErr w:type="gramStart"/>
      <w:r>
        <w:rPr>
          <w:rFonts w:cs="Arial"/>
          <w:sz w:val="22"/>
          <w:szCs w:val="22"/>
        </w:rPr>
        <w:t>que</w:t>
      </w:r>
      <w:proofErr w:type="gramEnd"/>
      <w:r>
        <w:rPr>
          <w:rFonts w:cs="Arial"/>
          <w:sz w:val="22"/>
          <w:szCs w:val="22"/>
        </w:rPr>
        <w:t xml:space="preserve"> por tanto, podría incurrir en alto riesgo de incumplimiento de un contrato del tipo firme o que garantiza firmeza, deberá considerar entonces reducir su valor de PTDVF a declarar al Gestor del Mercado, ver respuesta a </w:t>
      </w:r>
      <w:r>
        <w:rPr>
          <w:rFonts w:cs="Arial"/>
          <w:sz w:val="22"/>
          <w:szCs w:val="22"/>
        </w:rPr>
        <w:fldChar w:fldCharType="begin"/>
      </w:r>
      <w:r>
        <w:rPr>
          <w:rFonts w:cs="Arial"/>
          <w:sz w:val="22"/>
          <w:szCs w:val="22"/>
        </w:rPr>
        <w:instrText xml:space="preserve"> REF _Ref132262088 \r \h </w:instrText>
      </w:r>
      <w:r>
        <w:rPr>
          <w:rFonts w:cs="Arial"/>
          <w:sz w:val="22"/>
          <w:szCs w:val="22"/>
        </w:rPr>
      </w:r>
      <w:r>
        <w:rPr>
          <w:rFonts w:cs="Arial"/>
          <w:sz w:val="22"/>
          <w:szCs w:val="22"/>
        </w:rPr>
        <w:fldChar w:fldCharType="separate"/>
      </w:r>
      <w:r>
        <w:rPr>
          <w:rFonts w:cs="Arial"/>
          <w:sz w:val="22"/>
          <w:szCs w:val="22"/>
        </w:rPr>
        <w:t>19.12.1.4</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_Ref132279194 \r \h </w:instrText>
      </w:r>
      <w:r>
        <w:rPr>
          <w:rFonts w:cs="Arial"/>
          <w:sz w:val="22"/>
          <w:szCs w:val="22"/>
        </w:rPr>
      </w:r>
      <w:r>
        <w:rPr>
          <w:rFonts w:cs="Arial"/>
          <w:sz w:val="22"/>
          <w:szCs w:val="22"/>
        </w:rPr>
        <w:fldChar w:fldCharType="separate"/>
      </w:r>
      <w:r>
        <w:rPr>
          <w:rFonts w:cs="Arial"/>
          <w:sz w:val="22"/>
          <w:szCs w:val="22"/>
        </w:rPr>
        <w:t>19.13.1.1</w:t>
      </w:r>
      <w:r>
        <w:rPr>
          <w:rFonts w:cs="Arial"/>
          <w:sz w:val="22"/>
          <w:szCs w:val="22"/>
        </w:rPr>
        <w:fldChar w:fldCharType="end"/>
      </w:r>
      <w:r>
        <w:rPr>
          <w:rFonts w:cs="Arial"/>
          <w:sz w:val="22"/>
          <w:szCs w:val="22"/>
        </w:rPr>
        <w:t xml:space="preserve">. </w:t>
      </w:r>
    </w:p>
    <w:p w14:paraId="396CBFE6" w14:textId="77777777" w:rsidR="00A0367D" w:rsidRDefault="00A0367D" w:rsidP="0028726C">
      <w:pPr>
        <w:rPr>
          <w:rFonts w:cs="Arial"/>
          <w:sz w:val="22"/>
          <w:szCs w:val="22"/>
        </w:rPr>
      </w:pPr>
    </w:p>
    <w:p w14:paraId="3CF14FF4" w14:textId="77777777" w:rsidR="008A65B0" w:rsidRDefault="008A65B0" w:rsidP="0028726C">
      <w:pPr>
        <w:rPr>
          <w:rFonts w:cs="Arial"/>
          <w:sz w:val="22"/>
          <w:szCs w:val="22"/>
        </w:rPr>
      </w:pPr>
    </w:p>
    <w:p w14:paraId="3D6D1694" w14:textId="77777777" w:rsidR="00C53D76" w:rsidRDefault="0028726C" w:rsidP="000D05A3">
      <w:pPr>
        <w:pStyle w:val="Ttulo4"/>
      </w:pPr>
      <w:bookmarkStart w:id="827" w:name="_Ref132284979"/>
      <w:r w:rsidRPr="0028726C">
        <w:t>GASES DE OCCIDENTE</w:t>
      </w:r>
      <w:bookmarkEnd w:id="827"/>
      <w:r w:rsidRPr="0028726C">
        <w:tab/>
      </w:r>
    </w:p>
    <w:p w14:paraId="20AB21F3" w14:textId="46B3A7C9" w:rsidR="00B7478F" w:rsidRDefault="0028726C" w:rsidP="0028726C">
      <w:pPr>
        <w:rPr>
          <w:rFonts w:cs="Arial"/>
          <w:i/>
          <w:iCs/>
          <w:sz w:val="22"/>
          <w:szCs w:val="22"/>
        </w:rPr>
      </w:pPr>
      <w:r w:rsidRPr="0028726C">
        <w:rPr>
          <w:rFonts w:cs="Arial"/>
          <w:sz w:val="22"/>
          <w:szCs w:val="22"/>
        </w:rPr>
        <w:t>"</w:t>
      </w:r>
      <w:r w:rsidRPr="00DB040C">
        <w:rPr>
          <w:rFonts w:cs="Arial"/>
          <w:i/>
          <w:iCs/>
          <w:sz w:val="22"/>
          <w:szCs w:val="22"/>
        </w:rPr>
        <w:t xml:space="preserve">Declaraciones de Demanda </w:t>
      </w:r>
    </w:p>
    <w:p w14:paraId="62D2A93E" w14:textId="77777777" w:rsidR="00B7478F" w:rsidRDefault="00B7478F" w:rsidP="0028726C">
      <w:pPr>
        <w:rPr>
          <w:rFonts w:cs="Arial"/>
          <w:i/>
          <w:iCs/>
          <w:sz w:val="22"/>
          <w:szCs w:val="22"/>
        </w:rPr>
      </w:pPr>
    </w:p>
    <w:p w14:paraId="7EADDB9D" w14:textId="12D9050D" w:rsidR="0028726C" w:rsidRPr="00DB040C" w:rsidRDefault="0028726C" w:rsidP="0028726C">
      <w:pPr>
        <w:rPr>
          <w:rFonts w:cs="Arial"/>
          <w:i/>
          <w:iCs/>
          <w:sz w:val="22"/>
          <w:szCs w:val="22"/>
        </w:rPr>
      </w:pPr>
      <w:r w:rsidRPr="00DB040C">
        <w:rPr>
          <w:rFonts w:cs="Arial"/>
          <w:i/>
          <w:iCs/>
          <w:sz w:val="22"/>
          <w:szCs w:val="22"/>
        </w:rPr>
        <w:t xml:space="preserve">Así mismo, exigirles a los compradores proyecciones de demanda con un horizonte mínimo de cinco (5) años, especificando el(los) </w:t>
      </w:r>
      <w:r w:rsidR="001312BE">
        <w:rPr>
          <w:rFonts w:cs="Arial"/>
          <w:i/>
          <w:iCs/>
          <w:sz w:val="22"/>
          <w:szCs w:val="22"/>
        </w:rPr>
        <w:t>‘</w:t>
      </w:r>
      <w:r w:rsidRPr="00DB040C">
        <w:rPr>
          <w:rFonts w:cs="Arial"/>
          <w:i/>
          <w:iCs/>
          <w:sz w:val="22"/>
          <w:szCs w:val="22"/>
        </w:rPr>
        <w:t>Punto(s) de Referencia</w:t>
      </w:r>
      <w:r w:rsidR="001312BE">
        <w:rPr>
          <w:rFonts w:cs="Arial"/>
          <w:i/>
          <w:iCs/>
          <w:sz w:val="22"/>
          <w:szCs w:val="22"/>
        </w:rPr>
        <w:t>’</w:t>
      </w:r>
      <w:r w:rsidRPr="00DB040C">
        <w:rPr>
          <w:rFonts w:cs="Arial"/>
          <w:i/>
          <w:iCs/>
          <w:sz w:val="22"/>
          <w:szCs w:val="22"/>
        </w:rPr>
        <w:t>, discriminando la Demanda Esencial y No Esencial para la que pretenden contratar suministro en firme y diferenciando dichas demandas por tipo de usuario, es un despropósito, en la medida en que la CREG manifiesta que las cantidades que se reporten para la denominada Demanda Esencial no tiene segunda instancia de modificación.</w:t>
      </w:r>
    </w:p>
    <w:p w14:paraId="6ECF0D2B" w14:textId="77777777" w:rsidR="0028726C" w:rsidRPr="00DB040C" w:rsidRDefault="0028726C" w:rsidP="0028726C">
      <w:pPr>
        <w:rPr>
          <w:rFonts w:cs="Arial"/>
          <w:i/>
          <w:iCs/>
          <w:sz w:val="22"/>
          <w:szCs w:val="22"/>
        </w:rPr>
      </w:pPr>
    </w:p>
    <w:p w14:paraId="183923A2" w14:textId="77777777" w:rsidR="0028726C" w:rsidRPr="00DB040C" w:rsidRDefault="0028726C" w:rsidP="0028726C">
      <w:pPr>
        <w:rPr>
          <w:rFonts w:cs="Arial"/>
          <w:i/>
          <w:iCs/>
          <w:sz w:val="22"/>
          <w:szCs w:val="22"/>
        </w:rPr>
      </w:pPr>
      <w:r w:rsidRPr="00DB040C">
        <w:rPr>
          <w:rFonts w:cs="Arial"/>
          <w:i/>
          <w:iCs/>
          <w:sz w:val="22"/>
          <w:szCs w:val="22"/>
        </w:rPr>
        <w:t>Se habla de despropósito toda vez que en el Proyecto de Resolución 702 002 de 2022, la CREG propone que los usuarios diferentes al residencial podrán escoger libremente la condición de Usuario Regulado o No Regulado, siempre que así lo manifiesten por escrito al Comercializador que lo atiende, lo que los habilita para cambio de Comercializador.</w:t>
      </w:r>
    </w:p>
    <w:p w14:paraId="6318BED0" w14:textId="77777777" w:rsidR="0028726C" w:rsidRPr="00DB040C" w:rsidRDefault="0028726C" w:rsidP="0028726C">
      <w:pPr>
        <w:rPr>
          <w:rFonts w:cs="Arial"/>
          <w:i/>
          <w:iCs/>
          <w:sz w:val="22"/>
          <w:szCs w:val="22"/>
        </w:rPr>
      </w:pPr>
    </w:p>
    <w:p w14:paraId="475D1DE9" w14:textId="5A96E2EA" w:rsidR="0028726C" w:rsidRDefault="0028726C" w:rsidP="0028726C">
      <w:pPr>
        <w:rPr>
          <w:rFonts w:cs="Arial"/>
          <w:i/>
          <w:iCs/>
          <w:sz w:val="22"/>
          <w:szCs w:val="22"/>
        </w:rPr>
      </w:pPr>
      <w:r w:rsidRPr="00DB040C">
        <w:rPr>
          <w:rFonts w:cs="Arial"/>
          <w:i/>
          <w:iCs/>
          <w:sz w:val="22"/>
          <w:szCs w:val="22"/>
        </w:rPr>
        <w:t xml:space="preserve">Se pone de manifiesto que de acuerdo con lo dispuesto en el Decreto 880 de 2007, compilado en el Decreto 1073 de 2015 la Demanda Esencial: </w:t>
      </w:r>
      <w:r w:rsidR="003F7B4F">
        <w:rPr>
          <w:rFonts w:cs="Arial"/>
          <w:i/>
          <w:iCs/>
          <w:sz w:val="22"/>
          <w:szCs w:val="22"/>
        </w:rPr>
        <w:t>‘</w:t>
      </w:r>
      <w:r w:rsidRPr="00DB040C">
        <w:rPr>
          <w:rFonts w:cs="Arial"/>
          <w:i/>
          <w:iCs/>
          <w:sz w:val="22"/>
          <w:szCs w:val="22"/>
        </w:rPr>
        <w:t xml:space="preserve">Corresponde a i) la demanda de gas natural para la operación de las estaciones de compresión del SNT, </w:t>
      </w:r>
      <w:proofErr w:type="spellStart"/>
      <w:r w:rsidRPr="00DB040C">
        <w:rPr>
          <w:rFonts w:cs="Arial"/>
          <w:i/>
          <w:iCs/>
          <w:sz w:val="22"/>
          <w:szCs w:val="22"/>
        </w:rPr>
        <w:t>ii</w:t>
      </w:r>
      <w:proofErr w:type="spellEnd"/>
      <w:r w:rsidRPr="00DB040C">
        <w:rPr>
          <w:rFonts w:cs="Arial"/>
          <w:i/>
          <w:iCs/>
          <w:sz w:val="22"/>
          <w:szCs w:val="22"/>
        </w:rPr>
        <w:t xml:space="preserve">) la demanda de gas natural de usuarios </w:t>
      </w:r>
      <w:r w:rsidRPr="00B7478F">
        <w:rPr>
          <w:rFonts w:cs="Arial"/>
          <w:i/>
          <w:iCs/>
          <w:sz w:val="22"/>
          <w:szCs w:val="22"/>
          <w:u w:val="single"/>
        </w:rPr>
        <w:t>residenciales y pequeños usuarios comerciales inmersos en la red de distribución</w:t>
      </w:r>
      <w:r w:rsidRPr="00DB040C">
        <w:rPr>
          <w:rFonts w:cs="Arial"/>
          <w:i/>
          <w:iCs/>
          <w:sz w:val="22"/>
          <w:szCs w:val="22"/>
        </w:rPr>
        <w:t xml:space="preserve">, </w:t>
      </w:r>
      <w:proofErr w:type="spellStart"/>
      <w:r w:rsidRPr="00DB040C">
        <w:rPr>
          <w:rFonts w:cs="Arial"/>
          <w:i/>
          <w:iCs/>
          <w:sz w:val="22"/>
          <w:szCs w:val="22"/>
        </w:rPr>
        <w:t>iii</w:t>
      </w:r>
      <w:proofErr w:type="spellEnd"/>
      <w:r w:rsidRPr="00DB040C">
        <w:rPr>
          <w:rFonts w:cs="Arial"/>
          <w:i/>
          <w:iCs/>
          <w:sz w:val="22"/>
          <w:szCs w:val="22"/>
        </w:rPr>
        <w:t xml:space="preserve">) </w:t>
      </w:r>
      <w:r w:rsidRPr="00B7478F">
        <w:rPr>
          <w:rFonts w:cs="Arial"/>
          <w:i/>
          <w:iCs/>
          <w:sz w:val="22"/>
          <w:szCs w:val="22"/>
          <w:u w:val="single"/>
        </w:rPr>
        <w:t>la demanda de GNCV,</w:t>
      </w:r>
      <w:r w:rsidRPr="00DB040C">
        <w:rPr>
          <w:rFonts w:cs="Arial"/>
          <w:i/>
          <w:iCs/>
          <w:sz w:val="22"/>
          <w:szCs w:val="22"/>
        </w:rPr>
        <w:t xml:space="preserve"> y </w:t>
      </w:r>
      <w:proofErr w:type="spellStart"/>
      <w:r w:rsidRPr="00DB040C">
        <w:rPr>
          <w:rFonts w:cs="Arial"/>
          <w:i/>
          <w:iCs/>
          <w:sz w:val="22"/>
          <w:szCs w:val="22"/>
        </w:rPr>
        <w:t>iv</w:t>
      </w:r>
      <w:proofErr w:type="spellEnd"/>
      <w:r w:rsidRPr="00DB040C">
        <w:rPr>
          <w:rFonts w:cs="Arial"/>
          <w:i/>
          <w:iCs/>
          <w:sz w:val="22"/>
          <w:szCs w:val="22"/>
        </w:rPr>
        <w:t>) la demanda de gas natural de las refinerías, excluyendo aquella con destino a autogeneración de energía eléctrica que pueda ser reemplazada con energía del sistema interconectado nacional</w:t>
      </w:r>
      <w:r w:rsidR="003F7B4F">
        <w:rPr>
          <w:rFonts w:cs="Arial"/>
          <w:i/>
          <w:iCs/>
          <w:sz w:val="22"/>
          <w:szCs w:val="22"/>
        </w:rPr>
        <w:t>’</w:t>
      </w:r>
      <w:r w:rsidRPr="00DB040C">
        <w:rPr>
          <w:rFonts w:cs="Arial"/>
          <w:i/>
          <w:iCs/>
          <w:sz w:val="22"/>
          <w:szCs w:val="22"/>
        </w:rPr>
        <w:t>. (Subrayado Fuera de Texto).</w:t>
      </w:r>
    </w:p>
    <w:p w14:paraId="3A94FD44" w14:textId="77777777" w:rsidR="00DB040C" w:rsidRPr="00DB040C" w:rsidRDefault="00DB040C" w:rsidP="0028726C">
      <w:pPr>
        <w:rPr>
          <w:rFonts w:cs="Arial"/>
          <w:i/>
          <w:iCs/>
          <w:sz w:val="22"/>
          <w:szCs w:val="22"/>
        </w:rPr>
      </w:pPr>
    </w:p>
    <w:p w14:paraId="7A16B6BC" w14:textId="0B1A1770" w:rsidR="0028726C" w:rsidRPr="00DB040C" w:rsidRDefault="0028726C" w:rsidP="0028726C">
      <w:pPr>
        <w:rPr>
          <w:rFonts w:cs="Arial"/>
          <w:i/>
          <w:iCs/>
          <w:sz w:val="22"/>
          <w:szCs w:val="22"/>
        </w:rPr>
      </w:pPr>
      <w:r w:rsidRPr="00DB040C">
        <w:rPr>
          <w:rFonts w:cs="Arial"/>
          <w:i/>
          <w:iCs/>
          <w:sz w:val="22"/>
          <w:szCs w:val="22"/>
        </w:rPr>
        <w:t>Si se tiene en cuenta que los pequeños usuarios comerciales inmersos en la red de distribución pueden optar por cambiar su condición de Usuarios Regulados a No Regulados, que la demanda de GNCV recibe tratamiento de Usuario No Regulado y que el Proyecto de Resolución CREG-227 de 2021 castiga los excedentes, la mejor proyección de demanda que reportaría un comprador será una demanda posiblemente subestimada."</w:t>
      </w:r>
    </w:p>
    <w:p w14:paraId="4A05C628" w14:textId="77777777" w:rsidR="00DB040C" w:rsidRDefault="00DB040C" w:rsidP="0028726C">
      <w:pPr>
        <w:rPr>
          <w:rFonts w:cs="Arial"/>
          <w:sz w:val="22"/>
          <w:szCs w:val="22"/>
        </w:rPr>
      </w:pPr>
    </w:p>
    <w:p w14:paraId="7220AC8F" w14:textId="248A06AB" w:rsidR="00DB040C" w:rsidRPr="00DB040C" w:rsidRDefault="00DB040C" w:rsidP="0028726C">
      <w:pPr>
        <w:rPr>
          <w:rFonts w:cs="Arial"/>
          <w:b/>
          <w:bCs/>
          <w:sz w:val="22"/>
          <w:szCs w:val="22"/>
        </w:rPr>
      </w:pPr>
      <w:r w:rsidRPr="00DB040C">
        <w:rPr>
          <w:rFonts w:cs="Arial"/>
          <w:b/>
          <w:bCs/>
          <w:sz w:val="22"/>
          <w:szCs w:val="22"/>
        </w:rPr>
        <w:t>Respuesta:</w:t>
      </w:r>
    </w:p>
    <w:p w14:paraId="39203CE7" w14:textId="77777777" w:rsidR="00DB040C" w:rsidRDefault="00DB040C" w:rsidP="0028726C">
      <w:pPr>
        <w:rPr>
          <w:rFonts w:cs="Arial"/>
          <w:sz w:val="22"/>
          <w:szCs w:val="22"/>
        </w:rPr>
      </w:pPr>
    </w:p>
    <w:p w14:paraId="6EF2BA92" w14:textId="2182F60A" w:rsidR="00DB040C" w:rsidRDefault="00B7478F" w:rsidP="0028726C">
      <w:pPr>
        <w:rPr>
          <w:rFonts w:cs="Arial"/>
          <w:sz w:val="22"/>
          <w:szCs w:val="22"/>
        </w:rPr>
      </w:pPr>
      <w:r>
        <w:rPr>
          <w:rFonts w:cs="Arial"/>
          <w:sz w:val="22"/>
          <w:szCs w:val="22"/>
        </w:rPr>
        <w:t>No se acoge el comentario.</w:t>
      </w:r>
    </w:p>
    <w:p w14:paraId="176FEBFD" w14:textId="77777777" w:rsidR="00B7478F" w:rsidRDefault="00B7478F" w:rsidP="0028726C">
      <w:pPr>
        <w:rPr>
          <w:rFonts w:cs="Arial"/>
          <w:sz w:val="22"/>
          <w:szCs w:val="22"/>
        </w:rPr>
      </w:pPr>
    </w:p>
    <w:p w14:paraId="6F5C26F4" w14:textId="3428631E" w:rsidR="00A97520" w:rsidRDefault="00A97520" w:rsidP="0028726C">
      <w:pPr>
        <w:rPr>
          <w:rFonts w:cs="Arial"/>
          <w:sz w:val="22"/>
          <w:szCs w:val="22"/>
        </w:rPr>
      </w:pPr>
      <w:r>
        <w:rPr>
          <w:rFonts w:cs="Arial"/>
          <w:sz w:val="22"/>
          <w:szCs w:val="22"/>
        </w:rPr>
        <w:t>En l</w:t>
      </w:r>
      <w:r w:rsidR="00B7478F">
        <w:rPr>
          <w:rFonts w:cs="Arial"/>
          <w:sz w:val="22"/>
          <w:szCs w:val="22"/>
        </w:rPr>
        <w:t xml:space="preserve">a propuesta publicada </w:t>
      </w:r>
      <w:r>
        <w:rPr>
          <w:rFonts w:cs="Arial"/>
          <w:sz w:val="22"/>
          <w:szCs w:val="22"/>
        </w:rPr>
        <w:t>no se</w:t>
      </w:r>
      <w:r w:rsidR="00B7478F">
        <w:rPr>
          <w:rFonts w:cs="Arial"/>
          <w:sz w:val="22"/>
          <w:szCs w:val="22"/>
        </w:rPr>
        <w:t xml:space="preserve"> impone </w:t>
      </w:r>
      <w:r>
        <w:rPr>
          <w:rFonts w:cs="Arial"/>
          <w:sz w:val="22"/>
          <w:szCs w:val="22"/>
        </w:rPr>
        <w:t>algun</w:t>
      </w:r>
      <w:r w:rsidR="00B7478F">
        <w:rPr>
          <w:rFonts w:cs="Arial"/>
          <w:sz w:val="22"/>
          <w:szCs w:val="22"/>
        </w:rPr>
        <w:t xml:space="preserve">a obligación de cantidades </w:t>
      </w:r>
      <w:r>
        <w:rPr>
          <w:rFonts w:cs="Arial"/>
          <w:sz w:val="22"/>
          <w:szCs w:val="22"/>
        </w:rPr>
        <w:t xml:space="preserve">o porcentajes </w:t>
      </w:r>
      <w:r w:rsidR="00B7478F">
        <w:rPr>
          <w:rFonts w:cs="Arial"/>
          <w:sz w:val="22"/>
          <w:szCs w:val="22"/>
        </w:rPr>
        <w:t>mínim</w:t>
      </w:r>
      <w:r>
        <w:rPr>
          <w:rFonts w:cs="Arial"/>
          <w:sz w:val="22"/>
          <w:szCs w:val="22"/>
        </w:rPr>
        <w:t>o</w:t>
      </w:r>
      <w:r w:rsidR="00B7478F">
        <w:rPr>
          <w:rFonts w:cs="Arial"/>
          <w:sz w:val="22"/>
          <w:szCs w:val="22"/>
        </w:rPr>
        <w:t>s a ser contratad</w:t>
      </w:r>
      <w:r>
        <w:rPr>
          <w:rFonts w:cs="Arial"/>
          <w:sz w:val="22"/>
          <w:szCs w:val="22"/>
        </w:rPr>
        <w:t>o</w:t>
      </w:r>
      <w:r w:rsidR="00B7478F">
        <w:rPr>
          <w:rFonts w:cs="Arial"/>
          <w:sz w:val="22"/>
          <w:szCs w:val="22"/>
        </w:rPr>
        <w:t>s por parte de los compradores del Mercado Primario</w:t>
      </w:r>
      <w:r>
        <w:rPr>
          <w:rFonts w:cs="Arial"/>
          <w:sz w:val="22"/>
          <w:szCs w:val="22"/>
        </w:rPr>
        <w:t xml:space="preserve"> de ningún tipo de usuario de sector de consumo, para ningún </w:t>
      </w:r>
      <w:r w:rsidR="009D22E9">
        <w:rPr>
          <w:rFonts w:cs="Arial"/>
          <w:sz w:val="22"/>
          <w:szCs w:val="22"/>
        </w:rPr>
        <w:t>trimestre estándar de ejecución</w:t>
      </w:r>
      <w:r w:rsidR="00B7478F">
        <w:rPr>
          <w:rFonts w:cs="Arial"/>
          <w:sz w:val="22"/>
          <w:szCs w:val="22"/>
        </w:rPr>
        <w:t xml:space="preserve">. Lo que sí </w:t>
      </w:r>
      <w:r>
        <w:rPr>
          <w:rFonts w:cs="Arial"/>
          <w:sz w:val="22"/>
          <w:szCs w:val="22"/>
        </w:rPr>
        <w:t>proponía como</w:t>
      </w:r>
      <w:r w:rsidR="00B7478F">
        <w:rPr>
          <w:rFonts w:cs="Arial"/>
          <w:sz w:val="22"/>
          <w:szCs w:val="22"/>
        </w:rPr>
        <w:t xml:space="preserve"> obligatorio e</w:t>
      </w:r>
      <w:r>
        <w:rPr>
          <w:rFonts w:cs="Arial"/>
          <w:sz w:val="22"/>
          <w:szCs w:val="22"/>
        </w:rPr>
        <w:t>ra</w:t>
      </w:r>
      <w:r w:rsidR="00B7478F">
        <w:rPr>
          <w:rFonts w:cs="Arial"/>
          <w:sz w:val="22"/>
          <w:szCs w:val="22"/>
        </w:rPr>
        <w:t xml:space="preserve"> que no </w:t>
      </w:r>
      <w:r>
        <w:rPr>
          <w:rFonts w:cs="Arial"/>
          <w:sz w:val="22"/>
          <w:szCs w:val="22"/>
        </w:rPr>
        <w:t xml:space="preserve">se </w:t>
      </w:r>
      <w:r w:rsidR="00B7478F">
        <w:rPr>
          <w:rFonts w:cs="Arial"/>
          <w:sz w:val="22"/>
          <w:szCs w:val="22"/>
        </w:rPr>
        <w:t>p</w:t>
      </w:r>
      <w:r>
        <w:rPr>
          <w:rFonts w:cs="Arial"/>
          <w:sz w:val="22"/>
          <w:szCs w:val="22"/>
        </w:rPr>
        <w:t xml:space="preserve">odía </w:t>
      </w:r>
      <w:r w:rsidR="00B7478F">
        <w:rPr>
          <w:rFonts w:cs="Arial"/>
          <w:sz w:val="22"/>
          <w:szCs w:val="22"/>
        </w:rPr>
        <w:t>modificar</w:t>
      </w:r>
      <w:r>
        <w:rPr>
          <w:rFonts w:cs="Arial"/>
          <w:sz w:val="22"/>
          <w:szCs w:val="22"/>
        </w:rPr>
        <w:t xml:space="preserve"> la cantidad declarada en la primera instancia para atender la Demanda Esencial,</w:t>
      </w:r>
      <w:r w:rsidR="00B7478F">
        <w:rPr>
          <w:rFonts w:cs="Arial"/>
          <w:sz w:val="22"/>
          <w:szCs w:val="22"/>
        </w:rPr>
        <w:t xml:space="preserve"> en la segunda instancia de declaración al Gestor del Mercado</w:t>
      </w:r>
      <w:r>
        <w:rPr>
          <w:rFonts w:cs="Arial"/>
          <w:sz w:val="22"/>
          <w:szCs w:val="22"/>
        </w:rPr>
        <w:t xml:space="preserve"> en que declara lo que se obliga a contratar como máximo </w:t>
      </w:r>
      <w:r w:rsidRPr="00A97520">
        <w:rPr>
          <w:rFonts w:cs="Arial"/>
          <w:sz w:val="22"/>
          <w:szCs w:val="22"/>
        </w:rPr>
        <w:t>para el caso de requerirse el uso de subasta</w:t>
      </w:r>
      <w:r>
        <w:rPr>
          <w:rFonts w:cs="Arial"/>
          <w:sz w:val="22"/>
          <w:szCs w:val="22"/>
        </w:rPr>
        <w:t xml:space="preserve">. </w:t>
      </w:r>
    </w:p>
    <w:p w14:paraId="318F69F9" w14:textId="77777777" w:rsidR="00A97520" w:rsidRDefault="00A97520" w:rsidP="0028726C">
      <w:pPr>
        <w:rPr>
          <w:rFonts w:cs="Arial"/>
          <w:sz w:val="22"/>
          <w:szCs w:val="22"/>
        </w:rPr>
      </w:pPr>
    </w:p>
    <w:p w14:paraId="0DF13C33" w14:textId="4B7814CE" w:rsidR="00A97520" w:rsidRDefault="00A97520" w:rsidP="0028726C">
      <w:pPr>
        <w:rPr>
          <w:rFonts w:cs="Arial"/>
          <w:sz w:val="22"/>
          <w:szCs w:val="22"/>
        </w:rPr>
      </w:pPr>
      <w:r>
        <w:rPr>
          <w:rFonts w:cs="Arial"/>
          <w:sz w:val="22"/>
          <w:szCs w:val="22"/>
        </w:rPr>
        <w:t xml:space="preserve">En la nueva propuesta se realiza una modificación de la propuesta inicial de modo que las cantidades que no se pueden modificar en la segunda instancia de declaración de los compradores ante el Gestor del Mercado, </w:t>
      </w:r>
      <w:r w:rsidR="00FC097D">
        <w:rPr>
          <w:rFonts w:cs="Arial"/>
          <w:sz w:val="22"/>
          <w:szCs w:val="22"/>
        </w:rPr>
        <w:t>son</w:t>
      </w:r>
      <w:r w:rsidRPr="00A97520">
        <w:rPr>
          <w:rFonts w:cs="Arial"/>
          <w:sz w:val="22"/>
          <w:szCs w:val="22"/>
        </w:rPr>
        <w:t xml:space="preserve"> las cantidades para atender la Demanda Esencial de usuarios regulados</w:t>
      </w:r>
      <w:r w:rsidR="00FC097D">
        <w:rPr>
          <w:rFonts w:cs="Arial"/>
          <w:sz w:val="22"/>
          <w:szCs w:val="22"/>
        </w:rPr>
        <w:t xml:space="preserve">. </w:t>
      </w:r>
    </w:p>
    <w:p w14:paraId="49D4BC7F" w14:textId="77777777" w:rsidR="00FC097D" w:rsidRDefault="00FC097D" w:rsidP="0028726C">
      <w:pPr>
        <w:rPr>
          <w:rFonts w:cs="Arial"/>
          <w:sz w:val="22"/>
          <w:szCs w:val="22"/>
        </w:rPr>
      </w:pPr>
    </w:p>
    <w:p w14:paraId="7B8AC6CB" w14:textId="2D25300D" w:rsidR="00FC097D" w:rsidRDefault="00FC097D" w:rsidP="0028726C">
      <w:pPr>
        <w:rPr>
          <w:rFonts w:cs="Arial"/>
          <w:sz w:val="22"/>
          <w:szCs w:val="22"/>
        </w:rPr>
      </w:pPr>
      <w:r>
        <w:rPr>
          <w:rFonts w:cs="Arial"/>
          <w:sz w:val="22"/>
          <w:szCs w:val="22"/>
        </w:rPr>
        <w:t xml:space="preserve">Del modo anterior, le corresponde al comprador determinar su estrategia de cantidades a comprar en cada trimestre de negociación previo al </w:t>
      </w:r>
      <w:r w:rsidR="009D22E9">
        <w:rPr>
          <w:rFonts w:cs="Arial"/>
          <w:sz w:val="22"/>
          <w:szCs w:val="22"/>
        </w:rPr>
        <w:t>trimestre estándar de ejecución</w:t>
      </w:r>
      <w:r>
        <w:rPr>
          <w:rFonts w:cs="Arial"/>
          <w:sz w:val="22"/>
          <w:szCs w:val="22"/>
        </w:rPr>
        <w:t xml:space="preserve"> futuro, con el fin de asegurar poco a poco la contratación total de ese mismo trimestre estándar del suministro futuro.</w:t>
      </w:r>
    </w:p>
    <w:p w14:paraId="6A9666CB" w14:textId="77777777" w:rsidR="00FC097D" w:rsidRDefault="00FC097D" w:rsidP="0028726C">
      <w:pPr>
        <w:rPr>
          <w:rFonts w:cs="Arial"/>
          <w:sz w:val="22"/>
          <w:szCs w:val="22"/>
        </w:rPr>
      </w:pPr>
    </w:p>
    <w:p w14:paraId="2D0D320C" w14:textId="0C3E98F2" w:rsidR="00FC097D" w:rsidRDefault="00FC097D" w:rsidP="0028726C">
      <w:pPr>
        <w:rPr>
          <w:rFonts w:cs="Arial"/>
          <w:sz w:val="22"/>
          <w:szCs w:val="22"/>
        </w:rPr>
      </w:pPr>
      <w:r>
        <w:rPr>
          <w:rFonts w:cs="Arial"/>
          <w:sz w:val="22"/>
          <w:szCs w:val="22"/>
        </w:rPr>
        <w:t xml:space="preserve">Elementos como el que se menciona en el comentario deberían ser tenidos en cuenta por los compradores, así como las posibilidades de atención futura de nueva demanda o de reducción de demanda existente. </w:t>
      </w:r>
    </w:p>
    <w:p w14:paraId="7FCB161B" w14:textId="77777777" w:rsidR="00DC1601" w:rsidRDefault="00DC1601" w:rsidP="0028726C">
      <w:pPr>
        <w:rPr>
          <w:rFonts w:cs="Arial"/>
          <w:sz w:val="22"/>
          <w:szCs w:val="22"/>
        </w:rPr>
      </w:pPr>
    </w:p>
    <w:p w14:paraId="47A4AE4A" w14:textId="77777777" w:rsidR="00760B11" w:rsidRDefault="00760B11" w:rsidP="00760B11">
      <w:pPr>
        <w:rPr>
          <w:rFonts w:cs="Arial"/>
          <w:sz w:val="22"/>
          <w:szCs w:val="22"/>
        </w:rPr>
      </w:pPr>
      <w:r w:rsidRPr="003236A6">
        <w:rPr>
          <w:rFonts w:cs="Arial"/>
          <w:sz w:val="22"/>
          <w:szCs w:val="22"/>
        </w:rPr>
        <w:t xml:space="preserve">Ver numeral a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sidRPr="003236A6">
        <w:rPr>
          <w:rFonts w:cs="Arial"/>
          <w:sz w:val="22"/>
          <w:szCs w:val="22"/>
        </w:rPr>
        <w:t xml:space="preserve"> y ver respuesta a </w:t>
      </w:r>
      <w:r>
        <w:rPr>
          <w:rFonts w:cs="Arial"/>
          <w:sz w:val="22"/>
          <w:szCs w:val="22"/>
        </w:rPr>
        <w:fldChar w:fldCharType="begin"/>
      </w:r>
      <w:r>
        <w:rPr>
          <w:rFonts w:cs="Arial"/>
          <w:sz w:val="22"/>
          <w:szCs w:val="22"/>
        </w:rPr>
        <w:instrText xml:space="preserve"> REF _Ref132117030 \r \h </w:instrText>
      </w:r>
      <w:r>
        <w:rPr>
          <w:rFonts w:cs="Arial"/>
          <w:sz w:val="22"/>
          <w:szCs w:val="22"/>
        </w:rPr>
      </w:r>
      <w:r>
        <w:rPr>
          <w:rFonts w:cs="Arial"/>
          <w:sz w:val="22"/>
          <w:szCs w:val="22"/>
        </w:rPr>
        <w:fldChar w:fldCharType="separate"/>
      </w:r>
      <w:r>
        <w:rPr>
          <w:rFonts w:cs="Arial"/>
          <w:sz w:val="22"/>
          <w:szCs w:val="22"/>
        </w:rPr>
        <w:t>19.3.1.2</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_Ref132198348 \r \h </w:instrText>
      </w:r>
      <w:r>
        <w:rPr>
          <w:rFonts w:cs="Arial"/>
          <w:sz w:val="22"/>
          <w:szCs w:val="22"/>
        </w:rPr>
      </w:r>
      <w:r>
        <w:rPr>
          <w:rFonts w:cs="Arial"/>
          <w:sz w:val="22"/>
          <w:szCs w:val="22"/>
        </w:rPr>
        <w:fldChar w:fldCharType="separate"/>
      </w:r>
      <w:r>
        <w:rPr>
          <w:rFonts w:cs="Arial"/>
          <w:sz w:val="22"/>
          <w:szCs w:val="22"/>
        </w:rPr>
        <w:t>19.7.1.4</w:t>
      </w:r>
      <w:r>
        <w:rPr>
          <w:rFonts w:cs="Arial"/>
          <w:sz w:val="22"/>
          <w:szCs w:val="22"/>
        </w:rPr>
        <w:fldChar w:fldCharType="end"/>
      </w:r>
      <w:r w:rsidRPr="003236A6">
        <w:rPr>
          <w:rFonts w:cs="Arial"/>
          <w:sz w:val="22"/>
          <w:szCs w:val="22"/>
        </w:rPr>
        <w:t>.</w:t>
      </w:r>
    </w:p>
    <w:p w14:paraId="20217C36" w14:textId="77777777" w:rsidR="00DB040C" w:rsidRPr="0028726C" w:rsidRDefault="00DB040C" w:rsidP="0028726C">
      <w:pPr>
        <w:rPr>
          <w:rFonts w:cs="Arial"/>
          <w:sz w:val="22"/>
          <w:szCs w:val="22"/>
        </w:rPr>
      </w:pPr>
    </w:p>
    <w:p w14:paraId="4EB8449F" w14:textId="77777777" w:rsidR="00C53D76" w:rsidRDefault="00C53D76" w:rsidP="0028726C">
      <w:pPr>
        <w:rPr>
          <w:rFonts w:cs="Arial"/>
          <w:sz w:val="22"/>
          <w:szCs w:val="22"/>
        </w:rPr>
      </w:pPr>
    </w:p>
    <w:p w14:paraId="0002EBBB" w14:textId="77777777" w:rsidR="00C53D76" w:rsidRDefault="0028726C" w:rsidP="000D05A3">
      <w:pPr>
        <w:pStyle w:val="Ttulo4"/>
      </w:pPr>
      <w:bookmarkStart w:id="828" w:name="_Ref132618996"/>
      <w:r w:rsidRPr="0028726C">
        <w:t>GASES DE OCCIDENTE</w:t>
      </w:r>
      <w:bookmarkEnd w:id="828"/>
      <w:r w:rsidRPr="0028726C">
        <w:tab/>
      </w:r>
    </w:p>
    <w:p w14:paraId="546D4EB2" w14:textId="0E2D6EDE" w:rsidR="0028726C" w:rsidRPr="00760B11" w:rsidRDefault="0028726C" w:rsidP="0028726C">
      <w:pPr>
        <w:rPr>
          <w:rFonts w:cs="Arial"/>
          <w:i/>
          <w:iCs/>
          <w:sz w:val="22"/>
          <w:szCs w:val="22"/>
        </w:rPr>
      </w:pPr>
      <w:r w:rsidRPr="0028726C">
        <w:rPr>
          <w:rFonts w:cs="Arial"/>
          <w:sz w:val="22"/>
          <w:szCs w:val="22"/>
        </w:rPr>
        <w:t>"</w:t>
      </w:r>
      <w:r w:rsidRPr="00760B11">
        <w:rPr>
          <w:rFonts w:cs="Arial"/>
          <w:i/>
          <w:iCs/>
          <w:sz w:val="22"/>
          <w:szCs w:val="22"/>
        </w:rPr>
        <w:t>El mecanismo propuesto por la CREG y que ha denominado MADE constituye un verdadero galimatías, en el caso de que el balance comercial resulte deficitario. Consideramos nosotros que el mecanismo es innecesariamente complejo. Además de solicitarle a la Comisión que simplifique en la medida de lo posible el esquema, sobre el mismo se plantean las siguientes, inquietudes/observaciones/consideraciones:</w:t>
      </w:r>
    </w:p>
    <w:p w14:paraId="0070DB02" w14:textId="77777777" w:rsidR="0028726C" w:rsidRPr="00760B11" w:rsidRDefault="0028726C" w:rsidP="0028726C">
      <w:pPr>
        <w:rPr>
          <w:rFonts w:cs="Arial"/>
          <w:i/>
          <w:iCs/>
          <w:sz w:val="22"/>
          <w:szCs w:val="22"/>
        </w:rPr>
      </w:pPr>
    </w:p>
    <w:p w14:paraId="048E9520" w14:textId="77777777" w:rsidR="0028726C" w:rsidRPr="00760B11" w:rsidRDefault="0028726C" w:rsidP="0028726C">
      <w:pPr>
        <w:rPr>
          <w:rFonts w:cs="Arial"/>
          <w:i/>
          <w:iCs/>
          <w:sz w:val="22"/>
          <w:szCs w:val="22"/>
        </w:rPr>
      </w:pPr>
      <w:r w:rsidRPr="00760B11">
        <w:rPr>
          <w:rFonts w:cs="Arial"/>
          <w:i/>
          <w:iCs/>
          <w:sz w:val="22"/>
          <w:szCs w:val="22"/>
        </w:rPr>
        <w:t>- Se enfatiza lo ya indicado previamente, en el sentido de que de una proyección de oferta signada por la incertidumbre y de una proyección de demanda seguramente subestimada, el balance resultante resultará espurio y de sus resultados no se podrá inferir la condición superavitaria o deficitaria de la oferta.</w:t>
      </w:r>
    </w:p>
    <w:p w14:paraId="6CFBA558" w14:textId="77777777" w:rsidR="0028726C" w:rsidRPr="00760B11" w:rsidRDefault="0028726C" w:rsidP="0028726C">
      <w:pPr>
        <w:rPr>
          <w:rFonts w:cs="Arial"/>
          <w:i/>
          <w:iCs/>
          <w:sz w:val="22"/>
          <w:szCs w:val="22"/>
        </w:rPr>
      </w:pPr>
    </w:p>
    <w:p w14:paraId="0D031991" w14:textId="77777777" w:rsidR="0028726C" w:rsidRPr="00760B11" w:rsidRDefault="0028726C" w:rsidP="0028726C">
      <w:pPr>
        <w:rPr>
          <w:rFonts w:cs="Arial"/>
          <w:i/>
          <w:iCs/>
          <w:sz w:val="22"/>
          <w:szCs w:val="22"/>
        </w:rPr>
      </w:pPr>
      <w:r w:rsidRPr="00760B11">
        <w:rPr>
          <w:rFonts w:cs="Arial"/>
          <w:i/>
          <w:iCs/>
          <w:sz w:val="22"/>
          <w:szCs w:val="22"/>
        </w:rPr>
        <w:t>- En el caso de superávit, no se encontró el soporte que llevó a la CREG a proponer que después de registrados los contratos con períodos trimestrales de suministro pactados bajo el mecanismo de negociación directa, se podrán negociar las cantidades declaradas de PTDVF y/o CIDVF que hayan quedado disponibles, solamente para el siguiente trimestre estándar al trimestre estándar de negociación, mediante contratos de suministro CF95/CF80 con plazo de ejecución de un (1) mes calendario.</w:t>
      </w:r>
    </w:p>
    <w:p w14:paraId="4AF875D0" w14:textId="77777777" w:rsidR="0028726C" w:rsidRPr="00760B11" w:rsidRDefault="0028726C" w:rsidP="0028726C">
      <w:pPr>
        <w:rPr>
          <w:rFonts w:cs="Arial"/>
          <w:i/>
          <w:iCs/>
          <w:sz w:val="22"/>
          <w:szCs w:val="22"/>
        </w:rPr>
      </w:pPr>
    </w:p>
    <w:p w14:paraId="1BEAB0F6" w14:textId="29038178" w:rsidR="0028726C" w:rsidRDefault="0028726C" w:rsidP="0028726C">
      <w:pPr>
        <w:rPr>
          <w:rFonts w:cs="Arial"/>
          <w:sz w:val="22"/>
          <w:szCs w:val="22"/>
        </w:rPr>
      </w:pPr>
      <w:r w:rsidRPr="00760B11">
        <w:rPr>
          <w:rFonts w:cs="Arial"/>
          <w:i/>
          <w:iCs/>
          <w:sz w:val="22"/>
          <w:szCs w:val="22"/>
        </w:rPr>
        <w:t>Se requiere conocer el fundamento y el objetivo que persigue la Comisión al imponer el limitante de un (1) mes, si el comprador dueño del contrato de suministro (CF95/CF80) considera que puede comprometer excedentes de estos contratos durante plazos que superen el mes</w:t>
      </w:r>
      <w:r w:rsidRPr="0028726C">
        <w:rPr>
          <w:rFonts w:cs="Arial"/>
          <w:sz w:val="22"/>
          <w:szCs w:val="22"/>
        </w:rPr>
        <w:t>."</w:t>
      </w:r>
    </w:p>
    <w:p w14:paraId="24FB92E0" w14:textId="77777777" w:rsidR="00760B11" w:rsidRDefault="00760B11" w:rsidP="0028726C">
      <w:pPr>
        <w:rPr>
          <w:rFonts w:cs="Arial"/>
          <w:sz w:val="22"/>
          <w:szCs w:val="22"/>
        </w:rPr>
      </w:pPr>
    </w:p>
    <w:p w14:paraId="78362214" w14:textId="07C0E803" w:rsidR="00760B11" w:rsidRPr="00760B11" w:rsidRDefault="00760B11" w:rsidP="0028726C">
      <w:pPr>
        <w:rPr>
          <w:rFonts w:cs="Arial"/>
          <w:b/>
          <w:bCs/>
          <w:sz w:val="22"/>
          <w:szCs w:val="22"/>
        </w:rPr>
      </w:pPr>
      <w:r w:rsidRPr="00760B11">
        <w:rPr>
          <w:rFonts w:cs="Arial"/>
          <w:b/>
          <w:bCs/>
          <w:sz w:val="22"/>
          <w:szCs w:val="22"/>
        </w:rPr>
        <w:t>Respuesta:</w:t>
      </w:r>
    </w:p>
    <w:p w14:paraId="7D42B739" w14:textId="77777777" w:rsidR="00760B11" w:rsidRDefault="00760B11" w:rsidP="0028726C">
      <w:pPr>
        <w:rPr>
          <w:rFonts w:cs="Arial"/>
          <w:sz w:val="22"/>
          <w:szCs w:val="22"/>
        </w:rPr>
      </w:pPr>
    </w:p>
    <w:p w14:paraId="468B9DF2" w14:textId="1CEE8CC0" w:rsidR="00760B11" w:rsidRDefault="00760B11" w:rsidP="0028726C">
      <w:pPr>
        <w:rPr>
          <w:rFonts w:cs="Arial"/>
          <w:sz w:val="22"/>
          <w:szCs w:val="22"/>
        </w:rPr>
      </w:pPr>
      <w:r>
        <w:rPr>
          <w:rFonts w:cs="Arial"/>
          <w:sz w:val="22"/>
          <w:szCs w:val="22"/>
        </w:rPr>
        <w:t>No se acoge el comentario.</w:t>
      </w:r>
    </w:p>
    <w:p w14:paraId="6A5CBCE3" w14:textId="77777777" w:rsidR="00760B11" w:rsidRDefault="00760B11" w:rsidP="0028726C">
      <w:pPr>
        <w:rPr>
          <w:rFonts w:cs="Arial"/>
          <w:sz w:val="22"/>
          <w:szCs w:val="22"/>
        </w:rPr>
      </w:pPr>
    </w:p>
    <w:p w14:paraId="2F60D07B" w14:textId="698C1FE5" w:rsidR="00760B11" w:rsidRDefault="00760B11" w:rsidP="0028726C">
      <w:pPr>
        <w:rPr>
          <w:rFonts w:cs="Arial"/>
          <w:sz w:val="22"/>
          <w:szCs w:val="22"/>
        </w:rPr>
      </w:pPr>
      <w:r>
        <w:rPr>
          <w:rFonts w:cs="Arial"/>
          <w:sz w:val="22"/>
          <w:szCs w:val="22"/>
        </w:rPr>
        <w:t xml:space="preserve">Se tiene por objetivo establecer y especificar un mecanismo de acceso MADE que sea claro en el texto y no </w:t>
      </w:r>
      <w:proofErr w:type="spellStart"/>
      <w:r>
        <w:rPr>
          <w:rFonts w:cs="Arial"/>
          <w:sz w:val="22"/>
          <w:szCs w:val="22"/>
        </w:rPr>
        <w:t>de</w:t>
      </w:r>
      <w:proofErr w:type="spellEnd"/>
      <w:r>
        <w:rPr>
          <w:rFonts w:cs="Arial"/>
          <w:sz w:val="22"/>
          <w:szCs w:val="22"/>
        </w:rPr>
        <w:t xml:space="preserve"> lugar a dudas de la manera en que se implementa. Siempre se busca </w:t>
      </w:r>
      <w:proofErr w:type="gramStart"/>
      <w:r>
        <w:rPr>
          <w:rFonts w:cs="Arial"/>
          <w:sz w:val="22"/>
          <w:szCs w:val="22"/>
        </w:rPr>
        <w:t>que</w:t>
      </w:r>
      <w:proofErr w:type="gramEnd"/>
      <w:r>
        <w:rPr>
          <w:rFonts w:cs="Arial"/>
          <w:sz w:val="22"/>
          <w:szCs w:val="22"/>
        </w:rPr>
        <w:t xml:space="preserve"> </w:t>
      </w:r>
      <w:r w:rsidR="00CB2905">
        <w:rPr>
          <w:rFonts w:cs="Arial"/>
          <w:sz w:val="22"/>
          <w:szCs w:val="22"/>
        </w:rPr>
        <w:t xml:space="preserve">alineado </w:t>
      </w:r>
      <w:r>
        <w:rPr>
          <w:rFonts w:cs="Arial"/>
          <w:sz w:val="22"/>
          <w:szCs w:val="22"/>
        </w:rPr>
        <w:t>con lo anterior, el mecanismo sea lo más simple posible, sin que ello signifique reducir su efectividad.</w:t>
      </w:r>
      <w:r w:rsidR="00373309">
        <w:rPr>
          <w:rFonts w:cs="Arial"/>
          <w:sz w:val="22"/>
          <w:szCs w:val="22"/>
        </w:rPr>
        <w:t xml:space="preserve"> En ese sentido, en la nueva propuesta se han hecho ajustes con los cuales alcanzar esos objetivos.</w:t>
      </w:r>
    </w:p>
    <w:p w14:paraId="512A1CDB" w14:textId="77777777" w:rsidR="00373309" w:rsidRDefault="00373309" w:rsidP="0028726C">
      <w:pPr>
        <w:rPr>
          <w:rFonts w:cs="Arial"/>
          <w:sz w:val="22"/>
          <w:szCs w:val="22"/>
        </w:rPr>
      </w:pPr>
    </w:p>
    <w:p w14:paraId="797D56F2" w14:textId="60AB77B7" w:rsidR="00373309" w:rsidRDefault="00373309" w:rsidP="0028726C">
      <w:pPr>
        <w:rPr>
          <w:rFonts w:cs="Arial"/>
          <w:sz w:val="22"/>
          <w:szCs w:val="22"/>
        </w:rPr>
      </w:pPr>
      <w:r>
        <w:rPr>
          <w:rFonts w:cs="Arial"/>
          <w:sz w:val="22"/>
          <w:szCs w:val="22"/>
        </w:rPr>
        <w:t xml:space="preserve">Respecto de proyecciones de oferta y de demanda signadas por la incertidumbre ver numeral </w:t>
      </w:r>
      <w:r>
        <w:rPr>
          <w:rFonts w:cs="Arial"/>
          <w:sz w:val="22"/>
          <w:szCs w:val="22"/>
        </w:rPr>
        <w:fldChar w:fldCharType="begin"/>
      </w:r>
      <w:r>
        <w:rPr>
          <w:rFonts w:cs="Arial"/>
          <w:sz w:val="22"/>
          <w:szCs w:val="22"/>
        </w:rPr>
        <w:instrText xml:space="preserve"> REF _Ref130303703 \r \h </w:instrText>
      </w:r>
      <w:r>
        <w:rPr>
          <w:rFonts w:cs="Arial"/>
          <w:sz w:val="22"/>
          <w:szCs w:val="22"/>
        </w:rPr>
      </w:r>
      <w:r>
        <w:rPr>
          <w:rFonts w:cs="Arial"/>
          <w:sz w:val="22"/>
          <w:szCs w:val="22"/>
        </w:rPr>
        <w:fldChar w:fldCharType="separate"/>
      </w:r>
      <w:r>
        <w:rPr>
          <w:rFonts w:cs="Arial"/>
          <w:sz w:val="22"/>
          <w:szCs w:val="22"/>
        </w:rPr>
        <w:t>2.2.1</w:t>
      </w:r>
      <w:r>
        <w:rPr>
          <w:rFonts w:cs="Arial"/>
          <w:sz w:val="22"/>
          <w:szCs w:val="22"/>
        </w:rPr>
        <w:fldChar w:fldCharType="end"/>
      </w:r>
      <w:r>
        <w:rPr>
          <w:rFonts w:cs="Arial"/>
          <w:sz w:val="22"/>
          <w:szCs w:val="22"/>
        </w:rPr>
        <w:t xml:space="preserve">, numeral </w:t>
      </w:r>
      <w:r>
        <w:rPr>
          <w:rFonts w:cs="Arial"/>
          <w:sz w:val="22"/>
          <w:szCs w:val="22"/>
        </w:rPr>
        <w:fldChar w:fldCharType="begin"/>
      </w:r>
      <w:r>
        <w:rPr>
          <w:rFonts w:cs="Arial"/>
          <w:sz w:val="22"/>
          <w:szCs w:val="22"/>
        </w:rPr>
        <w:instrText xml:space="preserve"> REF _Ref132284805 \r \h </w:instrText>
      </w:r>
      <w:r>
        <w:rPr>
          <w:rFonts w:cs="Arial"/>
          <w:sz w:val="22"/>
          <w:szCs w:val="22"/>
        </w:rPr>
      </w:r>
      <w:r>
        <w:rPr>
          <w:rFonts w:cs="Arial"/>
          <w:sz w:val="22"/>
          <w:szCs w:val="22"/>
        </w:rPr>
        <w:fldChar w:fldCharType="separate"/>
      </w:r>
      <w:r>
        <w:rPr>
          <w:rFonts w:cs="Arial"/>
          <w:sz w:val="22"/>
          <w:szCs w:val="22"/>
        </w:rPr>
        <w:t>2.2.2</w:t>
      </w:r>
      <w:r>
        <w:rPr>
          <w:rFonts w:cs="Arial"/>
          <w:sz w:val="22"/>
          <w:szCs w:val="22"/>
        </w:rPr>
        <w:fldChar w:fldCharType="end"/>
      </w:r>
      <w:r>
        <w:rPr>
          <w:rFonts w:cs="Arial"/>
          <w:sz w:val="22"/>
          <w:szCs w:val="22"/>
        </w:rPr>
        <w:t xml:space="preserve">,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Pr>
          <w:rFonts w:cs="Arial"/>
          <w:sz w:val="22"/>
          <w:szCs w:val="22"/>
        </w:rPr>
        <w:t xml:space="preserve">, respuesta a </w:t>
      </w:r>
      <w:r>
        <w:rPr>
          <w:rFonts w:cs="Arial"/>
          <w:sz w:val="22"/>
          <w:szCs w:val="22"/>
        </w:rPr>
        <w:fldChar w:fldCharType="begin"/>
      </w:r>
      <w:r>
        <w:rPr>
          <w:rFonts w:cs="Arial"/>
          <w:sz w:val="22"/>
          <w:szCs w:val="22"/>
        </w:rPr>
        <w:instrText xml:space="preserve"> REF _Ref132279194 \r \h </w:instrText>
      </w:r>
      <w:r>
        <w:rPr>
          <w:rFonts w:cs="Arial"/>
          <w:sz w:val="22"/>
          <w:szCs w:val="22"/>
        </w:rPr>
      </w:r>
      <w:r>
        <w:rPr>
          <w:rFonts w:cs="Arial"/>
          <w:sz w:val="22"/>
          <w:szCs w:val="22"/>
        </w:rPr>
        <w:fldChar w:fldCharType="separate"/>
      </w:r>
      <w:r>
        <w:rPr>
          <w:rFonts w:cs="Arial"/>
          <w:sz w:val="22"/>
          <w:szCs w:val="22"/>
        </w:rPr>
        <w:t>19.13.1.1</w:t>
      </w:r>
      <w:r>
        <w:rPr>
          <w:rFonts w:cs="Arial"/>
          <w:sz w:val="22"/>
          <w:szCs w:val="22"/>
        </w:rPr>
        <w:fldChar w:fldCharType="end"/>
      </w:r>
      <w:r>
        <w:rPr>
          <w:rFonts w:cs="Arial"/>
          <w:sz w:val="22"/>
          <w:szCs w:val="22"/>
        </w:rPr>
        <w:t xml:space="preserve">, a </w:t>
      </w:r>
      <w:r>
        <w:rPr>
          <w:rFonts w:cs="Arial"/>
          <w:sz w:val="22"/>
          <w:szCs w:val="22"/>
        </w:rPr>
        <w:fldChar w:fldCharType="begin"/>
      </w:r>
      <w:r>
        <w:rPr>
          <w:rFonts w:cs="Arial"/>
          <w:sz w:val="22"/>
          <w:szCs w:val="22"/>
        </w:rPr>
        <w:instrText xml:space="preserve"> REF _Ref132284958 \r \h </w:instrText>
      </w:r>
      <w:r>
        <w:rPr>
          <w:rFonts w:cs="Arial"/>
          <w:sz w:val="22"/>
          <w:szCs w:val="22"/>
        </w:rPr>
      </w:r>
      <w:r>
        <w:rPr>
          <w:rFonts w:cs="Arial"/>
          <w:sz w:val="22"/>
          <w:szCs w:val="22"/>
        </w:rPr>
        <w:fldChar w:fldCharType="separate"/>
      </w:r>
      <w:r>
        <w:rPr>
          <w:rFonts w:cs="Arial"/>
          <w:sz w:val="22"/>
          <w:szCs w:val="22"/>
        </w:rPr>
        <w:t>19.13.1.8</w:t>
      </w:r>
      <w:r>
        <w:rPr>
          <w:rFonts w:cs="Arial"/>
          <w:sz w:val="22"/>
          <w:szCs w:val="22"/>
        </w:rPr>
        <w:fldChar w:fldCharType="end"/>
      </w:r>
      <w:r>
        <w:rPr>
          <w:rFonts w:cs="Arial"/>
          <w:sz w:val="22"/>
          <w:szCs w:val="22"/>
        </w:rPr>
        <w:t xml:space="preserve"> y </w:t>
      </w:r>
      <w:r>
        <w:rPr>
          <w:rFonts w:cs="Arial"/>
          <w:sz w:val="22"/>
          <w:szCs w:val="22"/>
        </w:rPr>
        <w:fldChar w:fldCharType="begin"/>
      </w:r>
      <w:r>
        <w:rPr>
          <w:rFonts w:cs="Arial"/>
          <w:sz w:val="22"/>
          <w:szCs w:val="22"/>
        </w:rPr>
        <w:instrText xml:space="preserve"> REF _Ref132284979 \r \h </w:instrText>
      </w:r>
      <w:r>
        <w:rPr>
          <w:rFonts w:cs="Arial"/>
          <w:sz w:val="22"/>
          <w:szCs w:val="22"/>
        </w:rPr>
      </w:r>
      <w:r>
        <w:rPr>
          <w:rFonts w:cs="Arial"/>
          <w:sz w:val="22"/>
          <w:szCs w:val="22"/>
        </w:rPr>
        <w:fldChar w:fldCharType="separate"/>
      </w:r>
      <w:r>
        <w:rPr>
          <w:rFonts w:cs="Arial"/>
          <w:sz w:val="22"/>
          <w:szCs w:val="22"/>
        </w:rPr>
        <w:t>19.13.1.9</w:t>
      </w:r>
      <w:r>
        <w:rPr>
          <w:rFonts w:cs="Arial"/>
          <w:sz w:val="22"/>
          <w:szCs w:val="22"/>
        </w:rPr>
        <w:fldChar w:fldCharType="end"/>
      </w:r>
      <w:r>
        <w:rPr>
          <w:rFonts w:cs="Arial"/>
          <w:sz w:val="22"/>
          <w:szCs w:val="22"/>
        </w:rPr>
        <w:t>.</w:t>
      </w:r>
    </w:p>
    <w:p w14:paraId="55D5528A" w14:textId="77777777" w:rsidR="00373309" w:rsidRDefault="00373309" w:rsidP="0028726C">
      <w:pPr>
        <w:rPr>
          <w:rFonts w:cs="Arial"/>
          <w:sz w:val="22"/>
          <w:szCs w:val="22"/>
        </w:rPr>
      </w:pPr>
    </w:p>
    <w:p w14:paraId="046281BD" w14:textId="31EABEB8" w:rsidR="00373309" w:rsidRDefault="00373309" w:rsidP="0028726C">
      <w:pPr>
        <w:rPr>
          <w:rFonts w:cs="Arial"/>
          <w:sz w:val="22"/>
          <w:szCs w:val="22"/>
        </w:rPr>
      </w:pPr>
      <w:r>
        <w:rPr>
          <w:rFonts w:cs="Arial"/>
          <w:sz w:val="22"/>
          <w:szCs w:val="22"/>
        </w:rPr>
        <w:t xml:space="preserve">Por otro lado, los contratos de duración mensual se plantean consecuente con su duración, para ser negociados en el corto plazo previo al inicio del suministro, precisamente por lo mencionado en el mismo comentario sobre incertidumbre en algunos aspectos de la oferta y de la demanda. La propuesta lleva a que haya una mayor flexibilidad entre la contratación de mediano plazo y la de largo plazo, y que haya un sustituto de los contratos bimestrales. </w:t>
      </w:r>
    </w:p>
    <w:p w14:paraId="391A84C4" w14:textId="77777777" w:rsidR="000349FC" w:rsidRDefault="000349FC" w:rsidP="0028726C">
      <w:pPr>
        <w:rPr>
          <w:rFonts w:cs="Arial"/>
          <w:sz w:val="22"/>
          <w:szCs w:val="22"/>
        </w:rPr>
      </w:pPr>
    </w:p>
    <w:p w14:paraId="226E98B0" w14:textId="173A9AD6" w:rsidR="000349FC" w:rsidRPr="000349FC" w:rsidRDefault="000349FC" w:rsidP="0028726C">
      <w:pPr>
        <w:rPr>
          <w:rFonts w:cs="Arial"/>
          <w:sz w:val="22"/>
          <w:szCs w:val="22"/>
        </w:rPr>
      </w:pPr>
      <w:r>
        <w:rPr>
          <w:rFonts w:cs="Arial"/>
          <w:sz w:val="22"/>
          <w:szCs w:val="22"/>
        </w:rPr>
        <w:t xml:space="preserve">No es claro qué se quiere decir con que el comprador de contratos CF95/CF80, pueda comprometer excedentes de tales contratos </w:t>
      </w:r>
      <w:r w:rsidRPr="000349FC">
        <w:rPr>
          <w:rFonts w:cs="Arial"/>
          <w:sz w:val="22"/>
          <w:szCs w:val="22"/>
        </w:rPr>
        <w:t>durante plazos que superen el mes</w:t>
      </w:r>
      <w:r>
        <w:rPr>
          <w:rFonts w:cs="Arial"/>
          <w:sz w:val="22"/>
          <w:szCs w:val="22"/>
        </w:rPr>
        <w:t>. El comprador en un contrato CF95 puede vender derechos de suministro en el Mercado Secundario, sin que para ello sea relevante el origen del suministro de gas en el Mercado Primario. Si de lo que se trata es de una cesión de contrato (cantidad total contratada) y no de venta de excedentes (cantidad parcial del contrato primario), lo que allí ocurre es una sustitución del comprador del Mercado Primario con otro comprador del mismo Mercado, manteniéndose el mismo vendedor del Mercado Primario en el contrato cedido.</w:t>
      </w:r>
    </w:p>
    <w:p w14:paraId="5F60B116" w14:textId="77777777" w:rsidR="00760B11" w:rsidRPr="0028726C" w:rsidRDefault="00760B11" w:rsidP="0028726C">
      <w:pPr>
        <w:rPr>
          <w:rFonts w:cs="Arial"/>
          <w:sz w:val="22"/>
          <w:szCs w:val="22"/>
        </w:rPr>
      </w:pPr>
    </w:p>
    <w:p w14:paraId="1F3EAF4A" w14:textId="77777777" w:rsidR="00C53D76" w:rsidRDefault="00C53D76" w:rsidP="0028726C">
      <w:pPr>
        <w:rPr>
          <w:rFonts w:cs="Arial"/>
          <w:sz w:val="22"/>
          <w:szCs w:val="22"/>
        </w:rPr>
      </w:pPr>
    </w:p>
    <w:p w14:paraId="5A988A6E" w14:textId="77777777" w:rsidR="00C53D76" w:rsidRDefault="0028726C" w:rsidP="000D05A3">
      <w:pPr>
        <w:pStyle w:val="Ttulo4"/>
      </w:pPr>
      <w:bookmarkStart w:id="829" w:name="_Ref132635991"/>
      <w:r w:rsidRPr="0028726C">
        <w:t>GASES DE OCCIDENTE</w:t>
      </w:r>
      <w:bookmarkEnd w:id="829"/>
      <w:r w:rsidRPr="0028726C">
        <w:tab/>
      </w:r>
    </w:p>
    <w:p w14:paraId="15937F46" w14:textId="42D759B0" w:rsidR="0028726C" w:rsidRPr="00373309" w:rsidRDefault="0028726C" w:rsidP="0028726C">
      <w:pPr>
        <w:rPr>
          <w:rFonts w:cs="Arial"/>
          <w:i/>
          <w:iCs/>
          <w:sz w:val="22"/>
          <w:szCs w:val="22"/>
        </w:rPr>
      </w:pPr>
      <w:r w:rsidRPr="0028726C">
        <w:rPr>
          <w:rFonts w:cs="Arial"/>
          <w:sz w:val="22"/>
          <w:szCs w:val="22"/>
        </w:rPr>
        <w:t>"</w:t>
      </w:r>
      <w:r w:rsidRPr="00373309">
        <w:rPr>
          <w:rFonts w:cs="Arial"/>
          <w:i/>
          <w:iCs/>
          <w:sz w:val="22"/>
          <w:szCs w:val="22"/>
        </w:rPr>
        <w:t>En caso de déficit, la CREG no considera que los contratos trimestrales que aquí se reglan, se traslapan con contratos de suministro vigentes ya registrados ante el Gestor y que no tendrían por qué someterse a repartos definidos a prorrata de fuentes y a prorrata de las Demandas Esenciales declaradas. Si la CREG insiste en la implementación del MADE, debe conciliar la propuesta de tal manera que no se desconozcan contratos ya pactados que se encuentre vigentes, en un trimestre estándar en el que se identifique déficit.</w:t>
      </w:r>
    </w:p>
    <w:p w14:paraId="568652DB" w14:textId="77777777" w:rsidR="0028726C" w:rsidRPr="00373309" w:rsidRDefault="0028726C" w:rsidP="0028726C">
      <w:pPr>
        <w:rPr>
          <w:rFonts w:cs="Arial"/>
          <w:i/>
          <w:iCs/>
          <w:sz w:val="22"/>
          <w:szCs w:val="22"/>
        </w:rPr>
      </w:pPr>
    </w:p>
    <w:p w14:paraId="7A257EC3" w14:textId="77777777" w:rsidR="0028726C" w:rsidRDefault="0028726C" w:rsidP="0028726C">
      <w:pPr>
        <w:rPr>
          <w:rFonts w:cs="Arial"/>
          <w:sz w:val="22"/>
          <w:szCs w:val="22"/>
        </w:rPr>
      </w:pPr>
      <w:r w:rsidRPr="00373309">
        <w:rPr>
          <w:rFonts w:cs="Arial"/>
          <w:i/>
          <w:iCs/>
          <w:sz w:val="22"/>
          <w:szCs w:val="22"/>
        </w:rPr>
        <w:t>Por la misma razón anterior, no estamos de acuerdo con la forma en que la CREG propone que se defina el precio de los contratos para atender Demanda Esencial en un trimestre deficitario, si hay compradores que ya detentan contratos de suministro vigentes para tal trimestre, contratos que ya tienen precios previamente acordados con los respectivos vendedores</w:t>
      </w:r>
      <w:r w:rsidRPr="0028726C">
        <w:rPr>
          <w:rFonts w:cs="Arial"/>
          <w:sz w:val="22"/>
          <w:szCs w:val="22"/>
        </w:rPr>
        <w:t>."</w:t>
      </w:r>
    </w:p>
    <w:p w14:paraId="3B26A69D" w14:textId="77777777" w:rsidR="00373309" w:rsidRDefault="00373309" w:rsidP="0028726C">
      <w:pPr>
        <w:rPr>
          <w:rFonts w:cs="Arial"/>
          <w:sz w:val="22"/>
          <w:szCs w:val="22"/>
        </w:rPr>
      </w:pPr>
    </w:p>
    <w:p w14:paraId="327D0E2F" w14:textId="27C3502B" w:rsidR="00373309" w:rsidRPr="00373309" w:rsidRDefault="00373309" w:rsidP="0028726C">
      <w:pPr>
        <w:rPr>
          <w:rFonts w:cs="Arial"/>
          <w:b/>
          <w:bCs/>
          <w:sz w:val="22"/>
          <w:szCs w:val="22"/>
        </w:rPr>
      </w:pPr>
      <w:r w:rsidRPr="00373309">
        <w:rPr>
          <w:rFonts w:cs="Arial"/>
          <w:b/>
          <w:bCs/>
          <w:sz w:val="22"/>
          <w:szCs w:val="22"/>
        </w:rPr>
        <w:t>Respuesta:</w:t>
      </w:r>
    </w:p>
    <w:p w14:paraId="666AC988" w14:textId="77777777" w:rsidR="00373309" w:rsidRDefault="00373309" w:rsidP="0028726C">
      <w:pPr>
        <w:rPr>
          <w:rFonts w:cs="Arial"/>
          <w:sz w:val="22"/>
          <w:szCs w:val="22"/>
        </w:rPr>
      </w:pPr>
    </w:p>
    <w:p w14:paraId="2419450E" w14:textId="7CCA4015" w:rsidR="00AD061B" w:rsidRDefault="00AD061B" w:rsidP="0028726C">
      <w:pPr>
        <w:rPr>
          <w:rFonts w:cs="Arial"/>
          <w:sz w:val="22"/>
          <w:szCs w:val="22"/>
        </w:rPr>
      </w:pPr>
      <w:r>
        <w:rPr>
          <w:rFonts w:cs="Arial"/>
          <w:sz w:val="22"/>
          <w:szCs w:val="22"/>
        </w:rPr>
        <w:t>No se acoge el comentario.</w:t>
      </w:r>
    </w:p>
    <w:p w14:paraId="63A55654" w14:textId="77777777" w:rsidR="00AD061B" w:rsidRDefault="00AD061B" w:rsidP="0028726C">
      <w:pPr>
        <w:rPr>
          <w:rFonts w:cs="Arial"/>
          <w:sz w:val="22"/>
          <w:szCs w:val="22"/>
        </w:rPr>
      </w:pPr>
    </w:p>
    <w:p w14:paraId="339C8FD5" w14:textId="3FC513D8" w:rsidR="00AD061B" w:rsidRDefault="00AD061B" w:rsidP="0028726C">
      <w:pPr>
        <w:rPr>
          <w:rFonts w:cs="Arial"/>
          <w:sz w:val="22"/>
          <w:szCs w:val="22"/>
        </w:rPr>
      </w:pPr>
      <w:r>
        <w:rPr>
          <w:rFonts w:cs="Arial"/>
          <w:sz w:val="22"/>
          <w:szCs w:val="22"/>
        </w:rPr>
        <w:t xml:space="preserve">Con la propuesta lo que se espera que ocurra es que quienes ya tiene contratados en el Mercado Primario cantidades de trimestres de suministro futuros, tratándose de vendedores ya no cuentan con esa PTDVF, y podrán ofertar la PTDVF remanente de la fuente de suministro, hasta que se cumpla el plazo del contrato existente. Pero del mismo modo, el comprador no podrá declarar al Gestor del Mercado esas cantidades ya contratadas. </w:t>
      </w:r>
    </w:p>
    <w:p w14:paraId="7D885E90" w14:textId="77777777" w:rsidR="00F24E2A" w:rsidRDefault="00F24E2A" w:rsidP="0028726C">
      <w:pPr>
        <w:rPr>
          <w:rFonts w:cs="Arial"/>
          <w:sz w:val="22"/>
          <w:szCs w:val="22"/>
        </w:rPr>
      </w:pPr>
    </w:p>
    <w:p w14:paraId="1F7D3C27" w14:textId="689E26E9" w:rsidR="00373309" w:rsidRDefault="00F24E2A" w:rsidP="0028726C">
      <w:pPr>
        <w:rPr>
          <w:rFonts w:cs="Arial"/>
          <w:sz w:val="22"/>
          <w:szCs w:val="22"/>
        </w:rPr>
      </w:pPr>
      <w:r>
        <w:rPr>
          <w:rFonts w:cs="Arial"/>
          <w:sz w:val="22"/>
          <w:szCs w:val="22"/>
        </w:rPr>
        <w:t xml:space="preserve">En la nueva propuesta se realizó un ajuste de modo que los contratos vigentes no podrán prorrogarse en ningún caso, a diferencia de la propuesta inicialmente publicada. Ver respuesta a </w:t>
      </w:r>
      <w:r w:rsidR="00AF65E1">
        <w:rPr>
          <w:rFonts w:cs="Arial"/>
          <w:sz w:val="22"/>
          <w:szCs w:val="22"/>
        </w:rPr>
        <w:fldChar w:fldCharType="begin"/>
      </w:r>
      <w:r w:rsidR="00AF65E1">
        <w:rPr>
          <w:rFonts w:cs="Arial"/>
          <w:sz w:val="22"/>
          <w:szCs w:val="22"/>
        </w:rPr>
        <w:instrText xml:space="preserve"> REF _Ref130564650 \r \h </w:instrText>
      </w:r>
      <w:r w:rsidR="00AF65E1">
        <w:rPr>
          <w:rFonts w:cs="Arial"/>
          <w:sz w:val="22"/>
          <w:szCs w:val="22"/>
        </w:rPr>
      </w:r>
      <w:r w:rsidR="00AF65E1">
        <w:rPr>
          <w:rFonts w:cs="Arial"/>
          <w:sz w:val="22"/>
          <w:szCs w:val="22"/>
        </w:rPr>
        <w:fldChar w:fldCharType="separate"/>
      </w:r>
      <w:r w:rsidR="00AF65E1">
        <w:rPr>
          <w:rFonts w:cs="Arial"/>
          <w:sz w:val="22"/>
          <w:szCs w:val="22"/>
        </w:rPr>
        <w:t>1.6.1.1</w:t>
      </w:r>
      <w:r w:rsidR="00AF65E1">
        <w:rPr>
          <w:rFonts w:cs="Arial"/>
          <w:sz w:val="22"/>
          <w:szCs w:val="22"/>
        </w:rPr>
        <w:fldChar w:fldCharType="end"/>
      </w:r>
      <w:r w:rsidR="00AF65E1">
        <w:rPr>
          <w:rFonts w:cs="Arial"/>
          <w:sz w:val="22"/>
          <w:szCs w:val="22"/>
        </w:rPr>
        <w:t xml:space="preserve"> y a </w:t>
      </w:r>
      <w:r w:rsidR="00AF65E1">
        <w:rPr>
          <w:rFonts w:cs="Arial"/>
          <w:sz w:val="22"/>
          <w:szCs w:val="22"/>
        </w:rPr>
        <w:fldChar w:fldCharType="begin"/>
      </w:r>
      <w:r w:rsidR="00AF65E1">
        <w:rPr>
          <w:rFonts w:cs="Arial"/>
          <w:sz w:val="22"/>
          <w:szCs w:val="22"/>
        </w:rPr>
        <w:instrText xml:space="preserve"> REF _Ref130637819 \r \h </w:instrText>
      </w:r>
      <w:r w:rsidR="00AF65E1">
        <w:rPr>
          <w:rFonts w:cs="Arial"/>
          <w:sz w:val="22"/>
          <w:szCs w:val="22"/>
        </w:rPr>
      </w:r>
      <w:r w:rsidR="00AF65E1">
        <w:rPr>
          <w:rFonts w:cs="Arial"/>
          <w:sz w:val="22"/>
          <w:szCs w:val="22"/>
        </w:rPr>
        <w:fldChar w:fldCharType="separate"/>
      </w:r>
      <w:r w:rsidR="00AF65E1">
        <w:rPr>
          <w:rFonts w:cs="Arial"/>
          <w:sz w:val="22"/>
          <w:szCs w:val="22"/>
        </w:rPr>
        <w:t>8.2.1.1</w:t>
      </w:r>
      <w:r w:rsidR="00AF65E1">
        <w:rPr>
          <w:rFonts w:cs="Arial"/>
          <w:sz w:val="22"/>
          <w:szCs w:val="22"/>
        </w:rPr>
        <w:fldChar w:fldCharType="end"/>
      </w:r>
      <w:r w:rsidR="00AF65E1">
        <w:rPr>
          <w:rFonts w:cs="Arial"/>
          <w:sz w:val="22"/>
          <w:szCs w:val="22"/>
        </w:rPr>
        <w:t>.</w:t>
      </w:r>
    </w:p>
    <w:p w14:paraId="249FC10E" w14:textId="77777777" w:rsidR="00373309" w:rsidRPr="0028726C" w:rsidRDefault="00373309" w:rsidP="0028726C">
      <w:pPr>
        <w:rPr>
          <w:rFonts w:cs="Arial"/>
          <w:sz w:val="22"/>
          <w:szCs w:val="22"/>
        </w:rPr>
      </w:pPr>
    </w:p>
    <w:p w14:paraId="0D6E51BB" w14:textId="77777777" w:rsidR="00C53D76" w:rsidRDefault="00C53D76" w:rsidP="0028726C">
      <w:pPr>
        <w:rPr>
          <w:rFonts w:cs="Arial"/>
          <w:sz w:val="22"/>
          <w:szCs w:val="22"/>
        </w:rPr>
      </w:pPr>
    </w:p>
    <w:p w14:paraId="70891EA9" w14:textId="77777777" w:rsidR="00C53D76" w:rsidRDefault="0028726C" w:rsidP="000D05A3">
      <w:pPr>
        <w:pStyle w:val="Ttulo4"/>
      </w:pPr>
      <w:bookmarkStart w:id="830" w:name="_Ref132639814"/>
      <w:r w:rsidRPr="0028726C">
        <w:t>GASES DE OCCIDENTE</w:t>
      </w:r>
      <w:bookmarkEnd w:id="830"/>
      <w:r w:rsidRPr="0028726C">
        <w:tab/>
      </w:r>
    </w:p>
    <w:p w14:paraId="0B7CEB90" w14:textId="3CA03F9B" w:rsidR="0028726C" w:rsidRDefault="007F2E6A" w:rsidP="0028726C">
      <w:pPr>
        <w:rPr>
          <w:rFonts w:cs="Arial"/>
          <w:sz w:val="22"/>
          <w:szCs w:val="22"/>
        </w:rPr>
      </w:pPr>
      <w:r>
        <w:rPr>
          <w:rFonts w:cs="Arial"/>
          <w:i/>
          <w:iCs/>
          <w:sz w:val="22"/>
          <w:szCs w:val="22"/>
        </w:rPr>
        <w:t>“</w:t>
      </w:r>
      <w:r w:rsidR="0028726C" w:rsidRPr="00AF65E1">
        <w:rPr>
          <w:rFonts w:cs="Arial"/>
          <w:i/>
          <w:iCs/>
          <w:sz w:val="22"/>
          <w:szCs w:val="22"/>
        </w:rPr>
        <w:t>Así mismo consideramos en caso de balance deficitario, que la propuesta de la CREG en el sentido de que la falta de acuerdo entre las partes sobre los términos de los contratos de suministro que se suscribirán para atender la Demanda Esencial, da lugar a la “liberación” de las cantidades y que dichas cantidades pueden ser usadas por los vendedores en otras negociaciones o en los procesos de asignación de las cantidades remanentes a la demanda diferente a la Demanda Esencial, contraviene el que coloquialmente se ha denominado Estatuto de Racionamiento Gas expedido por el MME</w:t>
      </w:r>
      <w:r w:rsidR="0028726C" w:rsidRPr="0028726C">
        <w:rPr>
          <w:rFonts w:cs="Arial"/>
          <w:sz w:val="22"/>
          <w:szCs w:val="22"/>
        </w:rPr>
        <w:t>.</w:t>
      </w:r>
      <w:r>
        <w:rPr>
          <w:rFonts w:cs="Arial"/>
          <w:sz w:val="22"/>
          <w:szCs w:val="22"/>
        </w:rPr>
        <w:t>”</w:t>
      </w:r>
    </w:p>
    <w:p w14:paraId="56970501" w14:textId="77777777" w:rsidR="00AF65E1" w:rsidRDefault="00AF65E1" w:rsidP="0028726C">
      <w:pPr>
        <w:rPr>
          <w:rFonts w:cs="Arial"/>
          <w:sz w:val="22"/>
          <w:szCs w:val="22"/>
        </w:rPr>
      </w:pPr>
    </w:p>
    <w:p w14:paraId="16F9DC8F" w14:textId="56E4930B" w:rsidR="00AF65E1" w:rsidRPr="00AF65E1" w:rsidRDefault="00AF65E1" w:rsidP="0028726C">
      <w:pPr>
        <w:rPr>
          <w:rFonts w:cs="Arial"/>
          <w:b/>
          <w:bCs/>
          <w:sz w:val="22"/>
          <w:szCs w:val="22"/>
        </w:rPr>
      </w:pPr>
      <w:r w:rsidRPr="00AF65E1">
        <w:rPr>
          <w:rFonts w:cs="Arial"/>
          <w:b/>
          <w:bCs/>
          <w:sz w:val="22"/>
          <w:szCs w:val="22"/>
        </w:rPr>
        <w:t>Respuesta:</w:t>
      </w:r>
    </w:p>
    <w:p w14:paraId="3EA261E5" w14:textId="77777777" w:rsidR="00AF65E1" w:rsidRDefault="00AF65E1" w:rsidP="0028726C">
      <w:pPr>
        <w:rPr>
          <w:rFonts w:cs="Arial"/>
          <w:sz w:val="22"/>
          <w:szCs w:val="22"/>
        </w:rPr>
      </w:pPr>
    </w:p>
    <w:p w14:paraId="36C93E83" w14:textId="7AB9AE75" w:rsidR="001F08B5" w:rsidRDefault="001F08B5" w:rsidP="001F08B5">
      <w:pPr>
        <w:rPr>
          <w:rFonts w:cs="Arial"/>
          <w:sz w:val="22"/>
          <w:szCs w:val="22"/>
        </w:rPr>
      </w:pPr>
      <w:r>
        <w:rPr>
          <w:rFonts w:cs="Arial"/>
          <w:sz w:val="22"/>
          <w:szCs w:val="22"/>
        </w:rPr>
        <w:t xml:space="preserve">No se explica en el comentario cómo la posibilidad de liberar cantidades por la no firma de un contrato para atender la Demanda Esencial contraviene lo que se llama en el comentario el </w:t>
      </w:r>
      <w:r w:rsidR="00D022DE">
        <w:rPr>
          <w:rFonts w:cs="Arial"/>
          <w:sz w:val="22"/>
          <w:szCs w:val="22"/>
        </w:rPr>
        <w:t>E</w:t>
      </w:r>
      <w:r>
        <w:rPr>
          <w:rFonts w:cs="Arial"/>
          <w:sz w:val="22"/>
          <w:szCs w:val="22"/>
        </w:rPr>
        <w:t>statuto de Racionamiento expedido por el MME, en el que entendemos que lo que se hace es activar una declaración del Gobierno para priorizar el suministro de gas disponible que se encuentra limitado, a cierto tipo de demanda llamada Demanda Esencial.</w:t>
      </w:r>
    </w:p>
    <w:p w14:paraId="37493285" w14:textId="77777777" w:rsidR="001F08B5" w:rsidRDefault="001F08B5" w:rsidP="001F08B5">
      <w:pPr>
        <w:rPr>
          <w:rFonts w:cs="Arial"/>
          <w:sz w:val="22"/>
          <w:szCs w:val="22"/>
        </w:rPr>
      </w:pPr>
    </w:p>
    <w:p w14:paraId="1324E4AE" w14:textId="1A121D85" w:rsidR="001F08B5" w:rsidRPr="0028726C" w:rsidRDefault="001F08B5" w:rsidP="001F08B5">
      <w:pPr>
        <w:rPr>
          <w:rFonts w:cs="Arial"/>
          <w:sz w:val="22"/>
          <w:szCs w:val="22"/>
        </w:rPr>
      </w:pPr>
      <w:r>
        <w:rPr>
          <w:rFonts w:cs="Arial"/>
          <w:sz w:val="22"/>
          <w:szCs w:val="22"/>
        </w:rPr>
        <w:t xml:space="preserve">En la nueva propuesta se han incluido más condiciones de modo de que se minimice la posibilidad de que no se firme finalmente un contrato para atender Demanda Esencial por motivación justa, cuando las cantidades a comprometer han resultado asignadas como parte del esquema del MADE. </w:t>
      </w:r>
    </w:p>
    <w:p w14:paraId="1D761F44" w14:textId="0F749D2C" w:rsidR="00C53D76" w:rsidRDefault="00C53D76" w:rsidP="0028726C">
      <w:pPr>
        <w:rPr>
          <w:rFonts w:cs="Arial"/>
          <w:sz w:val="22"/>
          <w:szCs w:val="22"/>
        </w:rPr>
      </w:pPr>
    </w:p>
    <w:p w14:paraId="07BE5523" w14:textId="77777777" w:rsidR="00002A82" w:rsidRDefault="00002A82" w:rsidP="0028726C">
      <w:pPr>
        <w:rPr>
          <w:rFonts w:cs="Arial"/>
          <w:sz w:val="22"/>
          <w:szCs w:val="22"/>
        </w:rPr>
      </w:pPr>
    </w:p>
    <w:p w14:paraId="54A94A29" w14:textId="77777777" w:rsidR="00C53D76" w:rsidRDefault="0028726C" w:rsidP="0090195C">
      <w:pPr>
        <w:pStyle w:val="Ttulo2"/>
      </w:pPr>
      <w:bookmarkStart w:id="831" w:name="_Toc140506438"/>
      <w:r w:rsidRPr="0028726C">
        <w:t>GASES DEL CARIBE</w:t>
      </w:r>
      <w:bookmarkEnd w:id="831"/>
      <w:r w:rsidRPr="0028726C">
        <w:tab/>
      </w:r>
    </w:p>
    <w:p w14:paraId="425A8984" w14:textId="77777777" w:rsidR="00002A82" w:rsidRDefault="00002A82" w:rsidP="000D05A3">
      <w:pPr>
        <w:pStyle w:val="Ttulo4"/>
      </w:pPr>
      <w:r w:rsidRPr="0028726C">
        <w:t>GASES DEL CARIBE</w:t>
      </w:r>
      <w:r w:rsidRPr="0028726C">
        <w:tab/>
      </w:r>
    </w:p>
    <w:p w14:paraId="5265BC5E" w14:textId="65065930" w:rsidR="0028726C" w:rsidRPr="007B78FD" w:rsidRDefault="008C6BC0" w:rsidP="0028726C">
      <w:pPr>
        <w:rPr>
          <w:rFonts w:cs="Arial"/>
          <w:i/>
          <w:iCs/>
          <w:sz w:val="22"/>
          <w:szCs w:val="22"/>
        </w:rPr>
      </w:pPr>
      <w:r>
        <w:rPr>
          <w:rFonts w:cs="Arial"/>
          <w:i/>
          <w:iCs/>
          <w:sz w:val="22"/>
          <w:szCs w:val="22"/>
        </w:rPr>
        <w:t>“</w:t>
      </w:r>
      <w:r w:rsidR="0028726C" w:rsidRPr="007B78FD">
        <w:rPr>
          <w:rFonts w:cs="Arial"/>
          <w:i/>
          <w:iCs/>
          <w:sz w:val="22"/>
          <w:szCs w:val="22"/>
        </w:rPr>
        <w:t>Se pregunta: ¿al que se hace relación, se involucran todos los campos con independencia de su condición?</w:t>
      </w:r>
      <w:r>
        <w:rPr>
          <w:rFonts w:cs="Arial"/>
          <w:i/>
          <w:iCs/>
          <w:sz w:val="22"/>
          <w:szCs w:val="22"/>
        </w:rPr>
        <w:t>”</w:t>
      </w:r>
    </w:p>
    <w:p w14:paraId="46F19C95" w14:textId="77777777" w:rsidR="007B78FD" w:rsidRDefault="007B78FD" w:rsidP="0028726C">
      <w:pPr>
        <w:rPr>
          <w:rFonts w:cs="Arial"/>
          <w:sz w:val="22"/>
          <w:szCs w:val="22"/>
        </w:rPr>
      </w:pPr>
    </w:p>
    <w:p w14:paraId="5E9FF8FA" w14:textId="77777777" w:rsidR="007B78FD" w:rsidRDefault="007B78FD" w:rsidP="007B78FD">
      <w:pPr>
        <w:rPr>
          <w:rFonts w:cs="Arial"/>
          <w:b/>
          <w:bCs/>
          <w:sz w:val="22"/>
          <w:szCs w:val="22"/>
        </w:rPr>
      </w:pPr>
      <w:r w:rsidRPr="00C676D0">
        <w:rPr>
          <w:rFonts w:cs="Arial"/>
          <w:b/>
          <w:bCs/>
          <w:sz w:val="22"/>
          <w:szCs w:val="22"/>
        </w:rPr>
        <w:t>Respuesta:</w:t>
      </w:r>
    </w:p>
    <w:p w14:paraId="56194E86" w14:textId="77777777" w:rsidR="007B78FD" w:rsidRPr="00C676D0" w:rsidRDefault="007B78FD" w:rsidP="007B78FD">
      <w:pPr>
        <w:rPr>
          <w:rFonts w:cs="Arial"/>
          <w:b/>
          <w:bCs/>
          <w:sz w:val="22"/>
          <w:szCs w:val="22"/>
        </w:rPr>
      </w:pPr>
    </w:p>
    <w:p w14:paraId="24D7CFAD" w14:textId="1C18707F" w:rsidR="007B78FD" w:rsidRDefault="007B78FD" w:rsidP="007B78FD">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_Ref132289884 \r \h </w:instrText>
      </w:r>
      <w:r>
        <w:rPr>
          <w:rFonts w:cs="Arial"/>
          <w:sz w:val="22"/>
          <w:szCs w:val="22"/>
        </w:rPr>
      </w:r>
      <w:r>
        <w:rPr>
          <w:rFonts w:cs="Arial"/>
          <w:sz w:val="22"/>
          <w:szCs w:val="22"/>
        </w:rPr>
        <w:fldChar w:fldCharType="separate"/>
      </w:r>
      <w:r>
        <w:rPr>
          <w:rFonts w:cs="Arial"/>
          <w:sz w:val="22"/>
          <w:szCs w:val="22"/>
        </w:rPr>
        <w:t>19.12.1.1</w:t>
      </w:r>
      <w:r>
        <w:rPr>
          <w:rFonts w:cs="Arial"/>
          <w:sz w:val="22"/>
          <w:szCs w:val="22"/>
        </w:rPr>
        <w:fldChar w:fldCharType="end"/>
      </w:r>
      <w:r>
        <w:rPr>
          <w:rFonts w:cs="Arial"/>
          <w:sz w:val="22"/>
          <w:szCs w:val="22"/>
        </w:rPr>
        <w:t>.</w:t>
      </w:r>
    </w:p>
    <w:p w14:paraId="69F45CFB" w14:textId="77777777" w:rsidR="007B78FD" w:rsidRPr="0028726C" w:rsidRDefault="007B78FD" w:rsidP="0028726C">
      <w:pPr>
        <w:rPr>
          <w:rFonts w:cs="Arial"/>
          <w:sz w:val="22"/>
          <w:szCs w:val="22"/>
        </w:rPr>
      </w:pPr>
    </w:p>
    <w:p w14:paraId="6DFFB614" w14:textId="77777777" w:rsidR="00C53D76" w:rsidRDefault="00C53D76" w:rsidP="0028726C">
      <w:pPr>
        <w:rPr>
          <w:rFonts w:cs="Arial"/>
          <w:sz w:val="22"/>
          <w:szCs w:val="22"/>
        </w:rPr>
      </w:pPr>
    </w:p>
    <w:p w14:paraId="3DB07B96" w14:textId="77777777" w:rsidR="00C53D76" w:rsidRDefault="0028726C" w:rsidP="000D05A3">
      <w:pPr>
        <w:pStyle w:val="Ttulo4"/>
      </w:pPr>
      <w:r w:rsidRPr="0028726C">
        <w:t>GASES DEL CARIBE</w:t>
      </w:r>
      <w:r w:rsidRPr="0028726C">
        <w:tab/>
      </w:r>
    </w:p>
    <w:p w14:paraId="23F83FD0" w14:textId="6C4709C3" w:rsidR="0028726C" w:rsidRPr="007B78FD" w:rsidRDefault="008C6BC0" w:rsidP="0028726C">
      <w:pPr>
        <w:rPr>
          <w:rFonts w:cs="Arial"/>
          <w:i/>
          <w:iCs/>
          <w:sz w:val="22"/>
          <w:szCs w:val="22"/>
        </w:rPr>
      </w:pPr>
      <w:r>
        <w:rPr>
          <w:rFonts w:cs="Arial"/>
          <w:i/>
          <w:iCs/>
          <w:sz w:val="22"/>
          <w:szCs w:val="22"/>
        </w:rPr>
        <w:t>“</w:t>
      </w:r>
      <w:r w:rsidR="0028726C" w:rsidRPr="007B78FD">
        <w:rPr>
          <w:rFonts w:cs="Arial"/>
          <w:i/>
          <w:iCs/>
          <w:sz w:val="22"/>
          <w:szCs w:val="22"/>
        </w:rPr>
        <w:t>En consideración a que para este momento todos los productores e importadores tuvieron que haber hecho la declaración ante el ministerio de la PTDVF y de la CIDVF, abrir la oportunidad para una declaración distinta, permitiría que las cantidades fueran diferentes. Esto debe ser regulado de manera más estricta por el regulador, de manera tal que no se abra una posibilidad para que los volúmenes de venta de gas se afecten respecto de lo que se declaró frente al mercado</w:t>
      </w:r>
      <w:r>
        <w:rPr>
          <w:rFonts w:cs="Arial"/>
          <w:i/>
          <w:iCs/>
          <w:sz w:val="22"/>
          <w:szCs w:val="22"/>
        </w:rPr>
        <w:t>”</w:t>
      </w:r>
    </w:p>
    <w:p w14:paraId="55F61BEF" w14:textId="77777777" w:rsidR="007B78FD" w:rsidRDefault="007B78FD" w:rsidP="0028726C">
      <w:pPr>
        <w:rPr>
          <w:rFonts w:cs="Arial"/>
          <w:sz w:val="22"/>
          <w:szCs w:val="22"/>
        </w:rPr>
      </w:pPr>
    </w:p>
    <w:p w14:paraId="0A45BFEA" w14:textId="16193DA8" w:rsidR="007B78FD" w:rsidRPr="007B78FD" w:rsidRDefault="007B78FD" w:rsidP="0028726C">
      <w:pPr>
        <w:rPr>
          <w:rFonts w:cs="Arial"/>
          <w:b/>
          <w:bCs/>
          <w:sz w:val="22"/>
          <w:szCs w:val="22"/>
        </w:rPr>
      </w:pPr>
      <w:r w:rsidRPr="007B78FD">
        <w:rPr>
          <w:rFonts w:cs="Arial"/>
          <w:b/>
          <w:bCs/>
          <w:sz w:val="22"/>
          <w:szCs w:val="22"/>
        </w:rPr>
        <w:t>Respuesta:</w:t>
      </w:r>
    </w:p>
    <w:p w14:paraId="16332F72" w14:textId="76D717DF" w:rsidR="007B78FD" w:rsidRDefault="007B78FD" w:rsidP="0028726C">
      <w:pPr>
        <w:rPr>
          <w:rFonts w:cs="Arial"/>
          <w:sz w:val="22"/>
          <w:szCs w:val="22"/>
        </w:rPr>
      </w:pPr>
    </w:p>
    <w:p w14:paraId="2945EEFE" w14:textId="1F1DE6DB" w:rsidR="007B78FD" w:rsidRPr="0028726C" w:rsidRDefault="007B78FD"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_Ref132289923 \r \h </w:instrText>
      </w:r>
      <w:r>
        <w:rPr>
          <w:rFonts w:cs="Arial"/>
          <w:sz w:val="22"/>
          <w:szCs w:val="22"/>
        </w:rPr>
      </w:r>
      <w:r>
        <w:rPr>
          <w:rFonts w:cs="Arial"/>
          <w:sz w:val="22"/>
          <w:szCs w:val="22"/>
        </w:rPr>
        <w:fldChar w:fldCharType="separate"/>
      </w:r>
      <w:r>
        <w:rPr>
          <w:rFonts w:cs="Arial"/>
          <w:sz w:val="22"/>
          <w:szCs w:val="22"/>
        </w:rPr>
        <w:t>19.12.1.2</w:t>
      </w:r>
      <w:r>
        <w:rPr>
          <w:rFonts w:cs="Arial"/>
          <w:sz w:val="22"/>
          <w:szCs w:val="22"/>
        </w:rPr>
        <w:fldChar w:fldCharType="end"/>
      </w:r>
      <w:r>
        <w:rPr>
          <w:rFonts w:cs="Arial"/>
          <w:sz w:val="22"/>
          <w:szCs w:val="22"/>
        </w:rPr>
        <w:t>..</w:t>
      </w:r>
    </w:p>
    <w:p w14:paraId="3564BE70" w14:textId="77777777" w:rsidR="00C53D76" w:rsidRDefault="00C53D76" w:rsidP="0028726C">
      <w:pPr>
        <w:rPr>
          <w:rFonts w:cs="Arial"/>
          <w:sz w:val="22"/>
          <w:szCs w:val="22"/>
        </w:rPr>
      </w:pPr>
    </w:p>
    <w:p w14:paraId="3A013A99" w14:textId="77777777" w:rsidR="007B78FD" w:rsidRDefault="007B78FD" w:rsidP="0028726C">
      <w:pPr>
        <w:rPr>
          <w:rFonts w:cs="Arial"/>
          <w:sz w:val="22"/>
          <w:szCs w:val="22"/>
        </w:rPr>
      </w:pPr>
    </w:p>
    <w:p w14:paraId="69C5EF69" w14:textId="77777777" w:rsidR="00C53D76" w:rsidRDefault="0028726C" w:rsidP="000D05A3">
      <w:pPr>
        <w:pStyle w:val="Ttulo4"/>
      </w:pPr>
      <w:r w:rsidRPr="0028726C">
        <w:t>GASES DEL CARIBE</w:t>
      </w:r>
      <w:r w:rsidRPr="0028726C">
        <w:tab/>
      </w:r>
    </w:p>
    <w:p w14:paraId="05B4C3FE" w14:textId="74EAAB98" w:rsidR="0028726C" w:rsidRPr="007B78FD" w:rsidRDefault="0028726C" w:rsidP="0028726C">
      <w:pPr>
        <w:rPr>
          <w:rFonts w:cs="Arial"/>
          <w:i/>
          <w:iCs/>
          <w:sz w:val="22"/>
          <w:szCs w:val="22"/>
        </w:rPr>
      </w:pPr>
      <w:r w:rsidRPr="0028726C">
        <w:rPr>
          <w:rFonts w:cs="Arial"/>
          <w:sz w:val="22"/>
          <w:szCs w:val="22"/>
        </w:rPr>
        <w:t>"</w:t>
      </w:r>
      <w:r w:rsidRPr="007B78FD">
        <w:rPr>
          <w:rFonts w:cs="Arial"/>
          <w:i/>
          <w:iCs/>
          <w:sz w:val="22"/>
          <w:szCs w:val="22"/>
        </w:rPr>
        <w:t>Respecto de estos se pregunta lo siguiente:</w:t>
      </w:r>
    </w:p>
    <w:p w14:paraId="02CF87F2" w14:textId="77777777" w:rsidR="0028726C" w:rsidRPr="007B78FD" w:rsidRDefault="0028726C" w:rsidP="0028726C">
      <w:pPr>
        <w:rPr>
          <w:rFonts w:cs="Arial"/>
          <w:i/>
          <w:iCs/>
          <w:sz w:val="22"/>
          <w:szCs w:val="22"/>
        </w:rPr>
      </w:pPr>
    </w:p>
    <w:p w14:paraId="6E9F09E1" w14:textId="77777777" w:rsidR="0028726C" w:rsidRPr="0028726C" w:rsidRDefault="0028726C" w:rsidP="0028726C">
      <w:pPr>
        <w:rPr>
          <w:rFonts w:cs="Arial"/>
          <w:sz w:val="22"/>
          <w:szCs w:val="22"/>
        </w:rPr>
      </w:pPr>
      <w:r w:rsidRPr="007B78FD">
        <w:rPr>
          <w:rFonts w:cs="Arial"/>
          <w:i/>
          <w:iCs/>
          <w:sz w:val="22"/>
          <w:szCs w:val="22"/>
        </w:rPr>
        <w:t xml:space="preserve">¿Qué ocurre cuando la infraestructura de GNC o de GNL no le pertenece al </w:t>
      </w:r>
      <w:proofErr w:type="gramStart"/>
      <w:r w:rsidRPr="007B78FD">
        <w:rPr>
          <w:rFonts w:cs="Arial"/>
          <w:i/>
          <w:iCs/>
          <w:sz w:val="22"/>
          <w:szCs w:val="22"/>
        </w:rPr>
        <w:t>productor</w:t>
      </w:r>
      <w:proofErr w:type="gramEnd"/>
      <w:r w:rsidRPr="007B78FD">
        <w:rPr>
          <w:rFonts w:cs="Arial"/>
          <w:i/>
          <w:iCs/>
          <w:sz w:val="22"/>
          <w:szCs w:val="22"/>
        </w:rPr>
        <w:t xml:space="preserve"> sino que debe ser colocada por el comprador</w:t>
      </w:r>
      <w:r w:rsidRPr="0028726C">
        <w:rPr>
          <w:rFonts w:cs="Arial"/>
          <w:sz w:val="22"/>
          <w:szCs w:val="22"/>
        </w:rPr>
        <w:t>?"</w:t>
      </w:r>
    </w:p>
    <w:p w14:paraId="34ECB66C" w14:textId="77777777" w:rsidR="00C53D76" w:rsidRDefault="00C53D76" w:rsidP="0028726C">
      <w:pPr>
        <w:rPr>
          <w:rFonts w:cs="Arial"/>
          <w:sz w:val="22"/>
          <w:szCs w:val="22"/>
        </w:rPr>
      </w:pPr>
    </w:p>
    <w:p w14:paraId="7D696D2E" w14:textId="69E63CA6" w:rsidR="007B78FD" w:rsidRPr="007B78FD" w:rsidRDefault="007B78FD" w:rsidP="0028726C">
      <w:pPr>
        <w:rPr>
          <w:rFonts w:cs="Arial"/>
          <w:b/>
          <w:bCs/>
          <w:sz w:val="22"/>
          <w:szCs w:val="22"/>
        </w:rPr>
      </w:pPr>
      <w:r w:rsidRPr="007B78FD">
        <w:rPr>
          <w:rFonts w:cs="Arial"/>
          <w:b/>
          <w:bCs/>
          <w:sz w:val="22"/>
          <w:szCs w:val="22"/>
        </w:rPr>
        <w:t>Respuesta:</w:t>
      </w:r>
    </w:p>
    <w:p w14:paraId="772057D7" w14:textId="77777777" w:rsidR="007B78FD" w:rsidRDefault="007B78FD" w:rsidP="0028726C">
      <w:pPr>
        <w:rPr>
          <w:rFonts w:cs="Arial"/>
          <w:sz w:val="22"/>
          <w:szCs w:val="22"/>
        </w:rPr>
      </w:pPr>
    </w:p>
    <w:p w14:paraId="5EFEB6FA" w14:textId="47D18B2B" w:rsidR="007B78FD" w:rsidRDefault="007B78FD"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_Ref132289969 \r \h </w:instrText>
      </w:r>
      <w:r>
        <w:rPr>
          <w:rFonts w:cs="Arial"/>
          <w:sz w:val="22"/>
          <w:szCs w:val="22"/>
        </w:rPr>
      </w:r>
      <w:r>
        <w:rPr>
          <w:rFonts w:cs="Arial"/>
          <w:sz w:val="22"/>
          <w:szCs w:val="22"/>
        </w:rPr>
        <w:fldChar w:fldCharType="separate"/>
      </w:r>
      <w:r>
        <w:rPr>
          <w:rFonts w:cs="Arial"/>
          <w:sz w:val="22"/>
          <w:szCs w:val="22"/>
        </w:rPr>
        <w:t>19.12.1.3</w:t>
      </w:r>
      <w:r>
        <w:rPr>
          <w:rFonts w:cs="Arial"/>
          <w:sz w:val="22"/>
          <w:szCs w:val="22"/>
        </w:rPr>
        <w:fldChar w:fldCharType="end"/>
      </w:r>
      <w:r>
        <w:rPr>
          <w:rFonts w:cs="Arial"/>
          <w:sz w:val="22"/>
          <w:szCs w:val="22"/>
        </w:rPr>
        <w:t>.</w:t>
      </w:r>
    </w:p>
    <w:p w14:paraId="1A736206" w14:textId="77777777" w:rsidR="007B78FD" w:rsidRDefault="007B78FD" w:rsidP="0028726C">
      <w:pPr>
        <w:rPr>
          <w:rFonts w:cs="Arial"/>
          <w:sz w:val="22"/>
          <w:szCs w:val="22"/>
        </w:rPr>
      </w:pPr>
    </w:p>
    <w:p w14:paraId="08F4A0B8" w14:textId="77777777" w:rsidR="007B78FD" w:rsidRDefault="007B78FD" w:rsidP="0028726C">
      <w:pPr>
        <w:rPr>
          <w:rFonts w:cs="Arial"/>
          <w:sz w:val="22"/>
          <w:szCs w:val="22"/>
        </w:rPr>
      </w:pPr>
    </w:p>
    <w:p w14:paraId="5CCC255A" w14:textId="77777777" w:rsidR="00C53D76" w:rsidRPr="000D05A3" w:rsidRDefault="0028726C" w:rsidP="000D05A3">
      <w:pPr>
        <w:pStyle w:val="Ttulo4"/>
      </w:pPr>
      <w:r w:rsidRPr="000D05A3">
        <w:t>GASES DEL CARIBE</w:t>
      </w:r>
      <w:r w:rsidRPr="000D05A3">
        <w:tab/>
      </w:r>
    </w:p>
    <w:p w14:paraId="664AFB11" w14:textId="71D7ED04" w:rsidR="0028726C" w:rsidRPr="007B78FD" w:rsidRDefault="008C6BC0" w:rsidP="0028726C">
      <w:pPr>
        <w:rPr>
          <w:rFonts w:cs="Arial"/>
          <w:i/>
          <w:iCs/>
          <w:sz w:val="22"/>
          <w:szCs w:val="22"/>
        </w:rPr>
      </w:pPr>
      <w:r>
        <w:rPr>
          <w:rFonts w:cs="Arial"/>
          <w:i/>
          <w:iCs/>
          <w:sz w:val="22"/>
          <w:szCs w:val="22"/>
        </w:rPr>
        <w:t>“</w:t>
      </w:r>
      <w:r w:rsidR="0028726C" w:rsidRPr="007B78FD">
        <w:rPr>
          <w:rFonts w:cs="Arial"/>
          <w:i/>
          <w:iCs/>
          <w:sz w:val="22"/>
          <w:szCs w:val="22"/>
        </w:rPr>
        <w:t>No es clara la razón por la cual el regulador le permite al productor hacer una declaración menor a aquella que hizo frente al ministerio de minas y energía. Cualquier variación respecto de la declaración hecha al ministerio de minas y energía, o para aumentar las, debe ser claramente explicado y sustentado de manera pública, de forma tal que el Mercado tenga tranquilidad respecto del comportamiento de los agentes en la cadena</w:t>
      </w:r>
      <w:r w:rsidR="007B78FD" w:rsidRPr="007B78FD">
        <w:rPr>
          <w:rFonts w:cs="Arial"/>
          <w:i/>
          <w:iCs/>
          <w:sz w:val="22"/>
          <w:szCs w:val="22"/>
        </w:rPr>
        <w:t>.</w:t>
      </w:r>
      <w:r>
        <w:rPr>
          <w:rFonts w:cs="Arial"/>
          <w:i/>
          <w:iCs/>
          <w:sz w:val="22"/>
          <w:szCs w:val="22"/>
        </w:rPr>
        <w:t>”</w:t>
      </w:r>
    </w:p>
    <w:p w14:paraId="0C420B77" w14:textId="77777777" w:rsidR="007B78FD" w:rsidRDefault="007B78FD" w:rsidP="0028726C">
      <w:pPr>
        <w:rPr>
          <w:rFonts w:cs="Arial"/>
          <w:sz w:val="22"/>
          <w:szCs w:val="22"/>
        </w:rPr>
      </w:pPr>
    </w:p>
    <w:p w14:paraId="1668A569" w14:textId="007D5786" w:rsidR="007B78FD" w:rsidRPr="007B78FD" w:rsidRDefault="007B78FD" w:rsidP="0028726C">
      <w:pPr>
        <w:rPr>
          <w:rFonts w:cs="Arial"/>
          <w:b/>
          <w:bCs/>
          <w:sz w:val="22"/>
          <w:szCs w:val="22"/>
        </w:rPr>
      </w:pPr>
      <w:r w:rsidRPr="007B78FD">
        <w:rPr>
          <w:rFonts w:cs="Arial"/>
          <w:b/>
          <w:bCs/>
          <w:sz w:val="22"/>
          <w:szCs w:val="22"/>
        </w:rPr>
        <w:t>Respuesta:</w:t>
      </w:r>
    </w:p>
    <w:p w14:paraId="26671D31" w14:textId="77777777" w:rsidR="007B78FD" w:rsidRDefault="007B78FD" w:rsidP="0028726C">
      <w:pPr>
        <w:rPr>
          <w:rFonts w:cs="Arial"/>
          <w:sz w:val="22"/>
          <w:szCs w:val="22"/>
        </w:rPr>
      </w:pPr>
    </w:p>
    <w:p w14:paraId="5887F520" w14:textId="2CC31191" w:rsidR="007B78FD" w:rsidRDefault="007B78FD"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_Ref132262088 \r \h </w:instrText>
      </w:r>
      <w:r>
        <w:rPr>
          <w:rFonts w:cs="Arial"/>
          <w:sz w:val="22"/>
          <w:szCs w:val="22"/>
        </w:rPr>
      </w:r>
      <w:r>
        <w:rPr>
          <w:rFonts w:cs="Arial"/>
          <w:sz w:val="22"/>
          <w:szCs w:val="22"/>
        </w:rPr>
        <w:fldChar w:fldCharType="separate"/>
      </w:r>
      <w:r>
        <w:rPr>
          <w:rFonts w:cs="Arial"/>
          <w:sz w:val="22"/>
          <w:szCs w:val="22"/>
        </w:rPr>
        <w:t>19.12.1.4</w:t>
      </w:r>
      <w:r>
        <w:rPr>
          <w:rFonts w:cs="Arial"/>
          <w:sz w:val="22"/>
          <w:szCs w:val="22"/>
        </w:rPr>
        <w:fldChar w:fldCharType="end"/>
      </w:r>
      <w:r>
        <w:rPr>
          <w:rFonts w:cs="Arial"/>
          <w:sz w:val="22"/>
          <w:szCs w:val="22"/>
        </w:rPr>
        <w:t>.</w:t>
      </w:r>
    </w:p>
    <w:p w14:paraId="212A0E3B" w14:textId="77777777" w:rsidR="007B78FD" w:rsidRPr="0028726C" w:rsidRDefault="007B78FD" w:rsidP="0028726C">
      <w:pPr>
        <w:rPr>
          <w:rFonts w:cs="Arial"/>
          <w:sz w:val="22"/>
          <w:szCs w:val="22"/>
        </w:rPr>
      </w:pPr>
    </w:p>
    <w:p w14:paraId="0B9A9E3D" w14:textId="77777777" w:rsidR="00C53D76" w:rsidRDefault="00C53D76" w:rsidP="0028726C">
      <w:pPr>
        <w:rPr>
          <w:rFonts w:cs="Arial"/>
          <w:sz w:val="22"/>
          <w:szCs w:val="22"/>
        </w:rPr>
      </w:pPr>
    </w:p>
    <w:p w14:paraId="54133302" w14:textId="77777777" w:rsidR="00C53D76" w:rsidRDefault="0028726C" w:rsidP="000D05A3">
      <w:pPr>
        <w:pStyle w:val="Ttulo4"/>
      </w:pPr>
      <w:r w:rsidRPr="0028726C">
        <w:t>GASES DEL CARIBE</w:t>
      </w:r>
      <w:r w:rsidRPr="0028726C">
        <w:tab/>
      </w:r>
    </w:p>
    <w:p w14:paraId="658EB588" w14:textId="45B53731" w:rsidR="0028726C" w:rsidRPr="007B78FD" w:rsidRDefault="0028726C" w:rsidP="0028726C">
      <w:pPr>
        <w:rPr>
          <w:rFonts w:cs="Arial"/>
          <w:i/>
          <w:iCs/>
          <w:sz w:val="22"/>
          <w:szCs w:val="22"/>
        </w:rPr>
      </w:pPr>
      <w:r w:rsidRPr="0028726C">
        <w:rPr>
          <w:rFonts w:cs="Arial"/>
          <w:sz w:val="22"/>
          <w:szCs w:val="22"/>
        </w:rPr>
        <w:t>"</w:t>
      </w:r>
      <w:r w:rsidRPr="007B78FD">
        <w:rPr>
          <w:rFonts w:cs="Arial"/>
          <w:i/>
          <w:iCs/>
          <w:sz w:val="22"/>
          <w:szCs w:val="22"/>
        </w:rPr>
        <w:t xml:space="preserve">Se reitera la necesidad de que el regulador, determine la forma como se define los puntos de referencia, y los criterios que el gestor debe tener en cuenta para la formación de </w:t>
      </w:r>
      <w:proofErr w:type="gramStart"/>
      <w:r w:rsidRPr="007B78FD">
        <w:rPr>
          <w:rFonts w:cs="Arial"/>
          <w:i/>
          <w:iCs/>
          <w:sz w:val="22"/>
          <w:szCs w:val="22"/>
        </w:rPr>
        <w:t>los mismos</w:t>
      </w:r>
      <w:proofErr w:type="gramEnd"/>
      <w:r w:rsidRPr="007B78FD">
        <w:rPr>
          <w:rFonts w:cs="Arial"/>
          <w:i/>
          <w:iCs/>
          <w:sz w:val="22"/>
          <w:szCs w:val="22"/>
        </w:rPr>
        <w:t>.</w:t>
      </w:r>
    </w:p>
    <w:p w14:paraId="2ED71400" w14:textId="77777777" w:rsidR="0028726C" w:rsidRPr="007B78FD" w:rsidRDefault="0028726C" w:rsidP="0028726C">
      <w:pPr>
        <w:rPr>
          <w:rFonts w:cs="Arial"/>
          <w:i/>
          <w:iCs/>
          <w:sz w:val="22"/>
          <w:szCs w:val="22"/>
        </w:rPr>
      </w:pPr>
    </w:p>
    <w:p w14:paraId="0C270591" w14:textId="77777777" w:rsidR="0028726C" w:rsidRPr="007B78FD" w:rsidRDefault="0028726C" w:rsidP="0028726C">
      <w:pPr>
        <w:rPr>
          <w:rFonts w:cs="Arial"/>
          <w:i/>
          <w:iCs/>
          <w:sz w:val="22"/>
          <w:szCs w:val="22"/>
        </w:rPr>
      </w:pPr>
      <w:r w:rsidRPr="007B78FD">
        <w:rPr>
          <w:rFonts w:cs="Arial"/>
          <w:i/>
          <w:iCs/>
          <w:sz w:val="22"/>
          <w:szCs w:val="22"/>
        </w:rPr>
        <w:t>Asimismo, teniendo en cuenta el mecanismo previsto para el funcionamiento de los puntos de referencia, debería incluirse que este debe tener al menos dos por cada punto de referencia."</w:t>
      </w:r>
    </w:p>
    <w:p w14:paraId="2094D659" w14:textId="77777777" w:rsidR="00C53D76" w:rsidRDefault="00C53D76" w:rsidP="0028726C">
      <w:pPr>
        <w:rPr>
          <w:rFonts w:cs="Arial"/>
          <w:sz w:val="22"/>
          <w:szCs w:val="22"/>
        </w:rPr>
      </w:pPr>
    </w:p>
    <w:p w14:paraId="150A467E" w14:textId="77777777" w:rsidR="007B78FD" w:rsidRPr="00CF6543" w:rsidRDefault="007B78FD" w:rsidP="007B78FD">
      <w:pPr>
        <w:rPr>
          <w:rFonts w:cs="Arial"/>
          <w:b/>
          <w:bCs/>
          <w:sz w:val="22"/>
          <w:szCs w:val="22"/>
        </w:rPr>
      </w:pPr>
      <w:r w:rsidRPr="00CF6543">
        <w:rPr>
          <w:rFonts w:cs="Arial"/>
          <w:b/>
          <w:bCs/>
          <w:sz w:val="22"/>
          <w:szCs w:val="22"/>
        </w:rPr>
        <w:t>Respuesta:</w:t>
      </w:r>
    </w:p>
    <w:p w14:paraId="463EFAA2" w14:textId="77777777" w:rsidR="007B78FD" w:rsidRDefault="007B78FD" w:rsidP="007B78FD">
      <w:pPr>
        <w:rPr>
          <w:rFonts w:cs="Arial"/>
          <w:sz w:val="22"/>
          <w:szCs w:val="22"/>
        </w:rPr>
      </w:pPr>
    </w:p>
    <w:p w14:paraId="792205CB" w14:textId="77777777" w:rsidR="007B78FD" w:rsidRDefault="007B78FD" w:rsidP="007B78FD">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_Ref130533713 \r \h </w:instrText>
      </w:r>
      <w:r>
        <w:rPr>
          <w:rFonts w:cs="Arial"/>
          <w:sz w:val="22"/>
          <w:szCs w:val="22"/>
        </w:rPr>
      </w:r>
      <w:r>
        <w:rPr>
          <w:rFonts w:cs="Arial"/>
          <w:sz w:val="22"/>
          <w:szCs w:val="22"/>
        </w:rPr>
        <w:fldChar w:fldCharType="separate"/>
      </w:r>
      <w:r>
        <w:rPr>
          <w:rFonts w:cs="Arial"/>
          <w:sz w:val="22"/>
          <w:szCs w:val="22"/>
        </w:rPr>
        <w:t>4.7.1.3</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_Ref132185996 \r \h </w:instrText>
      </w:r>
      <w:r>
        <w:rPr>
          <w:rFonts w:cs="Arial"/>
          <w:sz w:val="22"/>
          <w:szCs w:val="22"/>
        </w:rPr>
      </w:r>
      <w:r>
        <w:rPr>
          <w:rFonts w:cs="Arial"/>
          <w:sz w:val="22"/>
          <w:szCs w:val="22"/>
        </w:rPr>
        <w:fldChar w:fldCharType="separate"/>
      </w:r>
      <w:r>
        <w:rPr>
          <w:rFonts w:cs="Arial"/>
          <w:sz w:val="22"/>
          <w:szCs w:val="22"/>
        </w:rPr>
        <w:t>19.2.1.1</w:t>
      </w:r>
      <w:r>
        <w:rPr>
          <w:rFonts w:cs="Arial"/>
          <w:sz w:val="22"/>
          <w:szCs w:val="22"/>
        </w:rPr>
        <w:fldChar w:fldCharType="end"/>
      </w:r>
      <w:r>
        <w:rPr>
          <w:rFonts w:cs="Arial"/>
          <w:sz w:val="22"/>
          <w:szCs w:val="22"/>
        </w:rPr>
        <w:t>.</w:t>
      </w:r>
    </w:p>
    <w:p w14:paraId="3B7E56E0" w14:textId="77777777" w:rsidR="007B78FD" w:rsidRDefault="007B78FD" w:rsidP="0028726C">
      <w:pPr>
        <w:rPr>
          <w:rFonts w:cs="Arial"/>
          <w:sz w:val="22"/>
          <w:szCs w:val="22"/>
        </w:rPr>
      </w:pPr>
    </w:p>
    <w:p w14:paraId="033EA345" w14:textId="77777777" w:rsidR="007B78FD" w:rsidRDefault="007B78FD" w:rsidP="0028726C">
      <w:pPr>
        <w:rPr>
          <w:rFonts w:cs="Arial"/>
          <w:sz w:val="22"/>
          <w:szCs w:val="22"/>
        </w:rPr>
      </w:pPr>
    </w:p>
    <w:p w14:paraId="74DEFEB1" w14:textId="77777777" w:rsidR="00C53D76" w:rsidRDefault="0028726C" w:rsidP="000D05A3">
      <w:pPr>
        <w:pStyle w:val="Ttulo4"/>
      </w:pPr>
      <w:r w:rsidRPr="0028726C">
        <w:t>GASES DEL CARIBE</w:t>
      </w:r>
      <w:r w:rsidRPr="0028726C">
        <w:tab/>
      </w:r>
    </w:p>
    <w:p w14:paraId="500D3CAE" w14:textId="1ABFD8B7" w:rsidR="0028726C" w:rsidRPr="007B78FD" w:rsidRDefault="008C6BC0" w:rsidP="0028726C">
      <w:pPr>
        <w:rPr>
          <w:rFonts w:cs="Arial"/>
          <w:i/>
          <w:iCs/>
          <w:sz w:val="22"/>
          <w:szCs w:val="22"/>
        </w:rPr>
      </w:pPr>
      <w:r>
        <w:rPr>
          <w:rFonts w:cs="Arial"/>
          <w:i/>
          <w:iCs/>
          <w:sz w:val="22"/>
          <w:szCs w:val="22"/>
        </w:rPr>
        <w:t>“</w:t>
      </w:r>
      <w:r w:rsidR="0028726C" w:rsidRPr="007B78FD">
        <w:rPr>
          <w:rFonts w:cs="Arial"/>
          <w:i/>
          <w:iCs/>
          <w:sz w:val="22"/>
          <w:szCs w:val="22"/>
        </w:rPr>
        <w:t xml:space="preserve">De acuerdo con lo que se establece la resolución, es evidente </w:t>
      </w:r>
      <w:proofErr w:type="gramStart"/>
      <w:r w:rsidR="0028726C" w:rsidRPr="007B78FD">
        <w:rPr>
          <w:rFonts w:cs="Arial"/>
          <w:i/>
          <w:iCs/>
          <w:sz w:val="22"/>
          <w:szCs w:val="22"/>
        </w:rPr>
        <w:t>que</w:t>
      </w:r>
      <w:proofErr w:type="gramEnd"/>
      <w:r w:rsidR="0028726C" w:rsidRPr="007B78FD">
        <w:rPr>
          <w:rFonts w:cs="Arial"/>
          <w:i/>
          <w:iCs/>
          <w:sz w:val="22"/>
          <w:szCs w:val="22"/>
        </w:rPr>
        <w:t xml:space="preserve"> para esta etapa del mecanismo, los compradores no tienen ningún tipo de señal respecto del precio del gas a adquirir.  En ese sentido, se entiende que las declaraciones de las </w:t>
      </w:r>
      <w:proofErr w:type="gramStart"/>
      <w:r w:rsidR="0028726C" w:rsidRPr="007B78FD">
        <w:rPr>
          <w:rFonts w:cs="Arial"/>
          <w:i/>
          <w:iCs/>
          <w:sz w:val="22"/>
          <w:szCs w:val="22"/>
        </w:rPr>
        <w:t>cantidades,</w:t>
      </w:r>
      <w:proofErr w:type="gramEnd"/>
      <w:r w:rsidR="0028726C" w:rsidRPr="007B78FD">
        <w:rPr>
          <w:rFonts w:cs="Arial"/>
          <w:i/>
          <w:iCs/>
          <w:sz w:val="22"/>
          <w:szCs w:val="22"/>
        </w:rPr>
        <w:t xml:space="preserve"> se darían bajo unos supuestos que cada comprador tendría, que podrían alterarse al momento que los productores revelen el precio.</w:t>
      </w:r>
      <w:r>
        <w:rPr>
          <w:rFonts w:cs="Arial"/>
          <w:i/>
          <w:iCs/>
          <w:sz w:val="22"/>
          <w:szCs w:val="22"/>
        </w:rPr>
        <w:t>”</w:t>
      </w:r>
    </w:p>
    <w:p w14:paraId="1A167CBF" w14:textId="77777777" w:rsidR="007B78FD" w:rsidRDefault="007B78FD" w:rsidP="0028726C">
      <w:pPr>
        <w:rPr>
          <w:rFonts w:cs="Arial"/>
          <w:sz w:val="22"/>
          <w:szCs w:val="22"/>
        </w:rPr>
      </w:pPr>
    </w:p>
    <w:p w14:paraId="3FEC97E3" w14:textId="77777777" w:rsidR="007B78FD" w:rsidRPr="008B15F8" w:rsidRDefault="007B78FD" w:rsidP="007B78FD">
      <w:pPr>
        <w:rPr>
          <w:rFonts w:cs="Arial"/>
          <w:b/>
          <w:bCs/>
          <w:sz w:val="22"/>
          <w:szCs w:val="22"/>
        </w:rPr>
      </w:pPr>
      <w:r w:rsidRPr="008B15F8">
        <w:rPr>
          <w:rFonts w:cs="Arial"/>
          <w:b/>
          <w:bCs/>
          <w:sz w:val="22"/>
          <w:szCs w:val="22"/>
        </w:rPr>
        <w:t>Respuesta:</w:t>
      </w:r>
    </w:p>
    <w:p w14:paraId="728BACA3" w14:textId="77777777" w:rsidR="007B78FD" w:rsidRDefault="007B78FD" w:rsidP="007B78FD">
      <w:pPr>
        <w:rPr>
          <w:rFonts w:cs="Arial"/>
          <w:sz w:val="22"/>
          <w:szCs w:val="22"/>
        </w:rPr>
      </w:pPr>
    </w:p>
    <w:p w14:paraId="736AECDC" w14:textId="77777777" w:rsidR="007B78FD" w:rsidRDefault="007B78FD" w:rsidP="007B78FD">
      <w:pPr>
        <w:rPr>
          <w:rFonts w:cs="Arial"/>
          <w:sz w:val="22"/>
          <w:szCs w:val="22"/>
        </w:rPr>
      </w:pPr>
      <w:r w:rsidRPr="003236A6">
        <w:rPr>
          <w:rFonts w:cs="Arial"/>
          <w:sz w:val="22"/>
          <w:szCs w:val="22"/>
        </w:rPr>
        <w:t xml:space="preserve">Ver numeral a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sidRPr="003236A6">
        <w:rPr>
          <w:rFonts w:cs="Arial"/>
          <w:sz w:val="22"/>
          <w:szCs w:val="22"/>
        </w:rPr>
        <w:t xml:space="preserve"> y ver respuesta a </w:t>
      </w:r>
      <w:r>
        <w:rPr>
          <w:rFonts w:cs="Arial"/>
          <w:sz w:val="22"/>
          <w:szCs w:val="22"/>
        </w:rPr>
        <w:fldChar w:fldCharType="begin"/>
      </w:r>
      <w:r>
        <w:rPr>
          <w:rFonts w:cs="Arial"/>
          <w:sz w:val="22"/>
          <w:szCs w:val="22"/>
        </w:rPr>
        <w:instrText xml:space="preserve"> REF _Ref132117030 \r \h </w:instrText>
      </w:r>
      <w:r>
        <w:rPr>
          <w:rFonts w:cs="Arial"/>
          <w:sz w:val="22"/>
          <w:szCs w:val="22"/>
        </w:rPr>
      </w:r>
      <w:r>
        <w:rPr>
          <w:rFonts w:cs="Arial"/>
          <w:sz w:val="22"/>
          <w:szCs w:val="22"/>
        </w:rPr>
        <w:fldChar w:fldCharType="separate"/>
      </w:r>
      <w:r>
        <w:rPr>
          <w:rFonts w:cs="Arial"/>
          <w:sz w:val="22"/>
          <w:szCs w:val="22"/>
        </w:rPr>
        <w:t>19.3.1.2</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_Ref132198348 \r \h </w:instrText>
      </w:r>
      <w:r>
        <w:rPr>
          <w:rFonts w:cs="Arial"/>
          <w:sz w:val="22"/>
          <w:szCs w:val="22"/>
        </w:rPr>
      </w:r>
      <w:r>
        <w:rPr>
          <w:rFonts w:cs="Arial"/>
          <w:sz w:val="22"/>
          <w:szCs w:val="22"/>
        </w:rPr>
        <w:fldChar w:fldCharType="separate"/>
      </w:r>
      <w:r>
        <w:rPr>
          <w:rFonts w:cs="Arial"/>
          <w:sz w:val="22"/>
          <w:szCs w:val="22"/>
        </w:rPr>
        <w:t>19.7.1.4</w:t>
      </w:r>
      <w:r>
        <w:rPr>
          <w:rFonts w:cs="Arial"/>
          <w:sz w:val="22"/>
          <w:szCs w:val="22"/>
        </w:rPr>
        <w:fldChar w:fldCharType="end"/>
      </w:r>
      <w:r w:rsidRPr="003236A6">
        <w:rPr>
          <w:rFonts w:cs="Arial"/>
          <w:sz w:val="22"/>
          <w:szCs w:val="22"/>
        </w:rPr>
        <w:t>.</w:t>
      </w:r>
    </w:p>
    <w:p w14:paraId="3BA811DF" w14:textId="77777777" w:rsidR="00C53D76" w:rsidRDefault="00C53D76" w:rsidP="0028726C">
      <w:pPr>
        <w:rPr>
          <w:rFonts w:cs="Arial"/>
          <w:sz w:val="22"/>
          <w:szCs w:val="22"/>
        </w:rPr>
      </w:pPr>
    </w:p>
    <w:p w14:paraId="4443653A" w14:textId="77777777" w:rsidR="007B78FD" w:rsidRDefault="007B78FD" w:rsidP="0028726C">
      <w:pPr>
        <w:rPr>
          <w:rFonts w:cs="Arial"/>
          <w:sz w:val="22"/>
          <w:szCs w:val="22"/>
        </w:rPr>
      </w:pPr>
    </w:p>
    <w:p w14:paraId="72B37415" w14:textId="77777777" w:rsidR="00C53D76" w:rsidRDefault="0028726C" w:rsidP="000D05A3">
      <w:pPr>
        <w:pStyle w:val="Ttulo4"/>
      </w:pPr>
      <w:r w:rsidRPr="0028726C">
        <w:t>GASES DEL CARIBE</w:t>
      </w:r>
      <w:r w:rsidRPr="0028726C">
        <w:tab/>
      </w:r>
    </w:p>
    <w:p w14:paraId="26DDB11C" w14:textId="39C26BEF" w:rsidR="0028726C" w:rsidRPr="007B78FD" w:rsidRDefault="0028726C" w:rsidP="0028726C">
      <w:pPr>
        <w:rPr>
          <w:rFonts w:cs="Arial"/>
          <w:i/>
          <w:iCs/>
          <w:sz w:val="22"/>
          <w:szCs w:val="22"/>
        </w:rPr>
      </w:pPr>
      <w:r w:rsidRPr="0028726C">
        <w:rPr>
          <w:rFonts w:cs="Arial"/>
          <w:sz w:val="22"/>
          <w:szCs w:val="22"/>
        </w:rPr>
        <w:t>"</w:t>
      </w:r>
      <w:r w:rsidRPr="007B78FD">
        <w:rPr>
          <w:rFonts w:cs="Arial"/>
          <w:i/>
          <w:iCs/>
          <w:sz w:val="22"/>
          <w:szCs w:val="22"/>
        </w:rPr>
        <w:t xml:space="preserve">El reporte del respaldo físico resulta un una contradicción, si se tiene en cuenta que todas las ventas que se hagan en el mercado primario deben tener un respaldo físico, y al mismo tiempo, que todas las modalidades que se pueden ofrecer en el mercado primario, corresponden a contratos en firme o que garantizan firmeza se solicita se aclare a qué se refiere el regulador cuando la demanda tiene que determinar que cantidades requieren respaldo físico, y por lo tanto las reservas necesarias para honrar los compromisos, y </w:t>
      </w:r>
      <w:proofErr w:type="spellStart"/>
      <w:r w:rsidRPr="007B78FD">
        <w:rPr>
          <w:rFonts w:cs="Arial"/>
          <w:i/>
          <w:iCs/>
          <w:sz w:val="22"/>
          <w:szCs w:val="22"/>
        </w:rPr>
        <w:t>cuales</w:t>
      </w:r>
      <w:proofErr w:type="spellEnd"/>
      <w:r w:rsidRPr="007B78FD">
        <w:rPr>
          <w:rFonts w:cs="Arial"/>
          <w:i/>
          <w:iCs/>
          <w:sz w:val="22"/>
          <w:szCs w:val="22"/>
        </w:rPr>
        <w:t xml:space="preserve"> son los contratos que se darían sin respaldo físico.</w:t>
      </w:r>
    </w:p>
    <w:p w14:paraId="21E0471B" w14:textId="77777777" w:rsidR="0028726C" w:rsidRPr="007B78FD" w:rsidRDefault="0028726C" w:rsidP="0028726C">
      <w:pPr>
        <w:rPr>
          <w:rFonts w:cs="Arial"/>
          <w:i/>
          <w:iCs/>
          <w:sz w:val="22"/>
          <w:szCs w:val="22"/>
        </w:rPr>
      </w:pPr>
    </w:p>
    <w:p w14:paraId="341498AC" w14:textId="77777777" w:rsidR="0028726C" w:rsidRDefault="0028726C" w:rsidP="0028726C">
      <w:pPr>
        <w:rPr>
          <w:rFonts w:cs="Arial"/>
          <w:sz w:val="22"/>
          <w:szCs w:val="22"/>
        </w:rPr>
      </w:pPr>
      <w:r w:rsidRPr="007B78FD">
        <w:rPr>
          <w:rFonts w:cs="Arial"/>
          <w:i/>
          <w:iCs/>
          <w:sz w:val="22"/>
          <w:szCs w:val="22"/>
        </w:rPr>
        <w:t xml:space="preserve">Al mismo tiempo, se solicita aclarar si esto significa que los Productores podrían ofrecer cantidades sin respaldo físico, </w:t>
      </w:r>
      <w:proofErr w:type="gramStart"/>
      <w:r w:rsidRPr="007B78FD">
        <w:rPr>
          <w:rFonts w:cs="Arial"/>
          <w:i/>
          <w:iCs/>
          <w:sz w:val="22"/>
          <w:szCs w:val="22"/>
        </w:rPr>
        <w:t>y</w:t>
      </w:r>
      <w:proofErr w:type="gramEnd"/>
      <w:r w:rsidRPr="007B78FD">
        <w:rPr>
          <w:rFonts w:cs="Arial"/>
          <w:i/>
          <w:iCs/>
          <w:sz w:val="22"/>
          <w:szCs w:val="22"/>
        </w:rPr>
        <w:t xml:space="preserve"> por tanto, sin reservas. </w:t>
      </w:r>
      <w:proofErr w:type="gramStart"/>
      <w:r w:rsidRPr="007B78FD">
        <w:rPr>
          <w:rFonts w:cs="Arial"/>
          <w:i/>
          <w:iCs/>
          <w:sz w:val="22"/>
          <w:szCs w:val="22"/>
        </w:rPr>
        <w:t>En caso que</w:t>
      </w:r>
      <w:proofErr w:type="gramEnd"/>
      <w:r w:rsidRPr="007B78FD">
        <w:rPr>
          <w:rFonts w:cs="Arial"/>
          <w:i/>
          <w:iCs/>
          <w:sz w:val="22"/>
          <w:szCs w:val="22"/>
        </w:rPr>
        <w:t xml:space="preserve"> sea así, se solicita se incluya dentro del análisis de impacto normativo, y específicamente porque considera el regulador que no se presentaría lo mismo que en el 2010, donde el mercado estaba subcontratado</w:t>
      </w:r>
      <w:r w:rsidRPr="0028726C">
        <w:rPr>
          <w:rFonts w:cs="Arial"/>
          <w:sz w:val="22"/>
          <w:szCs w:val="22"/>
        </w:rPr>
        <w:t>."</w:t>
      </w:r>
    </w:p>
    <w:p w14:paraId="57CF6446" w14:textId="77777777" w:rsidR="007B78FD" w:rsidRDefault="007B78FD" w:rsidP="0028726C">
      <w:pPr>
        <w:rPr>
          <w:rFonts w:cs="Arial"/>
          <w:sz w:val="22"/>
          <w:szCs w:val="22"/>
        </w:rPr>
      </w:pPr>
    </w:p>
    <w:p w14:paraId="1849F805" w14:textId="35277374" w:rsidR="007B78FD" w:rsidRPr="007B78FD" w:rsidRDefault="007B78FD" w:rsidP="0028726C">
      <w:pPr>
        <w:rPr>
          <w:rFonts w:cs="Arial"/>
          <w:b/>
          <w:bCs/>
          <w:sz w:val="22"/>
          <w:szCs w:val="22"/>
        </w:rPr>
      </w:pPr>
      <w:r w:rsidRPr="007B78FD">
        <w:rPr>
          <w:rFonts w:cs="Arial"/>
          <w:b/>
          <w:bCs/>
          <w:sz w:val="22"/>
          <w:szCs w:val="22"/>
        </w:rPr>
        <w:t>Respuesta:</w:t>
      </w:r>
    </w:p>
    <w:p w14:paraId="183266FE" w14:textId="77777777" w:rsidR="007B78FD" w:rsidRDefault="007B78FD" w:rsidP="0028726C">
      <w:pPr>
        <w:rPr>
          <w:rFonts w:cs="Arial"/>
          <w:sz w:val="22"/>
          <w:szCs w:val="22"/>
        </w:rPr>
      </w:pPr>
    </w:p>
    <w:p w14:paraId="54866342" w14:textId="6232E5E1" w:rsidR="007B78FD" w:rsidRDefault="007B78FD"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_Ref132207349 \r \h </w:instrText>
      </w:r>
      <w:r>
        <w:rPr>
          <w:rFonts w:cs="Arial"/>
          <w:sz w:val="22"/>
          <w:szCs w:val="22"/>
        </w:rPr>
      </w:r>
      <w:r>
        <w:rPr>
          <w:rFonts w:cs="Arial"/>
          <w:sz w:val="22"/>
          <w:szCs w:val="22"/>
        </w:rPr>
        <w:fldChar w:fldCharType="separate"/>
      </w:r>
      <w:r>
        <w:rPr>
          <w:rFonts w:cs="Arial"/>
          <w:sz w:val="22"/>
          <w:szCs w:val="22"/>
        </w:rPr>
        <w:t>19.12.1.7</w:t>
      </w:r>
      <w:r>
        <w:rPr>
          <w:rFonts w:cs="Arial"/>
          <w:sz w:val="22"/>
          <w:szCs w:val="22"/>
        </w:rPr>
        <w:fldChar w:fldCharType="end"/>
      </w:r>
      <w:r>
        <w:rPr>
          <w:rFonts w:cs="Arial"/>
          <w:sz w:val="22"/>
          <w:szCs w:val="22"/>
        </w:rPr>
        <w:t>.</w:t>
      </w:r>
    </w:p>
    <w:p w14:paraId="263B16C5" w14:textId="77777777" w:rsidR="007B78FD" w:rsidRPr="0028726C" w:rsidRDefault="007B78FD" w:rsidP="0028726C">
      <w:pPr>
        <w:rPr>
          <w:rFonts w:cs="Arial"/>
          <w:sz w:val="22"/>
          <w:szCs w:val="22"/>
        </w:rPr>
      </w:pPr>
    </w:p>
    <w:p w14:paraId="6A0D04FD" w14:textId="77777777" w:rsidR="00C53D76" w:rsidRDefault="00C53D76" w:rsidP="0028726C">
      <w:pPr>
        <w:rPr>
          <w:rFonts w:cs="Arial"/>
          <w:sz w:val="22"/>
          <w:szCs w:val="22"/>
        </w:rPr>
      </w:pPr>
    </w:p>
    <w:p w14:paraId="6325A1FF" w14:textId="77777777" w:rsidR="00C53D76" w:rsidRDefault="0028726C" w:rsidP="000D05A3">
      <w:pPr>
        <w:pStyle w:val="Ttulo4"/>
      </w:pPr>
      <w:r w:rsidRPr="0028726C">
        <w:t>GASES DEL CARIBE</w:t>
      </w:r>
      <w:r w:rsidRPr="0028726C">
        <w:tab/>
      </w:r>
    </w:p>
    <w:p w14:paraId="1531CB5D" w14:textId="04BDC454" w:rsidR="0028726C" w:rsidRPr="0028726C" w:rsidRDefault="0028726C" w:rsidP="0028726C">
      <w:pPr>
        <w:rPr>
          <w:rFonts w:cs="Arial"/>
          <w:sz w:val="22"/>
          <w:szCs w:val="22"/>
        </w:rPr>
      </w:pPr>
      <w:r w:rsidRPr="0028726C">
        <w:rPr>
          <w:rFonts w:cs="Arial"/>
          <w:sz w:val="22"/>
          <w:szCs w:val="22"/>
        </w:rPr>
        <w:t>"</w:t>
      </w:r>
      <w:r w:rsidRPr="007B78FD">
        <w:rPr>
          <w:rFonts w:cs="Arial"/>
          <w:i/>
          <w:iCs/>
          <w:sz w:val="22"/>
          <w:szCs w:val="22"/>
        </w:rPr>
        <w:t>En este punto específico, el regulador está solicitando a los compradores que tomen una decisión sin tener la totalidad de los datos necesarios para la misma. En ese sentido, el regulador determina que la demanda está obligada a adquirir unos volúmenes determinados, sin conocer el precio y las condiciones con las cuales los mismos se darían, lo cual no resulta razonable</w:t>
      </w:r>
      <w:r w:rsidRPr="0028726C">
        <w:rPr>
          <w:rFonts w:cs="Arial"/>
          <w:sz w:val="22"/>
          <w:szCs w:val="22"/>
        </w:rPr>
        <w:t>.</w:t>
      </w:r>
      <w:r w:rsidR="007B78FD">
        <w:rPr>
          <w:rFonts w:cs="Arial"/>
          <w:sz w:val="22"/>
          <w:szCs w:val="22"/>
        </w:rPr>
        <w:t>”</w:t>
      </w:r>
    </w:p>
    <w:p w14:paraId="32537033" w14:textId="77777777" w:rsidR="0028726C" w:rsidRPr="0028726C" w:rsidRDefault="0028726C" w:rsidP="0028726C">
      <w:pPr>
        <w:rPr>
          <w:rFonts w:cs="Arial"/>
          <w:sz w:val="22"/>
          <w:szCs w:val="22"/>
        </w:rPr>
      </w:pPr>
    </w:p>
    <w:p w14:paraId="6CB17867" w14:textId="623FF9EC" w:rsidR="007B78FD" w:rsidRPr="007B78FD" w:rsidRDefault="007B78FD" w:rsidP="0028726C">
      <w:pPr>
        <w:rPr>
          <w:rFonts w:cs="Arial"/>
          <w:b/>
          <w:bCs/>
          <w:sz w:val="22"/>
          <w:szCs w:val="22"/>
        </w:rPr>
      </w:pPr>
      <w:r w:rsidRPr="007B78FD">
        <w:rPr>
          <w:rFonts w:cs="Arial"/>
          <w:b/>
          <w:bCs/>
          <w:sz w:val="22"/>
          <w:szCs w:val="22"/>
        </w:rPr>
        <w:t>Respuesta:</w:t>
      </w:r>
    </w:p>
    <w:p w14:paraId="4DABE95D" w14:textId="77777777" w:rsidR="007B78FD" w:rsidRDefault="007B78FD" w:rsidP="0028726C">
      <w:pPr>
        <w:rPr>
          <w:rFonts w:cs="Arial"/>
          <w:sz w:val="22"/>
          <w:szCs w:val="22"/>
        </w:rPr>
      </w:pPr>
    </w:p>
    <w:p w14:paraId="29DD5702" w14:textId="0DC24D20" w:rsidR="007B78FD" w:rsidRDefault="007B78FD"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_Ref132290223 \r \h </w:instrText>
      </w:r>
      <w:r>
        <w:rPr>
          <w:rFonts w:cs="Arial"/>
          <w:sz w:val="22"/>
          <w:szCs w:val="22"/>
        </w:rPr>
      </w:r>
      <w:r>
        <w:rPr>
          <w:rFonts w:cs="Arial"/>
          <w:sz w:val="22"/>
          <w:szCs w:val="22"/>
        </w:rPr>
        <w:fldChar w:fldCharType="separate"/>
      </w:r>
      <w:r>
        <w:rPr>
          <w:rFonts w:cs="Arial"/>
          <w:sz w:val="22"/>
          <w:szCs w:val="22"/>
        </w:rPr>
        <w:t>19.12.1.8</w:t>
      </w:r>
      <w:r>
        <w:rPr>
          <w:rFonts w:cs="Arial"/>
          <w:sz w:val="22"/>
          <w:szCs w:val="22"/>
        </w:rPr>
        <w:fldChar w:fldCharType="end"/>
      </w:r>
      <w:r>
        <w:rPr>
          <w:rFonts w:cs="Arial"/>
          <w:sz w:val="22"/>
          <w:szCs w:val="22"/>
        </w:rPr>
        <w:t>.</w:t>
      </w:r>
    </w:p>
    <w:p w14:paraId="114D037A" w14:textId="77777777" w:rsidR="007B78FD" w:rsidRDefault="007B78FD" w:rsidP="0028726C">
      <w:pPr>
        <w:rPr>
          <w:rFonts w:cs="Arial"/>
          <w:sz w:val="22"/>
          <w:szCs w:val="22"/>
        </w:rPr>
      </w:pPr>
    </w:p>
    <w:p w14:paraId="0CE02A31" w14:textId="77777777" w:rsidR="007B78FD" w:rsidRDefault="007B78FD" w:rsidP="0028726C">
      <w:pPr>
        <w:rPr>
          <w:rFonts w:cs="Arial"/>
          <w:sz w:val="22"/>
          <w:szCs w:val="22"/>
        </w:rPr>
      </w:pPr>
    </w:p>
    <w:p w14:paraId="2C223370" w14:textId="77777777" w:rsidR="007B78FD" w:rsidRDefault="007B78FD" w:rsidP="007B78FD">
      <w:pPr>
        <w:pStyle w:val="Ttulo4"/>
      </w:pPr>
      <w:r w:rsidRPr="0028726C">
        <w:t>GASES DEL CARIBE</w:t>
      </w:r>
      <w:r w:rsidRPr="0028726C">
        <w:tab/>
      </w:r>
    </w:p>
    <w:p w14:paraId="46041DF5" w14:textId="2BC5439B" w:rsidR="0028726C" w:rsidRDefault="007B78FD" w:rsidP="0028726C">
      <w:pPr>
        <w:rPr>
          <w:rFonts w:cs="Arial"/>
          <w:sz w:val="22"/>
          <w:szCs w:val="22"/>
        </w:rPr>
      </w:pPr>
      <w:r>
        <w:rPr>
          <w:rFonts w:cs="Arial"/>
          <w:i/>
          <w:iCs/>
          <w:sz w:val="22"/>
          <w:szCs w:val="22"/>
        </w:rPr>
        <w:t>“</w:t>
      </w:r>
      <w:r w:rsidR="0028726C" w:rsidRPr="007B78FD">
        <w:rPr>
          <w:rFonts w:cs="Arial"/>
          <w:i/>
          <w:iCs/>
          <w:sz w:val="22"/>
          <w:szCs w:val="22"/>
        </w:rPr>
        <w:t xml:space="preserve">Al mismo tiempo, el regulador estaría creando una situación donde el Productor podría poner cualquier precio a </w:t>
      </w:r>
      <w:proofErr w:type="spellStart"/>
      <w:r w:rsidR="0028726C" w:rsidRPr="007B78FD">
        <w:rPr>
          <w:rFonts w:cs="Arial"/>
          <w:i/>
          <w:iCs/>
          <w:sz w:val="22"/>
          <w:szCs w:val="22"/>
        </w:rPr>
        <w:t>se</w:t>
      </w:r>
      <w:proofErr w:type="spellEnd"/>
      <w:r w:rsidR="0028726C" w:rsidRPr="007B78FD">
        <w:rPr>
          <w:rFonts w:cs="Arial"/>
          <w:i/>
          <w:iCs/>
          <w:sz w:val="22"/>
          <w:szCs w:val="22"/>
        </w:rPr>
        <w:t xml:space="preserve"> gas, con la seguridad que la demanda tendría que adquirirla, mucho más si un punto de referencia solo incluye un Productor, con diferentes fuentes de suministro</w:t>
      </w:r>
      <w:r w:rsidR="0028726C" w:rsidRPr="0028726C">
        <w:rPr>
          <w:rFonts w:cs="Arial"/>
          <w:sz w:val="22"/>
          <w:szCs w:val="22"/>
        </w:rPr>
        <w:t>."</w:t>
      </w:r>
    </w:p>
    <w:p w14:paraId="4394E351" w14:textId="77777777" w:rsidR="007B78FD" w:rsidRDefault="007B78FD" w:rsidP="0028726C">
      <w:pPr>
        <w:rPr>
          <w:rFonts w:cs="Arial"/>
          <w:sz w:val="22"/>
          <w:szCs w:val="22"/>
        </w:rPr>
      </w:pPr>
    </w:p>
    <w:p w14:paraId="7F367D64" w14:textId="69980660" w:rsidR="007B78FD" w:rsidRPr="007B78FD" w:rsidRDefault="007B78FD" w:rsidP="0028726C">
      <w:pPr>
        <w:rPr>
          <w:rFonts w:cs="Arial"/>
          <w:b/>
          <w:bCs/>
          <w:sz w:val="22"/>
          <w:szCs w:val="22"/>
        </w:rPr>
      </w:pPr>
      <w:r w:rsidRPr="007B78FD">
        <w:rPr>
          <w:rFonts w:cs="Arial"/>
          <w:b/>
          <w:bCs/>
          <w:sz w:val="22"/>
          <w:szCs w:val="22"/>
        </w:rPr>
        <w:t>Respuesta:</w:t>
      </w:r>
    </w:p>
    <w:p w14:paraId="1EDF3339" w14:textId="77777777" w:rsidR="007B78FD" w:rsidRDefault="007B78FD" w:rsidP="0028726C">
      <w:pPr>
        <w:rPr>
          <w:rFonts w:cs="Arial"/>
          <w:sz w:val="22"/>
          <w:szCs w:val="22"/>
        </w:rPr>
      </w:pPr>
    </w:p>
    <w:p w14:paraId="3B33F3CE" w14:textId="77777777" w:rsidR="007B78FD" w:rsidRDefault="007B78FD" w:rsidP="007B78FD">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_Ref132198348 \r \h </w:instrText>
      </w:r>
      <w:r>
        <w:rPr>
          <w:rFonts w:cs="Arial"/>
          <w:sz w:val="22"/>
          <w:szCs w:val="22"/>
        </w:rPr>
      </w:r>
      <w:r>
        <w:rPr>
          <w:rFonts w:cs="Arial"/>
          <w:sz w:val="22"/>
          <w:szCs w:val="22"/>
        </w:rPr>
        <w:fldChar w:fldCharType="separate"/>
      </w:r>
      <w:r>
        <w:rPr>
          <w:rFonts w:cs="Arial"/>
          <w:sz w:val="22"/>
          <w:szCs w:val="22"/>
        </w:rPr>
        <w:t>19.7.1.4</w:t>
      </w:r>
      <w:r>
        <w:rPr>
          <w:rFonts w:cs="Arial"/>
          <w:sz w:val="22"/>
          <w:szCs w:val="22"/>
        </w:rPr>
        <w:fldChar w:fldCharType="end"/>
      </w:r>
      <w:r>
        <w:rPr>
          <w:rFonts w:cs="Arial"/>
          <w:sz w:val="22"/>
          <w:szCs w:val="22"/>
        </w:rPr>
        <w:t>.</w:t>
      </w:r>
    </w:p>
    <w:p w14:paraId="2D4F9D74" w14:textId="77777777" w:rsidR="007B78FD" w:rsidRDefault="007B78FD" w:rsidP="0028726C">
      <w:pPr>
        <w:rPr>
          <w:rFonts w:cs="Arial"/>
          <w:sz w:val="22"/>
          <w:szCs w:val="22"/>
        </w:rPr>
      </w:pPr>
    </w:p>
    <w:p w14:paraId="52711C1A" w14:textId="77777777" w:rsidR="00C53D76" w:rsidRDefault="00C53D76" w:rsidP="0028726C">
      <w:pPr>
        <w:rPr>
          <w:rFonts w:cs="Arial"/>
          <w:sz w:val="22"/>
          <w:szCs w:val="22"/>
        </w:rPr>
      </w:pPr>
    </w:p>
    <w:p w14:paraId="0CDCC2E0" w14:textId="77777777" w:rsidR="00C53D76" w:rsidRDefault="0028726C" w:rsidP="000D05A3">
      <w:pPr>
        <w:pStyle w:val="Ttulo4"/>
      </w:pPr>
      <w:r w:rsidRPr="0028726C">
        <w:t>GASES DEL CARIBE</w:t>
      </w:r>
      <w:r w:rsidRPr="0028726C">
        <w:tab/>
      </w:r>
    </w:p>
    <w:p w14:paraId="26FE1A25" w14:textId="584FEA4F" w:rsidR="0028726C" w:rsidRPr="007B78FD" w:rsidRDefault="0028726C" w:rsidP="0028726C">
      <w:pPr>
        <w:rPr>
          <w:rFonts w:cs="Arial"/>
          <w:i/>
          <w:iCs/>
          <w:sz w:val="22"/>
          <w:szCs w:val="22"/>
        </w:rPr>
      </w:pPr>
      <w:r w:rsidRPr="0028726C">
        <w:rPr>
          <w:rFonts w:cs="Arial"/>
          <w:sz w:val="22"/>
          <w:szCs w:val="22"/>
        </w:rPr>
        <w:t>"</w:t>
      </w:r>
      <w:r w:rsidRPr="007B78FD">
        <w:rPr>
          <w:rFonts w:cs="Arial"/>
          <w:i/>
          <w:iCs/>
          <w:sz w:val="22"/>
          <w:szCs w:val="22"/>
        </w:rPr>
        <w:t>Se solicita aclarar en este parte lo siguiente:</w:t>
      </w:r>
    </w:p>
    <w:p w14:paraId="7D3DC49F" w14:textId="77777777" w:rsidR="0028726C" w:rsidRPr="007B78FD" w:rsidRDefault="0028726C" w:rsidP="0028726C">
      <w:pPr>
        <w:rPr>
          <w:rFonts w:cs="Arial"/>
          <w:i/>
          <w:iCs/>
          <w:sz w:val="22"/>
          <w:szCs w:val="22"/>
        </w:rPr>
      </w:pPr>
    </w:p>
    <w:p w14:paraId="45ACF708" w14:textId="77777777" w:rsidR="0028726C" w:rsidRPr="007B78FD" w:rsidRDefault="0028726C" w:rsidP="0028726C">
      <w:pPr>
        <w:rPr>
          <w:rFonts w:cs="Arial"/>
          <w:i/>
          <w:iCs/>
          <w:sz w:val="22"/>
          <w:szCs w:val="22"/>
        </w:rPr>
      </w:pPr>
      <w:r w:rsidRPr="007B78FD">
        <w:rPr>
          <w:rFonts w:cs="Arial"/>
          <w:i/>
          <w:iCs/>
          <w:sz w:val="22"/>
          <w:szCs w:val="22"/>
        </w:rPr>
        <w:t>¿Los compradores serán asignados a cada punto de referencia?</w:t>
      </w:r>
    </w:p>
    <w:p w14:paraId="178DBDB5" w14:textId="77777777" w:rsidR="0028726C" w:rsidRPr="007B78FD" w:rsidRDefault="0028726C" w:rsidP="0028726C">
      <w:pPr>
        <w:rPr>
          <w:rFonts w:cs="Arial"/>
          <w:i/>
          <w:iCs/>
          <w:sz w:val="22"/>
          <w:szCs w:val="22"/>
        </w:rPr>
      </w:pPr>
    </w:p>
    <w:p w14:paraId="33B38D64" w14:textId="77777777" w:rsidR="0028726C" w:rsidRPr="007B78FD" w:rsidRDefault="0028726C" w:rsidP="0028726C">
      <w:pPr>
        <w:rPr>
          <w:rFonts w:cs="Arial"/>
          <w:i/>
          <w:iCs/>
          <w:sz w:val="22"/>
          <w:szCs w:val="22"/>
        </w:rPr>
      </w:pPr>
      <w:r w:rsidRPr="007B78FD">
        <w:rPr>
          <w:rFonts w:cs="Arial"/>
          <w:i/>
          <w:iCs/>
          <w:sz w:val="22"/>
          <w:szCs w:val="22"/>
        </w:rPr>
        <w:t>¿Los compradores serán asignados a cada fuente de suministro de cada productor de cada punto de referencia?</w:t>
      </w:r>
    </w:p>
    <w:p w14:paraId="0A43F77E" w14:textId="77777777" w:rsidR="0028726C" w:rsidRPr="007B78FD" w:rsidRDefault="0028726C" w:rsidP="0028726C">
      <w:pPr>
        <w:rPr>
          <w:rFonts w:cs="Arial"/>
          <w:i/>
          <w:iCs/>
          <w:sz w:val="22"/>
          <w:szCs w:val="22"/>
        </w:rPr>
      </w:pPr>
    </w:p>
    <w:p w14:paraId="6C7A5F28" w14:textId="77777777" w:rsidR="0028726C" w:rsidRPr="007B78FD" w:rsidRDefault="0028726C" w:rsidP="0028726C">
      <w:pPr>
        <w:rPr>
          <w:rFonts w:cs="Arial"/>
          <w:i/>
          <w:iCs/>
          <w:sz w:val="22"/>
          <w:szCs w:val="22"/>
        </w:rPr>
      </w:pPr>
      <w:r w:rsidRPr="007B78FD">
        <w:rPr>
          <w:rFonts w:cs="Arial"/>
          <w:i/>
          <w:iCs/>
          <w:sz w:val="22"/>
          <w:szCs w:val="22"/>
        </w:rPr>
        <w:t>En caso negativo:</w:t>
      </w:r>
    </w:p>
    <w:p w14:paraId="2DA17F30" w14:textId="77777777" w:rsidR="0028726C" w:rsidRPr="007B78FD" w:rsidRDefault="0028726C" w:rsidP="0028726C">
      <w:pPr>
        <w:rPr>
          <w:rFonts w:cs="Arial"/>
          <w:i/>
          <w:iCs/>
          <w:sz w:val="22"/>
          <w:szCs w:val="22"/>
        </w:rPr>
      </w:pPr>
      <w:r w:rsidRPr="007B78FD">
        <w:rPr>
          <w:rFonts w:cs="Arial"/>
          <w:i/>
          <w:iCs/>
          <w:sz w:val="22"/>
          <w:szCs w:val="22"/>
        </w:rPr>
        <w:t>¿Cualquier comprador podría ir a cualquier punto de referencia?</w:t>
      </w:r>
    </w:p>
    <w:p w14:paraId="27991F71" w14:textId="77777777" w:rsidR="0028726C" w:rsidRPr="007B78FD" w:rsidRDefault="0028726C" w:rsidP="0028726C">
      <w:pPr>
        <w:rPr>
          <w:rFonts w:cs="Arial"/>
          <w:i/>
          <w:iCs/>
          <w:sz w:val="22"/>
          <w:szCs w:val="22"/>
        </w:rPr>
      </w:pPr>
    </w:p>
    <w:p w14:paraId="38580512" w14:textId="77777777" w:rsidR="0028726C" w:rsidRPr="007B78FD" w:rsidRDefault="0028726C" w:rsidP="0028726C">
      <w:pPr>
        <w:rPr>
          <w:rFonts w:cs="Arial"/>
          <w:i/>
          <w:iCs/>
          <w:sz w:val="22"/>
          <w:szCs w:val="22"/>
        </w:rPr>
      </w:pPr>
      <w:r w:rsidRPr="007B78FD">
        <w:rPr>
          <w:rFonts w:cs="Arial"/>
          <w:i/>
          <w:iCs/>
          <w:sz w:val="22"/>
          <w:szCs w:val="22"/>
        </w:rPr>
        <w:t>¿Cualquier comprador puede acudir a cualquier productor en cada punto de referencia?</w:t>
      </w:r>
    </w:p>
    <w:p w14:paraId="23C76745" w14:textId="77777777" w:rsidR="0028726C" w:rsidRPr="007B78FD" w:rsidRDefault="0028726C" w:rsidP="0028726C">
      <w:pPr>
        <w:rPr>
          <w:rFonts w:cs="Arial"/>
          <w:i/>
          <w:iCs/>
          <w:sz w:val="22"/>
          <w:szCs w:val="22"/>
        </w:rPr>
      </w:pPr>
    </w:p>
    <w:p w14:paraId="33D192D7" w14:textId="77777777" w:rsidR="0028726C" w:rsidRPr="007B78FD" w:rsidRDefault="0028726C" w:rsidP="0028726C">
      <w:pPr>
        <w:rPr>
          <w:rFonts w:cs="Arial"/>
          <w:i/>
          <w:iCs/>
          <w:sz w:val="22"/>
          <w:szCs w:val="22"/>
        </w:rPr>
      </w:pPr>
      <w:r w:rsidRPr="007B78FD">
        <w:rPr>
          <w:rFonts w:cs="Arial"/>
          <w:i/>
          <w:iCs/>
          <w:sz w:val="22"/>
          <w:szCs w:val="22"/>
        </w:rPr>
        <w:t>¿Qué ocurre si un punto de referencia tiene un solo productor?"</w:t>
      </w:r>
    </w:p>
    <w:p w14:paraId="4454EA25" w14:textId="77777777" w:rsidR="007B78FD" w:rsidRDefault="007B78FD" w:rsidP="0028726C">
      <w:pPr>
        <w:rPr>
          <w:rFonts w:cs="Arial"/>
          <w:sz w:val="22"/>
          <w:szCs w:val="22"/>
        </w:rPr>
      </w:pPr>
    </w:p>
    <w:p w14:paraId="17E1B5F6" w14:textId="145CF6FE" w:rsidR="007B78FD" w:rsidRPr="007B78FD" w:rsidRDefault="007B78FD" w:rsidP="0028726C">
      <w:pPr>
        <w:rPr>
          <w:rFonts w:cs="Arial"/>
          <w:b/>
          <w:bCs/>
          <w:sz w:val="22"/>
          <w:szCs w:val="22"/>
        </w:rPr>
      </w:pPr>
      <w:r w:rsidRPr="007B78FD">
        <w:rPr>
          <w:rFonts w:cs="Arial"/>
          <w:b/>
          <w:bCs/>
          <w:sz w:val="22"/>
          <w:szCs w:val="22"/>
        </w:rPr>
        <w:t>Respuesta:</w:t>
      </w:r>
    </w:p>
    <w:p w14:paraId="320747CE" w14:textId="77777777" w:rsidR="007B78FD" w:rsidRDefault="007B78FD" w:rsidP="0028726C">
      <w:pPr>
        <w:rPr>
          <w:rFonts w:cs="Arial"/>
          <w:sz w:val="22"/>
          <w:szCs w:val="22"/>
        </w:rPr>
      </w:pPr>
    </w:p>
    <w:p w14:paraId="170FFA4F" w14:textId="339D435B" w:rsidR="007B78FD" w:rsidRPr="0028726C" w:rsidRDefault="007B78FD"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_Ref132290328 \r \h </w:instrText>
      </w:r>
      <w:r>
        <w:rPr>
          <w:rFonts w:cs="Arial"/>
          <w:sz w:val="22"/>
          <w:szCs w:val="22"/>
        </w:rPr>
      </w:r>
      <w:r>
        <w:rPr>
          <w:rFonts w:cs="Arial"/>
          <w:sz w:val="22"/>
          <w:szCs w:val="22"/>
        </w:rPr>
        <w:fldChar w:fldCharType="separate"/>
      </w:r>
      <w:r>
        <w:rPr>
          <w:rFonts w:cs="Arial"/>
          <w:sz w:val="22"/>
          <w:szCs w:val="22"/>
        </w:rPr>
        <w:t>19.12.1.10</w:t>
      </w:r>
      <w:r>
        <w:rPr>
          <w:rFonts w:cs="Arial"/>
          <w:sz w:val="22"/>
          <w:szCs w:val="22"/>
        </w:rPr>
        <w:fldChar w:fldCharType="end"/>
      </w:r>
      <w:r>
        <w:rPr>
          <w:rFonts w:cs="Arial"/>
          <w:sz w:val="22"/>
          <w:szCs w:val="22"/>
        </w:rPr>
        <w:t>.</w:t>
      </w:r>
    </w:p>
    <w:p w14:paraId="2DD8C964" w14:textId="77777777" w:rsidR="00C53D76" w:rsidRDefault="00C53D76" w:rsidP="0028726C">
      <w:pPr>
        <w:rPr>
          <w:rFonts w:cs="Arial"/>
          <w:sz w:val="22"/>
          <w:szCs w:val="22"/>
        </w:rPr>
      </w:pPr>
    </w:p>
    <w:p w14:paraId="178EFDCE" w14:textId="77777777" w:rsidR="00C53D76" w:rsidRDefault="00C53D76" w:rsidP="0028726C">
      <w:pPr>
        <w:rPr>
          <w:rFonts w:cs="Arial"/>
          <w:sz w:val="22"/>
          <w:szCs w:val="22"/>
        </w:rPr>
      </w:pPr>
    </w:p>
    <w:p w14:paraId="051ECD45" w14:textId="77777777" w:rsidR="000D05A3" w:rsidRDefault="0028726C" w:rsidP="000D05A3">
      <w:pPr>
        <w:pStyle w:val="Ttulo4"/>
      </w:pPr>
      <w:r w:rsidRPr="0028726C">
        <w:t>GASES DEL CARIBE</w:t>
      </w:r>
      <w:r w:rsidRPr="0028726C">
        <w:tab/>
      </w:r>
    </w:p>
    <w:p w14:paraId="09FB149B" w14:textId="5CAA1CC6" w:rsidR="0028726C" w:rsidRPr="007B78FD" w:rsidRDefault="0028726C" w:rsidP="0028726C">
      <w:pPr>
        <w:rPr>
          <w:rFonts w:cs="Arial"/>
          <w:i/>
          <w:iCs/>
          <w:sz w:val="22"/>
          <w:szCs w:val="22"/>
        </w:rPr>
      </w:pPr>
      <w:r w:rsidRPr="0028726C">
        <w:rPr>
          <w:rFonts w:cs="Arial"/>
          <w:sz w:val="22"/>
          <w:szCs w:val="22"/>
        </w:rPr>
        <w:t>"</w:t>
      </w:r>
      <w:r w:rsidRPr="007B78FD">
        <w:rPr>
          <w:rFonts w:cs="Arial"/>
          <w:i/>
          <w:iCs/>
          <w:sz w:val="22"/>
          <w:szCs w:val="22"/>
        </w:rPr>
        <w:t xml:space="preserve">Estas facultades que se le otorgan al productor, resultan contradictorias con la de declaración de </w:t>
      </w:r>
      <w:proofErr w:type="spellStart"/>
      <w:r w:rsidRPr="007B78FD">
        <w:rPr>
          <w:rFonts w:cs="Arial"/>
          <w:i/>
          <w:iCs/>
          <w:sz w:val="22"/>
          <w:szCs w:val="22"/>
        </w:rPr>
        <w:t>excendentario</w:t>
      </w:r>
      <w:proofErr w:type="spellEnd"/>
      <w:r w:rsidRPr="007B78FD">
        <w:rPr>
          <w:rFonts w:cs="Arial"/>
          <w:i/>
          <w:iCs/>
          <w:sz w:val="22"/>
          <w:szCs w:val="22"/>
        </w:rPr>
        <w:t xml:space="preserve"> de un Punto de Referencia. En ese sentido, un productor podría iniciar una subasta, con mecanismos que no se conocen, y a los cuales el comprador se debe acomodar.</w:t>
      </w:r>
    </w:p>
    <w:p w14:paraId="00523144" w14:textId="77777777" w:rsidR="0028726C" w:rsidRPr="007B78FD" w:rsidRDefault="0028726C" w:rsidP="0028726C">
      <w:pPr>
        <w:rPr>
          <w:rFonts w:cs="Arial"/>
          <w:i/>
          <w:iCs/>
          <w:sz w:val="22"/>
          <w:szCs w:val="22"/>
        </w:rPr>
      </w:pPr>
    </w:p>
    <w:p w14:paraId="6C389E98" w14:textId="77777777" w:rsidR="0028726C" w:rsidRPr="007B78FD" w:rsidRDefault="0028726C" w:rsidP="0028726C">
      <w:pPr>
        <w:rPr>
          <w:rFonts w:cs="Arial"/>
          <w:i/>
          <w:iCs/>
          <w:sz w:val="22"/>
          <w:szCs w:val="22"/>
        </w:rPr>
      </w:pPr>
      <w:r w:rsidRPr="007B78FD">
        <w:rPr>
          <w:rFonts w:cs="Arial"/>
          <w:i/>
          <w:iCs/>
          <w:sz w:val="22"/>
          <w:szCs w:val="22"/>
        </w:rPr>
        <w:t xml:space="preserve">Al mismo tiempo, el regulador dentro de las </w:t>
      </w:r>
      <w:proofErr w:type="gramStart"/>
      <w:r w:rsidRPr="007B78FD">
        <w:rPr>
          <w:rFonts w:cs="Arial"/>
          <w:i/>
          <w:iCs/>
          <w:sz w:val="22"/>
          <w:szCs w:val="22"/>
        </w:rPr>
        <w:t>presentaciones,</w:t>
      </w:r>
      <w:proofErr w:type="gramEnd"/>
      <w:r w:rsidRPr="007B78FD">
        <w:rPr>
          <w:rFonts w:cs="Arial"/>
          <w:i/>
          <w:iCs/>
          <w:sz w:val="22"/>
          <w:szCs w:val="22"/>
        </w:rPr>
        <w:t xml:space="preserve"> anunció que esperaba que los productores pudieran hacer discriminaciones, siempre y cuando se respetara el tipo de mercado. En ese sentido, es importante que la CREG de manera expresa determine cuales son las discriminaciones que pueden hacer los productores entre demanda, y determinar los parámetros a los que deben ajustarse en cada caso.</w:t>
      </w:r>
    </w:p>
    <w:p w14:paraId="53292375" w14:textId="77777777" w:rsidR="0028726C" w:rsidRPr="007B78FD" w:rsidRDefault="0028726C" w:rsidP="0028726C">
      <w:pPr>
        <w:rPr>
          <w:rFonts w:cs="Arial"/>
          <w:i/>
          <w:iCs/>
          <w:sz w:val="22"/>
          <w:szCs w:val="22"/>
        </w:rPr>
      </w:pPr>
    </w:p>
    <w:p w14:paraId="6C42197E" w14:textId="77777777" w:rsidR="0028726C" w:rsidRDefault="0028726C" w:rsidP="0028726C">
      <w:pPr>
        <w:rPr>
          <w:rFonts w:cs="Arial"/>
          <w:i/>
          <w:iCs/>
          <w:sz w:val="22"/>
          <w:szCs w:val="22"/>
        </w:rPr>
      </w:pPr>
      <w:r w:rsidRPr="007B78FD">
        <w:rPr>
          <w:rFonts w:cs="Arial"/>
          <w:i/>
          <w:iCs/>
          <w:sz w:val="22"/>
          <w:szCs w:val="22"/>
        </w:rPr>
        <w:t xml:space="preserve">Finalmente, es importante tener en cuenta que es posible que la situación de mayores cantidades </w:t>
      </w:r>
      <w:proofErr w:type="gramStart"/>
      <w:r w:rsidRPr="007B78FD">
        <w:rPr>
          <w:rFonts w:cs="Arial"/>
          <w:i/>
          <w:iCs/>
          <w:sz w:val="22"/>
          <w:szCs w:val="22"/>
        </w:rPr>
        <w:t>demandadas,</w:t>
      </w:r>
      <w:proofErr w:type="gramEnd"/>
      <w:r w:rsidRPr="007B78FD">
        <w:rPr>
          <w:rFonts w:cs="Arial"/>
          <w:i/>
          <w:iCs/>
          <w:sz w:val="22"/>
          <w:szCs w:val="22"/>
        </w:rPr>
        <w:t xml:space="preserve"> puede darse para más de un trimestre, por lo que es necesario que el regulador determine la forma como se debe proceder en ese caso específico."</w:t>
      </w:r>
    </w:p>
    <w:p w14:paraId="7C725AE7" w14:textId="77777777" w:rsidR="007B78FD" w:rsidRDefault="007B78FD" w:rsidP="0028726C">
      <w:pPr>
        <w:rPr>
          <w:rFonts w:cs="Arial"/>
          <w:i/>
          <w:iCs/>
          <w:sz w:val="22"/>
          <w:szCs w:val="22"/>
        </w:rPr>
      </w:pPr>
    </w:p>
    <w:p w14:paraId="51D0AC41" w14:textId="29BB3791" w:rsidR="007B78FD" w:rsidRPr="007B78FD" w:rsidRDefault="007B78FD" w:rsidP="0028726C">
      <w:pPr>
        <w:rPr>
          <w:rFonts w:cs="Arial"/>
          <w:b/>
          <w:bCs/>
          <w:sz w:val="22"/>
          <w:szCs w:val="22"/>
        </w:rPr>
      </w:pPr>
      <w:r w:rsidRPr="007B78FD">
        <w:rPr>
          <w:rFonts w:cs="Arial"/>
          <w:b/>
          <w:bCs/>
          <w:sz w:val="22"/>
          <w:szCs w:val="22"/>
        </w:rPr>
        <w:t>Respuesta:</w:t>
      </w:r>
    </w:p>
    <w:p w14:paraId="1CC03272" w14:textId="77777777" w:rsidR="007B78FD" w:rsidRPr="007B78FD" w:rsidRDefault="007B78FD" w:rsidP="0028726C">
      <w:pPr>
        <w:rPr>
          <w:rFonts w:cs="Arial"/>
          <w:sz w:val="22"/>
          <w:szCs w:val="22"/>
        </w:rPr>
      </w:pPr>
    </w:p>
    <w:p w14:paraId="2B3C100E" w14:textId="50970D6F" w:rsidR="007B78FD" w:rsidRPr="007B78FD" w:rsidRDefault="007B78FD" w:rsidP="0028726C">
      <w:pPr>
        <w:rPr>
          <w:rFonts w:cs="Arial"/>
          <w:sz w:val="22"/>
          <w:szCs w:val="22"/>
        </w:rPr>
      </w:pPr>
      <w:r w:rsidRPr="007B78FD">
        <w:rPr>
          <w:rFonts w:cs="Arial"/>
          <w:sz w:val="22"/>
          <w:szCs w:val="22"/>
        </w:rPr>
        <w:t xml:space="preserve">Ver respuesta a </w:t>
      </w:r>
      <w:r w:rsidRPr="007B78FD">
        <w:rPr>
          <w:rFonts w:cs="Arial"/>
          <w:sz w:val="22"/>
          <w:szCs w:val="22"/>
        </w:rPr>
        <w:fldChar w:fldCharType="begin"/>
      </w:r>
      <w:r w:rsidRPr="007B78FD">
        <w:rPr>
          <w:rFonts w:cs="Arial"/>
          <w:sz w:val="22"/>
          <w:szCs w:val="22"/>
        </w:rPr>
        <w:instrText xml:space="preserve"> REF _Ref132207410 \r \h </w:instrText>
      </w:r>
      <w:r>
        <w:rPr>
          <w:rFonts w:cs="Arial"/>
          <w:sz w:val="22"/>
          <w:szCs w:val="22"/>
        </w:rPr>
        <w:instrText xml:space="preserve"> \* MERGEFORMAT </w:instrText>
      </w:r>
      <w:r w:rsidRPr="007B78FD">
        <w:rPr>
          <w:rFonts w:cs="Arial"/>
          <w:sz w:val="22"/>
          <w:szCs w:val="22"/>
        </w:rPr>
      </w:r>
      <w:r w:rsidRPr="007B78FD">
        <w:rPr>
          <w:rFonts w:cs="Arial"/>
          <w:sz w:val="22"/>
          <w:szCs w:val="22"/>
        </w:rPr>
        <w:fldChar w:fldCharType="separate"/>
      </w:r>
      <w:r w:rsidRPr="007B78FD">
        <w:rPr>
          <w:rFonts w:cs="Arial"/>
          <w:sz w:val="22"/>
          <w:szCs w:val="22"/>
        </w:rPr>
        <w:t>19.12.1.11</w:t>
      </w:r>
      <w:r w:rsidRPr="007B78FD">
        <w:rPr>
          <w:rFonts w:cs="Arial"/>
          <w:sz w:val="22"/>
          <w:szCs w:val="22"/>
        </w:rPr>
        <w:fldChar w:fldCharType="end"/>
      </w:r>
      <w:r w:rsidRPr="007B78FD">
        <w:rPr>
          <w:rFonts w:cs="Arial"/>
          <w:sz w:val="22"/>
          <w:szCs w:val="22"/>
        </w:rPr>
        <w:t>.</w:t>
      </w:r>
    </w:p>
    <w:p w14:paraId="47D11944" w14:textId="77777777" w:rsidR="00C53D76" w:rsidRDefault="00C53D76" w:rsidP="0028726C">
      <w:pPr>
        <w:rPr>
          <w:rFonts w:cs="Arial"/>
          <w:sz w:val="22"/>
          <w:szCs w:val="22"/>
        </w:rPr>
      </w:pPr>
    </w:p>
    <w:p w14:paraId="55A24410" w14:textId="77777777" w:rsidR="007B78FD" w:rsidRDefault="007B78FD" w:rsidP="0028726C">
      <w:pPr>
        <w:rPr>
          <w:rFonts w:cs="Arial"/>
          <w:sz w:val="22"/>
          <w:szCs w:val="22"/>
        </w:rPr>
      </w:pPr>
    </w:p>
    <w:p w14:paraId="45DD7D58" w14:textId="77777777" w:rsidR="00C53D76" w:rsidRDefault="0028726C" w:rsidP="000D05A3">
      <w:pPr>
        <w:pStyle w:val="Ttulo4"/>
      </w:pPr>
      <w:r w:rsidRPr="0028726C">
        <w:t>GASES DEL CARIBE</w:t>
      </w:r>
      <w:r w:rsidRPr="0028726C">
        <w:tab/>
      </w:r>
    </w:p>
    <w:p w14:paraId="3ED8D662" w14:textId="28CEFBA9" w:rsidR="0028726C" w:rsidRDefault="005A544B" w:rsidP="0028726C">
      <w:pPr>
        <w:rPr>
          <w:rFonts w:cs="Arial"/>
          <w:sz w:val="22"/>
          <w:szCs w:val="22"/>
        </w:rPr>
      </w:pPr>
      <w:r>
        <w:rPr>
          <w:rFonts w:cs="Arial"/>
          <w:i/>
          <w:iCs/>
          <w:sz w:val="22"/>
          <w:szCs w:val="22"/>
        </w:rPr>
        <w:t>“</w:t>
      </w:r>
      <w:r w:rsidR="0028726C" w:rsidRPr="007B78FD">
        <w:rPr>
          <w:rFonts w:cs="Arial"/>
          <w:i/>
          <w:iCs/>
          <w:sz w:val="22"/>
          <w:szCs w:val="22"/>
        </w:rPr>
        <w:t xml:space="preserve">Esta previsión no es clara, sobre todo si se tiene en cuenta el tema en la práctica. Si como parece el comprador es libre de adquirir el gas a cualquier productor agrupado en un Punto de Referencia, el comprador en realidad no está atado a ninguno, por lo que no es claro porque solo </w:t>
      </w:r>
      <w:proofErr w:type="spellStart"/>
      <w:r w:rsidR="0028726C" w:rsidRPr="007B78FD">
        <w:rPr>
          <w:rFonts w:cs="Arial"/>
          <w:i/>
          <w:iCs/>
          <w:sz w:val="22"/>
          <w:szCs w:val="22"/>
        </w:rPr>
        <w:t>ha</w:t>
      </w:r>
      <w:proofErr w:type="spellEnd"/>
      <w:r w:rsidR="0028726C" w:rsidRPr="007B78FD">
        <w:rPr>
          <w:rFonts w:cs="Arial"/>
          <w:i/>
          <w:iCs/>
          <w:sz w:val="22"/>
          <w:szCs w:val="22"/>
        </w:rPr>
        <w:t xml:space="preserve"> partir de que el procedimiento que implemente un productor, permite que el comprador pueda acudir a otro. Favor aclarar</w:t>
      </w:r>
      <w:r w:rsidR="0028726C" w:rsidRPr="0028726C">
        <w:rPr>
          <w:rFonts w:cs="Arial"/>
          <w:sz w:val="22"/>
          <w:szCs w:val="22"/>
        </w:rPr>
        <w:t>.</w:t>
      </w:r>
      <w:r>
        <w:rPr>
          <w:rFonts w:cs="Arial"/>
          <w:sz w:val="22"/>
          <w:szCs w:val="22"/>
        </w:rPr>
        <w:t>”</w:t>
      </w:r>
    </w:p>
    <w:p w14:paraId="17974A41" w14:textId="77777777" w:rsidR="007B78FD" w:rsidRDefault="007B78FD" w:rsidP="0028726C">
      <w:pPr>
        <w:rPr>
          <w:rFonts w:cs="Arial"/>
          <w:sz w:val="22"/>
          <w:szCs w:val="22"/>
        </w:rPr>
      </w:pPr>
    </w:p>
    <w:p w14:paraId="3529025D" w14:textId="00A253AC" w:rsidR="007B78FD" w:rsidRPr="007B78FD" w:rsidRDefault="007B78FD" w:rsidP="0028726C">
      <w:pPr>
        <w:rPr>
          <w:rFonts w:cs="Arial"/>
          <w:b/>
          <w:bCs/>
          <w:sz w:val="22"/>
          <w:szCs w:val="22"/>
        </w:rPr>
      </w:pPr>
      <w:r w:rsidRPr="007B78FD">
        <w:rPr>
          <w:rFonts w:cs="Arial"/>
          <w:b/>
          <w:bCs/>
          <w:sz w:val="22"/>
          <w:szCs w:val="22"/>
        </w:rPr>
        <w:t>Respuesta:</w:t>
      </w:r>
    </w:p>
    <w:p w14:paraId="73659D52" w14:textId="77777777" w:rsidR="007B78FD" w:rsidRDefault="007B78FD" w:rsidP="0028726C">
      <w:pPr>
        <w:rPr>
          <w:rFonts w:cs="Arial"/>
          <w:sz w:val="22"/>
          <w:szCs w:val="22"/>
        </w:rPr>
      </w:pPr>
    </w:p>
    <w:p w14:paraId="74770836" w14:textId="2484C08D" w:rsidR="007B78FD" w:rsidRPr="0028726C" w:rsidRDefault="007B78FD"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_Ref132290406 \r \h </w:instrText>
      </w:r>
      <w:r>
        <w:rPr>
          <w:rFonts w:cs="Arial"/>
          <w:sz w:val="22"/>
          <w:szCs w:val="22"/>
        </w:rPr>
      </w:r>
      <w:r>
        <w:rPr>
          <w:rFonts w:cs="Arial"/>
          <w:sz w:val="22"/>
          <w:szCs w:val="22"/>
        </w:rPr>
        <w:fldChar w:fldCharType="separate"/>
      </w:r>
      <w:r>
        <w:rPr>
          <w:rFonts w:cs="Arial"/>
          <w:sz w:val="22"/>
          <w:szCs w:val="22"/>
        </w:rPr>
        <w:t>19.12.1.12</w:t>
      </w:r>
      <w:r>
        <w:rPr>
          <w:rFonts w:cs="Arial"/>
          <w:sz w:val="22"/>
          <w:szCs w:val="22"/>
        </w:rPr>
        <w:fldChar w:fldCharType="end"/>
      </w:r>
      <w:r>
        <w:rPr>
          <w:rFonts w:cs="Arial"/>
          <w:sz w:val="22"/>
          <w:szCs w:val="22"/>
        </w:rPr>
        <w:t>.</w:t>
      </w:r>
    </w:p>
    <w:p w14:paraId="72B191AE" w14:textId="77777777" w:rsidR="00C53D76" w:rsidRDefault="00C53D76" w:rsidP="0028726C">
      <w:pPr>
        <w:rPr>
          <w:rFonts w:cs="Arial"/>
          <w:sz w:val="22"/>
          <w:szCs w:val="22"/>
        </w:rPr>
      </w:pPr>
    </w:p>
    <w:p w14:paraId="6DC9DBD2" w14:textId="77777777" w:rsidR="007B78FD" w:rsidRDefault="007B78FD" w:rsidP="0028726C">
      <w:pPr>
        <w:rPr>
          <w:rFonts w:cs="Arial"/>
          <w:sz w:val="22"/>
          <w:szCs w:val="22"/>
        </w:rPr>
      </w:pPr>
    </w:p>
    <w:p w14:paraId="1953775C" w14:textId="77777777" w:rsidR="00C53D76" w:rsidRDefault="0028726C" w:rsidP="000D05A3">
      <w:pPr>
        <w:pStyle w:val="Ttulo4"/>
      </w:pPr>
      <w:r w:rsidRPr="0028726C">
        <w:t>GASES DEL CARIBE</w:t>
      </w:r>
      <w:r w:rsidRPr="0028726C">
        <w:tab/>
      </w:r>
    </w:p>
    <w:p w14:paraId="1FA53EC0" w14:textId="2E74512B" w:rsidR="0028726C" w:rsidRPr="004F2821" w:rsidRDefault="005A544B" w:rsidP="0028726C">
      <w:pPr>
        <w:rPr>
          <w:rFonts w:cs="Arial"/>
          <w:i/>
          <w:iCs/>
          <w:sz w:val="22"/>
          <w:szCs w:val="22"/>
        </w:rPr>
      </w:pPr>
      <w:r>
        <w:rPr>
          <w:rFonts w:cs="Arial"/>
          <w:i/>
          <w:iCs/>
          <w:sz w:val="22"/>
          <w:szCs w:val="22"/>
        </w:rPr>
        <w:t>“</w:t>
      </w:r>
      <w:r w:rsidR="0028726C" w:rsidRPr="004F2821">
        <w:rPr>
          <w:rFonts w:cs="Arial"/>
          <w:i/>
          <w:iCs/>
          <w:sz w:val="22"/>
          <w:szCs w:val="22"/>
        </w:rPr>
        <w:t>Que ocurre si en efecto se presenta una demanda que no se contrató?</w:t>
      </w:r>
      <w:r>
        <w:rPr>
          <w:rFonts w:cs="Arial"/>
          <w:i/>
          <w:iCs/>
          <w:sz w:val="22"/>
          <w:szCs w:val="22"/>
        </w:rPr>
        <w:t>”</w:t>
      </w:r>
    </w:p>
    <w:p w14:paraId="03E2519D" w14:textId="77777777" w:rsidR="004F2821" w:rsidRDefault="004F2821" w:rsidP="0028726C">
      <w:pPr>
        <w:rPr>
          <w:rFonts w:cs="Arial"/>
          <w:sz w:val="22"/>
          <w:szCs w:val="22"/>
        </w:rPr>
      </w:pPr>
    </w:p>
    <w:p w14:paraId="68E5A3F3" w14:textId="71AA14A6" w:rsidR="004F2821" w:rsidRPr="004F2821" w:rsidRDefault="004F2821" w:rsidP="0028726C">
      <w:pPr>
        <w:rPr>
          <w:rFonts w:cs="Arial"/>
          <w:b/>
          <w:bCs/>
          <w:sz w:val="22"/>
          <w:szCs w:val="22"/>
        </w:rPr>
      </w:pPr>
      <w:r w:rsidRPr="004F2821">
        <w:rPr>
          <w:rFonts w:cs="Arial"/>
          <w:b/>
          <w:bCs/>
          <w:sz w:val="22"/>
          <w:szCs w:val="22"/>
        </w:rPr>
        <w:t>Respuesta:</w:t>
      </w:r>
    </w:p>
    <w:p w14:paraId="5378D513" w14:textId="77777777" w:rsidR="004F2821" w:rsidRDefault="004F2821" w:rsidP="0028726C">
      <w:pPr>
        <w:rPr>
          <w:rFonts w:cs="Arial"/>
          <w:sz w:val="22"/>
          <w:szCs w:val="22"/>
        </w:rPr>
      </w:pPr>
    </w:p>
    <w:p w14:paraId="30E6B2B2" w14:textId="1B8F1281" w:rsidR="00C53D76" w:rsidRDefault="004F282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_Ref132207034 \r \h </w:instrText>
      </w:r>
      <w:r>
        <w:rPr>
          <w:rFonts w:cs="Arial"/>
          <w:sz w:val="22"/>
          <w:szCs w:val="22"/>
        </w:rPr>
      </w:r>
      <w:r>
        <w:rPr>
          <w:rFonts w:cs="Arial"/>
          <w:sz w:val="22"/>
          <w:szCs w:val="22"/>
        </w:rPr>
        <w:fldChar w:fldCharType="separate"/>
      </w:r>
      <w:r>
        <w:rPr>
          <w:rFonts w:cs="Arial"/>
          <w:sz w:val="22"/>
          <w:szCs w:val="22"/>
        </w:rPr>
        <w:t>19.12.1.13</w:t>
      </w:r>
      <w:r>
        <w:rPr>
          <w:rFonts w:cs="Arial"/>
          <w:sz w:val="22"/>
          <w:szCs w:val="22"/>
        </w:rPr>
        <w:fldChar w:fldCharType="end"/>
      </w:r>
      <w:r>
        <w:rPr>
          <w:rFonts w:cs="Arial"/>
          <w:sz w:val="22"/>
          <w:szCs w:val="22"/>
        </w:rPr>
        <w:t>.</w:t>
      </w:r>
    </w:p>
    <w:p w14:paraId="75CA3CBD" w14:textId="77777777" w:rsidR="004F2821" w:rsidRDefault="004F2821" w:rsidP="0028726C">
      <w:pPr>
        <w:rPr>
          <w:rFonts w:cs="Arial"/>
          <w:sz w:val="22"/>
          <w:szCs w:val="22"/>
        </w:rPr>
      </w:pPr>
    </w:p>
    <w:p w14:paraId="2607FD59" w14:textId="77777777" w:rsidR="004F2821" w:rsidRDefault="004F2821" w:rsidP="0028726C">
      <w:pPr>
        <w:rPr>
          <w:rFonts w:cs="Arial"/>
          <w:sz w:val="22"/>
          <w:szCs w:val="22"/>
        </w:rPr>
      </w:pPr>
    </w:p>
    <w:p w14:paraId="5A0880C0" w14:textId="77777777" w:rsidR="00C53D76" w:rsidRDefault="0028726C" w:rsidP="000D05A3">
      <w:pPr>
        <w:pStyle w:val="Ttulo4"/>
      </w:pPr>
      <w:r w:rsidRPr="0028726C">
        <w:t>GASES DEL CARIBE</w:t>
      </w:r>
      <w:r w:rsidRPr="0028726C">
        <w:tab/>
      </w:r>
    </w:p>
    <w:p w14:paraId="21651ABA" w14:textId="289877D7" w:rsidR="0028726C" w:rsidRPr="004F2821" w:rsidRDefault="005A544B" w:rsidP="0028726C">
      <w:pPr>
        <w:rPr>
          <w:rFonts w:cs="Arial"/>
          <w:i/>
          <w:iCs/>
          <w:sz w:val="22"/>
          <w:szCs w:val="22"/>
        </w:rPr>
      </w:pPr>
      <w:r>
        <w:rPr>
          <w:rFonts w:cs="Arial"/>
          <w:i/>
          <w:iCs/>
          <w:sz w:val="22"/>
          <w:szCs w:val="22"/>
        </w:rPr>
        <w:t>“</w:t>
      </w:r>
      <w:r w:rsidR="0028726C" w:rsidRPr="004F2821">
        <w:rPr>
          <w:rFonts w:cs="Arial"/>
          <w:i/>
          <w:iCs/>
          <w:sz w:val="22"/>
          <w:szCs w:val="22"/>
        </w:rPr>
        <w:t xml:space="preserve">Se solicita aclarar si, de acuerdo con lo anterior, los contratos CF80 solo podrían pactarse y registrarse, por periodos mensuales, para la demanda regulada no </w:t>
      </w:r>
      <w:proofErr w:type="spellStart"/>
      <w:r w:rsidR="0028726C" w:rsidRPr="004F2821">
        <w:rPr>
          <w:rFonts w:cs="Arial"/>
          <w:i/>
          <w:iCs/>
          <w:sz w:val="22"/>
          <w:szCs w:val="22"/>
        </w:rPr>
        <w:t>escencial</w:t>
      </w:r>
      <w:proofErr w:type="spellEnd"/>
      <w:r w:rsidR="0028726C" w:rsidRPr="004F2821">
        <w:rPr>
          <w:rFonts w:cs="Arial"/>
          <w:i/>
          <w:iCs/>
          <w:sz w:val="22"/>
          <w:szCs w:val="22"/>
        </w:rPr>
        <w:t xml:space="preserve">, y solo en el mercado primario. </w:t>
      </w:r>
      <w:proofErr w:type="gramStart"/>
      <w:r w:rsidR="0028726C" w:rsidRPr="004F2821">
        <w:rPr>
          <w:rFonts w:cs="Arial"/>
          <w:i/>
          <w:iCs/>
          <w:sz w:val="22"/>
          <w:szCs w:val="22"/>
        </w:rPr>
        <w:t>Al mismo tiempo, si son mensuales, significa que deben ser negociados cada mes?</w:t>
      </w:r>
      <w:proofErr w:type="gramEnd"/>
      <w:r>
        <w:rPr>
          <w:rFonts w:cs="Arial"/>
          <w:i/>
          <w:iCs/>
          <w:sz w:val="22"/>
          <w:szCs w:val="22"/>
        </w:rPr>
        <w:t>”</w:t>
      </w:r>
    </w:p>
    <w:p w14:paraId="6C1DFC26" w14:textId="77777777" w:rsidR="004F2821" w:rsidRDefault="004F2821" w:rsidP="0028726C">
      <w:pPr>
        <w:rPr>
          <w:rFonts w:cs="Arial"/>
          <w:sz w:val="22"/>
          <w:szCs w:val="22"/>
        </w:rPr>
      </w:pPr>
    </w:p>
    <w:p w14:paraId="40DDAFDB" w14:textId="6C907BDC" w:rsidR="004F2821" w:rsidRPr="004F2821" w:rsidRDefault="004F2821" w:rsidP="0028726C">
      <w:pPr>
        <w:rPr>
          <w:rFonts w:cs="Arial"/>
          <w:b/>
          <w:bCs/>
          <w:sz w:val="22"/>
          <w:szCs w:val="22"/>
        </w:rPr>
      </w:pPr>
      <w:r w:rsidRPr="004F2821">
        <w:rPr>
          <w:rFonts w:cs="Arial"/>
          <w:b/>
          <w:bCs/>
          <w:sz w:val="22"/>
          <w:szCs w:val="22"/>
        </w:rPr>
        <w:t>Respuesta:</w:t>
      </w:r>
    </w:p>
    <w:p w14:paraId="6F95EB5B" w14:textId="77777777" w:rsidR="004F2821" w:rsidRDefault="004F2821" w:rsidP="0028726C">
      <w:pPr>
        <w:rPr>
          <w:rFonts w:cs="Arial"/>
          <w:sz w:val="22"/>
          <w:szCs w:val="22"/>
        </w:rPr>
      </w:pPr>
    </w:p>
    <w:p w14:paraId="761A1EE4" w14:textId="623F9C8A" w:rsidR="004F2821" w:rsidRDefault="004F282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_Ref132290500 \r \h </w:instrText>
      </w:r>
      <w:r>
        <w:rPr>
          <w:rFonts w:cs="Arial"/>
          <w:sz w:val="22"/>
          <w:szCs w:val="22"/>
        </w:rPr>
      </w:r>
      <w:r>
        <w:rPr>
          <w:rFonts w:cs="Arial"/>
          <w:sz w:val="22"/>
          <w:szCs w:val="22"/>
        </w:rPr>
        <w:fldChar w:fldCharType="separate"/>
      </w:r>
      <w:r>
        <w:rPr>
          <w:rFonts w:cs="Arial"/>
          <w:sz w:val="22"/>
          <w:szCs w:val="22"/>
        </w:rPr>
        <w:t>19.12.1.14</w:t>
      </w:r>
      <w:r>
        <w:rPr>
          <w:rFonts w:cs="Arial"/>
          <w:sz w:val="22"/>
          <w:szCs w:val="22"/>
        </w:rPr>
        <w:fldChar w:fldCharType="end"/>
      </w:r>
      <w:r>
        <w:rPr>
          <w:rFonts w:cs="Arial"/>
          <w:sz w:val="22"/>
          <w:szCs w:val="22"/>
        </w:rPr>
        <w:t>.</w:t>
      </w:r>
    </w:p>
    <w:p w14:paraId="5DCD4D96" w14:textId="77777777" w:rsidR="004F2821" w:rsidRPr="0028726C" w:rsidRDefault="004F2821" w:rsidP="0028726C">
      <w:pPr>
        <w:rPr>
          <w:rFonts w:cs="Arial"/>
          <w:sz w:val="22"/>
          <w:szCs w:val="22"/>
        </w:rPr>
      </w:pPr>
    </w:p>
    <w:p w14:paraId="20C3361A" w14:textId="77777777" w:rsidR="00C53D76" w:rsidRDefault="00C53D76" w:rsidP="0028726C">
      <w:pPr>
        <w:rPr>
          <w:rFonts w:cs="Arial"/>
          <w:sz w:val="22"/>
          <w:szCs w:val="22"/>
        </w:rPr>
      </w:pPr>
    </w:p>
    <w:p w14:paraId="0E00F2D3" w14:textId="77777777" w:rsidR="00C53D76" w:rsidRDefault="0028726C" w:rsidP="000D05A3">
      <w:pPr>
        <w:pStyle w:val="Ttulo4"/>
      </w:pPr>
      <w:r w:rsidRPr="0028726C">
        <w:t>GASES DEL CARIBE</w:t>
      </w:r>
      <w:r w:rsidRPr="0028726C">
        <w:tab/>
      </w:r>
    </w:p>
    <w:p w14:paraId="3EBF1648" w14:textId="7BFF58DC" w:rsidR="0028726C" w:rsidRPr="004F2821" w:rsidRDefault="0028726C" w:rsidP="0028726C">
      <w:pPr>
        <w:rPr>
          <w:rFonts w:cs="Arial"/>
          <w:i/>
          <w:iCs/>
          <w:sz w:val="22"/>
          <w:szCs w:val="22"/>
        </w:rPr>
      </w:pPr>
      <w:r w:rsidRPr="0028726C">
        <w:rPr>
          <w:rFonts w:cs="Arial"/>
          <w:sz w:val="22"/>
          <w:szCs w:val="22"/>
        </w:rPr>
        <w:t>"</w:t>
      </w:r>
      <w:r w:rsidRPr="004F2821">
        <w:rPr>
          <w:rFonts w:cs="Arial"/>
          <w:i/>
          <w:iCs/>
          <w:sz w:val="22"/>
          <w:szCs w:val="22"/>
        </w:rPr>
        <w:t>Al igual que comentarios anteriores, es importante que la CREG le determine al Gestor los parámetros dentro de los cuales hace la asignación, de manera que no se entienda como una delegación de la función regulatoria, y exista transparencia en las reglas que aplica el Gestor.</w:t>
      </w:r>
    </w:p>
    <w:p w14:paraId="43C69149" w14:textId="77777777" w:rsidR="0028726C" w:rsidRPr="004F2821" w:rsidRDefault="0028726C" w:rsidP="0028726C">
      <w:pPr>
        <w:rPr>
          <w:rFonts w:cs="Arial"/>
          <w:i/>
          <w:iCs/>
          <w:sz w:val="22"/>
          <w:szCs w:val="22"/>
        </w:rPr>
      </w:pPr>
    </w:p>
    <w:p w14:paraId="33C08226" w14:textId="77777777" w:rsidR="0028726C" w:rsidRDefault="0028726C" w:rsidP="0028726C">
      <w:pPr>
        <w:rPr>
          <w:rFonts w:cs="Arial"/>
          <w:sz w:val="22"/>
          <w:szCs w:val="22"/>
        </w:rPr>
      </w:pPr>
      <w:r w:rsidRPr="004F2821">
        <w:rPr>
          <w:rFonts w:cs="Arial"/>
          <w:i/>
          <w:iCs/>
          <w:sz w:val="22"/>
          <w:szCs w:val="22"/>
        </w:rPr>
        <w:t>Al mismo tiempo, la asignación debería tener en consideración la disponibilidad de la capacidad de transporte, y la cercanía que pueda darse entre los agentes y la fuente respectiva</w:t>
      </w:r>
      <w:r w:rsidRPr="0028726C">
        <w:rPr>
          <w:rFonts w:cs="Arial"/>
          <w:sz w:val="22"/>
          <w:szCs w:val="22"/>
        </w:rPr>
        <w:t>"</w:t>
      </w:r>
    </w:p>
    <w:p w14:paraId="06D1A59C" w14:textId="77777777" w:rsidR="004F2821" w:rsidRDefault="004F2821" w:rsidP="0028726C">
      <w:pPr>
        <w:rPr>
          <w:rFonts w:cs="Arial"/>
          <w:sz w:val="22"/>
          <w:szCs w:val="22"/>
        </w:rPr>
      </w:pPr>
    </w:p>
    <w:p w14:paraId="0EEA7079" w14:textId="15C417C7" w:rsidR="004F2821" w:rsidRPr="004F2821" w:rsidRDefault="004F2821" w:rsidP="0028726C">
      <w:pPr>
        <w:rPr>
          <w:rFonts w:cs="Arial"/>
          <w:b/>
          <w:bCs/>
          <w:sz w:val="22"/>
          <w:szCs w:val="22"/>
        </w:rPr>
      </w:pPr>
      <w:r w:rsidRPr="004F2821">
        <w:rPr>
          <w:rFonts w:cs="Arial"/>
          <w:b/>
          <w:bCs/>
          <w:sz w:val="22"/>
          <w:szCs w:val="22"/>
        </w:rPr>
        <w:t>Respuesta:</w:t>
      </w:r>
    </w:p>
    <w:p w14:paraId="50D839E1" w14:textId="77777777" w:rsidR="004F2821" w:rsidRDefault="004F2821" w:rsidP="0028726C">
      <w:pPr>
        <w:rPr>
          <w:rFonts w:cs="Arial"/>
          <w:sz w:val="22"/>
          <w:szCs w:val="22"/>
        </w:rPr>
      </w:pPr>
    </w:p>
    <w:p w14:paraId="47600B25" w14:textId="79BD7793" w:rsidR="004F2821" w:rsidRDefault="004F282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_Ref132290541 \r \h </w:instrText>
      </w:r>
      <w:r>
        <w:rPr>
          <w:rFonts w:cs="Arial"/>
          <w:sz w:val="22"/>
          <w:szCs w:val="22"/>
        </w:rPr>
      </w:r>
      <w:r>
        <w:rPr>
          <w:rFonts w:cs="Arial"/>
          <w:sz w:val="22"/>
          <w:szCs w:val="22"/>
        </w:rPr>
        <w:fldChar w:fldCharType="separate"/>
      </w:r>
      <w:r>
        <w:rPr>
          <w:rFonts w:cs="Arial"/>
          <w:sz w:val="22"/>
          <w:szCs w:val="22"/>
        </w:rPr>
        <w:t>19.12.1.15</w:t>
      </w:r>
      <w:r>
        <w:rPr>
          <w:rFonts w:cs="Arial"/>
          <w:sz w:val="22"/>
          <w:szCs w:val="22"/>
        </w:rPr>
        <w:fldChar w:fldCharType="end"/>
      </w:r>
      <w:r>
        <w:rPr>
          <w:rFonts w:cs="Arial"/>
          <w:sz w:val="22"/>
          <w:szCs w:val="22"/>
        </w:rPr>
        <w:t>.</w:t>
      </w:r>
    </w:p>
    <w:p w14:paraId="0AE5A57B" w14:textId="77777777" w:rsidR="004F2821" w:rsidRPr="0028726C" w:rsidRDefault="004F2821" w:rsidP="0028726C">
      <w:pPr>
        <w:rPr>
          <w:rFonts w:cs="Arial"/>
          <w:sz w:val="22"/>
          <w:szCs w:val="22"/>
        </w:rPr>
      </w:pPr>
    </w:p>
    <w:p w14:paraId="4FA279EF" w14:textId="77777777" w:rsidR="00C53D76" w:rsidRDefault="00C53D76" w:rsidP="0028726C">
      <w:pPr>
        <w:rPr>
          <w:rFonts w:cs="Arial"/>
          <w:sz w:val="22"/>
          <w:szCs w:val="22"/>
        </w:rPr>
      </w:pPr>
    </w:p>
    <w:p w14:paraId="759FD24E" w14:textId="77777777" w:rsidR="00C53D76" w:rsidRDefault="0028726C" w:rsidP="000D05A3">
      <w:pPr>
        <w:pStyle w:val="Ttulo4"/>
      </w:pPr>
      <w:r w:rsidRPr="0028726C">
        <w:t>GASES DEL CARIBE</w:t>
      </w:r>
      <w:r w:rsidRPr="0028726C">
        <w:tab/>
      </w:r>
    </w:p>
    <w:p w14:paraId="7B4DC378" w14:textId="46390CD1" w:rsidR="0028726C" w:rsidRPr="0028726C" w:rsidRDefault="004544E9" w:rsidP="0028726C">
      <w:pPr>
        <w:rPr>
          <w:rFonts w:cs="Arial"/>
          <w:sz w:val="22"/>
          <w:szCs w:val="22"/>
        </w:rPr>
      </w:pPr>
      <w:r>
        <w:rPr>
          <w:rFonts w:cs="Arial"/>
          <w:i/>
          <w:iCs/>
          <w:sz w:val="22"/>
          <w:szCs w:val="22"/>
        </w:rPr>
        <w:t>“</w:t>
      </w:r>
      <w:r w:rsidR="0028726C" w:rsidRPr="004F2821">
        <w:rPr>
          <w:rFonts w:cs="Arial"/>
          <w:i/>
          <w:iCs/>
          <w:sz w:val="22"/>
          <w:szCs w:val="22"/>
        </w:rPr>
        <w:t xml:space="preserve">Esta condición no resulta aceptable en un mecanismo de asignación administrada, ya que permitiría a las partes salirse de sus compromisos. En Ese sentido, sería necesario que antes de iniciar el proceso, Los Productores Comercializadores, deban declarar tanto su precio de reserva, como </w:t>
      </w:r>
      <w:proofErr w:type="gramStart"/>
      <w:r w:rsidR="0028726C" w:rsidRPr="004F2821">
        <w:rPr>
          <w:rFonts w:cs="Arial"/>
          <w:i/>
          <w:iCs/>
          <w:sz w:val="22"/>
          <w:szCs w:val="22"/>
        </w:rPr>
        <w:t>su las garantías</w:t>
      </w:r>
      <w:proofErr w:type="gramEnd"/>
      <w:r w:rsidR="0028726C" w:rsidRPr="004F2821">
        <w:rPr>
          <w:rFonts w:cs="Arial"/>
          <w:i/>
          <w:iCs/>
          <w:sz w:val="22"/>
          <w:szCs w:val="22"/>
        </w:rPr>
        <w:t xml:space="preserve"> de pago que requieren para el efecto, que son las únicas razones por las cuales un Productor podría negarse a suscribir un acuerdo de este tipo</w:t>
      </w:r>
      <w:r w:rsidR="0028726C" w:rsidRPr="0028726C">
        <w:rPr>
          <w:rFonts w:cs="Arial"/>
          <w:sz w:val="22"/>
          <w:szCs w:val="22"/>
        </w:rPr>
        <w:t>.</w:t>
      </w:r>
      <w:r>
        <w:rPr>
          <w:rFonts w:cs="Arial"/>
          <w:sz w:val="22"/>
          <w:szCs w:val="22"/>
        </w:rPr>
        <w:t>”</w:t>
      </w:r>
    </w:p>
    <w:p w14:paraId="24F5C3EA" w14:textId="77777777" w:rsidR="00C53D76" w:rsidRDefault="00C53D76" w:rsidP="0028726C">
      <w:pPr>
        <w:rPr>
          <w:rFonts w:cs="Arial"/>
          <w:sz w:val="22"/>
          <w:szCs w:val="22"/>
        </w:rPr>
      </w:pPr>
    </w:p>
    <w:p w14:paraId="67B35B01" w14:textId="0ECB9206" w:rsidR="004F2821" w:rsidRPr="004F2821" w:rsidRDefault="004F2821" w:rsidP="0028726C">
      <w:pPr>
        <w:rPr>
          <w:rFonts w:cs="Arial"/>
          <w:b/>
          <w:bCs/>
          <w:sz w:val="22"/>
          <w:szCs w:val="22"/>
        </w:rPr>
      </w:pPr>
      <w:r w:rsidRPr="004F2821">
        <w:rPr>
          <w:rFonts w:cs="Arial"/>
          <w:b/>
          <w:bCs/>
          <w:sz w:val="22"/>
          <w:szCs w:val="22"/>
        </w:rPr>
        <w:t>Respuesta:</w:t>
      </w:r>
    </w:p>
    <w:p w14:paraId="4CE7791F" w14:textId="77777777" w:rsidR="004F2821" w:rsidRDefault="004F2821" w:rsidP="0028726C">
      <w:pPr>
        <w:rPr>
          <w:rFonts w:cs="Arial"/>
          <w:sz w:val="22"/>
          <w:szCs w:val="22"/>
        </w:rPr>
      </w:pPr>
    </w:p>
    <w:p w14:paraId="17C5EAB2" w14:textId="3B0C9422" w:rsidR="004F2821" w:rsidRDefault="004F282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_Ref132290590 \r \h </w:instrText>
      </w:r>
      <w:r>
        <w:rPr>
          <w:rFonts w:cs="Arial"/>
          <w:sz w:val="22"/>
          <w:szCs w:val="22"/>
        </w:rPr>
      </w:r>
      <w:r>
        <w:rPr>
          <w:rFonts w:cs="Arial"/>
          <w:sz w:val="22"/>
          <w:szCs w:val="22"/>
        </w:rPr>
        <w:fldChar w:fldCharType="separate"/>
      </w:r>
      <w:r>
        <w:rPr>
          <w:rFonts w:cs="Arial"/>
          <w:sz w:val="22"/>
          <w:szCs w:val="22"/>
        </w:rPr>
        <w:t>19.12.1.16</w:t>
      </w:r>
      <w:r>
        <w:rPr>
          <w:rFonts w:cs="Arial"/>
          <w:sz w:val="22"/>
          <w:szCs w:val="22"/>
        </w:rPr>
        <w:fldChar w:fldCharType="end"/>
      </w:r>
      <w:r>
        <w:rPr>
          <w:rFonts w:cs="Arial"/>
          <w:sz w:val="22"/>
          <w:szCs w:val="22"/>
        </w:rPr>
        <w:t>.</w:t>
      </w:r>
    </w:p>
    <w:p w14:paraId="1B1C298B" w14:textId="77777777" w:rsidR="004F2821" w:rsidRDefault="004F2821" w:rsidP="0028726C">
      <w:pPr>
        <w:rPr>
          <w:rFonts w:cs="Arial"/>
          <w:sz w:val="22"/>
          <w:szCs w:val="22"/>
        </w:rPr>
      </w:pPr>
    </w:p>
    <w:p w14:paraId="1D21433B" w14:textId="77777777" w:rsidR="004F2821" w:rsidRDefault="004F2821" w:rsidP="0028726C">
      <w:pPr>
        <w:rPr>
          <w:rFonts w:cs="Arial"/>
          <w:sz w:val="22"/>
          <w:szCs w:val="22"/>
        </w:rPr>
      </w:pPr>
    </w:p>
    <w:p w14:paraId="08C33017" w14:textId="77777777" w:rsidR="00C53D76" w:rsidRDefault="0028726C" w:rsidP="000D05A3">
      <w:pPr>
        <w:pStyle w:val="Ttulo4"/>
      </w:pPr>
      <w:r w:rsidRPr="0028726C">
        <w:t>GASES DEL CARIBE</w:t>
      </w:r>
      <w:r w:rsidRPr="0028726C">
        <w:tab/>
      </w:r>
    </w:p>
    <w:p w14:paraId="7150C05C" w14:textId="39597927" w:rsidR="0028726C" w:rsidRPr="004F2821" w:rsidRDefault="004544E9" w:rsidP="0028726C">
      <w:pPr>
        <w:rPr>
          <w:rFonts w:cs="Arial"/>
          <w:i/>
          <w:iCs/>
          <w:sz w:val="22"/>
          <w:szCs w:val="22"/>
        </w:rPr>
      </w:pPr>
      <w:r>
        <w:rPr>
          <w:rFonts w:cs="Arial"/>
          <w:i/>
          <w:iCs/>
          <w:sz w:val="22"/>
          <w:szCs w:val="22"/>
        </w:rPr>
        <w:t>“</w:t>
      </w:r>
      <w:r w:rsidR="0028726C" w:rsidRPr="004F2821">
        <w:rPr>
          <w:rFonts w:cs="Arial"/>
          <w:i/>
          <w:iCs/>
          <w:sz w:val="22"/>
          <w:szCs w:val="22"/>
        </w:rPr>
        <w:t>Para poder hacer una valoración integral de la propuesta del regulador, se requiere necesariamente conocer el funcionamiento de la subasta, máxime si se tiene en cuenta que la demanda esencial es tomadora del precio que resulte de la misma</w:t>
      </w:r>
      <w:r w:rsidR="004F2821" w:rsidRPr="004F2821">
        <w:rPr>
          <w:rFonts w:cs="Arial"/>
          <w:i/>
          <w:iCs/>
          <w:sz w:val="22"/>
          <w:szCs w:val="22"/>
        </w:rPr>
        <w:t>.</w:t>
      </w:r>
      <w:r>
        <w:rPr>
          <w:rFonts w:cs="Arial"/>
          <w:i/>
          <w:iCs/>
          <w:sz w:val="22"/>
          <w:szCs w:val="22"/>
        </w:rPr>
        <w:t>”</w:t>
      </w:r>
    </w:p>
    <w:p w14:paraId="45AFB049" w14:textId="77777777" w:rsidR="004F2821" w:rsidRDefault="004F2821" w:rsidP="0028726C">
      <w:pPr>
        <w:rPr>
          <w:rFonts w:cs="Arial"/>
          <w:sz w:val="22"/>
          <w:szCs w:val="22"/>
        </w:rPr>
      </w:pPr>
    </w:p>
    <w:p w14:paraId="36658F8D" w14:textId="69666CE7" w:rsidR="004F2821" w:rsidRPr="004F2821" w:rsidRDefault="004F2821" w:rsidP="0028726C">
      <w:pPr>
        <w:rPr>
          <w:rFonts w:cs="Arial"/>
          <w:b/>
          <w:bCs/>
          <w:sz w:val="22"/>
          <w:szCs w:val="22"/>
        </w:rPr>
      </w:pPr>
      <w:r w:rsidRPr="004F2821">
        <w:rPr>
          <w:rFonts w:cs="Arial"/>
          <w:b/>
          <w:bCs/>
          <w:sz w:val="22"/>
          <w:szCs w:val="22"/>
        </w:rPr>
        <w:t>Respuesta:</w:t>
      </w:r>
    </w:p>
    <w:p w14:paraId="7FB0CC2A" w14:textId="77777777" w:rsidR="004F2821" w:rsidRDefault="004F2821" w:rsidP="0028726C">
      <w:pPr>
        <w:rPr>
          <w:rFonts w:cs="Arial"/>
          <w:sz w:val="22"/>
          <w:szCs w:val="22"/>
        </w:rPr>
      </w:pPr>
    </w:p>
    <w:p w14:paraId="6417AD9F" w14:textId="77777777" w:rsidR="00B764B1" w:rsidRDefault="00B764B1" w:rsidP="00B764B1">
      <w:pPr>
        <w:rPr>
          <w:rFonts w:cs="Arial"/>
          <w:sz w:val="22"/>
          <w:szCs w:val="22"/>
        </w:rPr>
      </w:pPr>
      <w:r>
        <w:rPr>
          <w:rFonts w:cs="Arial"/>
          <w:sz w:val="22"/>
          <w:szCs w:val="22"/>
        </w:rPr>
        <w:t xml:space="preserve">Ver repuesta a </w:t>
      </w:r>
      <w:r>
        <w:rPr>
          <w:rFonts w:cs="Arial"/>
          <w:sz w:val="22"/>
          <w:szCs w:val="22"/>
        </w:rPr>
        <w:fldChar w:fldCharType="begin"/>
      </w:r>
      <w:r>
        <w:rPr>
          <w:rFonts w:cs="Arial"/>
          <w:sz w:val="22"/>
          <w:szCs w:val="22"/>
        </w:rPr>
        <w:instrText xml:space="preserve"> REF _Ref132190563 \r \h </w:instrText>
      </w:r>
      <w:r>
        <w:rPr>
          <w:rFonts w:cs="Arial"/>
          <w:sz w:val="22"/>
          <w:szCs w:val="22"/>
        </w:rPr>
      </w:r>
      <w:r>
        <w:rPr>
          <w:rFonts w:cs="Arial"/>
          <w:sz w:val="22"/>
          <w:szCs w:val="22"/>
        </w:rPr>
        <w:fldChar w:fldCharType="separate"/>
      </w:r>
      <w:r>
        <w:rPr>
          <w:rFonts w:cs="Arial"/>
          <w:sz w:val="22"/>
          <w:szCs w:val="22"/>
        </w:rPr>
        <w:t>19.2.1.2</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_Ref132207182 \r \h </w:instrText>
      </w:r>
      <w:r>
        <w:rPr>
          <w:rFonts w:cs="Arial"/>
          <w:sz w:val="22"/>
          <w:szCs w:val="22"/>
        </w:rPr>
      </w:r>
      <w:r>
        <w:rPr>
          <w:rFonts w:cs="Arial"/>
          <w:sz w:val="22"/>
          <w:szCs w:val="22"/>
        </w:rPr>
        <w:fldChar w:fldCharType="separate"/>
      </w:r>
      <w:r>
        <w:rPr>
          <w:rFonts w:cs="Arial"/>
          <w:sz w:val="22"/>
          <w:szCs w:val="22"/>
        </w:rPr>
        <w:t>19.8.1.13</w:t>
      </w:r>
      <w:r>
        <w:rPr>
          <w:rFonts w:cs="Arial"/>
          <w:sz w:val="22"/>
          <w:szCs w:val="22"/>
        </w:rPr>
        <w:fldChar w:fldCharType="end"/>
      </w:r>
      <w:r>
        <w:rPr>
          <w:rFonts w:cs="Arial"/>
          <w:sz w:val="22"/>
          <w:szCs w:val="22"/>
        </w:rPr>
        <w:t>.</w:t>
      </w:r>
    </w:p>
    <w:p w14:paraId="65661F0A" w14:textId="77777777" w:rsidR="004F2821" w:rsidRPr="0028726C" w:rsidRDefault="004F2821" w:rsidP="0028726C">
      <w:pPr>
        <w:rPr>
          <w:rFonts w:cs="Arial"/>
          <w:sz w:val="22"/>
          <w:szCs w:val="22"/>
        </w:rPr>
      </w:pPr>
    </w:p>
    <w:p w14:paraId="1FA95008" w14:textId="77777777" w:rsidR="00C53D76" w:rsidRDefault="00C53D76" w:rsidP="0028726C">
      <w:pPr>
        <w:rPr>
          <w:rFonts w:cs="Arial"/>
          <w:sz w:val="22"/>
          <w:szCs w:val="22"/>
        </w:rPr>
      </w:pPr>
    </w:p>
    <w:p w14:paraId="0AD60494" w14:textId="77777777" w:rsidR="00C53D76" w:rsidRDefault="0028726C" w:rsidP="000D05A3">
      <w:pPr>
        <w:pStyle w:val="Ttulo4"/>
      </w:pPr>
      <w:r w:rsidRPr="0028726C">
        <w:t>GASES DEL CARIBE</w:t>
      </w:r>
      <w:r w:rsidRPr="0028726C">
        <w:tab/>
      </w:r>
    </w:p>
    <w:p w14:paraId="41F08DAC" w14:textId="3D6FF34F" w:rsidR="0028726C" w:rsidRPr="00B764B1" w:rsidRDefault="0028726C" w:rsidP="0028726C">
      <w:pPr>
        <w:rPr>
          <w:rFonts w:cs="Arial"/>
          <w:i/>
          <w:iCs/>
          <w:sz w:val="22"/>
          <w:szCs w:val="22"/>
        </w:rPr>
      </w:pPr>
      <w:r w:rsidRPr="0028726C">
        <w:rPr>
          <w:rFonts w:cs="Arial"/>
          <w:sz w:val="22"/>
          <w:szCs w:val="22"/>
        </w:rPr>
        <w:t>"</w:t>
      </w:r>
      <w:r w:rsidRPr="00B764B1">
        <w:rPr>
          <w:rFonts w:cs="Arial"/>
          <w:i/>
          <w:iCs/>
          <w:sz w:val="22"/>
          <w:szCs w:val="22"/>
        </w:rPr>
        <w:t>Estos apartes de la resolución resultan confusos, según se explica a continuación:</w:t>
      </w:r>
    </w:p>
    <w:p w14:paraId="4477C9E3" w14:textId="77777777" w:rsidR="0028726C" w:rsidRPr="00B764B1" w:rsidRDefault="0028726C" w:rsidP="0028726C">
      <w:pPr>
        <w:rPr>
          <w:rFonts w:cs="Arial"/>
          <w:i/>
          <w:iCs/>
          <w:sz w:val="22"/>
          <w:szCs w:val="22"/>
        </w:rPr>
      </w:pPr>
    </w:p>
    <w:p w14:paraId="4288F177" w14:textId="77777777" w:rsidR="0028726C" w:rsidRPr="00B764B1" w:rsidRDefault="0028726C" w:rsidP="0028726C">
      <w:pPr>
        <w:rPr>
          <w:rFonts w:cs="Arial"/>
          <w:i/>
          <w:iCs/>
          <w:sz w:val="22"/>
          <w:szCs w:val="22"/>
        </w:rPr>
      </w:pPr>
      <w:r w:rsidRPr="00B764B1">
        <w:rPr>
          <w:rFonts w:cs="Arial"/>
          <w:i/>
          <w:iCs/>
          <w:sz w:val="22"/>
          <w:szCs w:val="22"/>
        </w:rPr>
        <w:t xml:space="preserve">Si los productores tienen que declarar la PTDVF, significa que esta por principio, </w:t>
      </w:r>
      <w:proofErr w:type="gramStart"/>
      <w:r w:rsidRPr="00B764B1">
        <w:rPr>
          <w:rFonts w:cs="Arial"/>
          <w:i/>
          <w:iCs/>
          <w:sz w:val="22"/>
          <w:szCs w:val="22"/>
        </w:rPr>
        <w:t>tiene que tener</w:t>
      </w:r>
      <w:proofErr w:type="gramEnd"/>
      <w:r w:rsidRPr="00B764B1">
        <w:rPr>
          <w:rFonts w:cs="Arial"/>
          <w:i/>
          <w:iCs/>
          <w:sz w:val="22"/>
          <w:szCs w:val="22"/>
        </w:rPr>
        <w:t xml:space="preserve"> respaldo físico, es decir, reservas de gas permitan cumplir los compromisos que se adquieren.</w:t>
      </w:r>
    </w:p>
    <w:p w14:paraId="1AA44091" w14:textId="77777777" w:rsidR="0028726C" w:rsidRPr="00B764B1" w:rsidRDefault="0028726C" w:rsidP="0028726C">
      <w:pPr>
        <w:rPr>
          <w:rFonts w:cs="Arial"/>
          <w:i/>
          <w:iCs/>
          <w:sz w:val="22"/>
          <w:szCs w:val="22"/>
        </w:rPr>
      </w:pPr>
    </w:p>
    <w:p w14:paraId="2A4DC874" w14:textId="77777777" w:rsidR="0028726C" w:rsidRPr="00B764B1" w:rsidRDefault="0028726C" w:rsidP="0028726C">
      <w:pPr>
        <w:rPr>
          <w:rFonts w:cs="Arial"/>
          <w:i/>
          <w:iCs/>
          <w:sz w:val="22"/>
          <w:szCs w:val="22"/>
        </w:rPr>
      </w:pPr>
      <w:r w:rsidRPr="00B764B1">
        <w:rPr>
          <w:rFonts w:cs="Arial"/>
          <w:i/>
          <w:iCs/>
          <w:sz w:val="22"/>
          <w:szCs w:val="22"/>
        </w:rPr>
        <w:t>Si lo anterior es así, y todas las transacciones del mercado mayorista deben tener respaldo físico, ¿Por qué se incluyen estos parágrafos?</w:t>
      </w:r>
    </w:p>
    <w:p w14:paraId="050FD273" w14:textId="77777777" w:rsidR="0028726C" w:rsidRPr="00B764B1" w:rsidRDefault="0028726C" w:rsidP="0028726C">
      <w:pPr>
        <w:rPr>
          <w:rFonts w:cs="Arial"/>
          <w:i/>
          <w:iCs/>
          <w:sz w:val="22"/>
          <w:szCs w:val="22"/>
        </w:rPr>
      </w:pPr>
    </w:p>
    <w:p w14:paraId="4B09441E" w14:textId="77777777" w:rsidR="0028726C" w:rsidRPr="00B764B1" w:rsidRDefault="0028726C" w:rsidP="0028726C">
      <w:pPr>
        <w:rPr>
          <w:rFonts w:cs="Arial"/>
          <w:i/>
          <w:iCs/>
          <w:sz w:val="22"/>
          <w:szCs w:val="22"/>
        </w:rPr>
      </w:pPr>
      <w:r w:rsidRPr="00B764B1">
        <w:rPr>
          <w:rFonts w:cs="Arial"/>
          <w:i/>
          <w:iCs/>
          <w:sz w:val="22"/>
          <w:szCs w:val="22"/>
        </w:rPr>
        <w:t>Ahora bien, si la intención es que los vendedores puedan pactar y registrar contratos, sin tener respaldo físico, lo que implica una especulación en el mercado de gas, el regulador debería señalarlo así, de manera que todos los agentes tengan clara la señal respectiva."</w:t>
      </w:r>
    </w:p>
    <w:p w14:paraId="71000E76" w14:textId="77777777" w:rsidR="00B764B1" w:rsidRDefault="00B764B1" w:rsidP="0028726C">
      <w:pPr>
        <w:rPr>
          <w:rFonts w:cs="Arial"/>
          <w:sz w:val="22"/>
          <w:szCs w:val="22"/>
        </w:rPr>
      </w:pPr>
    </w:p>
    <w:p w14:paraId="2AA841E7" w14:textId="77777777" w:rsidR="00B764B1" w:rsidRPr="00FC240D" w:rsidRDefault="00B764B1" w:rsidP="00B764B1">
      <w:pPr>
        <w:rPr>
          <w:rFonts w:cs="Arial"/>
          <w:b/>
          <w:bCs/>
          <w:sz w:val="22"/>
          <w:szCs w:val="22"/>
        </w:rPr>
      </w:pPr>
      <w:r w:rsidRPr="00FC240D">
        <w:rPr>
          <w:rFonts w:cs="Arial"/>
          <w:b/>
          <w:bCs/>
          <w:sz w:val="22"/>
          <w:szCs w:val="22"/>
        </w:rPr>
        <w:t>Respuesta:</w:t>
      </w:r>
    </w:p>
    <w:p w14:paraId="13F50A45" w14:textId="77777777" w:rsidR="00B764B1" w:rsidRDefault="00B764B1" w:rsidP="00B764B1">
      <w:pPr>
        <w:rPr>
          <w:rFonts w:cs="Arial"/>
          <w:sz w:val="22"/>
          <w:szCs w:val="22"/>
        </w:rPr>
      </w:pPr>
    </w:p>
    <w:p w14:paraId="3A97BA41" w14:textId="77777777" w:rsidR="00B764B1" w:rsidRDefault="00B764B1" w:rsidP="00B764B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_Ref132207349 \r \h </w:instrText>
      </w:r>
      <w:r>
        <w:rPr>
          <w:rFonts w:cs="Arial"/>
          <w:sz w:val="22"/>
          <w:szCs w:val="22"/>
        </w:rPr>
      </w:r>
      <w:r>
        <w:rPr>
          <w:rFonts w:cs="Arial"/>
          <w:sz w:val="22"/>
          <w:szCs w:val="22"/>
        </w:rPr>
        <w:fldChar w:fldCharType="separate"/>
      </w:r>
      <w:r>
        <w:rPr>
          <w:rFonts w:cs="Arial"/>
          <w:sz w:val="22"/>
          <w:szCs w:val="22"/>
        </w:rPr>
        <w:t>19.12.1.7</w:t>
      </w:r>
      <w:r>
        <w:rPr>
          <w:rFonts w:cs="Arial"/>
          <w:sz w:val="22"/>
          <w:szCs w:val="22"/>
        </w:rPr>
        <w:fldChar w:fldCharType="end"/>
      </w:r>
      <w:r>
        <w:rPr>
          <w:rFonts w:cs="Arial"/>
          <w:sz w:val="22"/>
          <w:szCs w:val="22"/>
        </w:rPr>
        <w:t>.</w:t>
      </w:r>
    </w:p>
    <w:p w14:paraId="398A2A1C" w14:textId="77777777" w:rsidR="00B764B1" w:rsidRDefault="00B764B1" w:rsidP="0028726C">
      <w:pPr>
        <w:rPr>
          <w:rFonts w:cs="Arial"/>
          <w:sz w:val="22"/>
          <w:szCs w:val="22"/>
        </w:rPr>
      </w:pPr>
    </w:p>
    <w:p w14:paraId="7C8C3A5F" w14:textId="77777777" w:rsidR="00B764B1" w:rsidRPr="0028726C" w:rsidRDefault="00B764B1" w:rsidP="0028726C">
      <w:pPr>
        <w:rPr>
          <w:rFonts w:cs="Arial"/>
          <w:sz w:val="22"/>
          <w:szCs w:val="22"/>
        </w:rPr>
      </w:pPr>
    </w:p>
    <w:p w14:paraId="372E4E91" w14:textId="77777777" w:rsidR="00C53D76" w:rsidRDefault="0028726C" w:rsidP="000D05A3">
      <w:pPr>
        <w:pStyle w:val="Ttulo4"/>
      </w:pPr>
      <w:r w:rsidRPr="0028726C">
        <w:t>GASES DEL CARIBE</w:t>
      </w:r>
      <w:r w:rsidRPr="0028726C">
        <w:tab/>
      </w:r>
    </w:p>
    <w:p w14:paraId="3D871189" w14:textId="725B6493" w:rsidR="0028726C" w:rsidRPr="00B764B1" w:rsidRDefault="0028726C" w:rsidP="0028726C">
      <w:pPr>
        <w:rPr>
          <w:rFonts w:cs="Arial"/>
          <w:i/>
          <w:iCs/>
          <w:sz w:val="22"/>
          <w:szCs w:val="22"/>
        </w:rPr>
      </w:pPr>
      <w:r w:rsidRPr="0028726C">
        <w:rPr>
          <w:rFonts w:cs="Arial"/>
          <w:sz w:val="22"/>
          <w:szCs w:val="22"/>
        </w:rPr>
        <w:t>"</w:t>
      </w:r>
      <w:r w:rsidRPr="00B764B1">
        <w:rPr>
          <w:rFonts w:cs="Arial"/>
          <w:i/>
          <w:iCs/>
          <w:sz w:val="22"/>
          <w:szCs w:val="22"/>
        </w:rPr>
        <w:t xml:space="preserve">Como se dijo con anterioridad, es importante </w:t>
      </w:r>
      <w:proofErr w:type="gramStart"/>
      <w:r w:rsidRPr="00B764B1">
        <w:rPr>
          <w:rFonts w:cs="Arial"/>
          <w:i/>
          <w:iCs/>
          <w:sz w:val="22"/>
          <w:szCs w:val="22"/>
        </w:rPr>
        <w:t>que</w:t>
      </w:r>
      <w:proofErr w:type="gramEnd"/>
      <w:r w:rsidRPr="00B764B1">
        <w:rPr>
          <w:rFonts w:cs="Arial"/>
          <w:i/>
          <w:iCs/>
          <w:sz w:val="22"/>
          <w:szCs w:val="22"/>
        </w:rPr>
        <w:t xml:space="preserve"> si el regulador requiere grados de discriminación, por ser estos deseables dadas las condiciones del mercado, esto se incluya expresamente como criterio.</w:t>
      </w:r>
    </w:p>
    <w:p w14:paraId="01B8780F" w14:textId="77777777" w:rsidR="0028726C" w:rsidRPr="00B764B1" w:rsidRDefault="0028726C" w:rsidP="0028726C">
      <w:pPr>
        <w:rPr>
          <w:rFonts w:cs="Arial"/>
          <w:i/>
          <w:iCs/>
          <w:sz w:val="22"/>
          <w:szCs w:val="22"/>
        </w:rPr>
      </w:pPr>
    </w:p>
    <w:p w14:paraId="1CE28F46" w14:textId="77777777" w:rsidR="0028726C" w:rsidRPr="00B764B1" w:rsidRDefault="0028726C" w:rsidP="0028726C">
      <w:pPr>
        <w:rPr>
          <w:rFonts w:cs="Arial"/>
          <w:i/>
          <w:iCs/>
          <w:sz w:val="22"/>
          <w:szCs w:val="22"/>
        </w:rPr>
      </w:pPr>
      <w:r w:rsidRPr="00B764B1">
        <w:rPr>
          <w:rFonts w:cs="Arial"/>
          <w:i/>
          <w:iCs/>
          <w:sz w:val="22"/>
          <w:szCs w:val="22"/>
        </w:rPr>
        <w:t xml:space="preserve">En ese sentido, es importante tener en cuenta que muy pocos productores discriminan por tipo de demanda, o por volumen, sino que sacan un solo precio, sin considerar la disponibilidad a pagar de las demandas, si la elasticidad precio de </w:t>
      </w:r>
      <w:proofErr w:type="gramStart"/>
      <w:r w:rsidRPr="00B764B1">
        <w:rPr>
          <w:rFonts w:cs="Arial"/>
          <w:i/>
          <w:iCs/>
          <w:sz w:val="22"/>
          <w:szCs w:val="22"/>
        </w:rPr>
        <w:t>las mismas</w:t>
      </w:r>
      <w:proofErr w:type="gramEnd"/>
      <w:r w:rsidRPr="00B764B1">
        <w:rPr>
          <w:rFonts w:cs="Arial"/>
          <w:i/>
          <w:iCs/>
          <w:sz w:val="22"/>
          <w:szCs w:val="22"/>
        </w:rPr>
        <w:t>.</w:t>
      </w:r>
    </w:p>
    <w:p w14:paraId="3A9F3046" w14:textId="77777777" w:rsidR="0028726C" w:rsidRPr="00B764B1" w:rsidRDefault="0028726C" w:rsidP="0028726C">
      <w:pPr>
        <w:rPr>
          <w:rFonts w:cs="Arial"/>
          <w:i/>
          <w:iCs/>
          <w:sz w:val="22"/>
          <w:szCs w:val="22"/>
        </w:rPr>
      </w:pPr>
    </w:p>
    <w:p w14:paraId="080BAE9F" w14:textId="77777777" w:rsidR="0028726C" w:rsidRPr="00B764B1" w:rsidRDefault="0028726C" w:rsidP="0028726C">
      <w:pPr>
        <w:rPr>
          <w:rFonts w:cs="Arial"/>
          <w:i/>
          <w:iCs/>
          <w:sz w:val="22"/>
          <w:szCs w:val="22"/>
        </w:rPr>
      </w:pPr>
      <w:r w:rsidRPr="00B764B1">
        <w:rPr>
          <w:rFonts w:cs="Arial"/>
          <w:i/>
          <w:iCs/>
          <w:sz w:val="22"/>
          <w:szCs w:val="22"/>
        </w:rPr>
        <w:t>La intervención del regulador sería deseable, ya que es la única excepción a los parámetros de competencia."</w:t>
      </w:r>
    </w:p>
    <w:p w14:paraId="4EA7CF78" w14:textId="77777777" w:rsidR="00C53D76" w:rsidRDefault="00C53D76" w:rsidP="0028726C">
      <w:pPr>
        <w:rPr>
          <w:rFonts w:cs="Arial"/>
          <w:sz w:val="22"/>
          <w:szCs w:val="22"/>
        </w:rPr>
      </w:pPr>
    </w:p>
    <w:p w14:paraId="7CBED4D7" w14:textId="77777777" w:rsidR="00B764B1" w:rsidRPr="00A1197E" w:rsidRDefault="00B764B1" w:rsidP="00B764B1">
      <w:pPr>
        <w:rPr>
          <w:rFonts w:cs="Arial"/>
          <w:b/>
          <w:bCs/>
          <w:sz w:val="22"/>
          <w:szCs w:val="22"/>
        </w:rPr>
      </w:pPr>
      <w:r w:rsidRPr="00A1197E">
        <w:rPr>
          <w:rFonts w:cs="Arial"/>
          <w:b/>
          <w:bCs/>
          <w:sz w:val="22"/>
          <w:szCs w:val="22"/>
        </w:rPr>
        <w:t>Respuesta:</w:t>
      </w:r>
    </w:p>
    <w:p w14:paraId="3FF8478C" w14:textId="77777777" w:rsidR="00B764B1" w:rsidRDefault="00B764B1" w:rsidP="00B764B1">
      <w:pPr>
        <w:rPr>
          <w:rFonts w:cs="Arial"/>
          <w:sz w:val="22"/>
          <w:szCs w:val="22"/>
        </w:rPr>
      </w:pPr>
    </w:p>
    <w:p w14:paraId="32DDA10C" w14:textId="77777777" w:rsidR="00B764B1" w:rsidRDefault="00B764B1" w:rsidP="00B764B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_Ref132207410 \r \h </w:instrText>
      </w:r>
      <w:r>
        <w:rPr>
          <w:rFonts w:cs="Arial"/>
          <w:sz w:val="22"/>
          <w:szCs w:val="22"/>
        </w:rPr>
      </w:r>
      <w:r>
        <w:rPr>
          <w:rFonts w:cs="Arial"/>
          <w:sz w:val="22"/>
          <w:szCs w:val="22"/>
        </w:rPr>
        <w:fldChar w:fldCharType="separate"/>
      </w:r>
      <w:r>
        <w:rPr>
          <w:rFonts w:cs="Arial"/>
          <w:sz w:val="22"/>
          <w:szCs w:val="22"/>
        </w:rPr>
        <w:t>19.12.1.11</w:t>
      </w:r>
      <w:r>
        <w:rPr>
          <w:rFonts w:cs="Arial"/>
          <w:sz w:val="22"/>
          <w:szCs w:val="22"/>
        </w:rPr>
        <w:fldChar w:fldCharType="end"/>
      </w:r>
      <w:r>
        <w:rPr>
          <w:rFonts w:cs="Arial"/>
          <w:sz w:val="22"/>
          <w:szCs w:val="22"/>
        </w:rPr>
        <w:t>.</w:t>
      </w:r>
    </w:p>
    <w:p w14:paraId="2754D6BD" w14:textId="77777777" w:rsidR="00B764B1" w:rsidRDefault="00B764B1" w:rsidP="0028726C">
      <w:pPr>
        <w:rPr>
          <w:rFonts w:cs="Arial"/>
          <w:sz w:val="22"/>
          <w:szCs w:val="22"/>
        </w:rPr>
      </w:pPr>
    </w:p>
    <w:p w14:paraId="1EE2633E" w14:textId="77777777" w:rsidR="00C53D76" w:rsidRDefault="00C53D76" w:rsidP="0028726C">
      <w:pPr>
        <w:rPr>
          <w:rFonts w:cs="Arial"/>
          <w:sz w:val="22"/>
          <w:szCs w:val="22"/>
        </w:rPr>
      </w:pPr>
    </w:p>
    <w:p w14:paraId="759A9269" w14:textId="77777777" w:rsidR="00C53D76" w:rsidRDefault="0028726C" w:rsidP="0090195C">
      <w:pPr>
        <w:pStyle w:val="Ttulo2"/>
      </w:pPr>
      <w:bookmarkStart w:id="832" w:name="_Toc140506439"/>
      <w:r w:rsidRPr="0028726C">
        <w:t>GECELCA</w:t>
      </w:r>
      <w:bookmarkEnd w:id="832"/>
      <w:r w:rsidRPr="0028726C">
        <w:tab/>
      </w:r>
    </w:p>
    <w:p w14:paraId="556C6B88" w14:textId="77777777" w:rsidR="00002A82" w:rsidRDefault="00002A82" w:rsidP="000D05A3">
      <w:pPr>
        <w:pStyle w:val="Ttulo4"/>
      </w:pPr>
      <w:r w:rsidRPr="0028726C">
        <w:t>GECELCA</w:t>
      </w:r>
      <w:r w:rsidRPr="0028726C">
        <w:tab/>
      </w:r>
    </w:p>
    <w:p w14:paraId="4336BE49" w14:textId="6E05F526" w:rsidR="0028726C" w:rsidRPr="002B61B5" w:rsidRDefault="0028726C" w:rsidP="0028726C">
      <w:pPr>
        <w:rPr>
          <w:rFonts w:cs="Arial"/>
          <w:i/>
          <w:iCs/>
          <w:sz w:val="22"/>
          <w:szCs w:val="22"/>
        </w:rPr>
      </w:pPr>
      <w:r w:rsidRPr="0028726C">
        <w:rPr>
          <w:rFonts w:cs="Arial"/>
          <w:sz w:val="22"/>
          <w:szCs w:val="22"/>
        </w:rPr>
        <w:t>"</w:t>
      </w:r>
      <w:r w:rsidRPr="002B61B5">
        <w:rPr>
          <w:rFonts w:cs="Arial"/>
          <w:i/>
          <w:iCs/>
          <w:sz w:val="22"/>
          <w:szCs w:val="22"/>
        </w:rPr>
        <w:t xml:space="preserve">Teniendo en cuenta lo definido en el Mecanismo de Aseguramiento de la Demanda Esencial (MADE), ponemos a consideración de la CREG las siguientes observaciones: </w:t>
      </w:r>
    </w:p>
    <w:p w14:paraId="262EDD06" w14:textId="77777777" w:rsidR="0028726C" w:rsidRPr="002B61B5" w:rsidRDefault="0028726C" w:rsidP="0028726C">
      <w:pPr>
        <w:rPr>
          <w:rFonts w:cs="Arial"/>
          <w:i/>
          <w:iCs/>
          <w:sz w:val="22"/>
          <w:szCs w:val="22"/>
        </w:rPr>
      </w:pPr>
    </w:p>
    <w:p w14:paraId="6EE1F53C" w14:textId="77777777" w:rsidR="0028726C" w:rsidRPr="002B61B5" w:rsidRDefault="0028726C" w:rsidP="0028726C">
      <w:pPr>
        <w:rPr>
          <w:rFonts w:cs="Arial"/>
          <w:i/>
          <w:iCs/>
          <w:sz w:val="22"/>
          <w:szCs w:val="22"/>
        </w:rPr>
      </w:pPr>
      <w:r w:rsidRPr="002B61B5">
        <w:rPr>
          <w:rFonts w:cs="Arial"/>
          <w:i/>
          <w:iCs/>
          <w:sz w:val="22"/>
          <w:szCs w:val="22"/>
        </w:rPr>
        <w:t xml:space="preserve">1. Las subastas bajo una condición de escasez del producto se vuelven un instrumento poco competitivo para la negociación de un bien tan necesario como el gas natural. Por lo tanto, consideramos pertinente que se revise la señal de negociación que se está definiendo, teniendo en cuenta los impactos que podría tener sobre el país un incremento en las tarifas de gas natural producto de una alta percepción de escasez y los resultados del balance comercial. </w:t>
      </w:r>
    </w:p>
    <w:p w14:paraId="6D89F8A1" w14:textId="77777777" w:rsidR="0028726C" w:rsidRDefault="0028726C" w:rsidP="0028726C">
      <w:pPr>
        <w:rPr>
          <w:rFonts w:cs="Arial"/>
          <w:i/>
          <w:iCs/>
          <w:sz w:val="22"/>
          <w:szCs w:val="22"/>
        </w:rPr>
      </w:pPr>
    </w:p>
    <w:p w14:paraId="0AC52340" w14:textId="26AC595B" w:rsidR="002B61B5" w:rsidRPr="002B61B5" w:rsidRDefault="002B61B5" w:rsidP="0028726C">
      <w:pPr>
        <w:rPr>
          <w:rFonts w:cs="Arial"/>
          <w:b/>
          <w:bCs/>
          <w:sz w:val="22"/>
          <w:szCs w:val="22"/>
        </w:rPr>
      </w:pPr>
      <w:r w:rsidRPr="002B61B5">
        <w:rPr>
          <w:rFonts w:cs="Arial"/>
          <w:b/>
          <w:bCs/>
          <w:sz w:val="22"/>
          <w:szCs w:val="22"/>
        </w:rPr>
        <w:t>Respuesta:</w:t>
      </w:r>
    </w:p>
    <w:p w14:paraId="3E3D17CE" w14:textId="77777777" w:rsidR="002B61B5" w:rsidRPr="002B61B5" w:rsidRDefault="002B61B5" w:rsidP="0028726C">
      <w:pPr>
        <w:rPr>
          <w:rFonts w:cs="Arial"/>
          <w:sz w:val="22"/>
          <w:szCs w:val="22"/>
        </w:rPr>
      </w:pPr>
    </w:p>
    <w:p w14:paraId="352FA46C" w14:textId="5AF69B33" w:rsidR="002B61B5" w:rsidRDefault="002B61B5" w:rsidP="0028726C">
      <w:pPr>
        <w:rPr>
          <w:rFonts w:cs="Arial"/>
          <w:sz w:val="22"/>
          <w:szCs w:val="22"/>
        </w:rPr>
      </w:pPr>
      <w:r>
        <w:rPr>
          <w:rFonts w:cs="Arial"/>
          <w:sz w:val="22"/>
          <w:szCs w:val="22"/>
        </w:rPr>
        <w:t>No se acoge el comentario.</w:t>
      </w:r>
    </w:p>
    <w:p w14:paraId="206E7CDF" w14:textId="77777777" w:rsidR="002B61B5" w:rsidRDefault="002B61B5" w:rsidP="0028726C">
      <w:pPr>
        <w:rPr>
          <w:rFonts w:cs="Arial"/>
          <w:sz w:val="22"/>
          <w:szCs w:val="22"/>
        </w:rPr>
      </w:pPr>
    </w:p>
    <w:p w14:paraId="570ED014" w14:textId="31F9BC29" w:rsidR="005436C9" w:rsidRDefault="005436C9" w:rsidP="0028726C">
      <w:pPr>
        <w:rPr>
          <w:rFonts w:cs="Arial"/>
          <w:sz w:val="22"/>
          <w:szCs w:val="22"/>
        </w:rPr>
      </w:pPr>
      <w:r>
        <w:rPr>
          <w:rFonts w:cs="Arial"/>
          <w:sz w:val="22"/>
          <w:szCs w:val="22"/>
        </w:rPr>
        <w:t>En el comentario no se menciona la razón que lleva a afirmar por qué la subasta es un instrumento poco competitivo, para poder analizar con mejor detalle.</w:t>
      </w:r>
    </w:p>
    <w:p w14:paraId="48A0CFC9" w14:textId="77777777" w:rsidR="005436C9" w:rsidRDefault="005436C9" w:rsidP="0028726C">
      <w:pPr>
        <w:rPr>
          <w:rFonts w:cs="Arial"/>
          <w:sz w:val="22"/>
          <w:szCs w:val="22"/>
        </w:rPr>
      </w:pPr>
    </w:p>
    <w:p w14:paraId="1393F5C8" w14:textId="4A24DE31" w:rsidR="005436C9" w:rsidRDefault="002B61B5" w:rsidP="0028726C">
      <w:pPr>
        <w:rPr>
          <w:rFonts w:cs="Arial"/>
          <w:sz w:val="22"/>
          <w:szCs w:val="22"/>
        </w:rPr>
      </w:pPr>
      <w:r>
        <w:rPr>
          <w:rFonts w:cs="Arial"/>
          <w:sz w:val="22"/>
          <w:szCs w:val="22"/>
        </w:rPr>
        <w:t xml:space="preserve">La subasta </w:t>
      </w:r>
      <w:r w:rsidR="005436C9">
        <w:rPr>
          <w:rFonts w:cs="Arial"/>
          <w:sz w:val="22"/>
          <w:szCs w:val="22"/>
        </w:rPr>
        <w:t xml:space="preserve">de reloj ascendente, que se incluye en la nueva propuesta para ser utilizada en el caso de encontrarse puntos de referencia con balances comerciales deficitarios, </w:t>
      </w:r>
      <w:r>
        <w:rPr>
          <w:rFonts w:cs="Arial"/>
          <w:sz w:val="22"/>
          <w:szCs w:val="22"/>
        </w:rPr>
        <w:t>se ha establecido desde la Resolución CREG 089 de 2013, a la que se han hecho modificaciones no en cuanto a cómo funciona, sino en cuánto a cuándo se usa</w:t>
      </w:r>
      <w:r w:rsidR="005436C9">
        <w:rPr>
          <w:rFonts w:cs="Arial"/>
          <w:sz w:val="22"/>
          <w:szCs w:val="22"/>
        </w:rPr>
        <w:t xml:space="preserve"> y ajustes </w:t>
      </w:r>
      <w:r w:rsidR="001B42EE">
        <w:rPr>
          <w:rFonts w:cs="Arial"/>
          <w:sz w:val="22"/>
          <w:szCs w:val="22"/>
        </w:rPr>
        <w:t xml:space="preserve">posteriores </w:t>
      </w:r>
      <w:r w:rsidR="005436C9">
        <w:rPr>
          <w:rFonts w:cs="Arial"/>
          <w:sz w:val="22"/>
          <w:szCs w:val="22"/>
        </w:rPr>
        <w:t>para utilizarla en las subastas de contrato de las modalidades C1 y C2.</w:t>
      </w:r>
      <w:r w:rsidR="001B42EE">
        <w:rPr>
          <w:rFonts w:cs="Arial"/>
          <w:sz w:val="22"/>
          <w:szCs w:val="22"/>
        </w:rPr>
        <w:t xml:space="preserve"> </w:t>
      </w:r>
    </w:p>
    <w:p w14:paraId="38A1DAEF" w14:textId="77777777" w:rsidR="005436C9" w:rsidRDefault="005436C9" w:rsidP="0028726C">
      <w:pPr>
        <w:rPr>
          <w:rFonts w:cs="Arial"/>
          <w:sz w:val="22"/>
          <w:szCs w:val="22"/>
        </w:rPr>
      </w:pPr>
    </w:p>
    <w:p w14:paraId="6057C6CE" w14:textId="338684BB" w:rsidR="002B61B5" w:rsidRDefault="005436C9" w:rsidP="0028726C">
      <w:pPr>
        <w:rPr>
          <w:rFonts w:cs="Arial"/>
          <w:sz w:val="22"/>
          <w:szCs w:val="22"/>
        </w:rPr>
      </w:pPr>
      <w:r>
        <w:rPr>
          <w:rFonts w:cs="Arial"/>
          <w:sz w:val="22"/>
          <w:szCs w:val="22"/>
        </w:rPr>
        <w:t xml:space="preserve">La subasta de sobre cerrado se ha utilizado en las subastas bimestrales de contratos bimestrales y las subastas mensuales de contratos con interrupciones. Tienen ventajas respecto de las subastas de reloj ascendente, pero se observó en su momento que no eran </w:t>
      </w:r>
      <w:r w:rsidR="001B42EE">
        <w:rPr>
          <w:rFonts w:cs="Arial"/>
          <w:sz w:val="22"/>
          <w:szCs w:val="22"/>
        </w:rPr>
        <w:t xml:space="preserve">el mecanismo de mercado </w:t>
      </w:r>
      <w:r>
        <w:rPr>
          <w:rFonts w:cs="Arial"/>
          <w:sz w:val="22"/>
          <w:szCs w:val="22"/>
        </w:rPr>
        <w:t>más efica</w:t>
      </w:r>
      <w:r w:rsidR="001B42EE">
        <w:rPr>
          <w:rFonts w:cs="Arial"/>
          <w:sz w:val="22"/>
          <w:szCs w:val="22"/>
        </w:rPr>
        <w:t>z</w:t>
      </w:r>
      <w:r>
        <w:rPr>
          <w:rFonts w:cs="Arial"/>
          <w:sz w:val="22"/>
          <w:szCs w:val="22"/>
        </w:rPr>
        <w:t xml:space="preserve"> para la asignación de contratos de duraciones mayores</w:t>
      </w:r>
      <w:r w:rsidR="001B42EE">
        <w:rPr>
          <w:rFonts w:cs="Arial"/>
          <w:sz w:val="22"/>
          <w:szCs w:val="22"/>
        </w:rPr>
        <w:t xml:space="preserve">. </w:t>
      </w:r>
      <w:r>
        <w:rPr>
          <w:rFonts w:cs="Arial"/>
          <w:sz w:val="22"/>
          <w:szCs w:val="22"/>
        </w:rPr>
        <w:t>De hecho, se ha observado que hay vendedores del mercado Primario que en aplicación del mecanismo de negociaciones directas utilizan las subastas de sobre cerrado para resolver la asignación de cantidades insuficientes para atender la demanda solicitada</w:t>
      </w:r>
      <w:r w:rsidR="001B42EE">
        <w:rPr>
          <w:rFonts w:cs="Arial"/>
          <w:sz w:val="22"/>
          <w:szCs w:val="22"/>
        </w:rPr>
        <w:t>.</w:t>
      </w:r>
    </w:p>
    <w:p w14:paraId="42526ED6" w14:textId="77777777" w:rsidR="001B42EE" w:rsidRDefault="001B42EE" w:rsidP="0028726C">
      <w:pPr>
        <w:rPr>
          <w:rFonts w:cs="Arial"/>
          <w:sz w:val="22"/>
          <w:szCs w:val="22"/>
        </w:rPr>
      </w:pPr>
    </w:p>
    <w:p w14:paraId="2DCB3EA6" w14:textId="77777777" w:rsidR="002B61B5" w:rsidRDefault="002B61B5" w:rsidP="0028726C">
      <w:pPr>
        <w:rPr>
          <w:rFonts w:cs="Arial"/>
          <w:i/>
          <w:iCs/>
          <w:sz w:val="22"/>
          <w:szCs w:val="22"/>
        </w:rPr>
      </w:pPr>
    </w:p>
    <w:p w14:paraId="4B56DB84" w14:textId="77777777" w:rsidR="002B61B5" w:rsidRDefault="002B61B5" w:rsidP="002B61B5">
      <w:pPr>
        <w:pStyle w:val="Ttulo4"/>
      </w:pPr>
      <w:r w:rsidRPr="0028726C">
        <w:t>GECELCA</w:t>
      </w:r>
      <w:r w:rsidRPr="0028726C">
        <w:tab/>
      </w:r>
    </w:p>
    <w:p w14:paraId="61141FD0" w14:textId="5D9890C9" w:rsidR="0028726C" w:rsidRDefault="00D63369" w:rsidP="0028726C">
      <w:pPr>
        <w:rPr>
          <w:rFonts w:cs="Arial"/>
          <w:i/>
          <w:iCs/>
          <w:sz w:val="22"/>
          <w:szCs w:val="22"/>
        </w:rPr>
      </w:pPr>
      <w:r>
        <w:rPr>
          <w:rFonts w:cs="Arial"/>
          <w:i/>
          <w:iCs/>
          <w:sz w:val="22"/>
          <w:szCs w:val="22"/>
        </w:rPr>
        <w:t>“</w:t>
      </w:r>
      <w:r w:rsidR="0028726C" w:rsidRPr="002B61B5">
        <w:rPr>
          <w:rFonts w:cs="Arial"/>
          <w:i/>
          <w:iCs/>
          <w:sz w:val="22"/>
          <w:szCs w:val="22"/>
        </w:rPr>
        <w:t xml:space="preserve">2. El mecanismo de negociación trimestral tiene un alto riesgo para generadores termoeléctrico que respaldan sus OEF con gas natural dado que no se contaría con la certidumbre de poder respaldar para toda una vigencia la asignación de sus obligaciones </w:t>
      </w:r>
      <w:proofErr w:type="gramStart"/>
      <w:r w:rsidR="0028726C" w:rsidRPr="002B61B5">
        <w:rPr>
          <w:rFonts w:cs="Arial"/>
          <w:i/>
          <w:iCs/>
          <w:sz w:val="22"/>
          <w:szCs w:val="22"/>
        </w:rPr>
        <w:t>en caso que</w:t>
      </w:r>
      <w:proofErr w:type="gramEnd"/>
      <w:r w:rsidR="0028726C" w:rsidRPr="002B61B5">
        <w:rPr>
          <w:rFonts w:cs="Arial"/>
          <w:i/>
          <w:iCs/>
          <w:sz w:val="22"/>
          <w:szCs w:val="22"/>
        </w:rPr>
        <w:t xml:space="preserve"> para algunos de los trimestres el balance comercial arroje una condición deficitaria.</w:t>
      </w:r>
      <w:r w:rsidR="00BC037F">
        <w:rPr>
          <w:rFonts w:cs="Arial"/>
          <w:i/>
          <w:iCs/>
          <w:sz w:val="22"/>
          <w:szCs w:val="22"/>
        </w:rPr>
        <w:t>”</w:t>
      </w:r>
      <w:r w:rsidR="0028726C" w:rsidRPr="002B61B5">
        <w:rPr>
          <w:rFonts w:cs="Arial"/>
          <w:i/>
          <w:iCs/>
          <w:sz w:val="22"/>
          <w:szCs w:val="22"/>
        </w:rPr>
        <w:t xml:space="preserve"> </w:t>
      </w:r>
    </w:p>
    <w:p w14:paraId="570E8201" w14:textId="77777777" w:rsidR="00D77878" w:rsidRDefault="00D77878" w:rsidP="0028726C">
      <w:pPr>
        <w:rPr>
          <w:rFonts w:cs="Arial"/>
          <w:i/>
          <w:iCs/>
          <w:sz w:val="22"/>
          <w:szCs w:val="22"/>
        </w:rPr>
      </w:pPr>
    </w:p>
    <w:p w14:paraId="252653B9" w14:textId="434B7AFD" w:rsidR="00D77878" w:rsidRPr="00D77878" w:rsidRDefault="00D77878" w:rsidP="0028726C">
      <w:pPr>
        <w:rPr>
          <w:rFonts w:cs="Arial"/>
          <w:b/>
          <w:bCs/>
          <w:sz w:val="22"/>
          <w:szCs w:val="22"/>
        </w:rPr>
      </w:pPr>
      <w:r w:rsidRPr="00D77878">
        <w:rPr>
          <w:rFonts w:cs="Arial"/>
          <w:b/>
          <w:bCs/>
          <w:sz w:val="22"/>
          <w:szCs w:val="22"/>
        </w:rPr>
        <w:t>Respuesta:</w:t>
      </w:r>
    </w:p>
    <w:p w14:paraId="1A573EA2" w14:textId="77777777" w:rsidR="00D77878" w:rsidRDefault="00D77878" w:rsidP="0028726C">
      <w:pPr>
        <w:rPr>
          <w:rFonts w:cs="Arial"/>
          <w:i/>
          <w:iCs/>
          <w:sz w:val="22"/>
          <w:szCs w:val="22"/>
        </w:rPr>
      </w:pPr>
    </w:p>
    <w:p w14:paraId="4EBE9E9E" w14:textId="3FB07BD1" w:rsidR="00D77878" w:rsidRPr="00D77878" w:rsidRDefault="00D77878" w:rsidP="0028726C">
      <w:pPr>
        <w:rPr>
          <w:rFonts w:cs="Arial"/>
          <w:sz w:val="22"/>
          <w:szCs w:val="22"/>
        </w:rPr>
      </w:pPr>
      <w:r>
        <w:rPr>
          <w:rFonts w:cs="Arial"/>
          <w:sz w:val="22"/>
          <w:szCs w:val="22"/>
        </w:rPr>
        <w:t>Las Obligaciones de Energía Firme (OEF) requieren la presentación de contratos firmes de suministro y de capacidad de transporte. No se explica en el comentario la razón que llevaría a que asignaciones de suministro en procesos continuos de negociación trimestral, conlleven mayor riesgo a un usuario del sector térmico, que los procesos anuales actuales. La negociación trimestral de la mano de contratos de duración mínima trimestral, de hecho</w:t>
      </w:r>
      <w:r w:rsidR="00BC037F">
        <w:rPr>
          <w:rFonts w:cs="Arial"/>
          <w:sz w:val="22"/>
          <w:szCs w:val="22"/>
        </w:rPr>
        <w:t>,</w:t>
      </w:r>
      <w:r>
        <w:rPr>
          <w:rFonts w:cs="Arial"/>
          <w:sz w:val="22"/>
          <w:szCs w:val="22"/>
        </w:rPr>
        <w:t xml:space="preserve"> se considera que reducen el riesgo, pues permiten que se internalice el efecto de un menor plazo de duración de suministro de cantidades que se requieren en períodos estacionales menores a un año donde solo se afectan los precios de un trimestre y las cantidades de un trimestre, versus la afectación de períodos de uno o más años que solo pueden negociar un solo precio para todo el período del contrato.</w:t>
      </w:r>
    </w:p>
    <w:p w14:paraId="5C155AFB" w14:textId="77777777" w:rsidR="0028726C" w:rsidRDefault="0028726C" w:rsidP="0028726C">
      <w:pPr>
        <w:rPr>
          <w:rFonts w:cs="Arial"/>
          <w:i/>
          <w:iCs/>
          <w:sz w:val="22"/>
          <w:szCs w:val="22"/>
        </w:rPr>
      </w:pPr>
    </w:p>
    <w:p w14:paraId="735FD55E" w14:textId="77777777" w:rsidR="002B61B5" w:rsidRDefault="002B61B5" w:rsidP="0028726C">
      <w:pPr>
        <w:rPr>
          <w:rFonts w:cs="Arial"/>
          <w:i/>
          <w:iCs/>
          <w:sz w:val="22"/>
          <w:szCs w:val="22"/>
        </w:rPr>
      </w:pPr>
    </w:p>
    <w:p w14:paraId="630850C7" w14:textId="77777777" w:rsidR="002B61B5" w:rsidRDefault="002B61B5" w:rsidP="002B61B5">
      <w:pPr>
        <w:pStyle w:val="Ttulo4"/>
      </w:pPr>
      <w:r w:rsidRPr="0028726C">
        <w:t>GECELCA</w:t>
      </w:r>
      <w:r w:rsidRPr="0028726C">
        <w:tab/>
      </w:r>
    </w:p>
    <w:p w14:paraId="3A504905" w14:textId="4DE85708" w:rsidR="0028726C" w:rsidRDefault="004C74A8" w:rsidP="0028726C">
      <w:pPr>
        <w:rPr>
          <w:rFonts w:cs="Arial"/>
          <w:i/>
          <w:iCs/>
          <w:sz w:val="22"/>
          <w:szCs w:val="22"/>
        </w:rPr>
      </w:pPr>
      <w:r>
        <w:rPr>
          <w:rFonts w:cs="Arial"/>
          <w:i/>
          <w:iCs/>
          <w:sz w:val="22"/>
          <w:szCs w:val="22"/>
        </w:rPr>
        <w:t>“</w:t>
      </w:r>
      <w:r w:rsidR="0028726C" w:rsidRPr="002B61B5">
        <w:rPr>
          <w:rFonts w:cs="Arial"/>
          <w:i/>
          <w:iCs/>
          <w:sz w:val="22"/>
          <w:szCs w:val="22"/>
        </w:rPr>
        <w:t>3. La Generación termoeléctrica que es necesaria para cubrir generación de seguridad en algunas áreas del país, debería ser considerada dentro de la demanda esencial dado el rol fundamental que juega para garantizar la atención segura y confiable de la demanda eléctrica.</w:t>
      </w:r>
      <w:r>
        <w:rPr>
          <w:rFonts w:cs="Arial"/>
          <w:i/>
          <w:iCs/>
          <w:sz w:val="22"/>
          <w:szCs w:val="22"/>
        </w:rPr>
        <w:t>”</w:t>
      </w:r>
      <w:r w:rsidR="0028726C" w:rsidRPr="002B61B5">
        <w:rPr>
          <w:rFonts w:cs="Arial"/>
          <w:i/>
          <w:iCs/>
          <w:sz w:val="22"/>
          <w:szCs w:val="22"/>
        </w:rPr>
        <w:t xml:space="preserve"> </w:t>
      </w:r>
    </w:p>
    <w:p w14:paraId="102C42B7" w14:textId="77777777" w:rsidR="00D77878" w:rsidRDefault="00D77878" w:rsidP="0028726C">
      <w:pPr>
        <w:rPr>
          <w:rFonts w:cs="Arial"/>
          <w:i/>
          <w:iCs/>
          <w:sz w:val="22"/>
          <w:szCs w:val="22"/>
        </w:rPr>
      </w:pPr>
    </w:p>
    <w:p w14:paraId="4AF5443E" w14:textId="7BF54658" w:rsidR="00D77878" w:rsidRPr="00D77878" w:rsidRDefault="00D77878" w:rsidP="0028726C">
      <w:pPr>
        <w:rPr>
          <w:rFonts w:cs="Arial"/>
          <w:b/>
          <w:bCs/>
          <w:sz w:val="22"/>
          <w:szCs w:val="22"/>
        </w:rPr>
      </w:pPr>
      <w:r w:rsidRPr="00D77878">
        <w:rPr>
          <w:rFonts w:cs="Arial"/>
          <w:b/>
          <w:bCs/>
          <w:sz w:val="22"/>
          <w:szCs w:val="22"/>
        </w:rPr>
        <w:t>Respuesta:</w:t>
      </w:r>
    </w:p>
    <w:p w14:paraId="7FFCA414" w14:textId="77777777" w:rsidR="004C74A8" w:rsidRDefault="004C74A8" w:rsidP="0028726C">
      <w:pPr>
        <w:rPr>
          <w:rFonts w:cs="Arial"/>
          <w:sz w:val="22"/>
          <w:szCs w:val="22"/>
        </w:rPr>
      </w:pPr>
    </w:p>
    <w:p w14:paraId="76E227C8" w14:textId="07A5D582" w:rsidR="00D77878" w:rsidRPr="00D77878" w:rsidRDefault="00D77878" w:rsidP="0028726C">
      <w:pPr>
        <w:rPr>
          <w:rFonts w:cs="Arial"/>
          <w:sz w:val="22"/>
          <w:szCs w:val="22"/>
        </w:rPr>
      </w:pPr>
      <w:r>
        <w:rPr>
          <w:rFonts w:cs="Arial"/>
          <w:sz w:val="22"/>
          <w:szCs w:val="22"/>
        </w:rPr>
        <w:t xml:space="preserve">La determinación de qué sectores de consumo de gas natural hacen parte de la Demanda Esencial no es potestad de la CREG sino del MME. Ver numeral </w:t>
      </w:r>
      <w:r w:rsidR="00542A8D">
        <w:rPr>
          <w:rFonts w:cs="Arial"/>
          <w:sz w:val="22"/>
          <w:szCs w:val="22"/>
        </w:rPr>
        <w:fldChar w:fldCharType="begin"/>
      </w:r>
      <w:r w:rsidR="00542A8D">
        <w:rPr>
          <w:rFonts w:cs="Arial"/>
          <w:sz w:val="22"/>
          <w:szCs w:val="22"/>
        </w:rPr>
        <w:instrText xml:space="preserve"> REF _Ref130286441 \r \h </w:instrText>
      </w:r>
      <w:r w:rsidR="00542A8D">
        <w:rPr>
          <w:rFonts w:cs="Arial"/>
          <w:sz w:val="22"/>
          <w:szCs w:val="22"/>
        </w:rPr>
      </w:r>
      <w:r w:rsidR="00542A8D">
        <w:rPr>
          <w:rFonts w:cs="Arial"/>
          <w:sz w:val="22"/>
          <w:szCs w:val="22"/>
        </w:rPr>
        <w:fldChar w:fldCharType="separate"/>
      </w:r>
      <w:r w:rsidR="00542A8D">
        <w:rPr>
          <w:rFonts w:cs="Arial"/>
          <w:sz w:val="22"/>
          <w:szCs w:val="22"/>
        </w:rPr>
        <w:t>2.2.3</w:t>
      </w:r>
      <w:r w:rsidR="00542A8D">
        <w:rPr>
          <w:rFonts w:cs="Arial"/>
          <w:sz w:val="22"/>
          <w:szCs w:val="22"/>
        </w:rPr>
        <w:fldChar w:fldCharType="end"/>
      </w:r>
      <w:r w:rsidR="00542A8D">
        <w:rPr>
          <w:rFonts w:cs="Arial"/>
          <w:sz w:val="22"/>
          <w:szCs w:val="22"/>
        </w:rPr>
        <w:t xml:space="preserve"> y respuesta a </w:t>
      </w:r>
      <w:r w:rsidR="00542A8D">
        <w:rPr>
          <w:rFonts w:cs="Arial"/>
          <w:sz w:val="22"/>
          <w:szCs w:val="22"/>
        </w:rPr>
        <w:fldChar w:fldCharType="begin"/>
      </w:r>
      <w:r w:rsidR="00542A8D">
        <w:rPr>
          <w:rFonts w:cs="Arial"/>
          <w:sz w:val="22"/>
          <w:szCs w:val="22"/>
        </w:rPr>
        <w:instrText xml:space="preserve"> REF _Ref132031821 \r \h </w:instrText>
      </w:r>
      <w:r w:rsidR="00542A8D">
        <w:rPr>
          <w:rFonts w:cs="Arial"/>
          <w:sz w:val="22"/>
          <w:szCs w:val="22"/>
        </w:rPr>
      </w:r>
      <w:r w:rsidR="00542A8D">
        <w:rPr>
          <w:rFonts w:cs="Arial"/>
          <w:sz w:val="22"/>
          <w:szCs w:val="22"/>
        </w:rPr>
        <w:fldChar w:fldCharType="separate"/>
      </w:r>
      <w:r w:rsidR="00542A8D">
        <w:rPr>
          <w:rFonts w:cs="Arial"/>
          <w:sz w:val="22"/>
          <w:szCs w:val="22"/>
        </w:rPr>
        <w:t>1.1.1.1</w:t>
      </w:r>
      <w:r w:rsidR="00542A8D">
        <w:rPr>
          <w:rFonts w:cs="Arial"/>
          <w:sz w:val="22"/>
          <w:szCs w:val="22"/>
        </w:rPr>
        <w:fldChar w:fldCharType="end"/>
      </w:r>
      <w:r w:rsidR="00542A8D">
        <w:rPr>
          <w:rFonts w:cs="Arial"/>
          <w:sz w:val="22"/>
          <w:szCs w:val="22"/>
        </w:rPr>
        <w:t>.</w:t>
      </w:r>
    </w:p>
    <w:p w14:paraId="7B5FD984" w14:textId="77777777" w:rsidR="002B61B5" w:rsidRDefault="002B61B5" w:rsidP="0028726C">
      <w:pPr>
        <w:rPr>
          <w:rFonts w:cs="Arial"/>
          <w:i/>
          <w:iCs/>
          <w:sz w:val="22"/>
          <w:szCs w:val="22"/>
        </w:rPr>
      </w:pPr>
    </w:p>
    <w:p w14:paraId="59B4F536" w14:textId="77777777" w:rsidR="002B61B5" w:rsidRDefault="002B61B5" w:rsidP="0028726C">
      <w:pPr>
        <w:rPr>
          <w:rFonts w:cs="Arial"/>
          <w:i/>
          <w:iCs/>
          <w:sz w:val="22"/>
          <w:szCs w:val="22"/>
        </w:rPr>
      </w:pPr>
    </w:p>
    <w:p w14:paraId="544E4CDA" w14:textId="77777777" w:rsidR="002B61B5" w:rsidRDefault="002B61B5" w:rsidP="002B61B5">
      <w:pPr>
        <w:pStyle w:val="Ttulo4"/>
      </w:pPr>
      <w:r w:rsidRPr="0028726C">
        <w:t>GECELCA</w:t>
      </w:r>
      <w:r w:rsidRPr="0028726C">
        <w:tab/>
      </w:r>
    </w:p>
    <w:p w14:paraId="75FACFE5" w14:textId="3CF3819A" w:rsidR="0028726C" w:rsidRPr="002B61B5" w:rsidRDefault="004C74A8" w:rsidP="0028726C">
      <w:pPr>
        <w:rPr>
          <w:rFonts w:cs="Arial"/>
          <w:i/>
          <w:iCs/>
          <w:sz w:val="22"/>
          <w:szCs w:val="22"/>
        </w:rPr>
      </w:pPr>
      <w:r>
        <w:rPr>
          <w:rFonts w:cs="Arial"/>
          <w:i/>
          <w:iCs/>
          <w:sz w:val="22"/>
          <w:szCs w:val="22"/>
        </w:rPr>
        <w:t>“</w:t>
      </w:r>
      <w:r w:rsidR="0028726C" w:rsidRPr="002B61B5">
        <w:rPr>
          <w:rFonts w:cs="Arial"/>
          <w:i/>
          <w:iCs/>
          <w:sz w:val="22"/>
          <w:szCs w:val="22"/>
        </w:rPr>
        <w:t xml:space="preserve">4. Consideramos que el ejercicio de simulación que coordinará el </w:t>
      </w:r>
      <w:r w:rsidR="005114C6" w:rsidRPr="002B61B5">
        <w:rPr>
          <w:rFonts w:cs="Arial"/>
          <w:i/>
          <w:iCs/>
          <w:sz w:val="22"/>
          <w:szCs w:val="22"/>
        </w:rPr>
        <w:t>Gestor del Mercado</w:t>
      </w:r>
      <w:r w:rsidR="0028726C" w:rsidRPr="002B61B5">
        <w:rPr>
          <w:rFonts w:cs="Arial"/>
          <w:i/>
          <w:iCs/>
          <w:sz w:val="22"/>
          <w:szCs w:val="22"/>
        </w:rPr>
        <w:t xml:space="preserve"> con los agentes debe ser realizado antes de la publicación de la resolución definitiva, teniendo en cuenta que con el resultado de este ejercicio se podrían cuantificar de una mejor forma los impactos y le daría mayor transparencia al conocerse la información de oferta y demanda en cada punto de referencia."</w:t>
      </w:r>
    </w:p>
    <w:p w14:paraId="3CA18413" w14:textId="77777777" w:rsidR="002B61B5" w:rsidRDefault="002B61B5" w:rsidP="0028726C">
      <w:pPr>
        <w:rPr>
          <w:rFonts w:cs="Arial"/>
          <w:sz w:val="22"/>
          <w:szCs w:val="22"/>
        </w:rPr>
      </w:pPr>
    </w:p>
    <w:p w14:paraId="296ABBCE" w14:textId="1AC84C51" w:rsidR="002B61B5" w:rsidRPr="002B61B5" w:rsidRDefault="002B61B5" w:rsidP="0028726C">
      <w:pPr>
        <w:rPr>
          <w:rFonts w:cs="Arial"/>
          <w:b/>
          <w:bCs/>
          <w:sz w:val="22"/>
          <w:szCs w:val="22"/>
        </w:rPr>
      </w:pPr>
      <w:r w:rsidRPr="002B61B5">
        <w:rPr>
          <w:rFonts w:cs="Arial"/>
          <w:b/>
          <w:bCs/>
          <w:sz w:val="22"/>
          <w:szCs w:val="22"/>
        </w:rPr>
        <w:t>Respuesta:</w:t>
      </w:r>
    </w:p>
    <w:p w14:paraId="3DC36051" w14:textId="77777777" w:rsidR="002B61B5" w:rsidRDefault="002B61B5" w:rsidP="0028726C">
      <w:pPr>
        <w:rPr>
          <w:rFonts w:cs="Arial"/>
          <w:sz w:val="22"/>
          <w:szCs w:val="22"/>
        </w:rPr>
      </w:pPr>
    </w:p>
    <w:p w14:paraId="028CA792" w14:textId="3C100312" w:rsidR="002B61B5" w:rsidRDefault="00F92798" w:rsidP="0028726C">
      <w:pPr>
        <w:rPr>
          <w:rFonts w:cs="Arial"/>
          <w:sz w:val="22"/>
          <w:szCs w:val="22"/>
        </w:rPr>
      </w:pPr>
      <w:r>
        <w:rPr>
          <w:rFonts w:cs="Arial"/>
          <w:sz w:val="22"/>
          <w:szCs w:val="22"/>
        </w:rPr>
        <w:t>No se acoge el comentario.</w:t>
      </w:r>
    </w:p>
    <w:p w14:paraId="2648B183" w14:textId="77777777" w:rsidR="00F92798" w:rsidRDefault="00F92798" w:rsidP="0028726C">
      <w:pPr>
        <w:rPr>
          <w:rFonts w:cs="Arial"/>
          <w:sz w:val="22"/>
          <w:szCs w:val="22"/>
        </w:rPr>
      </w:pPr>
    </w:p>
    <w:p w14:paraId="0D096262" w14:textId="2A46CFEA" w:rsidR="00F92798" w:rsidRPr="0028726C" w:rsidRDefault="00F92798" w:rsidP="0028726C">
      <w:pPr>
        <w:rPr>
          <w:rFonts w:cs="Arial"/>
          <w:sz w:val="22"/>
          <w:szCs w:val="22"/>
        </w:rPr>
      </w:pPr>
      <w:r>
        <w:rPr>
          <w:rFonts w:cs="Arial"/>
          <w:sz w:val="22"/>
          <w:szCs w:val="22"/>
        </w:rPr>
        <w:t xml:space="preserve">Se realizarán talleres explicativos del procedimiento del MADE. Se debe tener en cuenta que las negociaciones entre los vendedores y compradores del Mercado Primario se desarrollan de manera continua con más frecuencia, en cada trimestre de negociación, para contratar cantidades de trimestres estándar de suministro futuros, por lo que no es un solo ejercicio sino la ejecución continua del procedimiento en el tiempo, el que permite a los agentes conocer la información de oferta y demanda de manera más efectiva y útil. Tener en cuenta el análisis del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Pr>
          <w:rFonts w:cs="Arial"/>
          <w:sz w:val="22"/>
          <w:szCs w:val="22"/>
        </w:rPr>
        <w:t>.</w:t>
      </w:r>
    </w:p>
    <w:p w14:paraId="194BA515" w14:textId="77777777" w:rsidR="00C53D76" w:rsidRDefault="00C53D76" w:rsidP="0028726C">
      <w:pPr>
        <w:rPr>
          <w:rFonts w:cs="Arial"/>
          <w:sz w:val="22"/>
          <w:szCs w:val="22"/>
        </w:rPr>
      </w:pPr>
    </w:p>
    <w:p w14:paraId="1DDEB5B6" w14:textId="77777777" w:rsidR="00C53D76" w:rsidRDefault="00C53D76" w:rsidP="0028726C">
      <w:pPr>
        <w:rPr>
          <w:rFonts w:cs="Arial"/>
          <w:sz w:val="22"/>
          <w:szCs w:val="22"/>
        </w:rPr>
      </w:pPr>
    </w:p>
    <w:p w14:paraId="53C8779F" w14:textId="77777777" w:rsidR="00C53D76" w:rsidRDefault="0028726C" w:rsidP="0090195C">
      <w:pPr>
        <w:pStyle w:val="Ttulo2"/>
      </w:pPr>
      <w:bookmarkStart w:id="833" w:name="_Toc140506440"/>
      <w:r w:rsidRPr="0028726C">
        <w:t>GIGAS ENERGY</w:t>
      </w:r>
      <w:bookmarkEnd w:id="833"/>
      <w:r w:rsidRPr="0028726C">
        <w:tab/>
      </w:r>
    </w:p>
    <w:p w14:paraId="65788013" w14:textId="77777777" w:rsidR="00002A82" w:rsidRDefault="00002A82" w:rsidP="000D05A3">
      <w:pPr>
        <w:pStyle w:val="Ttulo4"/>
      </w:pPr>
      <w:r w:rsidRPr="0028726C">
        <w:t>GIGAS ENERGY</w:t>
      </w:r>
      <w:r w:rsidRPr="0028726C">
        <w:tab/>
      </w:r>
    </w:p>
    <w:p w14:paraId="32067F4D" w14:textId="0173574B" w:rsidR="0028726C" w:rsidRPr="00F92798" w:rsidRDefault="00C34758" w:rsidP="0028726C">
      <w:pPr>
        <w:rPr>
          <w:rFonts w:cs="Arial"/>
          <w:i/>
          <w:iCs/>
          <w:sz w:val="22"/>
          <w:szCs w:val="22"/>
        </w:rPr>
      </w:pPr>
      <w:r>
        <w:rPr>
          <w:rFonts w:cs="Arial"/>
          <w:i/>
          <w:iCs/>
          <w:sz w:val="22"/>
          <w:szCs w:val="22"/>
        </w:rPr>
        <w:t>“</w:t>
      </w:r>
      <w:r w:rsidR="0028726C" w:rsidRPr="00F92798">
        <w:rPr>
          <w:rFonts w:cs="Arial"/>
          <w:i/>
          <w:iCs/>
          <w:sz w:val="22"/>
          <w:szCs w:val="22"/>
        </w:rPr>
        <w:t xml:space="preserve">Con el fin de unificar la </w:t>
      </w:r>
      <w:proofErr w:type="spellStart"/>
      <w:r w:rsidR="0028726C" w:rsidRPr="00F92798">
        <w:rPr>
          <w:rFonts w:cs="Arial"/>
          <w:i/>
          <w:iCs/>
          <w:sz w:val="22"/>
          <w:szCs w:val="22"/>
        </w:rPr>
        <w:t>informacion</w:t>
      </w:r>
      <w:proofErr w:type="spellEnd"/>
      <w:r w:rsidR="0028726C" w:rsidRPr="00F92798">
        <w:rPr>
          <w:rFonts w:cs="Arial"/>
          <w:i/>
          <w:iCs/>
          <w:sz w:val="22"/>
          <w:szCs w:val="22"/>
        </w:rPr>
        <w:t xml:space="preserve"> y evitar duplicidad de </w:t>
      </w:r>
      <w:proofErr w:type="gramStart"/>
      <w:r w:rsidR="0028726C" w:rsidRPr="00F92798">
        <w:rPr>
          <w:rFonts w:cs="Arial"/>
          <w:i/>
          <w:iCs/>
          <w:sz w:val="22"/>
          <w:szCs w:val="22"/>
        </w:rPr>
        <w:t>la misma</w:t>
      </w:r>
      <w:proofErr w:type="gramEnd"/>
      <w:r w:rsidR="0028726C" w:rsidRPr="00F92798">
        <w:rPr>
          <w:rFonts w:cs="Arial"/>
          <w:i/>
          <w:iCs/>
          <w:sz w:val="22"/>
          <w:szCs w:val="22"/>
        </w:rPr>
        <w:t xml:space="preserve">, sugerimos que la información a presentar por parte de los usuarios no regulados que participen en el mercado </w:t>
      </w:r>
      <w:proofErr w:type="spellStart"/>
      <w:r w:rsidR="0028726C" w:rsidRPr="00F92798">
        <w:rPr>
          <w:rFonts w:cs="Arial"/>
          <w:i/>
          <w:iCs/>
          <w:sz w:val="22"/>
          <w:szCs w:val="22"/>
        </w:rPr>
        <w:t>primarío</w:t>
      </w:r>
      <w:proofErr w:type="spellEnd"/>
      <w:r w:rsidR="0028726C" w:rsidRPr="00F92798">
        <w:rPr>
          <w:rFonts w:cs="Arial"/>
          <w:i/>
          <w:iCs/>
          <w:sz w:val="22"/>
          <w:szCs w:val="22"/>
        </w:rPr>
        <w:t xml:space="preserve"> sea únicam</w:t>
      </w:r>
      <w:r w:rsidR="00F92798" w:rsidRPr="00F92798">
        <w:rPr>
          <w:rFonts w:cs="Arial"/>
          <w:i/>
          <w:iCs/>
          <w:sz w:val="22"/>
          <w:szCs w:val="22"/>
        </w:rPr>
        <w:t>e</w:t>
      </w:r>
      <w:r w:rsidR="0028726C" w:rsidRPr="00F92798">
        <w:rPr>
          <w:rFonts w:cs="Arial"/>
          <w:i/>
          <w:iCs/>
          <w:sz w:val="22"/>
          <w:szCs w:val="22"/>
        </w:rPr>
        <w:t>nte por medio de un comercializador mayorista.</w:t>
      </w:r>
      <w:r>
        <w:rPr>
          <w:rFonts w:cs="Arial"/>
          <w:i/>
          <w:iCs/>
          <w:sz w:val="22"/>
          <w:szCs w:val="22"/>
        </w:rPr>
        <w:t>”</w:t>
      </w:r>
      <w:r w:rsidR="0028726C" w:rsidRPr="00F92798">
        <w:rPr>
          <w:rFonts w:cs="Arial"/>
          <w:i/>
          <w:iCs/>
          <w:sz w:val="22"/>
          <w:szCs w:val="22"/>
        </w:rPr>
        <w:t xml:space="preserve">  </w:t>
      </w:r>
    </w:p>
    <w:p w14:paraId="7EC601A4" w14:textId="77777777" w:rsidR="00F92798" w:rsidRDefault="00F92798" w:rsidP="0028726C">
      <w:pPr>
        <w:rPr>
          <w:rFonts w:cs="Arial"/>
          <w:sz w:val="22"/>
          <w:szCs w:val="22"/>
        </w:rPr>
      </w:pPr>
    </w:p>
    <w:p w14:paraId="04DC6321" w14:textId="24BD5E3E" w:rsidR="00F92798" w:rsidRPr="00F92798" w:rsidRDefault="00F92798" w:rsidP="0028726C">
      <w:pPr>
        <w:rPr>
          <w:rFonts w:cs="Arial"/>
          <w:b/>
          <w:bCs/>
          <w:sz w:val="22"/>
          <w:szCs w:val="22"/>
        </w:rPr>
      </w:pPr>
      <w:r w:rsidRPr="00F92798">
        <w:rPr>
          <w:rFonts w:cs="Arial"/>
          <w:b/>
          <w:bCs/>
          <w:sz w:val="22"/>
          <w:szCs w:val="22"/>
        </w:rPr>
        <w:t>Respuesta:</w:t>
      </w:r>
    </w:p>
    <w:p w14:paraId="0464A588" w14:textId="77777777" w:rsidR="00F92798" w:rsidRDefault="00F92798" w:rsidP="0028726C">
      <w:pPr>
        <w:rPr>
          <w:rFonts w:cs="Arial"/>
          <w:sz w:val="22"/>
          <w:szCs w:val="22"/>
        </w:rPr>
      </w:pPr>
    </w:p>
    <w:p w14:paraId="3952542C" w14:textId="6C30F8AB" w:rsidR="00F92798" w:rsidRDefault="00B63E03" w:rsidP="0028726C">
      <w:pPr>
        <w:rPr>
          <w:rFonts w:cs="Arial"/>
          <w:sz w:val="22"/>
          <w:szCs w:val="22"/>
        </w:rPr>
      </w:pPr>
      <w:r>
        <w:rPr>
          <w:rFonts w:cs="Arial"/>
          <w:sz w:val="22"/>
          <w:szCs w:val="22"/>
        </w:rPr>
        <w:t>No se acoge el comentario.</w:t>
      </w:r>
    </w:p>
    <w:p w14:paraId="50FABBB9" w14:textId="77777777" w:rsidR="00B63E03" w:rsidRDefault="00B63E03" w:rsidP="0028726C">
      <w:pPr>
        <w:rPr>
          <w:rFonts w:cs="Arial"/>
          <w:sz w:val="22"/>
          <w:szCs w:val="22"/>
        </w:rPr>
      </w:pPr>
    </w:p>
    <w:p w14:paraId="3416DD35" w14:textId="1A763361" w:rsidR="00B63E03" w:rsidRDefault="00820887" w:rsidP="0028726C">
      <w:pPr>
        <w:rPr>
          <w:rFonts w:cs="Arial"/>
          <w:sz w:val="22"/>
          <w:szCs w:val="22"/>
        </w:rPr>
      </w:pPr>
      <w:r>
        <w:rPr>
          <w:rFonts w:cs="Arial"/>
          <w:sz w:val="22"/>
          <w:szCs w:val="22"/>
        </w:rPr>
        <w:t xml:space="preserve">La regulación permite la participación de los usuarios no regulados como compradores del Mercado Primario, por lo que no es viable limitar su participación a través de un comercializador. En la propuesta sí se establece, con el fin de evitar duplicación de una cantidad </w:t>
      </w:r>
      <w:r w:rsidR="00485C74">
        <w:rPr>
          <w:rFonts w:cs="Arial"/>
          <w:sz w:val="22"/>
          <w:szCs w:val="22"/>
        </w:rPr>
        <w:t>para</w:t>
      </w:r>
      <w:r>
        <w:rPr>
          <w:rFonts w:cs="Arial"/>
          <w:sz w:val="22"/>
          <w:szCs w:val="22"/>
        </w:rPr>
        <w:t xml:space="preserve"> atender a un mismo usuario que</w:t>
      </w:r>
      <w:r w:rsidR="00485C74">
        <w:rPr>
          <w:rFonts w:cs="Arial"/>
          <w:sz w:val="22"/>
          <w:szCs w:val="22"/>
        </w:rPr>
        <w:t>, e</w:t>
      </w:r>
      <w:r w:rsidR="00485C74" w:rsidRPr="00485C74">
        <w:rPr>
          <w:rFonts w:cs="Arial"/>
          <w:sz w:val="22"/>
          <w:szCs w:val="22"/>
        </w:rPr>
        <w:t>n el caso de los usuarios no regulados que participan como compradores en el mercado primario, se requiere que la información sea presentada directamente</w:t>
      </w:r>
      <w:r w:rsidR="00D022DE">
        <w:rPr>
          <w:rFonts w:cs="Arial"/>
          <w:sz w:val="22"/>
          <w:szCs w:val="22"/>
        </w:rPr>
        <w:t xml:space="preserve"> por estos usuarios</w:t>
      </w:r>
      <w:r w:rsidR="00485C74" w:rsidRPr="00485C74">
        <w:rPr>
          <w:rFonts w:cs="Arial"/>
          <w:sz w:val="22"/>
          <w:szCs w:val="22"/>
        </w:rPr>
        <w:t>. En el caso de los usuarios no regulados que son parte de la Demanda Esencial y que contratan la prestación del servicio en el mercado minorista, la cantidad requerida puede ser informada a través del comercializador, con el fin de evitar duplicidad de las cantidades a contratar</w:t>
      </w:r>
      <w:r w:rsidR="00485C74">
        <w:rPr>
          <w:rFonts w:cs="Arial"/>
          <w:sz w:val="22"/>
          <w:szCs w:val="22"/>
        </w:rPr>
        <w:t>.</w:t>
      </w:r>
    </w:p>
    <w:p w14:paraId="5AE72B44" w14:textId="77777777" w:rsidR="00F92798" w:rsidRDefault="00F92798" w:rsidP="0028726C">
      <w:pPr>
        <w:rPr>
          <w:rFonts w:cs="Arial"/>
          <w:sz w:val="22"/>
          <w:szCs w:val="22"/>
        </w:rPr>
      </w:pPr>
    </w:p>
    <w:p w14:paraId="547F2CCA" w14:textId="77777777" w:rsidR="00D022DE" w:rsidRPr="0028726C" w:rsidRDefault="00D022DE" w:rsidP="0028726C">
      <w:pPr>
        <w:rPr>
          <w:rFonts w:cs="Arial"/>
          <w:sz w:val="22"/>
          <w:szCs w:val="22"/>
        </w:rPr>
      </w:pPr>
    </w:p>
    <w:p w14:paraId="244E44C9" w14:textId="77777777" w:rsidR="00C53D76" w:rsidRDefault="0028726C" w:rsidP="000D05A3">
      <w:pPr>
        <w:pStyle w:val="Ttulo4"/>
      </w:pPr>
      <w:bookmarkStart w:id="834" w:name="_Ref132627209"/>
      <w:r w:rsidRPr="0028726C">
        <w:t>GIGAS ENERGY</w:t>
      </w:r>
      <w:bookmarkEnd w:id="834"/>
      <w:r w:rsidRPr="0028726C">
        <w:tab/>
      </w:r>
    </w:p>
    <w:p w14:paraId="3E4E713C" w14:textId="6EA1167C" w:rsidR="0028726C" w:rsidRPr="00485C74" w:rsidRDefault="00C34758" w:rsidP="0028726C">
      <w:pPr>
        <w:rPr>
          <w:rFonts w:cs="Arial"/>
          <w:i/>
          <w:iCs/>
          <w:sz w:val="22"/>
          <w:szCs w:val="22"/>
        </w:rPr>
      </w:pPr>
      <w:r>
        <w:rPr>
          <w:rFonts w:cs="Arial"/>
          <w:i/>
          <w:iCs/>
          <w:sz w:val="22"/>
          <w:szCs w:val="22"/>
        </w:rPr>
        <w:t>“</w:t>
      </w:r>
      <w:r w:rsidR="0028726C" w:rsidRPr="00485C74">
        <w:rPr>
          <w:rFonts w:cs="Arial"/>
          <w:i/>
          <w:iCs/>
          <w:sz w:val="22"/>
          <w:szCs w:val="22"/>
        </w:rPr>
        <w:t xml:space="preserve">Según establece el </w:t>
      </w:r>
      <w:proofErr w:type="spellStart"/>
      <w:r w:rsidR="00485C74">
        <w:rPr>
          <w:rFonts w:cs="Arial"/>
          <w:i/>
          <w:iCs/>
          <w:sz w:val="22"/>
          <w:szCs w:val="22"/>
        </w:rPr>
        <w:t>a</w:t>
      </w:r>
      <w:r w:rsidR="0028726C" w:rsidRPr="00485C74">
        <w:rPr>
          <w:rFonts w:cs="Arial"/>
          <w:i/>
          <w:iCs/>
          <w:sz w:val="22"/>
          <w:szCs w:val="22"/>
        </w:rPr>
        <w:t>rticulo</w:t>
      </w:r>
      <w:proofErr w:type="spellEnd"/>
      <w:r w:rsidR="0028726C" w:rsidRPr="00485C74">
        <w:rPr>
          <w:rFonts w:cs="Arial"/>
          <w:i/>
          <w:iCs/>
          <w:sz w:val="22"/>
          <w:szCs w:val="22"/>
        </w:rPr>
        <w:t xml:space="preserve"> referenciado, el </w:t>
      </w:r>
      <w:r w:rsidR="005114C6" w:rsidRPr="00485C74">
        <w:rPr>
          <w:rFonts w:cs="Arial"/>
          <w:i/>
          <w:iCs/>
          <w:sz w:val="22"/>
          <w:szCs w:val="22"/>
        </w:rPr>
        <w:t>Gestor del Mercado</w:t>
      </w:r>
      <w:r w:rsidR="0028726C" w:rsidRPr="00485C74">
        <w:rPr>
          <w:rFonts w:cs="Arial"/>
          <w:i/>
          <w:iCs/>
          <w:sz w:val="22"/>
          <w:szCs w:val="22"/>
        </w:rPr>
        <w:t xml:space="preserve"> deberá informar solo a los vendedores los puntos de referencia y trimestres </w:t>
      </w:r>
      <w:proofErr w:type="spellStart"/>
      <w:r w:rsidR="0028726C" w:rsidRPr="00485C74">
        <w:rPr>
          <w:rFonts w:cs="Arial"/>
          <w:i/>
          <w:iCs/>
          <w:sz w:val="22"/>
          <w:szCs w:val="22"/>
        </w:rPr>
        <w:t>estandar</w:t>
      </w:r>
      <w:proofErr w:type="spellEnd"/>
      <w:r w:rsidR="0028726C" w:rsidRPr="00485C74">
        <w:rPr>
          <w:rFonts w:cs="Arial"/>
          <w:i/>
          <w:iCs/>
          <w:sz w:val="22"/>
          <w:szCs w:val="22"/>
        </w:rPr>
        <w:t xml:space="preserve"> en los que </w:t>
      </w:r>
      <w:proofErr w:type="spellStart"/>
      <w:r w:rsidR="0028726C" w:rsidRPr="00485C74">
        <w:rPr>
          <w:rFonts w:cs="Arial"/>
          <w:i/>
          <w:iCs/>
          <w:sz w:val="22"/>
          <w:szCs w:val="22"/>
        </w:rPr>
        <w:t>que</w:t>
      </w:r>
      <w:proofErr w:type="spellEnd"/>
      <w:r w:rsidR="0028726C" w:rsidRPr="00485C74">
        <w:rPr>
          <w:rFonts w:cs="Arial"/>
          <w:i/>
          <w:iCs/>
          <w:sz w:val="22"/>
          <w:szCs w:val="22"/>
        </w:rPr>
        <w:t xml:space="preserve"> el balance comercial  resulté ser excedentario.</w:t>
      </w:r>
      <w:r>
        <w:rPr>
          <w:rFonts w:cs="Arial"/>
          <w:i/>
          <w:iCs/>
          <w:sz w:val="22"/>
          <w:szCs w:val="22"/>
        </w:rPr>
        <w:t>”</w:t>
      </w:r>
    </w:p>
    <w:p w14:paraId="1AE26431" w14:textId="77777777" w:rsidR="00485C74" w:rsidRDefault="00485C74" w:rsidP="0028726C">
      <w:pPr>
        <w:rPr>
          <w:rFonts w:cs="Arial"/>
          <w:sz w:val="22"/>
          <w:szCs w:val="22"/>
        </w:rPr>
      </w:pPr>
    </w:p>
    <w:p w14:paraId="77FC538F" w14:textId="7DC76E51" w:rsidR="00485C74" w:rsidRPr="00485C74" w:rsidRDefault="00485C74" w:rsidP="0028726C">
      <w:pPr>
        <w:rPr>
          <w:rFonts w:cs="Arial"/>
          <w:b/>
          <w:bCs/>
          <w:sz w:val="22"/>
          <w:szCs w:val="22"/>
        </w:rPr>
      </w:pPr>
      <w:r w:rsidRPr="00485C74">
        <w:rPr>
          <w:rFonts w:cs="Arial"/>
          <w:b/>
          <w:bCs/>
          <w:sz w:val="22"/>
          <w:szCs w:val="22"/>
        </w:rPr>
        <w:t>Respuesta:</w:t>
      </w:r>
    </w:p>
    <w:p w14:paraId="3F71D995" w14:textId="77777777" w:rsidR="00485C74" w:rsidRDefault="00485C74" w:rsidP="0028726C">
      <w:pPr>
        <w:rPr>
          <w:rFonts w:cs="Arial"/>
          <w:sz w:val="22"/>
          <w:szCs w:val="22"/>
        </w:rPr>
      </w:pPr>
    </w:p>
    <w:p w14:paraId="72936908" w14:textId="21A33689" w:rsidR="00485C74" w:rsidRDefault="00485C74" w:rsidP="0028726C">
      <w:pPr>
        <w:rPr>
          <w:rFonts w:cs="Arial"/>
          <w:sz w:val="22"/>
          <w:szCs w:val="22"/>
        </w:rPr>
      </w:pPr>
      <w:r>
        <w:rPr>
          <w:rFonts w:cs="Arial"/>
          <w:sz w:val="22"/>
          <w:szCs w:val="22"/>
        </w:rPr>
        <w:t xml:space="preserve">El Gestor del Mercado deberá publicar </w:t>
      </w:r>
      <w:r w:rsidRPr="00485C74">
        <w:rPr>
          <w:rFonts w:cs="Arial"/>
          <w:sz w:val="22"/>
          <w:szCs w:val="22"/>
        </w:rPr>
        <w:t>deberá publicar los resultados de los balances comerciales, ya sean superavitarios o deficitarios, obtenidos para cada uno de los puntos de referencia establecidos y para cada uno de los veinte (20) trimestres estándar siguientes al trimestre de negociación</w:t>
      </w:r>
      <w:r>
        <w:rPr>
          <w:rFonts w:cs="Arial"/>
          <w:sz w:val="22"/>
          <w:szCs w:val="22"/>
        </w:rPr>
        <w:t>. De ese modo todos los agentes de deberán enterar de los resultados.</w:t>
      </w:r>
    </w:p>
    <w:p w14:paraId="3BE2DB52" w14:textId="77777777" w:rsidR="00485C74" w:rsidRDefault="00485C74" w:rsidP="0028726C">
      <w:pPr>
        <w:rPr>
          <w:rFonts w:cs="Arial"/>
          <w:sz w:val="22"/>
          <w:szCs w:val="22"/>
        </w:rPr>
      </w:pPr>
    </w:p>
    <w:p w14:paraId="3DE552B8" w14:textId="708AE2C8" w:rsidR="00485C74" w:rsidRDefault="00485C74" w:rsidP="0028726C">
      <w:pPr>
        <w:rPr>
          <w:rFonts w:cs="Arial"/>
          <w:sz w:val="22"/>
          <w:szCs w:val="22"/>
        </w:rPr>
      </w:pPr>
      <w:r>
        <w:rPr>
          <w:rFonts w:cs="Arial"/>
          <w:sz w:val="22"/>
          <w:szCs w:val="22"/>
        </w:rPr>
        <w:t xml:space="preserve">Sin embargo, con el fin de evitar cualquier confusión al respecto, también se obliga al Gestor del Mercado a </w:t>
      </w:r>
      <w:r w:rsidRPr="00485C74">
        <w:rPr>
          <w:rFonts w:cs="Arial"/>
          <w:sz w:val="22"/>
          <w:szCs w:val="22"/>
        </w:rPr>
        <w:t xml:space="preserve">informar a los vendedores sobre los Puntos de Referencia y Trimestres Estándar en los que el balance comercial resultó ser deficitario, </w:t>
      </w:r>
      <w:r>
        <w:rPr>
          <w:rFonts w:cs="Arial"/>
          <w:sz w:val="22"/>
          <w:szCs w:val="22"/>
        </w:rPr>
        <w:t>para</w:t>
      </w:r>
      <w:r w:rsidRPr="00485C74">
        <w:rPr>
          <w:rFonts w:cs="Arial"/>
          <w:sz w:val="22"/>
          <w:szCs w:val="22"/>
        </w:rPr>
        <w:t xml:space="preserve"> </w:t>
      </w:r>
      <w:r>
        <w:rPr>
          <w:rFonts w:cs="Arial"/>
          <w:sz w:val="22"/>
          <w:szCs w:val="22"/>
        </w:rPr>
        <w:t xml:space="preserve">que estos vendedores procedan a informar al Gestor del Mercado </w:t>
      </w:r>
      <w:r w:rsidRPr="00485C74">
        <w:rPr>
          <w:rFonts w:cs="Arial"/>
          <w:sz w:val="22"/>
          <w:szCs w:val="22"/>
        </w:rPr>
        <w:t>el precio de reserva por cada Punto de Entrega, de cada una de las Fuentes de Suministro sin excepción ninguna</w:t>
      </w:r>
      <w:r>
        <w:rPr>
          <w:rFonts w:cs="Arial"/>
          <w:sz w:val="22"/>
          <w:szCs w:val="22"/>
        </w:rPr>
        <w:t>, que hacen parte del punto de referencia deficitario.</w:t>
      </w:r>
    </w:p>
    <w:p w14:paraId="5528E38A" w14:textId="77777777" w:rsidR="00485C74" w:rsidRPr="0028726C" w:rsidRDefault="00485C74" w:rsidP="0028726C">
      <w:pPr>
        <w:rPr>
          <w:rFonts w:cs="Arial"/>
          <w:sz w:val="22"/>
          <w:szCs w:val="22"/>
        </w:rPr>
      </w:pPr>
    </w:p>
    <w:p w14:paraId="5D25096A" w14:textId="77777777" w:rsidR="00C53D76" w:rsidRDefault="00C53D76" w:rsidP="0028726C">
      <w:pPr>
        <w:rPr>
          <w:rFonts w:cs="Arial"/>
          <w:sz w:val="22"/>
          <w:szCs w:val="22"/>
        </w:rPr>
      </w:pPr>
    </w:p>
    <w:p w14:paraId="6D72B3BA" w14:textId="77777777" w:rsidR="00C53D76" w:rsidRDefault="0028726C" w:rsidP="000D05A3">
      <w:pPr>
        <w:pStyle w:val="Ttulo4"/>
      </w:pPr>
      <w:bookmarkStart w:id="835" w:name="_Ref132627196"/>
      <w:r w:rsidRPr="0028726C">
        <w:t>GIGAS ENERGY</w:t>
      </w:r>
      <w:bookmarkEnd w:id="835"/>
      <w:r w:rsidRPr="0028726C">
        <w:tab/>
      </w:r>
    </w:p>
    <w:p w14:paraId="625AD07A" w14:textId="4B20C922" w:rsidR="0028726C" w:rsidRDefault="006E301B" w:rsidP="0028726C">
      <w:pPr>
        <w:rPr>
          <w:rFonts w:cs="Arial"/>
          <w:i/>
          <w:iCs/>
          <w:sz w:val="22"/>
          <w:szCs w:val="22"/>
        </w:rPr>
      </w:pPr>
      <w:r>
        <w:rPr>
          <w:rFonts w:cs="Arial"/>
          <w:i/>
          <w:iCs/>
          <w:sz w:val="22"/>
          <w:szCs w:val="22"/>
        </w:rPr>
        <w:t>“</w:t>
      </w:r>
      <w:r w:rsidR="0028726C" w:rsidRPr="00485C74">
        <w:rPr>
          <w:rFonts w:cs="Arial"/>
          <w:i/>
          <w:iCs/>
          <w:sz w:val="22"/>
          <w:szCs w:val="22"/>
        </w:rPr>
        <w:t>Se sugiere modificar la redacción del artículo para mayor claridad.</w:t>
      </w:r>
    </w:p>
    <w:p w14:paraId="4CD9718C" w14:textId="77777777" w:rsidR="00C46BE9" w:rsidRDefault="00C46BE9" w:rsidP="0028726C">
      <w:pPr>
        <w:rPr>
          <w:rFonts w:cs="Arial"/>
          <w:i/>
          <w:iCs/>
          <w:sz w:val="22"/>
          <w:szCs w:val="22"/>
        </w:rPr>
      </w:pPr>
    </w:p>
    <w:p w14:paraId="2D3DDD1A" w14:textId="1B2AF50A" w:rsidR="00C46BE9" w:rsidRPr="00485C74" w:rsidRDefault="006E301B" w:rsidP="0028726C">
      <w:pPr>
        <w:rPr>
          <w:rFonts w:cs="Arial"/>
          <w:i/>
          <w:iCs/>
          <w:sz w:val="22"/>
          <w:szCs w:val="22"/>
        </w:rPr>
      </w:pPr>
      <w:r>
        <w:rPr>
          <w:rFonts w:cs="Arial"/>
          <w:i/>
          <w:iCs/>
          <w:sz w:val="22"/>
          <w:szCs w:val="22"/>
        </w:rPr>
        <w:t>‘</w:t>
      </w:r>
      <w:r w:rsidR="00C46BE9" w:rsidRPr="00C46BE9">
        <w:rPr>
          <w:rFonts w:cs="Arial"/>
          <w:i/>
          <w:iCs/>
          <w:sz w:val="22"/>
          <w:szCs w:val="22"/>
        </w:rPr>
        <w:t>d. Para determinar el porcentaje de participación de cada comprador, por Punto de Entrega y por cada Fuente de Suministro en ese Punto de Referencia, el Gestor del Mercado tendrá en cuenta: (i) las cantidades totales que reportó para atender Demanda Esencial en ese Punto de Referencia, y (</w:t>
      </w:r>
      <w:proofErr w:type="spellStart"/>
      <w:r w:rsidR="00C46BE9" w:rsidRPr="00C46BE9">
        <w:rPr>
          <w:rFonts w:cs="Arial"/>
          <w:i/>
          <w:iCs/>
          <w:sz w:val="22"/>
          <w:szCs w:val="22"/>
        </w:rPr>
        <w:t>ii</w:t>
      </w:r>
      <w:proofErr w:type="spellEnd"/>
      <w:r w:rsidR="00C46BE9" w:rsidRPr="00C46BE9">
        <w:rPr>
          <w:rFonts w:cs="Arial"/>
          <w:i/>
          <w:iCs/>
          <w:sz w:val="22"/>
          <w:szCs w:val="22"/>
        </w:rPr>
        <w:t>) la totalidad de las cantidades para atender Demanda Esencial reportadas en dicho punto por todos los compradores.</w:t>
      </w:r>
      <w:r>
        <w:rPr>
          <w:rFonts w:cs="Arial"/>
          <w:i/>
          <w:iCs/>
          <w:sz w:val="22"/>
          <w:szCs w:val="22"/>
        </w:rPr>
        <w:t>’</w:t>
      </w:r>
      <w:r w:rsidR="00C46BE9" w:rsidRPr="00C46BE9">
        <w:rPr>
          <w:rFonts w:cs="Arial"/>
          <w:i/>
          <w:iCs/>
          <w:sz w:val="22"/>
          <w:szCs w:val="22"/>
        </w:rPr>
        <w:t>"</w:t>
      </w:r>
    </w:p>
    <w:p w14:paraId="07F17B37" w14:textId="77777777" w:rsidR="00485C74" w:rsidRDefault="00485C74" w:rsidP="0028726C">
      <w:pPr>
        <w:rPr>
          <w:rFonts w:cs="Arial"/>
          <w:sz w:val="22"/>
          <w:szCs w:val="22"/>
        </w:rPr>
      </w:pPr>
    </w:p>
    <w:p w14:paraId="31E4F5A6" w14:textId="514A9498" w:rsidR="00485C74" w:rsidRPr="00485C74" w:rsidRDefault="00485C74" w:rsidP="0028726C">
      <w:pPr>
        <w:rPr>
          <w:rFonts w:cs="Arial"/>
          <w:b/>
          <w:bCs/>
          <w:sz w:val="22"/>
          <w:szCs w:val="22"/>
        </w:rPr>
      </w:pPr>
      <w:r w:rsidRPr="00485C74">
        <w:rPr>
          <w:rFonts w:cs="Arial"/>
          <w:b/>
          <w:bCs/>
          <w:sz w:val="22"/>
          <w:szCs w:val="22"/>
        </w:rPr>
        <w:t>Respuesta:</w:t>
      </w:r>
    </w:p>
    <w:p w14:paraId="10442BD1" w14:textId="77777777" w:rsidR="00485C74" w:rsidRDefault="00485C74" w:rsidP="0028726C">
      <w:pPr>
        <w:rPr>
          <w:rFonts w:cs="Arial"/>
          <w:sz w:val="22"/>
          <w:szCs w:val="22"/>
        </w:rPr>
      </w:pPr>
    </w:p>
    <w:p w14:paraId="2F50E9C9" w14:textId="022A66FA" w:rsidR="00485C74" w:rsidRDefault="00C46BE9" w:rsidP="0028726C">
      <w:pPr>
        <w:rPr>
          <w:rFonts w:cs="Arial"/>
          <w:sz w:val="22"/>
          <w:szCs w:val="22"/>
        </w:rPr>
      </w:pPr>
      <w:r>
        <w:rPr>
          <w:rFonts w:cs="Arial"/>
          <w:sz w:val="22"/>
          <w:szCs w:val="22"/>
        </w:rPr>
        <w:t>Se acoge el comentario.</w:t>
      </w:r>
    </w:p>
    <w:p w14:paraId="0873554E" w14:textId="77777777" w:rsidR="00C46BE9" w:rsidRDefault="00C46BE9" w:rsidP="0028726C">
      <w:pPr>
        <w:rPr>
          <w:rFonts w:cs="Arial"/>
          <w:sz w:val="22"/>
          <w:szCs w:val="22"/>
        </w:rPr>
      </w:pPr>
    </w:p>
    <w:p w14:paraId="4675C0CF" w14:textId="260AF847" w:rsidR="00C46BE9" w:rsidRPr="0028726C" w:rsidRDefault="00C46BE9" w:rsidP="0028726C">
      <w:pPr>
        <w:rPr>
          <w:rFonts w:cs="Arial"/>
          <w:sz w:val="22"/>
          <w:szCs w:val="22"/>
        </w:rPr>
      </w:pPr>
      <w:r>
        <w:rPr>
          <w:rFonts w:cs="Arial"/>
          <w:sz w:val="22"/>
          <w:szCs w:val="22"/>
        </w:rPr>
        <w:t xml:space="preserve">En la nueva propuesta se realizó una adición de texto e inclusión de fórmulas específicas para que no haya duda de la manera en que el Gestor del Mercado debe proceder para el cálculo de las cantidades requeridas de la Demanda </w:t>
      </w:r>
      <w:proofErr w:type="gramStart"/>
      <w:r>
        <w:rPr>
          <w:rFonts w:cs="Arial"/>
          <w:sz w:val="22"/>
          <w:szCs w:val="22"/>
        </w:rPr>
        <w:t>Esencial</w:t>
      </w:r>
      <w:proofErr w:type="gramEnd"/>
      <w:r>
        <w:rPr>
          <w:rFonts w:cs="Arial"/>
          <w:sz w:val="22"/>
          <w:szCs w:val="22"/>
        </w:rPr>
        <w:t xml:space="preserve"> así como la distribución de las cantidades de las fuentes de suministro a los compradores.</w:t>
      </w:r>
    </w:p>
    <w:p w14:paraId="34AF078A" w14:textId="77777777" w:rsidR="00C53D76" w:rsidRDefault="00C53D76" w:rsidP="0028726C">
      <w:pPr>
        <w:rPr>
          <w:rFonts w:cs="Arial"/>
          <w:sz w:val="22"/>
          <w:szCs w:val="22"/>
        </w:rPr>
      </w:pPr>
    </w:p>
    <w:p w14:paraId="3D77DDD9" w14:textId="77777777" w:rsidR="00C53D76" w:rsidRDefault="00C53D76" w:rsidP="0028726C">
      <w:pPr>
        <w:rPr>
          <w:rFonts w:cs="Arial"/>
          <w:sz w:val="22"/>
          <w:szCs w:val="22"/>
        </w:rPr>
      </w:pPr>
    </w:p>
    <w:p w14:paraId="592936AF" w14:textId="77777777" w:rsidR="00C53D76" w:rsidRDefault="0028726C" w:rsidP="0090195C">
      <w:pPr>
        <w:pStyle w:val="Ttulo2"/>
      </w:pPr>
      <w:bookmarkStart w:id="836" w:name="_Toc140506441"/>
      <w:r w:rsidRPr="0028726C">
        <w:t>HOCOL</w:t>
      </w:r>
      <w:bookmarkEnd w:id="836"/>
      <w:r w:rsidRPr="0028726C">
        <w:tab/>
      </w:r>
    </w:p>
    <w:p w14:paraId="3F082EA7" w14:textId="77777777" w:rsidR="00002A82" w:rsidRDefault="00002A82" w:rsidP="000D05A3">
      <w:pPr>
        <w:pStyle w:val="Ttulo4"/>
      </w:pPr>
      <w:bookmarkStart w:id="837" w:name="_Ref132618655"/>
      <w:r w:rsidRPr="0028726C">
        <w:t>HOCOL</w:t>
      </w:r>
      <w:bookmarkEnd w:id="837"/>
      <w:r w:rsidRPr="0028726C">
        <w:tab/>
      </w:r>
    </w:p>
    <w:p w14:paraId="50FCD5AD" w14:textId="3A869C5C" w:rsidR="0028726C" w:rsidRPr="000C6DD7" w:rsidRDefault="0028726C" w:rsidP="0028726C">
      <w:pPr>
        <w:rPr>
          <w:rFonts w:cs="Arial"/>
          <w:i/>
          <w:iCs/>
          <w:sz w:val="22"/>
          <w:szCs w:val="22"/>
        </w:rPr>
      </w:pPr>
      <w:r w:rsidRPr="0028726C">
        <w:rPr>
          <w:rFonts w:cs="Arial"/>
          <w:sz w:val="22"/>
          <w:szCs w:val="22"/>
        </w:rPr>
        <w:t>"</w:t>
      </w:r>
      <w:r w:rsidRPr="000C6DD7">
        <w:rPr>
          <w:rFonts w:cs="Arial"/>
          <w:i/>
          <w:iCs/>
          <w:sz w:val="22"/>
          <w:szCs w:val="22"/>
        </w:rPr>
        <w:t>Mecanismo de Abastecimiento de la Demanda Esencial - MADE</w:t>
      </w:r>
    </w:p>
    <w:p w14:paraId="0E9E2345" w14:textId="77777777" w:rsidR="0028726C" w:rsidRPr="000C6DD7" w:rsidRDefault="0028726C" w:rsidP="0028726C">
      <w:pPr>
        <w:rPr>
          <w:rFonts w:cs="Arial"/>
          <w:i/>
          <w:iCs/>
          <w:sz w:val="22"/>
          <w:szCs w:val="22"/>
        </w:rPr>
      </w:pPr>
      <w:r w:rsidRPr="000C6DD7">
        <w:rPr>
          <w:rFonts w:cs="Arial"/>
          <w:i/>
          <w:iCs/>
          <w:sz w:val="22"/>
          <w:szCs w:val="22"/>
        </w:rPr>
        <w:t>Entendiendo el objetivo de la Comisión de establecer mecanismos que aseguren los contratos de suministro con Respaldo Físico para los agentes que atienden la Demanda Esencial y que dan lugar a la construcción del MADE, consideramos prudente realizar la implementación de este mecanismo de manera gradual como se sugiere a continuación, de modo que se garantice un entendimiento completo del mecanismo por parte de todos los agentes, que se cuente con las condiciones necesarias para que funcione y cumpla sus objetivos, principalmente teniendo en cuenta la complejidad prevista en la implementación y ejecución del mecanismo.</w:t>
      </w:r>
    </w:p>
    <w:p w14:paraId="1A136727" w14:textId="77777777" w:rsidR="00D11176" w:rsidRPr="000C6DD7" w:rsidRDefault="00D11176" w:rsidP="0028726C">
      <w:pPr>
        <w:rPr>
          <w:rFonts w:cs="Arial"/>
          <w:i/>
          <w:iCs/>
          <w:sz w:val="22"/>
          <w:szCs w:val="22"/>
        </w:rPr>
      </w:pPr>
    </w:p>
    <w:p w14:paraId="63BBC43D" w14:textId="435286A8" w:rsidR="0028726C" w:rsidRPr="000C6DD7" w:rsidRDefault="00D11176" w:rsidP="0028726C">
      <w:pPr>
        <w:rPr>
          <w:rFonts w:cs="Arial"/>
          <w:i/>
          <w:iCs/>
          <w:sz w:val="22"/>
          <w:szCs w:val="22"/>
        </w:rPr>
      </w:pPr>
      <w:r w:rsidRPr="000C6DD7">
        <w:rPr>
          <w:rFonts w:cs="Arial"/>
          <w:i/>
          <w:iCs/>
          <w:sz w:val="22"/>
          <w:szCs w:val="22"/>
        </w:rPr>
        <w:t xml:space="preserve">a) </w:t>
      </w:r>
      <w:r w:rsidR="0028726C" w:rsidRPr="000C6DD7">
        <w:rPr>
          <w:rFonts w:cs="Arial"/>
          <w:i/>
          <w:iCs/>
          <w:sz w:val="22"/>
          <w:szCs w:val="22"/>
        </w:rPr>
        <w:t xml:space="preserve">Transición al Mecanismo de Abastecimiento de la Demanda Esencial: Esta etapa sugerimos sea llevada a cabo desde la </w:t>
      </w:r>
      <w:proofErr w:type="gramStart"/>
      <w:r w:rsidR="0028726C" w:rsidRPr="000C6DD7">
        <w:rPr>
          <w:rFonts w:cs="Arial"/>
          <w:i/>
          <w:iCs/>
          <w:sz w:val="22"/>
          <w:szCs w:val="22"/>
        </w:rPr>
        <w:t>entrada en vigencia</w:t>
      </w:r>
      <w:proofErr w:type="gramEnd"/>
      <w:r w:rsidR="0028726C" w:rsidRPr="000C6DD7">
        <w:rPr>
          <w:rFonts w:cs="Arial"/>
          <w:i/>
          <w:iCs/>
          <w:sz w:val="22"/>
          <w:szCs w:val="22"/>
        </w:rPr>
        <w:t xml:space="preserve"> de la resolución y hasta el Trimestre estándar de negociación de septiembre a noviembre de 2023. Durante esta etapa se llevarían a cabo las siguientes actividades:</w:t>
      </w:r>
    </w:p>
    <w:p w14:paraId="35643E83" w14:textId="77777777" w:rsidR="0028726C" w:rsidRPr="000C6DD7" w:rsidRDefault="0028726C" w:rsidP="0028726C">
      <w:pPr>
        <w:rPr>
          <w:rFonts w:cs="Arial"/>
          <w:i/>
          <w:iCs/>
          <w:sz w:val="22"/>
          <w:szCs w:val="22"/>
        </w:rPr>
      </w:pPr>
      <w:r w:rsidRPr="000C6DD7">
        <w:rPr>
          <w:rFonts w:cs="Arial"/>
          <w:i/>
          <w:iCs/>
          <w:sz w:val="22"/>
          <w:szCs w:val="22"/>
        </w:rPr>
        <w:t xml:space="preserve">     • Comercialización de gas mediante los mecanismos establecidos en la Resolución CREG 186 de 2020, asegurando la priorización en atención a la Demanda Esencial; es decir, que los vendedores del mercado primario tendrían la obligación de desarrollar procesos de comercialización que garanticen el acceso en las negociaciones bilaterales a los agentes que atienden demanda esencial.</w:t>
      </w:r>
    </w:p>
    <w:p w14:paraId="61BF0613" w14:textId="12041B19" w:rsidR="0028726C" w:rsidRPr="000C6DD7" w:rsidRDefault="0028726C" w:rsidP="0028726C">
      <w:pPr>
        <w:rPr>
          <w:rFonts w:cs="Arial"/>
          <w:i/>
          <w:iCs/>
          <w:sz w:val="22"/>
          <w:szCs w:val="22"/>
        </w:rPr>
      </w:pPr>
      <w:r w:rsidRPr="000C6DD7">
        <w:rPr>
          <w:rFonts w:cs="Arial"/>
          <w:i/>
          <w:iCs/>
          <w:sz w:val="22"/>
          <w:szCs w:val="22"/>
        </w:rPr>
        <w:t xml:space="preserve">     • Simulación de la ejecución del MADE por parte del </w:t>
      </w:r>
      <w:r w:rsidR="005114C6" w:rsidRPr="000C6DD7">
        <w:rPr>
          <w:rFonts w:cs="Arial"/>
          <w:i/>
          <w:iCs/>
          <w:sz w:val="22"/>
          <w:szCs w:val="22"/>
        </w:rPr>
        <w:t>Gestor del Mercado</w:t>
      </w:r>
      <w:r w:rsidRPr="000C6DD7">
        <w:rPr>
          <w:rFonts w:cs="Arial"/>
          <w:i/>
          <w:iCs/>
          <w:sz w:val="22"/>
          <w:szCs w:val="22"/>
        </w:rPr>
        <w:t>, utilizando la información de PTDVF y CIVDF actualizada por los agentes de acuerdo con la resolución CREG 084 de 2021, o la que la modifique o sustituya. Esto permitiría un mayor entendimiento de las condiciones de ejecución del mecanismo por parte de todos los agentes, así como le permitiría a la Comisión identificar los ajustes requeridos en la propuesta regulatoria para garantizar el funcionamiento del MADE y el cumplimiento de los objetivos propuestos.</w:t>
      </w:r>
    </w:p>
    <w:p w14:paraId="7858E29D" w14:textId="77777777" w:rsidR="0028726C" w:rsidRPr="000C6DD7" w:rsidRDefault="0028726C" w:rsidP="0028726C">
      <w:pPr>
        <w:rPr>
          <w:rFonts w:cs="Arial"/>
          <w:i/>
          <w:iCs/>
          <w:sz w:val="22"/>
          <w:szCs w:val="22"/>
        </w:rPr>
      </w:pPr>
      <w:r w:rsidRPr="000C6DD7">
        <w:rPr>
          <w:rFonts w:cs="Arial"/>
          <w:i/>
          <w:iCs/>
          <w:sz w:val="22"/>
          <w:szCs w:val="22"/>
        </w:rPr>
        <w:t xml:space="preserve">     • Publicación de los borradores de resolución para la debida revisión de los agentes, y la resolución definitiva, que ajuste la ejecución del MADE y provea una versión final para su implementación.</w:t>
      </w:r>
    </w:p>
    <w:p w14:paraId="04FA8777" w14:textId="77777777" w:rsidR="0028726C" w:rsidRPr="000C6DD7" w:rsidRDefault="0028726C" w:rsidP="0028726C">
      <w:pPr>
        <w:rPr>
          <w:rFonts w:cs="Arial"/>
          <w:i/>
          <w:iCs/>
          <w:sz w:val="22"/>
          <w:szCs w:val="22"/>
        </w:rPr>
      </w:pPr>
      <w:r w:rsidRPr="000C6DD7">
        <w:rPr>
          <w:rFonts w:cs="Arial"/>
          <w:i/>
          <w:iCs/>
          <w:sz w:val="22"/>
          <w:szCs w:val="22"/>
        </w:rPr>
        <w:t xml:space="preserve">     • Publicación de los borradores de resolución para la debida revisión de los agentes, y la resolución definitiva que reglamente la subasta a realizar para la comercialización de excedentes de gas en los campos mayores, en el caso de trimestres con balances deficitarios, y considerando que la CREG decida implementar este mecanismo de subasta para comercializar esos excedentes.</w:t>
      </w:r>
    </w:p>
    <w:p w14:paraId="19D7FEA8" w14:textId="77777777" w:rsidR="00D11176" w:rsidRPr="000C6DD7" w:rsidRDefault="00D11176" w:rsidP="0028726C">
      <w:pPr>
        <w:rPr>
          <w:rFonts w:cs="Arial"/>
          <w:i/>
          <w:iCs/>
          <w:sz w:val="22"/>
          <w:szCs w:val="22"/>
        </w:rPr>
      </w:pPr>
    </w:p>
    <w:p w14:paraId="1A2B9F66" w14:textId="3E8C427A" w:rsidR="0028726C" w:rsidRPr="00D11176" w:rsidRDefault="00D11176" w:rsidP="00D11176">
      <w:pPr>
        <w:rPr>
          <w:rFonts w:cs="Arial"/>
          <w:sz w:val="22"/>
          <w:szCs w:val="22"/>
        </w:rPr>
      </w:pPr>
      <w:r w:rsidRPr="000C6DD7">
        <w:rPr>
          <w:rFonts w:cs="Arial"/>
          <w:i/>
          <w:iCs/>
          <w:sz w:val="22"/>
          <w:szCs w:val="22"/>
        </w:rPr>
        <w:t xml:space="preserve">b) </w:t>
      </w:r>
      <w:r w:rsidR="0028726C" w:rsidRPr="000C6DD7">
        <w:rPr>
          <w:rFonts w:cs="Arial"/>
          <w:i/>
          <w:iCs/>
          <w:sz w:val="22"/>
          <w:szCs w:val="22"/>
        </w:rPr>
        <w:t>Implementación definitiva del MADE: Esta etapa sugerimos sea llevada a cabo a partir del Trimestre Estándar de Negociación de septiembre a noviembre de 2023, para contratos que iniciarían desde diciembre de 2023 en adelante. En esta etapa se implementaría el mecanismo junto con todos los ajustes identificados como requeridos durante la etapa de transición y sin dejar condiciones a reglamentar en regulaciones aparte</w:t>
      </w:r>
      <w:r w:rsidR="0028726C" w:rsidRPr="00D11176">
        <w:rPr>
          <w:rFonts w:cs="Arial"/>
          <w:sz w:val="22"/>
          <w:szCs w:val="22"/>
        </w:rPr>
        <w:t>."</w:t>
      </w:r>
    </w:p>
    <w:p w14:paraId="197282BE" w14:textId="77777777" w:rsidR="00D11176" w:rsidRPr="00D11176" w:rsidRDefault="00D11176" w:rsidP="00D11176">
      <w:pPr>
        <w:pStyle w:val="Prrafodelista"/>
        <w:ind w:left="720"/>
        <w:rPr>
          <w:rFonts w:cs="Arial"/>
          <w:sz w:val="22"/>
          <w:szCs w:val="22"/>
        </w:rPr>
      </w:pPr>
    </w:p>
    <w:p w14:paraId="1CDB2F6D" w14:textId="5826E5EC" w:rsidR="00D11176" w:rsidRPr="00D11176" w:rsidRDefault="00D11176" w:rsidP="00D11176">
      <w:pPr>
        <w:rPr>
          <w:rFonts w:cs="Arial"/>
          <w:b/>
          <w:bCs/>
          <w:sz w:val="22"/>
          <w:szCs w:val="22"/>
        </w:rPr>
      </w:pPr>
      <w:r w:rsidRPr="00D11176">
        <w:rPr>
          <w:rFonts w:cs="Arial"/>
          <w:b/>
          <w:bCs/>
          <w:sz w:val="22"/>
          <w:szCs w:val="22"/>
        </w:rPr>
        <w:t>Respuesta:</w:t>
      </w:r>
    </w:p>
    <w:p w14:paraId="6CEA1B62" w14:textId="77777777" w:rsidR="00D11176" w:rsidRDefault="00D11176" w:rsidP="00D11176">
      <w:pPr>
        <w:rPr>
          <w:rFonts w:cs="Arial"/>
          <w:sz w:val="22"/>
          <w:szCs w:val="22"/>
        </w:rPr>
      </w:pPr>
    </w:p>
    <w:p w14:paraId="5BDF577A" w14:textId="24723029" w:rsidR="00D11176" w:rsidRDefault="00D11176" w:rsidP="00D11176">
      <w:pPr>
        <w:rPr>
          <w:rFonts w:cs="Arial"/>
          <w:sz w:val="22"/>
          <w:szCs w:val="22"/>
        </w:rPr>
      </w:pPr>
      <w:r>
        <w:rPr>
          <w:rFonts w:cs="Arial"/>
          <w:sz w:val="22"/>
          <w:szCs w:val="22"/>
        </w:rPr>
        <w:t>No se acoge el comentario.</w:t>
      </w:r>
    </w:p>
    <w:p w14:paraId="7C0C28C9" w14:textId="77777777" w:rsidR="00D11176" w:rsidRDefault="00D11176" w:rsidP="00D11176">
      <w:pPr>
        <w:rPr>
          <w:rFonts w:cs="Arial"/>
          <w:sz w:val="22"/>
          <w:szCs w:val="22"/>
        </w:rPr>
      </w:pPr>
    </w:p>
    <w:p w14:paraId="190DD4A1" w14:textId="1487FB5A" w:rsidR="00D11176" w:rsidRDefault="00D11176" w:rsidP="00D11176">
      <w:pPr>
        <w:rPr>
          <w:rFonts w:cs="Arial"/>
          <w:sz w:val="22"/>
          <w:szCs w:val="22"/>
        </w:rPr>
      </w:pPr>
      <w:r>
        <w:rPr>
          <w:rFonts w:cs="Arial"/>
          <w:sz w:val="22"/>
          <w:szCs w:val="22"/>
        </w:rPr>
        <w:t>El esquema de negociación planteado</w:t>
      </w:r>
      <w:r w:rsidR="000C6DD7">
        <w:rPr>
          <w:rFonts w:cs="Arial"/>
          <w:sz w:val="22"/>
          <w:szCs w:val="22"/>
        </w:rPr>
        <w:t xml:space="preserve">, </w:t>
      </w:r>
      <w:r>
        <w:rPr>
          <w:rFonts w:cs="Arial"/>
          <w:sz w:val="22"/>
          <w:szCs w:val="22"/>
        </w:rPr>
        <w:t xml:space="preserve">en general parte del principio de que las cantidades a ser requeridas en los trimestres de suministro pueden ser negociadas </w:t>
      </w:r>
      <w:r w:rsidR="000C6DD7">
        <w:rPr>
          <w:rFonts w:cs="Arial"/>
          <w:sz w:val="22"/>
          <w:szCs w:val="22"/>
        </w:rPr>
        <w:t>parcialmente</w:t>
      </w:r>
      <w:r>
        <w:rPr>
          <w:rFonts w:cs="Arial"/>
          <w:sz w:val="22"/>
          <w:szCs w:val="22"/>
        </w:rPr>
        <w:t xml:space="preserve"> en diferentes trimestres de negociación</w:t>
      </w:r>
      <w:r w:rsidR="000C6DD7">
        <w:rPr>
          <w:rFonts w:cs="Arial"/>
          <w:sz w:val="22"/>
          <w:szCs w:val="22"/>
        </w:rPr>
        <w:t xml:space="preserve"> previos</w:t>
      </w:r>
      <w:r>
        <w:rPr>
          <w:rFonts w:cs="Arial"/>
          <w:sz w:val="22"/>
          <w:szCs w:val="22"/>
        </w:rPr>
        <w:t xml:space="preserve">, y no </w:t>
      </w:r>
      <w:r w:rsidR="000C6DD7">
        <w:rPr>
          <w:rFonts w:cs="Arial"/>
          <w:sz w:val="22"/>
          <w:szCs w:val="22"/>
        </w:rPr>
        <w:t xml:space="preserve">la totalidad </w:t>
      </w:r>
      <w:r>
        <w:rPr>
          <w:rFonts w:cs="Arial"/>
          <w:sz w:val="22"/>
          <w:szCs w:val="22"/>
        </w:rPr>
        <w:t>en un solo trimestre</w:t>
      </w:r>
      <w:r w:rsidR="000C6DD7">
        <w:rPr>
          <w:rFonts w:cs="Arial"/>
          <w:sz w:val="22"/>
          <w:szCs w:val="22"/>
        </w:rPr>
        <w:t xml:space="preserve"> de negociación</w:t>
      </w:r>
      <w:r>
        <w:rPr>
          <w:rFonts w:cs="Arial"/>
          <w:sz w:val="22"/>
          <w:szCs w:val="22"/>
        </w:rPr>
        <w:t xml:space="preserve">. Ver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Pr>
          <w:rFonts w:cs="Arial"/>
          <w:sz w:val="22"/>
          <w:szCs w:val="22"/>
        </w:rPr>
        <w:t>. lo anterior para cualquier tipo de sector de demanda incluyendo los sectores que hacen parte de la Demanda Esencial.</w:t>
      </w:r>
    </w:p>
    <w:p w14:paraId="6BCE5C57" w14:textId="77777777" w:rsidR="00D11176" w:rsidRDefault="00D11176" w:rsidP="00D11176">
      <w:pPr>
        <w:rPr>
          <w:rFonts w:cs="Arial"/>
          <w:sz w:val="22"/>
          <w:szCs w:val="22"/>
        </w:rPr>
      </w:pPr>
    </w:p>
    <w:p w14:paraId="738A7C49" w14:textId="6E11B292" w:rsidR="00D11176" w:rsidRDefault="00D11176" w:rsidP="00D11176">
      <w:pPr>
        <w:rPr>
          <w:rFonts w:cs="Arial"/>
          <w:sz w:val="22"/>
          <w:szCs w:val="22"/>
        </w:rPr>
      </w:pPr>
      <w:r>
        <w:rPr>
          <w:rFonts w:cs="Arial"/>
          <w:sz w:val="22"/>
          <w:szCs w:val="22"/>
        </w:rPr>
        <w:t xml:space="preserve">En cuanto a las simulaciones, ver respuesta a </w:t>
      </w:r>
      <w:r w:rsidR="000B2E9B">
        <w:rPr>
          <w:rFonts w:cs="Arial"/>
          <w:sz w:val="22"/>
          <w:szCs w:val="22"/>
        </w:rPr>
        <w:fldChar w:fldCharType="begin"/>
      </w:r>
      <w:r w:rsidR="000B2E9B">
        <w:rPr>
          <w:rFonts w:cs="Arial"/>
          <w:sz w:val="22"/>
          <w:szCs w:val="22"/>
        </w:rPr>
        <w:instrText xml:space="preserve"> REF _Ref132615609 \r \h </w:instrText>
      </w:r>
      <w:r w:rsidR="000B2E9B">
        <w:rPr>
          <w:rFonts w:cs="Arial"/>
          <w:sz w:val="22"/>
          <w:szCs w:val="22"/>
        </w:rPr>
      </w:r>
      <w:r w:rsidR="000B2E9B">
        <w:rPr>
          <w:rFonts w:cs="Arial"/>
          <w:sz w:val="22"/>
          <w:szCs w:val="22"/>
        </w:rPr>
        <w:fldChar w:fldCharType="separate"/>
      </w:r>
      <w:r w:rsidR="000B2E9B">
        <w:rPr>
          <w:rFonts w:cs="Arial"/>
          <w:sz w:val="22"/>
          <w:szCs w:val="22"/>
        </w:rPr>
        <w:t>1.2.1.13</w:t>
      </w:r>
      <w:r w:rsidR="000B2E9B">
        <w:rPr>
          <w:rFonts w:cs="Arial"/>
          <w:sz w:val="22"/>
          <w:szCs w:val="22"/>
        </w:rPr>
        <w:fldChar w:fldCharType="end"/>
      </w:r>
      <w:r w:rsidR="000B2E9B">
        <w:rPr>
          <w:rFonts w:cs="Arial"/>
          <w:sz w:val="22"/>
          <w:szCs w:val="22"/>
        </w:rPr>
        <w:t>.</w:t>
      </w:r>
    </w:p>
    <w:p w14:paraId="6C3A94EE" w14:textId="77777777" w:rsidR="000B2E9B" w:rsidRDefault="000B2E9B" w:rsidP="00D11176">
      <w:pPr>
        <w:rPr>
          <w:rFonts w:cs="Arial"/>
          <w:sz w:val="22"/>
          <w:szCs w:val="22"/>
        </w:rPr>
      </w:pPr>
    </w:p>
    <w:p w14:paraId="56AC0B9C" w14:textId="5A074724" w:rsidR="000B2E9B" w:rsidRDefault="000B2E9B" w:rsidP="00D11176">
      <w:pPr>
        <w:rPr>
          <w:rFonts w:cs="Arial"/>
          <w:sz w:val="22"/>
          <w:szCs w:val="22"/>
        </w:rPr>
      </w:pPr>
      <w:r>
        <w:rPr>
          <w:rFonts w:cs="Arial"/>
          <w:sz w:val="22"/>
          <w:szCs w:val="22"/>
        </w:rPr>
        <w:t xml:space="preserve">En caso de que sean adoptadas en forma definitiva las propuestas publicadas lo que debe ocurrir es que dichas propuestas </w:t>
      </w:r>
      <w:proofErr w:type="gramStart"/>
      <w:r>
        <w:rPr>
          <w:rFonts w:cs="Arial"/>
          <w:sz w:val="22"/>
          <w:szCs w:val="22"/>
        </w:rPr>
        <w:t>entran en vigencia</w:t>
      </w:r>
      <w:proofErr w:type="gramEnd"/>
      <w:r w:rsidR="009C06E8">
        <w:rPr>
          <w:rFonts w:cs="Arial"/>
          <w:sz w:val="22"/>
          <w:szCs w:val="22"/>
        </w:rPr>
        <w:t xml:space="preserve"> una vez sean publicadas para efectos de ser aplicadas de manera</w:t>
      </w:r>
      <w:r>
        <w:rPr>
          <w:rFonts w:cs="Arial"/>
          <w:sz w:val="22"/>
          <w:szCs w:val="22"/>
        </w:rPr>
        <w:t xml:space="preserve"> inmediata, así reci</w:t>
      </w:r>
      <w:r w:rsidR="000C6DD7">
        <w:rPr>
          <w:rFonts w:cs="Arial"/>
          <w:sz w:val="22"/>
          <w:szCs w:val="22"/>
        </w:rPr>
        <w:t>e</w:t>
      </w:r>
      <w:r>
        <w:rPr>
          <w:rFonts w:cs="Arial"/>
          <w:sz w:val="22"/>
          <w:szCs w:val="22"/>
        </w:rPr>
        <w:t>ntemente se hubiese desarrollado el esquema de negociación anual establecido en la Resolución CREG 186 de 2020.</w:t>
      </w:r>
    </w:p>
    <w:p w14:paraId="0AB3E779" w14:textId="77777777" w:rsidR="00D11176" w:rsidRPr="00D11176" w:rsidRDefault="00D11176" w:rsidP="00D11176">
      <w:pPr>
        <w:rPr>
          <w:rFonts w:cs="Arial"/>
          <w:sz w:val="22"/>
          <w:szCs w:val="22"/>
        </w:rPr>
      </w:pPr>
    </w:p>
    <w:p w14:paraId="7E8D9357" w14:textId="77777777" w:rsidR="00C53D76" w:rsidRDefault="00C53D76" w:rsidP="0028726C">
      <w:pPr>
        <w:rPr>
          <w:rFonts w:cs="Arial"/>
          <w:sz w:val="22"/>
          <w:szCs w:val="22"/>
        </w:rPr>
      </w:pPr>
    </w:p>
    <w:p w14:paraId="5DBE085D" w14:textId="77777777" w:rsidR="00C53D76" w:rsidRDefault="0028726C" w:rsidP="000D05A3">
      <w:pPr>
        <w:pStyle w:val="Ttulo4"/>
      </w:pPr>
      <w:r w:rsidRPr="0028726C">
        <w:t>HOCOL</w:t>
      </w:r>
      <w:r w:rsidRPr="0028726C">
        <w:tab/>
      </w:r>
    </w:p>
    <w:p w14:paraId="168EC441" w14:textId="57D422AB" w:rsidR="0028726C" w:rsidRPr="000C6DD7" w:rsidRDefault="0028726C" w:rsidP="0028726C">
      <w:pPr>
        <w:rPr>
          <w:rFonts w:cs="Arial"/>
          <w:i/>
          <w:iCs/>
          <w:sz w:val="22"/>
          <w:szCs w:val="22"/>
        </w:rPr>
      </w:pPr>
      <w:r w:rsidRPr="0028726C">
        <w:rPr>
          <w:rFonts w:cs="Arial"/>
          <w:sz w:val="22"/>
          <w:szCs w:val="22"/>
        </w:rPr>
        <w:t>"</w:t>
      </w:r>
      <w:r w:rsidRPr="000C6DD7">
        <w:rPr>
          <w:rFonts w:cs="Arial"/>
          <w:i/>
          <w:iCs/>
          <w:sz w:val="22"/>
          <w:szCs w:val="22"/>
        </w:rPr>
        <w:t>Mecanismo de Abastecimiento de la Demanda Esencial - MADE - Observaciones para la implementación definitiva del MADE:</w:t>
      </w:r>
    </w:p>
    <w:p w14:paraId="57A3ADC7" w14:textId="77777777" w:rsidR="003A5DAF" w:rsidRPr="000C6DD7" w:rsidRDefault="003A5DAF" w:rsidP="0028726C">
      <w:pPr>
        <w:rPr>
          <w:rFonts w:cs="Arial"/>
          <w:i/>
          <w:iCs/>
          <w:sz w:val="22"/>
          <w:szCs w:val="22"/>
        </w:rPr>
      </w:pPr>
    </w:p>
    <w:p w14:paraId="211C65C5" w14:textId="31AEADF4" w:rsidR="0028726C" w:rsidRDefault="0028726C" w:rsidP="0028726C">
      <w:pPr>
        <w:rPr>
          <w:rFonts w:cs="Arial"/>
          <w:sz w:val="22"/>
          <w:szCs w:val="22"/>
        </w:rPr>
      </w:pPr>
      <w:r w:rsidRPr="000C6DD7">
        <w:rPr>
          <w:rFonts w:cs="Arial"/>
          <w:i/>
          <w:iCs/>
          <w:sz w:val="22"/>
          <w:szCs w:val="22"/>
        </w:rPr>
        <w:t xml:space="preserve">• Solicitar al </w:t>
      </w:r>
      <w:r w:rsidR="005114C6" w:rsidRPr="000C6DD7">
        <w:rPr>
          <w:rFonts w:cs="Arial"/>
          <w:i/>
          <w:iCs/>
          <w:sz w:val="22"/>
          <w:szCs w:val="22"/>
        </w:rPr>
        <w:t>Gestor del Mercado</w:t>
      </w:r>
      <w:r w:rsidRPr="000C6DD7">
        <w:rPr>
          <w:rFonts w:cs="Arial"/>
          <w:i/>
          <w:iCs/>
          <w:sz w:val="22"/>
          <w:szCs w:val="22"/>
        </w:rPr>
        <w:t xml:space="preserve"> publicar previamente los Puntos de Referencia, así sea de manera indicativa, con base en la información reportada por los agentes según lo establecido en la resolución CREG 084 de 2021, la que la modifique o sustituya</w:t>
      </w:r>
      <w:r w:rsidRPr="0028726C">
        <w:rPr>
          <w:rFonts w:cs="Arial"/>
          <w:sz w:val="22"/>
          <w:szCs w:val="22"/>
        </w:rPr>
        <w:t>."</w:t>
      </w:r>
    </w:p>
    <w:p w14:paraId="53650C30" w14:textId="77777777" w:rsidR="000C6DD7" w:rsidRDefault="000C6DD7" w:rsidP="0028726C">
      <w:pPr>
        <w:rPr>
          <w:rFonts w:cs="Arial"/>
          <w:sz w:val="22"/>
          <w:szCs w:val="22"/>
        </w:rPr>
      </w:pPr>
    </w:p>
    <w:p w14:paraId="7547A889" w14:textId="5E4FB0F9" w:rsidR="000C6DD7" w:rsidRDefault="000C6DD7" w:rsidP="0028726C">
      <w:pPr>
        <w:rPr>
          <w:rFonts w:cs="Arial"/>
          <w:b/>
          <w:bCs/>
          <w:sz w:val="22"/>
          <w:szCs w:val="22"/>
        </w:rPr>
      </w:pPr>
      <w:r w:rsidRPr="000C6DD7">
        <w:rPr>
          <w:rFonts w:cs="Arial"/>
          <w:b/>
          <w:bCs/>
          <w:sz w:val="22"/>
          <w:szCs w:val="22"/>
        </w:rPr>
        <w:t>Respuesta:</w:t>
      </w:r>
    </w:p>
    <w:p w14:paraId="2B7FE616" w14:textId="77777777" w:rsidR="000C6DD7" w:rsidRDefault="000C6DD7" w:rsidP="0028726C">
      <w:pPr>
        <w:rPr>
          <w:rFonts w:cs="Arial"/>
          <w:b/>
          <w:bCs/>
          <w:sz w:val="22"/>
          <w:szCs w:val="22"/>
        </w:rPr>
      </w:pPr>
    </w:p>
    <w:p w14:paraId="201746E5" w14:textId="1E5E1481" w:rsidR="000C6DD7" w:rsidRDefault="000C6DD7" w:rsidP="0028726C">
      <w:pPr>
        <w:rPr>
          <w:rFonts w:cs="Arial"/>
          <w:sz w:val="22"/>
          <w:szCs w:val="22"/>
        </w:rPr>
      </w:pPr>
      <w:r>
        <w:rPr>
          <w:rFonts w:cs="Arial"/>
          <w:sz w:val="22"/>
          <w:szCs w:val="22"/>
        </w:rPr>
        <w:t xml:space="preserve">Ver respuesta a </w:t>
      </w:r>
      <w:r w:rsidR="00846E3C">
        <w:rPr>
          <w:rFonts w:cs="Arial"/>
          <w:sz w:val="22"/>
          <w:szCs w:val="22"/>
        </w:rPr>
        <w:fldChar w:fldCharType="begin"/>
      </w:r>
      <w:r w:rsidR="00846E3C">
        <w:rPr>
          <w:rFonts w:cs="Arial"/>
          <w:sz w:val="22"/>
          <w:szCs w:val="22"/>
        </w:rPr>
        <w:instrText xml:space="preserve"> REF _Ref132615934 \r \h </w:instrText>
      </w:r>
      <w:r w:rsidR="00846E3C">
        <w:rPr>
          <w:rFonts w:cs="Arial"/>
          <w:sz w:val="22"/>
          <w:szCs w:val="22"/>
        </w:rPr>
      </w:r>
      <w:r w:rsidR="00846E3C">
        <w:rPr>
          <w:rFonts w:cs="Arial"/>
          <w:sz w:val="22"/>
          <w:szCs w:val="22"/>
        </w:rPr>
        <w:fldChar w:fldCharType="separate"/>
      </w:r>
      <w:r w:rsidR="00846E3C">
        <w:rPr>
          <w:rFonts w:cs="Arial"/>
          <w:sz w:val="22"/>
          <w:szCs w:val="22"/>
        </w:rPr>
        <w:t>4.3.1.6</w:t>
      </w:r>
      <w:r w:rsidR="00846E3C">
        <w:rPr>
          <w:rFonts w:cs="Arial"/>
          <w:sz w:val="22"/>
          <w:szCs w:val="22"/>
        </w:rPr>
        <w:fldChar w:fldCharType="end"/>
      </w:r>
      <w:r w:rsidR="00846E3C">
        <w:rPr>
          <w:rFonts w:cs="Arial"/>
          <w:sz w:val="22"/>
          <w:szCs w:val="22"/>
        </w:rPr>
        <w:t>.</w:t>
      </w:r>
    </w:p>
    <w:p w14:paraId="149B0FB2" w14:textId="77777777" w:rsidR="000C6DD7" w:rsidRPr="0028726C" w:rsidRDefault="000C6DD7" w:rsidP="0028726C">
      <w:pPr>
        <w:rPr>
          <w:rFonts w:cs="Arial"/>
          <w:sz w:val="22"/>
          <w:szCs w:val="22"/>
        </w:rPr>
      </w:pPr>
    </w:p>
    <w:p w14:paraId="507B0320" w14:textId="77777777" w:rsidR="00C53D76" w:rsidRDefault="00C53D76" w:rsidP="0028726C">
      <w:pPr>
        <w:rPr>
          <w:rFonts w:cs="Arial"/>
          <w:sz w:val="22"/>
          <w:szCs w:val="22"/>
        </w:rPr>
      </w:pPr>
    </w:p>
    <w:p w14:paraId="502AB7DF" w14:textId="77777777" w:rsidR="00C53D76" w:rsidRDefault="0028726C" w:rsidP="000D05A3">
      <w:pPr>
        <w:pStyle w:val="Ttulo4"/>
      </w:pPr>
      <w:bookmarkStart w:id="838" w:name="_Ref132618562"/>
      <w:r w:rsidRPr="0028726C">
        <w:t>HOCOL</w:t>
      </w:r>
      <w:bookmarkEnd w:id="838"/>
      <w:r w:rsidRPr="0028726C">
        <w:tab/>
      </w:r>
    </w:p>
    <w:p w14:paraId="5978F608" w14:textId="2B2F5202" w:rsidR="0028726C" w:rsidRDefault="00BF7772" w:rsidP="0028726C">
      <w:pPr>
        <w:rPr>
          <w:rFonts w:cs="Arial"/>
          <w:sz w:val="22"/>
          <w:szCs w:val="22"/>
        </w:rPr>
      </w:pPr>
      <w:r>
        <w:rPr>
          <w:rFonts w:cs="Arial"/>
          <w:sz w:val="22"/>
          <w:szCs w:val="22"/>
        </w:rPr>
        <w:t>“</w:t>
      </w:r>
      <w:r w:rsidR="0028726C" w:rsidRPr="0028726C">
        <w:rPr>
          <w:rFonts w:cs="Arial"/>
          <w:sz w:val="22"/>
          <w:szCs w:val="22"/>
        </w:rPr>
        <w:t xml:space="preserve">• </w:t>
      </w:r>
      <w:r w:rsidR="0028726C" w:rsidRPr="00846E3C">
        <w:rPr>
          <w:rFonts w:cs="Arial"/>
          <w:i/>
          <w:iCs/>
          <w:sz w:val="22"/>
          <w:szCs w:val="22"/>
        </w:rPr>
        <w:t>Acotar la aplicación de este mecanismo a las cantidades requeridas para atender la Demanda Esencial; es decir que los compradores desde el inicio declaren las cantidades requeridas únicamente para atender la Demanda Esencial y que, una vez asignado el gas para esta demanda se proceda con la comercialización de los excedentes bajo los mecanismos de mercado establecidos según los resultados de los balances que desarrolle el Gestor de Mercado, con base en la información reportada por los agentes y las proyecciones de demanda de la UPME.</w:t>
      </w:r>
      <w:r w:rsidR="00185EC2">
        <w:rPr>
          <w:rFonts w:cs="Arial"/>
          <w:i/>
          <w:iCs/>
          <w:sz w:val="22"/>
          <w:szCs w:val="22"/>
        </w:rPr>
        <w:t>”</w:t>
      </w:r>
    </w:p>
    <w:p w14:paraId="6F54F9DC" w14:textId="77777777" w:rsidR="00846E3C" w:rsidRDefault="00846E3C" w:rsidP="0028726C">
      <w:pPr>
        <w:rPr>
          <w:rFonts w:cs="Arial"/>
          <w:sz w:val="22"/>
          <w:szCs w:val="22"/>
        </w:rPr>
      </w:pPr>
    </w:p>
    <w:p w14:paraId="3AEA6D52" w14:textId="0D8B511A" w:rsidR="00846E3C" w:rsidRPr="00846E3C" w:rsidRDefault="00846E3C" w:rsidP="0028726C">
      <w:pPr>
        <w:rPr>
          <w:rFonts w:cs="Arial"/>
          <w:b/>
          <w:bCs/>
          <w:sz w:val="22"/>
          <w:szCs w:val="22"/>
        </w:rPr>
      </w:pPr>
      <w:r w:rsidRPr="00846E3C">
        <w:rPr>
          <w:rFonts w:cs="Arial"/>
          <w:b/>
          <w:bCs/>
          <w:sz w:val="22"/>
          <w:szCs w:val="22"/>
        </w:rPr>
        <w:t>Respuesta:</w:t>
      </w:r>
    </w:p>
    <w:p w14:paraId="52110AC0" w14:textId="77777777" w:rsidR="00846E3C" w:rsidRDefault="00846E3C" w:rsidP="0028726C">
      <w:pPr>
        <w:rPr>
          <w:rFonts w:cs="Arial"/>
          <w:sz w:val="22"/>
          <w:szCs w:val="22"/>
        </w:rPr>
      </w:pPr>
    </w:p>
    <w:p w14:paraId="71E4D7F9" w14:textId="48062FD1" w:rsidR="00846E3C" w:rsidRDefault="00343361" w:rsidP="0028726C">
      <w:pPr>
        <w:rPr>
          <w:rFonts w:cs="Arial"/>
          <w:sz w:val="22"/>
          <w:szCs w:val="22"/>
        </w:rPr>
      </w:pPr>
      <w:r>
        <w:rPr>
          <w:rFonts w:cs="Arial"/>
          <w:sz w:val="22"/>
          <w:szCs w:val="22"/>
        </w:rPr>
        <w:t>No se acoge el comentario.</w:t>
      </w:r>
    </w:p>
    <w:p w14:paraId="35B2E78F" w14:textId="77777777" w:rsidR="00343361" w:rsidRDefault="00343361" w:rsidP="0028726C">
      <w:pPr>
        <w:rPr>
          <w:rFonts w:cs="Arial"/>
          <w:sz w:val="22"/>
          <w:szCs w:val="22"/>
        </w:rPr>
      </w:pPr>
    </w:p>
    <w:p w14:paraId="30730961" w14:textId="644106FE" w:rsidR="00343361" w:rsidRDefault="00343361" w:rsidP="0028726C">
      <w:pPr>
        <w:rPr>
          <w:rFonts w:cs="Arial"/>
          <w:sz w:val="22"/>
          <w:szCs w:val="22"/>
        </w:rPr>
      </w:pPr>
      <w:r>
        <w:rPr>
          <w:rFonts w:cs="Arial"/>
          <w:sz w:val="22"/>
          <w:szCs w:val="22"/>
        </w:rPr>
        <w:t>El mecanismo propuesto como MADE no solo busca asegurar el acceso a los contratos de tipo firme o que garantizan firmeza a los agentes que atienden o son parte de la Demanda Esencial, sino también a cualquier sector de consumo que no sea parte de la Demanda Esencial. Ahora bien, ante circunstancias de una oferta deficitaria que por lo tanto no permite abastecer completamente las cantidades requeridas por los compradores en la segunda instancia de declaración al Gestor del Mercado, lo que sí se establece adicionalmente es la priorización de cantidades a la Demanda Esencial requerida en esa misma segunda instancia. Los excedentes de cantidades ofrecidas después de esa priorización van a ser asignados mediante el mecanismo de subasta centralizada o mediante los mecanismos de comercialización que establecen los vendedores de fuentes con excepciones a los mecanismos de comercialización establecidos por la CREG, es decir, a quienes se les permite negociaciones directas en cualquier momento del año.</w:t>
      </w:r>
    </w:p>
    <w:p w14:paraId="0A768869" w14:textId="77777777" w:rsidR="00343361" w:rsidRDefault="00343361" w:rsidP="0028726C">
      <w:pPr>
        <w:rPr>
          <w:rFonts w:cs="Arial"/>
          <w:sz w:val="22"/>
          <w:szCs w:val="22"/>
        </w:rPr>
      </w:pPr>
    </w:p>
    <w:p w14:paraId="5CD0B2ED" w14:textId="76B3CEE1" w:rsidR="00343361" w:rsidRDefault="003433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_Ref132618562 \r \h </w:instrText>
      </w:r>
      <w:r>
        <w:rPr>
          <w:rFonts w:cs="Arial"/>
          <w:sz w:val="22"/>
          <w:szCs w:val="22"/>
        </w:rPr>
      </w:r>
      <w:r>
        <w:rPr>
          <w:rFonts w:cs="Arial"/>
          <w:sz w:val="22"/>
          <w:szCs w:val="22"/>
        </w:rPr>
        <w:fldChar w:fldCharType="separate"/>
      </w:r>
      <w:r>
        <w:rPr>
          <w:rFonts w:cs="Arial"/>
          <w:sz w:val="22"/>
          <w:szCs w:val="22"/>
        </w:rPr>
        <w:t>19.17.1.3</w:t>
      </w:r>
      <w:r>
        <w:rPr>
          <w:rFonts w:cs="Arial"/>
          <w:sz w:val="22"/>
          <w:szCs w:val="22"/>
        </w:rPr>
        <w:fldChar w:fldCharType="end"/>
      </w:r>
      <w:r>
        <w:rPr>
          <w:rFonts w:cs="Arial"/>
          <w:sz w:val="22"/>
          <w:szCs w:val="22"/>
        </w:rPr>
        <w:t>.</w:t>
      </w:r>
    </w:p>
    <w:p w14:paraId="2F398C27" w14:textId="77777777" w:rsidR="00343361" w:rsidRDefault="00343361" w:rsidP="0028726C">
      <w:pPr>
        <w:rPr>
          <w:rFonts w:cs="Arial"/>
          <w:sz w:val="22"/>
          <w:szCs w:val="22"/>
        </w:rPr>
      </w:pPr>
    </w:p>
    <w:p w14:paraId="23F7A8FE" w14:textId="77777777" w:rsidR="00846E3C" w:rsidRPr="0028726C" w:rsidRDefault="00846E3C" w:rsidP="0028726C">
      <w:pPr>
        <w:rPr>
          <w:rFonts w:cs="Arial"/>
          <w:sz w:val="22"/>
          <w:szCs w:val="22"/>
        </w:rPr>
      </w:pPr>
    </w:p>
    <w:p w14:paraId="7DC50025" w14:textId="77777777" w:rsidR="00C53D76" w:rsidRPr="000D05A3" w:rsidRDefault="0028726C" w:rsidP="000D05A3">
      <w:pPr>
        <w:pStyle w:val="Ttulo4"/>
      </w:pPr>
      <w:bookmarkStart w:id="839" w:name="_Ref132708279"/>
      <w:r w:rsidRPr="000D05A3">
        <w:t>HOCOL</w:t>
      </w:r>
      <w:bookmarkEnd w:id="839"/>
      <w:r w:rsidRPr="000D05A3">
        <w:tab/>
      </w:r>
    </w:p>
    <w:p w14:paraId="1BC59D05" w14:textId="59214039" w:rsidR="0028726C" w:rsidRPr="00343361" w:rsidRDefault="0028726C" w:rsidP="0028726C">
      <w:pPr>
        <w:rPr>
          <w:rFonts w:cs="Arial"/>
          <w:i/>
          <w:iCs/>
          <w:sz w:val="22"/>
          <w:szCs w:val="22"/>
        </w:rPr>
      </w:pPr>
      <w:r w:rsidRPr="0028726C">
        <w:rPr>
          <w:rFonts w:cs="Arial"/>
          <w:sz w:val="22"/>
          <w:szCs w:val="22"/>
        </w:rPr>
        <w:t>"•</w:t>
      </w:r>
      <w:r w:rsidRPr="00343361">
        <w:rPr>
          <w:rFonts w:cs="Arial"/>
          <w:i/>
          <w:iCs/>
          <w:sz w:val="22"/>
          <w:szCs w:val="22"/>
        </w:rPr>
        <w:t xml:space="preserve"> Aclarar la declaración de cantidades requeridas por los compradores según los Puntos de Referencia comunicados por el </w:t>
      </w:r>
      <w:r w:rsidR="005114C6" w:rsidRPr="00343361">
        <w:rPr>
          <w:rFonts w:cs="Arial"/>
          <w:i/>
          <w:iCs/>
          <w:sz w:val="22"/>
          <w:szCs w:val="22"/>
        </w:rPr>
        <w:t>Gestor del Mercado</w:t>
      </w:r>
      <w:r w:rsidRPr="00343361">
        <w:rPr>
          <w:rFonts w:cs="Arial"/>
          <w:i/>
          <w:iCs/>
          <w:sz w:val="22"/>
          <w:szCs w:val="22"/>
        </w:rPr>
        <w:t xml:space="preserve"> con amplia anticipación."</w:t>
      </w:r>
    </w:p>
    <w:p w14:paraId="0C8DDFC9" w14:textId="77777777" w:rsidR="00343361" w:rsidRDefault="00343361" w:rsidP="0028726C">
      <w:pPr>
        <w:rPr>
          <w:rFonts w:cs="Arial"/>
          <w:sz w:val="22"/>
          <w:szCs w:val="22"/>
        </w:rPr>
      </w:pPr>
    </w:p>
    <w:p w14:paraId="4DB64842" w14:textId="192B39B7" w:rsidR="00343361" w:rsidRPr="00343361" w:rsidRDefault="00343361" w:rsidP="0028726C">
      <w:pPr>
        <w:rPr>
          <w:rFonts w:cs="Arial"/>
          <w:b/>
          <w:bCs/>
          <w:sz w:val="22"/>
          <w:szCs w:val="22"/>
        </w:rPr>
      </w:pPr>
      <w:r w:rsidRPr="00343361">
        <w:rPr>
          <w:rFonts w:cs="Arial"/>
          <w:b/>
          <w:bCs/>
          <w:sz w:val="22"/>
          <w:szCs w:val="22"/>
        </w:rPr>
        <w:t>Respuesta:</w:t>
      </w:r>
    </w:p>
    <w:p w14:paraId="23BF0602" w14:textId="77777777" w:rsidR="00343361" w:rsidRDefault="00343361" w:rsidP="0028726C">
      <w:pPr>
        <w:rPr>
          <w:rFonts w:cs="Arial"/>
          <w:sz w:val="22"/>
          <w:szCs w:val="22"/>
        </w:rPr>
      </w:pPr>
    </w:p>
    <w:p w14:paraId="74367902" w14:textId="0B743F05" w:rsidR="00343361" w:rsidRDefault="003433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_Ref132618655 \r \h </w:instrText>
      </w:r>
      <w:r>
        <w:rPr>
          <w:rFonts w:cs="Arial"/>
          <w:sz w:val="22"/>
          <w:szCs w:val="22"/>
        </w:rPr>
      </w:r>
      <w:r>
        <w:rPr>
          <w:rFonts w:cs="Arial"/>
          <w:sz w:val="22"/>
          <w:szCs w:val="22"/>
        </w:rPr>
        <w:fldChar w:fldCharType="separate"/>
      </w:r>
      <w:r>
        <w:rPr>
          <w:rFonts w:cs="Arial"/>
          <w:sz w:val="22"/>
          <w:szCs w:val="22"/>
        </w:rPr>
        <w:t>19.17.1.1</w:t>
      </w:r>
      <w:r>
        <w:rPr>
          <w:rFonts w:cs="Arial"/>
          <w:sz w:val="22"/>
          <w:szCs w:val="22"/>
        </w:rPr>
        <w:fldChar w:fldCharType="end"/>
      </w:r>
      <w:r>
        <w:rPr>
          <w:rFonts w:cs="Arial"/>
          <w:sz w:val="22"/>
          <w:szCs w:val="22"/>
        </w:rPr>
        <w:t>.</w:t>
      </w:r>
    </w:p>
    <w:p w14:paraId="4316E76A" w14:textId="77777777" w:rsidR="00343361" w:rsidRDefault="00343361" w:rsidP="0028726C">
      <w:pPr>
        <w:rPr>
          <w:rFonts w:cs="Arial"/>
          <w:sz w:val="22"/>
          <w:szCs w:val="22"/>
        </w:rPr>
      </w:pPr>
    </w:p>
    <w:p w14:paraId="26075DDF" w14:textId="2DB63317" w:rsidR="00343361" w:rsidRDefault="00343361" w:rsidP="0028726C">
      <w:pPr>
        <w:rPr>
          <w:rFonts w:cs="Arial"/>
          <w:sz w:val="22"/>
          <w:szCs w:val="22"/>
        </w:rPr>
      </w:pPr>
      <w:r>
        <w:rPr>
          <w:rFonts w:cs="Arial"/>
          <w:sz w:val="22"/>
          <w:szCs w:val="22"/>
        </w:rPr>
        <w:t xml:space="preserve">En cada trimestre de negociación se establecen unos plazos para la declaración de cantidades requeridas que surgen de manera dinámica en parte como resultado de los procesos de negociación anteriores, cambios de escenarios de demanda, cambio de escenarios de oferta, etc. </w:t>
      </w:r>
      <w:r w:rsidR="00E520BA">
        <w:rPr>
          <w:rFonts w:cs="Arial"/>
          <w:sz w:val="22"/>
          <w:szCs w:val="22"/>
        </w:rPr>
        <w:t>D</w:t>
      </w:r>
      <w:r>
        <w:rPr>
          <w:rFonts w:cs="Arial"/>
          <w:sz w:val="22"/>
          <w:szCs w:val="22"/>
        </w:rPr>
        <w:t>e este modo los compradores tiene</w:t>
      </w:r>
      <w:r w:rsidR="00E520BA">
        <w:rPr>
          <w:rFonts w:cs="Arial"/>
          <w:sz w:val="22"/>
          <w:szCs w:val="22"/>
        </w:rPr>
        <w:t>n</w:t>
      </w:r>
      <w:r>
        <w:rPr>
          <w:rFonts w:cs="Arial"/>
          <w:sz w:val="22"/>
          <w:szCs w:val="22"/>
        </w:rPr>
        <w:t xml:space="preserve"> mayor flexibilidad para determinar </w:t>
      </w:r>
      <w:r w:rsidR="00E520BA">
        <w:rPr>
          <w:rFonts w:cs="Arial"/>
          <w:sz w:val="22"/>
          <w:szCs w:val="22"/>
        </w:rPr>
        <w:t xml:space="preserve">las cantidades requeridas sin quedar sujetos de declaraciones de mayor anticipación. </w:t>
      </w:r>
    </w:p>
    <w:p w14:paraId="25D94232" w14:textId="77777777" w:rsidR="00E520BA" w:rsidRDefault="00E520BA" w:rsidP="0028726C">
      <w:pPr>
        <w:rPr>
          <w:rFonts w:cs="Arial"/>
          <w:sz w:val="22"/>
          <w:szCs w:val="22"/>
        </w:rPr>
      </w:pPr>
    </w:p>
    <w:p w14:paraId="4DD34FF2" w14:textId="7451DC2E" w:rsidR="00E520BA" w:rsidRDefault="00E520BA" w:rsidP="0028726C">
      <w:pPr>
        <w:rPr>
          <w:rFonts w:cs="Arial"/>
          <w:sz w:val="22"/>
          <w:szCs w:val="22"/>
        </w:rPr>
      </w:pPr>
      <w:r>
        <w:rPr>
          <w:rFonts w:cs="Arial"/>
          <w:sz w:val="22"/>
          <w:szCs w:val="22"/>
        </w:rPr>
        <w:t xml:space="preserve">Por otro lado, es de tenerse en cuenta que las cantidades requeridas se declaran para como mínimo, los siguientes veinte trimestres estándar de suministro, dando esto una amplia posibilidad de anticipación.  </w:t>
      </w:r>
    </w:p>
    <w:p w14:paraId="267B0CCB" w14:textId="77777777" w:rsidR="00343361" w:rsidRPr="0028726C" w:rsidRDefault="00343361" w:rsidP="0028726C">
      <w:pPr>
        <w:rPr>
          <w:rFonts w:cs="Arial"/>
          <w:sz w:val="22"/>
          <w:szCs w:val="22"/>
        </w:rPr>
      </w:pPr>
    </w:p>
    <w:p w14:paraId="61CF4F15" w14:textId="77777777" w:rsidR="00C53D76" w:rsidRDefault="00C53D76" w:rsidP="0028726C">
      <w:pPr>
        <w:rPr>
          <w:rFonts w:cs="Arial"/>
          <w:sz w:val="22"/>
          <w:szCs w:val="22"/>
        </w:rPr>
      </w:pPr>
    </w:p>
    <w:p w14:paraId="1E9AA0D2" w14:textId="77777777" w:rsidR="00C53D76" w:rsidRDefault="0028726C" w:rsidP="000D05A3">
      <w:pPr>
        <w:pStyle w:val="Ttulo4"/>
      </w:pPr>
      <w:r w:rsidRPr="0028726C">
        <w:t>HOCOL</w:t>
      </w:r>
      <w:r w:rsidRPr="0028726C">
        <w:tab/>
      </w:r>
    </w:p>
    <w:p w14:paraId="07258643" w14:textId="465AAC86" w:rsidR="0028726C" w:rsidRDefault="00832C5E" w:rsidP="0028726C">
      <w:pPr>
        <w:rPr>
          <w:rFonts w:cs="Arial"/>
          <w:sz w:val="22"/>
          <w:szCs w:val="22"/>
        </w:rPr>
      </w:pPr>
      <w:r>
        <w:rPr>
          <w:rFonts w:cs="Arial"/>
          <w:sz w:val="22"/>
          <w:szCs w:val="22"/>
        </w:rPr>
        <w:t>“</w:t>
      </w:r>
      <w:r w:rsidR="0028726C" w:rsidRPr="0028726C">
        <w:rPr>
          <w:rFonts w:cs="Arial"/>
          <w:sz w:val="22"/>
          <w:szCs w:val="22"/>
        </w:rPr>
        <w:t xml:space="preserve">• </w:t>
      </w:r>
      <w:r w:rsidR="0028726C" w:rsidRPr="00E520BA">
        <w:rPr>
          <w:rFonts w:cs="Arial"/>
          <w:i/>
          <w:iCs/>
          <w:sz w:val="22"/>
          <w:szCs w:val="22"/>
        </w:rPr>
        <w:t>Precisar que los excedentes de comercialización de las fuentes de suministro se puedan comercializar en contratos CF95 o CF80 con duración de 1 a 3 meses, o en contratos de duración mensual para cada uno de los meses de ese Trimestre Estándar; ya que esto permitiría la máxima disponibilidad de gas al mercado.</w:t>
      </w:r>
      <w:r>
        <w:rPr>
          <w:rFonts w:cs="Arial"/>
          <w:i/>
          <w:iCs/>
          <w:sz w:val="22"/>
          <w:szCs w:val="22"/>
        </w:rPr>
        <w:t>”</w:t>
      </w:r>
      <w:r w:rsidR="0028726C" w:rsidRPr="0028726C">
        <w:rPr>
          <w:rFonts w:cs="Arial"/>
          <w:sz w:val="22"/>
          <w:szCs w:val="22"/>
        </w:rPr>
        <w:t xml:space="preserve"> </w:t>
      </w:r>
    </w:p>
    <w:p w14:paraId="29D892D7" w14:textId="77777777" w:rsidR="00E520BA" w:rsidRDefault="00E520BA" w:rsidP="0028726C">
      <w:pPr>
        <w:rPr>
          <w:rFonts w:cs="Arial"/>
          <w:sz w:val="22"/>
          <w:szCs w:val="22"/>
        </w:rPr>
      </w:pPr>
    </w:p>
    <w:p w14:paraId="544A6E5B" w14:textId="3BC22653" w:rsidR="00E520BA" w:rsidRPr="00E520BA" w:rsidRDefault="00E520BA" w:rsidP="0028726C">
      <w:pPr>
        <w:rPr>
          <w:rFonts w:cs="Arial"/>
          <w:b/>
          <w:bCs/>
          <w:sz w:val="22"/>
          <w:szCs w:val="22"/>
        </w:rPr>
      </w:pPr>
      <w:r w:rsidRPr="00E520BA">
        <w:rPr>
          <w:rFonts w:cs="Arial"/>
          <w:b/>
          <w:bCs/>
          <w:sz w:val="22"/>
          <w:szCs w:val="22"/>
        </w:rPr>
        <w:t>Respuesta:</w:t>
      </w:r>
    </w:p>
    <w:p w14:paraId="50CFF045" w14:textId="77777777" w:rsidR="00E520BA" w:rsidRDefault="00E520BA" w:rsidP="0028726C">
      <w:pPr>
        <w:rPr>
          <w:rFonts w:cs="Arial"/>
          <w:sz w:val="22"/>
          <w:szCs w:val="22"/>
        </w:rPr>
      </w:pPr>
    </w:p>
    <w:p w14:paraId="6DD5D76E" w14:textId="39A5BFAD" w:rsidR="00E520BA" w:rsidRDefault="00E74548"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_Ref132191736 \r \h </w:instrText>
      </w:r>
      <w:r>
        <w:rPr>
          <w:rFonts w:cs="Arial"/>
          <w:sz w:val="22"/>
          <w:szCs w:val="22"/>
        </w:rPr>
      </w:r>
      <w:r>
        <w:rPr>
          <w:rFonts w:cs="Arial"/>
          <w:sz w:val="22"/>
          <w:szCs w:val="22"/>
        </w:rPr>
        <w:fldChar w:fldCharType="separate"/>
      </w:r>
      <w:r>
        <w:rPr>
          <w:rFonts w:cs="Arial"/>
          <w:sz w:val="22"/>
          <w:szCs w:val="22"/>
        </w:rPr>
        <w:t>19.7.1.7</w:t>
      </w:r>
      <w:r>
        <w:rPr>
          <w:rFonts w:cs="Arial"/>
          <w:sz w:val="22"/>
          <w:szCs w:val="22"/>
        </w:rPr>
        <w:fldChar w:fldCharType="end"/>
      </w:r>
      <w:r>
        <w:rPr>
          <w:rFonts w:cs="Arial"/>
          <w:sz w:val="22"/>
          <w:szCs w:val="22"/>
        </w:rPr>
        <w:t xml:space="preserve">, a </w:t>
      </w:r>
      <w:r>
        <w:rPr>
          <w:rFonts w:cs="Arial"/>
          <w:sz w:val="22"/>
          <w:szCs w:val="22"/>
        </w:rPr>
        <w:fldChar w:fldCharType="begin"/>
      </w:r>
      <w:r>
        <w:rPr>
          <w:rFonts w:cs="Arial"/>
          <w:sz w:val="22"/>
          <w:szCs w:val="22"/>
        </w:rPr>
        <w:instrText xml:space="preserve"> REF _Ref132619094 \r \h </w:instrText>
      </w:r>
      <w:r>
        <w:rPr>
          <w:rFonts w:cs="Arial"/>
          <w:sz w:val="22"/>
          <w:szCs w:val="22"/>
        </w:rPr>
      </w:r>
      <w:r>
        <w:rPr>
          <w:rFonts w:cs="Arial"/>
          <w:sz w:val="22"/>
          <w:szCs w:val="22"/>
        </w:rPr>
        <w:fldChar w:fldCharType="separate"/>
      </w:r>
      <w:r>
        <w:rPr>
          <w:rFonts w:cs="Arial"/>
          <w:sz w:val="22"/>
          <w:szCs w:val="22"/>
        </w:rPr>
        <w:t>19.9.1.3</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_Ref132618996 \r \h </w:instrText>
      </w:r>
      <w:r>
        <w:rPr>
          <w:rFonts w:cs="Arial"/>
          <w:sz w:val="22"/>
          <w:szCs w:val="22"/>
        </w:rPr>
      </w:r>
      <w:r>
        <w:rPr>
          <w:rFonts w:cs="Arial"/>
          <w:sz w:val="22"/>
          <w:szCs w:val="22"/>
        </w:rPr>
        <w:fldChar w:fldCharType="separate"/>
      </w:r>
      <w:r>
        <w:rPr>
          <w:rFonts w:cs="Arial"/>
          <w:sz w:val="22"/>
          <w:szCs w:val="22"/>
        </w:rPr>
        <w:t>19.13.1.10</w:t>
      </w:r>
      <w:r>
        <w:rPr>
          <w:rFonts w:cs="Arial"/>
          <w:sz w:val="22"/>
          <w:szCs w:val="22"/>
        </w:rPr>
        <w:fldChar w:fldCharType="end"/>
      </w:r>
      <w:r>
        <w:rPr>
          <w:rFonts w:cs="Arial"/>
          <w:sz w:val="22"/>
          <w:szCs w:val="22"/>
        </w:rPr>
        <w:t>, entre otras.</w:t>
      </w:r>
    </w:p>
    <w:p w14:paraId="58BB500F" w14:textId="77777777" w:rsidR="00E520BA" w:rsidRPr="0028726C" w:rsidRDefault="00E520BA" w:rsidP="0028726C">
      <w:pPr>
        <w:rPr>
          <w:rFonts w:cs="Arial"/>
          <w:sz w:val="22"/>
          <w:szCs w:val="22"/>
        </w:rPr>
      </w:pPr>
    </w:p>
    <w:p w14:paraId="769F7903" w14:textId="77777777" w:rsidR="00C53D76" w:rsidRDefault="00C53D76" w:rsidP="0028726C">
      <w:pPr>
        <w:rPr>
          <w:rFonts w:cs="Arial"/>
          <w:sz w:val="22"/>
          <w:szCs w:val="22"/>
        </w:rPr>
      </w:pPr>
    </w:p>
    <w:p w14:paraId="5BB266E1" w14:textId="77777777" w:rsidR="000D05A3" w:rsidRDefault="0028726C" w:rsidP="000D05A3">
      <w:pPr>
        <w:pStyle w:val="Ttulo4"/>
      </w:pPr>
      <w:r w:rsidRPr="0028726C">
        <w:t>HOCOL</w:t>
      </w:r>
      <w:r w:rsidRPr="0028726C">
        <w:tab/>
      </w:r>
    </w:p>
    <w:p w14:paraId="1C908639" w14:textId="2F3D3F4E" w:rsidR="0028726C" w:rsidRDefault="0028726C" w:rsidP="0028726C">
      <w:pPr>
        <w:rPr>
          <w:rFonts w:cs="Arial"/>
          <w:sz w:val="22"/>
          <w:szCs w:val="22"/>
        </w:rPr>
      </w:pPr>
      <w:r w:rsidRPr="0028726C">
        <w:rPr>
          <w:rFonts w:cs="Arial"/>
          <w:sz w:val="22"/>
          <w:szCs w:val="22"/>
        </w:rPr>
        <w:t xml:space="preserve">"• </w:t>
      </w:r>
      <w:r w:rsidRPr="00E74548">
        <w:rPr>
          <w:rFonts w:cs="Arial"/>
          <w:i/>
          <w:iCs/>
          <w:sz w:val="22"/>
          <w:szCs w:val="22"/>
        </w:rPr>
        <w:t>Evaluar un mecanismo alterno para la comercialización de los excedentes del MADE cuando el trimestre es deficitario en fuentes de suministro distintas a las establecidas en el Artículo 19, como por ejemplo la negociación bilateral, ya que la subasta ha demostrado ser un mecanismo de baja eficiencia, ocasionando restricción a la maximización de producción. En todo caso, se debe asegurar que previo a la implementación definitiva del MADE, se publique la reglamentación de estos mecanismos, ya que en este borrador de resolución no se especifica ni duración, ni modalidad de estos contratos en las subastas</w:t>
      </w:r>
      <w:r w:rsidRPr="0028726C">
        <w:rPr>
          <w:rFonts w:cs="Arial"/>
          <w:sz w:val="22"/>
          <w:szCs w:val="22"/>
        </w:rPr>
        <w:t>."</w:t>
      </w:r>
    </w:p>
    <w:p w14:paraId="5823C083" w14:textId="77777777" w:rsidR="00E74548" w:rsidRDefault="00E74548" w:rsidP="0028726C">
      <w:pPr>
        <w:rPr>
          <w:rFonts w:cs="Arial"/>
          <w:sz w:val="22"/>
          <w:szCs w:val="22"/>
        </w:rPr>
      </w:pPr>
    </w:p>
    <w:p w14:paraId="1BBE1F42" w14:textId="0D296FBF" w:rsidR="00E74548" w:rsidRPr="00E74548" w:rsidRDefault="00E74548" w:rsidP="0028726C">
      <w:pPr>
        <w:rPr>
          <w:rFonts w:cs="Arial"/>
          <w:b/>
          <w:bCs/>
          <w:sz w:val="22"/>
          <w:szCs w:val="22"/>
        </w:rPr>
      </w:pPr>
      <w:r w:rsidRPr="00E74548">
        <w:rPr>
          <w:rFonts w:cs="Arial"/>
          <w:b/>
          <w:bCs/>
          <w:sz w:val="22"/>
          <w:szCs w:val="22"/>
        </w:rPr>
        <w:t>Respuesta:</w:t>
      </w:r>
    </w:p>
    <w:p w14:paraId="59B25721" w14:textId="77777777" w:rsidR="00E74548" w:rsidRDefault="00E74548" w:rsidP="0028726C">
      <w:pPr>
        <w:rPr>
          <w:rFonts w:cs="Arial"/>
          <w:sz w:val="22"/>
          <w:szCs w:val="22"/>
        </w:rPr>
      </w:pPr>
    </w:p>
    <w:p w14:paraId="2A299DE8" w14:textId="7F8BCC17" w:rsidR="00CF44C9" w:rsidRDefault="00CD0646"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_Ref132619310 \r \h </w:instrText>
      </w:r>
      <w:r>
        <w:rPr>
          <w:rFonts w:cs="Arial"/>
          <w:sz w:val="22"/>
          <w:szCs w:val="22"/>
        </w:rPr>
      </w:r>
      <w:r>
        <w:rPr>
          <w:rFonts w:cs="Arial"/>
          <w:sz w:val="22"/>
          <w:szCs w:val="22"/>
        </w:rPr>
        <w:fldChar w:fldCharType="separate"/>
      </w:r>
      <w:r>
        <w:rPr>
          <w:rFonts w:cs="Arial"/>
          <w:sz w:val="22"/>
          <w:szCs w:val="22"/>
        </w:rPr>
        <w:t>19.7.1.5</w:t>
      </w:r>
      <w:r>
        <w:rPr>
          <w:rFonts w:cs="Arial"/>
          <w:sz w:val="22"/>
          <w:szCs w:val="22"/>
        </w:rPr>
        <w:fldChar w:fldCharType="end"/>
      </w:r>
      <w:r>
        <w:rPr>
          <w:rFonts w:cs="Arial"/>
          <w:sz w:val="22"/>
          <w:szCs w:val="22"/>
        </w:rPr>
        <w:t>.</w:t>
      </w:r>
    </w:p>
    <w:p w14:paraId="436024DF" w14:textId="77777777" w:rsidR="00B90A70" w:rsidRDefault="00B90A70" w:rsidP="0028726C">
      <w:pPr>
        <w:rPr>
          <w:rFonts w:cs="Arial"/>
          <w:sz w:val="22"/>
          <w:szCs w:val="22"/>
        </w:rPr>
      </w:pPr>
    </w:p>
    <w:p w14:paraId="32F89DDD" w14:textId="5417A3E7" w:rsidR="00CF44C9" w:rsidRDefault="00CD0646" w:rsidP="0028726C">
      <w:pPr>
        <w:rPr>
          <w:rFonts w:cs="Arial"/>
          <w:sz w:val="22"/>
          <w:szCs w:val="22"/>
        </w:rPr>
      </w:pPr>
      <w:r>
        <w:rPr>
          <w:rFonts w:cs="Arial"/>
          <w:sz w:val="22"/>
          <w:szCs w:val="22"/>
        </w:rPr>
        <w:t>Por otra parte, e</w:t>
      </w:r>
      <w:r w:rsidR="00CF44C9">
        <w:rPr>
          <w:rFonts w:cs="Arial"/>
          <w:sz w:val="22"/>
          <w:szCs w:val="22"/>
        </w:rPr>
        <w:t xml:space="preserve">n la nueva propuesta se incluye el Anexo en que se reglamenta la subasta que se utilizará para efectos de asignación de cantidades de las fuentes de suministro, cuando se presenta un </w:t>
      </w:r>
      <w:r w:rsidR="009D22E9">
        <w:rPr>
          <w:rFonts w:cs="Arial"/>
          <w:sz w:val="22"/>
          <w:szCs w:val="22"/>
        </w:rPr>
        <w:t>trimestre estándar de ejecución</w:t>
      </w:r>
      <w:r w:rsidR="00CF44C9">
        <w:rPr>
          <w:rFonts w:cs="Arial"/>
          <w:sz w:val="22"/>
          <w:szCs w:val="22"/>
        </w:rPr>
        <w:t xml:space="preserve"> futuro y un punto de referencia con balance comercial deficitario.</w:t>
      </w:r>
    </w:p>
    <w:p w14:paraId="1403F054" w14:textId="77777777" w:rsidR="00E74548" w:rsidRPr="0028726C" w:rsidRDefault="00E74548" w:rsidP="0028726C">
      <w:pPr>
        <w:rPr>
          <w:rFonts w:cs="Arial"/>
          <w:sz w:val="22"/>
          <w:szCs w:val="22"/>
        </w:rPr>
      </w:pPr>
    </w:p>
    <w:p w14:paraId="4BE919BF" w14:textId="77777777" w:rsidR="00C53D76" w:rsidRDefault="00C53D76" w:rsidP="0028726C">
      <w:pPr>
        <w:rPr>
          <w:rFonts w:cs="Arial"/>
          <w:sz w:val="22"/>
          <w:szCs w:val="22"/>
        </w:rPr>
      </w:pPr>
    </w:p>
    <w:p w14:paraId="7A8D4D9E" w14:textId="77777777" w:rsidR="00C53D76" w:rsidRDefault="0028726C" w:rsidP="000D05A3">
      <w:pPr>
        <w:pStyle w:val="Ttulo4"/>
      </w:pPr>
      <w:r w:rsidRPr="0028726C">
        <w:t>HOCOL</w:t>
      </w:r>
      <w:r w:rsidRPr="0028726C">
        <w:tab/>
      </w:r>
    </w:p>
    <w:p w14:paraId="6F79EC08" w14:textId="50A9279E" w:rsidR="0028726C" w:rsidRDefault="00B90A70" w:rsidP="0028726C">
      <w:pPr>
        <w:rPr>
          <w:rFonts w:cs="Arial"/>
          <w:sz w:val="22"/>
          <w:szCs w:val="22"/>
        </w:rPr>
      </w:pPr>
      <w:r>
        <w:rPr>
          <w:rFonts w:cs="Arial"/>
          <w:sz w:val="22"/>
          <w:szCs w:val="22"/>
        </w:rPr>
        <w:t>“</w:t>
      </w:r>
      <w:r w:rsidR="0028726C" w:rsidRPr="0028726C">
        <w:rPr>
          <w:rFonts w:cs="Arial"/>
          <w:sz w:val="22"/>
          <w:szCs w:val="22"/>
        </w:rPr>
        <w:t xml:space="preserve">• </w:t>
      </w:r>
      <w:r w:rsidR="0028726C" w:rsidRPr="00CD0646">
        <w:rPr>
          <w:rFonts w:cs="Arial"/>
          <w:i/>
          <w:iCs/>
          <w:sz w:val="22"/>
          <w:szCs w:val="22"/>
        </w:rPr>
        <w:t>Dar claridad sobre la comercialización de cantidades liberadas para atender demanda diferente a la Esencial, en el caso de no llegar a acuerdo en las condiciones no comerciales de los contratos</w:t>
      </w:r>
      <w:r w:rsidR="0028726C" w:rsidRPr="0028726C">
        <w:rPr>
          <w:rFonts w:cs="Arial"/>
          <w:sz w:val="22"/>
          <w:szCs w:val="22"/>
        </w:rPr>
        <w:t>.</w:t>
      </w:r>
      <w:r>
        <w:rPr>
          <w:rFonts w:cs="Arial"/>
          <w:sz w:val="22"/>
          <w:szCs w:val="22"/>
        </w:rPr>
        <w:t>”</w:t>
      </w:r>
    </w:p>
    <w:p w14:paraId="3019DBB1" w14:textId="77777777" w:rsidR="00CD0646" w:rsidRDefault="00CD0646" w:rsidP="0028726C">
      <w:pPr>
        <w:rPr>
          <w:rFonts w:cs="Arial"/>
          <w:sz w:val="22"/>
          <w:szCs w:val="22"/>
        </w:rPr>
      </w:pPr>
    </w:p>
    <w:p w14:paraId="0E51A423" w14:textId="40441859" w:rsidR="00CD0646" w:rsidRPr="00CD0646" w:rsidRDefault="00CD0646" w:rsidP="0028726C">
      <w:pPr>
        <w:rPr>
          <w:rFonts w:cs="Arial"/>
          <w:b/>
          <w:bCs/>
          <w:sz w:val="22"/>
          <w:szCs w:val="22"/>
        </w:rPr>
      </w:pPr>
      <w:r w:rsidRPr="00CD0646">
        <w:rPr>
          <w:rFonts w:cs="Arial"/>
          <w:b/>
          <w:bCs/>
          <w:sz w:val="22"/>
          <w:szCs w:val="22"/>
        </w:rPr>
        <w:t>Respuesta:</w:t>
      </w:r>
    </w:p>
    <w:p w14:paraId="4E8D5CEC" w14:textId="77777777" w:rsidR="00CD0646" w:rsidRDefault="00CD0646" w:rsidP="0028726C">
      <w:pPr>
        <w:rPr>
          <w:rFonts w:cs="Arial"/>
          <w:sz w:val="22"/>
          <w:szCs w:val="22"/>
        </w:rPr>
      </w:pPr>
    </w:p>
    <w:p w14:paraId="5E5E97B0" w14:textId="163A5A6C" w:rsidR="00F12E9F" w:rsidRDefault="00C15FCB" w:rsidP="0028726C">
      <w:pPr>
        <w:rPr>
          <w:rFonts w:cs="Arial"/>
          <w:sz w:val="22"/>
          <w:szCs w:val="22"/>
        </w:rPr>
      </w:pPr>
      <w:r>
        <w:rPr>
          <w:rFonts w:cs="Arial"/>
          <w:sz w:val="22"/>
          <w:szCs w:val="22"/>
        </w:rPr>
        <w:t xml:space="preserve">En la nueva propuesta se establecen condiciones de declaración al Gestor del Mercado de oferta </w:t>
      </w:r>
      <w:r w:rsidR="00F12E9F">
        <w:rPr>
          <w:rFonts w:cs="Arial"/>
          <w:sz w:val="22"/>
          <w:szCs w:val="22"/>
        </w:rPr>
        <w:t xml:space="preserve">PTDVF/CIDVF </w:t>
      </w:r>
      <w:r>
        <w:rPr>
          <w:rFonts w:cs="Arial"/>
          <w:sz w:val="22"/>
          <w:szCs w:val="22"/>
        </w:rPr>
        <w:t>de los vende</w:t>
      </w:r>
      <w:r w:rsidR="00F12E9F">
        <w:rPr>
          <w:rFonts w:cs="Arial"/>
          <w:sz w:val="22"/>
          <w:szCs w:val="22"/>
        </w:rPr>
        <w:t>do</w:t>
      </w:r>
      <w:r>
        <w:rPr>
          <w:rFonts w:cs="Arial"/>
          <w:sz w:val="22"/>
          <w:szCs w:val="22"/>
        </w:rPr>
        <w:t xml:space="preserve">res del Mercado Primario </w:t>
      </w:r>
      <w:r w:rsidR="00F12E9F">
        <w:rPr>
          <w:rFonts w:cs="Arial"/>
          <w:sz w:val="22"/>
          <w:szCs w:val="22"/>
        </w:rPr>
        <w:t xml:space="preserve">que buscan disminuir al máximo las posibilidades de que no se llegue a un acuerdo del contenido contractual tanto en contratos de suministro para atender Demanda Esencial como para la demás demanda. </w:t>
      </w:r>
    </w:p>
    <w:p w14:paraId="6420EB20" w14:textId="77777777" w:rsidR="00F12E9F" w:rsidRDefault="00F12E9F" w:rsidP="0028726C">
      <w:pPr>
        <w:rPr>
          <w:rFonts w:cs="Arial"/>
          <w:sz w:val="22"/>
          <w:szCs w:val="22"/>
        </w:rPr>
      </w:pPr>
    </w:p>
    <w:p w14:paraId="542F93C0" w14:textId="6D23ECA5" w:rsidR="00CD0646" w:rsidRDefault="00F12E9F" w:rsidP="0028726C">
      <w:pPr>
        <w:rPr>
          <w:rFonts w:cs="Arial"/>
          <w:sz w:val="22"/>
          <w:szCs w:val="22"/>
        </w:rPr>
      </w:pPr>
      <w:r>
        <w:rPr>
          <w:rFonts w:cs="Arial"/>
          <w:sz w:val="22"/>
          <w:szCs w:val="22"/>
        </w:rPr>
        <w:t xml:space="preserve">En todo caso, de darse una razón válida para que, después de surtido el MADE, finalmente las partes de un negocio no suscriban y registren el contrato que busca atender a la Demanda Esencial, las cantidades podrán hacer parte del subsiguiente proceso, ya sea para negociar en las demás negociaciones directas, </w:t>
      </w:r>
      <w:r w:rsidR="00790A8F">
        <w:rPr>
          <w:rFonts w:cs="Arial"/>
          <w:sz w:val="22"/>
          <w:szCs w:val="22"/>
        </w:rPr>
        <w:t>para ser redistribuidas en las priorización de la demás Demanda Esencial si las cantidades no fueron suficientes para atender la totalidad de la Demanda Esencial reque</w:t>
      </w:r>
      <w:r w:rsidR="000A5352">
        <w:rPr>
          <w:rFonts w:cs="Arial"/>
          <w:sz w:val="22"/>
          <w:szCs w:val="22"/>
        </w:rPr>
        <w:t>rid</w:t>
      </w:r>
      <w:r w:rsidR="00790A8F">
        <w:rPr>
          <w:rFonts w:cs="Arial"/>
          <w:sz w:val="22"/>
          <w:szCs w:val="22"/>
        </w:rPr>
        <w:t xml:space="preserve">a </w:t>
      </w:r>
      <w:r>
        <w:rPr>
          <w:rFonts w:cs="Arial"/>
          <w:sz w:val="22"/>
          <w:szCs w:val="22"/>
        </w:rPr>
        <w:t xml:space="preserve">o para ser parte de las cantidades que se subastan cuando hay oferta comercial deficitaria. </w:t>
      </w:r>
    </w:p>
    <w:p w14:paraId="7A28DDAD" w14:textId="77777777" w:rsidR="00CD0646" w:rsidRPr="0028726C" w:rsidRDefault="00CD0646" w:rsidP="0028726C">
      <w:pPr>
        <w:rPr>
          <w:rFonts w:cs="Arial"/>
          <w:sz w:val="22"/>
          <w:szCs w:val="22"/>
        </w:rPr>
      </w:pPr>
    </w:p>
    <w:p w14:paraId="657F443E" w14:textId="77777777" w:rsidR="00C53D76" w:rsidRDefault="00C53D76" w:rsidP="0028726C">
      <w:pPr>
        <w:rPr>
          <w:rFonts w:cs="Arial"/>
          <w:sz w:val="22"/>
          <w:szCs w:val="22"/>
        </w:rPr>
      </w:pPr>
    </w:p>
    <w:p w14:paraId="22E81C8C" w14:textId="77777777" w:rsidR="00C53D76" w:rsidRDefault="0028726C" w:rsidP="000D05A3">
      <w:pPr>
        <w:pStyle w:val="Ttulo4"/>
      </w:pPr>
      <w:r w:rsidRPr="0028726C">
        <w:t>HOCOL</w:t>
      </w:r>
      <w:r w:rsidRPr="0028726C">
        <w:tab/>
      </w:r>
    </w:p>
    <w:p w14:paraId="3360D901" w14:textId="22643E62" w:rsidR="0028726C" w:rsidRDefault="00EA300D" w:rsidP="0028726C">
      <w:pPr>
        <w:rPr>
          <w:rFonts w:cs="Arial"/>
          <w:sz w:val="22"/>
          <w:szCs w:val="22"/>
        </w:rPr>
      </w:pPr>
      <w:r>
        <w:rPr>
          <w:rFonts w:cs="Arial"/>
          <w:sz w:val="22"/>
          <w:szCs w:val="22"/>
        </w:rPr>
        <w:t>“</w:t>
      </w:r>
      <w:r w:rsidR="0028726C" w:rsidRPr="0028726C">
        <w:rPr>
          <w:rFonts w:cs="Arial"/>
          <w:sz w:val="22"/>
          <w:szCs w:val="22"/>
        </w:rPr>
        <w:t xml:space="preserve">• </w:t>
      </w:r>
      <w:r w:rsidR="0028726C" w:rsidRPr="00F12E9F">
        <w:rPr>
          <w:rFonts w:cs="Arial"/>
          <w:i/>
          <w:iCs/>
          <w:sz w:val="22"/>
          <w:szCs w:val="22"/>
        </w:rPr>
        <w:t xml:space="preserve">Precisar la formalización y ejecución de contratos anuales o multianuales que consoliden cantidades comercializadas bajo distintos mecanismos de comercialización, definidos con base en los resultados del balance para cada trimestre, si es excedentario o si es deficitario; ya que del documento soporte de la resolución se puede entender que los contratos resultado de las negociaciones bilaterales en trimestres con balances excedentarios, que han sido registrados en el </w:t>
      </w:r>
      <w:r w:rsidR="005114C6" w:rsidRPr="00F12E9F">
        <w:rPr>
          <w:rFonts w:cs="Arial"/>
          <w:i/>
          <w:iCs/>
          <w:sz w:val="22"/>
          <w:szCs w:val="22"/>
        </w:rPr>
        <w:t>Gestor del Mercado</w:t>
      </w:r>
      <w:r w:rsidR="0028726C" w:rsidRPr="00F12E9F">
        <w:rPr>
          <w:rFonts w:cs="Arial"/>
          <w:i/>
          <w:iCs/>
          <w:sz w:val="22"/>
          <w:szCs w:val="22"/>
        </w:rPr>
        <w:t>, pueden ser modificados para incluir las cantidades comercializadas en trimestres con balance deficitario, bajo la asignación de contratos para atender la Demanda Esencial y posterior comercialización de excedentes según el tipo de fuente de suministro</w:t>
      </w:r>
      <w:r w:rsidR="0028726C" w:rsidRPr="0028726C">
        <w:rPr>
          <w:rFonts w:cs="Arial"/>
          <w:sz w:val="22"/>
          <w:szCs w:val="22"/>
        </w:rPr>
        <w:t>.</w:t>
      </w:r>
      <w:r>
        <w:rPr>
          <w:rFonts w:cs="Arial"/>
          <w:sz w:val="22"/>
          <w:szCs w:val="22"/>
        </w:rPr>
        <w:t>”</w:t>
      </w:r>
    </w:p>
    <w:p w14:paraId="2C937597" w14:textId="77777777" w:rsidR="00F12E9F" w:rsidRDefault="00F12E9F" w:rsidP="0028726C">
      <w:pPr>
        <w:rPr>
          <w:rFonts w:cs="Arial"/>
          <w:sz w:val="22"/>
          <w:szCs w:val="22"/>
        </w:rPr>
      </w:pPr>
    </w:p>
    <w:p w14:paraId="633D6E1C" w14:textId="2A2FDE9C" w:rsidR="00F12E9F" w:rsidRPr="00F12E9F" w:rsidRDefault="00F12E9F" w:rsidP="0028726C">
      <w:pPr>
        <w:rPr>
          <w:rFonts w:cs="Arial"/>
          <w:b/>
          <w:bCs/>
          <w:sz w:val="22"/>
          <w:szCs w:val="22"/>
        </w:rPr>
      </w:pPr>
      <w:r w:rsidRPr="00F12E9F">
        <w:rPr>
          <w:rFonts w:cs="Arial"/>
          <w:b/>
          <w:bCs/>
          <w:sz w:val="22"/>
          <w:szCs w:val="22"/>
        </w:rPr>
        <w:t>Respuesta:</w:t>
      </w:r>
    </w:p>
    <w:p w14:paraId="6D3357DC" w14:textId="77777777" w:rsidR="00F12E9F" w:rsidRDefault="00F12E9F" w:rsidP="0028726C">
      <w:pPr>
        <w:rPr>
          <w:rFonts w:cs="Arial"/>
          <w:sz w:val="22"/>
          <w:szCs w:val="22"/>
        </w:rPr>
      </w:pPr>
    </w:p>
    <w:p w14:paraId="65CA8CA8" w14:textId="2639DC98" w:rsidR="0017098C" w:rsidRDefault="0017098C" w:rsidP="0028726C">
      <w:pPr>
        <w:rPr>
          <w:rFonts w:cs="Arial"/>
          <w:sz w:val="22"/>
          <w:szCs w:val="22"/>
        </w:rPr>
      </w:pPr>
      <w:r>
        <w:rPr>
          <w:rFonts w:cs="Arial"/>
          <w:sz w:val="22"/>
          <w:szCs w:val="22"/>
        </w:rPr>
        <w:t>No se acoge el comentario.</w:t>
      </w:r>
    </w:p>
    <w:p w14:paraId="2FD343FA" w14:textId="77777777" w:rsidR="0017098C" w:rsidRDefault="0017098C" w:rsidP="0028726C">
      <w:pPr>
        <w:rPr>
          <w:rFonts w:cs="Arial"/>
          <w:sz w:val="22"/>
          <w:szCs w:val="22"/>
        </w:rPr>
      </w:pPr>
    </w:p>
    <w:p w14:paraId="75E61899" w14:textId="42966404" w:rsidR="0017098C" w:rsidRDefault="0017098C" w:rsidP="0028726C">
      <w:pPr>
        <w:rPr>
          <w:rFonts w:cs="Arial"/>
          <w:sz w:val="22"/>
          <w:szCs w:val="22"/>
        </w:rPr>
      </w:pPr>
      <w:r>
        <w:rPr>
          <w:rFonts w:cs="Arial"/>
          <w:sz w:val="22"/>
          <w:szCs w:val="22"/>
        </w:rPr>
        <w:t>En el literal a) del numeral 1.1 del Anexo 1 de la propuesta se establece, entre otros aspectos, que:</w:t>
      </w:r>
    </w:p>
    <w:p w14:paraId="6F70E8B9" w14:textId="77777777" w:rsidR="0017098C" w:rsidRDefault="0017098C" w:rsidP="0028726C">
      <w:pPr>
        <w:rPr>
          <w:rFonts w:cs="Arial"/>
          <w:sz w:val="22"/>
          <w:szCs w:val="22"/>
        </w:rPr>
      </w:pPr>
    </w:p>
    <w:p w14:paraId="32A3A829" w14:textId="76936089" w:rsidR="0017098C" w:rsidRDefault="0017098C" w:rsidP="0017098C">
      <w:pPr>
        <w:ind w:left="708"/>
        <w:rPr>
          <w:rFonts w:cs="Arial"/>
          <w:sz w:val="22"/>
          <w:szCs w:val="22"/>
        </w:rPr>
      </w:pPr>
      <w:r>
        <w:rPr>
          <w:rFonts w:cs="Arial"/>
          <w:sz w:val="22"/>
          <w:szCs w:val="22"/>
        </w:rPr>
        <w:t>“</w:t>
      </w:r>
      <w:r w:rsidRPr="0017098C">
        <w:rPr>
          <w:rFonts w:cs="Arial"/>
          <w:i/>
          <w:iCs/>
          <w:sz w:val="22"/>
          <w:szCs w:val="22"/>
        </w:rPr>
        <w:t xml:space="preserve">Los Participantes del Mercado a los que se hace referencia en los Artículos 16 y 17 de esta Resolución </w:t>
      </w:r>
      <w:r w:rsidRPr="0017098C">
        <w:rPr>
          <w:rFonts w:cs="Arial"/>
          <w:b/>
          <w:bCs/>
          <w:i/>
          <w:iCs/>
          <w:sz w:val="22"/>
          <w:szCs w:val="22"/>
          <w:u w:val="single"/>
        </w:rPr>
        <w:t>deberán actualizar el registro</w:t>
      </w:r>
      <w:r w:rsidRPr="0017098C">
        <w:rPr>
          <w:rFonts w:cs="Arial"/>
          <w:i/>
          <w:iCs/>
          <w:sz w:val="22"/>
          <w:szCs w:val="22"/>
        </w:rPr>
        <w:t xml:space="preserve"> ante el Gestor del Mercado, en los eventos en que exista cesión, terminación anticipada o </w:t>
      </w:r>
      <w:r w:rsidRPr="0017098C">
        <w:rPr>
          <w:rFonts w:cs="Arial"/>
          <w:b/>
          <w:bCs/>
          <w:i/>
          <w:iCs/>
          <w:sz w:val="22"/>
          <w:szCs w:val="22"/>
          <w:u w:val="single"/>
        </w:rPr>
        <w:t>modificación del contrato</w:t>
      </w:r>
      <w:r w:rsidRPr="0017098C">
        <w:rPr>
          <w:rFonts w:cs="Arial"/>
          <w:i/>
          <w:iCs/>
          <w:sz w:val="22"/>
          <w:szCs w:val="22"/>
        </w:rPr>
        <w:t xml:space="preserve"> de suministro de gas natural. Para estos efectos, los vendedores y los compradores del Mercado Primario deberán declarar al Gestor del Mercado la información previamente señalada, debidamente actualizada</w:t>
      </w:r>
      <w:r w:rsidRPr="0017098C">
        <w:rPr>
          <w:rFonts w:cs="Arial"/>
          <w:sz w:val="22"/>
          <w:szCs w:val="22"/>
        </w:rPr>
        <w:t>.</w:t>
      </w:r>
      <w:r>
        <w:rPr>
          <w:rFonts w:cs="Arial"/>
          <w:sz w:val="22"/>
          <w:szCs w:val="22"/>
        </w:rPr>
        <w:t>” (subrayado con resaltado fuera de texto)</w:t>
      </w:r>
    </w:p>
    <w:p w14:paraId="579B4CED" w14:textId="77777777" w:rsidR="00F12E9F" w:rsidRDefault="00F12E9F" w:rsidP="0028726C">
      <w:pPr>
        <w:rPr>
          <w:rFonts w:cs="Arial"/>
          <w:sz w:val="22"/>
          <w:szCs w:val="22"/>
        </w:rPr>
      </w:pPr>
    </w:p>
    <w:p w14:paraId="6544829C" w14:textId="77777777" w:rsidR="000D2AD2" w:rsidRPr="0028726C" w:rsidRDefault="000D2AD2" w:rsidP="0028726C">
      <w:pPr>
        <w:rPr>
          <w:rFonts w:cs="Arial"/>
          <w:sz w:val="22"/>
          <w:szCs w:val="22"/>
        </w:rPr>
      </w:pPr>
    </w:p>
    <w:p w14:paraId="2155ACEC" w14:textId="77777777" w:rsidR="00C53D76" w:rsidRDefault="00C53D76" w:rsidP="0028726C">
      <w:pPr>
        <w:rPr>
          <w:rFonts w:cs="Arial"/>
          <w:sz w:val="22"/>
          <w:szCs w:val="22"/>
        </w:rPr>
      </w:pPr>
    </w:p>
    <w:p w14:paraId="6098A809" w14:textId="77777777" w:rsidR="00C53D76" w:rsidRDefault="0028726C" w:rsidP="000D05A3">
      <w:pPr>
        <w:pStyle w:val="Ttulo4"/>
      </w:pPr>
      <w:r w:rsidRPr="0028726C">
        <w:t>HOCOL</w:t>
      </w:r>
      <w:r w:rsidRPr="0028726C">
        <w:tab/>
      </w:r>
    </w:p>
    <w:p w14:paraId="2571DCFF" w14:textId="4726E814" w:rsidR="0028726C" w:rsidRPr="0017098C" w:rsidRDefault="00911CD9" w:rsidP="0028726C">
      <w:pPr>
        <w:rPr>
          <w:rFonts w:cs="Arial"/>
          <w:i/>
          <w:iCs/>
          <w:sz w:val="22"/>
          <w:szCs w:val="22"/>
        </w:rPr>
      </w:pPr>
      <w:r>
        <w:rPr>
          <w:rFonts w:cs="Arial"/>
          <w:i/>
          <w:iCs/>
          <w:sz w:val="22"/>
          <w:szCs w:val="22"/>
        </w:rPr>
        <w:t>“</w:t>
      </w:r>
      <w:r w:rsidR="0028726C" w:rsidRPr="0017098C">
        <w:rPr>
          <w:rFonts w:cs="Arial"/>
          <w:i/>
          <w:iCs/>
          <w:sz w:val="22"/>
          <w:szCs w:val="22"/>
        </w:rPr>
        <w:t>Adicional a lo planteado con respecto al MADE, respetuosamente reiteramos nuestra solicitud de revisar la contradicción que genera la obligación de aplicar este mecanismo para todas las fuentes de suministro, incluyendo las fuentes a las cuales el artículo 12 del Decreto 2100 de 2011, compilado en el Decreto 1073 de 2015, dispone que no aplicarán los mecanismos y procedimientos de comercialización.</w:t>
      </w:r>
      <w:r>
        <w:rPr>
          <w:rFonts w:cs="Arial"/>
          <w:i/>
          <w:iCs/>
          <w:sz w:val="22"/>
          <w:szCs w:val="22"/>
        </w:rPr>
        <w:t>”</w:t>
      </w:r>
    </w:p>
    <w:p w14:paraId="74B37339" w14:textId="77777777" w:rsidR="0017098C" w:rsidRDefault="0017098C" w:rsidP="0028726C">
      <w:pPr>
        <w:rPr>
          <w:rFonts w:cs="Arial"/>
          <w:sz w:val="22"/>
          <w:szCs w:val="22"/>
        </w:rPr>
      </w:pPr>
    </w:p>
    <w:p w14:paraId="0CDE19BF" w14:textId="5C4B4DE2" w:rsidR="0017098C" w:rsidRPr="0017098C" w:rsidRDefault="0017098C" w:rsidP="0028726C">
      <w:pPr>
        <w:rPr>
          <w:rFonts w:cs="Arial"/>
          <w:b/>
          <w:bCs/>
          <w:sz w:val="22"/>
          <w:szCs w:val="22"/>
        </w:rPr>
      </w:pPr>
      <w:r w:rsidRPr="0017098C">
        <w:rPr>
          <w:rFonts w:cs="Arial"/>
          <w:b/>
          <w:bCs/>
          <w:sz w:val="22"/>
          <w:szCs w:val="22"/>
        </w:rPr>
        <w:t>Respuesta:</w:t>
      </w:r>
    </w:p>
    <w:p w14:paraId="6CECD7FA" w14:textId="77777777" w:rsidR="0017098C" w:rsidRDefault="0017098C" w:rsidP="0028726C">
      <w:pPr>
        <w:rPr>
          <w:rFonts w:cs="Arial"/>
          <w:sz w:val="22"/>
          <w:szCs w:val="22"/>
        </w:rPr>
      </w:pPr>
    </w:p>
    <w:p w14:paraId="6F5FEB8A" w14:textId="3B7F12D2" w:rsidR="009D1663" w:rsidRDefault="00874176"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_Ref132621340 \r \h </w:instrText>
      </w:r>
      <w:r>
        <w:rPr>
          <w:rFonts w:cs="Arial"/>
          <w:sz w:val="22"/>
          <w:szCs w:val="22"/>
        </w:rPr>
      </w:r>
      <w:r>
        <w:rPr>
          <w:rFonts w:cs="Arial"/>
          <w:sz w:val="22"/>
          <w:szCs w:val="22"/>
        </w:rPr>
        <w:fldChar w:fldCharType="separate"/>
      </w:r>
      <w:r>
        <w:rPr>
          <w:rFonts w:cs="Arial"/>
          <w:sz w:val="22"/>
          <w:szCs w:val="22"/>
        </w:rPr>
        <w:t>17.7.1.2</w:t>
      </w:r>
      <w:r>
        <w:rPr>
          <w:rFonts w:cs="Arial"/>
          <w:sz w:val="22"/>
          <w:szCs w:val="22"/>
        </w:rPr>
        <w:fldChar w:fldCharType="end"/>
      </w:r>
      <w:r>
        <w:rPr>
          <w:rFonts w:cs="Arial"/>
          <w:sz w:val="22"/>
          <w:szCs w:val="22"/>
        </w:rPr>
        <w:t>.</w:t>
      </w:r>
    </w:p>
    <w:p w14:paraId="050ECCC6" w14:textId="77777777" w:rsidR="0017098C" w:rsidRPr="0028726C" w:rsidRDefault="0017098C" w:rsidP="0028726C">
      <w:pPr>
        <w:rPr>
          <w:rFonts w:cs="Arial"/>
          <w:sz w:val="22"/>
          <w:szCs w:val="22"/>
        </w:rPr>
      </w:pPr>
    </w:p>
    <w:p w14:paraId="6FBDA6AF" w14:textId="77777777" w:rsidR="00C53D76" w:rsidRDefault="00C53D76" w:rsidP="0028726C">
      <w:pPr>
        <w:rPr>
          <w:rFonts w:cs="Arial"/>
          <w:sz w:val="22"/>
          <w:szCs w:val="22"/>
        </w:rPr>
      </w:pPr>
    </w:p>
    <w:p w14:paraId="63B4B648" w14:textId="77777777" w:rsidR="00C53D76" w:rsidRDefault="0028726C" w:rsidP="000D05A3">
      <w:pPr>
        <w:pStyle w:val="Ttulo4"/>
      </w:pPr>
      <w:r w:rsidRPr="0028726C">
        <w:t>HOCOL</w:t>
      </w:r>
      <w:r w:rsidRPr="0028726C">
        <w:tab/>
      </w:r>
    </w:p>
    <w:p w14:paraId="1C37F01D" w14:textId="41D2B3A6" w:rsidR="0028726C" w:rsidRPr="00874176" w:rsidRDefault="00911CD9" w:rsidP="0028726C">
      <w:pPr>
        <w:rPr>
          <w:rFonts w:cs="Arial"/>
          <w:i/>
          <w:iCs/>
          <w:sz w:val="22"/>
          <w:szCs w:val="22"/>
        </w:rPr>
      </w:pPr>
      <w:r>
        <w:rPr>
          <w:rFonts w:cs="Arial"/>
          <w:i/>
          <w:iCs/>
          <w:sz w:val="22"/>
          <w:szCs w:val="22"/>
        </w:rPr>
        <w:t>“</w:t>
      </w:r>
      <w:r w:rsidR="0028726C" w:rsidRPr="00874176">
        <w:rPr>
          <w:rFonts w:cs="Arial"/>
          <w:i/>
          <w:iCs/>
          <w:sz w:val="22"/>
          <w:szCs w:val="22"/>
        </w:rPr>
        <w:t>Corregir la referencia al Artículo 2.2.2.2.29 del Decreto 1073 de 2015 de la resolución, ya que no corresponde con lo que se menciona en este parágrafo 5.</w:t>
      </w:r>
      <w:r>
        <w:rPr>
          <w:rFonts w:cs="Arial"/>
          <w:i/>
          <w:iCs/>
          <w:sz w:val="22"/>
          <w:szCs w:val="22"/>
        </w:rPr>
        <w:t>”</w:t>
      </w:r>
    </w:p>
    <w:p w14:paraId="000E1634" w14:textId="77777777" w:rsidR="00874176" w:rsidRDefault="00874176" w:rsidP="0028726C">
      <w:pPr>
        <w:rPr>
          <w:rFonts w:cs="Arial"/>
          <w:sz w:val="22"/>
          <w:szCs w:val="22"/>
        </w:rPr>
      </w:pPr>
    </w:p>
    <w:p w14:paraId="578DF3D2" w14:textId="55BFDC0C" w:rsidR="00874176" w:rsidRPr="00874176" w:rsidRDefault="00874176" w:rsidP="0028726C">
      <w:pPr>
        <w:rPr>
          <w:rFonts w:cs="Arial"/>
          <w:b/>
          <w:bCs/>
          <w:sz w:val="22"/>
          <w:szCs w:val="22"/>
        </w:rPr>
      </w:pPr>
      <w:r w:rsidRPr="00874176">
        <w:rPr>
          <w:rFonts w:cs="Arial"/>
          <w:b/>
          <w:bCs/>
          <w:sz w:val="22"/>
          <w:szCs w:val="22"/>
        </w:rPr>
        <w:t>Respuesta:</w:t>
      </w:r>
    </w:p>
    <w:p w14:paraId="37F26D85" w14:textId="77777777" w:rsidR="00874176" w:rsidRDefault="00874176" w:rsidP="0028726C">
      <w:pPr>
        <w:rPr>
          <w:rFonts w:cs="Arial"/>
          <w:sz w:val="22"/>
          <w:szCs w:val="22"/>
        </w:rPr>
      </w:pPr>
    </w:p>
    <w:p w14:paraId="0EC9A9B7" w14:textId="364C1036" w:rsidR="00874176" w:rsidRDefault="001073E7" w:rsidP="0028726C">
      <w:pPr>
        <w:rPr>
          <w:rFonts w:cs="Arial"/>
          <w:sz w:val="22"/>
          <w:szCs w:val="22"/>
        </w:rPr>
      </w:pPr>
      <w:r>
        <w:rPr>
          <w:rFonts w:cs="Arial"/>
          <w:sz w:val="22"/>
          <w:szCs w:val="22"/>
        </w:rPr>
        <w:t>Se acoge el comentario.</w:t>
      </w:r>
    </w:p>
    <w:p w14:paraId="48222A80" w14:textId="77777777" w:rsidR="001073E7" w:rsidRDefault="001073E7" w:rsidP="0028726C">
      <w:pPr>
        <w:rPr>
          <w:rFonts w:cs="Arial"/>
          <w:sz w:val="22"/>
          <w:szCs w:val="22"/>
        </w:rPr>
      </w:pPr>
    </w:p>
    <w:p w14:paraId="6B681EC1" w14:textId="4061788B" w:rsidR="001073E7" w:rsidRDefault="001073E7" w:rsidP="0028726C">
      <w:pPr>
        <w:rPr>
          <w:rFonts w:cs="Arial"/>
          <w:sz w:val="22"/>
          <w:szCs w:val="22"/>
        </w:rPr>
      </w:pPr>
      <w:r>
        <w:rPr>
          <w:rFonts w:cs="Arial"/>
          <w:sz w:val="22"/>
          <w:szCs w:val="22"/>
        </w:rPr>
        <w:t>En la nueva propuesta se hace la corrección del error de redacción mencionado.</w:t>
      </w:r>
    </w:p>
    <w:p w14:paraId="682C41E6" w14:textId="77777777" w:rsidR="00874176" w:rsidRPr="0028726C" w:rsidRDefault="00874176" w:rsidP="0028726C">
      <w:pPr>
        <w:rPr>
          <w:rFonts w:cs="Arial"/>
          <w:sz w:val="22"/>
          <w:szCs w:val="22"/>
        </w:rPr>
      </w:pPr>
    </w:p>
    <w:p w14:paraId="734D3905" w14:textId="77777777" w:rsidR="00C53D76" w:rsidRDefault="00C53D76" w:rsidP="0028726C">
      <w:pPr>
        <w:rPr>
          <w:rFonts w:cs="Arial"/>
          <w:sz w:val="22"/>
          <w:szCs w:val="22"/>
        </w:rPr>
      </w:pPr>
    </w:p>
    <w:p w14:paraId="0A0400D9" w14:textId="77777777" w:rsidR="00C53D76" w:rsidRDefault="0028726C" w:rsidP="000D05A3">
      <w:pPr>
        <w:pStyle w:val="Ttulo4"/>
      </w:pPr>
      <w:r w:rsidRPr="0028726C">
        <w:t>HOCOL</w:t>
      </w:r>
      <w:r w:rsidRPr="0028726C">
        <w:tab/>
      </w:r>
    </w:p>
    <w:p w14:paraId="00D39AB5" w14:textId="2D561780" w:rsidR="0028726C" w:rsidRDefault="0028726C" w:rsidP="0028726C">
      <w:pPr>
        <w:rPr>
          <w:rFonts w:cs="Arial"/>
          <w:sz w:val="22"/>
          <w:szCs w:val="22"/>
        </w:rPr>
      </w:pPr>
      <w:r w:rsidRPr="0028726C">
        <w:rPr>
          <w:rFonts w:cs="Arial"/>
          <w:sz w:val="22"/>
          <w:szCs w:val="22"/>
        </w:rPr>
        <w:t>"</w:t>
      </w:r>
      <w:r w:rsidRPr="001073E7">
        <w:rPr>
          <w:rFonts w:cs="Arial"/>
          <w:i/>
          <w:iCs/>
          <w:sz w:val="22"/>
          <w:szCs w:val="22"/>
        </w:rPr>
        <w:t>Precisar la opción de prórroga de los contratos de suministro que atiendan Demanda Esencial y/o termoeléctrica, que se menciona en el Artículo 21 de la propuesta regulatoria, ya que en otras partes de esta propuesta como el parágrafo c) del Articulo 22 o el parágrafo 1 del Artículo 8, únicamente mencionan esta posibilidad para contratos con destino la atención de Demanda Esencial</w:t>
      </w:r>
      <w:r w:rsidRPr="0028726C">
        <w:rPr>
          <w:rFonts w:cs="Arial"/>
          <w:sz w:val="22"/>
          <w:szCs w:val="22"/>
        </w:rPr>
        <w:t>."</w:t>
      </w:r>
    </w:p>
    <w:p w14:paraId="003503D3" w14:textId="77777777" w:rsidR="001073E7" w:rsidRDefault="001073E7" w:rsidP="0028726C">
      <w:pPr>
        <w:rPr>
          <w:rFonts w:cs="Arial"/>
          <w:sz w:val="22"/>
          <w:szCs w:val="22"/>
        </w:rPr>
      </w:pPr>
    </w:p>
    <w:p w14:paraId="16B279BC" w14:textId="6F84A0B1" w:rsidR="001073E7" w:rsidRPr="001073E7" w:rsidRDefault="001073E7" w:rsidP="0028726C">
      <w:pPr>
        <w:rPr>
          <w:rFonts w:cs="Arial"/>
          <w:b/>
          <w:bCs/>
          <w:sz w:val="22"/>
          <w:szCs w:val="22"/>
        </w:rPr>
      </w:pPr>
      <w:r w:rsidRPr="001073E7">
        <w:rPr>
          <w:rFonts w:cs="Arial"/>
          <w:b/>
          <w:bCs/>
          <w:sz w:val="22"/>
          <w:szCs w:val="22"/>
        </w:rPr>
        <w:t>Respuesta:</w:t>
      </w:r>
    </w:p>
    <w:p w14:paraId="30876A44" w14:textId="77777777" w:rsidR="001073E7" w:rsidRDefault="001073E7" w:rsidP="0028726C">
      <w:pPr>
        <w:rPr>
          <w:rFonts w:cs="Arial"/>
          <w:sz w:val="22"/>
          <w:szCs w:val="22"/>
        </w:rPr>
      </w:pPr>
    </w:p>
    <w:p w14:paraId="0520BE3C" w14:textId="7F206EFD" w:rsidR="001073E7" w:rsidRDefault="001073E7" w:rsidP="0028726C">
      <w:pPr>
        <w:rPr>
          <w:rFonts w:cs="Arial"/>
          <w:sz w:val="22"/>
          <w:szCs w:val="22"/>
        </w:rPr>
      </w:pPr>
      <w:r>
        <w:rPr>
          <w:rFonts w:cs="Arial"/>
          <w:sz w:val="22"/>
          <w:szCs w:val="22"/>
        </w:rPr>
        <w:t>Se acoge el comentario.</w:t>
      </w:r>
    </w:p>
    <w:p w14:paraId="5B947156" w14:textId="77777777" w:rsidR="001073E7" w:rsidRDefault="001073E7" w:rsidP="0028726C">
      <w:pPr>
        <w:rPr>
          <w:rFonts w:cs="Arial"/>
          <w:sz w:val="22"/>
          <w:szCs w:val="22"/>
        </w:rPr>
      </w:pPr>
    </w:p>
    <w:p w14:paraId="16F510D3" w14:textId="2714E6F9" w:rsidR="001073E7" w:rsidRDefault="001073E7" w:rsidP="0028726C">
      <w:pPr>
        <w:rPr>
          <w:rFonts w:cs="Arial"/>
          <w:sz w:val="22"/>
          <w:szCs w:val="22"/>
        </w:rPr>
      </w:pPr>
      <w:r>
        <w:rPr>
          <w:rFonts w:cs="Arial"/>
          <w:sz w:val="22"/>
          <w:szCs w:val="22"/>
        </w:rPr>
        <w:t>Ver respuesta a</w:t>
      </w:r>
      <w:r w:rsidR="00B0210E">
        <w:rPr>
          <w:rFonts w:cs="Arial"/>
          <w:sz w:val="22"/>
          <w:szCs w:val="22"/>
        </w:rPr>
        <w:t xml:space="preserve"> </w:t>
      </w:r>
      <w:r w:rsidR="00B0210E">
        <w:rPr>
          <w:rFonts w:cs="Arial"/>
          <w:sz w:val="22"/>
          <w:szCs w:val="22"/>
        </w:rPr>
        <w:fldChar w:fldCharType="begin"/>
      </w:r>
      <w:r w:rsidR="00B0210E">
        <w:rPr>
          <w:rFonts w:cs="Arial"/>
          <w:sz w:val="22"/>
          <w:szCs w:val="22"/>
        </w:rPr>
        <w:instrText xml:space="preserve"> REF _Ref130564650 \r \h </w:instrText>
      </w:r>
      <w:r w:rsidR="00B0210E">
        <w:rPr>
          <w:rFonts w:cs="Arial"/>
          <w:sz w:val="22"/>
          <w:szCs w:val="22"/>
        </w:rPr>
      </w:r>
      <w:r w:rsidR="00B0210E">
        <w:rPr>
          <w:rFonts w:cs="Arial"/>
          <w:sz w:val="22"/>
          <w:szCs w:val="22"/>
        </w:rPr>
        <w:fldChar w:fldCharType="separate"/>
      </w:r>
      <w:r w:rsidR="00B0210E">
        <w:rPr>
          <w:rFonts w:cs="Arial"/>
          <w:sz w:val="22"/>
          <w:szCs w:val="22"/>
        </w:rPr>
        <w:t>1.6.1.1</w:t>
      </w:r>
      <w:r w:rsidR="00B0210E">
        <w:rPr>
          <w:rFonts w:cs="Arial"/>
          <w:sz w:val="22"/>
          <w:szCs w:val="22"/>
        </w:rPr>
        <w:fldChar w:fldCharType="end"/>
      </w:r>
      <w:r w:rsidR="00B0210E">
        <w:rPr>
          <w:rFonts w:cs="Arial"/>
          <w:sz w:val="22"/>
          <w:szCs w:val="22"/>
        </w:rPr>
        <w:t xml:space="preserve"> y a</w:t>
      </w:r>
      <w:r>
        <w:rPr>
          <w:rFonts w:cs="Arial"/>
          <w:sz w:val="22"/>
          <w:szCs w:val="22"/>
        </w:rPr>
        <w:t xml:space="preserve"> </w:t>
      </w:r>
      <w:r w:rsidR="00B0210E">
        <w:rPr>
          <w:rFonts w:cs="Arial"/>
          <w:sz w:val="22"/>
          <w:szCs w:val="22"/>
        </w:rPr>
        <w:fldChar w:fldCharType="begin"/>
      </w:r>
      <w:r w:rsidR="00B0210E">
        <w:rPr>
          <w:rFonts w:cs="Arial"/>
          <w:sz w:val="22"/>
          <w:szCs w:val="22"/>
        </w:rPr>
        <w:instrText xml:space="preserve"> REF _Ref132621441 \r \h </w:instrText>
      </w:r>
      <w:r w:rsidR="00B0210E">
        <w:rPr>
          <w:rFonts w:cs="Arial"/>
          <w:sz w:val="22"/>
          <w:szCs w:val="22"/>
        </w:rPr>
      </w:r>
      <w:r w:rsidR="00B0210E">
        <w:rPr>
          <w:rFonts w:cs="Arial"/>
          <w:sz w:val="22"/>
          <w:szCs w:val="22"/>
        </w:rPr>
        <w:fldChar w:fldCharType="separate"/>
      </w:r>
      <w:r w:rsidR="00B0210E">
        <w:rPr>
          <w:rFonts w:cs="Arial"/>
          <w:sz w:val="22"/>
          <w:szCs w:val="22"/>
        </w:rPr>
        <w:t>19.5.1.1</w:t>
      </w:r>
      <w:r w:rsidR="00B0210E">
        <w:rPr>
          <w:rFonts w:cs="Arial"/>
          <w:sz w:val="22"/>
          <w:szCs w:val="22"/>
        </w:rPr>
        <w:fldChar w:fldCharType="end"/>
      </w:r>
      <w:r w:rsidR="00B0210E">
        <w:rPr>
          <w:rFonts w:cs="Arial"/>
          <w:sz w:val="22"/>
          <w:szCs w:val="22"/>
        </w:rPr>
        <w:t>.</w:t>
      </w:r>
    </w:p>
    <w:p w14:paraId="69B241AC" w14:textId="77777777" w:rsidR="001073E7" w:rsidRPr="0028726C" w:rsidRDefault="001073E7" w:rsidP="0028726C">
      <w:pPr>
        <w:rPr>
          <w:rFonts w:cs="Arial"/>
          <w:sz w:val="22"/>
          <w:szCs w:val="22"/>
        </w:rPr>
      </w:pPr>
    </w:p>
    <w:p w14:paraId="79A16346" w14:textId="77777777" w:rsidR="000D05A3" w:rsidRDefault="000D05A3" w:rsidP="0028726C">
      <w:pPr>
        <w:rPr>
          <w:rFonts w:cs="Arial"/>
          <w:sz w:val="22"/>
          <w:szCs w:val="22"/>
        </w:rPr>
      </w:pPr>
    </w:p>
    <w:p w14:paraId="0750443A" w14:textId="77777777" w:rsidR="00C53D76" w:rsidRDefault="0028726C" w:rsidP="0090195C">
      <w:pPr>
        <w:pStyle w:val="Ttulo2"/>
      </w:pPr>
      <w:bookmarkStart w:id="840" w:name="_Toc140506442"/>
      <w:r w:rsidRPr="0028726C">
        <w:t>ISAGEN</w:t>
      </w:r>
      <w:bookmarkEnd w:id="840"/>
      <w:r w:rsidRPr="0028726C">
        <w:tab/>
      </w:r>
    </w:p>
    <w:p w14:paraId="2332EC25" w14:textId="77777777" w:rsidR="00002A82" w:rsidRDefault="00002A82" w:rsidP="000D05A3">
      <w:pPr>
        <w:pStyle w:val="Ttulo4"/>
      </w:pPr>
      <w:r w:rsidRPr="0028726C">
        <w:t>ISAGEN</w:t>
      </w:r>
      <w:r w:rsidRPr="0028726C">
        <w:tab/>
      </w:r>
    </w:p>
    <w:p w14:paraId="2733B46B" w14:textId="017A1DD4" w:rsidR="0028726C" w:rsidRPr="00B0210E" w:rsidRDefault="0028726C" w:rsidP="0028726C">
      <w:pPr>
        <w:rPr>
          <w:rFonts w:cs="Arial"/>
          <w:i/>
          <w:iCs/>
          <w:sz w:val="22"/>
          <w:szCs w:val="22"/>
        </w:rPr>
      </w:pPr>
      <w:r w:rsidRPr="0028726C">
        <w:rPr>
          <w:rFonts w:cs="Arial"/>
          <w:sz w:val="22"/>
          <w:szCs w:val="22"/>
        </w:rPr>
        <w:t>"</w:t>
      </w:r>
      <w:r w:rsidRPr="00B0210E">
        <w:rPr>
          <w:rFonts w:cs="Arial"/>
          <w:i/>
          <w:iCs/>
          <w:sz w:val="22"/>
          <w:szCs w:val="22"/>
        </w:rPr>
        <w:t>Entendemos que este es un mecanismo para garantizar el suministro de gas para la demanda ESENCIAL, y que para los trimestres en que el balance muestre que hay déficit, no vemos conveniente, y se desvirtúa el hecho, de realizar subastas para la asignación del gas, toda vez que el mecanismo de subasta se usa para crear competencia entre demandas diferentes que tiene requerimientos, necesidades de contratación y capacidad de pago diferente, pero para este caso, el tipo de demanda es la misma (esencial), en donde la capacidad de pago es semejante (hasta altos costos porque simplemente se trasfiere el precio al usuario final) e igual necesidad de abastecimiento (prioritaria o urgente) por ser demanda esencial. Situación que se agrava en las condiciones actuales del balance de gas en el país (oferta / demanda) donde en el corto plazo se presentará déficit de gas para la demanda no esencial y posteriormente para la demanda esencial.</w:t>
      </w:r>
    </w:p>
    <w:p w14:paraId="03276455" w14:textId="77777777" w:rsidR="00C53D76" w:rsidRPr="00B0210E" w:rsidRDefault="00C53D76" w:rsidP="0028726C">
      <w:pPr>
        <w:rPr>
          <w:rFonts w:cs="Arial"/>
          <w:i/>
          <w:iCs/>
          <w:sz w:val="22"/>
          <w:szCs w:val="22"/>
        </w:rPr>
      </w:pPr>
    </w:p>
    <w:p w14:paraId="059D35DB" w14:textId="2404824E" w:rsidR="0028726C" w:rsidRPr="00B0210E" w:rsidRDefault="0028726C" w:rsidP="0028726C">
      <w:pPr>
        <w:rPr>
          <w:rFonts w:cs="Arial"/>
          <w:i/>
          <w:iCs/>
          <w:sz w:val="22"/>
          <w:szCs w:val="22"/>
        </w:rPr>
      </w:pPr>
      <w:r w:rsidRPr="00B0210E">
        <w:rPr>
          <w:rFonts w:cs="Arial"/>
          <w:i/>
          <w:iCs/>
          <w:sz w:val="22"/>
          <w:szCs w:val="22"/>
        </w:rPr>
        <w:t>Teniendo en cuenta lo anterior, proponemos que en los trimestres donde se presente déficit de gas, las cantidades de gas disponibles se repartan proporcionalmente entre la demanda esencial a atender, para esto los agentes que atienden dicha demanda deberán justificar y certificar las cantidades solicitadas, esto para evitar especulaciones en las cantidades para tener en cuenta en la prorrata. Este mecanismo es semejante al utili</w:t>
      </w:r>
      <w:r w:rsidR="00356B03">
        <w:rPr>
          <w:rFonts w:cs="Arial"/>
          <w:i/>
          <w:iCs/>
          <w:sz w:val="22"/>
          <w:szCs w:val="22"/>
        </w:rPr>
        <w:t>z</w:t>
      </w:r>
      <w:r w:rsidRPr="00B0210E">
        <w:rPr>
          <w:rFonts w:cs="Arial"/>
          <w:i/>
          <w:iCs/>
          <w:sz w:val="22"/>
          <w:szCs w:val="22"/>
        </w:rPr>
        <w:t>ado para asignar la capacidad de transporte cuando se presenta déficit, se prioriza a la demanda regulada y la asignación se realiza a prorrata, según lo definido en la Resolución CREG 185 de 2020."</w:t>
      </w:r>
    </w:p>
    <w:p w14:paraId="23542C38" w14:textId="77777777" w:rsidR="00B0210E" w:rsidRDefault="00B0210E" w:rsidP="0028726C">
      <w:pPr>
        <w:rPr>
          <w:rFonts w:cs="Arial"/>
          <w:sz w:val="22"/>
          <w:szCs w:val="22"/>
        </w:rPr>
      </w:pPr>
    </w:p>
    <w:p w14:paraId="4AB51B3C" w14:textId="403786D8" w:rsidR="00B0210E" w:rsidRPr="00B0210E" w:rsidRDefault="00B0210E" w:rsidP="0028726C">
      <w:pPr>
        <w:rPr>
          <w:rFonts w:cs="Arial"/>
          <w:b/>
          <w:bCs/>
          <w:sz w:val="22"/>
          <w:szCs w:val="22"/>
        </w:rPr>
      </w:pPr>
      <w:r w:rsidRPr="00B0210E">
        <w:rPr>
          <w:rFonts w:cs="Arial"/>
          <w:b/>
          <w:bCs/>
          <w:sz w:val="22"/>
          <w:szCs w:val="22"/>
        </w:rPr>
        <w:t>Respuesta:</w:t>
      </w:r>
    </w:p>
    <w:p w14:paraId="15EBC466" w14:textId="77777777" w:rsidR="00B0210E" w:rsidRDefault="00B0210E" w:rsidP="0028726C">
      <w:pPr>
        <w:rPr>
          <w:rFonts w:cs="Arial"/>
          <w:sz w:val="22"/>
          <w:szCs w:val="22"/>
        </w:rPr>
      </w:pPr>
    </w:p>
    <w:p w14:paraId="09F96D1C" w14:textId="5FCA2EB7" w:rsidR="00356B03" w:rsidRDefault="003E39E8" w:rsidP="0028726C">
      <w:pPr>
        <w:rPr>
          <w:rFonts w:cs="Arial"/>
          <w:sz w:val="22"/>
          <w:szCs w:val="22"/>
        </w:rPr>
      </w:pPr>
      <w:r>
        <w:rPr>
          <w:rFonts w:cs="Arial"/>
          <w:sz w:val="22"/>
          <w:szCs w:val="22"/>
        </w:rPr>
        <w:t xml:space="preserve">Efectivamente la propuesta inicial se asemeja a la manera en que se asigna la capacidad de transporte en la Resolución CREG 185 de 2020. </w:t>
      </w:r>
      <w:r w:rsidR="00356B03">
        <w:rPr>
          <w:rFonts w:cs="Arial"/>
          <w:sz w:val="22"/>
          <w:szCs w:val="22"/>
        </w:rPr>
        <w:t xml:space="preserve">La atención de la Demanda Esencial tiene prelación de asignación operativa de gas cuando se presentan las condiciones que se fijan en el Decreto 1073 de 2015 por insuficiencia de gas natural, ya sea originada por la infraestructura de suministro o por la de transporte, o cuando </w:t>
      </w:r>
      <w:r w:rsidR="00894BF8" w:rsidRPr="00894BF8">
        <w:rPr>
          <w:rFonts w:cs="Arial"/>
          <w:sz w:val="22"/>
          <w:szCs w:val="22"/>
        </w:rPr>
        <w:t>se trate de Racionamiento Programado de Gas Natural</w:t>
      </w:r>
      <w:r w:rsidR="00894BF8">
        <w:rPr>
          <w:rFonts w:cs="Arial"/>
          <w:sz w:val="22"/>
          <w:szCs w:val="22"/>
        </w:rPr>
        <w:t xml:space="preserve"> del MME</w:t>
      </w:r>
      <w:r w:rsidR="00356B03">
        <w:rPr>
          <w:rFonts w:cs="Arial"/>
          <w:sz w:val="22"/>
          <w:szCs w:val="22"/>
        </w:rPr>
        <w:t xml:space="preserve">. </w:t>
      </w:r>
    </w:p>
    <w:p w14:paraId="246A0232" w14:textId="77777777" w:rsidR="00894BF8" w:rsidRDefault="00894BF8" w:rsidP="0028726C">
      <w:pPr>
        <w:rPr>
          <w:rFonts w:cs="Arial"/>
          <w:sz w:val="22"/>
          <w:szCs w:val="22"/>
        </w:rPr>
      </w:pPr>
    </w:p>
    <w:p w14:paraId="4BC409BD" w14:textId="614C230B" w:rsidR="00894BF8" w:rsidRDefault="00894BF8" w:rsidP="0028726C">
      <w:pPr>
        <w:rPr>
          <w:rFonts w:cs="Arial"/>
          <w:sz w:val="22"/>
          <w:szCs w:val="22"/>
        </w:rPr>
      </w:pPr>
      <w:r>
        <w:rPr>
          <w:rFonts w:cs="Arial"/>
          <w:sz w:val="22"/>
          <w:szCs w:val="22"/>
        </w:rPr>
        <w:t>En la propuesta inicialmente publicada en la Resolución CREG se estableció la manera en que el Gestor del Mercado debía distribuir las cantidades ofrecidas de PTDVF/CIDVF entre las cantidades requeridas para atender la Demanda Esencial, que es básicamente a prorrata entre participación de vendedores y participación de compradores. En la nueva propuesta se añaden las ecuaciones que se deberán aplicar por parte del Gestor del Mercado, para dar claridad adicional al respecto.</w:t>
      </w:r>
    </w:p>
    <w:p w14:paraId="4DAD2421" w14:textId="77777777" w:rsidR="00894BF8" w:rsidRDefault="00894BF8" w:rsidP="0028726C">
      <w:pPr>
        <w:rPr>
          <w:rFonts w:cs="Arial"/>
          <w:sz w:val="22"/>
          <w:szCs w:val="22"/>
        </w:rPr>
      </w:pPr>
    </w:p>
    <w:p w14:paraId="42B1E986" w14:textId="4799E46E" w:rsidR="00894BF8" w:rsidRDefault="00894BF8" w:rsidP="0028726C">
      <w:pPr>
        <w:rPr>
          <w:rFonts w:cs="Arial"/>
          <w:sz w:val="22"/>
          <w:szCs w:val="22"/>
        </w:rPr>
      </w:pPr>
      <w:r>
        <w:rPr>
          <w:rFonts w:cs="Arial"/>
          <w:sz w:val="22"/>
          <w:szCs w:val="22"/>
        </w:rPr>
        <w:t xml:space="preserve">Sin embargo, se debe tener en cuenta </w:t>
      </w:r>
      <w:r w:rsidR="003E39E8">
        <w:rPr>
          <w:rFonts w:cs="Arial"/>
          <w:sz w:val="22"/>
          <w:szCs w:val="22"/>
        </w:rPr>
        <w:t xml:space="preserve">que los compradores no están obligados a comprar en un solo trimestre de negociación la totalidad de las cantidades requeridas para atender la Demanda Esencial de un </w:t>
      </w:r>
      <w:r w:rsidR="009D22E9">
        <w:rPr>
          <w:rFonts w:cs="Arial"/>
          <w:sz w:val="22"/>
          <w:szCs w:val="22"/>
        </w:rPr>
        <w:t>trimestre estándar de ejecución</w:t>
      </w:r>
      <w:r w:rsidR="003E39E8">
        <w:rPr>
          <w:rFonts w:cs="Arial"/>
          <w:sz w:val="22"/>
          <w:szCs w:val="22"/>
        </w:rPr>
        <w:t xml:space="preserve"> futuro, ni se establecen porcentajes o cantidades mínimas para ser adquiridas en trimestres específicos de negociación previos al </w:t>
      </w:r>
      <w:r w:rsidR="009D22E9">
        <w:rPr>
          <w:rFonts w:cs="Arial"/>
          <w:sz w:val="22"/>
          <w:szCs w:val="22"/>
        </w:rPr>
        <w:t>trimestre estándar de ejecución</w:t>
      </w:r>
      <w:r w:rsidR="003E39E8">
        <w:rPr>
          <w:rFonts w:cs="Arial"/>
          <w:sz w:val="22"/>
          <w:szCs w:val="22"/>
        </w:rPr>
        <w:t>.</w:t>
      </w:r>
    </w:p>
    <w:p w14:paraId="1DD7FF54" w14:textId="77777777" w:rsidR="00B0210E" w:rsidRPr="0028726C" w:rsidRDefault="00B0210E" w:rsidP="0028726C">
      <w:pPr>
        <w:rPr>
          <w:rFonts w:cs="Arial"/>
          <w:sz w:val="22"/>
          <w:szCs w:val="22"/>
        </w:rPr>
      </w:pPr>
    </w:p>
    <w:p w14:paraId="6232E5D4" w14:textId="77777777" w:rsidR="00C53D76" w:rsidRDefault="00C53D76" w:rsidP="0028726C">
      <w:pPr>
        <w:rPr>
          <w:rFonts w:cs="Arial"/>
          <w:sz w:val="22"/>
          <w:szCs w:val="22"/>
        </w:rPr>
      </w:pPr>
    </w:p>
    <w:p w14:paraId="3201F18D" w14:textId="77777777" w:rsidR="00C53D76" w:rsidRDefault="0028726C" w:rsidP="000D05A3">
      <w:pPr>
        <w:pStyle w:val="Ttulo4"/>
      </w:pPr>
      <w:r w:rsidRPr="0028726C">
        <w:t>ISAGEN</w:t>
      </w:r>
      <w:r w:rsidRPr="0028726C">
        <w:tab/>
      </w:r>
    </w:p>
    <w:p w14:paraId="7B27C2E2" w14:textId="7928EC66" w:rsidR="0028726C" w:rsidRPr="00384BDB" w:rsidRDefault="0028726C" w:rsidP="0028726C">
      <w:pPr>
        <w:rPr>
          <w:rFonts w:cs="Arial"/>
          <w:i/>
          <w:iCs/>
          <w:sz w:val="22"/>
          <w:szCs w:val="22"/>
        </w:rPr>
      </w:pPr>
      <w:r w:rsidRPr="0028726C">
        <w:rPr>
          <w:rFonts w:cs="Arial"/>
          <w:sz w:val="22"/>
          <w:szCs w:val="22"/>
        </w:rPr>
        <w:t>"</w:t>
      </w:r>
      <w:r w:rsidRPr="00384BDB">
        <w:rPr>
          <w:rFonts w:cs="Arial"/>
          <w:i/>
          <w:iCs/>
          <w:sz w:val="22"/>
          <w:szCs w:val="22"/>
        </w:rPr>
        <w:t>Adicionar contratos firmes 80% - CF80.</w:t>
      </w:r>
    </w:p>
    <w:p w14:paraId="3F6C5E60" w14:textId="77777777" w:rsidR="0028726C" w:rsidRPr="00384BDB" w:rsidRDefault="0028726C" w:rsidP="0028726C">
      <w:pPr>
        <w:rPr>
          <w:rFonts w:cs="Arial"/>
          <w:i/>
          <w:iCs/>
          <w:sz w:val="22"/>
          <w:szCs w:val="22"/>
        </w:rPr>
      </w:pPr>
      <w:r w:rsidRPr="00384BDB">
        <w:rPr>
          <w:rFonts w:cs="Arial"/>
          <w:i/>
          <w:iCs/>
          <w:sz w:val="22"/>
          <w:szCs w:val="22"/>
        </w:rPr>
        <w:t>Unificar las siglas del Contrato de Firmeza Condicionada, en algunas partes esta CFC (definición) y en otras CSFC."</w:t>
      </w:r>
    </w:p>
    <w:p w14:paraId="26E37B10" w14:textId="77777777" w:rsidR="00384BDB" w:rsidRDefault="00384BDB" w:rsidP="0028726C">
      <w:pPr>
        <w:rPr>
          <w:rFonts w:cs="Arial"/>
          <w:sz w:val="22"/>
          <w:szCs w:val="22"/>
        </w:rPr>
      </w:pPr>
    </w:p>
    <w:p w14:paraId="796648F4" w14:textId="0ABB92A3" w:rsidR="00384BDB" w:rsidRPr="00384BDB" w:rsidRDefault="00384BDB" w:rsidP="0028726C">
      <w:pPr>
        <w:rPr>
          <w:rFonts w:cs="Arial"/>
          <w:b/>
          <w:bCs/>
          <w:sz w:val="22"/>
          <w:szCs w:val="22"/>
        </w:rPr>
      </w:pPr>
      <w:r w:rsidRPr="00384BDB">
        <w:rPr>
          <w:rFonts w:cs="Arial"/>
          <w:b/>
          <w:bCs/>
          <w:sz w:val="22"/>
          <w:szCs w:val="22"/>
        </w:rPr>
        <w:t>Respuesta:</w:t>
      </w:r>
    </w:p>
    <w:p w14:paraId="4F5FA663" w14:textId="77777777" w:rsidR="00384BDB" w:rsidRDefault="00384BDB" w:rsidP="0028726C">
      <w:pPr>
        <w:rPr>
          <w:rFonts w:cs="Arial"/>
          <w:sz w:val="22"/>
          <w:szCs w:val="22"/>
        </w:rPr>
      </w:pPr>
    </w:p>
    <w:p w14:paraId="5B964597" w14:textId="28DCD493" w:rsidR="00384BDB" w:rsidRDefault="00A059D7" w:rsidP="0028726C">
      <w:pPr>
        <w:rPr>
          <w:rFonts w:cs="Arial"/>
          <w:sz w:val="22"/>
          <w:szCs w:val="22"/>
        </w:rPr>
      </w:pPr>
      <w:r>
        <w:rPr>
          <w:rFonts w:cs="Arial"/>
          <w:sz w:val="22"/>
          <w:szCs w:val="22"/>
        </w:rPr>
        <w:t>Se acoge el comentario.</w:t>
      </w:r>
    </w:p>
    <w:p w14:paraId="34BBE605" w14:textId="77777777" w:rsidR="00A059D7" w:rsidRDefault="00A059D7" w:rsidP="0028726C">
      <w:pPr>
        <w:rPr>
          <w:rFonts w:cs="Arial"/>
          <w:sz w:val="22"/>
          <w:szCs w:val="22"/>
        </w:rPr>
      </w:pPr>
    </w:p>
    <w:p w14:paraId="2AA431ED" w14:textId="72365160" w:rsidR="00A059D7" w:rsidRPr="0028726C" w:rsidRDefault="00A059D7" w:rsidP="0028726C">
      <w:pPr>
        <w:rPr>
          <w:rFonts w:cs="Arial"/>
          <w:sz w:val="22"/>
          <w:szCs w:val="22"/>
        </w:rPr>
      </w:pPr>
      <w:r>
        <w:rPr>
          <w:rFonts w:cs="Arial"/>
          <w:sz w:val="22"/>
          <w:szCs w:val="22"/>
        </w:rPr>
        <w:t>En la nueva propuesta se realizan los ajustes correspondientes para que el acrónimo sea CFC.</w:t>
      </w:r>
    </w:p>
    <w:p w14:paraId="03339E74" w14:textId="77777777" w:rsidR="00C53D76" w:rsidRDefault="00C53D76" w:rsidP="0028726C">
      <w:pPr>
        <w:rPr>
          <w:rFonts w:cs="Arial"/>
          <w:sz w:val="22"/>
          <w:szCs w:val="22"/>
        </w:rPr>
      </w:pPr>
    </w:p>
    <w:p w14:paraId="6E1AE589" w14:textId="77777777" w:rsidR="00C53D76" w:rsidRDefault="00C53D76" w:rsidP="0028726C">
      <w:pPr>
        <w:rPr>
          <w:rFonts w:cs="Arial"/>
          <w:sz w:val="22"/>
          <w:szCs w:val="22"/>
        </w:rPr>
      </w:pPr>
    </w:p>
    <w:p w14:paraId="738DFED7" w14:textId="77777777" w:rsidR="00C53D76" w:rsidRDefault="0028726C" w:rsidP="0090195C">
      <w:pPr>
        <w:pStyle w:val="Ttulo2"/>
      </w:pPr>
      <w:bookmarkStart w:id="841" w:name="_Toc140506443"/>
      <w:r w:rsidRPr="0028726C">
        <w:t>MC2 S.A. E.S.P.</w:t>
      </w:r>
      <w:bookmarkEnd w:id="841"/>
      <w:r w:rsidRPr="0028726C">
        <w:tab/>
      </w:r>
    </w:p>
    <w:p w14:paraId="1B55E1EE" w14:textId="77777777" w:rsidR="00002A82" w:rsidRDefault="00002A82" w:rsidP="000D05A3">
      <w:pPr>
        <w:pStyle w:val="Ttulo4"/>
      </w:pPr>
      <w:r w:rsidRPr="0028726C">
        <w:t>MC2 S.A. E.S.P.</w:t>
      </w:r>
      <w:r w:rsidRPr="0028726C">
        <w:tab/>
      </w:r>
    </w:p>
    <w:p w14:paraId="3B6D4F88" w14:textId="5CCA2529" w:rsidR="0028726C" w:rsidRPr="00B151D0" w:rsidRDefault="0028726C" w:rsidP="0028726C">
      <w:pPr>
        <w:rPr>
          <w:rFonts w:cs="Arial"/>
          <w:i/>
          <w:iCs/>
          <w:sz w:val="22"/>
          <w:szCs w:val="22"/>
        </w:rPr>
      </w:pPr>
      <w:r w:rsidRPr="0028726C">
        <w:rPr>
          <w:rFonts w:cs="Arial"/>
          <w:sz w:val="22"/>
          <w:szCs w:val="22"/>
        </w:rPr>
        <w:t>"</w:t>
      </w:r>
      <w:r w:rsidRPr="00B151D0">
        <w:rPr>
          <w:rFonts w:cs="Arial"/>
          <w:i/>
          <w:iCs/>
          <w:sz w:val="22"/>
          <w:szCs w:val="22"/>
        </w:rPr>
        <w:t xml:space="preserve">El numeral romano v., del literal c, del numeral 1 establece que </w:t>
      </w:r>
      <w:r w:rsidR="00641AA3">
        <w:rPr>
          <w:rFonts w:cs="Arial"/>
          <w:i/>
          <w:iCs/>
          <w:sz w:val="22"/>
          <w:szCs w:val="22"/>
        </w:rPr>
        <w:t>‘</w:t>
      </w:r>
      <w:r w:rsidRPr="00B151D0">
        <w:rPr>
          <w:rFonts w:cs="Arial"/>
          <w:i/>
          <w:iCs/>
          <w:sz w:val="22"/>
          <w:szCs w:val="22"/>
        </w:rPr>
        <w:t>En el caso de los usuarios no regulados que participan como compradores en el mercado primario, se requiere que la información sea presentada, bien sea directamente, o a través de un comercializador mayorista, con el fin de evitar duplicidad de las cantidades a contratar.</w:t>
      </w:r>
      <w:r w:rsidR="00641AA3">
        <w:rPr>
          <w:rFonts w:cs="Arial"/>
          <w:i/>
          <w:iCs/>
          <w:sz w:val="22"/>
          <w:szCs w:val="22"/>
        </w:rPr>
        <w:t>’</w:t>
      </w:r>
      <w:r w:rsidRPr="00B151D0">
        <w:rPr>
          <w:rFonts w:cs="Arial"/>
          <w:i/>
          <w:iCs/>
          <w:sz w:val="22"/>
          <w:szCs w:val="22"/>
        </w:rPr>
        <w:t xml:space="preserve"> </w:t>
      </w:r>
    </w:p>
    <w:p w14:paraId="6B90F942" w14:textId="77777777" w:rsidR="0028726C" w:rsidRPr="00B151D0" w:rsidRDefault="0028726C" w:rsidP="0028726C">
      <w:pPr>
        <w:rPr>
          <w:rFonts w:cs="Arial"/>
          <w:i/>
          <w:iCs/>
          <w:sz w:val="22"/>
          <w:szCs w:val="22"/>
        </w:rPr>
      </w:pPr>
    </w:p>
    <w:p w14:paraId="33B7458C" w14:textId="7929AA2B" w:rsidR="0028726C" w:rsidRDefault="0028726C" w:rsidP="0028726C">
      <w:pPr>
        <w:rPr>
          <w:rFonts w:cs="Arial"/>
          <w:sz w:val="22"/>
          <w:szCs w:val="22"/>
        </w:rPr>
      </w:pPr>
      <w:r w:rsidRPr="00B151D0">
        <w:rPr>
          <w:rFonts w:cs="Arial"/>
          <w:i/>
          <w:iCs/>
          <w:sz w:val="22"/>
          <w:szCs w:val="22"/>
        </w:rPr>
        <w:t xml:space="preserve">No hay claridad sobre el control y/o verificación que se realizará sobre la posible duplicidad en las cantidades contratadas. La expresión </w:t>
      </w:r>
      <w:r w:rsidR="00641AA3">
        <w:rPr>
          <w:rFonts w:cs="Arial"/>
          <w:i/>
          <w:iCs/>
          <w:sz w:val="22"/>
          <w:szCs w:val="22"/>
        </w:rPr>
        <w:t>‘</w:t>
      </w:r>
      <w:r w:rsidRPr="00B151D0">
        <w:rPr>
          <w:rFonts w:cs="Arial"/>
          <w:i/>
          <w:iCs/>
          <w:sz w:val="22"/>
          <w:szCs w:val="22"/>
        </w:rPr>
        <w:t>bien sea directamente, o a través de un comercializador mayorista</w:t>
      </w:r>
      <w:r w:rsidR="00641AA3">
        <w:rPr>
          <w:rFonts w:cs="Arial"/>
          <w:i/>
          <w:iCs/>
          <w:sz w:val="22"/>
          <w:szCs w:val="22"/>
        </w:rPr>
        <w:t>’</w:t>
      </w:r>
      <w:r w:rsidRPr="00B151D0">
        <w:rPr>
          <w:rFonts w:cs="Arial"/>
          <w:i/>
          <w:iCs/>
          <w:sz w:val="22"/>
          <w:szCs w:val="22"/>
        </w:rPr>
        <w:t xml:space="preserve"> no ofrece suficiente claridad sobre la manera en la que en uno u otro caso habrá una verificación del gestor de que no exista, en efecto, duplicidad</w:t>
      </w:r>
      <w:r w:rsidRPr="0028726C">
        <w:rPr>
          <w:rFonts w:cs="Arial"/>
          <w:sz w:val="22"/>
          <w:szCs w:val="22"/>
        </w:rPr>
        <w:t>."</w:t>
      </w:r>
    </w:p>
    <w:p w14:paraId="176926B9" w14:textId="77777777" w:rsidR="00B151D0" w:rsidRDefault="00B151D0" w:rsidP="0028726C">
      <w:pPr>
        <w:rPr>
          <w:rFonts w:cs="Arial"/>
          <w:sz w:val="22"/>
          <w:szCs w:val="22"/>
        </w:rPr>
      </w:pPr>
    </w:p>
    <w:p w14:paraId="547E28A0" w14:textId="309267BA" w:rsidR="00B151D0" w:rsidRPr="00B151D0" w:rsidRDefault="00B151D0" w:rsidP="0028726C">
      <w:pPr>
        <w:rPr>
          <w:rFonts w:cs="Arial"/>
          <w:b/>
          <w:bCs/>
          <w:sz w:val="22"/>
          <w:szCs w:val="22"/>
        </w:rPr>
      </w:pPr>
      <w:r w:rsidRPr="00B151D0">
        <w:rPr>
          <w:rFonts w:cs="Arial"/>
          <w:b/>
          <w:bCs/>
          <w:sz w:val="22"/>
          <w:szCs w:val="22"/>
        </w:rPr>
        <w:t>Respuesta:</w:t>
      </w:r>
    </w:p>
    <w:p w14:paraId="12A14CC1" w14:textId="77777777" w:rsidR="00B151D0" w:rsidRDefault="00B151D0" w:rsidP="0028726C">
      <w:pPr>
        <w:rPr>
          <w:rFonts w:cs="Arial"/>
          <w:sz w:val="22"/>
          <w:szCs w:val="22"/>
        </w:rPr>
      </w:pPr>
    </w:p>
    <w:p w14:paraId="1462B614" w14:textId="0F56D1E4" w:rsidR="00B151D0" w:rsidRDefault="00EF1583" w:rsidP="0028726C">
      <w:pPr>
        <w:rPr>
          <w:rFonts w:cs="Arial"/>
          <w:sz w:val="22"/>
          <w:szCs w:val="22"/>
        </w:rPr>
      </w:pPr>
      <w:r>
        <w:rPr>
          <w:rFonts w:cs="Arial"/>
          <w:sz w:val="22"/>
          <w:szCs w:val="22"/>
        </w:rPr>
        <w:t xml:space="preserve">El escenario más complejo es cuando un usuario no regulado acude a un comercializador para que represente sus cantidades requeridas y decide declarar al Gestor del Mercado simultáneamente cantidades con el mismo fin al Gestor del Mercado, o cuando acude a dos comercializadores simultáneamente. El procedimiento propuesto induce a que los agentes compradores del Mercado Primario, que prefieren las negociaciones directas como mecanismos de comercialización antes que el mecanismo de subasta, sean lo más precisos en las cantidades requeridas que declaran al Gestor del Mercado en la segunda instancia, de modo de no requerir cantidades con alto riesgo de comercialización final.   </w:t>
      </w:r>
    </w:p>
    <w:p w14:paraId="3164A79C" w14:textId="77777777" w:rsidR="00EF1583" w:rsidRDefault="00EF1583" w:rsidP="0028726C">
      <w:pPr>
        <w:rPr>
          <w:rFonts w:cs="Arial"/>
          <w:sz w:val="22"/>
          <w:szCs w:val="22"/>
        </w:rPr>
      </w:pPr>
    </w:p>
    <w:p w14:paraId="054C45E4" w14:textId="15134600" w:rsidR="00EF1583" w:rsidRDefault="00EF1583" w:rsidP="0028726C">
      <w:pPr>
        <w:rPr>
          <w:rFonts w:cs="Arial"/>
          <w:sz w:val="22"/>
          <w:szCs w:val="22"/>
        </w:rPr>
      </w:pPr>
      <w:r>
        <w:rPr>
          <w:rFonts w:cs="Arial"/>
          <w:sz w:val="22"/>
          <w:szCs w:val="22"/>
        </w:rPr>
        <w:t xml:space="preserve">En todo caso, en la propuesta se hace mención específica del </w:t>
      </w:r>
      <w:r w:rsidR="00771225">
        <w:rPr>
          <w:rFonts w:cs="Arial"/>
          <w:sz w:val="22"/>
          <w:szCs w:val="22"/>
        </w:rPr>
        <w:t xml:space="preserve">deber de </w:t>
      </w:r>
      <w:r>
        <w:rPr>
          <w:rFonts w:cs="Arial"/>
          <w:sz w:val="22"/>
          <w:szCs w:val="22"/>
        </w:rPr>
        <w:t xml:space="preserve">cumplimiento de las </w:t>
      </w:r>
      <w:r w:rsidR="00771225">
        <w:rPr>
          <w:rFonts w:cs="Arial"/>
          <w:sz w:val="22"/>
          <w:szCs w:val="22"/>
        </w:rPr>
        <w:t>r</w:t>
      </w:r>
      <w:r>
        <w:rPr>
          <w:rFonts w:cs="Arial"/>
          <w:sz w:val="22"/>
          <w:szCs w:val="22"/>
        </w:rPr>
        <w:t xml:space="preserve">eglas de </w:t>
      </w:r>
      <w:r w:rsidR="00771225">
        <w:rPr>
          <w:rFonts w:cs="Arial"/>
          <w:sz w:val="22"/>
          <w:szCs w:val="22"/>
        </w:rPr>
        <w:t>c</w:t>
      </w:r>
      <w:r>
        <w:rPr>
          <w:rFonts w:cs="Arial"/>
          <w:sz w:val="22"/>
          <w:szCs w:val="22"/>
        </w:rPr>
        <w:t>omportamiento de la Resolución CREG 080 de 2019 o aquellas que la modifiquen o sustituyan.</w:t>
      </w:r>
    </w:p>
    <w:p w14:paraId="6F8CA1AD" w14:textId="77777777" w:rsidR="00B151D0" w:rsidRPr="0028726C" w:rsidRDefault="00B151D0" w:rsidP="0028726C">
      <w:pPr>
        <w:rPr>
          <w:rFonts w:cs="Arial"/>
          <w:sz w:val="22"/>
          <w:szCs w:val="22"/>
        </w:rPr>
      </w:pPr>
    </w:p>
    <w:p w14:paraId="16B91B50" w14:textId="77777777" w:rsidR="00C53D76" w:rsidRDefault="00C53D76" w:rsidP="0028726C">
      <w:pPr>
        <w:rPr>
          <w:rFonts w:cs="Arial"/>
          <w:sz w:val="22"/>
          <w:szCs w:val="22"/>
        </w:rPr>
      </w:pPr>
    </w:p>
    <w:p w14:paraId="46589672" w14:textId="77777777" w:rsidR="00C53D76" w:rsidRDefault="0028726C" w:rsidP="000D05A3">
      <w:pPr>
        <w:pStyle w:val="Ttulo4"/>
      </w:pPr>
      <w:r w:rsidRPr="0028726C">
        <w:t>MC2 S.A. E.S.P.</w:t>
      </w:r>
      <w:r w:rsidRPr="0028726C">
        <w:tab/>
      </w:r>
    </w:p>
    <w:p w14:paraId="18F3ED58" w14:textId="463B8F80" w:rsidR="0028726C" w:rsidRPr="00EF1583" w:rsidRDefault="00E2715B" w:rsidP="0028726C">
      <w:pPr>
        <w:rPr>
          <w:rFonts w:cs="Arial"/>
          <w:i/>
          <w:iCs/>
          <w:sz w:val="22"/>
          <w:szCs w:val="22"/>
        </w:rPr>
      </w:pPr>
      <w:r>
        <w:rPr>
          <w:rFonts w:cs="Arial"/>
          <w:i/>
          <w:iCs/>
          <w:sz w:val="22"/>
          <w:szCs w:val="22"/>
        </w:rPr>
        <w:t>“</w:t>
      </w:r>
      <w:r w:rsidR="0028726C" w:rsidRPr="00EF1583">
        <w:rPr>
          <w:rFonts w:cs="Arial"/>
          <w:i/>
          <w:iCs/>
          <w:sz w:val="22"/>
          <w:szCs w:val="22"/>
        </w:rPr>
        <w:t>En términos generales el artículo 21 busca regular y explicar en detalle el procedimiento MADE. Sin embargo, es un artículo que tiene un contenido denso, muy largo (más de 10 páginas) que no es fácilmente legible y entendible. La interpretación de las reglas aplicables al MADE no puede estar sujeta a una figura o explicación dentro del documento base; la norma, por sí sola, debe otorgar suficiente claridad.</w:t>
      </w:r>
      <w:r>
        <w:rPr>
          <w:rFonts w:cs="Arial"/>
          <w:i/>
          <w:iCs/>
          <w:sz w:val="22"/>
          <w:szCs w:val="22"/>
        </w:rPr>
        <w:t>”</w:t>
      </w:r>
    </w:p>
    <w:p w14:paraId="045A7C20" w14:textId="77777777" w:rsidR="00EF1583" w:rsidRDefault="00EF1583" w:rsidP="0028726C">
      <w:pPr>
        <w:rPr>
          <w:rFonts w:cs="Arial"/>
          <w:sz w:val="22"/>
          <w:szCs w:val="22"/>
        </w:rPr>
      </w:pPr>
    </w:p>
    <w:p w14:paraId="46AABCDF" w14:textId="3C0CC531" w:rsidR="00EF1583" w:rsidRPr="00EF1583" w:rsidRDefault="00EF1583" w:rsidP="0028726C">
      <w:pPr>
        <w:rPr>
          <w:rFonts w:cs="Arial"/>
          <w:b/>
          <w:bCs/>
          <w:sz w:val="22"/>
          <w:szCs w:val="22"/>
        </w:rPr>
      </w:pPr>
      <w:r w:rsidRPr="00EF1583">
        <w:rPr>
          <w:rFonts w:cs="Arial"/>
          <w:b/>
          <w:bCs/>
          <w:sz w:val="22"/>
          <w:szCs w:val="22"/>
        </w:rPr>
        <w:t>Respuesta:</w:t>
      </w:r>
    </w:p>
    <w:p w14:paraId="003B939D" w14:textId="77777777" w:rsidR="00EF1583" w:rsidRDefault="00EF1583" w:rsidP="0028726C">
      <w:pPr>
        <w:rPr>
          <w:rFonts w:cs="Arial"/>
          <w:sz w:val="22"/>
          <w:szCs w:val="22"/>
        </w:rPr>
      </w:pPr>
    </w:p>
    <w:p w14:paraId="55A1CE83" w14:textId="73F20D50" w:rsidR="00771225" w:rsidRDefault="00771225" w:rsidP="0028726C">
      <w:pPr>
        <w:rPr>
          <w:rFonts w:cs="Arial"/>
          <w:sz w:val="22"/>
          <w:szCs w:val="22"/>
        </w:rPr>
      </w:pPr>
      <w:r>
        <w:rPr>
          <w:rFonts w:cs="Arial"/>
          <w:sz w:val="22"/>
          <w:szCs w:val="22"/>
        </w:rPr>
        <w:t>Se acoge el comentario.</w:t>
      </w:r>
    </w:p>
    <w:p w14:paraId="25DF6937" w14:textId="77777777" w:rsidR="00771225" w:rsidRDefault="00771225" w:rsidP="0028726C">
      <w:pPr>
        <w:rPr>
          <w:rFonts w:cs="Arial"/>
          <w:sz w:val="22"/>
          <w:szCs w:val="22"/>
        </w:rPr>
      </w:pPr>
    </w:p>
    <w:p w14:paraId="15C9A600" w14:textId="4E722AAE" w:rsidR="00771225" w:rsidRDefault="00771225" w:rsidP="0028726C">
      <w:pPr>
        <w:rPr>
          <w:rFonts w:cs="Arial"/>
          <w:sz w:val="22"/>
          <w:szCs w:val="22"/>
        </w:rPr>
      </w:pPr>
      <w:r>
        <w:rPr>
          <w:rFonts w:cs="Arial"/>
          <w:sz w:val="22"/>
          <w:szCs w:val="22"/>
        </w:rPr>
        <w:t xml:space="preserve">En la nueva propuesta el </w:t>
      </w:r>
      <w:r w:rsidR="00457300">
        <w:rPr>
          <w:rFonts w:cs="Arial"/>
          <w:sz w:val="22"/>
          <w:szCs w:val="22"/>
        </w:rPr>
        <w:t>a</w:t>
      </w:r>
      <w:r>
        <w:rPr>
          <w:rFonts w:cs="Arial"/>
          <w:sz w:val="22"/>
          <w:szCs w:val="22"/>
        </w:rPr>
        <w:t>rtículo se divide en dos artículos que buscan ser más claros e incluyéndose ecuaciones cuando se considera la necesidad de ello de acuerdo con los comentarios recibidos.</w:t>
      </w:r>
    </w:p>
    <w:p w14:paraId="310A5B0E" w14:textId="77777777" w:rsidR="00EF1583" w:rsidRPr="0028726C" w:rsidRDefault="00EF1583" w:rsidP="0028726C">
      <w:pPr>
        <w:rPr>
          <w:rFonts w:cs="Arial"/>
          <w:sz w:val="22"/>
          <w:szCs w:val="22"/>
        </w:rPr>
      </w:pPr>
    </w:p>
    <w:p w14:paraId="42B004D2" w14:textId="77777777" w:rsidR="00C53D76" w:rsidRDefault="00C53D76" w:rsidP="0028726C">
      <w:pPr>
        <w:rPr>
          <w:rFonts w:cs="Arial"/>
          <w:sz w:val="22"/>
          <w:szCs w:val="22"/>
        </w:rPr>
      </w:pPr>
    </w:p>
    <w:p w14:paraId="5B30BE21" w14:textId="77777777" w:rsidR="00C53D76" w:rsidRDefault="0028726C" w:rsidP="000D05A3">
      <w:pPr>
        <w:pStyle w:val="Ttulo4"/>
      </w:pPr>
      <w:bookmarkStart w:id="842" w:name="_Ref132638772"/>
      <w:r w:rsidRPr="0028726C">
        <w:t>MC2 S.A. E.S.P.</w:t>
      </w:r>
      <w:bookmarkEnd w:id="842"/>
      <w:r w:rsidRPr="0028726C">
        <w:tab/>
      </w:r>
    </w:p>
    <w:p w14:paraId="60E50882" w14:textId="75B5D170" w:rsidR="0028726C" w:rsidRPr="00771225" w:rsidRDefault="0028726C" w:rsidP="0028726C">
      <w:pPr>
        <w:rPr>
          <w:rFonts w:cs="Arial"/>
          <w:i/>
          <w:iCs/>
          <w:sz w:val="22"/>
          <w:szCs w:val="22"/>
        </w:rPr>
      </w:pPr>
      <w:r w:rsidRPr="0028726C">
        <w:rPr>
          <w:rFonts w:cs="Arial"/>
          <w:sz w:val="22"/>
          <w:szCs w:val="22"/>
        </w:rPr>
        <w:t>"</w:t>
      </w:r>
      <w:r w:rsidRPr="00771225">
        <w:rPr>
          <w:rFonts w:cs="Arial"/>
          <w:i/>
          <w:iCs/>
          <w:sz w:val="22"/>
          <w:szCs w:val="22"/>
        </w:rPr>
        <w:t>Entendemos el motivo del regulador de garantizar el respaldo físico de los contratos que garantizan firmeza para la atención de la demanda esencial. Sin embargo, es importante que la Comisión tenga en cuenta que toda la demanda, incluyendo la regulada y no regulada esencial y no esencial, como los usuarios no regulados, particularmente aquellos que para el desarrollo de su objeto social requiere de procesos de producción altas y constantes cantidades de energía, también requieren firmeza y de respaldo físico. El regulador, en cumplimiento de normas jerárquicamente superiores a los actos administrativos que emite la CREG (L. 142/94 y D. 2100/11), no solo debe propender por garantizar firmeza a favor de la demanda esencial; debe hacerlo a favor de toda la demanda que así lo requiera. El proceso MADE promueve injustificadamente la contratación residual de cantidades de gas en firme a favor de la demanda no esencial y esto genera incertidumbre.</w:t>
      </w:r>
    </w:p>
    <w:p w14:paraId="4D843E44" w14:textId="77777777" w:rsidR="0028726C" w:rsidRPr="00771225" w:rsidRDefault="0028726C" w:rsidP="0028726C">
      <w:pPr>
        <w:rPr>
          <w:rFonts w:cs="Arial"/>
          <w:i/>
          <w:iCs/>
          <w:sz w:val="22"/>
          <w:szCs w:val="22"/>
        </w:rPr>
      </w:pPr>
    </w:p>
    <w:p w14:paraId="655584C7" w14:textId="77777777" w:rsidR="0028726C" w:rsidRPr="00771225" w:rsidRDefault="0028726C" w:rsidP="0028726C">
      <w:pPr>
        <w:rPr>
          <w:rFonts w:cs="Arial"/>
          <w:i/>
          <w:iCs/>
          <w:sz w:val="22"/>
          <w:szCs w:val="22"/>
        </w:rPr>
      </w:pPr>
      <w:r w:rsidRPr="00771225">
        <w:rPr>
          <w:rFonts w:cs="Arial"/>
          <w:i/>
          <w:iCs/>
          <w:sz w:val="22"/>
          <w:szCs w:val="22"/>
        </w:rPr>
        <w:t>Si bien la política pública prioriza la atención de la demanda esencial, esta no excluye la atención de la demanda no esencial. Por ello, la política pública y su regulación debe tender a la promoción de actividades de producción e importación que permitan que la demanda, esencial y no esencial, tengan garantía de suministro y, por lo tanto, se garantice el desarrollo de sus actividades económicas y de producción. La regulación de la política pública no puede regular de manera preferente únicamente la atención a la demanda esencial, sino que debe hacer de manera integral para que las necesitades de toda la demanda del servicio de gas sean atendidas.</w:t>
      </w:r>
    </w:p>
    <w:p w14:paraId="1CD3AA79" w14:textId="77777777" w:rsidR="0028726C" w:rsidRPr="00771225" w:rsidRDefault="0028726C" w:rsidP="0028726C">
      <w:pPr>
        <w:rPr>
          <w:rFonts w:cs="Arial"/>
          <w:i/>
          <w:iCs/>
          <w:sz w:val="22"/>
          <w:szCs w:val="22"/>
        </w:rPr>
      </w:pPr>
    </w:p>
    <w:p w14:paraId="7F3FB82C" w14:textId="245EC6FF" w:rsidR="0028726C" w:rsidRDefault="0028726C" w:rsidP="0028726C">
      <w:pPr>
        <w:rPr>
          <w:rFonts w:cs="Arial"/>
          <w:sz w:val="22"/>
          <w:szCs w:val="22"/>
        </w:rPr>
      </w:pPr>
      <w:r w:rsidRPr="00771225">
        <w:rPr>
          <w:rFonts w:cs="Arial"/>
          <w:i/>
          <w:iCs/>
          <w:sz w:val="22"/>
          <w:szCs w:val="22"/>
        </w:rPr>
        <w:t xml:space="preserve">Es importante, además, que el regulador aclare que su intención no es la de discriminar por tipo de usuario y, por lo tanto, el procedimiento MADE tiende a garantizar la atención de toda la demanda. Sobre </w:t>
      </w:r>
      <w:proofErr w:type="gramStart"/>
      <w:r w:rsidRPr="00771225">
        <w:rPr>
          <w:rFonts w:cs="Arial"/>
          <w:i/>
          <w:iCs/>
          <w:sz w:val="22"/>
          <w:szCs w:val="22"/>
        </w:rPr>
        <w:t>todo</w:t>
      </w:r>
      <w:proofErr w:type="gramEnd"/>
      <w:r w:rsidRPr="00771225">
        <w:rPr>
          <w:rFonts w:cs="Arial"/>
          <w:i/>
          <w:iCs/>
          <w:sz w:val="22"/>
          <w:szCs w:val="22"/>
        </w:rPr>
        <w:t xml:space="preserve"> porque la diferenciación que el Decreto 2100 de la demanda esencial encuentra su razón en las denominadas Insalvables Restricciones en la Oferta de Gas Natural o Situaciones de Grave Emergencia Transitorias y No Transitorias o Racionamiento Programado, durante las cuales dicha demanda esencial debe ser atendida con contratos firmes o que garanticen firmeza de manera prioritaria y en el orden establecido en los artículos 2.2.2.2.1 y 2.2.2.2.4. del D. 1073/15, so pena de asumir los costos y sanciones asociados. La norma no hace una diferenciación con el propósito de discriminar a la demanda no esencial frente a la prestación del servicio y la firmeza que esta exige. En ese sentido, los prestadores de servicios deben </w:t>
      </w:r>
      <w:proofErr w:type="gramStart"/>
      <w:r w:rsidRPr="00771225">
        <w:rPr>
          <w:rFonts w:cs="Arial"/>
          <w:i/>
          <w:iCs/>
          <w:sz w:val="22"/>
          <w:szCs w:val="22"/>
        </w:rPr>
        <w:t>garantizarle</w:t>
      </w:r>
      <w:proofErr w:type="gramEnd"/>
      <w:r w:rsidRPr="00771225">
        <w:rPr>
          <w:rFonts w:cs="Arial"/>
          <w:i/>
          <w:iCs/>
          <w:sz w:val="22"/>
          <w:szCs w:val="22"/>
        </w:rPr>
        <w:t xml:space="preserve"> a TODOS los u</w:t>
      </w:r>
      <w:r w:rsidR="005D0378">
        <w:rPr>
          <w:rFonts w:cs="Arial"/>
          <w:i/>
          <w:iCs/>
          <w:sz w:val="22"/>
          <w:szCs w:val="22"/>
        </w:rPr>
        <w:t>sua</w:t>
      </w:r>
      <w:r w:rsidRPr="00771225">
        <w:rPr>
          <w:rFonts w:cs="Arial"/>
          <w:i/>
          <w:iCs/>
          <w:sz w:val="22"/>
          <w:szCs w:val="22"/>
        </w:rPr>
        <w:t>rios del servicio público de gas combustible la prestación del mismo de manera confiable a ininterrumpida, sin importar su tipo (regulado o</w:t>
      </w:r>
      <w:r w:rsidR="00D74898">
        <w:rPr>
          <w:rFonts w:cs="Arial"/>
          <w:i/>
          <w:iCs/>
          <w:sz w:val="22"/>
          <w:szCs w:val="22"/>
        </w:rPr>
        <w:t xml:space="preserve"> </w:t>
      </w:r>
      <w:r w:rsidRPr="00771225">
        <w:rPr>
          <w:rFonts w:cs="Arial"/>
          <w:i/>
          <w:iCs/>
          <w:sz w:val="22"/>
          <w:szCs w:val="22"/>
        </w:rPr>
        <w:t>no regulado, esencial o no esencial). Interpretar lo contrario sería ir en contra de los preceptos constitucionales y legales que rigen los servicios públicos domiciliarios</w:t>
      </w:r>
      <w:r w:rsidRPr="0028726C">
        <w:rPr>
          <w:rFonts w:cs="Arial"/>
          <w:sz w:val="22"/>
          <w:szCs w:val="22"/>
        </w:rPr>
        <w:t>."</w:t>
      </w:r>
    </w:p>
    <w:p w14:paraId="344F69D2" w14:textId="77777777" w:rsidR="00771225" w:rsidRDefault="00771225" w:rsidP="0028726C">
      <w:pPr>
        <w:rPr>
          <w:rFonts w:cs="Arial"/>
          <w:sz w:val="22"/>
          <w:szCs w:val="22"/>
        </w:rPr>
      </w:pPr>
    </w:p>
    <w:p w14:paraId="18B758D8" w14:textId="2175F165" w:rsidR="00771225" w:rsidRPr="00771225" w:rsidRDefault="00771225" w:rsidP="0028726C">
      <w:pPr>
        <w:rPr>
          <w:rFonts w:cs="Arial"/>
          <w:b/>
          <w:bCs/>
          <w:sz w:val="22"/>
          <w:szCs w:val="22"/>
        </w:rPr>
      </w:pPr>
      <w:r w:rsidRPr="00771225">
        <w:rPr>
          <w:rFonts w:cs="Arial"/>
          <w:b/>
          <w:bCs/>
          <w:sz w:val="22"/>
          <w:szCs w:val="22"/>
        </w:rPr>
        <w:t>Respuesta:</w:t>
      </w:r>
    </w:p>
    <w:p w14:paraId="3EB1AC53" w14:textId="77777777" w:rsidR="00771225" w:rsidRDefault="00771225" w:rsidP="0028726C">
      <w:pPr>
        <w:rPr>
          <w:rFonts w:cs="Arial"/>
          <w:sz w:val="22"/>
          <w:szCs w:val="22"/>
        </w:rPr>
      </w:pPr>
    </w:p>
    <w:p w14:paraId="4DCFBB1A" w14:textId="0CDC472E" w:rsidR="00CE1DA3" w:rsidRDefault="00CE1DA3" w:rsidP="0028726C">
      <w:pPr>
        <w:rPr>
          <w:rFonts w:cs="Arial"/>
          <w:sz w:val="22"/>
          <w:szCs w:val="22"/>
        </w:rPr>
      </w:pPr>
      <w:r>
        <w:rPr>
          <w:rFonts w:cs="Arial"/>
          <w:sz w:val="22"/>
          <w:szCs w:val="22"/>
        </w:rPr>
        <w:t xml:space="preserve">El Mecanismo MADE es un mecanismo que busca garantizar el acceso a contratos de tipo firme o que garantizan firmeza a todo tipo de sector de demanda, regulada o no regulada. </w:t>
      </w:r>
      <w:r w:rsidR="00FC14FD">
        <w:rPr>
          <w:rFonts w:cs="Arial"/>
          <w:sz w:val="22"/>
          <w:szCs w:val="22"/>
        </w:rPr>
        <w:t>En l</w:t>
      </w:r>
      <w:r>
        <w:rPr>
          <w:rFonts w:cs="Arial"/>
          <w:sz w:val="22"/>
          <w:szCs w:val="22"/>
        </w:rPr>
        <w:t xml:space="preserve">a propuesta inicial se refleja ese objetivo, ver respuesta a </w:t>
      </w:r>
      <w:r w:rsidR="00D74898">
        <w:rPr>
          <w:rFonts w:cs="Arial"/>
          <w:sz w:val="22"/>
          <w:szCs w:val="22"/>
        </w:rPr>
        <w:fldChar w:fldCharType="begin"/>
      </w:r>
      <w:r w:rsidR="00D74898">
        <w:rPr>
          <w:rFonts w:cs="Arial"/>
          <w:sz w:val="22"/>
          <w:szCs w:val="22"/>
        </w:rPr>
        <w:instrText xml:space="preserve"> REF _Ref130285959 \r \h </w:instrText>
      </w:r>
      <w:r w:rsidR="00D74898">
        <w:rPr>
          <w:rFonts w:cs="Arial"/>
          <w:sz w:val="22"/>
          <w:szCs w:val="22"/>
        </w:rPr>
      </w:r>
      <w:r w:rsidR="00D74898">
        <w:rPr>
          <w:rFonts w:cs="Arial"/>
          <w:sz w:val="22"/>
          <w:szCs w:val="22"/>
        </w:rPr>
        <w:fldChar w:fldCharType="separate"/>
      </w:r>
      <w:r w:rsidR="00D74898">
        <w:rPr>
          <w:rFonts w:cs="Arial"/>
          <w:sz w:val="22"/>
          <w:szCs w:val="22"/>
        </w:rPr>
        <w:t>1.2.1.5</w:t>
      </w:r>
      <w:r w:rsidR="00D74898">
        <w:rPr>
          <w:rFonts w:cs="Arial"/>
          <w:sz w:val="22"/>
          <w:szCs w:val="22"/>
        </w:rPr>
        <w:fldChar w:fldCharType="end"/>
      </w:r>
      <w:r>
        <w:rPr>
          <w:rFonts w:cs="Arial"/>
          <w:sz w:val="22"/>
          <w:szCs w:val="22"/>
        </w:rPr>
        <w:t xml:space="preserve">. </w:t>
      </w:r>
    </w:p>
    <w:p w14:paraId="676DAFA7" w14:textId="77777777" w:rsidR="00CE1DA3" w:rsidRDefault="00CE1DA3" w:rsidP="0028726C">
      <w:pPr>
        <w:rPr>
          <w:rFonts w:cs="Arial"/>
          <w:sz w:val="22"/>
          <w:szCs w:val="22"/>
        </w:rPr>
      </w:pPr>
    </w:p>
    <w:p w14:paraId="6FED9956" w14:textId="3A1D3A84" w:rsidR="00771225" w:rsidRDefault="00CE1DA3" w:rsidP="0028726C">
      <w:pPr>
        <w:rPr>
          <w:rFonts w:cs="Arial"/>
          <w:sz w:val="22"/>
          <w:szCs w:val="22"/>
        </w:rPr>
      </w:pPr>
      <w:r>
        <w:rPr>
          <w:rFonts w:cs="Arial"/>
          <w:sz w:val="22"/>
          <w:szCs w:val="22"/>
        </w:rPr>
        <w:t xml:space="preserve">Por otro lado, todos los contratos de tipo firme o que garantizan firmeza requieren Respaldo Físico, sin que ello dependa del tipo de sector de demanda que se atiende con el contrato. Ver respuesta a </w:t>
      </w:r>
      <w:r w:rsidR="00481B0C">
        <w:rPr>
          <w:rFonts w:cs="Arial"/>
          <w:sz w:val="22"/>
          <w:szCs w:val="22"/>
        </w:rPr>
        <w:fldChar w:fldCharType="begin"/>
      </w:r>
      <w:r w:rsidR="00481B0C">
        <w:rPr>
          <w:rFonts w:cs="Arial"/>
          <w:sz w:val="22"/>
          <w:szCs w:val="22"/>
        </w:rPr>
        <w:instrText xml:space="preserve"> REF _Ref130545261 \r \h </w:instrText>
      </w:r>
      <w:r w:rsidR="00481B0C">
        <w:rPr>
          <w:rFonts w:cs="Arial"/>
          <w:sz w:val="22"/>
          <w:szCs w:val="22"/>
        </w:rPr>
      </w:r>
      <w:r w:rsidR="00481B0C">
        <w:rPr>
          <w:rFonts w:cs="Arial"/>
          <w:sz w:val="22"/>
          <w:szCs w:val="22"/>
        </w:rPr>
        <w:fldChar w:fldCharType="separate"/>
      </w:r>
      <w:r w:rsidR="00481B0C">
        <w:rPr>
          <w:rFonts w:cs="Arial"/>
          <w:sz w:val="22"/>
          <w:szCs w:val="22"/>
        </w:rPr>
        <w:t>4.21.1.1</w:t>
      </w:r>
      <w:r w:rsidR="00481B0C">
        <w:rPr>
          <w:rFonts w:cs="Arial"/>
          <w:sz w:val="22"/>
          <w:szCs w:val="22"/>
        </w:rPr>
        <w:fldChar w:fldCharType="end"/>
      </w:r>
      <w:r w:rsidR="00481B0C">
        <w:rPr>
          <w:rFonts w:cs="Arial"/>
          <w:sz w:val="22"/>
          <w:szCs w:val="22"/>
        </w:rPr>
        <w:t>.</w:t>
      </w:r>
    </w:p>
    <w:p w14:paraId="18027E03" w14:textId="77777777" w:rsidR="00CE1DA3" w:rsidRDefault="00CE1DA3" w:rsidP="0028726C">
      <w:pPr>
        <w:rPr>
          <w:rFonts w:cs="Arial"/>
          <w:sz w:val="22"/>
          <w:szCs w:val="22"/>
        </w:rPr>
      </w:pPr>
    </w:p>
    <w:p w14:paraId="0D72F226" w14:textId="77777777" w:rsidR="00F467C8" w:rsidRDefault="00CE1DA3" w:rsidP="0028726C">
      <w:pPr>
        <w:rPr>
          <w:rFonts w:cs="Arial"/>
          <w:sz w:val="22"/>
          <w:szCs w:val="22"/>
        </w:rPr>
      </w:pPr>
      <w:r>
        <w:rPr>
          <w:rFonts w:cs="Arial"/>
          <w:sz w:val="22"/>
          <w:szCs w:val="22"/>
        </w:rPr>
        <w:t>En la política energética establecida en el Decreto 107</w:t>
      </w:r>
      <w:r w:rsidR="007D2916">
        <w:rPr>
          <w:rFonts w:cs="Arial"/>
          <w:sz w:val="22"/>
          <w:szCs w:val="22"/>
        </w:rPr>
        <w:t>3</w:t>
      </w:r>
      <w:r>
        <w:rPr>
          <w:rFonts w:cs="Arial"/>
          <w:sz w:val="22"/>
          <w:szCs w:val="22"/>
        </w:rPr>
        <w:t xml:space="preserve"> de 2015 hay dos elementos que se establecen a los agentes y al regulador, que particularizan </w:t>
      </w:r>
      <w:r w:rsidR="007D2916">
        <w:rPr>
          <w:rFonts w:cs="Arial"/>
          <w:sz w:val="22"/>
          <w:szCs w:val="22"/>
        </w:rPr>
        <w:t xml:space="preserve">la atención de </w:t>
      </w:r>
      <w:r>
        <w:rPr>
          <w:rFonts w:cs="Arial"/>
          <w:sz w:val="22"/>
          <w:szCs w:val="22"/>
        </w:rPr>
        <w:t>cierto tipo de sectores de demanda de gas natural</w:t>
      </w:r>
      <w:r w:rsidR="007D2916">
        <w:rPr>
          <w:rFonts w:cs="Arial"/>
          <w:sz w:val="22"/>
          <w:szCs w:val="22"/>
        </w:rPr>
        <w:t xml:space="preserve">, en función de la Demanda Esencial. Ambos se pueden encontrar como complementarios y le corresponde al regulador </w:t>
      </w:r>
      <w:r w:rsidR="00FB1126">
        <w:rPr>
          <w:rFonts w:cs="Arial"/>
          <w:sz w:val="22"/>
          <w:szCs w:val="22"/>
        </w:rPr>
        <w:t>incorporarlos en las reglas del Mercado. Por un lado, la priorización de la atención de la Demanda Esencial cuando se presenta Racionamiento Programado del MME o c</w:t>
      </w:r>
      <w:r w:rsidR="00FB1126" w:rsidRPr="00FB1126">
        <w:rPr>
          <w:rFonts w:cs="Arial"/>
          <w:sz w:val="22"/>
          <w:szCs w:val="22"/>
        </w:rPr>
        <w:t>uando se presenten insalvables restricciones en la oferta de gas natural o situaciones de grave emergencia, no transitorias, originadas en la infraestructura de suministro o de transporte, que impidan la prestación continúa del servici</w:t>
      </w:r>
      <w:r w:rsidR="00FB1126">
        <w:rPr>
          <w:rFonts w:cs="Arial"/>
          <w:sz w:val="22"/>
          <w:szCs w:val="22"/>
        </w:rPr>
        <w:t>o. Por otro lado, en armonía con lo anterior, la contratación de l</w:t>
      </w:r>
      <w:r w:rsidR="00FB1126" w:rsidRPr="00FB1126">
        <w:rPr>
          <w:rFonts w:cs="Arial"/>
          <w:sz w:val="22"/>
          <w:szCs w:val="22"/>
        </w:rPr>
        <w:t xml:space="preserve">os </w:t>
      </w:r>
      <w:r w:rsidR="00FB1126">
        <w:rPr>
          <w:rFonts w:cs="Arial"/>
          <w:sz w:val="22"/>
          <w:szCs w:val="22"/>
        </w:rPr>
        <w:t>a</w:t>
      </w:r>
      <w:r w:rsidR="00FB1126" w:rsidRPr="00FB1126">
        <w:rPr>
          <w:rFonts w:cs="Arial"/>
          <w:sz w:val="22"/>
          <w:szCs w:val="22"/>
        </w:rPr>
        <w:t xml:space="preserve">gentes que atiendan la Demanda Esencial </w:t>
      </w:r>
      <w:r w:rsidR="00FB1126">
        <w:rPr>
          <w:rFonts w:cs="Arial"/>
          <w:sz w:val="22"/>
          <w:szCs w:val="22"/>
        </w:rPr>
        <w:t xml:space="preserve">que </w:t>
      </w:r>
      <w:r w:rsidR="00FB1126" w:rsidRPr="00FB1126">
        <w:rPr>
          <w:rFonts w:cs="Arial"/>
          <w:sz w:val="22"/>
          <w:szCs w:val="22"/>
        </w:rPr>
        <w:t xml:space="preserve">tienen la obligación de contratar el suministro y el transporte de gas natural para la atención de dicha demanda, según corresponda, con </w:t>
      </w:r>
      <w:r w:rsidR="00935E04">
        <w:rPr>
          <w:rFonts w:cs="Arial"/>
          <w:sz w:val="22"/>
          <w:szCs w:val="22"/>
        </w:rPr>
        <w:t>a</w:t>
      </w:r>
      <w:r w:rsidR="00FB1126" w:rsidRPr="00FB1126">
        <w:rPr>
          <w:rFonts w:cs="Arial"/>
          <w:sz w:val="22"/>
          <w:szCs w:val="22"/>
        </w:rPr>
        <w:t>gentes que cuenten con Respaldo Físico</w:t>
      </w:r>
      <w:r w:rsidR="00FB1126">
        <w:rPr>
          <w:rFonts w:cs="Arial"/>
          <w:sz w:val="22"/>
          <w:szCs w:val="22"/>
        </w:rPr>
        <w:t>.</w:t>
      </w:r>
    </w:p>
    <w:p w14:paraId="12F5E3EF" w14:textId="77777777" w:rsidR="00F467C8" w:rsidRDefault="00F467C8" w:rsidP="0028726C">
      <w:pPr>
        <w:rPr>
          <w:rFonts w:cs="Arial"/>
          <w:sz w:val="22"/>
          <w:szCs w:val="22"/>
        </w:rPr>
      </w:pPr>
    </w:p>
    <w:p w14:paraId="176852C1" w14:textId="79A36DC0" w:rsidR="00CE1DA3" w:rsidRDefault="00FB1126" w:rsidP="0028726C">
      <w:pPr>
        <w:rPr>
          <w:rFonts w:cs="Arial"/>
          <w:sz w:val="22"/>
          <w:szCs w:val="22"/>
        </w:rPr>
      </w:pPr>
      <w:r>
        <w:rPr>
          <w:rFonts w:cs="Arial"/>
          <w:sz w:val="22"/>
          <w:szCs w:val="22"/>
        </w:rPr>
        <w:t xml:space="preserve">De las definiciones contenidas en tal Decreto, se observa que la condición de Respaldo Físico se materializa en contratos de tipo firme o que garantizan firmeza. </w:t>
      </w:r>
      <w:r w:rsidR="00B622E0">
        <w:rPr>
          <w:rFonts w:cs="Arial"/>
          <w:sz w:val="22"/>
          <w:szCs w:val="22"/>
        </w:rPr>
        <w:t>No es potestad de la CREG modificar la política establecida en el Decreto 1073 de 2015 ni incumplirla.</w:t>
      </w:r>
    </w:p>
    <w:p w14:paraId="37153282" w14:textId="77777777" w:rsidR="00BC78DD" w:rsidRDefault="00BC78DD" w:rsidP="0028726C">
      <w:pPr>
        <w:rPr>
          <w:rFonts w:cs="Arial"/>
          <w:sz w:val="22"/>
          <w:szCs w:val="22"/>
        </w:rPr>
      </w:pPr>
    </w:p>
    <w:p w14:paraId="77593111" w14:textId="4CFFEE53" w:rsidR="00BC78DD" w:rsidRDefault="00935E04" w:rsidP="0028726C">
      <w:pPr>
        <w:rPr>
          <w:rFonts w:cs="Arial"/>
          <w:sz w:val="22"/>
          <w:szCs w:val="22"/>
        </w:rPr>
      </w:pPr>
      <w:r>
        <w:rPr>
          <w:rFonts w:cs="Arial"/>
          <w:sz w:val="22"/>
          <w:szCs w:val="22"/>
        </w:rPr>
        <w:t>Es por lo anterior que en la propuesta</w:t>
      </w:r>
      <w:r w:rsidR="003141EF">
        <w:rPr>
          <w:rFonts w:cs="Arial"/>
          <w:sz w:val="22"/>
          <w:szCs w:val="22"/>
        </w:rPr>
        <w:t>,</w:t>
      </w:r>
      <w:r>
        <w:rPr>
          <w:rFonts w:cs="Arial"/>
          <w:sz w:val="22"/>
          <w:szCs w:val="22"/>
        </w:rPr>
        <w:t xml:space="preserve"> </w:t>
      </w:r>
      <w:r w:rsidR="0077633A">
        <w:rPr>
          <w:rFonts w:cs="Arial"/>
          <w:sz w:val="22"/>
          <w:szCs w:val="22"/>
        </w:rPr>
        <w:t xml:space="preserve">en el marco de garantizar el acceso </w:t>
      </w:r>
      <w:r w:rsidR="003141EF">
        <w:rPr>
          <w:rFonts w:cs="Arial"/>
          <w:sz w:val="22"/>
          <w:szCs w:val="22"/>
        </w:rPr>
        <w:t xml:space="preserve">a los contratos de suministro, </w:t>
      </w:r>
      <w:r>
        <w:rPr>
          <w:rFonts w:cs="Arial"/>
          <w:sz w:val="22"/>
          <w:szCs w:val="22"/>
        </w:rPr>
        <w:t>se establece una priorización de cantidades para atender la Demanda Esencial requerida cuando se presenta un balance comercial deficitario, es decir, cuando las cantidades ofrecidas de PTDVF/CIDVF son inferiores a las cantidades requeridas para cualquier tipo de demanda, no solo para la Demanda Esencial, en la segunda instancia de la declaración que hace los compradores al Gestor del Mercado.</w:t>
      </w:r>
      <w:r w:rsidR="00CF0646">
        <w:rPr>
          <w:rFonts w:cs="Arial"/>
          <w:sz w:val="22"/>
          <w:szCs w:val="22"/>
        </w:rPr>
        <w:t xml:space="preserve"> </w:t>
      </w:r>
      <w:proofErr w:type="gramStart"/>
      <w:r w:rsidR="00CF0646">
        <w:rPr>
          <w:rFonts w:cs="Arial"/>
          <w:sz w:val="22"/>
          <w:szCs w:val="22"/>
        </w:rPr>
        <w:t>Y</w:t>
      </w:r>
      <w:proofErr w:type="gramEnd"/>
      <w:r w:rsidR="00CF0646">
        <w:rPr>
          <w:rFonts w:cs="Arial"/>
          <w:sz w:val="22"/>
          <w:szCs w:val="22"/>
        </w:rPr>
        <w:t xml:space="preserve"> además, es por ello mismo que se determina que el precio a utilizar en los contratos con la Demanda Esencial priorizada, es el precio de cierre de la subasta que se desarrolle para atender las demás cantidades requeridas para atender la demanda de los sectores que no hacen parte de la Demanda Esencial. </w:t>
      </w:r>
    </w:p>
    <w:p w14:paraId="75ABB714" w14:textId="77777777" w:rsidR="00B622E0" w:rsidRDefault="00B622E0" w:rsidP="0028726C">
      <w:pPr>
        <w:rPr>
          <w:rFonts w:cs="Arial"/>
          <w:sz w:val="22"/>
          <w:szCs w:val="22"/>
        </w:rPr>
      </w:pPr>
    </w:p>
    <w:p w14:paraId="70BD10BB" w14:textId="77777777" w:rsidR="00C53D76" w:rsidRDefault="00C53D76" w:rsidP="0028726C">
      <w:pPr>
        <w:rPr>
          <w:rFonts w:cs="Arial"/>
          <w:sz w:val="22"/>
          <w:szCs w:val="22"/>
        </w:rPr>
      </w:pPr>
    </w:p>
    <w:p w14:paraId="173064B5" w14:textId="77777777" w:rsidR="00C53D76" w:rsidRDefault="0028726C" w:rsidP="000D05A3">
      <w:pPr>
        <w:pStyle w:val="Ttulo4"/>
      </w:pPr>
      <w:r w:rsidRPr="0028726C">
        <w:t>MC2 S.A. E.S.P.</w:t>
      </w:r>
      <w:r w:rsidRPr="0028726C">
        <w:tab/>
      </w:r>
    </w:p>
    <w:p w14:paraId="16932853" w14:textId="74B53273" w:rsidR="0028726C" w:rsidRPr="00E44E49" w:rsidRDefault="0028726C" w:rsidP="0028726C">
      <w:pPr>
        <w:rPr>
          <w:rFonts w:cs="Arial"/>
          <w:i/>
          <w:iCs/>
          <w:sz w:val="22"/>
          <w:szCs w:val="22"/>
        </w:rPr>
      </w:pPr>
      <w:r w:rsidRPr="0028726C">
        <w:rPr>
          <w:rFonts w:cs="Arial"/>
          <w:sz w:val="22"/>
          <w:szCs w:val="22"/>
        </w:rPr>
        <w:t>"</w:t>
      </w:r>
      <w:r w:rsidRPr="00E44E49">
        <w:rPr>
          <w:rFonts w:cs="Arial"/>
          <w:i/>
          <w:iCs/>
          <w:sz w:val="22"/>
          <w:szCs w:val="22"/>
        </w:rPr>
        <w:t xml:space="preserve">El numeral romano </w:t>
      </w:r>
      <w:proofErr w:type="spellStart"/>
      <w:r w:rsidRPr="00E44E49">
        <w:rPr>
          <w:rFonts w:cs="Arial"/>
          <w:i/>
          <w:iCs/>
          <w:sz w:val="22"/>
          <w:szCs w:val="22"/>
        </w:rPr>
        <w:t>iii</w:t>
      </w:r>
      <w:proofErr w:type="spellEnd"/>
      <w:r w:rsidRPr="00E44E49">
        <w:rPr>
          <w:rFonts w:cs="Arial"/>
          <w:i/>
          <w:iCs/>
          <w:sz w:val="22"/>
          <w:szCs w:val="22"/>
        </w:rPr>
        <w:t xml:space="preserve">, del literal f, del numeral 1 del artículo 21 establece que </w:t>
      </w:r>
      <w:r w:rsidR="00751716">
        <w:rPr>
          <w:rFonts w:cs="Arial"/>
          <w:i/>
          <w:iCs/>
          <w:sz w:val="22"/>
          <w:szCs w:val="22"/>
        </w:rPr>
        <w:t>‘</w:t>
      </w:r>
      <w:r w:rsidRPr="00E44E49">
        <w:rPr>
          <w:rFonts w:cs="Arial"/>
          <w:i/>
          <w:iCs/>
          <w:sz w:val="22"/>
          <w:szCs w:val="22"/>
        </w:rPr>
        <w:t xml:space="preserve">De acuerdo con los valores de los cocientes obtenidos para cada Trimestre Estándar, el </w:t>
      </w:r>
      <w:r w:rsidR="005114C6" w:rsidRPr="00E44E49">
        <w:rPr>
          <w:rFonts w:cs="Arial"/>
          <w:i/>
          <w:iCs/>
          <w:sz w:val="22"/>
          <w:szCs w:val="22"/>
        </w:rPr>
        <w:t>Gestor del Mercado</w:t>
      </w:r>
      <w:r w:rsidRPr="00E44E49">
        <w:rPr>
          <w:rFonts w:cs="Arial"/>
          <w:i/>
          <w:iCs/>
          <w:sz w:val="22"/>
          <w:szCs w:val="22"/>
        </w:rPr>
        <w:t xml:space="preserve"> declarará que el balance comercial es excedentario cuando el cociente es mayor o igual a </w:t>
      </w:r>
      <w:proofErr w:type="gramStart"/>
      <w:r w:rsidRPr="00E44E49">
        <w:rPr>
          <w:rFonts w:cs="Arial"/>
          <w:i/>
          <w:iCs/>
          <w:sz w:val="22"/>
          <w:szCs w:val="22"/>
        </w:rPr>
        <w:t>cero coma</w:t>
      </w:r>
      <w:proofErr w:type="gramEnd"/>
      <w:r w:rsidRPr="00E44E49">
        <w:rPr>
          <w:rFonts w:cs="Arial"/>
          <w:i/>
          <w:iCs/>
          <w:sz w:val="22"/>
          <w:szCs w:val="22"/>
        </w:rPr>
        <w:t xml:space="preserve"> noventa y cuatro (0,94), o que es deficitario, cuando el</w:t>
      </w:r>
      <w:r w:rsidR="00CC1EC8">
        <w:rPr>
          <w:rFonts w:cs="Arial"/>
          <w:i/>
          <w:iCs/>
          <w:sz w:val="22"/>
          <w:szCs w:val="22"/>
        </w:rPr>
        <w:t xml:space="preserve"> </w:t>
      </w:r>
      <w:r w:rsidRPr="00E44E49">
        <w:rPr>
          <w:rFonts w:cs="Arial"/>
          <w:i/>
          <w:iCs/>
          <w:sz w:val="22"/>
          <w:szCs w:val="22"/>
        </w:rPr>
        <w:t>cociente obtenido es menor a cero coma noventa y cuatro (0,94).</w:t>
      </w:r>
      <w:r w:rsidR="00751716">
        <w:rPr>
          <w:rFonts w:cs="Arial"/>
          <w:i/>
          <w:iCs/>
          <w:sz w:val="22"/>
          <w:szCs w:val="22"/>
        </w:rPr>
        <w:t>’</w:t>
      </w:r>
      <w:r w:rsidRPr="00E44E49">
        <w:rPr>
          <w:rFonts w:cs="Arial"/>
          <w:i/>
          <w:iCs/>
          <w:sz w:val="22"/>
          <w:szCs w:val="22"/>
        </w:rPr>
        <w:t xml:space="preserve"> </w:t>
      </w:r>
    </w:p>
    <w:p w14:paraId="267EB140" w14:textId="77777777" w:rsidR="0028726C" w:rsidRPr="00E44E49" w:rsidRDefault="0028726C" w:rsidP="0028726C">
      <w:pPr>
        <w:rPr>
          <w:rFonts w:cs="Arial"/>
          <w:i/>
          <w:iCs/>
          <w:sz w:val="22"/>
          <w:szCs w:val="22"/>
        </w:rPr>
      </w:pPr>
    </w:p>
    <w:p w14:paraId="6562A775" w14:textId="7C4D0992" w:rsidR="0028726C" w:rsidRDefault="0028726C" w:rsidP="0028726C">
      <w:pPr>
        <w:rPr>
          <w:rFonts w:cs="Arial"/>
          <w:sz w:val="22"/>
          <w:szCs w:val="22"/>
        </w:rPr>
      </w:pPr>
      <w:r w:rsidRPr="00E44E49">
        <w:rPr>
          <w:rFonts w:cs="Arial"/>
          <w:i/>
          <w:iCs/>
          <w:sz w:val="22"/>
          <w:szCs w:val="22"/>
        </w:rPr>
        <w:t>La norma no aclara de manera expresa que el balance comercial para definir si la oferta presenta un déficit o un excedente está asociada al trimestre estándar y para cada una de las fuentes de producción y puntos de entrega o referencia</w:t>
      </w:r>
      <w:r w:rsidRPr="0028726C">
        <w:rPr>
          <w:rFonts w:cs="Arial"/>
          <w:sz w:val="22"/>
          <w:szCs w:val="22"/>
        </w:rPr>
        <w:t>."</w:t>
      </w:r>
    </w:p>
    <w:p w14:paraId="24B229E5" w14:textId="77777777" w:rsidR="00E44E49" w:rsidRDefault="00E44E49" w:rsidP="0028726C">
      <w:pPr>
        <w:rPr>
          <w:rFonts w:cs="Arial"/>
          <w:sz w:val="22"/>
          <w:szCs w:val="22"/>
        </w:rPr>
      </w:pPr>
    </w:p>
    <w:p w14:paraId="65AC5A46" w14:textId="333C06D9" w:rsidR="00E44E49" w:rsidRPr="00E44E49" w:rsidRDefault="00E44E49" w:rsidP="0028726C">
      <w:pPr>
        <w:rPr>
          <w:rFonts w:cs="Arial"/>
          <w:b/>
          <w:bCs/>
          <w:sz w:val="22"/>
          <w:szCs w:val="22"/>
        </w:rPr>
      </w:pPr>
      <w:r w:rsidRPr="00E44E49">
        <w:rPr>
          <w:rFonts w:cs="Arial"/>
          <w:b/>
          <w:bCs/>
          <w:sz w:val="22"/>
          <w:szCs w:val="22"/>
        </w:rPr>
        <w:t>Respuesta:</w:t>
      </w:r>
    </w:p>
    <w:p w14:paraId="3B1EB46A" w14:textId="77777777" w:rsidR="00E44E49" w:rsidRDefault="00E44E49" w:rsidP="0028726C">
      <w:pPr>
        <w:rPr>
          <w:rFonts w:cs="Arial"/>
          <w:sz w:val="22"/>
          <w:szCs w:val="22"/>
        </w:rPr>
      </w:pPr>
    </w:p>
    <w:p w14:paraId="1B9CBA8E" w14:textId="66A30E0E" w:rsidR="00E44E49" w:rsidRDefault="0025548F" w:rsidP="0028726C">
      <w:pPr>
        <w:rPr>
          <w:rFonts w:cs="Arial"/>
          <w:sz w:val="22"/>
          <w:szCs w:val="22"/>
        </w:rPr>
      </w:pPr>
      <w:r>
        <w:rPr>
          <w:rFonts w:cs="Arial"/>
          <w:sz w:val="22"/>
          <w:szCs w:val="22"/>
        </w:rPr>
        <w:t xml:space="preserve">Ver respuesta a </w:t>
      </w:r>
      <w:r w:rsidR="00022E38">
        <w:rPr>
          <w:rFonts w:cs="Arial"/>
          <w:sz w:val="22"/>
          <w:szCs w:val="22"/>
        </w:rPr>
        <w:fldChar w:fldCharType="begin"/>
      </w:r>
      <w:r w:rsidR="00022E38">
        <w:rPr>
          <w:rFonts w:cs="Arial"/>
          <w:sz w:val="22"/>
          <w:szCs w:val="22"/>
        </w:rPr>
        <w:instrText xml:space="preserve"> REF _Ref132197558 \r \h </w:instrText>
      </w:r>
      <w:r w:rsidR="00022E38">
        <w:rPr>
          <w:rFonts w:cs="Arial"/>
          <w:sz w:val="22"/>
          <w:szCs w:val="22"/>
        </w:rPr>
      </w:r>
      <w:r w:rsidR="00022E38">
        <w:rPr>
          <w:rFonts w:cs="Arial"/>
          <w:sz w:val="22"/>
          <w:szCs w:val="22"/>
        </w:rPr>
        <w:fldChar w:fldCharType="separate"/>
      </w:r>
      <w:r w:rsidR="00022E38">
        <w:rPr>
          <w:rFonts w:cs="Arial"/>
          <w:sz w:val="22"/>
          <w:szCs w:val="22"/>
        </w:rPr>
        <w:t>19.1.1.1</w:t>
      </w:r>
      <w:r w:rsidR="00022E38">
        <w:rPr>
          <w:rFonts w:cs="Arial"/>
          <w:sz w:val="22"/>
          <w:szCs w:val="22"/>
        </w:rPr>
        <w:fldChar w:fldCharType="end"/>
      </w:r>
      <w:r w:rsidR="00022E38">
        <w:rPr>
          <w:rFonts w:cs="Arial"/>
          <w:sz w:val="22"/>
          <w:szCs w:val="22"/>
        </w:rPr>
        <w:t>.</w:t>
      </w:r>
    </w:p>
    <w:p w14:paraId="36948F5F" w14:textId="77777777" w:rsidR="0025548F" w:rsidRPr="0028726C" w:rsidRDefault="0025548F" w:rsidP="0028726C">
      <w:pPr>
        <w:rPr>
          <w:rFonts w:cs="Arial"/>
          <w:sz w:val="22"/>
          <w:szCs w:val="22"/>
        </w:rPr>
      </w:pPr>
    </w:p>
    <w:p w14:paraId="7069494C" w14:textId="77777777" w:rsidR="00C53D76" w:rsidRDefault="00C53D76" w:rsidP="0028726C">
      <w:pPr>
        <w:rPr>
          <w:rFonts w:cs="Arial"/>
          <w:sz w:val="22"/>
          <w:szCs w:val="22"/>
        </w:rPr>
      </w:pPr>
    </w:p>
    <w:p w14:paraId="0304CADF" w14:textId="77777777" w:rsidR="00C53D76" w:rsidRDefault="0028726C" w:rsidP="000D05A3">
      <w:pPr>
        <w:pStyle w:val="Ttulo4"/>
      </w:pPr>
      <w:r w:rsidRPr="0028726C">
        <w:t>MC2 S.A. E.S.P.</w:t>
      </w:r>
      <w:r w:rsidRPr="0028726C">
        <w:tab/>
        <w:t>"</w:t>
      </w:r>
    </w:p>
    <w:p w14:paraId="14BF3116" w14:textId="27FBA17C" w:rsidR="0028726C" w:rsidRPr="00022E38" w:rsidRDefault="00CC1EC8" w:rsidP="0028726C">
      <w:pPr>
        <w:rPr>
          <w:rFonts w:cs="Arial"/>
          <w:i/>
          <w:iCs/>
          <w:sz w:val="22"/>
          <w:szCs w:val="22"/>
        </w:rPr>
      </w:pPr>
      <w:r>
        <w:rPr>
          <w:rFonts w:cs="Arial"/>
          <w:i/>
          <w:iCs/>
          <w:sz w:val="22"/>
          <w:szCs w:val="22"/>
        </w:rPr>
        <w:t>“</w:t>
      </w:r>
      <w:r w:rsidR="0028726C" w:rsidRPr="00022E38">
        <w:rPr>
          <w:rFonts w:cs="Arial"/>
          <w:i/>
          <w:iCs/>
          <w:sz w:val="22"/>
          <w:szCs w:val="22"/>
        </w:rPr>
        <w:t xml:space="preserve">El numeral romano </w:t>
      </w:r>
      <w:proofErr w:type="spellStart"/>
      <w:r w:rsidR="0028726C" w:rsidRPr="00022E38">
        <w:rPr>
          <w:rFonts w:cs="Arial"/>
          <w:i/>
          <w:iCs/>
          <w:sz w:val="22"/>
          <w:szCs w:val="22"/>
        </w:rPr>
        <w:t>iv</w:t>
      </w:r>
      <w:proofErr w:type="spellEnd"/>
      <w:r w:rsidR="0028726C" w:rsidRPr="00022E38">
        <w:rPr>
          <w:rFonts w:cs="Arial"/>
          <w:i/>
          <w:iCs/>
          <w:sz w:val="22"/>
          <w:szCs w:val="22"/>
        </w:rPr>
        <w:t xml:space="preserve">, del literal f, del numeral 1 del artículo 21 establece que </w:t>
      </w:r>
      <w:r>
        <w:rPr>
          <w:rFonts w:cs="Arial"/>
          <w:i/>
          <w:iCs/>
          <w:sz w:val="22"/>
          <w:szCs w:val="22"/>
        </w:rPr>
        <w:t>‘</w:t>
      </w:r>
      <w:r w:rsidR="0028726C" w:rsidRPr="00022E38">
        <w:rPr>
          <w:rFonts w:cs="Arial"/>
          <w:i/>
          <w:iCs/>
          <w:sz w:val="22"/>
          <w:szCs w:val="22"/>
        </w:rPr>
        <w:t xml:space="preserve">El </w:t>
      </w:r>
      <w:r w:rsidR="005114C6" w:rsidRPr="00022E38">
        <w:rPr>
          <w:rFonts w:cs="Arial"/>
          <w:i/>
          <w:iCs/>
          <w:sz w:val="22"/>
          <w:szCs w:val="22"/>
        </w:rPr>
        <w:t>Gestor del Mercado</w:t>
      </w:r>
      <w:r w:rsidR="0028726C" w:rsidRPr="00022E38">
        <w:rPr>
          <w:rFonts w:cs="Arial"/>
          <w:i/>
          <w:iCs/>
          <w:sz w:val="22"/>
          <w:szCs w:val="22"/>
        </w:rPr>
        <w:t xml:space="preserve"> informará a los vendedores señalados en el Artículo 16 de la presente Resolución sobre los Puntos de Referencia y Trimestres Estándar en los que el balance comercial resultó ser excedentario, y procederá a avanzar con lo dispuesto en el numeral 3 del presente artículo.</w:t>
      </w:r>
      <w:r>
        <w:rPr>
          <w:rFonts w:cs="Arial"/>
          <w:i/>
          <w:iCs/>
          <w:sz w:val="22"/>
          <w:szCs w:val="22"/>
        </w:rPr>
        <w:t>’</w:t>
      </w:r>
    </w:p>
    <w:p w14:paraId="05CADCF5" w14:textId="77777777" w:rsidR="0028726C" w:rsidRPr="00022E38" w:rsidRDefault="0028726C" w:rsidP="0028726C">
      <w:pPr>
        <w:rPr>
          <w:rFonts w:cs="Arial"/>
          <w:i/>
          <w:iCs/>
          <w:sz w:val="22"/>
          <w:szCs w:val="22"/>
        </w:rPr>
      </w:pPr>
    </w:p>
    <w:p w14:paraId="528B4CD0" w14:textId="77777777" w:rsidR="0028726C" w:rsidRDefault="0028726C" w:rsidP="0028726C">
      <w:pPr>
        <w:rPr>
          <w:rFonts w:cs="Arial"/>
          <w:sz w:val="22"/>
          <w:szCs w:val="22"/>
        </w:rPr>
      </w:pPr>
      <w:r w:rsidRPr="00022E38">
        <w:rPr>
          <w:rFonts w:cs="Arial"/>
          <w:i/>
          <w:iCs/>
          <w:sz w:val="22"/>
          <w:szCs w:val="22"/>
        </w:rPr>
        <w:t>La información sobre el resultado del balance comercial debe ser publicada para todo el mercado y no solo para una parte de los participantes del mercado (vendedores); de lo contrario, el mercado seguirá contando sin la información necesaria para lograr la liquidez que se busca desde hace varios años, e impedirá la gestión y manejo de los riesgos implícitos en estas operaciones</w:t>
      </w:r>
      <w:r w:rsidRPr="0028726C">
        <w:rPr>
          <w:rFonts w:cs="Arial"/>
          <w:sz w:val="22"/>
          <w:szCs w:val="22"/>
        </w:rPr>
        <w:t>."</w:t>
      </w:r>
    </w:p>
    <w:p w14:paraId="13C33CCB" w14:textId="77777777" w:rsidR="00022E38" w:rsidRDefault="00022E38" w:rsidP="0028726C">
      <w:pPr>
        <w:rPr>
          <w:rFonts w:cs="Arial"/>
          <w:sz w:val="22"/>
          <w:szCs w:val="22"/>
        </w:rPr>
      </w:pPr>
    </w:p>
    <w:p w14:paraId="4F5C73EF" w14:textId="79469BC9" w:rsidR="00022E38" w:rsidRPr="00022E38" w:rsidRDefault="00022E38" w:rsidP="0028726C">
      <w:pPr>
        <w:rPr>
          <w:rFonts w:cs="Arial"/>
          <w:b/>
          <w:bCs/>
          <w:sz w:val="22"/>
          <w:szCs w:val="22"/>
        </w:rPr>
      </w:pPr>
      <w:r w:rsidRPr="00022E38">
        <w:rPr>
          <w:rFonts w:cs="Arial"/>
          <w:b/>
          <w:bCs/>
          <w:sz w:val="22"/>
          <w:szCs w:val="22"/>
        </w:rPr>
        <w:t>Respuesta:</w:t>
      </w:r>
    </w:p>
    <w:p w14:paraId="5EB6CCC3" w14:textId="77777777" w:rsidR="00022E38" w:rsidRDefault="00022E38" w:rsidP="0028726C">
      <w:pPr>
        <w:rPr>
          <w:rFonts w:cs="Arial"/>
          <w:sz w:val="22"/>
          <w:szCs w:val="22"/>
        </w:rPr>
      </w:pPr>
    </w:p>
    <w:p w14:paraId="15FD3308" w14:textId="7B433357" w:rsidR="00022E38" w:rsidRDefault="00DA0D23"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_Ref132627209 \r \h </w:instrText>
      </w:r>
      <w:r>
        <w:rPr>
          <w:rFonts w:cs="Arial"/>
          <w:sz w:val="22"/>
          <w:szCs w:val="22"/>
        </w:rPr>
      </w:r>
      <w:r>
        <w:rPr>
          <w:rFonts w:cs="Arial"/>
          <w:sz w:val="22"/>
          <w:szCs w:val="22"/>
        </w:rPr>
        <w:fldChar w:fldCharType="separate"/>
      </w:r>
      <w:r>
        <w:rPr>
          <w:rFonts w:cs="Arial"/>
          <w:sz w:val="22"/>
          <w:szCs w:val="22"/>
        </w:rPr>
        <w:t>19.16.1.2</w:t>
      </w:r>
      <w:r>
        <w:rPr>
          <w:rFonts w:cs="Arial"/>
          <w:sz w:val="22"/>
          <w:szCs w:val="22"/>
        </w:rPr>
        <w:fldChar w:fldCharType="end"/>
      </w:r>
      <w:r>
        <w:rPr>
          <w:rFonts w:cs="Arial"/>
          <w:sz w:val="22"/>
          <w:szCs w:val="22"/>
        </w:rPr>
        <w:t>.</w:t>
      </w:r>
    </w:p>
    <w:p w14:paraId="40CA1D87" w14:textId="77777777" w:rsidR="00022E38" w:rsidRPr="0028726C" w:rsidRDefault="00022E38" w:rsidP="0028726C">
      <w:pPr>
        <w:rPr>
          <w:rFonts w:cs="Arial"/>
          <w:sz w:val="22"/>
          <w:szCs w:val="22"/>
        </w:rPr>
      </w:pPr>
    </w:p>
    <w:p w14:paraId="72A61CA8" w14:textId="77777777" w:rsidR="00C53D76" w:rsidRDefault="00C53D76" w:rsidP="0028726C">
      <w:pPr>
        <w:rPr>
          <w:rFonts w:cs="Arial"/>
          <w:sz w:val="22"/>
          <w:szCs w:val="22"/>
        </w:rPr>
      </w:pPr>
    </w:p>
    <w:p w14:paraId="2D69A82B" w14:textId="77777777" w:rsidR="00C53D76" w:rsidRDefault="0028726C" w:rsidP="000D05A3">
      <w:pPr>
        <w:pStyle w:val="Ttulo4"/>
      </w:pPr>
      <w:r w:rsidRPr="0028726C">
        <w:t>MC2 S.A. E.S.P.</w:t>
      </w:r>
      <w:r w:rsidRPr="0028726C">
        <w:tab/>
      </w:r>
    </w:p>
    <w:p w14:paraId="450EAF0A" w14:textId="663FF8F5" w:rsidR="0028726C" w:rsidRPr="00DA0D23" w:rsidRDefault="0028726C" w:rsidP="0028726C">
      <w:pPr>
        <w:rPr>
          <w:rFonts w:cs="Arial"/>
          <w:i/>
          <w:iCs/>
          <w:sz w:val="22"/>
          <w:szCs w:val="22"/>
        </w:rPr>
      </w:pPr>
      <w:r w:rsidRPr="0028726C">
        <w:rPr>
          <w:rFonts w:cs="Arial"/>
          <w:sz w:val="22"/>
          <w:szCs w:val="22"/>
        </w:rPr>
        <w:t>"</w:t>
      </w:r>
      <w:r w:rsidRPr="00DA0D23">
        <w:rPr>
          <w:rFonts w:cs="Arial"/>
          <w:i/>
          <w:iCs/>
          <w:sz w:val="22"/>
          <w:szCs w:val="22"/>
        </w:rPr>
        <w:t>El literal c, del numeral 2, del artículo 21 establece que, presentándose un balance comercial excedentario, se encuentra</w:t>
      </w:r>
      <w:r w:rsidR="00DA0D23">
        <w:rPr>
          <w:rFonts w:cs="Arial"/>
          <w:i/>
          <w:iCs/>
          <w:sz w:val="22"/>
          <w:szCs w:val="22"/>
        </w:rPr>
        <w:t xml:space="preserve"> </w:t>
      </w:r>
      <w:r w:rsidR="00CC1EC8">
        <w:rPr>
          <w:rFonts w:cs="Arial"/>
          <w:i/>
          <w:iCs/>
          <w:sz w:val="22"/>
          <w:szCs w:val="22"/>
        </w:rPr>
        <w:t>‘</w:t>
      </w:r>
      <w:r w:rsidRPr="00DA0D23">
        <w:rPr>
          <w:rFonts w:cs="Arial"/>
          <w:i/>
          <w:iCs/>
          <w:sz w:val="22"/>
          <w:szCs w:val="22"/>
        </w:rPr>
        <w:t>un comprador que no ha logrado contratar las cantidades solicitadas a un vendedor, dicho comprador podrá acudir a los demás vendedores de ese mismo Punto de Referencia, para negociar y lograr el suministro de las cantidades que aún no ha contratado.</w:t>
      </w:r>
      <w:r w:rsidR="00CC1EC8">
        <w:rPr>
          <w:rFonts w:cs="Arial"/>
          <w:i/>
          <w:iCs/>
          <w:sz w:val="22"/>
          <w:szCs w:val="22"/>
        </w:rPr>
        <w:t>’</w:t>
      </w:r>
    </w:p>
    <w:p w14:paraId="5F5DE68D" w14:textId="77777777" w:rsidR="0028726C" w:rsidRPr="00DA0D23" w:rsidRDefault="0028726C" w:rsidP="0028726C">
      <w:pPr>
        <w:rPr>
          <w:rFonts w:cs="Arial"/>
          <w:i/>
          <w:iCs/>
          <w:sz w:val="22"/>
          <w:szCs w:val="22"/>
        </w:rPr>
      </w:pPr>
    </w:p>
    <w:p w14:paraId="306299D9" w14:textId="203738FA" w:rsidR="0028726C" w:rsidRDefault="0028726C" w:rsidP="0028726C">
      <w:pPr>
        <w:rPr>
          <w:rFonts w:cs="Arial"/>
          <w:sz w:val="22"/>
          <w:szCs w:val="22"/>
        </w:rPr>
      </w:pPr>
      <w:r w:rsidRPr="00DA0D23">
        <w:rPr>
          <w:rFonts w:cs="Arial"/>
          <w:i/>
          <w:iCs/>
          <w:sz w:val="22"/>
          <w:szCs w:val="22"/>
        </w:rPr>
        <w:t xml:space="preserve">Esta disposición desconoce la realidad del mercado de gas natural en Colombia. Es bien conocido por el regulador que dicho mercado no se caracteriza por tener del lado de la oferta múltiples actores; al contrario, la venta de gas está </w:t>
      </w:r>
      <w:proofErr w:type="spellStart"/>
      <w:r w:rsidRPr="00DA0D23">
        <w:rPr>
          <w:rFonts w:cs="Arial"/>
          <w:i/>
          <w:iCs/>
          <w:sz w:val="22"/>
          <w:szCs w:val="22"/>
        </w:rPr>
        <w:t>oligopolizada</w:t>
      </w:r>
      <w:proofErr w:type="spellEnd"/>
      <w:r w:rsidRPr="00DA0D23">
        <w:rPr>
          <w:rFonts w:cs="Arial"/>
          <w:i/>
          <w:iCs/>
          <w:sz w:val="22"/>
          <w:szCs w:val="22"/>
        </w:rPr>
        <w:t xml:space="preserve"> por lo que no entendemos de qué manera esta señal regulatoria se adapta a las realidades del mercado. ¿Qué ocurre si un comprador no logra contratar las cantidades solicitadas a un vendedor, y en ese Punto de Referencia solo hay un único vendedor</w:t>
      </w:r>
      <w:r w:rsidRPr="0028726C">
        <w:rPr>
          <w:rFonts w:cs="Arial"/>
          <w:sz w:val="22"/>
          <w:szCs w:val="22"/>
        </w:rPr>
        <w:t>?"</w:t>
      </w:r>
    </w:p>
    <w:p w14:paraId="699BDB12" w14:textId="77777777" w:rsidR="00DA0D23" w:rsidRDefault="00DA0D23" w:rsidP="0028726C">
      <w:pPr>
        <w:rPr>
          <w:rFonts w:cs="Arial"/>
          <w:sz w:val="22"/>
          <w:szCs w:val="22"/>
        </w:rPr>
      </w:pPr>
    </w:p>
    <w:p w14:paraId="2362BE33" w14:textId="11B52899" w:rsidR="00DA0D23" w:rsidRPr="00DA0D23" w:rsidRDefault="00DA0D23" w:rsidP="0028726C">
      <w:pPr>
        <w:rPr>
          <w:rFonts w:cs="Arial"/>
          <w:b/>
          <w:bCs/>
          <w:sz w:val="22"/>
          <w:szCs w:val="22"/>
        </w:rPr>
      </w:pPr>
      <w:r w:rsidRPr="00DA0D23">
        <w:rPr>
          <w:rFonts w:cs="Arial"/>
          <w:b/>
          <w:bCs/>
          <w:sz w:val="22"/>
          <w:szCs w:val="22"/>
        </w:rPr>
        <w:t>Respuesta:</w:t>
      </w:r>
    </w:p>
    <w:p w14:paraId="421D6E6B" w14:textId="77777777" w:rsidR="00DA0D23" w:rsidRDefault="00DA0D23" w:rsidP="0028726C">
      <w:pPr>
        <w:rPr>
          <w:rFonts w:cs="Arial"/>
          <w:sz w:val="22"/>
          <w:szCs w:val="22"/>
        </w:rPr>
      </w:pPr>
    </w:p>
    <w:p w14:paraId="7394CF03" w14:textId="1DFC528D" w:rsidR="00DA0D23" w:rsidRDefault="00DA0D23" w:rsidP="0028726C">
      <w:pPr>
        <w:rPr>
          <w:rFonts w:cs="Arial"/>
          <w:sz w:val="22"/>
          <w:szCs w:val="22"/>
        </w:rPr>
      </w:pPr>
      <w:r>
        <w:rPr>
          <w:rFonts w:cs="Arial"/>
          <w:sz w:val="22"/>
          <w:szCs w:val="22"/>
        </w:rPr>
        <w:t>Se acoge el comentario parcialmente.</w:t>
      </w:r>
    </w:p>
    <w:p w14:paraId="0F720692" w14:textId="77777777" w:rsidR="00DA0D23" w:rsidRDefault="00DA0D23" w:rsidP="0028726C">
      <w:pPr>
        <w:rPr>
          <w:rFonts w:cs="Arial"/>
          <w:sz w:val="22"/>
          <w:szCs w:val="22"/>
        </w:rPr>
      </w:pPr>
    </w:p>
    <w:p w14:paraId="60414346" w14:textId="2527B946" w:rsidR="00DA0D23" w:rsidRDefault="00DA0D23" w:rsidP="0028726C">
      <w:pPr>
        <w:rPr>
          <w:rFonts w:cs="Arial"/>
          <w:sz w:val="22"/>
          <w:szCs w:val="22"/>
        </w:rPr>
      </w:pPr>
      <w:r>
        <w:rPr>
          <w:rFonts w:cs="Arial"/>
          <w:sz w:val="22"/>
          <w:szCs w:val="22"/>
        </w:rPr>
        <w:t>La propuesta prevé que como resultado de la implementación de los proyectos el Plan de Abastecimiento de Gas Natural, cada vez será más posible la participación de diversos vendedores para atender la demanda de los compradores</w:t>
      </w:r>
      <w:r w:rsidR="00F60136">
        <w:rPr>
          <w:rFonts w:cs="Arial"/>
          <w:sz w:val="22"/>
          <w:szCs w:val="22"/>
        </w:rPr>
        <w:t xml:space="preserve"> en un mismo punto de entrada al SNT</w:t>
      </w:r>
      <w:r>
        <w:rPr>
          <w:rFonts w:cs="Arial"/>
          <w:sz w:val="22"/>
          <w:szCs w:val="22"/>
        </w:rPr>
        <w:t xml:space="preserve">. Ahora bien, si se da el caso de un punto de referencia con balance comercial superavitario para un </w:t>
      </w:r>
      <w:r w:rsidR="009D22E9">
        <w:rPr>
          <w:rFonts w:cs="Arial"/>
          <w:sz w:val="22"/>
          <w:szCs w:val="22"/>
        </w:rPr>
        <w:t>trimestre estándar de ejecución</w:t>
      </w:r>
      <w:r>
        <w:rPr>
          <w:rFonts w:cs="Arial"/>
          <w:sz w:val="22"/>
          <w:szCs w:val="22"/>
        </w:rPr>
        <w:t xml:space="preserve"> futuro y en dicho punto solo hay un vendedor, no debería ocurrir que se presenten cantidades requeridas por los compradores en la segunda instancia de declaración al Gestor del Mercado, que no sean atendidas por el vendedor. </w:t>
      </w:r>
    </w:p>
    <w:p w14:paraId="60B64B8E" w14:textId="77777777" w:rsidR="00DA0D23" w:rsidRDefault="00DA0D23" w:rsidP="0028726C">
      <w:pPr>
        <w:rPr>
          <w:rFonts w:cs="Arial"/>
          <w:sz w:val="22"/>
          <w:szCs w:val="22"/>
        </w:rPr>
      </w:pPr>
    </w:p>
    <w:p w14:paraId="03C6064C" w14:textId="4842FCEC" w:rsidR="00DA0D23" w:rsidRDefault="00DA0D23" w:rsidP="0028726C">
      <w:pPr>
        <w:rPr>
          <w:rFonts w:cs="Arial"/>
          <w:sz w:val="22"/>
          <w:szCs w:val="22"/>
        </w:rPr>
      </w:pPr>
      <w:r>
        <w:rPr>
          <w:rFonts w:cs="Arial"/>
          <w:sz w:val="22"/>
          <w:szCs w:val="22"/>
        </w:rPr>
        <w:t xml:space="preserve">Sin embargo, en la nueva propuesta se adicionan dos etapas de negociación directa en tales casos, para evitar que se pueda presentar la hipotética situación planteada en el comentario.  Ver respuesta a </w:t>
      </w:r>
      <w:r w:rsidR="00F60136">
        <w:rPr>
          <w:rFonts w:cs="Arial"/>
          <w:sz w:val="22"/>
          <w:szCs w:val="22"/>
        </w:rPr>
        <w:fldChar w:fldCharType="begin"/>
      </w:r>
      <w:r w:rsidR="00F60136">
        <w:rPr>
          <w:rFonts w:cs="Arial"/>
          <w:sz w:val="22"/>
          <w:szCs w:val="22"/>
        </w:rPr>
        <w:instrText xml:space="preserve"> REF _Ref132198414 \r \h </w:instrText>
      </w:r>
      <w:r w:rsidR="00F60136">
        <w:rPr>
          <w:rFonts w:cs="Arial"/>
          <w:sz w:val="22"/>
          <w:szCs w:val="22"/>
        </w:rPr>
      </w:r>
      <w:r w:rsidR="00F60136">
        <w:rPr>
          <w:rFonts w:cs="Arial"/>
          <w:sz w:val="22"/>
          <w:szCs w:val="22"/>
        </w:rPr>
        <w:fldChar w:fldCharType="separate"/>
      </w:r>
      <w:r w:rsidR="00F60136">
        <w:rPr>
          <w:rFonts w:cs="Arial"/>
          <w:sz w:val="22"/>
          <w:szCs w:val="22"/>
        </w:rPr>
        <w:t>19.8.1.10</w:t>
      </w:r>
      <w:r w:rsidR="00F60136">
        <w:rPr>
          <w:rFonts w:cs="Arial"/>
          <w:sz w:val="22"/>
          <w:szCs w:val="22"/>
        </w:rPr>
        <w:fldChar w:fldCharType="end"/>
      </w:r>
      <w:r w:rsidR="00F60136">
        <w:rPr>
          <w:rFonts w:cs="Arial"/>
          <w:sz w:val="22"/>
          <w:szCs w:val="22"/>
        </w:rPr>
        <w:t xml:space="preserve">. </w:t>
      </w:r>
    </w:p>
    <w:p w14:paraId="77F08871" w14:textId="77777777" w:rsidR="00DA0D23" w:rsidRPr="0028726C" w:rsidRDefault="00DA0D23" w:rsidP="0028726C">
      <w:pPr>
        <w:rPr>
          <w:rFonts w:cs="Arial"/>
          <w:sz w:val="22"/>
          <w:szCs w:val="22"/>
        </w:rPr>
      </w:pPr>
    </w:p>
    <w:p w14:paraId="4A857DFC" w14:textId="77777777" w:rsidR="00C53D76" w:rsidRDefault="00C53D76" w:rsidP="0028726C">
      <w:pPr>
        <w:rPr>
          <w:rFonts w:cs="Arial"/>
          <w:sz w:val="22"/>
          <w:szCs w:val="22"/>
        </w:rPr>
      </w:pPr>
    </w:p>
    <w:p w14:paraId="541E278A" w14:textId="77777777" w:rsidR="00C53D76" w:rsidRDefault="0028726C" w:rsidP="000D05A3">
      <w:pPr>
        <w:pStyle w:val="Ttulo4"/>
      </w:pPr>
      <w:r w:rsidRPr="0028726C">
        <w:t>MC2 S.A. E.S.P.</w:t>
      </w:r>
      <w:r w:rsidRPr="0028726C">
        <w:tab/>
      </w:r>
    </w:p>
    <w:p w14:paraId="51B4DF84" w14:textId="3C36F547" w:rsidR="0028726C" w:rsidRDefault="00DB5CB7" w:rsidP="0028726C">
      <w:pPr>
        <w:rPr>
          <w:rFonts w:cs="Arial"/>
          <w:sz w:val="22"/>
          <w:szCs w:val="22"/>
        </w:rPr>
      </w:pPr>
      <w:r>
        <w:rPr>
          <w:rFonts w:cs="Arial"/>
          <w:i/>
          <w:iCs/>
          <w:sz w:val="22"/>
          <w:szCs w:val="22"/>
        </w:rPr>
        <w:t>“</w:t>
      </w:r>
      <w:r w:rsidR="0028726C" w:rsidRPr="00F60136">
        <w:rPr>
          <w:rFonts w:cs="Arial"/>
          <w:i/>
          <w:iCs/>
          <w:sz w:val="22"/>
          <w:szCs w:val="22"/>
        </w:rPr>
        <w:t xml:space="preserve">El literal d, del numeral 3 del artículo 21 establece </w:t>
      </w:r>
      <w:r>
        <w:rPr>
          <w:rFonts w:cs="Arial"/>
          <w:i/>
          <w:iCs/>
          <w:sz w:val="22"/>
          <w:szCs w:val="22"/>
        </w:rPr>
        <w:t>‘</w:t>
      </w:r>
      <w:r w:rsidR="0028726C" w:rsidRPr="00F60136">
        <w:rPr>
          <w:rFonts w:cs="Arial"/>
          <w:i/>
          <w:iCs/>
          <w:sz w:val="22"/>
          <w:szCs w:val="22"/>
        </w:rPr>
        <w:t xml:space="preserve">d. El </w:t>
      </w:r>
      <w:r w:rsidR="005114C6" w:rsidRPr="00F60136">
        <w:rPr>
          <w:rFonts w:cs="Arial"/>
          <w:i/>
          <w:iCs/>
          <w:sz w:val="22"/>
          <w:szCs w:val="22"/>
        </w:rPr>
        <w:t>Gestor del Mercado</w:t>
      </w:r>
      <w:r w:rsidR="0028726C" w:rsidRPr="00F60136">
        <w:rPr>
          <w:rFonts w:cs="Arial"/>
          <w:i/>
          <w:iCs/>
          <w:sz w:val="22"/>
          <w:szCs w:val="22"/>
        </w:rPr>
        <w:t xml:space="preserve"> determinará el porcentaje de participación de cada comprador, por Punto de Entrega y por cada Fuente de Suministro en ese Punto de Referencia, con base en las cantidades totales que reportó para atender Demanda Esencial en ese Punto de Referencia, con base en la totalidad de las cantidades para atender Demanda Esencial reportadas en dicho punto por todos los compradores.</w:t>
      </w:r>
      <w:r>
        <w:rPr>
          <w:rFonts w:cs="Arial"/>
          <w:i/>
          <w:iCs/>
          <w:sz w:val="22"/>
          <w:szCs w:val="22"/>
        </w:rPr>
        <w:t>’</w:t>
      </w:r>
      <w:r w:rsidR="0028726C" w:rsidRPr="00F60136">
        <w:rPr>
          <w:rFonts w:cs="Arial"/>
          <w:i/>
          <w:iCs/>
          <w:sz w:val="22"/>
          <w:szCs w:val="22"/>
        </w:rPr>
        <w:t xml:space="preserve"> La redacción no es suficientemente clara, particularmente por el uso de la expresión </w:t>
      </w:r>
      <w:r>
        <w:rPr>
          <w:rFonts w:cs="Arial"/>
          <w:i/>
          <w:iCs/>
          <w:sz w:val="22"/>
          <w:szCs w:val="22"/>
        </w:rPr>
        <w:t>‘</w:t>
      </w:r>
      <w:r w:rsidR="0028726C" w:rsidRPr="00F60136">
        <w:rPr>
          <w:rFonts w:cs="Arial"/>
          <w:i/>
          <w:iCs/>
          <w:sz w:val="22"/>
          <w:szCs w:val="22"/>
        </w:rPr>
        <w:t>con base en</w:t>
      </w:r>
      <w:r>
        <w:rPr>
          <w:rFonts w:cs="Arial"/>
          <w:i/>
          <w:iCs/>
          <w:sz w:val="22"/>
          <w:szCs w:val="22"/>
        </w:rPr>
        <w:t>’</w:t>
      </w:r>
      <w:r w:rsidR="0028726C" w:rsidRPr="00F60136">
        <w:rPr>
          <w:rFonts w:cs="Arial"/>
          <w:i/>
          <w:iCs/>
          <w:sz w:val="22"/>
          <w:szCs w:val="22"/>
        </w:rPr>
        <w:t xml:space="preserve"> para exponer dos fuentes de información (el reporte individual de cada comprador y el reporte en conjunto por todos los compradores). La lectura e interpretación del texto son complejas</w:t>
      </w:r>
      <w:r w:rsidR="0028726C" w:rsidRPr="0028726C">
        <w:rPr>
          <w:rFonts w:cs="Arial"/>
          <w:sz w:val="22"/>
          <w:szCs w:val="22"/>
        </w:rPr>
        <w:t>.</w:t>
      </w:r>
      <w:r w:rsidR="0034567B">
        <w:rPr>
          <w:rFonts w:cs="Arial"/>
          <w:sz w:val="22"/>
          <w:szCs w:val="22"/>
        </w:rPr>
        <w:t>”</w:t>
      </w:r>
    </w:p>
    <w:p w14:paraId="7A8C1620" w14:textId="77777777" w:rsidR="00F60136" w:rsidRDefault="00F60136" w:rsidP="0028726C">
      <w:pPr>
        <w:rPr>
          <w:rFonts w:cs="Arial"/>
          <w:sz w:val="22"/>
          <w:szCs w:val="22"/>
        </w:rPr>
      </w:pPr>
    </w:p>
    <w:p w14:paraId="212C10C5" w14:textId="03067812" w:rsidR="00F60136" w:rsidRPr="00F60136" w:rsidRDefault="00F60136" w:rsidP="0028726C">
      <w:pPr>
        <w:rPr>
          <w:rFonts w:cs="Arial"/>
          <w:b/>
          <w:bCs/>
          <w:sz w:val="22"/>
          <w:szCs w:val="22"/>
        </w:rPr>
      </w:pPr>
      <w:r w:rsidRPr="00F60136">
        <w:rPr>
          <w:rFonts w:cs="Arial"/>
          <w:b/>
          <w:bCs/>
          <w:sz w:val="22"/>
          <w:szCs w:val="22"/>
        </w:rPr>
        <w:t>Respuesta:</w:t>
      </w:r>
    </w:p>
    <w:p w14:paraId="67B20E69" w14:textId="77777777" w:rsidR="00F60136" w:rsidRDefault="00F60136" w:rsidP="0028726C">
      <w:pPr>
        <w:rPr>
          <w:rFonts w:cs="Arial"/>
          <w:sz w:val="22"/>
          <w:szCs w:val="22"/>
        </w:rPr>
      </w:pPr>
    </w:p>
    <w:p w14:paraId="05BE5E3D" w14:textId="6A01B9A6" w:rsidR="00F60136" w:rsidRPr="0028726C" w:rsidRDefault="00F60136"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_Ref132627196 \r \h </w:instrText>
      </w:r>
      <w:r>
        <w:rPr>
          <w:rFonts w:cs="Arial"/>
          <w:sz w:val="22"/>
          <w:szCs w:val="22"/>
        </w:rPr>
      </w:r>
      <w:r>
        <w:rPr>
          <w:rFonts w:cs="Arial"/>
          <w:sz w:val="22"/>
          <w:szCs w:val="22"/>
        </w:rPr>
        <w:fldChar w:fldCharType="separate"/>
      </w:r>
      <w:r>
        <w:rPr>
          <w:rFonts w:cs="Arial"/>
          <w:sz w:val="22"/>
          <w:szCs w:val="22"/>
        </w:rPr>
        <w:t>19.16.1.3</w:t>
      </w:r>
      <w:r>
        <w:rPr>
          <w:rFonts w:cs="Arial"/>
          <w:sz w:val="22"/>
          <w:szCs w:val="22"/>
        </w:rPr>
        <w:fldChar w:fldCharType="end"/>
      </w:r>
      <w:r>
        <w:rPr>
          <w:rFonts w:cs="Arial"/>
          <w:sz w:val="22"/>
          <w:szCs w:val="22"/>
        </w:rPr>
        <w:t>.</w:t>
      </w:r>
    </w:p>
    <w:p w14:paraId="597FB981" w14:textId="77777777" w:rsidR="00C53D76" w:rsidRDefault="00C53D76" w:rsidP="0028726C">
      <w:pPr>
        <w:rPr>
          <w:rFonts w:cs="Arial"/>
          <w:sz w:val="22"/>
          <w:szCs w:val="22"/>
        </w:rPr>
      </w:pPr>
    </w:p>
    <w:p w14:paraId="57865FA9" w14:textId="77777777" w:rsidR="00C53D76" w:rsidRDefault="00C53D76" w:rsidP="0028726C">
      <w:pPr>
        <w:rPr>
          <w:rFonts w:cs="Arial"/>
          <w:sz w:val="22"/>
          <w:szCs w:val="22"/>
        </w:rPr>
      </w:pPr>
    </w:p>
    <w:p w14:paraId="72A7240D" w14:textId="77777777" w:rsidR="00C53D76" w:rsidRDefault="0028726C" w:rsidP="0090195C">
      <w:pPr>
        <w:pStyle w:val="Ttulo2"/>
      </w:pPr>
      <w:bookmarkStart w:id="843" w:name="_Toc140506444"/>
      <w:r w:rsidRPr="0028726C">
        <w:t>NATURGAS</w:t>
      </w:r>
      <w:bookmarkEnd w:id="843"/>
      <w:r w:rsidRPr="0028726C">
        <w:tab/>
      </w:r>
    </w:p>
    <w:p w14:paraId="6A717A90" w14:textId="77777777" w:rsidR="00002A82" w:rsidRDefault="00002A82" w:rsidP="000D05A3">
      <w:pPr>
        <w:pStyle w:val="Ttulo4"/>
      </w:pPr>
      <w:r w:rsidRPr="0028726C">
        <w:t>NATURGAS</w:t>
      </w:r>
      <w:r w:rsidRPr="0028726C">
        <w:tab/>
      </w:r>
    </w:p>
    <w:p w14:paraId="22EFA1F2" w14:textId="5910C01E" w:rsidR="0028726C" w:rsidRPr="00473900" w:rsidRDefault="0028726C" w:rsidP="0028726C">
      <w:pPr>
        <w:rPr>
          <w:rFonts w:cs="Arial"/>
          <w:i/>
          <w:iCs/>
          <w:sz w:val="22"/>
          <w:szCs w:val="22"/>
        </w:rPr>
      </w:pPr>
      <w:r w:rsidRPr="0028726C">
        <w:rPr>
          <w:rFonts w:cs="Arial"/>
          <w:sz w:val="22"/>
          <w:szCs w:val="22"/>
        </w:rPr>
        <w:t>"</w:t>
      </w:r>
      <w:r w:rsidRPr="00473900">
        <w:rPr>
          <w:rFonts w:cs="Arial"/>
          <w:i/>
          <w:iCs/>
          <w:sz w:val="22"/>
          <w:szCs w:val="22"/>
        </w:rPr>
        <w:t xml:space="preserve">En este artículo se establecen las disposiciones sobre el MADE (Mecanismo de Aseguramiento de la Demanda Esencial) que en general es un mecanismo de asignación de cantidades de manera trimestral similar a como está establecido en la Resolución CREG 185 de 2020 para el caso de transporte. Esto es, mecanismo en el que trimestralmente se evalúa la oferta y la demanda para trimestres futuros y si hay superávit la asignación se hace mediante negociación entre las partes y si hay déficit la asignación se hace mediante un mecanismo de subasta. </w:t>
      </w:r>
    </w:p>
    <w:p w14:paraId="5E249655" w14:textId="77777777" w:rsidR="0028726C" w:rsidRPr="00473900" w:rsidRDefault="0028726C" w:rsidP="0028726C">
      <w:pPr>
        <w:rPr>
          <w:rFonts w:cs="Arial"/>
          <w:i/>
          <w:iCs/>
          <w:sz w:val="22"/>
          <w:szCs w:val="22"/>
        </w:rPr>
      </w:pPr>
    </w:p>
    <w:p w14:paraId="3CA8176A" w14:textId="25A58D37" w:rsidR="0028726C" w:rsidRPr="00473900" w:rsidRDefault="0028726C" w:rsidP="0028726C">
      <w:pPr>
        <w:rPr>
          <w:rFonts w:cs="Arial"/>
          <w:i/>
          <w:iCs/>
          <w:sz w:val="22"/>
          <w:szCs w:val="22"/>
        </w:rPr>
      </w:pPr>
      <w:r w:rsidRPr="00473900">
        <w:rPr>
          <w:rFonts w:cs="Arial"/>
          <w:i/>
          <w:iCs/>
          <w:sz w:val="22"/>
          <w:szCs w:val="22"/>
        </w:rPr>
        <w:t xml:space="preserve">Al respecto consideramos que el MADE es un mecanismo de asignación en el que, distinto al caso de transporte donde hay un precio regulado, no hay señal de precio de entrada. Es decir, cuando los potenciales compradores reportan su demanda al </w:t>
      </w:r>
      <w:r w:rsidR="005114C6" w:rsidRPr="00473900">
        <w:rPr>
          <w:rFonts w:cs="Arial"/>
          <w:i/>
          <w:iCs/>
          <w:sz w:val="22"/>
          <w:szCs w:val="22"/>
        </w:rPr>
        <w:t>Gestor del Mercado</w:t>
      </w:r>
      <w:r w:rsidRPr="00473900">
        <w:rPr>
          <w:rFonts w:cs="Arial"/>
          <w:i/>
          <w:iCs/>
          <w:sz w:val="22"/>
          <w:szCs w:val="22"/>
        </w:rPr>
        <w:t xml:space="preserve"> no conocen el precio al cual estarían dispuestos los vendedores a vender esas cantidades. La señal de precio de entrada es fundamental para las demandas elásticas al precio o con sustitutos como son la demanda de GNV, industrial y comercial. Al desconocerse el precio de entrada los compradores no pueden evaluar qué cantidades realmente podrían demandar y posiblemente demandarán </w:t>
      </w:r>
      <w:proofErr w:type="gramStart"/>
      <w:r w:rsidRPr="00473900">
        <w:rPr>
          <w:rFonts w:cs="Arial"/>
          <w:i/>
          <w:iCs/>
          <w:sz w:val="22"/>
          <w:szCs w:val="22"/>
        </w:rPr>
        <w:t>la máximas cantidades posibles</w:t>
      </w:r>
      <w:proofErr w:type="gramEnd"/>
      <w:r w:rsidRPr="00473900">
        <w:rPr>
          <w:rFonts w:cs="Arial"/>
          <w:i/>
          <w:iCs/>
          <w:sz w:val="22"/>
          <w:szCs w:val="22"/>
        </w:rPr>
        <w:t xml:space="preserve"> lo cual presiona a un déficit que llevará a subastas en muchos trimestres pero al final del ejercicio la demanda elástica se reduce con los precios de la subasta.  Ahora, en la propuesta tampoco se conoce el tipo de subasta y si habrá o no precio de reserva. Se entiende que el escenario de subasta es donde habría el mayor precio pues se parte de la base de que hay déficit. </w:t>
      </w:r>
    </w:p>
    <w:p w14:paraId="179723DD" w14:textId="77777777" w:rsidR="0028726C" w:rsidRPr="00473900" w:rsidRDefault="0028726C" w:rsidP="0028726C">
      <w:pPr>
        <w:rPr>
          <w:rFonts w:cs="Arial"/>
          <w:i/>
          <w:iCs/>
          <w:sz w:val="22"/>
          <w:szCs w:val="22"/>
        </w:rPr>
      </w:pPr>
    </w:p>
    <w:p w14:paraId="1C478D69" w14:textId="236C6E26" w:rsidR="0028726C" w:rsidRPr="00473900" w:rsidRDefault="0028726C" w:rsidP="0028726C">
      <w:pPr>
        <w:rPr>
          <w:rFonts w:cs="Arial"/>
          <w:i/>
          <w:iCs/>
          <w:sz w:val="22"/>
          <w:szCs w:val="22"/>
        </w:rPr>
      </w:pPr>
      <w:r w:rsidRPr="00473900">
        <w:rPr>
          <w:rFonts w:cs="Arial"/>
          <w:i/>
          <w:iCs/>
          <w:sz w:val="22"/>
          <w:szCs w:val="22"/>
        </w:rPr>
        <w:t>Por lo anterior consideramos necesario revisar, y si es del caso reformular, el mecanismo propuesto de tal manera que no se convierta en un esquema que presione los precios al alza de manera artificial, lo cual impactaría principalmente a la demanda regulada.</w:t>
      </w:r>
      <w:r w:rsidR="00B44897">
        <w:rPr>
          <w:rFonts w:cs="Arial"/>
          <w:i/>
          <w:iCs/>
          <w:sz w:val="22"/>
          <w:szCs w:val="22"/>
        </w:rPr>
        <w:t>”</w:t>
      </w:r>
      <w:r w:rsidRPr="00473900">
        <w:rPr>
          <w:rFonts w:cs="Arial"/>
          <w:i/>
          <w:iCs/>
          <w:sz w:val="22"/>
          <w:szCs w:val="22"/>
        </w:rPr>
        <w:t xml:space="preserve"> </w:t>
      </w:r>
    </w:p>
    <w:p w14:paraId="0008AA7F" w14:textId="77777777" w:rsidR="0028726C" w:rsidRPr="00473900" w:rsidRDefault="0028726C" w:rsidP="0028726C">
      <w:pPr>
        <w:rPr>
          <w:rFonts w:cs="Arial"/>
          <w:i/>
          <w:iCs/>
          <w:sz w:val="22"/>
          <w:szCs w:val="22"/>
        </w:rPr>
      </w:pPr>
    </w:p>
    <w:p w14:paraId="0D26878B" w14:textId="1DE5D908" w:rsidR="00473900" w:rsidRPr="00473900" w:rsidRDefault="00473900" w:rsidP="0028726C">
      <w:pPr>
        <w:rPr>
          <w:rFonts w:cs="Arial"/>
          <w:b/>
          <w:bCs/>
          <w:sz w:val="22"/>
          <w:szCs w:val="22"/>
        </w:rPr>
      </w:pPr>
      <w:r w:rsidRPr="00473900">
        <w:rPr>
          <w:rFonts w:cs="Arial"/>
          <w:b/>
          <w:bCs/>
          <w:sz w:val="22"/>
          <w:szCs w:val="22"/>
        </w:rPr>
        <w:t>Respuesta:</w:t>
      </w:r>
    </w:p>
    <w:p w14:paraId="164B5525" w14:textId="77777777" w:rsidR="00473900" w:rsidRDefault="00473900" w:rsidP="0028726C">
      <w:pPr>
        <w:rPr>
          <w:rFonts w:cs="Arial"/>
          <w:sz w:val="22"/>
          <w:szCs w:val="22"/>
        </w:rPr>
      </w:pPr>
    </w:p>
    <w:p w14:paraId="31301D6E" w14:textId="6B90EA63" w:rsidR="00473900" w:rsidRDefault="00473900" w:rsidP="0028726C">
      <w:pPr>
        <w:rPr>
          <w:rFonts w:cs="Arial"/>
          <w:sz w:val="22"/>
          <w:szCs w:val="22"/>
        </w:rPr>
      </w:pPr>
      <w:r>
        <w:rPr>
          <w:rFonts w:cs="Arial"/>
          <w:sz w:val="22"/>
          <w:szCs w:val="22"/>
        </w:rPr>
        <w:t xml:space="preserve">Sobre la señal de precio inicial, ver respuesta a </w:t>
      </w:r>
      <w:r>
        <w:rPr>
          <w:rFonts w:cs="Arial"/>
          <w:sz w:val="22"/>
          <w:szCs w:val="22"/>
        </w:rPr>
        <w:fldChar w:fldCharType="begin"/>
      </w:r>
      <w:r>
        <w:rPr>
          <w:rFonts w:cs="Arial"/>
          <w:sz w:val="22"/>
          <w:szCs w:val="22"/>
        </w:rPr>
        <w:instrText xml:space="preserve"> REF _Ref132117030 \r \h </w:instrText>
      </w:r>
      <w:r>
        <w:rPr>
          <w:rFonts w:cs="Arial"/>
          <w:sz w:val="22"/>
          <w:szCs w:val="22"/>
        </w:rPr>
      </w:r>
      <w:r>
        <w:rPr>
          <w:rFonts w:cs="Arial"/>
          <w:sz w:val="22"/>
          <w:szCs w:val="22"/>
        </w:rPr>
        <w:fldChar w:fldCharType="separate"/>
      </w:r>
      <w:r>
        <w:rPr>
          <w:rFonts w:cs="Arial"/>
          <w:sz w:val="22"/>
          <w:szCs w:val="22"/>
        </w:rPr>
        <w:t>19.3.1.2</w:t>
      </w:r>
      <w:r>
        <w:rPr>
          <w:rFonts w:cs="Arial"/>
          <w:sz w:val="22"/>
          <w:szCs w:val="22"/>
        </w:rPr>
        <w:fldChar w:fldCharType="end"/>
      </w:r>
      <w:r>
        <w:rPr>
          <w:rFonts w:cs="Arial"/>
          <w:sz w:val="22"/>
          <w:szCs w:val="22"/>
        </w:rPr>
        <w:t>.</w:t>
      </w:r>
    </w:p>
    <w:p w14:paraId="78875114" w14:textId="77777777" w:rsidR="00473900" w:rsidRDefault="00473900" w:rsidP="0028726C">
      <w:pPr>
        <w:rPr>
          <w:rFonts w:cs="Arial"/>
          <w:sz w:val="22"/>
          <w:szCs w:val="22"/>
        </w:rPr>
      </w:pPr>
    </w:p>
    <w:p w14:paraId="17177332" w14:textId="45B8FF89" w:rsidR="00473900" w:rsidRPr="00A77418" w:rsidRDefault="00473900" w:rsidP="00473900">
      <w:pPr>
        <w:rPr>
          <w:rFonts w:cs="Arial"/>
          <w:sz w:val="22"/>
          <w:szCs w:val="22"/>
        </w:rPr>
      </w:pPr>
      <w:r w:rsidRPr="00A77418">
        <w:rPr>
          <w:rFonts w:cs="Arial"/>
          <w:sz w:val="22"/>
          <w:szCs w:val="22"/>
        </w:rPr>
        <w:t>En la nueva propuesta se incluye un Anexo que reglamenta la subasta centralizada comentada.</w:t>
      </w:r>
      <w:r>
        <w:rPr>
          <w:rFonts w:cs="Arial"/>
          <w:sz w:val="22"/>
          <w:szCs w:val="22"/>
        </w:rPr>
        <w:t xml:space="preserve"> </w:t>
      </w:r>
      <w:r w:rsidRPr="00A77418">
        <w:rPr>
          <w:rFonts w:cs="Arial"/>
          <w:sz w:val="22"/>
          <w:szCs w:val="22"/>
        </w:rPr>
        <w:t xml:space="preserve">Ver respuesta a </w:t>
      </w:r>
      <w:r w:rsidRPr="00A77418">
        <w:rPr>
          <w:rFonts w:cs="Arial"/>
          <w:sz w:val="22"/>
          <w:szCs w:val="22"/>
        </w:rPr>
        <w:fldChar w:fldCharType="begin"/>
      </w:r>
      <w:r w:rsidRPr="00A77418">
        <w:rPr>
          <w:rFonts w:cs="Arial"/>
          <w:sz w:val="22"/>
          <w:szCs w:val="22"/>
        </w:rPr>
        <w:instrText xml:space="preserve"> REF _Ref132190563 \r \h </w:instrText>
      </w:r>
      <w:r>
        <w:rPr>
          <w:rFonts w:cs="Arial"/>
          <w:sz w:val="22"/>
          <w:szCs w:val="22"/>
        </w:rPr>
        <w:instrText xml:space="preserve"> \* MERGEFORMAT </w:instrText>
      </w:r>
      <w:r w:rsidRPr="00A77418">
        <w:rPr>
          <w:rFonts w:cs="Arial"/>
          <w:sz w:val="22"/>
          <w:szCs w:val="22"/>
        </w:rPr>
      </w:r>
      <w:r w:rsidRPr="00A77418">
        <w:rPr>
          <w:rFonts w:cs="Arial"/>
          <w:sz w:val="22"/>
          <w:szCs w:val="22"/>
        </w:rPr>
        <w:fldChar w:fldCharType="separate"/>
      </w:r>
      <w:r>
        <w:rPr>
          <w:rFonts w:cs="Arial"/>
          <w:sz w:val="22"/>
          <w:szCs w:val="22"/>
        </w:rPr>
        <w:t>19.2.1.2</w:t>
      </w:r>
      <w:r w:rsidRPr="00A77418">
        <w:rPr>
          <w:rFonts w:cs="Arial"/>
          <w:sz w:val="22"/>
          <w:szCs w:val="22"/>
        </w:rPr>
        <w:fldChar w:fldCharType="end"/>
      </w:r>
      <w:r w:rsidRPr="00A77418">
        <w:rPr>
          <w:rFonts w:cs="Arial"/>
          <w:sz w:val="22"/>
          <w:szCs w:val="22"/>
        </w:rPr>
        <w:t>.</w:t>
      </w:r>
    </w:p>
    <w:p w14:paraId="2EE68E65" w14:textId="77777777" w:rsidR="00473900" w:rsidRDefault="00473900" w:rsidP="0028726C">
      <w:pPr>
        <w:rPr>
          <w:rFonts w:cs="Arial"/>
          <w:i/>
          <w:iCs/>
          <w:sz w:val="22"/>
          <w:szCs w:val="22"/>
        </w:rPr>
      </w:pPr>
    </w:p>
    <w:p w14:paraId="1592FB41" w14:textId="77777777" w:rsidR="00473900" w:rsidRDefault="00473900" w:rsidP="00473900">
      <w:pPr>
        <w:pStyle w:val="Ttulo4"/>
      </w:pPr>
      <w:bookmarkStart w:id="844" w:name="_Ref132640817"/>
      <w:r w:rsidRPr="0028726C">
        <w:t>NATURGAS</w:t>
      </w:r>
      <w:bookmarkEnd w:id="844"/>
      <w:r w:rsidRPr="0028726C">
        <w:tab/>
      </w:r>
    </w:p>
    <w:p w14:paraId="345584D6" w14:textId="0117FFB9" w:rsidR="0028726C" w:rsidRDefault="00B44897" w:rsidP="0028726C">
      <w:pPr>
        <w:rPr>
          <w:rFonts w:cs="Arial"/>
          <w:sz w:val="22"/>
          <w:szCs w:val="22"/>
        </w:rPr>
      </w:pPr>
      <w:r>
        <w:rPr>
          <w:rFonts w:cs="Arial"/>
          <w:i/>
          <w:iCs/>
          <w:sz w:val="22"/>
          <w:szCs w:val="22"/>
        </w:rPr>
        <w:t>“</w:t>
      </w:r>
      <w:r w:rsidR="0028726C" w:rsidRPr="00473900">
        <w:rPr>
          <w:rFonts w:cs="Arial"/>
          <w:i/>
          <w:iCs/>
          <w:sz w:val="22"/>
          <w:szCs w:val="22"/>
        </w:rPr>
        <w:t xml:space="preserve">De otra parte, genera preocupación la aplicación del mecanismo del MADE ante un </w:t>
      </w:r>
      <w:proofErr w:type="spellStart"/>
      <w:r w:rsidR="0028726C" w:rsidRPr="00473900">
        <w:rPr>
          <w:rFonts w:cs="Arial"/>
          <w:i/>
          <w:iCs/>
          <w:sz w:val="22"/>
          <w:szCs w:val="22"/>
        </w:rPr>
        <w:t>fenónemo</w:t>
      </w:r>
      <w:proofErr w:type="spellEnd"/>
      <w:r w:rsidR="0028726C" w:rsidRPr="00473900">
        <w:rPr>
          <w:rFonts w:cs="Arial"/>
          <w:i/>
          <w:iCs/>
          <w:sz w:val="22"/>
          <w:szCs w:val="22"/>
        </w:rPr>
        <w:t xml:space="preserve"> de El Niño donde los generadores térmicos tienen una alta capacidad de pago frente a otras demandas de gas muy elásticas al precio y frente a la demanda regulada que requerirá compras de corto plazo para cubrir los picos según la señal propuesta en la Resolución CREG 227 de 2022. De hecho, la señal regulatoria de la Resolución CREG 226 de 2020 pondría a competir en el corto plazo (i.e. trimestres) compradores térmicos con comercializadores de demanda esencial en las mismas condiciones, y la señal de la Resolución CREG 227 de 2020 incentiva a que el comercializador de demanda regulada contrate los picos en el corto plazo (</w:t>
      </w:r>
      <w:proofErr w:type="spellStart"/>
      <w:r w:rsidR="0028726C" w:rsidRPr="00473900">
        <w:rPr>
          <w:rFonts w:cs="Arial"/>
          <w:i/>
          <w:iCs/>
          <w:sz w:val="22"/>
          <w:szCs w:val="22"/>
        </w:rPr>
        <w:t>i.g</w:t>
      </w:r>
      <w:proofErr w:type="spellEnd"/>
      <w:r w:rsidR="0028726C" w:rsidRPr="00473900">
        <w:rPr>
          <w:rFonts w:cs="Arial"/>
          <w:i/>
          <w:iCs/>
          <w:sz w:val="22"/>
          <w:szCs w:val="22"/>
        </w:rPr>
        <w:t>. trimestres) de tal manera que ante un f</w:t>
      </w:r>
      <w:r w:rsidR="00473900">
        <w:rPr>
          <w:rFonts w:cs="Arial"/>
          <w:i/>
          <w:iCs/>
          <w:sz w:val="22"/>
          <w:szCs w:val="22"/>
        </w:rPr>
        <w:t>e</w:t>
      </w:r>
      <w:r w:rsidR="0028726C" w:rsidRPr="00473900">
        <w:rPr>
          <w:rFonts w:cs="Arial"/>
          <w:i/>
          <w:iCs/>
          <w:sz w:val="22"/>
          <w:szCs w:val="22"/>
        </w:rPr>
        <w:t>nómeno de El Niño los precios a la demanda regulada se incrementarían lo cual no parece consistente con las motivaciones de la propuesta de la Resolución CREG 227. En tal sentido, es necesario revisar las señales propuestas en las resoluciones 226 y 227 de tal forma que haya coherencia. Una alternativa es que la señal de la resolución 227 incentive la contratación de los picos a través de contratos de largo plazo</w:t>
      </w:r>
      <w:r w:rsidR="0028726C" w:rsidRPr="0028726C">
        <w:rPr>
          <w:rFonts w:cs="Arial"/>
          <w:sz w:val="22"/>
          <w:szCs w:val="22"/>
        </w:rPr>
        <w:t>."</w:t>
      </w:r>
    </w:p>
    <w:p w14:paraId="5D99695D" w14:textId="77777777" w:rsidR="00473900" w:rsidRDefault="00473900" w:rsidP="0028726C">
      <w:pPr>
        <w:rPr>
          <w:rFonts w:cs="Arial"/>
          <w:sz w:val="22"/>
          <w:szCs w:val="22"/>
        </w:rPr>
      </w:pPr>
    </w:p>
    <w:p w14:paraId="05C7F520" w14:textId="585C1E74" w:rsidR="00473900" w:rsidRPr="00473900" w:rsidRDefault="00473900" w:rsidP="0028726C">
      <w:pPr>
        <w:rPr>
          <w:rFonts w:cs="Arial"/>
          <w:b/>
          <w:bCs/>
          <w:sz w:val="22"/>
          <w:szCs w:val="22"/>
        </w:rPr>
      </w:pPr>
      <w:r w:rsidRPr="00473900">
        <w:rPr>
          <w:rFonts w:cs="Arial"/>
          <w:b/>
          <w:bCs/>
          <w:sz w:val="22"/>
          <w:szCs w:val="22"/>
        </w:rPr>
        <w:t>Respuesta:</w:t>
      </w:r>
    </w:p>
    <w:p w14:paraId="4B054E9C" w14:textId="3B2036E2" w:rsidR="00473900" w:rsidRDefault="00473900" w:rsidP="0028726C">
      <w:pPr>
        <w:rPr>
          <w:rFonts w:cs="Arial"/>
          <w:sz w:val="22"/>
          <w:szCs w:val="22"/>
        </w:rPr>
      </w:pPr>
    </w:p>
    <w:p w14:paraId="48787A31" w14:textId="4287D8E7" w:rsidR="00473900" w:rsidRPr="0028726C" w:rsidRDefault="00473900" w:rsidP="0028726C">
      <w:pPr>
        <w:rPr>
          <w:rFonts w:cs="Arial"/>
          <w:sz w:val="22"/>
          <w:szCs w:val="22"/>
        </w:rPr>
      </w:pPr>
      <w:r>
        <w:rPr>
          <w:rFonts w:cs="Arial"/>
          <w:sz w:val="22"/>
          <w:szCs w:val="22"/>
        </w:rPr>
        <w:t>En la propuesta se aumenta la flexibilidad que tienen actualmente los compradores para atender en general sus necesidades de suministro futuro</w:t>
      </w:r>
      <w:r w:rsidR="006031A4">
        <w:rPr>
          <w:rFonts w:cs="Arial"/>
          <w:sz w:val="22"/>
          <w:szCs w:val="22"/>
        </w:rPr>
        <w:t xml:space="preserve">. Por otro lado, es muy importante considerar lo que se ha mencionado en diferentes respuestas respecto de la manera en que un comprador puede, poco a poco en cada trimestre de negociación, ir comprometiendo las cantidades que considera necesarias para atender la demanda, como se menciona en el numeral </w:t>
      </w:r>
      <w:r w:rsidR="006031A4">
        <w:rPr>
          <w:rFonts w:cs="Arial"/>
          <w:sz w:val="22"/>
          <w:szCs w:val="22"/>
        </w:rPr>
        <w:fldChar w:fldCharType="begin"/>
      </w:r>
      <w:r w:rsidR="006031A4">
        <w:rPr>
          <w:rFonts w:cs="Arial"/>
          <w:sz w:val="22"/>
          <w:szCs w:val="22"/>
        </w:rPr>
        <w:instrText xml:space="preserve"> REF _Ref130304509 \r \h </w:instrText>
      </w:r>
      <w:r w:rsidR="006031A4">
        <w:rPr>
          <w:rFonts w:cs="Arial"/>
          <w:sz w:val="22"/>
          <w:szCs w:val="22"/>
        </w:rPr>
      </w:r>
      <w:r w:rsidR="006031A4">
        <w:rPr>
          <w:rFonts w:cs="Arial"/>
          <w:sz w:val="22"/>
          <w:szCs w:val="22"/>
        </w:rPr>
        <w:fldChar w:fldCharType="separate"/>
      </w:r>
      <w:r w:rsidR="006031A4">
        <w:rPr>
          <w:rFonts w:cs="Arial"/>
          <w:sz w:val="22"/>
          <w:szCs w:val="22"/>
        </w:rPr>
        <w:t>4.11.1</w:t>
      </w:r>
      <w:r w:rsidR="006031A4">
        <w:rPr>
          <w:rFonts w:cs="Arial"/>
          <w:sz w:val="22"/>
          <w:szCs w:val="22"/>
        </w:rPr>
        <w:fldChar w:fldCharType="end"/>
      </w:r>
      <w:r w:rsidR="006031A4">
        <w:rPr>
          <w:rFonts w:cs="Arial"/>
          <w:sz w:val="22"/>
          <w:szCs w:val="22"/>
        </w:rPr>
        <w:t xml:space="preserve">. Así, se espera que en situaciones de corto plazo en un trimestre de negociación (por ejemplo 2 trimestres antes del </w:t>
      </w:r>
      <w:r w:rsidR="009D22E9">
        <w:rPr>
          <w:rFonts w:cs="Arial"/>
          <w:sz w:val="22"/>
          <w:szCs w:val="22"/>
        </w:rPr>
        <w:t>trimestre estándar de ejecución</w:t>
      </w:r>
      <w:r w:rsidR="006031A4">
        <w:rPr>
          <w:rFonts w:cs="Arial"/>
          <w:sz w:val="22"/>
          <w:szCs w:val="22"/>
        </w:rPr>
        <w:t>) en que se pudiese presentar balances comerciales deficitarios, solamente tenga que adquirir residuos de menores cantidades que no afecten significativamente el precio ponderado a trasladar a los usuarios regulados, así posiblemente el precio de cierre a aplicar a esas cantidades marginales sea alto como consecuencia de la asignación de la subasta.</w:t>
      </w:r>
    </w:p>
    <w:p w14:paraId="0B928A15" w14:textId="77777777" w:rsidR="00C53D76" w:rsidRDefault="00C53D76" w:rsidP="0028726C">
      <w:pPr>
        <w:rPr>
          <w:rFonts w:cs="Arial"/>
          <w:sz w:val="22"/>
          <w:szCs w:val="22"/>
        </w:rPr>
      </w:pPr>
    </w:p>
    <w:p w14:paraId="03AEA6DE" w14:textId="77777777" w:rsidR="00C53D76" w:rsidRDefault="00C53D76" w:rsidP="0028726C">
      <w:pPr>
        <w:rPr>
          <w:rFonts w:cs="Arial"/>
          <w:sz w:val="22"/>
          <w:szCs w:val="22"/>
        </w:rPr>
      </w:pPr>
    </w:p>
    <w:p w14:paraId="7BB351C3" w14:textId="77777777" w:rsidR="00C53D76" w:rsidRDefault="0028726C" w:rsidP="0090195C">
      <w:pPr>
        <w:pStyle w:val="Ttulo2"/>
      </w:pPr>
      <w:bookmarkStart w:id="845" w:name="_Toc140506445"/>
      <w:r w:rsidRPr="0028726C">
        <w:t>PETROMIL</w:t>
      </w:r>
      <w:bookmarkEnd w:id="845"/>
      <w:r w:rsidRPr="0028726C">
        <w:tab/>
      </w:r>
    </w:p>
    <w:p w14:paraId="6227BE84" w14:textId="77777777" w:rsidR="00002A82" w:rsidRDefault="00002A82" w:rsidP="00F23443">
      <w:pPr>
        <w:pStyle w:val="Ttulo4"/>
      </w:pPr>
      <w:r w:rsidRPr="0028726C">
        <w:t>PETROMIL</w:t>
      </w:r>
      <w:r w:rsidRPr="0028726C">
        <w:tab/>
      </w:r>
    </w:p>
    <w:p w14:paraId="4FD5E26E" w14:textId="7D34B6A5" w:rsidR="0028726C" w:rsidRPr="00DE55E2" w:rsidRDefault="00C9729C" w:rsidP="0028726C">
      <w:pPr>
        <w:rPr>
          <w:rFonts w:cs="Arial"/>
          <w:i/>
          <w:iCs/>
          <w:sz w:val="22"/>
          <w:szCs w:val="22"/>
        </w:rPr>
      </w:pPr>
      <w:r>
        <w:rPr>
          <w:rFonts w:cs="Arial"/>
          <w:i/>
          <w:iCs/>
          <w:sz w:val="22"/>
          <w:szCs w:val="22"/>
        </w:rPr>
        <w:t>“</w:t>
      </w:r>
      <w:r w:rsidR="0028726C" w:rsidRPr="00DE55E2">
        <w:rPr>
          <w:rFonts w:cs="Arial"/>
          <w:i/>
          <w:iCs/>
          <w:sz w:val="22"/>
          <w:szCs w:val="22"/>
        </w:rPr>
        <w:t>Aclarar lo qué ocurrirá con aquellos contratos de suministro que fueron suscritos bajo la anterior Resolución 186 de 2020 y en esta normativa no se distingue entre la demanda esencial de aquella que no lo es, sino entre Usuarios Regulados o no Regulados. Dicha aclaración es importante para determinar la vigencia o no de los contratos de suministro que a la fecha se están ejecutando</w:t>
      </w:r>
      <w:r w:rsidR="00364AE6">
        <w:rPr>
          <w:rFonts w:cs="Arial"/>
          <w:i/>
          <w:iCs/>
          <w:sz w:val="22"/>
          <w:szCs w:val="22"/>
        </w:rPr>
        <w:t>”</w:t>
      </w:r>
      <w:r w:rsidR="00DE55E2" w:rsidRPr="00DE55E2">
        <w:rPr>
          <w:rFonts w:cs="Arial"/>
          <w:i/>
          <w:iCs/>
          <w:sz w:val="22"/>
          <w:szCs w:val="22"/>
        </w:rPr>
        <w:t>.</w:t>
      </w:r>
    </w:p>
    <w:p w14:paraId="711FF19B" w14:textId="77777777" w:rsidR="00DE55E2" w:rsidRDefault="00DE55E2" w:rsidP="0028726C">
      <w:pPr>
        <w:rPr>
          <w:rFonts w:cs="Arial"/>
          <w:sz w:val="22"/>
          <w:szCs w:val="22"/>
        </w:rPr>
      </w:pPr>
    </w:p>
    <w:p w14:paraId="0C7C8EA3" w14:textId="7719D1C9" w:rsidR="00DE55E2" w:rsidRPr="00DE55E2" w:rsidRDefault="00DE55E2" w:rsidP="0028726C">
      <w:pPr>
        <w:rPr>
          <w:rFonts w:cs="Arial"/>
          <w:b/>
          <w:bCs/>
          <w:sz w:val="22"/>
          <w:szCs w:val="22"/>
        </w:rPr>
      </w:pPr>
      <w:r w:rsidRPr="00DE55E2">
        <w:rPr>
          <w:rFonts w:cs="Arial"/>
          <w:b/>
          <w:bCs/>
          <w:sz w:val="22"/>
          <w:szCs w:val="22"/>
        </w:rPr>
        <w:t>Respuesta:</w:t>
      </w:r>
    </w:p>
    <w:p w14:paraId="635033F4" w14:textId="77777777" w:rsidR="00DE55E2" w:rsidRDefault="00DE55E2" w:rsidP="0028726C">
      <w:pPr>
        <w:rPr>
          <w:rFonts w:cs="Arial"/>
          <w:sz w:val="22"/>
          <w:szCs w:val="22"/>
        </w:rPr>
      </w:pPr>
    </w:p>
    <w:p w14:paraId="6B2033DE" w14:textId="5808FC1F" w:rsidR="00034D03" w:rsidRDefault="00985A5B" w:rsidP="0028726C">
      <w:pPr>
        <w:rPr>
          <w:rFonts w:cs="Arial"/>
          <w:sz w:val="22"/>
          <w:szCs w:val="22"/>
        </w:rPr>
      </w:pPr>
      <w:r>
        <w:rPr>
          <w:rFonts w:cs="Arial"/>
          <w:sz w:val="22"/>
          <w:szCs w:val="22"/>
        </w:rPr>
        <w:t xml:space="preserve">Los contratos que están siendo ejecutados en el momento de que eventualmente entre en vigencia una resolución definitiva con las propuestas planteadas en la nueva propuesta para comentarios, </w:t>
      </w:r>
      <w:r w:rsidR="004C63C6">
        <w:rPr>
          <w:rFonts w:cs="Arial"/>
          <w:sz w:val="22"/>
          <w:szCs w:val="22"/>
        </w:rPr>
        <w:t xml:space="preserve">seguirán su ejecución en forma normal. </w:t>
      </w:r>
      <w:r w:rsidR="00034D03">
        <w:rPr>
          <w:rFonts w:cs="Arial"/>
          <w:sz w:val="22"/>
          <w:szCs w:val="22"/>
        </w:rPr>
        <w:t xml:space="preserve">Ver respuesta a </w:t>
      </w:r>
      <w:r w:rsidR="00034D03">
        <w:rPr>
          <w:rFonts w:cs="Arial"/>
          <w:sz w:val="22"/>
          <w:szCs w:val="22"/>
        </w:rPr>
        <w:fldChar w:fldCharType="begin"/>
      </w:r>
      <w:r w:rsidR="00034D03">
        <w:rPr>
          <w:rFonts w:cs="Arial"/>
          <w:sz w:val="22"/>
          <w:szCs w:val="22"/>
        </w:rPr>
        <w:instrText xml:space="preserve"> REF _Ref132635991 \r \h </w:instrText>
      </w:r>
      <w:r w:rsidR="00034D03">
        <w:rPr>
          <w:rFonts w:cs="Arial"/>
          <w:sz w:val="22"/>
          <w:szCs w:val="22"/>
        </w:rPr>
      </w:r>
      <w:r w:rsidR="00034D03">
        <w:rPr>
          <w:rFonts w:cs="Arial"/>
          <w:sz w:val="22"/>
          <w:szCs w:val="22"/>
        </w:rPr>
        <w:fldChar w:fldCharType="separate"/>
      </w:r>
      <w:r w:rsidR="00034D03">
        <w:rPr>
          <w:rFonts w:cs="Arial"/>
          <w:sz w:val="22"/>
          <w:szCs w:val="22"/>
        </w:rPr>
        <w:t>19.13.1.11</w:t>
      </w:r>
      <w:r w:rsidR="00034D03">
        <w:rPr>
          <w:rFonts w:cs="Arial"/>
          <w:sz w:val="22"/>
          <w:szCs w:val="22"/>
        </w:rPr>
        <w:fldChar w:fldCharType="end"/>
      </w:r>
      <w:r w:rsidR="00034D03">
        <w:rPr>
          <w:rFonts w:cs="Arial"/>
          <w:sz w:val="22"/>
          <w:szCs w:val="22"/>
        </w:rPr>
        <w:t>.</w:t>
      </w:r>
    </w:p>
    <w:p w14:paraId="46A76BAA" w14:textId="77777777" w:rsidR="00034D03" w:rsidRDefault="00034D03" w:rsidP="0028726C">
      <w:pPr>
        <w:rPr>
          <w:rFonts w:cs="Arial"/>
          <w:sz w:val="22"/>
          <w:szCs w:val="22"/>
        </w:rPr>
      </w:pPr>
    </w:p>
    <w:p w14:paraId="1327F6EA" w14:textId="4D72C2C9" w:rsidR="00DE55E2" w:rsidRPr="0028726C" w:rsidRDefault="004C63C6" w:rsidP="0028726C">
      <w:pPr>
        <w:rPr>
          <w:rFonts w:cs="Arial"/>
          <w:sz w:val="22"/>
          <w:szCs w:val="22"/>
        </w:rPr>
      </w:pPr>
      <w:r>
        <w:rPr>
          <w:rFonts w:cs="Arial"/>
          <w:sz w:val="22"/>
          <w:szCs w:val="22"/>
        </w:rPr>
        <w:t>Eso sí, en la nueva propuesta no se permite la prórroga de ningún contrato de suministro vigente, independientemente del tipo de sector de consumo que se atienda con tal contrato.</w:t>
      </w:r>
      <w:r w:rsidR="00034D03">
        <w:rPr>
          <w:rFonts w:cs="Arial"/>
          <w:sz w:val="22"/>
          <w:szCs w:val="22"/>
        </w:rPr>
        <w:t xml:space="preserve"> Ver respuesta a </w:t>
      </w:r>
      <w:r w:rsidR="00034D03">
        <w:rPr>
          <w:rFonts w:cs="Arial"/>
          <w:sz w:val="22"/>
          <w:szCs w:val="22"/>
        </w:rPr>
        <w:fldChar w:fldCharType="begin"/>
      </w:r>
      <w:r w:rsidR="00034D03">
        <w:rPr>
          <w:rFonts w:cs="Arial"/>
          <w:sz w:val="22"/>
          <w:szCs w:val="22"/>
        </w:rPr>
        <w:instrText xml:space="preserve"> REF _Ref132635800 \r \h </w:instrText>
      </w:r>
      <w:r w:rsidR="00034D03">
        <w:rPr>
          <w:rFonts w:cs="Arial"/>
          <w:sz w:val="22"/>
          <w:szCs w:val="22"/>
        </w:rPr>
      </w:r>
      <w:r w:rsidR="00034D03">
        <w:rPr>
          <w:rFonts w:cs="Arial"/>
          <w:sz w:val="22"/>
          <w:szCs w:val="22"/>
        </w:rPr>
        <w:fldChar w:fldCharType="separate"/>
      </w:r>
      <w:r w:rsidR="00034D03">
        <w:rPr>
          <w:rFonts w:cs="Arial"/>
          <w:sz w:val="22"/>
          <w:szCs w:val="22"/>
        </w:rPr>
        <w:t>8.3.1.1</w:t>
      </w:r>
      <w:r w:rsidR="00034D03">
        <w:rPr>
          <w:rFonts w:cs="Arial"/>
          <w:sz w:val="22"/>
          <w:szCs w:val="22"/>
        </w:rPr>
        <w:fldChar w:fldCharType="end"/>
      </w:r>
      <w:r w:rsidR="00034D03">
        <w:rPr>
          <w:rFonts w:cs="Arial"/>
          <w:sz w:val="22"/>
          <w:szCs w:val="22"/>
        </w:rPr>
        <w:t>.</w:t>
      </w:r>
    </w:p>
    <w:p w14:paraId="2BC3F02A" w14:textId="77777777" w:rsidR="00C53D76" w:rsidRDefault="00C53D76" w:rsidP="0028726C">
      <w:pPr>
        <w:rPr>
          <w:rFonts w:cs="Arial"/>
          <w:sz w:val="22"/>
          <w:szCs w:val="22"/>
        </w:rPr>
      </w:pPr>
    </w:p>
    <w:p w14:paraId="5A1DB932" w14:textId="77777777" w:rsidR="00C53D76" w:rsidRDefault="00C53D76" w:rsidP="0028726C">
      <w:pPr>
        <w:rPr>
          <w:rFonts w:cs="Arial"/>
          <w:sz w:val="22"/>
          <w:szCs w:val="22"/>
        </w:rPr>
      </w:pPr>
    </w:p>
    <w:p w14:paraId="34BEDF3F" w14:textId="77777777" w:rsidR="00C53D76" w:rsidRDefault="0028726C" w:rsidP="0090195C">
      <w:pPr>
        <w:pStyle w:val="Ttulo2"/>
      </w:pPr>
      <w:bookmarkStart w:id="846" w:name="_Ref132697097"/>
      <w:bookmarkStart w:id="847" w:name="_Toc140506446"/>
      <w:r w:rsidRPr="0028726C">
        <w:t>PRIME ENERGIA</w:t>
      </w:r>
      <w:bookmarkEnd w:id="846"/>
      <w:bookmarkEnd w:id="847"/>
      <w:r w:rsidRPr="0028726C">
        <w:tab/>
      </w:r>
    </w:p>
    <w:p w14:paraId="1D32EBBB" w14:textId="77777777" w:rsidR="00002A82" w:rsidRDefault="00002A82" w:rsidP="00F23443">
      <w:pPr>
        <w:pStyle w:val="Ttulo4"/>
      </w:pPr>
      <w:bookmarkStart w:id="848" w:name="_Ref132638939"/>
      <w:r w:rsidRPr="0028726C">
        <w:t>PRIME ENERGIA</w:t>
      </w:r>
      <w:bookmarkEnd w:id="848"/>
      <w:r w:rsidRPr="0028726C">
        <w:tab/>
      </w:r>
    </w:p>
    <w:p w14:paraId="5B5C63E3" w14:textId="144ED537" w:rsidR="0028726C" w:rsidRPr="00B2225F" w:rsidRDefault="00364AE6" w:rsidP="0028726C">
      <w:pPr>
        <w:rPr>
          <w:rFonts w:cs="Arial"/>
          <w:i/>
          <w:iCs/>
          <w:sz w:val="22"/>
          <w:szCs w:val="22"/>
        </w:rPr>
      </w:pPr>
      <w:r>
        <w:rPr>
          <w:rFonts w:cs="Arial"/>
          <w:i/>
          <w:iCs/>
          <w:sz w:val="22"/>
          <w:szCs w:val="22"/>
        </w:rPr>
        <w:t>“</w:t>
      </w:r>
      <w:r w:rsidR="0028726C" w:rsidRPr="00B2225F">
        <w:rPr>
          <w:rFonts w:cs="Arial"/>
          <w:i/>
          <w:iCs/>
          <w:sz w:val="22"/>
          <w:szCs w:val="22"/>
        </w:rPr>
        <w:t>Considerando los balances en el suministro de gas natural a mediano plazo, aunado a la propuesta de implementar el Mecanismo de Aseguramiento de la Demanda Esencial - MADE, en la que la demanda térmica al no estar incluida en la definición de Demanda Esencial es atendida de manera residual, consideramos que la demanda térmica no tendría suficientes opciones de contratación en el mercado nacional teniendo que recurrir a alternativas de gas natural importado.</w:t>
      </w:r>
      <w:r>
        <w:rPr>
          <w:rFonts w:cs="Arial"/>
          <w:i/>
          <w:iCs/>
          <w:sz w:val="22"/>
          <w:szCs w:val="22"/>
        </w:rPr>
        <w:t>”</w:t>
      </w:r>
      <w:r w:rsidR="0028726C" w:rsidRPr="00B2225F">
        <w:rPr>
          <w:rFonts w:cs="Arial"/>
          <w:i/>
          <w:iCs/>
          <w:sz w:val="22"/>
          <w:szCs w:val="22"/>
        </w:rPr>
        <w:t xml:space="preserve"> </w:t>
      </w:r>
    </w:p>
    <w:p w14:paraId="1ADA9FFF" w14:textId="77777777" w:rsidR="00B2225F" w:rsidRDefault="00B2225F" w:rsidP="0028726C">
      <w:pPr>
        <w:rPr>
          <w:rFonts w:cs="Arial"/>
          <w:sz w:val="22"/>
          <w:szCs w:val="22"/>
        </w:rPr>
      </w:pPr>
    </w:p>
    <w:p w14:paraId="296182B1" w14:textId="0254CC6D" w:rsidR="00B2225F" w:rsidRPr="00B2225F" w:rsidRDefault="00B2225F" w:rsidP="0028726C">
      <w:pPr>
        <w:rPr>
          <w:rFonts w:cs="Arial"/>
          <w:b/>
          <w:bCs/>
          <w:sz w:val="22"/>
          <w:szCs w:val="22"/>
        </w:rPr>
      </w:pPr>
      <w:r w:rsidRPr="00B2225F">
        <w:rPr>
          <w:rFonts w:cs="Arial"/>
          <w:b/>
          <w:bCs/>
          <w:sz w:val="22"/>
          <w:szCs w:val="22"/>
        </w:rPr>
        <w:t>Respuesta:</w:t>
      </w:r>
    </w:p>
    <w:p w14:paraId="6478DA3A" w14:textId="77777777" w:rsidR="00B2225F" w:rsidRDefault="00B2225F" w:rsidP="0028726C">
      <w:pPr>
        <w:rPr>
          <w:rFonts w:cs="Arial"/>
          <w:sz w:val="22"/>
          <w:szCs w:val="22"/>
        </w:rPr>
      </w:pPr>
    </w:p>
    <w:p w14:paraId="6698A933" w14:textId="0BFB021D" w:rsidR="00B2225F" w:rsidRDefault="006B16A8" w:rsidP="0028726C">
      <w:pPr>
        <w:rPr>
          <w:rFonts w:cs="Arial"/>
          <w:sz w:val="22"/>
          <w:szCs w:val="22"/>
        </w:rPr>
      </w:pPr>
      <w:r>
        <w:rPr>
          <w:rFonts w:cs="Arial"/>
          <w:sz w:val="22"/>
          <w:szCs w:val="22"/>
        </w:rPr>
        <w:t>No se acoge el comentario.</w:t>
      </w:r>
    </w:p>
    <w:p w14:paraId="1ABBBFA5" w14:textId="77777777" w:rsidR="00093EC0" w:rsidRDefault="00093EC0" w:rsidP="0028726C">
      <w:pPr>
        <w:rPr>
          <w:rFonts w:cs="Arial"/>
          <w:sz w:val="22"/>
          <w:szCs w:val="22"/>
        </w:rPr>
      </w:pPr>
    </w:p>
    <w:p w14:paraId="2326A9D3" w14:textId="4FEED725" w:rsidR="00093EC0" w:rsidRDefault="00093EC0"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_Ref130285959 \r \h </w:instrText>
      </w:r>
      <w:r>
        <w:rPr>
          <w:rFonts w:cs="Arial"/>
          <w:sz w:val="22"/>
          <w:szCs w:val="22"/>
        </w:rPr>
      </w:r>
      <w:r>
        <w:rPr>
          <w:rFonts w:cs="Arial"/>
          <w:sz w:val="22"/>
          <w:szCs w:val="22"/>
        </w:rPr>
        <w:fldChar w:fldCharType="separate"/>
      </w:r>
      <w:r>
        <w:rPr>
          <w:rFonts w:cs="Arial"/>
          <w:sz w:val="22"/>
          <w:szCs w:val="22"/>
        </w:rPr>
        <w:t>1.2.1.5</w:t>
      </w:r>
      <w:r>
        <w:rPr>
          <w:rFonts w:cs="Arial"/>
          <w:sz w:val="22"/>
          <w:szCs w:val="22"/>
        </w:rPr>
        <w:fldChar w:fldCharType="end"/>
      </w:r>
      <w:r>
        <w:rPr>
          <w:rFonts w:cs="Arial"/>
          <w:sz w:val="22"/>
          <w:szCs w:val="22"/>
        </w:rPr>
        <w:t xml:space="preserve">, a </w:t>
      </w:r>
      <w:r>
        <w:rPr>
          <w:rFonts w:cs="Arial"/>
          <w:sz w:val="22"/>
          <w:szCs w:val="22"/>
        </w:rPr>
        <w:fldChar w:fldCharType="begin"/>
      </w:r>
      <w:r>
        <w:rPr>
          <w:rFonts w:cs="Arial"/>
          <w:sz w:val="22"/>
          <w:szCs w:val="22"/>
        </w:rPr>
        <w:instrText xml:space="preserve"> REF _Ref130285990 \r \h </w:instrText>
      </w:r>
      <w:r>
        <w:rPr>
          <w:rFonts w:cs="Arial"/>
          <w:sz w:val="22"/>
          <w:szCs w:val="22"/>
        </w:rPr>
      </w:r>
      <w:r>
        <w:rPr>
          <w:rFonts w:cs="Arial"/>
          <w:sz w:val="22"/>
          <w:szCs w:val="22"/>
        </w:rPr>
        <w:fldChar w:fldCharType="separate"/>
      </w:r>
      <w:r>
        <w:rPr>
          <w:rFonts w:cs="Arial"/>
          <w:sz w:val="22"/>
          <w:szCs w:val="22"/>
        </w:rPr>
        <w:t>1.2.1.6</w:t>
      </w:r>
      <w:r>
        <w:rPr>
          <w:rFonts w:cs="Arial"/>
          <w:sz w:val="22"/>
          <w:szCs w:val="22"/>
        </w:rPr>
        <w:fldChar w:fldCharType="end"/>
      </w:r>
      <w:r>
        <w:rPr>
          <w:rFonts w:cs="Arial"/>
          <w:sz w:val="22"/>
          <w:szCs w:val="22"/>
        </w:rPr>
        <w:t xml:space="preserve">, a </w:t>
      </w:r>
      <w:r>
        <w:rPr>
          <w:rFonts w:cs="Arial"/>
          <w:sz w:val="22"/>
          <w:szCs w:val="22"/>
        </w:rPr>
        <w:fldChar w:fldCharType="begin"/>
      </w:r>
      <w:r>
        <w:rPr>
          <w:rFonts w:cs="Arial"/>
          <w:sz w:val="22"/>
          <w:szCs w:val="22"/>
        </w:rPr>
        <w:instrText xml:space="preserve"> REF _Ref130286002 \r \h </w:instrText>
      </w:r>
      <w:r>
        <w:rPr>
          <w:rFonts w:cs="Arial"/>
          <w:sz w:val="22"/>
          <w:szCs w:val="22"/>
        </w:rPr>
      </w:r>
      <w:r>
        <w:rPr>
          <w:rFonts w:cs="Arial"/>
          <w:sz w:val="22"/>
          <w:szCs w:val="22"/>
        </w:rPr>
        <w:fldChar w:fldCharType="separate"/>
      </w:r>
      <w:r>
        <w:rPr>
          <w:rFonts w:cs="Arial"/>
          <w:sz w:val="22"/>
          <w:szCs w:val="22"/>
        </w:rPr>
        <w:t>1.2.1.7</w:t>
      </w:r>
      <w:r>
        <w:rPr>
          <w:rFonts w:cs="Arial"/>
          <w:sz w:val="22"/>
          <w:szCs w:val="22"/>
        </w:rPr>
        <w:fldChar w:fldCharType="end"/>
      </w:r>
      <w:r>
        <w:rPr>
          <w:rFonts w:cs="Arial"/>
          <w:sz w:val="22"/>
          <w:szCs w:val="22"/>
        </w:rPr>
        <w:t xml:space="preserve">, a </w:t>
      </w:r>
      <w:r>
        <w:rPr>
          <w:rFonts w:cs="Arial"/>
          <w:sz w:val="22"/>
          <w:szCs w:val="22"/>
        </w:rPr>
        <w:fldChar w:fldCharType="begin"/>
      </w:r>
      <w:r>
        <w:rPr>
          <w:rFonts w:cs="Arial"/>
          <w:sz w:val="22"/>
          <w:szCs w:val="22"/>
        </w:rPr>
        <w:instrText xml:space="preserve"> REF _Ref132637992 \r \h </w:instrText>
      </w:r>
      <w:r>
        <w:rPr>
          <w:rFonts w:cs="Arial"/>
          <w:sz w:val="22"/>
          <w:szCs w:val="22"/>
        </w:rPr>
      </w:r>
      <w:r>
        <w:rPr>
          <w:rFonts w:cs="Arial"/>
          <w:sz w:val="22"/>
          <w:szCs w:val="22"/>
        </w:rPr>
        <w:fldChar w:fldCharType="separate"/>
      </w:r>
      <w:r>
        <w:rPr>
          <w:rFonts w:cs="Arial"/>
          <w:sz w:val="22"/>
          <w:szCs w:val="22"/>
        </w:rPr>
        <w:t>1.3.1.1</w:t>
      </w:r>
      <w:r>
        <w:rPr>
          <w:rFonts w:cs="Arial"/>
          <w:sz w:val="22"/>
          <w:szCs w:val="22"/>
        </w:rPr>
        <w:fldChar w:fldCharType="end"/>
      </w:r>
      <w:r>
        <w:rPr>
          <w:rFonts w:cs="Arial"/>
          <w:sz w:val="22"/>
          <w:szCs w:val="22"/>
        </w:rPr>
        <w:t>.</w:t>
      </w:r>
    </w:p>
    <w:p w14:paraId="2E72FFE5" w14:textId="77777777" w:rsidR="00093EC0" w:rsidRDefault="00093EC0" w:rsidP="0028726C">
      <w:pPr>
        <w:rPr>
          <w:rFonts w:cs="Arial"/>
          <w:sz w:val="22"/>
          <w:szCs w:val="22"/>
        </w:rPr>
      </w:pPr>
    </w:p>
    <w:p w14:paraId="58AF82B5" w14:textId="4956896B" w:rsidR="006B16A8" w:rsidRDefault="00093EC0" w:rsidP="0028726C">
      <w:pPr>
        <w:rPr>
          <w:rFonts w:cs="Arial"/>
          <w:sz w:val="22"/>
          <w:szCs w:val="22"/>
        </w:rPr>
      </w:pPr>
      <w:r>
        <w:rPr>
          <w:rFonts w:cs="Arial"/>
          <w:sz w:val="22"/>
          <w:szCs w:val="22"/>
        </w:rPr>
        <w:t xml:space="preserve">Por otra parte, en el numeral </w:t>
      </w:r>
      <w:r>
        <w:rPr>
          <w:rFonts w:cs="Arial"/>
          <w:sz w:val="22"/>
          <w:szCs w:val="22"/>
        </w:rPr>
        <w:fldChar w:fldCharType="begin"/>
      </w:r>
      <w:r>
        <w:rPr>
          <w:rFonts w:cs="Arial"/>
          <w:sz w:val="22"/>
          <w:szCs w:val="22"/>
        </w:rPr>
        <w:instrText xml:space="preserve"> REF _Ref130637514 \r \h </w:instrText>
      </w:r>
      <w:r>
        <w:rPr>
          <w:rFonts w:cs="Arial"/>
          <w:sz w:val="22"/>
          <w:szCs w:val="22"/>
        </w:rPr>
      </w:r>
      <w:r>
        <w:rPr>
          <w:rFonts w:cs="Arial"/>
          <w:sz w:val="22"/>
          <w:szCs w:val="22"/>
        </w:rPr>
        <w:fldChar w:fldCharType="separate"/>
      </w:r>
      <w:r>
        <w:rPr>
          <w:rFonts w:cs="Arial"/>
          <w:sz w:val="22"/>
          <w:szCs w:val="22"/>
        </w:rPr>
        <w:t>4.18</w:t>
      </w:r>
      <w:r>
        <w:rPr>
          <w:rFonts w:cs="Arial"/>
          <w:sz w:val="22"/>
          <w:szCs w:val="22"/>
        </w:rPr>
        <w:fldChar w:fldCharType="end"/>
      </w:r>
      <w:r>
        <w:rPr>
          <w:rFonts w:cs="Arial"/>
          <w:sz w:val="22"/>
          <w:szCs w:val="22"/>
        </w:rPr>
        <w:t xml:space="preserve"> se explica una propuesta para efectos de la comercialización de las fuentes de suministro de campos en pruebas o en evaluación sin declaración de comercialidad, que aplica a cualquier tipo de sector de consumo de gas natural. Finalmente se debe tener en cuenta </w:t>
      </w:r>
      <w:proofErr w:type="gramStart"/>
      <w:r>
        <w:rPr>
          <w:rFonts w:cs="Arial"/>
          <w:sz w:val="22"/>
          <w:szCs w:val="22"/>
        </w:rPr>
        <w:t>que</w:t>
      </w:r>
      <w:proofErr w:type="gramEnd"/>
      <w:r>
        <w:rPr>
          <w:rFonts w:cs="Arial"/>
          <w:sz w:val="22"/>
          <w:szCs w:val="22"/>
        </w:rPr>
        <w:t xml:space="preserve"> para la contratación de aquellos trimestres de suministro posteriores a los siguientes veinte trimestres estándar al trimestre de negociación, no se aplican balances comerciales y, por tanto, no hay lugar a priorización de la Demanda Esencial.</w:t>
      </w:r>
    </w:p>
    <w:p w14:paraId="10319200" w14:textId="77777777" w:rsidR="00483E94" w:rsidRDefault="00483E94" w:rsidP="0028726C">
      <w:pPr>
        <w:rPr>
          <w:rFonts w:cs="Arial"/>
          <w:sz w:val="22"/>
          <w:szCs w:val="22"/>
        </w:rPr>
      </w:pPr>
    </w:p>
    <w:p w14:paraId="749E62AF" w14:textId="77777777" w:rsidR="00C53D76" w:rsidRDefault="00C53D76" w:rsidP="0028726C">
      <w:pPr>
        <w:rPr>
          <w:rFonts w:cs="Arial"/>
          <w:sz w:val="22"/>
          <w:szCs w:val="22"/>
        </w:rPr>
      </w:pPr>
    </w:p>
    <w:p w14:paraId="6381D9E9" w14:textId="502B5E1C" w:rsidR="00C53D76" w:rsidRPr="00483E94" w:rsidRDefault="00483E94" w:rsidP="0028726C">
      <w:pPr>
        <w:pStyle w:val="Ttulo4"/>
      </w:pPr>
      <w:bookmarkStart w:id="849" w:name="_Ref132638904"/>
      <w:r w:rsidRPr="0028726C">
        <w:t>PRIME ENERGIA</w:t>
      </w:r>
      <w:bookmarkEnd w:id="849"/>
      <w:r w:rsidRPr="0028726C">
        <w:tab/>
      </w:r>
      <w:r w:rsidR="0028726C" w:rsidRPr="00483E94">
        <w:rPr>
          <w:rFonts w:cs="Arial"/>
          <w:sz w:val="22"/>
          <w:szCs w:val="22"/>
        </w:rPr>
        <w:tab/>
      </w:r>
    </w:p>
    <w:p w14:paraId="0270D1B6" w14:textId="7B3CB893" w:rsidR="0028726C" w:rsidRPr="00D44736" w:rsidRDefault="0028726C" w:rsidP="0028726C">
      <w:pPr>
        <w:rPr>
          <w:rFonts w:cs="Arial"/>
          <w:i/>
          <w:iCs/>
          <w:sz w:val="22"/>
          <w:szCs w:val="22"/>
        </w:rPr>
      </w:pPr>
      <w:r w:rsidRPr="0028726C">
        <w:rPr>
          <w:rFonts w:cs="Arial"/>
          <w:sz w:val="22"/>
          <w:szCs w:val="22"/>
        </w:rPr>
        <w:t>"</w:t>
      </w:r>
      <w:r w:rsidRPr="00D44736">
        <w:rPr>
          <w:rFonts w:cs="Arial"/>
          <w:i/>
          <w:iCs/>
          <w:sz w:val="22"/>
          <w:szCs w:val="22"/>
        </w:rPr>
        <w:t>Consideramos que utilizar la definición de Demanda Esencial en la determinación del balance comercial de gas natural de mediano plazo podría alterar la dimensión del problema de estrechez en el suministro ya identificado por la UPME y no dar las señales adecuadas al mercado para el desarrollo de nuevas fuentes de abastecimiento tanto locales como de gas natural importado.</w:t>
      </w:r>
    </w:p>
    <w:p w14:paraId="3D29E937" w14:textId="77777777" w:rsidR="0028726C" w:rsidRPr="00D44736" w:rsidRDefault="0028726C" w:rsidP="0028726C">
      <w:pPr>
        <w:rPr>
          <w:rFonts w:cs="Arial"/>
          <w:i/>
          <w:iCs/>
          <w:sz w:val="22"/>
          <w:szCs w:val="22"/>
        </w:rPr>
      </w:pPr>
    </w:p>
    <w:p w14:paraId="0BE4C25F" w14:textId="11CA7AFA" w:rsidR="0028726C" w:rsidRPr="00D44736" w:rsidRDefault="0028726C" w:rsidP="0028726C">
      <w:pPr>
        <w:rPr>
          <w:rFonts w:cs="Arial"/>
          <w:i/>
          <w:iCs/>
          <w:sz w:val="22"/>
          <w:szCs w:val="22"/>
        </w:rPr>
      </w:pPr>
      <w:r w:rsidRPr="00D44736">
        <w:rPr>
          <w:rFonts w:cs="Arial"/>
          <w:i/>
          <w:iCs/>
          <w:sz w:val="22"/>
          <w:szCs w:val="22"/>
        </w:rPr>
        <w:t xml:space="preserve">De acuerdo con las cifras reportadas por el </w:t>
      </w:r>
      <w:r w:rsidR="005114C6" w:rsidRPr="00D44736">
        <w:rPr>
          <w:rFonts w:cs="Arial"/>
          <w:i/>
          <w:iCs/>
          <w:sz w:val="22"/>
          <w:szCs w:val="22"/>
        </w:rPr>
        <w:t>Gestor del Mercado</w:t>
      </w:r>
      <w:r w:rsidRPr="00D44736">
        <w:rPr>
          <w:rFonts w:cs="Arial"/>
          <w:i/>
          <w:iCs/>
          <w:sz w:val="22"/>
          <w:szCs w:val="22"/>
        </w:rPr>
        <w:t xml:space="preserve"> de Gas Natural en Colombia, la participación sectorial del sector térmico en la demanda de gas natural para el año 2021 estuvo en el orden del 23%, seguida por el consumo industrial quien tiene la mayor participación con un 30%. Así las cosas, reiteramos que no incluir a la demanda térmica en los balances comerciales genera distorsiones importantes en la suficiencia de gas natural nacional a mediano y largo plazo y posibles riesgos en la confiabilidad del Sistema Interconectado Nacional."</w:t>
      </w:r>
    </w:p>
    <w:p w14:paraId="4A628BC9" w14:textId="77777777" w:rsidR="00D44736" w:rsidRDefault="00D44736" w:rsidP="0028726C">
      <w:pPr>
        <w:rPr>
          <w:rFonts w:cs="Arial"/>
          <w:sz w:val="22"/>
          <w:szCs w:val="22"/>
        </w:rPr>
      </w:pPr>
    </w:p>
    <w:p w14:paraId="3AA8C14A" w14:textId="19605EB0" w:rsidR="00D44736" w:rsidRPr="00D44736" w:rsidRDefault="00D44736" w:rsidP="0028726C">
      <w:pPr>
        <w:rPr>
          <w:rFonts w:cs="Arial"/>
          <w:b/>
          <w:bCs/>
          <w:sz w:val="22"/>
          <w:szCs w:val="22"/>
        </w:rPr>
      </w:pPr>
      <w:r w:rsidRPr="00D44736">
        <w:rPr>
          <w:rFonts w:cs="Arial"/>
          <w:b/>
          <w:bCs/>
          <w:sz w:val="22"/>
          <w:szCs w:val="22"/>
        </w:rPr>
        <w:t>Respuesta:</w:t>
      </w:r>
    </w:p>
    <w:p w14:paraId="7B2492AC" w14:textId="77777777" w:rsidR="00D44736" w:rsidRDefault="00D44736" w:rsidP="0028726C">
      <w:pPr>
        <w:rPr>
          <w:rFonts w:cs="Arial"/>
          <w:sz w:val="22"/>
          <w:szCs w:val="22"/>
        </w:rPr>
      </w:pPr>
    </w:p>
    <w:p w14:paraId="0F67D7C1" w14:textId="5A6F371B" w:rsidR="00D44736" w:rsidRDefault="00D44736" w:rsidP="0028726C">
      <w:pPr>
        <w:rPr>
          <w:rFonts w:cs="Arial"/>
          <w:sz w:val="22"/>
          <w:szCs w:val="22"/>
        </w:rPr>
      </w:pPr>
      <w:r>
        <w:rPr>
          <w:rFonts w:cs="Arial"/>
          <w:sz w:val="22"/>
          <w:szCs w:val="22"/>
        </w:rPr>
        <w:t>No se acoge el comentario.</w:t>
      </w:r>
    </w:p>
    <w:p w14:paraId="18848E5C" w14:textId="77777777" w:rsidR="00D44736" w:rsidRDefault="00D44736" w:rsidP="0028726C">
      <w:pPr>
        <w:rPr>
          <w:rFonts w:cs="Arial"/>
          <w:sz w:val="22"/>
          <w:szCs w:val="22"/>
        </w:rPr>
      </w:pPr>
    </w:p>
    <w:p w14:paraId="7108D442" w14:textId="49882621" w:rsidR="00D44736" w:rsidRDefault="00D44736" w:rsidP="0028726C">
      <w:pPr>
        <w:rPr>
          <w:noProof/>
          <w:sz w:val="22"/>
          <w:szCs w:val="22"/>
        </w:rPr>
      </w:pPr>
      <w:r>
        <w:rPr>
          <w:rFonts w:cs="Arial"/>
          <w:sz w:val="22"/>
          <w:szCs w:val="22"/>
        </w:rPr>
        <w:t>Por una parte</w:t>
      </w:r>
      <w:r w:rsidR="00BD385B">
        <w:rPr>
          <w:rFonts w:cs="Arial"/>
          <w:sz w:val="22"/>
          <w:szCs w:val="22"/>
        </w:rPr>
        <w:t>,</w:t>
      </w:r>
      <w:r>
        <w:rPr>
          <w:rFonts w:cs="Arial"/>
          <w:sz w:val="22"/>
          <w:szCs w:val="22"/>
        </w:rPr>
        <w:t xml:space="preserve"> el ejercicio planteado en el numeral </w:t>
      </w:r>
      <w:r>
        <w:rPr>
          <w:rFonts w:cs="Arial"/>
          <w:sz w:val="22"/>
          <w:szCs w:val="22"/>
        </w:rPr>
        <w:fldChar w:fldCharType="begin"/>
      </w:r>
      <w:r>
        <w:rPr>
          <w:rFonts w:cs="Arial"/>
          <w:sz w:val="22"/>
          <w:szCs w:val="22"/>
        </w:rPr>
        <w:instrText xml:space="preserve"> REF _Ref130303703 \r \h </w:instrText>
      </w:r>
      <w:r>
        <w:rPr>
          <w:rFonts w:cs="Arial"/>
          <w:sz w:val="22"/>
          <w:szCs w:val="22"/>
        </w:rPr>
      </w:r>
      <w:r>
        <w:rPr>
          <w:rFonts w:cs="Arial"/>
          <w:sz w:val="22"/>
          <w:szCs w:val="22"/>
        </w:rPr>
        <w:fldChar w:fldCharType="separate"/>
      </w:r>
      <w:r>
        <w:rPr>
          <w:rFonts w:cs="Arial"/>
          <w:sz w:val="22"/>
          <w:szCs w:val="22"/>
        </w:rPr>
        <w:t>2.2.1</w:t>
      </w:r>
      <w:r>
        <w:rPr>
          <w:rFonts w:cs="Arial"/>
          <w:sz w:val="22"/>
          <w:szCs w:val="22"/>
        </w:rPr>
        <w:fldChar w:fldCharType="end"/>
      </w:r>
      <w:r>
        <w:rPr>
          <w:rFonts w:cs="Arial"/>
          <w:sz w:val="22"/>
          <w:szCs w:val="22"/>
        </w:rPr>
        <w:t xml:space="preserve"> es solo con la intención de </w:t>
      </w:r>
      <w:r w:rsidRPr="00771A16">
        <w:rPr>
          <w:noProof/>
          <w:sz w:val="22"/>
          <w:szCs w:val="22"/>
        </w:rPr>
        <w:t>identifica</w:t>
      </w:r>
      <w:r>
        <w:rPr>
          <w:noProof/>
          <w:sz w:val="22"/>
          <w:szCs w:val="22"/>
        </w:rPr>
        <w:t>r parte</w:t>
      </w:r>
      <w:r w:rsidRPr="00771A16">
        <w:rPr>
          <w:noProof/>
          <w:sz w:val="22"/>
          <w:szCs w:val="22"/>
        </w:rPr>
        <w:t xml:space="preserve"> de la problemática que actualmente se </w:t>
      </w:r>
      <w:r>
        <w:rPr>
          <w:noProof/>
          <w:sz w:val="22"/>
          <w:szCs w:val="22"/>
        </w:rPr>
        <w:t xml:space="preserve">puede </w:t>
      </w:r>
      <w:r w:rsidRPr="00771A16">
        <w:rPr>
          <w:noProof/>
          <w:sz w:val="22"/>
          <w:szCs w:val="22"/>
        </w:rPr>
        <w:t>presenta</w:t>
      </w:r>
      <w:r>
        <w:rPr>
          <w:noProof/>
          <w:sz w:val="22"/>
          <w:szCs w:val="22"/>
        </w:rPr>
        <w:t>r</w:t>
      </w:r>
      <w:r w:rsidRPr="00771A16">
        <w:rPr>
          <w:noProof/>
          <w:sz w:val="22"/>
          <w:szCs w:val="22"/>
        </w:rPr>
        <w:t xml:space="preserve"> desde el punto de vista contractual y considerando  las </w:t>
      </w:r>
      <w:r>
        <w:rPr>
          <w:noProof/>
          <w:sz w:val="22"/>
          <w:szCs w:val="22"/>
        </w:rPr>
        <w:t xml:space="preserve">actuales </w:t>
      </w:r>
      <w:r w:rsidRPr="00771A16">
        <w:rPr>
          <w:noProof/>
          <w:sz w:val="22"/>
          <w:szCs w:val="22"/>
        </w:rPr>
        <w:t>reglas de la comercialización del suministro de gas natural en el mercado mayorista</w:t>
      </w:r>
      <w:r>
        <w:rPr>
          <w:noProof/>
          <w:sz w:val="22"/>
          <w:szCs w:val="22"/>
        </w:rPr>
        <w:t>,</w:t>
      </w:r>
      <w:r w:rsidRPr="00771A16">
        <w:rPr>
          <w:noProof/>
          <w:sz w:val="22"/>
          <w:szCs w:val="22"/>
        </w:rPr>
        <w:t xml:space="preserve"> así como los lineamientos de política energética en ese sentido</w:t>
      </w:r>
      <w:r>
        <w:rPr>
          <w:noProof/>
          <w:sz w:val="22"/>
          <w:szCs w:val="22"/>
        </w:rPr>
        <w:t xml:space="preserve">. </w:t>
      </w:r>
    </w:p>
    <w:p w14:paraId="06A96CAE" w14:textId="77777777" w:rsidR="00D44736" w:rsidRDefault="00D44736" w:rsidP="0028726C">
      <w:pPr>
        <w:rPr>
          <w:noProof/>
          <w:sz w:val="22"/>
          <w:szCs w:val="22"/>
        </w:rPr>
      </w:pPr>
    </w:p>
    <w:p w14:paraId="58D6AE07" w14:textId="1A132A31" w:rsidR="00D44736" w:rsidRPr="0028726C" w:rsidRDefault="00D44736" w:rsidP="0028726C">
      <w:pPr>
        <w:rPr>
          <w:rFonts w:cs="Arial"/>
          <w:sz w:val="22"/>
          <w:szCs w:val="22"/>
        </w:rPr>
      </w:pPr>
      <w:r>
        <w:rPr>
          <w:noProof/>
          <w:sz w:val="22"/>
          <w:szCs w:val="22"/>
        </w:rPr>
        <w:t>Para los balances comerciales se tendrá en cuenta la información de PTDVF/CIDVF que declaren los vendedores del M</w:t>
      </w:r>
      <w:r w:rsidR="002B2FDD">
        <w:rPr>
          <w:noProof/>
          <w:sz w:val="22"/>
          <w:szCs w:val="22"/>
        </w:rPr>
        <w:t>e</w:t>
      </w:r>
      <w:r>
        <w:rPr>
          <w:noProof/>
          <w:sz w:val="22"/>
          <w:szCs w:val="22"/>
        </w:rPr>
        <w:t xml:space="preserve">rcado Primario al Gestor del Mercado en cada trimestre de negociación así como la información que del mismo modo declaran los compradores al Gestor del Mercado en dos instancias. En esta información de los compradores no se limita en ningún caso qué tipo de sector demanda se debe tener en cuenta para ser declarada. </w:t>
      </w:r>
      <w:r w:rsidR="002B2FDD">
        <w:rPr>
          <w:noProof/>
          <w:sz w:val="22"/>
          <w:szCs w:val="22"/>
        </w:rPr>
        <w:t xml:space="preserve">Ver respuesta a </w:t>
      </w:r>
      <w:r>
        <w:rPr>
          <w:noProof/>
          <w:sz w:val="22"/>
          <w:szCs w:val="22"/>
        </w:rPr>
        <w:t xml:space="preserve"> </w:t>
      </w:r>
      <w:r w:rsidR="002B2FDD">
        <w:rPr>
          <w:noProof/>
          <w:sz w:val="22"/>
          <w:szCs w:val="22"/>
        </w:rPr>
        <w:fldChar w:fldCharType="begin"/>
      </w:r>
      <w:r w:rsidR="002B2FDD">
        <w:rPr>
          <w:noProof/>
          <w:sz w:val="22"/>
          <w:szCs w:val="22"/>
        </w:rPr>
        <w:instrText xml:space="preserve"> REF _Ref132638772 \r \h </w:instrText>
      </w:r>
      <w:r w:rsidR="002B2FDD">
        <w:rPr>
          <w:noProof/>
          <w:sz w:val="22"/>
          <w:szCs w:val="22"/>
        </w:rPr>
      </w:r>
      <w:r w:rsidR="002B2FDD">
        <w:rPr>
          <w:noProof/>
          <w:sz w:val="22"/>
          <w:szCs w:val="22"/>
        </w:rPr>
        <w:fldChar w:fldCharType="separate"/>
      </w:r>
      <w:r w:rsidR="002B2FDD">
        <w:rPr>
          <w:noProof/>
          <w:sz w:val="22"/>
          <w:szCs w:val="22"/>
        </w:rPr>
        <w:t>19.19.1.3</w:t>
      </w:r>
      <w:r w:rsidR="002B2FDD">
        <w:rPr>
          <w:noProof/>
          <w:sz w:val="22"/>
          <w:szCs w:val="22"/>
        </w:rPr>
        <w:fldChar w:fldCharType="end"/>
      </w:r>
      <w:r w:rsidR="002B2FDD">
        <w:rPr>
          <w:noProof/>
          <w:sz w:val="22"/>
          <w:szCs w:val="22"/>
        </w:rPr>
        <w:t>.</w:t>
      </w:r>
    </w:p>
    <w:p w14:paraId="77A2FCC0" w14:textId="77777777" w:rsidR="00C53D76" w:rsidRDefault="00C53D76" w:rsidP="0028726C">
      <w:pPr>
        <w:rPr>
          <w:rFonts w:cs="Arial"/>
          <w:sz w:val="22"/>
          <w:szCs w:val="22"/>
        </w:rPr>
      </w:pPr>
    </w:p>
    <w:p w14:paraId="329FED1F" w14:textId="77777777" w:rsidR="00483E94" w:rsidRDefault="00483E94" w:rsidP="0028726C">
      <w:pPr>
        <w:rPr>
          <w:rFonts w:cs="Arial"/>
          <w:sz w:val="22"/>
          <w:szCs w:val="22"/>
        </w:rPr>
      </w:pPr>
    </w:p>
    <w:p w14:paraId="72BF9979" w14:textId="77777777" w:rsidR="00C53D76" w:rsidRDefault="0028726C" w:rsidP="003E1798">
      <w:pPr>
        <w:pStyle w:val="Ttulo4"/>
      </w:pPr>
      <w:bookmarkStart w:id="850" w:name="_Ref132697033"/>
      <w:r w:rsidRPr="0028726C">
        <w:t>PRIME ENERGIA</w:t>
      </w:r>
      <w:bookmarkEnd w:id="850"/>
      <w:r w:rsidRPr="0028726C">
        <w:tab/>
      </w:r>
    </w:p>
    <w:p w14:paraId="6A4EEBF6" w14:textId="71CF0711" w:rsidR="0028726C" w:rsidRDefault="0028726C" w:rsidP="0028726C">
      <w:pPr>
        <w:rPr>
          <w:rFonts w:cs="Arial"/>
          <w:sz w:val="22"/>
          <w:szCs w:val="22"/>
        </w:rPr>
      </w:pPr>
      <w:r w:rsidRPr="0028726C">
        <w:rPr>
          <w:rFonts w:cs="Arial"/>
          <w:sz w:val="22"/>
          <w:szCs w:val="22"/>
        </w:rPr>
        <w:t>"</w:t>
      </w:r>
      <w:r w:rsidRPr="002B2FDD">
        <w:rPr>
          <w:rFonts w:cs="Arial"/>
          <w:i/>
          <w:iCs/>
          <w:sz w:val="22"/>
          <w:szCs w:val="22"/>
        </w:rPr>
        <w:t>Respecto a los incentivos para nuevas fuentes o nuevos modos de suministro en el Mercado primario, en especial la flexibilidad que se está planteando para la comercialización de Gas Natural Licuado – GNL, ponemos a consideración de esta Comisión que la comercialización de estas fuentes quede excluida del MADE cuando se trate de la atención a la demanda térmica, teniendo en cuenta que ya ha sido excluida del gas local por la definición del Demanda Esencial</w:t>
      </w:r>
      <w:r w:rsidRPr="0028726C">
        <w:rPr>
          <w:rFonts w:cs="Arial"/>
          <w:sz w:val="22"/>
          <w:szCs w:val="22"/>
        </w:rPr>
        <w:t>."</w:t>
      </w:r>
    </w:p>
    <w:p w14:paraId="63F7C175" w14:textId="77777777" w:rsidR="002B2FDD" w:rsidRDefault="002B2FDD" w:rsidP="0028726C">
      <w:pPr>
        <w:rPr>
          <w:rFonts w:cs="Arial"/>
          <w:sz w:val="22"/>
          <w:szCs w:val="22"/>
        </w:rPr>
      </w:pPr>
    </w:p>
    <w:p w14:paraId="6133FC4A" w14:textId="0089E3E0" w:rsidR="002B2FDD" w:rsidRPr="002B2FDD" w:rsidRDefault="002B2FDD" w:rsidP="0028726C">
      <w:pPr>
        <w:rPr>
          <w:rFonts w:cs="Arial"/>
          <w:b/>
          <w:bCs/>
          <w:sz w:val="22"/>
          <w:szCs w:val="22"/>
        </w:rPr>
      </w:pPr>
      <w:r w:rsidRPr="002B2FDD">
        <w:rPr>
          <w:rFonts w:cs="Arial"/>
          <w:b/>
          <w:bCs/>
          <w:sz w:val="22"/>
          <w:szCs w:val="22"/>
        </w:rPr>
        <w:t>Respuesta:</w:t>
      </w:r>
    </w:p>
    <w:p w14:paraId="6D677D74" w14:textId="77777777" w:rsidR="002B2FDD" w:rsidRDefault="002B2FDD" w:rsidP="0028726C">
      <w:pPr>
        <w:rPr>
          <w:rFonts w:cs="Arial"/>
          <w:sz w:val="22"/>
          <w:szCs w:val="22"/>
        </w:rPr>
      </w:pPr>
    </w:p>
    <w:p w14:paraId="07A167A6" w14:textId="671DB4D9" w:rsidR="002B2FDD" w:rsidRDefault="004637FA" w:rsidP="0028726C">
      <w:pPr>
        <w:rPr>
          <w:rFonts w:cs="Arial"/>
          <w:sz w:val="22"/>
          <w:szCs w:val="22"/>
        </w:rPr>
      </w:pPr>
      <w:r>
        <w:rPr>
          <w:rFonts w:cs="Arial"/>
          <w:sz w:val="22"/>
          <w:szCs w:val="22"/>
        </w:rPr>
        <w:t>No se acoge el comentario.</w:t>
      </w:r>
    </w:p>
    <w:p w14:paraId="695B74AB" w14:textId="77777777" w:rsidR="004637FA" w:rsidRDefault="004637FA" w:rsidP="0028726C">
      <w:pPr>
        <w:rPr>
          <w:rFonts w:cs="Arial"/>
          <w:sz w:val="22"/>
          <w:szCs w:val="22"/>
        </w:rPr>
      </w:pPr>
    </w:p>
    <w:p w14:paraId="7A7396EE" w14:textId="75EEC179" w:rsidR="004637FA" w:rsidRPr="0028726C" w:rsidRDefault="004637FA" w:rsidP="0028726C">
      <w:pPr>
        <w:rPr>
          <w:rFonts w:cs="Arial"/>
          <w:sz w:val="22"/>
          <w:szCs w:val="22"/>
        </w:rPr>
      </w:pPr>
      <w:r>
        <w:rPr>
          <w:rFonts w:cs="Arial"/>
          <w:sz w:val="22"/>
          <w:szCs w:val="22"/>
        </w:rPr>
        <w:t xml:space="preserve">Ver numeral a </w:t>
      </w:r>
      <w:r>
        <w:rPr>
          <w:rFonts w:cs="Arial"/>
          <w:sz w:val="22"/>
          <w:szCs w:val="22"/>
        </w:rPr>
        <w:fldChar w:fldCharType="begin"/>
      </w:r>
      <w:r>
        <w:rPr>
          <w:rFonts w:cs="Arial"/>
          <w:sz w:val="22"/>
          <w:szCs w:val="22"/>
        </w:rPr>
        <w:instrText xml:space="preserve"> REF _Ref130286448 \r \h </w:instrText>
      </w:r>
      <w:r>
        <w:rPr>
          <w:rFonts w:cs="Arial"/>
          <w:sz w:val="22"/>
          <w:szCs w:val="22"/>
        </w:rPr>
      </w:r>
      <w:r>
        <w:rPr>
          <w:rFonts w:cs="Arial"/>
          <w:sz w:val="22"/>
          <w:szCs w:val="22"/>
        </w:rPr>
        <w:fldChar w:fldCharType="separate"/>
      </w:r>
      <w:r>
        <w:rPr>
          <w:rFonts w:cs="Arial"/>
          <w:sz w:val="22"/>
          <w:szCs w:val="22"/>
        </w:rPr>
        <w:t>2.2.4</w:t>
      </w:r>
      <w:r>
        <w:rPr>
          <w:rFonts w:cs="Arial"/>
          <w:sz w:val="22"/>
          <w:szCs w:val="22"/>
        </w:rPr>
        <w:fldChar w:fldCharType="end"/>
      </w:r>
      <w:r>
        <w:rPr>
          <w:rFonts w:cs="Arial"/>
          <w:sz w:val="22"/>
          <w:szCs w:val="22"/>
        </w:rPr>
        <w:t xml:space="preserve"> y respuesta a </w:t>
      </w:r>
      <w:r>
        <w:rPr>
          <w:rFonts w:cs="Arial"/>
          <w:sz w:val="22"/>
          <w:szCs w:val="22"/>
        </w:rPr>
        <w:fldChar w:fldCharType="begin"/>
      </w:r>
      <w:r>
        <w:rPr>
          <w:rFonts w:cs="Arial"/>
          <w:sz w:val="22"/>
          <w:szCs w:val="22"/>
        </w:rPr>
        <w:instrText xml:space="preserve"> REF _Ref132638939 \r \h </w:instrText>
      </w:r>
      <w:r>
        <w:rPr>
          <w:rFonts w:cs="Arial"/>
          <w:sz w:val="22"/>
          <w:szCs w:val="22"/>
        </w:rPr>
      </w:r>
      <w:r>
        <w:rPr>
          <w:rFonts w:cs="Arial"/>
          <w:sz w:val="22"/>
          <w:szCs w:val="22"/>
        </w:rPr>
        <w:fldChar w:fldCharType="separate"/>
      </w:r>
      <w:r>
        <w:rPr>
          <w:rFonts w:cs="Arial"/>
          <w:sz w:val="22"/>
          <w:szCs w:val="22"/>
        </w:rPr>
        <w:t>19.22.1.1</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_Ref132638904 \r \h </w:instrText>
      </w:r>
      <w:r>
        <w:rPr>
          <w:rFonts w:cs="Arial"/>
          <w:sz w:val="22"/>
          <w:szCs w:val="22"/>
        </w:rPr>
      </w:r>
      <w:r>
        <w:rPr>
          <w:rFonts w:cs="Arial"/>
          <w:sz w:val="22"/>
          <w:szCs w:val="22"/>
        </w:rPr>
        <w:fldChar w:fldCharType="separate"/>
      </w:r>
      <w:r>
        <w:rPr>
          <w:rFonts w:cs="Arial"/>
          <w:sz w:val="22"/>
          <w:szCs w:val="22"/>
        </w:rPr>
        <w:t>19.22.1.2</w:t>
      </w:r>
      <w:r>
        <w:rPr>
          <w:rFonts w:cs="Arial"/>
          <w:sz w:val="22"/>
          <w:szCs w:val="22"/>
        </w:rPr>
        <w:fldChar w:fldCharType="end"/>
      </w:r>
    </w:p>
    <w:p w14:paraId="453A6F71" w14:textId="77777777" w:rsidR="00C53D76" w:rsidRDefault="00C53D76" w:rsidP="0028726C">
      <w:pPr>
        <w:rPr>
          <w:rFonts w:cs="Arial"/>
          <w:sz w:val="22"/>
          <w:szCs w:val="22"/>
        </w:rPr>
      </w:pPr>
    </w:p>
    <w:p w14:paraId="2F627890" w14:textId="77777777" w:rsidR="00C53D76" w:rsidRDefault="00C53D76" w:rsidP="0028726C">
      <w:pPr>
        <w:rPr>
          <w:rFonts w:cs="Arial"/>
          <w:sz w:val="22"/>
          <w:szCs w:val="22"/>
        </w:rPr>
      </w:pPr>
    </w:p>
    <w:p w14:paraId="00E52273" w14:textId="77777777" w:rsidR="00C53D76" w:rsidRDefault="0028726C" w:rsidP="0090195C">
      <w:pPr>
        <w:pStyle w:val="Ttulo2"/>
      </w:pPr>
      <w:bookmarkStart w:id="851" w:name="_Toc140506447"/>
      <w:r w:rsidRPr="0028726C">
        <w:t>PROMIGAS</w:t>
      </w:r>
      <w:bookmarkEnd w:id="851"/>
      <w:r w:rsidRPr="0028726C">
        <w:tab/>
      </w:r>
    </w:p>
    <w:p w14:paraId="02D67543" w14:textId="77777777" w:rsidR="00002A82" w:rsidRDefault="00002A82" w:rsidP="00F23443">
      <w:pPr>
        <w:pStyle w:val="Ttulo4"/>
      </w:pPr>
      <w:r w:rsidRPr="0028726C">
        <w:t>PROMIGAS</w:t>
      </w:r>
      <w:r w:rsidRPr="0028726C">
        <w:tab/>
      </w:r>
    </w:p>
    <w:p w14:paraId="70BF2723" w14:textId="31E4AE16" w:rsidR="0028726C" w:rsidRPr="002061B8" w:rsidRDefault="00E80E83" w:rsidP="0028726C">
      <w:pPr>
        <w:rPr>
          <w:rFonts w:cs="Arial"/>
          <w:i/>
          <w:iCs/>
          <w:sz w:val="22"/>
          <w:szCs w:val="22"/>
        </w:rPr>
      </w:pPr>
      <w:r>
        <w:rPr>
          <w:rFonts w:cs="Arial"/>
          <w:i/>
          <w:iCs/>
          <w:sz w:val="22"/>
          <w:szCs w:val="22"/>
        </w:rPr>
        <w:t>“</w:t>
      </w:r>
      <w:r w:rsidR="0028726C" w:rsidRPr="002061B8">
        <w:rPr>
          <w:rFonts w:cs="Arial"/>
          <w:i/>
          <w:iCs/>
          <w:sz w:val="22"/>
          <w:szCs w:val="22"/>
        </w:rPr>
        <w:t>Se debería establecer la obligatoriedad de que los vendedores en el mercado primario ofrezcan en los procesos de comercialización la totalidad de su PTDV declarada y las modalidades contractuales que ofrecerían con los respectivos precios. Serían los compradores los que definirían la modalidad contractual a la que se acogen, las cantidades a contratar y el período o los períodos a contratar, de acuerdo con lo exigido por la regulación.</w:t>
      </w:r>
      <w:r>
        <w:rPr>
          <w:rFonts w:cs="Arial"/>
          <w:i/>
          <w:iCs/>
          <w:sz w:val="22"/>
          <w:szCs w:val="22"/>
        </w:rPr>
        <w:t>”</w:t>
      </w:r>
    </w:p>
    <w:p w14:paraId="0A28C153" w14:textId="77777777" w:rsidR="002061B8" w:rsidRDefault="002061B8" w:rsidP="0028726C">
      <w:pPr>
        <w:rPr>
          <w:rFonts w:cs="Arial"/>
          <w:sz w:val="22"/>
          <w:szCs w:val="22"/>
        </w:rPr>
      </w:pPr>
    </w:p>
    <w:p w14:paraId="3EA48A46" w14:textId="2A64AE20" w:rsidR="002061B8" w:rsidRPr="002061B8" w:rsidRDefault="002061B8" w:rsidP="0028726C">
      <w:pPr>
        <w:rPr>
          <w:rFonts w:cs="Arial"/>
          <w:b/>
          <w:bCs/>
          <w:sz w:val="22"/>
          <w:szCs w:val="22"/>
        </w:rPr>
      </w:pPr>
      <w:r w:rsidRPr="002061B8">
        <w:rPr>
          <w:rFonts w:cs="Arial"/>
          <w:b/>
          <w:bCs/>
          <w:sz w:val="22"/>
          <w:szCs w:val="22"/>
        </w:rPr>
        <w:t>Respuesta:</w:t>
      </w:r>
    </w:p>
    <w:p w14:paraId="7C3AF069" w14:textId="77777777" w:rsidR="002061B8" w:rsidRDefault="002061B8" w:rsidP="0028726C">
      <w:pPr>
        <w:rPr>
          <w:rFonts w:cs="Arial"/>
          <w:sz w:val="22"/>
          <w:szCs w:val="22"/>
        </w:rPr>
      </w:pPr>
    </w:p>
    <w:p w14:paraId="55FA234D" w14:textId="4FEEAE7B" w:rsidR="002061B8" w:rsidRDefault="002061B8"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_Ref132279194 \r \h </w:instrText>
      </w:r>
      <w:r>
        <w:rPr>
          <w:rFonts w:cs="Arial"/>
          <w:sz w:val="22"/>
          <w:szCs w:val="22"/>
        </w:rPr>
      </w:r>
      <w:r>
        <w:rPr>
          <w:rFonts w:cs="Arial"/>
          <w:sz w:val="22"/>
          <w:szCs w:val="22"/>
        </w:rPr>
        <w:fldChar w:fldCharType="separate"/>
      </w:r>
      <w:r>
        <w:rPr>
          <w:rFonts w:cs="Arial"/>
          <w:sz w:val="22"/>
          <w:szCs w:val="22"/>
        </w:rPr>
        <w:t>19.13.1.1</w:t>
      </w:r>
      <w:r>
        <w:rPr>
          <w:rFonts w:cs="Arial"/>
          <w:sz w:val="22"/>
          <w:szCs w:val="22"/>
        </w:rPr>
        <w:fldChar w:fldCharType="end"/>
      </w:r>
      <w:r>
        <w:rPr>
          <w:rFonts w:cs="Arial"/>
          <w:sz w:val="22"/>
          <w:szCs w:val="22"/>
        </w:rPr>
        <w:t>.</w:t>
      </w:r>
    </w:p>
    <w:p w14:paraId="1E24D724" w14:textId="77777777" w:rsidR="002061B8" w:rsidRPr="0028726C" w:rsidRDefault="002061B8" w:rsidP="0028726C">
      <w:pPr>
        <w:rPr>
          <w:rFonts w:cs="Arial"/>
          <w:sz w:val="22"/>
          <w:szCs w:val="22"/>
        </w:rPr>
      </w:pPr>
    </w:p>
    <w:p w14:paraId="214721BD" w14:textId="77777777" w:rsidR="00C53D76" w:rsidRDefault="00C53D76" w:rsidP="0028726C">
      <w:pPr>
        <w:rPr>
          <w:rFonts w:cs="Arial"/>
          <w:sz w:val="22"/>
          <w:szCs w:val="22"/>
        </w:rPr>
      </w:pPr>
    </w:p>
    <w:p w14:paraId="55B988DD" w14:textId="77777777" w:rsidR="00C53D76" w:rsidRDefault="0028726C" w:rsidP="00F23443">
      <w:pPr>
        <w:pStyle w:val="Ttulo4"/>
      </w:pPr>
      <w:r w:rsidRPr="0028726C">
        <w:t>PROMIGAS</w:t>
      </w:r>
      <w:r w:rsidRPr="0028726C">
        <w:tab/>
      </w:r>
    </w:p>
    <w:p w14:paraId="704D63B2" w14:textId="40E614D2" w:rsidR="0028726C" w:rsidRPr="002061B8" w:rsidRDefault="0028726C" w:rsidP="0028726C">
      <w:pPr>
        <w:rPr>
          <w:rFonts w:cs="Arial"/>
          <w:i/>
          <w:iCs/>
          <w:sz w:val="22"/>
          <w:szCs w:val="22"/>
        </w:rPr>
      </w:pPr>
      <w:r w:rsidRPr="0028726C">
        <w:rPr>
          <w:rFonts w:cs="Arial"/>
          <w:sz w:val="22"/>
          <w:szCs w:val="22"/>
        </w:rPr>
        <w:t>"</w:t>
      </w:r>
      <w:r w:rsidRPr="002061B8">
        <w:rPr>
          <w:rFonts w:cs="Arial"/>
          <w:i/>
          <w:iCs/>
          <w:sz w:val="22"/>
          <w:szCs w:val="22"/>
        </w:rPr>
        <w:t>Se tienen las siguientes consideraciones sobre los tratamientos que la Comisión propone aplicar a las modalidades CF95 y CF80:</w:t>
      </w:r>
    </w:p>
    <w:p w14:paraId="63F698C6" w14:textId="77777777" w:rsidR="0028726C" w:rsidRPr="002061B8" w:rsidRDefault="0028726C" w:rsidP="0028726C">
      <w:pPr>
        <w:rPr>
          <w:rFonts w:cs="Arial"/>
          <w:i/>
          <w:iCs/>
          <w:sz w:val="22"/>
          <w:szCs w:val="22"/>
        </w:rPr>
      </w:pPr>
    </w:p>
    <w:p w14:paraId="064FE08A" w14:textId="77777777" w:rsidR="0028726C" w:rsidRPr="002061B8" w:rsidRDefault="0028726C" w:rsidP="0028726C">
      <w:pPr>
        <w:rPr>
          <w:rFonts w:cs="Arial"/>
          <w:i/>
          <w:iCs/>
          <w:sz w:val="22"/>
          <w:szCs w:val="22"/>
        </w:rPr>
      </w:pPr>
      <w:r w:rsidRPr="002061B8">
        <w:rPr>
          <w:rFonts w:cs="Arial"/>
          <w:i/>
          <w:iCs/>
          <w:sz w:val="22"/>
          <w:szCs w:val="22"/>
        </w:rPr>
        <w:t>▪ Se restringe la modalidad CF80 para la atención de la demanda diferente a la demanda regulada que hace parte de la Demanda Esencial. Tanto los Contratos CF95, como en los Contratos CF80 garantizan el servicio de suministro de una cantidad diaria máxima de gas natural sin interrupciones, durante un período determinado. La única diferencia esperada entre ambos contratos, como también lo manifiesta la CREG, es el precio. La racionalidad económica indica que la única diferencia justificable entre ambos contratos es el precio. Es decir, se esperaría que el precio del CF80 supere el precio del CF95, en la medida en que en el último caso (CF95) el productor-comercializador estaría asumiendo menor riesgo de demanda.</w:t>
      </w:r>
    </w:p>
    <w:p w14:paraId="4165C43B" w14:textId="77777777" w:rsidR="0028726C" w:rsidRPr="002061B8" w:rsidRDefault="0028726C" w:rsidP="0028726C">
      <w:pPr>
        <w:rPr>
          <w:rFonts w:cs="Arial"/>
          <w:i/>
          <w:iCs/>
          <w:sz w:val="22"/>
          <w:szCs w:val="22"/>
        </w:rPr>
      </w:pPr>
    </w:p>
    <w:p w14:paraId="61AE3688" w14:textId="01867E5C" w:rsidR="0028726C" w:rsidRPr="002061B8" w:rsidRDefault="0028726C" w:rsidP="0028726C">
      <w:pPr>
        <w:rPr>
          <w:rFonts w:cs="Arial"/>
          <w:i/>
          <w:iCs/>
          <w:sz w:val="22"/>
          <w:szCs w:val="22"/>
        </w:rPr>
      </w:pPr>
      <w:r w:rsidRPr="002061B8">
        <w:rPr>
          <w:rFonts w:cs="Arial"/>
          <w:i/>
          <w:iCs/>
          <w:sz w:val="22"/>
          <w:szCs w:val="22"/>
        </w:rPr>
        <w:t>Teniendo en cuenta lo anterior, es el comprador el que debería escoger el tipo de contrato que mejor se ajusta a las necesidades de su demanda regulada (esencial y no esencial), teniendo en consideración el precio y el riesgo de excedentes no remunerados que pueda enfrentar (Proyecto de Resolución CREG-227 de 2021)."</w:t>
      </w:r>
    </w:p>
    <w:p w14:paraId="6397DD08" w14:textId="77777777" w:rsidR="002061B8" w:rsidRDefault="002061B8" w:rsidP="0028726C">
      <w:pPr>
        <w:rPr>
          <w:rFonts w:cs="Arial"/>
          <w:sz w:val="22"/>
          <w:szCs w:val="22"/>
        </w:rPr>
      </w:pPr>
    </w:p>
    <w:p w14:paraId="714FF2FA" w14:textId="77777777" w:rsidR="002061B8" w:rsidRPr="002061B8" w:rsidRDefault="002061B8" w:rsidP="002061B8">
      <w:pPr>
        <w:rPr>
          <w:rFonts w:cs="Arial"/>
          <w:b/>
          <w:bCs/>
          <w:sz w:val="22"/>
          <w:szCs w:val="22"/>
        </w:rPr>
      </w:pPr>
      <w:r w:rsidRPr="002061B8">
        <w:rPr>
          <w:rFonts w:cs="Arial"/>
          <w:b/>
          <w:bCs/>
          <w:sz w:val="22"/>
          <w:szCs w:val="22"/>
        </w:rPr>
        <w:t>Respuesta:</w:t>
      </w:r>
    </w:p>
    <w:p w14:paraId="23295F60" w14:textId="77777777" w:rsidR="002061B8" w:rsidRDefault="002061B8" w:rsidP="002061B8">
      <w:pPr>
        <w:rPr>
          <w:rFonts w:cs="Arial"/>
          <w:sz w:val="22"/>
          <w:szCs w:val="22"/>
        </w:rPr>
      </w:pPr>
    </w:p>
    <w:p w14:paraId="053CB7C7" w14:textId="327BBEBC" w:rsidR="002061B8" w:rsidRDefault="002061B8" w:rsidP="002061B8">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_Ref132279194 \r \h </w:instrText>
      </w:r>
      <w:r>
        <w:rPr>
          <w:rFonts w:cs="Arial"/>
          <w:sz w:val="22"/>
          <w:szCs w:val="22"/>
        </w:rPr>
      </w:r>
      <w:r>
        <w:rPr>
          <w:rFonts w:cs="Arial"/>
          <w:sz w:val="22"/>
          <w:szCs w:val="22"/>
        </w:rPr>
        <w:fldChar w:fldCharType="separate"/>
      </w:r>
      <w:r>
        <w:rPr>
          <w:rFonts w:cs="Arial"/>
          <w:sz w:val="22"/>
          <w:szCs w:val="22"/>
        </w:rPr>
        <w:fldChar w:fldCharType="begin"/>
      </w:r>
      <w:r>
        <w:rPr>
          <w:rFonts w:cs="Arial"/>
          <w:sz w:val="22"/>
          <w:szCs w:val="22"/>
        </w:rPr>
        <w:instrText xml:space="preserve"> REF _Ref132639178 \r \h </w:instrText>
      </w:r>
      <w:r>
        <w:rPr>
          <w:rFonts w:cs="Arial"/>
          <w:sz w:val="22"/>
          <w:szCs w:val="22"/>
        </w:rPr>
      </w:r>
      <w:r>
        <w:rPr>
          <w:rFonts w:cs="Arial"/>
          <w:sz w:val="22"/>
          <w:szCs w:val="22"/>
        </w:rPr>
        <w:fldChar w:fldCharType="separate"/>
      </w:r>
      <w:r>
        <w:rPr>
          <w:rFonts w:cs="Arial"/>
          <w:sz w:val="22"/>
          <w:szCs w:val="22"/>
        </w:rPr>
        <w:t>19.13.1.2</w:t>
      </w:r>
      <w:r>
        <w:rPr>
          <w:rFonts w:cs="Arial"/>
          <w:sz w:val="22"/>
          <w:szCs w:val="22"/>
        </w:rPr>
        <w:fldChar w:fldCharType="end"/>
      </w:r>
      <w:r>
        <w:rPr>
          <w:rFonts w:cs="Arial"/>
          <w:sz w:val="22"/>
          <w:szCs w:val="22"/>
        </w:rPr>
        <w:fldChar w:fldCharType="end"/>
      </w:r>
      <w:r>
        <w:rPr>
          <w:rFonts w:cs="Arial"/>
          <w:sz w:val="22"/>
          <w:szCs w:val="22"/>
        </w:rPr>
        <w:t>.</w:t>
      </w:r>
    </w:p>
    <w:p w14:paraId="3D4DFA10" w14:textId="77777777" w:rsidR="002061B8" w:rsidRDefault="002061B8" w:rsidP="0028726C">
      <w:pPr>
        <w:rPr>
          <w:rFonts w:cs="Arial"/>
          <w:sz w:val="22"/>
          <w:szCs w:val="22"/>
        </w:rPr>
      </w:pPr>
    </w:p>
    <w:p w14:paraId="69CFC820" w14:textId="77777777" w:rsidR="002061B8" w:rsidRPr="0028726C" w:rsidRDefault="002061B8" w:rsidP="0028726C">
      <w:pPr>
        <w:rPr>
          <w:rFonts w:cs="Arial"/>
          <w:sz w:val="22"/>
          <w:szCs w:val="22"/>
        </w:rPr>
      </w:pPr>
    </w:p>
    <w:p w14:paraId="6125EB1D" w14:textId="77777777" w:rsidR="00C53D76" w:rsidRDefault="0028726C" w:rsidP="00F23443">
      <w:pPr>
        <w:pStyle w:val="Ttulo4"/>
      </w:pPr>
      <w:r w:rsidRPr="0028726C">
        <w:t>PROMIGAS</w:t>
      </w:r>
      <w:r w:rsidRPr="0028726C">
        <w:tab/>
      </w:r>
    </w:p>
    <w:p w14:paraId="736EDABE" w14:textId="5206A9A3" w:rsidR="0028726C" w:rsidRPr="002061B8" w:rsidRDefault="0028726C" w:rsidP="0028726C">
      <w:pPr>
        <w:rPr>
          <w:rFonts w:cs="Arial"/>
          <w:i/>
          <w:iCs/>
          <w:sz w:val="22"/>
          <w:szCs w:val="22"/>
        </w:rPr>
      </w:pPr>
      <w:r w:rsidRPr="002061B8">
        <w:rPr>
          <w:rFonts w:cs="Arial"/>
          <w:i/>
          <w:iCs/>
          <w:sz w:val="22"/>
          <w:szCs w:val="22"/>
        </w:rPr>
        <w:t xml:space="preserve">"La CREG manifiesta que las modalidades contractuales CF95 y CF80 pueden implicar </w:t>
      </w:r>
      <w:r w:rsidR="00E80E83">
        <w:rPr>
          <w:rFonts w:cs="Arial"/>
          <w:i/>
          <w:iCs/>
          <w:sz w:val="22"/>
          <w:szCs w:val="22"/>
        </w:rPr>
        <w:t>‘</w:t>
      </w:r>
      <w:r w:rsidRPr="002061B8">
        <w:rPr>
          <w:rFonts w:cs="Arial"/>
          <w:i/>
          <w:iCs/>
          <w:sz w:val="22"/>
          <w:szCs w:val="22"/>
        </w:rPr>
        <w:t>atrapamiento</w:t>
      </w:r>
      <w:r w:rsidR="00E80E83">
        <w:rPr>
          <w:rFonts w:cs="Arial"/>
          <w:i/>
          <w:iCs/>
          <w:sz w:val="22"/>
          <w:szCs w:val="22"/>
        </w:rPr>
        <w:t>’</w:t>
      </w:r>
      <w:r w:rsidRPr="002061B8">
        <w:rPr>
          <w:rFonts w:cs="Arial"/>
          <w:i/>
          <w:iCs/>
          <w:sz w:val="22"/>
          <w:szCs w:val="22"/>
        </w:rPr>
        <w:t xml:space="preserve"> de cantidades con Respaldo Físico por parte de algunos agentes compradores del mercado primario y que por ello restringe la modalidad CF80 para la atención de la demanda regulada diferente a la Demanda Esencial, en la medida que el </w:t>
      </w:r>
      <w:r w:rsidR="00E80E83">
        <w:rPr>
          <w:rFonts w:cs="Arial"/>
          <w:i/>
          <w:iCs/>
          <w:sz w:val="22"/>
          <w:szCs w:val="22"/>
        </w:rPr>
        <w:t>‘</w:t>
      </w:r>
      <w:r w:rsidRPr="002061B8">
        <w:rPr>
          <w:rFonts w:cs="Arial"/>
          <w:i/>
          <w:iCs/>
          <w:sz w:val="22"/>
          <w:szCs w:val="22"/>
        </w:rPr>
        <w:t>atrapamiento</w:t>
      </w:r>
      <w:r w:rsidR="00E80E83">
        <w:rPr>
          <w:rFonts w:cs="Arial"/>
          <w:i/>
          <w:iCs/>
          <w:sz w:val="22"/>
          <w:szCs w:val="22"/>
        </w:rPr>
        <w:t>’</w:t>
      </w:r>
      <w:r w:rsidRPr="002061B8">
        <w:rPr>
          <w:rFonts w:cs="Arial"/>
          <w:i/>
          <w:iCs/>
          <w:sz w:val="22"/>
          <w:szCs w:val="22"/>
        </w:rPr>
        <w:t xml:space="preserve"> será mayor cuando la obligación de pago mínimo es menor respecto de las cantidades de suministro garantizadas.</w:t>
      </w:r>
    </w:p>
    <w:p w14:paraId="7ECA94F8" w14:textId="77777777" w:rsidR="0028726C" w:rsidRPr="002061B8" w:rsidRDefault="0028726C" w:rsidP="0028726C">
      <w:pPr>
        <w:rPr>
          <w:rFonts w:cs="Arial"/>
          <w:i/>
          <w:iCs/>
          <w:sz w:val="22"/>
          <w:szCs w:val="22"/>
        </w:rPr>
      </w:pPr>
    </w:p>
    <w:p w14:paraId="3CC1E84D" w14:textId="77777777" w:rsidR="0028726C" w:rsidRPr="002061B8" w:rsidRDefault="0028726C" w:rsidP="0028726C">
      <w:pPr>
        <w:rPr>
          <w:rFonts w:cs="Arial"/>
          <w:i/>
          <w:iCs/>
          <w:sz w:val="22"/>
          <w:szCs w:val="22"/>
        </w:rPr>
      </w:pPr>
      <w:r w:rsidRPr="002061B8">
        <w:rPr>
          <w:rFonts w:cs="Arial"/>
          <w:i/>
          <w:iCs/>
          <w:sz w:val="22"/>
          <w:szCs w:val="22"/>
        </w:rPr>
        <w:t>Según la CREG la disponibilidad de esta nueva modalidad contractual estará sujeta a la existencia de un superávit en el balance comercial, pues en caso contrario la estrechez de la oferta comercial de mediano y largo plazo estimada por la CREG, puede aumentarse.</w:t>
      </w:r>
    </w:p>
    <w:p w14:paraId="75F9B5B3" w14:textId="77777777" w:rsidR="0028726C" w:rsidRPr="002061B8" w:rsidRDefault="0028726C" w:rsidP="0028726C">
      <w:pPr>
        <w:rPr>
          <w:rFonts w:cs="Arial"/>
          <w:i/>
          <w:iCs/>
          <w:sz w:val="22"/>
          <w:szCs w:val="22"/>
        </w:rPr>
      </w:pPr>
    </w:p>
    <w:p w14:paraId="07BC8B2B" w14:textId="77777777" w:rsidR="0028726C" w:rsidRPr="002061B8" w:rsidRDefault="0028726C" w:rsidP="0028726C">
      <w:pPr>
        <w:rPr>
          <w:rFonts w:cs="Arial"/>
          <w:i/>
          <w:iCs/>
          <w:sz w:val="22"/>
          <w:szCs w:val="22"/>
        </w:rPr>
      </w:pPr>
      <w:r w:rsidRPr="002061B8">
        <w:rPr>
          <w:rFonts w:cs="Arial"/>
          <w:i/>
          <w:iCs/>
          <w:sz w:val="22"/>
          <w:szCs w:val="22"/>
        </w:rPr>
        <w:t>Las afirmaciones de la CREG, atrás referenciadas, no son ciertas. La Comisión confunde las modalidades contractuales con la demanda de gas. Esta última es la que es, con independencia de la modalidad contractual de suministro que se utilice, en el mercado primario, en el mercado secundario, o en el mercado úselo o véndalo.</w:t>
      </w:r>
    </w:p>
    <w:p w14:paraId="67339CE7" w14:textId="77777777" w:rsidR="0028726C" w:rsidRPr="002061B8" w:rsidRDefault="0028726C" w:rsidP="0028726C">
      <w:pPr>
        <w:rPr>
          <w:rFonts w:cs="Arial"/>
          <w:i/>
          <w:iCs/>
          <w:sz w:val="22"/>
          <w:szCs w:val="22"/>
        </w:rPr>
      </w:pPr>
    </w:p>
    <w:p w14:paraId="4217312B" w14:textId="28F7C4FE" w:rsidR="0028726C" w:rsidRPr="002061B8" w:rsidRDefault="0028726C" w:rsidP="0028726C">
      <w:pPr>
        <w:rPr>
          <w:rFonts w:cs="Arial"/>
          <w:i/>
          <w:iCs/>
          <w:sz w:val="22"/>
          <w:szCs w:val="22"/>
        </w:rPr>
      </w:pPr>
      <w:r w:rsidRPr="002061B8">
        <w:rPr>
          <w:rFonts w:cs="Arial"/>
          <w:i/>
          <w:iCs/>
          <w:sz w:val="22"/>
          <w:szCs w:val="22"/>
        </w:rPr>
        <w:t xml:space="preserve">- La expresión </w:t>
      </w:r>
      <w:r w:rsidR="00E80E83">
        <w:rPr>
          <w:rFonts w:cs="Arial"/>
          <w:i/>
          <w:iCs/>
          <w:sz w:val="22"/>
          <w:szCs w:val="22"/>
        </w:rPr>
        <w:t>‘</w:t>
      </w:r>
      <w:r w:rsidRPr="002061B8">
        <w:rPr>
          <w:rFonts w:cs="Arial"/>
          <w:i/>
          <w:iCs/>
          <w:sz w:val="22"/>
          <w:szCs w:val="22"/>
        </w:rPr>
        <w:t>atrapamiento</w:t>
      </w:r>
      <w:r w:rsidR="00E80E83">
        <w:rPr>
          <w:rFonts w:cs="Arial"/>
          <w:i/>
          <w:iCs/>
          <w:sz w:val="22"/>
          <w:szCs w:val="22"/>
        </w:rPr>
        <w:t>’</w:t>
      </w:r>
      <w:r w:rsidRPr="002061B8">
        <w:rPr>
          <w:rFonts w:cs="Arial"/>
          <w:i/>
          <w:iCs/>
          <w:sz w:val="22"/>
          <w:szCs w:val="22"/>
        </w:rPr>
        <w:t xml:space="preserve"> y su inconveniencia sería válida, si el no uso de este gas </w:t>
      </w:r>
      <w:r w:rsidR="00E80E83">
        <w:rPr>
          <w:rFonts w:cs="Arial"/>
          <w:i/>
          <w:iCs/>
          <w:sz w:val="22"/>
          <w:szCs w:val="22"/>
        </w:rPr>
        <w:t>‘</w:t>
      </w:r>
      <w:r w:rsidRPr="002061B8">
        <w:rPr>
          <w:rFonts w:cs="Arial"/>
          <w:i/>
          <w:iCs/>
          <w:sz w:val="22"/>
          <w:szCs w:val="22"/>
        </w:rPr>
        <w:t>atrapado</w:t>
      </w:r>
      <w:r w:rsidR="00E80E83">
        <w:rPr>
          <w:rFonts w:cs="Arial"/>
          <w:i/>
          <w:iCs/>
          <w:sz w:val="22"/>
          <w:szCs w:val="22"/>
        </w:rPr>
        <w:t>’</w:t>
      </w:r>
      <w:r w:rsidRPr="002061B8">
        <w:rPr>
          <w:rFonts w:cs="Arial"/>
          <w:i/>
          <w:iCs/>
          <w:sz w:val="22"/>
          <w:szCs w:val="22"/>
        </w:rPr>
        <w:t xml:space="preserve"> estuviera implicando racionamiento de demanda. Mientras la demanda se encuentre satisfecha no se puede hablar de </w:t>
      </w:r>
      <w:r w:rsidR="00E80E83">
        <w:rPr>
          <w:rFonts w:cs="Arial"/>
          <w:i/>
          <w:iCs/>
          <w:sz w:val="22"/>
          <w:szCs w:val="22"/>
        </w:rPr>
        <w:t>‘</w:t>
      </w:r>
      <w:r w:rsidRPr="002061B8">
        <w:rPr>
          <w:rFonts w:cs="Arial"/>
          <w:i/>
          <w:iCs/>
          <w:sz w:val="22"/>
          <w:szCs w:val="22"/>
        </w:rPr>
        <w:t>atrapamiento</w:t>
      </w:r>
      <w:r w:rsidR="00E80E83">
        <w:rPr>
          <w:rFonts w:cs="Arial"/>
          <w:i/>
          <w:iCs/>
          <w:sz w:val="22"/>
          <w:szCs w:val="22"/>
        </w:rPr>
        <w:t>’</w:t>
      </w:r>
      <w:r w:rsidRPr="002061B8">
        <w:rPr>
          <w:rFonts w:cs="Arial"/>
          <w:i/>
          <w:iCs/>
          <w:sz w:val="22"/>
          <w:szCs w:val="22"/>
        </w:rPr>
        <w:t xml:space="preserve"> toda vez que el gas que permanece en los campos es gas que no se requiere.</w:t>
      </w:r>
    </w:p>
    <w:p w14:paraId="0EC62401" w14:textId="77777777" w:rsidR="0028726C" w:rsidRPr="002061B8" w:rsidRDefault="0028726C" w:rsidP="0028726C">
      <w:pPr>
        <w:rPr>
          <w:rFonts w:cs="Arial"/>
          <w:i/>
          <w:iCs/>
          <w:sz w:val="22"/>
          <w:szCs w:val="22"/>
        </w:rPr>
      </w:pPr>
    </w:p>
    <w:p w14:paraId="625FE49F" w14:textId="5B8F26F8" w:rsidR="0028726C" w:rsidRPr="002061B8" w:rsidRDefault="0028726C" w:rsidP="0028726C">
      <w:pPr>
        <w:rPr>
          <w:rFonts w:cs="Arial"/>
          <w:i/>
          <w:iCs/>
          <w:sz w:val="22"/>
          <w:szCs w:val="22"/>
        </w:rPr>
      </w:pPr>
      <w:r w:rsidRPr="002061B8">
        <w:rPr>
          <w:rFonts w:cs="Arial"/>
          <w:i/>
          <w:iCs/>
          <w:sz w:val="22"/>
          <w:szCs w:val="22"/>
        </w:rPr>
        <w:t xml:space="preserve">- Los Contratos CF95 y CF80 garantizan el servicio de suministro de una cantidad diaria máxima de gas natural que con alta probabilidad se registrará a lo largo de la duración del contrato, más aún con la reducción de la </w:t>
      </w:r>
      <w:r w:rsidR="00E80E83">
        <w:rPr>
          <w:rFonts w:cs="Arial"/>
          <w:i/>
          <w:iCs/>
          <w:sz w:val="22"/>
          <w:szCs w:val="22"/>
        </w:rPr>
        <w:t>‘</w:t>
      </w:r>
      <w:r w:rsidRPr="002061B8">
        <w:rPr>
          <w:rFonts w:cs="Arial"/>
          <w:i/>
          <w:iCs/>
          <w:sz w:val="22"/>
          <w:szCs w:val="22"/>
        </w:rPr>
        <w:t>Banda de Acotación de Compras de Gas Natural para la atención de la Demanda Regulada Esencial</w:t>
      </w:r>
      <w:r w:rsidR="00E80E83">
        <w:rPr>
          <w:rFonts w:cs="Arial"/>
          <w:i/>
          <w:iCs/>
          <w:sz w:val="22"/>
          <w:szCs w:val="22"/>
        </w:rPr>
        <w:t>’</w:t>
      </w:r>
      <w:r w:rsidRPr="002061B8">
        <w:rPr>
          <w:rFonts w:cs="Arial"/>
          <w:i/>
          <w:iCs/>
          <w:sz w:val="22"/>
          <w:szCs w:val="22"/>
        </w:rPr>
        <w:t xml:space="preserve"> que propone la CREG en el Proyecto de Resolución 227 de 2021.</w:t>
      </w:r>
      <w:r w:rsidR="003E48C7">
        <w:rPr>
          <w:rFonts w:cs="Arial"/>
          <w:i/>
          <w:iCs/>
          <w:sz w:val="22"/>
          <w:szCs w:val="22"/>
        </w:rPr>
        <w:t>”</w:t>
      </w:r>
    </w:p>
    <w:p w14:paraId="13D292B0" w14:textId="77777777" w:rsidR="0028726C" w:rsidRDefault="0028726C" w:rsidP="0028726C">
      <w:pPr>
        <w:rPr>
          <w:rFonts w:cs="Arial"/>
          <w:sz w:val="22"/>
          <w:szCs w:val="22"/>
        </w:rPr>
      </w:pPr>
    </w:p>
    <w:p w14:paraId="283A60FA" w14:textId="3C9967DD" w:rsidR="002061B8" w:rsidRPr="002061B8" w:rsidRDefault="002061B8" w:rsidP="0028726C">
      <w:pPr>
        <w:rPr>
          <w:rFonts w:cs="Arial"/>
          <w:b/>
          <w:bCs/>
          <w:sz w:val="22"/>
          <w:szCs w:val="22"/>
        </w:rPr>
      </w:pPr>
      <w:r w:rsidRPr="002061B8">
        <w:rPr>
          <w:rFonts w:cs="Arial"/>
          <w:b/>
          <w:bCs/>
          <w:sz w:val="22"/>
          <w:szCs w:val="22"/>
        </w:rPr>
        <w:t>Respuesta:</w:t>
      </w:r>
    </w:p>
    <w:p w14:paraId="7D1FC823" w14:textId="77777777" w:rsidR="002061B8" w:rsidRDefault="002061B8" w:rsidP="0028726C">
      <w:pPr>
        <w:rPr>
          <w:rFonts w:cs="Arial"/>
          <w:sz w:val="22"/>
          <w:szCs w:val="22"/>
        </w:rPr>
      </w:pPr>
    </w:p>
    <w:p w14:paraId="75837307" w14:textId="0D184FB5" w:rsidR="002061B8" w:rsidRDefault="002061B8"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_Ref132639279 \r \h </w:instrText>
      </w:r>
      <w:r>
        <w:rPr>
          <w:rFonts w:cs="Arial"/>
          <w:sz w:val="22"/>
          <w:szCs w:val="22"/>
        </w:rPr>
      </w:r>
      <w:r>
        <w:rPr>
          <w:rFonts w:cs="Arial"/>
          <w:sz w:val="22"/>
          <w:szCs w:val="22"/>
        </w:rPr>
        <w:fldChar w:fldCharType="separate"/>
      </w:r>
      <w:r>
        <w:rPr>
          <w:rFonts w:cs="Arial"/>
          <w:sz w:val="22"/>
          <w:szCs w:val="22"/>
        </w:rPr>
        <w:t>19.13.1.3</w:t>
      </w:r>
      <w:r>
        <w:rPr>
          <w:rFonts w:cs="Arial"/>
          <w:sz w:val="22"/>
          <w:szCs w:val="22"/>
        </w:rPr>
        <w:fldChar w:fldCharType="end"/>
      </w:r>
      <w:r>
        <w:rPr>
          <w:rFonts w:cs="Arial"/>
          <w:sz w:val="22"/>
          <w:szCs w:val="22"/>
        </w:rPr>
        <w:t>.</w:t>
      </w:r>
    </w:p>
    <w:p w14:paraId="1FE65235" w14:textId="77777777" w:rsidR="002061B8" w:rsidRDefault="002061B8" w:rsidP="0028726C">
      <w:pPr>
        <w:rPr>
          <w:rFonts w:cs="Arial"/>
          <w:sz w:val="22"/>
          <w:szCs w:val="22"/>
        </w:rPr>
      </w:pPr>
    </w:p>
    <w:p w14:paraId="0D6A7FC5" w14:textId="77777777" w:rsidR="002061B8" w:rsidRDefault="002061B8" w:rsidP="0028726C">
      <w:pPr>
        <w:rPr>
          <w:rFonts w:cs="Arial"/>
          <w:sz w:val="22"/>
          <w:szCs w:val="22"/>
        </w:rPr>
      </w:pPr>
    </w:p>
    <w:p w14:paraId="311437D7" w14:textId="232E6D75" w:rsidR="002061B8" w:rsidRPr="002061B8" w:rsidRDefault="002061B8" w:rsidP="004D7395">
      <w:pPr>
        <w:pStyle w:val="Ttulo4"/>
        <w:rPr>
          <w:rFonts w:cs="Arial"/>
          <w:sz w:val="22"/>
          <w:szCs w:val="22"/>
        </w:rPr>
      </w:pPr>
      <w:bookmarkStart w:id="852" w:name="_Ref132897384"/>
      <w:r w:rsidRPr="0028726C">
        <w:t>PROMIGAS</w:t>
      </w:r>
      <w:bookmarkEnd w:id="852"/>
      <w:r w:rsidRPr="0028726C">
        <w:tab/>
      </w:r>
    </w:p>
    <w:p w14:paraId="10522522" w14:textId="31C31183" w:rsidR="0028726C" w:rsidRPr="0028726C" w:rsidRDefault="00E80E83" w:rsidP="0028726C">
      <w:pPr>
        <w:rPr>
          <w:rFonts w:cs="Arial"/>
          <w:sz w:val="22"/>
          <w:szCs w:val="22"/>
        </w:rPr>
      </w:pPr>
      <w:r>
        <w:rPr>
          <w:rFonts w:cs="Arial"/>
          <w:sz w:val="22"/>
          <w:szCs w:val="22"/>
        </w:rPr>
        <w:t>“</w:t>
      </w:r>
      <w:r w:rsidR="0028726C" w:rsidRPr="0028726C">
        <w:rPr>
          <w:rFonts w:cs="Arial"/>
          <w:sz w:val="22"/>
          <w:szCs w:val="22"/>
        </w:rPr>
        <w:t xml:space="preserve">- </w:t>
      </w:r>
      <w:r w:rsidR="0028726C" w:rsidRPr="002061B8">
        <w:rPr>
          <w:rFonts w:cs="Arial"/>
          <w:i/>
          <w:iCs/>
          <w:sz w:val="22"/>
          <w:szCs w:val="22"/>
        </w:rPr>
        <w:t>En este Proyecto de Resolución la CREG autoriza a los productores-comercializadores a vender bajo la modalidad interrumpible, la parte variable de los contratos con modalidades CF80 y CF95, cuando dicha cantidad variable no sea nominada por el comprador. O la parte variable la vende el comprador, o la parte variable la vende el productor-comercializador, en caso de que este gas sea requerido por terceros</w:t>
      </w:r>
      <w:r w:rsidR="0028726C" w:rsidRPr="0028726C">
        <w:rPr>
          <w:rFonts w:cs="Arial"/>
          <w:sz w:val="22"/>
          <w:szCs w:val="22"/>
        </w:rPr>
        <w:t>.</w:t>
      </w:r>
      <w:r>
        <w:rPr>
          <w:rFonts w:cs="Arial"/>
          <w:sz w:val="22"/>
          <w:szCs w:val="22"/>
        </w:rPr>
        <w:t>”</w:t>
      </w:r>
    </w:p>
    <w:p w14:paraId="3A674FDC" w14:textId="77777777" w:rsidR="0028726C" w:rsidRDefault="0028726C" w:rsidP="0028726C">
      <w:pPr>
        <w:rPr>
          <w:rFonts w:cs="Arial"/>
          <w:sz w:val="22"/>
          <w:szCs w:val="22"/>
        </w:rPr>
      </w:pPr>
    </w:p>
    <w:p w14:paraId="2B580D4C" w14:textId="43CED07A" w:rsidR="002061B8" w:rsidRPr="002061B8" w:rsidRDefault="002061B8" w:rsidP="0028726C">
      <w:pPr>
        <w:rPr>
          <w:rFonts w:cs="Arial"/>
          <w:b/>
          <w:bCs/>
          <w:sz w:val="22"/>
          <w:szCs w:val="22"/>
        </w:rPr>
      </w:pPr>
      <w:r w:rsidRPr="002061B8">
        <w:rPr>
          <w:rFonts w:cs="Arial"/>
          <w:b/>
          <w:bCs/>
          <w:sz w:val="22"/>
          <w:szCs w:val="22"/>
        </w:rPr>
        <w:t>Respuesta:</w:t>
      </w:r>
    </w:p>
    <w:p w14:paraId="2FB633B5" w14:textId="77777777" w:rsidR="002061B8" w:rsidRDefault="002061B8" w:rsidP="0028726C">
      <w:pPr>
        <w:rPr>
          <w:rFonts w:cs="Arial"/>
          <w:sz w:val="22"/>
          <w:szCs w:val="22"/>
        </w:rPr>
      </w:pPr>
    </w:p>
    <w:p w14:paraId="1A701576" w14:textId="77777777" w:rsidR="00C66187" w:rsidRDefault="00C66187" w:rsidP="00C66187">
      <w:pPr>
        <w:rPr>
          <w:bCs/>
          <w:sz w:val="22"/>
          <w:szCs w:val="22"/>
        </w:rPr>
      </w:pPr>
      <w:r>
        <w:rPr>
          <w:bCs/>
          <w:sz w:val="22"/>
          <w:szCs w:val="22"/>
        </w:rPr>
        <w:t>Se acoge el comentario.</w:t>
      </w:r>
    </w:p>
    <w:p w14:paraId="58F40657" w14:textId="77777777" w:rsidR="00C66187" w:rsidRDefault="00C66187" w:rsidP="00C66187">
      <w:pPr>
        <w:rPr>
          <w:bCs/>
          <w:sz w:val="22"/>
          <w:szCs w:val="22"/>
        </w:rPr>
      </w:pPr>
    </w:p>
    <w:p w14:paraId="24A41378" w14:textId="77777777" w:rsidR="00C66187" w:rsidRDefault="00C66187" w:rsidP="00C66187">
      <w:pPr>
        <w:rPr>
          <w:bCs/>
          <w:sz w:val="22"/>
          <w:szCs w:val="22"/>
        </w:rPr>
      </w:pPr>
      <w:r>
        <w:rPr>
          <w:bCs/>
          <w:sz w:val="22"/>
          <w:szCs w:val="22"/>
        </w:rPr>
        <w:t>En la nueva propuesta se hace un ajuste al respecto en el sentido que los v</w:t>
      </w:r>
      <w:r w:rsidRPr="00915AA9">
        <w:rPr>
          <w:bCs/>
          <w:sz w:val="22"/>
          <w:szCs w:val="22"/>
        </w:rPr>
        <w:t>endedores del mercado primario podrán negociar directamente el suministro del gas natural mediante contratos con interrupciones de los volúmenes que provengan de la parte variable de los contratos con modalidades CF80 y CF95, cuya nominación podrá ser autorizada por el vendedor del mercado primario</w:t>
      </w:r>
      <w:r>
        <w:rPr>
          <w:bCs/>
          <w:sz w:val="22"/>
          <w:szCs w:val="22"/>
        </w:rPr>
        <w:t xml:space="preserve"> siempre y </w:t>
      </w:r>
      <w:r w:rsidRPr="00915AA9">
        <w:rPr>
          <w:bCs/>
          <w:sz w:val="22"/>
          <w:szCs w:val="22"/>
        </w:rPr>
        <w:t>cuando dicha cantidad de pago variable del contrato CF80 y CF95 no sea nominada por el comprador que suscribió dicho contrato</w:t>
      </w:r>
      <w:r>
        <w:rPr>
          <w:bCs/>
          <w:sz w:val="22"/>
          <w:szCs w:val="22"/>
        </w:rPr>
        <w:t>.</w:t>
      </w:r>
    </w:p>
    <w:p w14:paraId="6DB32021" w14:textId="77777777" w:rsidR="002061B8" w:rsidRDefault="002061B8" w:rsidP="0028726C">
      <w:pPr>
        <w:rPr>
          <w:rFonts w:cs="Arial"/>
          <w:sz w:val="22"/>
          <w:szCs w:val="22"/>
        </w:rPr>
      </w:pPr>
    </w:p>
    <w:p w14:paraId="5AD4B307" w14:textId="77777777" w:rsidR="002061B8" w:rsidRDefault="002061B8" w:rsidP="0028726C">
      <w:pPr>
        <w:rPr>
          <w:rFonts w:cs="Arial"/>
          <w:sz w:val="22"/>
          <w:szCs w:val="22"/>
        </w:rPr>
      </w:pPr>
    </w:p>
    <w:p w14:paraId="585AF695" w14:textId="77777777" w:rsidR="002061B8" w:rsidRPr="002061B8" w:rsidRDefault="002061B8" w:rsidP="002061B8">
      <w:pPr>
        <w:pStyle w:val="Ttulo4"/>
        <w:rPr>
          <w:rFonts w:cs="Arial"/>
          <w:sz w:val="22"/>
          <w:szCs w:val="22"/>
        </w:rPr>
      </w:pPr>
      <w:bookmarkStart w:id="853" w:name="_Ref132897250"/>
      <w:r w:rsidRPr="0028726C">
        <w:t>PROMIGAS</w:t>
      </w:r>
      <w:bookmarkEnd w:id="853"/>
      <w:r w:rsidRPr="0028726C">
        <w:tab/>
      </w:r>
    </w:p>
    <w:p w14:paraId="286F81D7" w14:textId="29BB8A6A" w:rsidR="0028726C" w:rsidRPr="002061B8" w:rsidRDefault="003E48C7" w:rsidP="0028726C">
      <w:pPr>
        <w:rPr>
          <w:rFonts w:cs="Arial"/>
          <w:i/>
          <w:iCs/>
          <w:sz w:val="22"/>
          <w:szCs w:val="22"/>
        </w:rPr>
      </w:pPr>
      <w:r>
        <w:rPr>
          <w:rFonts w:cs="Arial"/>
          <w:i/>
          <w:iCs/>
          <w:sz w:val="22"/>
          <w:szCs w:val="22"/>
        </w:rPr>
        <w:t>“</w:t>
      </w:r>
      <w:r w:rsidR="0028726C" w:rsidRPr="002061B8">
        <w:rPr>
          <w:rFonts w:cs="Arial"/>
          <w:i/>
          <w:iCs/>
          <w:sz w:val="22"/>
          <w:szCs w:val="22"/>
        </w:rPr>
        <w:t>La CREG manifiesta que el uso residual y condicionado de la modalidad CF80 se sustenta también en que se dificulta la realización de un balance comercial, cuando se incluyen las modalidades CF80 y CF95 como opciones simultáneas y que la modalidad CF95 será la base para estimar si la oferta de suministro de gas natural con garantía de firmeza con Respaldo Físico es superavitaria o deficitaria en los períodos futuros de suministro a contratar.</w:t>
      </w:r>
    </w:p>
    <w:p w14:paraId="58D4E38E" w14:textId="77777777" w:rsidR="0028726C" w:rsidRPr="002061B8" w:rsidRDefault="0028726C" w:rsidP="0028726C">
      <w:pPr>
        <w:rPr>
          <w:rFonts w:cs="Arial"/>
          <w:i/>
          <w:iCs/>
          <w:sz w:val="22"/>
          <w:szCs w:val="22"/>
        </w:rPr>
      </w:pPr>
    </w:p>
    <w:p w14:paraId="7A2A9F3D" w14:textId="77777777" w:rsidR="0028726C" w:rsidRPr="002061B8" w:rsidRDefault="0028726C" w:rsidP="0028726C">
      <w:pPr>
        <w:rPr>
          <w:rFonts w:cs="Arial"/>
          <w:i/>
          <w:iCs/>
          <w:sz w:val="22"/>
          <w:szCs w:val="22"/>
        </w:rPr>
      </w:pPr>
      <w:r w:rsidRPr="002061B8">
        <w:rPr>
          <w:rFonts w:cs="Arial"/>
          <w:i/>
          <w:iCs/>
          <w:sz w:val="22"/>
          <w:szCs w:val="22"/>
        </w:rPr>
        <w:t>No es una modalidad contractual en particular la que permite definir si el balance comercial es superavitario y suficiente para abastecer la demanda que requiere respaldo físico. Es la disponibilidad de oferta (declaraciones de producción comprometida y no comprometida en contratos) y la proyección de la demanda a la que se le exige suministro de gas con respaldo físico, las variables que permiten establecer dicho balance."</w:t>
      </w:r>
    </w:p>
    <w:p w14:paraId="1CE059D6" w14:textId="77777777" w:rsidR="00C53D76" w:rsidRDefault="00C53D76" w:rsidP="0028726C">
      <w:pPr>
        <w:rPr>
          <w:rFonts w:cs="Arial"/>
          <w:sz w:val="22"/>
          <w:szCs w:val="22"/>
        </w:rPr>
      </w:pPr>
    </w:p>
    <w:p w14:paraId="5280B831" w14:textId="6318D62B" w:rsidR="002061B8" w:rsidRPr="003E48C7" w:rsidRDefault="002061B8" w:rsidP="0028726C">
      <w:pPr>
        <w:rPr>
          <w:rFonts w:cs="Arial"/>
          <w:b/>
          <w:bCs/>
          <w:sz w:val="22"/>
          <w:szCs w:val="22"/>
        </w:rPr>
      </w:pPr>
      <w:r w:rsidRPr="003E48C7">
        <w:rPr>
          <w:rFonts w:cs="Arial"/>
          <w:b/>
          <w:bCs/>
          <w:sz w:val="22"/>
          <w:szCs w:val="22"/>
        </w:rPr>
        <w:t>Respuesta:</w:t>
      </w:r>
    </w:p>
    <w:p w14:paraId="1EA96F8E" w14:textId="77777777" w:rsidR="002061B8" w:rsidRDefault="002061B8" w:rsidP="0028726C">
      <w:pPr>
        <w:rPr>
          <w:rFonts w:cs="Arial"/>
          <w:sz w:val="22"/>
          <w:szCs w:val="22"/>
        </w:rPr>
      </w:pPr>
    </w:p>
    <w:p w14:paraId="00D1DD61" w14:textId="4CF3A975" w:rsidR="002061B8" w:rsidRDefault="002061B8"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_Ref132639400 \r \h </w:instrText>
      </w:r>
      <w:r>
        <w:rPr>
          <w:rFonts w:cs="Arial"/>
          <w:sz w:val="22"/>
          <w:szCs w:val="22"/>
        </w:rPr>
      </w:r>
      <w:r>
        <w:rPr>
          <w:rFonts w:cs="Arial"/>
          <w:sz w:val="22"/>
          <w:szCs w:val="22"/>
        </w:rPr>
        <w:fldChar w:fldCharType="separate"/>
      </w:r>
      <w:r>
        <w:rPr>
          <w:rFonts w:cs="Arial"/>
          <w:sz w:val="22"/>
          <w:szCs w:val="22"/>
        </w:rPr>
        <w:t>19.13.1.5</w:t>
      </w:r>
      <w:r>
        <w:rPr>
          <w:rFonts w:cs="Arial"/>
          <w:sz w:val="22"/>
          <w:szCs w:val="22"/>
        </w:rPr>
        <w:fldChar w:fldCharType="end"/>
      </w:r>
      <w:r>
        <w:rPr>
          <w:rFonts w:cs="Arial"/>
          <w:sz w:val="22"/>
          <w:szCs w:val="22"/>
        </w:rPr>
        <w:t>.</w:t>
      </w:r>
    </w:p>
    <w:p w14:paraId="605F2EA3" w14:textId="77777777" w:rsidR="002061B8" w:rsidRDefault="002061B8" w:rsidP="0028726C">
      <w:pPr>
        <w:rPr>
          <w:rFonts w:cs="Arial"/>
          <w:sz w:val="22"/>
          <w:szCs w:val="22"/>
        </w:rPr>
      </w:pPr>
    </w:p>
    <w:p w14:paraId="5831BCD2" w14:textId="77777777" w:rsidR="00C53D76" w:rsidRDefault="00C53D76" w:rsidP="0028726C">
      <w:pPr>
        <w:rPr>
          <w:rFonts w:cs="Arial"/>
          <w:sz w:val="22"/>
          <w:szCs w:val="22"/>
        </w:rPr>
      </w:pPr>
    </w:p>
    <w:p w14:paraId="49D1226B" w14:textId="77777777" w:rsidR="00C53D76" w:rsidRDefault="0028726C" w:rsidP="00F23443">
      <w:pPr>
        <w:pStyle w:val="Ttulo4"/>
      </w:pPr>
      <w:r w:rsidRPr="0028726C">
        <w:t>PROMIGAS</w:t>
      </w:r>
      <w:r w:rsidRPr="0028726C">
        <w:tab/>
      </w:r>
    </w:p>
    <w:p w14:paraId="502BF380" w14:textId="77223BA8" w:rsidR="0028726C" w:rsidRPr="002061B8" w:rsidRDefault="0028726C" w:rsidP="0028726C">
      <w:pPr>
        <w:rPr>
          <w:rFonts w:cs="Arial"/>
          <w:i/>
          <w:iCs/>
          <w:sz w:val="22"/>
          <w:szCs w:val="22"/>
        </w:rPr>
      </w:pPr>
      <w:r w:rsidRPr="0028726C">
        <w:rPr>
          <w:rFonts w:cs="Arial"/>
          <w:sz w:val="22"/>
          <w:szCs w:val="22"/>
        </w:rPr>
        <w:t>"</w:t>
      </w:r>
      <w:r w:rsidRPr="002061B8">
        <w:rPr>
          <w:rFonts w:cs="Arial"/>
          <w:i/>
          <w:iCs/>
          <w:sz w:val="22"/>
          <w:szCs w:val="22"/>
        </w:rPr>
        <w:t>Por hermenéutica jurídica, consideramos que la obligatoriedad de los productores-comercializadores de declarar la oferta PTDF y/o CIDF, requiere la modificación del Decreto 2100 de 2011, compilado en el Decreto 1073 de 2015, y cuyo artículo 9 establece lo siguiente:</w:t>
      </w:r>
    </w:p>
    <w:p w14:paraId="41295795" w14:textId="77777777" w:rsidR="0028726C" w:rsidRPr="002061B8" w:rsidRDefault="0028726C" w:rsidP="0028726C">
      <w:pPr>
        <w:rPr>
          <w:rFonts w:cs="Arial"/>
          <w:i/>
          <w:iCs/>
          <w:sz w:val="22"/>
          <w:szCs w:val="22"/>
        </w:rPr>
      </w:pPr>
    </w:p>
    <w:p w14:paraId="46019328" w14:textId="1DD6CDE4" w:rsidR="0028726C" w:rsidRDefault="00EB628E" w:rsidP="0028726C">
      <w:pPr>
        <w:rPr>
          <w:rFonts w:cs="Arial"/>
          <w:sz w:val="22"/>
          <w:szCs w:val="22"/>
        </w:rPr>
      </w:pPr>
      <w:r>
        <w:rPr>
          <w:rFonts w:cs="Arial"/>
          <w:i/>
          <w:iCs/>
          <w:sz w:val="22"/>
          <w:szCs w:val="22"/>
        </w:rPr>
        <w:t>‘</w:t>
      </w:r>
      <w:r w:rsidR="0028726C" w:rsidRPr="002061B8">
        <w:rPr>
          <w:rFonts w:cs="Arial"/>
          <w:i/>
          <w:iCs/>
          <w:sz w:val="22"/>
          <w:szCs w:val="22"/>
        </w:rPr>
        <w:t>Declaración de producción. Los productores y los productores-comercializadores de gas natural declararán al MME o a quien este determine y con base en toda la información disponible al momento de calcularla: (i) la PTDV; (</w:t>
      </w:r>
      <w:proofErr w:type="spellStart"/>
      <w:r w:rsidR="0028726C" w:rsidRPr="002061B8">
        <w:rPr>
          <w:rFonts w:cs="Arial"/>
          <w:i/>
          <w:iCs/>
          <w:sz w:val="22"/>
          <w:szCs w:val="22"/>
        </w:rPr>
        <w:t>ii</w:t>
      </w:r>
      <w:proofErr w:type="spellEnd"/>
      <w:r w:rsidR="0028726C" w:rsidRPr="002061B8">
        <w:rPr>
          <w:rFonts w:cs="Arial"/>
          <w:i/>
          <w:iCs/>
          <w:sz w:val="22"/>
          <w:szCs w:val="22"/>
        </w:rPr>
        <w:t>) la PC debidamente discriminada conforme a lo indicado en los artículos 2° y 8° del presente decreto. Así mismo, el productor que sea el operador del campo declarará: (i) el PP de cada campo, y (</w:t>
      </w:r>
      <w:proofErr w:type="spellStart"/>
      <w:r w:rsidR="0028726C" w:rsidRPr="002061B8">
        <w:rPr>
          <w:rFonts w:cs="Arial"/>
          <w:i/>
          <w:iCs/>
          <w:sz w:val="22"/>
          <w:szCs w:val="22"/>
        </w:rPr>
        <w:t>ii</w:t>
      </w:r>
      <w:proofErr w:type="spellEnd"/>
      <w:r w:rsidR="0028726C" w:rsidRPr="002061B8">
        <w:rPr>
          <w:rFonts w:cs="Arial"/>
          <w:i/>
          <w:iCs/>
          <w:sz w:val="22"/>
          <w:szCs w:val="22"/>
        </w:rPr>
        <w:t>) el porcentaje de participación de los productores y el Estado en la producción de hidrocarburos de dicho campo o de aquellos de explotación integrada. Tal declaración deberá presentarse desagregada mensualmente, a más tardar, el 31 de marzo de cada año o cuando así lo determine el MME para un periodo de diez (10) años contados a partir de la fecha en el cual se elabora. En el caso de que un productor no cuente con PTDV, así deberá declararlo, motivando y documentando suficientemente esta condición. El productor-comercializador o comercializador que, de conformidad con lo señalado del artículo 6° del presente decreto, comercialice el Gas Natural de Propiedad del Estado proveniente de Regalías y/o de las Participaciones de la ANH deberá declararlo en los términos del presente artículo</w:t>
      </w:r>
      <w:r>
        <w:rPr>
          <w:rFonts w:cs="Arial"/>
          <w:i/>
          <w:iCs/>
          <w:sz w:val="22"/>
          <w:szCs w:val="22"/>
        </w:rPr>
        <w:t>’</w:t>
      </w:r>
      <w:r w:rsidR="0028726C" w:rsidRPr="0028726C">
        <w:rPr>
          <w:rFonts w:cs="Arial"/>
          <w:sz w:val="22"/>
          <w:szCs w:val="22"/>
        </w:rPr>
        <w:t>”.</w:t>
      </w:r>
    </w:p>
    <w:p w14:paraId="42368F5C" w14:textId="77777777" w:rsidR="002061B8" w:rsidRDefault="002061B8" w:rsidP="0028726C">
      <w:pPr>
        <w:rPr>
          <w:rFonts w:cs="Arial"/>
          <w:sz w:val="22"/>
          <w:szCs w:val="22"/>
        </w:rPr>
      </w:pPr>
    </w:p>
    <w:p w14:paraId="5F4DC3C4" w14:textId="62E3C3A4" w:rsidR="002061B8" w:rsidRPr="002061B8" w:rsidRDefault="002061B8" w:rsidP="0028726C">
      <w:pPr>
        <w:rPr>
          <w:rFonts w:cs="Arial"/>
          <w:b/>
          <w:bCs/>
          <w:sz w:val="22"/>
          <w:szCs w:val="22"/>
        </w:rPr>
      </w:pPr>
      <w:r w:rsidRPr="002061B8">
        <w:rPr>
          <w:rFonts w:cs="Arial"/>
          <w:b/>
          <w:bCs/>
          <w:sz w:val="22"/>
          <w:szCs w:val="22"/>
        </w:rPr>
        <w:t>Respuesta:</w:t>
      </w:r>
    </w:p>
    <w:p w14:paraId="52072801" w14:textId="77777777" w:rsidR="002061B8" w:rsidRDefault="002061B8" w:rsidP="0028726C">
      <w:pPr>
        <w:rPr>
          <w:rFonts w:cs="Arial"/>
          <w:sz w:val="22"/>
          <w:szCs w:val="22"/>
        </w:rPr>
      </w:pPr>
    </w:p>
    <w:p w14:paraId="64D1861D" w14:textId="32932546" w:rsidR="002061B8" w:rsidRDefault="007C17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_Ref132639498 \r \h </w:instrText>
      </w:r>
      <w:r>
        <w:rPr>
          <w:rFonts w:cs="Arial"/>
          <w:sz w:val="22"/>
          <w:szCs w:val="22"/>
        </w:rPr>
      </w:r>
      <w:r>
        <w:rPr>
          <w:rFonts w:cs="Arial"/>
          <w:sz w:val="22"/>
          <w:szCs w:val="22"/>
        </w:rPr>
        <w:fldChar w:fldCharType="separate"/>
      </w:r>
      <w:r>
        <w:rPr>
          <w:rFonts w:cs="Arial"/>
          <w:sz w:val="22"/>
          <w:szCs w:val="22"/>
        </w:rPr>
        <w:t>19.13.1.6</w:t>
      </w:r>
      <w:r>
        <w:rPr>
          <w:rFonts w:cs="Arial"/>
          <w:sz w:val="22"/>
          <w:szCs w:val="22"/>
        </w:rPr>
        <w:fldChar w:fldCharType="end"/>
      </w:r>
      <w:r>
        <w:rPr>
          <w:rFonts w:cs="Arial"/>
          <w:sz w:val="22"/>
          <w:szCs w:val="22"/>
        </w:rPr>
        <w:t>.</w:t>
      </w:r>
    </w:p>
    <w:p w14:paraId="7AD165C8" w14:textId="77777777" w:rsidR="002061B8" w:rsidRDefault="002061B8" w:rsidP="0028726C">
      <w:pPr>
        <w:rPr>
          <w:rFonts w:cs="Arial"/>
          <w:sz w:val="22"/>
          <w:szCs w:val="22"/>
        </w:rPr>
      </w:pPr>
    </w:p>
    <w:p w14:paraId="208D04FC" w14:textId="77777777" w:rsidR="00C53D76" w:rsidRPr="0028726C" w:rsidRDefault="00C53D76" w:rsidP="0028726C">
      <w:pPr>
        <w:rPr>
          <w:rFonts w:cs="Arial"/>
          <w:sz w:val="22"/>
          <w:szCs w:val="22"/>
        </w:rPr>
      </w:pPr>
    </w:p>
    <w:p w14:paraId="4D1C3864" w14:textId="77777777" w:rsidR="00C53D76" w:rsidRDefault="0028726C" w:rsidP="00F23443">
      <w:pPr>
        <w:pStyle w:val="Ttulo4"/>
      </w:pPr>
      <w:r w:rsidRPr="0028726C">
        <w:t>PROMIGAS</w:t>
      </w:r>
      <w:r w:rsidRPr="0028726C">
        <w:tab/>
      </w:r>
    </w:p>
    <w:p w14:paraId="485CEF5B" w14:textId="65F37E6E" w:rsidR="007C1761" w:rsidRPr="00665730" w:rsidRDefault="007C1761" w:rsidP="007C1761">
      <w:pPr>
        <w:rPr>
          <w:rFonts w:cs="Arial"/>
          <w:i/>
          <w:iCs/>
          <w:sz w:val="22"/>
          <w:szCs w:val="22"/>
        </w:rPr>
      </w:pPr>
      <w:r w:rsidRPr="0028726C">
        <w:rPr>
          <w:rFonts w:cs="Arial"/>
          <w:sz w:val="22"/>
          <w:szCs w:val="22"/>
        </w:rPr>
        <w:t>"</w:t>
      </w:r>
      <w:r w:rsidRPr="00665730">
        <w:rPr>
          <w:rFonts w:cs="Arial"/>
          <w:i/>
          <w:iCs/>
          <w:sz w:val="22"/>
          <w:szCs w:val="22"/>
        </w:rPr>
        <w:t xml:space="preserve">Propone también la CREG que en dichas declaraciones </w:t>
      </w:r>
      <w:r w:rsidR="00EB628E">
        <w:rPr>
          <w:rFonts w:cs="Arial"/>
          <w:i/>
          <w:iCs/>
          <w:sz w:val="22"/>
          <w:szCs w:val="22"/>
        </w:rPr>
        <w:t>‘</w:t>
      </w:r>
      <w:r w:rsidRPr="00665730">
        <w:rPr>
          <w:rFonts w:cs="Arial"/>
          <w:i/>
          <w:iCs/>
          <w:sz w:val="22"/>
          <w:szCs w:val="22"/>
        </w:rPr>
        <w:t>se deberán especificar las fuentes de suministro y sus cantidades por Punto de Entrega sobre los que se declara la PTDVF y/o CIDVF</w:t>
      </w:r>
      <w:r w:rsidR="00EB628E">
        <w:rPr>
          <w:rFonts w:cs="Arial"/>
          <w:i/>
          <w:iCs/>
          <w:sz w:val="22"/>
          <w:szCs w:val="22"/>
        </w:rPr>
        <w:t>’</w:t>
      </w:r>
      <w:r w:rsidRPr="00665730">
        <w:rPr>
          <w:rFonts w:cs="Arial"/>
          <w:i/>
          <w:iCs/>
          <w:sz w:val="22"/>
          <w:szCs w:val="22"/>
        </w:rPr>
        <w:t xml:space="preserve">. </w:t>
      </w:r>
    </w:p>
    <w:p w14:paraId="305762A2" w14:textId="77777777" w:rsidR="007C1761" w:rsidRPr="00665730" w:rsidRDefault="007C1761" w:rsidP="007C1761">
      <w:pPr>
        <w:rPr>
          <w:rFonts w:cs="Arial"/>
          <w:i/>
          <w:iCs/>
          <w:sz w:val="22"/>
          <w:szCs w:val="22"/>
        </w:rPr>
      </w:pPr>
    </w:p>
    <w:p w14:paraId="236F9BE6" w14:textId="77777777" w:rsidR="007C1761" w:rsidRDefault="007C1761" w:rsidP="007C1761">
      <w:pPr>
        <w:rPr>
          <w:rFonts w:cs="Arial"/>
          <w:i/>
          <w:iCs/>
          <w:sz w:val="22"/>
          <w:szCs w:val="22"/>
        </w:rPr>
      </w:pPr>
      <w:r w:rsidRPr="00665730">
        <w:rPr>
          <w:rFonts w:cs="Arial"/>
          <w:i/>
          <w:iCs/>
          <w:sz w:val="22"/>
          <w:szCs w:val="22"/>
        </w:rPr>
        <w:t>En el Proyecto de Resolución están definidos los siguientes conceptos:</w:t>
      </w:r>
    </w:p>
    <w:p w14:paraId="0BBC7F21" w14:textId="77777777" w:rsidR="007C1761" w:rsidRPr="00665730" w:rsidRDefault="007C1761" w:rsidP="007C1761">
      <w:pPr>
        <w:rPr>
          <w:rFonts w:cs="Arial"/>
          <w:i/>
          <w:iCs/>
          <w:sz w:val="22"/>
          <w:szCs w:val="22"/>
        </w:rPr>
      </w:pPr>
    </w:p>
    <w:p w14:paraId="5965CDC8" w14:textId="49462252" w:rsidR="007C1761" w:rsidRPr="00665730" w:rsidRDefault="00EB628E" w:rsidP="007C1761">
      <w:pPr>
        <w:ind w:left="708"/>
        <w:rPr>
          <w:rFonts w:cs="Arial"/>
          <w:i/>
          <w:iCs/>
          <w:sz w:val="22"/>
          <w:szCs w:val="22"/>
        </w:rPr>
      </w:pPr>
      <w:r>
        <w:rPr>
          <w:rFonts w:cs="Arial"/>
          <w:i/>
          <w:iCs/>
          <w:sz w:val="22"/>
          <w:szCs w:val="22"/>
        </w:rPr>
        <w:t>‘</w:t>
      </w:r>
      <w:r w:rsidR="007C1761" w:rsidRPr="00665730">
        <w:rPr>
          <w:rFonts w:cs="Arial"/>
          <w:i/>
          <w:iCs/>
          <w:sz w:val="22"/>
          <w:szCs w:val="22"/>
        </w:rPr>
        <w:t xml:space="preserve">Punto de Entrega: </w:t>
      </w:r>
      <w:r w:rsidR="007C1761" w:rsidRPr="00665730">
        <w:rPr>
          <w:rFonts w:cs="Arial"/>
          <w:i/>
          <w:iCs/>
          <w:sz w:val="22"/>
          <w:szCs w:val="22"/>
          <w:u w:val="single"/>
        </w:rPr>
        <w:t>lugar físico identificado y caracterizado, pactado en los contratos de suministro</w:t>
      </w:r>
      <w:r w:rsidR="007C1761" w:rsidRPr="00665730">
        <w:rPr>
          <w:rFonts w:cs="Arial"/>
          <w:i/>
          <w:iCs/>
          <w:sz w:val="22"/>
          <w:szCs w:val="22"/>
        </w:rPr>
        <w:t xml:space="preserve"> del mercado mayorista </w:t>
      </w:r>
      <w:r w:rsidR="007C1761" w:rsidRPr="00665730">
        <w:rPr>
          <w:rFonts w:cs="Arial"/>
          <w:i/>
          <w:iCs/>
          <w:sz w:val="22"/>
          <w:szCs w:val="22"/>
          <w:u w:val="single"/>
        </w:rPr>
        <w:t>donde se mide y los vendedores del mercado primario entregan físicamente el gas y se determinan los precios de venta del gas natural</w:t>
      </w:r>
      <w:r w:rsidR="007C1761" w:rsidRPr="00665730">
        <w:rPr>
          <w:rFonts w:cs="Arial"/>
          <w:i/>
          <w:iCs/>
          <w:sz w:val="22"/>
          <w:szCs w:val="22"/>
        </w:rPr>
        <w:t xml:space="preserve">. Todos los Puntos de entrega deben estar asociados a una o varias Fuentes de Suministro, y así debe estar determinado en los contratos de suministro del mercado mayorista. </w:t>
      </w:r>
      <w:r w:rsidR="007C1761" w:rsidRPr="00665730">
        <w:rPr>
          <w:rFonts w:cs="Arial"/>
          <w:i/>
          <w:iCs/>
          <w:sz w:val="22"/>
          <w:szCs w:val="22"/>
          <w:u w:val="single"/>
        </w:rPr>
        <w:t>Un Punto de Entrega puede ser o no un Punto de Importación, así como también un Punto de Entrega puede ser o no un Punto de entrada al Sistema Nacional de transporte</w:t>
      </w:r>
      <w:r w:rsidR="007C1761" w:rsidRPr="00665730">
        <w:rPr>
          <w:rFonts w:cs="Arial"/>
          <w:i/>
          <w:iCs/>
          <w:sz w:val="22"/>
          <w:szCs w:val="22"/>
        </w:rPr>
        <w:t>. Todos los Puntos de entrega deben ser registrados e informados al Gestor del Mercado, en los formatos que éste último defina para este efecto.</w:t>
      </w:r>
    </w:p>
    <w:p w14:paraId="319465B9" w14:textId="77777777" w:rsidR="007C1761" w:rsidRPr="00665730" w:rsidRDefault="007C1761" w:rsidP="007C1761">
      <w:pPr>
        <w:ind w:left="708"/>
        <w:rPr>
          <w:rFonts w:cs="Arial"/>
          <w:i/>
          <w:iCs/>
          <w:sz w:val="22"/>
          <w:szCs w:val="22"/>
        </w:rPr>
      </w:pPr>
    </w:p>
    <w:p w14:paraId="250F2B8C" w14:textId="77777777" w:rsidR="007C1761" w:rsidRPr="00665730" w:rsidRDefault="007C1761" w:rsidP="007C1761">
      <w:pPr>
        <w:ind w:left="708"/>
        <w:rPr>
          <w:rFonts w:cs="Arial"/>
          <w:i/>
          <w:iCs/>
          <w:sz w:val="22"/>
          <w:szCs w:val="22"/>
        </w:rPr>
      </w:pPr>
      <w:r w:rsidRPr="00665730">
        <w:rPr>
          <w:rFonts w:cs="Arial"/>
          <w:i/>
          <w:iCs/>
          <w:sz w:val="22"/>
          <w:szCs w:val="22"/>
        </w:rPr>
        <w:t xml:space="preserve">Punto de Importación: lugar físico plenamente identificado y caracterizado, ubicado en la Infraestructura de Importación, habilitado para llevar a cabo la introducción a territorio nacional de gas natural obtenido en el exterior. </w:t>
      </w:r>
      <w:r w:rsidRPr="00665730">
        <w:rPr>
          <w:rFonts w:cs="Arial"/>
          <w:i/>
          <w:iCs/>
          <w:sz w:val="22"/>
          <w:szCs w:val="22"/>
          <w:u w:val="single"/>
        </w:rPr>
        <w:t>Puede ser o no un Punto de Entrega</w:t>
      </w:r>
      <w:r w:rsidRPr="00665730">
        <w:rPr>
          <w:rFonts w:cs="Arial"/>
          <w:i/>
          <w:iCs/>
          <w:sz w:val="22"/>
          <w:szCs w:val="22"/>
        </w:rPr>
        <w:t>.</w:t>
      </w:r>
    </w:p>
    <w:p w14:paraId="52065C52" w14:textId="77777777" w:rsidR="007C1761" w:rsidRPr="00665730" w:rsidRDefault="007C1761" w:rsidP="007C1761">
      <w:pPr>
        <w:ind w:left="708"/>
        <w:rPr>
          <w:rFonts w:cs="Arial"/>
          <w:i/>
          <w:iCs/>
          <w:sz w:val="22"/>
          <w:szCs w:val="22"/>
        </w:rPr>
      </w:pPr>
    </w:p>
    <w:p w14:paraId="5910940C" w14:textId="77777777" w:rsidR="007C1761" w:rsidRPr="00665730" w:rsidRDefault="007C1761" w:rsidP="007C1761">
      <w:pPr>
        <w:ind w:left="708"/>
        <w:rPr>
          <w:rFonts w:cs="Arial"/>
          <w:i/>
          <w:iCs/>
          <w:sz w:val="22"/>
          <w:szCs w:val="22"/>
        </w:rPr>
      </w:pPr>
      <w:r w:rsidRPr="00665730">
        <w:rPr>
          <w:rFonts w:cs="Arial"/>
          <w:i/>
          <w:iCs/>
          <w:sz w:val="22"/>
          <w:szCs w:val="22"/>
        </w:rPr>
        <w:t xml:space="preserve">Punto de Inyección: lugar físico donde el vendedor del mercado primario entrega físicamente el gas proveniente de las fuentes de producción conectadas al Sistema Nacional de Transporte. El Punto de Inyección es un Punto de Entrega, y también un Punto de Entrada del SNT, cuando las Fuentes de suministro de gas están conectadas directamente al Sistema Nacional de transporte, SNT. </w:t>
      </w:r>
      <w:r w:rsidRPr="00665730">
        <w:rPr>
          <w:rFonts w:cs="Arial"/>
          <w:i/>
          <w:iCs/>
          <w:sz w:val="22"/>
          <w:szCs w:val="22"/>
          <w:u w:val="single"/>
        </w:rPr>
        <w:t>Todos los Puntos de Inyección son Puntos de Entrega</w:t>
      </w:r>
      <w:r w:rsidRPr="00665730">
        <w:rPr>
          <w:rFonts w:cs="Arial"/>
          <w:i/>
          <w:iCs/>
          <w:sz w:val="22"/>
          <w:szCs w:val="22"/>
        </w:rPr>
        <w:t>.</w:t>
      </w:r>
    </w:p>
    <w:p w14:paraId="6C0C7D87" w14:textId="77777777" w:rsidR="007C1761" w:rsidRPr="00665730" w:rsidRDefault="007C1761" w:rsidP="007C1761">
      <w:pPr>
        <w:ind w:left="708"/>
        <w:rPr>
          <w:rFonts w:cs="Arial"/>
          <w:i/>
          <w:iCs/>
          <w:sz w:val="22"/>
          <w:szCs w:val="22"/>
        </w:rPr>
      </w:pPr>
    </w:p>
    <w:p w14:paraId="363896D6" w14:textId="77777777" w:rsidR="007C1761" w:rsidRPr="00665730" w:rsidRDefault="007C1761" w:rsidP="007C1761">
      <w:pPr>
        <w:ind w:left="708"/>
        <w:rPr>
          <w:rFonts w:cs="Arial"/>
          <w:i/>
          <w:iCs/>
          <w:sz w:val="22"/>
          <w:szCs w:val="22"/>
        </w:rPr>
      </w:pPr>
      <w:r w:rsidRPr="00665730">
        <w:rPr>
          <w:rFonts w:cs="Arial"/>
          <w:i/>
          <w:iCs/>
          <w:sz w:val="22"/>
          <w:szCs w:val="22"/>
        </w:rPr>
        <w:t xml:space="preserve">Punto de Referencia: </w:t>
      </w:r>
      <w:r w:rsidRPr="00665730">
        <w:rPr>
          <w:rFonts w:cs="Arial"/>
          <w:i/>
          <w:iCs/>
          <w:sz w:val="22"/>
          <w:szCs w:val="22"/>
          <w:u w:val="single"/>
        </w:rPr>
        <w:t>lugar físico y específico determinado por el Gestor del Mercado</w:t>
      </w:r>
      <w:r w:rsidRPr="00665730">
        <w:rPr>
          <w:rFonts w:cs="Arial"/>
          <w:i/>
          <w:iCs/>
          <w:sz w:val="22"/>
          <w:szCs w:val="22"/>
        </w:rPr>
        <w:t>, con el fin exclusivo de realizar balances comerciales de que trata el Artículo 21 de la presente resolución.</w:t>
      </w:r>
    </w:p>
    <w:p w14:paraId="33FF4DB5" w14:textId="77777777" w:rsidR="007C1761" w:rsidRPr="00665730" w:rsidRDefault="007C1761" w:rsidP="007C1761">
      <w:pPr>
        <w:ind w:left="708"/>
        <w:rPr>
          <w:rFonts w:cs="Arial"/>
          <w:i/>
          <w:iCs/>
          <w:sz w:val="22"/>
          <w:szCs w:val="22"/>
        </w:rPr>
      </w:pPr>
    </w:p>
    <w:p w14:paraId="6454FAE8" w14:textId="229F6DE5" w:rsidR="007C1761" w:rsidRPr="00665730" w:rsidRDefault="007C1761" w:rsidP="007C1761">
      <w:pPr>
        <w:ind w:left="708"/>
        <w:rPr>
          <w:rFonts w:cs="Arial"/>
          <w:i/>
          <w:iCs/>
          <w:sz w:val="22"/>
          <w:szCs w:val="22"/>
        </w:rPr>
      </w:pPr>
      <w:r w:rsidRPr="00665730">
        <w:rPr>
          <w:rFonts w:cs="Arial"/>
          <w:i/>
          <w:iCs/>
          <w:sz w:val="22"/>
          <w:szCs w:val="22"/>
        </w:rPr>
        <w:t xml:space="preserve">Puntos Estándar de Entrega: </w:t>
      </w:r>
      <w:r w:rsidRPr="00665730">
        <w:rPr>
          <w:rFonts w:cs="Arial"/>
          <w:i/>
          <w:iCs/>
          <w:sz w:val="22"/>
          <w:szCs w:val="22"/>
          <w:u w:val="single"/>
        </w:rPr>
        <w:t>lugar físico plenamente identificado y caracterizado, determinado por la Comisión</w:t>
      </w:r>
      <w:r w:rsidRPr="00665730">
        <w:rPr>
          <w:rFonts w:cs="Arial"/>
          <w:i/>
          <w:iCs/>
          <w:sz w:val="22"/>
          <w:szCs w:val="22"/>
        </w:rPr>
        <w:t>, que deberán pactar los comercializadores del mercado secundario en los contratos de derechos de suministro, y donde se medirá y se entregará físicamente el gas por parte de los vendedores del mercado secundario y se determinan los precios de intermediación del gas. Puede ser o no un Punto de Entrega</w:t>
      </w:r>
      <w:r w:rsidR="00EB628E">
        <w:rPr>
          <w:rFonts w:cs="Arial"/>
          <w:i/>
          <w:iCs/>
          <w:sz w:val="22"/>
          <w:szCs w:val="22"/>
        </w:rPr>
        <w:t>’</w:t>
      </w:r>
      <w:r w:rsidRPr="00665730">
        <w:rPr>
          <w:rFonts w:cs="Arial"/>
          <w:i/>
          <w:iCs/>
          <w:sz w:val="22"/>
          <w:szCs w:val="22"/>
        </w:rPr>
        <w:t>. (Subrayado Fuera de Texto).</w:t>
      </w:r>
    </w:p>
    <w:p w14:paraId="2B2A9489" w14:textId="77777777" w:rsidR="007C1761" w:rsidRPr="00665730" w:rsidRDefault="007C1761" w:rsidP="007C1761">
      <w:pPr>
        <w:rPr>
          <w:rFonts w:cs="Arial"/>
          <w:i/>
          <w:iCs/>
          <w:sz w:val="22"/>
          <w:szCs w:val="22"/>
        </w:rPr>
      </w:pPr>
    </w:p>
    <w:p w14:paraId="1B912815" w14:textId="70ED18C7" w:rsidR="007C1761" w:rsidRPr="00665730" w:rsidRDefault="007C1761" w:rsidP="007C1761">
      <w:pPr>
        <w:rPr>
          <w:rFonts w:cs="Arial"/>
          <w:i/>
          <w:iCs/>
          <w:sz w:val="22"/>
          <w:szCs w:val="22"/>
        </w:rPr>
      </w:pPr>
      <w:r w:rsidRPr="00665730">
        <w:rPr>
          <w:rFonts w:cs="Arial"/>
          <w:i/>
          <w:iCs/>
          <w:sz w:val="22"/>
          <w:szCs w:val="22"/>
        </w:rPr>
        <w:t xml:space="preserve">De los textos que se subrayan es clara la confusión que se presenta cuando la CREG habla de uno cualquiera de estos </w:t>
      </w:r>
      <w:r w:rsidR="00DE4904">
        <w:rPr>
          <w:rFonts w:cs="Arial"/>
          <w:i/>
          <w:iCs/>
          <w:sz w:val="22"/>
          <w:szCs w:val="22"/>
        </w:rPr>
        <w:t>‘</w:t>
      </w:r>
      <w:r w:rsidRPr="00665730">
        <w:rPr>
          <w:rFonts w:cs="Arial"/>
          <w:i/>
          <w:iCs/>
          <w:sz w:val="22"/>
          <w:szCs w:val="22"/>
        </w:rPr>
        <w:t>Puntos</w:t>
      </w:r>
      <w:r w:rsidR="00DE4904">
        <w:rPr>
          <w:rFonts w:cs="Arial"/>
          <w:i/>
          <w:iCs/>
          <w:sz w:val="22"/>
          <w:szCs w:val="22"/>
        </w:rPr>
        <w:t>’</w:t>
      </w:r>
      <w:r w:rsidRPr="00665730">
        <w:rPr>
          <w:rFonts w:cs="Arial"/>
          <w:i/>
          <w:iCs/>
          <w:sz w:val="22"/>
          <w:szCs w:val="22"/>
        </w:rPr>
        <w:t xml:space="preserve">. En el caso particular de los </w:t>
      </w:r>
      <w:r w:rsidR="00DE4904">
        <w:rPr>
          <w:rFonts w:cs="Arial"/>
          <w:i/>
          <w:iCs/>
          <w:sz w:val="22"/>
          <w:szCs w:val="22"/>
        </w:rPr>
        <w:t>‘</w:t>
      </w:r>
      <w:r w:rsidRPr="00665730">
        <w:rPr>
          <w:rFonts w:cs="Arial"/>
          <w:i/>
          <w:iCs/>
          <w:sz w:val="22"/>
          <w:szCs w:val="22"/>
        </w:rPr>
        <w:t>Puntos de Entrega</w:t>
      </w:r>
      <w:r w:rsidR="00DE4904">
        <w:rPr>
          <w:rFonts w:cs="Arial"/>
          <w:i/>
          <w:iCs/>
          <w:sz w:val="22"/>
          <w:szCs w:val="22"/>
        </w:rPr>
        <w:t>’</w:t>
      </w:r>
      <w:r w:rsidRPr="00665730">
        <w:rPr>
          <w:rFonts w:cs="Arial"/>
          <w:i/>
          <w:iCs/>
          <w:sz w:val="22"/>
          <w:szCs w:val="22"/>
        </w:rPr>
        <w:t xml:space="preserve"> según las definiciones de la CREG transcritas, éstos pueden ser el lugar físico pactado en los contratos de suministro donde se mide, puede ser o no un </w:t>
      </w:r>
      <w:r w:rsidR="00DE4904">
        <w:rPr>
          <w:rFonts w:cs="Arial"/>
          <w:i/>
          <w:iCs/>
          <w:sz w:val="22"/>
          <w:szCs w:val="22"/>
        </w:rPr>
        <w:t>‘</w:t>
      </w:r>
      <w:r w:rsidRPr="00665730">
        <w:rPr>
          <w:rFonts w:cs="Arial"/>
          <w:i/>
          <w:iCs/>
          <w:sz w:val="22"/>
          <w:szCs w:val="22"/>
        </w:rPr>
        <w:t>Punto de Importación</w:t>
      </w:r>
      <w:r w:rsidR="00DE4904">
        <w:rPr>
          <w:rFonts w:cs="Arial"/>
          <w:i/>
          <w:iCs/>
          <w:sz w:val="22"/>
          <w:szCs w:val="22"/>
        </w:rPr>
        <w:t>’</w:t>
      </w:r>
      <w:r w:rsidRPr="00665730">
        <w:rPr>
          <w:rFonts w:cs="Arial"/>
          <w:i/>
          <w:iCs/>
          <w:sz w:val="22"/>
          <w:szCs w:val="22"/>
        </w:rPr>
        <w:t xml:space="preserve">, puede ser o no un </w:t>
      </w:r>
      <w:r w:rsidR="00DE4904">
        <w:rPr>
          <w:rFonts w:cs="Arial"/>
          <w:i/>
          <w:iCs/>
          <w:sz w:val="22"/>
          <w:szCs w:val="22"/>
        </w:rPr>
        <w:t>‘</w:t>
      </w:r>
      <w:r w:rsidRPr="00665730">
        <w:rPr>
          <w:rFonts w:cs="Arial"/>
          <w:i/>
          <w:iCs/>
          <w:sz w:val="22"/>
          <w:szCs w:val="22"/>
        </w:rPr>
        <w:t>Punto de Inyección</w:t>
      </w:r>
      <w:r w:rsidR="00DE4904">
        <w:rPr>
          <w:rFonts w:cs="Arial"/>
          <w:i/>
          <w:iCs/>
          <w:sz w:val="22"/>
          <w:szCs w:val="22"/>
        </w:rPr>
        <w:t>’</w:t>
      </w:r>
      <w:r w:rsidRPr="00665730">
        <w:rPr>
          <w:rFonts w:cs="Arial"/>
          <w:i/>
          <w:iCs/>
          <w:sz w:val="22"/>
          <w:szCs w:val="22"/>
        </w:rPr>
        <w:t xml:space="preserve"> y puede ser o no un </w:t>
      </w:r>
      <w:r w:rsidR="00DE4904">
        <w:rPr>
          <w:rFonts w:cs="Arial"/>
          <w:i/>
          <w:iCs/>
          <w:sz w:val="22"/>
          <w:szCs w:val="22"/>
        </w:rPr>
        <w:t>‘</w:t>
      </w:r>
      <w:r w:rsidRPr="00665730">
        <w:rPr>
          <w:rFonts w:cs="Arial"/>
          <w:i/>
          <w:iCs/>
          <w:sz w:val="22"/>
          <w:szCs w:val="22"/>
        </w:rPr>
        <w:t>Punto Estándar de Entrega</w:t>
      </w:r>
      <w:r w:rsidR="00DE4904">
        <w:rPr>
          <w:rFonts w:cs="Arial"/>
          <w:i/>
          <w:iCs/>
          <w:sz w:val="22"/>
          <w:szCs w:val="22"/>
        </w:rPr>
        <w:t>’</w:t>
      </w:r>
      <w:r w:rsidRPr="00665730">
        <w:rPr>
          <w:rFonts w:cs="Arial"/>
          <w:i/>
          <w:iCs/>
          <w:sz w:val="22"/>
          <w:szCs w:val="22"/>
        </w:rPr>
        <w:t>.</w:t>
      </w:r>
    </w:p>
    <w:p w14:paraId="2ABB7F14" w14:textId="77777777" w:rsidR="007C1761" w:rsidRPr="00665730" w:rsidRDefault="007C1761" w:rsidP="007C1761">
      <w:pPr>
        <w:rPr>
          <w:rFonts w:cs="Arial"/>
          <w:i/>
          <w:iCs/>
          <w:sz w:val="22"/>
          <w:szCs w:val="22"/>
        </w:rPr>
      </w:pPr>
    </w:p>
    <w:p w14:paraId="7606E6BF" w14:textId="6BB459F8" w:rsidR="007C1761" w:rsidRPr="0028726C" w:rsidRDefault="007C1761" w:rsidP="007C1761">
      <w:pPr>
        <w:rPr>
          <w:rFonts w:cs="Arial"/>
          <w:sz w:val="22"/>
          <w:szCs w:val="22"/>
        </w:rPr>
      </w:pPr>
      <w:r w:rsidRPr="00665730">
        <w:rPr>
          <w:rFonts w:cs="Arial"/>
          <w:i/>
          <w:iCs/>
          <w:sz w:val="22"/>
          <w:szCs w:val="22"/>
        </w:rPr>
        <w:t xml:space="preserve">Si el </w:t>
      </w:r>
      <w:r w:rsidR="00DE4904">
        <w:rPr>
          <w:rFonts w:cs="Arial"/>
          <w:i/>
          <w:iCs/>
          <w:sz w:val="22"/>
          <w:szCs w:val="22"/>
        </w:rPr>
        <w:t>‘</w:t>
      </w:r>
      <w:r w:rsidRPr="00665730">
        <w:rPr>
          <w:rFonts w:cs="Arial"/>
          <w:i/>
          <w:iCs/>
          <w:sz w:val="22"/>
          <w:szCs w:val="22"/>
        </w:rPr>
        <w:t>Punto de Entrega</w:t>
      </w:r>
      <w:r w:rsidR="00DE4904">
        <w:rPr>
          <w:rFonts w:cs="Arial"/>
          <w:i/>
          <w:iCs/>
          <w:sz w:val="22"/>
          <w:szCs w:val="22"/>
        </w:rPr>
        <w:t>’</w:t>
      </w:r>
      <w:r w:rsidRPr="00665730">
        <w:rPr>
          <w:rFonts w:cs="Arial"/>
          <w:i/>
          <w:iCs/>
          <w:sz w:val="22"/>
          <w:szCs w:val="22"/>
        </w:rPr>
        <w:t xml:space="preserve"> se refiere al lugar físico pactado en los contratos de suministro, el productor-comercializador solo podrá declarar </w:t>
      </w:r>
      <w:r w:rsidR="00DE4904">
        <w:rPr>
          <w:rFonts w:cs="Arial"/>
          <w:i/>
          <w:iCs/>
          <w:sz w:val="22"/>
          <w:szCs w:val="22"/>
        </w:rPr>
        <w:t>‘</w:t>
      </w:r>
      <w:r w:rsidRPr="00665730">
        <w:rPr>
          <w:rFonts w:cs="Arial"/>
          <w:i/>
          <w:iCs/>
          <w:sz w:val="22"/>
          <w:szCs w:val="22"/>
        </w:rPr>
        <w:t>Puntos de Entrega</w:t>
      </w:r>
      <w:r w:rsidR="00DE4904">
        <w:rPr>
          <w:rFonts w:cs="Arial"/>
          <w:i/>
          <w:iCs/>
          <w:sz w:val="22"/>
          <w:szCs w:val="22"/>
        </w:rPr>
        <w:t>’</w:t>
      </w:r>
      <w:r w:rsidRPr="00665730">
        <w:rPr>
          <w:rFonts w:cs="Arial"/>
          <w:i/>
          <w:iCs/>
          <w:sz w:val="22"/>
          <w:szCs w:val="22"/>
        </w:rPr>
        <w:t xml:space="preserve"> para los contratos que se encuentren vigentes, pues no es posible anticipar los </w:t>
      </w:r>
      <w:r w:rsidR="00DE4904">
        <w:rPr>
          <w:rFonts w:cs="Arial"/>
          <w:i/>
          <w:iCs/>
          <w:sz w:val="22"/>
          <w:szCs w:val="22"/>
        </w:rPr>
        <w:t>‘</w:t>
      </w:r>
      <w:r w:rsidRPr="00665730">
        <w:rPr>
          <w:rFonts w:cs="Arial"/>
          <w:i/>
          <w:iCs/>
          <w:sz w:val="22"/>
          <w:szCs w:val="22"/>
        </w:rPr>
        <w:t>Puntos de Entrega</w:t>
      </w:r>
      <w:r w:rsidR="00DE4904">
        <w:rPr>
          <w:rFonts w:cs="Arial"/>
          <w:i/>
          <w:iCs/>
          <w:sz w:val="22"/>
          <w:szCs w:val="22"/>
        </w:rPr>
        <w:t>’</w:t>
      </w:r>
      <w:r w:rsidRPr="00665730">
        <w:rPr>
          <w:rFonts w:cs="Arial"/>
          <w:i/>
          <w:iCs/>
          <w:sz w:val="22"/>
          <w:szCs w:val="22"/>
        </w:rPr>
        <w:t xml:space="preserve"> que se lleguen a pactar en futuros contratos. En estas circunstancias, no es clara la utilidad que tendría esta información de corte transversal</w:t>
      </w:r>
      <w:r w:rsidRPr="0028726C">
        <w:rPr>
          <w:rFonts w:cs="Arial"/>
          <w:sz w:val="22"/>
          <w:szCs w:val="22"/>
        </w:rPr>
        <w:t>."</w:t>
      </w:r>
    </w:p>
    <w:p w14:paraId="25A9DDF3" w14:textId="77777777" w:rsidR="00C53D76" w:rsidRDefault="00C53D76" w:rsidP="0028726C">
      <w:pPr>
        <w:rPr>
          <w:rFonts w:cs="Arial"/>
          <w:sz w:val="22"/>
          <w:szCs w:val="22"/>
        </w:rPr>
      </w:pPr>
    </w:p>
    <w:p w14:paraId="04318A50" w14:textId="065A66C0" w:rsidR="007C1761" w:rsidRPr="009C6D61" w:rsidRDefault="007C1761" w:rsidP="0028726C">
      <w:pPr>
        <w:rPr>
          <w:rFonts w:cs="Arial"/>
          <w:b/>
          <w:bCs/>
          <w:sz w:val="22"/>
          <w:szCs w:val="22"/>
        </w:rPr>
      </w:pPr>
      <w:r w:rsidRPr="009C6D61">
        <w:rPr>
          <w:rFonts w:cs="Arial"/>
          <w:b/>
          <w:bCs/>
          <w:sz w:val="22"/>
          <w:szCs w:val="22"/>
        </w:rPr>
        <w:t>Respuesta:</w:t>
      </w:r>
    </w:p>
    <w:p w14:paraId="750B71C0" w14:textId="77777777" w:rsidR="007C1761" w:rsidRDefault="007C1761" w:rsidP="0028726C">
      <w:pPr>
        <w:rPr>
          <w:rFonts w:cs="Arial"/>
          <w:sz w:val="22"/>
          <w:szCs w:val="22"/>
        </w:rPr>
      </w:pPr>
    </w:p>
    <w:p w14:paraId="50197999" w14:textId="20590D70" w:rsidR="007C1761" w:rsidRDefault="007C17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_Ref132639585 \r \h </w:instrText>
      </w:r>
      <w:r>
        <w:rPr>
          <w:rFonts w:cs="Arial"/>
          <w:sz w:val="22"/>
          <w:szCs w:val="22"/>
        </w:rPr>
      </w:r>
      <w:r>
        <w:rPr>
          <w:rFonts w:cs="Arial"/>
          <w:sz w:val="22"/>
          <w:szCs w:val="22"/>
        </w:rPr>
        <w:fldChar w:fldCharType="separate"/>
      </w:r>
      <w:r>
        <w:rPr>
          <w:rFonts w:cs="Arial"/>
          <w:sz w:val="22"/>
          <w:szCs w:val="22"/>
        </w:rPr>
        <w:t>19.13.1.7</w:t>
      </w:r>
      <w:r>
        <w:rPr>
          <w:rFonts w:cs="Arial"/>
          <w:sz w:val="22"/>
          <w:szCs w:val="22"/>
        </w:rPr>
        <w:fldChar w:fldCharType="end"/>
      </w:r>
      <w:r>
        <w:rPr>
          <w:rFonts w:cs="Arial"/>
          <w:sz w:val="22"/>
          <w:szCs w:val="22"/>
        </w:rPr>
        <w:t>.</w:t>
      </w:r>
    </w:p>
    <w:p w14:paraId="718DBA75" w14:textId="77777777" w:rsidR="007C1761" w:rsidRDefault="007C1761" w:rsidP="0028726C">
      <w:pPr>
        <w:rPr>
          <w:rFonts w:cs="Arial"/>
          <w:sz w:val="22"/>
          <w:szCs w:val="22"/>
        </w:rPr>
      </w:pPr>
    </w:p>
    <w:p w14:paraId="0E925D4C" w14:textId="77777777" w:rsidR="007C1761" w:rsidRDefault="007C1761" w:rsidP="0028726C">
      <w:pPr>
        <w:rPr>
          <w:rFonts w:cs="Arial"/>
          <w:sz w:val="22"/>
          <w:szCs w:val="22"/>
        </w:rPr>
      </w:pPr>
    </w:p>
    <w:p w14:paraId="27FE5BF0" w14:textId="77777777" w:rsidR="00C53D76" w:rsidRDefault="0028726C" w:rsidP="00F23443">
      <w:pPr>
        <w:pStyle w:val="Ttulo4"/>
      </w:pPr>
      <w:r w:rsidRPr="0028726C">
        <w:t>PROMIGAS</w:t>
      </w:r>
      <w:r w:rsidRPr="0028726C">
        <w:tab/>
      </w:r>
    </w:p>
    <w:p w14:paraId="235DBB84" w14:textId="00B4827B" w:rsidR="0028726C" w:rsidRPr="007C1761" w:rsidRDefault="0028726C" w:rsidP="0028726C">
      <w:pPr>
        <w:rPr>
          <w:rFonts w:cs="Arial"/>
          <w:i/>
          <w:iCs/>
          <w:sz w:val="22"/>
          <w:szCs w:val="22"/>
        </w:rPr>
      </w:pPr>
      <w:r w:rsidRPr="0028726C">
        <w:rPr>
          <w:rFonts w:cs="Arial"/>
          <w:sz w:val="22"/>
          <w:szCs w:val="22"/>
        </w:rPr>
        <w:t>"</w:t>
      </w:r>
      <w:r w:rsidRPr="007C1761">
        <w:rPr>
          <w:rFonts w:cs="Arial"/>
          <w:i/>
          <w:iCs/>
          <w:sz w:val="22"/>
          <w:szCs w:val="22"/>
        </w:rPr>
        <w:t>Balances comerciales: Busca determinar en cada trimestre de negociación de los contratos de suministro con garantía de firmeza, si hay oferta superavitaria o deficitaria de gas con respaldo físico para cada uno de los veinte (20) trimestres estándar siguientes al trimestre estándar de negociación durante el cual se desarrolla el balance.</w:t>
      </w:r>
    </w:p>
    <w:p w14:paraId="5DEF7F8F" w14:textId="77777777" w:rsidR="0028726C" w:rsidRPr="007C1761" w:rsidRDefault="0028726C" w:rsidP="0028726C">
      <w:pPr>
        <w:rPr>
          <w:rFonts w:cs="Arial"/>
          <w:i/>
          <w:iCs/>
          <w:sz w:val="22"/>
          <w:szCs w:val="22"/>
        </w:rPr>
      </w:pPr>
    </w:p>
    <w:p w14:paraId="47FD6B2A" w14:textId="77777777" w:rsidR="0028726C" w:rsidRPr="007C1761" w:rsidRDefault="0028726C" w:rsidP="0028726C">
      <w:pPr>
        <w:rPr>
          <w:rFonts w:cs="Arial"/>
          <w:i/>
          <w:iCs/>
          <w:sz w:val="22"/>
          <w:szCs w:val="22"/>
        </w:rPr>
      </w:pPr>
      <w:r w:rsidRPr="007C1761">
        <w:rPr>
          <w:rFonts w:cs="Arial"/>
          <w:i/>
          <w:iCs/>
          <w:sz w:val="22"/>
          <w:szCs w:val="22"/>
        </w:rPr>
        <w:t>Se podría anticipar que para los productores-comercializadores de campos en declinación y de campos que se encuentren en pruebas extensas, aún si cuentan con certificado de reservas probables y/o posibles, una declaración del tenor planteado estará marcada por la incertidumbre y difícilmente dichos productores-comercializadores aceptarán avenirse al cumplimiento de esta norma.</w:t>
      </w:r>
    </w:p>
    <w:p w14:paraId="6004F868" w14:textId="77777777" w:rsidR="0028726C" w:rsidRPr="007C1761" w:rsidRDefault="0028726C" w:rsidP="0028726C">
      <w:pPr>
        <w:rPr>
          <w:rFonts w:cs="Arial"/>
          <w:i/>
          <w:iCs/>
          <w:sz w:val="22"/>
          <w:szCs w:val="22"/>
        </w:rPr>
      </w:pPr>
    </w:p>
    <w:p w14:paraId="2B93F875" w14:textId="4B58FBE5" w:rsidR="0028726C" w:rsidRPr="007C1761" w:rsidRDefault="0028726C" w:rsidP="0028726C">
      <w:pPr>
        <w:rPr>
          <w:rFonts w:cs="Arial"/>
          <w:i/>
          <w:iCs/>
          <w:sz w:val="22"/>
          <w:szCs w:val="22"/>
        </w:rPr>
      </w:pPr>
      <w:r w:rsidRPr="007C1761">
        <w:rPr>
          <w:rFonts w:cs="Arial"/>
          <w:i/>
          <w:iCs/>
          <w:sz w:val="22"/>
          <w:szCs w:val="22"/>
        </w:rPr>
        <w:t>En todo caso, las eventuales declaraciones de la PTDVF signadas por la incertidumbre, serán de poca utilidad para los propósitos de la CREG."</w:t>
      </w:r>
    </w:p>
    <w:p w14:paraId="2F7B5DFD" w14:textId="77777777" w:rsidR="007C1761" w:rsidRDefault="007C1761" w:rsidP="0028726C">
      <w:pPr>
        <w:rPr>
          <w:rFonts w:cs="Arial"/>
          <w:sz w:val="22"/>
          <w:szCs w:val="22"/>
        </w:rPr>
      </w:pPr>
    </w:p>
    <w:p w14:paraId="40EF7781" w14:textId="5FAD2A93" w:rsidR="007C1761" w:rsidRPr="007C1761" w:rsidRDefault="007C1761" w:rsidP="0028726C">
      <w:pPr>
        <w:rPr>
          <w:rFonts w:cs="Arial"/>
          <w:b/>
          <w:bCs/>
          <w:sz w:val="22"/>
          <w:szCs w:val="22"/>
        </w:rPr>
      </w:pPr>
      <w:r w:rsidRPr="007C1761">
        <w:rPr>
          <w:rFonts w:cs="Arial"/>
          <w:b/>
          <w:bCs/>
          <w:sz w:val="22"/>
          <w:szCs w:val="22"/>
        </w:rPr>
        <w:t>Respuesta:</w:t>
      </w:r>
    </w:p>
    <w:p w14:paraId="714DD120" w14:textId="77777777" w:rsidR="007C1761" w:rsidRDefault="007C1761" w:rsidP="0028726C">
      <w:pPr>
        <w:rPr>
          <w:rFonts w:cs="Arial"/>
          <w:sz w:val="22"/>
          <w:szCs w:val="22"/>
        </w:rPr>
      </w:pPr>
    </w:p>
    <w:p w14:paraId="68F85F21" w14:textId="1DA91BB5" w:rsidR="007C1761" w:rsidRDefault="007C17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_Ref132284958 \r \h </w:instrText>
      </w:r>
      <w:r>
        <w:rPr>
          <w:rFonts w:cs="Arial"/>
          <w:sz w:val="22"/>
          <w:szCs w:val="22"/>
        </w:rPr>
      </w:r>
      <w:r>
        <w:rPr>
          <w:rFonts w:cs="Arial"/>
          <w:sz w:val="22"/>
          <w:szCs w:val="22"/>
        </w:rPr>
        <w:fldChar w:fldCharType="separate"/>
      </w:r>
      <w:r>
        <w:rPr>
          <w:rFonts w:cs="Arial"/>
          <w:sz w:val="22"/>
          <w:szCs w:val="22"/>
        </w:rPr>
        <w:t>19.13.1.8</w:t>
      </w:r>
      <w:r>
        <w:rPr>
          <w:rFonts w:cs="Arial"/>
          <w:sz w:val="22"/>
          <w:szCs w:val="22"/>
        </w:rPr>
        <w:fldChar w:fldCharType="end"/>
      </w:r>
      <w:r>
        <w:rPr>
          <w:rFonts w:cs="Arial"/>
          <w:sz w:val="22"/>
          <w:szCs w:val="22"/>
        </w:rPr>
        <w:t>.</w:t>
      </w:r>
    </w:p>
    <w:p w14:paraId="2A499AF6" w14:textId="77777777" w:rsidR="007C1761" w:rsidRPr="0028726C" w:rsidRDefault="007C1761" w:rsidP="0028726C">
      <w:pPr>
        <w:rPr>
          <w:rFonts w:cs="Arial"/>
          <w:sz w:val="22"/>
          <w:szCs w:val="22"/>
        </w:rPr>
      </w:pPr>
    </w:p>
    <w:p w14:paraId="1B069359" w14:textId="77777777" w:rsidR="00C53D76" w:rsidRDefault="00C53D76" w:rsidP="0028726C">
      <w:pPr>
        <w:rPr>
          <w:rFonts w:cs="Arial"/>
          <w:sz w:val="22"/>
          <w:szCs w:val="22"/>
        </w:rPr>
      </w:pPr>
    </w:p>
    <w:p w14:paraId="126512D4" w14:textId="77777777" w:rsidR="00C53D76" w:rsidRDefault="0028726C" w:rsidP="00F23443">
      <w:pPr>
        <w:pStyle w:val="Ttulo4"/>
      </w:pPr>
      <w:r w:rsidRPr="0028726C">
        <w:t>PROMIGAS</w:t>
      </w:r>
      <w:r w:rsidRPr="0028726C">
        <w:tab/>
      </w:r>
    </w:p>
    <w:p w14:paraId="0F2E36B3" w14:textId="77777777" w:rsidR="007C1761" w:rsidRDefault="007C1761" w:rsidP="007C1761">
      <w:pPr>
        <w:rPr>
          <w:rFonts w:cs="Arial"/>
          <w:i/>
          <w:iCs/>
          <w:sz w:val="22"/>
          <w:szCs w:val="22"/>
        </w:rPr>
      </w:pPr>
      <w:r w:rsidRPr="0028726C">
        <w:rPr>
          <w:rFonts w:cs="Arial"/>
          <w:sz w:val="22"/>
          <w:szCs w:val="22"/>
        </w:rPr>
        <w:t>"</w:t>
      </w:r>
      <w:r w:rsidRPr="00DB040C">
        <w:rPr>
          <w:rFonts w:cs="Arial"/>
          <w:i/>
          <w:iCs/>
          <w:sz w:val="22"/>
          <w:szCs w:val="22"/>
        </w:rPr>
        <w:t xml:space="preserve">Declaraciones de Demanda </w:t>
      </w:r>
    </w:p>
    <w:p w14:paraId="7AF5222D" w14:textId="77777777" w:rsidR="007C1761" w:rsidRDefault="007C1761" w:rsidP="007C1761">
      <w:pPr>
        <w:rPr>
          <w:rFonts w:cs="Arial"/>
          <w:i/>
          <w:iCs/>
          <w:sz w:val="22"/>
          <w:szCs w:val="22"/>
        </w:rPr>
      </w:pPr>
    </w:p>
    <w:p w14:paraId="292D1E8C" w14:textId="0741CD62" w:rsidR="007C1761" w:rsidRPr="00DB040C" w:rsidRDefault="007C1761" w:rsidP="007C1761">
      <w:pPr>
        <w:rPr>
          <w:rFonts w:cs="Arial"/>
          <w:i/>
          <w:iCs/>
          <w:sz w:val="22"/>
          <w:szCs w:val="22"/>
        </w:rPr>
      </w:pPr>
      <w:r w:rsidRPr="00DB040C">
        <w:rPr>
          <w:rFonts w:cs="Arial"/>
          <w:i/>
          <w:iCs/>
          <w:sz w:val="22"/>
          <w:szCs w:val="22"/>
        </w:rPr>
        <w:t xml:space="preserve">Así mismo, exigirles a los compradores proyecciones de demanda con un horizonte mínimo de cinco (5) años, especificando el(los) </w:t>
      </w:r>
      <w:r w:rsidR="00DE4904">
        <w:rPr>
          <w:rFonts w:cs="Arial"/>
          <w:i/>
          <w:iCs/>
          <w:sz w:val="22"/>
          <w:szCs w:val="22"/>
        </w:rPr>
        <w:t>‘</w:t>
      </w:r>
      <w:r w:rsidRPr="00DB040C">
        <w:rPr>
          <w:rFonts w:cs="Arial"/>
          <w:i/>
          <w:iCs/>
          <w:sz w:val="22"/>
          <w:szCs w:val="22"/>
        </w:rPr>
        <w:t>Punto(s) de Referencia</w:t>
      </w:r>
      <w:r w:rsidR="00DE4904">
        <w:rPr>
          <w:rFonts w:cs="Arial"/>
          <w:i/>
          <w:iCs/>
          <w:sz w:val="22"/>
          <w:szCs w:val="22"/>
        </w:rPr>
        <w:t>’</w:t>
      </w:r>
      <w:r w:rsidRPr="00DB040C">
        <w:rPr>
          <w:rFonts w:cs="Arial"/>
          <w:i/>
          <w:iCs/>
          <w:sz w:val="22"/>
          <w:szCs w:val="22"/>
        </w:rPr>
        <w:t>, discriminando la Demanda Esencial y No Esencial para la que pretenden contratar suministro en firme y diferenciando dichas demandas por tipo de usuario, es un despropósito, en la medida en que la CREG manifiesta que las cantidades que se reporten para la denominada Demanda Esencial no tiene segunda instancia de modificación.</w:t>
      </w:r>
    </w:p>
    <w:p w14:paraId="42F9A0A0" w14:textId="77777777" w:rsidR="007C1761" w:rsidRPr="00DB040C" w:rsidRDefault="007C1761" w:rsidP="007C1761">
      <w:pPr>
        <w:rPr>
          <w:rFonts w:cs="Arial"/>
          <w:i/>
          <w:iCs/>
          <w:sz w:val="22"/>
          <w:szCs w:val="22"/>
        </w:rPr>
      </w:pPr>
    </w:p>
    <w:p w14:paraId="7D93E3B3" w14:textId="77777777" w:rsidR="007C1761" w:rsidRPr="00DB040C" w:rsidRDefault="007C1761" w:rsidP="007C1761">
      <w:pPr>
        <w:rPr>
          <w:rFonts w:cs="Arial"/>
          <w:i/>
          <w:iCs/>
          <w:sz w:val="22"/>
          <w:szCs w:val="22"/>
        </w:rPr>
      </w:pPr>
      <w:r w:rsidRPr="00DB040C">
        <w:rPr>
          <w:rFonts w:cs="Arial"/>
          <w:i/>
          <w:iCs/>
          <w:sz w:val="22"/>
          <w:szCs w:val="22"/>
        </w:rPr>
        <w:t>Se habla de despropósito toda vez que en el Proyecto de Resolución 702 002 de 2022, la CREG propone que los usuarios diferentes al residencial podrán escoger libremente la condición de Usuario Regulado o No Regulado, siempre que así lo manifiesten por escrito al Comercializador que lo atiende, lo que los habilita para cambio de Comercializador.</w:t>
      </w:r>
    </w:p>
    <w:p w14:paraId="2D935878" w14:textId="77777777" w:rsidR="007C1761" w:rsidRPr="00DB040C" w:rsidRDefault="007C1761" w:rsidP="007C1761">
      <w:pPr>
        <w:rPr>
          <w:rFonts w:cs="Arial"/>
          <w:i/>
          <w:iCs/>
          <w:sz w:val="22"/>
          <w:szCs w:val="22"/>
        </w:rPr>
      </w:pPr>
    </w:p>
    <w:p w14:paraId="08B5B29D" w14:textId="77777777" w:rsidR="007C1761" w:rsidRDefault="007C1761" w:rsidP="007C1761">
      <w:pPr>
        <w:rPr>
          <w:rFonts w:cs="Arial"/>
          <w:i/>
          <w:iCs/>
          <w:sz w:val="22"/>
          <w:szCs w:val="22"/>
        </w:rPr>
      </w:pPr>
      <w:r w:rsidRPr="00DB040C">
        <w:rPr>
          <w:rFonts w:cs="Arial"/>
          <w:i/>
          <w:iCs/>
          <w:sz w:val="22"/>
          <w:szCs w:val="22"/>
        </w:rPr>
        <w:t xml:space="preserve">Se pone de manifiesto que de acuerdo con lo dispuesto en el Decreto 880 de 2007, compilado en el Decreto 1073 de 2015 la Demanda Esencial: “Corresponde a i) la demanda de gas natural para la operación de las estaciones de compresión del SNT, </w:t>
      </w:r>
      <w:proofErr w:type="spellStart"/>
      <w:r w:rsidRPr="00DB040C">
        <w:rPr>
          <w:rFonts w:cs="Arial"/>
          <w:i/>
          <w:iCs/>
          <w:sz w:val="22"/>
          <w:szCs w:val="22"/>
        </w:rPr>
        <w:t>ii</w:t>
      </w:r>
      <w:proofErr w:type="spellEnd"/>
      <w:r w:rsidRPr="00DB040C">
        <w:rPr>
          <w:rFonts w:cs="Arial"/>
          <w:i/>
          <w:iCs/>
          <w:sz w:val="22"/>
          <w:szCs w:val="22"/>
        </w:rPr>
        <w:t xml:space="preserve">) la demanda de gas natural de usuarios </w:t>
      </w:r>
      <w:r w:rsidRPr="00B7478F">
        <w:rPr>
          <w:rFonts w:cs="Arial"/>
          <w:i/>
          <w:iCs/>
          <w:sz w:val="22"/>
          <w:szCs w:val="22"/>
          <w:u w:val="single"/>
        </w:rPr>
        <w:t>residenciales y pequeños usuarios comerciales inmersos en la red de distribución</w:t>
      </w:r>
      <w:r w:rsidRPr="00DB040C">
        <w:rPr>
          <w:rFonts w:cs="Arial"/>
          <w:i/>
          <w:iCs/>
          <w:sz w:val="22"/>
          <w:szCs w:val="22"/>
        </w:rPr>
        <w:t xml:space="preserve">, </w:t>
      </w:r>
      <w:proofErr w:type="spellStart"/>
      <w:r w:rsidRPr="00DB040C">
        <w:rPr>
          <w:rFonts w:cs="Arial"/>
          <w:i/>
          <w:iCs/>
          <w:sz w:val="22"/>
          <w:szCs w:val="22"/>
        </w:rPr>
        <w:t>iii</w:t>
      </w:r>
      <w:proofErr w:type="spellEnd"/>
      <w:r w:rsidRPr="00DB040C">
        <w:rPr>
          <w:rFonts w:cs="Arial"/>
          <w:i/>
          <w:iCs/>
          <w:sz w:val="22"/>
          <w:szCs w:val="22"/>
        </w:rPr>
        <w:t xml:space="preserve">) </w:t>
      </w:r>
      <w:r w:rsidRPr="00B7478F">
        <w:rPr>
          <w:rFonts w:cs="Arial"/>
          <w:i/>
          <w:iCs/>
          <w:sz w:val="22"/>
          <w:szCs w:val="22"/>
          <w:u w:val="single"/>
        </w:rPr>
        <w:t>la demanda de GNCV,</w:t>
      </w:r>
      <w:r w:rsidRPr="00DB040C">
        <w:rPr>
          <w:rFonts w:cs="Arial"/>
          <w:i/>
          <w:iCs/>
          <w:sz w:val="22"/>
          <w:szCs w:val="22"/>
        </w:rPr>
        <w:t xml:space="preserve"> y </w:t>
      </w:r>
      <w:proofErr w:type="spellStart"/>
      <w:r w:rsidRPr="00DB040C">
        <w:rPr>
          <w:rFonts w:cs="Arial"/>
          <w:i/>
          <w:iCs/>
          <w:sz w:val="22"/>
          <w:szCs w:val="22"/>
        </w:rPr>
        <w:t>iv</w:t>
      </w:r>
      <w:proofErr w:type="spellEnd"/>
      <w:r w:rsidRPr="00DB040C">
        <w:rPr>
          <w:rFonts w:cs="Arial"/>
          <w:i/>
          <w:iCs/>
          <w:sz w:val="22"/>
          <w:szCs w:val="22"/>
        </w:rPr>
        <w:t>) la demanda de gas natural de las refinerías, excluyendo aquella con destino a autogeneración de energía eléctrica que pueda ser reemplazada con energía del sistema interconectado nacional”. (Subrayado Fuera de Texto).</w:t>
      </w:r>
    </w:p>
    <w:p w14:paraId="3D91DB4C" w14:textId="77777777" w:rsidR="007C1761" w:rsidRPr="00DB040C" w:rsidRDefault="007C1761" w:rsidP="007C1761">
      <w:pPr>
        <w:rPr>
          <w:rFonts w:cs="Arial"/>
          <w:i/>
          <w:iCs/>
          <w:sz w:val="22"/>
          <w:szCs w:val="22"/>
        </w:rPr>
      </w:pPr>
    </w:p>
    <w:p w14:paraId="1F96B72C" w14:textId="77777777" w:rsidR="007C1761" w:rsidRPr="00DB040C" w:rsidRDefault="007C1761" w:rsidP="007C1761">
      <w:pPr>
        <w:rPr>
          <w:rFonts w:cs="Arial"/>
          <w:i/>
          <w:iCs/>
          <w:sz w:val="22"/>
          <w:szCs w:val="22"/>
        </w:rPr>
      </w:pPr>
      <w:r w:rsidRPr="00DB040C">
        <w:rPr>
          <w:rFonts w:cs="Arial"/>
          <w:i/>
          <w:iCs/>
          <w:sz w:val="22"/>
          <w:szCs w:val="22"/>
        </w:rPr>
        <w:t>Si se tiene en cuenta que los pequeños usuarios comerciales inmersos en la red de distribución pueden optar por cambiar su condición de Usuarios Regulados a No Regulados, que la demanda de GNCV recibe tratamiento de Usuario No Regulado y que el Proyecto de Resolución CREG-227 de 2021 castiga los excedentes, la mejor proyección de demanda que reportaría un comprador será una demanda posiblemente subestimada."</w:t>
      </w:r>
    </w:p>
    <w:p w14:paraId="0A5516E4" w14:textId="77777777" w:rsidR="00C53D76" w:rsidRDefault="00C53D76" w:rsidP="0028726C">
      <w:pPr>
        <w:rPr>
          <w:rFonts w:cs="Arial"/>
          <w:sz w:val="22"/>
          <w:szCs w:val="22"/>
        </w:rPr>
      </w:pPr>
    </w:p>
    <w:p w14:paraId="6ADB8137" w14:textId="4C99F01D" w:rsidR="007C1761" w:rsidRPr="007C1761" w:rsidRDefault="007C1761" w:rsidP="0028726C">
      <w:pPr>
        <w:rPr>
          <w:rFonts w:cs="Arial"/>
          <w:b/>
          <w:bCs/>
          <w:sz w:val="22"/>
          <w:szCs w:val="22"/>
        </w:rPr>
      </w:pPr>
      <w:r w:rsidRPr="007C1761">
        <w:rPr>
          <w:rFonts w:cs="Arial"/>
          <w:b/>
          <w:bCs/>
          <w:sz w:val="22"/>
          <w:szCs w:val="22"/>
        </w:rPr>
        <w:t>Respuesta:</w:t>
      </w:r>
    </w:p>
    <w:p w14:paraId="587AB28E" w14:textId="77777777" w:rsidR="007C1761" w:rsidRDefault="007C1761" w:rsidP="0028726C">
      <w:pPr>
        <w:rPr>
          <w:rFonts w:cs="Arial"/>
          <w:sz w:val="22"/>
          <w:szCs w:val="22"/>
        </w:rPr>
      </w:pPr>
    </w:p>
    <w:p w14:paraId="64FD7130" w14:textId="67A3F82E" w:rsidR="007C1761" w:rsidRDefault="007C17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_Ref132284979 \r \h </w:instrText>
      </w:r>
      <w:r>
        <w:rPr>
          <w:rFonts w:cs="Arial"/>
          <w:sz w:val="22"/>
          <w:szCs w:val="22"/>
        </w:rPr>
      </w:r>
      <w:r>
        <w:rPr>
          <w:rFonts w:cs="Arial"/>
          <w:sz w:val="22"/>
          <w:szCs w:val="22"/>
        </w:rPr>
        <w:fldChar w:fldCharType="separate"/>
      </w:r>
      <w:r>
        <w:rPr>
          <w:rFonts w:cs="Arial"/>
          <w:sz w:val="22"/>
          <w:szCs w:val="22"/>
        </w:rPr>
        <w:t>19.13.1.9</w:t>
      </w:r>
      <w:r>
        <w:rPr>
          <w:rFonts w:cs="Arial"/>
          <w:sz w:val="22"/>
          <w:szCs w:val="22"/>
        </w:rPr>
        <w:fldChar w:fldCharType="end"/>
      </w:r>
      <w:r>
        <w:rPr>
          <w:rFonts w:cs="Arial"/>
          <w:sz w:val="22"/>
          <w:szCs w:val="22"/>
        </w:rPr>
        <w:t>.</w:t>
      </w:r>
    </w:p>
    <w:p w14:paraId="4C2770BC" w14:textId="77777777" w:rsidR="007C1761" w:rsidRDefault="007C1761" w:rsidP="0028726C">
      <w:pPr>
        <w:rPr>
          <w:rFonts w:cs="Arial"/>
          <w:sz w:val="22"/>
          <w:szCs w:val="22"/>
        </w:rPr>
      </w:pPr>
    </w:p>
    <w:p w14:paraId="09F714B6" w14:textId="77777777" w:rsidR="007C1761" w:rsidRDefault="007C1761" w:rsidP="0028726C">
      <w:pPr>
        <w:rPr>
          <w:rFonts w:cs="Arial"/>
          <w:sz w:val="22"/>
          <w:szCs w:val="22"/>
        </w:rPr>
      </w:pPr>
    </w:p>
    <w:p w14:paraId="4A589467" w14:textId="77777777" w:rsidR="00C53D76" w:rsidRDefault="0028726C" w:rsidP="00F23443">
      <w:pPr>
        <w:pStyle w:val="Ttulo4"/>
      </w:pPr>
      <w:r w:rsidRPr="0028726C">
        <w:t>PROMIGAS</w:t>
      </w:r>
      <w:r w:rsidRPr="0028726C">
        <w:tab/>
      </w:r>
    </w:p>
    <w:p w14:paraId="2E3EFFFE" w14:textId="7D5BEB23" w:rsidR="0028726C" w:rsidRPr="007C1761" w:rsidRDefault="0028726C" w:rsidP="0028726C">
      <w:pPr>
        <w:rPr>
          <w:rFonts w:cs="Arial"/>
          <w:i/>
          <w:iCs/>
          <w:sz w:val="22"/>
          <w:szCs w:val="22"/>
        </w:rPr>
      </w:pPr>
      <w:r w:rsidRPr="0028726C">
        <w:rPr>
          <w:rFonts w:cs="Arial"/>
          <w:sz w:val="22"/>
          <w:szCs w:val="22"/>
        </w:rPr>
        <w:t>"</w:t>
      </w:r>
      <w:r w:rsidRPr="007C1761">
        <w:rPr>
          <w:rFonts w:cs="Arial"/>
          <w:i/>
          <w:iCs/>
          <w:sz w:val="22"/>
          <w:szCs w:val="22"/>
        </w:rPr>
        <w:t>El mecanismo propuesto por la CREG y que ha denominado MADE constituye un verdadero galimatías, en el caso de que el balance comercial resulte deficitario. Consideramos nosotros que el mecanismo es innecesariamente complejo. Además de solicitarle a la Comisión que simplifique en la medida de lo posible el esquema, sobre el mismo se plantean las siguientes, inquietudes/observaciones/consideraciones:</w:t>
      </w:r>
    </w:p>
    <w:p w14:paraId="41EF6D58" w14:textId="77777777" w:rsidR="0028726C" w:rsidRPr="007C1761" w:rsidRDefault="0028726C" w:rsidP="0028726C">
      <w:pPr>
        <w:rPr>
          <w:rFonts w:cs="Arial"/>
          <w:i/>
          <w:iCs/>
          <w:sz w:val="22"/>
          <w:szCs w:val="22"/>
        </w:rPr>
      </w:pPr>
    </w:p>
    <w:p w14:paraId="19429A0B" w14:textId="77777777" w:rsidR="0028726C" w:rsidRPr="007C1761" w:rsidRDefault="0028726C" w:rsidP="0028726C">
      <w:pPr>
        <w:rPr>
          <w:rFonts w:cs="Arial"/>
          <w:i/>
          <w:iCs/>
          <w:sz w:val="22"/>
          <w:szCs w:val="22"/>
        </w:rPr>
      </w:pPr>
      <w:r w:rsidRPr="007C1761">
        <w:rPr>
          <w:rFonts w:cs="Arial"/>
          <w:i/>
          <w:iCs/>
          <w:sz w:val="22"/>
          <w:szCs w:val="22"/>
        </w:rPr>
        <w:t>- Se enfatiza lo ya indicado previamente, en el sentido de que de una proyección de oferta signada por la incertidumbre y de una proyección de demanda seguramente subestimada, el balance resultante resultará espurio y de sus resultados no se podrá inferir la condición superavitaria o deficitaria de la oferta.</w:t>
      </w:r>
    </w:p>
    <w:p w14:paraId="2B1C6001" w14:textId="77777777" w:rsidR="0028726C" w:rsidRPr="007C1761" w:rsidRDefault="0028726C" w:rsidP="0028726C">
      <w:pPr>
        <w:rPr>
          <w:rFonts w:cs="Arial"/>
          <w:i/>
          <w:iCs/>
          <w:sz w:val="22"/>
          <w:szCs w:val="22"/>
        </w:rPr>
      </w:pPr>
    </w:p>
    <w:p w14:paraId="7A9BCF31" w14:textId="77777777" w:rsidR="0028726C" w:rsidRPr="007C1761" w:rsidRDefault="0028726C" w:rsidP="0028726C">
      <w:pPr>
        <w:rPr>
          <w:rFonts w:cs="Arial"/>
          <w:i/>
          <w:iCs/>
          <w:sz w:val="22"/>
          <w:szCs w:val="22"/>
        </w:rPr>
      </w:pPr>
      <w:r w:rsidRPr="007C1761">
        <w:rPr>
          <w:rFonts w:cs="Arial"/>
          <w:i/>
          <w:iCs/>
          <w:sz w:val="22"/>
          <w:szCs w:val="22"/>
        </w:rPr>
        <w:t>- En el caso de superávit, no se encontró el soporte que llevó a la CREG a proponer que después de registrados los contratos con períodos trimestrales de suministro pactados bajo el mecanismo de negociación directa, se podrán negociar las cantidades declaradas de PTDVF y/o CIDVF que hayan quedado disponibles, solamente para el siguiente trimestre estándar al trimestre estándar de negociación, mediante contratos de suministro CF95/CF80 con plazo de ejecución de un (1) mes calendario.</w:t>
      </w:r>
    </w:p>
    <w:p w14:paraId="466879EB" w14:textId="77777777" w:rsidR="0028726C" w:rsidRPr="007C1761" w:rsidRDefault="0028726C" w:rsidP="0028726C">
      <w:pPr>
        <w:rPr>
          <w:rFonts w:cs="Arial"/>
          <w:i/>
          <w:iCs/>
          <w:sz w:val="22"/>
          <w:szCs w:val="22"/>
        </w:rPr>
      </w:pPr>
    </w:p>
    <w:p w14:paraId="5094FE75" w14:textId="5B5D8A72" w:rsidR="0028726C" w:rsidRDefault="0028726C" w:rsidP="0028726C">
      <w:pPr>
        <w:rPr>
          <w:rFonts w:cs="Arial"/>
          <w:sz w:val="22"/>
          <w:szCs w:val="22"/>
        </w:rPr>
      </w:pPr>
      <w:r w:rsidRPr="007C1761">
        <w:rPr>
          <w:rFonts w:cs="Arial"/>
          <w:i/>
          <w:iCs/>
          <w:sz w:val="22"/>
          <w:szCs w:val="22"/>
        </w:rPr>
        <w:t>Se requiere conocer el fundamento y el objetivo que persigue la Comisión al imponer el limitante de un (1) mes, si el comprador dueño del contrato de suministro (CF95/CF80) considera que puede comprometer excedentes de estos contratos durante plazos que superen el mes</w:t>
      </w:r>
      <w:r w:rsidRPr="0028726C">
        <w:rPr>
          <w:rFonts w:cs="Arial"/>
          <w:sz w:val="22"/>
          <w:szCs w:val="22"/>
        </w:rPr>
        <w:t>."</w:t>
      </w:r>
    </w:p>
    <w:p w14:paraId="5AC6F24D" w14:textId="77777777" w:rsidR="007C1761" w:rsidRDefault="007C1761" w:rsidP="0028726C">
      <w:pPr>
        <w:rPr>
          <w:rFonts w:cs="Arial"/>
          <w:sz w:val="22"/>
          <w:szCs w:val="22"/>
        </w:rPr>
      </w:pPr>
    </w:p>
    <w:p w14:paraId="4692367E" w14:textId="25DE4011" w:rsidR="007C1761" w:rsidRPr="007C1761" w:rsidRDefault="007C1761" w:rsidP="0028726C">
      <w:pPr>
        <w:rPr>
          <w:rFonts w:cs="Arial"/>
          <w:b/>
          <w:bCs/>
          <w:sz w:val="22"/>
          <w:szCs w:val="22"/>
        </w:rPr>
      </w:pPr>
      <w:r w:rsidRPr="007C1761">
        <w:rPr>
          <w:rFonts w:cs="Arial"/>
          <w:b/>
          <w:bCs/>
          <w:sz w:val="22"/>
          <w:szCs w:val="22"/>
        </w:rPr>
        <w:t>Respuesta:</w:t>
      </w:r>
    </w:p>
    <w:p w14:paraId="459E8642" w14:textId="77777777" w:rsidR="007C1761" w:rsidRDefault="007C1761" w:rsidP="0028726C">
      <w:pPr>
        <w:rPr>
          <w:rFonts w:cs="Arial"/>
          <w:sz w:val="22"/>
          <w:szCs w:val="22"/>
        </w:rPr>
      </w:pPr>
    </w:p>
    <w:p w14:paraId="01A242EB" w14:textId="61EBF8C0" w:rsidR="007C1761" w:rsidRPr="0028726C" w:rsidRDefault="007C17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_Ref132618996 \r \h </w:instrText>
      </w:r>
      <w:r>
        <w:rPr>
          <w:rFonts w:cs="Arial"/>
          <w:sz w:val="22"/>
          <w:szCs w:val="22"/>
        </w:rPr>
      </w:r>
      <w:r>
        <w:rPr>
          <w:rFonts w:cs="Arial"/>
          <w:sz w:val="22"/>
          <w:szCs w:val="22"/>
        </w:rPr>
        <w:fldChar w:fldCharType="separate"/>
      </w:r>
      <w:r>
        <w:rPr>
          <w:rFonts w:cs="Arial"/>
          <w:sz w:val="22"/>
          <w:szCs w:val="22"/>
        </w:rPr>
        <w:t>19.13.1.10</w:t>
      </w:r>
      <w:r>
        <w:rPr>
          <w:rFonts w:cs="Arial"/>
          <w:sz w:val="22"/>
          <w:szCs w:val="22"/>
        </w:rPr>
        <w:fldChar w:fldCharType="end"/>
      </w:r>
      <w:r>
        <w:rPr>
          <w:rFonts w:cs="Arial"/>
          <w:sz w:val="22"/>
          <w:szCs w:val="22"/>
        </w:rPr>
        <w:t>.</w:t>
      </w:r>
    </w:p>
    <w:p w14:paraId="56658145" w14:textId="77777777" w:rsidR="00C53D76" w:rsidRDefault="00C53D76" w:rsidP="0028726C">
      <w:pPr>
        <w:rPr>
          <w:rFonts w:cs="Arial"/>
          <w:sz w:val="22"/>
          <w:szCs w:val="22"/>
        </w:rPr>
      </w:pPr>
    </w:p>
    <w:p w14:paraId="6B4BF0B0" w14:textId="77777777" w:rsidR="00C53D76" w:rsidRDefault="0028726C" w:rsidP="00F23443">
      <w:pPr>
        <w:pStyle w:val="Ttulo4"/>
      </w:pPr>
      <w:r w:rsidRPr="0028726C">
        <w:t>PROMIGAS</w:t>
      </w:r>
      <w:r w:rsidRPr="0028726C">
        <w:tab/>
      </w:r>
    </w:p>
    <w:p w14:paraId="7EF2B647" w14:textId="0F1D1F71" w:rsidR="0028726C" w:rsidRPr="007C1761" w:rsidRDefault="0028726C" w:rsidP="0028726C">
      <w:pPr>
        <w:rPr>
          <w:rFonts w:cs="Arial"/>
          <w:i/>
          <w:iCs/>
          <w:sz w:val="22"/>
          <w:szCs w:val="22"/>
        </w:rPr>
      </w:pPr>
      <w:r w:rsidRPr="0028726C">
        <w:rPr>
          <w:rFonts w:cs="Arial"/>
          <w:sz w:val="22"/>
          <w:szCs w:val="22"/>
        </w:rPr>
        <w:t>"</w:t>
      </w:r>
      <w:r w:rsidRPr="007C1761">
        <w:rPr>
          <w:rFonts w:cs="Arial"/>
          <w:i/>
          <w:iCs/>
          <w:sz w:val="22"/>
          <w:szCs w:val="22"/>
        </w:rPr>
        <w:t>En caso de déficit, la CREG no considera que los contratos trimestrales que aquí se reglan, se traslapan con contratos de suministro vigentes ya registrados ante el Gestor y que no tendrían por qué someterse a repartos definidos a prorrata de fuentes y a prorrata de las Demandas Esenciales declaradas. Si la CREG insiste en la implementación del MADE, debe conciliar la propuesta de tal manera que no se desconozcan contratos ya pactados que se encuentre vigentes, en un trimestre estándar en el que se identifique déficit.</w:t>
      </w:r>
    </w:p>
    <w:p w14:paraId="4047B196" w14:textId="77777777" w:rsidR="0028726C" w:rsidRPr="007C1761" w:rsidRDefault="0028726C" w:rsidP="0028726C">
      <w:pPr>
        <w:rPr>
          <w:rFonts w:cs="Arial"/>
          <w:i/>
          <w:iCs/>
          <w:sz w:val="22"/>
          <w:szCs w:val="22"/>
        </w:rPr>
      </w:pPr>
    </w:p>
    <w:p w14:paraId="1974A1A2" w14:textId="77777777" w:rsidR="0028726C" w:rsidRDefault="0028726C" w:rsidP="0028726C">
      <w:pPr>
        <w:rPr>
          <w:rFonts w:cs="Arial"/>
          <w:sz w:val="22"/>
          <w:szCs w:val="22"/>
        </w:rPr>
      </w:pPr>
      <w:r w:rsidRPr="007C1761">
        <w:rPr>
          <w:rFonts w:cs="Arial"/>
          <w:i/>
          <w:iCs/>
          <w:sz w:val="22"/>
          <w:szCs w:val="22"/>
        </w:rPr>
        <w:t>Por la misma razón anterior, no estamos de acuerdo con la forma en que la CREG propone que se defina el precio de los contratos para atender Demanda Esencial en un trimestre deficitario, si hay compradores que ya detentan contratos de suministro vigentes para tal trimestre, contratos que ya tienen precios previamente acordados con los respectivos vendedores</w:t>
      </w:r>
      <w:r w:rsidRPr="0028726C">
        <w:rPr>
          <w:rFonts w:cs="Arial"/>
          <w:sz w:val="22"/>
          <w:szCs w:val="22"/>
        </w:rPr>
        <w:t>."</w:t>
      </w:r>
    </w:p>
    <w:p w14:paraId="47E0A607" w14:textId="77777777" w:rsidR="007C1761" w:rsidRDefault="007C1761" w:rsidP="0028726C">
      <w:pPr>
        <w:rPr>
          <w:rFonts w:cs="Arial"/>
          <w:sz w:val="22"/>
          <w:szCs w:val="22"/>
        </w:rPr>
      </w:pPr>
    </w:p>
    <w:p w14:paraId="21D7F550" w14:textId="44F1F321" w:rsidR="007C1761" w:rsidRPr="007C1761" w:rsidRDefault="007C1761" w:rsidP="0028726C">
      <w:pPr>
        <w:rPr>
          <w:rFonts w:cs="Arial"/>
          <w:b/>
          <w:bCs/>
          <w:sz w:val="22"/>
          <w:szCs w:val="22"/>
        </w:rPr>
      </w:pPr>
      <w:r w:rsidRPr="007C1761">
        <w:rPr>
          <w:rFonts w:cs="Arial"/>
          <w:b/>
          <w:bCs/>
          <w:sz w:val="22"/>
          <w:szCs w:val="22"/>
        </w:rPr>
        <w:t>Respuesta:</w:t>
      </w:r>
    </w:p>
    <w:p w14:paraId="23C824D4" w14:textId="77777777" w:rsidR="007C1761" w:rsidRDefault="007C1761" w:rsidP="0028726C">
      <w:pPr>
        <w:rPr>
          <w:rFonts w:cs="Arial"/>
          <w:sz w:val="22"/>
          <w:szCs w:val="22"/>
        </w:rPr>
      </w:pPr>
    </w:p>
    <w:p w14:paraId="4D423340" w14:textId="058AD288" w:rsidR="007C1761" w:rsidRDefault="007C17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_Ref132635991 \r \h </w:instrText>
      </w:r>
      <w:r>
        <w:rPr>
          <w:rFonts w:cs="Arial"/>
          <w:sz w:val="22"/>
          <w:szCs w:val="22"/>
        </w:rPr>
      </w:r>
      <w:r>
        <w:rPr>
          <w:rFonts w:cs="Arial"/>
          <w:sz w:val="22"/>
          <w:szCs w:val="22"/>
        </w:rPr>
        <w:fldChar w:fldCharType="separate"/>
      </w:r>
      <w:r>
        <w:rPr>
          <w:rFonts w:cs="Arial"/>
          <w:sz w:val="22"/>
          <w:szCs w:val="22"/>
        </w:rPr>
        <w:t>19.13.1.11</w:t>
      </w:r>
      <w:r>
        <w:rPr>
          <w:rFonts w:cs="Arial"/>
          <w:sz w:val="22"/>
          <w:szCs w:val="22"/>
        </w:rPr>
        <w:fldChar w:fldCharType="end"/>
      </w:r>
      <w:r>
        <w:rPr>
          <w:rFonts w:cs="Arial"/>
          <w:sz w:val="22"/>
          <w:szCs w:val="22"/>
        </w:rPr>
        <w:t>.</w:t>
      </w:r>
    </w:p>
    <w:p w14:paraId="5FE5B643" w14:textId="77777777" w:rsidR="007C1761" w:rsidRPr="0028726C" w:rsidRDefault="007C1761" w:rsidP="0028726C">
      <w:pPr>
        <w:rPr>
          <w:rFonts w:cs="Arial"/>
          <w:sz w:val="22"/>
          <w:szCs w:val="22"/>
        </w:rPr>
      </w:pPr>
    </w:p>
    <w:p w14:paraId="27ACBD52" w14:textId="77777777" w:rsidR="00C53D76" w:rsidRDefault="00C53D76" w:rsidP="0028726C">
      <w:pPr>
        <w:rPr>
          <w:rFonts w:cs="Arial"/>
          <w:sz w:val="22"/>
          <w:szCs w:val="22"/>
        </w:rPr>
      </w:pPr>
    </w:p>
    <w:p w14:paraId="5EC1D83F" w14:textId="77777777" w:rsidR="00C53D76" w:rsidRDefault="0028726C" w:rsidP="00F23443">
      <w:pPr>
        <w:pStyle w:val="Ttulo4"/>
      </w:pPr>
      <w:r w:rsidRPr="0028726C">
        <w:t>PROMIGAS</w:t>
      </w:r>
      <w:r w:rsidRPr="0028726C">
        <w:tab/>
      </w:r>
    </w:p>
    <w:p w14:paraId="2A698B09" w14:textId="3FF11A58" w:rsidR="0028726C" w:rsidRPr="007C1761" w:rsidRDefault="00E759DB" w:rsidP="0028726C">
      <w:pPr>
        <w:rPr>
          <w:rFonts w:cs="Arial"/>
          <w:i/>
          <w:iCs/>
          <w:sz w:val="22"/>
          <w:szCs w:val="22"/>
        </w:rPr>
      </w:pPr>
      <w:r>
        <w:rPr>
          <w:rFonts w:cs="Arial"/>
          <w:i/>
          <w:iCs/>
          <w:sz w:val="22"/>
          <w:szCs w:val="22"/>
        </w:rPr>
        <w:t>“</w:t>
      </w:r>
      <w:r w:rsidR="0028726C" w:rsidRPr="007C1761">
        <w:rPr>
          <w:rFonts w:cs="Arial"/>
          <w:i/>
          <w:iCs/>
          <w:sz w:val="22"/>
          <w:szCs w:val="22"/>
        </w:rPr>
        <w:t xml:space="preserve">Así mismo consideramos en caso de balance deficitario, que la propuesta de la CREG en el sentido de que la falta de acuerdo entre las partes sobre los términos de los contratos de suministro que se suscribirán para atender la Demanda Esencial, da lugar a la </w:t>
      </w:r>
      <w:r>
        <w:rPr>
          <w:rFonts w:cs="Arial"/>
          <w:i/>
          <w:iCs/>
          <w:sz w:val="22"/>
          <w:szCs w:val="22"/>
        </w:rPr>
        <w:t>‘</w:t>
      </w:r>
      <w:r w:rsidR="0028726C" w:rsidRPr="007C1761">
        <w:rPr>
          <w:rFonts w:cs="Arial"/>
          <w:i/>
          <w:iCs/>
          <w:sz w:val="22"/>
          <w:szCs w:val="22"/>
        </w:rPr>
        <w:t>liberación</w:t>
      </w:r>
      <w:r>
        <w:rPr>
          <w:rFonts w:cs="Arial"/>
          <w:i/>
          <w:iCs/>
          <w:sz w:val="22"/>
          <w:szCs w:val="22"/>
        </w:rPr>
        <w:t>’</w:t>
      </w:r>
      <w:r w:rsidR="0028726C" w:rsidRPr="007C1761">
        <w:rPr>
          <w:rFonts w:cs="Arial"/>
          <w:i/>
          <w:iCs/>
          <w:sz w:val="22"/>
          <w:szCs w:val="22"/>
        </w:rPr>
        <w:t xml:space="preserve"> de las cantidades y que dichas cantidades pueden ser usadas por los vendedores en otras negociaciones o en los procesos de asignación de las cantidades remanentes a la demanda diferente a la Demanda Esencial, contraviene el que coloquialmente se ha denominado Estatuto de Racionamiento Gas expedido por el MME.</w:t>
      </w:r>
      <w:r>
        <w:rPr>
          <w:rFonts w:cs="Arial"/>
          <w:i/>
          <w:iCs/>
          <w:sz w:val="22"/>
          <w:szCs w:val="22"/>
        </w:rPr>
        <w:t>”</w:t>
      </w:r>
    </w:p>
    <w:p w14:paraId="621D2DD4" w14:textId="77777777" w:rsidR="007C1761" w:rsidRDefault="007C1761" w:rsidP="0028726C">
      <w:pPr>
        <w:rPr>
          <w:rFonts w:cs="Arial"/>
          <w:sz w:val="22"/>
          <w:szCs w:val="22"/>
        </w:rPr>
      </w:pPr>
    </w:p>
    <w:p w14:paraId="3FCA604D" w14:textId="4617E456" w:rsidR="007C1761" w:rsidRPr="007C1761" w:rsidRDefault="007C1761" w:rsidP="0028726C">
      <w:pPr>
        <w:rPr>
          <w:rFonts w:cs="Arial"/>
          <w:b/>
          <w:bCs/>
          <w:sz w:val="22"/>
          <w:szCs w:val="22"/>
        </w:rPr>
      </w:pPr>
      <w:r w:rsidRPr="007C1761">
        <w:rPr>
          <w:rFonts w:cs="Arial"/>
          <w:b/>
          <w:bCs/>
          <w:sz w:val="22"/>
          <w:szCs w:val="22"/>
        </w:rPr>
        <w:t>Respuesta:</w:t>
      </w:r>
    </w:p>
    <w:p w14:paraId="0B547DE9" w14:textId="77777777" w:rsidR="007C1761" w:rsidRDefault="007C1761" w:rsidP="0028726C">
      <w:pPr>
        <w:rPr>
          <w:rFonts w:cs="Arial"/>
          <w:sz w:val="22"/>
          <w:szCs w:val="22"/>
        </w:rPr>
      </w:pPr>
    </w:p>
    <w:p w14:paraId="16EC70DE" w14:textId="1555C83B" w:rsidR="007C1761" w:rsidRPr="0028726C" w:rsidRDefault="007C176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_Ref132639814 \r \h </w:instrText>
      </w:r>
      <w:r>
        <w:rPr>
          <w:rFonts w:cs="Arial"/>
          <w:sz w:val="22"/>
          <w:szCs w:val="22"/>
        </w:rPr>
      </w:r>
      <w:r>
        <w:rPr>
          <w:rFonts w:cs="Arial"/>
          <w:sz w:val="22"/>
          <w:szCs w:val="22"/>
        </w:rPr>
        <w:fldChar w:fldCharType="separate"/>
      </w:r>
      <w:r>
        <w:rPr>
          <w:rFonts w:cs="Arial"/>
          <w:sz w:val="22"/>
          <w:szCs w:val="22"/>
        </w:rPr>
        <w:t>19.13.1.12</w:t>
      </w:r>
      <w:r>
        <w:rPr>
          <w:rFonts w:cs="Arial"/>
          <w:sz w:val="22"/>
          <w:szCs w:val="22"/>
        </w:rPr>
        <w:fldChar w:fldCharType="end"/>
      </w:r>
      <w:r>
        <w:rPr>
          <w:rFonts w:cs="Arial"/>
          <w:sz w:val="22"/>
          <w:szCs w:val="22"/>
        </w:rPr>
        <w:t>.</w:t>
      </w:r>
    </w:p>
    <w:p w14:paraId="6E0492ED" w14:textId="77777777" w:rsidR="00C53D76" w:rsidRDefault="00C53D76" w:rsidP="0028726C">
      <w:pPr>
        <w:rPr>
          <w:rFonts w:cs="Arial"/>
          <w:sz w:val="22"/>
          <w:szCs w:val="22"/>
        </w:rPr>
      </w:pPr>
    </w:p>
    <w:p w14:paraId="5D803F6D" w14:textId="77777777" w:rsidR="00C53D76" w:rsidRDefault="00C53D76" w:rsidP="0028726C">
      <w:pPr>
        <w:rPr>
          <w:rFonts w:cs="Arial"/>
          <w:sz w:val="22"/>
          <w:szCs w:val="22"/>
        </w:rPr>
      </w:pPr>
    </w:p>
    <w:p w14:paraId="3DE8A2F9" w14:textId="77777777" w:rsidR="00C53D76" w:rsidRDefault="0028726C" w:rsidP="0090195C">
      <w:pPr>
        <w:pStyle w:val="Ttulo2"/>
      </w:pPr>
      <w:bookmarkStart w:id="854" w:name="_Toc140506448"/>
      <w:r w:rsidRPr="0028726C">
        <w:t>SSPD</w:t>
      </w:r>
      <w:bookmarkEnd w:id="854"/>
      <w:r w:rsidRPr="0028726C">
        <w:tab/>
      </w:r>
    </w:p>
    <w:p w14:paraId="6F2B0DEB" w14:textId="77777777" w:rsidR="00002A82" w:rsidRDefault="00002A82" w:rsidP="00F23443">
      <w:pPr>
        <w:pStyle w:val="Ttulo4"/>
      </w:pPr>
      <w:bookmarkStart w:id="855" w:name="_Ref132708477"/>
      <w:r w:rsidRPr="0028726C">
        <w:t>SSPD</w:t>
      </w:r>
      <w:bookmarkEnd w:id="855"/>
      <w:r w:rsidRPr="0028726C">
        <w:tab/>
      </w:r>
    </w:p>
    <w:p w14:paraId="2E07A12D" w14:textId="184C3060" w:rsidR="0028726C" w:rsidRPr="00987CAC" w:rsidRDefault="0028726C" w:rsidP="0028726C">
      <w:pPr>
        <w:rPr>
          <w:rFonts w:cs="Arial"/>
          <w:i/>
          <w:iCs/>
          <w:sz w:val="22"/>
          <w:szCs w:val="22"/>
        </w:rPr>
      </w:pPr>
      <w:r w:rsidRPr="0028726C">
        <w:rPr>
          <w:rFonts w:cs="Arial"/>
          <w:sz w:val="22"/>
          <w:szCs w:val="22"/>
        </w:rPr>
        <w:t>"</w:t>
      </w:r>
      <w:r w:rsidRPr="00987CAC">
        <w:rPr>
          <w:rFonts w:cs="Arial"/>
          <w:i/>
          <w:iCs/>
          <w:sz w:val="22"/>
          <w:szCs w:val="22"/>
        </w:rPr>
        <w:t>De acuerdo con lo que se plantea en el documento CREG 188 de 2021:</w:t>
      </w:r>
    </w:p>
    <w:p w14:paraId="75BF0B12" w14:textId="77777777" w:rsidR="0028726C" w:rsidRPr="00987CAC" w:rsidRDefault="0028726C" w:rsidP="0028726C">
      <w:pPr>
        <w:rPr>
          <w:rFonts w:cs="Arial"/>
          <w:i/>
          <w:iCs/>
          <w:sz w:val="22"/>
          <w:szCs w:val="22"/>
        </w:rPr>
      </w:pPr>
    </w:p>
    <w:p w14:paraId="3D189592" w14:textId="6983E346" w:rsidR="0028726C" w:rsidRPr="00987CAC" w:rsidRDefault="00E759DB" w:rsidP="0028726C">
      <w:pPr>
        <w:rPr>
          <w:rFonts w:cs="Arial"/>
          <w:i/>
          <w:iCs/>
          <w:sz w:val="22"/>
          <w:szCs w:val="22"/>
        </w:rPr>
      </w:pPr>
      <w:r>
        <w:rPr>
          <w:rFonts w:cs="Arial"/>
          <w:i/>
          <w:iCs/>
          <w:sz w:val="22"/>
          <w:szCs w:val="22"/>
        </w:rPr>
        <w:t>‘</w:t>
      </w:r>
      <w:r w:rsidR="0028726C" w:rsidRPr="00987CAC">
        <w:rPr>
          <w:rFonts w:cs="Arial"/>
          <w:i/>
          <w:iCs/>
          <w:sz w:val="22"/>
          <w:szCs w:val="22"/>
        </w:rPr>
        <w:t>En cuanto al precio del suministro se prevé que el mismo no se vea afectado al alza por las nuevas medidas regulatorias que se proponen y que se puedan negociar los contratos con garantía de firmeza de manera que aumente el uso del gas natural que se encuentra disponible o puede ser producido (pág. 113)</w:t>
      </w:r>
      <w:r>
        <w:rPr>
          <w:rFonts w:cs="Arial"/>
          <w:i/>
          <w:iCs/>
          <w:sz w:val="22"/>
          <w:szCs w:val="22"/>
        </w:rPr>
        <w:t>’</w:t>
      </w:r>
    </w:p>
    <w:p w14:paraId="732EC865" w14:textId="77777777" w:rsidR="0028726C" w:rsidRPr="00987CAC" w:rsidRDefault="0028726C" w:rsidP="0028726C">
      <w:pPr>
        <w:rPr>
          <w:rFonts w:cs="Arial"/>
          <w:i/>
          <w:iCs/>
          <w:sz w:val="22"/>
          <w:szCs w:val="22"/>
        </w:rPr>
      </w:pPr>
    </w:p>
    <w:p w14:paraId="64CABA08" w14:textId="77777777" w:rsidR="0028726C" w:rsidRDefault="0028726C" w:rsidP="0028726C">
      <w:pPr>
        <w:rPr>
          <w:rFonts w:cs="Arial"/>
          <w:sz w:val="22"/>
          <w:szCs w:val="22"/>
        </w:rPr>
      </w:pPr>
      <w:r w:rsidRPr="00987CAC">
        <w:rPr>
          <w:rFonts w:cs="Arial"/>
          <w:i/>
          <w:iCs/>
          <w:sz w:val="22"/>
          <w:szCs w:val="22"/>
        </w:rPr>
        <w:t xml:space="preserve">No </w:t>
      </w:r>
      <w:proofErr w:type="gramStart"/>
      <w:r w:rsidRPr="00987CAC">
        <w:rPr>
          <w:rFonts w:cs="Arial"/>
          <w:i/>
          <w:iCs/>
          <w:sz w:val="22"/>
          <w:szCs w:val="22"/>
        </w:rPr>
        <w:t>obstante</w:t>
      </w:r>
      <w:proofErr w:type="gramEnd"/>
      <w:r w:rsidRPr="00987CAC">
        <w:rPr>
          <w:rFonts w:cs="Arial"/>
          <w:i/>
          <w:iCs/>
          <w:sz w:val="22"/>
          <w:szCs w:val="22"/>
        </w:rPr>
        <w:t xml:space="preserve"> lo anterior, y a pesar de que este mecanismo se considera adecuado para asegurar el suministro a la demanda esencial, esta Superintendencia considera que el MADE, al desarrollarse dentro de una ventana de tiempo de 20 trimestres, podría conllevar a que el mercado perciba señales de escasez al menos en algunos puntos de referencia y esto conlleve a un incremento de precios para la demanda esencial. Se sugiere a la CREG que realice una evaluación de este posible efecto en el mercado mayorista</w:t>
      </w:r>
      <w:r w:rsidRPr="0028726C">
        <w:rPr>
          <w:rFonts w:cs="Arial"/>
          <w:sz w:val="22"/>
          <w:szCs w:val="22"/>
        </w:rPr>
        <w:t>."</w:t>
      </w:r>
    </w:p>
    <w:p w14:paraId="39E0A9BC" w14:textId="77777777" w:rsidR="00987CAC" w:rsidRDefault="00987CAC" w:rsidP="0028726C">
      <w:pPr>
        <w:rPr>
          <w:rFonts w:cs="Arial"/>
          <w:sz w:val="22"/>
          <w:szCs w:val="22"/>
        </w:rPr>
      </w:pPr>
    </w:p>
    <w:p w14:paraId="749114B0" w14:textId="5B67FD0D" w:rsidR="00987CAC" w:rsidRPr="00987CAC" w:rsidRDefault="00987CAC" w:rsidP="0028726C">
      <w:pPr>
        <w:rPr>
          <w:rFonts w:cs="Arial"/>
          <w:b/>
          <w:bCs/>
          <w:sz w:val="22"/>
          <w:szCs w:val="22"/>
        </w:rPr>
      </w:pPr>
      <w:r w:rsidRPr="00987CAC">
        <w:rPr>
          <w:rFonts w:cs="Arial"/>
          <w:b/>
          <w:bCs/>
          <w:sz w:val="22"/>
          <w:szCs w:val="22"/>
        </w:rPr>
        <w:t>Respuesta:</w:t>
      </w:r>
    </w:p>
    <w:p w14:paraId="6FC8E084" w14:textId="77777777" w:rsidR="00987CAC" w:rsidRDefault="00987CAC" w:rsidP="0028726C">
      <w:pPr>
        <w:rPr>
          <w:rFonts w:cs="Arial"/>
          <w:sz w:val="22"/>
          <w:szCs w:val="22"/>
        </w:rPr>
      </w:pPr>
    </w:p>
    <w:p w14:paraId="4CEB67C2" w14:textId="3369D739" w:rsidR="00FE1752" w:rsidRDefault="00E3606F" w:rsidP="0028726C">
      <w:pPr>
        <w:rPr>
          <w:rFonts w:cs="Arial"/>
          <w:sz w:val="22"/>
          <w:szCs w:val="22"/>
        </w:rPr>
      </w:pPr>
      <w:r>
        <w:rPr>
          <w:rFonts w:cs="Arial"/>
          <w:sz w:val="22"/>
          <w:szCs w:val="22"/>
        </w:rPr>
        <w:t>La estimación mencionada en el comentario se encuentra incluida en el numeral 5 “</w:t>
      </w:r>
      <w:r w:rsidRPr="00FE1752">
        <w:rPr>
          <w:rFonts w:cs="Arial"/>
          <w:i/>
          <w:iCs/>
          <w:sz w:val="22"/>
          <w:szCs w:val="22"/>
        </w:rPr>
        <w:t xml:space="preserve">ANÁLISIS DE IMPACTOS” </w:t>
      </w:r>
      <w:r>
        <w:rPr>
          <w:rFonts w:cs="Arial"/>
          <w:sz w:val="22"/>
          <w:szCs w:val="22"/>
        </w:rPr>
        <w:t xml:space="preserve">del documento de soporte CREG </w:t>
      </w:r>
      <w:r w:rsidR="00FE1752">
        <w:rPr>
          <w:rFonts w:cs="Arial"/>
          <w:sz w:val="22"/>
          <w:szCs w:val="22"/>
        </w:rPr>
        <w:t xml:space="preserve">D 188 de 2021, partiendo de que se mantengan las condiciones que se han presentado en el Mercado Primario de suficiencia de oferta para atender las necesidades de la demanda de corto y mediano plazo (hasta 3 años). Con la propuesta de que los compradores declaren al Gestor del Mercado las cantidades requeridas para ser contratadas y que dicha información se haga pública, junto con la posibilidad de que las compras se hagan de manera parcial en diferentes trimestres de negociación para atender un </w:t>
      </w:r>
      <w:r w:rsidR="009D22E9">
        <w:rPr>
          <w:rFonts w:cs="Arial"/>
          <w:sz w:val="22"/>
          <w:szCs w:val="22"/>
        </w:rPr>
        <w:t>trimestre estándar de ejecución</w:t>
      </w:r>
      <w:r w:rsidR="00FE1752">
        <w:rPr>
          <w:rFonts w:cs="Arial"/>
          <w:sz w:val="22"/>
          <w:szCs w:val="22"/>
        </w:rPr>
        <w:t xml:space="preserve"> futuro, se espera que haya mejor posición negociadora de los compradores ante los vendedores. </w:t>
      </w:r>
    </w:p>
    <w:p w14:paraId="3C402454" w14:textId="77777777" w:rsidR="00FE1752" w:rsidRDefault="00FE1752" w:rsidP="0028726C">
      <w:pPr>
        <w:rPr>
          <w:rFonts w:cs="Arial"/>
          <w:sz w:val="22"/>
          <w:szCs w:val="22"/>
        </w:rPr>
      </w:pPr>
    </w:p>
    <w:p w14:paraId="216A2185" w14:textId="5381B4A9" w:rsidR="00E3606F" w:rsidRDefault="00FE1752" w:rsidP="0028726C">
      <w:pPr>
        <w:rPr>
          <w:rFonts w:cs="Arial"/>
          <w:sz w:val="22"/>
          <w:szCs w:val="22"/>
        </w:rPr>
      </w:pPr>
      <w:r>
        <w:rPr>
          <w:rFonts w:cs="Arial"/>
          <w:sz w:val="22"/>
          <w:szCs w:val="22"/>
        </w:rPr>
        <w:t>Asimismo, con la implementación de los proyectos del Plan de Abastecimiento de Gas Natural se espera que haya mayor competencia entre diferentes vendedores para atender una misma demanda. Sin embargo, en caso de materializarse la situación de insuficiencia de oferta es posible que se presenten altos precios para cubrir el faltante de suministro</w:t>
      </w:r>
      <w:r w:rsidR="00F03C0D">
        <w:rPr>
          <w:rFonts w:cs="Arial"/>
          <w:sz w:val="22"/>
          <w:szCs w:val="22"/>
        </w:rPr>
        <w:t>, sin que tengan el mismo impacto negativo que tendrían bajo la regulación actual. V</w:t>
      </w:r>
      <w:r>
        <w:rPr>
          <w:rFonts w:cs="Arial"/>
          <w:sz w:val="22"/>
          <w:szCs w:val="22"/>
        </w:rPr>
        <w:t xml:space="preserve">er respuesta a </w:t>
      </w:r>
      <w:r w:rsidR="00F03C0D">
        <w:rPr>
          <w:rFonts w:cs="Arial"/>
          <w:sz w:val="22"/>
          <w:szCs w:val="22"/>
        </w:rPr>
        <w:fldChar w:fldCharType="begin"/>
      </w:r>
      <w:r w:rsidR="00F03C0D">
        <w:rPr>
          <w:rFonts w:cs="Arial"/>
          <w:sz w:val="22"/>
          <w:szCs w:val="22"/>
        </w:rPr>
        <w:instrText xml:space="preserve"> REF _Ref132640817 \r \h </w:instrText>
      </w:r>
      <w:r w:rsidR="00F03C0D">
        <w:rPr>
          <w:rFonts w:cs="Arial"/>
          <w:sz w:val="22"/>
          <w:szCs w:val="22"/>
        </w:rPr>
      </w:r>
      <w:r w:rsidR="00F03C0D">
        <w:rPr>
          <w:rFonts w:cs="Arial"/>
          <w:sz w:val="22"/>
          <w:szCs w:val="22"/>
        </w:rPr>
        <w:fldChar w:fldCharType="separate"/>
      </w:r>
      <w:r w:rsidR="00F03C0D">
        <w:rPr>
          <w:rFonts w:cs="Arial"/>
          <w:sz w:val="22"/>
          <w:szCs w:val="22"/>
        </w:rPr>
        <w:t>19.20.1.2</w:t>
      </w:r>
      <w:r w:rsidR="00F03C0D">
        <w:rPr>
          <w:rFonts w:cs="Arial"/>
          <w:sz w:val="22"/>
          <w:szCs w:val="22"/>
        </w:rPr>
        <w:fldChar w:fldCharType="end"/>
      </w:r>
      <w:r w:rsidR="00F03C0D">
        <w:rPr>
          <w:rFonts w:cs="Arial"/>
          <w:sz w:val="22"/>
          <w:szCs w:val="22"/>
        </w:rPr>
        <w:t>.</w:t>
      </w:r>
    </w:p>
    <w:p w14:paraId="4544CF77" w14:textId="77777777" w:rsidR="00F03C0D" w:rsidRDefault="00F03C0D" w:rsidP="0028726C">
      <w:pPr>
        <w:rPr>
          <w:rFonts w:cs="Arial"/>
          <w:sz w:val="22"/>
          <w:szCs w:val="22"/>
        </w:rPr>
      </w:pPr>
    </w:p>
    <w:p w14:paraId="21C3F856" w14:textId="54BB6D50" w:rsidR="00F03C0D" w:rsidRDefault="00F03C0D" w:rsidP="0028726C">
      <w:pPr>
        <w:rPr>
          <w:rFonts w:cs="Arial"/>
          <w:sz w:val="22"/>
          <w:szCs w:val="22"/>
        </w:rPr>
      </w:pPr>
      <w:r>
        <w:rPr>
          <w:rFonts w:cs="Arial"/>
          <w:sz w:val="22"/>
          <w:szCs w:val="22"/>
        </w:rPr>
        <w:t xml:space="preserve">Como ya se ha mencionado en este documento, los sectores de consumo que hacen parte de la Demanda Esencial tienen una priorización operativa de suministro fijada por la política energética, 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Pr>
          <w:rFonts w:cs="Arial"/>
          <w:sz w:val="22"/>
          <w:szCs w:val="22"/>
        </w:rPr>
        <w:t>2.2.3</w:t>
      </w:r>
      <w:r>
        <w:rPr>
          <w:rFonts w:cs="Arial"/>
          <w:sz w:val="22"/>
          <w:szCs w:val="22"/>
        </w:rPr>
        <w:fldChar w:fldCharType="end"/>
      </w:r>
      <w:r>
        <w:rPr>
          <w:rFonts w:cs="Arial"/>
          <w:sz w:val="22"/>
          <w:szCs w:val="22"/>
        </w:rPr>
        <w:t xml:space="preserve">. </w:t>
      </w:r>
      <w:r w:rsidR="00631390">
        <w:rPr>
          <w:rFonts w:cs="Arial"/>
          <w:sz w:val="22"/>
          <w:szCs w:val="22"/>
        </w:rPr>
        <w:t>E</w:t>
      </w:r>
      <w:r>
        <w:rPr>
          <w:rFonts w:cs="Arial"/>
          <w:sz w:val="22"/>
          <w:szCs w:val="22"/>
        </w:rPr>
        <w:t>s una priorización que da mayor garantía de suministro ante condiciones de fuerza mayor, respecto de otros sectores de consumo que suscriben los mismos contratos de tipo firme o que garantizan firmeza que suscriben los agentes que atiende a la Demanda Esencial.</w:t>
      </w:r>
      <w:r w:rsidR="00631390">
        <w:rPr>
          <w:rFonts w:cs="Arial"/>
          <w:sz w:val="22"/>
          <w:szCs w:val="22"/>
        </w:rPr>
        <w:t xml:space="preserve"> Es por ello </w:t>
      </w:r>
      <w:proofErr w:type="gramStart"/>
      <w:r w:rsidR="00631390">
        <w:rPr>
          <w:rFonts w:cs="Arial"/>
          <w:sz w:val="22"/>
          <w:szCs w:val="22"/>
        </w:rPr>
        <w:t>que</w:t>
      </w:r>
      <w:proofErr w:type="gramEnd"/>
      <w:r w:rsidR="00631390">
        <w:rPr>
          <w:rFonts w:cs="Arial"/>
          <w:sz w:val="22"/>
          <w:szCs w:val="22"/>
        </w:rPr>
        <w:t xml:space="preserve"> se ha propuesto como precio de los contratos de suministro del tipo firme o que garantizan firmeza para atender la Demanda Esencial, los precios de cierre de la subasta de la fuente de suministro que se contrata al que le serán asignadas cantidades a los demás sectores de consumo de gas natural.</w:t>
      </w:r>
    </w:p>
    <w:p w14:paraId="44519891" w14:textId="77777777" w:rsidR="00631390" w:rsidRDefault="00631390" w:rsidP="0028726C">
      <w:pPr>
        <w:rPr>
          <w:rFonts w:cs="Arial"/>
          <w:sz w:val="22"/>
          <w:szCs w:val="22"/>
        </w:rPr>
      </w:pPr>
    </w:p>
    <w:p w14:paraId="66195F80" w14:textId="77777777" w:rsidR="00C53D76" w:rsidRDefault="00C53D76" w:rsidP="0028726C">
      <w:pPr>
        <w:rPr>
          <w:rFonts w:cs="Arial"/>
          <w:sz w:val="22"/>
          <w:szCs w:val="22"/>
        </w:rPr>
      </w:pPr>
    </w:p>
    <w:p w14:paraId="7F206193" w14:textId="77777777" w:rsidR="00C53D76" w:rsidRDefault="0028726C" w:rsidP="00F23443">
      <w:pPr>
        <w:pStyle w:val="Ttulo4"/>
      </w:pPr>
      <w:r w:rsidRPr="0028726C">
        <w:t>SSPD</w:t>
      </w:r>
      <w:r w:rsidRPr="0028726C">
        <w:tab/>
      </w:r>
    </w:p>
    <w:p w14:paraId="504FC21C" w14:textId="4ED51A0D" w:rsidR="0028726C" w:rsidRPr="00631390" w:rsidRDefault="0028726C" w:rsidP="0028726C">
      <w:pPr>
        <w:rPr>
          <w:rFonts w:cs="Arial"/>
          <w:i/>
          <w:iCs/>
          <w:sz w:val="22"/>
          <w:szCs w:val="22"/>
        </w:rPr>
      </w:pPr>
      <w:r w:rsidRPr="0028726C">
        <w:rPr>
          <w:rFonts w:cs="Arial"/>
          <w:sz w:val="22"/>
          <w:szCs w:val="22"/>
        </w:rPr>
        <w:t>"</w:t>
      </w:r>
      <w:r w:rsidRPr="00631390">
        <w:rPr>
          <w:rFonts w:cs="Arial"/>
          <w:i/>
          <w:iCs/>
          <w:sz w:val="22"/>
          <w:szCs w:val="22"/>
        </w:rPr>
        <w:t xml:space="preserve">Al respecto, la Superintendencia de Servicios Públicos estima inconveniente que en los escenarios de negociación cuando los balances comerciales sean excedentarios,  se permita recibir solicitudes de suministro con Respaldo Físico por un total de cantidades superior a las declaradas al </w:t>
      </w:r>
      <w:r w:rsidR="005114C6" w:rsidRPr="00631390">
        <w:rPr>
          <w:rFonts w:cs="Arial"/>
          <w:i/>
          <w:iCs/>
          <w:sz w:val="22"/>
          <w:szCs w:val="22"/>
        </w:rPr>
        <w:t>Gestor del Mercado</w:t>
      </w:r>
      <w:r w:rsidRPr="00631390">
        <w:rPr>
          <w:rFonts w:cs="Arial"/>
          <w:i/>
          <w:iCs/>
          <w:sz w:val="22"/>
          <w:szCs w:val="22"/>
        </w:rPr>
        <w:t xml:space="preserve"> por el vendedor para ese mismo Punto de Referencia, toda vez que, se supone, el excedente fue calculado con base en el reporte de la información de cantidades que se obligan adquirir los compradores en el Mercado Primario. </w:t>
      </w:r>
    </w:p>
    <w:p w14:paraId="1ED69A05" w14:textId="77777777" w:rsidR="0028726C" w:rsidRPr="00631390" w:rsidRDefault="0028726C" w:rsidP="0028726C">
      <w:pPr>
        <w:rPr>
          <w:rFonts w:cs="Arial"/>
          <w:i/>
          <w:iCs/>
          <w:sz w:val="22"/>
          <w:szCs w:val="22"/>
        </w:rPr>
      </w:pPr>
    </w:p>
    <w:p w14:paraId="29DF703C" w14:textId="7F57CAF3" w:rsidR="0028726C" w:rsidRPr="00631390" w:rsidRDefault="0028726C" w:rsidP="0028726C">
      <w:pPr>
        <w:rPr>
          <w:rFonts w:cs="Arial"/>
          <w:i/>
          <w:iCs/>
          <w:sz w:val="22"/>
          <w:szCs w:val="22"/>
        </w:rPr>
      </w:pPr>
      <w:r w:rsidRPr="00631390">
        <w:rPr>
          <w:rFonts w:cs="Arial"/>
          <w:i/>
          <w:iCs/>
          <w:sz w:val="22"/>
          <w:szCs w:val="22"/>
        </w:rPr>
        <w:t xml:space="preserve">Por lo anterior, no se debería considerar la posibilidad de implementar un mecanismo de asignación </w:t>
      </w:r>
      <w:r w:rsidR="00F24062">
        <w:rPr>
          <w:rFonts w:cs="Arial"/>
          <w:i/>
          <w:iCs/>
          <w:sz w:val="22"/>
          <w:szCs w:val="22"/>
        </w:rPr>
        <w:t>‘</w:t>
      </w:r>
      <w:r w:rsidRPr="00631390">
        <w:rPr>
          <w:rFonts w:cs="Arial"/>
          <w:i/>
          <w:iCs/>
          <w:sz w:val="22"/>
          <w:szCs w:val="22"/>
        </w:rPr>
        <w:t>transparente y neutral</w:t>
      </w:r>
      <w:r w:rsidR="00321978">
        <w:rPr>
          <w:rFonts w:cs="Arial"/>
          <w:i/>
          <w:iCs/>
          <w:sz w:val="22"/>
          <w:szCs w:val="22"/>
        </w:rPr>
        <w:t>’</w:t>
      </w:r>
      <w:r w:rsidRPr="00631390">
        <w:rPr>
          <w:rFonts w:cs="Arial"/>
          <w:i/>
          <w:iCs/>
          <w:sz w:val="22"/>
          <w:szCs w:val="22"/>
        </w:rPr>
        <w:t xml:space="preserve">, sino acotar las solicitudes de suministro al </w:t>
      </w:r>
      <w:proofErr w:type="spellStart"/>
      <w:r w:rsidRPr="00631390">
        <w:rPr>
          <w:rFonts w:cs="Arial"/>
          <w:i/>
          <w:iCs/>
          <w:sz w:val="22"/>
          <w:szCs w:val="22"/>
        </w:rPr>
        <w:t>maximo</w:t>
      </w:r>
      <w:proofErr w:type="spellEnd"/>
      <w:r w:rsidRPr="00631390">
        <w:rPr>
          <w:rFonts w:cs="Arial"/>
          <w:i/>
          <w:iCs/>
          <w:sz w:val="22"/>
          <w:szCs w:val="22"/>
        </w:rPr>
        <w:t xml:space="preserve"> solicitado inicialmente.</w:t>
      </w:r>
      <w:r w:rsidR="00321978">
        <w:rPr>
          <w:rFonts w:cs="Arial"/>
          <w:i/>
          <w:iCs/>
          <w:sz w:val="22"/>
          <w:szCs w:val="22"/>
        </w:rPr>
        <w:t>”</w:t>
      </w:r>
      <w:r w:rsidRPr="00631390">
        <w:rPr>
          <w:rFonts w:cs="Arial"/>
          <w:i/>
          <w:iCs/>
          <w:sz w:val="22"/>
          <w:szCs w:val="22"/>
        </w:rPr>
        <w:t xml:space="preserve"> </w:t>
      </w:r>
    </w:p>
    <w:p w14:paraId="7BE16D08" w14:textId="77777777" w:rsidR="0028726C" w:rsidRPr="00631390" w:rsidRDefault="0028726C" w:rsidP="0028726C">
      <w:pPr>
        <w:rPr>
          <w:rFonts w:cs="Arial"/>
          <w:i/>
          <w:iCs/>
          <w:sz w:val="22"/>
          <w:szCs w:val="22"/>
        </w:rPr>
      </w:pPr>
    </w:p>
    <w:p w14:paraId="29DDBAE4" w14:textId="57919072" w:rsidR="00B031F4" w:rsidRPr="00B031F4" w:rsidRDefault="00B031F4" w:rsidP="0028726C">
      <w:pPr>
        <w:rPr>
          <w:rFonts w:cs="Arial"/>
          <w:b/>
          <w:bCs/>
          <w:sz w:val="22"/>
          <w:szCs w:val="22"/>
        </w:rPr>
      </w:pPr>
      <w:r w:rsidRPr="00B031F4">
        <w:rPr>
          <w:rFonts w:cs="Arial"/>
          <w:b/>
          <w:bCs/>
          <w:sz w:val="22"/>
          <w:szCs w:val="22"/>
        </w:rPr>
        <w:t>Respuesta:</w:t>
      </w:r>
    </w:p>
    <w:p w14:paraId="10BF5EA1" w14:textId="77777777" w:rsidR="00B031F4" w:rsidRDefault="00B031F4" w:rsidP="0028726C">
      <w:pPr>
        <w:rPr>
          <w:rFonts w:cs="Arial"/>
          <w:i/>
          <w:iCs/>
          <w:sz w:val="22"/>
          <w:szCs w:val="22"/>
        </w:rPr>
      </w:pPr>
    </w:p>
    <w:p w14:paraId="0356DEB2" w14:textId="4CA11349" w:rsidR="00B031F4" w:rsidRPr="00B031F4" w:rsidRDefault="00B031F4" w:rsidP="0028726C">
      <w:pPr>
        <w:rPr>
          <w:rFonts w:cs="Arial"/>
          <w:sz w:val="22"/>
          <w:szCs w:val="22"/>
        </w:rPr>
      </w:pPr>
      <w:r w:rsidRPr="00B031F4">
        <w:rPr>
          <w:rFonts w:cs="Arial"/>
          <w:sz w:val="22"/>
          <w:szCs w:val="22"/>
        </w:rPr>
        <w:t xml:space="preserve">En la nueva propuesta se </w:t>
      </w:r>
      <w:r w:rsidR="00D674A2">
        <w:rPr>
          <w:rFonts w:cs="Arial"/>
          <w:sz w:val="22"/>
          <w:szCs w:val="22"/>
        </w:rPr>
        <w:t xml:space="preserve">establecen dos etapas de negociación directa cuando se obtiene un balance comercial superavitario. Ver numeral </w:t>
      </w:r>
      <w:r w:rsidR="00D674A2">
        <w:rPr>
          <w:rFonts w:cs="Arial"/>
          <w:sz w:val="22"/>
          <w:szCs w:val="22"/>
        </w:rPr>
        <w:fldChar w:fldCharType="begin"/>
      </w:r>
      <w:r w:rsidR="00D674A2">
        <w:rPr>
          <w:rFonts w:cs="Arial"/>
          <w:sz w:val="22"/>
          <w:szCs w:val="22"/>
        </w:rPr>
        <w:instrText xml:space="preserve"> REF _Ref132641477 \r \h </w:instrText>
      </w:r>
      <w:r w:rsidR="00D674A2">
        <w:rPr>
          <w:rFonts w:cs="Arial"/>
          <w:sz w:val="22"/>
          <w:szCs w:val="22"/>
        </w:rPr>
      </w:r>
      <w:r w:rsidR="00D674A2">
        <w:rPr>
          <w:rFonts w:cs="Arial"/>
          <w:sz w:val="22"/>
          <w:szCs w:val="22"/>
        </w:rPr>
        <w:fldChar w:fldCharType="separate"/>
      </w:r>
      <w:r w:rsidR="00D674A2">
        <w:rPr>
          <w:rFonts w:cs="Arial"/>
          <w:sz w:val="22"/>
          <w:szCs w:val="22"/>
        </w:rPr>
        <w:t>4.11.2</w:t>
      </w:r>
      <w:r w:rsidR="00D674A2">
        <w:rPr>
          <w:rFonts w:cs="Arial"/>
          <w:sz w:val="22"/>
          <w:szCs w:val="22"/>
        </w:rPr>
        <w:fldChar w:fldCharType="end"/>
      </w:r>
      <w:r w:rsidR="00D674A2">
        <w:rPr>
          <w:rFonts w:cs="Arial"/>
          <w:sz w:val="22"/>
          <w:szCs w:val="22"/>
        </w:rPr>
        <w:t>.</w:t>
      </w:r>
    </w:p>
    <w:p w14:paraId="4A36B295" w14:textId="77777777" w:rsidR="00B031F4" w:rsidRDefault="00B031F4" w:rsidP="0028726C">
      <w:pPr>
        <w:rPr>
          <w:rFonts w:cs="Arial"/>
          <w:i/>
          <w:iCs/>
          <w:sz w:val="22"/>
          <w:szCs w:val="22"/>
        </w:rPr>
      </w:pPr>
    </w:p>
    <w:p w14:paraId="3ED4C565" w14:textId="77777777" w:rsidR="00B031F4" w:rsidRDefault="00B031F4" w:rsidP="00B031F4">
      <w:pPr>
        <w:pStyle w:val="Ttulo4"/>
      </w:pPr>
      <w:r w:rsidRPr="0028726C">
        <w:t>SSPD</w:t>
      </w:r>
      <w:r w:rsidRPr="0028726C">
        <w:tab/>
      </w:r>
    </w:p>
    <w:p w14:paraId="1220D7CD" w14:textId="6611BB52" w:rsidR="0028726C" w:rsidRPr="00631390" w:rsidRDefault="00321978" w:rsidP="0028726C">
      <w:pPr>
        <w:rPr>
          <w:rFonts w:cs="Arial"/>
          <w:i/>
          <w:iCs/>
          <w:sz w:val="22"/>
          <w:szCs w:val="22"/>
        </w:rPr>
      </w:pPr>
      <w:r>
        <w:rPr>
          <w:rFonts w:cs="Arial"/>
          <w:i/>
          <w:iCs/>
          <w:sz w:val="22"/>
          <w:szCs w:val="22"/>
        </w:rPr>
        <w:t>“</w:t>
      </w:r>
      <w:r w:rsidR="0028726C" w:rsidRPr="00631390">
        <w:rPr>
          <w:rFonts w:cs="Arial"/>
          <w:i/>
          <w:iCs/>
          <w:sz w:val="22"/>
          <w:szCs w:val="22"/>
        </w:rPr>
        <w:t>Así mismo, en caso de que esta situación derive en una necesidad del comprador de acudir a otros mecanismo</w:t>
      </w:r>
      <w:r w:rsidR="00F70356">
        <w:rPr>
          <w:rFonts w:cs="Arial"/>
          <w:i/>
          <w:iCs/>
          <w:sz w:val="22"/>
          <w:szCs w:val="22"/>
        </w:rPr>
        <w:t>s</w:t>
      </w:r>
      <w:r w:rsidR="0028726C" w:rsidRPr="00631390">
        <w:rPr>
          <w:rFonts w:cs="Arial"/>
          <w:i/>
          <w:iCs/>
          <w:sz w:val="22"/>
          <w:szCs w:val="22"/>
        </w:rPr>
        <w:t xml:space="preserve"> de mercado para cubrir su demanda esencial, estimamos necesario que el </w:t>
      </w:r>
      <w:r w:rsidR="005114C6" w:rsidRPr="00631390">
        <w:rPr>
          <w:rFonts w:cs="Arial"/>
          <w:i/>
          <w:iCs/>
          <w:sz w:val="22"/>
          <w:szCs w:val="22"/>
        </w:rPr>
        <w:t>Gestor del Mercado</w:t>
      </w:r>
      <w:r w:rsidR="0028726C" w:rsidRPr="00631390">
        <w:rPr>
          <w:rFonts w:cs="Arial"/>
          <w:i/>
          <w:iCs/>
          <w:sz w:val="22"/>
          <w:szCs w:val="22"/>
        </w:rPr>
        <w:t xml:space="preserve"> de Gas debe reportar esta situación a la SSPD con el fin de que se evalúe el impacto en la eficiencia del precio que se traslada al usuario final."</w:t>
      </w:r>
    </w:p>
    <w:p w14:paraId="585AFE94" w14:textId="77777777" w:rsidR="00631390" w:rsidRDefault="00631390" w:rsidP="0028726C">
      <w:pPr>
        <w:rPr>
          <w:rFonts w:cs="Arial"/>
          <w:sz w:val="22"/>
          <w:szCs w:val="22"/>
        </w:rPr>
      </w:pPr>
    </w:p>
    <w:p w14:paraId="2FE02E52" w14:textId="6A803C8B" w:rsidR="00631390" w:rsidRPr="00631390" w:rsidRDefault="00631390" w:rsidP="0028726C">
      <w:pPr>
        <w:rPr>
          <w:rFonts w:cs="Arial"/>
          <w:b/>
          <w:bCs/>
          <w:sz w:val="22"/>
          <w:szCs w:val="22"/>
        </w:rPr>
      </w:pPr>
      <w:r w:rsidRPr="00631390">
        <w:rPr>
          <w:rFonts w:cs="Arial"/>
          <w:b/>
          <w:bCs/>
          <w:sz w:val="22"/>
          <w:szCs w:val="22"/>
        </w:rPr>
        <w:t>Respuesta:</w:t>
      </w:r>
    </w:p>
    <w:p w14:paraId="05BA8031" w14:textId="77777777" w:rsidR="00631390" w:rsidRDefault="00631390" w:rsidP="0028726C">
      <w:pPr>
        <w:rPr>
          <w:rFonts w:cs="Arial"/>
          <w:sz w:val="22"/>
          <w:szCs w:val="22"/>
        </w:rPr>
      </w:pPr>
    </w:p>
    <w:p w14:paraId="3068CEE8" w14:textId="77777777" w:rsidR="00BC7455" w:rsidRDefault="00D674A2" w:rsidP="0028726C">
      <w:pPr>
        <w:rPr>
          <w:rFonts w:cs="Arial"/>
          <w:sz w:val="22"/>
          <w:szCs w:val="22"/>
        </w:rPr>
      </w:pPr>
      <w:r>
        <w:rPr>
          <w:rFonts w:cs="Arial"/>
          <w:sz w:val="22"/>
          <w:szCs w:val="22"/>
        </w:rPr>
        <w:t xml:space="preserve">En la nueva propuesta se incluyen más elementos que buscan evitar que finalmente no se suscriba y registre algún contrato de suministro, tanto para atender la Demanda Esencial como  la demás demanda sobre la que se declararon cantidades requeridas en la segunda instancia de declaración de los compradores, cuando el balance comercial resulta superavitario. </w:t>
      </w:r>
    </w:p>
    <w:p w14:paraId="5A515C20" w14:textId="77777777" w:rsidR="00BC7455" w:rsidRDefault="00BC7455" w:rsidP="0028726C">
      <w:pPr>
        <w:rPr>
          <w:rFonts w:cs="Arial"/>
          <w:sz w:val="22"/>
          <w:szCs w:val="22"/>
        </w:rPr>
      </w:pPr>
    </w:p>
    <w:p w14:paraId="2177A964" w14:textId="3029A28B" w:rsidR="00B031F4" w:rsidRDefault="00D674A2" w:rsidP="0028726C">
      <w:pPr>
        <w:rPr>
          <w:rFonts w:cs="Arial"/>
          <w:sz w:val="22"/>
          <w:szCs w:val="22"/>
        </w:rPr>
      </w:pPr>
      <w:r>
        <w:rPr>
          <w:rFonts w:cs="Arial"/>
          <w:sz w:val="22"/>
          <w:szCs w:val="22"/>
        </w:rPr>
        <w:t>Si finalmente no se llega a suscribir el contrato deberá haber una razón válida que explique dicha situación, bien sea de la parte vendedora o de la parte compradora, sobre todo en el caso de que la parte compradora se vea en necesidad de suscribir un contrato con otro vendedor con precios superiores al que habría suscrito con la parte vendedora inicial en atención de usuarios similares con condiciones similares.</w:t>
      </w:r>
      <w:r w:rsidR="00BC7455">
        <w:rPr>
          <w:rFonts w:cs="Arial"/>
          <w:sz w:val="22"/>
          <w:szCs w:val="22"/>
        </w:rPr>
        <w:t xml:space="preserve"> Esto en la medida que dichas conductas implican gestiones debidas para la atención de su demanda y la correcta prestación del servicio público domiciliario.</w:t>
      </w:r>
    </w:p>
    <w:p w14:paraId="7D6C346B" w14:textId="77777777" w:rsidR="00AB0EB9" w:rsidRDefault="00AB0EB9" w:rsidP="0028726C">
      <w:pPr>
        <w:rPr>
          <w:rFonts w:cs="Arial"/>
          <w:sz w:val="22"/>
          <w:szCs w:val="22"/>
        </w:rPr>
      </w:pPr>
    </w:p>
    <w:p w14:paraId="6C508363" w14:textId="0816A9B0" w:rsidR="00AB0EB9" w:rsidRDefault="00AB0EB9" w:rsidP="0028726C">
      <w:pPr>
        <w:rPr>
          <w:rFonts w:cs="Arial"/>
          <w:sz w:val="22"/>
          <w:szCs w:val="22"/>
        </w:rPr>
      </w:pPr>
      <w:r>
        <w:rPr>
          <w:rFonts w:cs="Arial"/>
          <w:sz w:val="22"/>
          <w:szCs w:val="22"/>
        </w:rPr>
        <w:t>Se considera que en este caso le corresponde a la parte compradora acudir a las autoridades de vigilancia y control para presentar la queja sobre la situación, ya sea a la SSPD o a la SIC. Se considera que el Gestor del Mercado no cuenta con la información suficiente para saber si la situación planteada en el comentario pudo o no haber ocurrido y si la razón de no suscribirse finalmente el contrato es válida o no.</w:t>
      </w:r>
    </w:p>
    <w:p w14:paraId="1D4019D3" w14:textId="77777777" w:rsidR="00631390" w:rsidRPr="0028726C" w:rsidRDefault="00631390" w:rsidP="0028726C">
      <w:pPr>
        <w:rPr>
          <w:rFonts w:cs="Arial"/>
          <w:sz w:val="22"/>
          <w:szCs w:val="22"/>
        </w:rPr>
      </w:pPr>
    </w:p>
    <w:p w14:paraId="048C19CD" w14:textId="77777777" w:rsidR="000D5269" w:rsidRDefault="000D5269" w:rsidP="0028726C">
      <w:pPr>
        <w:rPr>
          <w:rFonts w:cs="Arial"/>
          <w:sz w:val="22"/>
          <w:szCs w:val="22"/>
        </w:rPr>
      </w:pPr>
    </w:p>
    <w:p w14:paraId="0C4CDB93" w14:textId="77777777" w:rsidR="000D5269" w:rsidRDefault="0028726C" w:rsidP="0090195C">
      <w:pPr>
        <w:pStyle w:val="Ttulo2"/>
      </w:pPr>
      <w:bookmarkStart w:id="856" w:name="_Toc140506449"/>
      <w:r w:rsidRPr="0028726C">
        <w:t>SURTIGAS</w:t>
      </w:r>
      <w:bookmarkEnd w:id="856"/>
      <w:r w:rsidRPr="0028726C">
        <w:tab/>
      </w:r>
    </w:p>
    <w:p w14:paraId="4C56A5D1" w14:textId="77777777" w:rsidR="00002A82" w:rsidRDefault="00002A82" w:rsidP="00F23443">
      <w:pPr>
        <w:pStyle w:val="Ttulo4"/>
      </w:pPr>
      <w:r w:rsidRPr="0028726C">
        <w:t>SURTIGAS</w:t>
      </w:r>
      <w:r w:rsidRPr="0028726C">
        <w:tab/>
      </w:r>
    </w:p>
    <w:p w14:paraId="11038BBF" w14:textId="16947DF0" w:rsidR="0028726C" w:rsidRPr="003E48C7" w:rsidRDefault="00D648BA" w:rsidP="0028726C">
      <w:pPr>
        <w:rPr>
          <w:rFonts w:cs="Arial"/>
          <w:i/>
          <w:iCs/>
          <w:sz w:val="22"/>
          <w:szCs w:val="22"/>
        </w:rPr>
      </w:pPr>
      <w:r>
        <w:rPr>
          <w:rFonts w:cs="Arial"/>
          <w:i/>
          <w:iCs/>
          <w:sz w:val="22"/>
          <w:szCs w:val="22"/>
        </w:rPr>
        <w:t>“</w:t>
      </w:r>
      <w:r w:rsidR="0028726C" w:rsidRPr="003E48C7">
        <w:rPr>
          <w:rFonts w:cs="Arial"/>
          <w:i/>
          <w:iCs/>
          <w:sz w:val="22"/>
          <w:szCs w:val="22"/>
        </w:rPr>
        <w:t>Se debería establecer la obligatoriedad de que los vendedores en el mercado primario ofrezcan en los procesos de comercialización la totalidad de su PTDV declarada y las modalidades contractuales que ofrecerían con los respectivos precios. Serían los compradores los que definirían la modalidad contractual a la que se acogen, las cantidades a contratar y el período o los períodos a contratar, de acuerdo con lo exigido por la regulación.</w:t>
      </w:r>
      <w:r>
        <w:rPr>
          <w:rFonts w:cs="Arial"/>
          <w:i/>
          <w:iCs/>
          <w:sz w:val="22"/>
          <w:szCs w:val="22"/>
        </w:rPr>
        <w:t>”</w:t>
      </w:r>
    </w:p>
    <w:p w14:paraId="2A0285E7" w14:textId="77777777" w:rsidR="003E48C7" w:rsidRDefault="003E48C7" w:rsidP="0028726C">
      <w:pPr>
        <w:rPr>
          <w:rFonts w:cs="Arial"/>
          <w:sz w:val="22"/>
          <w:szCs w:val="22"/>
        </w:rPr>
      </w:pPr>
    </w:p>
    <w:p w14:paraId="1D7C896D" w14:textId="77777777" w:rsidR="003E48C7" w:rsidRPr="002061B8" w:rsidRDefault="003E48C7" w:rsidP="003E48C7">
      <w:pPr>
        <w:rPr>
          <w:rFonts w:cs="Arial"/>
          <w:b/>
          <w:bCs/>
          <w:sz w:val="22"/>
          <w:szCs w:val="22"/>
        </w:rPr>
      </w:pPr>
      <w:r w:rsidRPr="002061B8">
        <w:rPr>
          <w:rFonts w:cs="Arial"/>
          <w:b/>
          <w:bCs/>
          <w:sz w:val="22"/>
          <w:szCs w:val="22"/>
        </w:rPr>
        <w:t>Respuesta:</w:t>
      </w:r>
    </w:p>
    <w:p w14:paraId="4DB0E214" w14:textId="77777777" w:rsidR="003E48C7" w:rsidRDefault="003E48C7" w:rsidP="003E48C7">
      <w:pPr>
        <w:rPr>
          <w:rFonts w:cs="Arial"/>
          <w:sz w:val="22"/>
          <w:szCs w:val="22"/>
        </w:rPr>
      </w:pPr>
    </w:p>
    <w:p w14:paraId="15DDFE0C" w14:textId="77777777" w:rsidR="003E48C7" w:rsidRDefault="003E48C7" w:rsidP="003E48C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_Ref132279194 \r \h </w:instrText>
      </w:r>
      <w:r>
        <w:rPr>
          <w:rFonts w:cs="Arial"/>
          <w:sz w:val="22"/>
          <w:szCs w:val="22"/>
        </w:rPr>
      </w:r>
      <w:r>
        <w:rPr>
          <w:rFonts w:cs="Arial"/>
          <w:sz w:val="22"/>
          <w:szCs w:val="22"/>
        </w:rPr>
        <w:fldChar w:fldCharType="separate"/>
      </w:r>
      <w:r>
        <w:rPr>
          <w:rFonts w:cs="Arial"/>
          <w:sz w:val="22"/>
          <w:szCs w:val="22"/>
        </w:rPr>
        <w:t>19.13.1.1</w:t>
      </w:r>
      <w:r>
        <w:rPr>
          <w:rFonts w:cs="Arial"/>
          <w:sz w:val="22"/>
          <w:szCs w:val="22"/>
        </w:rPr>
        <w:fldChar w:fldCharType="end"/>
      </w:r>
      <w:r>
        <w:rPr>
          <w:rFonts w:cs="Arial"/>
          <w:sz w:val="22"/>
          <w:szCs w:val="22"/>
        </w:rPr>
        <w:t>.</w:t>
      </w:r>
    </w:p>
    <w:p w14:paraId="0605899A" w14:textId="77777777" w:rsidR="003E48C7" w:rsidRPr="0028726C" w:rsidRDefault="003E48C7" w:rsidP="0028726C">
      <w:pPr>
        <w:rPr>
          <w:rFonts w:cs="Arial"/>
          <w:sz w:val="22"/>
          <w:szCs w:val="22"/>
        </w:rPr>
      </w:pPr>
    </w:p>
    <w:p w14:paraId="149393E8" w14:textId="77777777" w:rsidR="00CA3C32" w:rsidRDefault="00CA3C32" w:rsidP="0028726C">
      <w:pPr>
        <w:rPr>
          <w:rFonts w:cs="Arial"/>
          <w:sz w:val="22"/>
          <w:szCs w:val="22"/>
        </w:rPr>
      </w:pPr>
    </w:p>
    <w:p w14:paraId="513DC137" w14:textId="77777777" w:rsidR="00CA3C32" w:rsidRDefault="0028726C" w:rsidP="00F23443">
      <w:pPr>
        <w:pStyle w:val="Ttulo4"/>
      </w:pPr>
      <w:r w:rsidRPr="0028726C">
        <w:t>SURTIGAS</w:t>
      </w:r>
      <w:r w:rsidRPr="0028726C">
        <w:tab/>
      </w:r>
    </w:p>
    <w:p w14:paraId="5014E1AC" w14:textId="7C9DEA98" w:rsidR="0028726C" w:rsidRPr="003E48C7" w:rsidRDefault="0028726C" w:rsidP="0028726C">
      <w:pPr>
        <w:rPr>
          <w:rFonts w:cs="Arial"/>
          <w:i/>
          <w:iCs/>
          <w:sz w:val="22"/>
          <w:szCs w:val="22"/>
        </w:rPr>
      </w:pPr>
      <w:r w:rsidRPr="0028726C">
        <w:rPr>
          <w:rFonts w:cs="Arial"/>
          <w:sz w:val="22"/>
          <w:szCs w:val="22"/>
        </w:rPr>
        <w:t>"</w:t>
      </w:r>
      <w:r w:rsidRPr="003E48C7">
        <w:rPr>
          <w:rFonts w:cs="Arial"/>
          <w:i/>
          <w:iCs/>
          <w:sz w:val="22"/>
          <w:szCs w:val="22"/>
        </w:rPr>
        <w:t>Se tienen las siguientes consideraciones sobre los tratamientos que la Comisión propone aplicar a las modalidades CF95 y CF80:</w:t>
      </w:r>
    </w:p>
    <w:p w14:paraId="4C2261AB" w14:textId="77777777" w:rsidR="0028726C" w:rsidRPr="003E48C7" w:rsidRDefault="0028726C" w:rsidP="0028726C">
      <w:pPr>
        <w:rPr>
          <w:rFonts w:cs="Arial"/>
          <w:i/>
          <w:iCs/>
          <w:sz w:val="22"/>
          <w:szCs w:val="22"/>
        </w:rPr>
      </w:pPr>
    </w:p>
    <w:p w14:paraId="5E09C352" w14:textId="77777777" w:rsidR="0028726C" w:rsidRPr="003E48C7" w:rsidRDefault="0028726C" w:rsidP="0028726C">
      <w:pPr>
        <w:rPr>
          <w:rFonts w:cs="Arial"/>
          <w:i/>
          <w:iCs/>
          <w:sz w:val="22"/>
          <w:szCs w:val="22"/>
        </w:rPr>
      </w:pPr>
      <w:r w:rsidRPr="003E48C7">
        <w:rPr>
          <w:rFonts w:cs="Arial"/>
          <w:i/>
          <w:iCs/>
          <w:sz w:val="22"/>
          <w:szCs w:val="22"/>
        </w:rPr>
        <w:t>▪ Se restringe la modalidad CF80 para la atención de la demanda diferente a la demanda regulada que hace parte de la Demanda Esencial. Tanto los Contratos CF95, como en los Contratos CF80 garantizan el servicio de suministro de una cantidad diaria máxima de gas natural sin interrupciones, durante un período determinado. La única diferencia esperada entre ambos contratos, como también lo manifiesta la CREG, es el precio. La racionalidad económica indica que la única diferencia justificable entre ambos contratos es el precio. Es decir, se esperaría que el precio del CF80 supere el precio del CF95, en la medida en que en el último caso (CF95) el productor-comercializador estaría asumiendo menor riesgo de demanda.</w:t>
      </w:r>
    </w:p>
    <w:p w14:paraId="379717B3" w14:textId="77777777" w:rsidR="0028726C" w:rsidRPr="003E48C7" w:rsidRDefault="0028726C" w:rsidP="0028726C">
      <w:pPr>
        <w:rPr>
          <w:rFonts w:cs="Arial"/>
          <w:i/>
          <w:iCs/>
          <w:sz w:val="22"/>
          <w:szCs w:val="22"/>
        </w:rPr>
      </w:pPr>
    </w:p>
    <w:p w14:paraId="383FAFDD" w14:textId="53C17173" w:rsidR="0028726C" w:rsidRDefault="0028726C" w:rsidP="0028726C">
      <w:pPr>
        <w:rPr>
          <w:rFonts w:cs="Arial"/>
          <w:i/>
          <w:iCs/>
          <w:sz w:val="22"/>
          <w:szCs w:val="22"/>
        </w:rPr>
      </w:pPr>
      <w:r w:rsidRPr="003E48C7">
        <w:rPr>
          <w:rFonts w:cs="Arial"/>
          <w:i/>
          <w:iCs/>
          <w:sz w:val="22"/>
          <w:szCs w:val="22"/>
        </w:rPr>
        <w:t>Teniendo en cuenta lo anterior, es el comprador el que debería escoger el tipo de contrato que mejor se ajusta a las necesidades de su demanda regulada (esencial y no esencial), teniendo en consideración el precio y el riesgo de excedentes no remunerados que pueda enfrentar (Proyecto de Resolución CREG-227 de 2021)."</w:t>
      </w:r>
    </w:p>
    <w:p w14:paraId="1AC1E59C" w14:textId="77777777" w:rsidR="003E48C7" w:rsidRDefault="003E48C7" w:rsidP="0028726C">
      <w:pPr>
        <w:rPr>
          <w:rFonts w:cs="Arial"/>
          <w:i/>
          <w:iCs/>
          <w:sz w:val="22"/>
          <w:szCs w:val="22"/>
        </w:rPr>
      </w:pPr>
    </w:p>
    <w:p w14:paraId="211CD3E4" w14:textId="77777777" w:rsidR="003E48C7" w:rsidRPr="002061B8" w:rsidRDefault="003E48C7" w:rsidP="003E48C7">
      <w:pPr>
        <w:rPr>
          <w:rFonts w:cs="Arial"/>
          <w:b/>
          <w:bCs/>
          <w:sz w:val="22"/>
          <w:szCs w:val="22"/>
        </w:rPr>
      </w:pPr>
      <w:r w:rsidRPr="002061B8">
        <w:rPr>
          <w:rFonts w:cs="Arial"/>
          <w:b/>
          <w:bCs/>
          <w:sz w:val="22"/>
          <w:szCs w:val="22"/>
        </w:rPr>
        <w:t>Respuesta:</w:t>
      </w:r>
    </w:p>
    <w:p w14:paraId="69F989DF" w14:textId="77777777" w:rsidR="003E48C7" w:rsidRDefault="003E48C7" w:rsidP="003E48C7">
      <w:pPr>
        <w:rPr>
          <w:rFonts w:cs="Arial"/>
          <w:sz w:val="22"/>
          <w:szCs w:val="22"/>
        </w:rPr>
      </w:pPr>
    </w:p>
    <w:p w14:paraId="252B2B1F" w14:textId="77777777" w:rsidR="003E48C7" w:rsidRDefault="003E48C7" w:rsidP="003E48C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_Ref132279194 \r \h </w:instrText>
      </w:r>
      <w:r>
        <w:rPr>
          <w:rFonts w:cs="Arial"/>
          <w:sz w:val="22"/>
          <w:szCs w:val="22"/>
        </w:rPr>
      </w:r>
      <w:r>
        <w:rPr>
          <w:rFonts w:cs="Arial"/>
          <w:sz w:val="22"/>
          <w:szCs w:val="22"/>
        </w:rPr>
        <w:fldChar w:fldCharType="separate"/>
      </w:r>
      <w:r>
        <w:rPr>
          <w:rFonts w:cs="Arial"/>
          <w:sz w:val="22"/>
          <w:szCs w:val="22"/>
        </w:rPr>
        <w:fldChar w:fldCharType="begin"/>
      </w:r>
      <w:r>
        <w:rPr>
          <w:rFonts w:cs="Arial"/>
          <w:sz w:val="22"/>
          <w:szCs w:val="22"/>
        </w:rPr>
        <w:instrText xml:space="preserve"> REF _Ref132639178 \r \h </w:instrText>
      </w:r>
      <w:r>
        <w:rPr>
          <w:rFonts w:cs="Arial"/>
          <w:sz w:val="22"/>
          <w:szCs w:val="22"/>
        </w:rPr>
      </w:r>
      <w:r>
        <w:rPr>
          <w:rFonts w:cs="Arial"/>
          <w:sz w:val="22"/>
          <w:szCs w:val="22"/>
        </w:rPr>
        <w:fldChar w:fldCharType="separate"/>
      </w:r>
      <w:r>
        <w:rPr>
          <w:rFonts w:cs="Arial"/>
          <w:sz w:val="22"/>
          <w:szCs w:val="22"/>
        </w:rPr>
        <w:t>19.13.1.2</w:t>
      </w:r>
      <w:r>
        <w:rPr>
          <w:rFonts w:cs="Arial"/>
          <w:sz w:val="22"/>
          <w:szCs w:val="22"/>
        </w:rPr>
        <w:fldChar w:fldCharType="end"/>
      </w:r>
      <w:r>
        <w:rPr>
          <w:rFonts w:cs="Arial"/>
          <w:sz w:val="22"/>
          <w:szCs w:val="22"/>
        </w:rPr>
        <w:fldChar w:fldCharType="end"/>
      </w:r>
      <w:r>
        <w:rPr>
          <w:rFonts w:cs="Arial"/>
          <w:sz w:val="22"/>
          <w:szCs w:val="22"/>
        </w:rPr>
        <w:t>.</w:t>
      </w:r>
    </w:p>
    <w:p w14:paraId="04220873" w14:textId="77777777" w:rsidR="003E48C7" w:rsidRDefault="003E48C7" w:rsidP="003E48C7">
      <w:pPr>
        <w:rPr>
          <w:rFonts w:cs="Arial"/>
          <w:sz w:val="22"/>
          <w:szCs w:val="22"/>
        </w:rPr>
      </w:pPr>
    </w:p>
    <w:p w14:paraId="75839393" w14:textId="77777777" w:rsidR="00CA3C32" w:rsidRDefault="00CA3C32" w:rsidP="0028726C">
      <w:pPr>
        <w:rPr>
          <w:rFonts w:cs="Arial"/>
          <w:sz w:val="22"/>
          <w:szCs w:val="22"/>
        </w:rPr>
      </w:pPr>
    </w:p>
    <w:p w14:paraId="52786B4A" w14:textId="77777777" w:rsidR="00CA3C32" w:rsidRDefault="0028726C" w:rsidP="00F23443">
      <w:pPr>
        <w:pStyle w:val="Ttulo4"/>
      </w:pPr>
      <w:r w:rsidRPr="0028726C">
        <w:t>SURTIGAS</w:t>
      </w:r>
      <w:r w:rsidRPr="0028726C">
        <w:tab/>
      </w:r>
    </w:p>
    <w:p w14:paraId="7E4A776A" w14:textId="3F2A3D24" w:rsidR="0028726C" w:rsidRPr="003E48C7" w:rsidRDefault="0028726C" w:rsidP="0028726C">
      <w:pPr>
        <w:rPr>
          <w:rFonts w:cs="Arial"/>
          <w:i/>
          <w:iCs/>
          <w:sz w:val="22"/>
          <w:szCs w:val="22"/>
        </w:rPr>
      </w:pPr>
      <w:r w:rsidRPr="003E48C7">
        <w:rPr>
          <w:rFonts w:cs="Arial"/>
          <w:i/>
          <w:iCs/>
          <w:sz w:val="22"/>
          <w:szCs w:val="22"/>
        </w:rPr>
        <w:t>"La CREG manifiesta que las modalidades contractuales CF95 y CF80 pueden implicar “atrapamiento” de cantidades con Respaldo Físico por parte de algunos agentes compradores del mercado primario y que por ello restringe la modalidad CF80 para la atención de la demanda regulada diferente a la Demanda Esencial, en la medida que el “atrapamiento” será mayor cuando la obligación de pago mínimo es menor respecto de las cantidades de suministro garantizadas.</w:t>
      </w:r>
    </w:p>
    <w:p w14:paraId="09D41E50" w14:textId="77777777" w:rsidR="0028726C" w:rsidRPr="003E48C7" w:rsidRDefault="0028726C" w:rsidP="0028726C">
      <w:pPr>
        <w:rPr>
          <w:rFonts w:cs="Arial"/>
          <w:i/>
          <w:iCs/>
          <w:sz w:val="22"/>
          <w:szCs w:val="22"/>
        </w:rPr>
      </w:pPr>
    </w:p>
    <w:p w14:paraId="299B9FD5" w14:textId="77777777" w:rsidR="0028726C" w:rsidRPr="003E48C7" w:rsidRDefault="0028726C" w:rsidP="0028726C">
      <w:pPr>
        <w:rPr>
          <w:rFonts w:cs="Arial"/>
          <w:i/>
          <w:iCs/>
          <w:sz w:val="22"/>
          <w:szCs w:val="22"/>
        </w:rPr>
      </w:pPr>
      <w:r w:rsidRPr="003E48C7">
        <w:rPr>
          <w:rFonts w:cs="Arial"/>
          <w:i/>
          <w:iCs/>
          <w:sz w:val="22"/>
          <w:szCs w:val="22"/>
        </w:rPr>
        <w:t>Según la CREG la disponibilidad de esta nueva modalidad contractual estará sujeta a la existencia de un superávit en el balance comercial, pues en caso contrario la estrechez de la oferta comercial de mediano y largo plazo estimada por la CREG, puede aumentarse.</w:t>
      </w:r>
    </w:p>
    <w:p w14:paraId="524F6DC4" w14:textId="77777777" w:rsidR="0028726C" w:rsidRPr="003E48C7" w:rsidRDefault="0028726C" w:rsidP="0028726C">
      <w:pPr>
        <w:rPr>
          <w:rFonts w:cs="Arial"/>
          <w:i/>
          <w:iCs/>
          <w:sz w:val="22"/>
          <w:szCs w:val="22"/>
        </w:rPr>
      </w:pPr>
    </w:p>
    <w:p w14:paraId="4C32EBAB" w14:textId="77777777" w:rsidR="0028726C" w:rsidRPr="003E48C7" w:rsidRDefault="0028726C" w:rsidP="0028726C">
      <w:pPr>
        <w:rPr>
          <w:rFonts w:cs="Arial"/>
          <w:i/>
          <w:iCs/>
          <w:sz w:val="22"/>
          <w:szCs w:val="22"/>
        </w:rPr>
      </w:pPr>
      <w:r w:rsidRPr="003E48C7">
        <w:rPr>
          <w:rFonts w:cs="Arial"/>
          <w:i/>
          <w:iCs/>
          <w:sz w:val="22"/>
          <w:szCs w:val="22"/>
        </w:rPr>
        <w:t>Las afirmaciones de la CREG, atrás referenciadas, no son ciertas. La Comisión confunde las modalidades contractuales con la demanda de gas. Esta última es la que es, con independencia de la modalidad contractual de suministro que se utilice, en el mercado primario, en el mercado secundario, o en el mercado úselo o véndalo.</w:t>
      </w:r>
    </w:p>
    <w:p w14:paraId="5887D570" w14:textId="77777777" w:rsidR="0028726C" w:rsidRPr="003E48C7" w:rsidRDefault="0028726C" w:rsidP="0028726C">
      <w:pPr>
        <w:rPr>
          <w:rFonts w:cs="Arial"/>
          <w:i/>
          <w:iCs/>
          <w:sz w:val="22"/>
          <w:szCs w:val="22"/>
        </w:rPr>
      </w:pPr>
    </w:p>
    <w:p w14:paraId="6E140D1D" w14:textId="77777777" w:rsidR="0028726C" w:rsidRPr="003E48C7" w:rsidRDefault="0028726C" w:rsidP="0028726C">
      <w:pPr>
        <w:rPr>
          <w:rFonts w:cs="Arial"/>
          <w:i/>
          <w:iCs/>
          <w:sz w:val="22"/>
          <w:szCs w:val="22"/>
        </w:rPr>
      </w:pPr>
      <w:r w:rsidRPr="003E48C7">
        <w:rPr>
          <w:rFonts w:cs="Arial"/>
          <w:i/>
          <w:iCs/>
          <w:sz w:val="22"/>
          <w:szCs w:val="22"/>
        </w:rPr>
        <w:t>- La expresión “atrapamiento” y su inconveniencia sería válida, si el no uso de este gas “atrapado” estuviera implicando racionamiento de demanda. Mientras la demanda se encuentre satisfecha no se puede hablar de “atrapamiento” toda vez que el gas que permanece en los campos es gas que no se requiere.</w:t>
      </w:r>
    </w:p>
    <w:p w14:paraId="1248132A" w14:textId="77777777" w:rsidR="0028726C" w:rsidRPr="003E48C7" w:rsidRDefault="0028726C" w:rsidP="0028726C">
      <w:pPr>
        <w:rPr>
          <w:rFonts w:cs="Arial"/>
          <w:i/>
          <w:iCs/>
          <w:sz w:val="22"/>
          <w:szCs w:val="22"/>
        </w:rPr>
      </w:pPr>
    </w:p>
    <w:p w14:paraId="7213EF06" w14:textId="336DE29E" w:rsidR="0028726C" w:rsidRPr="003E48C7" w:rsidRDefault="0028726C" w:rsidP="0028726C">
      <w:pPr>
        <w:rPr>
          <w:rFonts w:cs="Arial"/>
          <w:i/>
          <w:iCs/>
          <w:sz w:val="22"/>
          <w:szCs w:val="22"/>
        </w:rPr>
      </w:pPr>
      <w:r w:rsidRPr="003E48C7">
        <w:rPr>
          <w:rFonts w:cs="Arial"/>
          <w:i/>
          <w:iCs/>
          <w:sz w:val="22"/>
          <w:szCs w:val="22"/>
        </w:rPr>
        <w:t>- Los Contratos CF95 y CF80 garantizan el servicio de suministro de una cantidad diaria máxima de gas natural que con alta probabilidad se registrará a lo largo de la duración del contrato, más aún con la reducción de la “Banda de Acotación de Compras de Gas Natural para la atención de la Demanda Regulada Esencial” que propone la CREG en el Proyecto de Resolución 227 de 2021.</w:t>
      </w:r>
      <w:r w:rsidR="003E48C7">
        <w:rPr>
          <w:rFonts w:cs="Arial"/>
          <w:i/>
          <w:iCs/>
          <w:sz w:val="22"/>
          <w:szCs w:val="22"/>
        </w:rPr>
        <w:t>”</w:t>
      </w:r>
    </w:p>
    <w:p w14:paraId="01C59EF0" w14:textId="77777777" w:rsidR="0028726C" w:rsidRDefault="0028726C" w:rsidP="0028726C">
      <w:pPr>
        <w:rPr>
          <w:rFonts w:cs="Arial"/>
          <w:sz w:val="22"/>
          <w:szCs w:val="22"/>
        </w:rPr>
      </w:pPr>
    </w:p>
    <w:p w14:paraId="4680E4C2" w14:textId="77777777" w:rsidR="003E48C7" w:rsidRPr="002061B8" w:rsidRDefault="003E48C7" w:rsidP="003E48C7">
      <w:pPr>
        <w:rPr>
          <w:rFonts w:cs="Arial"/>
          <w:b/>
          <w:bCs/>
          <w:sz w:val="22"/>
          <w:szCs w:val="22"/>
        </w:rPr>
      </w:pPr>
      <w:r w:rsidRPr="002061B8">
        <w:rPr>
          <w:rFonts w:cs="Arial"/>
          <w:b/>
          <w:bCs/>
          <w:sz w:val="22"/>
          <w:szCs w:val="22"/>
        </w:rPr>
        <w:t>Respuesta:</w:t>
      </w:r>
    </w:p>
    <w:p w14:paraId="59D4BEAB" w14:textId="77777777" w:rsidR="003E48C7" w:rsidRDefault="003E48C7" w:rsidP="003E48C7">
      <w:pPr>
        <w:rPr>
          <w:rFonts w:cs="Arial"/>
          <w:sz w:val="22"/>
          <w:szCs w:val="22"/>
        </w:rPr>
      </w:pPr>
    </w:p>
    <w:p w14:paraId="51A38654" w14:textId="77777777" w:rsidR="003E48C7" w:rsidRDefault="003E48C7" w:rsidP="003E48C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_Ref132639279 \r \h </w:instrText>
      </w:r>
      <w:r>
        <w:rPr>
          <w:rFonts w:cs="Arial"/>
          <w:sz w:val="22"/>
          <w:szCs w:val="22"/>
        </w:rPr>
      </w:r>
      <w:r>
        <w:rPr>
          <w:rFonts w:cs="Arial"/>
          <w:sz w:val="22"/>
          <w:szCs w:val="22"/>
        </w:rPr>
        <w:fldChar w:fldCharType="separate"/>
      </w:r>
      <w:r>
        <w:rPr>
          <w:rFonts w:cs="Arial"/>
          <w:sz w:val="22"/>
          <w:szCs w:val="22"/>
        </w:rPr>
        <w:t>19.13.1.3</w:t>
      </w:r>
      <w:r>
        <w:rPr>
          <w:rFonts w:cs="Arial"/>
          <w:sz w:val="22"/>
          <w:szCs w:val="22"/>
        </w:rPr>
        <w:fldChar w:fldCharType="end"/>
      </w:r>
      <w:r>
        <w:rPr>
          <w:rFonts w:cs="Arial"/>
          <w:sz w:val="22"/>
          <w:szCs w:val="22"/>
        </w:rPr>
        <w:t>.</w:t>
      </w:r>
    </w:p>
    <w:p w14:paraId="34B22C39" w14:textId="77777777" w:rsidR="003E48C7" w:rsidRDefault="003E48C7" w:rsidP="0028726C">
      <w:pPr>
        <w:rPr>
          <w:rFonts w:cs="Arial"/>
          <w:sz w:val="22"/>
          <w:szCs w:val="22"/>
        </w:rPr>
      </w:pPr>
    </w:p>
    <w:p w14:paraId="56CB987D" w14:textId="77777777" w:rsidR="003E48C7" w:rsidRPr="0028726C" w:rsidRDefault="003E48C7" w:rsidP="0028726C">
      <w:pPr>
        <w:rPr>
          <w:rFonts w:cs="Arial"/>
          <w:sz w:val="22"/>
          <w:szCs w:val="22"/>
        </w:rPr>
      </w:pPr>
    </w:p>
    <w:p w14:paraId="0897CBBB" w14:textId="77777777" w:rsidR="003E48C7" w:rsidRDefault="003E48C7" w:rsidP="003E48C7">
      <w:pPr>
        <w:pStyle w:val="Ttulo4"/>
      </w:pPr>
      <w:r w:rsidRPr="0028726C">
        <w:t>SURTIGAS</w:t>
      </w:r>
      <w:r w:rsidRPr="0028726C">
        <w:tab/>
      </w:r>
    </w:p>
    <w:p w14:paraId="156F0414" w14:textId="1286C3EF" w:rsidR="0028726C" w:rsidRPr="003E48C7" w:rsidRDefault="00D648BA" w:rsidP="0028726C">
      <w:pPr>
        <w:rPr>
          <w:rFonts w:cs="Arial"/>
          <w:i/>
          <w:iCs/>
          <w:sz w:val="22"/>
          <w:szCs w:val="22"/>
        </w:rPr>
      </w:pPr>
      <w:r>
        <w:rPr>
          <w:rFonts w:cs="Arial"/>
          <w:i/>
          <w:iCs/>
          <w:sz w:val="22"/>
          <w:szCs w:val="22"/>
        </w:rPr>
        <w:t>“</w:t>
      </w:r>
      <w:r w:rsidR="0028726C" w:rsidRPr="003E48C7">
        <w:rPr>
          <w:rFonts w:cs="Arial"/>
          <w:i/>
          <w:iCs/>
          <w:sz w:val="22"/>
          <w:szCs w:val="22"/>
        </w:rPr>
        <w:t>- En este Proyecto de Resolución la CREG autoriza a los productores-comercializadores a vender bajo la modalidad interrumpible, la parte variable de los contratos con modalidades CF80 y CF95, cuando dicha cantidad variable no sea nominada por el comprador. O la parte variable la vende el comprador, o la parte variable la vende el productor-comercializador, en caso de que este gas sea requerido por terceros.</w:t>
      </w:r>
      <w:r>
        <w:rPr>
          <w:rFonts w:cs="Arial"/>
          <w:i/>
          <w:iCs/>
          <w:sz w:val="22"/>
          <w:szCs w:val="22"/>
        </w:rPr>
        <w:t>”</w:t>
      </w:r>
    </w:p>
    <w:p w14:paraId="5EFC3128" w14:textId="77777777" w:rsidR="0028726C" w:rsidRDefault="0028726C" w:rsidP="0028726C">
      <w:pPr>
        <w:rPr>
          <w:rFonts w:cs="Arial"/>
          <w:sz w:val="22"/>
          <w:szCs w:val="22"/>
        </w:rPr>
      </w:pPr>
    </w:p>
    <w:p w14:paraId="7E70F12A" w14:textId="77777777" w:rsidR="003E48C7" w:rsidRPr="002061B8" w:rsidRDefault="003E48C7" w:rsidP="003E48C7">
      <w:pPr>
        <w:rPr>
          <w:rFonts w:cs="Arial"/>
          <w:b/>
          <w:bCs/>
          <w:sz w:val="22"/>
          <w:szCs w:val="22"/>
        </w:rPr>
      </w:pPr>
      <w:r w:rsidRPr="002061B8">
        <w:rPr>
          <w:rFonts w:cs="Arial"/>
          <w:b/>
          <w:bCs/>
          <w:sz w:val="22"/>
          <w:szCs w:val="22"/>
        </w:rPr>
        <w:t>Respuesta:</w:t>
      </w:r>
    </w:p>
    <w:p w14:paraId="4DE0C73A" w14:textId="77777777" w:rsidR="003E48C7" w:rsidRDefault="003E48C7" w:rsidP="003E48C7">
      <w:pPr>
        <w:rPr>
          <w:rFonts w:cs="Arial"/>
          <w:sz w:val="22"/>
          <w:szCs w:val="22"/>
        </w:rPr>
      </w:pPr>
    </w:p>
    <w:p w14:paraId="4347D65C" w14:textId="77777777" w:rsidR="003E48C7" w:rsidRDefault="003E48C7" w:rsidP="003E48C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_Ref132266813 \r \h </w:instrText>
      </w:r>
      <w:r>
        <w:rPr>
          <w:rFonts w:cs="Arial"/>
          <w:sz w:val="22"/>
          <w:szCs w:val="22"/>
        </w:rPr>
      </w:r>
      <w:r>
        <w:rPr>
          <w:rFonts w:cs="Arial"/>
          <w:sz w:val="22"/>
          <w:szCs w:val="22"/>
        </w:rPr>
        <w:fldChar w:fldCharType="separate"/>
      </w:r>
      <w:r>
        <w:rPr>
          <w:rFonts w:cs="Arial"/>
          <w:sz w:val="22"/>
          <w:szCs w:val="22"/>
        </w:rPr>
        <w:t>19.13.1.4</w:t>
      </w:r>
      <w:r>
        <w:rPr>
          <w:rFonts w:cs="Arial"/>
          <w:sz w:val="22"/>
          <w:szCs w:val="22"/>
        </w:rPr>
        <w:fldChar w:fldCharType="end"/>
      </w:r>
      <w:r>
        <w:rPr>
          <w:rFonts w:cs="Arial"/>
          <w:sz w:val="22"/>
          <w:szCs w:val="22"/>
        </w:rPr>
        <w:t>.</w:t>
      </w:r>
    </w:p>
    <w:p w14:paraId="35F75C8B" w14:textId="77777777" w:rsidR="003E48C7" w:rsidRDefault="003E48C7" w:rsidP="003E48C7">
      <w:pPr>
        <w:rPr>
          <w:rFonts w:cs="Arial"/>
          <w:sz w:val="22"/>
          <w:szCs w:val="22"/>
        </w:rPr>
      </w:pPr>
    </w:p>
    <w:p w14:paraId="69DE76A9" w14:textId="77777777" w:rsidR="003E48C7" w:rsidRPr="0028726C" w:rsidRDefault="003E48C7" w:rsidP="0028726C">
      <w:pPr>
        <w:rPr>
          <w:rFonts w:cs="Arial"/>
          <w:sz w:val="22"/>
          <w:szCs w:val="22"/>
        </w:rPr>
      </w:pPr>
    </w:p>
    <w:p w14:paraId="0CEBA61F" w14:textId="77777777" w:rsidR="003E48C7" w:rsidRDefault="003E48C7" w:rsidP="003E48C7">
      <w:pPr>
        <w:pStyle w:val="Ttulo4"/>
      </w:pPr>
      <w:r w:rsidRPr="0028726C">
        <w:t>SURTIGAS</w:t>
      </w:r>
      <w:r w:rsidRPr="0028726C">
        <w:tab/>
      </w:r>
    </w:p>
    <w:p w14:paraId="0BF6BDBA" w14:textId="0A3D9625" w:rsidR="0028726C" w:rsidRPr="003E48C7" w:rsidRDefault="003E48C7" w:rsidP="0028726C">
      <w:pPr>
        <w:rPr>
          <w:rFonts w:cs="Arial"/>
          <w:i/>
          <w:iCs/>
          <w:sz w:val="22"/>
          <w:szCs w:val="22"/>
        </w:rPr>
      </w:pPr>
      <w:r>
        <w:rPr>
          <w:rFonts w:cs="Arial"/>
          <w:i/>
          <w:iCs/>
          <w:sz w:val="22"/>
          <w:szCs w:val="22"/>
        </w:rPr>
        <w:t>“</w:t>
      </w:r>
      <w:r w:rsidR="0028726C" w:rsidRPr="003E48C7">
        <w:rPr>
          <w:rFonts w:cs="Arial"/>
          <w:i/>
          <w:iCs/>
          <w:sz w:val="22"/>
          <w:szCs w:val="22"/>
        </w:rPr>
        <w:t>La CREG manifiesta que el uso residual y condicionado de la modalidad CF80 se sustenta también en que se dificulta la realización de un balance comercial, cuando se incluyen las modalidades CF80 y CF95 como opciones simultáneas y que la modalidad CF95 será la base para estimar si la oferta de suministro de gas natural con garantía de firmeza con Respaldo Físico es superavitaria o deficitaria en los períodos futuros de suministro a contratar.</w:t>
      </w:r>
    </w:p>
    <w:p w14:paraId="13D93528" w14:textId="77777777" w:rsidR="0028726C" w:rsidRPr="003E48C7" w:rsidRDefault="0028726C" w:rsidP="0028726C">
      <w:pPr>
        <w:rPr>
          <w:rFonts w:cs="Arial"/>
          <w:i/>
          <w:iCs/>
          <w:sz w:val="22"/>
          <w:szCs w:val="22"/>
        </w:rPr>
      </w:pPr>
    </w:p>
    <w:p w14:paraId="0ED8F5EF" w14:textId="77777777" w:rsidR="0028726C" w:rsidRPr="0028726C" w:rsidRDefault="0028726C" w:rsidP="0028726C">
      <w:pPr>
        <w:rPr>
          <w:rFonts w:cs="Arial"/>
          <w:sz w:val="22"/>
          <w:szCs w:val="22"/>
        </w:rPr>
      </w:pPr>
      <w:r w:rsidRPr="003E48C7">
        <w:rPr>
          <w:rFonts w:cs="Arial"/>
          <w:i/>
          <w:iCs/>
          <w:sz w:val="22"/>
          <w:szCs w:val="22"/>
        </w:rPr>
        <w:t>No es una modalidad contractual en particular la que permite definir si el balance comercial es superavitario y suficiente para abastecer la demanda que requiere respaldo físico. Es la disponibilidad de oferta (declaraciones de producción comprometida y no comprometida en contratos) y la proyección de la demanda a la que se le exige suministro de gas con respaldo físico, las variables que permiten establecer dicho balance</w:t>
      </w:r>
      <w:r w:rsidRPr="0028726C">
        <w:rPr>
          <w:rFonts w:cs="Arial"/>
          <w:sz w:val="22"/>
          <w:szCs w:val="22"/>
        </w:rPr>
        <w:t>."</w:t>
      </w:r>
    </w:p>
    <w:p w14:paraId="7CCC4076" w14:textId="77777777" w:rsidR="00CA3C32" w:rsidRDefault="00CA3C32" w:rsidP="0028726C">
      <w:pPr>
        <w:rPr>
          <w:rFonts w:cs="Arial"/>
          <w:sz w:val="22"/>
          <w:szCs w:val="22"/>
        </w:rPr>
      </w:pPr>
    </w:p>
    <w:p w14:paraId="72E45BA7" w14:textId="77777777" w:rsidR="003E48C7" w:rsidRPr="003E48C7" w:rsidRDefault="003E48C7" w:rsidP="003E48C7">
      <w:pPr>
        <w:rPr>
          <w:rFonts w:cs="Arial"/>
          <w:b/>
          <w:bCs/>
          <w:sz w:val="22"/>
          <w:szCs w:val="22"/>
        </w:rPr>
      </w:pPr>
      <w:r w:rsidRPr="003E48C7">
        <w:rPr>
          <w:rFonts w:cs="Arial"/>
          <w:b/>
          <w:bCs/>
          <w:sz w:val="22"/>
          <w:szCs w:val="22"/>
        </w:rPr>
        <w:t>Respuesta:</w:t>
      </w:r>
    </w:p>
    <w:p w14:paraId="3D9D03D0" w14:textId="77777777" w:rsidR="003E48C7" w:rsidRDefault="003E48C7" w:rsidP="003E48C7">
      <w:pPr>
        <w:rPr>
          <w:rFonts w:cs="Arial"/>
          <w:sz w:val="22"/>
          <w:szCs w:val="22"/>
        </w:rPr>
      </w:pPr>
    </w:p>
    <w:p w14:paraId="4BA81D00" w14:textId="77777777" w:rsidR="003E48C7" w:rsidRDefault="003E48C7" w:rsidP="003E48C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_Ref132639400 \r \h </w:instrText>
      </w:r>
      <w:r>
        <w:rPr>
          <w:rFonts w:cs="Arial"/>
          <w:sz w:val="22"/>
          <w:szCs w:val="22"/>
        </w:rPr>
      </w:r>
      <w:r>
        <w:rPr>
          <w:rFonts w:cs="Arial"/>
          <w:sz w:val="22"/>
          <w:szCs w:val="22"/>
        </w:rPr>
        <w:fldChar w:fldCharType="separate"/>
      </w:r>
      <w:r>
        <w:rPr>
          <w:rFonts w:cs="Arial"/>
          <w:sz w:val="22"/>
          <w:szCs w:val="22"/>
        </w:rPr>
        <w:t>19.13.1.5</w:t>
      </w:r>
      <w:r>
        <w:rPr>
          <w:rFonts w:cs="Arial"/>
          <w:sz w:val="22"/>
          <w:szCs w:val="22"/>
        </w:rPr>
        <w:fldChar w:fldCharType="end"/>
      </w:r>
      <w:r>
        <w:rPr>
          <w:rFonts w:cs="Arial"/>
          <w:sz w:val="22"/>
          <w:szCs w:val="22"/>
        </w:rPr>
        <w:t>.</w:t>
      </w:r>
    </w:p>
    <w:p w14:paraId="56616ECC" w14:textId="77777777" w:rsidR="003E48C7" w:rsidRDefault="003E48C7" w:rsidP="0028726C">
      <w:pPr>
        <w:rPr>
          <w:rFonts w:cs="Arial"/>
          <w:sz w:val="22"/>
          <w:szCs w:val="22"/>
        </w:rPr>
      </w:pPr>
    </w:p>
    <w:p w14:paraId="547D5F69" w14:textId="77777777" w:rsidR="003E48C7" w:rsidRDefault="003E48C7" w:rsidP="0028726C">
      <w:pPr>
        <w:rPr>
          <w:rFonts w:cs="Arial"/>
          <w:sz w:val="22"/>
          <w:szCs w:val="22"/>
        </w:rPr>
      </w:pPr>
    </w:p>
    <w:p w14:paraId="0B9C4DFA" w14:textId="77777777" w:rsidR="00CA3C32" w:rsidRDefault="0028726C" w:rsidP="00F23443">
      <w:pPr>
        <w:pStyle w:val="Ttulo4"/>
      </w:pPr>
      <w:r w:rsidRPr="0028726C">
        <w:t>SURTIGAS</w:t>
      </w:r>
      <w:r w:rsidRPr="0028726C">
        <w:tab/>
      </w:r>
    </w:p>
    <w:p w14:paraId="345F805B" w14:textId="42D1F477" w:rsidR="0028726C" w:rsidRPr="003E48C7" w:rsidRDefault="0028726C" w:rsidP="0028726C">
      <w:pPr>
        <w:rPr>
          <w:rFonts w:cs="Arial"/>
          <w:i/>
          <w:iCs/>
          <w:sz w:val="22"/>
          <w:szCs w:val="22"/>
        </w:rPr>
      </w:pPr>
      <w:r w:rsidRPr="0028726C">
        <w:rPr>
          <w:rFonts w:cs="Arial"/>
          <w:sz w:val="22"/>
          <w:szCs w:val="22"/>
        </w:rPr>
        <w:t>"</w:t>
      </w:r>
      <w:r w:rsidRPr="003E48C7">
        <w:rPr>
          <w:rFonts w:cs="Arial"/>
          <w:i/>
          <w:iCs/>
          <w:sz w:val="22"/>
          <w:szCs w:val="22"/>
        </w:rPr>
        <w:t>Por hermenéutica jurídica, consideramos que la obligatoriedad de los productores-comercializadores de declarar la oferta PTDF y/o CIDF, requiere la modificación del Decreto 2100 de 2011, compilado en el Decreto 1073 de 2015, y cuyo artículo 9 establece lo siguiente:</w:t>
      </w:r>
    </w:p>
    <w:p w14:paraId="4ECBF52E" w14:textId="77777777" w:rsidR="0028726C" w:rsidRPr="003E48C7" w:rsidRDefault="0028726C" w:rsidP="0028726C">
      <w:pPr>
        <w:rPr>
          <w:rFonts w:cs="Arial"/>
          <w:i/>
          <w:iCs/>
          <w:sz w:val="22"/>
          <w:szCs w:val="22"/>
        </w:rPr>
      </w:pPr>
    </w:p>
    <w:p w14:paraId="1CF950B9" w14:textId="6E654BFB" w:rsidR="0028726C" w:rsidRPr="0028726C" w:rsidRDefault="002401A4" w:rsidP="0028726C">
      <w:pPr>
        <w:rPr>
          <w:rFonts w:cs="Arial"/>
          <w:sz w:val="22"/>
          <w:szCs w:val="22"/>
        </w:rPr>
      </w:pPr>
      <w:r>
        <w:rPr>
          <w:rFonts w:cs="Arial"/>
          <w:i/>
          <w:iCs/>
          <w:sz w:val="22"/>
          <w:szCs w:val="22"/>
        </w:rPr>
        <w:t>‘</w:t>
      </w:r>
      <w:r w:rsidR="0028726C" w:rsidRPr="003E48C7">
        <w:rPr>
          <w:rFonts w:cs="Arial"/>
          <w:i/>
          <w:iCs/>
          <w:sz w:val="22"/>
          <w:szCs w:val="22"/>
        </w:rPr>
        <w:t>Declaración de producción. Los productores y los productores-comercializadores de gas natural declararán al MME o a quien este determine y con base en toda la información disponible al momento de calcularla: (i) la PTDV; (</w:t>
      </w:r>
      <w:proofErr w:type="spellStart"/>
      <w:r w:rsidR="0028726C" w:rsidRPr="003E48C7">
        <w:rPr>
          <w:rFonts w:cs="Arial"/>
          <w:i/>
          <w:iCs/>
          <w:sz w:val="22"/>
          <w:szCs w:val="22"/>
        </w:rPr>
        <w:t>ii</w:t>
      </w:r>
      <w:proofErr w:type="spellEnd"/>
      <w:r w:rsidR="0028726C" w:rsidRPr="003E48C7">
        <w:rPr>
          <w:rFonts w:cs="Arial"/>
          <w:i/>
          <w:iCs/>
          <w:sz w:val="22"/>
          <w:szCs w:val="22"/>
        </w:rPr>
        <w:t>) la PC debidamente discriminada conforme a lo indicado en los artículos 2° y 8° del presente decreto. Así mismo, el productor que sea el operador del campo declarará: (i) el PP de cada campo, y (</w:t>
      </w:r>
      <w:proofErr w:type="spellStart"/>
      <w:r w:rsidR="0028726C" w:rsidRPr="003E48C7">
        <w:rPr>
          <w:rFonts w:cs="Arial"/>
          <w:i/>
          <w:iCs/>
          <w:sz w:val="22"/>
          <w:szCs w:val="22"/>
        </w:rPr>
        <w:t>ii</w:t>
      </w:r>
      <w:proofErr w:type="spellEnd"/>
      <w:r w:rsidR="0028726C" w:rsidRPr="003E48C7">
        <w:rPr>
          <w:rFonts w:cs="Arial"/>
          <w:i/>
          <w:iCs/>
          <w:sz w:val="22"/>
          <w:szCs w:val="22"/>
        </w:rPr>
        <w:t>) el porcentaje de participación de los productores y el Estado en la producción de hidrocarburos de dicho campo o de aquellos de explotación integrada. Tal declaración deberá presentarse desagregada mensualmente, a más tardar, el 31 de marzo de cada año o cuando así lo determine el MME para un periodo de diez (10) años contados a partir de la fecha en el cual se elabora. En el caso de que un productor no cuente con PTDV, así deberá declararlo, motivando y documentando suficientemente esta condición. El productor-comercializador o comercializador que, de conformidad con lo señalado del artículo 6° del presente decreto, comercialice el Gas Natural de Propiedad del Estado proveniente de Regalías y/o de las Participaciones de la ANH deberá declararlo en los términos del presente artículo</w:t>
      </w:r>
      <w:r>
        <w:rPr>
          <w:rFonts w:cs="Arial"/>
          <w:i/>
          <w:iCs/>
          <w:sz w:val="22"/>
          <w:szCs w:val="22"/>
        </w:rPr>
        <w:t>’</w:t>
      </w:r>
      <w:r w:rsidR="0028726C" w:rsidRPr="0028726C">
        <w:rPr>
          <w:rFonts w:cs="Arial"/>
          <w:sz w:val="22"/>
          <w:szCs w:val="22"/>
        </w:rPr>
        <w:t>”.</w:t>
      </w:r>
    </w:p>
    <w:p w14:paraId="669FEF71" w14:textId="77777777" w:rsidR="00CA3C32" w:rsidRDefault="00CA3C32" w:rsidP="0028726C">
      <w:pPr>
        <w:rPr>
          <w:rFonts w:cs="Arial"/>
          <w:sz w:val="22"/>
          <w:szCs w:val="22"/>
        </w:rPr>
      </w:pPr>
    </w:p>
    <w:p w14:paraId="1D75161C" w14:textId="77777777" w:rsidR="003E48C7" w:rsidRPr="002061B8" w:rsidRDefault="003E48C7" w:rsidP="003E48C7">
      <w:pPr>
        <w:rPr>
          <w:rFonts w:cs="Arial"/>
          <w:b/>
          <w:bCs/>
          <w:sz w:val="22"/>
          <w:szCs w:val="22"/>
        </w:rPr>
      </w:pPr>
      <w:r w:rsidRPr="002061B8">
        <w:rPr>
          <w:rFonts w:cs="Arial"/>
          <w:b/>
          <w:bCs/>
          <w:sz w:val="22"/>
          <w:szCs w:val="22"/>
        </w:rPr>
        <w:t>Respuesta:</w:t>
      </w:r>
    </w:p>
    <w:p w14:paraId="2FDDE872" w14:textId="77777777" w:rsidR="003E48C7" w:rsidRDefault="003E48C7" w:rsidP="003E48C7">
      <w:pPr>
        <w:rPr>
          <w:rFonts w:cs="Arial"/>
          <w:sz w:val="22"/>
          <w:szCs w:val="22"/>
        </w:rPr>
      </w:pPr>
    </w:p>
    <w:p w14:paraId="6F2B20B2" w14:textId="77777777" w:rsidR="003E48C7" w:rsidRDefault="003E48C7" w:rsidP="003E48C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_Ref132639498 \r \h </w:instrText>
      </w:r>
      <w:r>
        <w:rPr>
          <w:rFonts w:cs="Arial"/>
          <w:sz w:val="22"/>
          <w:szCs w:val="22"/>
        </w:rPr>
      </w:r>
      <w:r>
        <w:rPr>
          <w:rFonts w:cs="Arial"/>
          <w:sz w:val="22"/>
          <w:szCs w:val="22"/>
        </w:rPr>
        <w:fldChar w:fldCharType="separate"/>
      </w:r>
      <w:r>
        <w:rPr>
          <w:rFonts w:cs="Arial"/>
          <w:sz w:val="22"/>
          <w:szCs w:val="22"/>
        </w:rPr>
        <w:t>19.13.1.6</w:t>
      </w:r>
      <w:r>
        <w:rPr>
          <w:rFonts w:cs="Arial"/>
          <w:sz w:val="22"/>
          <w:szCs w:val="22"/>
        </w:rPr>
        <w:fldChar w:fldCharType="end"/>
      </w:r>
      <w:r>
        <w:rPr>
          <w:rFonts w:cs="Arial"/>
          <w:sz w:val="22"/>
          <w:szCs w:val="22"/>
        </w:rPr>
        <w:t>.</w:t>
      </w:r>
    </w:p>
    <w:p w14:paraId="64925136" w14:textId="77777777" w:rsidR="003E48C7" w:rsidRDefault="003E48C7" w:rsidP="003E48C7">
      <w:pPr>
        <w:rPr>
          <w:rFonts w:cs="Arial"/>
          <w:sz w:val="22"/>
          <w:szCs w:val="22"/>
        </w:rPr>
      </w:pPr>
    </w:p>
    <w:p w14:paraId="10E43294" w14:textId="77777777" w:rsidR="003E48C7" w:rsidRDefault="003E48C7" w:rsidP="0028726C">
      <w:pPr>
        <w:rPr>
          <w:rFonts w:cs="Arial"/>
          <w:sz w:val="22"/>
          <w:szCs w:val="22"/>
        </w:rPr>
      </w:pPr>
    </w:p>
    <w:p w14:paraId="206CBA81" w14:textId="77777777" w:rsidR="00CA3C32" w:rsidRDefault="0028726C" w:rsidP="00F23443">
      <w:pPr>
        <w:pStyle w:val="Ttulo4"/>
      </w:pPr>
      <w:r w:rsidRPr="0028726C">
        <w:t>SURTIGAS</w:t>
      </w:r>
      <w:r w:rsidRPr="0028726C">
        <w:tab/>
      </w:r>
    </w:p>
    <w:p w14:paraId="5E1F3B65" w14:textId="6AB67381" w:rsidR="009C6D61" w:rsidRPr="00665730" w:rsidRDefault="009C6D61" w:rsidP="009C6D61">
      <w:pPr>
        <w:rPr>
          <w:rFonts w:cs="Arial"/>
          <w:i/>
          <w:iCs/>
          <w:sz w:val="22"/>
          <w:szCs w:val="22"/>
        </w:rPr>
      </w:pPr>
      <w:r w:rsidRPr="0028726C">
        <w:rPr>
          <w:rFonts w:cs="Arial"/>
          <w:sz w:val="22"/>
          <w:szCs w:val="22"/>
        </w:rPr>
        <w:t>"</w:t>
      </w:r>
      <w:r w:rsidRPr="00665730">
        <w:rPr>
          <w:rFonts w:cs="Arial"/>
          <w:i/>
          <w:iCs/>
          <w:sz w:val="22"/>
          <w:szCs w:val="22"/>
        </w:rPr>
        <w:t xml:space="preserve">Propone también la CREG que en dichas declaraciones </w:t>
      </w:r>
      <w:r w:rsidR="002401A4">
        <w:rPr>
          <w:rFonts w:cs="Arial"/>
          <w:i/>
          <w:iCs/>
          <w:sz w:val="22"/>
          <w:szCs w:val="22"/>
        </w:rPr>
        <w:t>‘</w:t>
      </w:r>
      <w:r w:rsidRPr="00665730">
        <w:rPr>
          <w:rFonts w:cs="Arial"/>
          <w:i/>
          <w:iCs/>
          <w:sz w:val="22"/>
          <w:szCs w:val="22"/>
        </w:rPr>
        <w:t>se deberán especificar las fuentes de suministro y sus cantidades por Punto de Entrega sobre los que se declara la PTDVF y/o CIDVF</w:t>
      </w:r>
      <w:r w:rsidR="002401A4">
        <w:rPr>
          <w:rFonts w:cs="Arial"/>
          <w:i/>
          <w:iCs/>
          <w:sz w:val="22"/>
          <w:szCs w:val="22"/>
        </w:rPr>
        <w:t>’</w:t>
      </w:r>
      <w:r w:rsidRPr="00665730">
        <w:rPr>
          <w:rFonts w:cs="Arial"/>
          <w:i/>
          <w:iCs/>
          <w:sz w:val="22"/>
          <w:szCs w:val="22"/>
        </w:rPr>
        <w:t xml:space="preserve">. </w:t>
      </w:r>
    </w:p>
    <w:p w14:paraId="6F367B56" w14:textId="77777777" w:rsidR="009C6D61" w:rsidRPr="00665730" w:rsidRDefault="009C6D61" w:rsidP="009C6D61">
      <w:pPr>
        <w:rPr>
          <w:rFonts w:cs="Arial"/>
          <w:i/>
          <w:iCs/>
          <w:sz w:val="22"/>
          <w:szCs w:val="22"/>
        </w:rPr>
      </w:pPr>
    </w:p>
    <w:p w14:paraId="182696CB" w14:textId="77777777" w:rsidR="009C6D61" w:rsidRDefault="009C6D61" w:rsidP="009C6D61">
      <w:pPr>
        <w:rPr>
          <w:rFonts w:cs="Arial"/>
          <w:i/>
          <w:iCs/>
          <w:sz w:val="22"/>
          <w:szCs w:val="22"/>
        </w:rPr>
      </w:pPr>
      <w:r w:rsidRPr="00665730">
        <w:rPr>
          <w:rFonts w:cs="Arial"/>
          <w:i/>
          <w:iCs/>
          <w:sz w:val="22"/>
          <w:szCs w:val="22"/>
        </w:rPr>
        <w:t>En el Proyecto de Resolución están definidos los siguientes conceptos:</w:t>
      </w:r>
    </w:p>
    <w:p w14:paraId="1B73A9AA" w14:textId="77777777" w:rsidR="009C6D61" w:rsidRPr="00665730" w:rsidRDefault="009C6D61" w:rsidP="009C6D61">
      <w:pPr>
        <w:rPr>
          <w:rFonts w:cs="Arial"/>
          <w:i/>
          <w:iCs/>
          <w:sz w:val="22"/>
          <w:szCs w:val="22"/>
        </w:rPr>
      </w:pPr>
    </w:p>
    <w:p w14:paraId="3F408FE9" w14:textId="747A177E" w:rsidR="009C6D61" w:rsidRPr="00665730" w:rsidRDefault="002401A4" w:rsidP="009C6D61">
      <w:pPr>
        <w:ind w:left="708"/>
        <w:rPr>
          <w:rFonts w:cs="Arial"/>
          <w:i/>
          <w:iCs/>
          <w:sz w:val="22"/>
          <w:szCs w:val="22"/>
        </w:rPr>
      </w:pPr>
      <w:r>
        <w:rPr>
          <w:rFonts w:cs="Arial"/>
          <w:i/>
          <w:iCs/>
          <w:sz w:val="22"/>
          <w:szCs w:val="22"/>
        </w:rPr>
        <w:t>‘</w:t>
      </w:r>
      <w:r w:rsidR="009C6D61" w:rsidRPr="00665730">
        <w:rPr>
          <w:rFonts w:cs="Arial"/>
          <w:i/>
          <w:iCs/>
          <w:sz w:val="22"/>
          <w:szCs w:val="22"/>
        </w:rPr>
        <w:t xml:space="preserve">Punto de Entrega: </w:t>
      </w:r>
      <w:r w:rsidR="009C6D61" w:rsidRPr="00665730">
        <w:rPr>
          <w:rFonts w:cs="Arial"/>
          <w:i/>
          <w:iCs/>
          <w:sz w:val="22"/>
          <w:szCs w:val="22"/>
          <w:u w:val="single"/>
        </w:rPr>
        <w:t>lugar físico identificado y caracterizado, pactado en los contratos de suministro</w:t>
      </w:r>
      <w:r w:rsidR="009C6D61" w:rsidRPr="00665730">
        <w:rPr>
          <w:rFonts w:cs="Arial"/>
          <w:i/>
          <w:iCs/>
          <w:sz w:val="22"/>
          <w:szCs w:val="22"/>
        </w:rPr>
        <w:t xml:space="preserve"> del mercado mayorista </w:t>
      </w:r>
      <w:r w:rsidR="009C6D61" w:rsidRPr="00665730">
        <w:rPr>
          <w:rFonts w:cs="Arial"/>
          <w:i/>
          <w:iCs/>
          <w:sz w:val="22"/>
          <w:szCs w:val="22"/>
          <w:u w:val="single"/>
        </w:rPr>
        <w:t>donde se mide y los vendedores del mercado primario entregan físicamente el gas y se determinan los precios de venta del gas natural</w:t>
      </w:r>
      <w:r w:rsidR="009C6D61" w:rsidRPr="00665730">
        <w:rPr>
          <w:rFonts w:cs="Arial"/>
          <w:i/>
          <w:iCs/>
          <w:sz w:val="22"/>
          <w:szCs w:val="22"/>
        </w:rPr>
        <w:t xml:space="preserve">. Todos los Puntos de entrega deben estar asociados a una o varias Fuentes de Suministro, y así debe estar determinado en los contratos de suministro del mercado mayorista. </w:t>
      </w:r>
      <w:r w:rsidR="009C6D61" w:rsidRPr="00665730">
        <w:rPr>
          <w:rFonts w:cs="Arial"/>
          <w:i/>
          <w:iCs/>
          <w:sz w:val="22"/>
          <w:szCs w:val="22"/>
          <w:u w:val="single"/>
        </w:rPr>
        <w:t>Un Punto de Entrega puede ser o no un Punto de Importación, así como también un Punto de Entrega puede ser o no un Punto de entrada al Sistema Nacional de transporte</w:t>
      </w:r>
      <w:r w:rsidR="009C6D61" w:rsidRPr="00665730">
        <w:rPr>
          <w:rFonts w:cs="Arial"/>
          <w:i/>
          <w:iCs/>
          <w:sz w:val="22"/>
          <w:szCs w:val="22"/>
        </w:rPr>
        <w:t>. Todos los Puntos de entrega deben ser registrados e informados al Gestor del Mercado, en los formatos que éste último defina para este efecto.</w:t>
      </w:r>
    </w:p>
    <w:p w14:paraId="2ADDBD7B" w14:textId="77777777" w:rsidR="009C6D61" w:rsidRPr="00665730" w:rsidRDefault="009C6D61" w:rsidP="009C6D61">
      <w:pPr>
        <w:ind w:left="708"/>
        <w:rPr>
          <w:rFonts w:cs="Arial"/>
          <w:i/>
          <w:iCs/>
          <w:sz w:val="22"/>
          <w:szCs w:val="22"/>
        </w:rPr>
      </w:pPr>
    </w:p>
    <w:p w14:paraId="17BAD760" w14:textId="77777777" w:rsidR="009C6D61" w:rsidRPr="00665730" w:rsidRDefault="009C6D61" w:rsidP="009C6D61">
      <w:pPr>
        <w:ind w:left="708"/>
        <w:rPr>
          <w:rFonts w:cs="Arial"/>
          <w:i/>
          <w:iCs/>
          <w:sz w:val="22"/>
          <w:szCs w:val="22"/>
        </w:rPr>
      </w:pPr>
      <w:r w:rsidRPr="00665730">
        <w:rPr>
          <w:rFonts w:cs="Arial"/>
          <w:i/>
          <w:iCs/>
          <w:sz w:val="22"/>
          <w:szCs w:val="22"/>
        </w:rPr>
        <w:t xml:space="preserve">Punto de Importación: lugar físico plenamente identificado y caracterizado, ubicado en la Infraestructura de Importación, habilitado para llevar a cabo la introducción a territorio nacional de gas natural obtenido en el exterior. </w:t>
      </w:r>
      <w:r w:rsidRPr="00665730">
        <w:rPr>
          <w:rFonts w:cs="Arial"/>
          <w:i/>
          <w:iCs/>
          <w:sz w:val="22"/>
          <w:szCs w:val="22"/>
          <w:u w:val="single"/>
        </w:rPr>
        <w:t>Puede ser o no un Punto de Entrega</w:t>
      </w:r>
      <w:r w:rsidRPr="00665730">
        <w:rPr>
          <w:rFonts w:cs="Arial"/>
          <w:i/>
          <w:iCs/>
          <w:sz w:val="22"/>
          <w:szCs w:val="22"/>
        </w:rPr>
        <w:t>.</w:t>
      </w:r>
    </w:p>
    <w:p w14:paraId="75E5407C" w14:textId="77777777" w:rsidR="009C6D61" w:rsidRPr="00665730" w:rsidRDefault="009C6D61" w:rsidP="009C6D61">
      <w:pPr>
        <w:ind w:left="708"/>
        <w:rPr>
          <w:rFonts w:cs="Arial"/>
          <w:i/>
          <w:iCs/>
          <w:sz w:val="22"/>
          <w:szCs w:val="22"/>
        </w:rPr>
      </w:pPr>
    </w:p>
    <w:p w14:paraId="76E7C13E" w14:textId="77777777" w:rsidR="009C6D61" w:rsidRPr="00665730" w:rsidRDefault="009C6D61" w:rsidP="009C6D61">
      <w:pPr>
        <w:ind w:left="708"/>
        <w:rPr>
          <w:rFonts w:cs="Arial"/>
          <w:i/>
          <w:iCs/>
          <w:sz w:val="22"/>
          <w:szCs w:val="22"/>
        </w:rPr>
      </w:pPr>
      <w:r w:rsidRPr="00665730">
        <w:rPr>
          <w:rFonts w:cs="Arial"/>
          <w:i/>
          <w:iCs/>
          <w:sz w:val="22"/>
          <w:szCs w:val="22"/>
        </w:rPr>
        <w:t xml:space="preserve">Punto de Inyección: lugar físico donde el vendedor del mercado primario entrega físicamente el gas proveniente de las fuentes de producción conectadas al Sistema Nacional de Transporte. El Punto de Inyección es un Punto de Entrega, y también un Punto de Entrada del SNT, cuando las Fuentes de suministro de gas están conectadas directamente al Sistema Nacional de transporte, SNT. </w:t>
      </w:r>
      <w:r w:rsidRPr="00665730">
        <w:rPr>
          <w:rFonts w:cs="Arial"/>
          <w:i/>
          <w:iCs/>
          <w:sz w:val="22"/>
          <w:szCs w:val="22"/>
          <w:u w:val="single"/>
        </w:rPr>
        <w:t>Todos los Puntos de Inyección son Puntos de Entrega</w:t>
      </w:r>
      <w:r w:rsidRPr="00665730">
        <w:rPr>
          <w:rFonts w:cs="Arial"/>
          <w:i/>
          <w:iCs/>
          <w:sz w:val="22"/>
          <w:szCs w:val="22"/>
        </w:rPr>
        <w:t>.</w:t>
      </w:r>
    </w:p>
    <w:p w14:paraId="33ED4C74" w14:textId="77777777" w:rsidR="009C6D61" w:rsidRPr="00665730" w:rsidRDefault="009C6D61" w:rsidP="009C6D61">
      <w:pPr>
        <w:ind w:left="708"/>
        <w:rPr>
          <w:rFonts w:cs="Arial"/>
          <w:i/>
          <w:iCs/>
          <w:sz w:val="22"/>
          <w:szCs w:val="22"/>
        </w:rPr>
      </w:pPr>
    </w:p>
    <w:p w14:paraId="319ACB65" w14:textId="77777777" w:rsidR="009C6D61" w:rsidRPr="00665730" w:rsidRDefault="009C6D61" w:rsidP="009C6D61">
      <w:pPr>
        <w:ind w:left="708"/>
        <w:rPr>
          <w:rFonts w:cs="Arial"/>
          <w:i/>
          <w:iCs/>
          <w:sz w:val="22"/>
          <w:szCs w:val="22"/>
        </w:rPr>
      </w:pPr>
      <w:r w:rsidRPr="00665730">
        <w:rPr>
          <w:rFonts w:cs="Arial"/>
          <w:i/>
          <w:iCs/>
          <w:sz w:val="22"/>
          <w:szCs w:val="22"/>
        </w:rPr>
        <w:t xml:space="preserve">Punto de Referencia: </w:t>
      </w:r>
      <w:r w:rsidRPr="00665730">
        <w:rPr>
          <w:rFonts w:cs="Arial"/>
          <w:i/>
          <w:iCs/>
          <w:sz w:val="22"/>
          <w:szCs w:val="22"/>
          <w:u w:val="single"/>
        </w:rPr>
        <w:t>lugar físico y específico determinado por el Gestor del Mercado</w:t>
      </w:r>
      <w:r w:rsidRPr="00665730">
        <w:rPr>
          <w:rFonts w:cs="Arial"/>
          <w:i/>
          <w:iCs/>
          <w:sz w:val="22"/>
          <w:szCs w:val="22"/>
        </w:rPr>
        <w:t>, con el fin exclusivo de realizar balances comerciales de que trata el Artículo 21 de la presente resolución.</w:t>
      </w:r>
    </w:p>
    <w:p w14:paraId="1A799F96" w14:textId="77777777" w:rsidR="009C6D61" w:rsidRPr="00665730" w:rsidRDefault="009C6D61" w:rsidP="009C6D61">
      <w:pPr>
        <w:ind w:left="708"/>
        <w:rPr>
          <w:rFonts w:cs="Arial"/>
          <w:i/>
          <w:iCs/>
          <w:sz w:val="22"/>
          <w:szCs w:val="22"/>
        </w:rPr>
      </w:pPr>
    </w:p>
    <w:p w14:paraId="46EBF251" w14:textId="0AE431BD" w:rsidR="009C6D61" w:rsidRPr="00665730" w:rsidRDefault="009C6D61" w:rsidP="009C6D61">
      <w:pPr>
        <w:ind w:left="708"/>
        <w:rPr>
          <w:rFonts w:cs="Arial"/>
          <w:i/>
          <w:iCs/>
          <w:sz w:val="22"/>
          <w:szCs w:val="22"/>
        </w:rPr>
      </w:pPr>
      <w:r w:rsidRPr="00665730">
        <w:rPr>
          <w:rFonts w:cs="Arial"/>
          <w:i/>
          <w:iCs/>
          <w:sz w:val="22"/>
          <w:szCs w:val="22"/>
        </w:rPr>
        <w:t xml:space="preserve">Puntos Estándar de Entrega: </w:t>
      </w:r>
      <w:r w:rsidRPr="00665730">
        <w:rPr>
          <w:rFonts w:cs="Arial"/>
          <w:i/>
          <w:iCs/>
          <w:sz w:val="22"/>
          <w:szCs w:val="22"/>
          <w:u w:val="single"/>
        </w:rPr>
        <w:t>lugar físico plenamente identificado y caracterizado, determinado por la Comisión</w:t>
      </w:r>
      <w:r w:rsidRPr="00665730">
        <w:rPr>
          <w:rFonts w:cs="Arial"/>
          <w:i/>
          <w:iCs/>
          <w:sz w:val="22"/>
          <w:szCs w:val="22"/>
        </w:rPr>
        <w:t>, que deberán pactar los comercializadores del mercado secundario en los contratos de derechos de suministro, y donde se medirá y se entregará físicamente el gas por parte de los vendedores del mercado secundario y se determinan los precios de intermediación del gas. Puede ser o no un Punto de Entrega</w:t>
      </w:r>
      <w:r w:rsidR="002401A4">
        <w:rPr>
          <w:rFonts w:cs="Arial"/>
          <w:i/>
          <w:iCs/>
          <w:sz w:val="22"/>
          <w:szCs w:val="22"/>
        </w:rPr>
        <w:t>’</w:t>
      </w:r>
      <w:r w:rsidRPr="00665730">
        <w:rPr>
          <w:rFonts w:cs="Arial"/>
          <w:i/>
          <w:iCs/>
          <w:sz w:val="22"/>
          <w:szCs w:val="22"/>
        </w:rPr>
        <w:t>. (Subrayado Fuera de Texto).</w:t>
      </w:r>
    </w:p>
    <w:p w14:paraId="64BBE970" w14:textId="77777777" w:rsidR="009C6D61" w:rsidRPr="00665730" w:rsidRDefault="009C6D61" w:rsidP="009C6D61">
      <w:pPr>
        <w:rPr>
          <w:rFonts w:cs="Arial"/>
          <w:i/>
          <w:iCs/>
          <w:sz w:val="22"/>
          <w:szCs w:val="22"/>
        </w:rPr>
      </w:pPr>
    </w:p>
    <w:p w14:paraId="17F749A1" w14:textId="105740EF" w:rsidR="009C6D61" w:rsidRPr="00665730" w:rsidRDefault="009C6D61" w:rsidP="009C6D61">
      <w:pPr>
        <w:rPr>
          <w:rFonts w:cs="Arial"/>
          <w:i/>
          <w:iCs/>
          <w:sz w:val="22"/>
          <w:szCs w:val="22"/>
        </w:rPr>
      </w:pPr>
      <w:r w:rsidRPr="00665730">
        <w:rPr>
          <w:rFonts w:cs="Arial"/>
          <w:i/>
          <w:iCs/>
          <w:sz w:val="22"/>
          <w:szCs w:val="22"/>
        </w:rPr>
        <w:t xml:space="preserve">De los textos que se subrayan es clara la confusión que se presenta cuando la CREG habla de uno cualquiera de estos </w:t>
      </w:r>
      <w:r w:rsidR="002401A4">
        <w:rPr>
          <w:rFonts w:cs="Arial"/>
          <w:i/>
          <w:iCs/>
          <w:sz w:val="22"/>
          <w:szCs w:val="22"/>
        </w:rPr>
        <w:t>‘</w:t>
      </w:r>
      <w:r w:rsidRPr="00665730">
        <w:rPr>
          <w:rFonts w:cs="Arial"/>
          <w:i/>
          <w:iCs/>
          <w:sz w:val="22"/>
          <w:szCs w:val="22"/>
        </w:rPr>
        <w:t>Puntos</w:t>
      </w:r>
      <w:r w:rsidR="002401A4">
        <w:rPr>
          <w:rFonts w:cs="Arial"/>
          <w:i/>
          <w:iCs/>
          <w:sz w:val="22"/>
          <w:szCs w:val="22"/>
        </w:rPr>
        <w:t>’</w:t>
      </w:r>
      <w:r w:rsidRPr="00665730">
        <w:rPr>
          <w:rFonts w:cs="Arial"/>
          <w:i/>
          <w:iCs/>
          <w:sz w:val="22"/>
          <w:szCs w:val="22"/>
        </w:rPr>
        <w:t xml:space="preserve">. En el caso particular de los </w:t>
      </w:r>
      <w:r w:rsidR="002401A4">
        <w:rPr>
          <w:rFonts w:cs="Arial"/>
          <w:i/>
          <w:iCs/>
          <w:sz w:val="22"/>
          <w:szCs w:val="22"/>
        </w:rPr>
        <w:t>‘</w:t>
      </w:r>
      <w:r w:rsidRPr="00665730">
        <w:rPr>
          <w:rFonts w:cs="Arial"/>
          <w:i/>
          <w:iCs/>
          <w:sz w:val="22"/>
          <w:szCs w:val="22"/>
        </w:rPr>
        <w:t>Puntos de Entrega</w:t>
      </w:r>
      <w:r w:rsidR="002401A4">
        <w:rPr>
          <w:rFonts w:cs="Arial"/>
          <w:i/>
          <w:iCs/>
          <w:sz w:val="22"/>
          <w:szCs w:val="22"/>
        </w:rPr>
        <w:t>’</w:t>
      </w:r>
      <w:r w:rsidRPr="00665730">
        <w:rPr>
          <w:rFonts w:cs="Arial"/>
          <w:i/>
          <w:iCs/>
          <w:sz w:val="22"/>
          <w:szCs w:val="22"/>
        </w:rPr>
        <w:t xml:space="preserve"> según las definiciones de la CREG transcritas, éstos pueden ser el lugar físico pactado en los contratos de suministro donde se mide, puede ser o no un </w:t>
      </w:r>
      <w:r w:rsidR="002401A4">
        <w:rPr>
          <w:rFonts w:cs="Arial"/>
          <w:i/>
          <w:iCs/>
          <w:sz w:val="22"/>
          <w:szCs w:val="22"/>
        </w:rPr>
        <w:t>‘</w:t>
      </w:r>
      <w:r w:rsidRPr="00665730">
        <w:rPr>
          <w:rFonts w:cs="Arial"/>
          <w:i/>
          <w:iCs/>
          <w:sz w:val="22"/>
          <w:szCs w:val="22"/>
        </w:rPr>
        <w:t>Punto de Importación</w:t>
      </w:r>
      <w:r w:rsidR="002401A4">
        <w:rPr>
          <w:rFonts w:cs="Arial"/>
          <w:i/>
          <w:iCs/>
          <w:sz w:val="22"/>
          <w:szCs w:val="22"/>
        </w:rPr>
        <w:t>’</w:t>
      </w:r>
      <w:r w:rsidRPr="00665730">
        <w:rPr>
          <w:rFonts w:cs="Arial"/>
          <w:i/>
          <w:iCs/>
          <w:sz w:val="22"/>
          <w:szCs w:val="22"/>
        </w:rPr>
        <w:t xml:space="preserve">, puede ser o no un </w:t>
      </w:r>
      <w:r w:rsidR="002401A4">
        <w:rPr>
          <w:rFonts w:cs="Arial"/>
          <w:i/>
          <w:iCs/>
          <w:sz w:val="22"/>
          <w:szCs w:val="22"/>
        </w:rPr>
        <w:t>‘</w:t>
      </w:r>
      <w:r w:rsidRPr="00665730">
        <w:rPr>
          <w:rFonts w:cs="Arial"/>
          <w:i/>
          <w:iCs/>
          <w:sz w:val="22"/>
          <w:szCs w:val="22"/>
        </w:rPr>
        <w:t>Punto de Inyección</w:t>
      </w:r>
      <w:r w:rsidR="002401A4">
        <w:rPr>
          <w:rFonts w:cs="Arial"/>
          <w:i/>
          <w:iCs/>
          <w:sz w:val="22"/>
          <w:szCs w:val="22"/>
        </w:rPr>
        <w:t>’</w:t>
      </w:r>
      <w:r w:rsidRPr="00665730">
        <w:rPr>
          <w:rFonts w:cs="Arial"/>
          <w:i/>
          <w:iCs/>
          <w:sz w:val="22"/>
          <w:szCs w:val="22"/>
        </w:rPr>
        <w:t xml:space="preserve"> y puede ser o no un </w:t>
      </w:r>
      <w:r w:rsidR="002401A4">
        <w:rPr>
          <w:rFonts w:cs="Arial"/>
          <w:i/>
          <w:iCs/>
          <w:sz w:val="22"/>
          <w:szCs w:val="22"/>
        </w:rPr>
        <w:t>‘</w:t>
      </w:r>
      <w:r w:rsidRPr="00665730">
        <w:rPr>
          <w:rFonts w:cs="Arial"/>
          <w:i/>
          <w:iCs/>
          <w:sz w:val="22"/>
          <w:szCs w:val="22"/>
        </w:rPr>
        <w:t>Punto Estándar de Entrega</w:t>
      </w:r>
      <w:r w:rsidR="002401A4">
        <w:rPr>
          <w:rFonts w:cs="Arial"/>
          <w:i/>
          <w:iCs/>
          <w:sz w:val="22"/>
          <w:szCs w:val="22"/>
        </w:rPr>
        <w:t>’</w:t>
      </w:r>
      <w:r w:rsidRPr="00665730">
        <w:rPr>
          <w:rFonts w:cs="Arial"/>
          <w:i/>
          <w:iCs/>
          <w:sz w:val="22"/>
          <w:szCs w:val="22"/>
        </w:rPr>
        <w:t>.</w:t>
      </w:r>
    </w:p>
    <w:p w14:paraId="04D05419" w14:textId="77777777" w:rsidR="009C6D61" w:rsidRPr="00665730" w:rsidRDefault="009C6D61" w:rsidP="009C6D61">
      <w:pPr>
        <w:rPr>
          <w:rFonts w:cs="Arial"/>
          <w:i/>
          <w:iCs/>
          <w:sz w:val="22"/>
          <w:szCs w:val="22"/>
        </w:rPr>
      </w:pPr>
    </w:p>
    <w:p w14:paraId="4736F5CF" w14:textId="2A14F406" w:rsidR="009C6D61" w:rsidRPr="0028726C" w:rsidRDefault="009C6D61" w:rsidP="009C6D61">
      <w:pPr>
        <w:rPr>
          <w:rFonts w:cs="Arial"/>
          <w:sz w:val="22"/>
          <w:szCs w:val="22"/>
        </w:rPr>
      </w:pPr>
      <w:r w:rsidRPr="00665730">
        <w:rPr>
          <w:rFonts w:cs="Arial"/>
          <w:i/>
          <w:iCs/>
          <w:sz w:val="22"/>
          <w:szCs w:val="22"/>
        </w:rPr>
        <w:t xml:space="preserve">Si el </w:t>
      </w:r>
      <w:r w:rsidR="002401A4">
        <w:rPr>
          <w:rFonts w:cs="Arial"/>
          <w:i/>
          <w:iCs/>
          <w:sz w:val="22"/>
          <w:szCs w:val="22"/>
        </w:rPr>
        <w:t>‘</w:t>
      </w:r>
      <w:r w:rsidRPr="00665730">
        <w:rPr>
          <w:rFonts w:cs="Arial"/>
          <w:i/>
          <w:iCs/>
          <w:sz w:val="22"/>
          <w:szCs w:val="22"/>
        </w:rPr>
        <w:t>Punto de Entrega</w:t>
      </w:r>
      <w:r w:rsidR="002401A4">
        <w:rPr>
          <w:rFonts w:cs="Arial"/>
          <w:i/>
          <w:iCs/>
          <w:sz w:val="22"/>
          <w:szCs w:val="22"/>
        </w:rPr>
        <w:t>’</w:t>
      </w:r>
      <w:r w:rsidRPr="00665730">
        <w:rPr>
          <w:rFonts w:cs="Arial"/>
          <w:i/>
          <w:iCs/>
          <w:sz w:val="22"/>
          <w:szCs w:val="22"/>
        </w:rPr>
        <w:t xml:space="preserve"> se refiere al lugar físico pactado en los contratos de suministro, el productor-comercializador solo podrá declarar </w:t>
      </w:r>
      <w:r w:rsidR="002401A4">
        <w:rPr>
          <w:rFonts w:cs="Arial"/>
          <w:i/>
          <w:iCs/>
          <w:sz w:val="22"/>
          <w:szCs w:val="22"/>
        </w:rPr>
        <w:t>‘</w:t>
      </w:r>
      <w:r w:rsidRPr="00665730">
        <w:rPr>
          <w:rFonts w:cs="Arial"/>
          <w:i/>
          <w:iCs/>
          <w:sz w:val="22"/>
          <w:szCs w:val="22"/>
        </w:rPr>
        <w:t>Puntos de Entrega</w:t>
      </w:r>
      <w:r w:rsidR="002401A4">
        <w:rPr>
          <w:rFonts w:cs="Arial"/>
          <w:i/>
          <w:iCs/>
          <w:sz w:val="22"/>
          <w:szCs w:val="22"/>
        </w:rPr>
        <w:t>’</w:t>
      </w:r>
      <w:r w:rsidRPr="00665730">
        <w:rPr>
          <w:rFonts w:cs="Arial"/>
          <w:i/>
          <w:iCs/>
          <w:sz w:val="22"/>
          <w:szCs w:val="22"/>
        </w:rPr>
        <w:t xml:space="preserve"> para los contratos que se encuentren vigentes, pues no es posible anticipar los </w:t>
      </w:r>
      <w:r w:rsidR="002401A4">
        <w:rPr>
          <w:rFonts w:cs="Arial"/>
          <w:i/>
          <w:iCs/>
          <w:sz w:val="22"/>
          <w:szCs w:val="22"/>
        </w:rPr>
        <w:t>‘</w:t>
      </w:r>
      <w:r w:rsidRPr="00665730">
        <w:rPr>
          <w:rFonts w:cs="Arial"/>
          <w:i/>
          <w:iCs/>
          <w:sz w:val="22"/>
          <w:szCs w:val="22"/>
        </w:rPr>
        <w:t>Puntos de Entrega</w:t>
      </w:r>
      <w:r w:rsidR="002401A4">
        <w:rPr>
          <w:rFonts w:cs="Arial"/>
          <w:i/>
          <w:iCs/>
          <w:sz w:val="22"/>
          <w:szCs w:val="22"/>
        </w:rPr>
        <w:t>’</w:t>
      </w:r>
      <w:r w:rsidRPr="00665730">
        <w:rPr>
          <w:rFonts w:cs="Arial"/>
          <w:i/>
          <w:iCs/>
          <w:sz w:val="22"/>
          <w:szCs w:val="22"/>
        </w:rPr>
        <w:t xml:space="preserve"> que se lleguen a pactar en futuros contratos. En estas circunstancias, no es clara la utilidad que tendría esta información de corte transversal</w:t>
      </w:r>
      <w:r w:rsidRPr="0028726C">
        <w:rPr>
          <w:rFonts w:cs="Arial"/>
          <w:sz w:val="22"/>
          <w:szCs w:val="22"/>
        </w:rPr>
        <w:t>."</w:t>
      </w:r>
    </w:p>
    <w:p w14:paraId="2280DEEB" w14:textId="77777777" w:rsidR="009C6D61" w:rsidRDefault="009C6D61" w:rsidP="009C6D61">
      <w:pPr>
        <w:rPr>
          <w:rFonts w:cs="Arial"/>
          <w:sz w:val="22"/>
          <w:szCs w:val="22"/>
        </w:rPr>
      </w:pPr>
    </w:p>
    <w:p w14:paraId="10C97B1E" w14:textId="77777777" w:rsidR="009C6D61" w:rsidRPr="009C6D61" w:rsidRDefault="009C6D61" w:rsidP="009C6D61">
      <w:pPr>
        <w:rPr>
          <w:rFonts w:cs="Arial"/>
          <w:b/>
          <w:bCs/>
          <w:sz w:val="22"/>
          <w:szCs w:val="22"/>
        </w:rPr>
      </w:pPr>
      <w:r w:rsidRPr="009C6D61">
        <w:rPr>
          <w:rFonts w:cs="Arial"/>
          <w:b/>
          <w:bCs/>
          <w:sz w:val="22"/>
          <w:szCs w:val="22"/>
        </w:rPr>
        <w:t>Respuesta:</w:t>
      </w:r>
    </w:p>
    <w:p w14:paraId="1C84F156" w14:textId="77777777" w:rsidR="009C6D61" w:rsidRDefault="009C6D61" w:rsidP="009C6D61">
      <w:pPr>
        <w:rPr>
          <w:rFonts w:cs="Arial"/>
          <w:sz w:val="22"/>
          <w:szCs w:val="22"/>
        </w:rPr>
      </w:pPr>
    </w:p>
    <w:p w14:paraId="332B3600" w14:textId="77777777" w:rsidR="009C6D61" w:rsidRDefault="009C6D61" w:rsidP="009C6D6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_Ref132639585 \r \h </w:instrText>
      </w:r>
      <w:r>
        <w:rPr>
          <w:rFonts w:cs="Arial"/>
          <w:sz w:val="22"/>
          <w:szCs w:val="22"/>
        </w:rPr>
      </w:r>
      <w:r>
        <w:rPr>
          <w:rFonts w:cs="Arial"/>
          <w:sz w:val="22"/>
          <w:szCs w:val="22"/>
        </w:rPr>
        <w:fldChar w:fldCharType="separate"/>
      </w:r>
      <w:r>
        <w:rPr>
          <w:rFonts w:cs="Arial"/>
          <w:sz w:val="22"/>
          <w:szCs w:val="22"/>
        </w:rPr>
        <w:t>19.13.1.7</w:t>
      </w:r>
      <w:r>
        <w:rPr>
          <w:rFonts w:cs="Arial"/>
          <w:sz w:val="22"/>
          <w:szCs w:val="22"/>
        </w:rPr>
        <w:fldChar w:fldCharType="end"/>
      </w:r>
      <w:r>
        <w:rPr>
          <w:rFonts w:cs="Arial"/>
          <w:sz w:val="22"/>
          <w:szCs w:val="22"/>
        </w:rPr>
        <w:t>.</w:t>
      </w:r>
    </w:p>
    <w:p w14:paraId="0603AA8A" w14:textId="77777777" w:rsidR="009C6D61" w:rsidRDefault="009C6D61" w:rsidP="0028726C">
      <w:pPr>
        <w:rPr>
          <w:rFonts w:cs="Arial"/>
          <w:sz w:val="22"/>
          <w:szCs w:val="22"/>
        </w:rPr>
      </w:pPr>
    </w:p>
    <w:p w14:paraId="3006D295" w14:textId="77777777" w:rsidR="009C6D61" w:rsidRDefault="009C6D61" w:rsidP="0028726C">
      <w:pPr>
        <w:rPr>
          <w:rFonts w:cs="Arial"/>
          <w:sz w:val="22"/>
          <w:szCs w:val="22"/>
        </w:rPr>
      </w:pPr>
    </w:p>
    <w:p w14:paraId="49A7CECD" w14:textId="77777777" w:rsidR="00CA3C32" w:rsidRDefault="0028726C" w:rsidP="00F23443">
      <w:pPr>
        <w:pStyle w:val="Ttulo4"/>
      </w:pPr>
      <w:r w:rsidRPr="0028726C">
        <w:t>SURTIGAS</w:t>
      </w:r>
      <w:r w:rsidRPr="0028726C">
        <w:tab/>
      </w:r>
    </w:p>
    <w:p w14:paraId="03A9D4EF" w14:textId="05A94424" w:rsidR="0028726C" w:rsidRPr="009C6D61" w:rsidRDefault="0028726C" w:rsidP="0028726C">
      <w:pPr>
        <w:rPr>
          <w:rFonts w:cs="Arial"/>
          <w:i/>
          <w:iCs/>
          <w:sz w:val="22"/>
          <w:szCs w:val="22"/>
        </w:rPr>
      </w:pPr>
      <w:r w:rsidRPr="009C6D61">
        <w:rPr>
          <w:rFonts w:cs="Arial"/>
          <w:i/>
          <w:iCs/>
          <w:sz w:val="22"/>
          <w:szCs w:val="22"/>
        </w:rPr>
        <w:t>"Balances comerciales: Busca determinar en cada trimestre de negociación de los contratos de suministro con garantía de firmeza, si hay oferta superavitaria o deficitaria de gas con respaldo físico para cada uno de los veinte (20) trimestres estándar siguientes al trimestre estándar de negociación durante el cual se desarrolla el balance.</w:t>
      </w:r>
    </w:p>
    <w:p w14:paraId="255A7F03" w14:textId="77777777" w:rsidR="0028726C" w:rsidRPr="009C6D61" w:rsidRDefault="0028726C" w:rsidP="0028726C">
      <w:pPr>
        <w:rPr>
          <w:rFonts w:cs="Arial"/>
          <w:i/>
          <w:iCs/>
          <w:sz w:val="22"/>
          <w:szCs w:val="22"/>
        </w:rPr>
      </w:pPr>
    </w:p>
    <w:p w14:paraId="1BC753AF" w14:textId="77777777" w:rsidR="0028726C" w:rsidRPr="009C6D61" w:rsidRDefault="0028726C" w:rsidP="0028726C">
      <w:pPr>
        <w:rPr>
          <w:rFonts w:cs="Arial"/>
          <w:i/>
          <w:iCs/>
          <w:sz w:val="22"/>
          <w:szCs w:val="22"/>
        </w:rPr>
      </w:pPr>
      <w:r w:rsidRPr="009C6D61">
        <w:rPr>
          <w:rFonts w:cs="Arial"/>
          <w:i/>
          <w:iCs/>
          <w:sz w:val="22"/>
          <w:szCs w:val="22"/>
        </w:rPr>
        <w:t>Se podría anticipar que para los productores-comercializadores de campos en declinación y de campos que se encuentren en pruebas extensas, aún si cuentan con certificado de reservas probables y/o posibles, una declaración del tenor planteado estará marcada por la incertidumbre y difícilmente dichos productores-comercializadores aceptarán avenirse al cumplimiento de esta norma.</w:t>
      </w:r>
    </w:p>
    <w:p w14:paraId="48E21FE3" w14:textId="77777777" w:rsidR="0028726C" w:rsidRPr="009C6D61" w:rsidRDefault="0028726C" w:rsidP="0028726C">
      <w:pPr>
        <w:rPr>
          <w:rFonts w:cs="Arial"/>
          <w:i/>
          <w:iCs/>
          <w:sz w:val="22"/>
          <w:szCs w:val="22"/>
        </w:rPr>
      </w:pPr>
    </w:p>
    <w:p w14:paraId="25EE33F7" w14:textId="6B0EEB85" w:rsidR="0028726C" w:rsidRPr="009C6D61" w:rsidRDefault="0028726C" w:rsidP="0028726C">
      <w:pPr>
        <w:rPr>
          <w:rFonts w:cs="Arial"/>
          <w:i/>
          <w:iCs/>
          <w:sz w:val="22"/>
          <w:szCs w:val="22"/>
        </w:rPr>
      </w:pPr>
      <w:r w:rsidRPr="009C6D61">
        <w:rPr>
          <w:rFonts w:cs="Arial"/>
          <w:i/>
          <w:iCs/>
          <w:sz w:val="22"/>
          <w:szCs w:val="22"/>
        </w:rPr>
        <w:t>En todo caso, las eventuales declaraciones de la PTDVF signadas por la incertidumbre, serán de poca utilidad para los propósitos de la CREG.</w:t>
      </w:r>
      <w:r w:rsidR="009C6D61">
        <w:rPr>
          <w:rFonts w:cs="Arial"/>
          <w:i/>
          <w:iCs/>
          <w:sz w:val="22"/>
          <w:szCs w:val="22"/>
        </w:rPr>
        <w:t>”</w:t>
      </w:r>
    </w:p>
    <w:p w14:paraId="3E4C3ECE" w14:textId="77777777" w:rsidR="0028726C" w:rsidRDefault="0028726C" w:rsidP="0028726C">
      <w:pPr>
        <w:rPr>
          <w:rFonts w:cs="Arial"/>
          <w:sz w:val="22"/>
          <w:szCs w:val="22"/>
        </w:rPr>
      </w:pPr>
    </w:p>
    <w:p w14:paraId="727F9232" w14:textId="77777777" w:rsidR="009C6D61" w:rsidRPr="007C1761" w:rsidRDefault="009C6D61" w:rsidP="009C6D61">
      <w:pPr>
        <w:rPr>
          <w:rFonts w:cs="Arial"/>
          <w:b/>
          <w:bCs/>
          <w:sz w:val="22"/>
          <w:szCs w:val="22"/>
        </w:rPr>
      </w:pPr>
      <w:r w:rsidRPr="007C1761">
        <w:rPr>
          <w:rFonts w:cs="Arial"/>
          <w:b/>
          <w:bCs/>
          <w:sz w:val="22"/>
          <w:szCs w:val="22"/>
        </w:rPr>
        <w:t>Respuesta:</w:t>
      </w:r>
    </w:p>
    <w:p w14:paraId="23188AC4" w14:textId="77777777" w:rsidR="009C6D61" w:rsidRDefault="009C6D61" w:rsidP="009C6D61">
      <w:pPr>
        <w:rPr>
          <w:rFonts w:cs="Arial"/>
          <w:sz w:val="22"/>
          <w:szCs w:val="22"/>
        </w:rPr>
      </w:pPr>
    </w:p>
    <w:p w14:paraId="7F904BC1" w14:textId="77777777" w:rsidR="009C6D61" w:rsidRDefault="009C6D61" w:rsidP="009C6D6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_Ref132284958 \r \h </w:instrText>
      </w:r>
      <w:r>
        <w:rPr>
          <w:rFonts w:cs="Arial"/>
          <w:sz w:val="22"/>
          <w:szCs w:val="22"/>
        </w:rPr>
      </w:r>
      <w:r>
        <w:rPr>
          <w:rFonts w:cs="Arial"/>
          <w:sz w:val="22"/>
          <w:szCs w:val="22"/>
        </w:rPr>
        <w:fldChar w:fldCharType="separate"/>
      </w:r>
      <w:r>
        <w:rPr>
          <w:rFonts w:cs="Arial"/>
          <w:sz w:val="22"/>
          <w:szCs w:val="22"/>
        </w:rPr>
        <w:t>19.13.1.8</w:t>
      </w:r>
      <w:r>
        <w:rPr>
          <w:rFonts w:cs="Arial"/>
          <w:sz w:val="22"/>
          <w:szCs w:val="22"/>
        </w:rPr>
        <w:fldChar w:fldCharType="end"/>
      </w:r>
      <w:r>
        <w:rPr>
          <w:rFonts w:cs="Arial"/>
          <w:sz w:val="22"/>
          <w:szCs w:val="22"/>
        </w:rPr>
        <w:t>.</w:t>
      </w:r>
    </w:p>
    <w:p w14:paraId="69B9BF14" w14:textId="77777777" w:rsidR="009C6D61" w:rsidRDefault="009C6D61" w:rsidP="0028726C">
      <w:pPr>
        <w:rPr>
          <w:rFonts w:cs="Arial"/>
          <w:sz w:val="22"/>
          <w:szCs w:val="22"/>
        </w:rPr>
      </w:pPr>
    </w:p>
    <w:p w14:paraId="74E78FAB" w14:textId="77777777" w:rsidR="009C6D61" w:rsidRPr="0028726C" w:rsidRDefault="009C6D61" w:rsidP="0028726C">
      <w:pPr>
        <w:rPr>
          <w:rFonts w:cs="Arial"/>
          <w:sz w:val="22"/>
          <w:szCs w:val="22"/>
        </w:rPr>
      </w:pPr>
    </w:p>
    <w:p w14:paraId="0D9DFDC1" w14:textId="77777777" w:rsidR="00CA3C32" w:rsidRDefault="0028726C" w:rsidP="00F23443">
      <w:pPr>
        <w:pStyle w:val="Ttulo4"/>
      </w:pPr>
      <w:r w:rsidRPr="0028726C">
        <w:t>SURTIGAS</w:t>
      </w:r>
      <w:r w:rsidRPr="0028726C">
        <w:tab/>
      </w:r>
    </w:p>
    <w:p w14:paraId="45BBBCB0" w14:textId="77777777" w:rsidR="009C6D61" w:rsidRDefault="009C6D61" w:rsidP="009C6D61">
      <w:pPr>
        <w:rPr>
          <w:rFonts w:cs="Arial"/>
          <w:i/>
          <w:iCs/>
          <w:sz w:val="22"/>
          <w:szCs w:val="22"/>
        </w:rPr>
      </w:pPr>
      <w:r w:rsidRPr="0028726C">
        <w:rPr>
          <w:rFonts w:cs="Arial"/>
          <w:sz w:val="22"/>
          <w:szCs w:val="22"/>
        </w:rPr>
        <w:t>"</w:t>
      </w:r>
      <w:r w:rsidRPr="00DB040C">
        <w:rPr>
          <w:rFonts w:cs="Arial"/>
          <w:i/>
          <w:iCs/>
          <w:sz w:val="22"/>
          <w:szCs w:val="22"/>
        </w:rPr>
        <w:t xml:space="preserve">Declaraciones de Demanda </w:t>
      </w:r>
    </w:p>
    <w:p w14:paraId="4E427FDB" w14:textId="77777777" w:rsidR="009C6D61" w:rsidRDefault="009C6D61" w:rsidP="009C6D61">
      <w:pPr>
        <w:rPr>
          <w:rFonts w:cs="Arial"/>
          <w:i/>
          <w:iCs/>
          <w:sz w:val="22"/>
          <w:szCs w:val="22"/>
        </w:rPr>
      </w:pPr>
    </w:p>
    <w:p w14:paraId="682FDF2E" w14:textId="05AE61D1" w:rsidR="009C6D61" w:rsidRPr="00DB040C" w:rsidRDefault="009C6D61" w:rsidP="009C6D61">
      <w:pPr>
        <w:rPr>
          <w:rFonts w:cs="Arial"/>
          <w:i/>
          <w:iCs/>
          <w:sz w:val="22"/>
          <w:szCs w:val="22"/>
        </w:rPr>
      </w:pPr>
      <w:r w:rsidRPr="00DB040C">
        <w:rPr>
          <w:rFonts w:cs="Arial"/>
          <w:i/>
          <w:iCs/>
          <w:sz w:val="22"/>
          <w:szCs w:val="22"/>
        </w:rPr>
        <w:t xml:space="preserve">Así mismo, exigirles a los compradores proyecciones de demanda con un horizonte mínimo de cinco (5) años, especificando el(los) </w:t>
      </w:r>
      <w:r w:rsidR="00232509">
        <w:rPr>
          <w:rFonts w:cs="Arial"/>
          <w:i/>
          <w:iCs/>
          <w:sz w:val="22"/>
          <w:szCs w:val="22"/>
        </w:rPr>
        <w:t>‘</w:t>
      </w:r>
      <w:r w:rsidRPr="00DB040C">
        <w:rPr>
          <w:rFonts w:cs="Arial"/>
          <w:i/>
          <w:iCs/>
          <w:sz w:val="22"/>
          <w:szCs w:val="22"/>
        </w:rPr>
        <w:t>Punto(s) de Referencia</w:t>
      </w:r>
      <w:r w:rsidR="00232509">
        <w:rPr>
          <w:rFonts w:cs="Arial"/>
          <w:i/>
          <w:iCs/>
          <w:sz w:val="22"/>
          <w:szCs w:val="22"/>
        </w:rPr>
        <w:t>’</w:t>
      </w:r>
      <w:r w:rsidRPr="00DB040C">
        <w:rPr>
          <w:rFonts w:cs="Arial"/>
          <w:i/>
          <w:iCs/>
          <w:sz w:val="22"/>
          <w:szCs w:val="22"/>
        </w:rPr>
        <w:t>, discriminando la Demanda Esencial y No Esencial para la que pretenden contratar suministro en firme y diferenciando dichas demandas por tipo de usuario, es un despropósito, en la medida en que la CREG manifiesta que las cantidades que se reporten para la denominada Demanda Esencial no tiene segunda instancia de modificación.</w:t>
      </w:r>
    </w:p>
    <w:p w14:paraId="0F91D3C3" w14:textId="77777777" w:rsidR="009C6D61" w:rsidRPr="00DB040C" w:rsidRDefault="009C6D61" w:rsidP="009C6D61">
      <w:pPr>
        <w:rPr>
          <w:rFonts w:cs="Arial"/>
          <w:i/>
          <w:iCs/>
          <w:sz w:val="22"/>
          <w:szCs w:val="22"/>
        </w:rPr>
      </w:pPr>
    </w:p>
    <w:p w14:paraId="68759077" w14:textId="77777777" w:rsidR="009C6D61" w:rsidRPr="00DB040C" w:rsidRDefault="009C6D61" w:rsidP="009C6D61">
      <w:pPr>
        <w:rPr>
          <w:rFonts w:cs="Arial"/>
          <w:i/>
          <w:iCs/>
          <w:sz w:val="22"/>
          <w:szCs w:val="22"/>
        </w:rPr>
      </w:pPr>
      <w:r w:rsidRPr="00DB040C">
        <w:rPr>
          <w:rFonts w:cs="Arial"/>
          <w:i/>
          <w:iCs/>
          <w:sz w:val="22"/>
          <w:szCs w:val="22"/>
        </w:rPr>
        <w:t>Se habla de despropósito toda vez que en el Proyecto de Resolución 702 002 de 2022, la CREG propone que los usuarios diferentes al residencial podrán escoger libremente la condición de Usuario Regulado o No Regulado, siempre que así lo manifiesten por escrito al Comercializador que lo atiende, lo que los habilita para cambio de Comercializador.</w:t>
      </w:r>
    </w:p>
    <w:p w14:paraId="01342104" w14:textId="77777777" w:rsidR="009C6D61" w:rsidRPr="00DB040C" w:rsidRDefault="009C6D61" w:rsidP="009C6D61">
      <w:pPr>
        <w:rPr>
          <w:rFonts w:cs="Arial"/>
          <w:i/>
          <w:iCs/>
          <w:sz w:val="22"/>
          <w:szCs w:val="22"/>
        </w:rPr>
      </w:pPr>
    </w:p>
    <w:p w14:paraId="47E34CA0" w14:textId="129386CB" w:rsidR="009C6D61" w:rsidRDefault="009C6D61" w:rsidP="009C6D61">
      <w:pPr>
        <w:rPr>
          <w:rFonts w:cs="Arial"/>
          <w:i/>
          <w:iCs/>
          <w:sz w:val="22"/>
          <w:szCs w:val="22"/>
        </w:rPr>
      </w:pPr>
      <w:r w:rsidRPr="00DB040C">
        <w:rPr>
          <w:rFonts w:cs="Arial"/>
          <w:i/>
          <w:iCs/>
          <w:sz w:val="22"/>
          <w:szCs w:val="22"/>
        </w:rPr>
        <w:t xml:space="preserve">Se pone de manifiesto que de acuerdo con lo dispuesto en el Decreto 880 de 2007, compilado en el Decreto 1073 de 2015 la Demanda Esencial: </w:t>
      </w:r>
      <w:r w:rsidR="00232509">
        <w:rPr>
          <w:rFonts w:cs="Arial"/>
          <w:i/>
          <w:iCs/>
          <w:sz w:val="22"/>
          <w:szCs w:val="22"/>
        </w:rPr>
        <w:t>‘</w:t>
      </w:r>
      <w:r w:rsidRPr="00DB040C">
        <w:rPr>
          <w:rFonts w:cs="Arial"/>
          <w:i/>
          <w:iCs/>
          <w:sz w:val="22"/>
          <w:szCs w:val="22"/>
        </w:rPr>
        <w:t xml:space="preserve">Corresponde a i) la demanda de gas natural para la operación de las estaciones de compresión del SNT, </w:t>
      </w:r>
      <w:proofErr w:type="spellStart"/>
      <w:r w:rsidRPr="00DB040C">
        <w:rPr>
          <w:rFonts w:cs="Arial"/>
          <w:i/>
          <w:iCs/>
          <w:sz w:val="22"/>
          <w:szCs w:val="22"/>
        </w:rPr>
        <w:t>ii</w:t>
      </w:r>
      <w:proofErr w:type="spellEnd"/>
      <w:r w:rsidRPr="00DB040C">
        <w:rPr>
          <w:rFonts w:cs="Arial"/>
          <w:i/>
          <w:iCs/>
          <w:sz w:val="22"/>
          <w:szCs w:val="22"/>
        </w:rPr>
        <w:t xml:space="preserve">) la demanda de gas natural de usuarios </w:t>
      </w:r>
      <w:r w:rsidRPr="00B7478F">
        <w:rPr>
          <w:rFonts w:cs="Arial"/>
          <w:i/>
          <w:iCs/>
          <w:sz w:val="22"/>
          <w:szCs w:val="22"/>
          <w:u w:val="single"/>
        </w:rPr>
        <w:t>residenciales y pequeños usuarios comerciales inmersos en la red de distribución</w:t>
      </w:r>
      <w:r w:rsidRPr="00DB040C">
        <w:rPr>
          <w:rFonts w:cs="Arial"/>
          <w:i/>
          <w:iCs/>
          <w:sz w:val="22"/>
          <w:szCs w:val="22"/>
        </w:rPr>
        <w:t xml:space="preserve">, </w:t>
      </w:r>
      <w:proofErr w:type="spellStart"/>
      <w:r w:rsidRPr="00DB040C">
        <w:rPr>
          <w:rFonts w:cs="Arial"/>
          <w:i/>
          <w:iCs/>
          <w:sz w:val="22"/>
          <w:szCs w:val="22"/>
        </w:rPr>
        <w:t>iii</w:t>
      </w:r>
      <w:proofErr w:type="spellEnd"/>
      <w:r w:rsidRPr="00DB040C">
        <w:rPr>
          <w:rFonts w:cs="Arial"/>
          <w:i/>
          <w:iCs/>
          <w:sz w:val="22"/>
          <w:szCs w:val="22"/>
        </w:rPr>
        <w:t xml:space="preserve">) </w:t>
      </w:r>
      <w:r w:rsidRPr="00B7478F">
        <w:rPr>
          <w:rFonts w:cs="Arial"/>
          <w:i/>
          <w:iCs/>
          <w:sz w:val="22"/>
          <w:szCs w:val="22"/>
          <w:u w:val="single"/>
        </w:rPr>
        <w:t>la demanda de GNCV,</w:t>
      </w:r>
      <w:r w:rsidRPr="00DB040C">
        <w:rPr>
          <w:rFonts w:cs="Arial"/>
          <w:i/>
          <w:iCs/>
          <w:sz w:val="22"/>
          <w:szCs w:val="22"/>
        </w:rPr>
        <w:t xml:space="preserve"> y </w:t>
      </w:r>
      <w:proofErr w:type="spellStart"/>
      <w:r w:rsidRPr="00DB040C">
        <w:rPr>
          <w:rFonts w:cs="Arial"/>
          <w:i/>
          <w:iCs/>
          <w:sz w:val="22"/>
          <w:szCs w:val="22"/>
        </w:rPr>
        <w:t>iv</w:t>
      </w:r>
      <w:proofErr w:type="spellEnd"/>
      <w:r w:rsidRPr="00DB040C">
        <w:rPr>
          <w:rFonts w:cs="Arial"/>
          <w:i/>
          <w:iCs/>
          <w:sz w:val="22"/>
          <w:szCs w:val="22"/>
        </w:rPr>
        <w:t>) la demanda de gas natural de las refinerías, excluyendo aquella con destino a autogeneración de energía eléctrica que pueda ser reemplazada con energía del sistema interconectado nacional</w:t>
      </w:r>
      <w:r w:rsidR="00232509">
        <w:rPr>
          <w:rFonts w:cs="Arial"/>
          <w:i/>
          <w:iCs/>
          <w:sz w:val="22"/>
          <w:szCs w:val="22"/>
        </w:rPr>
        <w:t>’</w:t>
      </w:r>
      <w:r w:rsidRPr="00DB040C">
        <w:rPr>
          <w:rFonts w:cs="Arial"/>
          <w:i/>
          <w:iCs/>
          <w:sz w:val="22"/>
          <w:szCs w:val="22"/>
        </w:rPr>
        <w:t>. (Subrayado Fuera de Texto).</w:t>
      </w:r>
    </w:p>
    <w:p w14:paraId="75FF7C7A" w14:textId="77777777" w:rsidR="009C6D61" w:rsidRPr="00DB040C" w:rsidRDefault="009C6D61" w:rsidP="009C6D61">
      <w:pPr>
        <w:rPr>
          <w:rFonts w:cs="Arial"/>
          <w:i/>
          <w:iCs/>
          <w:sz w:val="22"/>
          <w:szCs w:val="22"/>
        </w:rPr>
      </w:pPr>
    </w:p>
    <w:p w14:paraId="65573E44" w14:textId="77777777" w:rsidR="009C6D61" w:rsidRPr="00DB040C" w:rsidRDefault="009C6D61" w:rsidP="009C6D61">
      <w:pPr>
        <w:rPr>
          <w:rFonts w:cs="Arial"/>
          <w:i/>
          <w:iCs/>
          <w:sz w:val="22"/>
          <w:szCs w:val="22"/>
        </w:rPr>
      </w:pPr>
      <w:r w:rsidRPr="00DB040C">
        <w:rPr>
          <w:rFonts w:cs="Arial"/>
          <w:i/>
          <w:iCs/>
          <w:sz w:val="22"/>
          <w:szCs w:val="22"/>
        </w:rPr>
        <w:t>Si se tiene en cuenta que los pequeños usuarios comerciales inmersos en la red de distribución pueden optar por cambiar su condición de Usuarios Regulados a No Regulados, que la demanda de GNCV recibe tratamiento de Usuario No Regulado y que el Proyecto de Resolución CREG-227 de 2021 castiga los excedentes, la mejor proyección de demanda que reportaría un comprador será una demanda posiblemente subestimada."</w:t>
      </w:r>
    </w:p>
    <w:p w14:paraId="3DDC2419" w14:textId="77777777" w:rsidR="00CA3C32" w:rsidRDefault="00CA3C32" w:rsidP="0028726C">
      <w:pPr>
        <w:rPr>
          <w:rFonts w:cs="Arial"/>
          <w:sz w:val="22"/>
          <w:szCs w:val="22"/>
        </w:rPr>
      </w:pPr>
    </w:p>
    <w:p w14:paraId="4836BCAA" w14:textId="77777777" w:rsidR="009C6D61" w:rsidRPr="007C1761" w:rsidRDefault="009C6D61" w:rsidP="009C6D61">
      <w:pPr>
        <w:rPr>
          <w:rFonts w:cs="Arial"/>
          <w:b/>
          <w:bCs/>
          <w:sz w:val="22"/>
          <w:szCs w:val="22"/>
        </w:rPr>
      </w:pPr>
      <w:r w:rsidRPr="007C1761">
        <w:rPr>
          <w:rFonts w:cs="Arial"/>
          <w:b/>
          <w:bCs/>
          <w:sz w:val="22"/>
          <w:szCs w:val="22"/>
        </w:rPr>
        <w:t>Respuesta:</w:t>
      </w:r>
    </w:p>
    <w:p w14:paraId="76F09C5F" w14:textId="77777777" w:rsidR="009C6D61" w:rsidRDefault="009C6D61" w:rsidP="009C6D61">
      <w:pPr>
        <w:rPr>
          <w:rFonts w:cs="Arial"/>
          <w:sz w:val="22"/>
          <w:szCs w:val="22"/>
        </w:rPr>
      </w:pPr>
    </w:p>
    <w:p w14:paraId="07ABE7D2" w14:textId="77777777" w:rsidR="009C6D61" w:rsidRDefault="009C6D61" w:rsidP="009C6D6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_Ref132284979 \r \h </w:instrText>
      </w:r>
      <w:r>
        <w:rPr>
          <w:rFonts w:cs="Arial"/>
          <w:sz w:val="22"/>
          <w:szCs w:val="22"/>
        </w:rPr>
      </w:r>
      <w:r>
        <w:rPr>
          <w:rFonts w:cs="Arial"/>
          <w:sz w:val="22"/>
          <w:szCs w:val="22"/>
        </w:rPr>
        <w:fldChar w:fldCharType="separate"/>
      </w:r>
      <w:r>
        <w:rPr>
          <w:rFonts w:cs="Arial"/>
          <w:sz w:val="22"/>
          <w:szCs w:val="22"/>
        </w:rPr>
        <w:t>19.13.1.9</w:t>
      </w:r>
      <w:r>
        <w:rPr>
          <w:rFonts w:cs="Arial"/>
          <w:sz w:val="22"/>
          <w:szCs w:val="22"/>
        </w:rPr>
        <w:fldChar w:fldCharType="end"/>
      </w:r>
      <w:r>
        <w:rPr>
          <w:rFonts w:cs="Arial"/>
          <w:sz w:val="22"/>
          <w:szCs w:val="22"/>
        </w:rPr>
        <w:t>.</w:t>
      </w:r>
    </w:p>
    <w:p w14:paraId="1F1BBE4D" w14:textId="77777777" w:rsidR="009C6D61" w:rsidRDefault="009C6D61" w:rsidP="0028726C">
      <w:pPr>
        <w:rPr>
          <w:rFonts w:cs="Arial"/>
          <w:sz w:val="22"/>
          <w:szCs w:val="22"/>
        </w:rPr>
      </w:pPr>
    </w:p>
    <w:p w14:paraId="3960FDE9" w14:textId="77777777" w:rsidR="009C6D61" w:rsidRDefault="009C6D61" w:rsidP="0028726C">
      <w:pPr>
        <w:rPr>
          <w:rFonts w:cs="Arial"/>
          <w:sz w:val="22"/>
          <w:szCs w:val="22"/>
        </w:rPr>
      </w:pPr>
    </w:p>
    <w:p w14:paraId="5AD7BB02" w14:textId="77777777" w:rsidR="00CA3C32" w:rsidRDefault="0028726C" w:rsidP="00F23443">
      <w:pPr>
        <w:pStyle w:val="Ttulo4"/>
      </w:pPr>
      <w:r w:rsidRPr="0028726C">
        <w:t>SURTIGAS</w:t>
      </w:r>
      <w:r w:rsidRPr="0028726C">
        <w:tab/>
      </w:r>
    </w:p>
    <w:p w14:paraId="24CE67BB" w14:textId="4161AA86" w:rsidR="0028726C" w:rsidRPr="00DE5C70" w:rsidRDefault="0028726C" w:rsidP="0028726C">
      <w:pPr>
        <w:rPr>
          <w:rFonts w:cs="Arial"/>
          <w:i/>
          <w:iCs/>
          <w:sz w:val="22"/>
          <w:szCs w:val="22"/>
        </w:rPr>
      </w:pPr>
      <w:r w:rsidRPr="0028726C">
        <w:rPr>
          <w:rFonts w:cs="Arial"/>
          <w:sz w:val="22"/>
          <w:szCs w:val="22"/>
        </w:rPr>
        <w:t>"</w:t>
      </w:r>
      <w:r w:rsidRPr="00DE5C70">
        <w:rPr>
          <w:rFonts w:cs="Arial"/>
          <w:i/>
          <w:iCs/>
          <w:sz w:val="22"/>
          <w:szCs w:val="22"/>
        </w:rPr>
        <w:t>El mecanismo propuesto por la CREG y que ha denominado MADE constituye un verdadero galimatías, en el caso de que el balance comercial resulte deficitario. Consideramos nosotros que el mecanismo es innecesariamente complejo. Además de solicitarle a la Comisión que simplifique en la medida de lo posible el esquema, sobre el mismo se plantean las siguientes, inquietudes/observaciones/consideraciones:</w:t>
      </w:r>
    </w:p>
    <w:p w14:paraId="1D6E2888" w14:textId="77777777" w:rsidR="0028726C" w:rsidRPr="00DE5C70" w:rsidRDefault="0028726C" w:rsidP="0028726C">
      <w:pPr>
        <w:rPr>
          <w:rFonts w:cs="Arial"/>
          <w:i/>
          <w:iCs/>
          <w:sz w:val="22"/>
          <w:szCs w:val="22"/>
        </w:rPr>
      </w:pPr>
    </w:p>
    <w:p w14:paraId="2615BAB5" w14:textId="77777777" w:rsidR="0028726C" w:rsidRPr="00DE5C70" w:rsidRDefault="0028726C" w:rsidP="0028726C">
      <w:pPr>
        <w:rPr>
          <w:rFonts w:cs="Arial"/>
          <w:i/>
          <w:iCs/>
          <w:sz w:val="22"/>
          <w:szCs w:val="22"/>
        </w:rPr>
      </w:pPr>
      <w:r w:rsidRPr="00DE5C70">
        <w:rPr>
          <w:rFonts w:cs="Arial"/>
          <w:i/>
          <w:iCs/>
          <w:sz w:val="22"/>
          <w:szCs w:val="22"/>
        </w:rPr>
        <w:t>- Se enfatiza lo ya indicado previamente, en el sentido de que de una proyección de oferta signada por la incertidumbre y de una proyección de demanda seguramente subestimada, el balance resultante resultará espurio y de sus resultados no se podrá inferir la condición superavitaria o deficitaria de la oferta.</w:t>
      </w:r>
    </w:p>
    <w:p w14:paraId="2AA8684E" w14:textId="77777777" w:rsidR="0028726C" w:rsidRPr="00DE5C70" w:rsidRDefault="0028726C" w:rsidP="0028726C">
      <w:pPr>
        <w:rPr>
          <w:rFonts w:cs="Arial"/>
          <w:i/>
          <w:iCs/>
          <w:sz w:val="22"/>
          <w:szCs w:val="22"/>
        </w:rPr>
      </w:pPr>
    </w:p>
    <w:p w14:paraId="19B634CE" w14:textId="77777777" w:rsidR="0028726C" w:rsidRPr="00DE5C70" w:rsidRDefault="0028726C" w:rsidP="0028726C">
      <w:pPr>
        <w:rPr>
          <w:rFonts w:cs="Arial"/>
          <w:i/>
          <w:iCs/>
          <w:sz w:val="22"/>
          <w:szCs w:val="22"/>
        </w:rPr>
      </w:pPr>
      <w:r w:rsidRPr="00DE5C70">
        <w:rPr>
          <w:rFonts w:cs="Arial"/>
          <w:i/>
          <w:iCs/>
          <w:sz w:val="22"/>
          <w:szCs w:val="22"/>
        </w:rPr>
        <w:t>- En el caso de superávit, no se encontró el soporte que llevó a la CREG a proponer que después de registrados los contratos con períodos trimestrales de suministro pactados bajo el mecanismo de negociación directa, se podrán negociar las cantidades declaradas de PTDVF y/o CIDVF que hayan quedado disponibles, solamente para el siguiente trimestre estándar al trimestre estándar de negociación, mediante contratos de suministro CF95/CF80 con plazo de ejecución de un (1) mes calendario.</w:t>
      </w:r>
    </w:p>
    <w:p w14:paraId="7E148CB6" w14:textId="77777777" w:rsidR="0028726C" w:rsidRPr="00DE5C70" w:rsidRDefault="0028726C" w:rsidP="0028726C">
      <w:pPr>
        <w:rPr>
          <w:rFonts w:cs="Arial"/>
          <w:i/>
          <w:iCs/>
          <w:sz w:val="22"/>
          <w:szCs w:val="22"/>
        </w:rPr>
      </w:pPr>
    </w:p>
    <w:p w14:paraId="112C2F13" w14:textId="7D86B5F0" w:rsidR="0028726C" w:rsidRPr="0028726C" w:rsidRDefault="0028726C" w:rsidP="0028726C">
      <w:pPr>
        <w:rPr>
          <w:rFonts w:cs="Arial"/>
          <w:sz w:val="22"/>
          <w:szCs w:val="22"/>
        </w:rPr>
      </w:pPr>
      <w:r w:rsidRPr="00DE5C70">
        <w:rPr>
          <w:rFonts w:cs="Arial"/>
          <w:i/>
          <w:iCs/>
          <w:sz w:val="22"/>
          <w:szCs w:val="22"/>
        </w:rPr>
        <w:t>Se requiere conocer el fundamento y el objetivo que persigue la Comisión al imponer el limitante de un (1) mes, si el comprador dueño del contrato de suministro (CF95/CF80) considera que puede comprometer excedentes de estos contratos durante plazos que superen el mes</w:t>
      </w:r>
      <w:r w:rsidRPr="0028726C">
        <w:rPr>
          <w:rFonts w:cs="Arial"/>
          <w:sz w:val="22"/>
          <w:szCs w:val="22"/>
        </w:rPr>
        <w:t>."</w:t>
      </w:r>
    </w:p>
    <w:p w14:paraId="25A67296" w14:textId="77777777" w:rsidR="00CA3C32" w:rsidRDefault="00CA3C32" w:rsidP="0028726C">
      <w:pPr>
        <w:rPr>
          <w:rFonts w:cs="Arial"/>
          <w:sz w:val="22"/>
          <w:szCs w:val="22"/>
        </w:rPr>
      </w:pPr>
    </w:p>
    <w:p w14:paraId="546A680A" w14:textId="77777777" w:rsidR="00DE5C70" w:rsidRPr="007C1761" w:rsidRDefault="00DE5C70" w:rsidP="00DE5C70">
      <w:pPr>
        <w:rPr>
          <w:rFonts w:cs="Arial"/>
          <w:b/>
          <w:bCs/>
          <w:sz w:val="22"/>
          <w:szCs w:val="22"/>
        </w:rPr>
      </w:pPr>
      <w:r w:rsidRPr="007C1761">
        <w:rPr>
          <w:rFonts w:cs="Arial"/>
          <w:b/>
          <w:bCs/>
          <w:sz w:val="22"/>
          <w:szCs w:val="22"/>
        </w:rPr>
        <w:t>Respuesta:</w:t>
      </w:r>
    </w:p>
    <w:p w14:paraId="11262E23" w14:textId="77777777" w:rsidR="00DE5C70" w:rsidRDefault="00DE5C70" w:rsidP="00DE5C70">
      <w:pPr>
        <w:rPr>
          <w:rFonts w:cs="Arial"/>
          <w:sz w:val="22"/>
          <w:szCs w:val="22"/>
        </w:rPr>
      </w:pPr>
    </w:p>
    <w:p w14:paraId="00C4BAC7" w14:textId="77777777" w:rsidR="00DE5C70" w:rsidRPr="0028726C" w:rsidRDefault="00DE5C70" w:rsidP="00DE5C70">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_Ref132618996 \r \h </w:instrText>
      </w:r>
      <w:r>
        <w:rPr>
          <w:rFonts w:cs="Arial"/>
          <w:sz w:val="22"/>
          <w:szCs w:val="22"/>
        </w:rPr>
      </w:r>
      <w:r>
        <w:rPr>
          <w:rFonts w:cs="Arial"/>
          <w:sz w:val="22"/>
          <w:szCs w:val="22"/>
        </w:rPr>
        <w:fldChar w:fldCharType="separate"/>
      </w:r>
      <w:r>
        <w:rPr>
          <w:rFonts w:cs="Arial"/>
          <w:sz w:val="22"/>
          <w:szCs w:val="22"/>
        </w:rPr>
        <w:t>19.13.1.10</w:t>
      </w:r>
      <w:r>
        <w:rPr>
          <w:rFonts w:cs="Arial"/>
          <w:sz w:val="22"/>
          <w:szCs w:val="22"/>
        </w:rPr>
        <w:fldChar w:fldCharType="end"/>
      </w:r>
      <w:r>
        <w:rPr>
          <w:rFonts w:cs="Arial"/>
          <w:sz w:val="22"/>
          <w:szCs w:val="22"/>
        </w:rPr>
        <w:t>.</w:t>
      </w:r>
    </w:p>
    <w:p w14:paraId="325DD2BD" w14:textId="77777777" w:rsidR="00DE5C70" w:rsidRDefault="00DE5C70" w:rsidP="0028726C">
      <w:pPr>
        <w:rPr>
          <w:rFonts w:cs="Arial"/>
          <w:sz w:val="22"/>
          <w:szCs w:val="22"/>
        </w:rPr>
      </w:pPr>
    </w:p>
    <w:p w14:paraId="04B73554" w14:textId="77777777" w:rsidR="00DE5C70" w:rsidRDefault="00DE5C70" w:rsidP="0028726C">
      <w:pPr>
        <w:rPr>
          <w:rFonts w:cs="Arial"/>
          <w:sz w:val="22"/>
          <w:szCs w:val="22"/>
        </w:rPr>
      </w:pPr>
    </w:p>
    <w:p w14:paraId="2B0CA7E3" w14:textId="77777777" w:rsidR="00CA3C32" w:rsidRDefault="0028726C" w:rsidP="00F23443">
      <w:pPr>
        <w:pStyle w:val="Ttulo4"/>
      </w:pPr>
      <w:r w:rsidRPr="0028726C">
        <w:t>SURTIGAS</w:t>
      </w:r>
      <w:r w:rsidRPr="0028726C">
        <w:tab/>
      </w:r>
    </w:p>
    <w:p w14:paraId="671697BC" w14:textId="2564E75D" w:rsidR="0028726C" w:rsidRPr="00DE5C70" w:rsidRDefault="0028726C" w:rsidP="0028726C">
      <w:pPr>
        <w:rPr>
          <w:rFonts w:cs="Arial"/>
          <w:i/>
          <w:iCs/>
          <w:sz w:val="22"/>
          <w:szCs w:val="22"/>
        </w:rPr>
      </w:pPr>
      <w:r w:rsidRPr="0028726C">
        <w:rPr>
          <w:rFonts w:cs="Arial"/>
          <w:sz w:val="22"/>
          <w:szCs w:val="22"/>
        </w:rPr>
        <w:t>"</w:t>
      </w:r>
      <w:r w:rsidRPr="00DE5C70">
        <w:rPr>
          <w:rFonts w:cs="Arial"/>
          <w:i/>
          <w:iCs/>
          <w:sz w:val="22"/>
          <w:szCs w:val="22"/>
        </w:rPr>
        <w:t>En caso de déficit, la CREG no considera que los contratos trimestrales que aquí se reglan, se traslapan con contratos de suministro vigentes ya registrados ante el Gestor y que no tendrían por qué someterse a repartos definidos a prorrata de fuentes y a prorrata de las Demandas Esenciales declaradas. Si la CREG insiste en la implementación del MADE, debe conciliar la propuesta de tal manera que no se desconozcan contratos ya pactados que se encuentre vigentes, en un trimestre estándar en el que se identifique déficit.</w:t>
      </w:r>
    </w:p>
    <w:p w14:paraId="68C7EB19" w14:textId="77777777" w:rsidR="0028726C" w:rsidRPr="00DE5C70" w:rsidRDefault="0028726C" w:rsidP="0028726C">
      <w:pPr>
        <w:rPr>
          <w:rFonts w:cs="Arial"/>
          <w:i/>
          <w:iCs/>
          <w:sz w:val="22"/>
          <w:szCs w:val="22"/>
        </w:rPr>
      </w:pPr>
    </w:p>
    <w:p w14:paraId="58931C2F" w14:textId="77777777" w:rsidR="0028726C" w:rsidRPr="00DE5C70" w:rsidRDefault="0028726C" w:rsidP="0028726C">
      <w:pPr>
        <w:rPr>
          <w:rFonts w:cs="Arial"/>
          <w:i/>
          <w:iCs/>
          <w:sz w:val="22"/>
          <w:szCs w:val="22"/>
        </w:rPr>
      </w:pPr>
      <w:r w:rsidRPr="00DE5C70">
        <w:rPr>
          <w:rFonts w:cs="Arial"/>
          <w:i/>
          <w:iCs/>
          <w:sz w:val="22"/>
          <w:szCs w:val="22"/>
        </w:rPr>
        <w:t>Por la misma razón anterior, no estamos de acuerdo con la forma en que la CREG propone que se defina el precio de los contratos para atender Demanda Esencial en un trimestre deficitario, si hay compradores que ya detentan contratos de suministro vigentes para tal trimestre, contratos que ya tienen precios previamente acordados con los respectivos vendedores."</w:t>
      </w:r>
    </w:p>
    <w:p w14:paraId="4C7AA70B" w14:textId="77777777" w:rsidR="00CA3C32" w:rsidRDefault="00CA3C32" w:rsidP="0028726C">
      <w:pPr>
        <w:rPr>
          <w:rFonts w:cs="Arial"/>
          <w:sz w:val="22"/>
          <w:szCs w:val="22"/>
        </w:rPr>
      </w:pPr>
    </w:p>
    <w:p w14:paraId="3025CD7B" w14:textId="77777777" w:rsidR="00DE5C70" w:rsidRPr="007C1761" w:rsidRDefault="00DE5C70" w:rsidP="00DE5C70">
      <w:pPr>
        <w:rPr>
          <w:rFonts w:cs="Arial"/>
          <w:b/>
          <w:bCs/>
          <w:sz w:val="22"/>
          <w:szCs w:val="22"/>
        </w:rPr>
      </w:pPr>
      <w:r w:rsidRPr="007C1761">
        <w:rPr>
          <w:rFonts w:cs="Arial"/>
          <w:b/>
          <w:bCs/>
          <w:sz w:val="22"/>
          <w:szCs w:val="22"/>
        </w:rPr>
        <w:t>Respuesta:</w:t>
      </w:r>
    </w:p>
    <w:p w14:paraId="3548AF64" w14:textId="77777777" w:rsidR="00DE5C70" w:rsidRDefault="00DE5C70" w:rsidP="00DE5C70">
      <w:pPr>
        <w:rPr>
          <w:rFonts w:cs="Arial"/>
          <w:sz w:val="22"/>
          <w:szCs w:val="22"/>
        </w:rPr>
      </w:pPr>
    </w:p>
    <w:p w14:paraId="407D62A6" w14:textId="77777777" w:rsidR="00DE5C70" w:rsidRDefault="00DE5C70" w:rsidP="00DE5C70">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_Ref132635991 \r \h </w:instrText>
      </w:r>
      <w:r>
        <w:rPr>
          <w:rFonts w:cs="Arial"/>
          <w:sz w:val="22"/>
          <w:szCs w:val="22"/>
        </w:rPr>
      </w:r>
      <w:r>
        <w:rPr>
          <w:rFonts w:cs="Arial"/>
          <w:sz w:val="22"/>
          <w:szCs w:val="22"/>
        </w:rPr>
        <w:fldChar w:fldCharType="separate"/>
      </w:r>
      <w:r>
        <w:rPr>
          <w:rFonts w:cs="Arial"/>
          <w:sz w:val="22"/>
          <w:szCs w:val="22"/>
        </w:rPr>
        <w:t>19.13.1.11</w:t>
      </w:r>
      <w:r>
        <w:rPr>
          <w:rFonts w:cs="Arial"/>
          <w:sz w:val="22"/>
          <w:szCs w:val="22"/>
        </w:rPr>
        <w:fldChar w:fldCharType="end"/>
      </w:r>
      <w:r>
        <w:rPr>
          <w:rFonts w:cs="Arial"/>
          <w:sz w:val="22"/>
          <w:szCs w:val="22"/>
        </w:rPr>
        <w:t>.</w:t>
      </w:r>
    </w:p>
    <w:p w14:paraId="7F88B8E8" w14:textId="77777777" w:rsidR="00DE5C70" w:rsidRDefault="00DE5C70" w:rsidP="0028726C">
      <w:pPr>
        <w:rPr>
          <w:rFonts w:cs="Arial"/>
          <w:sz w:val="22"/>
          <w:szCs w:val="22"/>
        </w:rPr>
      </w:pPr>
    </w:p>
    <w:p w14:paraId="6B4F438D" w14:textId="77777777" w:rsidR="00DE5C70" w:rsidRDefault="00DE5C70" w:rsidP="0028726C">
      <w:pPr>
        <w:rPr>
          <w:rFonts w:cs="Arial"/>
          <w:sz w:val="22"/>
          <w:szCs w:val="22"/>
        </w:rPr>
      </w:pPr>
    </w:p>
    <w:p w14:paraId="5DB9364C" w14:textId="77777777" w:rsidR="00CA3C32" w:rsidRDefault="0028726C" w:rsidP="00F23443">
      <w:pPr>
        <w:pStyle w:val="Ttulo4"/>
      </w:pPr>
      <w:r w:rsidRPr="0028726C">
        <w:t>SURTIGAS</w:t>
      </w:r>
      <w:r w:rsidRPr="0028726C">
        <w:tab/>
      </w:r>
    </w:p>
    <w:p w14:paraId="1EAD2BD1" w14:textId="144109AE" w:rsidR="0028726C" w:rsidRPr="00DE5C70" w:rsidRDefault="00232509" w:rsidP="0028726C">
      <w:pPr>
        <w:rPr>
          <w:rFonts w:cs="Arial"/>
          <w:i/>
          <w:iCs/>
          <w:sz w:val="22"/>
          <w:szCs w:val="22"/>
        </w:rPr>
      </w:pPr>
      <w:r>
        <w:rPr>
          <w:rFonts w:cs="Arial"/>
          <w:i/>
          <w:iCs/>
          <w:sz w:val="22"/>
          <w:szCs w:val="22"/>
        </w:rPr>
        <w:t>“</w:t>
      </w:r>
      <w:r w:rsidR="0028726C" w:rsidRPr="00DE5C70">
        <w:rPr>
          <w:rFonts w:cs="Arial"/>
          <w:i/>
          <w:iCs/>
          <w:sz w:val="22"/>
          <w:szCs w:val="22"/>
        </w:rPr>
        <w:t>Así mismo consideramos en caso de balance deficitario, que la propuesta de la CREG en el sentido de que la falta de acuerdo entre las partes sobre los términos de los contratos de suministro que se suscribirán para atender la Demanda Esencial, da lugar a la “liberación” de las cantidades y que dichas cantidades pueden ser usadas por los vendedores en otras negociaciones o en los procesos de asignación de las cantidades remanentes a la demanda diferente a la Demanda Esencial, contraviene el que coloquialmente se ha denominado Estatuto de Racionamiento Gas expedido por el MME.</w:t>
      </w:r>
      <w:r>
        <w:rPr>
          <w:rFonts w:cs="Arial"/>
          <w:i/>
          <w:iCs/>
          <w:sz w:val="22"/>
          <w:szCs w:val="22"/>
        </w:rPr>
        <w:t>”</w:t>
      </w:r>
    </w:p>
    <w:p w14:paraId="4A10F7D6" w14:textId="77777777" w:rsidR="00CA3C32" w:rsidRDefault="00CA3C32" w:rsidP="0028726C">
      <w:pPr>
        <w:rPr>
          <w:rFonts w:cs="Arial"/>
          <w:sz w:val="22"/>
          <w:szCs w:val="22"/>
        </w:rPr>
      </w:pPr>
    </w:p>
    <w:p w14:paraId="70CEF001" w14:textId="77777777" w:rsidR="00DE5C70" w:rsidRPr="007C1761" w:rsidRDefault="00DE5C70" w:rsidP="00DE5C70">
      <w:pPr>
        <w:rPr>
          <w:rFonts w:cs="Arial"/>
          <w:b/>
          <w:bCs/>
          <w:sz w:val="22"/>
          <w:szCs w:val="22"/>
        </w:rPr>
      </w:pPr>
      <w:r w:rsidRPr="007C1761">
        <w:rPr>
          <w:rFonts w:cs="Arial"/>
          <w:b/>
          <w:bCs/>
          <w:sz w:val="22"/>
          <w:szCs w:val="22"/>
        </w:rPr>
        <w:t>Respuesta:</w:t>
      </w:r>
    </w:p>
    <w:p w14:paraId="4DDA4EC6" w14:textId="77777777" w:rsidR="00DE5C70" w:rsidRDefault="00DE5C70" w:rsidP="00DE5C70">
      <w:pPr>
        <w:rPr>
          <w:rFonts w:cs="Arial"/>
          <w:sz w:val="22"/>
          <w:szCs w:val="22"/>
        </w:rPr>
      </w:pPr>
    </w:p>
    <w:p w14:paraId="4B0CD7DF" w14:textId="77777777" w:rsidR="00DE5C70" w:rsidRPr="0028726C" w:rsidRDefault="00DE5C70" w:rsidP="00DE5C70">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_Ref132639814 \r \h </w:instrText>
      </w:r>
      <w:r>
        <w:rPr>
          <w:rFonts w:cs="Arial"/>
          <w:sz w:val="22"/>
          <w:szCs w:val="22"/>
        </w:rPr>
      </w:r>
      <w:r>
        <w:rPr>
          <w:rFonts w:cs="Arial"/>
          <w:sz w:val="22"/>
          <w:szCs w:val="22"/>
        </w:rPr>
        <w:fldChar w:fldCharType="separate"/>
      </w:r>
      <w:r>
        <w:rPr>
          <w:rFonts w:cs="Arial"/>
          <w:sz w:val="22"/>
          <w:szCs w:val="22"/>
        </w:rPr>
        <w:t>19.13.1.12</w:t>
      </w:r>
      <w:r>
        <w:rPr>
          <w:rFonts w:cs="Arial"/>
          <w:sz w:val="22"/>
          <w:szCs w:val="22"/>
        </w:rPr>
        <w:fldChar w:fldCharType="end"/>
      </w:r>
      <w:r>
        <w:rPr>
          <w:rFonts w:cs="Arial"/>
          <w:sz w:val="22"/>
          <w:szCs w:val="22"/>
        </w:rPr>
        <w:t>.</w:t>
      </w:r>
    </w:p>
    <w:p w14:paraId="1A572713" w14:textId="77777777" w:rsidR="00CA3C32" w:rsidRDefault="00CA3C32" w:rsidP="0028726C">
      <w:pPr>
        <w:rPr>
          <w:rFonts w:cs="Arial"/>
          <w:sz w:val="22"/>
          <w:szCs w:val="22"/>
        </w:rPr>
      </w:pPr>
    </w:p>
    <w:p w14:paraId="2BDB093D" w14:textId="77777777" w:rsidR="00DE5C70" w:rsidRDefault="00DE5C70" w:rsidP="0028726C">
      <w:pPr>
        <w:rPr>
          <w:rFonts w:cs="Arial"/>
          <w:sz w:val="22"/>
          <w:szCs w:val="22"/>
        </w:rPr>
      </w:pPr>
    </w:p>
    <w:p w14:paraId="2CC62D16" w14:textId="77777777" w:rsidR="00CA3C32" w:rsidRDefault="0028726C" w:rsidP="0090195C">
      <w:pPr>
        <w:pStyle w:val="Ttulo2"/>
      </w:pPr>
      <w:bookmarkStart w:id="857" w:name="_Toc140506450"/>
      <w:r w:rsidRPr="0028726C">
        <w:t>TEBSA</w:t>
      </w:r>
      <w:bookmarkEnd w:id="857"/>
      <w:r w:rsidRPr="0028726C">
        <w:tab/>
      </w:r>
    </w:p>
    <w:p w14:paraId="2A73FF6B" w14:textId="77777777" w:rsidR="00002A82" w:rsidRDefault="00002A82" w:rsidP="00F23443">
      <w:pPr>
        <w:pStyle w:val="Ttulo4"/>
      </w:pPr>
      <w:r w:rsidRPr="0028726C">
        <w:t>TEBSA</w:t>
      </w:r>
      <w:r w:rsidRPr="0028726C">
        <w:tab/>
      </w:r>
    </w:p>
    <w:p w14:paraId="7476A440" w14:textId="62D9994A" w:rsidR="0028726C" w:rsidRPr="00AB6972" w:rsidRDefault="0028726C" w:rsidP="0028726C">
      <w:pPr>
        <w:rPr>
          <w:rFonts w:cs="Arial"/>
          <w:i/>
          <w:iCs/>
          <w:sz w:val="22"/>
          <w:szCs w:val="22"/>
        </w:rPr>
      </w:pPr>
      <w:r w:rsidRPr="0028726C">
        <w:rPr>
          <w:rFonts w:cs="Arial"/>
          <w:sz w:val="22"/>
          <w:szCs w:val="22"/>
        </w:rPr>
        <w:t>"</w:t>
      </w:r>
      <w:r w:rsidRPr="00AB6972">
        <w:rPr>
          <w:rFonts w:cs="Arial"/>
          <w:i/>
          <w:iCs/>
          <w:sz w:val="22"/>
          <w:szCs w:val="22"/>
        </w:rPr>
        <w:t xml:space="preserve">En cuanto al Mecanismo de Aseguramiento de la Demanda Esencial, MADE, consideramos que la terminal de importación debe primar para su uso en la demanda </w:t>
      </w:r>
      <w:proofErr w:type="spellStart"/>
      <w:r w:rsidRPr="00AB6972">
        <w:rPr>
          <w:rFonts w:cs="Arial"/>
          <w:i/>
          <w:iCs/>
          <w:sz w:val="22"/>
          <w:szCs w:val="22"/>
        </w:rPr>
        <w:t>termica</w:t>
      </w:r>
      <w:proofErr w:type="spellEnd"/>
      <w:r w:rsidRPr="00AB6972">
        <w:rPr>
          <w:rFonts w:cs="Arial"/>
          <w:i/>
          <w:iCs/>
          <w:sz w:val="22"/>
          <w:szCs w:val="22"/>
        </w:rPr>
        <w:t xml:space="preserve">, siendo que esta se </w:t>
      </w:r>
      <w:proofErr w:type="spellStart"/>
      <w:r w:rsidRPr="00AB6972">
        <w:rPr>
          <w:rFonts w:cs="Arial"/>
          <w:i/>
          <w:iCs/>
          <w:sz w:val="22"/>
          <w:szCs w:val="22"/>
        </w:rPr>
        <w:t>concebió</w:t>
      </w:r>
      <w:proofErr w:type="spellEnd"/>
      <w:r w:rsidRPr="00AB6972">
        <w:rPr>
          <w:rFonts w:cs="Arial"/>
          <w:i/>
          <w:iCs/>
          <w:sz w:val="22"/>
          <w:szCs w:val="22"/>
        </w:rPr>
        <w:t xml:space="preserve"> para este fin y para el denominado grupo GT.</w:t>
      </w:r>
      <w:r w:rsidR="00AB6972">
        <w:rPr>
          <w:rFonts w:cs="Arial"/>
          <w:i/>
          <w:iCs/>
          <w:sz w:val="22"/>
          <w:szCs w:val="22"/>
        </w:rPr>
        <w:t>”</w:t>
      </w:r>
    </w:p>
    <w:p w14:paraId="0DE64387" w14:textId="77777777" w:rsidR="0090195C" w:rsidRDefault="0090195C" w:rsidP="0028726C">
      <w:pPr>
        <w:rPr>
          <w:rFonts w:cs="Arial"/>
          <w:sz w:val="22"/>
          <w:szCs w:val="22"/>
        </w:rPr>
      </w:pPr>
    </w:p>
    <w:p w14:paraId="6DDB4F5D" w14:textId="38113CFE" w:rsidR="00483E94" w:rsidRPr="00C71BC6" w:rsidRDefault="00C71BC6" w:rsidP="0028726C">
      <w:pPr>
        <w:rPr>
          <w:rFonts w:cs="Arial"/>
          <w:b/>
          <w:bCs/>
          <w:sz w:val="22"/>
          <w:szCs w:val="22"/>
        </w:rPr>
      </w:pPr>
      <w:r w:rsidRPr="00C71BC6">
        <w:rPr>
          <w:rFonts w:cs="Arial"/>
          <w:b/>
          <w:bCs/>
          <w:sz w:val="22"/>
          <w:szCs w:val="22"/>
        </w:rPr>
        <w:t>Respuesta:</w:t>
      </w:r>
    </w:p>
    <w:p w14:paraId="0CC197FD" w14:textId="77777777" w:rsidR="00C71BC6" w:rsidRDefault="00C71BC6" w:rsidP="0028726C">
      <w:pPr>
        <w:rPr>
          <w:rFonts w:cs="Arial"/>
          <w:sz w:val="22"/>
          <w:szCs w:val="22"/>
        </w:rPr>
      </w:pPr>
    </w:p>
    <w:p w14:paraId="19D1396F" w14:textId="3C1CD3E3" w:rsidR="00C71BC6" w:rsidRDefault="0000283D" w:rsidP="0028726C">
      <w:pPr>
        <w:rPr>
          <w:rFonts w:cs="Arial"/>
          <w:sz w:val="22"/>
          <w:szCs w:val="22"/>
        </w:rPr>
      </w:pPr>
      <w:r>
        <w:rPr>
          <w:rFonts w:cs="Arial"/>
          <w:sz w:val="22"/>
          <w:szCs w:val="22"/>
        </w:rPr>
        <w:t>No es del alcance de la resolución del Mercado Mayorista de Gas Natural la regulación de los servicios asociados al acceso y/o uso de las infraestructuras de regasificación de gas y en general los servicios asociados a las infraestructuras de importación de gas.</w:t>
      </w:r>
    </w:p>
    <w:p w14:paraId="4622D549" w14:textId="77777777" w:rsidR="00C71BC6" w:rsidRDefault="00C71BC6" w:rsidP="0028726C">
      <w:pPr>
        <w:rPr>
          <w:rFonts w:cs="Arial"/>
          <w:sz w:val="22"/>
          <w:szCs w:val="22"/>
        </w:rPr>
      </w:pPr>
    </w:p>
    <w:p w14:paraId="0C2AF5FE" w14:textId="77777777" w:rsidR="00483E94" w:rsidRDefault="00483E94" w:rsidP="0028726C">
      <w:pPr>
        <w:rPr>
          <w:rFonts w:cs="Arial"/>
          <w:sz w:val="22"/>
          <w:szCs w:val="22"/>
        </w:rPr>
      </w:pPr>
    </w:p>
    <w:p w14:paraId="4C472834" w14:textId="77777777" w:rsidR="00483E94" w:rsidRDefault="00483E94" w:rsidP="00483E94">
      <w:pPr>
        <w:pStyle w:val="Ttulo4"/>
      </w:pPr>
      <w:r w:rsidRPr="0028726C">
        <w:t>TEBSA</w:t>
      </w:r>
      <w:r w:rsidRPr="0028726C">
        <w:tab/>
      </w:r>
    </w:p>
    <w:p w14:paraId="0688155A" w14:textId="2526BCF4" w:rsidR="0028726C" w:rsidRPr="0000283D" w:rsidRDefault="005A5F78" w:rsidP="0028726C">
      <w:pPr>
        <w:rPr>
          <w:rFonts w:cs="Arial"/>
          <w:i/>
          <w:iCs/>
          <w:sz w:val="22"/>
          <w:szCs w:val="22"/>
        </w:rPr>
      </w:pPr>
      <w:r>
        <w:rPr>
          <w:rFonts w:cs="Arial"/>
          <w:i/>
          <w:iCs/>
          <w:sz w:val="22"/>
          <w:szCs w:val="22"/>
        </w:rPr>
        <w:t>“</w:t>
      </w:r>
      <w:r w:rsidR="0028726C" w:rsidRPr="0000283D">
        <w:rPr>
          <w:rFonts w:cs="Arial"/>
          <w:i/>
          <w:iCs/>
          <w:sz w:val="22"/>
          <w:szCs w:val="22"/>
        </w:rPr>
        <w:t xml:space="preserve">Se menciona también que los participantes del MP que cuenten con contratos de suministro en ejecución al momento de la </w:t>
      </w:r>
      <w:proofErr w:type="gramStart"/>
      <w:r w:rsidR="0028726C" w:rsidRPr="0000283D">
        <w:rPr>
          <w:rFonts w:cs="Arial"/>
          <w:i/>
          <w:iCs/>
          <w:sz w:val="22"/>
          <w:szCs w:val="22"/>
        </w:rPr>
        <w:t>entrada en vigencia</w:t>
      </w:r>
      <w:proofErr w:type="gramEnd"/>
      <w:r w:rsidR="0028726C" w:rsidRPr="0000283D">
        <w:rPr>
          <w:rFonts w:cs="Arial"/>
          <w:i/>
          <w:iCs/>
          <w:sz w:val="22"/>
          <w:szCs w:val="22"/>
        </w:rPr>
        <w:t xml:space="preserve"> de esta resolución y que atiendan demanda esencial y/o termoeléctrica deberán informar y registrar ante el gestor de mercado, para lo cual consideramos que en este mecanismo no debe ser incluida la demanda </w:t>
      </w:r>
      <w:proofErr w:type="spellStart"/>
      <w:r w:rsidR="0028726C" w:rsidRPr="0000283D">
        <w:rPr>
          <w:rFonts w:cs="Arial"/>
          <w:i/>
          <w:iCs/>
          <w:sz w:val="22"/>
          <w:szCs w:val="22"/>
        </w:rPr>
        <w:t>termica</w:t>
      </w:r>
      <w:proofErr w:type="spellEnd"/>
      <w:r w:rsidR="0028726C" w:rsidRPr="0000283D">
        <w:rPr>
          <w:rFonts w:cs="Arial"/>
          <w:i/>
          <w:iCs/>
          <w:sz w:val="22"/>
          <w:szCs w:val="22"/>
        </w:rPr>
        <w:t>, a menos que sea considerada como demanda esencial.</w:t>
      </w:r>
      <w:r>
        <w:rPr>
          <w:rFonts w:cs="Arial"/>
          <w:i/>
          <w:iCs/>
          <w:sz w:val="22"/>
          <w:szCs w:val="22"/>
        </w:rPr>
        <w:t>”</w:t>
      </w:r>
    </w:p>
    <w:p w14:paraId="55E3A55F" w14:textId="77777777" w:rsidR="0000283D" w:rsidRDefault="0000283D" w:rsidP="0028726C">
      <w:pPr>
        <w:rPr>
          <w:rFonts w:cs="Arial"/>
          <w:sz w:val="22"/>
          <w:szCs w:val="22"/>
        </w:rPr>
      </w:pPr>
    </w:p>
    <w:p w14:paraId="16274955" w14:textId="7F7454B2" w:rsidR="0000283D" w:rsidRPr="0000283D" w:rsidRDefault="0000283D" w:rsidP="0028726C">
      <w:pPr>
        <w:rPr>
          <w:rFonts w:cs="Arial"/>
          <w:b/>
          <w:bCs/>
          <w:sz w:val="22"/>
          <w:szCs w:val="22"/>
        </w:rPr>
      </w:pPr>
      <w:r w:rsidRPr="0000283D">
        <w:rPr>
          <w:rFonts w:cs="Arial"/>
          <w:b/>
          <w:bCs/>
          <w:sz w:val="22"/>
          <w:szCs w:val="22"/>
        </w:rPr>
        <w:t>Respuesta:</w:t>
      </w:r>
    </w:p>
    <w:p w14:paraId="7D487D15" w14:textId="77777777" w:rsidR="0000283D" w:rsidRDefault="0000283D" w:rsidP="0028726C">
      <w:pPr>
        <w:rPr>
          <w:rFonts w:cs="Arial"/>
          <w:sz w:val="22"/>
          <w:szCs w:val="22"/>
        </w:rPr>
      </w:pPr>
    </w:p>
    <w:p w14:paraId="0ECAF78E" w14:textId="77777777" w:rsidR="0000283D" w:rsidRDefault="0000283D" w:rsidP="0000283D">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_Ref132635991 \r \h </w:instrText>
      </w:r>
      <w:r>
        <w:rPr>
          <w:rFonts w:cs="Arial"/>
          <w:sz w:val="22"/>
          <w:szCs w:val="22"/>
        </w:rPr>
      </w:r>
      <w:r>
        <w:rPr>
          <w:rFonts w:cs="Arial"/>
          <w:sz w:val="22"/>
          <w:szCs w:val="22"/>
        </w:rPr>
        <w:fldChar w:fldCharType="separate"/>
      </w:r>
      <w:r>
        <w:rPr>
          <w:rFonts w:cs="Arial"/>
          <w:sz w:val="22"/>
          <w:szCs w:val="22"/>
        </w:rPr>
        <w:t>19.13.1.11</w:t>
      </w:r>
      <w:r>
        <w:rPr>
          <w:rFonts w:cs="Arial"/>
          <w:sz w:val="22"/>
          <w:szCs w:val="22"/>
        </w:rPr>
        <w:fldChar w:fldCharType="end"/>
      </w:r>
      <w:r>
        <w:rPr>
          <w:rFonts w:cs="Arial"/>
          <w:sz w:val="22"/>
          <w:szCs w:val="22"/>
        </w:rPr>
        <w:t>.</w:t>
      </w:r>
    </w:p>
    <w:p w14:paraId="55801787" w14:textId="77777777" w:rsidR="0090195C" w:rsidRDefault="0090195C" w:rsidP="0028726C">
      <w:pPr>
        <w:rPr>
          <w:rFonts w:cs="Arial"/>
          <w:sz w:val="22"/>
          <w:szCs w:val="22"/>
        </w:rPr>
      </w:pPr>
    </w:p>
    <w:p w14:paraId="46C30101" w14:textId="77777777" w:rsidR="00483E94" w:rsidRDefault="00483E94" w:rsidP="0028726C">
      <w:pPr>
        <w:rPr>
          <w:rFonts w:cs="Arial"/>
          <w:sz w:val="22"/>
          <w:szCs w:val="22"/>
        </w:rPr>
      </w:pPr>
    </w:p>
    <w:p w14:paraId="21B8C89C" w14:textId="77777777" w:rsidR="00483E94" w:rsidRDefault="00483E94" w:rsidP="00483E94">
      <w:pPr>
        <w:pStyle w:val="Ttulo4"/>
      </w:pPr>
      <w:r w:rsidRPr="0028726C">
        <w:t>TEBSA</w:t>
      </w:r>
      <w:r w:rsidRPr="0028726C">
        <w:tab/>
      </w:r>
    </w:p>
    <w:p w14:paraId="2DA7D8F7" w14:textId="6BB28836" w:rsidR="0028726C" w:rsidRPr="0000283D" w:rsidRDefault="005A5F78" w:rsidP="0028726C">
      <w:pPr>
        <w:rPr>
          <w:rFonts w:cs="Arial"/>
          <w:i/>
          <w:iCs/>
          <w:sz w:val="22"/>
          <w:szCs w:val="22"/>
        </w:rPr>
      </w:pPr>
      <w:r>
        <w:rPr>
          <w:rFonts w:cs="Arial"/>
          <w:i/>
          <w:iCs/>
          <w:sz w:val="22"/>
          <w:szCs w:val="22"/>
        </w:rPr>
        <w:t>“</w:t>
      </w:r>
      <w:r w:rsidR="0028726C" w:rsidRPr="0000283D">
        <w:rPr>
          <w:rFonts w:cs="Arial"/>
          <w:i/>
          <w:iCs/>
          <w:sz w:val="22"/>
          <w:szCs w:val="22"/>
        </w:rPr>
        <w:t xml:space="preserve">En el numeral 1. de Divulgación de la oferta de PTDVF, CIDVF, </w:t>
      </w:r>
      <w:proofErr w:type="spellStart"/>
      <w:r w:rsidR="0028726C" w:rsidRPr="0000283D">
        <w:rPr>
          <w:rFonts w:cs="Arial"/>
          <w:i/>
          <w:iCs/>
          <w:sz w:val="22"/>
          <w:szCs w:val="22"/>
        </w:rPr>
        <w:t>item</w:t>
      </w:r>
      <w:proofErr w:type="spellEnd"/>
      <w:r w:rsidR="0028726C" w:rsidRPr="0000283D">
        <w:rPr>
          <w:rFonts w:cs="Arial"/>
          <w:i/>
          <w:iCs/>
          <w:sz w:val="22"/>
          <w:szCs w:val="22"/>
        </w:rPr>
        <w:t xml:space="preserve"> a) </w:t>
      </w:r>
      <w:proofErr w:type="spellStart"/>
      <w:r w:rsidR="0028726C" w:rsidRPr="0000283D">
        <w:rPr>
          <w:rFonts w:cs="Arial"/>
          <w:i/>
          <w:iCs/>
          <w:sz w:val="22"/>
          <w:szCs w:val="22"/>
        </w:rPr>
        <w:t>iii</w:t>
      </w:r>
      <w:proofErr w:type="spellEnd"/>
      <w:r w:rsidR="0028726C" w:rsidRPr="0000283D">
        <w:rPr>
          <w:rFonts w:cs="Arial"/>
          <w:i/>
          <w:iCs/>
          <w:sz w:val="22"/>
          <w:szCs w:val="22"/>
        </w:rPr>
        <w:t xml:space="preserve">. consideramos que en esta redacción no se está reconociendo las características particulares que tiene el GNL en su proceso de adquisición y consumo, las cuales, siendo de acceso amplio y suficiente, requiere unas condiciones mínimas según las características técnicas de la infraestructura; caso contrario a las fuentes de producción de campos nacionales tradicionales. En la misma vía va el comentario del </w:t>
      </w:r>
      <w:proofErr w:type="spellStart"/>
      <w:r w:rsidR="0028726C" w:rsidRPr="0000283D">
        <w:rPr>
          <w:rFonts w:cs="Arial"/>
          <w:i/>
          <w:iCs/>
          <w:sz w:val="22"/>
          <w:szCs w:val="22"/>
        </w:rPr>
        <w:t>iv</w:t>
      </w:r>
      <w:proofErr w:type="spellEnd"/>
      <w:r w:rsidR="0028726C" w:rsidRPr="0000283D">
        <w:rPr>
          <w:rFonts w:cs="Arial"/>
          <w:i/>
          <w:iCs/>
          <w:sz w:val="22"/>
          <w:szCs w:val="22"/>
        </w:rPr>
        <w:t xml:space="preserve">. la CIDVF debe cumplir sus </w:t>
      </w:r>
      <w:proofErr w:type="spellStart"/>
      <w:r w:rsidR="0028726C" w:rsidRPr="0000283D">
        <w:rPr>
          <w:rFonts w:cs="Arial"/>
          <w:i/>
          <w:iCs/>
          <w:sz w:val="22"/>
          <w:szCs w:val="22"/>
        </w:rPr>
        <w:t>caracteristicas</w:t>
      </w:r>
      <w:proofErr w:type="spellEnd"/>
      <w:r w:rsidR="0028726C" w:rsidRPr="0000283D">
        <w:rPr>
          <w:rFonts w:cs="Arial"/>
          <w:i/>
          <w:iCs/>
          <w:sz w:val="22"/>
          <w:szCs w:val="22"/>
        </w:rPr>
        <w:t xml:space="preserve"> particulares en la entrega.</w:t>
      </w:r>
      <w:r>
        <w:rPr>
          <w:rFonts w:cs="Arial"/>
          <w:i/>
          <w:iCs/>
          <w:sz w:val="22"/>
          <w:szCs w:val="22"/>
        </w:rPr>
        <w:t>”</w:t>
      </w:r>
    </w:p>
    <w:p w14:paraId="4105C178" w14:textId="77777777" w:rsidR="0090195C" w:rsidRDefault="0090195C" w:rsidP="0028726C">
      <w:pPr>
        <w:rPr>
          <w:rFonts w:cs="Arial"/>
          <w:sz w:val="22"/>
          <w:szCs w:val="22"/>
        </w:rPr>
      </w:pPr>
    </w:p>
    <w:p w14:paraId="668DC44A" w14:textId="06CEC719" w:rsidR="0000283D" w:rsidRPr="0000283D" w:rsidRDefault="0000283D" w:rsidP="0028726C">
      <w:pPr>
        <w:rPr>
          <w:rFonts w:cs="Arial"/>
          <w:b/>
          <w:bCs/>
          <w:sz w:val="22"/>
          <w:szCs w:val="22"/>
        </w:rPr>
      </w:pPr>
      <w:r w:rsidRPr="0000283D">
        <w:rPr>
          <w:rFonts w:cs="Arial"/>
          <w:b/>
          <w:bCs/>
          <w:sz w:val="22"/>
          <w:szCs w:val="22"/>
        </w:rPr>
        <w:t>Respuesta:</w:t>
      </w:r>
    </w:p>
    <w:p w14:paraId="58FCC343" w14:textId="77777777" w:rsidR="0000283D" w:rsidRDefault="0000283D" w:rsidP="0028726C">
      <w:pPr>
        <w:rPr>
          <w:rFonts w:cs="Arial"/>
          <w:sz w:val="22"/>
          <w:szCs w:val="22"/>
        </w:rPr>
      </w:pPr>
    </w:p>
    <w:p w14:paraId="50551D9F" w14:textId="5C91C6E1" w:rsidR="0000283D" w:rsidRDefault="00066317" w:rsidP="0028726C">
      <w:pPr>
        <w:rPr>
          <w:rFonts w:cs="Arial"/>
          <w:sz w:val="22"/>
          <w:szCs w:val="22"/>
        </w:rPr>
      </w:pPr>
      <w:r>
        <w:rPr>
          <w:rFonts w:cs="Arial"/>
          <w:sz w:val="22"/>
          <w:szCs w:val="22"/>
        </w:rPr>
        <w:t xml:space="preserve">Ver numeral </w:t>
      </w:r>
      <w:r w:rsidR="008F501E">
        <w:rPr>
          <w:rFonts w:cs="Arial"/>
          <w:sz w:val="22"/>
          <w:szCs w:val="22"/>
        </w:rPr>
        <w:fldChar w:fldCharType="begin"/>
      </w:r>
      <w:r w:rsidR="008F501E">
        <w:rPr>
          <w:rFonts w:cs="Arial"/>
          <w:sz w:val="22"/>
          <w:szCs w:val="22"/>
        </w:rPr>
        <w:instrText xml:space="preserve"> REF _Ref129780388 \r \h </w:instrText>
      </w:r>
      <w:r w:rsidR="008F501E">
        <w:rPr>
          <w:rFonts w:cs="Arial"/>
          <w:sz w:val="22"/>
          <w:szCs w:val="22"/>
        </w:rPr>
      </w:r>
      <w:r w:rsidR="008F501E">
        <w:rPr>
          <w:rFonts w:cs="Arial"/>
          <w:sz w:val="22"/>
          <w:szCs w:val="22"/>
        </w:rPr>
        <w:fldChar w:fldCharType="separate"/>
      </w:r>
      <w:r w:rsidR="008F501E">
        <w:rPr>
          <w:rFonts w:cs="Arial"/>
          <w:sz w:val="22"/>
          <w:szCs w:val="22"/>
        </w:rPr>
        <w:t>4.4</w:t>
      </w:r>
      <w:r w:rsidR="008F501E">
        <w:rPr>
          <w:rFonts w:cs="Arial"/>
          <w:sz w:val="22"/>
          <w:szCs w:val="22"/>
        </w:rPr>
        <w:fldChar w:fldCharType="end"/>
      </w:r>
      <w:r w:rsidR="008F501E">
        <w:rPr>
          <w:rFonts w:cs="Arial"/>
          <w:sz w:val="22"/>
          <w:szCs w:val="22"/>
        </w:rPr>
        <w:t>.</w:t>
      </w:r>
    </w:p>
    <w:p w14:paraId="3C11D1AD" w14:textId="77777777" w:rsidR="00066317" w:rsidRDefault="00066317" w:rsidP="0028726C">
      <w:pPr>
        <w:rPr>
          <w:rFonts w:cs="Arial"/>
          <w:sz w:val="22"/>
          <w:szCs w:val="22"/>
        </w:rPr>
      </w:pPr>
    </w:p>
    <w:p w14:paraId="7033D9FB" w14:textId="77777777" w:rsidR="00483E94" w:rsidRDefault="00483E94" w:rsidP="0028726C">
      <w:pPr>
        <w:rPr>
          <w:rFonts w:cs="Arial"/>
          <w:sz w:val="22"/>
          <w:szCs w:val="22"/>
        </w:rPr>
      </w:pPr>
    </w:p>
    <w:p w14:paraId="00695524" w14:textId="77777777" w:rsidR="00483E94" w:rsidRDefault="00483E94" w:rsidP="00483E94">
      <w:pPr>
        <w:pStyle w:val="Ttulo4"/>
      </w:pPr>
      <w:r w:rsidRPr="0028726C">
        <w:t>TEBSA</w:t>
      </w:r>
      <w:r w:rsidRPr="0028726C">
        <w:tab/>
      </w:r>
    </w:p>
    <w:p w14:paraId="1B3B4935" w14:textId="60715D89" w:rsidR="0028726C" w:rsidRPr="008F501E" w:rsidRDefault="005A5F78" w:rsidP="0028726C">
      <w:pPr>
        <w:rPr>
          <w:rFonts w:cs="Arial"/>
          <w:i/>
          <w:iCs/>
          <w:sz w:val="22"/>
          <w:szCs w:val="22"/>
        </w:rPr>
      </w:pPr>
      <w:r>
        <w:rPr>
          <w:rFonts w:cs="Arial"/>
          <w:i/>
          <w:iCs/>
          <w:sz w:val="22"/>
          <w:szCs w:val="22"/>
        </w:rPr>
        <w:t>“</w:t>
      </w:r>
      <w:r w:rsidR="0028726C" w:rsidRPr="008F501E">
        <w:rPr>
          <w:rFonts w:cs="Arial"/>
          <w:i/>
          <w:iCs/>
          <w:sz w:val="22"/>
          <w:szCs w:val="22"/>
        </w:rPr>
        <w:t>De igual manera consideramos que el mecanismo propuesto en este articulo requiere capacitaciones para entender su funcionamiento, entender como aplicaría el gestor de mercado, y como sería la transición, así como pruebas de aplicación</w:t>
      </w:r>
    </w:p>
    <w:p w14:paraId="5F912098" w14:textId="77777777" w:rsidR="00CA3C32" w:rsidRPr="008F501E" w:rsidRDefault="00CA3C32" w:rsidP="0028726C">
      <w:pPr>
        <w:rPr>
          <w:rFonts w:cs="Arial"/>
          <w:i/>
          <w:iCs/>
          <w:sz w:val="22"/>
          <w:szCs w:val="22"/>
        </w:rPr>
      </w:pPr>
    </w:p>
    <w:p w14:paraId="4C74490D" w14:textId="01B1C6DF" w:rsidR="0028726C" w:rsidRPr="008F501E" w:rsidRDefault="0028726C" w:rsidP="0028726C">
      <w:pPr>
        <w:rPr>
          <w:rFonts w:cs="Arial"/>
          <w:i/>
          <w:iCs/>
          <w:sz w:val="22"/>
          <w:szCs w:val="22"/>
        </w:rPr>
      </w:pPr>
      <w:r w:rsidRPr="008F501E">
        <w:rPr>
          <w:rFonts w:cs="Arial"/>
          <w:i/>
          <w:iCs/>
          <w:sz w:val="22"/>
          <w:szCs w:val="22"/>
        </w:rPr>
        <w:t xml:space="preserve">Como este mecanismo requiere unas fechas particulares de publicaciones, reportes, </w:t>
      </w:r>
      <w:proofErr w:type="spellStart"/>
      <w:r w:rsidRPr="008F501E">
        <w:rPr>
          <w:rFonts w:cs="Arial"/>
          <w:i/>
          <w:iCs/>
          <w:sz w:val="22"/>
          <w:szCs w:val="22"/>
        </w:rPr>
        <w:t>etc</w:t>
      </w:r>
      <w:proofErr w:type="spellEnd"/>
      <w:r w:rsidRPr="008F501E">
        <w:rPr>
          <w:rFonts w:cs="Arial"/>
          <w:i/>
          <w:iCs/>
          <w:sz w:val="22"/>
          <w:szCs w:val="22"/>
        </w:rPr>
        <w:t>, consideramos que el gestor debe tener un reporte con estas fechas y publicarlo para los agentes</w:t>
      </w:r>
      <w:r w:rsidR="008F501E" w:rsidRPr="008F501E">
        <w:rPr>
          <w:rFonts w:cs="Arial"/>
          <w:i/>
          <w:iCs/>
          <w:sz w:val="22"/>
          <w:szCs w:val="22"/>
        </w:rPr>
        <w:t>.</w:t>
      </w:r>
      <w:r w:rsidR="005A5F78">
        <w:rPr>
          <w:rFonts w:cs="Arial"/>
          <w:i/>
          <w:iCs/>
          <w:sz w:val="22"/>
          <w:szCs w:val="22"/>
        </w:rPr>
        <w:t>”</w:t>
      </w:r>
    </w:p>
    <w:p w14:paraId="4642CA01" w14:textId="77777777" w:rsidR="008F501E" w:rsidRDefault="008F501E" w:rsidP="0028726C">
      <w:pPr>
        <w:rPr>
          <w:rFonts w:cs="Arial"/>
          <w:sz w:val="22"/>
          <w:szCs w:val="22"/>
        </w:rPr>
      </w:pPr>
    </w:p>
    <w:p w14:paraId="0D23ADC6" w14:textId="28CF65B1" w:rsidR="008F501E" w:rsidRPr="008F501E" w:rsidRDefault="008F501E" w:rsidP="0028726C">
      <w:pPr>
        <w:rPr>
          <w:rFonts w:cs="Arial"/>
          <w:b/>
          <w:bCs/>
          <w:sz w:val="22"/>
          <w:szCs w:val="22"/>
        </w:rPr>
      </w:pPr>
      <w:r w:rsidRPr="008F501E">
        <w:rPr>
          <w:rFonts w:cs="Arial"/>
          <w:b/>
          <w:bCs/>
          <w:sz w:val="22"/>
          <w:szCs w:val="22"/>
        </w:rPr>
        <w:t>Respuesta:</w:t>
      </w:r>
    </w:p>
    <w:p w14:paraId="50139146" w14:textId="77777777" w:rsidR="008F501E" w:rsidRDefault="008F501E" w:rsidP="0028726C">
      <w:pPr>
        <w:rPr>
          <w:rFonts w:cs="Arial"/>
          <w:sz w:val="22"/>
          <w:szCs w:val="22"/>
        </w:rPr>
      </w:pPr>
    </w:p>
    <w:p w14:paraId="68C069ED" w14:textId="29519AA6" w:rsidR="008F501E" w:rsidRPr="0028726C" w:rsidRDefault="008F501E"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_Ref132615609 \r \h </w:instrText>
      </w:r>
      <w:r>
        <w:rPr>
          <w:rFonts w:cs="Arial"/>
          <w:sz w:val="22"/>
          <w:szCs w:val="22"/>
        </w:rPr>
      </w:r>
      <w:r>
        <w:rPr>
          <w:rFonts w:cs="Arial"/>
          <w:sz w:val="22"/>
          <w:szCs w:val="22"/>
        </w:rPr>
        <w:fldChar w:fldCharType="separate"/>
      </w:r>
      <w:r>
        <w:rPr>
          <w:rFonts w:cs="Arial"/>
          <w:sz w:val="22"/>
          <w:szCs w:val="22"/>
        </w:rPr>
        <w:t>1.2.1.13</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_Ref132190563 \r \h </w:instrText>
      </w:r>
      <w:r>
        <w:rPr>
          <w:rFonts w:cs="Arial"/>
          <w:sz w:val="22"/>
          <w:szCs w:val="22"/>
        </w:rPr>
      </w:r>
      <w:r>
        <w:rPr>
          <w:rFonts w:cs="Arial"/>
          <w:sz w:val="22"/>
          <w:szCs w:val="22"/>
        </w:rPr>
        <w:fldChar w:fldCharType="separate"/>
      </w:r>
      <w:r>
        <w:rPr>
          <w:rFonts w:cs="Arial"/>
          <w:sz w:val="22"/>
          <w:szCs w:val="22"/>
        </w:rPr>
        <w:t>19.2.1.2</w:t>
      </w:r>
      <w:r>
        <w:rPr>
          <w:rFonts w:cs="Arial"/>
          <w:sz w:val="22"/>
          <w:szCs w:val="22"/>
        </w:rPr>
        <w:fldChar w:fldCharType="end"/>
      </w:r>
      <w:r>
        <w:rPr>
          <w:rFonts w:cs="Arial"/>
          <w:sz w:val="22"/>
          <w:szCs w:val="22"/>
        </w:rPr>
        <w:t>.</w:t>
      </w:r>
    </w:p>
    <w:p w14:paraId="375EC36B" w14:textId="77777777" w:rsidR="00CA3C32" w:rsidRDefault="00CA3C32" w:rsidP="0028726C">
      <w:pPr>
        <w:rPr>
          <w:rFonts w:cs="Arial"/>
          <w:sz w:val="22"/>
          <w:szCs w:val="22"/>
        </w:rPr>
      </w:pPr>
    </w:p>
    <w:p w14:paraId="6CEC5B0F" w14:textId="77777777" w:rsidR="00483E94" w:rsidRDefault="00483E94" w:rsidP="0028726C">
      <w:pPr>
        <w:rPr>
          <w:rFonts w:cs="Arial"/>
          <w:sz w:val="22"/>
          <w:szCs w:val="22"/>
        </w:rPr>
      </w:pPr>
    </w:p>
    <w:p w14:paraId="788783E4" w14:textId="77777777" w:rsidR="00483E94" w:rsidRDefault="00483E94" w:rsidP="00483E94">
      <w:pPr>
        <w:pStyle w:val="Ttulo4"/>
      </w:pPr>
      <w:r w:rsidRPr="0028726C">
        <w:t>TEBSA</w:t>
      </w:r>
      <w:r w:rsidRPr="0028726C">
        <w:tab/>
      </w:r>
    </w:p>
    <w:p w14:paraId="2423468D" w14:textId="5EECA6E4" w:rsidR="0028726C" w:rsidRPr="00350313" w:rsidRDefault="005A5F78" w:rsidP="0028726C">
      <w:pPr>
        <w:rPr>
          <w:rFonts w:cs="Arial"/>
          <w:i/>
          <w:iCs/>
          <w:sz w:val="22"/>
          <w:szCs w:val="22"/>
        </w:rPr>
      </w:pPr>
      <w:r>
        <w:rPr>
          <w:rFonts w:cs="Arial"/>
          <w:i/>
          <w:iCs/>
          <w:sz w:val="22"/>
          <w:szCs w:val="22"/>
        </w:rPr>
        <w:t>“</w:t>
      </w:r>
      <w:r w:rsidR="0028726C" w:rsidRPr="00350313">
        <w:rPr>
          <w:rFonts w:cs="Arial"/>
          <w:i/>
          <w:iCs/>
          <w:sz w:val="22"/>
          <w:szCs w:val="22"/>
        </w:rPr>
        <w:t xml:space="preserve">En el numeral 2 de Negociación y/o asignación de PTDVF y CIDVF, en el punto d. se </w:t>
      </w:r>
      <w:proofErr w:type="spellStart"/>
      <w:r w:rsidR="0028726C" w:rsidRPr="00350313">
        <w:rPr>
          <w:rFonts w:cs="Arial"/>
          <w:i/>
          <w:iCs/>
          <w:sz w:val="22"/>
          <w:szCs w:val="22"/>
        </w:rPr>
        <w:t>esta</w:t>
      </w:r>
      <w:proofErr w:type="spellEnd"/>
      <w:r w:rsidR="0028726C" w:rsidRPr="00350313">
        <w:rPr>
          <w:rFonts w:cs="Arial"/>
          <w:i/>
          <w:iCs/>
          <w:sz w:val="22"/>
          <w:szCs w:val="22"/>
        </w:rPr>
        <w:t xml:space="preserve"> priorizando la demanda esencial, dejando de lado la demanda térmica, y sin que esta tenga algún recurso adicional para </w:t>
      </w:r>
      <w:proofErr w:type="spellStart"/>
      <w:r w:rsidR="0028726C" w:rsidRPr="00350313">
        <w:rPr>
          <w:rFonts w:cs="Arial"/>
          <w:i/>
          <w:iCs/>
          <w:sz w:val="22"/>
          <w:szCs w:val="22"/>
        </w:rPr>
        <w:t>preveer</w:t>
      </w:r>
      <w:proofErr w:type="spellEnd"/>
      <w:r w:rsidR="0028726C" w:rsidRPr="00350313">
        <w:rPr>
          <w:rFonts w:cs="Arial"/>
          <w:i/>
          <w:iCs/>
          <w:sz w:val="22"/>
          <w:szCs w:val="22"/>
        </w:rPr>
        <w:t xml:space="preserve"> su demanda.</w:t>
      </w:r>
      <w:r>
        <w:rPr>
          <w:rFonts w:cs="Arial"/>
          <w:i/>
          <w:iCs/>
          <w:sz w:val="22"/>
          <w:szCs w:val="22"/>
        </w:rPr>
        <w:t>”</w:t>
      </w:r>
    </w:p>
    <w:p w14:paraId="4E2B119D" w14:textId="77777777" w:rsidR="00CA3C32" w:rsidRDefault="00CA3C32" w:rsidP="0028726C">
      <w:pPr>
        <w:rPr>
          <w:rFonts w:cs="Arial"/>
          <w:sz w:val="22"/>
          <w:szCs w:val="22"/>
        </w:rPr>
      </w:pPr>
    </w:p>
    <w:p w14:paraId="27DC6D79" w14:textId="79344E78" w:rsidR="00483E94" w:rsidRPr="00350313" w:rsidRDefault="00350313" w:rsidP="0028726C">
      <w:pPr>
        <w:rPr>
          <w:rFonts w:cs="Arial"/>
          <w:b/>
          <w:bCs/>
          <w:sz w:val="22"/>
          <w:szCs w:val="22"/>
        </w:rPr>
      </w:pPr>
      <w:r w:rsidRPr="00350313">
        <w:rPr>
          <w:rFonts w:cs="Arial"/>
          <w:b/>
          <w:bCs/>
          <w:sz w:val="22"/>
          <w:szCs w:val="22"/>
        </w:rPr>
        <w:t>Respuesta:</w:t>
      </w:r>
    </w:p>
    <w:p w14:paraId="07645BB9" w14:textId="77777777" w:rsidR="00350313" w:rsidRDefault="00350313" w:rsidP="0028726C">
      <w:pPr>
        <w:rPr>
          <w:rFonts w:cs="Arial"/>
          <w:sz w:val="22"/>
          <w:szCs w:val="22"/>
        </w:rPr>
      </w:pPr>
    </w:p>
    <w:p w14:paraId="43F54D71" w14:textId="04C36718" w:rsidR="00350313" w:rsidRDefault="00350313" w:rsidP="0028726C">
      <w:pPr>
        <w:rPr>
          <w:rFonts w:cs="Arial"/>
          <w:sz w:val="22"/>
          <w:szCs w:val="22"/>
        </w:rPr>
      </w:pPr>
      <w:r>
        <w:rPr>
          <w:rFonts w:cs="Arial"/>
          <w:sz w:val="22"/>
          <w:szCs w:val="22"/>
        </w:rPr>
        <w:t xml:space="preserve">Ver respuestas a </w:t>
      </w:r>
      <w:r>
        <w:rPr>
          <w:rFonts w:cs="Arial"/>
          <w:sz w:val="22"/>
          <w:szCs w:val="22"/>
        </w:rPr>
        <w:fldChar w:fldCharType="begin"/>
      </w:r>
      <w:r>
        <w:rPr>
          <w:rFonts w:cs="Arial"/>
          <w:sz w:val="22"/>
          <w:szCs w:val="22"/>
        </w:rPr>
        <w:instrText xml:space="preserve"> REF _Ref130564650 \r \h </w:instrText>
      </w:r>
      <w:r>
        <w:rPr>
          <w:rFonts w:cs="Arial"/>
          <w:sz w:val="22"/>
          <w:szCs w:val="22"/>
        </w:rPr>
      </w:r>
      <w:r>
        <w:rPr>
          <w:rFonts w:cs="Arial"/>
          <w:sz w:val="22"/>
          <w:szCs w:val="22"/>
        </w:rPr>
        <w:fldChar w:fldCharType="separate"/>
      </w:r>
      <w:r>
        <w:rPr>
          <w:rFonts w:cs="Arial"/>
          <w:sz w:val="22"/>
          <w:szCs w:val="22"/>
        </w:rPr>
        <w:t>1.6.1.1</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_Ref132697097 \r \h </w:instrText>
      </w:r>
      <w:r>
        <w:rPr>
          <w:rFonts w:cs="Arial"/>
          <w:sz w:val="22"/>
          <w:szCs w:val="22"/>
        </w:rPr>
      </w:r>
      <w:r>
        <w:rPr>
          <w:rFonts w:cs="Arial"/>
          <w:sz w:val="22"/>
          <w:szCs w:val="22"/>
        </w:rPr>
        <w:fldChar w:fldCharType="separate"/>
      </w:r>
      <w:r>
        <w:rPr>
          <w:rFonts w:cs="Arial"/>
          <w:sz w:val="22"/>
          <w:szCs w:val="22"/>
        </w:rPr>
        <w:t>19.22</w:t>
      </w:r>
      <w:r>
        <w:rPr>
          <w:rFonts w:cs="Arial"/>
          <w:sz w:val="22"/>
          <w:szCs w:val="22"/>
        </w:rPr>
        <w:fldChar w:fldCharType="end"/>
      </w:r>
      <w:r>
        <w:rPr>
          <w:rFonts w:cs="Arial"/>
          <w:sz w:val="22"/>
          <w:szCs w:val="22"/>
        </w:rPr>
        <w:t>.</w:t>
      </w:r>
    </w:p>
    <w:p w14:paraId="662E5656" w14:textId="77777777" w:rsidR="00483E94" w:rsidRDefault="00483E94" w:rsidP="0028726C">
      <w:pPr>
        <w:rPr>
          <w:rFonts w:cs="Arial"/>
          <w:sz w:val="22"/>
          <w:szCs w:val="22"/>
        </w:rPr>
      </w:pPr>
    </w:p>
    <w:p w14:paraId="358801C9" w14:textId="77777777" w:rsidR="00350313" w:rsidRDefault="00350313" w:rsidP="0028726C">
      <w:pPr>
        <w:rPr>
          <w:rFonts w:cs="Arial"/>
          <w:sz w:val="22"/>
          <w:szCs w:val="22"/>
        </w:rPr>
      </w:pPr>
    </w:p>
    <w:p w14:paraId="1AB31469" w14:textId="77777777" w:rsidR="00483E94" w:rsidRDefault="00483E94" w:rsidP="00483E94">
      <w:pPr>
        <w:pStyle w:val="Ttulo4"/>
      </w:pPr>
      <w:r w:rsidRPr="0028726C">
        <w:t>TEBSA</w:t>
      </w:r>
      <w:r w:rsidRPr="0028726C">
        <w:tab/>
      </w:r>
    </w:p>
    <w:p w14:paraId="785645FE" w14:textId="24FC0B5C" w:rsidR="0028726C" w:rsidRPr="005A5F78" w:rsidRDefault="005A5F78" w:rsidP="0028726C">
      <w:pPr>
        <w:rPr>
          <w:rFonts w:cs="Arial"/>
          <w:i/>
          <w:iCs/>
          <w:sz w:val="22"/>
          <w:szCs w:val="22"/>
        </w:rPr>
      </w:pPr>
      <w:r w:rsidRPr="005A5F78">
        <w:rPr>
          <w:rFonts w:cs="Arial"/>
          <w:i/>
          <w:iCs/>
          <w:sz w:val="22"/>
          <w:szCs w:val="22"/>
        </w:rPr>
        <w:t xml:space="preserve">“¿En el punto h. se indica que solo se puede negociar cantidades disponibles para el trimestre </w:t>
      </w:r>
      <w:proofErr w:type="spellStart"/>
      <w:r w:rsidRPr="005A5F78">
        <w:rPr>
          <w:rFonts w:cs="Arial"/>
          <w:i/>
          <w:iCs/>
          <w:sz w:val="22"/>
          <w:szCs w:val="22"/>
        </w:rPr>
        <w:t>estandar</w:t>
      </w:r>
      <w:proofErr w:type="spellEnd"/>
      <w:r w:rsidRPr="005A5F78">
        <w:rPr>
          <w:rFonts w:cs="Arial"/>
          <w:i/>
          <w:iCs/>
          <w:sz w:val="22"/>
          <w:szCs w:val="22"/>
        </w:rPr>
        <w:t xml:space="preserve"> de negociación, por qué no pudiesen ser los 20 trimestres coincidentes al periodo del balance?”</w:t>
      </w:r>
    </w:p>
    <w:p w14:paraId="2B34256B" w14:textId="77777777" w:rsidR="00CA3C32" w:rsidRDefault="00CA3C32" w:rsidP="0028726C">
      <w:pPr>
        <w:rPr>
          <w:rFonts w:cs="Arial"/>
          <w:sz w:val="22"/>
          <w:szCs w:val="22"/>
        </w:rPr>
      </w:pPr>
    </w:p>
    <w:p w14:paraId="465D0068" w14:textId="4EE93B03" w:rsidR="00483E94" w:rsidRPr="000F691D" w:rsidRDefault="000F691D" w:rsidP="0028726C">
      <w:pPr>
        <w:rPr>
          <w:rFonts w:cs="Arial"/>
          <w:b/>
          <w:bCs/>
          <w:sz w:val="22"/>
          <w:szCs w:val="22"/>
        </w:rPr>
      </w:pPr>
      <w:r w:rsidRPr="000F691D">
        <w:rPr>
          <w:rFonts w:cs="Arial"/>
          <w:b/>
          <w:bCs/>
          <w:sz w:val="22"/>
          <w:szCs w:val="22"/>
        </w:rPr>
        <w:t>Respuesta:</w:t>
      </w:r>
    </w:p>
    <w:p w14:paraId="118B7BB1" w14:textId="77777777" w:rsidR="000F691D" w:rsidRDefault="000F691D" w:rsidP="0028726C">
      <w:pPr>
        <w:rPr>
          <w:rFonts w:cs="Arial"/>
          <w:sz w:val="22"/>
          <w:szCs w:val="22"/>
        </w:rPr>
      </w:pPr>
    </w:p>
    <w:p w14:paraId="4EB1BD4B" w14:textId="66C70D2A" w:rsidR="000F691D" w:rsidRDefault="000F691D" w:rsidP="0028726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Pr>
          <w:rFonts w:cs="Arial"/>
          <w:sz w:val="22"/>
          <w:szCs w:val="22"/>
        </w:rPr>
        <w:t>.</w:t>
      </w:r>
    </w:p>
    <w:p w14:paraId="0D844452" w14:textId="77777777" w:rsidR="000F691D" w:rsidRDefault="000F691D" w:rsidP="0028726C">
      <w:pPr>
        <w:rPr>
          <w:rFonts w:cs="Arial"/>
          <w:sz w:val="22"/>
          <w:szCs w:val="22"/>
        </w:rPr>
      </w:pPr>
    </w:p>
    <w:p w14:paraId="14F51891" w14:textId="77777777" w:rsidR="00483E94" w:rsidRDefault="00483E94" w:rsidP="0028726C">
      <w:pPr>
        <w:rPr>
          <w:rFonts w:cs="Arial"/>
          <w:sz w:val="22"/>
          <w:szCs w:val="22"/>
        </w:rPr>
      </w:pPr>
    </w:p>
    <w:p w14:paraId="19BC29E7" w14:textId="77777777" w:rsidR="00483E94" w:rsidRDefault="00483E94" w:rsidP="00483E94">
      <w:pPr>
        <w:pStyle w:val="Ttulo4"/>
      </w:pPr>
      <w:r w:rsidRPr="0028726C">
        <w:t>TEBSA</w:t>
      </w:r>
      <w:r w:rsidRPr="0028726C">
        <w:tab/>
      </w:r>
    </w:p>
    <w:p w14:paraId="20C81903" w14:textId="13B39152" w:rsidR="0028726C" w:rsidRPr="001705AC" w:rsidRDefault="005A5F78" w:rsidP="0028726C">
      <w:pPr>
        <w:rPr>
          <w:rFonts w:cs="Arial"/>
          <w:i/>
          <w:iCs/>
          <w:sz w:val="22"/>
          <w:szCs w:val="22"/>
        </w:rPr>
      </w:pPr>
      <w:r>
        <w:rPr>
          <w:rFonts w:cs="Arial"/>
          <w:i/>
          <w:iCs/>
          <w:sz w:val="22"/>
          <w:szCs w:val="22"/>
        </w:rPr>
        <w:t>“</w:t>
      </w:r>
      <w:r w:rsidR="0028726C" w:rsidRPr="001705AC">
        <w:rPr>
          <w:rFonts w:cs="Arial"/>
          <w:i/>
          <w:iCs/>
          <w:sz w:val="22"/>
          <w:szCs w:val="22"/>
        </w:rPr>
        <w:t xml:space="preserve">En el Parágrafo 5. </w:t>
      </w:r>
      <w:r>
        <w:rPr>
          <w:rFonts w:cs="Arial"/>
          <w:i/>
          <w:iCs/>
          <w:sz w:val="22"/>
          <w:szCs w:val="22"/>
        </w:rPr>
        <w:t>‘</w:t>
      </w:r>
      <w:proofErr w:type="gramStart"/>
      <w:r w:rsidR="0028726C" w:rsidRPr="001705AC">
        <w:rPr>
          <w:rFonts w:cs="Arial"/>
          <w:i/>
          <w:iCs/>
          <w:sz w:val="22"/>
          <w:szCs w:val="22"/>
        </w:rPr>
        <w:t>Los vendedores del Mercado Primario no podrán tener contratado el suministro bajo alguna de las modalidades que requiere Respaldo Físico, de cantidades de gas que, en total para un determinado mes de ejecución y una determinada Fuente de Suministro, superen el Potencial de Producción</w:t>
      </w:r>
      <w:r>
        <w:rPr>
          <w:rFonts w:cs="Arial"/>
          <w:i/>
          <w:iCs/>
          <w:sz w:val="22"/>
          <w:szCs w:val="22"/>
        </w:rPr>
        <w:t>’</w:t>
      </w:r>
      <w:r w:rsidR="0028726C" w:rsidRPr="001705AC">
        <w:rPr>
          <w:rFonts w:cs="Arial"/>
          <w:i/>
          <w:iCs/>
          <w:sz w:val="22"/>
          <w:szCs w:val="22"/>
        </w:rPr>
        <w:t xml:space="preserve"> A que se refieren con un determinado mes?</w:t>
      </w:r>
      <w:proofErr w:type="gramEnd"/>
      <w:r w:rsidR="0028726C" w:rsidRPr="001705AC">
        <w:rPr>
          <w:rFonts w:cs="Arial"/>
          <w:i/>
          <w:iCs/>
          <w:sz w:val="22"/>
          <w:szCs w:val="22"/>
        </w:rPr>
        <w:t>"</w:t>
      </w:r>
    </w:p>
    <w:p w14:paraId="236A4045" w14:textId="77777777" w:rsidR="001705AC" w:rsidRDefault="001705AC" w:rsidP="0028726C">
      <w:pPr>
        <w:rPr>
          <w:rFonts w:cs="Arial"/>
          <w:sz w:val="22"/>
          <w:szCs w:val="22"/>
        </w:rPr>
      </w:pPr>
    </w:p>
    <w:p w14:paraId="5FF8AD86" w14:textId="7592FC3E" w:rsidR="001705AC" w:rsidRPr="001705AC" w:rsidRDefault="001705AC" w:rsidP="0028726C">
      <w:pPr>
        <w:rPr>
          <w:rFonts w:cs="Arial"/>
          <w:b/>
          <w:bCs/>
          <w:sz w:val="22"/>
          <w:szCs w:val="22"/>
        </w:rPr>
      </w:pPr>
      <w:r w:rsidRPr="001705AC">
        <w:rPr>
          <w:rFonts w:cs="Arial"/>
          <w:b/>
          <w:bCs/>
          <w:sz w:val="22"/>
          <w:szCs w:val="22"/>
        </w:rPr>
        <w:t>Respuesta:</w:t>
      </w:r>
    </w:p>
    <w:p w14:paraId="1A104AFA" w14:textId="77777777" w:rsidR="001705AC" w:rsidRDefault="001705AC" w:rsidP="0028726C">
      <w:pPr>
        <w:rPr>
          <w:rFonts w:cs="Arial"/>
          <w:sz w:val="22"/>
          <w:szCs w:val="22"/>
        </w:rPr>
      </w:pPr>
    </w:p>
    <w:p w14:paraId="248613ED" w14:textId="20693508" w:rsidR="001705AC" w:rsidRDefault="001705AC" w:rsidP="0028726C">
      <w:pPr>
        <w:rPr>
          <w:rFonts w:cs="Arial"/>
          <w:sz w:val="22"/>
          <w:szCs w:val="22"/>
        </w:rPr>
      </w:pPr>
      <w:r>
        <w:rPr>
          <w:rFonts w:cs="Arial"/>
          <w:sz w:val="22"/>
          <w:szCs w:val="22"/>
        </w:rPr>
        <w:t>Se acoge el comentario.</w:t>
      </w:r>
    </w:p>
    <w:p w14:paraId="13F51CC9" w14:textId="77777777" w:rsidR="001705AC" w:rsidRDefault="001705AC" w:rsidP="0028726C">
      <w:pPr>
        <w:rPr>
          <w:rFonts w:cs="Arial"/>
          <w:sz w:val="22"/>
          <w:szCs w:val="22"/>
        </w:rPr>
      </w:pPr>
    </w:p>
    <w:p w14:paraId="586F5186" w14:textId="62949AEF" w:rsidR="001705AC" w:rsidRPr="0028726C" w:rsidRDefault="001705AC" w:rsidP="0028726C">
      <w:pPr>
        <w:rPr>
          <w:rFonts w:cs="Arial"/>
          <w:sz w:val="22"/>
          <w:szCs w:val="22"/>
        </w:rPr>
      </w:pPr>
      <w:r>
        <w:rPr>
          <w:rFonts w:cs="Arial"/>
          <w:sz w:val="22"/>
          <w:szCs w:val="22"/>
        </w:rPr>
        <w:t xml:space="preserve">En la nueva versión se </w:t>
      </w:r>
      <w:r w:rsidR="005A5F78">
        <w:rPr>
          <w:rFonts w:cs="Arial"/>
          <w:sz w:val="22"/>
          <w:szCs w:val="22"/>
        </w:rPr>
        <w:t xml:space="preserve">precisa con más detalle </w:t>
      </w:r>
      <w:r>
        <w:rPr>
          <w:rFonts w:cs="Arial"/>
          <w:sz w:val="22"/>
          <w:szCs w:val="22"/>
        </w:rPr>
        <w:t xml:space="preserve">el texto, </w:t>
      </w:r>
      <w:r w:rsidR="005A5F78">
        <w:rPr>
          <w:rFonts w:cs="Arial"/>
          <w:sz w:val="22"/>
          <w:szCs w:val="22"/>
        </w:rPr>
        <w:t>toda vez que lo que se busca expresar</w:t>
      </w:r>
      <w:r>
        <w:rPr>
          <w:rFonts w:cs="Arial"/>
          <w:sz w:val="22"/>
          <w:szCs w:val="22"/>
        </w:rPr>
        <w:t xml:space="preserve"> es que en cualquier mes del período </w:t>
      </w:r>
      <w:r w:rsidR="00AD1C30">
        <w:rPr>
          <w:rFonts w:cs="Arial"/>
          <w:sz w:val="22"/>
          <w:szCs w:val="22"/>
        </w:rPr>
        <w:t>para cualquier fuente de suministro se deberá cumplir la condición establecida.</w:t>
      </w:r>
      <w:r>
        <w:rPr>
          <w:rFonts w:cs="Arial"/>
          <w:sz w:val="22"/>
          <w:szCs w:val="22"/>
        </w:rPr>
        <w:t xml:space="preserve"> </w:t>
      </w:r>
    </w:p>
    <w:p w14:paraId="43ADE7B6" w14:textId="77777777" w:rsidR="00CA3C32" w:rsidRDefault="00CA3C32" w:rsidP="0028726C">
      <w:pPr>
        <w:rPr>
          <w:rFonts w:cs="Arial"/>
          <w:sz w:val="22"/>
          <w:szCs w:val="22"/>
        </w:rPr>
      </w:pPr>
    </w:p>
    <w:p w14:paraId="4FC1702A" w14:textId="77777777" w:rsidR="00CA3C32" w:rsidRDefault="00CA3C32" w:rsidP="0028726C">
      <w:pPr>
        <w:rPr>
          <w:rFonts w:cs="Arial"/>
          <w:sz w:val="22"/>
          <w:szCs w:val="22"/>
        </w:rPr>
      </w:pPr>
    </w:p>
    <w:p w14:paraId="46E31F6B" w14:textId="77777777" w:rsidR="00CA3C32" w:rsidRDefault="0028726C" w:rsidP="0090195C">
      <w:pPr>
        <w:pStyle w:val="Ttulo2"/>
      </w:pPr>
      <w:bookmarkStart w:id="858" w:name="_Toc140506451"/>
      <w:r w:rsidRPr="0028726C">
        <w:t>TERPEL</w:t>
      </w:r>
      <w:bookmarkEnd w:id="858"/>
      <w:r w:rsidRPr="0028726C">
        <w:tab/>
      </w:r>
    </w:p>
    <w:p w14:paraId="6C4DA8EC" w14:textId="77777777" w:rsidR="00002A82" w:rsidRDefault="00002A82" w:rsidP="00F23443">
      <w:pPr>
        <w:pStyle w:val="Ttulo4"/>
      </w:pPr>
      <w:r w:rsidRPr="0028726C">
        <w:t>TERPEL</w:t>
      </w:r>
      <w:r w:rsidRPr="0028726C">
        <w:tab/>
      </w:r>
    </w:p>
    <w:p w14:paraId="377445C2" w14:textId="4AF8D3D3" w:rsidR="0028726C" w:rsidRPr="00AD1C30" w:rsidRDefault="0028726C" w:rsidP="0028726C">
      <w:pPr>
        <w:rPr>
          <w:rFonts w:cs="Arial"/>
          <w:i/>
          <w:iCs/>
          <w:sz w:val="22"/>
          <w:szCs w:val="22"/>
        </w:rPr>
      </w:pPr>
      <w:r w:rsidRPr="0028726C">
        <w:rPr>
          <w:rFonts w:cs="Arial"/>
          <w:sz w:val="22"/>
          <w:szCs w:val="22"/>
        </w:rPr>
        <w:t>"</w:t>
      </w:r>
      <w:r w:rsidRPr="00AD1C30">
        <w:rPr>
          <w:rFonts w:cs="Arial"/>
          <w:i/>
          <w:iCs/>
          <w:sz w:val="22"/>
          <w:szCs w:val="22"/>
        </w:rPr>
        <w:t>Entendiendo el esfuerzo de la CREG de crear un mecanismo para asegurar el suministro en firme de gas para la demanda esencial, de acuerdo con las revisiones de los productores existen varias inquietudes sobre la efectividad del mecanismo. A continuación, algunos comentarios al respecto:</w:t>
      </w:r>
    </w:p>
    <w:p w14:paraId="02A4E9C3" w14:textId="77777777" w:rsidR="0028726C" w:rsidRPr="00AD1C30" w:rsidRDefault="0028726C" w:rsidP="0028726C">
      <w:pPr>
        <w:rPr>
          <w:rFonts w:cs="Arial"/>
          <w:i/>
          <w:iCs/>
          <w:sz w:val="22"/>
          <w:szCs w:val="22"/>
        </w:rPr>
      </w:pPr>
    </w:p>
    <w:p w14:paraId="0BA89FDB" w14:textId="1CC1A98C" w:rsidR="0028726C" w:rsidRPr="00AD1C30" w:rsidRDefault="0028726C" w:rsidP="0028726C">
      <w:pPr>
        <w:rPr>
          <w:rFonts w:cs="Arial"/>
          <w:i/>
          <w:iCs/>
          <w:sz w:val="22"/>
          <w:szCs w:val="22"/>
        </w:rPr>
      </w:pPr>
      <w:r w:rsidRPr="00AD1C30">
        <w:rPr>
          <w:rFonts w:cs="Arial"/>
          <w:i/>
          <w:iCs/>
          <w:sz w:val="22"/>
          <w:szCs w:val="22"/>
        </w:rPr>
        <w:t xml:space="preserve">• El mercado de gas natural en Colombia está concentrado en dos regiones y pocos puntos de entrega, o para el caso del MADE, puntos de referencia donde se realizarían los balances trimestrales de oferta y demanda de gas. Los puntos de referencia resultantes de los análisis que realice el </w:t>
      </w:r>
      <w:r w:rsidR="005114C6" w:rsidRPr="00AD1C30">
        <w:rPr>
          <w:rFonts w:cs="Arial"/>
          <w:i/>
          <w:iCs/>
          <w:sz w:val="22"/>
          <w:szCs w:val="22"/>
        </w:rPr>
        <w:t>Gestor del Mercado</w:t>
      </w:r>
      <w:r w:rsidRPr="00AD1C30">
        <w:rPr>
          <w:rFonts w:cs="Arial"/>
          <w:i/>
          <w:iCs/>
          <w:sz w:val="22"/>
          <w:szCs w:val="22"/>
        </w:rPr>
        <w:t>, y posteriormente los balances de oferta / demanda, podrían ser distorsionados, debido a que puede existir el caso en el que se reporte una PTDVF excedentario en un punto de referencia donde la mayor parte de la demanda no sea esencial, y en otro punto de referencia ocurra lo contrario (mayor demanda esencial, baja PTDV), pero que en la práctica y realidad operativa, puedan suplirse las necesidades de la demanda esencial en un punto deficitario, desde un punto excedentario, sin necesidad de acudir a un proceso de subasta que genere percepción de desabastecimiento en algunas zonas del país.</w:t>
      </w:r>
      <w:r w:rsidR="005A5F78">
        <w:rPr>
          <w:rFonts w:cs="Arial"/>
          <w:i/>
          <w:iCs/>
          <w:sz w:val="22"/>
          <w:szCs w:val="22"/>
        </w:rPr>
        <w:t>”</w:t>
      </w:r>
    </w:p>
    <w:p w14:paraId="791A33B1" w14:textId="77777777" w:rsidR="00AD1C30" w:rsidRDefault="00AD1C30" w:rsidP="0028726C">
      <w:pPr>
        <w:rPr>
          <w:rFonts w:cs="Arial"/>
          <w:sz w:val="22"/>
          <w:szCs w:val="22"/>
        </w:rPr>
      </w:pPr>
    </w:p>
    <w:p w14:paraId="4D4BC5A2" w14:textId="41E78C33" w:rsidR="00AD1C30" w:rsidRDefault="00AD1C30" w:rsidP="0028726C">
      <w:pPr>
        <w:rPr>
          <w:rFonts w:cs="Arial"/>
          <w:b/>
          <w:bCs/>
          <w:sz w:val="22"/>
          <w:szCs w:val="22"/>
        </w:rPr>
      </w:pPr>
      <w:r w:rsidRPr="00AD1C30">
        <w:rPr>
          <w:rFonts w:cs="Arial"/>
          <w:b/>
          <w:bCs/>
          <w:sz w:val="22"/>
          <w:szCs w:val="22"/>
        </w:rPr>
        <w:t>Respuesta:</w:t>
      </w:r>
    </w:p>
    <w:p w14:paraId="076D8DBA" w14:textId="77777777" w:rsidR="009B3F93" w:rsidRDefault="009B3F93" w:rsidP="0028726C">
      <w:pPr>
        <w:rPr>
          <w:rFonts w:cs="Arial"/>
          <w:b/>
          <w:bCs/>
          <w:sz w:val="22"/>
          <w:szCs w:val="22"/>
        </w:rPr>
      </w:pPr>
    </w:p>
    <w:p w14:paraId="5F094902" w14:textId="1C45C57F" w:rsidR="0028726C" w:rsidRPr="009B3F93" w:rsidRDefault="009B3F93" w:rsidP="0028726C">
      <w:pPr>
        <w:rPr>
          <w:rFonts w:cs="Arial"/>
          <w:sz w:val="22"/>
          <w:szCs w:val="22"/>
        </w:rPr>
      </w:pPr>
      <w:r w:rsidRPr="009B3F93">
        <w:rPr>
          <w:rFonts w:cs="Arial"/>
          <w:sz w:val="22"/>
          <w:szCs w:val="22"/>
        </w:rPr>
        <w:t xml:space="preserve">Ver respuesta a </w:t>
      </w:r>
      <w:r w:rsidRPr="009B3F93">
        <w:rPr>
          <w:rFonts w:cs="Arial"/>
          <w:sz w:val="22"/>
          <w:szCs w:val="22"/>
        </w:rPr>
        <w:fldChar w:fldCharType="begin"/>
      </w:r>
      <w:r w:rsidRPr="009B3F93">
        <w:rPr>
          <w:rFonts w:cs="Arial"/>
          <w:sz w:val="22"/>
          <w:szCs w:val="22"/>
        </w:rPr>
        <w:instrText xml:space="preserve"> REF _Ref132185996 \r \h </w:instrText>
      </w:r>
      <w:r>
        <w:rPr>
          <w:rFonts w:cs="Arial"/>
          <w:sz w:val="22"/>
          <w:szCs w:val="22"/>
        </w:rPr>
        <w:instrText xml:space="preserve"> \* MERGEFORMAT </w:instrText>
      </w:r>
      <w:r w:rsidRPr="009B3F93">
        <w:rPr>
          <w:rFonts w:cs="Arial"/>
          <w:sz w:val="22"/>
          <w:szCs w:val="22"/>
        </w:rPr>
      </w:r>
      <w:r w:rsidRPr="009B3F93">
        <w:rPr>
          <w:rFonts w:cs="Arial"/>
          <w:sz w:val="22"/>
          <w:szCs w:val="22"/>
        </w:rPr>
        <w:fldChar w:fldCharType="separate"/>
      </w:r>
      <w:r w:rsidRPr="009B3F93">
        <w:rPr>
          <w:rFonts w:cs="Arial"/>
          <w:sz w:val="22"/>
          <w:szCs w:val="22"/>
        </w:rPr>
        <w:t>19.2.1.1</w:t>
      </w:r>
      <w:r w:rsidRPr="009B3F93">
        <w:rPr>
          <w:rFonts w:cs="Arial"/>
          <w:sz w:val="22"/>
          <w:szCs w:val="22"/>
        </w:rPr>
        <w:fldChar w:fldCharType="end"/>
      </w:r>
      <w:r w:rsidRPr="009B3F93">
        <w:rPr>
          <w:rFonts w:cs="Arial"/>
          <w:sz w:val="22"/>
          <w:szCs w:val="22"/>
        </w:rPr>
        <w:t>.</w:t>
      </w:r>
    </w:p>
    <w:p w14:paraId="3FB51C80" w14:textId="77777777" w:rsidR="00483E94" w:rsidRDefault="00483E94" w:rsidP="0028726C">
      <w:pPr>
        <w:rPr>
          <w:rFonts w:cs="Arial"/>
          <w:sz w:val="22"/>
          <w:szCs w:val="22"/>
        </w:rPr>
      </w:pPr>
    </w:p>
    <w:p w14:paraId="560AFC6E" w14:textId="77777777" w:rsidR="00483E94" w:rsidRDefault="00483E94" w:rsidP="0028726C">
      <w:pPr>
        <w:rPr>
          <w:rFonts w:cs="Arial"/>
          <w:sz w:val="22"/>
          <w:szCs w:val="22"/>
        </w:rPr>
      </w:pPr>
    </w:p>
    <w:p w14:paraId="7E82F9C6" w14:textId="77777777" w:rsidR="00483E94" w:rsidRDefault="00483E94" w:rsidP="00483E94">
      <w:pPr>
        <w:pStyle w:val="Ttulo4"/>
      </w:pPr>
      <w:r w:rsidRPr="0028726C">
        <w:t>TERPEL</w:t>
      </w:r>
      <w:r w:rsidRPr="0028726C">
        <w:tab/>
      </w:r>
    </w:p>
    <w:p w14:paraId="0242C842" w14:textId="34EED234" w:rsidR="0028726C" w:rsidRPr="009B3F93" w:rsidRDefault="005A5F78" w:rsidP="0028726C">
      <w:pPr>
        <w:rPr>
          <w:rFonts w:cs="Arial"/>
          <w:i/>
          <w:iCs/>
          <w:sz w:val="22"/>
          <w:szCs w:val="22"/>
        </w:rPr>
      </w:pPr>
      <w:r>
        <w:rPr>
          <w:rFonts w:cs="Arial"/>
          <w:i/>
          <w:iCs/>
          <w:sz w:val="22"/>
          <w:szCs w:val="22"/>
        </w:rPr>
        <w:t>“</w:t>
      </w:r>
      <w:r w:rsidR="0028726C" w:rsidRPr="009B3F93">
        <w:rPr>
          <w:rFonts w:cs="Arial"/>
          <w:i/>
          <w:iCs/>
          <w:sz w:val="22"/>
          <w:szCs w:val="22"/>
        </w:rPr>
        <w:t>• Aún hay poco entendimiento del MADE y no se conocen ejercicios o pruebas prácticas previas que demuestren la efectividad de este mecanismo bajo los términos propuestos. Al respecto es necesario que se realicen análisis de los posibles puntos de referencias y balances teniendo en cuenta las declaraciones de producción actuales, para evaluar la conveniencia o no, de este mecanismo para el mercado.</w:t>
      </w:r>
      <w:r>
        <w:rPr>
          <w:rFonts w:cs="Arial"/>
          <w:i/>
          <w:iCs/>
          <w:sz w:val="22"/>
          <w:szCs w:val="22"/>
        </w:rPr>
        <w:t>”</w:t>
      </w:r>
    </w:p>
    <w:p w14:paraId="5B35D9C0" w14:textId="77777777" w:rsidR="009B3F93" w:rsidRPr="009B3F93" w:rsidRDefault="009B3F93" w:rsidP="0028726C">
      <w:pPr>
        <w:rPr>
          <w:rFonts w:cs="Arial"/>
          <w:b/>
          <w:bCs/>
          <w:sz w:val="22"/>
          <w:szCs w:val="22"/>
        </w:rPr>
      </w:pPr>
    </w:p>
    <w:p w14:paraId="6D5E2AC2" w14:textId="0962F705" w:rsidR="009B3F93" w:rsidRPr="009B3F93" w:rsidRDefault="009B3F93" w:rsidP="0028726C">
      <w:pPr>
        <w:rPr>
          <w:rFonts w:cs="Arial"/>
          <w:b/>
          <w:bCs/>
          <w:sz w:val="22"/>
          <w:szCs w:val="22"/>
        </w:rPr>
      </w:pPr>
      <w:r w:rsidRPr="009B3F93">
        <w:rPr>
          <w:rFonts w:cs="Arial"/>
          <w:b/>
          <w:bCs/>
          <w:sz w:val="22"/>
          <w:szCs w:val="22"/>
        </w:rPr>
        <w:t>Respuesta:</w:t>
      </w:r>
    </w:p>
    <w:p w14:paraId="280D0E8C" w14:textId="77777777" w:rsidR="009B3F93" w:rsidRDefault="009B3F93" w:rsidP="0028726C">
      <w:pPr>
        <w:rPr>
          <w:rFonts w:cs="Arial"/>
          <w:sz w:val="22"/>
          <w:szCs w:val="22"/>
        </w:rPr>
      </w:pPr>
    </w:p>
    <w:p w14:paraId="57093DCE" w14:textId="0AE178AB" w:rsidR="0028726C" w:rsidRPr="0028726C" w:rsidRDefault="009B3F93"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_Ref132190563 \r \h </w:instrText>
      </w:r>
      <w:r>
        <w:rPr>
          <w:rFonts w:cs="Arial"/>
          <w:sz w:val="22"/>
          <w:szCs w:val="22"/>
        </w:rPr>
      </w:r>
      <w:r>
        <w:rPr>
          <w:rFonts w:cs="Arial"/>
          <w:sz w:val="22"/>
          <w:szCs w:val="22"/>
        </w:rPr>
        <w:fldChar w:fldCharType="separate"/>
      </w:r>
      <w:r>
        <w:rPr>
          <w:rFonts w:cs="Arial"/>
          <w:sz w:val="22"/>
          <w:szCs w:val="22"/>
        </w:rPr>
        <w:t>19.2.1.2</w:t>
      </w:r>
      <w:r>
        <w:rPr>
          <w:rFonts w:cs="Arial"/>
          <w:sz w:val="22"/>
          <w:szCs w:val="22"/>
        </w:rPr>
        <w:fldChar w:fldCharType="end"/>
      </w:r>
      <w:r>
        <w:rPr>
          <w:rFonts w:cs="Arial"/>
          <w:sz w:val="22"/>
          <w:szCs w:val="22"/>
        </w:rPr>
        <w:t>.</w:t>
      </w:r>
    </w:p>
    <w:p w14:paraId="1C438CFF" w14:textId="77777777" w:rsidR="00483E94" w:rsidRDefault="00483E94" w:rsidP="0028726C">
      <w:pPr>
        <w:rPr>
          <w:rFonts w:cs="Arial"/>
          <w:sz w:val="22"/>
          <w:szCs w:val="22"/>
        </w:rPr>
      </w:pPr>
    </w:p>
    <w:p w14:paraId="0FC242ED" w14:textId="77777777" w:rsidR="00483E94" w:rsidRDefault="00483E94" w:rsidP="0028726C">
      <w:pPr>
        <w:rPr>
          <w:rFonts w:cs="Arial"/>
          <w:sz w:val="22"/>
          <w:szCs w:val="22"/>
        </w:rPr>
      </w:pPr>
    </w:p>
    <w:p w14:paraId="2A8E468E" w14:textId="77777777" w:rsidR="00483E94" w:rsidRDefault="00483E94" w:rsidP="00483E94">
      <w:pPr>
        <w:pStyle w:val="Ttulo4"/>
      </w:pPr>
      <w:r w:rsidRPr="0028726C">
        <w:t>TERPEL</w:t>
      </w:r>
      <w:r w:rsidRPr="0028726C">
        <w:tab/>
      </w:r>
    </w:p>
    <w:p w14:paraId="1894D9AA" w14:textId="71D01281" w:rsidR="0028726C" w:rsidRPr="0028726C" w:rsidRDefault="005A5F78" w:rsidP="0028726C">
      <w:pPr>
        <w:rPr>
          <w:rFonts w:cs="Arial"/>
          <w:sz w:val="22"/>
          <w:szCs w:val="22"/>
        </w:rPr>
      </w:pPr>
      <w:r>
        <w:rPr>
          <w:rFonts w:cs="Arial"/>
          <w:sz w:val="22"/>
          <w:szCs w:val="22"/>
        </w:rPr>
        <w:t>“</w:t>
      </w:r>
      <w:r w:rsidR="0028726C" w:rsidRPr="0028726C">
        <w:rPr>
          <w:rFonts w:cs="Arial"/>
          <w:sz w:val="22"/>
          <w:szCs w:val="22"/>
        </w:rPr>
        <w:t xml:space="preserve">• </w:t>
      </w:r>
      <w:r w:rsidR="0028726C" w:rsidRPr="009B3F93">
        <w:rPr>
          <w:rFonts w:cs="Arial"/>
          <w:i/>
          <w:iCs/>
          <w:sz w:val="22"/>
          <w:szCs w:val="22"/>
        </w:rPr>
        <w:t>Los mecanismos actuales para garantizar que los usuarios regulados se contraten en firme, han sido efectivos. De acuerdo con los procesos de comercialización resultantes de los últimos años, esta demanda ha sido efectiva en contratarse a largo plazo durante las etapas de negociación directa bajo el esquema actual de comercialización. Eso ha llevado a que en los procesos de comercialización de 2020 y 2021, no se hayan presentado solicitudes de reserva de cantidades para usuarios regulados. De igual manera, en los procesos de comercialización de 2018 y 2019, se efectuaron reservas de cantidades para usuarios regulados por 20,2 GBTUD y 8 GBTUD respectivamente, siendo efectivo el mecanismo actualmente aplicado, tanto del periodo de negociaciones directas, como del periodo de reserva de cantidades para usuarios regulados.</w:t>
      </w:r>
      <w:r>
        <w:rPr>
          <w:rFonts w:cs="Arial"/>
          <w:i/>
          <w:iCs/>
          <w:sz w:val="22"/>
          <w:szCs w:val="22"/>
        </w:rPr>
        <w:t>”</w:t>
      </w:r>
    </w:p>
    <w:p w14:paraId="216F005D" w14:textId="77777777" w:rsidR="0028726C" w:rsidRPr="0028726C" w:rsidRDefault="0028726C" w:rsidP="0028726C">
      <w:pPr>
        <w:rPr>
          <w:rFonts w:cs="Arial"/>
          <w:sz w:val="22"/>
          <w:szCs w:val="22"/>
        </w:rPr>
      </w:pPr>
    </w:p>
    <w:p w14:paraId="32C3D1AE" w14:textId="05F57CD0" w:rsidR="00483E94" w:rsidRPr="009B3F93" w:rsidRDefault="009B3F93" w:rsidP="0028726C">
      <w:pPr>
        <w:rPr>
          <w:rFonts w:cs="Arial"/>
          <w:b/>
          <w:bCs/>
          <w:sz w:val="22"/>
          <w:szCs w:val="22"/>
        </w:rPr>
      </w:pPr>
      <w:r w:rsidRPr="009B3F93">
        <w:rPr>
          <w:rFonts w:cs="Arial"/>
          <w:b/>
          <w:bCs/>
          <w:sz w:val="22"/>
          <w:szCs w:val="22"/>
        </w:rPr>
        <w:t>Respuesta:</w:t>
      </w:r>
    </w:p>
    <w:p w14:paraId="6A1AFF0C" w14:textId="77777777" w:rsidR="009B3F93" w:rsidRDefault="009B3F93" w:rsidP="0028726C">
      <w:pPr>
        <w:rPr>
          <w:rFonts w:cs="Arial"/>
          <w:sz w:val="22"/>
          <w:szCs w:val="22"/>
        </w:rPr>
      </w:pPr>
    </w:p>
    <w:p w14:paraId="1BD8EBAF" w14:textId="1950B8A9" w:rsidR="009B3F93" w:rsidRDefault="009B3F93"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_Ref132704770 \r \h </w:instrText>
      </w:r>
      <w:r>
        <w:rPr>
          <w:rFonts w:cs="Arial"/>
          <w:sz w:val="22"/>
          <w:szCs w:val="22"/>
        </w:rPr>
      </w:r>
      <w:r>
        <w:rPr>
          <w:rFonts w:cs="Arial"/>
          <w:sz w:val="22"/>
          <w:szCs w:val="22"/>
        </w:rPr>
        <w:fldChar w:fldCharType="separate"/>
      </w:r>
      <w:r>
        <w:rPr>
          <w:rFonts w:cs="Arial"/>
          <w:sz w:val="22"/>
          <w:szCs w:val="22"/>
        </w:rPr>
        <w:t>19.2.1.3</w:t>
      </w:r>
      <w:r>
        <w:rPr>
          <w:rFonts w:cs="Arial"/>
          <w:sz w:val="22"/>
          <w:szCs w:val="22"/>
        </w:rPr>
        <w:fldChar w:fldCharType="end"/>
      </w:r>
      <w:r>
        <w:rPr>
          <w:rFonts w:cs="Arial"/>
          <w:sz w:val="22"/>
          <w:szCs w:val="22"/>
        </w:rPr>
        <w:t>.</w:t>
      </w:r>
    </w:p>
    <w:p w14:paraId="61483293" w14:textId="77777777" w:rsidR="009B3F93" w:rsidRDefault="009B3F93" w:rsidP="0028726C">
      <w:pPr>
        <w:rPr>
          <w:rFonts w:cs="Arial"/>
          <w:sz w:val="22"/>
          <w:szCs w:val="22"/>
        </w:rPr>
      </w:pPr>
    </w:p>
    <w:p w14:paraId="18287C08" w14:textId="77777777" w:rsidR="00483E94" w:rsidRDefault="00483E94" w:rsidP="0028726C">
      <w:pPr>
        <w:rPr>
          <w:rFonts w:cs="Arial"/>
          <w:sz w:val="22"/>
          <w:szCs w:val="22"/>
        </w:rPr>
      </w:pPr>
    </w:p>
    <w:p w14:paraId="642AFBE5" w14:textId="77777777" w:rsidR="00483E94" w:rsidRDefault="00483E94" w:rsidP="00483E94">
      <w:pPr>
        <w:pStyle w:val="Ttulo4"/>
      </w:pPr>
      <w:r w:rsidRPr="0028726C">
        <w:t>TERPEL</w:t>
      </w:r>
      <w:r w:rsidRPr="0028726C">
        <w:tab/>
      </w:r>
    </w:p>
    <w:p w14:paraId="1C8742B8" w14:textId="4AAD7AF1" w:rsidR="0028726C" w:rsidRPr="0028726C" w:rsidRDefault="005A5F78" w:rsidP="0028726C">
      <w:pPr>
        <w:rPr>
          <w:rFonts w:cs="Arial"/>
          <w:sz w:val="22"/>
          <w:szCs w:val="22"/>
        </w:rPr>
      </w:pPr>
      <w:r>
        <w:rPr>
          <w:rFonts w:cs="Arial"/>
          <w:sz w:val="22"/>
          <w:szCs w:val="22"/>
        </w:rPr>
        <w:t>“</w:t>
      </w:r>
      <w:r w:rsidR="0028726C" w:rsidRPr="0028726C">
        <w:rPr>
          <w:rFonts w:cs="Arial"/>
          <w:sz w:val="22"/>
          <w:szCs w:val="22"/>
        </w:rPr>
        <w:t xml:space="preserve">• </w:t>
      </w:r>
      <w:r w:rsidR="0028726C" w:rsidRPr="009B3F93">
        <w:rPr>
          <w:rFonts w:cs="Arial"/>
          <w:i/>
          <w:iCs/>
          <w:sz w:val="22"/>
          <w:szCs w:val="22"/>
        </w:rPr>
        <w:t>Bajo el esquema de MADE propuesto, al incluir el consumo de refinerías por ser demanda esencial, podría generarse una distorsión en algunos puntos de referencia, principalmente por el gran consumo de las dos refinerías en dos puntos donde en algunos casos existan pocos campos, o campos de un solo productor, que podrían ver su producción comprometida con una sola demanda, en este caso, de refinería. Este es un riesgo que vale la pena ser analizado preliminarmente ante de una eventual implementación de este mecanismo</w:t>
      </w:r>
      <w:r w:rsidR="0028726C" w:rsidRPr="0028726C">
        <w:rPr>
          <w:rFonts w:cs="Arial"/>
          <w:sz w:val="22"/>
          <w:szCs w:val="22"/>
        </w:rPr>
        <w:t>.</w:t>
      </w:r>
      <w:r>
        <w:rPr>
          <w:rFonts w:cs="Arial"/>
          <w:sz w:val="22"/>
          <w:szCs w:val="22"/>
        </w:rPr>
        <w:t>”</w:t>
      </w:r>
    </w:p>
    <w:p w14:paraId="3323E2EA" w14:textId="77777777" w:rsidR="00CA3C32" w:rsidRDefault="00CA3C32" w:rsidP="0028726C">
      <w:pPr>
        <w:rPr>
          <w:rFonts w:cs="Arial"/>
          <w:sz w:val="22"/>
          <w:szCs w:val="22"/>
        </w:rPr>
      </w:pPr>
    </w:p>
    <w:p w14:paraId="268BBDEF" w14:textId="6C2B89A4" w:rsidR="00483E94" w:rsidRPr="009B3F93" w:rsidRDefault="009B3F93" w:rsidP="0028726C">
      <w:pPr>
        <w:rPr>
          <w:rFonts w:cs="Arial"/>
          <w:b/>
          <w:bCs/>
          <w:sz w:val="22"/>
          <w:szCs w:val="22"/>
        </w:rPr>
      </w:pPr>
      <w:r w:rsidRPr="009B3F93">
        <w:rPr>
          <w:rFonts w:cs="Arial"/>
          <w:b/>
          <w:bCs/>
          <w:sz w:val="22"/>
          <w:szCs w:val="22"/>
        </w:rPr>
        <w:t>Respuesta:</w:t>
      </w:r>
    </w:p>
    <w:p w14:paraId="543ECAAE" w14:textId="77777777" w:rsidR="009B3F93" w:rsidRDefault="009B3F93" w:rsidP="0028726C">
      <w:pPr>
        <w:rPr>
          <w:rFonts w:cs="Arial"/>
          <w:sz w:val="22"/>
          <w:szCs w:val="22"/>
        </w:rPr>
      </w:pPr>
    </w:p>
    <w:p w14:paraId="7611946B" w14:textId="4B125579" w:rsidR="009B3F93" w:rsidRDefault="008733C2"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_Ref132704804 \r \h </w:instrText>
      </w:r>
      <w:r>
        <w:rPr>
          <w:rFonts w:cs="Arial"/>
          <w:sz w:val="22"/>
          <w:szCs w:val="22"/>
        </w:rPr>
      </w:r>
      <w:r>
        <w:rPr>
          <w:rFonts w:cs="Arial"/>
          <w:sz w:val="22"/>
          <w:szCs w:val="22"/>
        </w:rPr>
        <w:fldChar w:fldCharType="separate"/>
      </w:r>
      <w:r>
        <w:rPr>
          <w:rFonts w:cs="Arial"/>
          <w:sz w:val="22"/>
          <w:szCs w:val="22"/>
        </w:rPr>
        <w:t>19.2.1.4</w:t>
      </w:r>
      <w:r>
        <w:rPr>
          <w:rFonts w:cs="Arial"/>
          <w:sz w:val="22"/>
          <w:szCs w:val="22"/>
        </w:rPr>
        <w:fldChar w:fldCharType="end"/>
      </w:r>
      <w:r>
        <w:rPr>
          <w:rFonts w:cs="Arial"/>
          <w:sz w:val="22"/>
          <w:szCs w:val="22"/>
        </w:rPr>
        <w:t>.</w:t>
      </w:r>
    </w:p>
    <w:p w14:paraId="25F47692" w14:textId="77777777" w:rsidR="00483E94" w:rsidRDefault="00483E94" w:rsidP="0028726C">
      <w:pPr>
        <w:rPr>
          <w:rFonts w:cs="Arial"/>
          <w:sz w:val="22"/>
          <w:szCs w:val="22"/>
        </w:rPr>
      </w:pPr>
    </w:p>
    <w:p w14:paraId="65FE61BF" w14:textId="77777777" w:rsidR="00CA3C32" w:rsidRDefault="0028726C" w:rsidP="0090195C">
      <w:pPr>
        <w:pStyle w:val="Ttulo2"/>
      </w:pPr>
      <w:bookmarkStart w:id="859" w:name="_Toc140506452"/>
      <w:r w:rsidRPr="0028726C">
        <w:t>VANTI</w:t>
      </w:r>
      <w:bookmarkEnd w:id="859"/>
      <w:r w:rsidRPr="0028726C">
        <w:tab/>
      </w:r>
    </w:p>
    <w:p w14:paraId="2FA09386" w14:textId="77777777" w:rsidR="00002A82" w:rsidRDefault="00002A82" w:rsidP="00F23443">
      <w:pPr>
        <w:pStyle w:val="Ttulo4"/>
      </w:pPr>
      <w:r w:rsidRPr="0028726C">
        <w:t>VANTI</w:t>
      </w:r>
      <w:r w:rsidRPr="0028726C">
        <w:tab/>
      </w:r>
    </w:p>
    <w:p w14:paraId="0C1751B5" w14:textId="16862DC4" w:rsidR="0028726C" w:rsidRPr="0028726C" w:rsidRDefault="0028726C" w:rsidP="0028726C">
      <w:pPr>
        <w:rPr>
          <w:rFonts w:cs="Arial"/>
          <w:sz w:val="22"/>
          <w:szCs w:val="22"/>
        </w:rPr>
      </w:pPr>
      <w:r w:rsidRPr="0028726C">
        <w:rPr>
          <w:rFonts w:cs="Arial"/>
          <w:sz w:val="22"/>
          <w:szCs w:val="22"/>
        </w:rPr>
        <w:t>"</w:t>
      </w:r>
      <w:r w:rsidRPr="00E0008F">
        <w:rPr>
          <w:rFonts w:cs="Arial"/>
          <w:i/>
          <w:iCs/>
          <w:sz w:val="22"/>
          <w:szCs w:val="22"/>
        </w:rPr>
        <w:t>Si bien el proceso trimestral permite optimizar los requerimientos de gas y dinamizar el mercado, al margen del incremento de la operativa que generará al interior de las empresas, se podrían dar periodos donde la demanda térmica y no térmica entren en disputa por el gas. Esta situación, aunada con la mayor disponibilidad a pagar de la demanda térmica, encarecería de manera relevante el costo de gas en los mercados no térmicos y/o pondría en un riesgo no gestionable a los comercializadores para adquirir el gas y garantizar el suministro del servicio a los clientes de demanda esencial y no esencial</w:t>
      </w:r>
      <w:r w:rsidR="00E0008F">
        <w:rPr>
          <w:rFonts w:cs="Arial"/>
          <w:i/>
          <w:iCs/>
          <w:sz w:val="22"/>
          <w:szCs w:val="22"/>
        </w:rPr>
        <w:t>.”</w:t>
      </w:r>
    </w:p>
    <w:p w14:paraId="66AC701D" w14:textId="77777777" w:rsidR="00CA3C32" w:rsidRDefault="00CA3C32" w:rsidP="0028726C">
      <w:pPr>
        <w:rPr>
          <w:rFonts w:cs="Arial"/>
          <w:sz w:val="22"/>
          <w:szCs w:val="22"/>
        </w:rPr>
      </w:pPr>
    </w:p>
    <w:p w14:paraId="188DF3A5" w14:textId="4B07497D" w:rsidR="00C30F46" w:rsidRPr="00E0008F" w:rsidRDefault="00E0008F" w:rsidP="0028726C">
      <w:pPr>
        <w:rPr>
          <w:rFonts w:cs="Arial"/>
          <w:b/>
          <w:bCs/>
          <w:sz w:val="22"/>
          <w:szCs w:val="22"/>
        </w:rPr>
      </w:pPr>
      <w:r w:rsidRPr="00E0008F">
        <w:rPr>
          <w:rFonts w:cs="Arial"/>
          <w:b/>
          <w:bCs/>
          <w:sz w:val="22"/>
          <w:szCs w:val="22"/>
        </w:rPr>
        <w:t>Respuesta:</w:t>
      </w:r>
    </w:p>
    <w:p w14:paraId="642E733C" w14:textId="77777777" w:rsidR="00E0008F" w:rsidRDefault="00E0008F" w:rsidP="0028726C">
      <w:pPr>
        <w:rPr>
          <w:rFonts w:cs="Arial"/>
          <w:sz w:val="22"/>
          <w:szCs w:val="22"/>
        </w:rPr>
      </w:pPr>
    </w:p>
    <w:p w14:paraId="71719878" w14:textId="3A93AA30" w:rsidR="00E0008F" w:rsidRDefault="00E0008F" w:rsidP="0028726C">
      <w:pPr>
        <w:rPr>
          <w:rFonts w:cs="Arial"/>
          <w:sz w:val="22"/>
          <w:szCs w:val="22"/>
        </w:rPr>
      </w:pPr>
      <w:r>
        <w:rPr>
          <w:rFonts w:cs="Arial"/>
          <w:sz w:val="22"/>
          <w:szCs w:val="22"/>
        </w:rPr>
        <w:t xml:space="preserve">Ver respuesta a </w:t>
      </w:r>
      <w:r w:rsidR="00204CCE">
        <w:rPr>
          <w:rFonts w:cs="Arial"/>
          <w:sz w:val="22"/>
          <w:szCs w:val="22"/>
        </w:rPr>
        <w:fldChar w:fldCharType="begin"/>
      </w:r>
      <w:r w:rsidR="00204CCE">
        <w:rPr>
          <w:rFonts w:cs="Arial"/>
          <w:sz w:val="22"/>
          <w:szCs w:val="22"/>
        </w:rPr>
        <w:instrText xml:space="preserve"> REF _Ref132640817 \r \h </w:instrText>
      </w:r>
      <w:r w:rsidR="00204CCE">
        <w:rPr>
          <w:rFonts w:cs="Arial"/>
          <w:sz w:val="22"/>
          <w:szCs w:val="22"/>
        </w:rPr>
      </w:r>
      <w:r w:rsidR="00204CCE">
        <w:rPr>
          <w:rFonts w:cs="Arial"/>
          <w:sz w:val="22"/>
          <w:szCs w:val="22"/>
        </w:rPr>
        <w:fldChar w:fldCharType="separate"/>
      </w:r>
      <w:r w:rsidR="00204CCE">
        <w:rPr>
          <w:rFonts w:cs="Arial"/>
          <w:sz w:val="22"/>
          <w:szCs w:val="22"/>
        </w:rPr>
        <w:t>19.20.1.2</w:t>
      </w:r>
      <w:r w:rsidR="00204CCE">
        <w:rPr>
          <w:rFonts w:cs="Arial"/>
          <w:sz w:val="22"/>
          <w:szCs w:val="22"/>
        </w:rPr>
        <w:fldChar w:fldCharType="end"/>
      </w:r>
      <w:r w:rsidR="00204CCE">
        <w:rPr>
          <w:rFonts w:cs="Arial"/>
          <w:sz w:val="22"/>
          <w:szCs w:val="22"/>
        </w:rPr>
        <w:t>.</w:t>
      </w:r>
    </w:p>
    <w:p w14:paraId="7FF70B71" w14:textId="77777777" w:rsidR="00E0008F" w:rsidRDefault="00E0008F" w:rsidP="0028726C">
      <w:pPr>
        <w:rPr>
          <w:rFonts w:cs="Arial"/>
          <w:sz w:val="22"/>
          <w:szCs w:val="22"/>
        </w:rPr>
      </w:pPr>
    </w:p>
    <w:p w14:paraId="68C0C764" w14:textId="77777777" w:rsidR="00C30F46" w:rsidRDefault="00C30F46" w:rsidP="0028726C">
      <w:pPr>
        <w:rPr>
          <w:rFonts w:cs="Arial"/>
          <w:sz w:val="22"/>
          <w:szCs w:val="22"/>
        </w:rPr>
      </w:pPr>
    </w:p>
    <w:p w14:paraId="46AE3E50" w14:textId="77777777" w:rsidR="00C30F46" w:rsidRDefault="00C30F46" w:rsidP="00C30F46">
      <w:pPr>
        <w:pStyle w:val="Ttulo4"/>
      </w:pPr>
      <w:bookmarkStart w:id="860" w:name="_Ref133403379"/>
      <w:r w:rsidRPr="0028726C">
        <w:t>VANTI</w:t>
      </w:r>
      <w:bookmarkEnd w:id="860"/>
      <w:r w:rsidRPr="0028726C">
        <w:tab/>
      </w:r>
    </w:p>
    <w:p w14:paraId="75A63D74" w14:textId="65FFFA6C" w:rsidR="0028726C" w:rsidRDefault="00053CDC" w:rsidP="0028726C">
      <w:pPr>
        <w:rPr>
          <w:rFonts w:cs="Arial"/>
          <w:i/>
          <w:iCs/>
          <w:sz w:val="22"/>
          <w:szCs w:val="22"/>
        </w:rPr>
      </w:pPr>
      <w:r>
        <w:rPr>
          <w:rFonts w:cs="Arial"/>
          <w:i/>
          <w:iCs/>
          <w:sz w:val="22"/>
          <w:szCs w:val="22"/>
        </w:rPr>
        <w:t>“</w:t>
      </w:r>
      <w:r w:rsidR="0028726C" w:rsidRPr="00204CCE">
        <w:rPr>
          <w:rFonts w:cs="Arial"/>
          <w:i/>
          <w:iCs/>
          <w:sz w:val="22"/>
          <w:szCs w:val="22"/>
        </w:rPr>
        <w:t>Es por esto que observamos, además, entre otros aspectos, que la propuesta regulatoria de la Resolución 227 de 2021, al limitar en exceso la banda de contratación y al imponer al comercializador la carga de asumir el costo de los excedentes de suministro y transporte, no trae ningún beneficio al cliente final, todo lo contrario, incrementará los precios a ese usuario regulado, esencial o no esencial, al quedar expuesta la contratación de los picos de consumo afectando la competitividad del gas y del mismo usuario; más grave aún, exponiéndolo a un corte del servicio, sin mencionar la situación grave que esto representa, en primer lugar para la demanda y en segundo lugar para los comercializadores.</w:t>
      </w:r>
      <w:r>
        <w:rPr>
          <w:rFonts w:cs="Arial"/>
          <w:i/>
          <w:iCs/>
          <w:sz w:val="22"/>
          <w:szCs w:val="22"/>
        </w:rPr>
        <w:t>”</w:t>
      </w:r>
      <w:r w:rsidR="0028726C" w:rsidRPr="00204CCE">
        <w:rPr>
          <w:rFonts w:cs="Arial"/>
          <w:i/>
          <w:iCs/>
          <w:sz w:val="22"/>
          <w:szCs w:val="22"/>
        </w:rPr>
        <w:t xml:space="preserve"> </w:t>
      </w:r>
    </w:p>
    <w:p w14:paraId="45DF49ED" w14:textId="77777777" w:rsidR="00204CCE" w:rsidRDefault="00204CCE" w:rsidP="0028726C">
      <w:pPr>
        <w:rPr>
          <w:rFonts w:cs="Arial"/>
          <w:i/>
          <w:iCs/>
          <w:sz w:val="22"/>
          <w:szCs w:val="22"/>
        </w:rPr>
      </w:pPr>
    </w:p>
    <w:p w14:paraId="5555C7E7" w14:textId="5DEEC7FD" w:rsidR="00204CCE" w:rsidRPr="00204CCE" w:rsidRDefault="00204CCE" w:rsidP="0028726C">
      <w:pPr>
        <w:rPr>
          <w:rFonts w:cs="Arial"/>
          <w:b/>
          <w:bCs/>
          <w:sz w:val="22"/>
          <w:szCs w:val="22"/>
        </w:rPr>
      </w:pPr>
      <w:r w:rsidRPr="00204CCE">
        <w:rPr>
          <w:rFonts w:cs="Arial"/>
          <w:b/>
          <w:bCs/>
          <w:sz w:val="22"/>
          <w:szCs w:val="22"/>
        </w:rPr>
        <w:t>Respuesta:</w:t>
      </w:r>
    </w:p>
    <w:p w14:paraId="09561D64" w14:textId="77777777" w:rsidR="00204CCE" w:rsidRDefault="00204CCE" w:rsidP="0028726C">
      <w:pPr>
        <w:rPr>
          <w:rFonts w:cs="Arial"/>
          <w:i/>
          <w:iCs/>
          <w:sz w:val="22"/>
          <w:szCs w:val="22"/>
        </w:rPr>
      </w:pPr>
    </w:p>
    <w:p w14:paraId="19515E7F" w14:textId="760D4DB4" w:rsidR="00204CCE" w:rsidRDefault="00204CCE" w:rsidP="0028726C">
      <w:pPr>
        <w:rPr>
          <w:rFonts w:cs="Arial"/>
          <w:sz w:val="22"/>
          <w:szCs w:val="22"/>
        </w:rPr>
      </w:pPr>
      <w:r w:rsidRPr="00204CCE">
        <w:rPr>
          <w:rFonts w:cs="Arial"/>
          <w:sz w:val="22"/>
          <w:szCs w:val="22"/>
        </w:rPr>
        <w:t xml:space="preserve">En la </w:t>
      </w:r>
      <w:r>
        <w:rPr>
          <w:rFonts w:cs="Arial"/>
          <w:sz w:val="22"/>
          <w:szCs w:val="22"/>
        </w:rPr>
        <w:t>nueva propuesta, a diferencia de la propuesta inicial, se plantea que e</w:t>
      </w:r>
      <w:r w:rsidRPr="00204CCE">
        <w:rPr>
          <w:rFonts w:cs="Arial"/>
          <w:sz w:val="22"/>
          <w:szCs w:val="22"/>
        </w:rPr>
        <w:t>n los contratos de suministro de las modalidades CF95/CF80, el volumen de la componente de pago variable del contrato podrá ser nominado por el comprador del mercado primario. En caso de que el comprador no haga la nominación total de dicho volumen, el vendedor del mercado primario podrá atender nominaciones de contratos con interrupciones con los volúmenes del componente variable, no nominados por el comprador del mercado primario.</w:t>
      </w:r>
    </w:p>
    <w:p w14:paraId="5A7C9EE6" w14:textId="77777777" w:rsidR="00204CCE" w:rsidRDefault="00204CCE" w:rsidP="0028726C">
      <w:pPr>
        <w:rPr>
          <w:rFonts w:cs="Arial"/>
          <w:sz w:val="22"/>
          <w:szCs w:val="22"/>
        </w:rPr>
      </w:pPr>
    </w:p>
    <w:p w14:paraId="7951448A" w14:textId="4A250277" w:rsidR="00204CCE" w:rsidRPr="00204CCE" w:rsidRDefault="00204CCE" w:rsidP="0028726C">
      <w:pPr>
        <w:rPr>
          <w:rFonts w:cs="Arial"/>
          <w:sz w:val="22"/>
          <w:szCs w:val="22"/>
        </w:rPr>
      </w:pPr>
      <w:r>
        <w:rPr>
          <w:rFonts w:cs="Arial"/>
          <w:sz w:val="22"/>
          <w:szCs w:val="22"/>
        </w:rPr>
        <w:t xml:space="preserve">Con lo anterior se busca cumplir el objetivo de que el comercializador que atienda demanda regulada pueda comercializar de manera más integral los excedentes periódicos del suministro contratado en el Mercado Primario sobre los picos de consumo ver respuesta a </w:t>
      </w:r>
      <w:r>
        <w:rPr>
          <w:rFonts w:cs="Arial"/>
          <w:sz w:val="22"/>
          <w:szCs w:val="22"/>
        </w:rPr>
        <w:fldChar w:fldCharType="begin"/>
      </w:r>
      <w:r>
        <w:rPr>
          <w:rFonts w:cs="Arial"/>
          <w:sz w:val="22"/>
          <w:szCs w:val="22"/>
        </w:rPr>
        <w:instrText xml:space="preserve"> REF _Ref132640817 \r \h </w:instrText>
      </w:r>
      <w:r>
        <w:rPr>
          <w:rFonts w:cs="Arial"/>
          <w:sz w:val="22"/>
          <w:szCs w:val="22"/>
        </w:rPr>
      </w:r>
      <w:r>
        <w:rPr>
          <w:rFonts w:cs="Arial"/>
          <w:sz w:val="22"/>
          <w:szCs w:val="22"/>
        </w:rPr>
        <w:fldChar w:fldCharType="separate"/>
      </w:r>
      <w:r>
        <w:rPr>
          <w:rFonts w:cs="Arial"/>
          <w:sz w:val="22"/>
          <w:szCs w:val="22"/>
        </w:rPr>
        <w:t>19.20.1.2</w:t>
      </w:r>
      <w:r>
        <w:rPr>
          <w:rFonts w:cs="Arial"/>
          <w:sz w:val="22"/>
          <w:szCs w:val="22"/>
        </w:rPr>
        <w:fldChar w:fldCharType="end"/>
      </w:r>
      <w:r>
        <w:rPr>
          <w:rFonts w:cs="Arial"/>
          <w:sz w:val="22"/>
          <w:szCs w:val="22"/>
        </w:rPr>
        <w:t>.</w:t>
      </w:r>
    </w:p>
    <w:p w14:paraId="555BF261" w14:textId="77777777" w:rsidR="00204CCE" w:rsidRPr="00204CCE" w:rsidRDefault="00204CCE" w:rsidP="0028726C">
      <w:pPr>
        <w:rPr>
          <w:rFonts w:cs="Arial"/>
          <w:i/>
          <w:iCs/>
          <w:sz w:val="22"/>
          <w:szCs w:val="22"/>
        </w:rPr>
      </w:pPr>
    </w:p>
    <w:p w14:paraId="7D4FA6B6" w14:textId="77777777" w:rsidR="00CA3C32" w:rsidRPr="00204CCE" w:rsidRDefault="00CA3C32" w:rsidP="0028726C">
      <w:pPr>
        <w:rPr>
          <w:rFonts w:cs="Arial"/>
          <w:i/>
          <w:iCs/>
          <w:sz w:val="22"/>
          <w:szCs w:val="22"/>
        </w:rPr>
      </w:pPr>
    </w:p>
    <w:p w14:paraId="7AC91BD6" w14:textId="77777777" w:rsidR="00204CCE" w:rsidRDefault="00204CCE" w:rsidP="00204CCE">
      <w:pPr>
        <w:pStyle w:val="Ttulo4"/>
      </w:pPr>
      <w:bookmarkStart w:id="861" w:name="_Ref132706135"/>
      <w:r w:rsidRPr="0028726C">
        <w:t>VANTI</w:t>
      </w:r>
      <w:bookmarkEnd w:id="861"/>
      <w:r w:rsidRPr="0028726C">
        <w:tab/>
      </w:r>
    </w:p>
    <w:p w14:paraId="05908DE5" w14:textId="1AD8AE10" w:rsidR="0028726C" w:rsidRPr="00204CCE" w:rsidRDefault="00D57692" w:rsidP="0028726C">
      <w:pPr>
        <w:rPr>
          <w:rFonts w:cs="Arial"/>
          <w:i/>
          <w:iCs/>
          <w:sz w:val="22"/>
          <w:szCs w:val="22"/>
        </w:rPr>
      </w:pPr>
      <w:r>
        <w:rPr>
          <w:rFonts w:cs="Arial"/>
          <w:i/>
          <w:iCs/>
          <w:sz w:val="22"/>
          <w:szCs w:val="22"/>
        </w:rPr>
        <w:t>“</w:t>
      </w:r>
      <w:r w:rsidR="0028726C" w:rsidRPr="00204CCE">
        <w:rPr>
          <w:rFonts w:cs="Arial"/>
          <w:i/>
          <w:iCs/>
          <w:sz w:val="22"/>
          <w:szCs w:val="22"/>
        </w:rPr>
        <w:t xml:space="preserve">Con el fin de evitar esta situación, es absolutamente indispensable que las disposiciones de la propuesta regulatoria de la Resolución 227 de 2021 no entren en aplicación y se mantengan las reglas que han operado de la Resolución 137 de 2013 vigentes. Si bien estamos enviando en otra comunicación nuestros comentarios con respecto a la Resolución 227, creemos conveniente resaltar algunos de los aspectos negativos de la misma y que en cualquier escenario afectarían la comercialización de gas y al sector en general: </w:t>
      </w:r>
    </w:p>
    <w:p w14:paraId="15A03C52" w14:textId="77777777" w:rsidR="0028726C" w:rsidRPr="00204CCE" w:rsidRDefault="0028726C" w:rsidP="0028726C">
      <w:pPr>
        <w:rPr>
          <w:rFonts w:cs="Arial"/>
          <w:i/>
          <w:iCs/>
          <w:sz w:val="22"/>
          <w:szCs w:val="22"/>
        </w:rPr>
      </w:pPr>
      <w:r w:rsidRPr="00204CCE">
        <w:rPr>
          <w:rFonts w:cs="Arial"/>
          <w:i/>
          <w:iCs/>
          <w:sz w:val="22"/>
          <w:szCs w:val="22"/>
        </w:rPr>
        <w:t>•</w:t>
      </w:r>
      <w:r w:rsidRPr="00204CCE">
        <w:rPr>
          <w:rFonts w:cs="Arial"/>
          <w:i/>
          <w:iCs/>
          <w:sz w:val="22"/>
          <w:szCs w:val="22"/>
        </w:rPr>
        <w:tab/>
        <w:t xml:space="preserve">Permitir que las cantidades de gas que contrate el comercializador para la Demanda Regulada Esencial, dejen descubiertos los picos de consumo y que se castigue al comercializador teniendo que asumir el 50% de los excedentes que se ubiquen en la banda de eficiencia. </w:t>
      </w:r>
    </w:p>
    <w:p w14:paraId="3F36DD1F" w14:textId="77777777" w:rsidR="0028726C" w:rsidRPr="00204CCE" w:rsidRDefault="0028726C" w:rsidP="0028726C">
      <w:pPr>
        <w:rPr>
          <w:rFonts w:cs="Arial"/>
          <w:i/>
          <w:iCs/>
          <w:sz w:val="22"/>
          <w:szCs w:val="22"/>
        </w:rPr>
      </w:pPr>
      <w:r w:rsidRPr="00204CCE">
        <w:rPr>
          <w:rFonts w:cs="Arial"/>
          <w:i/>
          <w:iCs/>
          <w:sz w:val="22"/>
          <w:szCs w:val="22"/>
        </w:rPr>
        <w:t>•</w:t>
      </w:r>
      <w:r w:rsidRPr="00204CCE">
        <w:rPr>
          <w:rFonts w:cs="Arial"/>
          <w:i/>
          <w:iCs/>
          <w:sz w:val="22"/>
          <w:szCs w:val="22"/>
        </w:rPr>
        <w:tab/>
        <w:t xml:space="preserve">Sólo trasladar el gas consumido en la Demanda Regulada No Esencial y exponer a esta demanda a modalidades interrumpibles, incrementando los cortes en su servicio. </w:t>
      </w:r>
    </w:p>
    <w:p w14:paraId="36CDC51B" w14:textId="603A505B" w:rsidR="0028726C" w:rsidRDefault="0028726C" w:rsidP="0028726C">
      <w:pPr>
        <w:rPr>
          <w:rFonts w:cs="Arial"/>
          <w:sz w:val="22"/>
          <w:szCs w:val="22"/>
        </w:rPr>
      </w:pPr>
      <w:r w:rsidRPr="00204CCE">
        <w:rPr>
          <w:rFonts w:cs="Arial"/>
          <w:i/>
          <w:iCs/>
          <w:sz w:val="22"/>
          <w:szCs w:val="22"/>
        </w:rPr>
        <w:t>•</w:t>
      </w:r>
      <w:r w:rsidRPr="00204CCE">
        <w:rPr>
          <w:rFonts w:cs="Arial"/>
          <w:i/>
          <w:iCs/>
          <w:sz w:val="22"/>
          <w:szCs w:val="22"/>
        </w:rPr>
        <w:tab/>
        <w:t>Separar la Demanda Regulada entre Esencial y No Esencial, lo que no vemos factible, como se expondrá en el capítulo 8</w:t>
      </w:r>
      <w:r w:rsidRPr="0028726C">
        <w:rPr>
          <w:rFonts w:cs="Arial"/>
          <w:sz w:val="22"/>
          <w:szCs w:val="22"/>
        </w:rPr>
        <w:t>.</w:t>
      </w:r>
      <w:r w:rsidR="00D57692">
        <w:rPr>
          <w:rFonts w:cs="Arial"/>
          <w:sz w:val="22"/>
          <w:szCs w:val="22"/>
        </w:rPr>
        <w:t>”</w:t>
      </w:r>
    </w:p>
    <w:p w14:paraId="3FD0985E" w14:textId="77777777" w:rsidR="00204CCE" w:rsidRDefault="00204CCE" w:rsidP="0028726C">
      <w:pPr>
        <w:rPr>
          <w:rFonts w:cs="Arial"/>
          <w:sz w:val="22"/>
          <w:szCs w:val="22"/>
        </w:rPr>
      </w:pPr>
    </w:p>
    <w:p w14:paraId="7544344A" w14:textId="69C81302" w:rsidR="00204CCE" w:rsidRPr="00204CCE" w:rsidRDefault="00204CCE" w:rsidP="0028726C">
      <w:pPr>
        <w:rPr>
          <w:rFonts w:cs="Arial"/>
          <w:b/>
          <w:bCs/>
          <w:sz w:val="22"/>
          <w:szCs w:val="22"/>
        </w:rPr>
      </w:pPr>
      <w:r w:rsidRPr="00204CCE">
        <w:rPr>
          <w:rFonts w:cs="Arial"/>
          <w:b/>
          <w:bCs/>
          <w:sz w:val="22"/>
          <w:szCs w:val="22"/>
        </w:rPr>
        <w:t>Respuesta:</w:t>
      </w:r>
    </w:p>
    <w:p w14:paraId="57CFF5A0" w14:textId="77777777" w:rsidR="00204CCE" w:rsidRDefault="00204CCE" w:rsidP="0028726C">
      <w:pPr>
        <w:rPr>
          <w:rFonts w:cs="Arial"/>
          <w:sz w:val="22"/>
          <w:szCs w:val="22"/>
        </w:rPr>
      </w:pPr>
    </w:p>
    <w:p w14:paraId="79D1B122" w14:textId="7ED41898" w:rsidR="00204CCE" w:rsidRDefault="00204CCE" w:rsidP="00204CCE">
      <w:pPr>
        <w:rPr>
          <w:rFonts w:cs="Arial"/>
          <w:sz w:val="22"/>
          <w:szCs w:val="22"/>
        </w:rPr>
      </w:pPr>
      <w:r>
        <w:rPr>
          <w:rFonts w:cs="Arial"/>
          <w:sz w:val="22"/>
          <w:szCs w:val="22"/>
        </w:rPr>
        <w:t>No es del alcance de la resolución del Mercado Mayorista de Gas Natural la regulación del traslado de costos de la actividad de suministro de gas a los usuarios regulados. Los comentarios recibidos al respecto serán tenidos en cuenta en el desarrollo por la CREG de la propuesta definitiva de fórmula tarifaria general de los usuarios regulados.</w:t>
      </w:r>
    </w:p>
    <w:p w14:paraId="360F6241" w14:textId="77777777" w:rsidR="00204CCE" w:rsidRDefault="00204CCE" w:rsidP="0028726C">
      <w:pPr>
        <w:rPr>
          <w:rFonts w:cs="Arial"/>
          <w:sz w:val="22"/>
          <w:szCs w:val="22"/>
        </w:rPr>
      </w:pPr>
    </w:p>
    <w:p w14:paraId="7DA63463" w14:textId="77777777" w:rsidR="00CA3C32" w:rsidRDefault="00CA3C32" w:rsidP="0028726C">
      <w:pPr>
        <w:rPr>
          <w:rFonts w:cs="Arial"/>
          <w:sz w:val="22"/>
          <w:szCs w:val="22"/>
        </w:rPr>
      </w:pPr>
    </w:p>
    <w:p w14:paraId="3A7E3BE8" w14:textId="77777777" w:rsidR="00CA3C32" w:rsidRDefault="0028726C" w:rsidP="00F23443">
      <w:pPr>
        <w:pStyle w:val="Ttulo4"/>
      </w:pPr>
      <w:r w:rsidRPr="0028726C">
        <w:t>VANTI</w:t>
      </w:r>
      <w:r w:rsidRPr="0028726C">
        <w:tab/>
      </w:r>
    </w:p>
    <w:p w14:paraId="1FC5083F" w14:textId="6798EADA" w:rsidR="00CF1E9D" w:rsidRDefault="00D57692" w:rsidP="0028726C">
      <w:pPr>
        <w:rPr>
          <w:rFonts w:cs="Arial"/>
          <w:i/>
          <w:iCs/>
          <w:sz w:val="22"/>
          <w:szCs w:val="22"/>
        </w:rPr>
      </w:pPr>
      <w:r>
        <w:rPr>
          <w:rFonts w:cs="Arial"/>
          <w:i/>
          <w:iCs/>
          <w:sz w:val="22"/>
          <w:szCs w:val="22"/>
        </w:rPr>
        <w:t>“</w:t>
      </w:r>
      <w:r w:rsidR="0028726C" w:rsidRPr="00204CCE">
        <w:rPr>
          <w:rFonts w:cs="Arial"/>
          <w:i/>
          <w:iCs/>
          <w:sz w:val="22"/>
          <w:szCs w:val="22"/>
        </w:rPr>
        <w:t xml:space="preserve">Si bien es positiva la inclusión de este tipo de contrato, en la práctica es inocua pues su utilidad es para el respaldo del segmento del mercado con mayor variación en el perfil de demanda, esto es, el residencial, pero la Comisión excluye taxativamente este mercado y sólo la define como de uso residual por parte de los otros mercados con el fin de optimizar la oferta de gas en el país. </w:t>
      </w:r>
    </w:p>
    <w:p w14:paraId="4F010F50" w14:textId="77777777" w:rsidR="00CF1E9D" w:rsidRDefault="00CF1E9D" w:rsidP="0028726C">
      <w:pPr>
        <w:rPr>
          <w:rFonts w:cs="Arial"/>
          <w:i/>
          <w:iCs/>
          <w:sz w:val="22"/>
          <w:szCs w:val="22"/>
        </w:rPr>
      </w:pPr>
    </w:p>
    <w:p w14:paraId="7698C26C" w14:textId="79AF9CBF" w:rsidR="00CF1E9D" w:rsidRPr="00204CCE" w:rsidRDefault="00CF1E9D" w:rsidP="00CF1E9D">
      <w:pPr>
        <w:rPr>
          <w:rFonts w:cs="Arial"/>
          <w:i/>
          <w:iCs/>
          <w:sz w:val="22"/>
          <w:szCs w:val="22"/>
        </w:rPr>
      </w:pPr>
      <w:r w:rsidRPr="00204CCE">
        <w:rPr>
          <w:rFonts w:cs="Arial"/>
          <w:i/>
          <w:iCs/>
          <w:sz w:val="22"/>
          <w:szCs w:val="22"/>
        </w:rPr>
        <w:t>Adicionalmente, no es clara la disposición de los productores a ofrecer al mercado productos mediante estos contratos</w:t>
      </w:r>
      <w:r>
        <w:rPr>
          <w:rFonts w:cs="Arial"/>
          <w:i/>
          <w:iCs/>
          <w:sz w:val="22"/>
          <w:szCs w:val="22"/>
        </w:rPr>
        <w:t xml:space="preserve"> (CF80)</w:t>
      </w:r>
      <w:r w:rsidRPr="00204CCE">
        <w:rPr>
          <w:rFonts w:cs="Arial"/>
          <w:i/>
          <w:iCs/>
          <w:sz w:val="22"/>
          <w:szCs w:val="22"/>
        </w:rPr>
        <w:t>; como en la práctica, los productores en el interior tienen competencia nula, si estos no tienen disposición, puede que este tipo de contratos no se lleguen a ofrecer ni a suscribir.</w:t>
      </w:r>
      <w:r w:rsidR="00D57692">
        <w:rPr>
          <w:rFonts w:cs="Arial"/>
          <w:i/>
          <w:iCs/>
          <w:sz w:val="22"/>
          <w:szCs w:val="22"/>
        </w:rPr>
        <w:t>”</w:t>
      </w:r>
      <w:r w:rsidRPr="00204CCE">
        <w:rPr>
          <w:rFonts w:cs="Arial"/>
          <w:i/>
          <w:iCs/>
          <w:sz w:val="22"/>
          <w:szCs w:val="22"/>
        </w:rPr>
        <w:t xml:space="preserve"> </w:t>
      </w:r>
    </w:p>
    <w:p w14:paraId="1E6C22B0" w14:textId="77777777" w:rsidR="00CF1E9D" w:rsidRDefault="00CF1E9D" w:rsidP="0028726C">
      <w:pPr>
        <w:rPr>
          <w:rFonts w:cs="Arial"/>
          <w:i/>
          <w:iCs/>
          <w:sz w:val="22"/>
          <w:szCs w:val="22"/>
        </w:rPr>
      </w:pPr>
    </w:p>
    <w:p w14:paraId="53957D06" w14:textId="77777777" w:rsidR="00CF1E9D" w:rsidRPr="00204CCE" w:rsidRDefault="00CF1E9D" w:rsidP="00CF1E9D">
      <w:pPr>
        <w:rPr>
          <w:rFonts w:cs="Arial"/>
          <w:b/>
          <w:bCs/>
          <w:sz w:val="22"/>
          <w:szCs w:val="22"/>
        </w:rPr>
      </w:pPr>
      <w:r w:rsidRPr="00204CCE">
        <w:rPr>
          <w:rFonts w:cs="Arial"/>
          <w:b/>
          <w:bCs/>
          <w:sz w:val="22"/>
          <w:szCs w:val="22"/>
        </w:rPr>
        <w:t>Respuesta:</w:t>
      </w:r>
    </w:p>
    <w:p w14:paraId="28EA3768" w14:textId="77777777" w:rsidR="00CF1E9D" w:rsidRDefault="00CF1E9D" w:rsidP="00CF1E9D">
      <w:pPr>
        <w:rPr>
          <w:rFonts w:cs="Arial"/>
          <w:sz w:val="22"/>
          <w:szCs w:val="22"/>
        </w:rPr>
      </w:pPr>
    </w:p>
    <w:p w14:paraId="3C5C5DA9" w14:textId="275BC8AC" w:rsidR="00CF1E9D" w:rsidRPr="0028726C" w:rsidRDefault="00CF1E9D" w:rsidP="00CF1E9D">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_Ref132639178 \r \h </w:instrText>
      </w:r>
      <w:r>
        <w:rPr>
          <w:rFonts w:cs="Arial"/>
          <w:sz w:val="22"/>
          <w:szCs w:val="22"/>
        </w:rPr>
      </w:r>
      <w:r>
        <w:rPr>
          <w:rFonts w:cs="Arial"/>
          <w:sz w:val="22"/>
          <w:szCs w:val="22"/>
        </w:rPr>
        <w:fldChar w:fldCharType="separate"/>
      </w:r>
      <w:r>
        <w:rPr>
          <w:rFonts w:cs="Arial"/>
          <w:sz w:val="22"/>
          <w:szCs w:val="22"/>
        </w:rPr>
        <w:t>19.13.1.2</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_Ref132639279 \r \h </w:instrText>
      </w:r>
      <w:r>
        <w:rPr>
          <w:rFonts w:cs="Arial"/>
          <w:sz w:val="22"/>
          <w:szCs w:val="22"/>
        </w:rPr>
      </w:r>
      <w:r>
        <w:rPr>
          <w:rFonts w:cs="Arial"/>
          <w:sz w:val="22"/>
          <w:szCs w:val="22"/>
        </w:rPr>
        <w:fldChar w:fldCharType="separate"/>
      </w:r>
      <w:r>
        <w:rPr>
          <w:rFonts w:cs="Arial"/>
          <w:sz w:val="22"/>
          <w:szCs w:val="22"/>
        </w:rPr>
        <w:t>19.13.1.3</w:t>
      </w:r>
      <w:r>
        <w:rPr>
          <w:rFonts w:cs="Arial"/>
          <w:sz w:val="22"/>
          <w:szCs w:val="22"/>
        </w:rPr>
        <w:fldChar w:fldCharType="end"/>
      </w:r>
      <w:r>
        <w:rPr>
          <w:rFonts w:cs="Arial"/>
          <w:sz w:val="22"/>
          <w:szCs w:val="22"/>
        </w:rPr>
        <w:t>.</w:t>
      </w:r>
    </w:p>
    <w:p w14:paraId="69C2A7BC" w14:textId="77777777" w:rsidR="00CF1E9D" w:rsidRDefault="00CF1E9D" w:rsidP="0028726C">
      <w:pPr>
        <w:rPr>
          <w:rFonts w:cs="Arial"/>
          <w:i/>
          <w:iCs/>
          <w:sz w:val="22"/>
          <w:szCs w:val="22"/>
        </w:rPr>
      </w:pPr>
    </w:p>
    <w:p w14:paraId="6E191708" w14:textId="77777777" w:rsidR="00CF1E9D" w:rsidRDefault="00CF1E9D" w:rsidP="0028726C">
      <w:pPr>
        <w:rPr>
          <w:rFonts w:cs="Arial"/>
          <w:i/>
          <w:iCs/>
          <w:sz w:val="22"/>
          <w:szCs w:val="22"/>
        </w:rPr>
      </w:pPr>
    </w:p>
    <w:p w14:paraId="7A012843" w14:textId="77777777" w:rsidR="00CA3C32" w:rsidRDefault="0028726C" w:rsidP="00F23443">
      <w:pPr>
        <w:pStyle w:val="Ttulo4"/>
      </w:pPr>
      <w:r w:rsidRPr="0028726C">
        <w:t>VANTI</w:t>
      </w:r>
      <w:r w:rsidRPr="0028726C">
        <w:tab/>
      </w:r>
    </w:p>
    <w:p w14:paraId="27776F2C" w14:textId="77777777" w:rsidR="00D32041" w:rsidRDefault="0028726C" w:rsidP="0028726C">
      <w:pPr>
        <w:rPr>
          <w:rFonts w:cs="Arial"/>
          <w:i/>
          <w:iCs/>
          <w:sz w:val="22"/>
          <w:szCs w:val="22"/>
        </w:rPr>
      </w:pPr>
      <w:r w:rsidRPr="0028726C">
        <w:rPr>
          <w:rFonts w:cs="Arial"/>
          <w:sz w:val="22"/>
          <w:szCs w:val="22"/>
        </w:rPr>
        <w:t xml:space="preserve">" </w:t>
      </w:r>
      <w:r w:rsidRPr="00CF1E9D">
        <w:rPr>
          <w:rFonts w:cs="Arial"/>
          <w:i/>
          <w:iCs/>
          <w:sz w:val="22"/>
          <w:szCs w:val="22"/>
        </w:rPr>
        <w:t>- no nos queda claro el objetivo que persigue el Artículo 21, si tiene la misma referencia a lo que menciona el Artículo 22, numeral c) y cuál es la razón de mencionar al sector termoeléctrico.</w:t>
      </w:r>
    </w:p>
    <w:p w14:paraId="4C7CBE30" w14:textId="77777777" w:rsidR="00D32041" w:rsidRDefault="00D32041" w:rsidP="0028726C">
      <w:pPr>
        <w:rPr>
          <w:rFonts w:cs="Arial"/>
          <w:i/>
          <w:iCs/>
          <w:sz w:val="22"/>
          <w:szCs w:val="22"/>
        </w:rPr>
      </w:pPr>
    </w:p>
    <w:p w14:paraId="68992368" w14:textId="77777777" w:rsidR="00D32041" w:rsidRPr="00D32041" w:rsidRDefault="00D32041" w:rsidP="00D32041">
      <w:pPr>
        <w:rPr>
          <w:rFonts w:cs="Arial"/>
          <w:i/>
          <w:iCs/>
          <w:sz w:val="22"/>
          <w:szCs w:val="22"/>
        </w:rPr>
      </w:pPr>
      <w:r w:rsidRPr="0028726C">
        <w:rPr>
          <w:rFonts w:cs="Arial"/>
          <w:sz w:val="22"/>
          <w:szCs w:val="22"/>
        </w:rPr>
        <w:t xml:space="preserve">- </w:t>
      </w:r>
      <w:r w:rsidRPr="00D32041">
        <w:rPr>
          <w:rFonts w:cs="Arial"/>
          <w:i/>
          <w:iCs/>
          <w:sz w:val="22"/>
          <w:szCs w:val="22"/>
        </w:rPr>
        <w:t xml:space="preserve">solicitamos eliminar el Artículo 22, numeral c). En el taller del 29 de abril la Comisión explicó que el objetivo de prórroga consiste en que dichas cantidades sean aseguradas por la Demanda Esencial, pero no vemos que esta acción sea equilibrada con el mercado no regulado industrial quien también tiene requerimientos de gas y vencimientos de sus contratos. </w:t>
      </w:r>
    </w:p>
    <w:p w14:paraId="55F0432B" w14:textId="77777777" w:rsidR="00D32041" w:rsidRPr="00D32041" w:rsidRDefault="00D32041" w:rsidP="00D32041">
      <w:pPr>
        <w:rPr>
          <w:rFonts w:cs="Arial"/>
          <w:i/>
          <w:iCs/>
          <w:sz w:val="22"/>
          <w:szCs w:val="22"/>
        </w:rPr>
      </w:pPr>
    </w:p>
    <w:p w14:paraId="7D4DA228" w14:textId="77777777" w:rsidR="00D32041" w:rsidRPr="0028726C" w:rsidRDefault="00D32041" w:rsidP="00D32041">
      <w:pPr>
        <w:rPr>
          <w:rFonts w:cs="Arial"/>
          <w:sz w:val="22"/>
          <w:szCs w:val="22"/>
        </w:rPr>
      </w:pPr>
      <w:r w:rsidRPr="00D32041">
        <w:rPr>
          <w:rFonts w:cs="Arial"/>
          <w:i/>
          <w:iCs/>
          <w:sz w:val="22"/>
          <w:szCs w:val="22"/>
        </w:rPr>
        <w:t>Otra cosa diferente es, como lo menciona la Resolución 186 de 2021, que los contratos que estén vigentes y que tengan fecha de vencimiento posterior a un 30 de noviembre podrán ser extendidos de mutuo acuerdo entre las partes, hasta el 30 de noviembre siguiente</w:t>
      </w:r>
      <w:r w:rsidRPr="0028726C">
        <w:rPr>
          <w:rFonts w:cs="Arial"/>
          <w:sz w:val="22"/>
          <w:szCs w:val="22"/>
        </w:rPr>
        <w:t>."</w:t>
      </w:r>
    </w:p>
    <w:p w14:paraId="20529D8C" w14:textId="77777777" w:rsidR="00C30F46" w:rsidRDefault="00C30F46" w:rsidP="0028726C">
      <w:pPr>
        <w:rPr>
          <w:rFonts w:cs="Arial"/>
          <w:sz w:val="22"/>
          <w:szCs w:val="22"/>
        </w:rPr>
      </w:pPr>
    </w:p>
    <w:p w14:paraId="787749D5" w14:textId="0BDFA7F5" w:rsidR="00C30F46" w:rsidRPr="00CF1E9D" w:rsidRDefault="00CF1E9D" w:rsidP="0028726C">
      <w:pPr>
        <w:rPr>
          <w:rFonts w:cs="Arial"/>
          <w:b/>
          <w:bCs/>
          <w:sz w:val="22"/>
          <w:szCs w:val="22"/>
        </w:rPr>
      </w:pPr>
      <w:r w:rsidRPr="00CF1E9D">
        <w:rPr>
          <w:rFonts w:cs="Arial"/>
          <w:b/>
          <w:bCs/>
          <w:sz w:val="22"/>
          <w:szCs w:val="22"/>
        </w:rPr>
        <w:t>Respuesta:</w:t>
      </w:r>
    </w:p>
    <w:p w14:paraId="59EAD5EB" w14:textId="77777777" w:rsidR="00CF1E9D" w:rsidRDefault="00CF1E9D" w:rsidP="0028726C">
      <w:pPr>
        <w:rPr>
          <w:rFonts w:cs="Arial"/>
          <w:sz w:val="22"/>
          <w:szCs w:val="22"/>
        </w:rPr>
      </w:pPr>
    </w:p>
    <w:p w14:paraId="40A70A56" w14:textId="77777777" w:rsidR="00D32041" w:rsidRDefault="00D32041" w:rsidP="00D32041">
      <w:pPr>
        <w:rPr>
          <w:rFonts w:cs="Arial"/>
          <w:sz w:val="22"/>
          <w:szCs w:val="22"/>
        </w:rPr>
      </w:pPr>
      <w:r>
        <w:rPr>
          <w:rFonts w:cs="Arial"/>
          <w:sz w:val="22"/>
          <w:szCs w:val="22"/>
        </w:rPr>
        <w:t xml:space="preserve">En la nueva propuesta se realizó un ajuste de modo que los contratos vigentes no podrán prorrogarse en ningún caso, a diferencia de la propuesta inicialmente publicada. Ver respuesta a </w:t>
      </w:r>
      <w:r>
        <w:rPr>
          <w:rFonts w:cs="Arial"/>
          <w:sz w:val="22"/>
          <w:szCs w:val="22"/>
        </w:rPr>
        <w:fldChar w:fldCharType="begin"/>
      </w:r>
      <w:r>
        <w:rPr>
          <w:rFonts w:cs="Arial"/>
          <w:sz w:val="22"/>
          <w:szCs w:val="22"/>
        </w:rPr>
        <w:instrText xml:space="preserve"> REF _Ref130564650 \r \h </w:instrText>
      </w:r>
      <w:r>
        <w:rPr>
          <w:rFonts w:cs="Arial"/>
          <w:sz w:val="22"/>
          <w:szCs w:val="22"/>
        </w:rPr>
      </w:r>
      <w:r>
        <w:rPr>
          <w:rFonts w:cs="Arial"/>
          <w:sz w:val="22"/>
          <w:szCs w:val="22"/>
        </w:rPr>
        <w:fldChar w:fldCharType="separate"/>
      </w:r>
      <w:r>
        <w:rPr>
          <w:rFonts w:cs="Arial"/>
          <w:sz w:val="22"/>
          <w:szCs w:val="22"/>
        </w:rPr>
        <w:t>1.6.1.1</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_Ref130637819 \r \h </w:instrText>
      </w:r>
      <w:r>
        <w:rPr>
          <w:rFonts w:cs="Arial"/>
          <w:sz w:val="22"/>
          <w:szCs w:val="22"/>
        </w:rPr>
      </w:r>
      <w:r>
        <w:rPr>
          <w:rFonts w:cs="Arial"/>
          <w:sz w:val="22"/>
          <w:szCs w:val="22"/>
        </w:rPr>
        <w:fldChar w:fldCharType="separate"/>
      </w:r>
      <w:r>
        <w:rPr>
          <w:rFonts w:cs="Arial"/>
          <w:sz w:val="22"/>
          <w:szCs w:val="22"/>
        </w:rPr>
        <w:t>8.2.1.1</w:t>
      </w:r>
      <w:r>
        <w:rPr>
          <w:rFonts w:cs="Arial"/>
          <w:sz w:val="22"/>
          <w:szCs w:val="22"/>
        </w:rPr>
        <w:fldChar w:fldCharType="end"/>
      </w:r>
      <w:r>
        <w:rPr>
          <w:rFonts w:cs="Arial"/>
          <w:sz w:val="22"/>
          <w:szCs w:val="22"/>
        </w:rPr>
        <w:t>.</w:t>
      </w:r>
    </w:p>
    <w:p w14:paraId="428AB9CF" w14:textId="77777777" w:rsidR="00C30F46" w:rsidRDefault="00C30F46" w:rsidP="0028726C">
      <w:pPr>
        <w:rPr>
          <w:rFonts w:cs="Arial"/>
          <w:sz w:val="22"/>
          <w:szCs w:val="22"/>
        </w:rPr>
      </w:pPr>
    </w:p>
    <w:p w14:paraId="08288D0A" w14:textId="77777777" w:rsidR="00D32041" w:rsidRDefault="00D32041" w:rsidP="0028726C">
      <w:pPr>
        <w:rPr>
          <w:rFonts w:cs="Arial"/>
          <w:sz w:val="22"/>
          <w:szCs w:val="22"/>
        </w:rPr>
      </w:pPr>
    </w:p>
    <w:p w14:paraId="7E7816D4" w14:textId="77777777" w:rsidR="00C30F46" w:rsidRDefault="00C30F46" w:rsidP="00C30F46">
      <w:pPr>
        <w:pStyle w:val="Ttulo4"/>
      </w:pPr>
      <w:r w:rsidRPr="0028726C">
        <w:t>VANTI</w:t>
      </w:r>
      <w:r w:rsidRPr="0028726C">
        <w:tab/>
      </w:r>
    </w:p>
    <w:p w14:paraId="2AC4AC9C" w14:textId="3635A17B" w:rsidR="0028726C" w:rsidRPr="00D32041" w:rsidRDefault="0028726C" w:rsidP="0028726C">
      <w:pPr>
        <w:rPr>
          <w:rFonts w:cs="Arial"/>
          <w:i/>
          <w:iCs/>
          <w:sz w:val="22"/>
          <w:szCs w:val="22"/>
        </w:rPr>
      </w:pPr>
      <w:r w:rsidRPr="0028726C">
        <w:rPr>
          <w:rFonts w:cs="Arial"/>
          <w:sz w:val="22"/>
          <w:szCs w:val="22"/>
        </w:rPr>
        <w:t>"</w:t>
      </w:r>
      <w:r w:rsidRPr="00D32041">
        <w:rPr>
          <w:rFonts w:cs="Arial"/>
          <w:i/>
          <w:iCs/>
          <w:sz w:val="22"/>
          <w:szCs w:val="22"/>
        </w:rPr>
        <w:t xml:space="preserve">En los diversos talleres y audiencias de las propuestas regulatorias 226 y 227 de 2021 y 702-002 de 2022, los agentes hemos expuesto que vemos en riesgo la garantía de suministro de este tipo de demanda [demanda esencial no regulada]. La Comisión por otra parte, ha explicado que en ningún momento las propuestas regulatorias pretenden que la Demanda No Esencial no sea contratada en firme. </w:t>
      </w:r>
    </w:p>
    <w:p w14:paraId="7ECCDD4C" w14:textId="77777777" w:rsidR="00CA3C32" w:rsidRPr="00D32041" w:rsidRDefault="00CA3C32" w:rsidP="0028726C">
      <w:pPr>
        <w:rPr>
          <w:rFonts w:cs="Arial"/>
          <w:i/>
          <w:iCs/>
          <w:sz w:val="22"/>
          <w:szCs w:val="22"/>
        </w:rPr>
      </w:pPr>
    </w:p>
    <w:p w14:paraId="561E989D" w14:textId="2C561E15" w:rsidR="0028726C" w:rsidRPr="00D32041" w:rsidRDefault="0028726C" w:rsidP="0028726C">
      <w:pPr>
        <w:rPr>
          <w:rFonts w:cs="Arial"/>
          <w:i/>
          <w:iCs/>
          <w:sz w:val="22"/>
          <w:szCs w:val="22"/>
        </w:rPr>
      </w:pPr>
      <w:r w:rsidRPr="00D32041">
        <w:rPr>
          <w:rFonts w:cs="Arial"/>
          <w:i/>
          <w:iCs/>
          <w:sz w:val="22"/>
          <w:szCs w:val="22"/>
        </w:rPr>
        <w:t xml:space="preserve">Esta diferencia de visiones desde nuestro entendimiento surge, porque, por una parte, la señal regulatoria que la Comisión da es que los comercializadores solamente podemos trasladar el costo del gas y transporte que consuman los usuarios de este tipo de demanda, </w:t>
      </w:r>
      <w:proofErr w:type="gramStart"/>
      <w:r w:rsidRPr="00D32041">
        <w:rPr>
          <w:rFonts w:cs="Arial"/>
          <w:i/>
          <w:iCs/>
          <w:sz w:val="22"/>
          <w:szCs w:val="22"/>
        </w:rPr>
        <w:t>y</w:t>
      </w:r>
      <w:proofErr w:type="gramEnd"/>
      <w:r w:rsidRPr="00D32041">
        <w:rPr>
          <w:rFonts w:cs="Arial"/>
          <w:i/>
          <w:iCs/>
          <w:sz w:val="22"/>
          <w:szCs w:val="22"/>
        </w:rPr>
        <w:t xml:space="preserve"> por otra parte, la única modalidad contractual que encaja para atender las puntas de demanda es un contrato interrumpible. </w:t>
      </w:r>
    </w:p>
    <w:p w14:paraId="42AB3A16" w14:textId="77777777" w:rsidR="00CA3C32" w:rsidRPr="00D32041" w:rsidRDefault="00CA3C32" w:rsidP="0028726C">
      <w:pPr>
        <w:rPr>
          <w:rFonts w:cs="Arial"/>
          <w:i/>
          <w:iCs/>
          <w:sz w:val="22"/>
          <w:szCs w:val="22"/>
        </w:rPr>
      </w:pPr>
    </w:p>
    <w:p w14:paraId="6ED1A4DC" w14:textId="1452AC5D" w:rsidR="0028726C" w:rsidRPr="00D32041" w:rsidRDefault="0028726C" w:rsidP="0028726C">
      <w:pPr>
        <w:rPr>
          <w:rFonts w:cs="Arial"/>
          <w:i/>
          <w:iCs/>
          <w:sz w:val="22"/>
          <w:szCs w:val="22"/>
        </w:rPr>
      </w:pPr>
      <w:r w:rsidRPr="00D32041">
        <w:rPr>
          <w:rFonts w:cs="Arial"/>
          <w:i/>
          <w:iCs/>
          <w:sz w:val="22"/>
          <w:szCs w:val="22"/>
        </w:rPr>
        <w:t xml:space="preserve">De acuerdo con lo anterior, se solicita que no se separe la fórmula tarifaria por estos 2 tipos de usuario, esencial y no esencial. Si el cliente de demanda no esencial quiere tener el tratamiento de regulado, dicha demanda esté incluida dentro del rango de compras de gas y transporte de la demanda regulada esencial. </w:t>
      </w:r>
    </w:p>
    <w:p w14:paraId="5CB9A456" w14:textId="77777777" w:rsidR="00CA3C32" w:rsidRPr="00D32041" w:rsidRDefault="00CA3C32" w:rsidP="0028726C">
      <w:pPr>
        <w:rPr>
          <w:rFonts w:cs="Arial"/>
          <w:i/>
          <w:iCs/>
          <w:sz w:val="22"/>
          <w:szCs w:val="22"/>
        </w:rPr>
      </w:pPr>
    </w:p>
    <w:p w14:paraId="7BAE865A" w14:textId="24777AD8" w:rsidR="0028726C" w:rsidRPr="00D32041" w:rsidRDefault="0028726C" w:rsidP="0028726C">
      <w:pPr>
        <w:rPr>
          <w:rFonts w:cs="Arial"/>
          <w:i/>
          <w:iCs/>
          <w:sz w:val="22"/>
          <w:szCs w:val="22"/>
        </w:rPr>
      </w:pPr>
      <w:r w:rsidRPr="00D32041">
        <w:rPr>
          <w:rFonts w:cs="Arial"/>
          <w:i/>
          <w:iCs/>
          <w:sz w:val="22"/>
          <w:szCs w:val="22"/>
        </w:rPr>
        <w:t>Solo de esta manera se puede garantizar el mandato constitucional y legal de continuidad del servicio a todos los usuarios, sin distinción alguna.</w:t>
      </w:r>
      <w:r w:rsidR="00634D54">
        <w:rPr>
          <w:rFonts w:cs="Arial"/>
          <w:i/>
          <w:iCs/>
          <w:sz w:val="22"/>
          <w:szCs w:val="22"/>
        </w:rPr>
        <w:t>”</w:t>
      </w:r>
      <w:r w:rsidRPr="00D32041">
        <w:rPr>
          <w:rFonts w:cs="Arial"/>
          <w:i/>
          <w:iCs/>
          <w:sz w:val="22"/>
          <w:szCs w:val="22"/>
        </w:rPr>
        <w:t xml:space="preserve"> </w:t>
      </w:r>
    </w:p>
    <w:p w14:paraId="7E69F77E" w14:textId="77777777" w:rsidR="00CA3C32" w:rsidRDefault="00CA3C32" w:rsidP="0028726C">
      <w:pPr>
        <w:rPr>
          <w:rFonts w:cs="Arial"/>
          <w:sz w:val="22"/>
          <w:szCs w:val="22"/>
        </w:rPr>
      </w:pPr>
    </w:p>
    <w:p w14:paraId="178CEAE5" w14:textId="20DA4FE6" w:rsidR="00D32041" w:rsidRPr="00D32041" w:rsidRDefault="00D32041" w:rsidP="0028726C">
      <w:pPr>
        <w:rPr>
          <w:rFonts w:cs="Arial"/>
          <w:b/>
          <w:bCs/>
          <w:sz w:val="22"/>
          <w:szCs w:val="22"/>
        </w:rPr>
      </w:pPr>
      <w:r w:rsidRPr="00D32041">
        <w:rPr>
          <w:rFonts w:cs="Arial"/>
          <w:b/>
          <w:bCs/>
          <w:sz w:val="22"/>
          <w:szCs w:val="22"/>
        </w:rPr>
        <w:t>Respuesta:</w:t>
      </w:r>
    </w:p>
    <w:p w14:paraId="6741A890" w14:textId="77777777" w:rsidR="00D32041" w:rsidRDefault="00D32041" w:rsidP="0028726C">
      <w:pPr>
        <w:rPr>
          <w:rFonts w:cs="Arial"/>
          <w:sz w:val="22"/>
          <w:szCs w:val="22"/>
        </w:rPr>
      </w:pPr>
    </w:p>
    <w:p w14:paraId="7ABC16F4" w14:textId="12237E59" w:rsidR="00D32041" w:rsidRDefault="00D32041"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_Ref132706135 \r \h </w:instrText>
      </w:r>
      <w:r>
        <w:rPr>
          <w:rFonts w:cs="Arial"/>
          <w:sz w:val="22"/>
          <w:szCs w:val="22"/>
        </w:rPr>
      </w:r>
      <w:r>
        <w:rPr>
          <w:rFonts w:cs="Arial"/>
          <w:sz w:val="22"/>
          <w:szCs w:val="22"/>
        </w:rPr>
        <w:fldChar w:fldCharType="separate"/>
      </w:r>
      <w:r>
        <w:rPr>
          <w:rFonts w:cs="Arial"/>
          <w:sz w:val="22"/>
          <w:szCs w:val="22"/>
        </w:rPr>
        <w:t>19.28.1.3</w:t>
      </w:r>
      <w:r>
        <w:rPr>
          <w:rFonts w:cs="Arial"/>
          <w:sz w:val="22"/>
          <w:szCs w:val="22"/>
        </w:rPr>
        <w:fldChar w:fldCharType="end"/>
      </w:r>
      <w:r>
        <w:rPr>
          <w:rFonts w:cs="Arial"/>
          <w:sz w:val="22"/>
          <w:szCs w:val="22"/>
        </w:rPr>
        <w:t>.</w:t>
      </w:r>
    </w:p>
    <w:p w14:paraId="623D4ACE" w14:textId="77777777" w:rsidR="00C30F46" w:rsidRDefault="00C30F46" w:rsidP="0028726C">
      <w:pPr>
        <w:rPr>
          <w:rFonts w:cs="Arial"/>
          <w:sz w:val="22"/>
          <w:szCs w:val="22"/>
        </w:rPr>
      </w:pPr>
    </w:p>
    <w:p w14:paraId="125E2AE4" w14:textId="77777777" w:rsidR="00C30F46" w:rsidRDefault="00C30F46" w:rsidP="0028726C">
      <w:pPr>
        <w:rPr>
          <w:rFonts w:cs="Arial"/>
          <w:sz w:val="22"/>
          <w:szCs w:val="22"/>
        </w:rPr>
      </w:pPr>
    </w:p>
    <w:p w14:paraId="41A015E4" w14:textId="77777777" w:rsidR="00C30F46" w:rsidRDefault="00C30F46" w:rsidP="00C30F46">
      <w:pPr>
        <w:pStyle w:val="Ttulo4"/>
      </w:pPr>
      <w:r w:rsidRPr="0028726C">
        <w:t>VANTI</w:t>
      </w:r>
      <w:r w:rsidRPr="0028726C">
        <w:tab/>
      </w:r>
    </w:p>
    <w:p w14:paraId="71652367" w14:textId="319C2840" w:rsidR="0028726C" w:rsidRPr="00D32041" w:rsidRDefault="00634D54" w:rsidP="0028726C">
      <w:pPr>
        <w:rPr>
          <w:rFonts w:cs="Arial"/>
          <w:i/>
          <w:iCs/>
          <w:sz w:val="22"/>
          <w:szCs w:val="22"/>
        </w:rPr>
      </w:pPr>
      <w:r>
        <w:rPr>
          <w:rFonts w:cs="Arial"/>
          <w:i/>
          <w:iCs/>
          <w:sz w:val="22"/>
          <w:szCs w:val="22"/>
        </w:rPr>
        <w:t>“</w:t>
      </w:r>
      <w:r w:rsidR="0028726C" w:rsidRPr="00D32041">
        <w:rPr>
          <w:rFonts w:cs="Arial"/>
          <w:i/>
          <w:iCs/>
          <w:sz w:val="22"/>
          <w:szCs w:val="22"/>
        </w:rPr>
        <w:t>Insistimos en la inconveniencia de la propuesta de desagregación de la demanda regulada, en esencial y no esencial, teniendo en cuenta que no hay una correspondencia con los contratos de suministro y transporte de mercado regulado hoy vigentes, así como los que se suscriban a futuro.</w:t>
      </w:r>
      <w:r>
        <w:rPr>
          <w:rFonts w:cs="Arial"/>
          <w:i/>
          <w:iCs/>
          <w:sz w:val="22"/>
          <w:szCs w:val="22"/>
        </w:rPr>
        <w:t>”</w:t>
      </w:r>
      <w:r w:rsidR="0028726C" w:rsidRPr="00D32041">
        <w:rPr>
          <w:rFonts w:cs="Arial"/>
          <w:i/>
          <w:iCs/>
          <w:sz w:val="22"/>
          <w:szCs w:val="22"/>
        </w:rPr>
        <w:t xml:space="preserve"> </w:t>
      </w:r>
    </w:p>
    <w:p w14:paraId="545E0150" w14:textId="77777777" w:rsidR="00C30F46" w:rsidRDefault="00C30F46" w:rsidP="0028726C">
      <w:pPr>
        <w:rPr>
          <w:rFonts w:cs="Arial"/>
          <w:sz w:val="22"/>
          <w:szCs w:val="22"/>
        </w:rPr>
      </w:pPr>
    </w:p>
    <w:p w14:paraId="45176728" w14:textId="02E1C3C6" w:rsidR="00D32041" w:rsidRPr="00D32041" w:rsidRDefault="00D32041" w:rsidP="0028726C">
      <w:pPr>
        <w:rPr>
          <w:rFonts w:cs="Arial"/>
          <w:b/>
          <w:bCs/>
          <w:sz w:val="22"/>
          <w:szCs w:val="22"/>
        </w:rPr>
      </w:pPr>
      <w:r w:rsidRPr="00D32041">
        <w:rPr>
          <w:rFonts w:cs="Arial"/>
          <w:b/>
          <w:bCs/>
          <w:sz w:val="22"/>
          <w:szCs w:val="22"/>
        </w:rPr>
        <w:t>Respuesta:</w:t>
      </w:r>
    </w:p>
    <w:p w14:paraId="2FEB2FEF" w14:textId="77777777" w:rsidR="00D32041" w:rsidRDefault="00D32041" w:rsidP="0028726C">
      <w:pPr>
        <w:rPr>
          <w:rFonts w:cs="Arial"/>
          <w:sz w:val="22"/>
          <w:szCs w:val="22"/>
        </w:rPr>
      </w:pPr>
    </w:p>
    <w:p w14:paraId="4B4CE20C" w14:textId="1E9F4AF1" w:rsidR="00B8459E" w:rsidRDefault="00B8459E" w:rsidP="00B8459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_Ref132706135 \r \h </w:instrText>
      </w:r>
      <w:r>
        <w:rPr>
          <w:rFonts w:cs="Arial"/>
          <w:sz w:val="22"/>
          <w:szCs w:val="22"/>
        </w:rPr>
      </w:r>
      <w:r>
        <w:rPr>
          <w:rFonts w:cs="Arial"/>
          <w:sz w:val="22"/>
          <w:szCs w:val="22"/>
        </w:rPr>
        <w:fldChar w:fldCharType="separate"/>
      </w:r>
      <w:r>
        <w:rPr>
          <w:rFonts w:cs="Arial"/>
          <w:sz w:val="22"/>
          <w:szCs w:val="22"/>
        </w:rPr>
        <w:t>19.28.1.3</w:t>
      </w:r>
      <w:r>
        <w:rPr>
          <w:rFonts w:cs="Arial"/>
          <w:sz w:val="22"/>
          <w:szCs w:val="22"/>
        </w:rPr>
        <w:fldChar w:fldCharType="end"/>
      </w:r>
      <w:r>
        <w:rPr>
          <w:rFonts w:cs="Arial"/>
          <w:sz w:val="22"/>
          <w:szCs w:val="22"/>
        </w:rPr>
        <w:t>.</w:t>
      </w:r>
    </w:p>
    <w:p w14:paraId="2724D6B0" w14:textId="77777777" w:rsidR="00B8459E" w:rsidRDefault="00B8459E" w:rsidP="00B8459E">
      <w:pPr>
        <w:rPr>
          <w:rFonts w:cs="Arial"/>
          <w:sz w:val="22"/>
          <w:szCs w:val="22"/>
        </w:rPr>
      </w:pPr>
    </w:p>
    <w:p w14:paraId="0354A382" w14:textId="77777777" w:rsidR="00D32041" w:rsidRDefault="00D32041" w:rsidP="0028726C">
      <w:pPr>
        <w:rPr>
          <w:rFonts w:cs="Arial"/>
          <w:sz w:val="22"/>
          <w:szCs w:val="22"/>
        </w:rPr>
      </w:pPr>
    </w:p>
    <w:p w14:paraId="29D0D139" w14:textId="77777777" w:rsidR="00C30F46" w:rsidRDefault="00C30F46" w:rsidP="00C30F46">
      <w:pPr>
        <w:pStyle w:val="Ttulo4"/>
      </w:pPr>
      <w:bookmarkStart w:id="862" w:name="_Ref133483993"/>
      <w:r w:rsidRPr="0028726C">
        <w:t>VANTI</w:t>
      </w:r>
      <w:bookmarkEnd w:id="862"/>
      <w:r w:rsidRPr="0028726C">
        <w:tab/>
      </w:r>
    </w:p>
    <w:p w14:paraId="500C183C" w14:textId="0D442BDB" w:rsidR="0028726C" w:rsidRDefault="00634D54" w:rsidP="0028726C">
      <w:pPr>
        <w:rPr>
          <w:rFonts w:cs="Arial"/>
          <w:sz w:val="22"/>
          <w:szCs w:val="22"/>
        </w:rPr>
      </w:pPr>
      <w:r>
        <w:rPr>
          <w:rFonts w:cs="Arial"/>
          <w:sz w:val="22"/>
          <w:szCs w:val="22"/>
        </w:rPr>
        <w:t>“</w:t>
      </w:r>
      <w:r w:rsidR="0028726C" w:rsidRPr="0028726C">
        <w:rPr>
          <w:rFonts w:cs="Arial"/>
          <w:sz w:val="22"/>
          <w:szCs w:val="22"/>
        </w:rPr>
        <w:t xml:space="preserve">- </w:t>
      </w:r>
      <w:r w:rsidR="0028726C" w:rsidRPr="00B8459E">
        <w:rPr>
          <w:rFonts w:cs="Arial"/>
          <w:i/>
          <w:iCs/>
          <w:sz w:val="22"/>
          <w:szCs w:val="22"/>
        </w:rPr>
        <w:t xml:space="preserve">La propuesta regulatoria no incorpora un análisis sobre la asignación de los contratos vigentes que hoy se clasifican como </w:t>
      </w:r>
      <w:r>
        <w:rPr>
          <w:rFonts w:cs="Arial"/>
          <w:i/>
          <w:iCs/>
          <w:sz w:val="22"/>
          <w:szCs w:val="22"/>
        </w:rPr>
        <w:t>‘</w:t>
      </w:r>
      <w:r w:rsidR="0028726C" w:rsidRPr="00B8459E">
        <w:rPr>
          <w:rFonts w:cs="Arial"/>
          <w:i/>
          <w:iCs/>
          <w:sz w:val="22"/>
          <w:szCs w:val="22"/>
        </w:rPr>
        <w:t>contratos regulados</w:t>
      </w:r>
      <w:r>
        <w:rPr>
          <w:rFonts w:cs="Arial"/>
          <w:i/>
          <w:iCs/>
          <w:sz w:val="22"/>
          <w:szCs w:val="22"/>
        </w:rPr>
        <w:t>’</w:t>
      </w:r>
      <w:r w:rsidR="0028726C" w:rsidRPr="00B8459E">
        <w:rPr>
          <w:rFonts w:cs="Arial"/>
          <w:i/>
          <w:iCs/>
          <w:sz w:val="22"/>
          <w:szCs w:val="22"/>
        </w:rPr>
        <w:t xml:space="preserve"> entre estos dos tipos de demanda regulada, esencial y no esencial.</w:t>
      </w:r>
      <w:r w:rsidR="00B76F87">
        <w:rPr>
          <w:rFonts w:cs="Arial"/>
          <w:i/>
          <w:iCs/>
          <w:sz w:val="22"/>
          <w:szCs w:val="22"/>
        </w:rPr>
        <w:t>”</w:t>
      </w:r>
      <w:r w:rsidR="0028726C" w:rsidRPr="0028726C">
        <w:rPr>
          <w:rFonts w:cs="Arial"/>
          <w:sz w:val="22"/>
          <w:szCs w:val="22"/>
        </w:rPr>
        <w:t xml:space="preserve"> </w:t>
      </w:r>
    </w:p>
    <w:p w14:paraId="62D0FED3" w14:textId="77777777" w:rsidR="00B8459E" w:rsidRDefault="00B8459E" w:rsidP="0028726C">
      <w:pPr>
        <w:rPr>
          <w:rFonts w:cs="Arial"/>
          <w:sz w:val="22"/>
          <w:szCs w:val="22"/>
        </w:rPr>
      </w:pPr>
    </w:p>
    <w:p w14:paraId="7980A4C0" w14:textId="39EDB90E" w:rsidR="00B8459E" w:rsidRPr="00B8459E" w:rsidRDefault="00B8459E" w:rsidP="0028726C">
      <w:pPr>
        <w:rPr>
          <w:rFonts w:cs="Arial"/>
          <w:b/>
          <w:bCs/>
          <w:sz w:val="22"/>
          <w:szCs w:val="22"/>
        </w:rPr>
      </w:pPr>
      <w:r w:rsidRPr="00B8459E">
        <w:rPr>
          <w:rFonts w:cs="Arial"/>
          <w:b/>
          <w:bCs/>
          <w:sz w:val="22"/>
          <w:szCs w:val="22"/>
        </w:rPr>
        <w:t>Respuesta:</w:t>
      </w:r>
    </w:p>
    <w:p w14:paraId="2855E858" w14:textId="77777777" w:rsidR="00B8459E" w:rsidRDefault="00B8459E" w:rsidP="0028726C">
      <w:pPr>
        <w:rPr>
          <w:rFonts w:cs="Arial"/>
          <w:sz w:val="22"/>
          <w:szCs w:val="22"/>
        </w:rPr>
      </w:pPr>
    </w:p>
    <w:p w14:paraId="19519046" w14:textId="77777777" w:rsidR="00C97701" w:rsidRDefault="00B8459E" w:rsidP="0028726C">
      <w:pPr>
        <w:rPr>
          <w:rFonts w:cs="Arial"/>
          <w:sz w:val="22"/>
          <w:szCs w:val="22"/>
        </w:rPr>
      </w:pPr>
      <w:r>
        <w:rPr>
          <w:rFonts w:cs="Arial"/>
          <w:sz w:val="22"/>
          <w:szCs w:val="22"/>
        </w:rPr>
        <w:t xml:space="preserve">La clasificación de los usuarios finales por sector de consumo (industrial, comercial, termoeléctrico, residencial, etc.) la realizan las mismas empresas comercializadoras. </w:t>
      </w:r>
      <w:r w:rsidR="00C97701">
        <w:rPr>
          <w:rFonts w:cs="Arial"/>
          <w:sz w:val="22"/>
          <w:szCs w:val="22"/>
        </w:rPr>
        <w:t>Por otro lado, en la definición de Demanda Esencial contenida en el Decreto 1073 de 2015 se determinan qué sectores de consumo hacen parte de tal Demanda.</w:t>
      </w:r>
    </w:p>
    <w:p w14:paraId="6F51F0B4" w14:textId="77777777" w:rsidR="00C97701" w:rsidRDefault="00C97701" w:rsidP="0028726C">
      <w:pPr>
        <w:rPr>
          <w:rFonts w:cs="Arial"/>
          <w:sz w:val="22"/>
          <w:szCs w:val="22"/>
        </w:rPr>
      </w:pPr>
    </w:p>
    <w:p w14:paraId="0FFA150D" w14:textId="2935E9AB" w:rsidR="00B8459E" w:rsidRDefault="00C97701" w:rsidP="0028726C">
      <w:pPr>
        <w:rPr>
          <w:rFonts w:cs="Arial"/>
          <w:sz w:val="22"/>
          <w:szCs w:val="22"/>
        </w:rPr>
      </w:pPr>
      <w:r>
        <w:rPr>
          <w:rFonts w:cs="Arial"/>
          <w:sz w:val="22"/>
          <w:szCs w:val="22"/>
        </w:rPr>
        <w:t>Adicionalmente s</w:t>
      </w:r>
      <w:r w:rsidR="00B8459E">
        <w:rPr>
          <w:rFonts w:cs="Arial"/>
          <w:sz w:val="22"/>
          <w:szCs w:val="22"/>
        </w:rPr>
        <w:t>e entiende que la medición del consumo final de gas la realiza el comercializador de la misma manera</w:t>
      </w:r>
      <w:r>
        <w:rPr>
          <w:rFonts w:cs="Arial"/>
          <w:sz w:val="22"/>
          <w:szCs w:val="22"/>
        </w:rPr>
        <w:t>,</w:t>
      </w:r>
      <w:r w:rsidR="00B8459E">
        <w:rPr>
          <w:rFonts w:cs="Arial"/>
          <w:sz w:val="22"/>
          <w:szCs w:val="22"/>
        </w:rPr>
        <w:t xml:space="preserve"> entre los diferentes sectores de consumo de la demanda regulada, en los mismos períodos de facturación. </w:t>
      </w:r>
    </w:p>
    <w:p w14:paraId="7AF67C22" w14:textId="77777777" w:rsidR="00765685" w:rsidRDefault="00765685" w:rsidP="0028726C">
      <w:pPr>
        <w:rPr>
          <w:rFonts w:cs="Arial"/>
          <w:sz w:val="22"/>
          <w:szCs w:val="22"/>
        </w:rPr>
      </w:pPr>
    </w:p>
    <w:p w14:paraId="288376E8" w14:textId="26C6D851" w:rsidR="00765685" w:rsidRDefault="00765685" w:rsidP="0028726C">
      <w:pPr>
        <w:rPr>
          <w:rFonts w:cs="Arial"/>
          <w:sz w:val="22"/>
          <w:szCs w:val="22"/>
        </w:rPr>
      </w:pPr>
      <w:r>
        <w:rPr>
          <w:rFonts w:cs="Arial"/>
          <w:sz w:val="22"/>
          <w:szCs w:val="22"/>
        </w:rPr>
        <w:t xml:space="preserve">Se debe tener en cuenta que en la nueva propuesta no se permiten las prórrogas de los contratos vigentes, independientemente del tipo de sector de consumo que se atiende con dichos contratos. </w:t>
      </w:r>
    </w:p>
    <w:p w14:paraId="0DB5A162" w14:textId="77777777" w:rsidR="00765685" w:rsidRDefault="00765685" w:rsidP="0028726C">
      <w:pPr>
        <w:rPr>
          <w:rFonts w:cs="Arial"/>
          <w:sz w:val="22"/>
          <w:szCs w:val="22"/>
        </w:rPr>
      </w:pPr>
    </w:p>
    <w:p w14:paraId="7EA8F6E2" w14:textId="15AA2721" w:rsidR="00765685" w:rsidRDefault="00765685" w:rsidP="0028726C">
      <w:pPr>
        <w:rPr>
          <w:rFonts w:cs="Arial"/>
          <w:sz w:val="22"/>
          <w:szCs w:val="22"/>
        </w:rPr>
      </w:pPr>
      <w:r>
        <w:rPr>
          <w:rFonts w:cs="Arial"/>
          <w:sz w:val="22"/>
          <w:szCs w:val="22"/>
        </w:rPr>
        <w:t>Finalmente, en la regulación de la fórmula tarifaria general de los usuarios regulados se tendrá en cuenta períodos de transición de los contratos vigentes de suministro de gas natural para el traslado de costos a los usuarios regulados.</w:t>
      </w:r>
    </w:p>
    <w:p w14:paraId="7FE34D2E" w14:textId="77777777" w:rsidR="00B8459E" w:rsidRPr="0028726C" w:rsidRDefault="00B8459E" w:rsidP="0028726C">
      <w:pPr>
        <w:rPr>
          <w:rFonts w:cs="Arial"/>
          <w:sz w:val="22"/>
          <w:szCs w:val="22"/>
        </w:rPr>
      </w:pPr>
    </w:p>
    <w:p w14:paraId="0988017F" w14:textId="77777777" w:rsidR="00C30F46" w:rsidRDefault="00C30F46" w:rsidP="0028726C">
      <w:pPr>
        <w:rPr>
          <w:rFonts w:cs="Arial"/>
          <w:sz w:val="22"/>
          <w:szCs w:val="22"/>
        </w:rPr>
      </w:pPr>
    </w:p>
    <w:p w14:paraId="4DEBCF44" w14:textId="77777777" w:rsidR="00C30F46" w:rsidRDefault="00C30F46" w:rsidP="00C30F46">
      <w:pPr>
        <w:pStyle w:val="Ttulo4"/>
      </w:pPr>
      <w:r w:rsidRPr="0028726C">
        <w:t>VANTI</w:t>
      </w:r>
      <w:r w:rsidRPr="0028726C">
        <w:tab/>
      </w:r>
    </w:p>
    <w:p w14:paraId="7B0A8C56" w14:textId="0B533B31" w:rsidR="0028726C" w:rsidRPr="00DF05E1" w:rsidRDefault="00B76F87" w:rsidP="0028726C">
      <w:pPr>
        <w:rPr>
          <w:rFonts w:cs="Arial"/>
          <w:i/>
          <w:iCs/>
          <w:sz w:val="22"/>
          <w:szCs w:val="22"/>
        </w:rPr>
      </w:pPr>
      <w:r>
        <w:rPr>
          <w:rFonts w:cs="Arial"/>
          <w:sz w:val="22"/>
          <w:szCs w:val="22"/>
        </w:rPr>
        <w:t>“</w:t>
      </w:r>
      <w:r w:rsidR="0028726C" w:rsidRPr="0028726C">
        <w:rPr>
          <w:rFonts w:cs="Arial"/>
          <w:sz w:val="22"/>
          <w:szCs w:val="22"/>
        </w:rPr>
        <w:t xml:space="preserve">- </w:t>
      </w:r>
      <w:r w:rsidR="0028726C" w:rsidRPr="00DF05E1">
        <w:rPr>
          <w:rFonts w:cs="Arial"/>
          <w:i/>
          <w:iCs/>
          <w:sz w:val="22"/>
          <w:szCs w:val="22"/>
        </w:rPr>
        <w:t>No se establece una obligación a los productores y transportadores para ofrecer productos para estos dos tipos de demanda, regulado esencial y regulado no esencial.</w:t>
      </w:r>
      <w:r>
        <w:rPr>
          <w:rFonts w:cs="Arial"/>
          <w:i/>
          <w:iCs/>
          <w:sz w:val="22"/>
          <w:szCs w:val="22"/>
        </w:rPr>
        <w:t>”</w:t>
      </w:r>
    </w:p>
    <w:p w14:paraId="10B830FC" w14:textId="77777777" w:rsidR="00765685" w:rsidRDefault="00765685" w:rsidP="0028726C">
      <w:pPr>
        <w:rPr>
          <w:rFonts w:cs="Arial"/>
          <w:sz w:val="22"/>
          <w:szCs w:val="22"/>
        </w:rPr>
      </w:pPr>
    </w:p>
    <w:p w14:paraId="623665D0" w14:textId="02494B6A" w:rsidR="00765685" w:rsidRPr="00765685" w:rsidRDefault="00765685" w:rsidP="0028726C">
      <w:pPr>
        <w:rPr>
          <w:rFonts w:cs="Arial"/>
          <w:b/>
          <w:bCs/>
          <w:sz w:val="22"/>
          <w:szCs w:val="22"/>
        </w:rPr>
      </w:pPr>
      <w:r w:rsidRPr="00765685">
        <w:rPr>
          <w:rFonts w:cs="Arial"/>
          <w:b/>
          <w:bCs/>
          <w:sz w:val="22"/>
          <w:szCs w:val="22"/>
        </w:rPr>
        <w:t>Respuesta:</w:t>
      </w:r>
    </w:p>
    <w:p w14:paraId="0F1F1EEA" w14:textId="77777777" w:rsidR="00765685" w:rsidRDefault="00765685" w:rsidP="0028726C">
      <w:pPr>
        <w:rPr>
          <w:rFonts w:cs="Arial"/>
          <w:sz w:val="22"/>
          <w:szCs w:val="22"/>
        </w:rPr>
      </w:pPr>
    </w:p>
    <w:p w14:paraId="2095313B" w14:textId="52199E43" w:rsidR="00C30F46" w:rsidRDefault="00DF05E1" w:rsidP="0028726C">
      <w:pPr>
        <w:rPr>
          <w:rFonts w:cs="Arial"/>
          <w:sz w:val="22"/>
          <w:szCs w:val="22"/>
        </w:rPr>
      </w:pPr>
      <w:r>
        <w:rPr>
          <w:rFonts w:cs="Arial"/>
          <w:sz w:val="22"/>
          <w:szCs w:val="22"/>
        </w:rPr>
        <w:t xml:space="preserve">Ver respuesta a </w:t>
      </w:r>
      <w:r w:rsidR="00EE0A72">
        <w:rPr>
          <w:rFonts w:cs="Arial"/>
          <w:sz w:val="22"/>
          <w:szCs w:val="22"/>
        </w:rPr>
        <w:fldChar w:fldCharType="begin"/>
      </w:r>
      <w:r w:rsidR="00EE0A72">
        <w:rPr>
          <w:rFonts w:cs="Arial"/>
          <w:sz w:val="22"/>
          <w:szCs w:val="22"/>
        </w:rPr>
        <w:instrText xml:space="preserve"> REF _Ref132279194 \r \h </w:instrText>
      </w:r>
      <w:r w:rsidR="00EE0A72">
        <w:rPr>
          <w:rFonts w:cs="Arial"/>
          <w:sz w:val="22"/>
          <w:szCs w:val="22"/>
        </w:rPr>
      </w:r>
      <w:r w:rsidR="00EE0A72">
        <w:rPr>
          <w:rFonts w:cs="Arial"/>
          <w:sz w:val="22"/>
          <w:szCs w:val="22"/>
        </w:rPr>
        <w:fldChar w:fldCharType="separate"/>
      </w:r>
      <w:r w:rsidR="00EE0A72">
        <w:rPr>
          <w:rFonts w:cs="Arial"/>
          <w:sz w:val="22"/>
          <w:szCs w:val="22"/>
        </w:rPr>
        <w:t>19.13.1.1</w:t>
      </w:r>
      <w:r w:rsidR="00EE0A72">
        <w:rPr>
          <w:rFonts w:cs="Arial"/>
          <w:sz w:val="22"/>
          <w:szCs w:val="22"/>
        </w:rPr>
        <w:fldChar w:fldCharType="end"/>
      </w:r>
      <w:r w:rsidR="00EE0A72">
        <w:rPr>
          <w:rFonts w:cs="Arial"/>
          <w:sz w:val="22"/>
          <w:szCs w:val="22"/>
        </w:rPr>
        <w:t>.</w:t>
      </w:r>
    </w:p>
    <w:p w14:paraId="6E1CF3D2" w14:textId="77777777" w:rsidR="00C30F46" w:rsidRPr="0028726C" w:rsidRDefault="00C30F46" w:rsidP="0028726C">
      <w:pPr>
        <w:rPr>
          <w:rFonts w:cs="Arial"/>
          <w:sz w:val="22"/>
          <w:szCs w:val="22"/>
        </w:rPr>
      </w:pPr>
    </w:p>
    <w:p w14:paraId="78C33D15" w14:textId="77777777" w:rsidR="00CA3C32" w:rsidRDefault="00CA3C32" w:rsidP="0028726C">
      <w:pPr>
        <w:rPr>
          <w:rFonts w:cs="Arial"/>
          <w:sz w:val="22"/>
          <w:szCs w:val="22"/>
        </w:rPr>
      </w:pPr>
    </w:p>
    <w:p w14:paraId="4B3E5155" w14:textId="77777777" w:rsidR="00CA3C32" w:rsidRDefault="0028726C" w:rsidP="00F23443">
      <w:pPr>
        <w:pStyle w:val="Ttulo4"/>
      </w:pPr>
      <w:r w:rsidRPr="0028726C">
        <w:t>VANTI</w:t>
      </w:r>
      <w:r w:rsidRPr="0028726C">
        <w:tab/>
      </w:r>
    </w:p>
    <w:p w14:paraId="5EB6B793" w14:textId="05B5B2A6" w:rsidR="0028726C" w:rsidRDefault="0028726C" w:rsidP="0028726C">
      <w:pPr>
        <w:rPr>
          <w:rFonts w:cs="Arial"/>
          <w:sz w:val="22"/>
          <w:szCs w:val="22"/>
        </w:rPr>
      </w:pPr>
      <w:r w:rsidRPr="0028726C">
        <w:rPr>
          <w:rFonts w:cs="Arial"/>
          <w:sz w:val="22"/>
          <w:szCs w:val="22"/>
        </w:rPr>
        <w:t>"</w:t>
      </w:r>
      <w:r w:rsidRPr="00EE0A72">
        <w:rPr>
          <w:rFonts w:cs="Arial"/>
          <w:i/>
          <w:iCs/>
          <w:sz w:val="22"/>
          <w:szCs w:val="22"/>
        </w:rPr>
        <w:t>Si bien observamos, y valoramos, el gran esfuerzo en el diseño y presentación de este mecanismo MADE en la propuesta regulatoria, nuestra conclusión, que respetuosamente exponemos, es que no corresponde con un mecanismo de mercado, resulta ser un mecanismo de administración de cantidades, por cuanto no hay una señal de precio en la elaboración del balance contractual, y que supone la inelasticidad de la demanda regulada esencial, residencial y comercial -que sí que tiene sustitutos como el GLP- dado que el mecanismo obliga a la contratación de esta demanda al cierre del precio de las subastas, o bien, al precio de reserva del Productor, con lo que excede en el poder de mercado que le otorga</w:t>
      </w:r>
      <w:r w:rsidRPr="0028726C">
        <w:rPr>
          <w:rFonts w:cs="Arial"/>
          <w:sz w:val="22"/>
          <w:szCs w:val="22"/>
        </w:rPr>
        <w:t>.</w:t>
      </w:r>
      <w:r w:rsidR="00EE0A72">
        <w:rPr>
          <w:rFonts w:cs="Arial"/>
          <w:sz w:val="22"/>
          <w:szCs w:val="22"/>
        </w:rPr>
        <w:t>”</w:t>
      </w:r>
    </w:p>
    <w:p w14:paraId="1A7852F4" w14:textId="77777777" w:rsidR="00EE0A72" w:rsidRDefault="00EE0A72" w:rsidP="0028726C">
      <w:pPr>
        <w:rPr>
          <w:rFonts w:cs="Arial"/>
          <w:sz w:val="22"/>
          <w:szCs w:val="22"/>
        </w:rPr>
      </w:pPr>
    </w:p>
    <w:p w14:paraId="19CEC704" w14:textId="0494D8DF" w:rsidR="00EE0A72" w:rsidRPr="00EE0A72" w:rsidRDefault="00EE0A72" w:rsidP="0028726C">
      <w:pPr>
        <w:rPr>
          <w:rFonts w:cs="Arial"/>
          <w:b/>
          <w:bCs/>
          <w:sz w:val="22"/>
          <w:szCs w:val="22"/>
        </w:rPr>
      </w:pPr>
      <w:r w:rsidRPr="00EE0A72">
        <w:rPr>
          <w:rFonts w:cs="Arial"/>
          <w:b/>
          <w:bCs/>
          <w:sz w:val="22"/>
          <w:szCs w:val="22"/>
        </w:rPr>
        <w:t>Respuesta:</w:t>
      </w:r>
    </w:p>
    <w:p w14:paraId="790E7B0B" w14:textId="77777777" w:rsidR="00EE0A72" w:rsidRDefault="00EE0A72" w:rsidP="0028726C">
      <w:pPr>
        <w:rPr>
          <w:rFonts w:cs="Arial"/>
          <w:sz w:val="22"/>
          <w:szCs w:val="22"/>
        </w:rPr>
      </w:pPr>
    </w:p>
    <w:p w14:paraId="0DA71D2F" w14:textId="39ED7A2F" w:rsidR="00EE0A72" w:rsidRDefault="00EE0A72" w:rsidP="0028726C">
      <w:pPr>
        <w:rPr>
          <w:rFonts w:cs="Arial"/>
          <w:sz w:val="22"/>
          <w:szCs w:val="22"/>
        </w:rPr>
      </w:pPr>
      <w:r>
        <w:rPr>
          <w:rFonts w:cs="Arial"/>
          <w:sz w:val="22"/>
          <w:szCs w:val="22"/>
        </w:rPr>
        <w:t>No se acoge el comentario.</w:t>
      </w:r>
    </w:p>
    <w:p w14:paraId="1A5786F3" w14:textId="77777777" w:rsidR="00EE0A72" w:rsidRDefault="00EE0A72" w:rsidP="0028726C">
      <w:pPr>
        <w:rPr>
          <w:rFonts w:cs="Arial"/>
          <w:sz w:val="22"/>
          <w:szCs w:val="22"/>
        </w:rPr>
      </w:pPr>
    </w:p>
    <w:p w14:paraId="3CD18E0C" w14:textId="77777777" w:rsidR="0074542B" w:rsidRDefault="00EE0A72" w:rsidP="0074542B">
      <w:pPr>
        <w:rPr>
          <w:rFonts w:cs="Arial"/>
          <w:sz w:val="22"/>
          <w:szCs w:val="22"/>
        </w:rPr>
      </w:pPr>
      <w:r>
        <w:rPr>
          <w:rFonts w:cs="Arial"/>
          <w:sz w:val="22"/>
          <w:szCs w:val="22"/>
        </w:rPr>
        <w:t xml:space="preserve">Se puede decir que el MADE es un mecanismo de acceso a contratos de suministro del tipo firme o que garantizan firmeza, pero que no impide el uso de los propios mecanismos de comercialización </w:t>
      </w:r>
      <w:r w:rsidR="0074542B">
        <w:rPr>
          <w:rFonts w:cs="Arial"/>
          <w:sz w:val="22"/>
          <w:szCs w:val="22"/>
        </w:rPr>
        <w:t>que desarrolle cada vendedor de aquellas fuentes de suministro en las que n</w:t>
      </w:r>
      <w:r>
        <w:rPr>
          <w:rFonts w:cs="Arial"/>
          <w:sz w:val="22"/>
          <w:szCs w:val="22"/>
        </w:rPr>
        <w:t xml:space="preserve">o sea obligatorio utilizar los mecanismos de comercialización </w:t>
      </w:r>
      <w:r w:rsidR="0074542B">
        <w:rPr>
          <w:rFonts w:cs="Arial"/>
          <w:sz w:val="22"/>
          <w:szCs w:val="22"/>
        </w:rPr>
        <w:t>establecidos por</w:t>
      </w:r>
      <w:r>
        <w:rPr>
          <w:rFonts w:cs="Arial"/>
          <w:sz w:val="22"/>
          <w:szCs w:val="22"/>
        </w:rPr>
        <w:t xml:space="preserve"> la CREG</w:t>
      </w:r>
      <w:r w:rsidR="0074542B">
        <w:rPr>
          <w:rFonts w:cs="Arial"/>
          <w:sz w:val="22"/>
          <w:szCs w:val="22"/>
        </w:rPr>
        <w:t>.</w:t>
      </w:r>
      <w:r>
        <w:rPr>
          <w:rFonts w:cs="Arial"/>
          <w:sz w:val="22"/>
          <w:szCs w:val="22"/>
        </w:rPr>
        <w:t xml:space="preserve"> </w:t>
      </w:r>
      <w:r w:rsidR="0074542B">
        <w:rPr>
          <w:rFonts w:cs="Arial"/>
          <w:sz w:val="22"/>
          <w:szCs w:val="22"/>
        </w:rPr>
        <w:t xml:space="preserve">Ver numeral </w:t>
      </w:r>
      <w:r w:rsidR="0074542B">
        <w:rPr>
          <w:rFonts w:cs="Arial"/>
          <w:sz w:val="22"/>
          <w:szCs w:val="22"/>
        </w:rPr>
        <w:fldChar w:fldCharType="begin"/>
      </w:r>
      <w:r w:rsidR="0074542B">
        <w:rPr>
          <w:rFonts w:cs="Arial"/>
          <w:sz w:val="22"/>
          <w:szCs w:val="22"/>
        </w:rPr>
        <w:instrText xml:space="preserve"> REF _Ref132707703 \r \h </w:instrText>
      </w:r>
      <w:r w:rsidR="0074542B">
        <w:rPr>
          <w:rFonts w:cs="Arial"/>
          <w:sz w:val="22"/>
          <w:szCs w:val="22"/>
        </w:rPr>
      </w:r>
      <w:r w:rsidR="0074542B">
        <w:rPr>
          <w:rFonts w:cs="Arial"/>
          <w:sz w:val="22"/>
          <w:szCs w:val="22"/>
        </w:rPr>
        <w:fldChar w:fldCharType="separate"/>
      </w:r>
      <w:r w:rsidR="0074542B">
        <w:rPr>
          <w:rFonts w:cs="Arial"/>
          <w:sz w:val="22"/>
          <w:szCs w:val="22"/>
        </w:rPr>
        <w:t>4.11</w:t>
      </w:r>
      <w:r w:rsidR="0074542B">
        <w:rPr>
          <w:rFonts w:cs="Arial"/>
          <w:sz w:val="22"/>
          <w:szCs w:val="22"/>
        </w:rPr>
        <w:fldChar w:fldCharType="end"/>
      </w:r>
      <w:r w:rsidR="0074542B">
        <w:rPr>
          <w:rFonts w:cs="Arial"/>
          <w:sz w:val="22"/>
          <w:szCs w:val="22"/>
        </w:rPr>
        <w:t xml:space="preserve"> y respuesta a </w:t>
      </w:r>
      <w:r w:rsidR="0074542B">
        <w:rPr>
          <w:rFonts w:cs="Arial"/>
          <w:sz w:val="22"/>
          <w:szCs w:val="22"/>
        </w:rPr>
        <w:fldChar w:fldCharType="begin"/>
      </w:r>
      <w:r w:rsidR="0074542B">
        <w:rPr>
          <w:rFonts w:cs="Arial"/>
          <w:sz w:val="22"/>
          <w:szCs w:val="22"/>
        </w:rPr>
        <w:instrText xml:space="preserve"> REF _Ref130285959 \r \h </w:instrText>
      </w:r>
      <w:r w:rsidR="0074542B">
        <w:rPr>
          <w:rFonts w:cs="Arial"/>
          <w:sz w:val="22"/>
          <w:szCs w:val="22"/>
        </w:rPr>
      </w:r>
      <w:r w:rsidR="0074542B">
        <w:rPr>
          <w:rFonts w:cs="Arial"/>
          <w:sz w:val="22"/>
          <w:szCs w:val="22"/>
        </w:rPr>
        <w:fldChar w:fldCharType="separate"/>
      </w:r>
      <w:r w:rsidR="0074542B">
        <w:rPr>
          <w:rFonts w:cs="Arial"/>
          <w:sz w:val="22"/>
          <w:szCs w:val="22"/>
        </w:rPr>
        <w:t>1.2.1.5</w:t>
      </w:r>
      <w:r w:rsidR="0074542B">
        <w:rPr>
          <w:rFonts w:cs="Arial"/>
          <w:sz w:val="22"/>
          <w:szCs w:val="22"/>
        </w:rPr>
        <w:fldChar w:fldCharType="end"/>
      </w:r>
      <w:r w:rsidR="0074542B">
        <w:rPr>
          <w:rFonts w:cs="Arial"/>
          <w:sz w:val="22"/>
          <w:szCs w:val="22"/>
        </w:rPr>
        <w:t xml:space="preserve">, a </w:t>
      </w:r>
      <w:r w:rsidR="0074542B">
        <w:rPr>
          <w:rFonts w:cs="Arial"/>
          <w:sz w:val="22"/>
          <w:szCs w:val="22"/>
        </w:rPr>
        <w:fldChar w:fldCharType="begin"/>
      </w:r>
      <w:r w:rsidR="0074542B">
        <w:rPr>
          <w:rFonts w:cs="Arial"/>
          <w:sz w:val="22"/>
          <w:szCs w:val="22"/>
        </w:rPr>
        <w:instrText xml:space="preserve"> REF _Ref130286002 \r \h </w:instrText>
      </w:r>
      <w:r w:rsidR="0074542B">
        <w:rPr>
          <w:rFonts w:cs="Arial"/>
          <w:sz w:val="22"/>
          <w:szCs w:val="22"/>
        </w:rPr>
      </w:r>
      <w:r w:rsidR="0074542B">
        <w:rPr>
          <w:rFonts w:cs="Arial"/>
          <w:sz w:val="22"/>
          <w:szCs w:val="22"/>
        </w:rPr>
        <w:fldChar w:fldCharType="separate"/>
      </w:r>
      <w:r w:rsidR="0074542B">
        <w:rPr>
          <w:rFonts w:cs="Arial"/>
          <w:sz w:val="22"/>
          <w:szCs w:val="22"/>
        </w:rPr>
        <w:t>1.2.1.7</w:t>
      </w:r>
      <w:r w:rsidR="0074542B">
        <w:rPr>
          <w:rFonts w:cs="Arial"/>
          <w:sz w:val="22"/>
          <w:szCs w:val="22"/>
        </w:rPr>
        <w:fldChar w:fldCharType="end"/>
      </w:r>
      <w:r w:rsidR="0074542B">
        <w:rPr>
          <w:rFonts w:cs="Arial"/>
          <w:sz w:val="22"/>
          <w:szCs w:val="22"/>
        </w:rPr>
        <w:t xml:space="preserve"> y a </w:t>
      </w:r>
      <w:r w:rsidR="0074542B">
        <w:rPr>
          <w:rFonts w:cs="Arial"/>
          <w:sz w:val="22"/>
          <w:szCs w:val="22"/>
        </w:rPr>
        <w:fldChar w:fldCharType="begin"/>
      </w:r>
      <w:r w:rsidR="0074542B">
        <w:rPr>
          <w:rFonts w:cs="Arial"/>
          <w:sz w:val="22"/>
          <w:szCs w:val="22"/>
        </w:rPr>
        <w:instrText xml:space="preserve"> REF _Ref132707854 \r \h </w:instrText>
      </w:r>
      <w:r w:rsidR="0074542B">
        <w:rPr>
          <w:rFonts w:cs="Arial"/>
          <w:sz w:val="22"/>
          <w:szCs w:val="22"/>
        </w:rPr>
      </w:r>
      <w:r w:rsidR="0074542B">
        <w:rPr>
          <w:rFonts w:cs="Arial"/>
          <w:sz w:val="22"/>
          <w:szCs w:val="22"/>
        </w:rPr>
        <w:fldChar w:fldCharType="separate"/>
      </w:r>
      <w:r w:rsidR="0074542B">
        <w:rPr>
          <w:rFonts w:cs="Arial"/>
          <w:sz w:val="22"/>
          <w:szCs w:val="22"/>
        </w:rPr>
        <w:t>17.7.1.7</w:t>
      </w:r>
      <w:r w:rsidR="0074542B">
        <w:rPr>
          <w:rFonts w:cs="Arial"/>
          <w:sz w:val="22"/>
          <w:szCs w:val="22"/>
        </w:rPr>
        <w:fldChar w:fldCharType="end"/>
      </w:r>
      <w:r w:rsidR="0074542B">
        <w:rPr>
          <w:rFonts w:cs="Arial"/>
          <w:sz w:val="22"/>
          <w:szCs w:val="22"/>
        </w:rPr>
        <w:t>, entre otras.</w:t>
      </w:r>
    </w:p>
    <w:p w14:paraId="4C27B591" w14:textId="4E43475D" w:rsidR="00EE0A72" w:rsidRDefault="00EE0A72" w:rsidP="0028726C">
      <w:pPr>
        <w:rPr>
          <w:rFonts w:cs="Arial"/>
          <w:sz w:val="22"/>
          <w:szCs w:val="22"/>
        </w:rPr>
      </w:pPr>
    </w:p>
    <w:p w14:paraId="041919A1" w14:textId="60702B68" w:rsidR="0074542B" w:rsidRPr="0028726C" w:rsidRDefault="001A2602" w:rsidP="0028726C">
      <w:pPr>
        <w:rPr>
          <w:rFonts w:cs="Arial"/>
          <w:sz w:val="22"/>
          <w:szCs w:val="22"/>
        </w:rPr>
      </w:pPr>
      <w:r>
        <w:rPr>
          <w:rFonts w:cs="Arial"/>
          <w:sz w:val="22"/>
          <w:szCs w:val="22"/>
        </w:rPr>
        <w:t xml:space="preserve">En cuanto a la flexibilidad de los compradores para comprometer las cantidades que consideran necesario adquirir para atender las necesidades de la Demanda Esencial en los trimestres de suministro futuros, ver </w:t>
      </w:r>
      <w:r w:rsidR="007635A9">
        <w:rPr>
          <w:rFonts w:cs="Arial"/>
          <w:sz w:val="22"/>
          <w:szCs w:val="22"/>
        </w:rPr>
        <w:t xml:space="preserve">el numeral </w:t>
      </w:r>
      <w:r w:rsidR="007635A9">
        <w:rPr>
          <w:rFonts w:cs="Arial"/>
          <w:sz w:val="22"/>
          <w:szCs w:val="22"/>
        </w:rPr>
        <w:fldChar w:fldCharType="begin"/>
      </w:r>
      <w:r w:rsidR="007635A9">
        <w:rPr>
          <w:rFonts w:cs="Arial"/>
          <w:sz w:val="22"/>
          <w:szCs w:val="22"/>
        </w:rPr>
        <w:instrText xml:space="preserve"> REF _Ref130304509 \r \h </w:instrText>
      </w:r>
      <w:r w:rsidR="007635A9">
        <w:rPr>
          <w:rFonts w:cs="Arial"/>
          <w:sz w:val="22"/>
          <w:szCs w:val="22"/>
        </w:rPr>
      </w:r>
      <w:r w:rsidR="007635A9">
        <w:rPr>
          <w:rFonts w:cs="Arial"/>
          <w:sz w:val="22"/>
          <w:szCs w:val="22"/>
        </w:rPr>
        <w:fldChar w:fldCharType="separate"/>
      </w:r>
      <w:r w:rsidR="007635A9">
        <w:rPr>
          <w:rFonts w:cs="Arial"/>
          <w:sz w:val="22"/>
          <w:szCs w:val="22"/>
        </w:rPr>
        <w:t>4.11.1</w:t>
      </w:r>
      <w:r w:rsidR="007635A9">
        <w:rPr>
          <w:rFonts w:cs="Arial"/>
          <w:sz w:val="22"/>
          <w:szCs w:val="22"/>
        </w:rPr>
        <w:fldChar w:fldCharType="end"/>
      </w:r>
      <w:r w:rsidR="007635A9">
        <w:rPr>
          <w:rFonts w:cs="Arial"/>
          <w:sz w:val="22"/>
          <w:szCs w:val="22"/>
        </w:rPr>
        <w:t xml:space="preserve"> y </w:t>
      </w:r>
      <w:r>
        <w:rPr>
          <w:rFonts w:cs="Arial"/>
          <w:sz w:val="22"/>
          <w:szCs w:val="22"/>
        </w:rPr>
        <w:t>respuesta a</w:t>
      </w:r>
      <w:r w:rsidR="00D162CD">
        <w:rPr>
          <w:rFonts w:cs="Arial"/>
          <w:sz w:val="22"/>
          <w:szCs w:val="22"/>
        </w:rPr>
        <w:t xml:space="preserve"> </w:t>
      </w:r>
      <w:r w:rsidR="00D162CD">
        <w:rPr>
          <w:rFonts w:cs="Arial"/>
          <w:sz w:val="22"/>
          <w:szCs w:val="22"/>
        </w:rPr>
        <w:fldChar w:fldCharType="begin"/>
      </w:r>
      <w:r w:rsidR="00D162CD">
        <w:rPr>
          <w:rFonts w:cs="Arial"/>
          <w:sz w:val="22"/>
          <w:szCs w:val="22"/>
        </w:rPr>
        <w:instrText xml:space="preserve"> REF _Ref132117030 \r \h </w:instrText>
      </w:r>
      <w:r w:rsidR="00D162CD">
        <w:rPr>
          <w:rFonts w:cs="Arial"/>
          <w:sz w:val="22"/>
          <w:szCs w:val="22"/>
        </w:rPr>
      </w:r>
      <w:r w:rsidR="00D162CD">
        <w:rPr>
          <w:rFonts w:cs="Arial"/>
          <w:sz w:val="22"/>
          <w:szCs w:val="22"/>
        </w:rPr>
        <w:fldChar w:fldCharType="separate"/>
      </w:r>
      <w:r w:rsidR="00D162CD">
        <w:rPr>
          <w:rFonts w:cs="Arial"/>
          <w:sz w:val="22"/>
          <w:szCs w:val="22"/>
        </w:rPr>
        <w:t>19.3.1.2</w:t>
      </w:r>
      <w:r w:rsidR="00D162CD">
        <w:rPr>
          <w:rFonts w:cs="Arial"/>
          <w:sz w:val="22"/>
          <w:szCs w:val="22"/>
        </w:rPr>
        <w:fldChar w:fldCharType="end"/>
      </w:r>
      <w:r w:rsidR="00D162CD">
        <w:rPr>
          <w:rFonts w:cs="Arial"/>
          <w:sz w:val="22"/>
          <w:szCs w:val="22"/>
        </w:rPr>
        <w:t>, a</w:t>
      </w:r>
      <w:r>
        <w:rPr>
          <w:rFonts w:cs="Arial"/>
          <w:sz w:val="22"/>
          <w:szCs w:val="22"/>
        </w:rPr>
        <w:t xml:space="preserve"> </w:t>
      </w:r>
      <w:r w:rsidR="007635A9">
        <w:rPr>
          <w:rFonts w:cs="Arial"/>
          <w:sz w:val="22"/>
          <w:szCs w:val="22"/>
        </w:rPr>
        <w:fldChar w:fldCharType="begin"/>
      </w:r>
      <w:r w:rsidR="007635A9">
        <w:rPr>
          <w:rFonts w:cs="Arial"/>
          <w:sz w:val="22"/>
          <w:szCs w:val="22"/>
        </w:rPr>
        <w:instrText xml:space="preserve"> REF _Ref132618996 \r \h </w:instrText>
      </w:r>
      <w:r w:rsidR="007635A9">
        <w:rPr>
          <w:rFonts w:cs="Arial"/>
          <w:sz w:val="22"/>
          <w:szCs w:val="22"/>
        </w:rPr>
      </w:r>
      <w:r w:rsidR="007635A9">
        <w:rPr>
          <w:rFonts w:cs="Arial"/>
          <w:sz w:val="22"/>
          <w:szCs w:val="22"/>
        </w:rPr>
        <w:fldChar w:fldCharType="separate"/>
      </w:r>
      <w:r w:rsidR="007635A9">
        <w:rPr>
          <w:rFonts w:cs="Arial"/>
          <w:sz w:val="22"/>
          <w:szCs w:val="22"/>
        </w:rPr>
        <w:t>19.13.1.10</w:t>
      </w:r>
      <w:r w:rsidR="007635A9">
        <w:rPr>
          <w:rFonts w:cs="Arial"/>
          <w:sz w:val="22"/>
          <w:szCs w:val="22"/>
        </w:rPr>
        <w:fldChar w:fldCharType="end"/>
      </w:r>
      <w:r w:rsidR="007635A9">
        <w:rPr>
          <w:rFonts w:cs="Arial"/>
          <w:sz w:val="22"/>
          <w:szCs w:val="22"/>
        </w:rPr>
        <w:t xml:space="preserve">, a </w:t>
      </w:r>
      <w:r w:rsidR="007635A9">
        <w:rPr>
          <w:rFonts w:cs="Arial"/>
          <w:sz w:val="22"/>
          <w:szCs w:val="22"/>
        </w:rPr>
        <w:fldChar w:fldCharType="begin"/>
      </w:r>
      <w:r w:rsidR="007635A9">
        <w:rPr>
          <w:rFonts w:cs="Arial"/>
          <w:sz w:val="22"/>
          <w:szCs w:val="22"/>
        </w:rPr>
        <w:instrText xml:space="preserve"> REF _Ref132708279 \r \h </w:instrText>
      </w:r>
      <w:r w:rsidR="007635A9">
        <w:rPr>
          <w:rFonts w:cs="Arial"/>
          <w:sz w:val="22"/>
          <w:szCs w:val="22"/>
        </w:rPr>
      </w:r>
      <w:r w:rsidR="007635A9">
        <w:rPr>
          <w:rFonts w:cs="Arial"/>
          <w:sz w:val="22"/>
          <w:szCs w:val="22"/>
        </w:rPr>
        <w:fldChar w:fldCharType="separate"/>
      </w:r>
      <w:r w:rsidR="007635A9">
        <w:rPr>
          <w:rFonts w:cs="Arial"/>
          <w:sz w:val="22"/>
          <w:szCs w:val="22"/>
        </w:rPr>
        <w:t>19.17.1.4</w:t>
      </w:r>
      <w:r w:rsidR="007635A9">
        <w:rPr>
          <w:rFonts w:cs="Arial"/>
          <w:sz w:val="22"/>
          <w:szCs w:val="22"/>
        </w:rPr>
        <w:fldChar w:fldCharType="end"/>
      </w:r>
      <w:r w:rsidR="007635A9">
        <w:rPr>
          <w:rFonts w:cs="Arial"/>
          <w:sz w:val="22"/>
          <w:szCs w:val="22"/>
        </w:rPr>
        <w:t>, a</w:t>
      </w:r>
      <w:r w:rsidR="00D162CD">
        <w:rPr>
          <w:rFonts w:cs="Arial"/>
          <w:sz w:val="22"/>
          <w:szCs w:val="22"/>
        </w:rPr>
        <w:t xml:space="preserve"> </w:t>
      </w:r>
      <w:r w:rsidR="00D162CD">
        <w:rPr>
          <w:rFonts w:cs="Arial"/>
          <w:sz w:val="22"/>
          <w:szCs w:val="22"/>
        </w:rPr>
        <w:fldChar w:fldCharType="begin"/>
      </w:r>
      <w:r w:rsidR="00D162CD">
        <w:rPr>
          <w:rFonts w:cs="Arial"/>
          <w:sz w:val="22"/>
          <w:szCs w:val="22"/>
        </w:rPr>
        <w:instrText xml:space="preserve"> REF _Ref132708477 \r \h </w:instrText>
      </w:r>
      <w:r w:rsidR="00D162CD">
        <w:rPr>
          <w:rFonts w:cs="Arial"/>
          <w:sz w:val="22"/>
          <w:szCs w:val="22"/>
        </w:rPr>
      </w:r>
      <w:r w:rsidR="00D162CD">
        <w:rPr>
          <w:rFonts w:cs="Arial"/>
          <w:sz w:val="22"/>
          <w:szCs w:val="22"/>
        </w:rPr>
        <w:fldChar w:fldCharType="separate"/>
      </w:r>
      <w:r w:rsidR="00D162CD">
        <w:rPr>
          <w:rFonts w:cs="Arial"/>
          <w:sz w:val="22"/>
          <w:szCs w:val="22"/>
        </w:rPr>
        <w:t>19.24.1.1</w:t>
      </w:r>
      <w:r w:rsidR="00D162CD">
        <w:rPr>
          <w:rFonts w:cs="Arial"/>
          <w:sz w:val="22"/>
          <w:szCs w:val="22"/>
        </w:rPr>
        <w:fldChar w:fldCharType="end"/>
      </w:r>
      <w:r w:rsidR="00D162CD">
        <w:rPr>
          <w:rFonts w:cs="Arial"/>
          <w:sz w:val="22"/>
          <w:szCs w:val="22"/>
        </w:rPr>
        <w:t>, entre otras.</w:t>
      </w:r>
    </w:p>
    <w:p w14:paraId="46A5E22B" w14:textId="77777777" w:rsidR="00CA3C32" w:rsidRDefault="00CA3C32" w:rsidP="0028726C">
      <w:pPr>
        <w:rPr>
          <w:rFonts w:cs="Arial"/>
          <w:sz w:val="22"/>
          <w:szCs w:val="22"/>
        </w:rPr>
      </w:pPr>
    </w:p>
    <w:p w14:paraId="35BA70A0" w14:textId="77777777" w:rsidR="00C30F46" w:rsidRDefault="00C30F46" w:rsidP="0028726C">
      <w:pPr>
        <w:rPr>
          <w:rFonts w:cs="Arial"/>
          <w:sz w:val="22"/>
          <w:szCs w:val="22"/>
        </w:rPr>
      </w:pPr>
    </w:p>
    <w:p w14:paraId="5A64322B" w14:textId="77777777" w:rsidR="00C30F46" w:rsidRDefault="00C30F46" w:rsidP="00C30F46">
      <w:pPr>
        <w:pStyle w:val="Ttulo4"/>
      </w:pPr>
      <w:bookmarkStart w:id="863" w:name="_Ref132710533"/>
      <w:r w:rsidRPr="0028726C">
        <w:t>VANTI</w:t>
      </w:r>
      <w:bookmarkEnd w:id="863"/>
      <w:r w:rsidRPr="0028726C">
        <w:tab/>
      </w:r>
    </w:p>
    <w:p w14:paraId="22AD77D1" w14:textId="4DA5DB57" w:rsidR="0028726C" w:rsidRPr="00D162CD" w:rsidRDefault="00D162CD" w:rsidP="0028726C">
      <w:pPr>
        <w:rPr>
          <w:rFonts w:cs="Arial"/>
          <w:i/>
          <w:iCs/>
          <w:sz w:val="22"/>
          <w:szCs w:val="22"/>
        </w:rPr>
      </w:pPr>
      <w:r>
        <w:rPr>
          <w:rFonts w:cs="Arial"/>
          <w:sz w:val="22"/>
          <w:szCs w:val="22"/>
        </w:rPr>
        <w:t>“</w:t>
      </w:r>
      <w:r w:rsidR="0028726C" w:rsidRPr="00D162CD">
        <w:rPr>
          <w:rFonts w:cs="Arial"/>
          <w:i/>
          <w:iCs/>
          <w:sz w:val="22"/>
          <w:szCs w:val="22"/>
        </w:rPr>
        <w:t xml:space="preserve">Asimismo, vemos un reto muy grande en el lograr introducir regulación en procesos que, en un principio, deben ser resueltos a través de la interacción comercial de los agentes, compradores y vendedores, no solo para la Demanda Esencial sino para todos los mercados. Un único mecanismo regulado, aplicado tanto a Costa como Interior, incluso incorporando una realidad más específica a través de los Puntos de Referencia, no vemos que ayude a resolver las particularidades de cada región para que se dé cobertura pero que al mismo tiempo se intente minimizar los precios de cierre, particularidades como: </w:t>
      </w:r>
    </w:p>
    <w:p w14:paraId="5BF975EF" w14:textId="77777777" w:rsidR="00CA3C32" w:rsidRPr="00D162CD" w:rsidRDefault="00CA3C32" w:rsidP="0028726C">
      <w:pPr>
        <w:rPr>
          <w:rFonts w:cs="Arial"/>
          <w:i/>
          <w:iCs/>
          <w:sz w:val="22"/>
          <w:szCs w:val="22"/>
        </w:rPr>
      </w:pPr>
    </w:p>
    <w:p w14:paraId="73DA589A" w14:textId="64E262E9" w:rsidR="0028726C" w:rsidRPr="00D162CD" w:rsidRDefault="0028726C" w:rsidP="0028726C">
      <w:pPr>
        <w:rPr>
          <w:rFonts w:cs="Arial"/>
          <w:i/>
          <w:iCs/>
          <w:sz w:val="22"/>
          <w:szCs w:val="22"/>
        </w:rPr>
      </w:pPr>
      <w:r w:rsidRPr="00D162CD">
        <w:rPr>
          <w:rFonts w:cs="Arial"/>
          <w:i/>
          <w:iCs/>
          <w:sz w:val="22"/>
          <w:szCs w:val="22"/>
        </w:rPr>
        <w:t xml:space="preserve">- los tipos de demanda (en Costa mayor demanda térmica, en Interior mayor industria) </w:t>
      </w:r>
    </w:p>
    <w:p w14:paraId="1A85F752" w14:textId="77777777" w:rsidR="0028726C" w:rsidRDefault="0028726C" w:rsidP="0028726C">
      <w:pPr>
        <w:rPr>
          <w:rFonts w:cs="Arial"/>
          <w:sz w:val="22"/>
          <w:szCs w:val="22"/>
        </w:rPr>
      </w:pPr>
      <w:r w:rsidRPr="00D162CD">
        <w:rPr>
          <w:rFonts w:cs="Arial"/>
          <w:i/>
          <w:iCs/>
          <w:sz w:val="22"/>
          <w:szCs w:val="22"/>
        </w:rPr>
        <w:t>- la cantidad de oferentes y su perfil de curva de oferta (Costa más oferentes, más oferta, Interior casi que un único oferente, perfil de oferta en descenso y donde la propuesta actual del MADE tiene altísima probabilidad que todo proceso de comercialización cierre con subasta).</w:t>
      </w:r>
      <w:r w:rsidRPr="0028726C">
        <w:rPr>
          <w:rFonts w:cs="Arial"/>
          <w:sz w:val="22"/>
          <w:szCs w:val="22"/>
        </w:rPr>
        <w:t xml:space="preserve"> "</w:t>
      </w:r>
    </w:p>
    <w:p w14:paraId="18DA7FB4" w14:textId="77777777" w:rsidR="00D162CD" w:rsidRDefault="00D162CD" w:rsidP="0028726C">
      <w:pPr>
        <w:rPr>
          <w:rFonts w:cs="Arial"/>
          <w:sz w:val="22"/>
          <w:szCs w:val="22"/>
        </w:rPr>
      </w:pPr>
    </w:p>
    <w:p w14:paraId="712E00C8" w14:textId="42797690" w:rsidR="00D162CD" w:rsidRPr="00D162CD" w:rsidRDefault="00D162CD" w:rsidP="0028726C">
      <w:pPr>
        <w:rPr>
          <w:rFonts w:cs="Arial"/>
          <w:b/>
          <w:bCs/>
          <w:sz w:val="22"/>
          <w:szCs w:val="22"/>
        </w:rPr>
      </w:pPr>
      <w:r w:rsidRPr="00D162CD">
        <w:rPr>
          <w:rFonts w:cs="Arial"/>
          <w:b/>
          <w:bCs/>
          <w:sz w:val="22"/>
          <w:szCs w:val="22"/>
        </w:rPr>
        <w:t>Respuesta:</w:t>
      </w:r>
    </w:p>
    <w:p w14:paraId="79F14B02" w14:textId="77777777" w:rsidR="00D162CD" w:rsidRDefault="00D162CD" w:rsidP="0028726C">
      <w:pPr>
        <w:rPr>
          <w:rFonts w:cs="Arial"/>
          <w:sz w:val="22"/>
          <w:szCs w:val="22"/>
        </w:rPr>
      </w:pPr>
    </w:p>
    <w:p w14:paraId="447AA535" w14:textId="77777777" w:rsidR="000D4EB2" w:rsidRDefault="007266D1" w:rsidP="0028726C">
      <w:pPr>
        <w:rPr>
          <w:rFonts w:cs="Arial"/>
          <w:sz w:val="22"/>
          <w:szCs w:val="22"/>
        </w:rPr>
      </w:pPr>
      <w:r>
        <w:rPr>
          <w:rFonts w:cs="Arial"/>
          <w:sz w:val="22"/>
          <w:szCs w:val="22"/>
        </w:rPr>
        <w:t>Las negociaciones directas se mantienen como primer mecanismo de comercialización</w:t>
      </w:r>
      <w:r w:rsidR="000D4EB2">
        <w:rPr>
          <w:rFonts w:cs="Arial"/>
          <w:sz w:val="22"/>
          <w:szCs w:val="22"/>
        </w:rPr>
        <w:t xml:space="preserve">, siempre y cuando el Gestor del Mercado encuentre que hay balance comercial superavitario. Para un balance comercial superavitario se requiere que la oferta de PTDVF/CIDVF para un trimestre futuro sea superior o igual a las cantidades requeridas por los compradores en la segunda instancia de declaración al Gestor del Mercado. Esa segunda instancia de declaración de los compradores es </w:t>
      </w:r>
      <w:proofErr w:type="gramStart"/>
      <w:r w:rsidR="000D4EB2">
        <w:rPr>
          <w:rFonts w:cs="Arial"/>
          <w:sz w:val="22"/>
          <w:szCs w:val="22"/>
        </w:rPr>
        <w:t>relevante</w:t>
      </w:r>
      <w:proofErr w:type="gramEnd"/>
      <w:r w:rsidR="000D4EB2">
        <w:rPr>
          <w:rFonts w:cs="Arial"/>
          <w:sz w:val="22"/>
          <w:szCs w:val="22"/>
        </w:rPr>
        <w:t xml:space="preserve"> por tanto, puesto que el Gestor del Mercado previamente publicará la información de PTDVF/CIDVF y la declaración de cantidades de los compradores dada en la primera instancia de declaración, de modo de que los compradores sepan cuál sería el resultado del balance comercial si tales cantidades de primera instancia se mantuviesen iguales en la segunda instancia de declaración. </w:t>
      </w:r>
    </w:p>
    <w:p w14:paraId="738EEE5F" w14:textId="77777777" w:rsidR="000D4EB2" w:rsidRDefault="000D4EB2" w:rsidP="0028726C">
      <w:pPr>
        <w:rPr>
          <w:rFonts w:cs="Arial"/>
          <w:sz w:val="22"/>
          <w:szCs w:val="22"/>
        </w:rPr>
      </w:pPr>
    </w:p>
    <w:p w14:paraId="635FC90F" w14:textId="6DF3BF3F" w:rsidR="005A0350" w:rsidRDefault="000D4EB2" w:rsidP="0028726C">
      <w:pPr>
        <w:rPr>
          <w:rFonts w:cs="Arial"/>
          <w:sz w:val="22"/>
          <w:szCs w:val="22"/>
        </w:rPr>
      </w:pPr>
      <w:r>
        <w:rPr>
          <w:rFonts w:cs="Arial"/>
          <w:sz w:val="22"/>
          <w:szCs w:val="22"/>
        </w:rPr>
        <w:t xml:space="preserve">Lo anterior va de la mano </w:t>
      </w:r>
      <w:r w:rsidR="005A0350">
        <w:rPr>
          <w:rFonts w:cs="Arial"/>
          <w:sz w:val="22"/>
          <w:szCs w:val="22"/>
        </w:rPr>
        <w:t xml:space="preserve">de la conformación de los puntos de referencia junto </w:t>
      </w:r>
      <w:r>
        <w:rPr>
          <w:rFonts w:cs="Arial"/>
          <w:sz w:val="22"/>
          <w:szCs w:val="22"/>
        </w:rPr>
        <w:t xml:space="preserve">con la posibilidad de que los compradores adquieran las cantidades de un mismo </w:t>
      </w:r>
      <w:r w:rsidR="009D22E9">
        <w:rPr>
          <w:rFonts w:cs="Arial"/>
          <w:sz w:val="22"/>
          <w:szCs w:val="22"/>
        </w:rPr>
        <w:t>trimestre estándar de ejecución</w:t>
      </w:r>
      <w:r>
        <w:rPr>
          <w:rFonts w:cs="Arial"/>
          <w:sz w:val="22"/>
          <w:szCs w:val="22"/>
        </w:rPr>
        <w:t xml:space="preserve"> futuro, en varios trimestres de negociación previos</w:t>
      </w:r>
      <w:r w:rsidR="005A0350">
        <w:rPr>
          <w:rFonts w:cs="Arial"/>
          <w:sz w:val="22"/>
          <w:szCs w:val="22"/>
        </w:rPr>
        <w:t xml:space="preserve">, y no en uno solo de ellos. Ver numeral </w:t>
      </w:r>
      <w:r w:rsidR="005A0350">
        <w:rPr>
          <w:rFonts w:cs="Arial"/>
          <w:sz w:val="22"/>
          <w:szCs w:val="22"/>
        </w:rPr>
        <w:fldChar w:fldCharType="begin"/>
      </w:r>
      <w:r w:rsidR="005A0350">
        <w:rPr>
          <w:rFonts w:cs="Arial"/>
          <w:sz w:val="22"/>
          <w:szCs w:val="22"/>
        </w:rPr>
        <w:instrText xml:space="preserve"> REF _Ref130304509 \r \h </w:instrText>
      </w:r>
      <w:r w:rsidR="005A0350">
        <w:rPr>
          <w:rFonts w:cs="Arial"/>
          <w:sz w:val="22"/>
          <w:szCs w:val="22"/>
        </w:rPr>
      </w:r>
      <w:r w:rsidR="005A0350">
        <w:rPr>
          <w:rFonts w:cs="Arial"/>
          <w:sz w:val="22"/>
          <w:szCs w:val="22"/>
        </w:rPr>
        <w:fldChar w:fldCharType="separate"/>
      </w:r>
      <w:r w:rsidR="005A0350">
        <w:rPr>
          <w:rFonts w:cs="Arial"/>
          <w:sz w:val="22"/>
          <w:szCs w:val="22"/>
        </w:rPr>
        <w:t>4.11.1</w:t>
      </w:r>
      <w:r w:rsidR="005A0350">
        <w:rPr>
          <w:rFonts w:cs="Arial"/>
          <w:sz w:val="22"/>
          <w:szCs w:val="22"/>
        </w:rPr>
        <w:fldChar w:fldCharType="end"/>
      </w:r>
      <w:r w:rsidR="005A0350">
        <w:rPr>
          <w:rFonts w:cs="Arial"/>
          <w:sz w:val="22"/>
          <w:szCs w:val="22"/>
        </w:rPr>
        <w:t>.</w:t>
      </w:r>
    </w:p>
    <w:p w14:paraId="62202BD6" w14:textId="77777777" w:rsidR="005A0350" w:rsidRDefault="005A0350" w:rsidP="0028726C">
      <w:pPr>
        <w:rPr>
          <w:rFonts w:cs="Arial"/>
          <w:sz w:val="22"/>
          <w:szCs w:val="22"/>
        </w:rPr>
      </w:pPr>
    </w:p>
    <w:p w14:paraId="1089E281" w14:textId="77777777" w:rsidR="00C30F46" w:rsidRDefault="00C30F46" w:rsidP="0028726C">
      <w:pPr>
        <w:rPr>
          <w:rFonts w:cs="Arial"/>
          <w:sz w:val="22"/>
          <w:szCs w:val="22"/>
        </w:rPr>
      </w:pPr>
    </w:p>
    <w:p w14:paraId="5415A86D" w14:textId="77777777" w:rsidR="00CA3C32" w:rsidRDefault="0028726C" w:rsidP="00F23443">
      <w:pPr>
        <w:pStyle w:val="Ttulo4"/>
      </w:pPr>
      <w:bookmarkStart w:id="864" w:name="_Ref132710618"/>
      <w:r w:rsidRPr="0028726C">
        <w:t>VANTI</w:t>
      </w:r>
      <w:bookmarkEnd w:id="864"/>
      <w:r w:rsidRPr="0028726C">
        <w:tab/>
      </w:r>
    </w:p>
    <w:p w14:paraId="206DC382" w14:textId="56F7FC1B" w:rsidR="0028726C" w:rsidRPr="0028726C" w:rsidRDefault="0028726C" w:rsidP="0028726C">
      <w:pPr>
        <w:rPr>
          <w:rFonts w:cs="Arial"/>
          <w:sz w:val="22"/>
          <w:szCs w:val="22"/>
        </w:rPr>
      </w:pPr>
      <w:r w:rsidRPr="0028726C">
        <w:rPr>
          <w:rFonts w:cs="Arial"/>
          <w:sz w:val="22"/>
          <w:szCs w:val="22"/>
        </w:rPr>
        <w:t>"</w:t>
      </w:r>
      <w:r w:rsidRPr="005A0350">
        <w:rPr>
          <w:rFonts w:cs="Arial"/>
          <w:i/>
          <w:iCs/>
          <w:sz w:val="22"/>
          <w:szCs w:val="22"/>
        </w:rPr>
        <w:t>La declaración por parte de los Vendedores de la PTDVF/CIVDF por Fuentes de Suministro, estado del suministro -GN, GNC, GNL-; no se ve conveniente especificar el tipo contractual -CF95, OCG, CFC- y en cuanto a los Puntos de Referencia también hay que tener cuidado por este fraccionamiento que habría de la Oferta.</w:t>
      </w:r>
      <w:r w:rsidR="005A0350">
        <w:rPr>
          <w:rFonts w:cs="Arial"/>
          <w:i/>
          <w:iCs/>
          <w:sz w:val="22"/>
          <w:szCs w:val="22"/>
        </w:rPr>
        <w:t>”</w:t>
      </w:r>
      <w:r w:rsidRPr="0028726C">
        <w:rPr>
          <w:rFonts w:cs="Arial"/>
          <w:sz w:val="22"/>
          <w:szCs w:val="22"/>
        </w:rPr>
        <w:t xml:space="preserve"> </w:t>
      </w:r>
    </w:p>
    <w:p w14:paraId="26BCF2B4" w14:textId="77777777" w:rsidR="00CA3C32" w:rsidRDefault="00CA3C32" w:rsidP="0028726C">
      <w:pPr>
        <w:rPr>
          <w:rFonts w:cs="Arial"/>
          <w:sz w:val="22"/>
          <w:szCs w:val="22"/>
        </w:rPr>
      </w:pPr>
    </w:p>
    <w:p w14:paraId="701F14CA" w14:textId="778BBF45" w:rsidR="00C30F46" w:rsidRPr="005A0350" w:rsidRDefault="005A0350" w:rsidP="0028726C">
      <w:pPr>
        <w:rPr>
          <w:rFonts w:cs="Arial"/>
          <w:b/>
          <w:bCs/>
          <w:sz w:val="22"/>
          <w:szCs w:val="22"/>
        </w:rPr>
      </w:pPr>
      <w:r w:rsidRPr="005A0350">
        <w:rPr>
          <w:rFonts w:cs="Arial"/>
          <w:b/>
          <w:bCs/>
          <w:sz w:val="22"/>
          <w:szCs w:val="22"/>
        </w:rPr>
        <w:t>Respuesta:</w:t>
      </w:r>
    </w:p>
    <w:p w14:paraId="6FB6E329" w14:textId="77777777" w:rsidR="005A0350" w:rsidRDefault="005A0350" w:rsidP="0028726C">
      <w:pPr>
        <w:rPr>
          <w:rFonts w:cs="Arial"/>
          <w:sz w:val="22"/>
          <w:szCs w:val="22"/>
        </w:rPr>
      </w:pPr>
    </w:p>
    <w:p w14:paraId="5FE371B9" w14:textId="0A533084" w:rsidR="005A0350" w:rsidRDefault="005A0350" w:rsidP="0028726C">
      <w:pPr>
        <w:rPr>
          <w:rFonts w:cs="Arial"/>
          <w:sz w:val="22"/>
          <w:szCs w:val="22"/>
        </w:rPr>
      </w:pPr>
      <w:r>
        <w:rPr>
          <w:rFonts w:cs="Arial"/>
          <w:sz w:val="22"/>
          <w:szCs w:val="22"/>
        </w:rPr>
        <w:t xml:space="preserve">Se acoge el comentario. </w:t>
      </w:r>
    </w:p>
    <w:p w14:paraId="1EE9113D" w14:textId="77777777" w:rsidR="009F3BC6" w:rsidRDefault="009F3BC6" w:rsidP="0028726C">
      <w:pPr>
        <w:rPr>
          <w:rFonts w:cs="Arial"/>
          <w:sz w:val="22"/>
          <w:szCs w:val="22"/>
        </w:rPr>
      </w:pPr>
    </w:p>
    <w:p w14:paraId="1DF54C3F" w14:textId="1A91EB43" w:rsidR="005A0350" w:rsidRDefault="00C11BBA" w:rsidP="0028726C">
      <w:pPr>
        <w:rPr>
          <w:rFonts w:cs="Arial"/>
          <w:sz w:val="22"/>
          <w:szCs w:val="22"/>
        </w:rPr>
      </w:pPr>
      <w:r>
        <w:rPr>
          <w:rFonts w:cs="Arial"/>
          <w:sz w:val="22"/>
          <w:szCs w:val="22"/>
        </w:rPr>
        <w:t xml:space="preserve">En caso de ser necesaria la utilización del mecanismo de comercialización de subasta centralizada, cuando se obtiene un balance comercial deficitario, el esquema de subasta que se incluye en la nueva </w:t>
      </w:r>
      <w:proofErr w:type="gramStart"/>
      <w:r>
        <w:rPr>
          <w:rFonts w:cs="Arial"/>
          <w:sz w:val="22"/>
          <w:szCs w:val="22"/>
        </w:rPr>
        <w:t>propuesta,</w:t>
      </w:r>
      <w:proofErr w:type="gramEnd"/>
      <w:r>
        <w:rPr>
          <w:rFonts w:cs="Arial"/>
          <w:sz w:val="22"/>
          <w:szCs w:val="22"/>
        </w:rPr>
        <w:t xml:space="preserve"> sí requerirá la definición del producto que se ofrece (CF95, OCG y CFC) por parte del vendedor.</w:t>
      </w:r>
    </w:p>
    <w:p w14:paraId="6B86C4BD" w14:textId="77777777" w:rsidR="00C11BBA" w:rsidRDefault="00C11BBA" w:rsidP="0028726C">
      <w:pPr>
        <w:rPr>
          <w:rFonts w:cs="Arial"/>
          <w:sz w:val="22"/>
          <w:szCs w:val="22"/>
        </w:rPr>
      </w:pPr>
    </w:p>
    <w:p w14:paraId="1206B55C" w14:textId="52D2F7C0" w:rsidR="005A0350" w:rsidRDefault="005A0350" w:rsidP="0028726C">
      <w:pPr>
        <w:rPr>
          <w:rFonts w:cs="Arial"/>
          <w:sz w:val="22"/>
          <w:szCs w:val="22"/>
        </w:rPr>
      </w:pPr>
      <w:r>
        <w:rPr>
          <w:rFonts w:cs="Arial"/>
          <w:sz w:val="22"/>
          <w:szCs w:val="22"/>
        </w:rPr>
        <w:t>Ver respuesta a</w:t>
      </w:r>
      <w:r w:rsidR="001114D3">
        <w:rPr>
          <w:rFonts w:cs="Arial"/>
          <w:sz w:val="22"/>
          <w:szCs w:val="22"/>
        </w:rPr>
        <w:t xml:space="preserve"> </w:t>
      </w:r>
      <w:r w:rsidR="001114D3">
        <w:rPr>
          <w:rFonts w:cs="Arial"/>
          <w:sz w:val="22"/>
          <w:szCs w:val="22"/>
        </w:rPr>
        <w:fldChar w:fldCharType="begin"/>
      </w:r>
      <w:r w:rsidR="001114D3">
        <w:rPr>
          <w:rFonts w:cs="Arial"/>
          <w:sz w:val="22"/>
          <w:szCs w:val="22"/>
        </w:rPr>
        <w:instrText xml:space="preserve"> REF _Ref132710169 \r \h </w:instrText>
      </w:r>
      <w:r w:rsidR="001114D3">
        <w:rPr>
          <w:rFonts w:cs="Arial"/>
          <w:sz w:val="22"/>
          <w:szCs w:val="22"/>
        </w:rPr>
      </w:r>
      <w:r w:rsidR="001114D3">
        <w:rPr>
          <w:rFonts w:cs="Arial"/>
          <w:sz w:val="22"/>
          <w:szCs w:val="22"/>
        </w:rPr>
        <w:fldChar w:fldCharType="separate"/>
      </w:r>
      <w:r w:rsidR="001114D3">
        <w:rPr>
          <w:rFonts w:cs="Arial"/>
          <w:sz w:val="22"/>
          <w:szCs w:val="22"/>
        </w:rPr>
        <w:t>19.9.1.7</w:t>
      </w:r>
      <w:r w:rsidR="001114D3">
        <w:rPr>
          <w:rFonts w:cs="Arial"/>
          <w:sz w:val="22"/>
          <w:szCs w:val="22"/>
        </w:rPr>
        <w:fldChar w:fldCharType="end"/>
      </w:r>
      <w:r w:rsidR="001114D3">
        <w:rPr>
          <w:rFonts w:cs="Arial"/>
          <w:sz w:val="22"/>
          <w:szCs w:val="22"/>
        </w:rPr>
        <w:t xml:space="preserve"> y a</w:t>
      </w:r>
      <w:r>
        <w:rPr>
          <w:rFonts w:cs="Arial"/>
          <w:sz w:val="22"/>
          <w:szCs w:val="22"/>
        </w:rPr>
        <w:t xml:space="preserve"> </w:t>
      </w:r>
      <w:r w:rsidR="001114D3">
        <w:rPr>
          <w:rFonts w:cs="Arial"/>
          <w:sz w:val="22"/>
          <w:szCs w:val="22"/>
        </w:rPr>
        <w:fldChar w:fldCharType="begin"/>
      </w:r>
      <w:r w:rsidR="001114D3">
        <w:rPr>
          <w:rFonts w:cs="Arial"/>
          <w:sz w:val="22"/>
          <w:szCs w:val="22"/>
        </w:rPr>
        <w:instrText xml:space="preserve"> REF _Ref132289969 \r \h </w:instrText>
      </w:r>
      <w:r w:rsidR="001114D3">
        <w:rPr>
          <w:rFonts w:cs="Arial"/>
          <w:sz w:val="22"/>
          <w:szCs w:val="22"/>
        </w:rPr>
      </w:r>
      <w:r w:rsidR="001114D3">
        <w:rPr>
          <w:rFonts w:cs="Arial"/>
          <w:sz w:val="22"/>
          <w:szCs w:val="22"/>
        </w:rPr>
        <w:fldChar w:fldCharType="separate"/>
      </w:r>
      <w:r w:rsidR="001114D3">
        <w:rPr>
          <w:rFonts w:cs="Arial"/>
          <w:sz w:val="22"/>
          <w:szCs w:val="22"/>
        </w:rPr>
        <w:t>19.12.1.3</w:t>
      </w:r>
      <w:r w:rsidR="001114D3">
        <w:rPr>
          <w:rFonts w:cs="Arial"/>
          <w:sz w:val="22"/>
          <w:szCs w:val="22"/>
        </w:rPr>
        <w:fldChar w:fldCharType="end"/>
      </w:r>
      <w:r w:rsidR="001114D3">
        <w:rPr>
          <w:rFonts w:cs="Arial"/>
          <w:sz w:val="22"/>
          <w:szCs w:val="22"/>
        </w:rPr>
        <w:t xml:space="preserve">, </w:t>
      </w:r>
    </w:p>
    <w:p w14:paraId="7696B4CC" w14:textId="77777777" w:rsidR="005A0350" w:rsidRDefault="005A0350" w:rsidP="0028726C">
      <w:pPr>
        <w:rPr>
          <w:rFonts w:cs="Arial"/>
          <w:sz w:val="22"/>
          <w:szCs w:val="22"/>
        </w:rPr>
      </w:pPr>
    </w:p>
    <w:p w14:paraId="4BB457B4" w14:textId="77777777" w:rsidR="00C30F46" w:rsidRDefault="00C30F46" w:rsidP="0028726C">
      <w:pPr>
        <w:rPr>
          <w:rFonts w:cs="Arial"/>
          <w:sz w:val="22"/>
          <w:szCs w:val="22"/>
        </w:rPr>
      </w:pPr>
    </w:p>
    <w:p w14:paraId="6095830F" w14:textId="77777777" w:rsidR="00C30F46" w:rsidRDefault="00C30F46" w:rsidP="00C30F46">
      <w:pPr>
        <w:pStyle w:val="Ttulo4"/>
      </w:pPr>
      <w:r w:rsidRPr="0028726C">
        <w:t>VANTI</w:t>
      </w:r>
      <w:r w:rsidRPr="0028726C">
        <w:tab/>
      </w:r>
    </w:p>
    <w:p w14:paraId="1702846D" w14:textId="2D823CF6" w:rsidR="00B63936" w:rsidRPr="00C11BBA" w:rsidRDefault="009F3BC6" w:rsidP="00B63936">
      <w:pPr>
        <w:rPr>
          <w:rFonts w:cs="Arial"/>
          <w:i/>
          <w:iCs/>
          <w:sz w:val="22"/>
          <w:szCs w:val="22"/>
        </w:rPr>
      </w:pPr>
      <w:r>
        <w:rPr>
          <w:rFonts w:cs="Arial"/>
          <w:i/>
          <w:iCs/>
          <w:sz w:val="22"/>
          <w:szCs w:val="22"/>
        </w:rPr>
        <w:t>“</w:t>
      </w:r>
      <w:r w:rsidR="00B63936" w:rsidRPr="00C11BBA">
        <w:rPr>
          <w:rFonts w:cs="Arial"/>
          <w:i/>
          <w:iCs/>
          <w:sz w:val="22"/>
          <w:szCs w:val="22"/>
        </w:rPr>
        <w:t>Por tal razón, y teniendo en cuenta los objetivos de la Comisión, queremos exponer la siguiente propuesta que resumimos en los mismos 3 pasos, sin embargo, como se mencionaba al inicio de la comunicación, no es fácil formular una propuesta detallada, ya que creemos debe darse mucha más discusión y entendimiento sectorial de este tema.</w:t>
      </w:r>
    </w:p>
    <w:p w14:paraId="32D37A37" w14:textId="77777777" w:rsidR="00B63936" w:rsidRPr="00C11BBA" w:rsidRDefault="00B63936" w:rsidP="00B63936">
      <w:pPr>
        <w:rPr>
          <w:rFonts w:cs="Arial"/>
          <w:i/>
          <w:iCs/>
          <w:sz w:val="22"/>
          <w:szCs w:val="22"/>
        </w:rPr>
      </w:pPr>
    </w:p>
    <w:p w14:paraId="752A66F2" w14:textId="3FA6AA73" w:rsidR="00B63936" w:rsidRPr="00C11BBA" w:rsidRDefault="00B63936" w:rsidP="00B63936">
      <w:pPr>
        <w:rPr>
          <w:rFonts w:cs="Arial"/>
          <w:i/>
          <w:iCs/>
          <w:sz w:val="22"/>
          <w:szCs w:val="22"/>
        </w:rPr>
      </w:pPr>
      <w:r w:rsidRPr="00C11BBA">
        <w:rPr>
          <w:rFonts w:cs="Arial"/>
          <w:b/>
          <w:bCs/>
          <w:i/>
          <w:iCs/>
          <w:sz w:val="22"/>
          <w:szCs w:val="22"/>
        </w:rPr>
        <w:t>9.2.1. Elaboración de un balance contractual</w:t>
      </w:r>
      <w:r w:rsidRPr="00C11BBA">
        <w:rPr>
          <w:rFonts w:cs="Arial"/>
          <w:i/>
          <w:iCs/>
          <w:sz w:val="22"/>
          <w:szCs w:val="22"/>
        </w:rPr>
        <w:t>, acompañamos a la Comisión en necesidad de transparencia de la información al mercado, y lo vital de la misma para el mercado y las instituciones. Asimismo, estamos de acuerdo con un balance con un horizonte de tiempo de 5 años.</w:t>
      </w:r>
    </w:p>
    <w:p w14:paraId="2D6B6B7A" w14:textId="77777777" w:rsidR="00B63936" w:rsidRPr="00C11BBA" w:rsidRDefault="00B63936" w:rsidP="0028726C">
      <w:pPr>
        <w:rPr>
          <w:rFonts w:cs="Arial"/>
          <w:i/>
          <w:iCs/>
          <w:sz w:val="22"/>
          <w:szCs w:val="22"/>
        </w:rPr>
      </w:pPr>
    </w:p>
    <w:p w14:paraId="2DF206FA" w14:textId="76BC35DE" w:rsidR="0028726C" w:rsidRPr="00C11BBA" w:rsidRDefault="0028726C" w:rsidP="0028726C">
      <w:pPr>
        <w:rPr>
          <w:rFonts w:cs="Arial"/>
          <w:i/>
          <w:iCs/>
          <w:sz w:val="22"/>
          <w:szCs w:val="22"/>
        </w:rPr>
      </w:pPr>
      <w:r w:rsidRPr="00C11BBA">
        <w:rPr>
          <w:rFonts w:cs="Arial"/>
          <w:i/>
          <w:iCs/>
          <w:sz w:val="22"/>
          <w:szCs w:val="22"/>
        </w:rPr>
        <w:t xml:space="preserve">La declaración por parte de los Compradores que se haga por tipos de usuario, Puntos de Referencia, Puntos de Entrega, estado del suministro -GN, GNC, GNL-; aquí es deseable como señal, de tal forma que se declaren las necesidades por tipo contractual en 3 categorías: i) CF95, </w:t>
      </w:r>
      <w:proofErr w:type="spellStart"/>
      <w:r w:rsidRPr="00C11BBA">
        <w:rPr>
          <w:rFonts w:cs="Arial"/>
          <w:i/>
          <w:iCs/>
          <w:sz w:val="22"/>
          <w:szCs w:val="22"/>
        </w:rPr>
        <w:t>ii</w:t>
      </w:r>
      <w:proofErr w:type="spellEnd"/>
      <w:r w:rsidRPr="00C11BBA">
        <w:rPr>
          <w:rFonts w:cs="Arial"/>
          <w:i/>
          <w:iCs/>
          <w:sz w:val="22"/>
          <w:szCs w:val="22"/>
        </w:rPr>
        <w:t xml:space="preserve">) aquella demanda que le sea indiferente CF95/CFC y </w:t>
      </w:r>
      <w:proofErr w:type="spellStart"/>
      <w:r w:rsidRPr="00C11BBA">
        <w:rPr>
          <w:rFonts w:cs="Arial"/>
          <w:i/>
          <w:iCs/>
          <w:sz w:val="22"/>
          <w:szCs w:val="22"/>
        </w:rPr>
        <w:t>iii</w:t>
      </w:r>
      <w:proofErr w:type="spellEnd"/>
      <w:r w:rsidRPr="00C11BBA">
        <w:rPr>
          <w:rFonts w:cs="Arial"/>
          <w:i/>
          <w:iCs/>
          <w:sz w:val="22"/>
          <w:szCs w:val="22"/>
        </w:rPr>
        <w:t xml:space="preserve">) OCG. Es demasiado importante evitar la duplicidad de requerimientos en cualquier tipo de usuario. </w:t>
      </w:r>
    </w:p>
    <w:p w14:paraId="7602929E" w14:textId="77777777" w:rsidR="00CA3C32" w:rsidRPr="00C11BBA" w:rsidRDefault="00CA3C32" w:rsidP="0028726C">
      <w:pPr>
        <w:rPr>
          <w:rFonts w:cs="Arial"/>
          <w:i/>
          <w:iCs/>
          <w:sz w:val="22"/>
          <w:szCs w:val="22"/>
        </w:rPr>
      </w:pPr>
    </w:p>
    <w:p w14:paraId="390279DD" w14:textId="070C1808" w:rsidR="0028726C" w:rsidRPr="00C11BBA" w:rsidRDefault="0028726C" w:rsidP="0028726C">
      <w:pPr>
        <w:rPr>
          <w:rFonts w:cs="Arial"/>
          <w:i/>
          <w:iCs/>
          <w:sz w:val="22"/>
          <w:szCs w:val="22"/>
        </w:rPr>
      </w:pPr>
      <w:r w:rsidRPr="00C11BBA">
        <w:rPr>
          <w:rFonts w:cs="Arial"/>
          <w:i/>
          <w:iCs/>
          <w:sz w:val="22"/>
          <w:szCs w:val="22"/>
        </w:rPr>
        <w:t xml:space="preserve">Independientemente del resultado del balance contractual se dará Activación al Mecanismo Comercial. </w:t>
      </w:r>
    </w:p>
    <w:p w14:paraId="5448C721" w14:textId="77777777" w:rsidR="00CA3C32" w:rsidRPr="00C11BBA" w:rsidRDefault="00CA3C32" w:rsidP="0028726C">
      <w:pPr>
        <w:rPr>
          <w:rFonts w:cs="Arial"/>
          <w:i/>
          <w:iCs/>
          <w:sz w:val="22"/>
          <w:szCs w:val="22"/>
        </w:rPr>
      </w:pPr>
    </w:p>
    <w:p w14:paraId="2F09F358" w14:textId="662CC400" w:rsidR="0028726C" w:rsidRPr="00C11BBA" w:rsidRDefault="00B63936" w:rsidP="0028726C">
      <w:pPr>
        <w:rPr>
          <w:rFonts w:cs="Arial"/>
          <w:i/>
          <w:iCs/>
          <w:sz w:val="22"/>
          <w:szCs w:val="22"/>
        </w:rPr>
      </w:pPr>
      <w:r w:rsidRPr="00C11BBA">
        <w:rPr>
          <w:rFonts w:cs="Arial"/>
          <w:b/>
          <w:bCs/>
          <w:i/>
          <w:iCs/>
          <w:sz w:val="22"/>
          <w:szCs w:val="22"/>
        </w:rPr>
        <w:t xml:space="preserve">9.2.2 </w:t>
      </w:r>
      <w:r w:rsidR="0028726C" w:rsidRPr="00C11BBA">
        <w:rPr>
          <w:rFonts w:cs="Arial"/>
          <w:b/>
          <w:bCs/>
          <w:i/>
          <w:iCs/>
          <w:sz w:val="22"/>
          <w:szCs w:val="22"/>
        </w:rPr>
        <w:t>Activación Mecanismo Comercial</w:t>
      </w:r>
      <w:r w:rsidR="0028726C" w:rsidRPr="00C11BBA">
        <w:rPr>
          <w:rFonts w:cs="Arial"/>
          <w:i/>
          <w:iCs/>
          <w:sz w:val="22"/>
          <w:szCs w:val="22"/>
        </w:rPr>
        <w:t xml:space="preserve">. El principal objetivo de este mecanismo es la interacción de los agentes para que busquen, a través de la definición de un proceso, cómo pueden resolver: i) la colocación de oferta, </w:t>
      </w:r>
      <w:proofErr w:type="spellStart"/>
      <w:r w:rsidR="0028726C" w:rsidRPr="00C11BBA">
        <w:rPr>
          <w:rFonts w:cs="Arial"/>
          <w:i/>
          <w:iCs/>
          <w:sz w:val="22"/>
          <w:szCs w:val="22"/>
        </w:rPr>
        <w:t>ii</w:t>
      </w:r>
      <w:proofErr w:type="spellEnd"/>
      <w:r w:rsidR="0028726C" w:rsidRPr="00C11BBA">
        <w:rPr>
          <w:rFonts w:cs="Arial"/>
          <w:i/>
          <w:iCs/>
          <w:sz w:val="22"/>
          <w:szCs w:val="22"/>
        </w:rPr>
        <w:t xml:space="preserve">) la cobertura de la demanda regulada, esencial como no esencial, y no regulada, tanto esencial como no esencial, </w:t>
      </w:r>
      <w:proofErr w:type="spellStart"/>
      <w:r w:rsidR="0028726C" w:rsidRPr="00C11BBA">
        <w:rPr>
          <w:rFonts w:cs="Arial"/>
          <w:i/>
          <w:iCs/>
          <w:sz w:val="22"/>
          <w:szCs w:val="22"/>
        </w:rPr>
        <w:t>iii</w:t>
      </w:r>
      <w:proofErr w:type="spellEnd"/>
      <w:r w:rsidR="0028726C" w:rsidRPr="00C11BBA">
        <w:rPr>
          <w:rFonts w:cs="Arial"/>
          <w:i/>
          <w:iCs/>
          <w:sz w:val="22"/>
          <w:szCs w:val="22"/>
        </w:rPr>
        <w:t xml:space="preserve">) el mitigar el incremento excesivo de los precios. La propuesta de este mecanismo se origina en la experiencia que se tuvo en la evolución del proceso de comercialización de 2020 vs el de 2019 para el interior del país en las fuentes del Piedemonte, donde los agentes lograron eliminar las situaciones de subastas en 2020 en comparación con 2019. </w:t>
      </w:r>
    </w:p>
    <w:p w14:paraId="60C0510F" w14:textId="77777777" w:rsidR="00CA3C32" w:rsidRPr="00C11BBA" w:rsidRDefault="00CA3C32" w:rsidP="0028726C">
      <w:pPr>
        <w:rPr>
          <w:rFonts w:cs="Arial"/>
          <w:i/>
          <w:iCs/>
          <w:sz w:val="22"/>
          <w:szCs w:val="22"/>
        </w:rPr>
      </w:pPr>
    </w:p>
    <w:p w14:paraId="2BC94B90" w14:textId="5E682823" w:rsidR="0028726C" w:rsidRPr="00C11BBA" w:rsidRDefault="00B63936" w:rsidP="0028726C">
      <w:pPr>
        <w:rPr>
          <w:rFonts w:cs="Arial"/>
          <w:i/>
          <w:iCs/>
          <w:sz w:val="22"/>
          <w:szCs w:val="22"/>
        </w:rPr>
      </w:pPr>
      <w:r w:rsidRPr="00C11BBA">
        <w:rPr>
          <w:rFonts w:cs="Arial"/>
          <w:b/>
          <w:bCs/>
          <w:i/>
          <w:iCs/>
          <w:sz w:val="22"/>
          <w:szCs w:val="22"/>
        </w:rPr>
        <w:t xml:space="preserve">9.2.3 </w:t>
      </w:r>
      <w:r w:rsidR="0028726C" w:rsidRPr="00C11BBA">
        <w:rPr>
          <w:rFonts w:cs="Arial"/>
          <w:b/>
          <w:bCs/>
          <w:i/>
          <w:iCs/>
          <w:sz w:val="22"/>
          <w:szCs w:val="22"/>
        </w:rPr>
        <w:t>Activación Mecanismo Administrado</w:t>
      </w:r>
      <w:r w:rsidR="0028726C" w:rsidRPr="00C11BBA">
        <w:rPr>
          <w:rFonts w:cs="Arial"/>
          <w:i/>
          <w:iCs/>
          <w:sz w:val="22"/>
          <w:szCs w:val="22"/>
        </w:rPr>
        <w:t xml:space="preserve">, en caso que el mecanismo anterior determine que para algún Comprador la atención de la demanda regulada o no regulada, esencial o no Esencial, está en riesgo en alguno de los 4 trimestres siguientes, -no en un trimestre más allá del Año de Gas como lo plantea la propuesta toda vez que puede aparecer gas a futuro- dicho Comprador o Compradores harán el llamado al </w:t>
      </w:r>
      <w:r w:rsidR="005114C6" w:rsidRPr="00C11BBA">
        <w:rPr>
          <w:rFonts w:cs="Arial"/>
          <w:i/>
          <w:iCs/>
          <w:sz w:val="22"/>
          <w:szCs w:val="22"/>
        </w:rPr>
        <w:t>Gestor del Mercado</w:t>
      </w:r>
      <w:r w:rsidR="0028726C" w:rsidRPr="00C11BBA">
        <w:rPr>
          <w:rFonts w:cs="Arial"/>
          <w:i/>
          <w:iCs/>
          <w:sz w:val="22"/>
          <w:szCs w:val="22"/>
        </w:rPr>
        <w:t xml:space="preserve"> para que se active un Mecanismo Administrado de cantidades, que desde nuestro entendimiento, es la misma activación del Estatuto de Racionamiento. En conjunto con la CREG, y en cumplimiento del Parágrafo 2 del artículo 2.2.2.2.16 del Decreto 1073 de 2015, el Gestor diseñará el mecanismo de asignación de cantidades donde deberá tenerse en cuenta que: </w:t>
      </w:r>
    </w:p>
    <w:p w14:paraId="11135FAB" w14:textId="77777777" w:rsidR="00CA3C32" w:rsidRPr="00C11BBA" w:rsidRDefault="00CA3C32" w:rsidP="0028726C">
      <w:pPr>
        <w:rPr>
          <w:rFonts w:cs="Arial"/>
          <w:i/>
          <w:iCs/>
          <w:sz w:val="22"/>
          <w:szCs w:val="22"/>
        </w:rPr>
      </w:pPr>
    </w:p>
    <w:p w14:paraId="6464AFEC" w14:textId="4CF2938D" w:rsidR="0028726C" w:rsidRPr="00C11BBA" w:rsidRDefault="0028726C" w:rsidP="0028726C">
      <w:pPr>
        <w:rPr>
          <w:rFonts w:cs="Arial"/>
          <w:i/>
          <w:iCs/>
          <w:sz w:val="22"/>
          <w:szCs w:val="22"/>
        </w:rPr>
      </w:pPr>
      <w:r w:rsidRPr="00C11BBA">
        <w:rPr>
          <w:rFonts w:cs="Arial"/>
          <w:i/>
          <w:iCs/>
          <w:sz w:val="22"/>
          <w:szCs w:val="22"/>
        </w:rPr>
        <w:t xml:space="preserve">- el Productor no provee Precios de Reserva </w:t>
      </w:r>
    </w:p>
    <w:p w14:paraId="05BDDE0F" w14:textId="77777777" w:rsidR="0028726C" w:rsidRPr="00C11BBA" w:rsidRDefault="0028726C" w:rsidP="0028726C">
      <w:pPr>
        <w:rPr>
          <w:rFonts w:cs="Arial"/>
          <w:i/>
          <w:iCs/>
          <w:sz w:val="22"/>
          <w:szCs w:val="22"/>
        </w:rPr>
      </w:pPr>
      <w:r w:rsidRPr="00C11BBA">
        <w:rPr>
          <w:rFonts w:cs="Arial"/>
          <w:i/>
          <w:iCs/>
          <w:sz w:val="22"/>
          <w:szCs w:val="22"/>
        </w:rPr>
        <w:t xml:space="preserve">- hay una asignación de cantidades de gas, en función de la oferta disponible, a los distintos segmentos de la demanda - los precios deberán ser regulados, según el costo de racionamiento de cada segmento de mercado (GNV, industria, comercial, refinerías, residencial, entre otros, según el costo al cual cada tipo de usuario prefiere desconectarse) </w:t>
      </w:r>
    </w:p>
    <w:p w14:paraId="3E951EEF" w14:textId="77777777" w:rsidR="00CA3C32" w:rsidRPr="00C11BBA" w:rsidRDefault="00CA3C32" w:rsidP="0028726C">
      <w:pPr>
        <w:rPr>
          <w:rFonts w:cs="Arial"/>
          <w:i/>
          <w:iCs/>
          <w:sz w:val="22"/>
          <w:szCs w:val="22"/>
        </w:rPr>
      </w:pPr>
    </w:p>
    <w:p w14:paraId="5FFC9973" w14:textId="2F49D5A0" w:rsidR="0028726C" w:rsidRPr="0028726C" w:rsidRDefault="0028726C" w:rsidP="0028726C">
      <w:pPr>
        <w:rPr>
          <w:rFonts w:cs="Arial"/>
          <w:sz w:val="22"/>
          <w:szCs w:val="22"/>
        </w:rPr>
      </w:pPr>
      <w:r w:rsidRPr="00C11BBA">
        <w:rPr>
          <w:rFonts w:cs="Arial"/>
          <w:i/>
          <w:iCs/>
          <w:sz w:val="22"/>
          <w:szCs w:val="22"/>
        </w:rPr>
        <w:t xml:space="preserve">La propuesta tiene como incentivo que los agentes del mercado, Compradores y </w:t>
      </w:r>
      <w:proofErr w:type="gramStart"/>
      <w:r w:rsidRPr="00C11BBA">
        <w:rPr>
          <w:rFonts w:cs="Arial"/>
          <w:i/>
          <w:iCs/>
          <w:sz w:val="22"/>
          <w:szCs w:val="22"/>
        </w:rPr>
        <w:t>Vendedores,</w:t>
      </w:r>
      <w:proofErr w:type="gramEnd"/>
      <w:r w:rsidRPr="00C11BBA">
        <w:rPr>
          <w:rFonts w:cs="Arial"/>
          <w:i/>
          <w:iCs/>
          <w:sz w:val="22"/>
          <w:szCs w:val="22"/>
        </w:rPr>
        <w:t xml:space="preserve"> eviten llegar al Mecanismo Administrado</w:t>
      </w:r>
      <w:r w:rsidRPr="0028726C">
        <w:rPr>
          <w:rFonts w:cs="Arial"/>
          <w:sz w:val="22"/>
          <w:szCs w:val="22"/>
        </w:rPr>
        <w:t>. "</w:t>
      </w:r>
    </w:p>
    <w:p w14:paraId="5380E1F4" w14:textId="77777777" w:rsidR="00CA3C32" w:rsidRDefault="00CA3C32" w:rsidP="0028726C">
      <w:pPr>
        <w:rPr>
          <w:rFonts w:cs="Arial"/>
          <w:sz w:val="22"/>
          <w:szCs w:val="22"/>
        </w:rPr>
      </w:pPr>
    </w:p>
    <w:p w14:paraId="00B3554F" w14:textId="24CE9B63" w:rsidR="00B63936" w:rsidRPr="00C11BBA" w:rsidRDefault="00C11BBA" w:rsidP="0028726C">
      <w:pPr>
        <w:rPr>
          <w:rFonts w:cs="Arial"/>
          <w:b/>
          <w:bCs/>
          <w:sz w:val="22"/>
          <w:szCs w:val="22"/>
        </w:rPr>
      </w:pPr>
      <w:r w:rsidRPr="00C11BBA">
        <w:rPr>
          <w:rFonts w:cs="Arial"/>
          <w:b/>
          <w:bCs/>
          <w:sz w:val="22"/>
          <w:szCs w:val="22"/>
        </w:rPr>
        <w:t>Respuesta:</w:t>
      </w:r>
    </w:p>
    <w:p w14:paraId="2242C8E0" w14:textId="77777777" w:rsidR="00C11BBA" w:rsidRDefault="00C11BBA" w:rsidP="0028726C">
      <w:pPr>
        <w:rPr>
          <w:rFonts w:cs="Arial"/>
          <w:sz w:val="22"/>
          <w:szCs w:val="22"/>
        </w:rPr>
      </w:pPr>
    </w:p>
    <w:p w14:paraId="1B4F01FF" w14:textId="455AD2FB" w:rsidR="00C11BBA" w:rsidRDefault="00C11BBA" w:rsidP="0028726C">
      <w:pPr>
        <w:rPr>
          <w:rFonts w:cs="Arial"/>
          <w:sz w:val="22"/>
          <w:szCs w:val="22"/>
        </w:rPr>
      </w:pPr>
      <w:r>
        <w:rPr>
          <w:rFonts w:cs="Arial"/>
          <w:sz w:val="22"/>
          <w:szCs w:val="22"/>
        </w:rPr>
        <w:t>No se acoge el comentario.</w:t>
      </w:r>
    </w:p>
    <w:p w14:paraId="2A294C0F" w14:textId="77777777" w:rsidR="00C11BBA" w:rsidRDefault="00C11BBA" w:rsidP="0028726C">
      <w:pPr>
        <w:rPr>
          <w:rFonts w:cs="Arial"/>
          <w:sz w:val="22"/>
          <w:szCs w:val="22"/>
        </w:rPr>
      </w:pPr>
    </w:p>
    <w:p w14:paraId="4C7F3644" w14:textId="1A99B0B8" w:rsidR="003779D5" w:rsidRDefault="0059408F" w:rsidP="0028726C">
      <w:pPr>
        <w:rPr>
          <w:rFonts w:cs="Arial"/>
          <w:sz w:val="22"/>
          <w:szCs w:val="22"/>
        </w:rPr>
      </w:pPr>
      <w:r>
        <w:rPr>
          <w:rFonts w:cs="Arial"/>
          <w:sz w:val="22"/>
          <w:szCs w:val="22"/>
        </w:rPr>
        <w:t xml:space="preserve">En el comentario se hace mención de que en la propuesta inicial </w:t>
      </w:r>
      <w:r w:rsidR="003779D5">
        <w:rPr>
          <w:rFonts w:cs="Arial"/>
          <w:sz w:val="22"/>
          <w:szCs w:val="22"/>
        </w:rPr>
        <w:t>“(…)</w:t>
      </w:r>
      <w:r w:rsidR="003779D5" w:rsidRPr="00C11BBA">
        <w:rPr>
          <w:rFonts w:cs="Arial"/>
          <w:i/>
          <w:iCs/>
          <w:sz w:val="22"/>
          <w:szCs w:val="22"/>
        </w:rPr>
        <w:t>-no en un trimestre más allá del Año de Gas como lo plantea la propuesta toda vez que puede aparecer gas a futuro</w:t>
      </w:r>
      <w:proofErr w:type="gramStart"/>
      <w:r w:rsidR="003779D5" w:rsidRPr="00C11BBA">
        <w:rPr>
          <w:rFonts w:cs="Arial"/>
          <w:i/>
          <w:iCs/>
          <w:sz w:val="22"/>
          <w:szCs w:val="22"/>
        </w:rPr>
        <w:t>-</w:t>
      </w:r>
      <w:r w:rsidR="003779D5">
        <w:rPr>
          <w:rFonts w:cs="Arial"/>
          <w:i/>
          <w:iCs/>
          <w:sz w:val="22"/>
          <w:szCs w:val="22"/>
        </w:rPr>
        <w:t>“</w:t>
      </w:r>
      <w:proofErr w:type="gramEnd"/>
      <w:r w:rsidR="003779D5">
        <w:rPr>
          <w:rFonts w:cs="Arial"/>
          <w:i/>
          <w:iCs/>
          <w:sz w:val="22"/>
          <w:szCs w:val="22"/>
        </w:rPr>
        <w:t>, l</w:t>
      </w:r>
      <w:r w:rsidR="003779D5" w:rsidRPr="003779D5">
        <w:rPr>
          <w:rFonts w:cs="Arial"/>
          <w:sz w:val="22"/>
          <w:szCs w:val="22"/>
        </w:rPr>
        <w:t xml:space="preserve">o cual es equivocado. </w:t>
      </w:r>
      <w:r w:rsidR="003779D5">
        <w:rPr>
          <w:rFonts w:cs="Arial"/>
          <w:sz w:val="22"/>
          <w:szCs w:val="22"/>
        </w:rPr>
        <w:t>Esto es fundamental en la propuesta.</w:t>
      </w:r>
    </w:p>
    <w:p w14:paraId="23B2E30C" w14:textId="77777777" w:rsidR="003779D5" w:rsidRDefault="003779D5" w:rsidP="0028726C">
      <w:pPr>
        <w:rPr>
          <w:rFonts w:cs="Arial"/>
          <w:sz w:val="22"/>
          <w:szCs w:val="22"/>
        </w:rPr>
      </w:pPr>
    </w:p>
    <w:p w14:paraId="7700FE81" w14:textId="4751AEFC" w:rsidR="00C11BBA" w:rsidRPr="003779D5" w:rsidRDefault="003779D5" w:rsidP="0028726C">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Pr>
          <w:rFonts w:cs="Arial"/>
          <w:sz w:val="22"/>
          <w:szCs w:val="22"/>
        </w:rPr>
        <w:t xml:space="preserve"> y respuesta </w:t>
      </w:r>
      <w:r>
        <w:rPr>
          <w:rFonts w:cs="Arial"/>
          <w:sz w:val="22"/>
          <w:szCs w:val="22"/>
        </w:rPr>
        <w:fldChar w:fldCharType="begin"/>
      </w:r>
      <w:r>
        <w:rPr>
          <w:rFonts w:cs="Arial"/>
          <w:sz w:val="22"/>
          <w:szCs w:val="22"/>
        </w:rPr>
        <w:instrText xml:space="preserve"> REF _Ref132710533 \r \h </w:instrText>
      </w:r>
      <w:r>
        <w:rPr>
          <w:rFonts w:cs="Arial"/>
          <w:sz w:val="22"/>
          <w:szCs w:val="22"/>
        </w:rPr>
      </w:r>
      <w:r>
        <w:rPr>
          <w:rFonts w:cs="Arial"/>
          <w:sz w:val="22"/>
          <w:szCs w:val="22"/>
        </w:rPr>
        <w:fldChar w:fldCharType="separate"/>
      </w:r>
      <w:r>
        <w:rPr>
          <w:rFonts w:cs="Arial"/>
          <w:sz w:val="22"/>
          <w:szCs w:val="22"/>
        </w:rPr>
        <w:t>19.28.1.11</w:t>
      </w:r>
      <w:r>
        <w:rPr>
          <w:rFonts w:cs="Arial"/>
          <w:sz w:val="22"/>
          <w:szCs w:val="22"/>
        </w:rPr>
        <w:fldChar w:fldCharType="end"/>
      </w:r>
      <w:r>
        <w:rPr>
          <w:rFonts w:cs="Arial"/>
          <w:sz w:val="22"/>
          <w:szCs w:val="22"/>
        </w:rPr>
        <w:t>, entre otras.</w:t>
      </w:r>
    </w:p>
    <w:p w14:paraId="468FA8D5" w14:textId="77777777" w:rsidR="00C11BBA" w:rsidRDefault="00C11BBA" w:rsidP="0028726C">
      <w:pPr>
        <w:rPr>
          <w:rFonts w:cs="Arial"/>
          <w:sz w:val="22"/>
          <w:szCs w:val="22"/>
        </w:rPr>
      </w:pPr>
    </w:p>
    <w:p w14:paraId="75C066BE" w14:textId="77777777" w:rsidR="00B63936" w:rsidRDefault="00B63936" w:rsidP="0028726C">
      <w:pPr>
        <w:rPr>
          <w:rFonts w:cs="Arial"/>
          <w:sz w:val="22"/>
          <w:szCs w:val="22"/>
        </w:rPr>
      </w:pPr>
    </w:p>
    <w:p w14:paraId="661F76BC" w14:textId="77777777" w:rsidR="00CA3C32" w:rsidRDefault="0028726C" w:rsidP="00F23443">
      <w:pPr>
        <w:pStyle w:val="Ttulo4"/>
      </w:pPr>
      <w:r w:rsidRPr="0028726C">
        <w:t>VANTI</w:t>
      </w:r>
      <w:r w:rsidRPr="0028726C">
        <w:tab/>
      </w:r>
    </w:p>
    <w:p w14:paraId="7897ACDC" w14:textId="1294A8F9" w:rsidR="0028726C" w:rsidRPr="003779D5" w:rsidRDefault="007C4CEC" w:rsidP="0028726C">
      <w:pPr>
        <w:rPr>
          <w:rFonts w:cs="Arial"/>
          <w:i/>
          <w:iCs/>
          <w:sz w:val="22"/>
          <w:szCs w:val="22"/>
        </w:rPr>
      </w:pPr>
      <w:r>
        <w:rPr>
          <w:rFonts w:cs="Arial"/>
          <w:i/>
          <w:iCs/>
          <w:sz w:val="22"/>
          <w:szCs w:val="22"/>
        </w:rPr>
        <w:t>“</w:t>
      </w:r>
      <w:r w:rsidR="0028726C" w:rsidRPr="003779D5">
        <w:rPr>
          <w:rFonts w:cs="Arial"/>
          <w:i/>
          <w:iCs/>
          <w:sz w:val="22"/>
          <w:szCs w:val="22"/>
        </w:rPr>
        <w:t>Declaración de la oferta PTDVF y CIVDF por parte de los Vendedores: Resulta inadecuado hacerlo por tipología de contratos (CF95, CFC, OCG), fraccionar la oferta incrementa la probabilidad de caer en la ejecución de subastas. Puede ocurrir que el Vendedor saque una cantidad de oferta en OCG que no tenga demanda asociada y que en paralelo se genere un déficit en la oferta de CF95. Se sugiere que la oferta se declare sin especificar la tipología de contratos.</w:t>
      </w:r>
      <w:r w:rsidR="00FB5737">
        <w:rPr>
          <w:rFonts w:cs="Arial"/>
          <w:i/>
          <w:iCs/>
          <w:sz w:val="22"/>
          <w:szCs w:val="22"/>
        </w:rPr>
        <w:t>”</w:t>
      </w:r>
      <w:r w:rsidR="0028726C" w:rsidRPr="003779D5">
        <w:rPr>
          <w:rFonts w:cs="Arial"/>
          <w:i/>
          <w:iCs/>
          <w:sz w:val="22"/>
          <w:szCs w:val="22"/>
        </w:rPr>
        <w:t xml:space="preserve"> </w:t>
      </w:r>
    </w:p>
    <w:p w14:paraId="691DF8A5" w14:textId="77777777" w:rsidR="003779D5" w:rsidRDefault="003779D5" w:rsidP="0028726C">
      <w:pPr>
        <w:rPr>
          <w:rFonts w:cs="Arial"/>
          <w:sz w:val="22"/>
          <w:szCs w:val="22"/>
        </w:rPr>
      </w:pPr>
    </w:p>
    <w:p w14:paraId="3CC163A3" w14:textId="39B26FC8" w:rsidR="003779D5" w:rsidRPr="003779D5" w:rsidRDefault="003779D5" w:rsidP="0028726C">
      <w:pPr>
        <w:rPr>
          <w:rFonts w:cs="Arial"/>
          <w:b/>
          <w:bCs/>
          <w:sz w:val="22"/>
          <w:szCs w:val="22"/>
        </w:rPr>
      </w:pPr>
      <w:r w:rsidRPr="003779D5">
        <w:rPr>
          <w:rFonts w:cs="Arial"/>
          <w:b/>
          <w:bCs/>
          <w:sz w:val="22"/>
          <w:szCs w:val="22"/>
        </w:rPr>
        <w:t>Respuesta:</w:t>
      </w:r>
    </w:p>
    <w:p w14:paraId="2B37753B" w14:textId="77777777" w:rsidR="003779D5" w:rsidRDefault="003779D5" w:rsidP="0028726C">
      <w:pPr>
        <w:rPr>
          <w:rFonts w:cs="Arial"/>
          <w:sz w:val="22"/>
          <w:szCs w:val="22"/>
        </w:rPr>
      </w:pPr>
    </w:p>
    <w:p w14:paraId="371C349E" w14:textId="2CA58ADA" w:rsidR="00B63936" w:rsidRDefault="003779D5"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_Ref132710618 \r \h </w:instrText>
      </w:r>
      <w:r>
        <w:rPr>
          <w:rFonts w:cs="Arial"/>
          <w:sz w:val="22"/>
          <w:szCs w:val="22"/>
        </w:rPr>
      </w:r>
      <w:r>
        <w:rPr>
          <w:rFonts w:cs="Arial"/>
          <w:sz w:val="22"/>
          <w:szCs w:val="22"/>
        </w:rPr>
        <w:fldChar w:fldCharType="separate"/>
      </w:r>
      <w:r>
        <w:rPr>
          <w:rFonts w:cs="Arial"/>
          <w:sz w:val="22"/>
          <w:szCs w:val="22"/>
        </w:rPr>
        <w:t>19.28.1.12</w:t>
      </w:r>
      <w:r>
        <w:rPr>
          <w:rFonts w:cs="Arial"/>
          <w:sz w:val="22"/>
          <w:szCs w:val="22"/>
        </w:rPr>
        <w:fldChar w:fldCharType="end"/>
      </w:r>
      <w:r>
        <w:rPr>
          <w:rFonts w:cs="Arial"/>
          <w:sz w:val="22"/>
          <w:szCs w:val="22"/>
        </w:rPr>
        <w:t>.</w:t>
      </w:r>
    </w:p>
    <w:p w14:paraId="43787CAA" w14:textId="77777777" w:rsidR="00B63936" w:rsidRPr="0028726C" w:rsidRDefault="00B63936" w:rsidP="0028726C">
      <w:pPr>
        <w:rPr>
          <w:rFonts w:cs="Arial"/>
          <w:sz w:val="22"/>
          <w:szCs w:val="22"/>
        </w:rPr>
      </w:pPr>
    </w:p>
    <w:p w14:paraId="0538872A" w14:textId="77777777" w:rsidR="00CA3C32" w:rsidRDefault="00CA3C32" w:rsidP="0028726C">
      <w:pPr>
        <w:rPr>
          <w:rFonts w:cs="Arial"/>
          <w:sz w:val="22"/>
          <w:szCs w:val="22"/>
        </w:rPr>
      </w:pPr>
    </w:p>
    <w:p w14:paraId="4F26D61C" w14:textId="77777777" w:rsidR="00CA3C32" w:rsidRDefault="0028726C" w:rsidP="00F23443">
      <w:pPr>
        <w:pStyle w:val="Ttulo4"/>
      </w:pPr>
      <w:r w:rsidRPr="0028726C">
        <w:t>VANTI</w:t>
      </w:r>
      <w:r w:rsidRPr="0028726C">
        <w:tab/>
      </w:r>
    </w:p>
    <w:p w14:paraId="4C0291A6" w14:textId="1EA284B1" w:rsidR="0028726C" w:rsidRDefault="0028726C" w:rsidP="0028726C">
      <w:pPr>
        <w:rPr>
          <w:rFonts w:cs="Arial"/>
          <w:sz w:val="22"/>
          <w:szCs w:val="22"/>
        </w:rPr>
      </w:pPr>
      <w:r w:rsidRPr="0028726C">
        <w:rPr>
          <w:rFonts w:cs="Arial"/>
          <w:sz w:val="22"/>
          <w:szCs w:val="22"/>
        </w:rPr>
        <w:t>"</w:t>
      </w:r>
      <w:r w:rsidRPr="003779D5">
        <w:rPr>
          <w:rFonts w:cs="Arial"/>
          <w:i/>
          <w:iCs/>
          <w:sz w:val="22"/>
          <w:szCs w:val="22"/>
        </w:rPr>
        <w:t>No es factible que los Compradores declararen solicitudes de gas, sean vinculantes o no, sin tener una señal de precio por parte de los Vendedores. Por ejemplo, para el caso de las solicitudes de gas que se hicieran para GNV ¿cómo se sabrá si la oferta de gas del numeral anterior es un producto con competitividad frente a la gasolina? igualmente, para el sector industrial y sustitutos como el GLP; nótese que al no saber el precio, y hacer solicitudes, pero luego darse cuenta que el precio no le permite vender en la estación del servicio con competitividad frente a la gasolina, se pudo generar una subasta innecesaria, no se debieron hacer solicitudes para GNV."</w:t>
      </w:r>
    </w:p>
    <w:p w14:paraId="7328E45E" w14:textId="77777777" w:rsidR="003779D5" w:rsidRDefault="003779D5" w:rsidP="0028726C">
      <w:pPr>
        <w:rPr>
          <w:rFonts w:cs="Arial"/>
          <w:sz w:val="22"/>
          <w:szCs w:val="22"/>
        </w:rPr>
      </w:pPr>
    </w:p>
    <w:p w14:paraId="2E120E22" w14:textId="24AD48F6" w:rsidR="003779D5" w:rsidRPr="003779D5" w:rsidRDefault="003779D5" w:rsidP="0028726C">
      <w:pPr>
        <w:rPr>
          <w:rFonts w:cs="Arial"/>
          <w:b/>
          <w:bCs/>
          <w:sz w:val="22"/>
          <w:szCs w:val="22"/>
        </w:rPr>
      </w:pPr>
      <w:r w:rsidRPr="003779D5">
        <w:rPr>
          <w:rFonts w:cs="Arial"/>
          <w:b/>
          <w:bCs/>
          <w:sz w:val="22"/>
          <w:szCs w:val="22"/>
        </w:rPr>
        <w:t>Respuesta:</w:t>
      </w:r>
    </w:p>
    <w:p w14:paraId="4D492F99" w14:textId="77777777" w:rsidR="003779D5" w:rsidRDefault="003779D5" w:rsidP="0028726C">
      <w:pPr>
        <w:rPr>
          <w:rFonts w:cs="Arial"/>
          <w:sz w:val="22"/>
          <w:szCs w:val="22"/>
        </w:rPr>
      </w:pPr>
    </w:p>
    <w:p w14:paraId="0CB9CF6D" w14:textId="7DABDF56" w:rsidR="003779D5" w:rsidRDefault="008F616F" w:rsidP="0028726C">
      <w:pPr>
        <w:rPr>
          <w:rFonts w:cs="Arial"/>
          <w:sz w:val="22"/>
          <w:szCs w:val="22"/>
        </w:rPr>
      </w:pPr>
      <w:r>
        <w:rPr>
          <w:rFonts w:cs="Arial"/>
          <w:sz w:val="22"/>
          <w:szCs w:val="22"/>
        </w:rPr>
        <w:t>Se acoge el comentario parcialmente.</w:t>
      </w:r>
    </w:p>
    <w:p w14:paraId="3954119D" w14:textId="77777777" w:rsidR="008F616F" w:rsidRDefault="008F616F" w:rsidP="0028726C">
      <w:pPr>
        <w:rPr>
          <w:rFonts w:cs="Arial"/>
          <w:sz w:val="22"/>
          <w:szCs w:val="22"/>
        </w:rPr>
      </w:pPr>
    </w:p>
    <w:p w14:paraId="4E3A1B87" w14:textId="0CB7AD11" w:rsidR="00F80CF8" w:rsidRDefault="008F616F" w:rsidP="0028726C">
      <w:pPr>
        <w:rPr>
          <w:rFonts w:cs="Arial"/>
          <w:sz w:val="22"/>
          <w:szCs w:val="22"/>
        </w:rPr>
      </w:pPr>
      <w:r w:rsidRPr="00F80CF8">
        <w:rPr>
          <w:rFonts w:cs="Arial"/>
          <w:sz w:val="22"/>
          <w:szCs w:val="22"/>
        </w:rPr>
        <w:t xml:space="preserve">En la nueva propuesta </w:t>
      </w:r>
      <w:r w:rsidR="00FB1AEF" w:rsidRPr="00F80CF8">
        <w:rPr>
          <w:rFonts w:cs="Arial"/>
          <w:sz w:val="22"/>
          <w:szCs w:val="22"/>
        </w:rPr>
        <w:t xml:space="preserve">los compradores del Mercado Primario podrán declarar en la primera instancia ante el Gestor del Mercado, las cantidades máximas que solicitan para atender cualquier tipo de sector de la demanda y en la segunda instancia podrán cambiar dichas cantidades, excepto para el caso de la Demanda Esencial de usuarios regulados. </w:t>
      </w:r>
      <w:r w:rsidR="00F80CF8">
        <w:rPr>
          <w:rFonts w:cs="Arial"/>
          <w:sz w:val="22"/>
          <w:szCs w:val="22"/>
        </w:rPr>
        <w:t>En complemento de ello, los usuarios no regulados que hacen parte de la Demanda Esencial, o quienes los atiendan, podrán diferenciar las cantidades requeridas en la segunda instancia, entre aquellas que definitivamente requieren priorización por parte del Gestor del Mercado en caso de que se encuentre un balance comercial deficitario y que utilizarán el precio de cierre de la subasta y las cantidades que no requieren priorización con disposición a acudir a la subasta para asignación de cantidades. Ahora, se corre el riesgo para estas cantidades de que finalmente las cantidades PTDVF/CIDVF de ese punto de referencia con balance comercial deficitario, no sean suficientes ni siquiera para atender la totalidad de las cantidades requeridas de la Demanda Esencial de usuarios regulados y no regulados que pidieron priorización de cantidades.</w:t>
      </w:r>
    </w:p>
    <w:p w14:paraId="0B0CFFA2" w14:textId="77777777" w:rsidR="00E049E0" w:rsidRDefault="00E049E0" w:rsidP="0028726C">
      <w:pPr>
        <w:rPr>
          <w:rFonts w:cs="Arial"/>
          <w:sz w:val="22"/>
          <w:szCs w:val="22"/>
        </w:rPr>
      </w:pPr>
    </w:p>
    <w:p w14:paraId="11F14DD6" w14:textId="5690C61C" w:rsidR="00FB1AEF" w:rsidRDefault="00FB1AEF" w:rsidP="0028726C">
      <w:pPr>
        <w:rPr>
          <w:rFonts w:cs="Arial"/>
          <w:sz w:val="22"/>
          <w:szCs w:val="22"/>
        </w:rPr>
      </w:pPr>
      <w:r w:rsidRPr="00F80CF8">
        <w:rPr>
          <w:rFonts w:cs="Arial"/>
          <w:sz w:val="22"/>
          <w:szCs w:val="22"/>
        </w:rPr>
        <w:t xml:space="preserve">Se debe tener en cuenta que la subasta centralizada </w:t>
      </w:r>
      <w:r w:rsidR="00F80CF8">
        <w:rPr>
          <w:rFonts w:cs="Arial"/>
          <w:sz w:val="22"/>
          <w:szCs w:val="22"/>
        </w:rPr>
        <w:t>aplica</w:t>
      </w:r>
      <w:r w:rsidRPr="00F80CF8">
        <w:rPr>
          <w:rFonts w:cs="Arial"/>
          <w:sz w:val="22"/>
          <w:szCs w:val="22"/>
        </w:rPr>
        <w:t xml:space="preserve"> cuando se deben </w:t>
      </w:r>
      <w:r w:rsidR="00F80CF8">
        <w:rPr>
          <w:rFonts w:cs="Arial"/>
          <w:sz w:val="22"/>
          <w:szCs w:val="22"/>
        </w:rPr>
        <w:t>utilizar</w:t>
      </w:r>
      <w:r w:rsidRPr="00F80CF8">
        <w:rPr>
          <w:rFonts w:cs="Arial"/>
          <w:sz w:val="22"/>
          <w:szCs w:val="22"/>
        </w:rPr>
        <w:t xml:space="preserve"> los mecanismos de comercialización establecidos por la CREG. En los demás casos, se especifica la manera de proceder con respecto al precio a aplicar a la Demanda Esencial priorizada cuando se aplican mecanismos de comercialización establecidos por los vendedores.</w:t>
      </w:r>
    </w:p>
    <w:p w14:paraId="44467630" w14:textId="77777777" w:rsidR="00FB1AEF" w:rsidRPr="0028726C" w:rsidRDefault="00FB1AEF" w:rsidP="0028726C">
      <w:pPr>
        <w:rPr>
          <w:rFonts w:cs="Arial"/>
          <w:sz w:val="22"/>
          <w:szCs w:val="22"/>
        </w:rPr>
      </w:pPr>
    </w:p>
    <w:p w14:paraId="72DBEE43" w14:textId="77777777" w:rsidR="00CA3C32" w:rsidRDefault="00CA3C32" w:rsidP="0028726C">
      <w:pPr>
        <w:rPr>
          <w:rFonts w:cs="Arial"/>
          <w:sz w:val="22"/>
          <w:szCs w:val="22"/>
        </w:rPr>
      </w:pPr>
    </w:p>
    <w:p w14:paraId="5604B6D5" w14:textId="77777777" w:rsidR="00F23443" w:rsidRDefault="0028726C" w:rsidP="00F23443">
      <w:pPr>
        <w:pStyle w:val="Ttulo4"/>
      </w:pPr>
      <w:r w:rsidRPr="0028726C">
        <w:t>VANTI</w:t>
      </w:r>
      <w:r w:rsidRPr="0028726C">
        <w:tab/>
      </w:r>
    </w:p>
    <w:p w14:paraId="199A66D9" w14:textId="258E0FE6" w:rsidR="0028726C" w:rsidRPr="009A4269" w:rsidRDefault="0028726C" w:rsidP="0028726C">
      <w:pPr>
        <w:rPr>
          <w:rFonts w:cs="Arial"/>
          <w:i/>
          <w:iCs/>
          <w:sz w:val="22"/>
          <w:szCs w:val="22"/>
        </w:rPr>
      </w:pPr>
      <w:r w:rsidRPr="0028726C">
        <w:rPr>
          <w:rFonts w:cs="Arial"/>
          <w:sz w:val="22"/>
          <w:szCs w:val="22"/>
        </w:rPr>
        <w:t>"</w:t>
      </w:r>
      <w:r w:rsidRPr="009A4269">
        <w:rPr>
          <w:rFonts w:cs="Arial"/>
          <w:i/>
          <w:iCs/>
          <w:sz w:val="22"/>
          <w:szCs w:val="22"/>
        </w:rPr>
        <w:t xml:space="preserve">En el taller realizado el viernes 29 de abril la Comisión mencionó que no se incorporó esta señal de precio porque hoy en las negociaciones directas no funciona de esta manera. Esto es errado, ya que hoy por ejemplo para el caso del interior, los agentes que quieran participar en el proceso de comercialización de Ecopetrol S.A. envían una Manifestación de Interés no vinculante, sin especificar aún nada de requerimientos de cantidades de gas; con dicha Manifestación el Productor le entrega la señal de precio; posteriormente el Comprador, si así lo decide de acuerdo con esta señal, hace entrega de un paquete de solicitudes de gas vinculante a través de la firma de una Oferta Mercantil; en los años 2020 y 2021 incluía una serie de reglas de solicitar mínimos y máximos, y según las solicitudes de todos los agentes, en un tipo de esquema colaborativo, podía derivar, o no, en subastas. </w:t>
      </w:r>
    </w:p>
    <w:p w14:paraId="19F47D58" w14:textId="77777777" w:rsidR="00B63936" w:rsidRPr="009A4269" w:rsidRDefault="00B63936" w:rsidP="0028726C">
      <w:pPr>
        <w:rPr>
          <w:rFonts w:cs="Arial"/>
          <w:i/>
          <w:iCs/>
          <w:sz w:val="22"/>
          <w:szCs w:val="22"/>
        </w:rPr>
      </w:pPr>
    </w:p>
    <w:p w14:paraId="536848A1" w14:textId="6B411051" w:rsidR="0028726C" w:rsidRPr="009A4269" w:rsidRDefault="0028726C" w:rsidP="0028726C">
      <w:pPr>
        <w:rPr>
          <w:rFonts w:cs="Arial"/>
          <w:i/>
          <w:iCs/>
          <w:sz w:val="22"/>
          <w:szCs w:val="22"/>
        </w:rPr>
      </w:pPr>
      <w:r w:rsidRPr="009A4269">
        <w:rPr>
          <w:rFonts w:cs="Arial"/>
          <w:i/>
          <w:iCs/>
          <w:sz w:val="22"/>
          <w:szCs w:val="22"/>
        </w:rPr>
        <w:t>Es este el tipo de mecanismos a los que nos referimos, que la Comisión deje en una primera instancia que los agentes se reten a resolver su cierre de balance, y solo llegar a un mecanismo administrado cuando, posterior a intentar el cierre bajo un mecanismo comercial, un agente del Punto de Referencia manifieste que tiene el riesgo de no atender Demanda Esencial."</w:t>
      </w:r>
    </w:p>
    <w:p w14:paraId="5AEE755F" w14:textId="77777777" w:rsidR="009A4269" w:rsidRDefault="009A4269" w:rsidP="0028726C">
      <w:pPr>
        <w:rPr>
          <w:rFonts w:cs="Arial"/>
          <w:sz w:val="22"/>
          <w:szCs w:val="22"/>
        </w:rPr>
      </w:pPr>
    </w:p>
    <w:p w14:paraId="399E9D87" w14:textId="23BC0925" w:rsidR="009A4269" w:rsidRPr="009A4269" w:rsidRDefault="009A4269" w:rsidP="0028726C">
      <w:pPr>
        <w:rPr>
          <w:rFonts w:cs="Arial"/>
          <w:b/>
          <w:bCs/>
          <w:sz w:val="22"/>
          <w:szCs w:val="22"/>
        </w:rPr>
      </w:pPr>
      <w:r w:rsidRPr="009A4269">
        <w:rPr>
          <w:rFonts w:cs="Arial"/>
          <w:b/>
          <w:bCs/>
          <w:sz w:val="22"/>
          <w:szCs w:val="22"/>
        </w:rPr>
        <w:t>Respuesta:</w:t>
      </w:r>
    </w:p>
    <w:p w14:paraId="3FC80EF9" w14:textId="77777777" w:rsidR="009A4269" w:rsidRDefault="009A4269" w:rsidP="0028726C">
      <w:pPr>
        <w:rPr>
          <w:rFonts w:cs="Arial"/>
          <w:sz w:val="22"/>
          <w:szCs w:val="22"/>
        </w:rPr>
      </w:pPr>
    </w:p>
    <w:p w14:paraId="786CCC6A" w14:textId="213CAB5F" w:rsidR="00AB1088" w:rsidRDefault="00AB1088" w:rsidP="00AB1088">
      <w:pPr>
        <w:rPr>
          <w:rFonts w:cs="Arial"/>
          <w:sz w:val="22"/>
          <w:szCs w:val="22"/>
        </w:rPr>
      </w:pPr>
      <w:r w:rsidRPr="003236A6">
        <w:rPr>
          <w:rFonts w:cs="Arial"/>
          <w:sz w:val="22"/>
          <w:szCs w:val="22"/>
        </w:rPr>
        <w:t xml:space="preserve">Ver numeral </w:t>
      </w:r>
      <w:r>
        <w:rPr>
          <w:rFonts w:cs="Arial"/>
          <w:sz w:val="22"/>
          <w:szCs w:val="22"/>
        </w:rPr>
        <w:fldChar w:fldCharType="begin"/>
      </w:r>
      <w:r>
        <w:rPr>
          <w:rFonts w:cs="Arial"/>
          <w:sz w:val="22"/>
          <w:szCs w:val="22"/>
        </w:rPr>
        <w:instrText xml:space="preserve"> REF _Ref130286441 \r \h </w:instrText>
      </w:r>
      <w:r>
        <w:rPr>
          <w:rFonts w:cs="Arial"/>
          <w:sz w:val="22"/>
          <w:szCs w:val="22"/>
        </w:rPr>
      </w:r>
      <w:r>
        <w:rPr>
          <w:rFonts w:cs="Arial"/>
          <w:sz w:val="22"/>
          <w:szCs w:val="22"/>
        </w:rPr>
        <w:fldChar w:fldCharType="separate"/>
      </w:r>
      <w:r>
        <w:rPr>
          <w:rFonts w:cs="Arial"/>
          <w:sz w:val="22"/>
          <w:szCs w:val="22"/>
        </w:rPr>
        <w:t>2.2.3</w:t>
      </w:r>
      <w:r>
        <w:rPr>
          <w:rFonts w:cs="Arial"/>
          <w:sz w:val="22"/>
          <w:szCs w:val="22"/>
        </w:rPr>
        <w:fldChar w:fldCharType="end"/>
      </w:r>
      <w:r>
        <w:rPr>
          <w:rFonts w:cs="Arial"/>
          <w:sz w:val="22"/>
          <w:szCs w:val="22"/>
        </w:rPr>
        <w:t>, numeral</w:t>
      </w:r>
      <w:r w:rsidRPr="003236A6">
        <w:rPr>
          <w:rFonts w:cs="Arial"/>
          <w:sz w:val="22"/>
          <w:szCs w:val="22"/>
        </w:rPr>
        <w:t xml:space="preserve">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sidRPr="003236A6">
        <w:rPr>
          <w:rFonts w:cs="Arial"/>
          <w:sz w:val="22"/>
          <w:szCs w:val="22"/>
        </w:rPr>
        <w:t xml:space="preserve"> y respuesta a </w:t>
      </w:r>
      <w:r>
        <w:rPr>
          <w:rFonts w:cs="Arial"/>
          <w:sz w:val="22"/>
          <w:szCs w:val="22"/>
        </w:rPr>
        <w:fldChar w:fldCharType="begin"/>
      </w:r>
      <w:r>
        <w:rPr>
          <w:rFonts w:cs="Arial"/>
          <w:sz w:val="22"/>
          <w:szCs w:val="22"/>
        </w:rPr>
        <w:instrText xml:space="preserve"> REF _Ref132117030 \r \h </w:instrText>
      </w:r>
      <w:r>
        <w:rPr>
          <w:rFonts w:cs="Arial"/>
          <w:sz w:val="22"/>
          <w:szCs w:val="22"/>
        </w:rPr>
      </w:r>
      <w:r>
        <w:rPr>
          <w:rFonts w:cs="Arial"/>
          <w:sz w:val="22"/>
          <w:szCs w:val="22"/>
        </w:rPr>
        <w:fldChar w:fldCharType="separate"/>
      </w:r>
      <w:r>
        <w:rPr>
          <w:rFonts w:cs="Arial"/>
          <w:sz w:val="22"/>
          <w:szCs w:val="22"/>
        </w:rPr>
        <w:t>19.3.1.2</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_Ref132198348 \r \h </w:instrText>
      </w:r>
      <w:r>
        <w:rPr>
          <w:rFonts w:cs="Arial"/>
          <w:sz w:val="22"/>
          <w:szCs w:val="22"/>
        </w:rPr>
      </w:r>
      <w:r>
        <w:rPr>
          <w:rFonts w:cs="Arial"/>
          <w:sz w:val="22"/>
          <w:szCs w:val="22"/>
        </w:rPr>
        <w:fldChar w:fldCharType="separate"/>
      </w:r>
      <w:r>
        <w:rPr>
          <w:rFonts w:cs="Arial"/>
          <w:sz w:val="22"/>
          <w:szCs w:val="22"/>
        </w:rPr>
        <w:t>19.7.1.4</w:t>
      </w:r>
      <w:r>
        <w:rPr>
          <w:rFonts w:cs="Arial"/>
          <w:sz w:val="22"/>
          <w:szCs w:val="22"/>
        </w:rPr>
        <w:fldChar w:fldCharType="end"/>
      </w:r>
      <w:r>
        <w:rPr>
          <w:rFonts w:cs="Arial"/>
          <w:sz w:val="22"/>
          <w:szCs w:val="22"/>
        </w:rPr>
        <w:t>, entre otras</w:t>
      </w:r>
      <w:r w:rsidRPr="003236A6">
        <w:rPr>
          <w:rFonts w:cs="Arial"/>
          <w:sz w:val="22"/>
          <w:szCs w:val="22"/>
        </w:rPr>
        <w:t>.</w:t>
      </w:r>
    </w:p>
    <w:p w14:paraId="54EA438B" w14:textId="77777777" w:rsidR="00CA3C32" w:rsidRDefault="00CA3C32" w:rsidP="0028726C">
      <w:pPr>
        <w:rPr>
          <w:rFonts w:cs="Arial"/>
          <w:sz w:val="22"/>
          <w:szCs w:val="22"/>
        </w:rPr>
      </w:pPr>
    </w:p>
    <w:p w14:paraId="74F24920" w14:textId="77777777" w:rsidR="00AB1088" w:rsidRDefault="00AB1088" w:rsidP="0028726C">
      <w:pPr>
        <w:rPr>
          <w:rFonts w:cs="Arial"/>
          <w:sz w:val="22"/>
          <w:szCs w:val="22"/>
        </w:rPr>
      </w:pPr>
    </w:p>
    <w:p w14:paraId="143EB285" w14:textId="77777777" w:rsidR="00CA3C32" w:rsidRDefault="0028726C" w:rsidP="00F23443">
      <w:pPr>
        <w:pStyle w:val="Ttulo4"/>
      </w:pPr>
      <w:r w:rsidRPr="0028726C">
        <w:t>VANTI</w:t>
      </w:r>
    </w:p>
    <w:p w14:paraId="62B7325C" w14:textId="687859BE" w:rsidR="0028726C" w:rsidRPr="00AB1088" w:rsidRDefault="0028726C" w:rsidP="0028726C">
      <w:pPr>
        <w:rPr>
          <w:rFonts w:cs="Arial"/>
          <w:i/>
          <w:iCs/>
          <w:sz w:val="22"/>
          <w:szCs w:val="22"/>
        </w:rPr>
      </w:pPr>
      <w:r w:rsidRPr="0028726C">
        <w:rPr>
          <w:rFonts w:cs="Arial"/>
          <w:sz w:val="22"/>
          <w:szCs w:val="22"/>
        </w:rPr>
        <w:t>"</w:t>
      </w:r>
      <w:r w:rsidRPr="00AB1088">
        <w:rPr>
          <w:rFonts w:cs="Arial"/>
          <w:i/>
          <w:iCs/>
          <w:sz w:val="22"/>
          <w:szCs w:val="22"/>
        </w:rPr>
        <w:t xml:space="preserve">Se menciona en los siguientes pasos del desarrollo del MADE que no es posible para el Comprador reducir las cantidades de demanda regulada Esencial, lo que infiere que el entendimiento de la Comisión es que ese tipo de demanda es en absoluto inelástica e indiferente al precio resultante. La demanda regulada Esencial, residencial y comercial, tiene sustitutos como el GLP. </w:t>
      </w:r>
    </w:p>
    <w:p w14:paraId="49D784B2" w14:textId="77777777" w:rsidR="00CA3C32" w:rsidRPr="00AB1088" w:rsidRDefault="00CA3C32" w:rsidP="0028726C">
      <w:pPr>
        <w:rPr>
          <w:rFonts w:cs="Arial"/>
          <w:i/>
          <w:iCs/>
          <w:sz w:val="22"/>
          <w:szCs w:val="22"/>
        </w:rPr>
      </w:pPr>
    </w:p>
    <w:p w14:paraId="2913E683" w14:textId="4135A127" w:rsidR="0028726C" w:rsidRPr="00AB1088" w:rsidRDefault="0028726C" w:rsidP="0028726C">
      <w:pPr>
        <w:rPr>
          <w:rFonts w:cs="Arial"/>
          <w:i/>
          <w:iCs/>
          <w:sz w:val="22"/>
          <w:szCs w:val="22"/>
        </w:rPr>
      </w:pPr>
      <w:r w:rsidRPr="00AB1088">
        <w:rPr>
          <w:rFonts w:cs="Arial"/>
          <w:i/>
          <w:iCs/>
          <w:sz w:val="22"/>
          <w:szCs w:val="22"/>
        </w:rPr>
        <w:t>Por otra parte, en caso de que el balance sea excedentario, ¿qué poder de negociación termina teniendo el Comprador frente al Vendedor, cuando el Vendedor ya conoce las cantidades que el Comprador se obliga a adquirir en la demanda regulada Esencial? Observamos que esto otorga un gran poder de mercado al Vendedor."</w:t>
      </w:r>
    </w:p>
    <w:p w14:paraId="70029BC8" w14:textId="77777777" w:rsidR="00AB1088" w:rsidRDefault="00AB1088" w:rsidP="0028726C">
      <w:pPr>
        <w:rPr>
          <w:rFonts w:cs="Arial"/>
          <w:sz w:val="22"/>
          <w:szCs w:val="22"/>
        </w:rPr>
      </w:pPr>
    </w:p>
    <w:p w14:paraId="5A0F82F7" w14:textId="1446D848" w:rsidR="00AB1088" w:rsidRPr="00AB1088" w:rsidRDefault="00AB1088" w:rsidP="0028726C">
      <w:pPr>
        <w:rPr>
          <w:rFonts w:cs="Arial"/>
          <w:b/>
          <w:bCs/>
          <w:sz w:val="22"/>
          <w:szCs w:val="22"/>
        </w:rPr>
      </w:pPr>
      <w:r w:rsidRPr="00AB1088">
        <w:rPr>
          <w:rFonts w:cs="Arial"/>
          <w:b/>
          <w:bCs/>
          <w:sz w:val="22"/>
          <w:szCs w:val="22"/>
        </w:rPr>
        <w:t>Respuesta:</w:t>
      </w:r>
    </w:p>
    <w:p w14:paraId="535576DD" w14:textId="77777777" w:rsidR="00AB1088" w:rsidRDefault="00AB1088" w:rsidP="0028726C">
      <w:pPr>
        <w:rPr>
          <w:rFonts w:cs="Arial"/>
          <w:sz w:val="22"/>
          <w:szCs w:val="22"/>
        </w:rPr>
      </w:pPr>
    </w:p>
    <w:p w14:paraId="0E9DF3D2" w14:textId="1BAE579C" w:rsidR="00AB1088" w:rsidRDefault="00AB1088" w:rsidP="0028726C">
      <w:pPr>
        <w:rPr>
          <w:rFonts w:cs="Arial"/>
          <w:sz w:val="22"/>
          <w:szCs w:val="22"/>
        </w:rPr>
      </w:pPr>
      <w:r>
        <w:rPr>
          <w:rFonts w:cs="Arial"/>
          <w:sz w:val="22"/>
          <w:szCs w:val="22"/>
        </w:rPr>
        <w:t>Se debe tener en cuenta que los compradores no están obligados a comprar en un solo trimestre de negociación la totalidad de las cantidades requeridas para atender la Demanda Esencia</w:t>
      </w:r>
      <w:r w:rsidR="009A132D">
        <w:rPr>
          <w:rFonts w:cs="Arial"/>
          <w:sz w:val="22"/>
          <w:szCs w:val="22"/>
        </w:rPr>
        <w:t>l o de cualquier tipo de sector de consumo,</w:t>
      </w:r>
      <w:r>
        <w:rPr>
          <w:rFonts w:cs="Arial"/>
          <w:sz w:val="22"/>
          <w:szCs w:val="22"/>
        </w:rPr>
        <w:t xml:space="preserve"> </w:t>
      </w:r>
      <w:r w:rsidR="009A132D">
        <w:rPr>
          <w:rFonts w:cs="Arial"/>
          <w:sz w:val="22"/>
          <w:szCs w:val="22"/>
        </w:rPr>
        <w:t>para</w:t>
      </w:r>
      <w:r>
        <w:rPr>
          <w:rFonts w:cs="Arial"/>
          <w:sz w:val="22"/>
          <w:szCs w:val="22"/>
        </w:rPr>
        <w:t xml:space="preserve"> un </w:t>
      </w:r>
      <w:r w:rsidR="009D22E9">
        <w:rPr>
          <w:rFonts w:cs="Arial"/>
          <w:sz w:val="22"/>
          <w:szCs w:val="22"/>
        </w:rPr>
        <w:t>trimestre estándar de ejecución</w:t>
      </w:r>
      <w:r>
        <w:rPr>
          <w:rFonts w:cs="Arial"/>
          <w:sz w:val="22"/>
          <w:szCs w:val="22"/>
        </w:rPr>
        <w:t xml:space="preserve"> futuro, ni se establecen porcentajes o cantidades mínimas para ser adquiridas en trimestres específicos de negociación previos al </w:t>
      </w:r>
      <w:r w:rsidR="009D22E9">
        <w:rPr>
          <w:rFonts w:cs="Arial"/>
          <w:sz w:val="22"/>
          <w:szCs w:val="22"/>
        </w:rPr>
        <w:t>trimestre estándar de ejecución</w:t>
      </w:r>
      <w:r>
        <w:rPr>
          <w:rFonts w:cs="Arial"/>
          <w:sz w:val="22"/>
          <w:szCs w:val="22"/>
        </w:rPr>
        <w:t>.</w:t>
      </w:r>
      <w:r w:rsidR="00E310DF">
        <w:rPr>
          <w:rFonts w:cs="Arial"/>
          <w:sz w:val="22"/>
          <w:szCs w:val="22"/>
        </w:rPr>
        <w:t xml:space="preserve"> Lo anterior en consistencia con el hecho de </w:t>
      </w:r>
      <w:r>
        <w:rPr>
          <w:rFonts w:cs="Arial"/>
          <w:sz w:val="22"/>
          <w:szCs w:val="22"/>
        </w:rPr>
        <w:t xml:space="preserve">que </w:t>
      </w:r>
      <w:r w:rsidR="00E310DF">
        <w:rPr>
          <w:rFonts w:cs="Arial"/>
          <w:sz w:val="22"/>
          <w:szCs w:val="22"/>
        </w:rPr>
        <w:t xml:space="preserve">entre el trimestre de negociación y el </w:t>
      </w:r>
      <w:r w:rsidR="009D22E9">
        <w:rPr>
          <w:rFonts w:cs="Arial"/>
          <w:sz w:val="22"/>
          <w:szCs w:val="22"/>
        </w:rPr>
        <w:t>trimestre estándar de ejecución</w:t>
      </w:r>
      <w:r w:rsidR="009A132D">
        <w:rPr>
          <w:rFonts w:cs="Arial"/>
          <w:sz w:val="22"/>
          <w:szCs w:val="22"/>
        </w:rPr>
        <w:t xml:space="preserve"> futuro</w:t>
      </w:r>
      <w:r w:rsidR="00E310DF">
        <w:rPr>
          <w:rFonts w:cs="Arial"/>
          <w:sz w:val="22"/>
          <w:szCs w:val="22"/>
        </w:rPr>
        <w:t xml:space="preserve"> pueden ocurrir eventos que lleven a requerir, respecto de las cantidades inicialmente previstas en un período de planeación previo al trimestre de negociación, menores cantidades </w:t>
      </w:r>
      <w:proofErr w:type="spellStart"/>
      <w:r w:rsidR="00E310DF">
        <w:rPr>
          <w:rFonts w:cs="Arial"/>
          <w:sz w:val="22"/>
          <w:szCs w:val="22"/>
        </w:rPr>
        <w:t>por que</w:t>
      </w:r>
      <w:proofErr w:type="spellEnd"/>
      <w:r w:rsidR="00E310DF">
        <w:rPr>
          <w:rFonts w:cs="Arial"/>
          <w:sz w:val="22"/>
          <w:szCs w:val="22"/>
        </w:rPr>
        <w:t xml:space="preserve"> hay demanda existente que se cambia </w:t>
      </w:r>
      <w:r w:rsidR="009A132D">
        <w:rPr>
          <w:rFonts w:cs="Arial"/>
          <w:sz w:val="22"/>
          <w:szCs w:val="22"/>
        </w:rPr>
        <w:t xml:space="preserve">a otra </w:t>
      </w:r>
      <w:r w:rsidR="00E310DF">
        <w:rPr>
          <w:rFonts w:cs="Arial"/>
          <w:sz w:val="22"/>
          <w:szCs w:val="22"/>
        </w:rPr>
        <w:t xml:space="preserve">fuente energética, hay nueva demanda por crecimiento de la población y/o de la economía, hay más PTDVF/CIDVF por inversiones en planes de desarrollo de fuentes de suministro existentes o </w:t>
      </w:r>
      <w:r w:rsidR="009A132D">
        <w:rPr>
          <w:rFonts w:cs="Arial"/>
          <w:sz w:val="22"/>
          <w:szCs w:val="22"/>
        </w:rPr>
        <w:t xml:space="preserve">por </w:t>
      </w:r>
      <w:r w:rsidR="00E310DF">
        <w:rPr>
          <w:rFonts w:cs="Arial"/>
          <w:sz w:val="22"/>
          <w:szCs w:val="22"/>
        </w:rPr>
        <w:t>nuevos hallazgos y nuevas declaraciones de comercialidad de parte de los productores-comercializadores</w:t>
      </w:r>
      <w:r w:rsidR="009A132D">
        <w:rPr>
          <w:rFonts w:cs="Arial"/>
          <w:sz w:val="22"/>
          <w:szCs w:val="22"/>
        </w:rPr>
        <w:t>, se presenta acceso a más fuentes de suministro por implementación del Plan de Abastecimiento de Gas Natural, entre otros elementos posibles en el futuro.</w:t>
      </w:r>
    </w:p>
    <w:p w14:paraId="24676053" w14:textId="77777777" w:rsidR="009A132D" w:rsidRDefault="009A132D" w:rsidP="0028726C">
      <w:pPr>
        <w:rPr>
          <w:rFonts w:cs="Arial"/>
          <w:sz w:val="22"/>
          <w:szCs w:val="22"/>
        </w:rPr>
      </w:pPr>
    </w:p>
    <w:p w14:paraId="0B145126" w14:textId="4E50FCA5" w:rsidR="009A132D" w:rsidRPr="001D4AC4" w:rsidRDefault="009A132D" w:rsidP="009A132D">
      <w:pPr>
        <w:rPr>
          <w:rFonts w:cs="Arial"/>
          <w:sz w:val="22"/>
          <w:szCs w:val="22"/>
        </w:rPr>
      </w:pPr>
      <w:r>
        <w:rPr>
          <w:rFonts w:cs="Arial"/>
          <w:sz w:val="22"/>
          <w:szCs w:val="22"/>
        </w:rPr>
        <w:t>En cuanto a los precios, los agentes compradores deberán considerar la dinámica que se puede observar en las declaraciones de producción que presentan los vendedores del Mercado Primario al MME y en los resultados de las negociaciones que se dan en cada trimestre de negociación. Cada resultado de un proceso de negociación trimestral sirve de información para que en los siguientes trimestres de negociación se acuerden cantidades y precios de trimestres futuros de suministro, tanto para los vendedores en función de realizar mayores inversiones en sus programas de desarrollo de los campos de producción existentes y para decisiones de comercialidad de campos en evaluación, como para los compradores en función del crecimiento observado del consumo de su demanda actual y del consumo potencial de nuevos usuarios. De por medio también ambos tipos de agentes deben considerar la expansión del SNT y de otros modos de suministro del gas natural, tales como el caso del GNC y del GNL.</w:t>
      </w:r>
    </w:p>
    <w:p w14:paraId="3A3772F9" w14:textId="131276FC" w:rsidR="009A132D" w:rsidRPr="0028726C" w:rsidRDefault="009A132D" w:rsidP="0028726C">
      <w:pPr>
        <w:rPr>
          <w:rFonts w:cs="Arial"/>
          <w:sz w:val="22"/>
          <w:szCs w:val="22"/>
        </w:rPr>
      </w:pPr>
    </w:p>
    <w:p w14:paraId="68414196" w14:textId="31FA6029" w:rsidR="00CA3C32" w:rsidRDefault="00FF4EDC" w:rsidP="0028726C">
      <w:pPr>
        <w:rPr>
          <w:rFonts w:cs="Arial"/>
          <w:sz w:val="22"/>
          <w:szCs w:val="22"/>
        </w:rPr>
      </w:pPr>
      <w:r>
        <w:rPr>
          <w:rFonts w:cs="Arial"/>
          <w:sz w:val="22"/>
          <w:szCs w:val="22"/>
        </w:rPr>
        <w:t xml:space="preserve">Por otra parte, si un balance comercial es excedentario es porque hay más cantidades PTDVF/CIDVF disponibles de las que requieren </w:t>
      </w:r>
      <w:r w:rsidR="00716D33">
        <w:rPr>
          <w:rFonts w:cs="Arial"/>
          <w:sz w:val="22"/>
          <w:szCs w:val="22"/>
        </w:rPr>
        <w:t xml:space="preserve">como mínimo </w:t>
      </w:r>
      <w:r>
        <w:rPr>
          <w:rFonts w:cs="Arial"/>
          <w:sz w:val="22"/>
          <w:szCs w:val="22"/>
        </w:rPr>
        <w:t xml:space="preserve">los compradores, por lo que se entiende inicialmente que, ante el objetivo </w:t>
      </w:r>
      <w:r w:rsidR="00716D33">
        <w:rPr>
          <w:rFonts w:cs="Arial"/>
          <w:sz w:val="22"/>
          <w:szCs w:val="22"/>
        </w:rPr>
        <w:t xml:space="preserve">esperado </w:t>
      </w:r>
      <w:r>
        <w:rPr>
          <w:rFonts w:cs="Arial"/>
          <w:sz w:val="22"/>
          <w:szCs w:val="22"/>
        </w:rPr>
        <w:t>de parte de un productor-comercializador de maximizar las cantidades contratadas</w:t>
      </w:r>
      <w:r w:rsidR="008211E8">
        <w:rPr>
          <w:rFonts w:cs="Arial"/>
          <w:sz w:val="22"/>
          <w:szCs w:val="22"/>
        </w:rPr>
        <w:t xml:space="preserve"> (ver </w:t>
      </w:r>
      <w:r w:rsidR="009B48FC">
        <w:rPr>
          <w:rFonts w:cs="Arial"/>
          <w:sz w:val="22"/>
          <w:szCs w:val="22"/>
        </w:rPr>
        <w:t>capítulo 2 “</w:t>
      </w:r>
      <w:r w:rsidR="009B48FC" w:rsidRPr="009B48FC">
        <w:rPr>
          <w:rFonts w:cs="Arial"/>
          <w:i/>
          <w:iCs/>
          <w:sz w:val="22"/>
          <w:szCs w:val="22"/>
        </w:rPr>
        <w:t>Análisis económico</w:t>
      </w:r>
      <w:r w:rsidR="009B48FC">
        <w:rPr>
          <w:rFonts w:cs="Arial"/>
          <w:sz w:val="22"/>
          <w:szCs w:val="22"/>
        </w:rPr>
        <w:t>” del Documento de soporte CREG D 054 de 2012)</w:t>
      </w:r>
      <w:r>
        <w:rPr>
          <w:rFonts w:cs="Arial"/>
          <w:sz w:val="22"/>
          <w:szCs w:val="22"/>
        </w:rPr>
        <w:t>, los precios tiendan a la baja respecto de lo que ocurriría en una situación de balance comercial deficitario.  De este modo, con precios a la baja, las cantidades a comprar por parte de los compradores deberían ser mayores de modo que al final el vendedor logre contratar la totalidad de la PTDVF/CIDVF.</w:t>
      </w:r>
      <w:r w:rsidR="00716D33">
        <w:rPr>
          <w:rFonts w:cs="Arial"/>
          <w:sz w:val="22"/>
          <w:szCs w:val="22"/>
        </w:rPr>
        <w:t xml:space="preserve"> Con este resultado de balance y la flexibilidad que tiene el comprador de adquirir en diferentes trimestres de negociación las cantidades necesarias para atender la demanda de un mismo </w:t>
      </w:r>
      <w:r w:rsidR="009D22E9">
        <w:rPr>
          <w:rFonts w:cs="Arial"/>
          <w:sz w:val="22"/>
          <w:szCs w:val="22"/>
        </w:rPr>
        <w:t>trimestre estándar de ejecución</w:t>
      </w:r>
      <w:r w:rsidR="00716D33">
        <w:rPr>
          <w:rFonts w:cs="Arial"/>
          <w:sz w:val="22"/>
          <w:szCs w:val="22"/>
        </w:rPr>
        <w:t xml:space="preserve"> futuro, más los demás aspectos señalados arriba, se espera que haya más equilibrio en la capacidad negociadora entre los vendedores y los compradores.</w:t>
      </w:r>
    </w:p>
    <w:p w14:paraId="25F22069" w14:textId="77777777" w:rsidR="00716D33" w:rsidRDefault="00716D33" w:rsidP="0028726C">
      <w:pPr>
        <w:rPr>
          <w:rFonts w:cs="Arial"/>
          <w:sz w:val="22"/>
          <w:szCs w:val="22"/>
        </w:rPr>
      </w:pPr>
    </w:p>
    <w:p w14:paraId="102A48C0" w14:textId="3BA203DF" w:rsidR="00B63936" w:rsidRDefault="00716D33" w:rsidP="0028726C">
      <w:pPr>
        <w:rPr>
          <w:rFonts w:cs="Arial"/>
          <w:sz w:val="22"/>
          <w:szCs w:val="22"/>
        </w:rPr>
      </w:pPr>
      <w:r>
        <w:rPr>
          <w:rFonts w:cs="Arial"/>
          <w:sz w:val="22"/>
          <w:szCs w:val="22"/>
        </w:rPr>
        <w:t xml:space="preserve">Cuando se hace necesario utilizar el mecanismo de subasta porque se ha encontrado un balance comercial deficitario, </w:t>
      </w:r>
      <w:r w:rsidR="003C76E7">
        <w:rPr>
          <w:rFonts w:cs="Arial"/>
          <w:sz w:val="22"/>
          <w:szCs w:val="22"/>
        </w:rPr>
        <w:t xml:space="preserve">ver respuesta a </w:t>
      </w:r>
      <w:r w:rsidR="003C76E7">
        <w:rPr>
          <w:rFonts w:cs="Arial"/>
          <w:sz w:val="22"/>
          <w:szCs w:val="22"/>
        </w:rPr>
        <w:fldChar w:fldCharType="begin"/>
      </w:r>
      <w:r w:rsidR="003C76E7">
        <w:rPr>
          <w:rFonts w:cs="Arial"/>
          <w:sz w:val="22"/>
          <w:szCs w:val="22"/>
        </w:rPr>
        <w:instrText xml:space="preserve"> REF _Ref132198348 \r \h </w:instrText>
      </w:r>
      <w:r w:rsidR="003C76E7">
        <w:rPr>
          <w:rFonts w:cs="Arial"/>
          <w:sz w:val="22"/>
          <w:szCs w:val="22"/>
        </w:rPr>
      </w:r>
      <w:r w:rsidR="003C76E7">
        <w:rPr>
          <w:rFonts w:cs="Arial"/>
          <w:sz w:val="22"/>
          <w:szCs w:val="22"/>
        </w:rPr>
        <w:fldChar w:fldCharType="separate"/>
      </w:r>
      <w:r w:rsidR="003C76E7">
        <w:rPr>
          <w:rFonts w:cs="Arial"/>
          <w:sz w:val="22"/>
          <w:szCs w:val="22"/>
        </w:rPr>
        <w:t>19.7.1.4</w:t>
      </w:r>
      <w:r w:rsidR="003C76E7">
        <w:rPr>
          <w:rFonts w:cs="Arial"/>
          <w:sz w:val="22"/>
          <w:szCs w:val="22"/>
        </w:rPr>
        <w:fldChar w:fldCharType="end"/>
      </w:r>
      <w:r w:rsidR="003C76E7">
        <w:rPr>
          <w:rFonts w:cs="Arial"/>
          <w:sz w:val="22"/>
          <w:szCs w:val="22"/>
        </w:rPr>
        <w:t>.</w:t>
      </w:r>
    </w:p>
    <w:p w14:paraId="01E4A9E0" w14:textId="77777777" w:rsidR="003C76E7" w:rsidRDefault="003C76E7" w:rsidP="0028726C">
      <w:pPr>
        <w:rPr>
          <w:rFonts w:cs="Arial"/>
          <w:sz w:val="22"/>
          <w:szCs w:val="22"/>
        </w:rPr>
      </w:pPr>
    </w:p>
    <w:p w14:paraId="12F5EBD5" w14:textId="77777777" w:rsidR="003C76E7" w:rsidRDefault="003C76E7" w:rsidP="0028726C">
      <w:pPr>
        <w:rPr>
          <w:rFonts w:cs="Arial"/>
          <w:sz w:val="22"/>
          <w:szCs w:val="22"/>
        </w:rPr>
      </w:pPr>
    </w:p>
    <w:p w14:paraId="3F8B79ED" w14:textId="77777777" w:rsidR="00CA3C32" w:rsidRDefault="0028726C" w:rsidP="00F23443">
      <w:pPr>
        <w:pStyle w:val="Ttulo4"/>
      </w:pPr>
      <w:r w:rsidRPr="0028726C">
        <w:t>VANTI</w:t>
      </w:r>
      <w:r w:rsidRPr="0028726C">
        <w:tab/>
      </w:r>
    </w:p>
    <w:p w14:paraId="7B7F096D" w14:textId="5D584903" w:rsidR="0028726C" w:rsidRPr="003C76E7" w:rsidRDefault="00397353" w:rsidP="0028726C">
      <w:pPr>
        <w:rPr>
          <w:rFonts w:cs="Arial"/>
          <w:i/>
          <w:iCs/>
          <w:sz w:val="22"/>
          <w:szCs w:val="22"/>
        </w:rPr>
      </w:pPr>
      <w:r>
        <w:rPr>
          <w:rFonts w:cs="Arial"/>
          <w:i/>
          <w:iCs/>
          <w:sz w:val="22"/>
          <w:szCs w:val="22"/>
        </w:rPr>
        <w:t>“</w:t>
      </w:r>
      <w:r w:rsidR="0028726C" w:rsidRPr="003C76E7">
        <w:rPr>
          <w:rFonts w:cs="Arial"/>
          <w:i/>
          <w:iCs/>
          <w:sz w:val="22"/>
          <w:szCs w:val="22"/>
        </w:rPr>
        <w:t>Resultados de los balances por trimestres y por Puntos de Referencia - Se identifica probable que los requerimientos de gas que declararon los Compradores se dupliquen en varios Punto de Referencia, por ejemplo, una distribuidora podría declarar las mismas solicitudes de gas tanto en la fuente de Guajira como en la fuente de Cusiana, más aún, si no se conoce el precio. En teoría las solicitudes de gas que haga el Comprador son aquellas que este se obliga a comprar, pero posteriormente este podría no llegar a cerrarlas por el no acuerdo en el contrato de suministro, posibilidad que abre la Comisión. Esto incrementará la posibilidad de caer en la situación de subastas ante la escasez de oferta, pero como consecuencia de solicitudes de gas más altas de las que serán cerradas efectivamente.</w:t>
      </w:r>
      <w:r>
        <w:rPr>
          <w:rFonts w:cs="Arial"/>
          <w:i/>
          <w:iCs/>
          <w:sz w:val="22"/>
          <w:szCs w:val="22"/>
        </w:rPr>
        <w:t>”</w:t>
      </w:r>
      <w:r w:rsidR="0028726C" w:rsidRPr="003C76E7">
        <w:rPr>
          <w:rFonts w:cs="Arial"/>
          <w:i/>
          <w:iCs/>
          <w:sz w:val="22"/>
          <w:szCs w:val="22"/>
        </w:rPr>
        <w:t xml:space="preserve"> </w:t>
      </w:r>
    </w:p>
    <w:p w14:paraId="4DBDCEFB" w14:textId="77777777" w:rsidR="00CA3C32" w:rsidRDefault="00CA3C32" w:rsidP="0028726C">
      <w:pPr>
        <w:rPr>
          <w:rFonts w:cs="Arial"/>
          <w:sz w:val="22"/>
          <w:szCs w:val="22"/>
        </w:rPr>
      </w:pPr>
    </w:p>
    <w:p w14:paraId="1EF78B86" w14:textId="701E34BD" w:rsidR="00B63936" w:rsidRPr="003C76E7" w:rsidRDefault="003C76E7" w:rsidP="0028726C">
      <w:pPr>
        <w:rPr>
          <w:rFonts w:cs="Arial"/>
          <w:b/>
          <w:bCs/>
          <w:sz w:val="22"/>
          <w:szCs w:val="22"/>
        </w:rPr>
      </w:pPr>
      <w:r w:rsidRPr="003C76E7">
        <w:rPr>
          <w:rFonts w:cs="Arial"/>
          <w:b/>
          <w:bCs/>
          <w:sz w:val="22"/>
          <w:szCs w:val="22"/>
        </w:rPr>
        <w:t>Respuesta:</w:t>
      </w:r>
    </w:p>
    <w:p w14:paraId="3A7A996A" w14:textId="77777777" w:rsidR="003C76E7" w:rsidRDefault="003C76E7" w:rsidP="0028726C">
      <w:pPr>
        <w:rPr>
          <w:rFonts w:cs="Arial"/>
          <w:sz w:val="22"/>
          <w:szCs w:val="22"/>
        </w:rPr>
      </w:pPr>
    </w:p>
    <w:p w14:paraId="1EA0BAC7" w14:textId="6AAED4E8" w:rsidR="00D022DE" w:rsidRDefault="00D022DE" w:rsidP="00D022DE">
      <w:pPr>
        <w:rPr>
          <w:rFonts w:cs="Arial"/>
          <w:sz w:val="22"/>
          <w:szCs w:val="22"/>
        </w:rPr>
      </w:pPr>
      <w:r>
        <w:rPr>
          <w:rFonts w:cs="Arial"/>
          <w:sz w:val="22"/>
          <w:szCs w:val="22"/>
        </w:rPr>
        <w:t>La regulación permite la participación de los usuarios no regulados como compradores del Mercado Primario, por lo que no es viable limitar su participación a través de un comercializador. En la propuesta sí se establece, con el fin de evitar duplicación de una cantidad para atender a un mismo usuario que, e</w:t>
      </w:r>
      <w:r w:rsidRPr="00485C74">
        <w:rPr>
          <w:rFonts w:cs="Arial"/>
          <w:sz w:val="22"/>
          <w:szCs w:val="22"/>
        </w:rPr>
        <w:t>n el caso de los usuarios no regulados que participan como compradores en el mercado primario, se requiere que la información sea presentada directamente</w:t>
      </w:r>
      <w:r>
        <w:rPr>
          <w:rFonts w:cs="Arial"/>
          <w:sz w:val="22"/>
          <w:szCs w:val="22"/>
        </w:rPr>
        <w:t xml:space="preserve"> por estos usuarios</w:t>
      </w:r>
      <w:r w:rsidRPr="00485C74">
        <w:rPr>
          <w:rFonts w:cs="Arial"/>
          <w:sz w:val="22"/>
          <w:szCs w:val="22"/>
        </w:rPr>
        <w:t>. En el caso de los usuarios no regulados que son parte de la Demanda Esencial y que contratan la prestación del servicio en el mercado minorista, la cantidad requerida puede ser informada a través del comercializador, con el fin de evitar duplicidad de las cantidades a contratar</w:t>
      </w:r>
      <w:r>
        <w:rPr>
          <w:rFonts w:cs="Arial"/>
          <w:sz w:val="22"/>
          <w:szCs w:val="22"/>
        </w:rPr>
        <w:t>.</w:t>
      </w:r>
    </w:p>
    <w:p w14:paraId="18C5B9FF" w14:textId="77777777" w:rsidR="00D022DE" w:rsidRDefault="00D022DE" w:rsidP="00D022DE">
      <w:pPr>
        <w:rPr>
          <w:rFonts w:cs="Arial"/>
          <w:sz w:val="22"/>
          <w:szCs w:val="22"/>
        </w:rPr>
      </w:pPr>
    </w:p>
    <w:p w14:paraId="2804607F" w14:textId="77777777" w:rsidR="004B5176" w:rsidRDefault="004B5176" w:rsidP="004B5176">
      <w:pPr>
        <w:rPr>
          <w:rFonts w:cs="Arial"/>
          <w:sz w:val="22"/>
          <w:szCs w:val="22"/>
        </w:rPr>
      </w:pPr>
      <w:r>
        <w:rPr>
          <w:rFonts w:cs="Arial"/>
          <w:sz w:val="22"/>
          <w:szCs w:val="22"/>
        </w:rPr>
        <w:t xml:space="preserve">Los balances comerciales que se proponen realizar trimestralmente buscan lograr mayor eficiencia en los procesos de negociación de los agentes vendedores y compradores del Mercado Primario. Como se explica en el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Pr>
          <w:rFonts w:cs="Arial"/>
          <w:sz w:val="22"/>
          <w:szCs w:val="22"/>
        </w:rPr>
        <w:t xml:space="preserve"> la propuesta no establece cantidades o porcentajes mínimos a ser requeridas por los compradores para la atención de los consumos esperados futuros de los usuarios que atienden o de sí mismos, en el caso de usuarios no regulados. En ese sentido, los balances comerciales que se realizan trimestralmente  tienen una sola instancia de declaración de oferta de los vendedores y dos instancias de declaración de requerimientos de suministro de los compradores, estando de por medio entre estas dos instancias de los compradores, la publicación por parte del Gestor del Mercado de las cantidades totales ofertadas y las cantidades totales deseadas de compra para cada uno de los siguientes veinte trimestres estándar, en cada punto de referencia. Lo anterior ayuda al comprador a determinar si se mantiene en sus cantidades deseadas a requerir o si se reduce y deja para posteriores trimestres de negociación las cantidades requeridas a declarar en la segunda instancia ante el Gestor del Mercado. </w:t>
      </w:r>
    </w:p>
    <w:p w14:paraId="68AB4493" w14:textId="77777777" w:rsidR="00D022DE" w:rsidRDefault="00D022DE" w:rsidP="0028726C">
      <w:pPr>
        <w:rPr>
          <w:rFonts w:cs="Arial"/>
          <w:sz w:val="22"/>
          <w:szCs w:val="22"/>
        </w:rPr>
      </w:pPr>
    </w:p>
    <w:p w14:paraId="433109D7" w14:textId="6A9D5CEE" w:rsidR="00D022DE" w:rsidRPr="0028726C" w:rsidRDefault="00D022DE" w:rsidP="00D022DE">
      <w:pPr>
        <w:rPr>
          <w:rFonts w:cs="Arial"/>
          <w:sz w:val="22"/>
          <w:szCs w:val="22"/>
        </w:rPr>
      </w:pPr>
      <w:r>
        <w:rPr>
          <w:rFonts w:cs="Arial"/>
          <w:sz w:val="22"/>
          <w:szCs w:val="22"/>
        </w:rPr>
        <w:t xml:space="preserve">Por otro lado, en la nueva propuesta se han incluido más condiciones de modo de que se minimice la posibilidad de que no se firme finalmente un contrato para atender Demanda Esencial por motivación justa, cuando las cantidades a comprometer han resultado asignadas como parte del esquema del MADE. </w:t>
      </w:r>
    </w:p>
    <w:p w14:paraId="00EDF087" w14:textId="77777777" w:rsidR="00D022DE" w:rsidRDefault="00D022DE" w:rsidP="0028726C">
      <w:pPr>
        <w:rPr>
          <w:rFonts w:cs="Arial"/>
          <w:sz w:val="22"/>
          <w:szCs w:val="22"/>
        </w:rPr>
      </w:pPr>
    </w:p>
    <w:p w14:paraId="1E9A6DAF" w14:textId="77777777" w:rsidR="00B63936" w:rsidRDefault="00B63936" w:rsidP="0028726C">
      <w:pPr>
        <w:rPr>
          <w:rFonts w:cs="Arial"/>
          <w:sz w:val="22"/>
          <w:szCs w:val="22"/>
        </w:rPr>
      </w:pPr>
    </w:p>
    <w:p w14:paraId="55D0C05F" w14:textId="77777777" w:rsidR="00CA3C32" w:rsidRDefault="0028726C" w:rsidP="00F23443">
      <w:pPr>
        <w:pStyle w:val="Ttulo4"/>
      </w:pPr>
      <w:r w:rsidRPr="0028726C">
        <w:t>VANTI</w:t>
      </w:r>
      <w:r w:rsidRPr="0028726C">
        <w:tab/>
      </w:r>
    </w:p>
    <w:p w14:paraId="539992A2" w14:textId="71EE591A" w:rsidR="0028726C" w:rsidRPr="004B5176" w:rsidRDefault="00E52B2D" w:rsidP="0028726C">
      <w:pPr>
        <w:rPr>
          <w:rFonts w:cs="Arial"/>
          <w:i/>
          <w:iCs/>
          <w:sz w:val="22"/>
          <w:szCs w:val="22"/>
        </w:rPr>
      </w:pPr>
      <w:r>
        <w:rPr>
          <w:rFonts w:cs="Arial"/>
          <w:i/>
          <w:iCs/>
          <w:sz w:val="22"/>
          <w:szCs w:val="22"/>
        </w:rPr>
        <w:t>“</w:t>
      </w:r>
      <w:r w:rsidR="0028726C" w:rsidRPr="004B5176">
        <w:rPr>
          <w:rFonts w:cs="Arial"/>
          <w:i/>
          <w:iCs/>
          <w:sz w:val="22"/>
          <w:szCs w:val="22"/>
        </w:rPr>
        <w:t xml:space="preserve">En conclusión, este </w:t>
      </w:r>
      <w:r>
        <w:rPr>
          <w:rFonts w:cs="Arial"/>
          <w:i/>
          <w:iCs/>
          <w:sz w:val="22"/>
          <w:szCs w:val="22"/>
        </w:rPr>
        <w:t>‘</w:t>
      </w:r>
      <w:r w:rsidR="0028726C" w:rsidRPr="004B5176">
        <w:rPr>
          <w:rFonts w:cs="Arial"/>
          <w:i/>
          <w:iCs/>
          <w:sz w:val="22"/>
          <w:szCs w:val="22"/>
        </w:rPr>
        <w:t>Procedimiento del desarrollo de los balances contractuales</w:t>
      </w:r>
      <w:r>
        <w:rPr>
          <w:rFonts w:cs="Arial"/>
          <w:i/>
          <w:iCs/>
          <w:sz w:val="22"/>
          <w:szCs w:val="22"/>
        </w:rPr>
        <w:t>’</w:t>
      </w:r>
      <w:r w:rsidR="0028726C" w:rsidRPr="004B5176">
        <w:rPr>
          <w:rFonts w:cs="Arial"/>
          <w:i/>
          <w:iCs/>
          <w:sz w:val="22"/>
          <w:szCs w:val="22"/>
        </w:rPr>
        <w:t xml:space="preserve"> se identifica que incrementará la probabilidad de que el mecanismo de comercialización no sea superavitario sino deficitario y termine en un mecanismo de subastas, mecanismo que resulta ser el más inconveniente para contar con precios competitivos </w:t>
      </w:r>
      <w:proofErr w:type="gramStart"/>
      <w:r w:rsidR="0028726C" w:rsidRPr="004B5176">
        <w:rPr>
          <w:rFonts w:cs="Arial"/>
          <w:i/>
          <w:iCs/>
          <w:sz w:val="22"/>
          <w:szCs w:val="22"/>
        </w:rPr>
        <w:t>y</w:t>
      </w:r>
      <w:proofErr w:type="gramEnd"/>
      <w:r w:rsidR="0028726C" w:rsidRPr="004B5176">
        <w:rPr>
          <w:rFonts w:cs="Arial"/>
          <w:i/>
          <w:iCs/>
          <w:sz w:val="22"/>
          <w:szCs w:val="22"/>
        </w:rPr>
        <w:t xml:space="preserve"> por ende, permitir el mantenimiento y crecimiento del mercado de gas.</w:t>
      </w:r>
      <w:r w:rsidR="002E5274">
        <w:rPr>
          <w:rFonts w:cs="Arial"/>
          <w:i/>
          <w:iCs/>
          <w:sz w:val="22"/>
          <w:szCs w:val="22"/>
        </w:rPr>
        <w:t>”</w:t>
      </w:r>
    </w:p>
    <w:p w14:paraId="3729D463" w14:textId="77777777" w:rsidR="00CA3C32" w:rsidRDefault="00CA3C32" w:rsidP="0028726C">
      <w:pPr>
        <w:rPr>
          <w:rFonts w:cs="Arial"/>
          <w:sz w:val="22"/>
          <w:szCs w:val="22"/>
        </w:rPr>
      </w:pPr>
    </w:p>
    <w:p w14:paraId="2D22F8CB" w14:textId="5FC94ABE" w:rsidR="004B5176" w:rsidRPr="004B5176" w:rsidRDefault="004B5176" w:rsidP="0028726C">
      <w:pPr>
        <w:rPr>
          <w:rFonts w:cs="Arial"/>
          <w:b/>
          <w:bCs/>
          <w:sz w:val="22"/>
          <w:szCs w:val="22"/>
        </w:rPr>
      </w:pPr>
      <w:r w:rsidRPr="004B5176">
        <w:rPr>
          <w:rFonts w:cs="Arial"/>
          <w:b/>
          <w:bCs/>
          <w:sz w:val="22"/>
          <w:szCs w:val="22"/>
        </w:rPr>
        <w:t>Respuesta:</w:t>
      </w:r>
    </w:p>
    <w:p w14:paraId="2698DF74" w14:textId="77777777" w:rsidR="004B5176" w:rsidRDefault="004B5176" w:rsidP="0028726C">
      <w:pPr>
        <w:rPr>
          <w:rFonts w:cs="Arial"/>
          <w:sz w:val="22"/>
          <w:szCs w:val="22"/>
        </w:rPr>
      </w:pPr>
    </w:p>
    <w:p w14:paraId="7A021E3D" w14:textId="0A45D0F7" w:rsidR="004B5176" w:rsidRDefault="004B5176" w:rsidP="0028726C">
      <w:pPr>
        <w:rPr>
          <w:rFonts w:cs="Arial"/>
          <w:sz w:val="22"/>
          <w:szCs w:val="22"/>
        </w:rPr>
      </w:pPr>
      <w:r>
        <w:rPr>
          <w:rFonts w:cs="Arial"/>
          <w:sz w:val="22"/>
          <w:szCs w:val="22"/>
        </w:rPr>
        <w:t>No se acoge el comentario.</w:t>
      </w:r>
    </w:p>
    <w:p w14:paraId="27839B61" w14:textId="77777777" w:rsidR="004B5176" w:rsidRDefault="004B5176" w:rsidP="0028726C">
      <w:pPr>
        <w:rPr>
          <w:rFonts w:cs="Arial"/>
          <w:sz w:val="22"/>
          <w:szCs w:val="22"/>
        </w:rPr>
      </w:pPr>
    </w:p>
    <w:p w14:paraId="54A4728C" w14:textId="46AD214F" w:rsidR="004B5176" w:rsidRDefault="004B5176" w:rsidP="0028726C">
      <w:pPr>
        <w:rPr>
          <w:rFonts w:cs="Arial"/>
          <w:sz w:val="22"/>
          <w:szCs w:val="22"/>
        </w:rPr>
      </w:pPr>
      <w:r>
        <w:rPr>
          <w:rFonts w:cs="Arial"/>
          <w:sz w:val="22"/>
          <w:szCs w:val="22"/>
        </w:rPr>
        <w:t>La propuesta de ajustes al Mercado Mayorista de Gas Natural no logrará por sí sola que haya más oferta de parte de los vendedores del mercado Primario, de cantidades para cumplir compromisos de contratos de tipo firme o que garantizan firmeza. Lo que sí se espera lograr es que, ante unas mismas condiciones de oferta comercial de los vendedores del Mercado Primario y cumpliendo la política energética respecto de la Demanda Esencial, haya más posibilidades de que se aplique la negociación directa entre las partes y que se cuente con mayor flexibilidad para que los vendedores puedan comprometer la totalidad de las cantidades que pueden ofrecer PTDVF/CIDVF y los compradores puedan adquirir esas cantidades a precios iguales o inferiores a los que habrían surgido. Asimismo, que haya más posibilidades de que se suscriban contratos de mayores plazos a los que actualmente se suscribe, con los efectos positivos que de ello resulta.</w:t>
      </w:r>
    </w:p>
    <w:p w14:paraId="1D1C26C2" w14:textId="77777777" w:rsidR="00B63936" w:rsidRDefault="00B63936" w:rsidP="0028726C">
      <w:pPr>
        <w:rPr>
          <w:rFonts w:cs="Arial"/>
          <w:sz w:val="22"/>
          <w:szCs w:val="22"/>
        </w:rPr>
      </w:pPr>
    </w:p>
    <w:p w14:paraId="2B9B341B" w14:textId="77777777" w:rsidR="00B63936" w:rsidRDefault="00B63936" w:rsidP="0028726C">
      <w:pPr>
        <w:rPr>
          <w:rFonts w:cs="Arial"/>
          <w:sz w:val="22"/>
          <w:szCs w:val="22"/>
        </w:rPr>
      </w:pPr>
    </w:p>
    <w:p w14:paraId="6B8A4EC9" w14:textId="77777777" w:rsidR="00CA3C32" w:rsidRDefault="0028726C" w:rsidP="00F23443">
      <w:pPr>
        <w:pStyle w:val="Ttulo4"/>
      </w:pPr>
      <w:r w:rsidRPr="0028726C">
        <w:t>VANTI</w:t>
      </w:r>
      <w:r w:rsidRPr="0028726C">
        <w:tab/>
      </w:r>
    </w:p>
    <w:p w14:paraId="459B2A64" w14:textId="66F08757" w:rsidR="0028726C" w:rsidRPr="004B5176" w:rsidRDefault="002E5274" w:rsidP="0028726C">
      <w:pPr>
        <w:rPr>
          <w:rFonts w:cs="Arial"/>
          <w:i/>
          <w:iCs/>
          <w:sz w:val="22"/>
          <w:szCs w:val="22"/>
        </w:rPr>
      </w:pPr>
      <w:r>
        <w:rPr>
          <w:rFonts w:cs="Arial"/>
          <w:i/>
          <w:iCs/>
          <w:sz w:val="22"/>
          <w:szCs w:val="22"/>
        </w:rPr>
        <w:t>“</w:t>
      </w:r>
      <w:r w:rsidR="0028726C" w:rsidRPr="004B5176">
        <w:rPr>
          <w:rFonts w:cs="Arial"/>
          <w:i/>
          <w:iCs/>
          <w:sz w:val="22"/>
          <w:szCs w:val="22"/>
        </w:rPr>
        <w:t>La propuesta incorpora la nueva modalidad CF80, sin embargo, resulta inconveniente que este tipo de producto no pueda dar cobertura a la demanda residencial teniendo en cuenta que el perfil de curva de esta demanda es la que más requiere la flexibilidad de un CF80 dado que el sector industrial tiene consumos más estables y planos.</w:t>
      </w:r>
      <w:r>
        <w:rPr>
          <w:rFonts w:cs="Arial"/>
          <w:i/>
          <w:iCs/>
          <w:sz w:val="22"/>
          <w:szCs w:val="22"/>
        </w:rPr>
        <w:t>”</w:t>
      </w:r>
    </w:p>
    <w:p w14:paraId="0CE40908" w14:textId="77777777" w:rsidR="004B5176" w:rsidRDefault="004B5176" w:rsidP="0028726C">
      <w:pPr>
        <w:rPr>
          <w:rFonts w:cs="Arial"/>
          <w:sz w:val="22"/>
          <w:szCs w:val="22"/>
        </w:rPr>
      </w:pPr>
    </w:p>
    <w:p w14:paraId="2F4FA809" w14:textId="52FFF40C" w:rsidR="004B5176" w:rsidRPr="004B5176" w:rsidRDefault="004B5176" w:rsidP="0028726C">
      <w:pPr>
        <w:rPr>
          <w:rFonts w:cs="Arial"/>
          <w:b/>
          <w:bCs/>
          <w:sz w:val="22"/>
          <w:szCs w:val="22"/>
        </w:rPr>
      </w:pPr>
      <w:r w:rsidRPr="004B5176">
        <w:rPr>
          <w:rFonts w:cs="Arial"/>
          <w:b/>
          <w:bCs/>
          <w:sz w:val="22"/>
          <w:szCs w:val="22"/>
        </w:rPr>
        <w:t>Respuesta:</w:t>
      </w:r>
    </w:p>
    <w:p w14:paraId="4D053717" w14:textId="77777777" w:rsidR="004B5176" w:rsidRDefault="004B5176" w:rsidP="0028726C">
      <w:pPr>
        <w:rPr>
          <w:rFonts w:cs="Arial"/>
          <w:sz w:val="22"/>
          <w:szCs w:val="22"/>
        </w:rPr>
      </w:pPr>
    </w:p>
    <w:p w14:paraId="39C9BA81" w14:textId="4819A831" w:rsidR="004B5176" w:rsidRPr="0028726C" w:rsidRDefault="00D46872"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_Ref132290500 \r \h </w:instrText>
      </w:r>
      <w:r>
        <w:rPr>
          <w:rFonts w:cs="Arial"/>
          <w:sz w:val="22"/>
          <w:szCs w:val="22"/>
        </w:rPr>
      </w:r>
      <w:r>
        <w:rPr>
          <w:rFonts w:cs="Arial"/>
          <w:sz w:val="22"/>
          <w:szCs w:val="22"/>
        </w:rPr>
        <w:fldChar w:fldCharType="separate"/>
      </w:r>
      <w:r>
        <w:rPr>
          <w:rFonts w:cs="Arial"/>
          <w:sz w:val="22"/>
          <w:szCs w:val="22"/>
        </w:rPr>
        <w:t>19.12.1.14</w:t>
      </w:r>
      <w:r>
        <w:rPr>
          <w:rFonts w:cs="Arial"/>
          <w:sz w:val="22"/>
          <w:szCs w:val="22"/>
        </w:rPr>
        <w:fldChar w:fldCharType="end"/>
      </w:r>
      <w:r>
        <w:rPr>
          <w:rFonts w:cs="Arial"/>
          <w:sz w:val="22"/>
          <w:szCs w:val="22"/>
        </w:rPr>
        <w:t>.</w:t>
      </w:r>
    </w:p>
    <w:p w14:paraId="19A44A34" w14:textId="77777777" w:rsidR="00CA3C32" w:rsidRDefault="00CA3C32" w:rsidP="0028726C">
      <w:pPr>
        <w:rPr>
          <w:rFonts w:cs="Arial"/>
          <w:sz w:val="22"/>
          <w:szCs w:val="22"/>
        </w:rPr>
      </w:pPr>
    </w:p>
    <w:p w14:paraId="0661FA8E" w14:textId="77777777" w:rsidR="00B63936" w:rsidRDefault="00B63936" w:rsidP="0028726C">
      <w:pPr>
        <w:rPr>
          <w:rFonts w:cs="Arial"/>
          <w:sz w:val="22"/>
          <w:szCs w:val="22"/>
        </w:rPr>
      </w:pPr>
    </w:p>
    <w:p w14:paraId="20D21173" w14:textId="77777777" w:rsidR="00CA3C32" w:rsidRDefault="0028726C" w:rsidP="00F23443">
      <w:pPr>
        <w:pStyle w:val="Ttulo4"/>
      </w:pPr>
      <w:r w:rsidRPr="0028726C">
        <w:t>VANTI</w:t>
      </w:r>
    </w:p>
    <w:p w14:paraId="6CB61A7D" w14:textId="49338D79" w:rsidR="0028726C" w:rsidRPr="00D46872" w:rsidRDefault="0028726C" w:rsidP="0028726C">
      <w:pPr>
        <w:rPr>
          <w:rFonts w:cs="Arial"/>
          <w:i/>
          <w:iCs/>
          <w:sz w:val="22"/>
          <w:szCs w:val="22"/>
        </w:rPr>
      </w:pPr>
      <w:r w:rsidRPr="0028726C">
        <w:rPr>
          <w:rFonts w:cs="Arial"/>
          <w:sz w:val="22"/>
          <w:szCs w:val="22"/>
        </w:rPr>
        <w:t>"</w:t>
      </w:r>
      <w:r w:rsidRPr="00D46872">
        <w:rPr>
          <w:rFonts w:cs="Arial"/>
          <w:i/>
          <w:iCs/>
          <w:sz w:val="22"/>
          <w:szCs w:val="22"/>
        </w:rPr>
        <w:t>Si es una situación de excedentes, ¿por qué se prohíbe atender la Demanda No Esencial antes que la Esencial?, es decir, incluso en un escenario excedentario la Comisión propone en el esquema del MADE que está en segunda prioridad la atención de la demanda industrial, regulada y no regulada.</w:t>
      </w:r>
    </w:p>
    <w:p w14:paraId="21231749" w14:textId="77777777" w:rsidR="0028726C" w:rsidRPr="00D46872" w:rsidRDefault="0028726C" w:rsidP="0028726C">
      <w:pPr>
        <w:rPr>
          <w:rFonts w:cs="Arial"/>
          <w:i/>
          <w:iCs/>
          <w:sz w:val="22"/>
          <w:szCs w:val="22"/>
        </w:rPr>
      </w:pPr>
    </w:p>
    <w:p w14:paraId="5A411852" w14:textId="77777777" w:rsidR="0028726C" w:rsidRDefault="0028726C" w:rsidP="0028726C">
      <w:pPr>
        <w:rPr>
          <w:rFonts w:cs="Arial"/>
          <w:sz w:val="22"/>
          <w:szCs w:val="22"/>
        </w:rPr>
      </w:pPr>
      <w:r w:rsidRPr="00D46872">
        <w:rPr>
          <w:rFonts w:cs="Arial"/>
          <w:i/>
          <w:iCs/>
          <w:sz w:val="22"/>
          <w:szCs w:val="22"/>
        </w:rPr>
        <w:t>Las solicitudes de Demanda Esencial corresponden a la estrategia de contratación que cada distribuidor tenga. Un Comprador puede estar adquiriendo gas en pico, otro en base, y decir que solo se debe poder atender la Demanda No Esencial una vez se cierren contrataciones por la totalidad de las solicitudes del Esencial puede ser no equilibrado con la Demanda No Esencial, en esta situación incluso excedentaria</w:t>
      </w:r>
      <w:r w:rsidRPr="0028726C">
        <w:rPr>
          <w:rFonts w:cs="Arial"/>
          <w:sz w:val="22"/>
          <w:szCs w:val="22"/>
        </w:rPr>
        <w:t>."</w:t>
      </w:r>
    </w:p>
    <w:p w14:paraId="5F739283" w14:textId="77777777" w:rsidR="00D46872" w:rsidRDefault="00D46872" w:rsidP="0028726C">
      <w:pPr>
        <w:rPr>
          <w:rFonts w:cs="Arial"/>
          <w:sz w:val="22"/>
          <w:szCs w:val="22"/>
        </w:rPr>
      </w:pPr>
    </w:p>
    <w:p w14:paraId="20ADEB11" w14:textId="7232DFBC" w:rsidR="00D46872" w:rsidRPr="00D46872" w:rsidRDefault="00D46872" w:rsidP="0028726C">
      <w:pPr>
        <w:rPr>
          <w:rFonts w:cs="Arial"/>
          <w:b/>
          <w:bCs/>
          <w:sz w:val="22"/>
          <w:szCs w:val="22"/>
        </w:rPr>
      </w:pPr>
      <w:r w:rsidRPr="00D46872">
        <w:rPr>
          <w:rFonts w:cs="Arial"/>
          <w:b/>
          <w:bCs/>
          <w:sz w:val="22"/>
          <w:szCs w:val="22"/>
        </w:rPr>
        <w:t>Respuesta:</w:t>
      </w:r>
    </w:p>
    <w:p w14:paraId="5A2673D5" w14:textId="77777777" w:rsidR="00D46872" w:rsidRDefault="00D46872" w:rsidP="0028726C">
      <w:pPr>
        <w:rPr>
          <w:rFonts w:cs="Arial"/>
          <w:sz w:val="22"/>
          <w:szCs w:val="22"/>
        </w:rPr>
      </w:pPr>
    </w:p>
    <w:p w14:paraId="1AD2EDCF" w14:textId="54DD1959" w:rsidR="00D46872" w:rsidRPr="0028726C" w:rsidRDefault="00D93047" w:rsidP="0028726C">
      <w:pPr>
        <w:rPr>
          <w:rFonts w:cs="Arial"/>
          <w:sz w:val="22"/>
          <w:szCs w:val="22"/>
        </w:rPr>
      </w:pPr>
      <w:r>
        <w:rPr>
          <w:rFonts w:cs="Arial"/>
          <w:sz w:val="22"/>
          <w:szCs w:val="22"/>
        </w:rPr>
        <w:t>La declaración de segunda instancia que hacen los compradores al Gestor del Mercado es la que se utiliza para efectos de determinar si hay un balance comercial superavitario o deficitario. Ni en dicha declaración de segunda instancia, ni en la primera instancia de declaración, en la propuesta se prohíbe incluir cantidades para atender bien sea la Demanda Esencial o sectores de consumo que no son parte de la Demanda Esencial</w:t>
      </w:r>
    </w:p>
    <w:p w14:paraId="733FC083" w14:textId="77777777" w:rsidR="00CA3C32" w:rsidRDefault="00CA3C32" w:rsidP="0028726C">
      <w:pPr>
        <w:rPr>
          <w:rFonts w:cs="Arial"/>
          <w:sz w:val="22"/>
          <w:szCs w:val="22"/>
        </w:rPr>
      </w:pPr>
    </w:p>
    <w:p w14:paraId="5A2941A3" w14:textId="7C8ACB7D" w:rsidR="00D93047" w:rsidRDefault="00D93047" w:rsidP="0028726C">
      <w:pPr>
        <w:rPr>
          <w:rFonts w:cs="Arial"/>
          <w:sz w:val="22"/>
          <w:szCs w:val="22"/>
        </w:rPr>
      </w:pPr>
      <w:r>
        <w:rPr>
          <w:rFonts w:cs="Arial"/>
          <w:sz w:val="22"/>
          <w:szCs w:val="22"/>
        </w:rPr>
        <w:t>Lo que sí se debe realizar por parte del Gestor del Mercado es que, ante un balance comercial deficitario, realice una distribución priorizada de la oferta disponible para atender las cantidades de la Demanda Esencial declaradas en la segunda instancia al Gestor del Mercado.</w:t>
      </w:r>
    </w:p>
    <w:p w14:paraId="1184DAD7" w14:textId="77777777" w:rsidR="00BF32E7" w:rsidRDefault="00BF32E7" w:rsidP="0028726C">
      <w:pPr>
        <w:rPr>
          <w:rFonts w:cs="Arial"/>
          <w:sz w:val="22"/>
          <w:szCs w:val="22"/>
        </w:rPr>
      </w:pPr>
    </w:p>
    <w:p w14:paraId="20897AF6" w14:textId="3136345A" w:rsidR="00BF32E7" w:rsidRDefault="00BF32E7" w:rsidP="0028726C">
      <w:pPr>
        <w:rPr>
          <w:rFonts w:cs="Arial"/>
          <w:sz w:val="22"/>
          <w:szCs w:val="22"/>
        </w:rPr>
      </w:pPr>
      <w:r>
        <w:rPr>
          <w:rFonts w:cs="Arial"/>
          <w:sz w:val="22"/>
          <w:szCs w:val="22"/>
        </w:rPr>
        <w:t xml:space="preserve">En la nueva propuesta se incluye un esquema de negociación en dos etapas, sin diferenciación respecto de la Demanda Esencial, cuando se da el caso de un balance comercial superavitario. Ver numeral </w:t>
      </w:r>
      <w:r>
        <w:rPr>
          <w:rFonts w:cs="Arial"/>
          <w:sz w:val="22"/>
          <w:szCs w:val="22"/>
        </w:rPr>
        <w:fldChar w:fldCharType="begin"/>
      </w:r>
      <w:r>
        <w:rPr>
          <w:rFonts w:cs="Arial"/>
          <w:sz w:val="22"/>
          <w:szCs w:val="22"/>
        </w:rPr>
        <w:instrText xml:space="preserve"> REF _Ref130304509 \r \h </w:instrText>
      </w:r>
      <w:r>
        <w:rPr>
          <w:rFonts w:cs="Arial"/>
          <w:sz w:val="22"/>
          <w:szCs w:val="22"/>
        </w:rPr>
      </w:r>
      <w:r>
        <w:rPr>
          <w:rFonts w:cs="Arial"/>
          <w:sz w:val="22"/>
          <w:szCs w:val="22"/>
        </w:rPr>
        <w:fldChar w:fldCharType="separate"/>
      </w:r>
      <w:r>
        <w:rPr>
          <w:rFonts w:cs="Arial"/>
          <w:sz w:val="22"/>
          <w:szCs w:val="22"/>
        </w:rPr>
        <w:t>4.11.1</w:t>
      </w:r>
      <w:r>
        <w:rPr>
          <w:rFonts w:cs="Arial"/>
          <w:sz w:val="22"/>
          <w:szCs w:val="22"/>
        </w:rPr>
        <w:fldChar w:fldCharType="end"/>
      </w:r>
      <w:r>
        <w:rPr>
          <w:rFonts w:cs="Arial"/>
          <w:sz w:val="22"/>
          <w:szCs w:val="22"/>
        </w:rPr>
        <w:t>.</w:t>
      </w:r>
    </w:p>
    <w:p w14:paraId="614263CF" w14:textId="77777777" w:rsidR="00B63936" w:rsidRDefault="00B63936" w:rsidP="0028726C">
      <w:pPr>
        <w:rPr>
          <w:rFonts w:cs="Arial"/>
          <w:sz w:val="22"/>
          <w:szCs w:val="22"/>
        </w:rPr>
      </w:pPr>
    </w:p>
    <w:p w14:paraId="3CF570C9" w14:textId="77777777" w:rsidR="00B63936" w:rsidRDefault="00B63936" w:rsidP="0028726C">
      <w:pPr>
        <w:rPr>
          <w:rFonts w:cs="Arial"/>
          <w:sz w:val="22"/>
          <w:szCs w:val="22"/>
        </w:rPr>
      </w:pPr>
    </w:p>
    <w:p w14:paraId="1A4C6AD8" w14:textId="77777777" w:rsidR="00CA3C32" w:rsidRDefault="0028726C" w:rsidP="00F23443">
      <w:pPr>
        <w:pStyle w:val="Ttulo4"/>
      </w:pPr>
      <w:r w:rsidRPr="0028726C">
        <w:t>VANTI</w:t>
      </w:r>
      <w:r w:rsidRPr="0028726C">
        <w:tab/>
      </w:r>
    </w:p>
    <w:p w14:paraId="0E4EE29A" w14:textId="368FF689" w:rsidR="0028726C" w:rsidRPr="00BF32E7" w:rsidRDefault="00A27B38" w:rsidP="0028726C">
      <w:pPr>
        <w:rPr>
          <w:rFonts w:cs="Arial"/>
          <w:i/>
          <w:iCs/>
          <w:sz w:val="22"/>
          <w:szCs w:val="22"/>
        </w:rPr>
      </w:pPr>
      <w:r>
        <w:rPr>
          <w:rFonts w:cs="Arial"/>
          <w:i/>
          <w:iCs/>
          <w:sz w:val="22"/>
          <w:szCs w:val="22"/>
        </w:rPr>
        <w:t>“</w:t>
      </w:r>
      <w:r w:rsidR="0028726C" w:rsidRPr="00BF32E7">
        <w:rPr>
          <w:rFonts w:cs="Arial"/>
          <w:i/>
          <w:iCs/>
          <w:sz w:val="22"/>
          <w:szCs w:val="22"/>
        </w:rPr>
        <w:t xml:space="preserve">En situación deficitaria, que no es por el mecanismo de negociación directa, no hay posibilidad de diferenciación de precios por mercados (sí precios diferenciales por fuente en un mismo Punto de Referencia). Esto resulta inconveniente para el mantenimiento de la demanda e incluso para el crecimiento de ésta, el precio del mercado de GNV tiene una realidad de sustitutos diferentes al precio del mercado residencial. </w:t>
      </w:r>
      <w:proofErr w:type="gramStart"/>
      <w:r w:rsidR="0028726C" w:rsidRPr="00BF32E7">
        <w:rPr>
          <w:rFonts w:cs="Arial"/>
          <w:i/>
          <w:iCs/>
          <w:sz w:val="22"/>
          <w:szCs w:val="22"/>
        </w:rPr>
        <w:t>Igualmente</w:t>
      </w:r>
      <w:proofErr w:type="gramEnd"/>
      <w:r w:rsidR="0028726C" w:rsidRPr="00BF32E7">
        <w:rPr>
          <w:rFonts w:cs="Arial"/>
          <w:i/>
          <w:iCs/>
          <w:sz w:val="22"/>
          <w:szCs w:val="22"/>
        </w:rPr>
        <w:t xml:space="preserve"> la industria. Deberían plantearse subastas por tipología de demanda, en varias fases para que no queden cantidades sin colocar.</w:t>
      </w:r>
      <w:r>
        <w:rPr>
          <w:rFonts w:cs="Arial"/>
          <w:i/>
          <w:iCs/>
          <w:sz w:val="22"/>
          <w:szCs w:val="22"/>
        </w:rPr>
        <w:t>”</w:t>
      </w:r>
    </w:p>
    <w:p w14:paraId="50246E8B" w14:textId="77777777" w:rsidR="00BF32E7" w:rsidRDefault="00BF32E7" w:rsidP="0028726C">
      <w:pPr>
        <w:rPr>
          <w:rFonts w:cs="Arial"/>
          <w:sz w:val="22"/>
          <w:szCs w:val="22"/>
        </w:rPr>
      </w:pPr>
    </w:p>
    <w:p w14:paraId="5D3BE368" w14:textId="4454DEEB" w:rsidR="00BF32E7" w:rsidRPr="00BF32E7" w:rsidRDefault="00BF32E7" w:rsidP="0028726C">
      <w:pPr>
        <w:rPr>
          <w:rFonts w:cs="Arial"/>
          <w:b/>
          <w:bCs/>
          <w:sz w:val="22"/>
          <w:szCs w:val="22"/>
        </w:rPr>
      </w:pPr>
      <w:r w:rsidRPr="00BF32E7">
        <w:rPr>
          <w:rFonts w:cs="Arial"/>
          <w:b/>
          <w:bCs/>
          <w:sz w:val="22"/>
          <w:szCs w:val="22"/>
        </w:rPr>
        <w:t>Respuesta:</w:t>
      </w:r>
    </w:p>
    <w:p w14:paraId="1159A49B" w14:textId="77777777" w:rsidR="00BF32E7" w:rsidRDefault="00BF32E7" w:rsidP="0028726C">
      <w:pPr>
        <w:rPr>
          <w:rFonts w:cs="Arial"/>
          <w:sz w:val="22"/>
          <w:szCs w:val="22"/>
        </w:rPr>
      </w:pPr>
    </w:p>
    <w:p w14:paraId="54FAD2AF" w14:textId="398C0311" w:rsidR="00CA3C32" w:rsidRDefault="00E143E0" w:rsidP="0028726C">
      <w:pPr>
        <w:rPr>
          <w:rFonts w:cs="Arial"/>
          <w:sz w:val="22"/>
          <w:szCs w:val="22"/>
        </w:rPr>
      </w:pPr>
      <w:r>
        <w:rPr>
          <w:rFonts w:cs="Arial"/>
          <w:sz w:val="22"/>
          <w:szCs w:val="22"/>
        </w:rPr>
        <w:t xml:space="preserve">Ver respuesta a </w:t>
      </w:r>
      <w:r w:rsidR="00B80684">
        <w:rPr>
          <w:rFonts w:cs="Arial"/>
          <w:sz w:val="22"/>
          <w:szCs w:val="22"/>
        </w:rPr>
        <w:fldChar w:fldCharType="begin"/>
      </w:r>
      <w:r w:rsidR="00B80684">
        <w:rPr>
          <w:rFonts w:cs="Arial"/>
          <w:sz w:val="22"/>
          <w:szCs w:val="22"/>
        </w:rPr>
        <w:instrText xml:space="preserve"> REF _Ref132198348 \r \h </w:instrText>
      </w:r>
      <w:r w:rsidR="00B80684">
        <w:rPr>
          <w:rFonts w:cs="Arial"/>
          <w:sz w:val="22"/>
          <w:szCs w:val="22"/>
        </w:rPr>
      </w:r>
      <w:r w:rsidR="00B80684">
        <w:rPr>
          <w:rFonts w:cs="Arial"/>
          <w:sz w:val="22"/>
          <w:szCs w:val="22"/>
        </w:rPr>
        <w:fldChar w:fldCharType="separate"/>
      </w:r>
      <w:r w:rsidR="00B80684">
        <w:rPr>
          <w:rFonts w:cs="Arial"/>
          <w:sz w:val="22"/>
          <w:szCs w:val="22"/>
        </w:rPr>
        <w:t>19.7.1.4</w:t>
      </w:r>
      <w:r w:rsidR="00B80684">
        <w:rPr>
          <w:rFonts w:cs="Arial"/>
          <w:sz w:val="22"/>
          <w:szCs w:val="22"/>
        </w:rPr>
        <w:fldChar w:fldCharType="end"/>
      </w:r>
      <w:r w:rsidR="00B80684">
        <w:rPr>
          <w:rFonts w:cs="Arial"/>
          <w:sz w:val="22"/>
          <w:szCs w:val="22"/>
        </w:rPr>
        <w:t>.</w:t>
      </w:r>
    </w:p>
    <w:p w14:paraId="78E829A5" w14:textId="77777777" w:rsidR="00B63936" w:rsidRDefault="00B63936" w:rsidP="0028726C">
      <w:pPr>
        <w:rPr>
          <w:rFonts w:cs="Arial"/>
          <w:sz w:val="22"/>
          <w:szCs w:val="22"/>
        </w:rPr>
      </w:pPr>
    </w:p>
    <w:p w14:paraId="7CC22241" w14:textId="77777777" w:rsidR="00B63936" w:rsidRDefault="00B63936" w:rsidP="0028726C">
      <w:pPr>
        <w:rPr>
          <w:rFonts w:cs="Arial"/>
          <w:sz w:val="22"/>
          <w:szCs w:val="22"/>
        </w:rPr>
      </w:pPr>
    </w:p>
    <w:p w14:paraId="5A27BC7C" w14:textId="77777777" w:rsidR="00CA3C32" w:rsidRDefault="0028726C" w:rsidP="00F23443">
      <w:pPr>
        <w:pStyle w:val="Ttulo4"/>
      </w:pPr>
      <w:r w:rsidRPr="0028726C">
        <w:t>VANTI</w:t>
      </w:r>
      <w:r w:rsidRPr="0028726C">
        <w:tab/>
      </w:r>
    </w:p>
    <w:p w14:paraId="0357D523" w14:textId="497ACB8D" w:rsidR="0028726C" w:rsidRPr="00B80684" w:rsidRDefault="00A27B38" w:rsidP="0028726C">
      <w:pPr>
        <w:rPr>
          <w:rFonts w:cs="Arial"/>
          <w:i/>
          <w:iCs/>
          <w:sz w:val="22"/>
          <w:szCs w:val="22"/>
        </w:rPr>
      </w:pPr>
      <w:r>
        <w:rPr>
          <w:rFonts w:cs="Arial"/>
          <w:i/>
          <w:iCs/>
          <w:sz w:val="22"/>
          <w:szCs w:val="22"/>
        </w:rPr>
        <w:t>“</w:t>
      </w:r>
      <w:r w:rsidR="0028726C" w:rsidRPr="00B80684">
        <w:rPr>
          <w:rFonts w:cs="Arial"/>
          <w:i/>
          <w:iCs/>
          <w:sz w:val="22"/>
          <w:szCs w:val="22"/>
        </w:rPr>
        <w:t xml:space="preserve">En esta etapa se menciona que </w:t>
      </w:r>
      <w:proofErr w:type="gramStart"/>
      <w:r w:rsidR="0028726C" w:rsidRPr="00B80684">
        <w:rPr>
          <w:rFonts w:cs="Arial"/>
          <w:i/>
          <w:iCs/>
          <w:sz w:val="22"/>
          <w:szCs w:val="22"/>
        </w:rPr>
        <w:t>en relación a</w:t>
      </w:r>
      <w:proofErr w:type="gramEnd"/>
      <w:r w:rsidR="0028726C" w:rsidRPr="00B80684">
        <w:rPr>
          <w:rFonts w:cs="Arial"/>
          <w:i/>
          <w:iCs/>
          <w:sz w:val="22"/>
          <w:szCs w:val="22"/>
        </w:rPr>
        <w:t xml:space="preserve"> las cantidades descontadas y que atienden la Demanda Esencial, se avanzará a realizar las negociaciones entre Vendedor y Comprador, y acordar los términos de los contratos, y que, de no llegar a acuerdo, estas cantidades podrán llegar a ser “liberadas” para ser usadas por los Vendedores en otras negociaciones o en los procesos remanentes para la Demanda No Esencial. Al respecto, no puede ser que unas solicitudes hayan generado la situación de déficit, la situación de subastas, y que luego por un no acuerdo del contrato no se cierren. Insistimos que llegar a la situación de subasta es la situación más desfavorable para el sector y para cualquier segmento de mercado de demanda, residencial o industrial o GNV. Esa solicitud tiene un peso de responsabilidad muy grande y debe cerrarse si fue solicitada. Como propuesta se propone que los contratos sean conocidos desde el inicio del proceso y negociados antes que el MADE tenga inicio. Esto es una práctica hoy en día en los procesos.</w:t>
      </w:r>
      <w:r>
        <w:rPr>
          <w:rFonts w:cs="Arial"/>
          <w:i/>
          <w:iCs/>
          <w:sz w:val="22"/>
          <w:szCs w:val="22"/>
        </w:rPr>
        <w:t>”</w:t>
      </w:r>
    </w:p>
    <w:p w14:paraId="06D79B01" w14:textId="77777777" w:rsidR="00CA3C32" w:rsidRDefault="00CA3C32" w:rsidP="0028726C">
      <w:pPr>
        <w:rPr>
          <w:rFonts w:cs="Arial"/>
          <w:sz w:val="22"/>
          <w:szCs w:val="22"/>
        </w:rPr>
      </w:pPr>
    </w:p>
    <w:p w14:paraId="776285E9" w14:textId="7C9649D8" w:rsidR="00B63936" w:rsidRPr="00B80684" w:rsidRDefault="00B80684" w:rsidP="0028726C">
      <w:pPr>
        <w:rPr>
          <w:rFonts w:cs="Arial"/>
          <w:b/>
          <w:bCs/>
          <w:sz w:val="22"/>
          <w:szCs w:val="22"/>
        </w:rPr>
      </w:pPr>
      <w:r w:rsidRPr="00B80684">
        <w:rPr>
          <w:rFonts w:cs="Arial"/>
          <w:b/>
          <w:bCs/>
          <w:sz w:val="22"/>
          <w:szCs w:val="22"/>
        </w:rPr>
        <w:t>Respuesta:</w:t>
      </w:r>
    </w:p>
    <w:p w14:paraId="7251FC79" w14:textId="77777777" w:rsidR="00B80684" w:rsidRDefault="00B80684" w:rsidP="0028726C">
      <w:pPr>
        <w:rPr>
          <w:rFonts w:cs="Arial"/>
          <w:sz w:val="22"/>
          <w:szCs w:val="22"/>
        </w:rPr>
      </w:pPr>
    </w:p>
    <w:p w14:paraId="2AC970E5" w14:textId="7A6B38AB" w:rsidR="00F26C07" w:rsidRDefault="00F26C07" w:rsidP="0028726C">
      <w:pPr>
        <w:rPr>
          <w:rFonts w:cs="Arial"/>
          <w:sz w:val="22"/>
          <w:szCs w:val="22"/>
        </w:rPr>
      </w:pPr>
      <w:r>
        <w:rPr>
          <w:rFonts w:cs="Arial"/>
          <w:sz w:val="22"/>
          <w:szCs w:val="22"/>
        </w:rPr>
        <w:t>Se acoge el comentario.</w:t>
      </w:r>
    </w:p>
    <w:p w14:paraId="3F0A00B2" w14:textId="77777777" w:rsidR="00F26C07" w:rsidRDefault="00F26C07" w:rsidP="0028726C">
      <w:pPr>
        <w:rPr>
          <w:rFonts w:cs="Arial"/>
          <w:sz w:val="22"/>
          <w:szCs w:val="22"/>
        </w:rPr>
      </w:pPr>
    </w:p>
    <w:p w14:paraId="39843A27" w14:textId="0DEA3DDB" w:rsidR="00F26C07" w:rsidRDefault="00F26C07" w:rsidP="0028726C">
      <w:pPr>
        <w:rPr>
          <w:rFonts w:cs="Arial"/>
          <w:sz w:val="22"/>
          <w:szCs w:val="22"/>
        </w:rPr>
      </w:pPr>
      <w:r>
        <w:rPr>
          <w:rFonts w:cs="Arial"/>
          <w:sz w:val="22"/>
          <w:szCs w:val="22"/>
        </w:rPr>
        <w:t xml:space="preserve">En la nueva propuesta se incluyó como parte de la declaración de los vendedores al Gestor del Mercado que informe </w:t>
      </w:r>
      <w:r w:rsidR="00513BFD" w:rsidRPr="00513BFD">
        <w:rPr>
          <w:rFonts w:cs="Arial"/>
          <w:sz w:val="22"/>
          <w:szCs w:val="22"/>
        </w:rPr>
        <w:t xml:space="preserve">el contenido de la minuta del contrato que garantice firmeza, que será utilizada para la modalidad contractual CF95, de suministro con firmeza condicionada CFC o de opción de compra de gas OCG, solo en caso de requerirse aplicar el mecanismo de subasta </w:t>
      </w:r>
      <w:r w:rsidR="00513BFD">
        <w:rPr>
          <w:rFonts w:cs="Arial"/>
          <w:sz w:val="22"/>
          <w:szCs w:val="22"/>
        </w:rPr>
        <w:t xml:space="preserve">propuesto </w:t>
      </w:r>
      <w:r w:rsidR="00513BFD" w:rsidRPr="00513BFD">
        <w:rPr>
          <w:rFonts w:cs="Arial"/>
          <w:sz w:val="22"/>
          <w:szCs w:val="22"/>
        </w:rPr>
        <w:t>o en caso de utilizarse mecanismos de concurrencia de interesados para las fuentes de suministro que pueden aplicar negociaciones directas</w:t>
      </w:r>
    </w:p>
    <w:p w14:paraId="597A49F3" w14:textId="77777777" w:rsidR="00F26C07" w:rsidRDefault="00F26C07" w:rsidP="0028726C">
      <w:pPr>
        <w:rPr>
          <w:rFonts w:cs="Arial"/>
          <w:sz w:val="22"/>
          <w:szCs w:val="22"/>
        </w:rPr>
      </w:pPr>
    </w:p>
    <w:p w14:paraId="6226C939" w14:textId="0CFCCE12" w:rsidR="00B80684" w:rsidRDefault="00656388" w:rsidP="0028726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_Ref132639814 \r \h </w:instrText>
      </w:r>
      <w:r>
        <w:rPr>
          <w:rFonts w:cs="Arial"/>
          <w:sz w:val="22"/>
          <w:szCs w:val="22"/>
        </w:rPr>
      </w:r>
      <w:r>
        <w:rPr>
          <w:rFonts w:cs="Arial"/>
          <w:sz w:val="22"/>
          <w:szCs w:val="22"/>
        </w:rPr>
        <w:fldChar w:fldCharType="separate"/>
      </w:r>
      <w:r>
        <w:rPr>
          <w:rFonts w:cs="Arial"/>
          <w:sz w:val="22"/>
          <w:szCs w:val="22"/>
        </w:rPr>
        <w:t>19.13.1.12</w:t>
      </w:r>
      <w:r>
        <w:rPr>
          <w:rFonts w:cs="Arial"/>
          <w:sz w:val="22"/>
          <w:szCs w:val="22"/>
        </w:rPr>
        <w:fldChar w:fldCharType="end"/>
      </w:r>
      <w:r>
        <w:rPr>
          <w:rFonts w:cs="Arial"/>
          <w:sz w:val="22"/>
          <w:szCs w:val="22"/>
        </w:rPr>
        <w:t>.</w:t>
      </w:r>
    </w:p>
    <w:p w14:paraId="3ED97179" w14:textId="77777777" w:rsidR="00F26C07" w:rsidRDefault="00F26C07" w:rsidP="0028726C">
      <w:pPr>
        <w:rPr>
          <w:rFonts w:cs="Arial"/>
          <w:sz w:val="22"/>
          <w:szCs w:val="22"/>
        </w:rPr>
      </w:pPr>
    </w:p>
    <w:p w14:paraId="4CEDD95E" w14:textId="77777777" w:rsidR="00B63936" w:rsidRDefault="00B63936" w:rsidP="0028726C">
      <w:pPr>
        <w:rPr>
          <w:rFonts w:cs="Arial"/>
          <w:sz w:val="22"/>
          <w:szCs w:val="22"/>
        </w:rPr>
      </w:pPr>
    </w:p>
    <w:p w14:paraId="0BA290CD" w14:textId="77777777" w:rsidR="00CA3C32" w:rsidRDefault="0028726C" w:rsidP="00F23443">
      <w:pPr>
        <w:pStyle w:val="Ttulo4"/>
      </w:pPr>
      <w:bookmarkStart w:id="865" w:name="_Ref132720412"/>
      <w:r w:rsidRPr="0028726C">
        <w:t>VANTI</w:t>
      </w:r>
      <w:bookmarkEnd w:id="865"/>
      <w:r w:rsidRPr="0028726C">
        <w:tab/>
      </w:r>
    </w:p>
    <w:p w14:paraId="58C226D1" w14:textId="68DA3768" w:rsidR="00D26961" w:rsidRPr="00DD104C" w:rsidRDefault="00662F23" w:rsidP="0028726C">
      <w:pPr>
        <w:rPr>
          <w:rFonts w:cs="Arial"/>
          <w:i/>
          <w:iCs/>
          <w:sz w:val="22"/>
          <w:szCs w:val="22"/>
        </w:rPr>
      </w:pPr>
      <w:r>
        <w:rPr>
          <w:rFonts w:cs="Arial"/>
          <w:i/>
          <w:iCs/>
          <w:sz w:val="22"/>
          <w:szCs w:val="22"/>
        </w:rPr>
        <w:t>“</w:t>
      </w:r>
      <w:r w:rsidR="0028726C" w:rsidRPr="00DD104C">
        <w:rPr>
          <w:rFonts w:cs="Arial"/>
          <w:i/>
          <w:iCs/>
          <w:sz w:val="22"/>
          <w:szCs w:val="22"/>
        </w:rPr>
        <w:t>Teniendo en cuenta que los Compradores se están obligando a adquirir las cantidades de Demanda Esencial, el precio de reserva que definan los Vendedores se infiere tendería a ser alto, con alta probabilidad no cerraría para las subastas de Demanda No Esencial y demanda Esencial no regulada</w:t>
      </w:r>
      <w:r w:rsidR="00B63936" w:rsidRPr="00DD104C">
        <w:rPr>
          <w:rFonts w:cs="Arial"/>
          <w:i/>
          <w:iCs/>
          <w:sz w:val="22"/>
          <w:szCs w:val="22"/>
        </w:rPr>
        <w:t>.</w:t>
      </w:r>
      <w:r>
        <w:rPr>
          <w:rFonts w:cs="Arial"/>
          <w:i/>
          <w:iCs/>
          <w:sz w:val="22"/>
          <w:szCs w:val="22"/>
        </w:rPr>
        <w:t>”</w:t>
      </w:r>
    </w:p>
    <w:p w14:paraId="405BDC7D" w14:textId="77777777" w:rsidR="00B63936" w:rsidRDefault="00B63936" w:rsidP="0028726C">
      <w:pPr>
        <w:rPr>
          <w:rFonts w:cs="Arial"/>
          <w:sz w:val="22"/>
          <w:szCs w:val="22"/>
        </w:rPr>
      </w:pPr>
    </w:p>
    <w:p w14:paraId="67B8F1E6" w14:textId="5C288992" w:rsidR="00DD104C" w:rsidRPr="00DD104C" w:rsidRDefault="00DD104C" w:rsidP="0028726C">
      <w:pPr>
        <w:rPr>
          <w:rFonts w:cs="Arial"/>
          <w:b/>
          <w:bCs/>
          <w:sz w:val="22"/>
          <w:szCs w:val="22"/>
        </w:rPr>
      </w:pPr>
      <w:r w:rsidRPr="00DD104C">
        <w:rPr>
          <w:rFonts w:cs="Arial"/>
          <w:b/>
          <w:bCs/>
          <w:sz w:val="22"/>
          <w:szCs w:val="22"/>
        </w:rPr>
        <w:t>Respuesta:</w:t>
      </w:r>
    </w:p>
    <w:p w14:paraId="200CF925" w14:textId="77777777" w:rsidR="00DD104C" w:rsidRDefault="00DD104C" w:rsidP="0028726C">
      <w:pPr>
        <w:rPr>
          <w:rFonts w:cs="Arial"/>
          <w:sz w:val="22"/>
          <w:szCs w:val="22"/>
        </w:rPr>
      </w:pPr>
    </w:p>
    <w:p w14:paraId="2AEF3135" w14:textId="1783B662" w:rsidR="00DD104C" w:rsidRDefault="00A03F2A" w:rsidP="0028726C">
      <w:pPr>
        <w:rPr>
          <w:rFonts w:cs="Arial"/>
          <w:sz w:val="22"/>
          <w:szCs w:val="22"/>
        </w:rPr>
      </w:pPr>
      <w:r>
        <w:rPr>
          <w:rFonts w:cs="Arial"/>
          <w:sz w:val="22"/>
          <w:szCs w:val="22"/>
        </w:rPr>
        <w:t xml:space="preserve">Dentro del objetivo de maximización de cantidades contratadas que se presume persiguen los vendedores del mercado Primario y en cumplimiento de las Reglas de Comportamiento establecidas en la Resolución CREG 080 de 3019 o aquellas que la adicionen o sustituyan, no se espera que los precios de reserva tiendan ser </w:t>
      </w:r>
      <w:r w:rsidR="00F325A8">
        <w:rPr>
          <w:rFonts w:cs="Arial"/>
          <w:sz w:val="22"/>
          <w:szCs w:val="22"/>
        </w:rPr>
        <w:t xml:space="preserve">más </w:t>
      </w:r>
      <w:r>
        <w:rPr>
          <w:rFonts w:cs="Arial"/>
          <w:sz w:val="22"/>
          <w:szCs w:val="22"/>
        </w:rPr>
        <w:t>altos</w:t>
      </w:r>
      <w:r w:rsidR="00F325A8">
        <w:rPr>
          <w:rFonts w:cs="Arial"/>
          <w:sz w:val="22"/>
          <w:szCs w:val="22"/>
        </w:rPr>
        <w:t xml:space="preserve"> de lo que deberían ser de acuerdo con resultados de las negociaciones directas de otros trimestres para la misma fuente de suministro</w:t>
      </w:r>
      <w:r>
        <w:rPr>
          <w:rFonts w:cs="Arial"/>
          <w:sz w:val="22"/>
          <w:szCs w:val="22"/>
        </w:rPr>
        <w:t xml:space="preserve">. Ver respuesta a </w:t>
      </w:r>
      <w:r w:rsidR="004B1D0B">
        <w:rPr>
          <w:rFonts w:cs="Arial"/>
          <w:sz w:val="22"/>
          <w:szCs w:val="22"/>
        </w:rPr>
        <w:fldChar w:fldCharType="begin"/>
      </w:r>
      <w:r w:rsidR="004B1D0B">
        <w:rPr>
          <w:rFonts w:cs="Arial"/>
          <w:sz w:val="22"/>
          <w:szCs w:val="22"/>
        </w:rPr>
        <w:instrText xml:space="preserve"> REF _Ref132198348 \r \h </w:instrText>
      </w:r>
      <w:r w:rsidR="004B1D0B">
        <w:rPr>
          <w:rFonts w:cs="Arial"/>
          <w:sz w:val="22"/>
          <w:szCs w:val="22"/>
        </w:rPr>
      </w:r>
      <w:r w:rsidR="004B1D0B">
        <w:rPr>
          <w:rFonts w:cs="Arial"/>
          <w:sz w:val="22"/>
          <w:szCs w:val="22"/>
        </w:rPr>
        <w:fldChar w:fldCharType="separate"/>
      </w:r>
      <w:r w:rsidR="004B1D0B">
        <w:rPr>
          <w:rFonts w:cs="Arial"/>
          <w:sz w:val="22"/>
          <w:szCs w:val="22"/>
        </w:rPr>
        <w:t>19.7.1.4</w:t>
      </w:r>
      <w:r w:rsidR="004B1D0B">
        <w:rPr>
          <w:rFonts w:cs="Arial"/>
          <w:sz w:val="22"/>
          <w:szCs w:val="22"/>
        </w:rPr>
        <w:fldChar w:fldCharType="end"/>
      </w:r>
      <w:r w:rsidR="004B1D0B">
        <w:rPr>
          <w:rFonts w:cs="Arial"/>
          <w:sz w:val="22"/>
          <w:szCs w:val="22"/>
        </w:rPr>
        <w:t>.</w:t>
      </w:r>
      <w:r>
        <w:rPr>
          <w:rFonts w:cs="Arial"/>
          <w:sz w:val="22"/>
          <w:szCs w:val="22"/>
        </w:rPr>
        <w:t xml:space="preserve"> </w:t>
      </w:r>
    </w:p>
    <w:p w14:paraId="41B80909" w14:textId="77777777" w:rsidR="00A03F2A" w:rsidRDefault="00A03F2A" w:rsidP="0028726C">
      <w:pPr>
        <w:rPr>
          <w:rFonts w:cs="Arial"/>
          <w:sz w:val="22"/>
          <w:szCs w:val="22"/>
        </w:rPr>
      </w:pPr>
    </w:p>
    <w:p w14:paraId="7BBA0651" w14:textId="77777777" w:rsidR="00B63936" w:rsidRDefault="00B63936" w:rsidP="0028726C">
      <w:pPr>
        <w:rPr>
          <w:rFonts w:cs="Arial"/>
          <w:sz w:val="22"/>
          <w:szCs w:val="22"/>
        </w:rPr>
      </w:pPr>
    </w:p>
    <w:p w14:paraId="7EF705E0" w14:textId="77777777" w:rsidR="00B63936" w:rsidRDefault="00B63936" w:rsidP="00B63936">
      <w:pPr>
        <w:pStyle w:val="Ttulo4"/>
      </w:pPr>
      <w:r w:rsidRPr="0028726C">
        <w:t>VANTI</w:t>
      </w:r>
      <w:r w:rsidRPr="0028726C">
        <w:tab/>
      </w:r>
    </w:p>
    <w:p w14:paraId="20AE0500" w14:textId="39B30D26" w:rsidR="00B63936" w:rsidRPr="00D166B7" w:rsidRDefault="00B63936" w:rsidP="00B63936">
      <w:pPr>
        <w:rPr>
          <w:rFonts w:cs="Arial"/>
          <w:i/>
          <w:iCs/>
          <w:sz w:val="22"/>
          <w:szCs w:val="22"/>
        </w:rPr>
      </w:pPr>
      <w:r w:rsidRPr="00D166B7">
        <w:rPr>
          <w:rFonts w:cs="Arial"/>
          <w:i/>
          <w:iCs/>
          <w:sz w:val="22"/>
          <w:szCs w:val="22"/>
        </w:rPr>
        <w:t>Realización de subastas en la Demanda No Esencial. Será bien complicado que justo en un esquema de subasta, donde el precio se maximiza, se den cierres para la demanda que resulta ser la más elástica.</w:t>
      </w:r>
    </w:p>
    <w:p w14:paraId="2EACBA88" w14:textId="64E3AEAF" w:rsidR="00D26961" w:rsidRDefault="00D26961" w:rsidP="00371CB5">
      <w:pPr>
        <w:rPr>
          <w:rFonts w:cs="Arial"/>
          <w:b/>
          <w:bCs/>
          <w:sz w:val="22"/>
          <w:szCs w:val="22"/>
        </w:rPr>
      </w:pPr>
    </w:p>
    <w:p w14:paraId="0DB14B24" w14:textId="2933B459" w:rsidR="0028726C" w:rsidRPr="00D166B7" w:rsidRDefault="00D166B7" w:rsidP="00371CB5">
      <w:pPr>
        <w:rPr>
          <w:rFonts w:cs="Arial"/>
          <w:b/>
          <w:bCs/>
          <w:sz w:val="22"/>
          <w:szCs w:val="22"/>
        </w:rPr>
      </w:pPr>
      <w:r w:rsidRPr="00D166B7">
        <w:rPr>
          <w:rFonts w:cs="Arial"/>
          <w:b/>
          <w:bCs/>
          <w:sz w:val="22"/>
          <w:szCs w:val="22"/>
        </w:rPr>
        <w:t>Respuesta:</w:t>
      </w:r>
    </w:p>
    <w:p w14:paraId="2430FBD4" w14:textId="77777777" w:rsidR="00D166B7" w:rsidRDefault="00D166B7" w:rsidP="00371CB5">
      <w:pPr>
        <w:rPr>
          <w:rFonts w:cs="Arial"/>
          <w:b/>
          <w:bCs/>
          <w:sz w:val="22"/>
          <w:szCs w:val="22"/>
        </w:rPr>
      </w:pPr>
    </w:p>
    <w:p w14:paraId="6ECCA812" w14:textId="111FC9C3" w:rsidR="00D166B7" w:rsidRPr="00D166B7" w:rsidRDefault="00D166B7" w:rsidP="00371CB5">
      <w:pPr>
        <w:rPr>
          <w:rFonts w:cs="Arial"/>
          <w:sz w:val="22"/>
          <w:szCs w:val="22"/>
        </w:rPr>
      </w:pPr>
      <w:r w:rsidRPr="00D166B7">
        <w:rPr>
          <w:rFonts w:cs="Arial"/>
          <w:sz w:val="22"/>
          <w:szCs w:val="22"/>
        </w:rPr>
        <w:t xml:space="preserve">Ver respuesta a </w:t>
      </w:r>
      <w:r w:rsidRPr="00D166B7">
        <w:rPr>
          <w:rFonts w:cs="Arial"/>
          <w:sz w:val="22"/>
          <w:szCs w:val="22"/>
        </w:rPr>
        <w:fldChar w:fldCharType="begin"/>
      </w:r>
      <w:r w:rsidRPr="00D166B7">
        <w:rPr>
          <w:rFonts w:cs="Arial"/>
          <w:sz w:val="22"/>
          <w:szCs w:val="22"/>
        </w:rPr>
        <w:instrText xml:space="preserve"> REF _Ref132720412 \r \h </w:instrText>
      </w:r>
      <w:r>
        <w:rPr>
          <w:rFonts w:cs="Arial"/>
          <w:sz w:val="22"/>
          <w:szCs w:val="22"/>
        </w:rPr>
        <w:instrText xml:space="preserve"> \* MERGEFORMAT </w:instrText>
      </w:r>
      <w:r w:rsidRPr="00D166B7">
        <w:rPr>
          <w:rFonts w:cs="Arial"/>
          <w:sz w:val="22"/>
          <w:szCs w:val="22"/>
        </w:rPr>
      </w:r>
      <w:r w:rsidRPr="00D166B7">
        <w:rPr>
          <w:rFonts w:cs="Arial"/>
          <w:sz w:val="22"/>
          <w:szCs w:val="22"/>
        </w:rPr>
        <w:fldChar w:fldCharType="separate"/>
      </w:r>
      <w:r w:rsidRPr="00D166B7">
        <w:rPr>
          <w:rFonts w:cs="Arial"/>
          <w:sz w:val="22"/>
          <w:szCs w:val="22"/>
        </w:rPr>
        <w:t>19.28.1.24</w:t>
      </w:r>
      <w:r w:rsidRPr="00D166B7">
        <w:rPr>
          <w:rFonts w:cs="Arial"/>
          <w:sz w:val="22"/>
          <w:szCs w:val="22"/>
        </w:rPr>
        <w:fldChar w:fldCharType="end"/>
      </w:r>
      <w:r w:rsidRPr="00D166B7">
        <w:rPr>
          <w:rFonts w:cs="Arial"/>
          <w:sz w:val="22"/>
          <w:szCs w:val="22"/>
        </w:rPr>
        <w:t>.</w:t>
      </w:r>
    </w:p>
    <w:p w14:paraId="39A3F696" w14:textId="77777777" w:rsidR="0028726C" w:rsidRDefault="0028726C" w:rsidP="00371CB5">
      <w:pPr>
        <w:rPr>
          <w:rFonts w:cs="Arial"/>
          <w:b/>
          <w:bCs/>
          <w:sz w:val="22"/>
          <w:szCs w:val="22"/>
        </w:rPr>
      </w:pPr>
    </w:p>
    <w:p w14:paraId="53F7D149" w14:textId="6524B8B5" w:rsidR="00D26961" w:rsidRDefault="00D26961" w:rsidP="00371CB5">
      <w:pPr>
        <w:rPr>
          <w:rFonts w:cs="Arial"/>
          <w:b/>
          <w:bCs/>
          <w:sz w:val="22"/>
          <w:szCs w:val="22"/>
        </w:rPr>
      </w:pPr>
    </w:p>
    <w:p w14:paraId="144DAFBD" w14:textId="77777777" w:rsidR="00D166B7" w:rsidRDefault="00D166B7" w:rsidP="00371CB5">
      <w:pPr>
        <w:rPr>
          <w:rFonts w:cs="Arial"/>
          <w:b/>
          <w:bCs/>
          <w:sz w:val="22"/>
          <w:szCs w:val="22"/>
        </w:rPr>
      </w:pPr>
    </w:p>
    <w:p w14:paraId="359EE224" w14:textId="0ACA39EE" w:rsidR="00D26961" w:rsidRDefault="00D26961" w:rsidP="00D26961">
      <w:pPr>
        <w:pStyle w:val="Ttulo1"/>
        <w:numPr>
          <w:ilvl w:val="0"/>
          <w:numId w:val="1"/>
        </w:numPr>
        <w:rPr>
          <w:caps/>
        </w:rPr>
      </w:pPr>
      <w:bookmarkStart w:id="866" w:name="_Toc140506453"/>
      <w:r>
        <w:t xml:space="preserve">ARTÍCULO </w:t>
      </w:r>
      <w:r w:rsidR="00EF1C07">
        <w:t>22</w:t>
      </w:r>
      <w:r>
        <w:t xml:space="preserve">. </w:t>
      </w:r>
      <w:r w:rsidR="0070732E" w:rsidRPr="0070732E">
        <w:rPr>
          <w:caps/>
        </w:rPr>
        <w:t>Condiciones de negociación de los contratos de suministro de gas que requieren Respaldo Físico</w:t>
      </w:r>
      <w:bookmarkEnd w:id="866"/>
    </w:p>
    <w:p w14:paraId="517D7B2D" w14:textId="77777777" w:rsidR="00396C9B" w:rsidRPr="00781FE6" w:rsidRDefault="00396C9B" w:rsidP="00781FE6">
      <w:pPr>
        <w:pStyle w:val="Ttulo2"/>
      </w:pPr>
      <w:bookmarkStart w:id="867" w:name="_Toc140506454"/>
      <w:r w:rsidRPr="00781FE6">
        <w:t>ACP</w:t>
      </w:r>
      <w:bookmarkEnd w:id="867"/>
      <w:r w:rsidRPr="00781FE6">
        <w:tab/>
      </w:r>
    </w:p>
    <w:p w14:paraId="03AA188A" w14:textId="77777777" w:rsidR="00456774" w:rsidRPr="00781FE6" w:rsidRDefault="00456774" w:rsidP="00456774">
      <w:pPr>
        <w:pStyle w:val="Ttulo4"/>
      </w:pPr>
      <w:bookmarkStart w:id="868" w:name="_Ref132894380"/>
      <w:r w:rsidRPr="00781FE6">
        <w:t>ACP</w:t>
      </w:r>
      <w:bookmarkEnd w:id="868"/>
      <w:r w:rsidRPr="00781FE6">
        <w:tab/>
      </w:r>
    </w:p>
    <w:p w14:paraId="5BE1D2D7" w14:textId="520629C6" w:rsidR="00396C9B" w:rsidRPr="006A05B3" w:rsidRDefault="00396C9B" w:rsidP="00396C9B">
      <w:pPr>
        <w:rPr>
          <w:bCs/>
          <w:i/>
          <w:iCs/>
          <w:sz w:val="22"/>
          <w:szCs w:val="22"/>
        </w:rPr>
      </w:pPr>
      <w:r w:rsidRPr="00781FE6">
        <w:rPr>
          <w:bCs/>
          <w:sz w:val="22"/>
          <w:szCs w:val="22"/>
        </w:rPr>
        <w:t>"</w:t>
      </w:r>
      <w:r w:rsidRPr="006A05B3">
        <w:rPr>
          <w:bCs/>
          <w:i/>
          <w:iCs/>
          <w:sz w:val="22"/>
          <w:szCs w:val="22"/>
        </w:rPr>
        <w:t>Dentro de la flexibilidad que propone la CREG en las condiciones de contratos que requieren respaldo físico, se incluye que todos los contratos de suministro de gas que se suscriban deberán contener una cláusula de ajuste regulatorio en la que se especifique que, después del último trimestre del año de gas de 2025, las condiciones contractuales deberán ajustarse conforme a las disposiciones que eventualmente determine la CREG. Al respecto, consideramos que dicha propuesta, al contrario de generar flexibilidad en los contratos, genera incertidumbre para las partes, tanto para vendedores como para compradores, desincentivando la celebración de contratos a largo plazo (más allá de 2025) y, por ende, proyectos de nueva oferta y de nueva demanda.</w:t>
      </w:r>
    </w:p>
    <w:p w14:paraId="016271D4" w14:textId="77777777" w:rsidR="00396C9B" w:rsidRPr="006A05B3" w:rsidRDefault="00396C9B" w:rsidP="00396C9B">
      <w:pPr>
        <w:rPr>
          <w:bCs/>
          <w:i/>
          <w:iCs/>
          <w:sz w:val="22"/>
          <w:szCs w:val="22"/>
        </w:rPr>
      </w:pPr>
    </w:p>
    <w:p w14:paraId="38B57ED3" w14:textId="77777777" w:rsidR="00396C9B" w:rsidRDefault="00396C9B" w:rsidP="00396C9B">
      <w:pPr>
        <w:rPr>
          <w:bCs/>
          <w:sz w:val="22"/>
          <w:szCs w:val="22"/>
        </w:rPr>
      </w:pPr>
      <w:r w:rsidRPr="006A05B3">
        <w:rPr>
          <w:bCs/>
          <w:i/>
          <w:iCs/>
          <w:sz w:val="22"/>
          <w:szCs w:val="22"/>
        </w:rPr>
        <w:t>Por ello, y sin perjuicio de las demás medidas que ha señalado la CREG para flexibilizar las condiciones de los contratos, sugerimos eliminar de la propuesta la cláusula de ajuste regulatorio a la que hace referencia el literal a) del artículo 22 de la resolución en consulta, de tal forma que las partes tengan la opción de revisar y evaluar eventuales nuevas condiciones regulatorias, y decidir si continúan o no la ejecución de los contratos</w:t>
      </w:r>
      <w:r w:rsidRPr="00781FE6">
        <w:rPr>
          <w:bCs/>
          <w:sz w:val="22"/>
          <w:szCs w:val="22"/>
        </w:rPr>
        <w:t>."</w:t>
      </w:r>
    </w:p>
    <w:p w14:paraId="2858C547" w14:textId="77777777" w:rsidR="006A05B3" w:rsidRDefault="006A05B3" w:rsidP="00396C9B">
      <w:pPr>
        <w:rPr>
          <w:bCs/>
          <w:sz w:val="22"/>
          <w:szCs w:val="22"/>
        </w:rPr>
      </w:pPr>
    </w:p>
    <w:p w14:paraId="1CB08474" w14:textId="6B05702F" w:rsidR="006A05B3" w:rsidRPr="006A05B3" w:rsidRDefault="006A05B3" w:rsidP="00396C9B">
      <w:pPr>
        <w:rPr>
          <w:b/>
          <w:sz w:val="22"/>
          <w:szCs w:val="22"/>
        </w:rPr>
      </w:pPr>
      <w:r w:rsidRPr="006A05B3">
        <w:rPr>
          <w:b/>
          <w:sz w:val="22"/>
          <w:szCs w:val="22"/>
        </w:rPr>
        <w:t>Respuesta:</w:t>
      </w:r>
    </w:p>
    <w:p w14:paraId="0352E2DC" w14:textId="77777777" w:rsidR="006A05B3" w:rsidRDefault="006A05B3" w:rsidP="00396C9B">
      <w:pPr>
        <w:rPr>
          <w:bCs/>
          <w:sz w:val="22"/>
          <w:szCs w:val="22"/>
        </w:rPr>
      </w:pPr>
    </w:p>
    <w:p w14:paraId="2E58BC57" w14:textId="3A532FAD" w:rsidR="006A05B3" w:rsidRDefault="006A05B3" w:rsidP="00396C9B">
      <w:pPr>
        <w:rPr>
          <w:bCs/>
          <w:sz w:val="22"/>
          <w:szCs w:val="22"/>
        </w:rPr>
      </w:pPr>
      <w:r>
        <w:rPr>
          <w:bCs/>
          <w:sz w:val="22"/>
          <w:szCs w:val="22"/>
        </w:rPr>
        <w:t>Se acoge el comentario parcialmente.</w:t>
      </w:r>
    </w:p>
    <w:p w14:paraId="7E08F919" w14:textId="77777777" w:rsidR="006A05B3" w:rsidRDefault="006A05B3" w:rsidP="00396C9B">
      <w:pPr>
        <w:rPr>
          <w:bCs/>
          <w:sz w:val="22"/>
          <w:szCs w:val="22"/>
        </w:rPr>
      </w:pPr>
    </w:p>
    <w:p w14:paraId="4A6A2F31" w14:textId="5FDD3D1E" w:rsidR="006A05B3" w:rsidRDefault="006A05B3" w:rsidP="00396C9B">
      <w:pPr>
        <w:rPr>
          <w:bCs/>
          <w:sz w:val="22"/>
          <w:szCs w:val="22"/>
        </w:rPr>
      </w:pPr>
      <w:r>
        <w:rPr>
          <w:bCs/>
          <w:sz w:val="22"/>
          <w:szCs w:val="22"/>
        </w:rPr>
        <w:t xml:space="preserve">La </w:t>
      </w:r>
      <w:r w:rsidR="00EF55C3">
        <w:rPr>
          <w:bCs/>
          <w:sz w:val="22"/>
          <w:szCs w:val="22"/>
        </w:rPr>
        <w:t xml:space="preserve">inclusión como requisito o condición </w:t>
      </w:r>
      <w:r>
        <w:rPr>
          <w:bCs/>
          <w:sz w:val="22"/>
          <w:szCs w:val="22"/>
        </w:rPr>
        <w:t>mínim</w:t>
      </w:r>
      <w:r w:rsidR="00EF55C3">
        <w:rPr>
          <w:bCs/>
          <w:sz w:val="22"/>
          <w:szCs w:val="22"/>
        </w:rPr>
        <w:t xml:space="preserve">a para incluir en los contratos del Mercado Primario </w:t>
      </w:r>
      <w:r>
        <w:rPr>
          <w:bCs/>
          <w:sz w:val="22"/>
          <w:szCs w:val="22"/>
        </w:rPr>
        <w:t>una cláusula que permita aju</w:t>
      </w:r>
      <w:r w:rsidR="00EF55C3">
        <w:rPr>
          <w:bCs/>
          <w:sz w:val="22"/>
          <w:szCs w:val="22"/>
        </w:rPr>
        <w:t>s</w:t>
      </w:r>
      <w:r>
        <w:rPr>
          <w:bCs/>
          <w:sz w:val="22"/>
          <w:szCs w:val="22"/>
        </w:rPr>
        <w:t xml:space="preserve">tes </w:t>
      </w:r>
      <w:r w:rsidR="00EF55C3">
        <w:rPr>
          <w:bCs/>
          <w:sz w:val="22"/>
          <w:szCs w:val="22"/>
        </w:rPr>
        <w:t>o modificaciones en los contratos vigentes</w:t>
      </w:r>
      <w:r>
        <w:rPr>
          <w:bCs/>
          <w:sz w:val="22"/>
          <w:szCs w:val="22"/>
        </w:rPr>
        <w:t xml:space="preserve"> en virtud de modificaciones de la regulaci</w:t>
      </w:r>
      <w:r w:rsidR="00EF55C3">
        <w:rPr>
          <w:bCs/>
          <w:sz w:val="22"/>
          <w:szCs w:val="22"/>
        </w:rPr>
        <w:t>ó</w:t>
      </w:r>
      <w:r>
        <w:rPr>
          <w:bCs/>
          <w:sz w:val="22"/>
          <w:szCs w:val="22"/>
        </w:rPr>
        <w:t>n</w:t>
      </w:r>
      <w:r w:rsidR="00EF55C3">
        <w:rPr>
          <w:bCs/>
          <w:sz w:val="22"/>
          <w:szCs w:val="22"/>
        </w:rPr>
        <w:t xml:space="preserve"> tiene por objetivo </w:t>
      </w:r>
      <w:r>
        <w:rPr>
          <w:bCs/>
          <w:sz w:val="22"/>
          <w:szCs w:val="22"/>
        </w:rPr>
        <w:t xml:space="preserve">precisamente dar flexibilidad a las partes de los contratos, </w:t>
      </w:r>
      <w:r w:rsidR="00EF55C3">
        <w:rPr>
          <w:bCs/>
          <w:sz w:val="22"/>
          <w:szCs w:val="22"/>
        </w:rPr>
        <w:t>para que en ejercicio de su autonomía se adapten a aquellas regulaciones</w:t>
      </w:r>
      <w:r>
        <w:rPr>
          <w:bCs/>
          <w:sz w:val="22"/>
          <w:szCs w:val="22"/>
        </w:rPr>
        <w:t xml:space="preserve"> que deban ser aplicadas necesariamente </w:t>
      </w:r>
      <w:r w:rsidR="00B102B7">
        <w:rPr>
          <w:bCs/>
          <w:sz w:val="22"/>
          <w:szCs w:val="22"/>
        </w:rPr>
        <w:t>para eventos futuros</w:t>
      </w:r>
      <w:r w:rsidR="00EF55C3">
        <w:rPr>
          <w:bCs/>
          <w:sz w:val="22"/>
          <w:szCs w:val="22"/>
        </w:rPr>
        <w:t xml:space="preserve"> y que puedan afectar en algún modo el equilibrio de los contratos entre las partes, suscritos previamente a las nuevas regulaciones. Lo anterior con el fin de incentivar la firma de contratos de largo plazo, tal como ocurre con otras propuestas incluidas en la resolución.</w:t>
      </w:r>
    </w:p>
    <w:p w14:paraId="46F7FEDF" w14:textId="2B3265E3" w:rsidR="00EF55C3" w:rsidRDefault="00EF55C3" w:rsidP="00396C9B">
      <w:pPr>
        <w:rPr>
          <w:bCs/>
          <w:sz w:val="22"/>
          <w:szCs w:val="22"/>
        </w:rPr>
      </w:pPr>
    </w:p>
    <w:p w14:paraId="0AE1D884" w14:textId="457E9FB5" w:rsidR="00EF55C3" w:rsidRDefault="00EF55C3" w:rsidP="00396C9B">
      <w:pPr>
        <w:rPr>
          <w:bCs/>
          <w:sz w:val="22"/>
          <w:szCs w:val="22"/>
        </w:rPr>
      </w:pPr>
      <w:r>
        <w:rPr>
          <w:bCs/>
          <w:sz w:val="22"/>
          <w:szCs w:val="22"/>
        </w:rPr>
        <w:t>Se hizo una revisión del texto inicialmente propuesto en la Resolución CREG 226 de 2021 y en la nueva propuesta se hacen ajustes de redacción de modo que quede claro que, ante nuevas regulaciones que eventualmente expida la CREG y que deban ser aplicadas a contratos vigentes, las partes puedan realizar modificaciones a esos contratos para cumplir con las regulaciones expedidas, buscando mantener el equilibrio que inicialmente llevó a la firma del contrato</w:t>
      </w:r>
      <w:r w:rsidR="000F3D63">
        <w:rPr>
          <w:bCs/>
          <w:sz w:val="22"/>
          <w:szCs w:val="22"/>
        </w:rPr>
        <w:t xml:space="preserve"> y aplicar las disposiciones generales para los event</w:t>
      </w:r>
      <w:r w:rsidR="005433A5">
        <w:rPr>
          <w:bCs/>
          <w:sz w:val="22"/>
          <w:szCs w:val="22"/>
        </w:rPr>
        <w:t>o</w:t>
      </w:r>
      <w:r w:rsidR="000F3D63">
        <w:rPr>
          <w:bCs/>
          <w:sz w:val="22"/>
          <w:szCs w:val="22"/>
        </w:rPr>
        <w:t>s que corran hacia adelante</w:t>
      </w:r>
      <w:r>
        <w:rPr>
          <w:bCs/>
          <w:sz w:val="22"/>
          <w:szCs w:val="22"/>
        </w:rPr>
        <w:t>. Lo anterior de modo que las partes no prefieran dar por terminado el contrato o que ni siquiera se intente la firma de un contrato de largo plazo.</w:t>
      </w:r>
    </w:p>
    <w:p w14:paraId="748F8704" w14:textId="77777777" w:rsidR="006A05B3" w:rsidRPr="00781FE6" w:rsidRDefault="006A05B3" w:rsidP="00396C9B">
      <w:pPr>
        <w:rPr>
          <w:bCs/>
          <w:sz w:val="22"/>
          <w:szCs w:val="22"/>
        </w:rPr>
      </w:pPr>
    </w:p>
    <w:p w14:paraId="4158689B" w14:textId="77777777" w:rsidR="00396C9B" w:rsidRPr="00781FE6" w:rsidRDefault="00396C9B" w:rsidP="00396C9B">
      <w:pPr>
        <w:rPr>
          <w:bCs/>
          <w:sz w:val="22"/>
          <w:szCs w:val="22"/>
        </w:rPr>
      </w:pPr>
    </w:p>
    <w:p w14:paraId="7C65FA56" w14:textId="77777777" w:rsidR="00396C9B" w:rsidRPr="00781FE6" w:rsidRDefault="00396C9B" w:rsidP="00456774">
      <w:pPr>
        <w:pStyle w:val="Ttulo4"/>
      </w:pPr>
      <w:bookmarkStart w:id="869" w:name="_Ref133212724"/>
      <w:r w:rsidRPr="00781FE6">
        <w:t>ACP</w:t>
      </w:r>
      <w:bookmarkEnd w:id="869"/>
      <w:r w:rsidRPr="00781FE6">
        <w:tab/>
      </w:r>
    </w:p>
    <w:p w14:paraId="25CF2FF5" w14:textId="7332BB32" w:rsidR="00396C9B" w:rsidRPr="00EF55C3" w:rsidRDefault="006145CC" w:rsidP="00396C9B">
      <w:pPr>
        <w:rPr>
          <w:bCs/>
          <w:i/>
          <w:iCs/>
          <w:sz w:val="22"/>
          <w:szCs w:val="22"/>
        </w:rPr>
      </w:pPr>
      <w:r>
        <w:rPr>
          <w:bCs/>
          <w:i/>
          <w:iCs/>
          <w:sz w:val="22"/>
          <w:szCs w:val="22"/>
        </w:rPr>
        <w:t>“</w:t>
      </w:r>
      <w:r w:rsidR="00396C9B" w:rsidRPr="00EF55C3">
        <w:rPr>
          <w:bCs/>
          <w:i/>
          <w:iCs/>
          <w:sz w:val="22"/>
          <w:szCs w:val="22"/>
        </w:rPr>
        <w:t>Por favor indicar cual es el mercado relevante para un comercializador.</w:t>
      </w:r>
      <w:r>
        <w:rPr>
          <w:bCs/>
          <w:i/>
          <w:iCs/>
          <w:sz w:val="22"/>
          <w:szCs w:val="22"/>
        </w:rPr>
        <w:t>”</w:t>
      </w:r>
    </w:p>
    <w:p w14:paraId="5A4801F6" w14:textId="77777777" w:rsidR="00EF55C3" w:rsidRDefault="00EF55C3" w:rsidP="00396C9B">
      <w:pPr>
        <w:rPr>
          <w:bCs/>
          <w:sz w:val="22"/>
          <w:szCs w:val="22"/>
        </w:rPr>
      </w:pPr>
    </w:p>
    <w:p w14:paraId="6D3CCF24" w14:textId="2E6060B2" w:rsidR="00EF55C3" w:rsidRPr="00EF55C3" w:rsidRDefault="00EF55C3" w:rsidP="00396C9B">
      <w:pPr>
        <w:rPr>
          <w:b/>
          <w:sz w:val="22"/>
          <w:szCs w:val="22"/>
        </w:rPr>
      </w:pPr>
      <w:r w:rsidRPr="00EF55C3">
        <w:rPr>
          <w:b/>
          <w:sz w:val="22"/>
          <w:szCs w:val="22"/>
        </w:rPr>
        <w:t>Respuesta:</w:t>
      </w:r>
    </w:p>
    <w:p w14:paraId="0683B932" w14:textId="77777777" w:rsidR="00EF55C3" w:rsidRDefault="00EF55C3" w:rsidP="00396C9B">
      <w:pPr>
        <w:rPr>
          <w:bCs/>
          <w:sz w:val="22"/>
          <w:szCs w:val="22"/>
        </w:rPr>
      </w:pPr>
    </w:p>
    <w:p w14:paraId="140342CE" w14:textId="58FD8672" w:rsidR="003A3F50" w:rsidRDefault="003A3F50" w:rsidP="00396C9B">
      <w:pPr>
        <w:rPr>
          <w:bCs/>
          <w:sz w:val="22"/>
          <w:szCs w:val="22"/>
        </w:rPr>
      </w:pPr>
      <w:r>
        <w:rPr>
          <w:bCs/>
          <w:sz w:val="22"/>
          <w:szCs w:val="22"/>
        </w:rPr>
        <w:t>La definición de “Mercado relevante de comercialización” se encuentra en la Resolución CREG 137 de 2013, que establece lo siguiente:</w:t>
      </w:r>
    </w:p>
    <w:p w14:paraId="514B836B" w14:textId="77777777" w:rsidR="003A3F50" w:rsidRDefault="003A3F50" w:rsidP="00396C9B">
      <w:pPr>
        <w:rPr>
          <w:bCs/>
          <w:sz w:val="22"/>
          <w:szCs w:val="22"/>
        </w:rPr>
      </w:pPr>
    </w:p>
    <w:p w14:paraId="627A3CC5" w14:textId="340E71E0" w:rsidR="003A3F50" w:rsidRDefault="003A3F50" w:rsidP="003A3F50">
      <w:pPr>
        <w:ind w:left="708"/>
        <w:rPr>
          <w:bCs/>
          <w:sz w:val="22"/>
          <w:szCs w:val="22"/>
        </w:rPr>
      </w:pPr>
      <w:r>
        <w:rPr>
          <w:bCs/>
          <w:sz w:val="22"/>
          <w:szCs w:val="22"/>
        </w:rPr>
        <w:t>“</w:t>
      </w:r>
      <w:r w:rsidRPr="003A3F50">
        <w:rPr>
          <w:b/>
          <w:i/>
          <w:iCs/>
          <w:sz w:val="22"/>
          <w:szCs w:val="22"/>
        </w:rPr>
        <w:t>Mercado Relevante de Comercialización:</w:t>
      </w:r>
      <w:r w:rsidRPr="003A3F50">
        <w:rPr>
          <w:bCs/>
          <w:i/>
          <w:iCs/>
          <w:sz w:val="22"/>
          <w:szCs w:val="22"/>
        </w:rPr>
        <w:t xml:space="preserve"> Conjunto de usuarios conectados directamente a un mismo Sistema de Distribución, para el cual la Comisión de Regulación de Energía y Gas ha aprobado el cargo respectivo</w:t>
      </w:r>
      <w:r w:rsidRPr="003A3F50">
        <w:rPr>
          <w:bCs/>
          <w:sz w:val="22"/>
          <w:szCs w:val="22"/>
        </w:rPr>
        <w:t>.</w:t>
      </w:r>
      <w:r>
        <w:rPr>
          <w:bCs/>
          <w:sz w:val="22"/>
          <w:szCs w:val="22"/>
        </w:rPr>
        <w:t>”</w:t>
      </w:r>
    </w:p>
    <w:p w14:paraId="53EDBCD2" w14:textId="77777777" w:rsidR="00EF55C3" w:rsidRPr="00781FE6" w:rsidRDefault="00EF55C3" w:rsidP="00396C9B">
      <w:pPr>
        <w:rPr>
          <w:bCs/>
          <w:sz w:val="22"/>
          <w:szCs w:val="22"/>
        </w:rPr>
      </w:pPr>
    </w:p>
    <w:p w14:paraId="46F1A720" w14:textId="77777777" w:rsidR="00396C9B" w:rsidRPr="00781FE6" w:rsidRDefault="00396C9B" w:rsidP="00396C9B">
      <w:pPr>
        <w:rPr>
          <w:bCs/>
          <w:sz w:val="22"/>
          <w:szCs w:val="22"/>
        </w:rPr>
      </w:pPr>
    </w:p>
    <w:p w14:paraId="310BE65E" w14:textId="77777777" w:rsidR="00396C9B" w:rsidRPr="00781FE6" w:rsidRDefault="00396C9B" w:rsidP="00456774">
      <w:pPr>
        <w:pStyle w:val="Ttulo4"/>
      </w:pPr>
      <w:bookmarkStart w:id="870" w:name="_Ref132893566"/>
      <w:r w:rsidRPr="00781FE6">
        <w:t>ACP</w:t>
      </w:r>
      <w:bookmarkEnd w:id="870"/>
      <w:r w:rsidRPr="00781FE6">
        <w:tab/>
      </w:r>
    </w:p>
    <w:p w14:paraId="186F9E00" w14:textId="0D5CDB9E" w:rsidR="00396C9B" w:rsidRPr="003A3F50" w:rsidRDefault="006145CC" w:rsidP="00396C9B">
      <w:pPr>
        <w:rPr>
          <w:bCs/>
          <w:i/>
          <w:iCs/>
          <w:sz w:val="22"/>
          <w:szCs w:val="22"/>
        </w:rPr>
      </w:pPr>
      <w:r>
        <w:rPr>
          <w:bCs/>
          <w:i/>
          <w:iCs/>
          <w:sz w:val="22"/>
          <w:szCs w:val="22"/>
        </w:rPr>
        <w:t>“</w:t>
      </w:r>
      <w:r w:rsidR="00396C9B" w:rsidRPr="003A3F50">
        <w:rPr>
          <w:bCs/>
          <w:i/>
          <w:iCs/>
          <w:sz w:val="22"/>
          <w:szCs w:val="22"/>
        </w:rPr>
        <w:t>La comercialización del gas de campos en pruebas debería ser destinada a atender cualquier tipo de demanda sin discriminación, incluida la demanda esencial, siempre que la misma esté respaldada con reservas sean probables o posibles.</w:t>
      </w:r>
      <w:r>
        <w:rPr>
          <w:bCs/>
          <w:i/>
          <w:iCs/>
          <w:sz w:val="22"/>
          <w:szCs w:val="22"/>
        </w:rPr>
        <w:t>”</w:t>
      </w:r>
      <w:r w:rsidR="00396C9B" w:rsidRPr="003A3F50">
        <w:rPr>
          <w:bCs/>
          <w:i/>
          <w:iCs/>
          <w:sz w:val="22"/>
          <w:szCs w:val="22"/>
        </w:rPr>
        <w:t xml:space="preserve"> </w:t>
      </w:r>
    </w:p>
    <w:p w14:paraId="35A089C7" w14:textId="77777777" w:rsidR="003A3F50" w:rsidRDefault="003A3F50" w:rsidP="00396C9B">
      <w:pPr>
        <w:rPr>
          <w:bCs/>
          <w:sz w:val="22"/>
          <w:szCs w:val="22"/>
        </w:rPr>
      </w:pPr>
    </w:p>
    <w:p w14:paraId="263C97AC" w14:textId="4DA298A7" w:rsidR="003A3F50" w:rsidRDefault="003A3F50" w:rsidP="00396C9B">
      <w:pPr>
        <w:rPr>
          <w:b/>
          <w:sz w:val="22"/>
          <w:szCs w:val="22"/>
        </w:rPr>
      </w:pPr>
      <w:r w:rsidRPr="003A3F50">
        <w:rPr>
          <w:b/>
          <w:sz w:val="22"/>
          <w:szCs w:val="22"/>
        </w:rPr>
        <w:t>Respuesta:</w:t>
      </w:r>
    </w:p>
    <w:p w14:paraId="79CE5105" w14:textId="77777777" w:rsidR="00F9409F" w:rsidRDefault="00F9409F" w:rsidP="00396C9B">
      <w:pPr>
        <w:rPr>
          <w:bCs/>
          <w:sz w:val="22"/>
          <w:szCs w:val="22"/>
        </w:rPr>
      </w:pPr>
    </w:p>
    <w:p w14:paraId="34A56D2D" w14:textId="73B1747A" w:rsidR="003A3F50" w:rsidRDefault="00BD5D99" w:rsidP="00396C9B">
      <w:pPr>
        <w:rPr>
          <w:bCs/>
          <w:sz w:val="22"/>
          <w:szCs w:val="22"/>
        </w:rPr>
      </w:pPr>
      <w:r w:rsidRPr="00BD5D99">
        <w:rPr>
          <w:bCs/>
          <w:sz w:val="22"/>
          <w:szCs w:val="22"/>
        </w:rPr>
        <w:t>Se acoge el comentario</w:t>
      </w:r>
      <w:r w:rsidR="00031E8B">
        <w:rPr>
          <w:bCs/>
          <w:sz w:val="22"/>
          <w:szCs w:val="22"/>
        </w:rPr>
        <w:t xml:space="preserve"> parcialmente</w:t>
      </w:r>
      <w:r w:rsidRPr="00BD5D99">
        <w:rPr>
          <w:bCs/>
          <w:sz w:val="22"/>
          <w:szCs w:val="22"/>
        </w:rPr>
        <w:t>.</w:t>
      </w:r>
    </w:p>
    <w:p w14:paraId="6EAEE068" w14:textId="77777777" w:rsidR="00031E8B" w:rsidRDefault="00031E8B" w:rsidP="00396C9B">
      <w:pPr>
        <w:rPr>
          <w:bCs/>
          <w:sz w:val="22"/>
          <w:szCs w:val="22"/>
        </w:rPr>
      </w:pPr>
    </w:p>
    <w:p w14:paraId="5150051C" w14:textId="58956D5A" w:rsidR="00031E8B" w:rsidRPr="00BD5D99" w:rsidRDefault="00031E8B" w:rsidP="00396C9B">
      <w:pPr>
        <w:rPr>
          <w:bCs/>
          <w:sz w:val="22"/>
          <w:szCs w:val="22"/>
        </w:rPr>
      </w:pPr>
      <w:r>
        <w:rPr>
          <w:bCs/>
          <w:sz w:val="22"/>
          <w:szCs w:val="22"/>
        </w:rPr>
        <w:t xml:space="preserve">Por error de redacción, que se corrige en la nueva propuesta, en la Resolución CREG 226 de 2021 se escribió “(…) </w:t>
      </w:r>
      <w:r w:rsidRPr="00031E8B">
        <w:rPr>
          <w:bCs/>
          <w:i/>
          <w:iCs/>
          <w:sz w:val="22"/>
          <w:szCs w:val="22"/>
        </w:rPr>
        <w:t xml:space="preserve">reservas probables y/o posibles </w:t>
      </w:r>
      <w:r>
        <w:rPr>
          <w:bCs/>
          <w:sz w:val="22"/>
          <w:szCs w:val="22"/>
        </w:rPr>
        <w:t xml:space="preserve">(…) en el numeral i. del literal a) del numeral 1. del Artículo 19, cuando el texto corresponde a “reservas probadas y/o probables”, en armonía con la definición de Reservas de Gas Natural que se incluye en el Artículo 3 de la propuesta. </w:t>
      </w:r>
    </w:p>
    <w:p w14:paraId="6DA6F2D7" w14:textId="77777777" w:rsidR="00BD5D99" w:rsidRPr="00BD5D99" w:rsidRDefault="00BD5D99" w:rsidP="00396C9B">
      <w:pPr>
        <w:rPr>
          <w:bCs/>
          <w:sz w:val="22"/>
          <w:szCs w:val="22"/>
        </w:rPr>
      </w:pPr>
    </w:p>
    <w:p w14:paraId="7F45F669" w14:textId="24CDFCE7" w:rsidR="003A3F50" w:rsidRDefault="00BD5D99" w:rsidP="00396C9B">
      <w:pPr>
        <w:rPr>
          <w:bCs/>
          <w:sz w:val="22"/>
          <w:szCs w:val="22"/>
        </w:rPr>
      </w:pPr>
      <w:r w:rsidRPr="00BD5D99">
        <w:rPr>
          <w:bCs/>
          <w:sz w:val="22"/>
          <w:szCs w:val="22"/>
        </w:rPr>
        <w:t xml:space="preserve">Ver respuesta a </w:t>
      </w:r>
      <w:r w:rsidRPr="00BD5D99">
        <w:rPr>
          <w:bCs/>
          <w:sz w:val="22"/>
          <w:szCs w:val="22"/>
        </w:rPr>
        <w:fldChar w:fldCharType="begin"/>
      </w:r>
      <w:r w:rsidRPr="00BD5D99">
        <w:rPr>
          <w:bCs/>
          <w:sz w:val="22"/>
          <w:szCs w:val="22"/>
        </w:rPr>
        <w:instrText xml:space="preserve"> REF _Ref132004660 \r \h </w:instrText>
      </w:r>
      <w:r>
        <w:rPr>
          <w:bCs/>
          <w:sz w:val="22"/>
          <w:szCs w:val="22"/>
        </w:rPr>
        <w:instrText xml:space="preserve"> \* MERGEFORMAT </w:instrText>
      </w:r>
      <w:r w:rsidRPr="00BD5D99">
        <w:rPr>
          <w:bCs/>
          <w:sz w:val="22"/>
          <w:szCs w:val="22"/>
        </w:rPr>
      </w:r>
      <w:r w:rsidRPr="00BD5D99">
        <w:rPr>
          <w:bCs/>
          <w:sz w:val="22"/>
          <w:szCs w:val="22"/>
        </w:rPr>
        <w:fldChar w:fldCharType="separate"/>
      </w:r>
      <w:r w:rsidRPr="00BD5D99">
        <w:rPr>
          <w:bCs/>
          <w:sz w:val="22"/>
          <w:szCs w:val="22"/>
        </w:rPr>
        <w:t>17.14.1.1</w:t>
      </w:r>
      <w:r w:rsidRPr="00BD5D99">
        <w:rPr>
          <w:bCs/>
          <w:sz w:val="22"/>
          <w:szCs w:val="22"/>
        </w:rPr>
        <w:fldChar w:fldCharType="end"/>
      </w:r>
      <w:r w:rsidRPr="00BD5D99">
        <w:rPr>
          <w:bCs/>
          <w:sz w:val="22"/>
          <w:szCs w:val="22"/>
        </w:rPr>
        <w:t>.</w:t>
      </w:r>
    </w:p>
    <w:p w14:paraId="56C51CAA" w14:textId="77777777" w:rsidR="003A3F50" w:rsidRPr="00781FE6" w:rsidRDefault="003A3F50" w:rsidP="00396C9B">
      <w:pPr>
        <w:rPr>
          <w:bCs/>
          <w:sz w:val="22"/>
          <w:szCs w:val="22"/>
        </w:rPr>
      </w:pPr>
    </w:p>
    <w:p w14:paraId="584AA834" w14:textId="77777777" w:rsidR="00396C9B" w:rsidRPr="00781FE6" w:rsidRDefault="00396C9B" w:rsidP="00396C9B">
      <w:pPr>
        <w:rPr>
          <w:bCs/>
          <w:sz w:val="22"/>
          <w:szCs w:val="22"/>
        </w:rPr>
      </w:pPr>
    </w:p>
    <w:p w14:paraId="5D6852D5" w14:textId="2E0E42D3" w:rsidR="001600EA" w:rsidRPr="001600EA" w:rsidRDefault="001600EA" w:rsidP="00456774">
      <w:pPr>
        <w:pStyle w:val="Ttulo4"/>
        <w:rPr>
          <w:szCs w:val="24"/>
        </w:rPr>
      </w:pPr>
      <w:bookmarkStart w:id="871" w:name="_Ref132896649"/>
      <w:r w:rsidRPr="001600EA">
        <w:rPr>
          <w:szCs w:val="24"/>
        </w:rPr>
        <w:t>ACP</w:t>
      </w:r>
      <w:bookmarkEnd w:id="871"/>
    </w:p>
    <w:p w14:paraId="45B74889" w14:textId="16F96789" w:rsidR="001600EA" w:rsidRDefault="006145CC" w:rsidP="001600EA">
      <w:pPr>
        <w:rPr>
          <w:sz w:val="22"/>
          <w:szCs w:val="22"/>
        </w:rPr>
      </w:pPr>
      <w:r>
        <w:rPr>
          <w:sz w:val="22"/>
          <w:szCs w:val="22"/>
        </w:rPr>
        <w:t>“</w:t>
      </w:r>
      <w:r w:rsidR="001600EA" w:rsidRPr="001600EA">
        <w:rPr>
          <w:sz w:val="22"/>
          <w:szCs w:val="22"/>
        </w:rPr>
        <w:t xml:space="preserve">• </w:t>
      </w:r>
      <w:r w:rsidR="001600EA" w:rsidRPr="00521774">
        <w:rPr>
          <w:i/>
          <w:iCs/>
          <w:sz w:val="22"/>
          <w:szCs w:val="22"/>
        </w:rPr>
        <w:t xml:space="preserve">El literal n) del artículo 22, establece que </w:t>
      </w:r>
      <w:r>
        <w:rPr>
          <w:i/>
          <w:iCs/>
          <w:sz w:val="22"/>
          <w:szCs w:val="22"/>
        </w:rPr>
        <w:t>‘</w:t>
      </w:r>
      <w:r w:rsidR="001600EA" w:rsidRPr="00521774">
        <w:rPr>
          <w:i/>
          <w:iCs/>
          <w:sz w:val="22"/>
          <w:szCs w:val="22"/>
        </w:rPr>
        <w:t>No se podrá atender Demanda Esencial con contratos de suministro que incluyan Fuentes de Suministro en pruebas (…)</w:t>
      </w:r>
      <w:r>
        <w:rPr>
          <w:i/>
          <w:iCs/>
          <w:sz w:val="22"/>
          <w:szCs w:val="22"/>
        </w:rPr>
        <w:t>’</w:t>
      </w:r>
      <w:r w:rsidR="001600EA" w:rsidRPr="00521774">
        <w:rPr>
          <w:i/>
          <w:iCs/>
          <w:sz w:val="22"/>
          <w:szCs w:val="22"/>
        </w:rPr>
        <w:t>. Al respecto, solicitamos se retire dicho literal, pues la comercialización de gas, independientemente del tipo de fuente de suministro, y siguiendo el principio de libre disposición de reservas, debería destinarse para la atención de cualquier tipo de demanda sin discriminación, incluida la demanda esencial, siempre que esté respaldado con reservas para ello.</w:t>
      </w:r>
      <w:r>
        <w:rPr>
          <w:i/>
          <w:iCs/>
          <w:sz w:val="22"/>
          <w:szCs w:val="22"/>
        </w:rPr>
        <w:t>”</w:t>
      </w:r>
    </w:p>
    <w:p w14:paraId="274A3A6A" w14:textId="77777777" w:rsidR="00521774" w:rsidRDefault="00521774" w:rsidP="001600EA">
      <w:pPr>
        <w:rPr>
          <w:sz w:val="22"/>
          <w:szCs w:val="22"/>
        </w:rPr>
      </w:pPr>
    </w:p>
    <w:p w14:paraId="1FF17308" w14:textId="61955C97" w:rsidR="00521774" w:rsidRPr="00521774" w:rsidRDefault="00521774" w:rsidP="001600EA">
      <w:pPr>
        <w:rPr>
          <w:b/>
          <w:bCs/>
          <w:sz w:val="22"/>
          <w:szCs w:val="22"/>
        </w:rPr>
      </w:pPr>
      <w:r w:rsidRPr="00521774">
        <w:rPr>
          <w:b/>
          <w:bCs/>
          <w:sz w:val="22"/>
          <w:szCs w:val="22"/>
        </w:rPr>
        <w:t>Respuesta:</w:t>
      </w:r>
    </w:p>
    <w:p w14:paraId="442117C6" w14:textId="77777777" w:rsidR="00521774" w:rsidRDefault="00521774" w:rsidP="001600EA">
      <w:pPr>
        <w:rPr>
          <w:sz w:val="22"/>
          <w:szCs w:val="22"/>
        </w:rPr>
      </w:pPr>
    </w:p>
    <w:p w14:paraId="5DC99D51" w14:textId="0962AC25" w:rsidR="00521774" w:rsidRDefault="00705169" w:rsidP="001600EA">
      <w:pPr>
        <w:rPr>
          <w:sz w:val="22"/>
          <w:szCs w:val="22"/>
        </w:rPr>
      </w:pPr>
      <w:r>
        <w:rPr>
          <w:sz w:val="22"/>
          <w:szCs w:val="22"/>
        </w:rPr>
        <w:t>Se acoge el comentario.</w:t>
      </w:r>
    </w:p>
    <w:p w14:paraId="31543CBA" w14:textId="77777777" w:rsidR="00705169" w:rsidRDefault="00705169" w:rsidP="001600EA">
      <w:pPr>
        <w:rPr>
          <w:sz w:val="22"/>
          <w:szCs w:val="22"/>
        </w:rPr>
      </w:pPr>
    </w:p>
    <w:p w14:paraId="3043678E" w14:textId="07FBD5C5" w:rsidR="00705169" w:rsidRDefault="00705169" w:rsidP="001600EA">
      <w:pPr>
        <w:rPr>
          <w:sz w:val="22"/>
          <w:szCs w:val="22"/>
        </w:rPr>
      </w:pPr>
      <w:r>
        <w:rPr>
          <w:sz w:val="22"/>
          <w:szCs w:val="22"/>
        </w:rPr>
        <w:t xml:space="preserve">Ver respuesta a </w:t>
      </w:r>
      <w:r>
        <w:rPr>
          <w:sz w:val="22"/>
          <w:szCs w:val="22"/>
        </w:rPr>
        <w:fldChar w:fldCharType="begin"/>
      </w:r>
      <w:r>
        <w:rPr>
          <w:sz w:val="22"/>
          <w:szCs w:val="22"/>
        </w:rPr>
        <w:instrText xml:space="preserve"> REF _Ref132893566 \r \h </w:instrText>
      </w:r>
      <w:r>
        <w:rPr>
          <w:sz w:val="22"/>
          <w:szCs w:val="22"/>
        </w:rPr>
      </w:r>
      <w:r>
        <w:rPr>
          <w:sz w:val="22"/>
          <w:szCs w:val="22"/>
        </w:rPr>
        <w:fldChar w:fldCharType="separate"/>
      </w:r>
      <w:r>
        <w:rPr>
          <w:sz w:val="22"/>
          <w:szCs w:val="22"/>
        </w:rPr>
        <w:t>20.1.1.3</w:t>
      </w:r>
      <w:r>
        <w:rPr>
          <w:sz w:val="22"/>
          <w:szCs w:val="22"/>
        </w:rPr>
        <w:fldChar w:fldCharType="end"/>
      </w:r>
      <w:r>
        <w:rPr>
          <w:sz w:val="22"/>
          <w:szCs w:val="22"/>
        </w:rPr>
        <w:t>.</w:t>
      </w:r>
    </w:p>
    <w:p w14:paraId="37F95E0A" w14:textId="749969F7" w:rsidR="001600EA" w:rsidRDefault="001600EA" w:rsidP="001600EA">
      <w:pPr>
        <w:rPr>
          <w:sz w:val="22"/>
          <w:szCs w:val="22"/>
        </w:rPr>
      </w:pPr>
    </w:p>
    <w:p w14:paraId="3C831BBF" w14:textId="77777777" w:rsidR="001600EA" w:rsidRPr="001600EA" w:rsidRDefault="001600EA" w:rsidP="001600EA">
      <w:pPr>
        <w:rPr>
          <w:sz w:val="22"/>
          <w:szCs w:val="22"/>
        </w:rPr>
      </w:pPr>
    </w:p>
    <w:p w14:paraId="205C056D" w14:textId="77777777" w:rsidR="001600EA" w:rsidRPr="001600EA" w:rsidRDefault="001600EA" w:rsidP="001600EA">
      <w:pPr>
        <w:pStyle w:val="Ttulo4"/>
        <w:numPr>
          <w:ilvl w:val="3"/>
          <w:numId w:val="1"/>
        </w:numPr>
        <w:rPr>
          <w:szCs w:val="24"/>
        </w:rPr>
      </w:pPr>
      <w:r w:rsidRPr="001600EA">
        <w:rPr>
          <w:szCs w:val="24"/>
        </w:rPr>
        <w:t>ACP</w:t>
      </w:r>
    </w:p>
    <w:p w14:paraId="2D5E5281" w14:textId="255FA758" w:rsidR="001600EA" w:rsidRPr="001600EA" w:rsidRDefault="006145CC" w:rsidP="001600EA">
      <w:pPr>
        <w:rPr>
          <w:sz w:val="22"/>
          <w:szCs w:val="22"/>
        </w:rPr>
      </w:pPr>
      <w:r>
        <w:rPr>
          <w:sz w:val="22"/>
          <w:szCs w:val="22"/>
        </w:rPr>
        <w:t>“</w:t>
      </w:r>
      <w:r w:rsidR="001600EA" w:rsidRPr="001600EA">
        <w:rPr>
          <w:sz w:val="22"/>
          <w:szCs w:val="22"/>
        </w:rPr>
        <w:t xml:space="preserve">• </w:t>
      </w:r>
      <w:r w:rsidR="001600EA" w:rsidRPr="003E457E">
        <w:rPr>
          <w:i/>
          <w:iCs/>
          <w:sz w:val="22"/>
          <w:szCs w:val="22"/>
        </w:rPr>
        <w:t>Limitar la duración de los contratos de los campos en pruebas extensas o que no han declarado comercialidad puede inviabilizar el desarrollo mismo de estos campos, dado que no se les permitiría firmar contratos de largo plazo que permitan financiar la construcción de infraestructura de transporte y/o producción requerida para incorporar esta nueva oferta."</w:t>
      </w:r>
    </w:p>
    <w:p w14:paraId="168FE752" w14:textId="77777777" w:rsidR="001600EA" w:rsidRPr="001600EA" w:rsidRDefault="001600EA" w:rsidP="001600EA">
      <w:pPr>
        <w:rPr>
          <w:sz w:val="22"/>
          <w:szCs w:val="22"/>
        </w:rPr>
      </w:pPr>
    </w:p>
    <w:p w14:paraId="2DDD3168" w14:textId="679A2222" w:rsidR="001600EA" w:rsidRDefault="001600EA" w:rsidP="001600EA">
      <w:pPr>
        <w:rPr>
          <w:b/>
          <w:bCs/>
          <w:sz w:val="22"/>
          <w:szCs w:val="22"/>
        </w:rPr>
      </w:pPr>
      <w:r w:rsidRPr="001600EA">
        <w:rPr>
          <w:b/>
          <w:bCs/>
          <w:sz w:val="22"/>
          <w:szCs w:val="22"/>
        </w:rPr>
        <w:t>Respuesta:</w:t>
      </w:r>
    </w:p>
    <w:p w14:paraId="1F1C5662" w14:textId="1D2AB3E3" w:rsidR="001600EA" w:rsidRDefault="001600EA" w:rsidP="001600EA">
      <w:pPr>
        <w:rPr>
          <w:b/>
          <w:bCs/>
          <w:sz w:val="22"/>
          <w:szCs w:val="22"/>
        </w:rPr>
      </w:pPr>
    </w:p>
    <w:p w14:paraId="0A43CD7B" w14:textId="5615127D" w:rsidR="001600EA" w:rsidRPr="003E457E" w:rsidRDefault="003E457E" w:rsidP="001600EA">
      <w:pPr>
        <w:rPr>
          <w:sz w:val="22"/>
          <w:szCs w:val="22"/>
        </w:rPr>
      </w:pPr>
      <w:r w:rsidRPr="003E457E">
        <w:rPr>
          <w:sz w:val="22"/>
          <w:szCs w:val="22"/>
        </w:rPr>
        <w:t xml:space="preserve">Ver respuesta a </w:t>
      </w:r>
      <w:r w:rsidRPr="003E457E">
        <w:rPr>
          <w:sz w:val="22"/>
          <w:szCs w:val="22"/>
        </w:rPr>
        <w:fldChar w:fldCharType="begin"/>
      </w:r>
      <w:r w:rsidRPr="003E457E">
        <w:rPr>
          <w:sz w:val="22"/>
          <w:szCs w:val="22"/>
        </w:rPr>
        <w:instrText xml:space="preserve"> REF _Ref130975775 \r \h </w:instrText>
      </w:r>
      <w:r>
        <w:rPr>
          <w:sz w:val="22"/>
          <w:szCs w:val="22"/>
        </w:rPr>
        <w:instrText xml:space="preserve"> \* MERGEFORMAT </w:instrText>
      </w:r>
      <w:r w:rsidRPr="003E457E">
        <w:rPr>
          <w:sz w:val="22"/>
          <w:szCs w:val="22"/>
        </w:rPr>
      </w:r>
      <w:r w:rsidRPr="003E457E">
        <w:rPr>
          <w:sz w:val="22"/>
          <w:szCs w:val="22"/>
        </w:rPr>
        <w:fldChar w:fldCharType="separate"/>
      </w:r>
      <w:r w:rsidRPr="003E457E">
        <w:rPr>
          <w:sz w:val="22"/>
          <w:szCs w:val="22"/>
        </w:rPr>
        <w:t>17.3.1.1</w:t>
      </w:r>
      <w:r w:rsidRPr="003E457E">
        <w:rPr>
          <w:sz w:val="22"/>
          <w:szCs w:val="22"/>
        </w:rPr>
        <w:fldChar w:fldCharType="end"/>
      </w:r>
      <w:r w:rsidRPr="003E457E">
        <w:rPr>
          <w:sz w:val="22"/>
          <w:szCs w:val="22"/>
        </w:rPr>
        <w:t>.</w:t>
      </w:r>
    </w:p>
    <w:p w14:paraId="2528A3E3" w14:textId="77777777" w:rsidR="001600EA" w:rsidRPr="001600EA" w:rsidRDefault="001600EA" w:rsidP="001600EA">
      <w:pPr>
        <w:rPr>
          <w:b/>
          <w:bCs/>
          <w:sz w:val="22"/>
          <w:szCs w:val="22"/>
        </w:rPr>
      </w:pPr>
    </w:p>
    <w:p w14:paraId="0AA07EE3" w14:textId="77777777" w:rsidR="001600EA" w:rsidRPr="001600EA" w:rsidRDefault="001600EA" w:rsidP="001600EA"/>
    <w:p w14:paraId="188BB3E7" w14:textId="77777777" w:rsidR="00396C9B" w:rsidRPr="00781FE6" w:rsidRDefault="00396C9B" w:rsidP="00781FE6">
      <w:pPr>
        <w:pStyle w:val="Ttulo2"/>
      </w:pPr>
      <w:bookmarkStart w:id="872" w:name="_Toc140506455"/>
      <w:r w:rsidRPr="00781FE6">
        <w:t>ALCANOS</w:t>
      </w:r>
      <w:bookmarkEnd w:id="872"/>
      <w:r w:rsidRPr="00781FE6">
        <w:tab/>
      </w:r>
    </w:p>
    <w:p w14:paraId="49E4194E" w14:textId="77777777" w:rsidR="00456774" w:rsidRPr="00781FE6" w:rsidRDefault="00456774" w:rsidP="00456774">
      <w:pPr>
        <w:pStyle w:val="Ttulo4"/>
      </w:pPr>
      <w:r w:rsidRPr="00781FE6">
        <w:t>ALCANOS</w:t>
      </w:r>
      <w:r w:rsidRPr="00781FE6">
        <w:tab/>
      </w:r>
    </w:p>
    <w:p w14:paraId="20635B43" w14:textId="53069D75" w:rsidR="00396C9B" w:rsidRDefault="006145CC" w:rsidP="00396C9B">
      <w:pPr>
        <w:rPr>
          <w:bCs/>
          <w:i/>
          <w:iCs/>
          <w:sz w:val="22"/>
          <w:szCs w:val="22"/>
        </w:rPr>
      </w:pPr>
      <w:r>
        <w:rPr>
          <w:bCs/>
          <w:i/>
          <w:iCs/>
          <w:sz w:val="22"/>
          <w:szCs w:val="22"/>
        </w:rPr>
        <w:t>“</w:t>
      </w:r>
      <w:r w:rsidR="00396C9B" w:rsidRPr="00EE3A66">
        <w:rPr>
          <w:bCs/>
          <w:i/>
          <w:iCs/>
          <w:sz w:val="22"/>
          <w:szCs w:val="22"/>
        </w:rPr>
        <w:t>a)</w:t>
      </w:r>
      <w:r w:rsidR="004E01BC">
        <w:rPr>
          <w:bCs/>
          <w:i/>
          <w:iCs/>
          <w:sz w:val="22"/>
          <w:szCs w:val="22"/>
        </w:rPr>
        <w:t xml:space="preserve"> </w:t>
      </w:r>
      <w:r w:rsidR="00396C9B" w:rsidRPr="00EE3A66">
        <w:rPr>
          <w:bCs/>
          <w:i/>
          <w:iCs/>
          <w:sz w:val="22"/>
          <w:szCs w:val="22"/>
        </w:rPr>
        <w:t>Todos los contratos de suministro de gas que se suscriban en aplicación de las disposiciones de la presente resolución deberán contener una cláusula de ajuste regulatorio en la que se especifique que, después del último trimestre del año de gas de 2025, las condiciones contractuales deberán ajustarse conforme a las disposiciones que eventualmente determine la CREG.</w:t>
      </w:r>
    </w:p>
    <w:p w14:paraId="7198A80B" w14:textId="77777777" w:rsidR="00EE3A66" w:rsidRDefault="00EE3A66" w:rsidP="00396C9B">
      <w:pPr>
        <w:rPr>
          <w:bCs/>
          <w:i/>
          <w:iCs/>
          <w:sz w:val="22"/>
          <w:szCs w:val="22"/>
        </w:rPr>
      </w:pPr>
    </w:p>
    <w:p w14:paraId="58D7AD4F" w14:textId="3CD88A2C" w:rsidR="00EE3A66" w:rsidRPr="00EE3A66" w:rsidRDefault="00EE3A66" w:rsidP="00396C9B">
      <w:pPr>
        <w:rPr>
          <w:bCs/>
          <w:i/>
          <w:iCs/>
          <w:sz w:val="22"/>
          <w:szCs w:val="22"/>
        </w:rPr>
      </w:pPr>
      <w:r w:rsidRPr="00EE3A66">
        <w:rPr>
          <w:bCs/>
          <w:i/>
          <w:iCs/>
          <w:sz w:val="22"/>
          <w:szCs w:val="22"/>
        </w:rPr>
        <w:t>Esto generaría mayor riesgo en la contratación, al no tener claro los nuevos ajustes regulatorios</w:t>
      </w:r>
      <w:r>
        <w:rPr>
          <w:bCs/>
          <w:i/>
          <w:iCs/>
          <w:sz w:val="22"/>
          <w:szCs w:val="22"/>
        </w:rPr>
        <w:t>.</w:t>
      </w:r>
      <w:r w:rsidR="006145CC">
        <w:rPr>
          <w:bCs/>
          <w:i/>
          <w:iCs/>
          <w:sz w:val="22"/>
          <w:szCs w:val="22"/>
        </w:rPr>
        <w:t>”</w:t>
      </w:r>
    </w:p>
    <w:p w14:paraId="78AA2688" w14:textId="77777777" w:rsidR="00396C9B" w:rsidRDefault="00396C9B" w:rsidP="00396C9B">
      <w:pPr>
        <w:rPr>
          <w:bCs/>
          <w:sz w:val="22"/>
          <w:szCs w:val="22"/>
        </w:rPr>
      </w:pPr>
    </w:p>
    <w:p w14:paraId="3815B473" w14:textId="6D8E14AE" w:rsidR="00EE3A66" w:rsidRPr="00EE3A66" w:rsidRDefault="00EE3A66" w:rsidP="00396C9B">
      <w:pPr>
        <w:rPr>
          <w:b/>
          <w:sz w:val="22"/>
          <w:szCs w:val="22"/>
        </w:rPr>
      </w:pPr>
      <w:r w:rsidRPr="00EE3A66">
        <w:rPr>
          <w:b/>
          <w:sz w:val="22"/>
          <w:szCs w:val="22"/>
        </w:rPr>
        <w:t>Respuesta:</w:t>
      </w:r>
    </w:p>
    <w:p w14:paraId="183EE89B" w14:textId="77777777" w:rsidR="00EE3A66" w:rsidRDefault="00EE3A66" w:rsidP="00396C9B">
      <w:pPr>
        <w:rPr>
          <w:bCs/>
          <w:sz w:val="22"/>
          <w:szCs w:val="22"/>
        </w:rPr>
      </w:pPr>
    </w:p>
    <w:p w14:paraId="5581A958" w14:textId="157A11A3" w:rsidR="00EE3A66" w:rsidRDefault="00EE3A66"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\r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605FA2B0" w14:textId="77777777" w:rsidR="00EE3A66" w:rsidRPr="00781FE6" w:rsidRDefault="00EE3A66" w:rsidP="00396C9B">
      <w:pPr>
        <w:rPr>
          <w:bCs/>
          <w:sz w:val="22"/>
          <w:szCs w:val="22"/>
        </w:rPr>
      </w:pPr>
    </w:p>
    <w:p w14:paraId="202AE72D" w14:textId="77777777" w:rsidR="00396C9B" w:rsidRPr="00781FE6" w:rsidRDefault="00396C9B" w:rsidP="00396C9B">
      <w:pPr>
        <w:rPr>
          <w:bCs/>
          <w:sz w:val="22"/>
          <w:szCs w:val="22"/>
        </w:rPr>
      </w:pPr>
    </w:p>
    <w:p w14:paraId="1F89CACB" w14:textId="77777777" w:rsidR="00396C9B" w:rsidRPr="00781FE6" w:rsidRDefault="00396C9B" w:rsidP="00781FE6">
      <w:pPr>
        <w:pStyle w:val="Ttulo2"/>
      </w:pPr>
      <w:bookmarkStart w:id="873" w:name="_Toc140506456"/>
      <w:r w:rsidRPr="00781FE6">
        <w:t>ANDEG</w:t>
      </w:r>
      <w:bookmarkEnd w:id="873"/>
      <w:r w:rsidRPr="00781FE6">
        <w:tab/>
      </w:r>
    </w:p>
    <w:p w14:paraId="46DBC7C9" w14:textId="77777777" w:rsidR="00456774" w:rsidRPr="00781FE6" w:rsidRDefault="00456774" w:rsidP="00456774">
      <w:pPr>
        <w:pStyle w:val="Ttulo4"/>
      </w:pPr>
      <w:r w:rsidRPr="00781FE6">
        <w:t>ANDEG</w:t>
      </w:r>
      <w:r w:rsidRPr="00781FE6">
        <w:tab/>
      </w:r>
    </w:p>
    <w:p w14:paraId="1EB0E146" w14:textId="17B32D86" w:rsidR="00396C9B" w:rsidRPr="00EE3A66" w:rsidRDefault="006145CC" w:rsidP="00396C9B">
      <w:pPr>
        <w:rPr>
          <w:bCs/>
          <w:i/>
          <w:iCs/>
          <w:sz w:val="22"/>
          <w:szCs w:val="22"/>
        </w:rPr>
      </w:pPr>
      <w:r>
        <w:rPr>
          <w:bCs/>
          <w:i/>
          <w:iCs/>
          <w:sz w:val="22"/>
          <w:szCs w:val="22"/>
        </w:rPr>
        <w:t>“</w:t>
      </w:r>
      <w:r w:rsidR="00396C9B" w:rsidRPr="00EE3A66">
        <w:rPr>
          <w:bCs/>
          <w:i/>
          <w:iCs/>
          <w:sz w:val="22"/>
          <w:szCs w:val="22"/>
        </w:rPr>
        <w:t>Consideramos que las cláusulas de ajuste descritas en el artículo 22 de la propuesta regulatoria desincentivarían la participación de nuevos agentes en la diversificación y ampliación de la oferta.</w:t>
      </w:r>
      <w:r>
        <w:rPr>
          <w:bCs/>
          <w:i/>
          <w:iCs/>
          <w:sz w:val="22"/>
          <w:szCs w:val="22"/>
        </w:rPr>
        <w:t>”</w:t>
      </w:r>
    </w:p>
    <w:p w14:paraId="24BCD17E" w14:textId="77777777" w:rsidR="00EE3A66" w:rsidRDefault="00EE3A66" w:rsidP="00396C9B">
      <w:pPr>
        <w:rPr>
          <w:bCs/>
          <w:sz w:val="22"/>
          <w:szCs w:val="22"/>
        </w:rPr>
      </w:pPr>
    </w:p>
    <w:p w14:paraId="55A1C73F" w14:textId="569FB597" w:rsidR="00EE3A66" w:rsidRPr="00EE3A66" w:rsidRDefault="00EE3A66" w:rsidP="00396C9B">
      <w:pPr>
        <w:rPr>
          <w:b/>
          <w:sz w:val="22"/>
          <w:szCs w:val="22"/>
        </w:rPr>
      </w:pPr>
      <w:r w:rsidRPr="00EE3A66">
        <w:rPr>
          <w:b/>
          <w:sz w:val="22"/>
          <w:szCs w:val="22"/>
        </w:rPr>
        <w:t>Respuesta:</w:t>
      </w:r>
    </w:p>
    <w:p w14:paraId="33749E98" w14:textId="77777777" w:rsidR="00EE3A66" w:rsidRDefault="00EE3A66" w:rsidP="00396C9B">
      <w:pPr>
        <w:rPr>
          <w:bCs/>
          <w:sz w:val="22"/>
          <w:szCs w:val="22"/>
        </w:rPr>
      </w:pPr>
    </w:p>
    <w:p w14:paraId="217DBC21" w14:textId="77777777" w:rsidR="00EE3A66" w:rsidRDefault="00EE3A66" w:rsidP="00EE3A66">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\r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7A3BF182" w14:textId="77777777" w:rsidR="00396C9B" w:rsidRDefault="00396C9B" w:rsidP="00396C9B">
      <w:pPr>
        <w:rPr>
          <w:bCs/>
          <w:sz w:val="22"/>
          <w:szCs w:val="22"/>
        </w:rPr>
      </w:pPr>
    </w:p>
    <w:p w14:paraId="38624AB1" w14:textId="77777777" w:rsidR="00EE3A66" w:rsidRPr="00781FE6" w:rsidRDefault="00EE3A66" w:rsidP="00396C9B">
      <w:pPr>
        <w:rPr>
          <w:bCs/>
          <w:sz w:val="22"/>
          <w:szCs w:val="22"/>
        </w:rPr>
      </w:pPr>
    </w:p>
    <w:p w14:paraId="507F9D43" w14:textId="77777777" w:rsidR="00396C9B" w:rsidRPr="00781FE6" w:rsidRDefault="00396C9B" w:rsidP="00781FE6">
      <w:pPr>
        <w:pStyle w:val="Ttulo2"/>
      </w:pPr>
      <w:bookmarkStart w:id="874" w:name="_Toc140506457"/>
      <w:r w:rsidRPr="00781FE6">
        <w:t>ANDI</w:t>
      </w:r>
      <w:bookmarkEnd w:id="874"/>
      <w:r w:rsidRPr="00781FE6">
        <w:tab/>
      </w:r>
    </w:p>
    <w:p w14:paraId="2E3E2F0A" w14:textId="77777777" w:rsidR="00456774" w:rsidRPr="00781FE6" w:rsidRDefault="00456774" w:rsidP="00456774">
      <w:pPr>
        <w:pStyle w:val="Ttulo4"/>
      </w:pPr>
      <w:r w:rsidRPr="00781FE6">
        <w:t>ANDI</w:t>
      </w:r>
      <w:r w:rsidRPr="00781FE6">
        <w:tab/>
      </w:r>
    </w:p>
    <w:p w14:paraId="02BEFC4C" w14:textId="052004CD" w:rsidR="00396C9B" w:rsidRDefault="006145CC" w:rsidP="00396C9B">
      <w:pPr>
        <w:rPr>
          <w:bCs/>
          <w:sz w:val="22"/>
          <w:szCs w:val="22"/>
        </w:rPr>
      </w:pPr>
      <w:r>
        <w:rPr>
          <w:bCs/>
          <w:i/>
          <w:iCs/>
          <w:sz w:val="22"/>
          <w:szCs w:val="22"/>
        </w:rPr>
        <w:t>“</w:t>
      </w:r>
      <w:r w:rsidR="00396C9B" w:rsidRPr="00EE3A66">
        <w:rPr>
          <w:bCs/>
          <w:i/>
          <w:iCs/>
          <w:sz w:val="22"/>
          <w:szCs w:val="22"/>
        </w:rPr>
        <w:t xml:space="preserve">Condiciones de negociación de los contratos de suministro de gas que requieren Respaldo Físico, en el numeral a, menciona que todos los contratos de suministro de gas que se suscriban en aplicación de la presenta resolución deberán contener una cláusula de ajuste regulatorio, en la que especifique que, después del último trimestre del año de gas de 2025, las condiciones contractuales deberán ajustarse conforme a las disposiciones que eventualmente determine la CREG. Este artículo consideramos totalmente inconveniente, dado que la demanda y posiblemente la oferta, no conoce cuales son las disposiciones que va a determinar la CREG. El riesgo es muy alto </w:t>
      </w:r>
      <w:proofErr w:type="gramStart"/>
      <w:r w:rsidR="00396C9B" w:rsidRPr="00EE3A66">
        <w:rPr>
          <w:bCs/>
          <w:i/>
          <w:iCs/>
          <w:sz w:val="22"/>
          <w:szCs w:val="22"/>
        </w:rPr>
        <w:t>y</w:t>
      </w:r>
      <w:proofErr w:type="gramEnd"/>
      <w:r w:rsidR="00396C9B" w:rsidRPr="00EE3A66">
        <w:rPr>
          <w:bCs/>
          <w:i/>
          <w:iCs/>
          <w:sz w:val="22"/>
          <w:szCs w:val="22"/>
        </w:rPr>
        <w:t xml:space="preserve"> por ende, desincentiva la contratación posterior a 2026 y adicionalmente, desincentiva los nuevos proyectos que puedan llegar a utilizar gas natural, dado que no pueden establecer un flujo del proyecto de manera adecuada</w:t>
      </w:r>
      <w:r w:rsidR="00EE3A66">
        <w:rPr>
          <w:bCs/>
          <w:sz w:val="22"/>
          <w:szCs w:val="22"/>
        </w:rPr>
        <w:t>.</w:t>
      </w:r>
      <w:r>
        <w:rPr>
          <w:bCs/>
          <w:sz w:val="22"/>
          <w:szCs w:val="22"/>
        </w:rPr>
        <w:t>”</w:t>
      </w:r>
    </w:p>
    <w:p w14:paraId="2DA51E41" w14:textId="77777777" w:rsidR="00EE3A66" w:rsidRDefault="00EE3A66" w:rsidP="00396C9B">
      <w:pPr>
        <w:rPr>
          <w:bCs/>
          <w:sz w:val="22"/>
          <w:szCs w:val="22"/>
        </w:rPr>
      </w:pPr>
    </w:p>
    <w:p w14:paraId="327E077E" w14:textId="1B40FA29" w:rsidR="00EE3A66" w:rsidRPr="00EE3A66" w:rsidRDefault="00EE3A66" w:rsidP="00396C9B">
      <w:pPr>
        <w:rPr>
          <w:b/>
          <w:sz w:val="22"/>
          <w:szCs w:val="22"/>
        </w:rPr>
      </w:pPr>
      <w:r w:rsidRPr="00EE3A66">
        <w:rPr>
          <w:b/>
          <w:sz w:val="22"/>
          <w:szCs w:val="22"/>
        </w:rPr>
        <w:t>Respuesta:</w:t>
      </w:r>
    </w:p>
    <w:p w14:paraId="2503A8DF" w14:textId="77777777" w:rsidR="00EE3A66" w:rsidRDefault="00EE3A66" w:rsidP="00396C9B">
      <w:pPr>
        <w:rPr>
          <w:bCs/>
          <w:sz w:val="22"/>
          <w:szCs w:val="22"/>
        </w:rPr>
      </w:pPr>
    </w:p>
    <w:p w14:paraId="70240518" w14:textId="1FDFA6E1" w:rsidR="00EE3A66" w:rsidRPr="00781FE6" w:rsidRDefault="00F33B71"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\r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6837D9C9" w14:textId="77777777" w:rsidR="00396C9B" w:rsidRPr="00781FE6" w:rsidRDefault="00396C9B" w:rsidP="00396C9B">
      <w:pPr>
        <w:rPr>
          <w:bCs/>
          <w:sz w:val="22"/>
          <w:szCs w:val="22"/>
        </w:rPr>
      </w:pPr>
    </w:p>
    <w:p w14:paraId="50F01F5C" w14:textId="77777777" w:rsidR="00396C9B" w:rsidRPr="00781FE6" w:rsidRDefault="00396C9B" w:rsidP="00396C9B">
      <w:pPr>
        <w:rPr>
          <w:bCs/>
          <w:sz w:val="22"/>
          <w:szCs w:val="22"/>
        </w:rPr>
      </w:pPr>
    </w:p>
    <w:p w14:paraId="5E1EF5F7" w14:textId="77777777" w:rsidR="00396C9B" w:rsidRPr="00781FE6" w:rsidRDefault="00396C9B" w:rsidP="00781FE6">
      <w:pPr>
        <w:pStyle w:val="Ttulo2"/>
      </w:pPr>
      <w:bookmarkStart w:id="875" w:name="_Toc140506458"/>
      <w:r w:rsidRPr="00781FE6">
        <w:t>ASOENERGIA</w:t>
      </w:r>
      <w:bookmarkEnd w:id="875"/>
      <w:r w:rsidRPr="00781FE6">
        <w:tab/>
      </w:r>
    </w:p>
    <w:p w14:paraId="338ABD07" w14:textId="77777777" w:rsidR="00456774" w:rsidRPr="00781FE6" w:rsidRDefault="00456774" w:rsidP="00456774">
      <w:pPr>
        <w:pStyle w:val="Ttulo4"/>
      </w:pPr>
      <w:r w:rsidRPr="00781FE6">
        <w:t>ASOENERGIA</w:t>
      </w:r>
      <w:r w:rsidRPr="00781FE6">
        <w:tab/>
      </w:r>
    </w:p>
    <w:p w14:paraId="73E1961F" w14:textId="2DFF0127" w:rsidR="00396C9B" w:rsidRPr="00F33B71" w:rsidRDefault="006145CC" w:rsidP="00396C9B">
      <w:pPr>
        <w:rPr>
          <w:bCs/>
          <w:i/>
          <w:iCs/>
          <w:sz w:val="22"/>
          <w:szCs w:val="22"/>
        </w:rPr>
      </w:pPr>
      <w:r>
        <w:rPr>
          <w:bCs/>
          <w:i/>
          <w:iCs/>
          <w:sz w:val="22"/>
          <w:szCs w:val="22"/>
        </w:rPr>
        <w:t>“</w:t>
      </w:r>
      <w:r w:rsidR="00396C9B" w:rsidRPr="00F33B71">
        <w:rPr>
          <w:bCs/>
          <w:i/>
          <w:iCs/>
          <w:sz w:val="22"/>
          <w:szCs w:val="22"/>
        </w:rPr>
        <w:t>Con respecto al ajuste regulatorio propuesto es nuestra interpretación que la forma en como está redactado puede conllevar a que se abra una puerta para intervenir los precios y los volúmenes negociados y debidamente establecidos en el pasado. Lo anterior, dado que una condición contractual son los aspectos previamente mencionados. En ese sentido, no se le estaría dando estabilidad jurídica a los contratos pactados previamente al año 2025.</w:t>
      </w:r>
      <w:r>
        <w:rPr>
          <w:bCs/>
          <w:i/>
          <w:iCs/>
          <w:sz w:val="22"/>
          <w:szCs w:val="22"/>
        </w:rPr>
        <w:t>”</w:t>
      </w:r>
      <w:r w:rsidR="00396C9B" w:rsidRPr="00F33B71">
        <w:rPr>
          <w:bCs/>
          <w:i/>
          <w:iCs/>
          <w:sz w:val="22"/>
          <w:szCs w:val="22"/>
        </w:rPr>
        <w:t xml:space="preserve"> </w:t>
      </w:r>
    </w:p>
    <w:p w14:paraId="712EA256" w14:textId="77777777" w:rsidR="00396C9B" w:rsidRDefault="00396C9B" w:rsidP="00396C9B">
      <w:pPr>
        <w:rPr>
          <w:bCs/>
          <w:sz w:val="22"/>
          <w:szCs w:val="22"/>
        </w:rPr>
      </w:pPr>
    </w:p>
    <w:p w14:paraId="5CD5E655" w14:textId="7A6037B8" w:rsidR="00F33B71" w:rsidRPr="00F33B71" w:rsidRDefault="00F33B71" w:rsidP="00396C9B">
      <w:pPr>
        <w:rPr>
          <w:b/>
          <w:sz w:val="22"/>
          <w:szCs w:val="22"/>
        </w:rPr>
      </w:pPr>
      <w:r w:rsidRPr="00F33B71">
        <w:rPr>
          <w:b/>
          <w:sz w:val="22"/>
          <w:szCs w:val="22"/>
        </w:rPr>
        <w:t>Respuesta:</w:t>
      </w:r>
    </w:p>
    <w:p w14:paraId="246863D5" w14:textId="77777777" w:rsidR="00F33B71" w:rsidRDefault="00F33B71" w:rsidP="00396C9B">
      <w:pPr>
        <w:rPr>
          <w:bCs/>
          <w:sz w:val="22"/>
          <w:szCs w:val="22"/>
        </w:rPr>
      </w:pPr>
    </w:p>
    <w:p w14:paraId="3A42F69B" w14:textId="77777777" w:rsidR="00F33B71" w:rsidRPr="00781FE6" w:rsidRDefault="00F33B71" w:rsidP="00F33B71">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\r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1FE64D15" w14:textId="77777777" w:rsidR="00F33B71" w:rsidRDefault="00F33B71" w:rsidP="00396C9B">
      <w:pPr>
        <w:rPr>
          <w:bCs/>
          <w:sz w:val="22"/>
          <w:szCs w:val="22"/>
        </w:rPr>
      </w:pPr>
    </w:p>
    <w:p w14:paraId="7729328A" w14:textId="77777777" w:rsidR="00F33B71" w:rsidRPr="00781FE6" w:rsidRDefault="00F33B71" w:rsidP="00396C9B">
      <w:pPr>
        <w:rPr>
          <w:bCs/>
          <w:sz w:val="22"/>
          <w:szCs w:val="22"/>
        </w:rPr>
      </w:pPr>
    </w:p>
    <w:p w14:paraId="7101D7AD" w14:textId="77777777" w:rsidR="00396C9B" w:rsidRPr="00781FE6" w:rsidRDefault="00396C9B" w:rsidP="00456774">
      <w:pPr>
        <w:pStyle w:val="Ttulo4"/>
      </w:pPr>
      <w:r w:rsidRPr="00781FE6">
        <w:t>ASOENERGIA</w:t>
      </w:r>
      <w:r w:rsidRPr="00781FE6">
        <w:tab/>
      </w:r>
    </w:p>
    <w:p w14:paraId="30490B0B" w14:textId="71A19FE9" w:rsidR="00396C9B" w:rsidRPr="00F33B71" w:rsidRDefault="006145CC" w:rsidP="00396C9B">
      <w:pPr>
        <w:rPr>
          <w:bCs/>
          <w:i/>
          <w:iCs/>
          <w:sz w:val="22"/>
          <w:szCs w:val="22"/>
        </w:rPr>
      </w:pPr>
      <w:r>
        <w:rPr>
          <w:bCs/>
          <w:i/>
          <w:iCs/>
          <w:sz w:val="22"/>
          <w:szCs w:val="22"/>
        </w:rPr>
        <w:t>“</w:t>
      </w:r>
      <w:r w:rsidR="00396C9B" w:rsidRPr="00F33B71">
        <w:rPr>
          <w:bCs/>
          <w:i/>
          <w:iCs/>
          <w:sz w:val="22"/>
          <w:szCs w:val="22"/>
        </w:rPr>
        <w:t xml:space="preserve">Las cantidades que se contratan en firme entre el comprador y el vendedor son el valor establecido en el contrato y son el compromiso total que el vendedor tiene con el comprador, independiente de la modalidad contractual e independiente de si el comprador las utiliza o no para su mercado relevante o propio consumo. La estructuración del Mercado Secundario tiene como objeto el gestionar las cantidades que el comprador no utilice de la total de la firmeza. Darle al vendedor la posibilidad a que utilice la proporción del volumen de la componente variable para sus fines propios, primero, iría en contra de la obligación de firmeza que el vendedor tiene con el comprador y, segundo, la conceptualización del Mercado Secundario en sí. Para lo último, dicha propuesto conllevaría a un Mercado Secundario aún más ilíquido de lo que actualmente es dado que habría una parte de los volúmenes comprometidos que el comprador no podría gestionar, sino que el vendedor las gestionaría a través de contratos interrumpibles. Adicionalmente, la propuesta mencionada va en total contravía de la definición misma de los contratos, en el sentido en que dichas definiciones </w:t>
      </w:r>
      <w:r>
        <w:rPr>
          <w:bCs/>
          <w:i/>
          <w:iCs/>
          <w:sz w:val="22"/>
          <w:szCs w:val="22"/>
        </w:rPr>
        <w:t>‘</w:t>
      </w:r>
      <w:r w:rsidR="00396C9B" w:rsidRPr="00F33B71">
        <w:rPr>
          <w:bCs/>
          <w:i/>
          <w:iCs/>
          <w:sz w:val="22"/>
          <w:szCs w:val="22"/>
        </w:rPr>
        <w:t>el vendedor garantiza el servicio de suministro de una cantidad diaria máxima de gas natural sin interrupciones</w:t>
      </w:r>
      <w:r>
        <w:rPr>
          <w:bCs/>
          <w:i/>
          <w:iCs/>
          <w:sz w:val="22"/>
          <w:szCs w:val="22"/>
        </w:rPr>
        <w:t>’</w:t>
      </w:r>
      <w:r w:rsidR="00396C9B" w:rsidRPr="00F33B71">
        <w:rPr>
          <w:bCs/>
          <w:i/>
          <w:iCs/>
          <w:sz w:val="22"/>
          <w:szCs w:val="22"/>
        </w:rPr>
        <w:t xml:space="preserve">, para lo cual es obligación del vendedor entregarle comprador la cantidad establecida, sin importar si el comprador utiliza las cantidades o no, y el concepto </w:t>
      </w:r>
      <w:r>
        <w:rPr>
          <w:bCs/>
          <w:i/>
          <w:iCs/>
          <w:sz w:val="22"/>
          <w:szCs w:val="22"/>
        </w:rPr>
        <w:t>‘</w:t>
      </w:r>
      <w:r w:rsidR="00396C9B" w:rsidRPr="00F33B71">
        <w:rPr>
          <w:bCs/>
          <w:i/>
          <w:iCs/>
          <w:sz w:val="22"/>
          <w:szCs w:val="22"/>
        </w:rPr>
        <w:t>variable</w:t>
      </w:r>
      <w:r>
        <w:rPr>
          <w:bCs/>
          <w:i/>
          <w:iCs/>
          <w:sz w:val="22"/>
          <w:szCs w:val="22"/>
        </w:rPr>
        <w:t>’</w:t>
      </w:r>
      <w:r w:rsidR="00396C9B" w:rsidRPr="00F33B71">
        <w:rPr>
          <w:bCs/>
          <w:i/>
          <w:iCs/>
          <w:sz w:val="22"/>
          <w:szCs w:val="22"/>
        </w:rPr>
        <w:t xml:space="preserve"> solamente está establecido para efectos de compromisos de pago: </w:t>
      </w:r>
      <w:r>
        <w:rPr>
          <w:bCs/>
          <w:i/>
          <w:iCs/>
          <w:sz w:val="22"/>
          <w:szCs w:val="22"/>
        </w:rPr>
        <w:t>‘</w:t>
      </w:r>
      <w:r w:rsidR="00396C9B" w:rsidRPr="00F33B71">
        <w:rPr>
          <w:bCs/>
          <w:i/>
          <w:iCs/>
          <w:sz w:val="22"/>
          <w:szCs w:val="22"/>
        </w:rPr>
        <w:t>…el comprador se comprometen a pagar en la liquidación mensual, como mínimo, el 80% de la cantidad contratada correspondiente al mes, independientemente de que sea consumida o no…</w:t>
      </w:r>
      <w:r>
        <w:rPr>
          <w:bCs/>
          <w:i/>
          <w:iCs/>
          <w:sz w:val="22"/>
          <w:szCs w:val="22"/>
        </w:rPr>
        <w:t>’</w:t>
      </w:r>
      <w:r w:rsidR="00396C9B" w:rsidRPr="00F33B71">
        <w:rPr>
          <w:bCs/>
          <w:i/>
          <w:iCs/>
          <w:sz w:val="22"/>
          <w:szCs w:val="22"/>
        </w:rPr>
        <w:t xml:space="preserve">”. </w:t>
      </w:r>
    </w:p>
    <w:p w14:paraId="3AA90CCE" w14:textId="77777777" w:rsidR="00F33B71" w:rsidRDefault="00F33B71" w:rsidP="00396C9B">
      <w:pPr>
        <w:rPr>
          <w:bCs/>
          <w:sz w:val="22"/>
          <w:szCs w:val="22"/>
        </w:rPr>
      </w:pPr>
    </w:p>
    <w:p w14:paraId="459C144B" w14:textId="7F797461" w:rsidR="00F33B71" w:rsidRPr="00F33B71" w:rsidRDefault="00F33B71" w:rsidP="00396C9B">
      <w:pPr>
        <w:rPr>
          <w:b/>
          <w:sz w:val="22"/>
          <w:szCs w:val="22"/>
        </w:rPr>
      </w:pPr>
      <w:r w:rsidRPr="00F33B71">
        <w:rPr>
          <w:b/>
          <w:sz w:val="22"/>
          <w:szCs w:val="22"/>
        </w:rPr>
        <w:t>Respuesta:</w:t>
      </w:r>
    </w:p>
    <w:p w14:paraId="579CD7FC" w14:textId="77777777" w:rsidR="00F33B71" w:rsidRDefault="00F33B71" w:rsidP="00396C9B">
      <w:pPr>
        <w:rPr>
          <w:bCs/>
          <w:sz w:val="22"/>
          <w:szCs w:val="22"/>
        </w:rPr>
      </w:pPr>
    </w:p>
    <w:p w14:paraId="01839369" w14:textId="09F3AE5D" w:rsidR="00F33B71" w:rsidRDefault="00F33B71" w:rsidP="00396C9B">
      <w:pPr>
        <w:rPr>
          <w:bCs/>
          <w:sz w:val="22"/>
          <w:szCs w:val="22"/>
        </w:rPr>
      </w:pPr>
      <w:r>
        <w:rPr>
          <w:bCs/>
          <w:sz w:val="22"/>
          <w:szCs w:val="22"/>
        </w:rPr>
        <w:t>Se acoge el comentario parcialmente.</w:t>
      </w:r>
    </w:p>
    <w:p w14:paraId="7204ADE8" w14:textId="77777777" w:rsidR="00F33B71" w:rsidRDefault="00F33B71" w:rsidP="00396C9B">
      <w:pPr>
        <w:rPr>
          <w:bCs/>
          <w:sz w:val="22"/>
          <w:szCs w:val="22"/>
        </w:rPr>
      </w:pPr>
    </w:p>
    <w:p w14:paraId="1B9256DA" w14:textId="66451068" w:rsidR="00F33B71" w:rsidRDefault="00915AA9"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_Ref132266813 \r \h </w:instrText>
      </w:r>
      <w:r>
        <w:rPr>
          <w:bCs/>
          <w:sz w:val="22"/>
          <w:szCs w:val="22"/>
        </w:rPr>
      </w:r>
      <w:r>
        <w:rPr>
          <w:bCs/>
          <w:sz w:val="22"/>
          <w:szCs w:val="22"/>
        </w:rPr>
        <w:fldChar w:fldCharType="separate"/>
      </w:r>
      <w:r>
        <w:rPr>
          <w:bCs/>
          <w:sz w:val="22"/>
          <w:szCs w:val="22"/>
        </w:rPr>
        <w:t>19.13.1.4</w:t>
      </w:r>
      <w:r>
        <w:rPr>
          <w:bCs/>
          <w:sz w:val="22"/>
          <w:szCs w:val="22"/>
        </w:rPr>
        <w:fldChar w:fldCharType="end"/>
      </w:r>
      <w:r>
        <w:rPr>
          <w:bCs/>
          <w:sz w:val="22"/>
          <w:szCs w:val="22"/>
        </w:rPr>
        <w:t>.</w:t>
      </w:r>
    </w:p>
    <w:p w14:paraId="7B8AB3A6" w14:textId="77777777" w:rsidR="00F33B71" w:rsidRPr="00781FE6" w:rsidRDefault="00F33B71" w:rsidP="00396C9B">
      <w:pPr>
        <w:rPr>
          <w:bCs/>
          <w:sz w:val="22"/>
          <w:szCs w:val="22"/>
        </w:rPr>
      </w:pPr>
    </w:p>
    <w:p w14:paraId="3F3744EA" w14:textId="77777777" w:rsidR="00396C9B" w:rsidRPr="00781FE6" w:rsidRDefault="00396C9B" w:rsidP="00396C9B">
      <w:pPr>
        <w:rPr>
          <w:bCs/>
          <w:sz w:val="22"/>
          <w:szCs w:val="22"/>
        </w:rPr>
      </w:pPr>
    </w:p>
    <w:p w14:paraId="4400BB78" w14:textId="77777777" w:rsidR="00396C9B" w:rsidRPr="00781FE6" w:rsidRDefault="00396C9B" w:rsidP="00456774">
      <w:pPr>
        <w:pStyle w:val="Ttulo4"/>
      </w:pPr>
      <w:r w:rsidRPr="00781FE6">
        <w:t>ASOENERGIA</w:t>
      </w:r>
      <w:r w:rsidRPr="00781FE6">
        <w:tab/>
      </w:r>
    </w:p>
    <w:p w14:paraId="7D395F10" w14:textId="0F6F4B4D" w:rsidR="00396C9B" w:rsidRPr="00915AA9" w:rsidRDefault="006145CC" w:rsidP="00396C9B">
      <w:pPr>
        <w:rPr>
          <w:bCs/>
          <w:i/>
          <w:iCs/>
          <w:sz w:val="22"/>
          <w:szCs w:val="22"/>
        </w:rPr>
      </w:pPr>
      <w:r>
        <w:rPr>
          <w:bCs/>
          <w:i/>
          <w:iCs/>
          <w:sz w:val="22"/>
          <w:szCs w:val="22"/>
        </w:rPr>
        <w:t>“</w:t>
      </w:r>
      <w:r w:rsidR="00396C9B" w:rsidRPr="00915AA9">
        <w:rPr>
          <w:bCs/>
          <w:i/>
          <w:iCs/>
          <w:sz w:val="22"/>
          <w:szCs w:val="22"/>
        </w:rPr>
        <w:t>Celebramos el cambio en el sentido de que flexibiliza el mecanismo de contratación y se ajusta a la realidad de poder viabilizar nuevos proyectos que incluyan una nueva demanda de gas natural.</w:t>
      </w:r>
      <w:r>
        <w:rPr>
          <w:bCs/>
          <w:i/>
          <w:iCs/>
          <w:sz w:val="22"/>
          <w:szCs w:val="22"/>
        </w:rPr>
        <w:t>”</w:t>
      </w:r>
    </w:p>
    <w:p w14:paraId="7D4E5F75" w14:textId="77777777" w:rsidR="00396C9B" w:rsidRDefault="00396C9B" w:rsidP="00396C9B">
      <w:pPr>
        <w:rPr>
          <w:bCs/>
          <w:sz w:val="22"/>
          <w:szCs w:val="22"/>
        </w:rPr>
      </w:pPr>
    </w:p>
    <w:p w14:paraId="67EAF230" w14:textId="131B11CB" w:rsidR="00915AA9" w:rsidRPr="00915AA9" w:rsidRDefault="00915AA9" w:rsidP="00396C9B">
      <w:pPr>
        <w:rPr>
          <w:b/>
          <w:sz w:val="22"/>
          <w:szCs w:val="22"/>
        </w:rPr>
      </w:pPr>
      <w:r w:rsidRPr="00915AA9">
        <w:rPr>
          <w:b/>
          <w:sz w:val="22"/>
          <w:szCs w:val="22"/>
        </w:rPr>
        <w:t>Respuesta:</w:t>
      </w:r>
    </w:p>
    <w:p w14:paraId="09948A7D" w14:textId="77777777" w:rsidR="00915AA9" w:rsidRDefault="00915AA9" w:rsidP="00396C9B">
      <w:pPr>
        <w:rPr>
          <w:bCs/>
          <w:sz w:val="22"/>
          <w:szCs w:val="22"/>
        </w:rPr>
      </w:pPr>
    </w:p>
    <w:p w14:paraId="57678AD9" w14:textId="77777777" w:rsidR="00915AA9" w:rsidRDefault="00915AA9" w:rsidP="00915AA9">
      <w:pPr>
        <w:rPr>
          <w:rFonts w:cs="Arial"/>
          <w:sz w:val="22"/>
          <w:szCs w:val="22"/>
        </w:rPr>
      </w:pPr>
      <w:r>
        <w:rPr>
          <w:rFonts w:cs="Arial"/>
          <w:sz w:val="22"/>
          <w:szCs w:val="22"/>
        </w:rPr>
        <w:t>Se deben tener en cuenta los ajustes realizados en la nueva propuesta.</w:t>
      </w:r>
    </w:p>
    <w:p w14:paraId="45986453" w14:textId="77777777" w:rsidR="00915AA9" w:rsidRDefault="00915AA9" w:rsidP="00396C9B">
      <w:pPr>
        <w:rPr>
          <w:bCs/>
          <w:sz w:val="22"/>
          <w:szCs w:val="22"/>
        </w:rPr>
      </w:pPr>
    </w:p>
    <w:p w14:paraId="0814AB97" w14:textId="77777777" w:rsidR="00915AA9" w:rsidRPr="00781FE6" w:rsidRDefault="00915AA9" w:rsidP="00396C9B">
      <w:pPr>
        <w:rPr>
          <w:bCs/>
          <w:sz w:val="22"/>
          <w:szCs w:val="22"/>
        </w:rPr>
      </w:pPr>
    </w:p>
    <w:p w14:paraId="1C85773A" w14:textId="77777777" w:rsidR="00396C9B" w:rsidRPr="00781FE6" w:rsidRDefault="00396C9B" w:rsidP="00456774">
      <w:pPr>
        <w:pStyle w:val="Ttulo4"/>
      </w:pPr>
      <w:r w:rsidRPr="00781FE6">
        <w:t>ASOENERGIA</w:t>
      </w:r>
      <w:r w:rsidRPr="00781FE6">
        <w:tab/>
      </w:r>
    </w:p>
    <w:p w14:paraId="1D00E040" w14:textId="2099E7CD" w:rsidR="00396C9B" w:rsidRPr="00915AA9" w:rsidRDefault="006145CC" w:rsidP="00396C9B">
      <w:pPr>
        <w:rPr>
          <w:bCs/>
          <w:i/>
          <w:iCs/>
          <w:sz w:val="22"/>
          <w:szCs w:val="22"/>
        </w:rPr>
      </w:pPr>
      <w:r>
        <w:rPr>
          <w:bCs/>
          <w:i/>
          <w:iCs/>
          <w:sz w:val="22"/>
          <w:szCs w:val="22"/>
        </w:rPr>
        <w:t>“</w:t>
      </w:r>
      <w:r w:rsidR="00396C9B" w:rsidRPr="00915AA9">
        <w:rPr>
          <w:bCs/>
          <w:i/>
          <w:iCs/>
          <w:sz w:val="22"/>
          <w:szCs w:val="22"/>
        </w:rPr>
        <w:t>Celebramos el cambio en el sentido de que flexibiliza el mecanismo de contratación y se ajusta a la realidad de variación de consumos de los usuarios finales, sin tener que asumir los sobrecostos por dichas volatilidades.</w:t>
      </w:r>
      <w:r>
        <w:rPr>
          <w:bCs/>
          <w:i/>
          <w:iCs/>
          <w:sz w:val="22"/>
          <w:szCs w:val="22"/>
        </w:rPr>
        <w:t>”</w:t>
      </w:r>
      <w:r w:rsidR="00396C9B" w:rsidRPr="00915AA9">
        <w:rPr>
          <w:bCs/>
          <w:i/>
          <w:iCs/>
          <w:sz w:val="22"/>
          <w:szCs w:val="22"/>
        </w:rPr>
        <w:t xml:space="preserve"> </w:t>
      </w:r>
    </w:p>
    <w:p w14:paraId="55215074" w14:textId="77777777" w:rsidR="00915AA9" w:rsidRDefault="00915AA9" w:rsidP="00396C9B">
      <w:pPr>
        <w:rPr>
          <w:bCs/>
          <w:sz w:val="22"/>
          <w:szCs w:val="22"/>
        </w:rPr>
      </w:pPr>
    </w:p>
    <w:p w14:paraId="110DCF06" w14:textId="14049C3C" w:rsidR="00915AA9" w:rsidRPr="00915AA9" w:rsidRDefault="00915AA9" w:rsidP="00396C9B">
      <w:pPr>
        <w:rPr>
          <w:b/>
          <w:sz w:val="22"/>
          <w:szCs w:val="22"/>
        </w:rPr>
      </w:pPr>
      <w:r w:rsidRPr="00915AA9">
        <w:rPr>
          <w:b/>
          <w:sz w:val="22"/>
          <w:szCs w:val="22"/>
        </w:rPr>
        <w:t>Respuesta:</w:t>
      </w:r>
    </w:p>
    <w:p w14:paraId="2E146C13" w14:textId="77777777" w:rsidR="00915AA9" w:rsidRDefault="00915AA9" w:rsidP="00396C9B">
      <w:pPr>
        <w:rPr>
          <w:bCs/>
          <w:sz w:val="22"/>
          <w:szCs w:val="22"/>
        </w:rPr>
      </w:pPr>
    </w:p>
    <w:p w14:paraId="18A44000" w14:textId="77777777" w:rsidR="00915AA9" w:rsidRDefault="00915AA9" w:rsidP="00915AA9">
      <w:pPr>
        <w:rPr>
          <w:rFonts w:cs="Arial"/>
          <w:sz w:val="22"/>
          <w:szCs w:val="22"/>
        </w:rPr>
      </w:pPr>
      <w:r>
        <w:rPr>
          <w:rFonts w:cs="Arial"/>
          <w:sz w:val="22"/>
          <w:szCs w:val="22"/>
        </w:rPr>
        <w:t>Se deben tener en cuenta los ajustes realizados en la nueva propuesta.</w:t>
      </w:r>
    </w:p>
    <w:p w14:paraId="59BCFD7B" w14:textId="77777777" w:rsidR="00396C9B" w:rsidRPr="00781FE6" w:rsidRDefault="00396C9B" w:rsidP="00396C9B">
      <w:pPr>
        <w:rPr>
          <w:bCs/>
          <w:sz w:val="22"/>
          <w:szCs w:val="22"/>
        </w:rPr>
      </w:pPr>
    </w:p>
    <w:p w14:paraId="5BBDF7CE" w14:textId="77777777" w:rsidR="00396C9B" w:rsidRPr="00781FE6" w:rsidRDefault="00396C9B" w:rsidP="00396C9B">
      <w:pPr>
        <w:rPr>
          <w:bCs/>
          <w:sz w:val="22"/>
          <w:szCs w:val="22"/>
        </w:rPr>
      </w:pPr>
    </w:p>
    <w:p w14:paraId="08789E69" w14:textId="77777777" w:rsidR="00396C9B" w:rsidRPr="00781FE6" w:rsidRDefault="00396C9B" w:rsidP="00781FE6">
      <w:pPr>
        <w:pStyle w:val="Ttulo2"/>
      </w:pPr>
      <w:bookmarkStart w:id="876" w:name="_Toc140506459"/>
      <w:r w:rsidRPr="00781FE6">
        <w:t>BOLSA MERCANTIL DE COLOMBIA</w:t>
      </w:r>
      <w:bookmarkEnd w:id="876"/>
      <w:r w:rsidRPr="00781FE6">
        <w:tab/>
      </w:r>
    </w:p>
    <w:p w14:paraId="346AD724" w14:textId="77777777" w:rsidR="00456774" w:rsidRPr="00781FE6" w:rsidRDefault="00456774" w:rsidP="00456774">
      <w:pPr>
        <w:pStyle w:val="Ttulo4"/>
      </w:pPr>
      <w:r w:rsidRPr="00781FE6">
        <w:t>BOLSA MERCANTIL DE COLOMBIA</w:t>
      </w:r>
      <w:r w:rsidRPr="00781FE6">
        <w:tab/>
      </w:r>
    </w:p>
    <w:p w14:paraId="45A7BF68" w14:textId="21D877CC" w:rsidR="00396C9B" w:rsidRPr="00915AA9" w:rsidRDefault="00396C9B" w:rsidP="00396C9B">
      <w:pPr>
        <w:rPr>
          <w:bCs/>
          <w:i/>
          <w:iCs/>
          <w:sz w:val="22"/>
          <w:szCs w:val="22"/>
        </w:rPr>
      </w:pPr>
      <w:r w:rsidRPr="00781FE6">
        <w:rPr>
          <w:bCs/>
          <w:sz w:val="22"/>
          <w:szCs w:val="22"/>
        </w:rPr>
        <w:t>"</w:t>
      </w:r>
      <w:r w:rsidRPr="00915AA9">
        <w:rPr>
          <w:bCs/>
          <w:i/>
          <w:iCs/>
          <w:sz w:val="22"/>
          <w:szCs w:val="22"/>
        </w:rPr>
        <w:t xml:space="preserve">Literal c) En línea con lo expuesto </w:t>
      </w:r>
      <w:proofErr w:type="gramStart"/>
      <w:r w:rsidRPr="00915AA9">
        <w:rPr>
          <w:bCs/>
          <w:i/>
          <w:iCs/>
          <w:sz w:val="22"/>
          <w:szCs w:val="22"/>
        </w:rPr>
        <w:t>en relación al</w:t>
      </w:r>
      <w:proofErr w:type="gramEnd"/>
      <w:r w:rsidRPr="00915AA9">
        <w:rPr>
          <w:bCs/>
          <w:i/>
          <w:iCs/>
          <w:sz w:val="22"/>
          <w:szCs w:val="22"/>
        </w:rPr>
        <w:t xml:space="preserve"> numeral 1 del Artículo 21 y dado que la norma prevé la posibilidad de adelantarse negociaciones en un horizonte de hasta 40 trimestres posteriores al trimestre de negociación, se recomienda acotar dicho periodo a los trimestres que cuenten con Declaración de Producción publicada por el Ministerio de Minas y Energía. Lo anterior, pues entenderíamos que en un contrato vigente no sería posible definir una fecha futura de inicio de ejecución.</w:t>
      </w:r>
    </w:p>
    <w:p w14:paraId="4F66CF8C" w14:textId="77777777" w:rsidR="00396C9B" w:rsidRPr="00915AA9" w:rsidRDefault="00396C9B" w:rsidP="00396C9B">
      <w:pPr>
        <w:rPr>
          <w:bCs/>
          <w:i/>
          <w:iCs/>
          <w:sz w:val="22"/>
          <w:szCs w:val="22"/>
        </w:rPr>
      </w:pPr>
    </w:p>
    <w:p w14:paraId="363514BD" w14:textId="2529F4F6" w:rsidR="00396C9B" w:rsidRPr="00915AA9" w:rsidRDefault="00396C9B" w:rsidP="00396C9B">
      <w:pPr>
        <w:rPr>
          <w:bCs/>
          <w:i/>
          <w:iCs/>
          <w:sz w:val="22"/>
          <w:szCs w:val="22"/>
        </w:rPr>
      </w:pPr>
      <w:r w:rsidRPr="00915AA9">
        <w:rPr>
          <w:bCs/>
          <w:i/>
          <w:iCs/>
          <w:sz w:val="22"/>
          <w:szCs w:val="22"/>
        </w:rPr>
        <w:t xml:space="preserve">Como se mencionó en los comentarios al artículo 3, no hay definición </w:t>
      </w:r>
      <w:proofErr w:type="gramStart"/>
      <w:r w:rsidRPr="00915AA9">
        <w:rPr>
          <w:bCs/>
          <w:i/>
          <w:iCs/>
          <w:sz w:val="22"/>
          <w:szCs w:val="22"/>
        </w:rPr>
        <w:t xml:space="preserve">de  </w:t>
      </w:r>
      <w:r w:rsidR="006145CC">
        <w:rPr>
          <w:bCs/>
          <w:i/>
          <w:iCs/>
          <w:sz w:val="22"/>
          <w:szCs w:val="22"/>
        </w:rPr>
        <w:t>‘</w:t>
      </w:r>
      <w:proofErr w:type="gramEnd"/>
      <w:r w:rsidRPr="00915AA9">
        <w:rPr>
          <w:bCs/>
          <w:i/>
          <w:iCs/>
          <w:sz w:val="22"/>
          <w:szCs w:val="22"/>
        </w:rPr>
        <w:t>Punto de Venta</w:t>
      </w:r>
      <w:r w:rsidR="006145CC">
        <w:rPr>
          <w:bCs/>
          <w:i/>
          <w:iCs/>
          <w:sz w:val="22"/>
          <w:szCs w:val="22"/>
        </w:rPr>
        <w:t>’</w:t>
      </w:r>
      <w:r w:rsidRPr="00915AA9">
        <w:rPr>
          <w:bCs/>
          <w:i/>
          <w:iCs/>
          <w:sz w:val="22"/>
          <w:szCs w:val="22"/>
        </w:rPr>
        <w:t xml:space="preserve">. </w:t>
      </w:r>
    </w:p>
    <w:p w14:paraId="2D695933" w14:textId="77777777" w:rsidR="00396C9B" w:rsidRPr="00915AA9" w:rsidRDefault="00396C9B" w:rsidP="00396C9B">
      <w:pPr>
        <w:rPr>
          <w:bCs/>
          <w:i/>
          <w:iCs/>
          <w:sz w:val="22"/>
          <w:szCs w:val="22"/>
        </w:rPr>
      </w:pPr>
    </w:p>
    <w:p w14:paraId="3D8FB865" w14:textId="77777777" w:rsidR="00396C9B" w:rsidRPr="00915AA9" w:rsidRDefault="00396C9B" w:rsidP="00396C9B">
      <w:pPr>
        <w:rPr>
          <w:bCs/>
          <w:i/>
          <w:iCs/>
          <w:sz w:val="22"/>
          <w:szCs w:val="22"/>
        </w:rPr>
      </w:pPr>
      <w:r w:rsidRPr="00915AA9">
        <w:rPr>
          <w:bCs/>
          <w:i/>
          <w:iCs/>
          <w:sz w:val="22"/>
          <w:szCs w:val="22"/>
        </w:rPr>
        <w:t>Así mismo, entendemos que el valor de la prima es aplicable a los contratos de Opción de Compra de Gas.</w:t>
      </w:r>
    </w:p>
    <w:p w14:paraId="4DA1BD61" w14:textId="77777777" w:rsidR="00396C9B" w:rsidRPr="00915AA9" w:rsidRDefault="00396C9B" w:rsidP="00396C9B">
      <w:pPr>
        <w:rPr>
          <w:bCs/>
          <w:i/>
          <w:iCs/>
          <w:sz w:val="22"/>
          <w:szCs w:val="22"/>
        </w:rPr>
      </w:pPr>
    </w:p>
    <w:p w14:paraId="50EAFF0A" w14:textId="14D8A1A7" w:rsidR="00396C9B" w:rsidRPr="00915AA9" w:rsidRDefault="00396C9B" w:rsidP="00396C9B">
      <w:pPr>
        <w:rPr>
          <w:bCs/>
          <w:i/>
          <w:iCs/>
          <w:sz w:val="22"/>
          <w:szCs w:val="22"/>
        </w:rPr>
      </w:pPr>
      <w:r w:rsidRPr="00915AA9">
        <w:rPr>
          <w:bCs/>
          <w:i/>
          <w:iCs/>
          <w:sz w:val="22"/>
          <w:szCs w:val="22"/>
        </w:rPr>
        <w:t>Hay variables repetidas y en otros casos se debe dar precisión sobre cómo clasificarlas."</w:t>
      </w:r>
    </w:p>
    <w:p w14:paraId="00B79131" w14:textId="77777777" w:rsidR="00915AA9" w:rsidRDefault="00915AA9" w:rsidP="00396C9B">
      <w:pPr>
        <w:rPr>
          <w:bCs/>
          <w:sz w:val="22"/>
          <w:szCs w:val="22"/>
        </w:rPr>
      </w:pPr>
    </w:p>
    <w:p w14:paraId="2E32845C" w14:textId="372BF059" w:rsidR="00915AA9" w:rsidRPr="00915AA9" w:rsidRDefault="00915AA9" w:rsidP="00396C9B">
      <w:pPr>
        <w:rPr>
          <w:b/>
          <w:sz w:val="22"/>
          <w:szCs w:val="22"/>
        </w:rPr>
      </w:pPr>
      <w:r w:rsidRPr="00915AA9">
        <w:rPr>
          <w:b/>
          <w:sz w:val="22"/>
          <w:szCs w:val="22"/>
        </w:rPr>
        <w:t>Respuesta:</w:t>
      </w:r>
    </w:p>
    <w:p w14:paraId="29B3BAA8" w14:textId="77777777" w:rsidR="00915AA9" w:rsidRDefault="00915AA9" w:rsidP="00396C9B">
      <w:pPr>
        <w:rPr>
          <w:bCs/>
          <w:sz w:val="22"/>
          <w:szCs w:val="22"/>
        </w:rPr>
      </w:pPr>
    </w:p>
    <w:p w14:paraId="2E839EE3" w14:textId="5EFEBBF4" w:rsidR="00915AA9" w:rsidRDefault="00915AA9" w:rsidP="00396C9B">
      <w:pPr>
        <w:rPr>
          <w:bCs/>
          <w:sz w:val="22"/>
          <w:szCs w:val="22"/>
        </w:rPr>
      </w:pPr>
      <w:r>
        <w:rPr>
          <w:bCs/>
          <w:sz w:val="22"/>
          <w:szCs w:val="22"/>
        </w:rPr>
        <w:t>Se acoge el comentario.</w:t>
      </w:r>
    </w:p>
    <w:p w14:paraId="00D267D6" w14:textId="77777777" w:rsidR="00915AA9" w:rsidRDefault="00915AA9" w:rsidP="00396C9B">
      <w:pPr>
        <w:rPr>
          <w:bCs/>
          <w:sz w:val="22"/>
          <w:szCs w:val="22"/>
        </w:rPr>
      </w:pPr>
    </w:p>
    <w:p w14:paraId="74DD1A1E" w14:textId="303551A6" w:rsidR="00915AA9" w:rsidRDefault="00915AA9"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_Ref132717187 \r \h </w:instrText>
      </w:r>
      <w:r>
        <w:rPr>
          <w:bCs/>
          <w:sz w:val="22"/>
          <w:szCs w:val="22"/>
        </w:rPr>
      </w:r>
      <w:r>
        <w:rPr>
          <w:bCs/>
          <w:sz w:val="22"/>
          <w:szCs w:val="22"/>
        </w:rPr>
        <w:fldChar w:fldCharType="separate"/>
      </w:r>
      <w:r>
        <w:rPr>
          <w:bCs/>
          <w:sz w:val="22"/>
          <w:szCs w:val="22"/>
        </w:rPr>
        <w:t>19.8.1.4</w:t>
      </w:r>
      <w:r>
        <w:rPr>
          <w:bCs/>
          <w:sz w:val="22"/>
          <w:szCs w:val="22"/>
        </w:rPr>
        <w:fldChar w:fldCharType="end"/>
      </w:r>
      <w:r>
        <w:rPr>
          <w:bCs/>
          <w:sz w:val="22"/>
          <w:szCs w:val="22"/>
        </w:rPr>
        <w:t>.</w:t>
      </w:r>
    </w:p>
    <w:p w14:paraId="4E99D3FB" w14:textId="77777777" w:rsidR="00915AA9" w:rsidRPr="00781FE6" w:rsidRDefault="00915AA9" w:rsidP="00396C9B">
      <w:pPr>
        <w:rPr>
          <w:bCs/>
          <w:sz w:val="22"/>
          <w:szCs w:val="22"/>
        </w:rPr>
      </w:pPr>
    </w:p>
    <w:p w14:paraId="42C2E122" w14:textId="77777777" w:rsidR="00396C9B" w:rsidRPr="00781FE6" w:rsidRDefault="00396C9B" w:rsidP="00396C9B">
      <w:pPr>
        <w:rPr>
          <w:bCs/>
          <w:sz w:val="22"/>
          <w:szCs w:val="22"/>
        </w:rPr>
      </w:pPr>
    </w:p>
    <w:p w14:paraId="42407805" w14:textId="77777777" w:rsidR="00396C9B" w:rsidRPr="00781FE6" w:rsidRDefault="00396C9B" w:rsidP="00456774">
      <w:pPr>
        <w:pStyle w:val="Ttulo4"/>
      </w:pPr>
      <w:bookmarkStart w:id="877" w:name="_Ref133143636"/>
      <w:r w:rsidRPr="00781FE6">
        <w:t>BOLSA MERCANTIL DE COLOMBIA</w:t>
      </w:r>
      <w:bookmarkEnd w:id="877"/>
      <w:r w:rsidRPr="00781FE6">
        <w:tab/>
      </w:r>
    </w:p>
    <w:p w14:paraId="62470370" w14:textId="49439F3B" w:rsidR="00396C9B" w:rsidRDefault="00396C9B" w:rsidP="00396C9B">
      <w:pPr>
        <w:rPr>
          <w:bCs/>
          <w:i/>
          <w:iCs/>
          <w:sz w:val="22"/>
          <w:szCs w:val="22"/>
        </w:rPr>
      </w:pPr>
      <w:r w:rsidRPr="00781FE6">
        <w:rPr>
          <w:bCs/>
          <w:sz w:val="22"/>
          <w:szCs w:val="22"/>
        </w:rPr>
        <w:t>"</w:t>
      </w:r>
      <w:r w:rsidRPr="00915AA9">
        <w:rPr>
          <w:bCs/>
          <w:i/>
          <w:iCs/>
          <w:sz w:val="22"/>
          <w:szCs w:val="22"/>
        </w:rPr>
        <w:t>En el parágrafo 1 se señala lo siguiente:</w:t>
      </w:r>
    </w:p>
    <w:p w14:paraId="3DBB5488" w14:textId="77777777" w:rsidR="00915AA9" w:rsidRPr="00915AA9" w:rsidRDefault="00915AA9" w:rsidP="00396C9B">
      <w:pPr>
        <w:rPr>
          <w:bCs/>
          <w:i/>
          <w:iCs/>
          <w:sz w:val="22"/>
          <w:szCs w:val="22"/>
        </w:rPr>
      </w:pPr>
    </w:p>
    <w:p w14:paraId="595BD39A" w14:textId="0D4975A0" w:rsidR="00396C9B" w:rsidRPr="00915AA9" w:rsidRDefault="006145CC" w:rsidP="00396C9B">
      <w:pPr>
        <w:rPr>
          <w:bCs/>
          <w:i/>
          <w:iCs/>
          <w:sz w:val="22"/>
          <w:szCs w:val="22"/>
        </w:rPr>
      </w:pPr>
      <w:r>
        <w:rPr>
          <w:bCs/>
          <w:i/>
          <w:iCs/>
          <w:sz w:val="22"/>
          <w:szCs w:val="22"/>
        </w:rPr>
        <w:t>‘</w:t>
      </w:r>
      <w:r w:rsidR="00396C9B" w:rsidRPr="00915AA9">
        <w:rPr>
          <w:bCs/>
          <w:i/>
          <w:iCs/>
          <w:sz w:val="22"/>
          <w:szCs w:val="22"/>
        </w:rPr>
        <w:t xml:space="preserve">Para el registro ante el </w:t>
      </w:r>
      <w:r w:rsidR="005114C6" w:rsidRPr="00915AA9">
        <w:rPr>
          <w:bCs/>
          <w:i/>
          <w:iCs/>
          <w:sz w:val="22"/>
          <w:szCs w:val="22"/>
        </w:rPr>
        <w:t>Gestor del Mercado</w:t>
      </w:r>
      <w:r w:rsidR="00396C9B" w:rsidRPr="00915AA9">
        <w:rPr>
          <w:bCs/>
          <w:i/>
          <w:iCs/>
          <w:sz w:val="22"/>
          <w:szCs w:val="22"/>
        </w:rPr>
        <w:t xml:space="preserve"> de los contratos que se suscriban como consecuencia de la aplicación de los mecanismos de negociación en el mercado primario, se deberá presentar un documento anexo del contrato de suministro, suscrito por las partes del contrato, que contenga como mínimo la información que a continuación se enlista y que se constituye en la caracterización completa de las condiciones particulares del contrato, así (...)</w:t>
      </w:r>
      <w:r>
        <w:rPr>
          <w:bCs/>
          <w:i/>
          <w:iCs/>
          <w:sz w:val="22"/>
          <w:szCs w:val="22"/>
        </w:rPr>
        <w:t>’</w:t>
      </w:r>
    </w:p>
    <w:p w14:paraId="32D194B6" w14:textId="77777777" w:rsidR="00396C9B" w:rsidRPr="00915AA9" w:rsidRDefault="00396C9B" w:rsidP="00396C9B">
      <w:pPr>
        <w:rPr>
          <w:bCs/>
          <w:i/>
          <w:iCs/>
          <w:sz w:val="22"/>
          <w:szCs w:val="22"/>
        </w:rPr>
      </w:pPr>
    </w:p>
    <w:p w14:paraId="2D42D4D2" w14:textId="088A0B59" w:rsidR="00396C9B" w:rsidRDefault="00396C9B" w:rsidP="00396C9B">
      <w:pPr>
        <w:rPr>
          <w:bCs/>
          <w:sz w:val="22"/>
          <w:szCs w:val="22"/>
        </w:rPr>
      </w:pPr>
      <w:r w:rsidRPr="00915AA9">
        <w:rPr>
          <w:bCs/>
          <w:i/>
          <w:iCs/>
          <w:sz w:val="22"/>
          <w:szCs w:val="22"/>
        </w:rPr>
        <w:t>La mayoría de información allí solicitada es parte del registro del contrato en el sistema SEGAS</w:t>
      </w:r>
      <w:r w:rsidRPr="00781FE6">
        <w:rPr>
          <w:bCs/>
          <w:sz w:val="22"/>
          <w:szCs w:val="22"/>
        </w:rPr>
        <w:t>."</w:t>
      </w:r>
    </w:p>
    <w:p w14:paraId="26C3247E" w14:textId="77777777" w:rsidR="00915AA9" w:rsidRDefault="00915AA9" w:rsidP="00396C9B">
      <w:pPr>
        <w:rPr>
          <w:bCs/>
          <w:sz w:val="22"/>
          <w:szCs w:val="22"/>
        </w:rPr>
      </w:pPr>
    </w:p>
    <w:p w14:paraId="02E60903" w14:textId="7F9AB5D3" w:rsidR="00915AA9" w:rsidRPr="00915AA9" w:rsidRDefault="00915AA9" w:rsidP="00396C9B">
      <w:pPr>
        <w:rPr>
          <w:b/>
          <w:sz w:val="22"/>
          <w:szCs w:val="22"/>
        </w:rPr>
      </w:pPr>
      <w:r w:rsidRPr="00915AA9">
        <w:rPr>
          <w:b/>
          <w:sz w:val="22"/>
          <w:szCs w:val="22"/>
        </w:rPr>
        <w:t>Respuesta:</w:t>
      </w:r>
    </w:p>
    <w:p w14:paraId="0B329A48" w14:textId="77777777" w:rsidR="00915AA9" w:rsidRDefault="00915AA9" w:rsidP="00396C9B">
      <w:pPr>
        <w:rPr>
          <w:bCs/>
          <w:sz w:val="22"/>
          <w:szCs w:val="22"/>
        </w:rPr>
      </w:pPr>
    </w:p>
    <w:p w14:paraId="79978351" w14:textId="0691E44D" w:rsidR="00915AA9" w:rsidRDefault="00915AA9" w:rsidP="00396C9B">
      <w:pPr>
        <w:rPr>
          <w:bCs/>
          <w:sz w:val="22"/>
          <w:szCs w:val="22"/>
        </w:rPr>
      </w:pPr>
      <w:r>
        <w:rPr>
          <w:bCs/>
          <w:sz w:val="22"/>
          <w:szCs w:val="22"/>
        </w:rPr>
        <w:t>Se acoge el comentario.</w:t>
      </w:r>
    </w:p>
    <w:p w14:paraId="089D5AA4" w14:textId="77777777" w:rsidR="00915AA9" w:rsidRDefault="00915AA9" w:rsidP="00396C9B">
      <w:pPr>
        <w:rPr>
          <w:bCs/>
          <w:sz w:val="22"/>
          <w:szCs w:val="22"/>
        </w:rPr>
      </w:pPr>
    </w:p>
    <w:p w14:paraId="129D7CBB" w14:textId="523151AF" w:rsidR="00915AA9" w:rsidRPr="00781FE6" w:rsidRDefault="00915AA9" w:rsidP="00396C9B">
      <w:pPr>
        <w:rPr>
          <w:bCs/>
          <w:sz w:val="22"/>
          <w:szCs w:val="22"/>
        </w:rPr>
      </w:pPr>
      <w:r>
        <w:rPr>
          <w:bCs/>
          <w:sz w:val="22"/>
          <w:szCs w:val="22"/>
        </w:rPr>
        <w:t xml:space="preserve">En la nueva propuesta la información adicional que se requería entregar en el Parágrafo inicialmente </w:t>
      </w:r>
      <w:proofErr w:type="gramStart"/>
      <w:r>
        <w:rPr>
          <w:bCs/>
          <w:sz w:val="22"/>
          <w:szCs w:val="22"/>
        </w:rPr>
        <w:t>propuesto,</w:t>
      </w:r>
      <w:proofErr w:type="gramEnd"/>
      <w:r>
        <w:rPr>
          <w:bCs/>
          <w:sz w:val="22"/>
          <w:szCs w:val="22"/>
        </w:rPr>
        <w:t xml:space="preserve"> se incorpora a la información que se especifica en el Anexo 1.</w:t>
      </w:r>
    </w:p>
    <w:p w14:paraId="1842345F" w14:textId="77777777" w:rsidR="00396C9B" w:rsidRPr="00781FE6" w:rsidRDefault="00396C9B" w:rsidP="00396C9B">
      <w:pPr>
        <w:rPr>
          <w:bCs/>
          <w:sz w:val="22"/>
          <w:szCs w:val="22"/>
        </w:rPr>
      </w:pPr>
    </w:p>
    <w:p w14:paraId="3D02CACE" w14:textId="77777777" w:rsidR="00396C9B" w:rsidRPr="00781FE6" w:rsidRDefault="00396C9B" w:rsidP="00781FE6">
      <w:pPr>
        <w:pStyle w:val="Ttulo2"/>
      </w:pPr>
      <w:bookmarkStart w:id="878" w:name="_Toc140506460"/>
      <w:r w:rsidRPr="00781FE6">
        <w:t>CANACOL</w:t>
      </w:r>
      <w:bookmarkEnd w:id="878"/>
      <w:r w:rsidRPr="00781FE6">
        <w:tab/>
      </w:r>
    </w:p>
    <w:p w14:paraId="52A32579" w14:textId="77777777" w:rsidR="00456774" w:rsidRPr="00781FE6" w:rsidRDefault="00456774" w:rsidP="00456774">
      <w:pPr>
        <w:pStyle w:val="Ttulo4"/>
      </w:pPr>
      <w:r w:rsidRPr="00781FE6">
        <w:t>CANACOL</w:t>
      </w:r>
      <w:r w:rsidRPr="00781FE6">
        <w:tab/>
      </w:r>
    </w:p>
    <w:p w14:paraId="77EB59CC" w14:textId="79F81321" w:rsidR="00396C9B" w:rsidRPr="00915AA9" w:rsidRDefault="00396C9B" w:rsidP="00396C9B">
      <w:pPr>
        <w:rPr>
          <w:bCs/>
          <w:i/>
          <w:iCs/>
          <w:sz w:val="22"/>
          <w:szCs w:val="22"/>
        </w:rPr>
      </w:pPr>
      <w:r w:rsidRPr="00781FE6">
        <w:rPr>
          <w:bCs/>
          <w:sz w:val="22"/>
          <w:szCs w:val="22"/>
        </w:rPr>
        <w:t>"</w:t>
      </w:r>
      <w:r w:rsidRPr="00915AA9">
        <w:rPr>
          <w:bCs/>
          <w:i/>
          <w:iCs/>
          <w:sz w:val="22"/>
          <w:szCs w:val="22"/>
        </w:rPr>
        <w:t xml:space="preserve">La cláusula de ajuste regulatorio que contempla la resolución introduce un riesgo imposible de asumir, dado que obliga a las partes a aceptar cualquier medida (precio, firmeza, cantidades, </w:t>
      </w:r>
      <w:proofErr w:type="spellStart"/>
      <w:r w:rsidRPr="00915AA9">
        <w:rPr>
          <w:bCs/>
          <w:i/>
          <w:iCs/>
          <w:sz w:val="22"/>
          <w:szCs w:val="22"/>
        </w:rPr>
        <w:t>etc</w:t>
      </w:r>
      <w:proofErr w:type="spellEnd"/>
      <w:r w:rsidRPr="00915AA9">
        <w:rPr>
          <w:bCs/>
          <w:i/>
          <w:iCs/>
          <w:sz w:val="22"/>
          <w:szCs w:val="22"/>
        </w:rPr>
        <w:t>) que la CREG adopte a posteriori.</w:t>
      </w:r>
    </w:p>
    <w:p w14:paraId="1AE0DB53" w14:textId="77777777" w:rsidR="00396C9B" w:rsidRPr="00915AA9" w:rsidRDefault="00396C9B" w:rsidP="00396C9B">
      <w:pPr>
        <w:rPr>
          <w:bCs/>
          <w:i/>
          <w:iCs/>
          <w:sz w:val="22"/>
          <w:szCs w:val="22"/>
        </w:rPr>
      </w:pPr>
    </w:p>
    <w:p w14:paraId="3F4ACE80" w14:textId="77777777" w:rsidR="00396C9B" w:rsidRPr="00915AA9" w:rsidRDefault="00396C9B" w:rsidP="00396C9B">
      <w:pPr>
        <w:rPr>
          <w:bCs/>
          <w:i/>
          <w:iCs/>
          <w:sz w:val="22"/>
          <w:szCs w:val="22"/>
        </w:rPr>
      </w:pPr>
      <w:r w:rsidRPr="00915AA9">
        <w:rPr>
          <w:bCs/>
          <w:i/>
          <w:iCs/>
          <w:sz w:val="22"/>
          <w:szCs w:val="22"/>
        </w:rPr>
        <w:t>Es decir, no se puede aceptar medidas que no se conocen. De seguir esa cláusula lo que va a originar es que prácticamente no se puedan firmar contratos más allá del año 2025, dado que no es viable para la mayoría de las empresas tener contratos en donde se aceptan cláusulas que no se conocen previamente."</w:t>
      </w:r>
    </w:p>
    <w:p w14:paraId="28A2D1C8" w14:textId="77777777" w:rsidR="00915AA9" w:rsidRDefault="00915AA9" w:rsidP="00396C9B">
      <w:pPr>
        <w:rPr>
          <w:bCs/>
          <w:sz w:val="22"/>
          <w:szCs w:val="22"/>
        </w:rPr>
      </w:pPr>
    </w:p>
    <w:p w14:paraId="36B93440" w14:textId="2FB235C7" w:rsidR="00915AA9" w:rsidRPr="00915AA9" w:rsidRDefault="00915AA9" w:rsidP="00396C9B">
      <w:pPr>
        <w:rPr>
          <w:b/>
          <w:sz w:val="22"/>
          <w:szCs w:val="22"/>
        </w:rPr>
      </w:pPr>
      <w:r w:rsidRPr="00915AA9">
        <w:rPr>
          <w:b/>
          <w:sz w:val="22"/>
          <w:szCs w:val="22"/>
        </w:rPr>
        <w:t>Respuesta:</w:t>
      </w:r>
    </w:p>
    <w:p w14:paraId="38DB98C6" w14:textId="77777777" w:rsidR="00915AA9" w:rsidRDefault="00915AA9" w:rsidP="00396C9B">
      <w:pPr>
        <w:rPr>
          <w:bCs/>
          <w:sz w:val="22"/>
          <w:szCs w:val="22"/>
        </w:rPr>
      </w:pPr>
    </w:p>
    <w:p w14:paraId="75B7D7D4" w14:textId="331D08D7" w:rsidR="00915AA9" w:rsidRPr="00781FE6" w:rsidRDefault="00915AA9"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\r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232CB636" w14:textId="77777777" w:rsidR="00396C9B" w:rsidRPr="00781FE6" w:rsidRDefault="00396C9B" w:rsidP="00396C9B">
      <w:pPr>
        <w:rPr>
          <w:bCs/>
          <w:sz w:val="22"/>
          <w:szCs w:val="22"/>
        </w:rPr>
      </w:pPr>
    </w:p>
    <w:p w14:paraId="7655200E" w14:textId="77777777" w:rsidR="00396C9B" w:rsidRPr="00781FE6" w:rsidRDefault="00396C9B" w:rsidP="00396C9B">
      <w:pPr>
        <w:rPr>
          <w:bCs/>
          <w:sz w:val="22"/>
          <w:szCs w:val="22"/>
        </w:rPr>
      </w:pPr>
    </w:p>
    <w:p w14:paraId="4CDD335B" w14:textId="77777777" w:rsidR="00396C9B" w:rsidRPr="00781FE6" w:rsidRDefault="00396C9B" w:rsidP="00781FE6">
      <w:pPr>
        <w:pStyle w:val="Ttulo2"/>
      </w:pPr>
      <w:bookmarkStart w:id="879" w:name="_Toc140506461"/>
      <w:r w:rsidRPr="00781FE6">
        <w:t>ECOPETROL</w:t>
      </w:r>
      <w:bookmarkEnd w:id="879"/>
      <w:r w:rsidRPr="00781FE6">
        <w:tab/>
      </w:r>
    </w:p>
    <w:p w14:paraId="2F60CE64" w14:textId="77777777" w:rsidR="00456774" w:rsidRPr="00781FE6" w:rsidRDefault="00456774" w:rsidP="00456774">
      <w:pPr>
        <w:pStyle w:val="Ttulo4"/>
      </w:pPr>
      <w:bookmarkStart w:id="880" w:name="_Ref132896140"/>
      <w:r w:rsidRPr="00781FE6">
        <w:t>ECOPETROL</w:t>
      </w:r>
      <w:bookmarkEnd w:id="880"/>
      <w:r w:rsidRPr="00781FE6">
        <w:tab/>
      </w:r>
    </w:p>
    <w:p w14:paraId="33E0EC0D" w14:textId="5C1BF3AC" w:rsidR="00396C9B" w:rsidRPr="00915AA9" w:rsidRDefault="00396C9B" w:rsidP="00396C9B">
      <w:pPr>
        <w:rPr>
          <w:bCs/>
          <w:i/>
          <w:iCs/>
          <w:sz w:val="22"/>
          <w:szCs w:val="22"/>
        </w:rPr>
      </w:pPr>
      <w:r w:rsidRPr="00781FE6">
        <w:rPr>
          <w:bCs/>
          <w:sz w:val="22"/>
          <w:szCs w:val="22"/>
        </w:rPr>
        <w:t>"</w:t>
      </w:r>
      <w:r w:rsidRPr="00915AA9">
        <w:rPr>
          <w:bCs/>
          <w:i/>
          <w:iCs/>
          <w:sz w:val="22"/>
          <w:szCs w:val="22"/>
        </w:rPr>
        <w:t xml:space="preserve">1. En el literal b) se plantea que </w:t>
      </w:r>
      <w:r w:rsidR="0081417B">
        <w:rPr>
          <w:bCs/>
          <w:i/>
          <w:iCs/>
          <w:sz w:val="22"/>
          <w:szCs w:val="22"/>
        </w:rPr>
        <w:t>‘</w:t>
      </w:r>
      <w:r w:rsidRPr="00915AA9">
        <w:rPr>
          <w:bCs/>
          <w:i/>
          <w:iCs/>
          <w:sz w:val="22"/>
          <w:szCs w:val="22"/>
        </w:rPr>
        <w:t>(…) La duración de los nuevos contratos que se suscriban será, como mínimo de un (1) Trimestre Estándar y, como máximo cuarenta (40) Trimestres Estándar, contados desde el Primer Trimestre Estándar siguiente al registro del contrato</w:t>
      </w:r>
      <w:r w:rsidR="0081417B">
        <w:rPr>
          <w:bCs/>
          <w:i/>
          <w:iCs/>
          <w:sz w:val="22"/>
          <w:szCs w:val="22"/>
        </w:rPr>
        <w:t>’</w:t>
      </w:r>
      <w:r w:rsidRPr="00915AA9">
        <w:rPr>
          <w:bCs/>
          <w:i/>
          <w:iCs/>
          <w:sz w:val="22"/>
          <w:szCs w:val="22"/>
        </w:rPr>
        <w:t>.</w:t>
      </w:r>
    </w:p>
    <w:p w14:paraId="4E065686" w14:textId="77777777" w:rsidR="00396C9B" w:rsidRPr="00915AA9" w:rsidRDefault="00396C9B" w:rsidP="00396C9B">
      <w:pPr>
        <w:rPr>
          <w:bCs/>
          <w:i/>
          <w:iCs/>
          <w:sz w:val="22"/>
          <w:szCs w:val="22"/>
        </w:rPr>
      </w:pPr>
    </w:p>
    <w:p w14:paraId="56CC899C" w14:textId="4EF1FDBB" w:rsidR="00396C9B" w:rsidRPr="00915AA9" w:rsidRDefault="00396C9B" w:rsidP="00396C9B">
      <w:pPr>
        <w:rPr>
          <w:bCs/>
          <w:i/>
          <w:iCs/>
          <w:sz w:val="22"/>
          <w:szCs w:val="22"/>
        </w:rPr>
      </w:pPr>
      <w:r w:rsidRPr="00915AA9">
        <w:rPr>
          <w:bCs/>
          <w:i/>
          <w:iCs/>
          <w:sz w:val="22"/>
          <w:szCs w:val="22"/>
        </w:rPr>
        <w:t>A pesar de lo anterior, según lo establecido en el artículo 21, entendemos que algunos contratos podrían tener duración mensual, para facilitar la comercialización de excedentes, lo que consideramos adecuado. En tal sentido, sugerimos considerarlo en la redacción del literal b) del artículo 22.</w:t>
      </w:r>
      <w:r w:rsidR="0081417B">
        <w:rPr>
          <w:bCs/>
          <w:i/>
          <w:iCs/>
          <w:sz w:val="22"/>
          <w:szCs w:val="22"/>
        </w:rPr>
        <w:t>”</w:t>
      </w:r>
    </w:p>
    <w:p w14:paraId="7586801B" w14:textId="77777777" w:rsidR="00396C9B" w:rsidRDefault="00396C9B" w:rsidP="00396C9B">
      <w:pPr>
        <w:rPr>
          <w:bCs/>
          <w:i/>
          <w:iCs/>
          <w:sz w:val="22"/>
          <w:szCs w:val="22"/>
        </w:rPr>
      </w:pPr>
    </w:p>
    <w:p w14:paraId="7AA8B4A3" w14:textId="0C20F081" w:rsidR="00915AA9" w:rsidRPr="00915AA9" w:rsidRDefault="00915AA9" w:rsidP="00396C9B">
      <w:pPr>
        <w:rPr>
          <w:b/>
          <w:sz w:val="22"/>
          <w:szCs w:val="22"/>
        </w:rPr>
      </w:pPr>
      <w:r w:rsidRPr="00915AA9">
        <w:rPr>
          <w:b/>
          <w:sz w:val="22"/>
          <w:szCs w:val="22"/>
        </w:rPr>
        <w:t>Respuesta:</w:t>
      </w:r>
    </w:p>
    <w:p w14:paraId="43F47476" w14:textId="77777777" w:rsidR="00915AA9" w:rsidRPr="00915AA9" w:rsidRDefault="00915AA9" w:rsidP="00396C9B">
      <w:pPr>
        <w:rPr>
          <w:bCs/>
          <w:sz w:val="22"/>
          <w:szCs w:val="22"/>
        </w:rPr>
      </w:pPr>
    </w:p>
    <w:p w14:paraId="5DDD0F1B" w14:textId="40F7D9C8" w:rsidR="00915AA9" w:rsidRDefault="000838EF" w:rsidP="00396C9B">
      <w:pPr>
        <w:rPr>
          <w:bCs/>
          <w:sz w:val="22"/>
          <w:szCs w:val="22"/>
        </w:rPr>
      </w:pPr>
      <w:r>
        <w:rPr>
          <w:bCs/>
          <w:sz w:val="22"/>
          <w:szCs w:val="22"/>
        </w:rPr>
        <w:t>Se acoge el comentario.</w:t>
      </w:r>
    </w:p>
    <w:p w14:paraId="39CB0342" w14:textId="77777777" w:rsidR="000838EF" w:rsidRDefault="000838EF" w:rsidP="00396C9B">
      <w:pPr>
        <w:rPr>
          <w:bCs/>
          <w:sz w:val="22"/>
          <w:szCs w:val="22"/>
        </w:rPr>
      </w:pPr>
    </w:p>
    <w:p w14:paraId="4F643B41" w14:textId="52BEF47A" w:rsidR="000838EF" w:rsidRPr="00915AA9" w:rsidRDefault="000838EF" w:rsidP="00396C9B">
      <w:pPr>
        <w:rPr>
          <w:bCs/>
          <w:sz w:val="22"/>
          <w:szCs w:val="22"/>
        </w:rPr>
      </w:pPr>
      <w:r>
        <w:rPr>
          <w:bCs/>
          <w:sz w:val="22"/>
          <w:szCs w:val="22"/>
        </w:rPr>
        <w:t>En la nueva propuesta se hacen las adiciones de texto que aclaran el tema.</w:t>
      </w:r>
    </w:p>
    <w:p w14:paraId="2DB58230" w14:textId="77777777" w:rsidR="00915AA9" w:rsidRPr="00915AA9" w:rsidRDefault="00915AA9" w:rsidP="00396C9B">
      <w:pPr>
        <w:rPr>
          <w:bCs/>
          <w:sz w:val="22"/>
          <w:szCs w:val="22"/>
        </w:rPr>
      </w:pPr>
    </w:p>
    <w:p w14:paraId="7D383A80" w14:textId="77777777" w:rsidR="00915AA9" w:rsidRPr="00915AA9" w:rsidRDefault="00915AA9" w:rsidP="00396C9B">
      <w:pPr>
        <w:rPr>
          <w:bCs/>
          <w:i/>
          <w:iCs/>
          <w:sz w:val="22"/>
          <w:szCs w:val="22"/>
        </w:rPr>
      </w:pPr>
    </w:p>
    <w:p w14:paraId="54E67F1B" w14:textId="77777777" w:rsidR="00915AA9" w:rsidRPr="00781FE6" w:rsidRDefault="00915AA9" w:rsidP="00915AA9">
      <w:pPr>
        <w:pStyle w:val="Ttulo4"/>
      </w:pPr>
      <w:r w:rsidRPr="00781FE6">
        <w:t>ECOPETROL</w:t>
      </w:r>
      <w:r w:rsidRPr="00781FE6">
        <w:tab/>
      </w:r>
    </w:p>
    <w:p w14:paraId="7FC80C2C" w14:textId="7E02786E" w:rsidR="00396C9B" w:rsidRPr="00915AA9" w:rsidRDefault="0081417B" w:rsidP="00396C9B">
      <w:pPr>
        <w:rPr>
          <w:bCs/>
          <w:i/>
          <w:iCs/>
          <w:sz w:val="22"/>
          <w:szCs w:val="22"/>
        </w:rPr>
      </w:pPr>
      <w:r>
        <w:rPr>
          <w:bCs/>
          <w:i/>
          <w:iCs/>
          <w:sz w:val="22"/>
          <w:szCs w:val="22"/>
        </w:rPr>
        <w:t>“</w:t>
      </w:r>
      <w:r w:rsidR="00396C9B" w:rsidRPr="00915AA9">
        <w:rPr>
          <w:bCs/>
          <w:i/>
          <w:iCs/>
          <w:sz w:val="22"/>
          <w:szCs w:val="22"/>
        </w:rPr>
        <w:t>2. Por otro lado, en relación con la duración de los contratos, no es claro por qué se plantea restringir la contratación de largo plazo a 40 trimestres (10 años), si es posible que algunos agentes del mercado estén interesados en suscribir contratos con duraciones de más 40 trimestres.</w:t>
      </w:r>
    </w:p>
    <w:p w14:paraId="0B85BC63" w14:textId="77777777" w:rsidR="00396C9B" w:rsidRPr="00915AA9" w:rsidRDefault="00396C9B" w:rsidP="00396C9B">
      <w:pPr>
        <w:rPr>
          <w:bCs/>
          <w:i/>
          <w:iCs/>
          <w:sz w:val="22"/>
          <w:szCs w:val="22"/>
        </w:rPr>
      </w:pPr>
    </w:p>
    <w:p w14:paraId="3887E068" w14:textId="43ED8EA2" w:rsidR="00396C9B" w:rsidRPr="00915AA9" w:rsidRDefault="00396C9B" w:rsidP="00396C9B">
      <w:pPr>
        <w:rPr>
          <w:bCs/>
          <w:i/>
          <w:iCs/>
          <w:sz w:val="22"/>
          <w:szCs w:val="22"/>
        </w:rPr>
      </w:pPr>
      <w:r w:rsidRPr="00915AA9">
        <w:rPr>
          <w:bCs/>
          <w:i/>
          <w:iCs/>
          <w:sz w:val="22"/>
          <w:szCs w:val="22"/>
        </w:rPr>
        <w:t>Es importante tener en cuenta que agentes como los productores-comercializadores tienen el incentivo de contratarse a largo plazo, pues esto tiene impacto en la certificación de reservas y, por tanto, en el valor de mercado de las compañías."</w:t>
      </w:r>
    </w:p>
    <w:p w14:paraId="34DA9E4D" w14:textId="77777777" w:rsidR="00915AA9" w:rsidRDefault="00915AA9" w:rsidP="00396C9B">
      <w:pPr>
        <w:rPr>
          <w:bCs/>
          <w:sz w:val="22"/>
          <w:szCs w:val="22"/>
        </w:rPr>
      </w:pPr>
    </w:p>
    <w:p w14:paraId="58C9D076" w14:textId="20C72AAD" w:rsidR="00915AA9" w:rsidRDefault="00915AA9" w:rsidP="00396C9B">
      <w:pPr>
        <w:rPr>
          <w:b/>
          <w:sz w:val="22"/>
          <w:szCs w:val="22"/>
        </w:rPr>
      </w:pPr>
      <w:r w:rsidRPr="00915AA9">
        <w:rPr>
          <w:b/>
          <w:sz w:val="22"/>
          <w:szCs w:val="22"/>
        </w:rPr>
        <w:t>Respuesta:</w:t>
      </w:r>
    </w:p>
    <w:p w14:paraId="08062FAD" w14:textId="77777777" w:rsidR="000838EF" w:rsidRDefault="000838EF" w:rsidP="00396C9B">
      <w:pPr>
        <w:rPr>
          <w:b/>
          <w:sz w:val="22"/>
          <w:szCs w:val="22"/>
        </w:rPr>
      </w:pPr>
    </w:p>
    <w:p w14:paraId="214CF5E3" w14:textId="55892E1A" w:rsidR="000838EF" w:rsidRPr="000838EF" w:rsidRDefault="000838EF" w:rsidP="00396C9B">
      <w:pPr>
        <w:rPr>
          <w:bCs/>
          <w:sz w:val="22"/>
          <w:szCs w:val="22"/>
        </w:rPr>
      </w:pPr>
      <w:r w:rsidRPr="000838EF">
        <w:rPr>
          <w:bCs/>
          <w:sz w:val="22"/>
          <w:szCs w:val="22"/>
        </w:rPr>
        <w:t>Se acoge el comentario parcialmente.</w:t>
      </w:r>
    </w:p>
    <w:p w14:paraId="2E7CFFD5" w14:textId="77777777" w:rsidR="000838EF" w:rsidRPr="000838EF" w:rsidRDefault="000838EF" w:rsidP="00396C9B">
      <w:pPr>
        <w:rPr>
          <w:bCs/>
          <w:sz w:val="22"/>
          <w:szCs w:val="22"/>
        </w:rPr>
      </w:pPr>
    </w:p>
    <w:p w14:paraId="6BE5D93B" w14:textId="4DD5F37F" w:rsidR="00915AA9" w:rsidRPr="00781FE6" w:rsidRDefault="000838EF" w:rsidP="00396C9B">
      <w:pPr>
        <w:rPr>
          <w:bCs/>
          <w:sz w:val="22"/>
          <w:szCs w:val="22"/>
        </w:rPr>
      </w:pPr>
      <w:r w:rsidRPr="000838EF">
        <w:rPr>
          <w:bCs/>
          <w:sz w:val="22"/>
          <w:szCs w:val="22"/>
        </w:rPr>
        <w:t xml:space="preserve">La declaración de PTDVF/CIDVF y las verificaciones que debe hacer el Gestor del Mercado al respecto de contratos que se deseen registrar de tipo firme o que garantizan firmeza parten de la comparación básica entre las cantidades de PTDV/CIDV presentadas en la declaración de producción que realizan los productores al MME para el mismo período de ejecución del contrato. Actualmente el MME, no la CREG, es quien determina el alcance del período de las declaraciones de producción. </w:t>
      </w:r>
      <w:r w:rsidR="004E01BC">
        <w:rPr>
          <w:bCs/>
          <w:sz w:val="22"/>
          <w:szCs w:val="22"/>
        </w:rPr>
        <w:t xml:space="preserve">Ver respuesta a </w:t>
      </w:r>
      <w:r w:rsidR="004E01BC">
        <w:rPr>
          <w:bCs/>
          <w:sz w:val="22"/>
          <w:szCs w:val="22"/>
        </w:rPr>
        <w:fldChar w:fldCharType="begin"/>
      </w:r>
      <w:r w:rsidR="004E01BC">
        <w:rPr>
          <w:bCs/>
          <w:sz w:val="22"/>
          <w:szCs w:val="22"/>
        </w:rPr>
        <w:instrText xml:space="preserve"> REF _Ref132896140 \r \h </w:instrText>
      </w:r>
      <w:r w:rsidR="004E01BC">
        <w:rPr>
          <w:bCs/>
          <w:sz w:val="22"/>
          <w:szCs w:val="22"/>
        </w:rPr>
      </w:r>
      <w:r w:rsidR="004E01BC">
        <w:rPr>
          <w:bCs/>
          <w:sz w:val="22"/>
          <w:szCs w:val="22"/>
        </w:rPr>
        <w:fldChar w:fldCharType="separate"/>
      </w:r>
      <w:r w:rsidR="004E01BC">
        <w:rPr>
          <w:bCs/>
          <w:sz w:val="22"/>
          <w:szCs w:val="22"/>
        </w:rPr>
        <w:t>20.8.1.1</w:t>
      </w:r>
      <w:r w:rsidR="004E01BC">
        <w:rPr>
          <w:bCs/>
          <w:sz w:val="22"/>
          <w:szCs w:val="22"/>
        </w:rPr>
        <w:fldChar w:fldCharType="end"/>
      </w:r>
      <w:r w:rsidR="004E01BC">
        <w:rPr>
          <w:bCs/>
          <w:sz w:val="22"/>
          <w:szCs w:val="22"/>
        </w:rPr>
        <w:t>.</w:t>
      </w:r>
    </w:p>
    <w:p w14:paraId="18C971E0" w14:textId="77777777" w:rsidR="00396C9B" w:rsidRPr="00781FE6" w:rsidRDefault="00396C9B" w:rsidP="00396C9B">
      <w:pPr>
        <w:rPr>
          <w:bCs/>
          <w:sz w:val="22"/>
          <w:szCs w:val="22"/>
        </w:rPr>
      </w:pPr>
    </w:p>
    <w:p w14:paraId="5709C599" w14:textId="77777777" w:rsidR="00396C9B" w:rsidRPr="00781FE6" w:rsidRDefault="00396C9B" w:rsidP="00396C9B">
      <w:pPr>
        <w:rPr>
          <w:bCs/>
          <w:sz w:val="22"/>
          <w:szCs w:val="22"/>
        </w:rPr>
      </w:pPr>
    </w:p>
    <w:p w14:paraId="514F928D" w14:textId="77777777" w:rsidR="00396C9B" w:rsidRPr="00781FE6" w:rsidRDefault="00396C9B" w:rsidP="00456774">
      <w:pPr>
        <w:pStyle w:val="Ttulo4"/>
      </w:pPr>
      <w:r w:rsidRPr="00781FE6">
        <w:t>ECOPETROL</w:t>
      </w:r>
      <w:r w:rsidRPr="00781FE6">
        <w:tab/>
      </w:r>
    </w:p>
    <w:p w14:paraId="4FB8C953" w14:textId="750C2EE4" w:rsidR="00396C9B" w:rsidRPr="004E01BC" w:rsidRDefault="00396C9B" w:rsidP="00396C9B">
      <w:pPr>
        <w:rPr>
          <w:bCs/>
          <w:i/>
          <w:iCs/>
          <w:sz w:val="22"/>
          <w:szCs w:val="22"/>
        </w:rPr>
      </w:pPr>
      <w:r w:rsidRPr="00781FE6">
        <w:rPr>
          <w:bCs/>
          <w:sz w:val="22"/>
          <w:szCs w:val="22"/>
        </w:rPr>
        <w:t>"</w:t>
      </w:r>
      <w:r w:rsidRPr="004E01BC">
        <w:rPr>
          <w:bCs/>
          <w:i/>
          <w:iCs/>
          <w:sz w:val="22"/>
          <w:szCs w:val="22"/>
        </w:rPr>
        <w:t xml:space="preserve">En el literal o) se plantea que </w:t>
      </w:r>
      <w:r w:rsidR="006D59A1">
        <w:rPr>
          <w:bCs/>
          <w:i/>
          <w:iCs/>
          <w:sz w:val="22"/>
          <w:szCs w:val="22"/>
        </w:rPr>
        <w:t>‘</w:t>
      </w:r>
      <w:r w:rsidRPr="004E01BC">
        <w:rPr>
          <w:bCs/>
          <w:i/>
          <w:iCs/>
          <w:sz w:val="22"/>
          <w:szCs w:val="22"/>
        </w:rPr>
        <w:t>(…) los eventos eximentes de responsabilidad establecidos en esta Resolución no aplican cuando se trate de campos en pruebas extensas de producción o que no hayan declarado comercialidad, ni tampoco aplicarán las compensaciones establecidas en la regulación.</w:t>
      </w:r>
      <w:r w:rsidR="006D59A1">
        <w:rPr>
          <w:bCs/>
          <w:i/>
          <w:iCs/>
          <w:sz w:val="22"/>
          <w:szCs w:val="22"/>
        </w:rPr>
        <w:t>’</w:t>
      </w:r>
    </w:p>
    <w:p w14:paraId="6756AB7A" w14:textId="77777777" w:rsidR="00396C9B" w:rsidRPr="004E01BC" w:rsidRDefault="00396C9B" w:rsidP="00396C9B">
      <w:pPr>
        <w:rPr>
          <w:bCs/>
          <w:i/>
          <w:iCs/>
          <w:sz w:val="22"/>
          <w:szCs w:val="22"/>
        </w:rPr>
      </w:pPr>
    </w:p>
    <w:p w14:paraId="7F10634B" w14:textId="2412265E" w:rsidR="00396C9B" w:rsidRDefault="00396C9B" w:rsidP="00396C9B">
      <w:pPr>
        <w:rPr>
          <w:bCs/>
          <w:sz w:val="22"/>
          <w:szCs w:val="22"/>
        </w:rPr>
      </w:pPr>
      <w:r w:rsidRPr="004E01BC">
        <w:rPr>
          <w:bCs/>
          <w:i/>
          <w:iCs/>
          <w:sz w:val="22"/>
          <w:szCs w:val="22"/>
        </w:rPr>
        <w:t>Consideramos que esta disposición podría desestimular la contratación de gas de las nuevas fuentes en áreas costa afuera, que son campos en los que no se ha declarado la comercialidad</w:t>
      </w:r>
      <w:r w:rsidRPr="00781FE6">
        <w:rPr>
          <w:bCs/>
          <w:sz w:val="22"/>
          <w:szCs w:val="22"/>
        </w:rPr>
        <w:t>."</w:t>
      </w:r>
    </w:p>
    <w:p w14:paraId="0F4DB378" w14:textId="77777777" w:rsidR="004E01BC" w:rsidRDefault="004E01BC" w:rsidP="00396C9B">
      <w:pPr>
        <w:rPr>
          <w:bCs/>
          <w:sz w:val="22"/>
          <w:szCs w:val="22"/>
        </w:rPr>
      </w:pPr>
    </w:p>
    <w:p w14:paraId="22E4799B" w14:textId="12C3DE84" w:rsidR="004E01BC" w:rsidRPr="004E01BC" w:rsidRDefault="004E01BC" w:rsidP="00396C9B">
      <w:pPr>
        <w:rPr>
          <w:b/>
          <w:sz w:val="22"/>
          <w:szCs w:val="22"/>
        </w:rPr>
      </w:pPr>
      <w:r w:rsidRPr="004E01BC">
        <w:rPr>
          <w:b/>
          <w:sz w:val="22"/>
          <w:szCs w:val="22"/>
        </w:rPr>
        <w:t>Respuesta:</w:t>
      </w:r>
    </w:p>
    <w:p w14:paraId="44EBDBD1" w14:textId="77777777" w:rsidR="004E01BC" w:rsidRDefault="004E01BC" w:rsidP="00396C9B">
      <w:pPr>
        <w:rPr>
          <w:bCs/>
          <w:sz w:val="22"/>
          <w:szCs w:val="22"/>
        </w:rPr>
      </w:pPr>
    </w:p>
    <w:p w14:paraId="2C0B3C27" w14:textId="451B09EA" w:rsidR="004E01BC" w:rsidRDefault="004E01BC" w:rsidP="00396C9B">
      <w:pPr>
        <w:rPr>
          <w:bCs/>
          <w:sz w:val="22"/>
          <w:szCs w:val="22"/>
        </w:rPr>
      </w:pPr>
      <w:r>
        <w:rPr>
          <w:bCs/>
          <w:sz w:val="22"/>
          <w:szCs w:val="22"/>
        </w:rPr>
        <w:t>Se acoge el comentario.</w:t>
      </w:r>
    </w:p>
    <w:p w14:paraId="04AF6659" w14:textId="77777777" w:rsidR="004E01BC" w:rsidRDefault="004E01BC" w:rsidP="00396C9B">
      <w:pPr>
        <w:rPr>
          <w:bCs/>
          <w:sz w:val="22"/>
          <w:szCs w:val="22"/>
        </w:rPr>
      </w:pPr>
    </w:p>
    <w:p w14:paraId="16A8D5A0" w14:textId="781EEE5A" w:rsidR="004E01BC" w:rsidRPr="00781FE6" w:rsidRDefault="004E01BC" w:rsidP="00396C9B">
      <w:pPr>
        <w:rPr>
          <w:bCs/>
          <w:sz w:val="22"/>
          <w:szCs w:val="22"/>
        </w:rPr>
      </w:pPr>
      <w:r>
        <w:rPr>
          <w:bCs/>
          <w:sz w:val="22"/>
          <w:szCs w:val="22"/>
        </w:rPr>
        <w:t>En la nueva propuesta se realiza un ajuste en la redacción de la norma. Sin embargo, dado el caso que se pretenda registrar un contrato que es de tipo firme o que garantiza firmeza, independientemente de la nominación que se haya hecho al contrato, dicho contrato debería incluir las condiciones y requisitos mínimos que establece la CREG, entre ellos los eventos eximentes determinados en dichas condiciones.</w:t>
      </w:r>
      <w:r w:rsidR="00FC2B8C">
        <w:rPr>
          <w:bCs/>
          <w:sz w:val="22"/>
          <w:szCs w:val="22"/>
        </w:rPr>
        <w:t xml:space="preserve"> Ver respuesta a </w:t>
      </w:r>
      <w:r w:rsidR="00FC2B8C">
        <w:rPr>
          <w:bCs/>
          <w:sz w:val="22"/>
          <w:szCs w:val="22"/>
        </w:rPr>
        <w:fldChar w:fldCharType="begin"/>
      </w:r>
      <w:r w:rsidR="00FC2B8C">
        <w:rPr>
          <w:bCs/>
          <w:sz w:val="22"/>
          <w:szCs w:val="22"/>
        </w:rPr>
        <w:instrText xml:space="preserve"> REF _Ref132005153 \r \h </w:instrText>
      </w:r>
      <w:r w:rsidR="00FC2B8C">
        <w:rPr>
          <w:bCs/>
          <w:sz w:val="22"/>
          <w:szCs w:val="22"/>
        </w:rPr>
      </w:r>
      <w:r w:rsidR="00FC2B8C">
        <w:rPr>
          <w:bCs/>
          <w:sz w:val="22"/>
          <w:szCs w:val="22"/>
        </w:rPr>
        <w:fldChar w:fldCharType="separate"/>
      </w:r>
      <w:r w:rsidR="00FC2B8C">
        <w:rPr>
          <w:bCs/>
          <w:sz w:val="22"/>
          <w:szCs w:val="22"/>
        </w:rPr>
        <w:t>17.13.1.1</w:t>
      </w:r>
      <w:r w:rsidR="00FC2B8C">
        <w:rPr>
          <w:bCs/>
          <w:sz w:val="22"/>
          <w:szCs w:val="22"/>
        </w:rPr>
        <w:fldChar w:fldCharType="end"/>
      </w:r>
      <w:r w:rsidR="00FC2B8C">
        <w:rPr>
          <w:bCs/>
          <w:sz w:val="22"/>
          <w:szCs w:val="22"/>
        </w:rPr>
        <w:t>.</w:t>
      </w:r>
    </w:p>
    <w:p w14:paraId="0809702D" w14:textId="77777777" w:rsidR="00396C9B" w:rsidRPr="00781FE6" w:rsidRDefault="00396C9B" w:rsidP="00396C9B">
      <w:pPr>
        <w:rPr>
          <w:bCs/>
          <w:sz w:val="22"/>
          <w:szCs w:val="22"/>
        </w:rPr>
      </w:pPr>
    </w:p>
    <w:p w14:paraId="29F07AC7" w14:textId="77777777" w:rsidR="00396C9B" w:rsidRPr="00781FE6" w:rsidRDefault="00396C9B" w:rsidP="00396C9B">
      <w:pPr>
        <w:rPr>
          <w:bCs/>
          <w:sz w:val="22"/>
          <w:szCs w:val="22"/>
        </w:rPr>
      </w:pPr>
    </w:p>
    <w:p w14:paraId="482DE760" w14:textId="77777777" w:rsidR="00396C9B" w:rsidRPr="00781FE6" w:rsidRDefault="00396C9B" w:rsidP="00456774">
      <w:pPr>
        <w:pStyle w:val="Ttulo4"/>
      </w:pPr>
      <w:r w:rsidRPr="00781FE6">
        <w:t>ECOPETROL</w:t>
      </w:r>
      <w:r w:rsidRPr="00781FE6">
        <w:tab/>
      </w:r>
    </w:p>
    <w:p w14:paraId="32BE34E6" w14:textId="3069950E" w:rsidR="00396C9B" w:rsidRPr="00496ED6" w:rsidRDefault="00396C9B" w:rsidP="00396C9B">
      <w:pPr>
        <w:rPr>
          <w:bCs/>
          <w:i/>
          <w:iCs/>
          <w:sz w:val="22"/>
          <w:szCs w:val="22"/>
        </w:rPr>
      </w:pPr>
      <w:r w:rsidRPr="00781FE6">
        <w:rPr>
          <w:bCs/>
          <w:sz w:val="22"/>
          <w:szCs w:val="22"/>
        </w:rPr>
        <w:t>"</w:t>
      </w:r>
      <w:r w:rsidRPr="00496ED6">
        <w:rPr>
          <w:bCs/>
          <w:i/>
          <w:iCs/>
          <w:sz w:val="22"/>
          <w:szCs w:val="22"/>
        </w:rPr>
        <w:t xml:space="preserve">En el literal a) del presente artículo se plantea lo siguiente en relación con el ajuste automático de los contratos ante cambios en la regulación: </w:t>
      </w:r>
      <w:r w:rsidR="006D59A1">
        <w:rPr>
          <w:bCs/>
          <w:i/>
          <w:iCs/>
          <w:sz w:val="22"/>
          <w:szCs w:val="22"/>
        </w:rPr>
        <w:t>‘</w:t>
      </w:r>
      <w:r w:rsidRPr="00496ED6">
        <w:rPr>
          <w:bCs/>
          <w:i/>
          <w:iCs/>
          <w:sz w:val="22"/>
          <w:szCs w:val="22"/>
        </w:rPr>
        <w:t>[t]</w:t>
      </w:r>
      <w:proofErr w:type="spellStart"/>
      <w:r w:rsidRPr="00496ED6">
        <w:rPr>
          <w:bCs/>
          <w:i/>
          <w:iCs/>
          <w:sz w:val="22"/>
          <w:szCs w:val="22"/>
        </w:rPr>
        <w:t>odos</w:t>
      </w:r>
      <w:proofErr w:type="spellEnd"/>
      <w:r w:rsidRPr="00496ED6">
        <w:rPr>
          <w:bCs/>
          <w:i/>
          <w:iCs/>
          <w:sz w:val="22"/>
          <w:szCs w:val="22"/>
        </w:rPr>
        <w:t xml:space="preserve"> los contratos de suministro de gas que se suscriban en aplicación de las disposiciones de la presente resolución deberán contener una cláusula de ajuste regulatorio en la que se especifique que, después del último trimestre del año de gas de 2025, las condiciones contractuales deberán ajustarse conforme a las disposiciones que eventualmente determine la CREG</w:t>
      </w:r>
      <w:r w:rsidR="006D59A1">
        <w:rPr>
          <w:bCs/>
          <w:i/>
          <w:iCs/>
          <w:sz w:val="22"/>
          <w:szCs w:val="22"/>
        </w:rPr>
        <w:t>’</w:t>
      </w:r>
      <w:r w:rsidRPr="00496ED6">
        <w:rPr>
          <w:bCs/>
          <w:i/>
          <w:iCs/>
          <w:sz w:val="22"/>
          <w:szCs w:val="22"/>
        </w:rPr>
        <w:t>.</w:t>
      </w:r>
    </w:p>
    <w:p w14:paraId="460030C0" w14:textId="77777777" w:rsidR="00396C9B" w:rsidRPr="00496ED6" w:rsidRDefault="00396C9B" w:rsidP="00396C9B">
      <w:pPr>
        <w:rPr>
          <w:bCs/>
          <w:i/>
          <w:iCs/>
          <w:sz w:val="22"/>
          <w:szCs w:val="22"/>
        </w:rPr>
      </w:pPr>
    </w:p>
    <w:p w14:paraId="105AFD62" w14:textId="77777777" w:rsidR="00396C9B" w:rsidRPr="00496ED6" w:rsidRDefault="00396C9B" w:rsidP="00396C9B">
      <w:pPr>
        <w:rPr>
          <w:bCs/>
          <w:i/>
          <w:iCs/>
          <w:sz w:val="22"/>
          <w:szCs w:val="22"/>
        </w:rPr>
      </w:pPr>
      <w:r w:rsidRPr="00496ED6">
        <w:rPr>
          <w:bCs/>
          <w:i/>
          <w:iCs/>
          <w:sz w:val="22"/>
          <w:szCs w:val="22"/>
        </w:rPr>
        <w:t>Al respecto, consideramos que esto genera incertidumbre e implica un riesgo para los agentes del mercado, pues puede afectar la forma como gestionan sus riesgos, en la medida en que se comportan y enmarcan sus acciones en lo dispuesto en la regulación vigente y no tienen la capacidad de prever ajustes a la regulación, especialmente en contratos de largo plazo. Es posible que ante la expectativa de que se modifique la regulación, los agentes cambien su comportamiento para gestionar de manera adecuada sus riesgos y dar cumplimiento a la regulación.</w:t>
      </w:r>
    </w:p>
    <w:p w14:paraId="0DB764F5" w14:textId="77777777" w:rsidR="00396C9B" w:rsidRPr="00496ED6" w:rsidRDefault="00396C9B" w:rsidP="00396C9B">
      <w:pPr>
        <w:rPr>
          <w:bCs/>
          <w:i/>
          <w:iCs/>
          <w:sz w:val="22"/>
          <w:szCs w:val="22"/>
        </w:rPr>
      </w:pPr>
    </w:p>
    <w:p w14:paraId="4FA8C200" w14:textId="2C2CC4A8" w:rsidR="00396C9B" w:rsidRDefault="00396C9B" w:rsidP="00396C9B">
      <w:pPr>
        <w:rPr>
          <w:bCs/>
          <w:sz w:val="22"/>
          <w:szCs w:val="22"/>
        </w:rPr>
      </w:pPr>
      <w:r w:rsidRPr="00496ED6">
        <w:rPr>
          <w:bCs/>
          <w:i/>
          <w:iCs/>
          <w:sz w:val="22"/>
          <w:szCs w:val="22"/>
        </w:rPr>
        <w:t xml:space="preserve">En línea con lo anterior, sugerimos tener en cuenta el principio de irretroactividad de la Ley planteado en artículo 38 de la Ley 153 de 1887, que dispone que: </w:t>
      </w:r>
      <w:r w:rsidR="006D59A1">
        <w:rPr>
          <w:bCs/>
          <w:i/>
          <w:iCs/>
          <w:sz w:val="22"/>
          <w:szCs w:val="22"/>
        </w:rPr>
        <w:t>‘</w:t>
      </w:r>
      <w:r w:rsidRPr="00496ED6">
        <w:rPr>
          <w:bCs/>
          <w:i/>
          <w:iCs/>
          <w:sz w:val="22"/>
          <w:szCs w:val="22"/>
        </w:rPr>
        <w:t>[e]n todo contrato se entenderán incorporadas las leyes vigentes al tiempo de su celebración</w:t>
      </w:r>
      <w:r w:rsidR="006D59A1">
        <w:rPr>
          <w:bCs/>
          <w:i/>
          <w:iCs/>
          <w:sz w:val="22"/>
          <w:szCs w:val="22"/>
        </w:rPr>
        <w:t>’</w:t>
      </w:r>
      <w:r w:rsidRPr="00781FE6">
        <w:rPr>
          <w:bCs/>
          <w:sz w:val="22"/>
          <w:szCs w:val="22"/>
        </w:rPr>
        <w:t>”.</w:t>
      </w:r>
    </w:p>
    <w:p w14:paraId="1BB0A23C" w14:textId="77777777" w:rsidR="00FC2B8C" w:rsidRDefault="00FC2B8C" w:rsidP="00396C9B">
      <w:pPr>
        <w:rPr>
          <w:bCs/>
          <w:sz w:val="22"/>
          <w:szCs w:val="22"/>
        </w:rPr>
      </w:pPr>
    </w:p>
    <w:p w14:paraId="2D796EC0" w14:textId="540EC999" w:rsidR="00FC2B8C" w:rsidRPr="00496ED6" w:rsidRDefault="00FC2B8C" w:rsidP="00396C9B">
      <w:pPr>
        <w:rPr>
          <w:b/>
          <w:sz w:val="22"/>
          <w:szCs w:val="22"/>
        </w:rPr>
      </w:pPr>
      <w:r w:rsidRPr="00496ED6">
        <w:rPr>
          <w:b/>
          <w:sz w:val="22"/>
          <w:szCs w:val="22"/>
        </w:rPr>
        <w:t>Respuesta:</w:t>
      </w:r>
    </w:p>
    <w:p w14:paraId="6F20FC1A" w14:textId="77777777" w:rsidR="00FC2B8C" w:rsidRDefault="00FC2B8C" w:rsidP="00396C9B">
      <w:pPr>
        <w:rPr>
          <w:bCs/>
          <w:sz w:val="22"/>
          <w:szCs w:val="22"/>
        </w:rPr>
      </w:pPr>
    </w:p>
    <w:p w14:paraId="620F557D" w14:textId="2AEF918B" w:rsidR="00496ED6" w:rsidRDefault="00496ED6"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\r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1132FF50" w14:textId="77777777" w:rsidR="00FC2B8C" w:rsidRPr="00781FE6" w:rsidRDefault="00FC2B8C" w:rsidP="00396C9B">
      <w:pPr>
        <w:rPr>
          <w:bCs/>
          <w:sz w:val="22"/>
          <w:szCs w:val="22"/>
        </w:rPr>
      </w:pPr>
    </w:p>
    <w:p w14:paraId="18276048" w14:textId="1FD96271" w:rsidR="00396C9B" w:rsidRPr="00781FE6" w:rsidRDefault="00396C9B" w:rsidP="00396C9B">
      <w:pPr>
        <w:rPr>
          <w:bCs/>
          <w:sz w:val="22"/>
          <w:szCs w:val="22"/>
        </w:rPr>
      </w:pPr>
    </w:p>
    <w:p w14:paraId="19A81A8A" w14:textId="77777777" w:rsidR="00396C9B" w:rsidRPr="00781FE6" w:rsidRDefault="00396C9B" w:rsidP="00456774">
      <w:pPr>
        <w:pStyle w:val="Ttulo4"/>
      </w:pPr>
      <w:r w:rsidRPr="00781FE6">
        <w:t>ECOPETROL</w:t>
      </w:r>
      <w:r w:rsidRPr="00781FE6">
        <w:tab/>
      </w:r>
    </w:p>
    <w:p w14:paraId="39A55B4F" w14:textId="530F8285" w:rsidR="00396C9B" w:rsidRPr="00496ED6" w:rsidRDefault="00396C9B" w:rsidP="00396C9B">
      <w:pPr>
        <w:rPr>
          <w:bCs/>
          <w:i/>
          <w:iCs/>
          <w:sz w:val="22"/>
          <w:szCs w:val="22"/>
        </w:rPr>
      </w:pPr>
      <w:r w:rsidRPr="00781FE6">
        <w:rPr>
          <w:bCs/>
          <w:sz w:val="22"/>
          <w:szCs w:val="22"/>
        </w:rPr>
        <w:t>"</w:t>
      </w:r>
      <w:r w:rsidR="006D59A1">
        <w:rPr>
          <w:bCs/>
          <w:sz w:val="22"/>
          <w:szCs w:val="22"/>
        </w:rPr>
        <w:t>’</w:t>
      </w:r>
      <w:r w:rsidRPr="00496ED6">
        <w:rPr>
          <w:bCs/>
          <w:i/>
          <w:iCs/>
          <w:sz w:val="22"/>
          <w:szCs w:val="22"/>
        </w:rPr>
        <w:t>La resolución que comentamos se refiere explícitamente a la imposibilidad de suscribir contratos con la demanda esencial, previa la declaratoria de comercialidad. En efecto, en el literal n) del artículo 22 se plantea que “[n]o se podrá atender Demanda Esencial con contratos de suministro que incluyan Fuentes de Suministro en pruebas o sin declaración de comercialidad</w:t>
      </w:r>
      <w:r w:rsidR="006D59A1">
        <w:rPr>
          <w:bCs/>
          <w:i/>
          <w:iCs/>
          <w:sz w:val="22"/>
          <w:szCs w:val="22"/>
        </w:rPr>
        <w:t>’</w:t>
      </w:r>
      <w:r w:rsidRPr="00496ED6">
        <w:rPr>
          <w:bCs/>
          <w:i/>
          <w:iCs/>
          <w:sz w:val="22"/>
          <w:szCs w:val="22"/>
        </w:rPr>
        <w:t>”. Asimismo, el artículo 21 es claro en que la demanda esencial debe estar cubierta con contratos con respaldo físico, que en los términos de la propuesta regulatoria corresponden a contratos soportados en reservas, según se interpreta del Decreto 2100 de 2011.</w:t>
      </w:r>
    </w:p>
    <w:p w14:paraId="17ACC589" w14:textId="77777777" w:rsidR="00396C9B" w:rsidRPr="00496ED6" w:rsidRDefault="00396C9B" w:rsidP="00396C9B">
      <w:pPr>
        <w:rPr>
          <w:bCs/>
          <w:i/>
          <w:iCs/>
          <w:sz w:val="22"/>
          <w:szCs w:val="22"/>
        </w:rPr>
      </w:pPr>
    </w:p>
    <w:p w14:paraId="5A22D875" w14:textId="4C8122F8" w:rsidR="00396C9B" w:rsidRDefault="00396C9B" w:rsidP="00396C9B">
      <w:pPr>
        <w:rPr>
          <w:bCs/>
          <w:i/>
          <w:iCs/>
          <w:sz w:val="22"/>
          <w:szCs w:val="22"/>
        </w:rPr>
      </w:pPr>
      <w:r w:rsidRPr="00496ED6">
        <w:rPr>
          <w:bCs/>
          <w:i/>
          <w:iCs/>
          <w:sz w:val="22"/>
          <w:szCs w:val="22"/>
        </w:rPr>
        <w:t>Entendemos esta medida como una aplicación irrestricta de lo establecido en el artículo 5 del Decreto 2100 mencionado, compilado en el artículo 2.2.2.2.16 del Decreto 1073 de 2015. Allí se establece que</w:t>
      </w:r>
      <w:proofErr w:type="gramStart"/>
      <w:r w:rsidR="006D59A1">
        <w:rPr>
          <w:bCs/>
          <w:i/>
          <w:iCs/>
          <w:sz w:val="22"/>
          <w:szCs w:val="22"/>
        </w:rPr>
        <w:t>’</w:t>
      </w:r>
      <w:r w:rsidRPr="00496ED6">
        <w:rPr>
          <w:bCs/>
          <w:i/>
          <w:iCs/>
          <w:sz w:val="22"/>
          <w:szCs w:val="22"/>
        </w:rPr>
        <w:t>“</w:t>
      </w:r>
      <w:proofErr w:type="gramEnd"/>
      <w:r w:rsidRPr="00496ED6">
        <w:rPr>
          <w:bCs/>
          <w:i/>
          <w:iCs/>
          <w:sz w:val="22"/>
          <w:szCs w:val="22"/>
        </w:rPr>
        <w:t>[l]os Agentes que atiendan la Demanda Esencial tienen la obligación de contratar el suministro y el transporte de gas natural para la atención de dicha demanda, según corresponda, con Agentes que cuenten con Respaldo Físico</w:t>
      </w:r>
      <w:r w:rsidR="006D59A1">
        <w:rPr>
          <w:bCs/>
          <w:i/>
          <w:iCs/>
          <w:sz w:val="22"/>
          <w:szCs w:val="22"/>
        </w:rPr>
        <w:t>’</w:t>
      </w:r>
      <w:r w:rsidRPr="00496ED6">
        <w:rPr>
          <w:bCs/>
          <w:i/>
          <w:iCs/>
          <w:sz w:val="22"/>
          <w:szCs w:val="22"/>
        </w:rPr>
        <w:t>”.</w:t>
      </w:r>
    </w:p>
    <w:p w14:paraId="68A30762" w14:textId="77777777" w:rsidR="00DF55F6" w:rsidRDefault="00DF55F6" w:rsidP="00396C9B">
      <w:pPr>
        <w:rPr>
          <w:bCs/>
          <w:i/>
          <w:iCs/>
          <w:sz w:val="22"/>
          <w:szCs w:val="22"/>
        </w:rPr>
      </w:pPr>
    </w:p>
    <w:p w14:paraId="4DA4BF67" w14:textId="0DA8B385" w:rsidR="00DF55F6" w:rsidRPr="00DF55F6" w:rsidRDefault="00DF55F6" w:rsidP="00396C9B">
      <w:pPr>
        <w:rPr>
          <w:b/>
          <w:sz w:val="22"/>
          <w:szCs w:val="22"/>
        </w:rPr>
      </w:pPr>
      <w:r w:rsidRPr="00DF55F6">
        <w:rPr>
          <w:b/>
          <w:sz w:val="22"/>
          <w:szCs w:val="22"/>
        </w:rPr>
        <w:t>Respuesta:</w:t>
      </w:r>
    </w:p>
    <w:p w14:paraId="21397D67" w14:textId="77777777" w:rsidR="00DF55F6" w:rsidRDefault="00DF55F6" w:rsidP="00396C9B">
      <w:pPr>
        <w:rPr>
          <w:bCs/>
          <w:i/>
          <w:iCs/>
          <w:sz w:val="22"/>
          <w:szCs w:val="22"/>
        </w:rPr>
      </w:pPr>
    </w:p>
    <w:p w14:paraId="533DF62E" w14:textId="3BBD1866" w:rsidR="00DF55F6" w:rsidRPr="00DF55F6" w:rsidRDefault="00DF55F6" w:rsidP="00396C9B">
      <w:pPr>
        <w:rPr>
          <w:bCs/>
          <w:sz w:val="22"/>
          <w:szCs w:val="22"/>
        </w:rPr>
      </w:pPr>
      <w:r w:rsidRPr="00DF55F6">
        <w:rPr>
          <w:bCs/>
          <w:sz w:val="22"/>
          <w:szCs w:val="22"/>
        </w:rPr>
        <w:t xml:space="preserve">Ver respuesta a </w:t>
      </w:r>
      <w:r>
        <w:rPr>
          <w:bCs/>
          <w:sz w:val="22"/>
          <w:szCs w:val="22"/>
        </w:rPr>
        <w:fldChar w:fldCharType="begin"/>
      </w:r>
      <w:r>
        <w:rPr>
          <w:bCs/>
          <w:sz w:val="22"/>
          <w:szCs w:val="22"/>
        </w:rPr>
        <w:instrText xml:space="preserve"> REF _Ref132896649 \r \h </w:instrText>
      </w:r>
      <w:r>
        <w:rPr>
          <w:bCs/>
          <w:sz w:val="22"/>
          <w:szCs w:val="22"/>
        </w:rPr>
      </w:r>
      <w:r>
        <w:rPr>
          <w:bCs/>
          <w:sz w:val="22"/>
          <w:szCs w:val="22"/>
        </w:rPr>
        <w:fldChar w:fldCharType="separate"/>
      </w:r>
      <w:r>
        <w:rPr>
          <w:bCs/>
          <w:sz w:val="22"/>
          <w:szCs w:val="22"/>
        </w:rPr>
        <w:t>20.1.1.4</w:t>
      </w:r>
      <w:r>
        <w:rPr>
          <w:bCs/>
          <w:sz w:val="22"/>
          <w:szCs w:val="22"/>
        </w:rPr>
        <w:fldChar w:fldCharType="end"/>
      </w:r>
      <w:r>
        <w:rPr>
          <w:bCs/>
          <w:sz w:val="22"/>
          <w:szCs w:val="22"/>
        </w:rPr>
        <w:t>.</w:t>
      </w:r>
    </w:p>
    <w:p w14:paraId="6DC28C22" w14:textId="77777777" w:rsidR="00DF55F6" w:rsidRPr="00496ED6" w:rsidRDefault="00DF55F6" w:rsidP="00396C9B">
      <w:pPr>
        <w:rPr>
          <w:bCs/>
          <w:i/>
          <w:iCs/>
          <w:sz w:val="22"/>
          <w:szCs w:val="22"/>
        </w:rPr>
      </w:pPr>
    </w:p>
    <w:p w14:paraId="05D6E97B" w14:textId="77777777" w:rsidR="00396C9B" w:rsidRPr="00496ED6" w:rsidRDefault="00396C9B" w:rsidP="00396C9B">
      <w:pPr>
        <w:rPr>
          <w:bCs/>
          <w:i/>
          <w:iCs/>
          <w:sz w:val="22"/>
          <w:szCs w:val="22"/>
        </w:rPr>
      </w:pPr>
    </w:p>
    <w:p w14:paraId="630A8136" w14:textId="77777777" w:rsidR="00DF55F6" w:rsidRPr="00781FE6" w:rsidRDefault="00DF55F6" w:rsidP="00DF55F6">
      <w:pPr>
        <w:pStyle w:val="Ttulo4"/>
      </w:pPr>
      <w:r w:rsidRPr="00781FE6">
        <w:t>ECOPETROL</w:t>
      </w:r>
      <w:r w:rsidRPr="00781FE6">
        <w:tab/>
      </w:r>
    </w:p>
    <w:p w14:paraId="20C7D985" w14:textId="0EC246F3" w:rsidR="00396C9B" w:rsidRPr="00496ED6" w:rsidRDefault="001E7E0E" w:rsidP="00396C9B">
      <w:pPr>
        <w:rPr>
          <w:bCs/>
          <w:i/>
          <w:iCs/>
          <w:sz w:val="22"/>
          <w:szCs w:val="22"/>
        </w:rPr>
      </w:pPr>
      <w:r>
        <w:rPr>
          <w:bCs/>
          <w:i/>
          <w:iCs/>
          <w:sz w:val="22"/>
          <w:szCs w:val="22"/>
        </w:rPr>
        <w:t>“</w:t>
      </w:r>
      <w:r w:rsidR="00396C9B" w:rsidRPr="00496ED6">
        <w:rPr>
          <w:bCs/>
          <w:i/>
          <w:iCs/>
          <w:sz w:val="22"/>
          <w:szCs w:val="22"/>
        </w:rPr>
        <w:t>En el marco de las normas mencionadas, consideramos jurídicamente viable que, previa la declaratoria de comercialidad, se permita a los productores-comercializadores suscribir contratos de suministro de largo plazo con la demanda esencial, siempre que las entregas de dicho gas comiencen una vez se cuente con la certificación de reservas según la normativa vigente.</w:t>
      </w:r>
    </w:p>
    <w:p w14:paraId="2DF081E2" w14:textId="77777777" w:rsidR="00396C9B" w:rsidRPr="00496ED6" w:rsidRDefault="00396C9B" w:rsidP="00396C9B">
      <w:pPr>
        <w:rPr>
          <w:bCs/>
          <w:i/>
          <w:iCs/>
          <w:sz w:val="22"/>
          <w:szCs w:val="22"/>
        </w:rPr>
      </w:pPr>
    </w:p>
    <w:p w14:paraId="7EB38846" w14:textId="77777777" w:rsidR="00396C9B" w:rsidRPr="00496ED6" w:rsidRDefault="00396C9B" w:rsidP="00396C9B">
      <w:pPr>
        <w:rPr>
          <w:bCs/>
          <w:i/>
          <w:iCs/>
          <w:sz w:val="22"/>
          <w:szCs w:val="22"/>
        </w:rPr>
      </w:pPr>
      <w:r w:rsidRPr="00496ED6">
        <w:rPr>
          <w:bCs/>
          <w:i/>
          <w:iCs/>
          <w:sz w:val="22"/>
          <w:szCs w:val="22"/>
        </w:rPr>
        <w:t>Esto aseguraría la firme intención de los comercializadores que atienden demanda esencial de adquirir el gas natural a partir de una fecha futura, a un precio previamente negociado y, de esa manera, asegurar el flujo de recursos necesario para la viabilidad financiera de los proyectos, según se indicó en el literal a) del presente acápite. Asimismo, permitiría cumplir con el objetivo de política pública de asegurar que la demanda esencial cuente con respaldo físico.</w:t>
      </w:r>
    </w:p>
    <w:p w14:paraId="59CAEA57" w14:textId="77777777" w:rsidR="00DF55F6" w:rsidRDefault="00DF55F6" w:rsidP="00396C9B">
      <w:pPr>
        <w:rPr>
          <w:bCs/>
          <w:i/>
          <w:iCs/>
          <w:sz w:val="22"/>
          <w:szCs w:val="22"/>
        </w:rPr>
      </w:pPr>
    </w:p>
    <w:p w14:paraId="6E1D83A6" w14:textId="1387BF84" w:rsidR="00396C9B" w:rsidRDefault="00396C9B" w:rsidP="00396C9B">
      <w:pPr>
        <w:rPr>
          <w:bCs/>
          <w:sz w:val="22"/>
          <w:szCs w:val="22"/>
        </w:rPr>
      </w:pPr>
      <w:r w:rsidRPr="00496ED6">
        <w:rPr>
          <w:bCs/>
          <w:i/>
          <w:iCs/>
          <w:sz w:val="22"/>
          <w:szCs w:val="22"/>
        </w:rPr>
        <w:t>Vale la pena subrayar que dentro de la demanda esencial no solo se encuentra la demanda residencial, sino otros sectores importantes por su tamaño, tales como las refinerías y el GNV. La posibilidad de asegurar su atención es crítica para proyectos de gran envergadura, como los que se adelantan en áreas costa afuera</w:t>
      </w:r>
      <w:r w:rsidRPr="00781FE6">
        <w:rPr>
          <w:bCs/>
          <w:sz w:val="22"/>
          <w:szCs w:val="22"/>
        </w:rPr>
        <w:t>."</w:t>
      </w:r>
    </w:p>
    <w:p w14:paraId="34EEB65A" w14:textId="77777777" w:rsidR="00496ED6" w:rsidRDefault="00496ED6" w:rsidP="00396C9B">
      <w:pPr>
        <w:rPr>
          <w:bCs/>
          <w:sz w:val="22"/>
          <w:szCs w:val="22"/>
        </w:rPr>
      </w:pPr>
    </w:p>
    <w:p w14:paraId="71950533" w14:textId="34762273" w:rsidR="00496ED6" w:rsidRPr="00496ED6" w:rsidRDefault="00496ED6" w:rsidP="00396C9B">
      <w:pPr>
        <w:rPr>
          <w:b/>
          <w:sz w:val="22"/>
          <w:szCs w:val="22"/>
        </w:rPr>
      </w:pPr>
      <w:r w:rsidRPr="00496ED6">
        <w:rPr>
          <w:b/>
          <w:sz w:val="22"/>
          <w:szCs w:val="22"/>
        </w:rPr>
        <w:t>Respuesta:</w:t>
      </w:r>
    </w:p>
    <w:p w14:paraId="2E4D9D23" w14:textId="77777777" w:rsidR="00496ED6" w:rsidRDefault="00496ED6" w:rsidP="00396C9B">
      <w:pPr>
        <w:rPr>
          <w:bCs/>
          <w:sz w:val="22"/>
          <w:szCs w:val="22"/>
        </w:rPr>
      </w:pPr>
    </w:p>
    <w:p w14:paraId="69BC862A" w14:textId="36C87933" w:rsidR="00496ED6" w:rsidRPr="00781FE6" w:rsidRDefault="00DF55F6" w:rsidP="00396C9B">
      <w:pPr>
        <w:rPr>
          <w:bCs/>
          <w:sz w:val="22"/>
          <w:szCs w:val="22"/>
        </w:rPr>
      </w:pPr>
      <w:r>
        <w:rPr>
          <w:bCs/>
          <w:sz w:val="22"/>
          <w:szCs w:val="22"/>
        </w:rPr>
        <w:t xml:space="preserve">Ver numeral </w:t>
      </w:r>
      <w:r>
        <w:rPr>
          <w:bCs/>
          <w:sz w:val="22"/>
          <w:szCs w:val="22"/>
        </w:rPr>
        <w:fldChar w:fldCharType="begin"/>
      </w:r>
      <w:r>
        <w:rPr>
          <w:bCs/>
          <w:sz w:val="22"/>
          <w:szCs w:val="22"/>
        </w:rPr>
        <w:instrText xml:space="preserve"> REF _Ref130637514 \r \h </w:instrText>
      </w:r>
      <w:r>
        <w:rPr>
          <w:bCs/>
          <w:sz w:val="22"/>
          <w:szCs w:val="22"/>
        </w:rPr>
      </w:r>
      <w:r>
        <w:rPr>
          <w:bCs/>
          <w:sz w:val="22"/>
          <w:szCs w:val="22"/>
        </w:rPr>
        <w:fldChar w:fldCharType="separate"/>
      </w:r>
      <w:r>
        <w:rPr>
          <w:bCs/>
          <w:sz w:val="22"/>
          <w:szCs w:val="22"/>
        </w:rPr>
        <w:t>4.18</w:t>
      </w:r>
      <w:r>
        <w:rPr>
          <w:bCs/>
          <w:sz w:val="22"/>
          <w:szCs w:val="22"/>
        </w:rPr>
        <w:fldChar w:fldCharType="end"/>
      </w:r>
      <w:r>
        <w:rPr>
          <w:bCs/>
          <w:sz w:val="22"/>
          <w:szCs w:val="22"/>
        </w:rPr>
        <w:t>.</w:t>
      </w:r>
    </w:p>
    <w:p w14:paraId="135F9C40" w14:textId="77777777" w:rsidR="00396C9B" w:rsidRPr="00781FE6" w:rsidRDefault="00396C9B" w:rsidP="00396C9B">
      <w:pPr>
        <w:rPr>
          <w:bCs/>
          <w:sz w:val="22"/>
          <w:szCs w:val="22"/>
        </w:rPr>
      </w:pPr>
    </w:p>
    <w:p w14:paraId="706FBB44" w14:textId="77777777" w:rsidR="00396C9B" w:rsidRPr="00781FE6" w:rsidRDefault="00396C9B" w:rsidP="00396C9B">
      <w:pPr>
        <w:rPr>
          <w:bCs/>
          <w:sz w:val="22"/>
          <w:szCs w:val="22"/>
        </w:rPr>
      </w:pPr>
    </w:p>
    <w:p w14:paraId="2D653A61" w14:textId="77777777" w:rsidR="00396C9B" w:rsidRPr="00781FE6" w:rsidRDefault="00396C9B" w:rsidP="00781FE6">
      <w:pPr>
        <w:pStyle w:val="Ttulo2"/>
      </w:pPr>
      <w:bookmarkStart w:id="881" w:name="_Toc140506462"/>
      <w:r w:rsidRPr="00781FE6">
        <w:t>EPM</w:t>
      </w:r>
      <w:bookmarkEnd w:id="881"/>
      <w:r w:rsidRPr="00781FE6">
        <w:tab/>
      </w:r>
    </w:p>
    <w:p w14:paraId="385C50A2" w14:textId="77777777" w:rsidR="00456774" w:rsidRPr="00781FE6" w:rsidRDefault="00456774" w:rsidP="00456774">
      <w:pPr>
        <w:pStyle w:val="Ttulo4"/>
      </w:pPr>
      <w:r w:rsidRPr="00781FE6">
        <w:t>EPM</w:t>
      </w:r>
      <w:r w:rsidRPr="00781FE6">
        <w:tab/>
      </w:r>
    </w:p>
    <w:p w14:paraId="7D5059E8" w14:textId="09701F16" w:rsidR="00396C9B" w:rsidRPr="00C66187" w:rsidRDefault="00396C9B" w:rsidP="00396C9B">
      <w:pPr>
        <w:rPr>
          <w:bCs/>
          <w:i/>
          <w:iCs/>
          <w:sz w:val="22"/>
          <w:szCs w:val="22"/>
        </w:rPr>
      </w:pPr>
      <w:r w:rsidRPr="00781FE6">
        <w:rPr>
          <w:bCs/>
          <w:sz w:val="22"/>
          <w:szCs w:val="22"/>
        </w:rPr>
        <w:t>"</w:t>
      </w:r>
      <w:r w:rsidRPr="00C66187">
        <w:rPr>
          <w:bCs/>
          <w:i/>
          <w:iCs/>
          <w:sz w:val="22"/>
          <w:szCs w:val="22"/>
        </w:rPr>
        <w:t>En una relación contractual bilateral en firme CF95 como las mencionadas en la Resolución CREG 186 de 2020, el vendedor garantiza el servicio de suministro de una cantidad diaria máxima y el comprador se compromete a pagar en la liquidación mensual mínimo el 95% de la cantidad contratada correspondiente al mes, independientemente de que sea consumida o no. Es importante aclarar, que si bien tiene una liquidación mensual está sujeto a una cantidad diaria máxima a nominar, la cual no puede superarse y adicionalmente, si se nomina por debajo de dicho valor el gas se pierde y la demanda debe asumir dicho costo.</w:t>
      </w:r>
    </w:p>
    <w:p w14:paraId="0E961AFC" w14:textId="77777777" w:rsidR="00396C9B" w:rsidRPr="00C66187" w:rsidRDefault="00396C9B" w:rsidP="00396C9B">
      <w:pPr>
        <w:rPr>
          <w:bCs/>
          <w:i/>
          <w:iCs/>
          <w:sz w:val="22"/>
          <w:szCs w:val="22"/>
        </w:rPr>
      </w:pPr>
    </w:p>
    <w:p w14:paraId="2F95F935" w14:textId="77777777" w:rsidR="00396C9B" w:rsidRPr="00C66187" w:rsidRDefault="00396C9B" w:rsidP="00396C9B">
      <w:pPr>
        <w:rPr>
          <w:bCs/>
          <w:i/>
          <w:iCs/>
          <w:sz w:val="22"/>
          <w:szCs w:val="22"/>
        </w:rPr>
      </w:pPr>
      <w:r w:rsidRPr="00C66187">
        <w:rPr>
          <w:bCs/>
          <w:i/>
          <w:iCs/>
          <w:sz w:val="22"/>
          <w:szCs w:val="22"/>
        </w:rPr>
        <w:t>Igualmente, habrá excedentes ocasionados por la diferencia de consumo entre un día hábil y no hábil de la demanda regulada pues actualmente, no existe un producto en el mercado que siga la curva de demanda del comercializador entre días hábiles y festivos. Esta situación sería la que se presentaría con la demanda esencial bajo cualquier modalidad de contratos firmes, en donde el comercializador se expone al riesgo de comprar una punta o un valor cercano a ella desde el mercado primario.</w:t>
      </w:r>
    </w:p>
    <w:p w14:paraId="278640EB" w14:textId="77777777" w:rsidR="00396C9B" w:rsidRPr="00C66187" w:rsidRDefault="00396C9B" w:rsidP="00396C9B">
      <w:pPr>
        <w:rPr>
          <w:bCs/>
          <w:i/>
          <w:iCs/>
          <w:sz w:val="22"/>
          <w:szCs w:val="22"/>
        </w:rPr>
      </w:pPr>
    </w:p>
    <w:p w14:paraId="027D2485" w14:textId="793571D0" w:rsidR="00396C9B" w:rsidRPr="00C66187" w:rsidRDefault="00396C9B" w:rsidP="00396C9B">
      <w:pPr>
        <w:rPr>
          <w:bCs/>
          <w:i/>
          <w:iCs/>
          <w:sz w:val="22"/>
          <w:szCs w:val="22"/>
        </w:rPr>
      </w:pPr>
      <w:r w:rsidRPr="00C66187">
        <w:rPr>
          <w:bCs/>
          <w:i/>
          <w:iCs/>
          <w:sz w:val="22"/>
          <w:szCs w:val="22"/>
        </w:rPr>
        <w:t>Así, es el comercializador quien asume y gestiona el riesgo por las cantidades totales contratadas en un contrato CF95 firme, pero ahora, los incentivos dados desde la</w:t>
      </w:r>
      <w:r w:rsidR="001823E8" w:rsidRPr="00C66187">
        <w:rPr>
          <w:bCs/>
          <w:i/>
          <w:iCs/>
          <w:sz w:val="22"/>
          <w:szCs w:val="22"/>
        </w:rPr>
        <w:t xml:space="preserve"> </w:t>
      </w:r>
      <w:r w:rsidRPr="00C66187">
        <w:rPr>
          <w:bCs/>
          <w:i/>
          <w:iCs/>
          <w:sz w:val="22"/>
          <w:szCs w:val="22"/>
        </w:rPr>
        <w:t>Resolución CREG 227 de 2022, más la prohibición de nominar la parte variable de los contratos firmes para demandas diferentes al mercado relevante del comercializador, y que solo el productor pueda vender tales excedentes de manera bilateral, limitan la posibilidad de gestionar estos excedentes en el mercado secundario(Literales h, i art22). Lo anterior con el agravante adicional que las cantidades de suministro están asociadas a contratos de transporte espejo de estas, con lo cual dicha capacidad de transporte también quedaría sin nominar generando más sobrecostos.</w:t>
      </w:r>
    </w:p>
    <w:p w14:paraId="15EEAE4D" w14:textId="77777777" w:rsidR="00396C9B" w:rsidRPr="00C66187" w:rsidRDefault="00396C9B" w:rsidP="00396C9B">
      <w:pPr>
        <w:rPr>
          <w:bCs/>
          <w:i/>
          <w:iCs/>
          <w:sz w:val="22"/>
          <w:szCs w:val="22"/>
        </w:rPr>
      </w:pPr>
    </w:p>
    <w:p w14:paraId="506BE232" w14:textId="78001D41" w:rsidR="00396C9B" w:rsidRPr="00C66187" w:rsidRDefault="00396C9B" w:rsidP="00396C9B">
      <w:pPr>
        <w:rPr>
          <w:bCs/>
          <w:i/>
          <w:iCs/>
          <w:sz w:val="22"/>
          <w:szCs w:val="22"/>
        </w:rPr>
      </w:pPr>
      <w:r w:rsidRPr="00C66187">
        <w:rPr>
          <w:bCs/>
          <w:i/>
          <w:iCs/>
          <w:sz w:val="22"/>
          <w:szCs w:val="22"/>
        </w:rPr>
        <w:t>Aclaramos que el comercializador tiene usuarios en otros mercados diferentes a su mercado relevante y para disminuir excedentes y sobrecostos entre los diferentes</w:t>
      </w:r>
      <w:r w:rsidR="001823E8" w:rsidRPr="00C66187">
        <w:rPr>
          <w:bCs/>
          <w:i/>
          <w:iCs/>
          <w:sz w:val="22"/>
          <w:szCs w:val="22"/>
        </w:rPr>
        <w:t xml:space="preserve"> </w:t>
      </w:r>
      <w:r w:rsidRPr="00C66187">
        <w:rPr>
          <w:bCs/>
          <w:i/>
          <w:iCs/>
          <w:sz w:val="22"/>
          <w:szCs w:val="22"/>
        </w:rPr>
        <w:t>segmentos de la demanda, es importante que se le permita nominar y gestionar el 100% de las cantidades contratadas de sus contratos firmes. Adicionalmente, no es clara la motivación en la propuesta para que el comercializador no participe vendiendo excedentes en el mercado secundario de cualquier contrato firme que tenga suscrito, pues entendemos que una de las motivaciones de habilitar dicho mecanismo en la Resolución CREG 089 de 2013 fue precisamente permitirle la gestión de los excedentes de un contrato firme que no sigue la demanda diaria.</w:t>
      </w:r>
    </w:p>
    <w:p w14:paraId="55D18496" w14:textId="77777777" w:rsidR="00396C9B" w:rsidRPr="00C66187" w:rsidRDefault="00396C9B" w:rsidP="00396C9B">
      <w:pPr>
        <w:rPr>
          <w:bCs/>
          <w:i/>
          <w:iCs/>
          <w:sz w:val="22"/>
          <w:szCs w:val="22"/>
        </w:rPr>
      </w:pPr>
    </w:p>
    <w:p w14:paraId="61D84D6D" w14:textId="77777777" w:rsidR="00396C9B" w:rsidRDefault="00396C9B" w:rsidP="00396C9B">
      <w:pPr>
        <w:rPr>
          <w:bCs/>
          <w:sz w:val="22"/>
          <w:szCs w:val="22"/>
        </w:rPr>
      </w:pPr>
      <w:r w:rsidRPr="00C66187">
        <w:rPr>
          <w:bCs/>
          <w:i/>
          <w:iCs/>
          <w:sz w:val="22"/>
          <w:szCs w:val="22"/>
        </w:rPr>
        <w:t>Por lo anterior, sugerimos a la CREG muy respetuosamente se permita al comercializador nominar las cantidades variables de sus contratos firmes</w:t>
      </w:r>
      <w:r w:rsidRPr="00781FE6">
        <w:rPr>
          <w:bCs/>
          <w:sz w:val="22"/>
          <w:szCs w:val="22"/>
        </w:rPr>
        <w:t>."</w:t>
      </w:r>
    </w:p>
    <w:p w14:paraId="60FDD3DD" w14:textId="77777777" w:rsidR="00C66187" w:rsidRDefault="00C66187" w:rsidP="00396C9B">
      <w:pPr>
        <w:rPr>
          <w:bCs/>
          <w:sz w:val="22"/>
          <w:szCs w:val="22"/>
        </w:rPr>
      </w:pPr>
    </w:p>
    <w:p w14:paraId="480DB022" w14:textId="0C0FA1F5" w:rsidR="00C66187" w:rsidRPr="00C66187" w:rsidRDefault="00C66187" w:rsidP="00396C9B">
      <w:pPr>
        <w:rPr>
          <w:b/>
          <w:sz w:val="22"/>
          <w:szCs w:val="22"/>
        </w:rPr>
      </w:pPr>
      <w:r w:rsidRPr="00C66187">
        <w:rPr>
          <w:b/>
          <w:sz w:val="22"/>
          <w:szCs w:val="22"/>
        </w:rPr>
        <w:t>Respuesta:</w:t>
      </w:r>
    </w:p>
    <w:p w14:paraId="73E2A07D" w14:textId="77777777" w:rsidR="00C66187" w:rsidRDefault="00C66187" w:rsidP="00396C9B">
      <w:pPr>
        <w:rPr>
          <w:bCs/>
          <w:sz w:val="22"/>
          <w:szCs w:val="22"/>
        </w:rPr>
      </w:pPr>
    </w:p>
    <w:p w14:paraId="00E76660" w14:textId="71741986" w:rsidR="00C66187" w:rsidRDefault="00C66187" w:rsidP="00C66187">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_Ref132897250 \r \h </w:instrText>
      </w:r>
      <w:r>
        <w:rPr>
          <w:bCs/>
          <w:sz w:val="22"/>
          <w:szCs w:val="22"/>
        </w:rPr>
      </w:r>
      <w:r>
        <w:rPr>
          <w:bCs/>
          <w:sz w:val="22"/>
          <w:szCs w:val="22"/>
        </w:rPr>
        <w:fldChar w:fldCharType="separate"/>
      </w:r>
      <w:r>
        <w:rPr>
          <w:bCs/>
          <w:sz w:val="22"/>
          <w:szCs w:val="22"/>
        </w:rPr>
        <w:t>19.23.1.5</w:t>
      </w:r>
      <w:r>
        <w:rPr>
          <w:bCs/>
          <w:sz w:val="22"/>
          <w:szCs w:val="22"/>
        </w:rPr>
        <w:fldChar w:fldCharType="end"/>
      </w:r>
      <w:r>
        <w:rPr>
          <w:bCs/>
          <w:sz w:val="22"/>
          <w:szCs w:val="22"/>
        </w:rPr>
        <w:t>.</w:t>
      </w:r>
    </w:p>
    <w:p w14:paraId="4C660555" w14:textId="77777777" w:rsidR="00C66187" w:rsidRPr="00781FE6" w:rsidRDefault="00C66187" w:rsidP="00396C9B">
      <w:pPr>
        <w:rPr>
          <w:bCs/>
          <w:sz w:val="22"/>
          <w:szCs w:val="22"/>
        </w:rPr>
      </w:pPr>
    </w:p>
    <w:p w14:paraId="59CB720B" w14:textId="77777777" w:rsidR="00396C9B" w:rsidRPr="00781FE6" w:rsidRDefault="00396C9B" w:rsidP="00396C9B">
      <w:pPr>
        <w:rPr>
          <w:bCs/>
          <w:sz w:val="22"/>
          <w:szCs w:val="22"/>
        </w:rPr>
      </w:pPr>
    </w:p>
    <w:p w14:paraId="376F368F" w14:textId="77777777" w:rsidR="001823E8" w:rsidRPr="000A3554" w:rsidRDefault="001823E8" w:rsidP="001823E8">
      <w:pPr>
        <w:pStyle w:val="Ttulo4"/>
        <w:numPr>
          <w:ilvl w:val="3"/>
          <w:numId w:val="1"/>
        </w:numPr>
      </w:pPr>
      <w:r w:rsidRPr="000A3554">
        <w:t>EPM</w:t>
      </w:r>
      <w:r w:rsidRPr="000A3554">
        <w:tab/>
      </w:r>
    </w:p>
    <w:p w14:paraId="408CCDD0" w14:textId="77777777" w:rsidR="001823E8" w:rsidRPr="00C66187" w:rsidRDefault="001823E8" w:rsidP="001823E8">
      <w:pPr>
        <w:rPr>
          <w:bCs/>
          <w:i/>
          <w:iCs/>
          <w:sz w:val="22"/>
          <w:szCs w:val="22"/>
        </w:rPr>
      </w:pPr>
      <w:r w:rsidRPr="000A3554">
        <w:rPr>
          <w:bCs/>
          <w:sz w:val="22"/>
          <w:szCs w:val="22"/>
        </w:rPr>
        <w:t>"</w:t>
      </w:r>
      <w:r w:rsidRPr="00C66187">
        <w:rPr>
          <w:bCs/>
          <w:i/>
          <w:iCs/>
          <w:sz w:val="22"/>
          <w:szCs w:val="22"/>
        </w:rPr>
        <w:t>Como se mencionó anteriormente, existirán diferencias entre el pico diario de la demanda esencial entre un día hábil y festivo que, según lo indicado en la Resolución CREG 227 de 2021 se incentivaría al Comercializador a contratarse en valores cercanos al promedio de la curva de carga para efectos de disminuir el riesgo del comercializador.</w:t>
      </w:r>
    </w:p>
    <w:p w14:paraId="74C07170" w14:textId="77777777" w:rsidR="001823E8" w:rsidRPr="00C66187" w:rsidRDefault="001823E8" w:rsidP="001823E8">
      <w:pPr>
        <w:rPr>
          <w:bCs/>
          <w:i/>
          <w:iCs/>
          <w:sz w:val="22"/>
          <w:szCs w:val="22"/>
        </w:rPr>
      </w:pPr>
    </w:p>
    <w:p w14:paraId="15CCBD77" w14:textId="77777777" w:rsidR="001823E8" w:rsidRPr="00C66187" w:rsidRDefault="001823E8" w:rsidP="001823E8">
      <w:pPr>
        <w:rPr>
          <w:bCs/>
          <w:i/>
          <w:iCs/>
          <w:sz w:val="22"/>
          <w:szCs w:val="22"/>
        </w:rPr>
      </w:pPr>
      <w:r w:rsidRPr="00C66187">
        <w:rPr>
          <w:bCs/>
          <w:i/>
          <w:iCs/>
          <w:sz w:val="22"/>
          <w:szCs w:val="22"/>
        </w:rPr>
        <w:t>En esta línea el factor de carga mensual de la demanda regulada esencial seria para el caso de EPM del orden del 83% (Demanda promedio/Demanda pico), con lo cual, para minimizar los excedentes y en consecuencia los riesgos del comercializador, se requeriría que el productor ofreciera un producto CF 80 de largo plazo y seguramente más costoso que un CF 95, pero con una alta probabilidad de que no lo ofrezca, así la regulación lo permita pues no tiene ningún incentivo a hacerlo.</w:t>
      </w:r>
    </w:p>
    <w:p w14:paraId="6A8D47BC" w14:textId="77777777" w:rsidR="001823E8" w:rsidRPr="00C66187" w:rsidRDefault="001823E8" w:rsidP="001823E8">
      <w:pPr>
        <w:rPr>
          <w:bCs/>
          <w:i/>
          <w:iCs/>
          <w:sz w:val="22"/>
          <w:szCs w:val="22"/>
        </w:rPr>
      </w:pPr>
    </w:p>
    <w:p w14:paraId="4905D867" w14:textId="2D6575D8" w:rsidR="001823E8" w:rsidRPr="00C66187" w:rsidRDefault="001823E8" w:rsidP="001823E8">
      <w:pPr>
        <w:rPr>
          <w:bCs/>
          <w:i/>
          <w:iCs/>
          <w:sz w:val="22"/>
          <w:szCs w:val="22"/>
        </w:rPr>
      </w:pPr>
      <w:r w:rsidRPr="00C66187">
        <w:rPr>
          <w:bCs/>
          <w:i/>
          <w:iCs/>
          <w:sz w:val="22"/>
          <w:szCs w:val="22"/>
        </w:rPr>
        <w:t xml:space="preserve">Para lo anterior, consideramos que deben establecerse instrumentos que permitan a los comercializadores gestionar de mejor manera el riesgo de las </w:t>
      </w:r>
      <w:r w:rsidR="001E7E0E">
        <w:rPr>
          <w:bCs/>
          <w:i/>
          <w:iCs/>
          <w:sz w:val="22"/>
          <w:szCs w:val="22"/>
        </w:rPr>
        <w:t>‘</w:t>
      </w:r>
      <w:r w:rsidRPr="00C66187">
        <w:rPr>
          <w:bCs/>
          <w:i/>
          <w:iCs/>
          <w:sz w:val="22"/>
          <w:szCs w:val="22"/>
        </w:rPr>
        <w:t>puntas de la demanda</w:t>
      </w:r>
      <w:r w:rsidR="001E7E0E">
        <w:rPr>
          <w:bCs/>
          <w:i/>
          <w:iCs/>
          <w:sz w:val="22"/>
          <w:szCs w:val="22"/>
        </w:rPr>
        <w:t>’</w:t>
      </w:r>
      <w:r w:rsidRPr="00C66187">
        <w:rPr>
          <w:bCs/>
          <w:i/>
          <w:iCs/>
          <w:sz w:val="22"/>
          <w:szCs w:val="22"/>
        </w:rPr>
        <w:t xml:space="preserve"> en esos consumos diarios y para este propósito, respetuosamente sugerimos a la Comisión establecer en el MADE incentivos que permitan la oferta de contratos con las siguientes características: i) Oferta de contratos CF80 de largo plazo </w:t>
      </w:r>
      <w:proofErr w:type="spellStart"/>
      <w:r w:rsidRPr="00C66187">
        <w:rPr>
          <w:bCs/>
          <w:i/>
          <w:iCs/>
          <w:sz w:val="22"/>
          <w:szCs w:val="22"/>
        </w:rPr>
        <w:t>ii</w:t>
      </w:r>
      <w:proofErr w:type="spellEnd"/>
      <w:r w:rsidRPr="00C66187">
        <w:rPr>
          <w:bCs/>
          <w:i/>
          <w:iCs/>
          <w:sz w:val="22"/>
          <w:szCs w:val="22"/>
        </w:rPr>
        <w:t>) contratos con una cantidad firme máxima para día hábil y otra cantidad para día festivo, que en la práctica ya se da pues el productor siempre baja su producción los domingos y festivos, con la diferencia que hoy se queda con la cantidad del contrato firme que no se nómina. Consideramos que estos ajustes reducirían notablemente los excedentes diarios y mensuales de los contratos firmes al mercado regulado y se mejora la eficiencia en el nivel de cantidades contratadas, al transferir a la demanda regulada en su tarifa, valores por supuesto más cercanos a su consumo real y a su curva de carga."</w:t>
      </w:r>
    </w:p>
    <w:p w14:paraId="4E942E32" w14:textId="77777777" w:rsidR="00C66187" w:rsidRDefault="00C66187" w:rsidP="001823E8">
      <w:pPr>
        <w:rPr>
          <w:bCs/>
          <w:sz w:val="22"/>
          <w:szCs w:val="22"/>
        </w:rPr>
      </w:pPr>
    </w:p>
    <w:p w14:paraId="62199F29" w14:textId="30276382" w:rsidR="00C66187" w:rsidRPr="00C66187" w:rsidRDefault="00C66187" w:rsidP="001823E8">
      <w:pPr>
        <w:rPr>
          <w:b/>
          <w:sz w:val="22"/>
          <w:szCs w:val="22"/>
        </w:rPr>
      </w:pPr>
      <w:r w:rsidRPr="00C66187">
        <w:rPr>
          <w:b/>
          <w:sz w:val="22"/>
          <w:szCs w:val="22"/>
        </w:rPr>
        <w:t>Respuesta:</w:t>
      </w:r>
    </w:p>
    <w:p w14:paraId="7EFAA1AD" w14:textId="77777777" w:rsidR="00C66187" w:rsidRDefault="00C66187" w:rsidP="001823E8">
      <w:pPr>
        <w:rPr>
          <w:bCs/>
          <w:sz w:val="22"/>
          <w:szCs w:val="22"/>
        </w:rPr>
      </w:pPr>
    </w:p>
    <w:p w14:paraId="2BFB9867" w14:textId="6877328A" w:rsidR="00920A82" w:rsidRDefault="00920A82" w:rsidP="00920A82">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 xml:space="preserve">  y a </w:t>
      </w:r>
      <w:r>
        <w:rPr>
          <w:bCs/>
          <w:sz w:val="22"/>
          <w:szCs w:val="22"/>
        </w:rPr>
        <w:fldChar w:fldCharType="begin"/>
      </w:r>
      <w:r>
        <w:rPr>
          <w:bCs/>
          <w:sz w:val="22"/>
          <w:szCs w:val="22"/>
        </w:rPr>
        <w:instrText xml:space="preserve"> REF _Ref132897250 \r \h </w:instrText>
      </w:r>
      <w:r>
        <w:rPr>
          <w:bCs/>
          <w:sz w:val="22"/>
          <w:szCs w:val="22"/>
        </w:rPr>
      </w:r>
      <w:r>
        <w:rPr>
          <w:bCs/>
          <w:sz w:val="22"/>
          <w:szCs w:val="22"/>
        </w:rPr>
        <w:fldChar w:fldCharType="separate"/>
      </w:r>
      <w:r>
        <w:rPr>
          <w:bCs/>
          <w:sz w:val="22"/>
          <w:szCs w:val="22"/>
        </w:rPr>
        <w:t>19.23.1.5</w:t>
      </w:r>
      <w:r>
        <w:rPr>
          <w:bCs/>
          <w:sz w:val="22"/>
          <w:szCs w:val="22"/>
        </w:rPr>
        <w:fldChar w:fldCharType="end"/>
      </w:r>
      <w:r>
        <w:rPr>
          <w:bCs/>
          <w:sz w:val="22"/>
          <w:szCs w:val="22"/>
        </w:rPr>
        <w:t>.</w:t>
      </w:r>
    </w:p>
    <w:p w14:paraId="5B566434" w14:textId="0911E2BC" w:rsidR="00396C9B" w:rsidRDefault="00396C9B" w:rsidP="00396C9B">
      <w:pPr>
        <w:rPr>
          <w:bCs/>
          <w:sz w:val="22"/>
          <w:szCs w:val="22"/>
        </w:rPr>
      </w:pPr>
    </w:p>
    <w:p w14:paraId="45C92BBB" w14:textId="77777777" w:rsidR="00920A82" w:rsidRDefault="00920A82" w:rsidP="00396C9B">
      <w:pPr>
        <w:rPr>
          <w:bCs/>
          <w:sz w:val="22"/>
          <w:szCs w:val="22"/>
        </w:rPr>
      </w:pPr>
    </w:p>
    <w:p w14:paraId="1C2A754C" w14:textId="77777777" w:rsidR="00396C9B" w:rsidRPr="00781FE6" w:rsidRDefault="00396C9B" w:rsidP="00781FE6">
      <w:pPr>
        <w:pStyle w:val="Ttulo2"/>
      </w:pPr>
      <w:bookmarkStart w:id="882" w:name="_Toc140506463"/>
      <w:r w:rsidRPr="00781FE6">
        <w:t>GASES DE OCCIDENTE</w:t>
      </w:r>
      <w:bookmarkEnd w:id="882"/>
      <w:r w:rsidRPr="00781FE6">
        <w:tab/>
      </w:r>
    </w:p>
    <w:p w14:paraId="386382AC" w14:textId="77777777" w:rsidR="00456774" w:rsidRPr="00781FE6" w:rsidRDefault="00456774" w:rsidP="00456774">
      <w:pPr>
        <w:pStyle w:val="Ttulo4"/>
      </w:pPr>
      <w:r w:rsidRPr="00781FE6">
        <w:t>GASES DE OCCIDENTE</w:t>
      </w:r>
      <w:r w:rsidRPr="00781FE6">
        <w:tab/>
      </w:r>
    </w:p>
    <w:p w14:paraId="421F2DC2" w14:textId="23E2B383" w:rsidR="00396C9B" w:rsidRPr="006446B6" w:rsidRDefault="00396C9B" w:rsidP="00396C9B">
      <w:pPr>
        <w:rPr>
          <w:bCs/>
          <w:i/>
          <w:iCs/>
          <w:sz w:val="22"/>
          <w:szCs w:val="22"/>
        </w:rPr>
      </w:pPr>
      <w:r w:rsidRPr="00781FE6">
        <w:rPr>
          <w:bCs/>
          <w:sz w:val="22"/>
          <w:szCs w:val="22"/>
        </w:rPr>
        <w:t>"</w:t>
      </w:r>
      <w:r w:rsidRPr="006446B6">
        <w:rPr>
          <w:bCs/>
          <w:i/>
          <w:iCs/>
          <w:sz w:val="22"/>
          <w:szCs w:val="22"/>
        </w:rPr>
        <w:t xml:space="preserve">La Comisión define que los vendedores del mercado primario pueden “…negociar directamente el suministro del gas natural mediante contratos con interrupciones que provenga de la parte variable de los contratos con modalidades CF80 y CF95, cuando dicha cantidad variable no sea nominada por el comprador que suscribió dicho contrato para su propio consumo o para consumo del mercado de comercialización que atiende” (subrayado fuera de texto), </w:t>
      </w:r>
    </w:p>
    <w:p w14:paraId="412B392D" w14:textId="77777777" w:rsidR="00396C9B" w:rsidRPr="006446B6" w:rsidRDefault="00396C9B" w:rsidP="00396C9B">
      <w:pPr>
        <w:rPr>
          <w:bCs/>
          <w:i/>
          <w:iCs/>
          <w:sz w:val="22"/>
          <w:szCs w:val="22"/>
        </w:rPr>
      </w:pPr>
    </w:p>
    <w:p w14:paraId="323D5B0D" w14:textId="77777777" w:rsidR="00396C9B" w:rsidRPr="006446B6" w:rsidRDefault="00396C9B" w:rsidP="00396C9B">
      <w:pPr>
        <w:rPr>
          <w:bCs/>
          <w:i/>
          <w:iCs/>
          <w:sz w:val="22"/>
          <w:szCs w:val="22"/>
        </w:rPr>
      </w:pPr>
      <w:r w:rsidRPr="006446B6">
        <w:rPr>
          <w:bCs/>
          <w:i/>
          <w:iCs/>
          <w:sz w:val="22"/>
          <w:szCs w:val="22"/>
        </w:rPr>
        <w:t xml:space="preserve">En primer </w:t>
      </w:r>
      <w:proofErr w:type="gramStart"/>
      <w:r w:rsidRPr="006446B6">
        <w:rPr>
          <w:bCs/>
          <w:i/>
          <w:iCs/>
          <w:sz w:val="22"/>
          <w:szCs w:val="22"/>
        </w:rPr>
        <w:t>lugar</w:t>
      </w:r>
      <w:proofErr w:type="gramEnd"/>
      <w:r w:rsidRPr="006446B6">
        <w:rPr>
          <w:bCs/>
          <w:i/>
          <w:iCs/>
          <w:sz w:val="22"/>
          <w:szCs w:val="22"/>
        </w:rPr>
        <w:t xml:space="preserve"> debe quedar claro que, de aplicarse esta condición, el contrato con interrupciones suspende entregas en caso de </w:t>
      </w:r>
      <w:proofErr w:type="spellStart"/>
      <w:r w:rsidRPr="006446B6">
        <w:rPr>
          <w:bCs/>
          <w:i/>
          <w:iCs/>
          <w:sz w:val="22"/>
          <w:szCs w:val="22"/>
        </w:rPr>
        <w:t>renominaciones</w:t>
      </w:r>
      <w:proofErr w:type="spellEnd"/>
      <w:r w:rsidRPr="006446B6">
        <w:rPr>
          <w:bCs/>
          <w:i/>
          <w:iCs/>
          <w:sz w:val="22"/>
          <w:szCs w:val="22"/>
        </w:rPr>
        <w:t xml:space="preserve"> por parte del comprador del CF95 o del CF80. De otra parte, consideramos que El Comprador, no puede perder su derecho de solicitar hasta el 100% del contrato independientemente si el gas será utilizado en su mercado propio o para transar en mercado secundario, lo anterior porque, seguramente El Vendedor al vender el gas bajo esta modalidad de contrato valoró en el precio el riesgo de no utilización de estos porcentajes."</w:t>
      </w:r>
    </w:p>
    <w:p w14:paraId="4C046B2C" w14:textId="77777777" w:rsidR="006446B6" w:rsidRDefault="006446B6" w:rsidP="00396C9B">
      <w:pPr>
        <w:rPr>
          <w:bCs/>
          <w:sz w:val="22"/>
          <w:szCs w:val="22"/>
        </w:rPr>
      </w:pPr>
    </w:p>
    <w:p w14:paraId="4FA19454" w14:textId="72D7C8A6" w:rsidR="006446B6" w:rsidRPr="006446B6" w:rsidRDefault="006446B6" w:rsidP="00396C9B">
      <w:pPr>
        <w:rPr>
          <w:b/>
          <w:sz w:val="22"/>
          <w:szCs w:val="22"/>
        </w:rPr>
      </w:pPr>
      <w:r w:rsidRPr="006446B6">
        <w:rPr>
          <w:b/>
          <w:sz w:val="22"/>
          <w:szCs w:val="22"/>
        </w:rPr>
        <w:t>Respuesta:</w:t>
      </w:r>
    </w:p>
    <w:p w14:paraId="46B2D1F1" w14:textId="77777777" w:rsidR="006446B6" w:rsidRDefault="006446B6" w:rsidP="00396C9B">
      <w:pPr>
        <w:rPr>
          <w:bCs/>
          <w:sz w:val="22"/>
          <w:szCs w:val="22"/>
        </w:rPr>
      </w:pPr>
    </w:p>
    <w:p w14:paraId="3798B29C" w14:textId="5E853A20" w:rsidR="006446B6" w:rsidRDefault="006446B6"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096119B0" w14:textId="77777777" w:rsidR="006446B6" w:rsidRPr="00781FE6" w:rsidRDefault="006446B6" w:rsidP="00396C9B">
      <w:pPr>
        <w:rPr>
          <w:bCs/>
          <w:sz w:val="22"/>
          <w:szCs w:val="22"/>
        </w:rPr>
      </w:pPr>
    </w:p>
    <w:p w14:paraId="5C1B9821" w14:textId="77777777" w:rsidR="00396C9B" w:rsidRPr="00781FE6" w:rsidRDefault="00396C9B" w:rsidP="00396C9B">
      <w:pPr>
        <w:rPr>
          <w:bCs/>
          <w:sz w:val="22"/>
          <w:szCs w:val="22"/>
        </w:rPr>
      </w:pPr>
    </w:p>
    <w:p w14:paraId="2F373BB6" w14:textId="77777777" w:rsidR="00396C9B" w:rsidRPr="00781FE6" w:rsidRDefault="00396C9B" w:rsidP="00456774">
      <w:pPr>
        <w:pStyle w:val="Ttulo4"/>
      </w:pPr>
      <w:r w:rsidRPr="00781FE6">
        <w:t>GASES DE OCCIDENTE</w:t>
      </w:r>
      <w:r w:rsidRPr="00781FE6">
        <w:tab/>
      </w:r>
    </w:p>
    <w:p w14:paraId="76DAC42E" w14:textId="29A80E3E" w:rsidR="00396C9B" w:rsidRPr="006446B6" w:rsidRDefault="00396C9B" w:rsidP="00396C9B">
      <w:pPr>
        <w:rPr>
          <w:bCs/>
          <w:i/>
          <w:iCs/>
          <w:sz w:val="22"/>
          <w:szCs w:val="22"/>
        </w:rPr>
      </w:pPr>
      <w:r w:rsidRPr="00781FE6">
        <w:rPr>
          <w:bCs/>
          <w:sz w:val="22"/>
          <w:szCs w:val="22"/>
        </w:rPr>
        <w:t>"</w:t>
      </w:r>
      <w:r w:rsidRPr="006446B6">
        <w:rPr>
          <w:bCs/>
          <w:i/>
          <w:iCs/>
          <w:sz w:val="22"/>
          <w:szCs w:val="22"/>
        </w:rPr>
        <w:t xml:space="preserve">El Anexo 3 es igual al Anexo 4 de la Resolución CREG-114 de 2017. Solo se diferencian en la inclusión de la modalidad CF80 y en ajustes en la variable </w:t>
      </w:r>
      <w:proofErr w:type="spellStart"/>
      <w:r w:rsidRPr="006446B6">
        <w:rPr>
          <w:bCs/>
          <w:i/>
          <w:iCs/>
          <w:sz w:val="22"/>
          <w:szCs w:val="22"/>
        </w:rPr>
        <w:t>ai</w:t>
      </w:r>
      <w:proofErr w:type="spellEnd"/>
      <w:r w:rsidRPr="006446B6">
        <w:rPr>
          <w:bCs/>
          <w:i/>
          <w:iCs/>
          <w:sz w:val="22"/>
          <w:szCs w:val="22"/>
        </w:rPr>
        <w:t>. Teniendo en cuenta que en el Proyecto de Resolución está previsto que estos contratos tengan una duración mínima de tres (3) meses, las ecuaciones deben ser reformuladas.</w:t>
      </w:r>
    </w:p>
    <w:p w14:paraId="41A51D56" w14:textId="77777777" w:rsidR="00396C9B" w:rsidRPr="006446B6" w:rsidRDefault="00396C9B" w:rsidP="00396C9B">
      <w:pPr>
        <w:rPr>
          <w:bCs/>
          <w:i/>
          <w:iCs/>
          <w:sz w:val="22"/>
          <w:szCs w:val="22"/>
        </w:rPr>
      </w:pPr>
    </w:p>
    <w:p w14:paraId="76633332" w14:textId="77777777" w:rsidR="00396C9B" w:rsidRPr="006446B6" w:rsidRDefault="00396C9B" w:rsidP="00396C9B">
      <w:pPr>
        <w:rPr>
          <w:bCs/>
          <w:i/>
          <w:iCs/>
          <w:sz w:val="22"/>
          <w:szCs w:val="22"/>
        </w:rPr>
      </w:pPr>
      <w:r w:rsidRPr="006446B6">
        <w:rPr>
          <w:bCs/>
          <w:i/>
          <w:iCs/>
          <w:sz w:val="22"/>
          <w:szCs w:val="22"/>
        </w:rPr>
        <w:t>Un comprador podría suscribir su contrato de suministro en uno cualquiera de los siguientes trimestres: diciembre-febrero, marzo-mayo, junio-agosto, septiembre-noviembre. Seguramente, dependiendo del trimestre en el que se suscriba el contrato, el precio será diferente.</w:t>
      </w:r>
    </w:p>
    <w:p w14:paraId="56B005E4" w14:textId="77777777" w:rsidR="00396C9B" w:rsidRPr="006446B6" w:rsidRDefault="00396C9B" w:rsidP="00396C9B">
      <w:pPr>
        <w:rPr>
          <w:bCs/>
          <w:i/>
          <w:iCs/>
          <w:sz w:val="22"/>
          <w:szCs w:val="22"/>
        </w:rPr>
      </w:pPr>
    </w:p>
    <w:p w14:paraId="39DED811" w14:textId="77777777" w:rsidR="00396C9B" w:rsidRPr="006446B6" w:rsidRDefault="00396C9B" w:rsidP="00396C9B">
      <w:pPr>
        <w:rPr>
          <w:bCs/>
          <w:i/>
          <w:iCs/>
          <w:sz w:val="22"/>
          <w:szCs w:val="22"/>
        </w:rPr>
      </w:pPr>
      <w:r w:rsidRPr="006446B6">
        <w:rPr>
          <w:bCs/>
          <w:i/>
          <w:iCs/>
          <w:sz w:val="22"/>
          <w:szCs w:val="22"/>
        </w:rPr>
        <w:t>Las ecuaciones de actualización contenidas en el Anexo están previstas para un solo contrato y períodos de contratación mínimos de (1) año.</w:t>
      </w:r>
    </w:p>
    <w:p w14:paraId="3513CEA8" w14:textId="77777777" w:rsidR="00396C9B" w:rsidRPr="006446B6" w:rsidRDefault="00396C9B" w:rsidP="00396C9B">
      <w:pPr>
        <w:rPr>
          <w:bCs/>
          <w:i/>
          <w:iCs/>
          <w:sz w:val="22"/>
          <w:szCs w:val="22"/>
        </w:rPr>
      </w:pPr>
    </w:p>
    <w:p w14:paraId="17F0066E" w14:textId="7006674E" w:rsidR="00396C9B" w:rsidRDefault="00396C9B" w:rsidP="00396C9B">
      <w:pPr>
        <w:rPr>
          <w:bCs/>
          <w:sz w:val="22"/>
          <w:szCs w:val="22"/>
        </w:rPr>
      </w:pPr>
      <w:r w:rsidRPr="006446B6">
        <w:rPr>
          <w:bCs/>
          <w:i/>
          <w:iCs/>
          <w:sz w:val="22"/>
          <w:szCs w:val="22"/>
        </w:rPr>
        <w:t>Adicionalmente, con relación a la indexación de precios para los contratos que su fecha de ejecución sea posterior a la de registro, consideramos que debe ser de libre elección entre las partes si el precio pactado le aplica o no dicha indexación. Poder tener certeza del precio al cual iniciaría el costo del gas, es indispensable para lograr la viabilidad de varios proyectos, lo cual no sería posible con lo que se busca implementar en la resolución en consulta</w:t>
      </w:r>
      <w:r w:rsidRPr="00781FE6">
        <w:rPr>
          <w:bCs/>
          <w:sz w:val="22"/>
          <w:szCs w:val="22"/>
        </w:rPr>
        <w:t>."</w:t>
      </w:r>
    </w:p>
    <w:p w14:paraId="6BBF105E" w14:textId="77777777" w:rsidR="006446B6" w:rsidRDefault="006446B6" w:rsidP="00396C9B">
      <w:pPr>
        <w:rPr>
          <w:bCs/>
          <w:sz w:val="22"/>
          <w:szCs w:val="22"/>
        </w:rPr>
      </w:pPr>
    </w:p>
    <w:p w14:paraId="1025C696" w14:textId="71AFE906" w:rsidR="006446B6" w:rsidRPr="006446B6" w:rsidRDefault="006446B6" w:rsidP="00396C9B">
      <w:pPr>
        <w:rPr>
          <w:b/>
          <w:sz w:val="22"/>
          <w:szCs w:val="22"/>
        </w:rPr>
      </w:pPr>
      <w:r w:rsidRPr="006446B6">
        <w:rPr>
          <w:b/>
          <w:sz w:val="22"/>
          <w:szCs w:val="22"/>
        </w:rPr>
        <w:t>Respuesta:</w:t>
      </w:r>
    </w:p>
    <w:p w14:paraId="7760CC80" w14:textId="77777777" w:rsidR="006446B6" w:rsidRDefault="006446B6" w:rsidP="00396C9B">
      <w:pPr>
        <w:rPr>
          <w:bCs/>
          <w:sz w:val="22"/>
          <w:szCs w:val="22"/>
        </w:rPr>
      </w:pPr>
    </w:p>
    <w:p w14:paraId="23D27B59" w14:textId="2866A946" w:rsidR="006446B6" w:rsidRDefault="005E4E43" w:rsidP="00396C9B">
      <w:pPr>
        <w:rPr>
          <w:bCs/>
          <w:sz w:val="22"/>
          <w:szCs w:val="22"/>
        </w:rPr>
      </w:pPr>
      <w:r>
        <w:rPr>
          <w:bCs/>
          <w:sz w:val="22"/>
          <w:szCs w:val="22"/>
        </w:rPr>
        <w:t xml:space="preserve">En la nueva propuesta se hacen ajustes al </w:t>
      </w:r>
      <w:r w:rsidR="0042317A">
        <w:rPr>
          <w:bCs/>
          <w:sz w:val="22"/>
          <w:szCs w:val="22"/>
        </w:rPr>
        <w:t>a</w:t>
      </w:r>
      <w:r>
        <w:rPr>
          <w:bCs/>
          <w:sz w:val="22"/>
          <w:szCs w:val="22"/>
        </w:rPr>
        <w:t>rtículo que establece la actualización de precios y al Anexo 3 que establece las ecuaciones de actualización de precios, inicialmente propuesto. En todo caso, en caso de utilizarse las ecuaciones de actualización de precios establecido en el Anexo al respecto, las actualizaciones serán de períodos anuales, no trimestrales.</w:t>
      </w:r>
    </w:p>
    <w:p w14:paraId="1C983CE6" w14:textId="77777777" w:rsidR="006446B6" w:rsidRPr="00781FE6" w:rsidRDefault="006446B6" w:rsidP="00396C9B">
      <w:pPr>
        <w:rPr>
          <w:bCs/>
          <w:sz w:val="22"/>
          <w:szCs w:val="22"/>
        </w:rPr>
      </w:pPr>
    </w:p>
    <w:p w14:paraId="4B9E7AED" w14:textId="77777777" w:rsidR="00396C9B" w:rsidRPr="00781FE6" w:rsidRDefault="00396C9B" w:rsidP="00396C9B">
      <w:pPr>
        <w:rPr>
          <w:bCs/>
          <w:sz w:val="22"/>
          <w:szCs w:val="22"/>
        </w:rPr>
      </w:pPr>
    </w:p>
    <w:p w14:paraId="0E586424" w14:textId="77777777" w:rsidR="00396C9B" w:rsidRPr="00781FE6" w:rsidRDefault="00396C9B" w:rsidP="00456774">
      <w:pPr>
        <w:pStyle w:val="Ttulo4"/>
      </w:pPr>
      <w:bookmarkStart w:id="883" w:name="_Ref132897991"/>
      <w:r w:rsidRPr="00781FE6">
        <w:t>GASES DE OCCIDENTE</w:t>
      </w:r>
      <w:bookmarkEnd w:id="883"/>
      <w:r w:rsidRPr="00781FE6">
        <w:tab/>
      </w:r>
    </w:p>
    <w:p w14:paraId="6E33781C" w14:textId="19DEAB25" w:rsidR="00396C9B" w:rsidRPr="005E4E43" w:rsidRDefault="00396C9B" w:rsidP="00396C9B">
      <w:pPr>
        <w:rPr>
          <w:bCs/>
          <w:i/>
          <w:iCs/>
          <w:sz w:val="22"/>
          <w:szCs w:val="22"/>
        </w:rPr>
      </w:pPr>
      <w:r w:rsidRPr="00781FE6">
        <w:rPr>
          <w:bCs/>
          <w:sz w:val="22"/>
          <w:szCs w:val="22"/>
        </w:rPr>
        <w:t>"</w:t>
      </w:r>
      <w:r w:rsidRPr="005E4E43">
        <w:rPr>
          <w:bCs/>
          <w:i/>
          <w:iCs/>
          <w:sz w:val="22"/>
          <w:szCs w:val="22"/>
        </w:rPr>
        <w:t>Con respecto al literal l), no se encuentra fundamento en el documento soporte para establecer una restricción como la planteada.</w:t>
      </w:r>
    </w:p>
    <w:p w14:paraId="4793B552" w14:textId="77777777" w:rsidR="00396C9B" w:rsidRPr="005E4E43" w:rsidRDefault="00396C9B" w:rsidP="00396C9B">
      <w:pPr>
        <w:rPr>
          <w:bCs/>
          <w:i/>
          <w:iCs/>
          <w:sz w:val="22"/>
          <w:szCs w:val="22"/>
        </w:rPr>
      </w:pPr>
    </w:p>
    <w:p w14:paraId="089FDB0A" w14:textId="77777777" w:rsidR="00396C9B" w:rsidRPr="005E4E43" w:rsidRDefault="00396C9B" w:rsidP="00396C9B">
      <w:pPr>
        <w:rPr>
          <w:bCs/>
          <w:i/>
          <w:iCs/>
          <w:sz w:val="22"/>
          <w:szCs w:val="22"/>
        </w:rPr>
      </w:pPr>
      <w:r w:rsidRPr="005E4E43">
        <w:rPr>
          <w:bCs/>
          <w:i/>
          <w:iCs/>
          <w:sz w:val="22"/>
          <w:szCs w:val="22"/>
        </w:rPr>
        <w:t>- Los agentes con contratos CF95/CF80 deben estar habilitados para vender no solo la cantidad de gas correspondiente al pago variable de tales contratos, sino cualquier excedente que se materialice con relación a la cantidad diaria máxima de gas natural sin interrupciones que esté comprometida en firme en el respectivo contrato.</w:t>
      </w:r>
    </w:p>
    <w:p w14:paraId="77A2D6B6" w14:textId="77777777" w:rsidR="00396C9B" w:rsidRPr="005E4E43" w:rsidRDefault="00396C9B" w:rsidP="00396C9B">
      <w:pPr>
        <w:rPr>
          <w:bCs/>
          <w:i/>
          <w:iCs/>
          <w:sz w:val="22"/>
          <w:szCs w:val="22"/>
        </w:rPr>
      </w:pPr>
    </w:p>
    <w:p w14:paraId="3D13FA48" w14:textId="77777777" w:rsidR="00396C9B" w:rsidRPr="005E4E43" w:rsidRDefault="00396C9B" w:rsidP="00396C9B">
      <w:pPr>
        <w:rPr>
          <w:bCs/>
          <w:i/>
          <w:iCs/>
          <w:sz w:val="22"/>
          <w:szCs w:val="22"/>
        </w:rPr>
      </w:pPr>
      <w:r w:rsidRPr="005E4E43">
        <w:rPr>
          <w:bCs/>
          <w:i/>
          <w:iCs/>
          <w:sz w:val="22"/>
          <w:szCs w:val="22"/>
        </w:rPr>
        <w:t>- Además de las disposiciones establecidas en el Proyecto de Resolución CREG-227 de 2021, que castigan en más de un sentido los excedentes que la misma CREG les impone a los agentes que sirven demanda regulada, esta limitación implica que el agente no puede participar ni ofrecer gas para la venta por fuera de su mercado relevante, sean tales ventas destinadas a otro mercado de comercialización, o a usuarios no regulados conectados a otros sistemas de distribución o conectados a la red de transporte.</w:t>
      </w:r>
    </w:p>
    <w:p w14:paraId="427560DE" w14:textId="77777777" w:rsidR="00396C9B" w:rsidRPr="005E4E43" w:rsidRDefault="00396C9B" w:rsidP="00396C9B">
      <w:pPr>
        <w:rPr>
          <w:bCs/>
          <w:i/>
          <w:iCs/>
          <w:sz w:val="22"/>
          <w:szCs w:val="22"/>
        </w:rPr>
      </w:pPr>
    </w:p>
    <w:p w14:paraId="2C11EDC8" w14:textId="77777777" w:rsidR="00396C9B" w:rsidRPr="005E4E43" w:rsidRDefault="00396C9B" w:rsidP="00396C9B">
      <w:pPr>
        <w:rPr>
          <w:bCs/>
          <w:i/>
          <w:iCs/>
          <w:sz w:val="22"/>
          <w:szCs w:val="22"/>
        </w:rPr>
      </w:pPr>
      <w:r w:rsidRPr="005E4E43">
        <w:rPr>
          <w:bCs/>
          <w:i/>
          <w:iCs/>
          <w:sz w:val="22"/>
          <w:szCs w:val="22"/>
        </w:rPr>
        <w:t>- La Comisión estaría estableciendo una restricción a la competencia, dejándole como única opción al agente la venta de excedentes (obviando la limitación que también establece la CREG a los eventuales excedentes de la parte fija del contrato) en el mercado úselo o véndalo.</w:t>
      </w:r>
    </w:p>
    <w:p w14:paraId="46DBCFEC" w14:textId="77777777" w:rsidR="00396C9B" w:rsidRPr="005E4E43" w:rsidRDefault="00396C9B" w:rsidP="00396C9B">
      <w:pPr>
        <w:rPr>
          <w:bCs/>
          <w:i/>
          <w:iCs/>
          <w:sz w:val="22"/>
          <w:szCs w:val="22"/>
        </w:rPr>
      </w:pPr>
    </w:p>
    <w:p w14:paraId="7EE5FED2" w14:textId="55947104" w:rsidR="00396C9B" w:rsidRPr="005E4E43" w:rsidRDefault="00396C9B" w:rsidP="00396C9B">
      <w:pPr>
        <w:rPr>
          <w:bCs/>
          <w:i/>
          <w:iCs/>
          <w:sz w:val="22"/>
          <w:szCs w:val="22"/>
        </w:rPr>
      </w:pPr>
      <w:r w:rsidRPr="005E4E43">
        <w:rPr>
          <w:bCs/>
          <w:i/>
          <w:iCs/>
          <w:sz w:val="22"/>
          <w:szCs w:val="22"/>
        </w:rPr>
        <w:t>- Esta propuesta de norma de la CREG debe ser sometida a concepto por parte de la SIC."</w:t>
      </w:r>
    </w:p>
    <w:p w14:paraId="6451A4B0" w14:textId="77777777" w:rsidR="005E4E43" w:rsidRDefault="005E4E43" w:rsidP="00396C9B">
      <w:pPr>
        <w:rPr>
          <w:bCs/>
          <w:sz w:val="22"/>
          <w:szCs w:val="22"/>
        </w:rPr>
      </w:pPr>
    </w:p>
    <w:p w14:paraId="34A8D374" w14:textId="1A3B6207" w:rsidR="005E4E43" w:rsidRPr="005E4E43" w:rsidRDefault="005E4E43" w:rsidP="00396C9B">
      <w:pPr>
        <w:rPr>
          <w:b/>
          <w:sz w:val="22"/>
          <w:szCs w:val="22"/>
        </w:rPr>
      </w:pPr>
      <w:r w:rsidRPr="005E4E43">
        <w:rPr>
          <w:b/>
          <w:sz w:val="22"/>
          <w:szCs w:val="22"/>
        </w:rPr>
        <w:t>Respuesta:</w:t>
      </w:r>
    </w:p>
    <w:p w14:paraId="07BA012A" w14:textId="77777777" w:rsidR="005E4E43" w:rsidRDefault="005E4E43" w:rsidP="00396C9B">
      <w:pPr>
        <w:rPr>
          <w:bCs/>
          <w:sz w:val="22"/>
          <w:szCs w:val="22"/>
        </w:rPr>
      </w:pPr>
    </w:p>
    <w:p w14:paraId="65DB8958" w14:textId="1C59AF3C" w:rsidR="005E4E43" w:rsidRDefault="005E4E43"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1B1DABF4" w14:textId="77777777" w:rsidR="005E4E43" w:rsidRPr="00781FE6" w:rsidRDefault="005E4E43" w:rsidP="00396C9B">
      <w:pPr>
        <w:rPr>
          <w:bCs/>
          <w:sz w:val="22"/>
          <w:szCs w:val="22"/>
        </w:rPr>
      </w:pPr>
    </w:p>
    <w:p w14:paraId="25B5AA06" w14:textId="77777777" w:rsidR="00396C9B" w:rsidRPr="00781FE6" w:rsidRDefault="00396C9B" w:rsidP="00396C9B">
      <w:pPr>
        <w:rPr>
          <w:bCs/>
          <w:sz w:val="22"/>
          <w:szCs w:val="22"/>
        </w:rPr>
      </w:pPr>
    </w:p>
    <w:p w14:paraId="04052CCD" w14:textId="77777777" w:rsidR="00396C9B" w:rsidRPr="00781FE6" w:rsidRDefault="00396C9B" w:rsidP="00456774">
      <w:pPr>
        <w:pStyle w:val="Ttulo4"/>
      </w:pPr>
      <w:bookmarkStart w:id="884" w:name="_Ref133143489"/>
      <w:r w:rsidRPr="00781FE6">
        <w:t>GASES DE OCCIDENTE</w:t>
      </w:r>
      <w:bookmarkEnd w:id="884"/>
      <w:r w:rsidRPr="00781FE6">
        <w:tab/>
      </w:r>
    </w:p>
    <w:p w14:paraId="586DC289" w14:textId="45485C2E" w:rsidR="00396C9B" w:rsidRPr="005E4E43" w:rsidRDefault="00396C9B" w:rsidP="00396C9B">
      <w:pPr>
        <w:rPr>
          <w:bCs/>
          <w:i/>
          <w:iCs/>
          <w:sz w:val="22"/>
          <w:szCs w:val="22"/>
        </w:rPr>
      </w:pPr>
      <w:r w:rsidRPr="00781FE6">
        <w:rPr>
          <w:bCs/>
          <w:sz w:val="22"/>
          <w:szCs w:val="22"/>
        </w:rPr>
        <w:t>"</w:t>
      </w:r>
      <w:r w:rsidRPr="005E4E43">
        <w:rPr>
          <w:bCs/>
          <w:i/>
          <w:iCs/>
          <w:sz w:val="22"/>
          <w:szCs w:val="22"/>
        </w:rPr>
        <w:t>Sobre los mecanismos de cobertura que se puedan establecer entre vendedores y compradores del mercado primario, consideramos que la CREG debería establecer tales mecanismos, de tal manera que el vendedor que en nuestro mercado tiene posición dominante, no pueda imponer criterios arbitrarios y no pueda discriminar entre agentes compradores.</w:t>
      </w:r>
    </w:p>
    <w:p w14:paraId="05CCF28A" w14:textId="77777777" w:rsidR="00396C9B" w:rsidRPr="005E4E43" w:rsidRDefault="00396C9B" w:rsidP="00396C9B">
      <w:pPr>
        <w:rPr>
          <w:bCs/>
          <w:i/>
          <w:iCs/>
          <w:sz w:val="22"/>
          <w:szCs w:val="22"/>
        </w:rPr>
      </w:pPr>
    </w:p>
    <w:p w14:paraId="228159C6" w14:textId="77777777" w:rsidR="00396C9B" w:rsidRDefault="00396C9B" w:rsidP="00396C9B">
      <w:pPr>
        <w:rPr>
          <w:bCs/>
          <w:sz w:val="22"/>
          <w:szCs w:val="22"/>
        </w:rPr>
      </w:pPr>
      <w:r w:rsidRPr="005E4E43">
        <w:rPr>
          <w:bCs/>
          <w:i/>
          <w:iCs/>
          <w:sz w:val="22"/>
          <w:szCs w:val="22"/>
        </w:rPr>
        <w:t>Al contrario de lo que afirma la CREG, su propuesta reduce hasta la casi extinción, la liquidez del mercado secundario. No existen los mercados secundarios sin que se registren excedentes en el mercado primario. Se considera una involución en el desarrollo del mercado. Si la CREG lo que busca es reducir los excedentes, puede lograr su desaparición estableciendo como reglas: contratos de suministro pague lo demandado con prioridad para la Demanda Esencial</w:t>
      </w:r>
      <w:r w:rsidRPr="00781FE6">
        <w:rPr>
          <w:bCs/>
          <w:sz w:val="22"/>
          <w:szCs w:val="22"/>
        </w:rPr>
        <w:t>."</w:t>
      </w:r>
    </w:p>
    <w:p w14:paraId="35829017" w14:textId="77777777" w:rsidR="005E4E43" w:rsidRDefault="005E4E43" w:rsidP="00396C9B">
      <w:pPr>
        <w:rPr>
          <w:bCs/>
          <w:sz w:val="22"/>
          <w:szCs w:val="22"/>
        </w:rPr>
      </w:pPr>
    </w:p>
    <w:p w14:paraId="343D4EC6" w14:textId="48889C09" w:rsidR="005E4E43" w:rsidRPr="005E4E43" w:rsidRDefault="005E4E43" w:rsidP="00396C9B">
      <w:pPr>
        <w:rPr>
          <w:b/>
          <w:sz w:val="22"/>
          <w:szCs w:val="22"/>
        </w:rPr>
      </w:pPr>
      <w:r w:rsidRPr="005E4E43">
        <w:rPr>
          <w:b/>
          <w:sz w:val="22"/>
          <w:szCs w:val="22"/>
        </w:rPr>
        <w:t>Respuesta:</w:t>
      </w:r>
    </w:p>
    <w:p w14:paraId="3DF4DE70" w14:textId="77777777" w:rsidR="005E4E43" w:rsidRDefault="005E4E43" w:rsidP="00396C9B">
      <w:pPr>
        <w:rPr>
          <w:bCs/>
          <w:sz w:val="22"/>
          <w:szCs w:val="22"/>
        </w:rPr>
      </w:pPr>
    </w:p>
    <w:p w14:paraId="75D66EED" w14:textId="5543C06A" w:rsidR="005E4E43" w:rsidRDefault="005E4E43" w:rsidP="00396C9B">
      <w:pPr>
        <w:rPr>
          <w:bCs/>
          <w:sz w:val="22"/>
          <w:szCs w:val="22"/>
        </w:rPr>
      </w:pPr>
      <w:r>
        <w:rPr>
          <w:bCs/>
          <w:sz w:val="22"/>
          <w:szCs w:val="22"/>
        </w:rPr>
        <w:t>Sobre los mecanismos de cobertura para el cumplimiento de los contratos, en la nueva propuesta se incluyen los tipos de garantías que se pueden exigir</w:t>
      </w:r>
      <w:r w:rsidR="00A76105">
        <w:rPr>
          <w:bCs/>
          <w:sz w:val="22"/>
          <w:szCs w:val="22"/>
        </w:rPr>
        <w:t xml:space="preserve"> en el caso de contratos resultantes de negociaciones directas</w:t>
      </w:r>
      <w:r>
        <w:rPr>
          <w:bCs/>
          <w:sz w:val="22"/>
          <w:szCs w:val="22"/>
        </w:rPr>
        <w:t xml:space="preserve">. </w:t>
      </w:r>
    </w:p>
    <w:p w14:paraId="5D69B019" w14:textId="77777777" w:rsidR="00CA7894" w:rsidRDefault="00CA7894" w:rsidP="00396C9B">
      <w:pPr>
        <w:rPr>
          <w:bCs/>
          <w:sz w:val="22"/>
          <w:szCs w:val="22"/>
        </w:rPr>
      </w:pPr>
    </w:p>
    <w:p w14:paraId="1764A3E1" w14:textId="68AC4007" w:rsidR="00CA7894" w:rsidRDefault="00CA7894" w:rsidP="00396C9B">
      <w:pPr>
        <w:rPr>
          <w:bCs/>
          <w:sz w:val="22"/>
          <w:szCs w:val="22"/>
        </w:rPr>
      </w:pPr>
      <w:r>
        <w:rPr>
          <w:bCs/>
          <w:sz w:val="22"/>
          <w:szCs w:val="22"/>
        </w:rPr>
        <w:t>Ahora bien, en las negociaciones directas se pueden pactar condiciones diferentes a las establecidas como condiciones mínimas por la CREG, o condiciones que la CREG permite adicionar</w:t>
      </w:r>
      <w:r w:rsidR="00A76105">
        <w:rPr>
          <w:bCs/>
          <w:sz w:val="22"/>
          <w:szCs w:val="22"/>
        </w:rPr>
        <w:t xml:space="preserve"> a las mínimas establecidas</w:t>
      </w:r>
      <w:r>
        <w:rPr>
          <w:bCs/>
          <w:sz w:val="22"/>
          <w:szCs w:val="22"/>
        </w:rPr>
        <w:t xml:space="preserve">, que hacen que un contrato de suministro </w:t>
      </w:r>
      <w:r w:rsidR="00A76105">
        <w:rPr>
          <w:bCs/>
          <w:sz w:val="22"/>
          <w:szCs w:val="22"/>
        </w:rPr>
        <w:t xml:space="preserve">pueda tener </w:t>
      </w:r>
      <w:r>
        <w:rPr>
          <w:bCs/>
          <w:sz w:val="22"/>
          <w:szCs w:val="22"/>
        </w:rPr>
        <w:t>unos riesgos un poco diferentes a otro contrato de suministro</w:t>
      </w:r>
      <w:r w:rsidR="00A76105">
        <w:rPr>
          <w:bCs/>
          <w:sz w:val="22"/>
          <w:szCs w:val="22"/>
        </w:rPr>
        <w:t>,</w:t>
      </w:r>
      <w:r>
        <w:rPr>
          <w:bCs/>
          <w:sz w:val="22"/>
          <w:szCs w:val="22"/>
        </w:rPr>
        <w:t xml:space="preserve"> incluso de modalidad similar. Por eso se considera conveniente dejar la flexibilidad de establecer las garantías en las negociaciones directas</w:t>
      </w:r>
      <w:r w:rsidR="00A76105">
        <w:rPr>
          <w:bCs/>
          <w:sz w:val="22"/>
          <w:szCs w:val="22"/>
        </w:rPr>
        <w:t xml:space="preserve"> por ambas partes, de forma libre</w:t>
      </w:r>
      <w:r>
        <w:rPr>
          <w:bCs/>
          <w:sz w:val="22"/>
          <w:szCs w:val="22"/>
        </w:rPr>
        <w:t>.</w:t>
      </w:r>
    </w:p>
    <w:p w14:paraId="78F39561" w14:textId="77777777" w:rsidR="00CA7894" w:rsidRDefault="00CA7894" w:rsidP="00396C9B">
      <w:pPr>
        <w:rPr>
          <w:bCs/>
          <w:sz w:val="22"/>
          <w:szCs w:val="22"/>
        </w:rPr>
      </w:pPr>
    </w:p>
    <w:p w14:paraId="41286F04" w14:textId="2B593C4E" w:rsidR="00A76105" w:rsidRDefault="00CA7894" w:rsidP="00A76105">
      <w:pPr>
        <w:rPr>
          <w:rFonts w:cs="Arial"/>
          <w:sz w:val="22"/>
          <w:szCs w:val="22"/>
        </w:rPr>
      </w:pPr>
      <w:r>
        <w:rPr>
          <w:bCs/>
          <w:sz w:val="22"/>
          <w:szCs w:val="22"/>
        </w:rPr>
        <w:t xml:space="preserve">Si un comprador considera que está siendo discriminado injustamente, en la Resolución CREG 080 de 2019 o aquellas que la modifiquen o sustituyan, se establecen Reglas de Comportamiento ce los agentes, entre las cuales </w:t>
      </w:r>
      <w:r w:rsidR="00A76105">
        <w:rPr>
          <w:rFonts w:cs="Arial"/>
          <w:sz w:val="22"/>
          <w:szCs w:val="22"/>
        </w:rPr>
        <w:t>en el Artículo 19 “</w:t>
      </w:r>
      <w:r w:rsidR="00A76105" w:rsidRPr="00975750">
        <w:rPr>
          <w:rFonts w:cs="Arial"/>
          <w:i/>
          <w:iCs/>
          <w:sz w:val="22"/>
          <w:szCs w:val="22"/>
        </w:rPr>
        <w:t>Tratamiento neutral</w:t>
      </w:r>
      <w:r w:rsidR="00A76105">
        <w:rPr>
          <w:rFonts w:cs="Arial"/>
          <w:sz w:val="22"/>
          <w:szCs w:val="22"/>
        </w:rPr>
        <w:t>”, se establece que:</w:t>
      </w:r>
    </w:p>
    <w:p w14:paraId="4737C086" w14:textId="77777777" w:rsidR="00A76105" w:rsidRDefault="00A76105" w:rsidP="00A76105">
      <w:pPr>
        <w:rPr>
          <w:rFonts w:cs="Arial"/>
          <w:sz w:val="22"/>
          <w:szCs w:val="22"/>
        </w:rPr>
      </w:pPr>
    </w:p>
    <w:p w14:paraId="40E1A6E0" w14:textId="77777777" w:rsidR="00A76105" w:rsidRPr="00975750" w:rsidRDefault="00A76105" w:rsidP="00A76105">
      <w:pPr>
        <w:ind w:left="708"/>
        <w:rPr>
          <w:rFonts w:cs="Arial"/>
          <w:i/>
          <w:iCs/>
          <w:sz w:val="22"/>
          <w:szCs w:val="22"/>
        </w:rPr>
      </w:pPr>
      <w:r>
        <w:rPr>
          <w:rFonts w:cs="Arial"/>
          <w:sz w:val="22"/>
          <w:szCs w:val="22"/>
        </w:rPr>
        <w:t xml:space="preserve">“(…) </w:t>
      </w:r>
      <w:r w:rsidRPr="00975750">
        <w:rPr>
          <w:rFonts w:cs="Arial"/>
          <w:i/>
          <w:iCs/>
          <w:sz w:val="22"/>
          <w:szCs w:val="22"/>
        </w:rPr>
        <w:t xml:space="preserve">los agentes deben abstenerse de utilizar mecanismos, estrategias o cualquier otro instrumento que tenga la capacidad, el propósito o el efecto de </w:t>
      </w:r>
      <w:r w:rsidRPr="00C81C86">
        <w:rPr>
          <w:rFonts w:cs="Arial"/>
          <w:b/>
          <w:bCs/>
          <w:i/>
          <w:iCs/>
          <w:sz w:val="22"/>
          <w:szCs w:val="22"/>
          <w:u w:val="single"/>
        </w:rPr>
        <w:t>discriminar entre usuarios o entre prestadores con características análogas</w:t>
      </w:r>
      <w:r w:rsidRPr="00975750">
        <w:rPr>
          <w:rFonts w:cs="Arial"/>
          <w:i/>
          <w:iCs/>
          <w:sz w:val="22"/>
          <w:szCs w:val="22"/>
        </w:rPr>
        <w:t>.</w:t>
      </w:r>
    </w:p>
    <w:p w14:paraId="2BCBC32E" w14:textId="77777777" w:rsidR="00A76105" w:rsidRPr="00975750" w:rsidRDefault="00A76105" w:rsidP="00A76105">
      <w:pPr>
        <w:ind w:left="708"/>
        <w:rPr>
          <w:rFonts w:cs="Arial"/>
          <w:i/>
          <w:iCs/>
          <w:sz w:val="22"/>
          <w:szCs w:val="22"/>
        </w:rPr>
      </w:pPr>
    </w:p>
    <w:p w14:paraId="430B9374" w14:textId="77777777" w:rsidR="00A76105" w:rsidRDefault="00A76105" w:rsidP="00A76105">
      <w:pPr>
        <w:ind w:left="708"/>
        <w:rPr>
          <w:rFonts w:cs="Arial"/>
          <w:sz w:val="22"/>
          <w:szCs w:val="22"/>
        </w:rPr>
      </w:pPr>
      <w:r w:rsidRPr="00975750">
        <w:rPr>
          <w:rFonts w:cs="Arial"/>
          <w:i/>
          <w:iCs/>
          <w:sz w:val="22"/>
          <w:szCs w:val="22"/>
        </w:rPr>
        <w:t>Excepcionalmente, si existen razones explícitas, objetivas, verificables y previamente definidas, los agentes podrán apartarse del cumplimiento de las obligaciones contenidas en este artículo. Dichas razones deben estar documentadas y ser verificables por parte de las autoridades de vigilancia y control</w:t>
      </w:r>
      <w:r>
        <w:rPr>
          <w:rFonts w:cs="Arial"/>
          <w:sz w:val="22"/>
          <w:szCs w:val="22"/>
        </w:rPr>
        <w:t>.” (subrayado con resaltado fuera de texto)</w:t>
      </w:r>
    </w:p>
    <w:p w14:paraId="60F8BAF0" w14:textId="77777777" w:rsidR="00A76105" w:rsidRDefault="00A76105" w:rsidP="00396C9B">
      <w:pPr>
        <w:rPr>
          <w:bCs/>
          <w:sz w:val="22"/>
          <w:szCs w:val="22"/>
        </w:rPr>
      </w:pPr>
    </w:p>
    <w:p w14:paraId="6B97F202" w14:textId="4BA42B0E" w:rsidR="00A76105" w:rsidRDefault="00A76105" w:rsidP="00396C9B">
      <w:pPr>
        <w:rPr>
          <w:bCs/>
          <w:sz w:val="22"/>
          <w:szCs w:val="22"/>
        </w:rPr>
      </w:pPr>
      <w:r>
        <w:rPr>
          <w:bCs/>
          <w:sz w:val="22"/>
          <w:szCs w:val="22"/>
        </w:rPr>
        <w:t xml:space="preserve">Por último, en la nueva propuesta se incluye la propuesta de subasta centralizada que se aplicarían en los casos de fuentes de suministro que hagan parte de un punto de referencia con balance comercial deficitario, para aquellas fuentes que deben cumplir los mecanismos de comercialización establecidos por la CREG. Para los contratos que eventualmente resulten de dichas subastas se incluye un Anexo en el que se establecen los valores de las garantías. </w:t>
      </w:r>
    </w:p>
    <w:p w14:paraId="15C8CEF6" w14:textId="77777777" w:rsidR="005E4E43" w:rsidRDefault="005E4E43" w:rsidP="00396C9B">
      <w:pPr>
        <w:rPr>
          <w:bCs/>
          <w:sz w:val="22"/>
          <w:szCs w:val="22"/>
        </w:rPr>
      </w:pPr>
    </w:p>
    <w:p w14:paraId="6A21D453" w14:textId="6EEDDD7E" w:rsidR="005E4E43" w:rsidRPr="00781FE6" w:rsidRDefault="00A76105" w:rsidP="00396C9B">
      <w:pPr>
        <w:rPr>
          <w:bCs/>
          <w:sz w:val="22"/>
          <w:szCs w:val="22"/>
        </w:rPr>
      </w:pPr>
      <w:r>
        <w:rPr>
          <w:bCs/>
          <w:sz w:val="22"/>
          <w:szCs w:val="22"/>
        </w:rPr>
        <w:t>Por otra parte, v</w:t>
      </w:r>
      <w:r w:rsidR="005E4E43">
        <w:rPr>
          <w:bCs/>
          <w:sz w:val="22"/>
          <w:szCs w:val="22"/>
        </w:rPr>
        <w:t xml:space="preserve">er respuesta a </w:t>
      </w:r>
      <w:r w:rsidR="005E4E43">
        <w:rPr>
          <w:bCs/>
          <w:sz w:val="22"/>
          <w:szCs w:val="22"/>
        </w:rPr>
        <w:fldChar w:fldCharType="begin"/>
      </w:r>
      <w:r w:rsidR="005E4E43">
        <w:rPr>
          <w:bCs/>
          <w:sz w:val="22"/>
          <w:szCs w:val="22"/>
        </w:rPr>
        <w:instrText xml:space="preserve"> REF _Ref132897991 \r \h </w:instrText>
      </w:r>
      <w:r w:rsidR="005E4E43">
        <w:rPr>
          <w:bCs/>
          <w:sz w:val="22"/>
          <w:szCs w:val="22"/>
        </w:rPr>
      </w:r>
      <w:r w:rsidR="005E4E43">
        <w:rPr>
          <w:bCs/>
          <w:sz w:val="22"/>
          <w:szCs w:val="22"/>
        </w:rPr>
        <w:fldChar w:fldCharType="separate"/>
      </w:r>
      <w:r w:rsidR="005E4E43">
        <w:rPr>
          <w:bCs/>
          <w:sz w:val="22"/>
          <w:szCs w:val="22"/>
        </w:rPr>
        <w:t>20.10.1.3</w:t>
      </w:r>
      <w:r w:rsidR="005E4E43">
        <w:rPr>
          <w:bCs/>
          <w:sz w:val="22"/>
          <w:szCs w:val="22"/>
        </w:rPr>
        <w:fldChar w:fldCharType="end"/>
      </w:r>
      <w:r w:rsidR="005E4E43">
        <w:rPr>
          <w:bCs/>
          <w:sz w:val="22"/>
          <w:szCs w:val="22"/>
        </w:rPr>
        <w:t>.</w:t>
      </w:r>
    </w:p>
    <w:p w14:paraId="04AD9E71" w14:textId="77777777" w:rsidR="00396C9B" w:rsidRPr="00781FE6" w:rsidRDefault="00396C9B" w:rsidP="00396C9B">
      <w:pPr>
        <w:rPr>
          <w:bCs/>
          <w:sz w:val="22"/>
          <w:szCs w:val="22"/>
        </w:rPr>
      </w:pPr>
    </w:p>
    <w:p w14:paraId="1635BCBC" w14:textId="77777777" w:rsidR="00396C9B" w:rsidRPr="00781FE6" w:rsidRDefault="00396C9B" w:rsidP="00396C9B">
      <w:pPr>
        <w:rPr>
          <w:bCs/>
          <w:sz w:val="22"/>
          <w:szCs w:val="22"/>
        </w:rPr>
      </w:pPr>
    </w:p>
    <w:p w14:paraId="6DD471AA" w14:textId="77777777" w:rsidR="00396C9B" w:rsidRPr="00781FE6" w:rsidRDefault="00396C9B" w:rsidP="00781FE6">
      <w:pPr>
        <w:pStyle w:val="Ttulo2"/>
      </w:pPr>
      <w:bookmarkStart w:id="885" w:name="_Toc140506464"/>
      <w:r w:rsidRPr="00781FE6">
        <w:t>GECELCA</w:t>
      </w:r>
      <w:bookmarkEnd w:id="885"/>
      <w:r w:rsidRPr="00781FE6">
        <w:tab/>
      </w:r>
    </w:p>
    <w:p w14:paraId="2C223218" w14:textId="77777777" w:rsidR="00456774" w:rsidRPr="00781FE6" w:rsidRDefault="00456774" w:rsidP="00456774">
      <w:pPr>
        <w:pStyle w:val="Ttulo4"/>
      </w:pPr>
      <w:r w:rsidRPr="00781FE6">
        <w:t>GECELCA</w:t>
      </w:r>
      <w:r w:rsidRPr="00781FE6">
        <w:tab/>
      </w:r>
    </w:p>
    <w:p w14:paraId="575DB8E6" w14:textId="0365D279" w:rsidR="00396C9B" w:rsidRDefault="00B43113" w:rsidP="00396C9B">
      <w:pPr>
        <w:rPr>
          <w:bCs/>
          <w:i/>
          <w:iCs/>
          <w:sz w:val="22"/>
          <w:szCs w:val="22"/>
        </w:rPr>
      </w:pPr>
      <w:r>
        <w:rPr>
          <w:bCs/>
          <w:i/>
          <w:iCs/>
          <w:sz w:val="22"/>
          <w:szCs w:val="22"/>
        </w:rPr>
        <w:t>“</w:t>
      </w:r>
      <w:r w:rsidR="00396C9B" w:rsidRPr="00D62380">
        <w:rPr>
          <w:bCs/>
          <w:i/>
          <w:iCs/>
          <w:sz w:val="22"/>
          <w:szCs w:val="22"/>
        </w:rPr>
        <w:t>Solicitamos a la CREG revisar la condición de un generador térmico cuyo programa de despacho o autorizaciones son impartidas por el CND y que por lo tanto puede presentar cambios en el consumo de gas llevándolo a contar con excedentes de sus contratos bajo las modalidades CF95 o CF80 que no podría vender en el mercado secundario, restándole liquidez a este mercado.</w:t>
      </w:r>
    </w:p>
    <w:p w14:paraId="70E2558C" w14:textId="77777777" w:rsidR="00511978" w:rsidRDefault="00511978" w:rsidP="00396C9B">
      <w:pPr>
        <w:rPr>
          <w:bCs/>
          <w:i/>
          <w:iCs/>
          <w:sz w:val="22"/>
          <w:szCs w:val="22"/>
        </w:rPr>
      </w:pPr>
    </w:p>
    <w:p w14:paraId="2769E033" w14:textId="0578B90D" w:rsidR="00511978" w:rsidRPr="00D62380" w:rsidRDefault="00511978" w:rsidP="00396C9B">
      <w:pPr>
        <w:rPr>
          <w:bCs/>
          <w:i/>
          <w:iCs/>
          <w:sz w:val="22"/>
          <w:szCs w:val="22"/>
        </w:rPr>
      </w:pPr>
      <w:r w:rsidRPr="00511978">
        <w:rPr>
          <w:bCs/>
          <w:i/>
          <w:iCs/>
          <w:sz w:val="22"/>
          <w:szCs w:val="22"/>
        </w:rPr>
        <w:t>Proponemos que se incluya una excepción para la generación térmica dado que con esto se daría una mayor coordinación Gas-Electricidad y una mayor liquidez al mercado secundario al permitir que ante cambios importantes en los programas de generación, los generadores térmicos pudieran vender la parte variable de los contratos CF95/CF80.</w:t>
      </w:r>
      <w:r w:rsidR="00127472">
        <w:rPr>
          <w:bCs/>
          <w:i/>
          <w:iCs/>
          <w:sz w:val="22"/>
          <w:szCs w:val="22"/>
        </w:rPr>
        <w:t>”</w:t>
      </w:r>
    </w:p>
    <w:p w14:paraId="0C78C9DD" w14:textId="77777777" w:rsidR="00396C9B" w:rsidRDefault="00396C9B" w:rsidP="00396C9B">
      <w:pPr>
        <w:rPr>
          <w:bCs/>
          <w:sz w:val="22"/>
          <w:szCs w:val="22"/>
        </w:rPr>
      </w:pPr>
    </w:p>
    <w:p w14:paraId="1B7C3E87" w14:textId="3A31E2E0" w:rsidR="00D62380" w:rsidRPr="00D62380" w:rsidRDefault="00D62380" w:rsidP="00396C9B">
      <w:pPr>
        <w:rPr>
          <w:b/>
          <w:sz w:val="22"/>
          <w:szCs w:val="22"/>
        </w:rPr>
      </w:pPr>
      <w:r w:rsidRPr="00D62380">
        <w:rPr>
          <w:b/>
          <w:sz w:val="22"/>
          <w:szCs w:val="22"/>
        </w:rPr>
        <w:t>Respuesta:</w:t>
      </w:r>
    </w:p>
    <w:p w14:paraId="016845B3" w14:textId="77777777" w:rsidR="00D62380" w:rsidRDefault="00D62380" w:rsidP="00396C9B">
      <w:pPr>
        <w:rPr>
          <w:bCs/>
          <w:sz w:val="22"/>
          <w:szCs w:val="22"/>
        </w:rPr>
      </w:pPr>
    </w:p>
    <w:p w14:paraId="1BEECC0D" w14:textId="036E6441" w:rsidR="00D62380" w:rsidRDefault="00D62380" w:rsidP="00396C9B">
      <w:pPr>
        <w:rPr>
          <w:bCs/>
          <w:sz w:val="22"/>
          <w:szCs w:val="22"/>
        </w:rPr>
      </w:pPr>
      <w:r>
        <w:rPr>
          <w:bCs/>
          <w:sz w:val="22"/>
          <w:szCs w:val="22"/>
        </w:rPr>
        <w:t xml:space="preserve">En el caso de los usuarios no regulados, éstos pueden vender excedentes de cantidades </w:t>
      </w:r>
      <w:proofErr w:type="gramStart"/>
      <w:r>
        <w:rPr>
          <w:bCs/>
          <w:sz w:val="22"/>
          <w:szCs w:val="22"/>
        </w:rPr>
        <w:t>contratadas</w:t>
      </w:r>
      <w:proofErr w:type="gramEnd"/>
      <w:r>
        <w:rPr>
          <w:bCs/>
          <w:sz w:val="22"/>
          <w:szCs w:val="22"/>
        </w:rPr>
        <w:t xml:space="preserve"> pero no nominadas en un día de gas</w:t>
      </w:r>
      <w:r w:rsidR="00511978">
        <w:rPr>
          <w:bCs/>
          <w:sz w:val="22"/>
          <w:szCs w:val="22"/>
        </w:rPr>
        <w:t>,</w:t>
      </w:r>
      <w:r>
        <w:rPr>
          <w:bCs/>
          <w:sz w:val="22"/>
          <w:szCs w:val="22"/>
        </w:rPr>
        <w:t xml:space="preserve"> bajo el mecanismo de Úselo o Véndalo de Corto Plazo o mediante contratos con interrupciones. Si el usuario no regulado desea vender</w:t>
      </w:r>
      <w:r w:rsidR="00511978">
        <w:rPr>
          <w:bCs/>
          <w:sz w:val="22"/>
          <w:szCs w:val="22"/>
        </w:rPr>
        <w:t>,</w:t>
      </w:r>
      <w:r>
        <w:rPr>
          <w:bCs/>
          <w:sz w:val="22"/>
          <w:szCs w:val="22"/>
        </w:rPr>
        <w:t xml:space="preserve"> en negociaciones directas, </w:t>
      </w:r>
      <w:r w:rsidR="00511978">
        <w:rPr>
          <w:bCs/>
          <w:sz w:val="22"/>
          <w:szCs w:val="22"/>
        </w:rPr>
        <w:t xml:space="preserve">las </w:t>
      </w:r>
      <w:r>
        <w:rPr>
          <w:bCs/>
          <w:sz w:val="22"/>
          <w:szCs w:val="22"/>
        </w:rPr>
        <w:t>cantidades excedentarias en el Mercado Secundario</w:t>
      </w:r>
      <w:r w:rsidR="00511978">
        <w:rPr>
          <w:bCs/>
          <w:sz w:val="22"/>
          <w:szCs w:val="22"/>
        </w:rPr>
        <w:t>,</w:t>
      </w:r>
      <w:r>
        <w:rPr>
          <w:bCs/>
          <w:sz w:val="22"/>
          <w:szCs w:val="22"/>
        </w:rPr>
        <w:t xml:space="preserve"> debe volverse</w:t>
      </w:r>
      <w:r w:rsidR="00511978">
        <w:rPr>
          <w:bCs/>
          <w:sz w:val="22"/>
          <w:szCs w:val="22"/>
        </w:rPr>
        <w:t xml:space="preserve"> y registrarse como</w:t>
      </w:r>
      <w:r>
        <w:rPr>
          <w:bCs/>
          <w:sz w:val="22"/>
          <w:szCs w:val="22"/>
        </w:rPr>
        <w:t xml:space="preserve"> comercializador de gas.</w:t>
      </w:r>
    </w:p>
    <w:p w14:paraId="0B13B0FB" w14:textId="77777777" w:rsidR="00D62380" w:rsidRDefault="00D62380" w:rsidP="00396C9B">
      <w:pPr>
        <w:rPr>
          <w:bCs/>
          <w:sz w:val="22"/>
          <w:szCs w:val="22"/>
        </w:rPr>
      </w:pPr>
    </w:p>
    <w:p w14:paraId="683495C4" w14:textId="04928BA3" w:rsidR="00D62380" w:rsidRDefault="00D62380" w:rsidP="00396C9B">
      <w:pPr>
        <w:rPr>
          <w:bCs/>
          <w:sz w:val="22"/>
          <w:szCs w:val="22"/>
        </w:rPr>
      </w:pPr>
      <w:r>
        <w:rPr>
          <w:bCs/>
          <w:sz w:val="22"/>
          <w:szCs w:val="22"/>
        </w:rPr>
        <w:t xml:space="preserve">Además, en el caso específico de un usuario no regulado del sector termoeléctrico, la regulación vigente, que al respecto no se está proponiendo modificar, le permite </w:t>
      </w:r>
      <w:proofErr w:type="gramStart"/>
      <w:r>
        <w:rPr>
          <w:bCs/>
          <w:sz w:val="22"/>
          <w:szCs w:val="22"/>
        </w:rPr>
        <w:t>que</w:t>
      </w:r>
      <w:proofErr w:type="gramEnd"/>
      <w:r>
        <w:rPr>
          <w:bCs/>
          <w:sz w:val="22"/>
          <w:szCs w:val="22"/>
        </w:rPr>
        <w:t xml:space="preserve"> s</w:t>
      </w:r>
      <w:r w:rsidRPr="00D62380">
        <w:rPr>
          <w:bCs/>
          <w:sz w:val="22"/>
          <w:szCs w:val="22"/>
        </w:rPr>
        <w:t xml:space="preserve">i en las cantidades declaradas como disponibles </w:t>
      </w:r>
      <w:r>
        <w:rPr>
          <w:bCs/>
          <w:sz w:val="22"/>
          <w:szCs w:val="22"/>
        </w:rPr>
        <w:t xml:space="preserve">por los Vendedores del Mercado Primario </w:t>
      </w:r>
      <w:r w:rsidRPr="00D62380">
        <w:rPr>
          <w:bCs/>
          <w:sz w:val="22"/>
          <w:szCs w:val="22"/>
        </w:rPr>
        <w:t>se encuentra gas natural contratado por generadores térmicos, estos le deberán informar al Gestor del Mercado qué cantidad no debe ser ofrecida a través del proceso úselo o véndalo de corto plazo para gas natural. La cantidad informada por los generadores no será considerada parte del gas natural disponible para el proceso de úselo o véndalo de corto plazo</w:t>
      </w:r>
      <w:r>
        <w:rPr>
          <w:bCs/>
          <w:sz w:val="22"/>
          <w:szCs w:val="22"/>
        </w:rPr>
        <w:t>.</w:t>
      </w:r>
    </w:p>
    <w:p w14:paraId="0F17B7B0" w14:textId="77777777" w:rsidR="00D62380" w:rsidRDefault="00D62380" w:rsidP="00396C9B">
      <w:pPr>
        <w:rPr>
          <w:bCs/>
          <w:sz w:val="22"/>
          <w:szCs w:val="22"/>
        </w:rPr>
      </w:pPr>
    </w:p>
    <w:p w14:paraId="69874671" w14:textId="77777777" w:rsidR="00D62380" w:rsidRPr="00781FE6" w:rsidRDefault="00D62380" w:rsidP="00396C9B">
      <w:pPr>
        <w:rPr>
          <w:bCs/>
          <w:sz w:val="22"/>
          <w:szCs w:val="22"/>
        </w:rPr>
      </w:pPr>
    </w:p>
    <w:p w14:paraId="0DC72647" w14:textId="77777777" w:rsidR="00D62380" w:rsidRPr="00781FE6" w:rsidRDefault="00D62380" w:rsidP="00D62380">
      <w:pPr>
        <w:pStyle w:val="Ttulo4"/>
      </w:pPr>
      <w:r w:rsidRPr="00781FE6">
        <w:t>GECELCA</w:t>
      </w:r>
      <w:r w:rsidRPr="00781FE6">
        <w:tab/>
      </w:r>
    </w:p>
    <w:p w14:paraId="418B43B2" w14:textId="6C33F875" w:rsidR="00396C9B" w:rsidRDefault="00D5353E" w:rsidP="00396C9B">
      <w:pPr>
        <w:rPr>
          <w:bCs/>
          <w:sz w:val="22"/>
          <w:szCs w:val="22"/>
        </w:rPr>
      </w:pPr>
      <w:r>
        <w:rPr>
          <w:bCs/>
          <w:i/>
          <w:iCs/>
          <w:sz w:val="22"/>
          <w:szCs w:val="22"/>
        </w:rPr>
        <w:t>“</w:t>
      </w:r>
      <w:r w:rsidR="00396C9B" w:rsidRPr="00D62380">
        <w:rPr>
          <w:bCs/>
          <w:i/>
          <w:iCs/>
          <w:sz w:val="22"/>
          <w:szCs w:val="22"/>
        </w:rPr>
        <w:t>Consideramos que no es necesario incluir lo definido por el literal m) del artículo 22 en lo referente al requerimiento de respaldo físico para la atención de OEF toda vez que las modalidades permitidas par el respaldo de OEF que establece la Resolución CREG 071 de 2006 indican que se requiere contar con Respaldo Físico</w:t>
      </w:r>
      <w:r w:rsidR="00396C9B" w:rsidRPr="00781FE6">
        <w:rPr>
          <w:bCs/>
          <w:sz w:val="22"/>
          <w:szCs w:val="22"/>
        </w:rPr>
        <w:t>.</w:t>
      </w:r>
      <w:r>
        <w:rPr>
          <w:bCs/>
          <w:sz w:val="22"/>
          <w:szCs w:val="22"/>
        </w:rPr>
        <w:t>”</w:t>
      </w:r>
      <w:r w:rsidR="00396C9B" w:rsidRPr="00781FE6">
        <w:rPr>
          <w:bCs/>
          <w:sz w:val="22"/>
          <w:szCs w:val="22"/>
        </w:rPr>
        <w:t xml:space="preserve">  </w:t>
      </w:r>
    </w:p>
    <w:p w14:paraId="0C06A97E" w14:textId="77777777" w:rsidR="00D62380" w:rsidRDefault="00D62380" w:rsidP="00396C9B">
      <w:pPr>
        <w:rPr>
          <w:bCs/>
          <w:sz w:val="22"/>
          <w:szCs w:val="22"/>
        </w:rPr>
      </w:pPr>
    </w:p>
    <w:p w14:paraId="17BEA5A9" w14:textId="1F22045B" w:rsidR="00D62380" w:rsidRPr="00D62380" w:rsidRDefault="00D62380" w:rsidP="00396C9B">
      <w:pPr>
        <w:rPr>
          <w:b/>
          <w:sz w:val="22"/>
          <w:szCs w:val="22"/>
        </w:rPr>
      </w:pPr>
      <w:r w:rsidRPr="00D62380">
        <w:rPr>
          <w:b/>
          <w:sz w:val="22"/>
          <w:szCs w:val="22"/>
        </w:rPr>
        <w:t>Respuesta:</w:t>
      </w:r>
    </w:p>
    <w:p w14:paraId="68282F8B" w14:textId="77777777" w:rsidR="00D62380" w:rsidRDefault="00D62380" w:rsidP="00396C9B">
      <w:pPr>
        <w:rPr>
          <w:bCs/>
          <w:sz w:val="22"/>
          <w:szCs w:val="22"/>
        </w:rPr>
      </w:pPr>
    </w:p>
    <w:p w14:paraId="7A0ACAAB" w14:textId="6B602FBC" w:rsidR="00D62380" w:rsidRDefault="0085257C" w:rsidP="00396C9B">
      <w:pPr>
        <w:rPr>
          <w:bCs/>
          <w:sz w:val="22"/>
          <w:szCs w:val="22"/>
        </w:rPr>
      </w:pPr>
      <w:r>
        <w:rPr>
          <w:bCs/>
          <w:sz w:val="22"/>
          <w:szCs w:val="22"/>
        </w:rPr>
        <w:t>Se acoge el comentario.</w:t>
      </w:r>
    </w:p>
    <w:p w14:paraId="768D31FD" w14:textId="77777777" w:rsidR="0085257C" w:rsidRDefault="0085257C" w:rsidP="00396C9B">
      <w:pPr>
        <w:rPr>
          <w:bCs/>
          <w:sz w:val="22"/>
          <w:szCs w:val="22"/>
        </w:rPr>
      </w:pPr>
    </w:p>
    <w:p w14:paraId="68F92BE0" w14:textId="36EF8038" w:rsidR="0085257C" w:rsidRDefault="0085257C" w:rsidP="00396C9B">
      <w:pPr>
        <w:rPr>
          <w:bCs/>
          <w:sz w:val="22"/>
          <w:szCs w:val="22"/>
        </w:rPr>
      </w:pPr>
      <w:r>
        <w:rPr>
          <w:bCs/>
          <w:sz w:val="22"/>
          <w:szCs w:val="22"/>
        </w:rPr>
        <w:t xml:space="preserve">En la nueva propuesta no se incluye ninguna </w:t>
      </w:r>
      <w:r w:rsidR="005425D6">
        <w:rPr>
          <w:bCs/>
          <w:sz w:val="22"/>
          <w:szCs w:val="22"/>
        </w:rPr>
        <w:t>particularización</w:t>
      </w:r>
      <w:r>
        <w:rPr>
          <w:bCs/>
          <w:sz w:val="22"/>
          <w:szCs w:val="22"/>
        </w:rPr>
        <w:t xml:space="preserve"> específica sobre las </w:t>
      </w:r>
      <w:r w:rsidR="005425D6">
        <w:rPr>
          <w:bCs/>
          <w:sz w:val="22"/>
          <w:szCs w:val="22"/>
        </w:rPr>
        <w:t xml:space="preserve">obligaciones de energía firme </w:t>
      </w:r>
      <w:r>
        <w:rPr>
          <w:bCs/>
          <w:sz w:val="22"/>
          <w:szCs w:val="22"/>
        </w:rPr>
        <w:t>OEF</w:t>
      </w:r>
      <w:r w:rsidR="005425D6">
        <w:rPr>
          <w:bCs/>
          <w:sz w:val="22"/>
          <w:szCs w:val="22"/>
        </w:rPr>
        <w:t xml:space="preserve"> del sector eléctrico</w:t>
      </w:r>
      <w:r>
        <w:rPr>
          <w:bCs/>
          <w:sz w:val="22"/>
          <w:szCs w:val="22"/>
        </w:rPr>
        <w:t>.</w:t>
      </w:r>
    </w:p>
    <w:p w14:paraId="53AA3E23" w14:textId="451EA765" w:rsidR="00456774" w:rsidRDefault="00456774" w:rsidP="00396C9B">
      <w:pPr>
        <w:rPr>
          <w:bCs/>
          <w:sz w:val="22"/>
          <w:szCs w:val="22"/>
        </w:rPr>
      </w:pPr>
    </w:p>
    <w:p w14:paraId="4408AFFF" w14:textId="77777777" w:rsidR="00456774" w:rsidRPr="00781FE6" w:rsidRDefault="00456774" w:rsidP="00396C9B">
      <w:pPr>
        <w:rPr>
          <w:bCs/>
          <w:sz w:val="22"/>
          <w:szCs w:val="22"/>
        </w:rPr>
      </w:pPr>
    </w:p>
    <w:p w14:paraId="2C835071" w14:textId="77777777" w:rsidR="00781FE6" w:rsidRDefault="00396C9B" w:rsidP="00781FE6">
      <w:pPr>
        <w:pStyle w:val="Ttulo2"/>
      </w:pPr>
      <w:bookmarkStart w:id="886" w:name="_Toc140506465"/>
      <w:r w:rsidRPr="00781FE6">
        <w:t>HOCOL</w:t>
      </w:r>
      <w:bookmarkEnd w:id="886"/>
      <w:r w:rsidRPr="00781FE6">
        <w:tab/>
      </w:r>
    </w:p>
    <w:p w14:paraId="05D7E0E0" w14:textId="77777777" w:rsidR="00456774" w:rsidRDefault="00456774" w:rsidP="00456774">
      <w:pPr>
        <w:pStyle w:val="Ttulo4"/>
      </w:pPr>
      <w:r w:rsidRPr="00781FE6">
        <w:t>HOCOL</w:t>
      </w:r>
      <w:r w:rsidRPr="00781FE6">
        <w:tab/>
      </w:r>
    </w:p>
    <w:p w14:paraId="178DCDCD" w14:textId="503C1876" w:rsidR="00396C9B" w:rsidRDefault="00396C9B" w:rsidP="00396C9B">
      <w:pPr>
        <w:rPr>
          <w:bCs/>
          <w:sz w:val="22"/>
          <w:szCs w:val="22"/>
        </w:rPr>
      </w:pPr>
      <w:r w:rsidRPr="00781FE6">
        <w:rPr>
          <w:bCs/>
          <w:sz w:val="22"/>
          <w:szCs w:val="22"/>
        </w:rPr>
        <w:t xml:space="preserve">"• </w:t>
      </w:r>
      <w:r w:rsidRPr="005425D6">
        <w:rPr>
          <w:bCs/>
          <w:i/>
          <w:iCs/>
          <w:sz w:val="22"/>
          <w:szCs w:val="22"/>
        </w:rPr>
        <w:t xml:space="preserve">Aclarar el alcance de la condición establecida </w:t>
      </w:r>
      <w:proofErr w:type="spellStart"/>
      <w:r w:rsidRPr="005425D6">
        <w:rPr>
          <w:bCs/>
          <w:i/>
          <w:iCs/>
          <w:sz w:val="22"/>
          <w:szCs w:val="22"/>
        </w:rPr>
        <w:t>aqui</w:t>
      </w:r>
      <w:proofErr w:type="spellEnd"/>
      <w:r w:rsidRPr="005425D6">
        <w:rPr>
          <w:bCs/>
          <w:i/>
          <w:iCs/>
          <w:sz w:val="22"/>
          <w:szCs w:val="22"/>
        </w:rPr>
        <w:t xml:space="preserve"> y que se refiere a permitir que los agentes que atienden Demanda Esencial tengan acceso a los contratos de suministro con Respaldo Físico. Agradecemos precisar si este acceso se garantiza con el hecho de remitir oferta a dicho agente con las condiciones comerciales del suministro, aun cuando las partes no lleguen a un acuerdo y suscriban el contrato</w:t>
      </w:r>
      <w:r w:rsidRPr="00781FE6">
        <w:rPr>
          <w:bCs/>
          <w:sz w:val="22"/>
          <w:szCs w:val="22"/>
        </w:rPr>
        <w:t>."</w:t>
      </w:r>
    </w:p>
    <w:p w14:paraId="09D901CA" w14:textId="77777777" w:rsidR="005425D6" w:rsidRDefault="005425D6" w:rsidP="00396C9B">
      <w:pPr>
        <w:rPr>
          <w:bCs/>
          <w:sz w:val="22"/>
          <w:szCs w:val="22"/>
        </w:rPr>
      </w:pPr>
    </w:p>
    <w:p w14:paraId="096579DC" w14:textId="18A64E79" w:rsidR="005425D6" w:rsidRPr="005425D6" w:rsidRDefault="005425D6" w:rsidP="00396C9B">
      <w:pPr>
        <w:rPr>
          <w:b/>
          <w:sz w:val="22"/>
          <w:szCs w:val="22"/>
        </w:rPr>
      </w:pPr>
      <w:r w:rsidRPr="005425D6">
        <w:rPr>
          <w:b/>
          <w:sz w:val="22"/>
          <w:szCs w:val="22"/>
        </w:rPr>
        <w:t>Respuesta:</w:t>
      </w:r>
    </w:p>
    <w:p w14:paraId="251F6BF6" w14:textId="77777777" w:rsidR="005425D6" w:rsidRDefault="005425D6" w:rsidP="00396C9B">
      <w:pPr>
        <w:rPr>
          <w:bCs/>
          <w:sz w:val="22"/>
          <w:szCs w:val="22"/>
        </w:rPr>
      </w:pPr>
    </w:p>
    <w:p w14:paraId="5F0FF14C" w14:textId="6B332A69" w:rsidR="00865202" w:rsidRDefault="00865202" w:rsidP="00396C9B">
      <w:pPr>
        <w:rPr>
          <w:bCs/>
          <w:sz w:val="22"/>
          <w:szCs w:val="22"/>
        </w:rPr>
      </w:pPr>
      <w:r>
        <w:rPr>
          <w:bCs/>
          <w:sz w:val="22"/>
          <w:szCs w:val="22"/>
        </w:rPr>
        <w:t xml:space="preserve">Ver respuesta a </w:t>
      </w:r>
      <w:r w:rsidR="00F325A8">
        <w:rPr>
          <w:bCs/>
          <w:sz w:val="22"/>
          <w:szCs w:val="22"/>
        </w:rPr>
        <w:fldChar w:fldCharType="begin"/>
      </w:r>
      <w:r w:rsidR="00F325A8">
        <w:rPr>
          <w:bCs/>
          <w:sz w:val="22"/>
          <w:szCs w:val="22"/>
        </w:rPr>
        <w:instrText xml:space="preserve"> REF _Ref132198414 \n \h </w:instrText>
      </w:r>
      <w:r w:rsidR="00F325A8">
        <w:rPr>
          <w:bCs/>
          <w:sz w:val="22"/>
          <w:szCs w:val="22"/>
        </w:rPr>
      </w:r>
      <w:r w:rsidR="00F325A8">
        <w:rPr>
          <w:bCs/>
          <w:sz w:val="22"/>
          <w:szCs w:val="22"/>
        </w:rPr>
        <w:fldChar w:fldCharType="separate"/>
      </w:r>
      <w:r w:rsidR="00F325A8">
        <w:rPr>
          <w:bCs/>
          <w:sz w:val="22"/>
          <w:szCs w:val="22"/>
        </w:rPr>
        <w:t>19.8.1.10</w:t>
      </w:r>
      <w:r w:rsidR="00F325A8">
        <w:rPr>
          <w:bCs/>
          <w:sz w:val="22"/>
          <w:szCs w:val="22"/>
        </w:rPr>
        <w:fldChar w:fldCharType="end"/>
      </w:r>
      <w:r w:rsidR="00F325A8">
        <w:rPr>
          <w:bCs/>
          <w:sz w:val="22"/>
          <w:szCs w:val="22"/>
        </w:rPr>
        <w:t xml:space="preserve">, a </w:t>
      </w:r>
      <w:r w:rsidR="00F325A8">
        <w:rPr>
          <w:bCs/>
          <w:sz w:val="22"/>
          <w:szCs w:val="22"/>
        </w:rPr>
        <w:fldChar w:fldCharType="begin"/>
      </w:r>
      <w:r w:rsidR="00F325A8">
        <w:rPr>
          <w:bCs/>
          <w:sz w:val="22"/>
          <w:szCs w:val="22"/>
        </w:rPr>
        <w:instrText xml:space="preserve"> REF _Ref132207410 \n \h </w:instrText>
      </w:r>
      <w:r w:rsidR="00F325A8">
        <w:rPr>
          <w:bCs/>
          <w:sz w:val="22"/>
          <w:szCs w:val="22"/>
        </w:rPr>
      </w:r>
      <w:r w:rsidR="00F325A8">
        <w:rPr>
          <w:bCs/>
          <w:sz w:val="22"/>
          <w:szCs w:val="22"/>
        </w:rPr>
        <w:fldChar w:fldCharType="separate"/>
      </w:r>
      <w:r w:rsidR="00F325A8">
        <w:rPr>
          <w:bCs/>
          <w:sz w:val="22"/>
          <w:szCs w:val="22"/>
        </w:rPr>
        <w:t>19.12.1.11</w:t>
      </w:r>
      <w:r w:rsidR="00F325A8">
        <w:rPr>
          <w:bCs/>
          <w:sz w:val="22"/>
          <w:szCs w:val="22"/>
        </w:rPr>
        <w:fldChar w:fldCharType="end"/>
      </w:r>
      <w:r w:rsidR="00F325A8">
        <w:rPr>
          <w:bCs/>
          <w:sz w:val="22"/>
          <w:szCs w:val="22"/>
        </w:rPr>
        <w:t xml:space="preserve">, a </w:t>
      </w:r>
      <w:r w:rsidR="00F325A8">
        <w:rPr>
          <w:bCs/>
          <w:sz w:val="22"/>
          <w:szCs w:val="22"/>
        </w:rPr>
        <w:fldChar w:fldCharType="begin"/>
      </w:r>
      <w:r w:rsidR="00F325A8">
        <w:rPr>
          <w:bCs/>
          <w:sz w:val="22"/>
          <w:szCs w:val="22"/>
        </w:rPr>
        <w:instrText xml:space="preserve"> REF _Ref132279194 \n \h </w:instrText>
      </w:r>
      <w:r w:rsidR="00F325A8">
        <w:rPr>
          <w:bCs/>
          <w:sz w:val="22"/>
          <w:szCs w:val="22"/>
        </w:rPr>
      </w:r>
      <w:r w:rsidR="00F325A8">
        <w:rPr>
          <w:bCs/>
          <w:sz w:val="22"/>
          <w:szCs w:val="22"/>
        </w:rPr>
        <w:fldChar w:fldCharType="separate"/>
      </w:r>
      <w:r w:rsidR="00F325A8">
        <w:rPr>
          <w:bCs/>
          <w:sz w:val="22"/>
          <w:szCs w:val="22"/>
        </w:rPr>
        <w:t>19.13.1.1</w:t>
      </w:r>
      <w:r w:rsidR="00F325A8">
        <w:rPr>
          <w:bCs/>
          <w:sz w:val="22"/>
          <w:szCs w:val="22"/>
        </w:rPr>
        <w:fldChar w:fldCharType="end"/>
      </w:r>
      <w:r w:rsidR="00F325A8">
        <w:rPr>
          <w:bCs/>
          <w:sz w:val="22"/>
          <w:szCs w:val="22"/>
        </w:rPr>
        <w:t xml:space="preserve"> y a </w:t>
      </w:r>
      <w:r w:rsidR="00F325A8">
        <w:rPr>
          <w:bCs/>
          <w:sz w:val="22"/>
          <w:szCs w:val="22"/>
        </w:rPr>
        <w:fldChar w:fldCharType="begin"/>
      </w:r>
      <w:r w:rsidR="00F325A8">
        <w:rPr>
          <w:bCs/>
          <w:sz w:val="22"/>
          <w:szCs w:val="22"/>
        </w:rPr>
        <w:instrText xml:space="preserve"> REF _Ref133143489 \n \h </w:instrText>
      </w:r>
      <w:r w:rsidR="00F325A8">
        <w:rPr>
          <w:bCs/>
          <w:sz w:val="22"/>
          <w:szCs w:val="22"/>
        </w:rPr>
      </w:r>
      <w:r w:rsidR="00F325A8">
        <w:rPr>
          <w:bCs/>
          <w:sz w:val="22"/>
          <w:szCs w:val="22"/>
        </w:rPr>
        <w:fldChar w:fldCharType="separate"/>
      </w:r>
      <w:r w:rsidR="00F325A8">
        <w:rPr>
          <w:bCs/>
          <w:sz w:val="22"/>
          <w:szCs w:val="22"/>
        </w:rPr>
        <w:t>20.10.1.4</w:t>
      </w:r>
      <w:r w:rsidR="00F325A8">
        <w:rPr>
          <w:bCs/>
          <w:sz w:val="22"/>
          <w:szCs w:val="22"/>
        </w:rPr>
        <w:fldChar w:fldCharType="end"/>
      </w:r>
      <w:r w:rsidR="00F325A8">
        <w:rPr>
          <w:bCs/>
          <w:sz w:val="22"/>
          <w:szCs w:val="22"/>
        </w:rPr>
        <w:t>, entre otras.</w:t>
      </w:r>
    </w:p>
    <w:p w14:paraId="3EB40589" w14:textId="77777777" w:rsidR="00865202" w:rsidRPr="00781FE6" w:rsidRDefault="00865202" w:rsidP="00396C9B">
      <w:pPr>
        <w:rPr>
          <w:bCs/>
          <w:sz w:val="22"/>
          <w:szCs w:val="22"/>
        </w:rPr>
      </w:pPr>
    </w:p>
    <w:p w14:paraId="53B8F87D" w14:textId="77777777" w:rsidR="00396C9B" w:rsidRPr="00781FE6" w:rsidRDefault="00396C9B" w:rsidP="00396C9B">
      <w:pPr>
        <w:rPr>
          <w:bCs/>
          <w:sz w:val="22"/>
          <w:szCs w:val="22"/>
        </w:rPr>
      </w:pPr>
    </w:p>
    <w:p w14:paraId="77933258" w14:textId="77777777" w:rsidR="00396C9B" w:rsidRPr="00781FE6" w:rsidRDefault="00396C9B" w:rsidP="00456774">
      <w:pPr>
        <w:pStyle w:val="Ttulo4"/>
      </w:pPr>
      <w:r w:rsidRPr="00781FE6">
        <w:t>HOCOL</w:t>
      </w:r>
      <w:r w:rsidRPr="00781FE6">
        <w:tab/>
      </w:r>
    </w:p>
    <w:p w14:paraId="361CE9BF" w14:textId="7A21A3BB" w:rsidR="00396C9B" w:rsidRDefault="00396C9B" w:rsidP="00396C9B">
      <w:pPr>
        <w:rPr>
          <w:bCs/>
          <w:i/>
          <w:iCs/>
          <w:sz w:val="22"/>
          <w:szCs w:val="22"/>
        </w:rPr>
      </w:pPr>
      <w:r w:rsidRPr="00781FE6">
        <w:rPr>
          <w:bCs/>
          <w:sz w:val="22"/>
          <w:szCs w:val="22"/>
        </w:rPr>
        <w:t>"</w:t>
      </w:r>
      <w:r w:rsidRPr="00DB0606">
        <w:rPr>
          <w:bCs/>
          <w:i/>
          <w:iCs/>
          <w:sz w:val="22"/>
          <w:szCs w:val="22"/>
        </w:rPr>
        <w:t>Ajuste Regulatorio:</w:t>
      </w:r>
    </w:p>
    <w:p w14:paraId="0D3A4D72" w14:textId="77777777" w:rsidR="00DB0606" w:rsidRPr="00DB0606" w:rsidRDefault="00DB0606" w:rsidP="00396C9B">
      <w:pPr>
        <w:rPr>
          <w:bCs/>
          <w:i/>
          <w:iCs/>
          <w:sz w:val="22"/>
          <w:szCs w:val="22"/>
        </w:rPr>
      </w:pPr>
    </w:p>
    <w:p w14:paraId="0E4007AD" w14:textId="77777777" w:rsidR="00396C9B" w:rsidRDefault="00396C9B" w:rsidP="00396C9B">
      <w:pPr>
        <w:rPr>
          <w:bCs/>
          <w:sz w:val="22"/>
          <w:szCs w:val="22"/>
        </w:rPr>
      </w:pPr>
      <w:r w:rsidRPr="00DB0606">
        <w:rPr>
          <w:bCs/>
          <w:i/>
          <w:iCs/>
          <w:sz w:val="22"/>
          <w:szCs w:val="22"/>
        </w:rPr>
        <w:t>Sugerimos a la Comisión reconsiderar y eliminar la propuesta de cláusula de ajuste regulatorio que se debe incluir en todos los contratos que se suscriban, con el propósito de que se brinde la oportunidad de revisión y valoración de riesgos de realizar estos ajustes o de considerar una terminación anticipada ante la imposibilidad de ejecutar los contratos con las modificaciones requeridas. Esto teniendo en cuenta la inseguridad jurídica y contractual que introduce este tipo de medidas, ya que afecta las decisiones de inversión o compra y desestimula la adición de oferta al mercado</w:t>
      </w:r>
      <w:r w:rsidRPr="00781FE6">
        <w:rPr>
          <w:bCs/>
          <w:sz w:val="22"/>
          <w:szCs w:val="22"/>
        </w:rPr>
        <w:t>."</w:t>
      </w:r>
    </w:p>
    <w:p w14:paraId="5165D241" w14:textId="77777777" w:rsidR="00DB0606" w:rsidRDefault="00DB0606" w:rsidP="00396C9B">
      <w:pPr>
        <w:rPr>
          <w:bCs/>
          <w:sz w:val="22"/>
          <w:szCs w:val="22"/>
        </w:rPr>
      </w:pPr>
    </w:p>
    <w:p w14:paraId="11AA3A71" w14:textId="5F890089" w:rsidR="00DB0606" w:rsidRPr="00DB0606" w:rsidRDefault="00DB0606" w:rsidP="00396C9B">
      <w:pPr>
        <w:rPr>
          <w:b/>
          <w:sz w:val="22"/>
          <w:szCs w:val="22"/>
        </w:rPr>
      </w:pPr>
      <w:r w:rsidRPr="00DB0606">
        <w:rPr>
          <w:b/>
          <w:sz w:val="22"/>
          <w:szCs w:val="22"/>
        </w:rPr>
        <w:t>Respuesta:</w:t>
      </w:r>
    </w:p>
    <w:p w14:paraId="14DEF0F5" w14:textId="77777777" w:rsidR="00DB0606" w:rsidRDefault="00DB0606" w:rsidP="00396C9B">
      <w:pPr>
        <w:rPr>
          <w:bCs/>
          <w:sz w:val="22"/>
          <w:szCs w:val="22"/>
        </w:rPr>
      </w:pPr>
    </w:p>
    <w:p w14:paraId="5A90A34C" w14:textId="07AE1821" w:rsidR="00DB0606" w:rsidRPr="00781FE6" w:rsidRDefault="00DB0606"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\n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4F05F1D9" w14:textId="77777777" w:rsidR="00396C9B" w:rsidRPr="00781FE6" w:rsidRDefault="00396C9B" w:rsidP="00396C9B">
      <w:pPr>
        <w:rPr>
          <w:bCs/>
          <w:sz w:val="22"/>
          <w:szCs w:val="22"/>
        </w:rPr>
      </w:pPr>
    </w:p>
    <w:p w14:paraId="72C2C773" w14:textId="77777777" w:rsidR="00396C9B" w:rsidRPr="00781FE6" w:rsidRDefault="00396C9B" w:rsidP="00396C9B">
      <w:pPr>
        <w:rPr>
          <w:bCs/>
          <w:sz w:val="22"/>
          <w:szCs w:val="22"/>
        </w:rPr>
      </w:pPr>
    </w:p>
    <w:p w14:paraId="500BBC7C" w14:textId="77777777" w:rsidR="00396C9B" w:rsidRPr="00781FE6" w:rsidRDefault="00396C9B" w:rsidP="00781FE6">
      <w:pPr>
        <w:pStyle w:val="Ttulo2"/>
      </w:pPr>
      <w:bookmarkStart w:id="887" w:name="_Toc140506466"/>
      <w:r w:rsidRPr="00781FE6">
        <w:t>ISAGEN</w:t>
      </w:r>
      <w:bookmarkEnd w:id="887"/>
      <w:r w:rsidRPr="00781FE6">
        <w:tab/>
      </w:r>
    </w:p>
    <w:p w14:paraId="17610276" w14:textId="77777777" w:rsidR="00456774" w:rsidRPr="00781FE6" w:rsidRDefault="00456774" w:rsidP="00456774">
      <w:pPr>
        <w:pStyle w:val="Ttulo4"/>
      </w:pPr>
      <w:r w:rsidRPr="00781FE6">
        <w:t>ISAGEN</w:t>
      </w:r>
      <w:r w:rsidRPr="00781FE6">
        <w:tab/>
      </w:r>
    </w:p>
    <w:p w14:paraId="49732FAB" w14:textId="63612330" w:rsidR="00396C9B" w:rsidRPr="00DB0606" w:rsidRDefault="00396C9B" w:rsidP="00396C9B">
      <w:pPr>
        <w:rPr>
          <w:bCs/>
          <w:i/>
          <w:iCs/>
          <w:sz w:val="22"/>
          <w:szCs w:val="22"/>
        </w:rPr>
      </w:pPr>
      <w:r w:rsidRPr="00781FE6">
        <w:rPr>
          <w:bCs/>
          <w:sz w:val="22"/>
          <w:szCs w:val="22"/>
        </w:rPr>
        <w:t>"</w:t>
      </w:r>
      <w:r w:rsidRPr="00DB0606">
        <w:rPr>
          <w:bCs/>
          <w:i/>
          <w:iCs/>
          <w:sz w:val="22"/>
          <w:szCs w:val="22"/>
        </w:rPr>
        <w:t xml:space="preserve">Solicitamos eliminar el parágrafo, ya que no vemos la necesidad de firmar un documento adicional al contrato y al registro del contrato ante el </w:t>
      </w:r>
      <w:r w:rsidR="005114C6" w:rsidRPr="00DB0606">
        <w:rPr>
          <w:bCs/>
          <w:i/>
          <w:iCs/>
          <w:sz w:val="22"/>
          <w:szCs w:val="22"/>
        </w:rPr>
        <w:t>Gestor del Mercado</w:t>
      </w:r>
      <w:r w:rsidRPr="00DB0606">
        <w:rPr>
          <w:bCs/>
          <w:i/>
          <w:iCs/>
          <w:sz w:val="22"/>
          <w:szCs w:val="22"/>
        </w:rPr>
        <w:t xml:space="preserve">, toda vez que dicha información se encuentra en el contrato y en la información registrada. Proponemos que en caso de que se requiera </w:t>
      </w:r>
      <w:proofErr w:type="gramStart"/>
      <w:r w:rsidRPr="00DB0606">
        <w:rPr>
          <w:bCs/>
          <w:i/>
          <w:iCs/>
          <w:sz w:val="22"/>
          <w:szCs w:val="22"/>
        </w:rPr>
        <w:t>mayor información</w:t>
      </w:r>
      <w:proofErr w:type="gramEnd"/>
      <w:r w:rsidRPr="00DB0606">
        <w:rPr>
          <w:bCs/>
          <w:i/>
          <w:iCs/>
          <w:sz w:val="22"/>
          <w:szCs w:val="22"/>
        </w:rPr>
        <w:t xml:space="preserve"> sobre el contrato se solicite en el formato de registro ante el </w:t>
      </w:r>
      <w:r w:rsidR="005114C6" w:rsidRPr="00DB0606">
        <w:rPr>
          <w:bCs/>
          <w:i/>
          <w:iCs/>
          <w:sz w:val="22"/>
          <w:szCs w:val="22"/>
        </w:rPr>
        <w:t>Gestor del Mercado</w:t>
      </w:r>
      <w:r w:rsidRPr="00DB0606">
        <w:rPr>
          <w:bCs/>
          <w:i/>
          <w:iCs/>
          <w:sz w:val="22"/>
          <w:szCs w:val="22"/>
        </w:rPr>
        <w:t>.</w:t>
      </w:r>
    </w:p>
    <w:p w14:paraId="07F27E72" w14:textId="77777777" w:rsidR="00DB0606" w:rsidRPr="00DB0606" w:rsidRDefault="00DB0606" w:rsidP="00396C9B">
      <w:pPr>
        <w:rPr>
          <w:bCs/>
          <w:i/>
          <w:iCs/>
          <w:sz w:val="22"/>
          <w:szCs w:val="22"/>
        </w:rPr>
      </w:pPr>
    </w:p>
    <w:p w14:paraId="62F89952" w14:textId="3CE06794" w:rsidR="00396C9B" w:rsidRPr="00DB0606" w:rsidRDefault="00396C9B" w:rsidP="00396C9B">
      <w:pPr>
        <w:rPr>
          <w:bCs/>
          <w:i/>
          <w:iCs/>
          <w:sz w:val="22"/>
          <w:szCs w:val="22"/>
        </w:rPr>
      </w:pPr>
      <w:r w:rsidRPr="00DB0606">
        <w:rPr>
          <w:bCs/>
          <w:i/>
          <w:iCs/>
          <w:sz w:val="22"/>
          <w:szCs w:val="22"/>
        </w:rPr>
        <w:t xml:space="preserve">Aplica también para el Parágrafo del Articulo 26, literal </w:t>
      </w:r>
      <w:proofErr w:type="spellStart"/>
      <w:r w:rsidRPr="00DB0606">
        <w:rPr>
          <w:bCs/>
          <w:i/>
          <w:iCs/>
          <w:sz w:val="22"/>
          <w:szCs w:val="22"/>
        </w:rPr>
        <w:t>xii</w:t>
      </w:r>
      <w:proofErr w:type="spellEnd"/>
      <w:r w:rsidRPr="00DB0606">
        <w:rPr>
          <w:bCs/>
          <w:i/>
          <w:iCs/>
          <w:sz w:val="22"/>
          <w:szCs w:val="22"/>
        </w:rPr>
        <w:t xml:space="preserve"> del 1.1, literal </w:t>
      </w:r>
      <w:proofErr w:type="spellStart"/>
      <w:r w:rsidRPr="00DB0606">
        <w:rPr>
          <w:bCs/>
          <w:i/>
          <w:iCs/>
          <w:sz w:val="22"/>
          <w:szCs w:val="22"/>
        </w:rPr>
        <w:t>xii</w:t>
      </w:r>
      <w:proofErr w:type="spellEnd"/>
      <w:r w:rsidRPr="00DB0606">
        <w:rPr>
          <w:bCs/>
          <w:i/>
          <w:iCs/>
          <w:sz w:val="22"/>
          <w:szCs w:val="22"/>
        </w:rPr>
        <w:t xml:space="preserve"> del 2.1 y literal </w:t>
      </w:r>
      <w:proofErr w:type="spellStart"/>
      <w:r w:rsidRPr="00DB0606">
        <w:rPr>
          <w:bCs/>
          <w:i/>
          <w:iCs/>
          <w:sz w:val="22"/>
          <w:szCs w:val="22"/>
        </w:rPr>
        <w:t>xv</w:t>
      </w:r>
      <w:proofErr w:type="spellEnd"/>
      <w:r w:rsidRPr="00DB0606">
        <w:rPr>
          <w:bCs/>
          <w:i/>
          <w:iCs/>
          <w:sz w:val="22"/>
          <w:szCs w:val="22"/>
        </w:rPr>
        <w:t xml:space="preserve"> del 3.1 del Anexo 1."</w:t>
      </w:r>
    </w:p>
    <w:p w14:paraId="29E7524D" w14:textId="77777777" w:rsidR="00DB0606" w:rsidRDefault="00DB0606" w:rsidP="00396C9B">
      <w:pPr>
        <w:rPr>
          <w:bCs/>
          <w:sz w:val="22"/>
          <w:szCs w:val="22"/>
        </w:rPr>
      </w:pPr>
    </w:p>
    <w:p w14:paraId="69880869" w14:textId="4A388563" w:rsidR="00DB0606" w:rsidRPr="00DB0606" w:rsidRDefault="00DB0606" w:rsidP="00396C9B">
      <w:pPr>
        <w:rPr>
          <w:b/>
          <w:sz w:val="22"/>
          <w:szCs w:val="22"/>
        </w:rPr>
      </w:pPr>
      <w:r w:rsidRPr="00DB0606">
        <w:rPr>
          <w:b/>
          <w:sz w:val="22"/>
          <w:szCs w:val="22"/>
        </w:rPr>
        <w:t>Respuesta:</w:t>
      </w:r>
    </w:p>
    <w:p w14:paraId="495E8C2F" w14:textId="77777777" w:rsidR="00DB0606" w:rsidRDefault="00DB0606" w:rsidP="00396C9B">
      <w:pPr>
        <w:rPr>
          <w:bCs/>
          <w:sz w:val="22"/>
          <w:szCs w:val="22"/>
        </w:rPr>
      </w:pPr>
    </w:p>
    <w:p w14:paraId="41B7243B" w14:textId="17646848" w:rsidR="00DB0606" w:rsidRPr="00781FE6" w:rsidRDefault="00B85F1E"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_Ref133143636 \n \h </w:instrText>
      </w:r>
      <w:r>
        <w:rPr>
          <w:bCs/>
          <w:sz w:val="22"/>
          <w:szCs w:val="22"/>
        </w:rPr>
      </w:r>
      <w:r>
        <w:rPr>
          <w:bCs/>
          <w:sz w:val="22"/>
          <w:szCs w:val="22"/>
        </w:rPr>
        <w:fldChar w:fldCharType="separate"/>
      </w:r>
      <w:r>
        <w:rPr>
          <w:bCs/>
          <w:sz w:val="22"/>
          <w:szCs w:val="22"/>
        </w:rPr>
        <w:t>20.6.1.2</w:t>
      </w:r>
      <w:r>
        <w:rPr>
          <w:bCs/>
          <w:sz w:val="22"/>
          <w:szCs w:val="22"/>
        </w:rPr>
        <w:fldChar w:fldCharType="end"/>
      </w:r>
      <w:r>
        <w:rPr>
          <w:bCs/>
          <w:sz w:val="22"/>
          <w:szCs w:val="22"/>
        </w:rPr>
        <w:t>.</w:t>
      </w:r>
    </w:p>
    <w:p w14:paraId="6920EEEA" w14:textId="77777777" w:rsidR="00396C9B" w:rsidRPr="00781FE6" w:rsidRDefault="00396C9B" w:rsidP="00396C9B">
      <w:pPr>
        <w:rPr>
          <w:bCs/>
          <w:sz w:val="22"/>
          <w:szCs w:val="22"/>
        </w:rPr>
      </w:pPr>
    </w:p>
    <w:p w14:paraId="0AE13173" w14:textId="77777777" w:rsidR="00396C9B" w:rsidRPr="00781FE6" w:rsidRDefault="00396C9B" w:rsidP="00396C9B">
      <w:pPr>
        <w:rPr>
          <w:bCs/>
          <w:sz w:val="22"/>
          <w:szCs w:val="22"/>
        </w:rPr>
      </w:pPr>
    </w:p>
    <w:p w14:paraId="3F44F41E" w14:textId="77777777" w:rsidR="00396C9B" w:rsidRPr="00781FE6" w:rsidRDefault="00396C9B" w:rsidP="00781FE6">
      <w:pPr>
        <w:pStyle w:val="Ttulo2"/>
      </w:pPr>
      <w:bookmarkStart w:id="888" w:name="_Toc140506467"/>
      <w:r w:rsidRPr="00781FE6">
        <w:t>LEWIS ENERGY</w:t>
      </w:r>
      <w:bookmarkEnd w:id="888"/>
      <w:r w:rsidRPr="00781FE6">
        <w:tab/>
      </w:r>
    </w:p>
    <w:p w14:paraId="1C7AA488" w14:textId="77777777" w:rsidR="00456774" w:rsidRPr="00781FE6" w:rsidRDefault="00456774" w:rsidP="00456774">
      <w:pPr>
        <w:pStyle w:val="Ttulo4"/>
      </w:pPr>
      <w:r w:rsidRPr="00781FE6">
        <w:t>LEWIS ENERGY</w:t>
      </w:r>
      <w:r w:rsidRPr="00781FE6">
        <w:tab/>
      </w:r>
    </w:p>
    <w:p w14:paraId="761ED5B3" w14:textId="7C32ADDD" w:rsidR="00396C9B" w:rsidRPr="00B85F1E" w:rsidRDefault="00396C9B" w:rsidP="00396C9B">
      <w:pPr>
        <w:rPr>
          <w:bCs/>
          <w:i/>
          <w:iCs/>
          <w:sz w:val="22"/>
          <w:szCs w:val="22"/>
        </w:rPr>
      </w:pPr>
      <w:r w:rsidRPr="00781FE6">
        <w:rPr>
          <w:bCs/>
          <w:sz w:val="22"/>
          <w:szCs w:val="22"/>
        </w:rPr>
        <w:t>"</w:t>
      </w:r>
      <w:r w:rsidRPr="00B85F1E">
        <w:rPr>
          <w:bCs/>
          <w:i/>
          <w:iCs/>
          <w:sz w:val="22"/>
          <w:szCs w:val="22"/>
        </w:rPr>
        <w:t xml:space="preserve">Al incluir una cláusula de ajuste regulatorio en los contratos de suministro después del último trimestre de 2025, podría limitar la capacidad tanto de compradores como vendedores, de adquirir compromisos de largo plazo más allá de ese periodo, debido a la incertidumbre que se genera al firmar un contrato sin conocer los potenciales ajustes a futuro por cambios regulatorios. </w:t>
      </w:r>
    </w:p>
    <w:p w14:paraId="17F917FC" w14:textId="77777777" w:rsidR="00396C9B" w:rsidRPr="00B85F1E" w:rsidRDefault="00396C9B" w:rsidP="00396C9B">
      <w:pPr>
        <w:rPr>
          <w:bCs/>
          <w:i/>
          <w:iCs/>
          <w:sz w:val="22"/>
          <w:szCs w:val="22"/>
        </w:rPr>
      </w:pPr>
    </w:p>
    <w:p w14:paraId="4A19DE03" w14:textId="09ECD982" w:rsidR="00396C9B" w:rsidRDefault="00396C9B" w:rsidP="00396C9B">
      <w:pPr>
        <w:rPr>
          <w:bCs/>
          <w:sz w:val="22"/>
          <w:szCs w:val="22"/>
        </w:rPr>
      </w:pPr>
      <w:r w:rsidRPr="00B85F1E">
        <w:rPr>
          <w:bCs/>
          <w:i/>
          <w:iCs/>
          <w:sz w:val="22"/>
          <w:szCs w:val="22"/>
        </w:rPr>
        <w:t>Incluso, la incertidumbre en las negociaciones entre compradores y vendedores sería mayor en la medida que se acerca ese trimestre y las partes tuvieran la intención de firmar contratos de suministro, independientemente del plazo a ser pactado</w:t>
      </w:r>
      <w:r w:rsidR="00B85F1E">
        <w:rPr>
          <w:bCs/>
          <w:sz w:val="22"/>
          <w:szCs w:val="22"/>
        </w:rPr>
        <w:t>.</w:t>
      </w:r>
      <w:r w:rsidRPr="00781FE6">
        <w:rPr>
          <w:bCs/>
          <w:sz w:val="22"/>
          <w:szCs w:val="22"/>
        </w:rPr>
        <w:t>"</w:t>
      </w:r>
    </w:p>
    <w:p w14:paraId="4B9B5945" w14:textId="77777777" w:rsidR="00B85F1E" w:rsidRDefault="00B85F1E" w:rsidP="00396C9B">
      <w:pPr>
        <w:rPr>
          <w:bCs/>
          <w:sz w:val="22"/>
          <w:szCs w:val="22"/>
        </w:rPr>
      </w:pPr>
    </w:p>
    <w:p w14:paraId="56983BE7" w14:textId="19ED30D9" w:rsidR="00B85F1E" w:rsidRPr="00B85F1E" w:rsidRDefault="00B85F1E" w:rsidP="00396C9B">
      <w:pPr>
        <w:rPr>
          <w:b/>
          <w:sz w:val="22"/>
          <w:szCs w:val="22"/>
        </w:rPr>
      </w:pPr>
      <w:r w:rsidRPr="00B85F1E">
        <w:rPr>
          <w:b/>
          <w:sz w:val="22"/>
          <w:szCs w:val="22"/>
        </w:rPr>
        <w:t>Respuesta:</w:t>
      </w:r>
    </w:p>
    <w:p w14:paraId="78E26BF9" w14:textId="77777777" w:rsidR="00B85F1E" w:rsidRDefault="00B85F1E" w:rsidP="00396C9B">
      <w:pPr>
        <w:rPr>
          <w:bCs/>
          <w:sz w:val="22"/>
          <w:szCs w:val="22"/>
        </w:rPr>
      </w:pPr>
    </w:p>
    <w:p w14:paraId="4B4A16DA" w14:textId="77777777" w:rsidR="00B85F1E" w:rsidRPr="00781FE6" w:rsidRDefault="00B85F1E" w:rsidP="00B85F1E">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_Ref133143636 \n \h </w:instrText>
      </w:r>
      <w:r>
        <w:rPr>
          <w:bCs/>
          <w:sz w:val="22"/>
          <w:szCs w:val="22"/>
        </w:rPr>
      </w:r>
      <w:r>
        <w:rPr>
          <w:bCs/>
          <w:sz w:val="22"/>
          <w:szCs w:val="22"/>
        </w:rPr>
        <w:fldChar w:fldCharType="separate"/>
      </w:r>
      <w:r>
        <w:rPr>
          <w:bCs/>
          <w:sz w:val="22"/>
          <w:szCs w:val="22"/>
        </w:rPr>
        <w:t>20.6.1.2</w:t>
      </w:r>
      <w:r>
        <w:rPr>
          <w:bCs/>
          <w:sz w:val="22"/>
          <w:szCs w:val="22"/>
        </w:rPr>
        <w:fldChar w:fldCharType="end"/>
      </w:r>
      <w:r>
        <w:rPr>
          <w:bCs/>
          <w:sz w:val="22"/>
          <w:szCs w:val="22"/>
        </w:rPr>
        <w:t>.</w:t>
      </w:r>
    </w:p>
    <w:p w14:paraId="229A49AF" w14:textId="77777777" w:rsidR="00396C9B" w:rsidRPr="00781FE6" w:rsidRDefault="00396C9B" w:rsidP="00396C9B">
      <w:pPr>
        <w:rPr>
          <w:bCs/>
          <w:sz w:val="22"/>
          <w:szCs w:val="22"/>
        </w:rPr>
      </w:pPr>
    </w:p>
    <w:p w14:paraId="49A86B8D" w14:textId="77777777" w:rsidR="00396C9B" w:rsidRPr="00781FE6" w:rsidRDefault="00396C9B" w:rsidP="00396C9B">
      <w:pPr>
        <w:rPr>
          <w:bCs/>
          <w:sz w:val="22"/>
          <w:szCs w:val="22"/>
        </w:rPr>
      </w:pPr>
    </w:p>
    <w:p w14:paraId="00BC8252" w14:textId="77777777" w:rsidR="00396C9B" w:rsidRPr="00781FE6" w:rsidRDefault="00396C9B" w:rsidP="00781FE6">
      <w:pPr>
        <w:pStyle w:val="Ttulo2"/>
      </w:pPr>
      <w:bookmarkStart w:id="889" w:name="_Toc140506468"/>
      <w:r w:rsidRPr="00781FE6">
        <w:t>METROGAS ESP</w:t>
      </w:r>
      <w:bookmarkEnd w:id="889"/>
      <w:r w:rsidRPr="00781FE6">
        <w:tab/>
      </w:r>
    </w:p>
    <w:p w14:paraId="43592DD0" w14:textId="77777777" w:rsidR="00456774" w:rsidRPr="00781FE6" w:rsidRDefault="00456774" w:rsidP="00456774">
      <w:pPr>
        <w:pStyle w:val="Ttulo4"/>
      </w:pPr>
      <w:r w:rsidRPr="00781FE6">
        <w:t>METROGAS ESP</w:t>
      </w:r>
      <w:r w:rsidRPr="00781FE6">
        <w:tab/>
      </w:r>
    </w:p>
    <w:p w14:paraId="50A51017" w14:textId="51511085" w:rsidR="00396C9B" w:rsidRDefault="00396C9B" w:rsidP="00396C9B">
      <w:pPr>
        <w:rPr>
          <w:bCs/>
          <w:sz w:val="22"/>
          <w:szCs w:val="22"/>
        </w:rPr>
      </w:pPr>
      <w:r w:rsidRPr="00781FE6">
        <w:rPr>
          <w:bCs/>
          <w:sz w:val="22"/>
          <w:szCs w:val="22"/>
        </w:rPr>
        <w:t>"</w:t>
      </w:r>
      <w:r w:rsidRPr="00B85F1E">
        <w:rPr>
          <w:bCs/>
          <w:i/>
          <w:iCs/>
          <w:sz w:val="22"/>
          <w:szCs w:val="22"/>
        </w:rPr>
        <w:t>Suscribir contratos sujetos a cambios no previstos ni gestionables por las partes agrega un componente de incertidumbre a la actividad de comercialización</w:t>
      </w:r>
      <w:r w:rsidRPr="00781FE6">
        <w:rPr>
          <w:bCs/>
          <w:sz w:val="22"/>
          <w:szCs w:val="22"/>
        </w:rPr>
        <w:t>."</w:t>
      </w:r>
    </w:p>
    <w:p w14:paraId="0F683384" w14:textId="77777777" w:rsidR="00B85F1E" w:rsidRDefault="00B85F1E" w:rsidP="00396C9B">
      <w:pPr>
        <w:rPr>
          <w:bCs/>
          <w:sz w:val="22"/>
          <w:szCs w:val="22"/>
        </w:rPr>
      </w:pPr>
    </w:p>
    <w:p w14:paraId="5F0A0072" w14:textId="3E971F69" w:rsidR="00B85F1E" w:rsidRPr="00B85F1E" w:rsidRDefault="00B85F1E" w:rsidP="00396C9B">
      <w:pPr>
        <w:rPr>
          <w:b/>
          <w:sz w:val="22"/>
          <w:szCs w:val="22"/>
        </w:rPr>
      </w:pPr>
      <w:r w:rsidRPr="00B85F1E">
        <w:rPr>
          <w:b/>
          <w:sz w:val="22"/>
          <w:szCs w:val="22"/>
        </w:rPr>
        <w:t>Respuesta:</w:t>
      </w:r>
    </w:p>
    <w:p w14:paraId="18399C82" w14:textId="77777777" w:rsidR="00B85F1E" w:rsidRPr="00781FE6" w:rsidRDefault="00B85F1E" w:rsidP="00396C9B">
      <w:pPr>
        <w:rPr>
          <w:bCs/>
          <w:sz w:val="22"/>
          <w:szCs w:val="22"/>
        </w:rPr>
      </w:pPr>
    </w:p>
    <w:p w14:paraId="05D21B69" w14:textId="77777777" w:rsidR="00B85F1E" w:rsidRPr="00781FE6" w:rsidRDefault="00B85F1E" w:rsidP="00B85F1E">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_Ref133143636 \n \h </w:instrText>
      </w:r>
      <w:r>
        <w:rPr>
          <w:bCs/>
          <w:sz w:val="22"/>
          <w:szCs w:val="22"/>
        </w:rPr>
      </w:r>
      <w:r>
        <w:rPr>
          <w:bCs/>
          <w:sz w:val="22"/>
          <w:szCs w:val="22"/>
        </w:rPr>
        <w:fldChar w:fldCharType="separate"/>
      </w:r>
      <w:r>
        <w:rPr>
          <w:bCs/>
          <w:sz w:val="22"/>
          <w:szCs w:val="22"/>
        </w:rPr>
        <w:t>20.6.1.2</w:t>
      </w:r>
      <w:r>
        <w:rPr>
          <w:bCs/>
          <w:sz w:val="22"/>
          <w:szCs w:val="22"/>
        </w:rPr>
        <w:fldChar w:fldCharType="end"/>
      </w:r>
      <w:r>
        <w:rPr>
          <w:bCs/>
          <w:sz w:val="22"/>
          <w:szCs w:val="22"/>
        </w:rPr>
        <w:t>.</w:t>
      </w:r>
    </w:p>
    <w:p w14:paraId="1BA98C95" w14:textId="77777777" w:rsidR="00B85F1E" w:rsidRPr="00781FE6" w:rsidRDefault="00B85F1E" w:rsidP="00396C9B">
      <w:pPr>
        <w:rPr>
          <w:bCs/>
          <w:sz w:val="22"/>
          <w:szCs w:val="22"/>
        </w:rPr>
      </w:pPr>
    </w:p>
    <w:p w14:paraId="797933FE" w14:textId="77777777" w:rsidR="00396C9B" w:rsidRPr="00781FE6" w:rsidRDefault="00396C9B" w:rsidP="00396C9B">
      <w:pPr>
        <w:rPr>
          <w:bCs/>
          <w:sz w:val="22"/>
          <w:szCs w:val="22"/>
        </w:rPr>
      </w:pPr>
    </w:p>
    <w:p w14:paraId="75441E73" w14:textId="77777777" w:rsidR="00396C9B" w:rsidRPr="00781FE6" w:rsidRDefault="00396C9B" w:rsidP="00781FE6">
      <w:pPr>
        <w:pStyle w:val="Ttulo2"/>
      </w:pPr>
      <w:bookmarkStart w:id="890" w:name="_Toc140506469"/>
      <w:r w:rsidRPr="00781FE6">
        <w:t>NATURGAS</w:t>
      </w:r>
      <w:bookmarkEnd w:id="890"/>
      <w:r w:rsidRPr="00781FE6">
        <w:tab/>
      </w:r>
    </w:p>
    <w:p w14:paraId="465CF5B5" w14:textId="77777777" w:rsidR="00456774" w:rsidRPr="00781FE6" w:rsidRDefault="00456774" w:rsidP="00456774">
      <w:pPr>
        <w:pStyle w:val="Ttulo4"/>
      </w:pPr>
      <w:r w:rsidRPr="00781FE6">
        <w:t>NATURGAS</w:t>
      </w:r>
      <w:r w:rsidRPr="00781FE6">
        <w:tab/>
      </w:r>
    </w:p>
    <w:p w14:paraId="67672628" w14:textId="0F4686C1" w:rsidR="00396C9B" w:rsidRPr="00B85F1E" w:rsidRDefault="00396C9B" w:rsidP="00396C9B">
      <w:pPr>
        <w:rPr>
          <w:bCs/>
          <w:i/>
          <w:iCs/>
          <w:sz w:val="22"/>
          <w:szCs w:val="22"/>
        </w:rPr>
      </w:pPr>
      <w:r w:rsidRPr="00781FE6">
        <w:rPr>
          <w:bCs/>
          <w:sz w:val="22"/>
          <w:szCs w:val="22"/>
        </w:rPr>
        <w:t>"</w:t>
      </w:r>
      <w:r w:rsidRPr="00B85F1E">
        <w:rPr>
          <w:bCs/>
          <w:i/>
          <w:iCs/>
          <w:sz w:val="22"/>
          <w:szCs w:val="22"/>
        </w:rPr>
        <w:t xml:space="preserve">En este literal se plantea que </w:t>
      </w:r>
      <w:r w:rsidR="0049161B">
        <w:rPr>
          <w:bCs/>
          <w:i/>
          <w:iCs/>
          <w:sz w:val="22"/>
          <w:szCs w:val="22"/>
        </w:rPr>
        <w:t>‘</w:t>
      </w:r>
      <w:r w:rsidRPr="00B85F1E">
        <w:rPr>
          <w:bCs/>
          <w:i/>
          <w:iCs/>
          <w:sz w:val="22"/>
          <w:szCs w:val="22"/>
        </w:rPr>
        <w:t>Todos los contratos de suministro de gas que se suscriban en aplicación de las disposiciones de la presente resolución deberán contener una cláusula de ajuste regulatorio en la que se especifique que, después del último trimestre del año de gas de 2025, las condiciones contractuales deberán ajustarse conforme a las disposiciones que eventualmente determine la CREG</w:t>
      </w:r>
      <w:r w:rsidR="0049161B">
        <w:rPr>
          <w:bCs/>
          <w:i/>
          <w:iCs/>
          <w:sz w:val="22"/>
          <w:szCs w:val="22"/>
        </w:rPr>
        <w:t>’</w:t>
      </w:r>
      <w:r w:rsidRPr="00B85F1E">
        <w:rPr>
          <w:bCs/>
          <w:i/>
          <w:iCs/>
          <w:sz w:val="22"/>
          <w:szCs w:val="22"/>
        </w:rPr>
        <w:t>.</w:t>
      </w:r>
    </w:p>
    <w:p w14:paraId="7B2FCAA2" w14:textId="77777777" w:rsidR="00396C9B" w:rsidRPr="00B85F1E" w:rsidRDefault="00396C9B" w:rsidP="00396C9B">
      <w:pPr>
        <w:rPr>
          <w:bCs/>
          <w:i/>
          <w:iCs/>
          <w:sz w:val="22"/>
          <w:szCs w:val="22"/>
        </w:rPr>
      </w:pPr>
    </w:p>
    <w:p w14:paraId="737D9D96" w14:textId="77777777" w:rsidR="00396C9B" w:rsidRPr="00B85F1E" w:rsidRDefault="00396C9B" w:rsidP="00396C9B">
      <w:pPr>
        <w:rPr>
          <w:bCs/>
          <w:i/>
          <w:iCs/>
          <w:sz w:val="22"/>
          <w:szCs w:val="22"/>
        </w:rPr>
      </w:pPr>
      <w:r w:rsidRPr="00B85F1E">
        <w:rPr>
          <w:bCs/>
          <w:i/>
          <w:iCs/>
          <w:sz w:val="22"/>
          <w:szCs w:val="22"/>
        </w:rPr>
        <w:t xml:space="preserve">Esta disposición exige incluir cláusula de ajuste regulatorio en los contratos de suministro de tal manera que después del último trimestre del año de gas 2025 los contratos se puedan ajustar a las disposiciones que determine la CREG. El contenido de la disposición es similar a lo establecido en el parágrafo 2 del artículo 16 de la Resolución CREG 185 para el caso de transporte donde se prevé un eventual cambio de esquema para esa fecha. Sin embargo, en el caso de suministro de gas este tipo de cláusula genera alta incertidumbre sobre cuáles podrán ser los eventuales cambios que determine la CREG en ese momento. Esta incertidumbre es totalmente inconveniente para el mercado pues limita la contratación a no más allá de 2025; es decir, para períodos más allá de 2025 difícilmente las partes de un contrato asumen el riesgo de esa incertidumbre. </w:t>
      </w:r>
    </w:p>
    <w:p w14:paraId="351383B2" w14:textId="77777777" w:rsidR="00396C9B" w:rsidRPr="00B85F1E" w:rsidRDefault="00396C9B" w:rsidP="00396C9B">
      <w:pPr>
        <w:rPr>
          <w:bCs/>
          <w:i/>
          <w:iCs/>
          <w:sz w:val="22"/>
          <w:szCs w:val="22"/>
        </w:rPr>
      </w:pPr>
    </w:p>
    <w:p w14:paraId="48B01569" w14:textId="1FAC583B" w:rsidR="00396C9B" w:rsidRPr="00B85F1E" w:rsidRDefault="00396C9B" w:rsidP="00396C9B">
      <w:pPr>
        <w:rPr>
          <w:bCs/>
          <w:i/>
          <w:iCs/>
          <w:sz w:val="22"/>
          <w:szCs w:val="22"/>
        </w:rPr>
      </w:pPr>
      <w:r w:rsidRPr="00B85F1E">
        <w:rPr>
          <w:bCs/>
          <w:i/>
          <w:iCs/>
          <w:sz w:val="22"/>
          <w:szCs w:val="22"/>
        </w:rPr>
        <w:t>Por tanto, se solicita a la Comisión aclarar el alcance de esa cláusula de ajuste regulatorio para evitar la incertidumbre que introduce como está planteada en la propuesta, y en lo posible dejar abierta la posibilidad para que las partes de mutuo acuerdo fijen las cláusulas que consideren.</w:t>
      </w:r>
      <w:r w:rsidR="0079178B">
        <w:rPr>
          <w:bCs/>
          <w:i/>
          <w:iCs/>
          <w:sz w:val="22"/>
          <w:szCs w:val="22"/>
        </w:rPr>
        <w:t>”</w:t>
      </w:r>
    </w:p>
    <w:p w14:paraId="784478DF" w14:textId="77777777" w:rsidR="00B85F1E" w:rsidRDefault="00B85F1E" w:rsidP="00396C9B">
      <w:pPr>
        <w:rPr>
          <w:bCs/>
          <w:sz w:val="22"/>
          <w:szCs w:val="22"/>
        </w:rPr>
      </w:pPr>
    </w:p>
    <w:p w14:paraId="5F98D909" w14:textId="5FFA645C" w:rsidR="00B85F1E" w:rsidRPr="00B85F1E" w:rsidRDefault="00B85F1E" w:rsidP="00396C9B">
      <w:pPr>
        <w:rPr>
          <w:b/>
          <w:sz w:val="22"/>
          <w:szCs w:val="22"/>
        </w:rPr>
      </w:pPr>
      <w:r w:rsidRPr="00B85F1E">
        <w:rPr>
          <w:b/>
          <w:sz w:val="22"/>
          <w:szCs w:val="22"/>
        </w:rPr>
        <w:t>Respuesta:</w:t>
      </w:r>
    </w:p>
    <w:p w14:paraId="3BBE92E0" w14:textId="77777777" w:rsidR="00B85F1E" w:rsidRDefault="00B85F1E" w:rsidP="00396C9B">
      <w:pPr>
        <w:rPr>
          <w:bCs/>
          <w:sz w:val="22"/>
          <w:szCs w:val="22"/>
        </w:rPr>
      </w:pPr>
    </w:p>
    <w:p w14:paraId="33168718" w14:textId="77777777" w:rsidR="00B85F1E" w:rsidRPr="00781FE6" w:rsidRDefault="00B85F1E" w:rsidP="00B85F1E">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_Ref133143636 \n \h </w:instrText>
      </w:r>
      <w:r>
        <w:rPr>
          <w:bCs/>
          <w:sz w:val="22"/>
          <w:szCs w:val="22"/>
        </w:rPr>
      </w:r>
      <w:r>
        <w:rPr>
          <w:bCs/>
          <w:sz w:val="22"/>
          <w:szCs w:val="22"/>
        </w:rPr>
        <w:fldChar w:fldCharType="separate"/>
      </w:r>
      <w:r>
        <w:rPr>
          <w:bCs/>
          <w:sz w:val="22"/>
          <w:szCs w:val="22"/>
        </w:rPr>
        <w:t>20.6.1.2</w:t>
      </w:r>
      <w:r>
        <w:rPr>
          <w:bCs/>
          <w:sz w:val="22"/>
          <w:szCs w:val="22"/>
        </w:rPr>
        <w:fldChar w:fldCharType="end"/>
      </w:r>
      <w:r>
        <w:rPr>
          <w:bCs/>
          <w:sz w:val="22"/>
          <w:szCs w:val="22"/>
        </w:rPr>
        <w:t>.</w:t>
      </w:r>
    </w:p>
    <w:p w14:paraId="77D2E929" w14:textId="77777777" w:rsidR="00396C9B" w:rsidRPr="00781FE6" w:rsidRDefault="00396C9B" w:rsidP="00396C9B">
      <w:pPr>
        <w:rPr>
          <w:bCs/>
          <w:sz w:val="22"/>
          <w:szCs w:val="22"/>
        </w:rPr>
      </w:pPr>
    </w:p>
    <w:p w14:paraId="6B51A51E" w14:textId="77777777" w:rsidR="00396C9B" w:rsidRPr="00781FE6" w:rsidRDefault="00396C9B" w:rsidP="00396C9B">
      <w:pPr>
        <w:rPr>
          <w:bCs/>
          <w:sz w:val="22"/>
          <w:szCs w:val="22"/>
        </w:rPr>
      </w:pPr>
    </w:p>
    <w:p w14:paraId="2CF5356B" w14:textId="77777777" w:rsidR="00396C9B" w:rsidRPr="00781FE6" w:rsidRDefault="00396C9B" w:rsidP="00781FE6">
      <w:pPr>
        <w:pStyle w:val="Ttulo2"/>
      </w:pPr>
      <w:bookmarkStart w:id="891" w:name="_Toc140506470"/>
      <w:r w:rsidRPr="00781FE6">
        <w:t>PETROMIL</w:t>
      </w:r>
      <w:bookmarkEnd w:id="891"/>
      <w:r w:rsidRPr="00781FE6">
        <w:tab/>
      </w:r>
    </w:p>
    <w:p w14:paraId="67E4B64B" w14:textId="77777777" w:rsidR="00456774" w:rsidRPr="00781FE6" w:rsidRDefault="00456774" w:rsidP="00456774">
      <w:pPr>
        <w:pStyle w:val="Ttulo4"/>
      </w:pPr>
      <w:r w:rsidRPr="00781FE6">
        <w:t>PETROMIL</w:t>
      </w:r>
      <w:r w:rsidRPr="00781FE6">
        <w:tab/>
      </w:r>
    </w:p>
    <w:p w14:paraId="706E47F7" w14:textId="363867DC" w:rsidR="00396C9B" w:rsidRPr="00B85F1E" w:rsidRDefault="00396C9B" w:rsidP="00396C9B">
      <w:pPr>
        <w:rPr>
          <w:bCs/>
          <w:i/>
          <w:iCs/>
          <w:sz w:val="22"/>
          <w:szCs w:val="22"/>
        </w:rPr>
      </w:pPr>
      <w:r w:rsidRPr="00781FE6">
        <w:rPr>
          <w:bCs/>
          <w:sz w:val="22"/>
          <w:szCs w:val="22"/>
        </w:rPr>
        <w:t>"</w:t>
      </w:r>
      <w:r w:rsidRPr="00B85F1E">
        <w:rPr>
          <w:bCs/>
          <w:i/>
          <w:iCs/>
          <w:sz w:val="22"/>
          <w:szCs w:val="22"/>
        </w:rPr>
        <w:t>Bajo nuestra interpretación con esta resolución no se estarían cumpliendo los objetivos antes mencionados, con base en las siguientes consideraciones:</w:t>
      </w:r>
    </w:p>
    <w:p w14:paraId="51CBC138" w14:textId="77777777" w:rsidR="00396C9B" w:rsidRPr="00B85F1E" w:rsidRDefault="00396C9B" w:rsidP="00396C9B">
      <w:pPr>
        <w:rPr>
          <w:bCs/>
          <w:i/>
          <w:iCs/>
          <w:sz w:val="22"/>
          <w:szCs w:val="22"/>
        </w:rPr>
      </w:pPr>
    </w:p>
    <w:p w14:paraId="10C0702A" w14:textId="77777777" w:rsidR="00396C9B" w:rsidRDefault="00396C9B" w:rsidP="00396C9B">
      <w:pPr>
        <w:rPr>
          <w:bCs/>
          <w:i/>
          <w:iCs/>
          <w:sz w:val="22"/>
          <w:szCs w:val="22"/>
        </w:rPr>
      </w:pPr>
      <w:r w:rsidRPr="00B85F1E">
        <w:rPr>
          <w:bCs/>
          <w:i/>
          <w:iCs/>
          <w:sz w:val="22"/>
          <w:szCs w:val="22"/>
        </w:rPr>
        <w:t>• Con ocasión a la obligación de publicar y reportar la totalidad de los contratos, sus términos y condiciones, detalles asociados a cantidades, precios, puntos de entrega, los agentes de otros mercados de combustible (competencia/sustitutos) podrían acceder a esta información que genera una ventaja competitiva entre un agente y otro.</w:t>
      </w:r>
    </w:p>
    <w:p w14:paraId="6298389A" w14:textId="77777777" w:rsidR="007D5D74" w:rsidRDefault="007D5D74" w:rsidP="00396C9B">
      <w:pPr>
        <w:rPr>
          <w:bCs/>
          <w:i/>
          <w:iCs/>
          <w:sz w:val="22"/>
          <w:szCs w:val="22"/>
        </w:rPr>
      </w:pPr>
    </w:p>
    <w:p w14:paraId="636991D7" w14:textId="2B10EE27" w:rsidR="007D5D74" w:rsidRPr="007D5D74" w:rsidRDefault="007D5D74" w:rsidP="00396C9B">
      <w:pPr>
        <w:rPr>
          <w:b/>
          <w:sz w:val="22"/>
          <w:szCs w:val="22"/>
        </w:rPr>
      </w:pPr>
      <w:r w:rsidRPr="007D5D74">
        <w:rPr>
          <w:b/>
          <w:sz w:val="22"/>
          <w:szCs w:val="22"/>
        </w:rPr>
        <w:t>Respuesta:</w:t>
      </w:r>
    </w:p>
    <w:p w14:paraId="15D50DFA" w14:textId="77777777" w:rsidR="007D5D74" w:rsidRPr="007D5D74" w:rsidRDefault="007D5D74" w:rsidP="00396C9B">
      <w:pPr>
        <w:rPr>
          <w:bCs/>
          <w:sz w:val="22"/>
          <w:szCs w:val="22"/>
        </w:rPr>
      </w:pPr>
    </w:p>
    <w:p w14:paraId="0F9EB599" w14:textId="54AB4848" w:rsidR="007D5D74" w:rsidRPr="007D5D74" w:rsidRDefault="007D5D74" w:rsidP="00396C9B">
      <w:pPr>
        <w:rPr>
          <w:bCs/>
          <w:sz w:val="22"/>
          <w:szCs w:val="22"/>
        </w:rPr>
      </w:pPr>
      <w:r>
        <w:rPr>
          <w:bCs/>
          <w:sz w:val="22"/>
          <w:szCs w:val="22"/>
        </w:rPr>
        <w:t xml:space="preserve">La gran mayoría de la nueva información requerida en la propuesta, que se reordena en el Anexo de información de los contratos de suministro que se registran al Gestor del Mercado, se requiere solo para efectos de verificación del Gestor del Mercado de acuerdo con lo que se le establece para efectos de realizar registro de contratos, efectos de seguimiento y vigilancia de las autoridades competentes y efectos de seguimiento de resultados de las nuevas resoluciones por parte de la CREG. La información que es publicada por el Gestor del Mercado seguirá teniendo el mismo alcance, cumpliendo con un criterio de no individualizarla respecto de vendedores y compradores del Mercado Mayorista de Gas Natural.  </w:t>
      </w:r>
    </w:p>
    <w:p w14:paraId="398B7D7C" w14:textId="77777777" w:rsidR="007D5D74" w:rsidRPr="00B85F1E" w:rsidRDefault="007D5D74" w:rsidP="00396C9B">
      <w:pPr>
        <w:rPr>
          <w:bCs/>
          <w:i/>
          <w:iCs/>
          <w:sz w:val="22"/>
          <w:szCs w:val="22"/>
        </w:rPr>
      </w:pPr>
    </w:p>
    <w:p w14:paraId="419BC789" w14:textId="77777777" w:rsidR="00396C9B" w:rsidRPr="00B85F1E" w:rsidRDefault="00396C9B" w:rsidP="00396C9B">
      <w:pPr>
        <w:rPr>
          <w:bCs/>
          <w:i/>
          <w:iCs/>
          <w:sz w:val="22"/>
          <w:szCs w:val="22"/>
        </w:rPr>
      </w:pPr>
    </w:p>
    <w:p w14:paraId="0E20611B" w14:textId="77777777" w:rsidR="007D5D74" w:rsidRPr="00781FE6" w:rsidRDefault="007D5D74" w:rsidP="007D5D74">
      <w:pPr>
        <w:pStyle w:val="Ttulo4"/>
      </w:pPr>
      <w:r w:rsidRPr="00781FE6">
        <w:t>PETROMIL</w:t>
      </w:r>
      <w:r w:rsidRPr="00781FE6">
        <w:tab/>
      </w:r>
    </w:p>
    <w:p w14:paraId="1042A92A" w14:textId="1CFF8258" w:rsidR="00396C9B" w:rsidRPr="00B85F1E" w:rsidRDefault="002B73C5" w:rsidP="00396C9B">
      <w:pPr>
        <w:rPr>
          <w:bCs/>
          <w:i/>
          <w:iCs/>
          <w:sz w:val="22"/>
          <w:szCs w:val="22"/>
        </w:rPr>
      </w:pPr>
      <w:r>
        <w:rPr>
          <w:bCs/>
          <w:i/>
          <w:iCs/>
          <w:sz w:val="22"/>
          <w:szCs w:val="22"/>
        </w:rPr>
        <w:t>“</w:t>
      </w:r>
      <w:r w:rsidR="00396C9B" w:rsidRPr="00B85F1E">
        <w:rPr>
          <w:bCs/>
          <w:i/>
          <w:iCs/>
          <w:sz w:val="22"/>
          <w:szCs w:val="22"/>
        </w:rPr>
        <w:t>• Analizando la Resolución 227 en conjunto con la Resolución 226 nos lleva a concluir que existe un riesgo potencial de reducir la participación en el mercado del comercializador puro, e incluso su potencial desaparición, teniendo en cuenta que su actividad no sería sostenible por los argumentos antes mencionados y así mismo, acabaría con la flexibilidad que el comercializador puro pone a disposición del mercado.</w:t>
      </w:r>
    </w:p>
    <w:p w14:paraId="6860744A" w14:textId="77777777" w:rsidR="00396C9B" w:rsidRPr="00B85F1E" w:rsidRDefault="00396C9B" w:rsidP="00396C9B">
      <w:pPr>
        <w:rPr>
          <w:bCs/>
          <w:i/>
          <w:iCs/>
          <w:sz w:val="22"/>
          <w:szCs w:val="22"/>
        </w:rPr>
      </w:pPr>
    </w:p>
    <w:p w14:paraId="575A3863" w14:textId="77777777" w:rsidR="00396C9B" w:rsidRDefault="00396C9B" w:rsidP="00396C9B">
      <w:pPr>
        <w:rPr>
          <w:bCs/>
          <w:sz w:val="22"/>
          <w:szCs w:val="22"/>
        </w:rPr>
      </w:pPr>
      <w:r w:rsidRPr="00B85F1E">
        <w:rPr>
          <w:bCs/>
          <w:i/>
          <w:iCs/>
          <w:sz w:val="22"/>
          <w:szCs w:val="22"/>
        </w:rPr>
        <w:t xml:space="preserve">Razón por la cual, sugerimos nuevamente que ambas resoluciones sean remitidas a la SIC, previa a su expedición, para que esa entidad conceptúe sobre su incidencia en la libre competencia, en los términos del artículo 7 de la Ley 1340 de 2009, toda vez que, algunos elementos de la propuesta tienen el potencial de: i) limitar la posibilidad de los agentes que participan en el mercado para distribuir o comercializar sus productos según su realidad operativa; o </w:t>
      </w:r>
      <w:proofErr w:type="spellStart"/>
      <w:r w:rsidRPr="00B85F1E">
        <w:rPr>
          <w:bCs/>
          <w:i/>
          <w:iCs/>
          <w:sz w:val="22"/>
          <w:szCs w:val="22"/>
        </w:rPr>
        <w:t>ii</w:t>
      </w:r>
      <w:proofErr w:type="spellEnd"/>
      <w:r w:rsidRPr="00B85F1E">
        <w:rPr>
          <w:bCs/>
          <w:i/>
          <w:iCs/>
          <w:sz w:val="22"/>
          <w:szCs w:val="22"/>
        </w:rPr>
        <w:t>) constituirse en barreras de entrada al mercado</w:t>
      </w:r>
      <w:r w:rsidRPr="00781FE6">
        <w:rPr>
          <w:bCs/>
          <w:sz w:val="22"/>
          <w:szCs w:val="22"/>
        </w:rPr>
        <w:t>."</w:t>
      </w:r>
    </w:p>
    <w:p w14:paraId="39860330" w14:textId="77777777" w:rsidR="00B85F1E" w:rsidRDefault="00B85F1E" w:rsidP="00396C9B">
      <w:pPr>
        <w:rPr>
          <w:bCs/>
          <w:sz w:val="22"/>
          <w:szCs w:val="22"/>
        </w:rPr>
      </w:pPr>
    </w:p>
    <w:p w14:paraId="4398E225" w14:textId="1F9E510B" w:rsidR="00B85F1E" w:rsidRPr="00B85F1E" w:rsidRDefault="00B85F1E" w:rsidP="00396C9B">
      <w:pPr>
        <w:rPr>
          <w:b/>
          <w:sz w:val="22"/>
          <w:szCs w:val="22"/>
        </w:rPr>
      </w:pPr>
      <w:r w:rsidRPr="00B85F1E">
        <w:rPr>
          <w:b/>
          <w:sz w:val="22"/>
          <w:szCs w:val="22"/>
        </w:rPr>
        <w:t>Respuesta:</w:t>
      </w:r>
    </w:p>
    <w:p w14:paraId="396B8AAB" w14:textId="77777777" w:rsidR="00B85F1E" w:rsidRDefault="00B85F1E" w:rsidP="00396C9B">
      <w:pPr>
        <w:rPr>
          <w:bCs/>
          <w:sz w:val="22"/>
          <w:szCs w:val="22"/>
        </w:rPr>
      </w:pPr>
    </w:p>
    <w:p w14:paraId="1A9ECA24" w14:textId="7CCE1DFB" w:rsidR="00B85F1E" w:rsidRDefault="007D5D74" w:rsidP="00396C9B">
      <w:pPr>
        <w:rPr>
          <w:bCs/>
          <w:sz w:val="22"/>
          <w:szCs w:val="22"/>
        </w:rPr>
      </w:pPr>
      <w:r>
        <w:rPr>
          <w:bCs/>
          <w:sz w:val="22"/>
          <w:szCs w:val="22"/>
        </w:rPr>
        <w:t>La CREG procederá como prevén las normas de competencia, una vez se hayan aprobado los ajustes para publicación definitiva y previo a su publicación</w:t>
      </w:r>
      <w:r w:rsidR="00F9409F">
        <w:rPr>
          <w:bCs/>
          <w:sz w:val="22"/>
          <w:szCs w:val="22"/>
        </w:rPr>
        <w:t xml:space="preserve"> efectiva</w:t>
      </w:r>
      <w:r>
        <w:rPr>
          <w:bCs/>
          <w:sz w:val="22"/>
          <w:szCs w:val="22"/>
        </w:rPr>
        <w:t xml:space="preserve">. </w:t>
      </w:r>
    </w:p>
    <w:p w14:paraId="5547ED86" w14:textId="77777777" w:rsidR="007D5D74" w:rsidRDefault="007D5D74" w:rsidP="00396C9B">
      <w:pPr>
        <w:rPr>
          <w:bCs/>
          <w:sz w:val="22"/>
          <w:szCs w:val="22"/>
        </w:rPr>
      </w:pPr>
    </w:p>
    <w:p w14:paraId="269ECD76" w14:textId="78E7EC31" w:rsidR="00A15B9F" w:rsidRDefault="007D5D74" w:rsidP="00D601D7">
      <w:pPr>
        <w:rPr>
          <w:bCs/>
          <w:sz w:val="22"/>
          <w:szCs w:val="22"/>
        </w:rPr>
      </w:pPr>
      <w:r>
        <w:rPr>
          <w:bCs/>
          <w:sz w:val="22"/>
          <w:szCs w:val="22"/>
        </w:rPr>
        <w:t>Como se ha indicado desde el inicio de la reglamentación del Mercado Mayorista de Gas Natural</w:t>
      </w:r>
      <w:r w:rsidR="00F9409F">
        <w:rPr>
          <w:bCs/>
          <w:sz w:val="22"/>
          <w:szCs w:val="22"/>
        </w:rPr>
        <w:t xml:space="preserve">, </w:t>
      </w:r>
      <w:r>
        <w:rPr>
          <w:bCs/>
          <w:sz w:val="22"/>
          <w:szCs w:val="22"/>
        </w:rPr>
        <w:t xml:space="preserve">en cumplimiento de lo establecido en la Ley 142 de 1994 y con mayor </w:t>
      </w:r>
      <w:r w:rsidR="00F9409F">
        <w:rPr>
          <w:bCs/>
          <w:sz w:val="22"/>
          <w:szCs w:val="22"/>
        </w:rPr>
        <w:t>desarrollo</w:t>
      </w:r>
      <w:r>
        <w:rPr>
          <w:bCs/>
          <w:sz w:val="22"/>
          <w:szCs w:val="22"/>
        </w:rPr>
        <w:t xml:space="preserve"> en el Decreto Único Reglamentario del Sector Minas y Energía 1073 de 2015, </w:t>
      </w:r>
      <w:r w:rsidR="00F9409F">
        <w:rPr>
          <w:bCs/>
          <w:sz w:val="22"/>
          <w:szCs w:val="22"/>
        </w:rPr>
        <w:t>los</w:t>
      </w:r>
      <w:r w:rsidR="00D601D7">
        <w:rPr>
          <w:bCs/>
          <w:sz w:val="22"/>
          <w:szCs w:val="22"/>
        </w:rPr>
        <w:t xml:space="preserve"> objetivo</w:t>
      </w:r>
      <w:r w:rsidR="00F9409F">
        <w:rPr>
          <w:bCs/>
          <w:sz w:val="22"/>
          <w:szCs w:val="22"/>
        </w:rPr>
        <w:t>s</w:t>
      </w:r>
      <w:r w:rsidR="00D601D7">
        <w:rPr>
          <w:bCs/>
          <w:sz w:val="22"/>
          <w:szCs w:val="22"/>
        </w:rPr>
        <w:t xml:space="preserve"> principa</w:t>
      </w:r>
      <w:r w:rsidR="00F9409F">
        <w:rPr>
          <w:bCs/>
          <w:sz w:val="22"/>
          <w:szCs w:val="22"/>
        </w:rPr>
        <w:t>l</w:t>
      </w:r>
      <w:r w:rsidR="00D601D7">
        <w:rPr>
          <w:bCs/>
          <w:sz w:val="22"/>
          <w:szCs w:val="22"/>
        </w:rPr>
        <w:t>es</w:t>
      </w:r>
      <w:r w:rsidR="00F9409F">
        <w:rPr>
          <w:bCs/>
          <w:sz w:val="22"/>
          <w:szCs w:val="22"/>
        </w:rPr>
        <w:t xml:space="preserve"> que se buscan alcanzar consisten en establecer reglas que:</w:t>
      </w:r>
    </w:p>
    <w:p w14:paraId="4DD5EA33" w14:textId="77777777" w:rsidR="00F9409F" w:rsidRDefault="00F9409F" w:rsidP="00D601D7">
      <w:pPr>
        <w:rPr>
          <w:bCs/>
          <w:sz w:val="22"/>
          <w:szCs w:val="22"/>
        </w:rPr>
      </w:pPr>
    </w:p>
    <w:p w14:paraId="00DFB0BB" w14:textId="14CC7C58" w:rsidR="00A15B9F" w:rsidRPr="00F9409F" w:rsidRDefault="00F9409F" w:rsidP="00F9409F">
      <w:pPr>
        <w:pStyle w:val="Prrafodelista"/>
        <w:numPr>
          <w:ilvl w:val="0"/>
          <w:numId w:val="24"/>
        </w:numPr>
        <w:rPr>
          <w:bCs/>
          <w:sz w:val="22"/>
          <w:szCs w:val="22"/>
        </w:rPr>
      </w:pPr>
      <w:r>
        <w:rPr>
          <w:bCs/>
          <w:sz w:val="22"/>
          <w:szCs w:val="22"/>
        </w:rPr>
        <w:t>P</w:t>
      </w:r>
      <w:r w:rsidR="006D55F6" w:rsidRPr="00F9409F">
        <w:rPr>
          <w:bCs/>
          <w:sz w:val="22"/>
          <w:szCs w:val="22"/>
        </w:rPr>
        <w:t>romuevan la competencia</w:t>
      </w:r>
      <w:r>
        <w:rPr>
          <w:bCs/>
          <w:sz w:val="22"/>
          <w:szCs w:val="22"/>
        </w:rPr>
        <w:t>.</w:t>
      </w:r>
      <w:r w:rsidR="006D55F6" w:rsidRPr="00F9409F">
        <w:rPr>
          <w:bCs/>
          <w:sz w:val="22"/>
          <w:szCs w:val="22"/>
        </w:rPr>
        <w:t xml:space="preserve"> </w:t>
      </w:r>
    </w:p>
    <w:p w14:paraId="01DB1BF4" w14:textId="0125100F" w:rsidR="00A15B9F" w:rsidRPr="00F9409F" w:rsidRDefault="00F9409F" w:rsidP="00F9409F">
      <w:pPr>
        <w:pStyle w:val="Prrafodelista"/>
        <w:numPr>
          <w:ilvl w:val="0"/>
          <w:numId w:val="24"/>
        </w:numPr>
        <w:rPr>
          <w:bCs/>
          <w:sz w:val="22"/>
          <w:szCs w:val="22"/>
        </w:rPr>
      </w:pPr>
      <w:r>
        <w:rPr>
          <w:bCs/>
          <w:sz w:val="22"/>
          <w:szCs w:val="22"/>
        </w:rPr>
        <w:t>P</w:t>
      </w:r>
      <w:r w:rsidR="006D55F6" w:rsidRPr="00F9409F">
        <w:rPr>
          <w:bCs/>
          <w:sz w:val="22"/>
          <w:szCs w:val="22"/>
        </w:rPr>
        <w:t xml:space="preserve">ropicien la formación de precios eficientes a través de procesos que reflejen el costo de </w:t>
      </w:r>
    </w:p>
    <w:p w14:paraId="7D1D4507" w14:textId="1BEBF31B" w:rsidR="00A15B9F" w:rsidRDefault="006D55F6" w:rsidP="00F9409F">
      <w:pPr>
        <w:ind w:firstLine="360"/>
        <w:rPr>
          <w:bCs/>
          <w:sz w:val="22"/>
          <w:szCs w:val="22"/>
        </w:rPr>
      </w:pPr>
      <w:r w:rsidRPr="006D55F6">
        <w:rPr>
          <w:bCs/>
          <w:sz w:val="22"/>
          <w:szCs w:val="22"/>
        </w:rPr>
        <w:t>oportunidad del recurso,</w:t>
      </w:r>
      <w:r>
        <w:rPr>
          <w:bCs/>
          <w:sz w:val="22"/>
          <w:szCs w:val="22"/>
        </w:rPr>
        <w:t xml:space="preserve"> </w:t>
      </w:r>
      <w:r w:rsidRPr="006D55F6">
        <w:rPr>
          <w:bCs/>
          <w:sz w:val="22"/>
          <w:szCs w:val="22"/>
        </w:rPr>
        <w:t>considerando las diferentes variables que inciden en su formación</w:t>
      </w:r>
      <w:r w:rsidR="00F9409F">
        <w:rPr>
          <w:bCs/>
          <w:sz w:val="22"/>
          <w:szCs w:val="22"/>
        </w:rPr>
        <w:t>.</w:t>
      </w:r>
      <w:r w:rsidRPr="006D55F6">
        <w:rPr>
          <w:bCs/>
          <w:sz w:val="22"/>
          <w:szCs w:val="22"/>
        </w:rPr>
        <w:t xml:space="preserve"> </w:t>
      </w:r>
    </w:p>
    <w:p w14:paraId="2658E00A" w14:textId="77777777" w:rsidR="00F9409F" w:rsidRDefault="00F9409F" w:rsidP="004D7395">
      <w:pPr>
        <w:pStyle w:val="Prrafodelista"/>
        <w:numPr>
          <w:ilvl w:val="0"/>
          <w:numId w:val="24"/>
        </w:numPr>
        <w:rPr>
          <w:bCs/>
          <w:sz w:val="22"/>
          <w:szCs w:val="22"/>
        </w:rPr>
      </w:pPr>
      <w:r w:rsidRPr="00F9409F">
        <w:rPr>
          <w:bCs/>
          <w:sz w:val="22"/>
          <w:szCs w:val="22"/>
        </w:rPr>
        <w:t>Mi</w:t>
      </w:r>
      <w:r w:rsidR="006D55F6" w:rsidRPr="00F9409F">
        <w:rPr>
          <w:bCs/>
          <w:sz w:val="22"/>
          <w:szCs w:val="22"/>
        </w:rPr>
        <w:t>tiguen los efectos de la concentración del mercad</w:t>
      </w:r>
      <w:r w:rsidRPr="00F9409F">
        <w:rPr>
          <w:bCs/>
          <w:sz w:val="22"/>
          <w:szCs w:val="22"/>
        </w:rPr>
        <w:t>o.</w:t>
      </w:r>
    </w:p>
    <w:p w14:paraId="40812976" w14:textId="77777777" w:rsidR="00F9409F" w:rsidRDefault="00F9409F" w:rsidP="004D7395">
      <w:pPr>
        <w:pStyle w:val="Prrafodelista"/>
        <w:numPr>
          <w:ilvl w:val="0"/>
          <w:numId w:val="24"/>
        </w:numPr>
        <w:rPr>
          <w:bCs/>
          <w:sz w:val="22"/>
          <w:szCs w:val="22"/>
        </w:rPr>
      </w:pPr>
      <w:r w:rsidRPr="00F9409F">
        <w:rPr>
          <w:bCs/>
          <w:sz w:val="22"/>
          <w:szCs w:val="22"/>
        </w:rPr>
        <w:t>G</w:t>
      </w:r>
      <w:r w:rsidR="006D55F6" w:rsidRPr="00F9409F">
        <w:rPr>
          <w:bCs/>
          <w:sz w:val="22"/>
          <w:szCs w:val="22"/>
        </w:rPr>
        <w:t xml:space="preserve">eneren información oportuna y suficiente para los Agentes. </w:t>
      </w:r>
    </w:p>
    <w:p w14:paraId="6F3228C4" w14:textId="77777777" w:rsidR="00F9409F" w:rsidRDefault="00F9409F" w:rsidP="004D7395">
      <w:pPr>
        <w:pStyle w:val="Prrafodelista"/>
        <w:numPr>
          <w:ilvl w:val="0"/>
          <w:numId w:val="24"/>
        </w:numPr>
        <w:rPr>
          <w:bCs/>
          <w:sz w:val="22"/>
          <w:szCs w:val="22"/>
        </w:rPr>
      </w:pPr>
      <w:r w:rsidRPr="00F9409F">
        <w:rPr>
          <w:bCs/>
          <w:sz w:val="22"/>
          <w:szCs w:val="22"/>
        </w:rPr>
        <w:t>P</w:t>
      </w:r>
      <w:r w:rsidR="00D601D7" w:rsidRPr="00F9409F">
        <w:rPr>
          <w:bCs/>
          <w:sz w:val="22"/>
          <w:szCs w:val="22"/>
        </w:rPr>
        <w:t>ropendan por el equilibrio de las relaciones contractuales entre los Agentes Operacionales</w:t>
      </w:r>
      <w:r w:rsidR="006D55F6" w:rsidRPr="00F9409F">
        <w:rPr>
          <w:bCs/>
          <w:sz w:val="22"/>
          <w:szCs w:val="22"/>
        </w:rPr>
        <w:t>.</w:t>
      </w:r>
    </w:p>
    <w:p w14:paraId="064E7CBE" w14:textId="20657B5F" w:rsidR="00455FD7" w:rsidRPr="00F9409F" w:rsidRDefault="00F9409F" w:rsidP="004D7395">
      <w:pPr>
        <w:pStyle w:val="Prrafodelista"/>
        <w:numPr>
          <w:ilvl w:val="0"/>
          <w:numId w:val="24"/>
        </w:numPr>
        <w:rPr>
          <w:bCs/>
          <w:sz w:val="22"/>
          <w:szCs w:val="22"/>
        </w:rPr>
      </w:pPr>
      <w:r>
        <w:rPr>
          <w:bCs/>
          <w:sz w:val="22"/>
          <w:szCs w:val="22"/>
        </w:rPr>
        <w:t>Incentiven</w:t>
      </w:r>
      <w:r w:rsidR="00455FD7" w:rsidRPr="00F9409F">
        <w:rPr>
          <w:bCs/>
          <w:sz w:val="22"/>
          <w:szCs w:val="22"/>
        </w:rPr>
        <w:t xml:space="preserve"> la importación de gas natural con el fin de promover el abastecimiento </w:t>
      </w:r>
      <w:r>
        <w:rPr>
          <w:bCs/>
          <w:sz w:val="22"/>
          <w:szCs w:val="22"/>
        </w:rPr>
        <w:t xml:space="preserve">suficiente </w:t>
      </w:r>
      <w:r w:rsidR="00455FD7" w:rsidRPr="00F9409F">
        <w:rPr>
          <w:bCs/>
          <w:sz w:val="22"/>
          <w:szCs w:val="22"/>
        </w:rPr>
        <w:t>de este energético.</w:t>
      </w:r>
    </w:p>
    <w:p w14:paraId="01737C2F" w14:textId="77777777" w:rsidR="007D5D74" w:rsidRDefault="007D5D74" w:rsidP="00396C9B">
      <w:pPr>
        <w:rPr>
          <w:bCs/>
          <w:sz w:val="22"/>
          <w:szCs w:val="22"/>
        </w:rPr>
      </w:pPr>
    </w:p>
    <w:p w14:paraId="49DCD358" w14:textId="77777777" w:rsidR="007D5D74" w:rsidRPr="00781FE6" w:rsidRDefault="007D5D74" w:rsidP="00396C9B">
      <w:pPr>
        <w:rPr>
          <w:bCs/>
          <w:sz w:val="22"/>
          <w:szCs w:val="22"/>
        </w:rPr>
      </w:pPr>
    </w:p>
    <w:p w14:paraId="2881D827" w14:textId="77777777" w:rsidR="00396C9B" w:rsidRPr="00781FE6" w:rsidRDefault="00396C9B" w:rsidP="00781FE6">
      <w:pPr>
        <w:pStyle w:val="Ttulo2"/>
      </w:pPr>
      <w:bookmarkStart w:id="892" w:name="_Toc140506471"/>
      <w:r w:rsidRPr="00781FE6">
        <w:t>PROMIGAS</w:t>
      </w:r>
      <w:bookmarkEnd w:id="892"/>
      <w:r w:rsidRPr="00781FE6">
        <w:tab/>
      </w:r>
    </w:p>
    <w:p w14:paraId="2A914DCC" w14:textId="77777777" w:rsidR="00456774" w:rsidRPr="00781FE6" w:rsidRDefault="00456774" w:rsidP="00456774">
      <w:pPr>
        <w:pStyle w:val="Ttulo4"/>
      </w:pPr>
      <w:r w:rsidRPr="00781FE6">
        <w:t>PROMIGAS</w:t>
      </w:r>
      <w:r w:rsidRPr="00781FE6">
        <w:tab/>
      </w:r>
    </w:p>
    <w:p w14:paraId="3B321152" w14:textId="31151952" w:rsidR="00396C9B" w:rsidRPr="00F9409F" w:rsidRDefault="00396C9B" w:rsidP="00396C9B">
      <w:pPr>
        <w:rPr>
          <w:bCs/>
          <w:i/>
          <w:iCs/>
          <w:sz w:val="22"/>
          <w:szCs w:val="22"/>
        </w:rPr>
      </w:pPr>
      <w:r w:rsidRPr="00781FE6">
        <w:rPr>
          <w:bCs/>
          <w:sz w:val="22"/>
          <w:szCs w:val="22"/>
        </w:rPr>
        <w:t>"</w:t>
      </w:r>
      <w:r w:rsidRPr="00F9409F">
        <w:rPr>
          <w:bCs/>
          <w:i/>
          <w:iCs/>
          <w:sz w:val="22"/>
          <w:szCs w:val="22"/>
        </w:rPr>
        <w:t xml:space="preserve">La Comisión define que los vendedores del mercado primario pueden </w:t>
      </w:r>
      <w:r w:rsidR="002B73C5">
        <w:rPr>
          <w:bCs/>
          <w:i/>
          <w:iCs/>
          <w:sz w:val="22"/>
          <w:szCs w:val="22"/>
        </w:rPr>
        <w:t>‘</w:t>
      </w:r>
      <w:r w:rsidRPr="00F9409F">
        <w:rPr>
          <w:bCs/>
          <w:i/>
          <w:iCs/>
          <w:sz w:val="22"/>
          <w:szCs w:val="22"/>
        </w:rPr>
        <w:t>…negociar directamente el suministro del gas natural mediante contratos con interrupciones que provenga de la parte variable de los contratos con modalidades CF80 y CF95, cuando dicha cantidad variable no sea nominada por el comprador que suscribió dicho contrato para su propio consumo o para consumo del mercado de comercialización que atiende</w:t>
      </w:r>
      <w:r w:rsidR="002B73C5">
        <w:rPr>
          <w:bCs/>
          <w:i/>
          <w:iCs/>
          <w:sz w:val="22"/>
          <w:szCs w:val="22"/>
        </w:rPr>
        <w:t>’</w:t>
      </w:r>
      <w:r w:rsidRPr="00F9409F">
        <w:rPr>
          <w:bCs/>
          <w:i/>
          <w:iCs/>
          <w:sz w:val="22"/>
          <w:szCs w:val="22"/>
        </w:rPr>
        <w:t xml:space="preserve"> (subrayado fuera de texto), </w:t>
      </w:r>
    </w:p>
    <w:p w14:paraId="0ACF4B16" w14:textId="77777777" w:rsidR="00396C9B" w:rsidRPr="00F9409F" w:rsidRDefault="00396C9B" w:rsidP="00396C9B">
      <w:pPr>
        <w:rPr>
          <w:bCs/>
          <w:i/>
          <w:iCs/>
          <w:sz w:val="22"/>
          <w:szCs w:val="22"/>
        </w:rPr>
      </w:pPr>
    </w:p>
    <w:p w14:paraId="4D804BBB" w14:textId="77777777" w:rsidR="00396C9B" w:rsidRDefault="00396C9B" w:rsidP="00396C9B">
      <w:pPr>
        <w:rPr>
          <w:bCs/>
          <w:sz w:val="22"/>
          <w:szCs w:val="22"/>
        </w:rPr>
      </w:pPr>
      <w:r w:rsidRPr="00F9409F">
        <w:rPr>
          <w:bCs/>
          <w:i/>
          <w:iCs/>
          <w:sz w:val="22"/>
          <w:szCs w:val="22"/>
        </w:rPr>
        <w:t xml:space="preserve">En primer </w:t>
      </w:r>
      <w:proofErr w:type="gramStart"/>
      <w:r w:rsidRPr="00F9409F">
        <w:rPr>
          <w:bCs/>
          <w:i/>
          <w:iCs/>
          <w:sz w:val="22"/>
          <w:szCs w:val="22"/>
        </w:rPr>
        <w:t>lugar</w:t>
      </w:r>
      <w:proofErr w:type="gramEnd"/>
      <w:r w:rsidRPr="00F9409F">
        <w:rPr>
          <w:bCs/>
          <w:i/>
          <w:iCs/>
          <w:sz w:val="22"/>
          <w:szCs w:val="22"/>
        </w:rPr>
        <w:t xml:space="preserve"> debe quedar claro que, de aplicarse esta condición, el contrato con interrupciones suspende entregas en caso de </w:t>
      </w:r>
      <w:proofErr w:type="spellStart"/>
      <w:r w:rsidRPr="00F9409F">
        <w:rPr>
          <w:bCs/>
          <w:i/>
          <w:iCs/>
          <w:sz w:val="22"/>
          <w:szCs w:val="22"/>
        </w:rPr>
        <w:t>renominaciones</w:t>
      </w:r>
      <w:proofErr w:type="spellEnd"/>
      <w:r w:rsidRPr="00F9409F">
        <w:rPr>
          <w:bCs/>
          <w:i/>
          <w:iCs/>
          <w:sz w:val="22"/>
          <w:szCs w:val="22"/>
        </w:rPr>
        <w:t xml:space="preserve"> por parte del comprador del CF95 o del CF80. De otra parte, consideramos que El Comprador, no puede perder su derecho de solicitar hasta el 100% del contrato independientemente si el gas será utilizado en su mercado propio o para transar en mercado secundario, lo anterior porque, seguramente El Vendedor al vender el gas bajo esta modalidad de contrato valoró en el precio el riesgo de no utilización de estos porcentajes</w:t>
      </w:r>
      <w:r w:rsidRPr="00781FE6">
        <w:rPr>
          <w:bCs/>
          <w:sz w:val="22"/>
          <w:szCs w:val="22"/>
        </w:rPr>
        <w:t>."</w:t>
      </w:r>
    </w:p>
    <w:p w14:paraId="140EE04B" w14:textId="77777777" w:rsidR="00F9409F" w:rsidRDefault="00F9409F" w:rsidP="00396C9B">
      <w:pPr>
        <w:rPr>
          <w:bCs/>
          <w:sz w:val="22"/>
          <w:szCs w:val="22"/>
        </w:rPr>
      </w:pPr>
    </w:p>
    <w:p w14:paraId="5B0A2091" w14:textId="63DA9E58" w:rsidR="00F9409F" w:rsidRPr="00F9409F" w:rsidRDefault="00F9409F" w:rsidP="00396C9B">
      <w:pPr>
        <w:rPr>
          <w:b/>
          <w:sz w:val="22"/>
          <w:szCs w:val="22"/>
        </w:rPr>
      </w:pPr>
      <w:r w:rsidRPr="00F9409F">
        <w:rPr>
          <w:b/>
          <w:sz w:val="22"/>
          <w:szCs w:val="22"/>
        </w:rPr>
        <w:t>Respuesta:</w:t>
      </w:r>
    </w:p>
    <w:p w14:paraId="04D5153D" w14:textId="77777777" w:rsidR="00F9409F" w:rsidRDefault="00F9409F" w:rsidP="00396C9B">
      <w:pPr>
        <w:rPr>
          <w:bCs/>
          <w:sz w:val="22"/>
          <w:szCs w:val="22"/>
        </w:rPr>
      </w:pPr>
    </w:p>
    <w:p w14:paraId="5EADBA82" w14:textId="77777777" w:rsidR="00F9409F" w:rsidRDefault="00F9409F" w:rsidP="00F9409F">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1D6D814E" w14:textId="77777777" w:rsidR="00396C9B" w:rsidRDefault="00396C9B" w:rsidP="00396C9B">
      <w:pPr>
        <w:rPr>
          <w:bCs/>
          <w:sz w:val="22"/>
          <w:szCs w:val="22"/>
        </w:rPr>
      </w:pPr>
    </w:p>
    <w:p w14:paraId="395F463A" w14:textId="77777777" w:rsidR="00D25DE8" w:rsidRPr="00781FE6" w:rsidRDefault="00D25DE8" w:rsidP="00396C9B">
      <w:pPr>
        <w:rPr>
          <w:bCs/>
          <w:sz w:val="22"/>
          <w:szCs w:val="22"/>
        </w:rPr>
      </w:pPr>
    </w:p>
    <w:p w14:paraId="43674371" w14:textId="77777777" w:rsidR="00396C9B" w:rsidRPr="00781FE6" w:rsidRDefault="00396C9B" w:rsidP="00456774">
      <w:pPr>
        <w:pStyle w:val="Ttulo4"/>
      </w:pPr>
      <w:r w:rsidRPr="00781FE6">
        <w:t>PROMIGAS</w:t>
      </w:r>
      <w:r w:rsidRPr="00781FE6">
        <w:tab/>
      </w:r>
    </w:p>
    <w:p w14:paraId="4DE61C60" w14:textId="0D063D38" w:rsidR="00396C9B" w:rsidRPr="00F9409F" w:rsidRDefault="00396C9B" w:rsidP="00396C9B">
      <w:pPr>
        <w:rPr>
          <w:bCs/>
          <w:i/>
          <w:iCs/>
          <w:sz w:val="22"/>
          <w:szCs w:val="22"/>
        </w:rPr>
      </w:pPr>
      <w:r w:rsidRPr="00781FE6">
        <w:rPr>
          <w:bCs/>
          <w:sz w:val="22"/>
          <w:szCs w:val="22"/>
        </w:rPr>
        <w:t>"</w:t>
      </w:r>
      <w:r w:rsidRPr="00F9409F">
        <w:rPr>
          <w:bCs/>
          <w:i/>
          <w:iCs/>
          <w:sz w:val="22"/>
          <w:szCs w:val="22"/>
        </w:rPr>
        <w:t xml:space="preserve">El Anexo 3 es igual al Anexo 4 de la Resolución CREG-114 de 2017. Solo se diferencian en la inclusión de la modalidad CF80 y en ajustes en la variable </w:t>
      </w:r>
      <w:proofErr w:type="spellStart"/>
      <w:r w:rsidRPr="00F9409F">
        <w:rPr>
          <w:bCs/>
          <w:i/>
          <w:iCs/>
          <w:sz w:val="22"/>
          <w:szCs w:val="22"/>
        </w:rPr>
        <w:t>ai</w:t>
      </w:r>
      <w:proofErr w:type="spellEnd"/>
      <w:r w:rsidRPr="00F9409F">
        <w:rPr>
          <w:bCs/>
          <w:i/>
          <w:iCs/>
          <w:sz w:val="22"/>
          <w:szCs w:val="22"/>
        </w:rPr>
        <w:t>. Teniendo en cuenta que en el Proyecto de Resolución está previsto que estos contratos tengan una duración mínima de tres (3) meses, las ecuaciones deben ser reformuladas.</w:t>
      </w:r>
    </w:p>
    <w:p w14:paraId="0FDB67BE" w14:textId="77777777" w:rsidR="00396C9B" w:rsidRPr="00F9409F" w:rsidRDefault="00396C9B" w:rsidP="00396C9B">
      <w:pPr>
        <w:rPr>
          <w:bCs/>
          <w:i/>
          <w:iCs/>
          <w:sz w:val="22"/>
          <w:szCs w:val="22"/>
        </w:rPr>
      </w:pPr>
    </w:p>
    <w:p w14:paraId="6F27A7D5" w14:textId="77777777" w:rsidR="00396C9B" w:rsidRPr="00F9409F" w:rsidRDefault="00396C9B" w:rsidP="00396C9B">
      <w:pPr>
        <w:rPr>
          <w:bCs/>
          <w:i/>
          <w:iCs/>
          <w:sz w:val="22"/>
          <w:szCs w:val="22"/>
        </w:rPr>
      </w:pPr>
      <w:r w:rsidRPr="00F9409F">
        <w:rPr>
          <w:bCs/>
          <w:i/>
          <w:iCs/>
          <w:sz w:val="22"/>
          <w:szCs w:val="22"/>
        </w:rPr>
        <w:t>Un comprador podría suscribir su contrato de suministro en uno cualquiera de los siguientes trimestres: diciembre-febrero, marzo-mayo, junio-agosto, septiembre-noviembre. Seguramente, dependiendo del trimestre en el que se suscriba el contrato, el precio será diferente.</w:t>
      </w:r>
    </w:p>
    <w:p w14:paraId="5F5E7EFA" w14:textId="77777777" w:rsidR="00396C9B" w:rsidRPr="00F9409F" w:rsidRDefault="00396C9B" w:rsidP="00396C9B">
      <w:pPr>
        <w:rPr>
          <w:bCs/>
          <w:i/>
          <w:iCs/>
          <w:sz w:val="22"/>
          <w:szCs w:val="22"/>
        </w:rPr>
      </w:pPr>
    </w:p>
    <w:p w14:paraId="473A2C8A" w14:textId="77777777" w:rsidR="00396C9B" w:rsidRPr="00F9409F" w:rsidRDefault="00396C9B" w:rsidP="00396C9B">
      <w:pPr>
        <w:rPr>
          <w:bCs/>
          <w:i/>
          <w:iCs/>
          <w:sz w:val="22"/>
          <w:szCs w:val="22"/>
        </w:rPr>
      </w:pPr>
      <w:r w:rsidRPr="00F9409F">
        <w:rPr>
          <w:bCs/>
          <w:i/>
          <w:iCs/>
          <w:sz w:val="22"/>
          <w:szCs w:val="22"/>
        </w:rPr>
        <w:t>Las ecuaciones de actualización contenidas en el Anexo están previstas para un solo contrato y períodos de contratación mínimos de (1) año.</w:t>
      </w:r>
    </w:p>
    <w:p w14:paraId="1DCB7D4E" w14:textId="77777777" w:rsidR="00396C9B" w:rsidRPr="00F9409F" w:rsidRDefault="00396C9B" w:rsidP="00396C9B">
      <w:pPr>
        <w:rPr>
          <w:bCs/>
          <w:i/>
          <w:iCs/>
          <w:sz w:val="22"/>
          <w:szCs w:val="22"/>
        </w:rPr>
      </w:pPr>
    </w:p>
    <w:p w14:paraId="785A301B" w14:textId="5E445525" w:rsidR="00396C9B" w:rsidRDefault="00396C9B" w:rsidP="00396C9B">
      <w:pPr>
        <w:rPr>
          <w:bCs/>
          <w:sz w:val="22"/>
          <w:szCs w:val="22"/>
        </w:rPr>
      </w:pPr>
      <w:r w:rsidRPr="00F9409F">
        <w:rPr>
          <w:bCs/>
          <w:i/>
          <w:iCs/>
          <w:sz w:val="22"/>
          <w:szCs w:val="22"/>
        </w:rPr>
        <w:t>Adicionalmente, con relación a la indexación de precios para los contratos que su fecha de ejecución sea posterior a la de registro, consideramos que debe ser de libre elección entre las partes si el precio pactado le aplica o no dicha indexación. Poder tener certeza del precio al cual iniciaría el costo del gas, es indispensable para lograr la viabilidad de varios proyectos, lo cual no sería posible con lo que se busca implementar en la resolución en consulta</w:t>
      </w:r>
      <w:r w:rsidRPr="00781FE6">
        <w:rPr>
          <w:bCs/>
          <w:sz w:val="22"/>
          <w:szCs w:val="22"/>
        </w:rPr>
        <w:t>."</w:t>
      </w:r>
    </w:p>
    <w:p w14:paraId="57EB0484" w14:textId="77777777" w:rsidR="00F9409F" w:rsidRDefault="00F9409F" w:rsidP="00396C9B">
      <w:pPr>
        <w:rPr>
          <w:bCs/>
          <w:sz w:val="22"/>
          <w:szCs w:val="22"/>
        </w:rPr>
      </w:pPr>
    </w:p>
    <w:p w14:paraId="562BDE79" w14:textId="4C817E6F" w:rsidR="00F9409F" w:rsidRPr="00F9409F" w:rsidRDefault="00F9409F" w:rsidP="00396C9B">
      <w:pPr>
        <w:rPr>
          <w:b/>
          <w:sz w:val="22"/>
          <w:szCs w:val="22"/>
        </w:rPr>
      </w:pPr>
      <w:r w:rsidRPr="00F9409F">
        <w:rPr>
          <w:b/>
          <w:sz w:val="22"/>
          <w:szCs w:val="22"/>
        </w:rPr>
        <w:t>Respuesta:</w:t>
      </w:r>
    </w:p>
    <w:p w14:paraId="05921806" w14:textId="77777777" w:rsidR="00F9409F" w:rsidRDefault="00F9409F" w:rsidP="00396C9B">
      <w:pPr>
        <w:rPr>
          <w:bCs/>
          <w:sz w:val="22"/>
          <w:szCs w:val="22"/>
        </w:rPr>
      </w:pPr>
    </w:p>
    <w:p w14:paraId="190836E2" w14:textId="766C5F9A" w:rsidR="00F9409F" w:rsidRDefault="00F9409F"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_Ref132897991 \n \h </w:instrText>
      </w:r>
      <w:r>
        <w:rPr>
          <w:bCs/>
          <w:sz w:val="22"/>
          <w:szCs w:val="22"/>
        </w:rPr>
      </w:r>
      <w:r>
        <w:rPr>
          <w:bCs/>
          <w:sz w:val="22"/>
          <w:szCs w:val="22"/>
        </w:rPr>
        <w:fldChar w:fldCharType="separate"/>
      </w:r>
      <w:r>
        <w:rPr>
          <w:bCs/>
          <w:sz w:val="22"/>
          <w:szCs w:val="22"/>
        </w:rPr>
        <w:t>20.10.1.3</w:t>
      </w:r>
      <w:r>
        <w:rPr>
          <w:bCs/>
          <w:sz w:val="22"/>
          <w:szCs w:val="22"/>
        </w:rPr>
        <w:fldChar w:fldCharType="end"/>
      </w:r>
      <w:r>
        <w:rPr>
          <w:bCs/>
          <w:sz w:val="22"/>
          <w:szCs w:val="22"/>
        </w:rPr>
        <w:t>.</w:t>
      </w:r>
    </w:p>
    <w:p w14:paraId="2FD284F7" w14:textId="77777777" w:rsidR="00F9409F" w:rsidRPr="00781FE6" w:rsidRDefault="00F9409F" w:rsidP="00396C9B">
      <w:pPr>
        <w:rPr>
          <w:bCs/>
          <w:sz w:val="22"/>
          <w:szCs w:val="22"/>
        </w:rPr>
      </w:pPr>
    </w:p>
    <w:p w14:paraId="070FF5EF" w14:textId="77777777" w:rsidR="00396C9B" w:rsidRPr="00781FE6" w:rsidRDefault="00396C9B" w:rsidP="00396C9B">
      <w:pPr>
        <w:rPr>
          <w:bCs/>
          <w:sz w:val="22"/>
          <w:szCs w:val="22"/>
        </w:rPr>
      </w:pPr>
    </w:p>
    <w:p w14:paraId="4DF22A0F" w14:textId="77777777" w:rsidR="00396C9B" w:rsidRPr="00781FE6" w:rsidRDefault="00396C9B" w:rsidP="00456774">
      <w:pPr>
        <w:pStyle w:val="Ttulo4"/>
      </w:pPr>
      <w:r w:rsidRPr="00781FE6">
        <w:t>PROMIGAS</w:t>
      </w:r>
      <w:r w:rsidRPr="00781FE6">
        <w:tab/>
      </w:r>
    </w:p>
    <w:p w14:paraId="36F4756B" w14:textId="0A5A86CD" w:rsidR="00396C9B" w:rsidRPr="00F9409F" w:rsidRDefault="00396C9B" w:rsidP="00396C9B">
      <w:pPr>
        <w:rPr>
          <w:bCs/>
          <w:i/>
          <w:iCs/>
          <w:sz w:val="22"/>
          <w:szCs w:val="22"/>
        </w:rPr>
      </w:pPr>
      <w:r w:rsidRPr="00781FE6">
        <w:rPr>
          <w:bCs/>
          <w:sz w:val="22"/>
          <w:szCs w:val="22"/>
        </w:rPr>
        <w:t>"</w:t>
      </w:r>
      <w:r w:rsidRPr="00F9409F">
        <w:rPr>
          <w:bCs/>
          <w:i/>
          <w:iCs/>
          <w:sz w:val="22"/>
          <w:szCs w:val="22"/>
        </w:rPr>
        <w:t>Con respecto al literal l), no se encuentra fundamento en el documento soporte para establecer una restricción como la planteada.</w:t>
      </w:r>
    </w:p>
    <w:p w14:paraId="5B495C37" w14:textId="77777777" w:rsidR="00396C9B" w:rsidRPr="00F9409F" w:rsidRDefault="00396C9B" w:rsidP="00396C9B">
      <w:pPr>
        <w:rPr>
          <w:bCs/>
          <w:i/>
          <w:iCs/>
          <w:sz w:val="22"/>
          <w:szCs w:val="22"/>
        </w:rPr>
      </w:pPr>
    </w:p>
    <w:p w14:paraId="28639BB9" w14:textId="77777777" w:rsidR="00396C9B" w:rsidRPr="00F9409F" w:rsidRDefault="00396C9B" w:rsidP="00396C9B">
      <w:pPr>
        <w:rPr>
          <w:bCs/>
          <w:i/>
          <w:iCs/>
          <w:sz w:val="22"/>
          <w:szCs w:val="22"/>
        </w:rPr>
      </w:pPr>
      <w:r w:rsidRPr="00F9409F">
        <w:rPr>
          <w:bCs/>
          <w:i/>
          <w:iCs/>
          <w:sz w:val="22"/>
          <w:szCs w:val="22"/>
        </w:rPr>
        <w:t>- Los agentes con contratos CF95/CF80 deben estar habilitados para vender no solo la cantidad de gas correspondiente al pago variable de tales contratos, sino cualquier excedente que se materialice con relación a la cantidad diaria máxima de gas natural sin interrupciones que esté comprometida en firme en el respectivo contrato.</w:t>
      </w:r>
    </w:p>
    <w:p w14:paraId="1059D7B6" w14:textId="77777777" w:rsidR="00396C9B" w:rsidRPr="00F9409F" w:rsidRDefault="00396C9B" w:rsidP="00396C9B">
      <w:pPr>
        <w:rPr>
          <w:bCs/>
          <w:i/>
          <w:iCs/>
          <w:sz w:val="22"/>
          <w:szCs w:val="22"/>
        </w:rPr>
      </w:pPr>
    </w:p>
    <w:p w14:paraId="61B509E0" w14:textId="77777777" w:rsidR="00396C9B" w:rsidRPr="00F9409F" w:rsidRDefault="00396C9B" w:rsidP="00396C9B">
      <w:pPr>
        <w:rPr>
          <w:bCs/>
          <w:i/>
          <w:iCs/>
          <w:sz w:val="22"/>
          <w:szCs w:val="22"/>
        </w:rPr>
      </w:pPr>
      <w:r w:rsidRPr="00F9409F">
        <w:rPr>
          <w:bCs/>
          <w:i/>
          <w:iCs/>
          <w:sz w:val="22"/>
          <w:szCs w:val="22"/>
        </w:rPr>
        <w:t>- Además de las disposiciones establecidas en el Proyecto de Resolución CREG-227 de 2021, que castigan en más de un sentido los excedentes que la misma CREG les impone a los agentes que sirven demanda regulada, esta limitación implica que el agente no puede participar ni ofrecer gas para la venta por fuera de su mercado relevante, sean tales ventas destinadas a otro mercado de comercialización, o a usuarios no regulados conectados a otros sistemas de distribución o conectados a la red de transporte.</w:t>
      </w:r>
    </w:p>
    <w:p w14:paraId="7948CF62" w14:textId="77777777" w:rsidR="00396C9B" w:rsidRPr="00F9409F" w:rsidRDefault="00396C9B" w:rsidP="00396C9B">
      <w:pPr>
        <w:rPr>
          <w:bCs/>
          <w:i/>
          <w:iCs/>
          <w:sz w:val="22"/>
          <w:szCs w:val="22"/>
        </w:rPr>
      </w:pPr>
    </w:p>
    <w:p w14:paraId="7948C9D9" w14:textId="77777777" w:rsidR="00396C9B" w:rsidRPr="00F9409F" w:rsidRDefault="00396C9B" w:rsidP="00396C9B">
      <w:pPr>
        <w:rPr>
          <w:bCs/>
          <w:i/>
          <w:iCs/>
          <w:sz w:val="22"/>
          <w:szCs w:val="22"/>
        </w:rPr>
      </w:pPr>
      <w:r w:rsidRPr="00F9409F">
        <w:rPr>
          <w:bCs/>
          <w:i/>
          <w:iCs/>
          <w:sz w:val="22"/>
          <w:szCs w:val="22"/>
        </w:rPr>
        <w:t>- La Comisión estaría estableciendo una restricción a la competencia, dejándole como única opción al agente la venta de excedentes (obviando la limitación que también establece la CREG a los eventuales excedentes de la parte fija del contrato) en el mercado úselo o véndalo.</w:t>
      </w:r>
    </w:p>
    <w:p w14:paraId="787495B8" w14:textId="77777777" w:rsidR="00396C9B" w:rsidRPr="00F9409F" w:rsidRDefault="00396C9B" w:rsidP="00396C9B">
      <w:pPr>
        <w:rPr>
          <w:bCs/>
          <w:i/>
          <w:iCs/>
          <w:sz w:val="22"/>
          <w:szCs w:val="22"/>
        </w:rPr>
      </w:pPr>
    </w:p>
    <w:p w14:paraId="4FDFF9D4" w14:textId="3C61237E" w:rsidR="00396C9B" w:rsidRPr="00781FE6" w:rsidRDefault="00396C9B" w:rsidP="00396C9B">
      <w:pPr>
        <w:rPr>
          <w:bCs/>
          <w:sz w:val="22"/>
          <w:szCs w:val="22"/>
        </w:rPr>
      </w:pPr>
      <w:r w:rsidRPr="00F9409F">
        <w:rPr>
          <w:bCs/>
          <w:i/>
          <w:iCs/>
          <w:sz w:val="22"/>
          <w:szCs w:val="22"/>
        </w:rPr>
        <w:t>- Esta propuesta de norma de la CREG debe ser sometida a concepto por parte de la SIC</w:t>
      </w:r>
      <w:r w:rsidRPr="00781FE6">
        <w:rPr>
          <w:bCs/>
          <w:sz w:val="22"/>
          <w:szCs w:val="22"/>
        </w:rPr>
        <w:t>."</w:t>
      </w:r>
    </w:p>
    <w:p w14:paraId="0C8DF0F2" w14:textId="77777777" w:rsidR="00396C9B" w:rsidRDefault="00396C9B" w:rsidP="00396C9B">
      <w:pPr>
        <w:rPr>
          <w:bCs/>
          <w:sz w:val="22"/>
          <w:szCs w:val="22"/>
        </w:rPr>
      </w:pPr>
    </w:p>
    <w:p w14:paraId="6896C023" w14:textId="77777777" w:rsidR="00F9409F" w:rsidRPr="005E4E43" w:rsidRDefault="00F9409F" w:rsidP="00F9409F">
      <w:pPr>
        <w:rPr>
          <w:b/>
          <w:sz w:val="22"/>
          <w:szCs w:val="22"/>
        </w:rPr>
      </w:pPr>
      <w:r w:rsidRPr="005E4E43">
        <w:rPr>
          <w:b/>
          <w:sz w:val="22"/>
          <w:szCs w:val="22"/>
        </w:rPr>
        <w:t>Respuesta:</w:t>
      </w:r>
    </w:p>
    <w:p w14:paraId="7A55ED28" w14:textId="77777777" w:rsidR="00F9409F" w:rsidRDefault="00F9409F" w:rsidP="00F9409F">
      <w:pPr>
        <w:rPr>
          <w:bCs/>
          <w:sz w:val="22"/>
          <w:szCs w:val="22"/>
        </w:rPr>
      </w:pPr>
    </w:p>
    <w:p w14:paraId="4D780DB1" w14:textId="77777777" w:rsidR="00F9409F" w:rsidRDefault="00F9409F" w:rsidP="00F9409F">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0C7E6935" w14:textId="77777777" w:rsidR="00F9409F" w:rsidRDefault="00F9409F" w:rsidP="00396C9B">
      <w:pPr>
        <w:rPr>
          <w:bCs/>
          <w:sz w:val="22"/>
          <w:szCs w:val="22"/>
        </w:rPr>
      </w:pPr>
    </w:p>
    <w:p w14:paraId="7B106E00" w14:textId="77777777" w:rsidR="00F9409F" w:rsidRPr="00781FE6" w:rsidRDefault="00F9409F" w:rsidP="00396C9B">
      <w:pPr>
        <w:rPr>
          <w:bCs/>
          <w:sz w:val="22"/>
          <w:szCs w:val="22"/>
        </w:rPr>
      </w:pPr>
    </w:p>
    <w:p w14:paraId="016513F6" w14:textId="77777777" w:rsidR="00781FE6" w:rsidRDefault="00396C9B" w:rsidP="00456774">
      <w:pPr>
        <w:pStyle w:val="Ttulo4"/>
      </w:pPr>
      <w:r w:rsidRPr="00781FE6">
        <w:t>PROMIGAS</w:t>
      </w:r>
      <w:r w:rsidRPr="00781FE6">
        <w:tab/>
      </w:r>
    </w:p>
    <w:p w14:paraId="5E801F2B" w14:textId="696FCF00" w:rsidR="00396C9B" w:rsidRPr="00F9409F" w:rsidRDefault="00396C9B" w:rsidP="00396C9B">
      <w:pPr>
        <w:rPr>
          <w:bCs/>
          <w:i/>
          <w:iCs/>
          <w:sz w:val="22"/>
          <w:szCs w:val="22"/>
        </w:rPr>
      </w:pPr>
      <w:r w:rsidRPr="00781FE6">
        <w:rPr>
          <w:bCs/>
          <w:sz w:val="22"/>
          <w:szCs w:val="22"/>
        </w:rPr>
        <w:t>"</w:t>
      </w:r>
      <w:r w:rsidRPr="00F9409F">
        <w:rPr>
          <w:bCs/>
          <w:i/>
          <w:iCs/>
          <w:sz w:val="22"/>
          <w:szCs w:val="22"/>
        </w:rPr>
        <w:t>Sobre los mecanismos de cobertura que se puedan establecer entre vendedores y compradores del mercado primario, consideramos que la CREG debería establecer tales mecanismos, de tal manera que el vendedor que en nuestro mercado tiene posición dominante, no pueda imponer criterios arbitrarios y no pueda discriminar entre agentes compradores.</w:t>
      </w:r>
    </w:p>
    <w:p w14:paraId="743896B3" w14:textId="77777777" w:rsidR="00396C9B" w:rsidRPr="00F9409F" w:rsidRDefault="00396C9B" w:rsidP="00396C9B">
      <w:pPr>
        <w:rPr>
          <w:bCs/>
          <w:i/>
          <w:iCs/>
          <w:sz w:val="22"/>
          <w:szCs w:val="22"/>
        </w:rPr>
      </w:pPr>
    </w:p>
    <w:p w14:paraId="39FA4850" w14:textId="77777777" w:rsidR="00396C9B" w:rsidRPr="00781FE6" w:rsidRDefault="00396C9B" w:rsidP="00396C9B">
      <w:pPr>
        <w:rPr>
          <w:bCs/>
          <w:sz w:val="22"/>
          <w:szCs w:val="22"/>
        </w:rPr>
      </w:pPr>
      <w:r w:rsidRPr="00F9409F">
        <w:rPr>
          <w:bCs/>
          <w:i/>
          <w:iCs/>
          <w:sz w:val="22"/>
          <w:szCs w:val="22"/>
        </w:rPr>
        <w:t>Al contrario de lo que afirma la CREG, su propuesta reduce hasta la casi extinción, la liquidez del mercado secundario. No existen los mercados secundarios sin que se registren excedentes en el mercado primario. Se considera una involución en el desarrollo del mercado. Si la CREG lo que busca es reducir los excedentes, puede lograr su desaparición estableciendo como reglas: contratos de suministro pague lo demandado con prioridad para la Demanda Esencial</w:t>
      </w:r>
      <w:r w:rsidRPr="00781FE6">
        <w:rPr>
          <w:bCs/>
          <w:sz w:val="22"/>
          <w:szCs w:val="22"/>
        </w:rPr>
        <w:t>."</w:t>
      </w:r>
    </w:p>
    <w:p w14:paraId="697FCC13" w14:textId="77777777" w:rsidR="00396C9B" w:rsidRPr="00781FE6" w:rsidRDefault="00396C9B" w:rsidP="00396C9B">
      <w:pPr>
        <w:rPr>
          <w:bCs/>
          <w:sz w:val="22"/>
          <w:szCs w:val="22"/>
        </w:rPr>
      </w:pPr>
    </w:p>
    <w:p w14:paraId="2855D406" w14:textId="6B9C5E77" w:rsidR="00396C9B" w:rsidRPr="00F9409F" w:rsidRDefault="00F9409F" w:rsidP="00396C9B">
      <w:pPr>
        <w:rPr>
          <w:b/>
          <w:sz w:val="22"/>
          <w:szCs w:val="22"/>
        </w:rPr>
      </w:pPr>
      <w:r w:rsidRPr="00F9409F">
        <w:rPr>
          <w:b/>
          <w:sz w:val="22"/>
          <w:szCs w:val="22"/>
        </w:rPr>
        <w:t>Respuesta:</w:t>
      </w:r>
    </w:p>
    <w:p w14:paraId="18D011DF" w14:textId="77777777" w:rsidR="00F9409F" w:rsidRDefault="00F9409F" w:rsidP="00396C9B">
      <w:pPr>
        <w:rPr>
          <w:bCs/>
          <w:sz w:val="22"/>
          <w:szCs w:val="22"/>
        </w:rPr>
      </w:pPr>
    </w:p>
    <w:p w14:paraId="1C35D574" w14:textId="100C5C49" w:rsidR="00F9409F" w:rsidRDefault="00F9409F"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_Ref133143489 \n \h </w:instrText>
      </w:r>
      <w:r>
        <w:rPr>
          <w:bCs/>
          <w:sz w:val="22"/>
          <w:szCs w:val="22"/>
        </w:rPr>
      </w:r>
      <w:r>
        <w:rPr>
          <w:bCs/>
          <w:sz w:val="22"/>
          <w:szCs w:val="22"/>
        </w:rPr>
        <w:fldChar w:fldCharType="separate"/>
      </w:r>
      <w:r>
        <w:rPr>
          <w:bCs/>
          <w:sz w:val="22"/>
          <w:szCs w:val="22"/>
        </w:rPr>
        <w:t>20.10.1.4</w:t>
      </w:r>
      <w:r>
        <w:rPr>
          <w:bCs/>
          <w:sz w:val="22"/>
          <w:szCs w:val="22"/>
        </w:rPr>
        <w:fldChar w:fldCharType="end"/>
      </w:r>
      <w:r w:rsidR="00D25DE8">
        <w:rPr>
          <w:bCs/>
          <w:sz w:val="22"/>
          <w:szCs w:val="22"/>
        </w:rPr>
        <w:t>.</w:t>
      </w:r>
    </w:p>
    <w:p w14:paraId="4A6F231D" w14:textId="77777777" w:rsidR="00F9409F" w:rsidRDefault="00F9409F" w:rsidP="00396C9B">
      <w:pPr>
        <w:rPr>
          <w:bCs/>
          <w:sz w:val="22"/>
          <w:szCs w:val="22"/>
        </w:rPr>
      </w:pPr>
    </w:p>
    <w:p w14:paraId="47AB4E82" w14:textId="77777777" w:rsidR="00F9409F" w:rsidRPr="00781FE6" w:rsidRDefault="00F9409F" w:rsidP="00396C9B">
      <w:pPr>
        <w:rPr>
          <w:bCs/>
          <w:sz w:val="22"/>
          <w:szCs w:val="22"/>
        </w:rPr>
      </w:pPr>
    </w:p>
    <w:p w14:paraId="2B5A692F" w14:textId="77777777" w:rsidR="00396C9B" w:rsidRPr="00781FE6" w:rsidRDefault="00396C9B" w:rsidP="00781FE6">
      <w:pPr>
        <w:pStyle w:val="Ttulo2"/>
      </w:pPr>
      <w:bookmarkStart w:id="893" w:name="_Toc140506472"/>
      <w:r w:rsidRPr="00781FE6">
        <w:t>SSPD</w:t>
      </w:r>
      <w:bookmarkEnd w:id="893"/>
      <w:r w:rsidRPr="00781FE6">
        <w:tab/>
      </w:r>
    </w:p>
    <w:p w14:paraId="1AE4A2B9" w14:textId="77777777" w:rsidR="00456774" w:rsidRPr="00781FE6" w:rsidRDefault="00456774" w:rsidP="00456774">
      <w:pPr>
        <w:pStyle w:val="Ttulo4"/>
      </w:pPr>
      <w:r w:rsidRPr="00781FE6">
        <w:t>SSPD</w:t>
      </w:r>
      <w:r w:rsidRPr="00781FE6">
        <w:tab/>
      </w:r>
    </w:p>
    <w:p w14:paraId="36AEA1A0" w14:textId="24A2F930" w:rsidR="00396C9B" w:rsidRDefault="00396C9B" w:rsidP="00396C9B">
      <w:pPr>
        <w:rPr>
          <w:bCs/>
          <w:sz w:val="22"/>
          <w:szCs w:val="22"/>
        </w:rPr>
      </w:pPr>
      <w:r w:rsidRPr="00781FE6">
        <w:rPr>
          <w:bCs/>
          <w:sz w:val="22"/>
          <w:szCs w:val="22"/>
        </w:rPr>
        <w:t>"</w:t>
      </w:r>
      <w:r w:rsidRPr="00F9409F">
        <w:rPr>
          <w:bCs/>
          <w:i/>
          <w:iCs/>
          <w:sz w:val="22"/>
          <w:szCs w:val="22"/>
        </w:rPr>
        <w:t>Se considera pertinente permitir que la Demanda Esencial pueda ser atendida con fuentes de suministro en pruebas o sin declaración de comercialidad, solamente cuando se requieran contratos para cubrir eventos programados o no programados en el SNT o en campos de producción</w:t>
      </w:r>
      <w:r w:rsidRPr="00781FE6">
        <w:rPr>
          <w:bCs/>
          <w:sz w:val="22"/>
          <w:szCs w:val="22"/>
        </w:rPr>
        <w:t>."</w:t>
      </w:r>
    </w:p>
    <w:p w14:paraId="42B2F02E" w14:textId="77777777" w:rsidR="00F9409F" w:rsidRDefault="00F9409F" w:rsidP="00396C9B">
      <w:pPr>
        <w:rPr>
          <w:bCs/>
          <w:sz w:val="22"/>
          <w:szCs w:val="22"/>
        </w:rPr>
      </w:pPr>
    </w:p>
    <w:p w14:paraId="67CBF8EE" w14:textId="38ADFD2B" w:rsidR="00F9409F" w:rsidRPr="00F9409F" w:rsidRDefault="00F9409F" w:rsidP="00396C9B">
      <w:pPr>
        <w:rPr>
          <w:b/>
          <w:sz w:val="22"/>
          <w:szCs w:val="22"/>
        </w:rPr>
      </w:pPr>
      <w:r w:rsidRPr="00F9409F">
        <w:rPr>
          <w:b/>
          <w:sz w:val="22"/>
          <w:szCs w:val="22"/>
        </w:rPr>
        <w:t>Respuesta:</w:t>
      </w:r>
    </w:p>
    <w:p w14:paraId="05AA446A" w14:textId="77777777" w:rsidR="00F9409F" w:rsidRDefault="00F9409F" w:rsidP="00396C9B">
      <w:pPr>
        <w:rPr>
          <w:bCs/>
          <w:sz w:val="22"/>
          <w:szCs w:val="22"/>
        </w:rPr>
      </w:pPr>
    </w:p>
    <w:p w14:paraId="14E6C21C" w14:textId="4CEDF562" w:rsidR="00F9409F" w:rsidRDefault="00F9409F"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_Ref132004660 \n \h </w:instrText>
      </w:r>
      <w:r>
        <w:rPr>
          <w:bCs/>
          <w:sz w:val="22"/>
          <w:szCs w:val="22"/>
        </w:rPr>
      </w:r>
      <w:r>
        <w:rPr>
          <w:bCs/>
          <w:sz w:val="22"/>
          <w:szCs w:val="22"/>
        </w:rPr>
        <w:fldChar w:fldCharType="separate"/>
      </w:r>
      <w:r>
        <w:rPr>
          <w:bCs/>
          <w:sz w:val="22"/>
          <w:szCs w:val="22"/>
        </w:rPr>
        <w:t>17.14.1.1</w:t>
      </w:r>
      <w:r>
        <w:rPr>
          <w:bCs/>
          <w:sz w:val="22"/>
          <w:szCs w:val="22"/>
        </w:rPr>
        <w:fldChar w:fldCharType="end"/>
      </w:r>
      <w:r>
        <w:rPr>
          <w:bCs/>
          <w:sz w:val="22"/>
          <w:szCs w:val="22"/>
        </w:rPr>
        <w:t>.</w:t>
      </w:r>
    </w:p>
    <w:p w14:paraId="4E543336" w14:textId="77777777" w:rsidR="00F9409F" w:rsidRPr="00781FE6" w:rsidRDefault="00F9409F" w:rsidP="00396C9B">
      <w:pPr>
        <w:rPr>
          <w:bCs/>
          <w:sz w:val="22"/>
          <w:szCs w:val="22"/>
        </w:rPr>
      </w:pPr>
    </w:p>
    <w:p w14:paraId="137A97DD" w14:textId="77777777" w:rsidR="00396C9B" w:rsidRPr="00781FE6" w:rsidRDefault="00396C9B" w:rsidP="00396C9B">
      <w:pPr>
        <w:rPr>
          <w:bCs/>
          <w:sz w:val="22"/>
          <w:szCs w:val="22"/>
        </w:rPr>
      </w:pPr>
    </w:p>
    <w:p w14:paraId="4092E3DA" w14:textId="77777777" w:rsidR="00396C9B" w:rsidRPr="00781FE6" w:rsidRDefault="00396C9B" w:rsidP="00456774">
      <w:pPr>
        <w:pStyle w:val="Ttulo4"/>
      </w:pPr>
      <w:r w:rsidRPr="00781FE6">
        <w:t>SSPD</w:t>
      </w:r>
      <w:r w:rsidRPr="00781FE6">
        <w:tab/>
      </w:r>
    </w:p>
    <w:p w14:paraId="647B3FF4" w14:textId="6120C0D7" w:rsidR="00396C9B" w:rsidRPr="00F9409F" w:rsidRDefault="00396C9B" w:rsidP="00396C9B">
      <w:pPr>
        <w:rPr>
          <w:bCs/>
          <w:i/>
          <w:iCs/>
          <w:sz w:val="22"/>
          <w:szCs w:val="22"/>
        </w:rPr>
      </w:pPr>
      <w:r w:rsidRPr="00781FE6">
        <w:rPr>
          <w:bCs/>
          <w:sz w:val="22"/>
          <w:szCs w:val="22"/>
        </w:rPr>
        <w:t>"</w:t>
      </w:r>
      <w:r w:rsidRPr="00F9409F">
        <w:rPr>
          <w:bCs/>
          <w:i/>
          <w:iCs/>
          <w:sz w:val="22"/>
          <w:szCs w:val="22"/>
        </w:rPr>
        <w:t xml:space="preserve">Se recomienda que, para la modalidad contractual denominada mixta, se reporten las cantidades contratadas en firme y con interrupciones por separado. Lo anterior, teniendo en cuenta que para fines estadísticos y comerciales la modalidad mixta es confusa y se podría presentar para abusos por parte de los agentes. </w:t>
      </w:r>
    </w:p>
    <w:p w14:paraId="675162C2" w14:textId="77777777" w:rsidR="00396C9B" w:rsidRPr="00F9409F" w:rsidRDefault="00396C9B" w:rsidP="00396C9B">
      <w:pPr>
        <w:rPr>
          <w:bCs/>
          <w:i/>
          <w:iCs/>
          <w:sz w:val="22"/>
          <w:szCs w:val="22"/>
        </w:rPr>
      </w:pPr>
    </w:p>
    <w:p w14:paraId="06C0AA66" w14:textId="70F47BE0" w:rsidR="00396C9B" w:rsidRDefault="00396C9B" w:rsidP="00396C9B">
      <w:pPr>
        <w:rPr>
          <w:bCs/>
          <w:sz w:val="22"/>
          <w:szCs w:val="22"/>
        </w:rPr>
      </w:pPr>
      <w:r w:rsidRPr="00F9409F">
        <w:rPr>
          <w:bCs/>
          <w:i/>
          <w:iCs/>
          <w:sz w:val="22"/>
          <w:szCs w:val="22"/>
        </w:rPr>
        <w:t xml:space="preserve">Lo anterior, se encuentra respaldado en el hecho de que actualmente se reporta al </w:t>
      </w:r>
      <w:r w:rsidR="005114C6" w:rsidRPr="00F9409F">
        <w:rPr>
          <w:bCs/>
          <w:i/>
          <w:iCs/>
          <w:sz w:val="22"/>
          <w:szCs w:val="22"/>
        </w:rPr>
        <w:t>Gestor del Mercado</w:t>
      </w:r>
      <w:r w:rsidRPr="00F9409F">
        <w:rPr>
          <w:bCs/>
          <w:i/>
          <w:iCs/>
          <w:sz w:val="22"/>
          <w:szCs w:val="22"/>
        </w:rPr>
        <w:t xml:space="preserve"> contratos bajo la modalidad de </w:t>
      </w:r>
      <w:r w:rsidR="0014625B">
        <w:rPr>
          <w:bCs/>
          <w:i/>
          <w:iCs/>
          <w:sz w:val="22"/>
          <w:szCs w:val="22"/>
        </w:rPr>
        <w:t>‘</w:t>
      </w:r>
      <w:r w:rsidRPr="00F9409F">
        <w:rPr>
          <w:bCs/>
          <w:i/>
          <w:iCs/>
          <w:sz w:val="22"/>
          <w:szCs w:val="22"/>
        </w:rPr>
        <w:t>Otras</w:t>
      </w:r>
      <w:r w:rsidR="0014625B">
        <w:rPr>
          <w:bCs/>
          <w:i/>
          <w:iCs/>
          <w:sz w:val="22"/>
          <w:szCs w:val="22"/>
        </w:rPr>
        <w:t>’</w:t>
      </w:r>
      <w:r w:rsidRPr="00F9409F">
        <w:rPr>
          <w:bCs/>
          <w:i/>
          <w:iCs/>
          <w:sz w:val="22"/>
          <w:szCs w:val="22"/>
        </w:rPr>
        <w:t>, dentro de los cuales no se tiene certeza sobre las cantidades que se respaldan con firmeza y las cantidades que no garantizan firmeza</w:t>
      </w:r>
      <w:r w:rsidRPr="00781FE6">
        <w:rPr>
          <w:bCs/>
          <w:sz w:val="22"/>
          <w:szCs w:val="22"/>
        </w:rPr>
        <w:t>."</w:t>
      </w:r>
    </w:p>
    <w:p w14:paraId="69F4452D" w14:textId="77777777" w:rsidR="00F9409F" w:rsidRDefault="00F9409F" w:rsidP="00396C9B">
      <w:pPr>
        <w:rPr>
          <w:bCs/>
          <w:sz w:val="22"/>
          <w:szCs w:val="22"/>
        </w:rPr>
      </w:pPr>
    </w:p>
    <w:p w14:paraId="626843F4" w14:textId="2CB3288E" w:rsidR="00F9409F" w:rsidRPr="00F9409F" w:rsidRDefault="00F9409F" w:rsidP="00396C9B">
      <w:pPr>
        <w:rPr>
          <w:b/>
          <w:sz w:val="22"/>
          <w:szCs w:val="22"/>
        </w:rPr>
      </w:pPr>
      <w:r w:rsidRPr="00F9409F">
        <w:rPr>
          <w:b/>
          <w:sz w:val="22"/>
          <w:szCs w:val="22"/>
        </w:rPr>
        <w:t>Respuesta:</w:t>
      </w:r>
    </w:p>
    <w:p w14:paraId="39121502" w14:textId="77777777" w:rsidR="00F9409F" w:rsidRDefault="00F9409F" w:rsidP="00396C9B">
      <w:pPr>
        <w:rPr>
          <w:bCs/>
          <w:sz w:val="22"/>
          <w:szCs w:val="22"/>
        </w:rPr>
      </w:pPr>
    </w:p>
    <w:p w14:paraId="150DD797" w14:textId="56A532F7" w:rsidR="00F9409F" w:rsidRDefault="00F9409F" w:rsidP="00396C9B">
      <w:pPr>
        <w:rPr>
          <w:bCs/>
          <w:sz w:val="22"/>
          <w:szCs w:val="22"/>
        </w:rPr>
      </w:pPr>
      <w:r>
        <w:rPr>
          <w:bCs/>
          <w:sz w:val="22"/>
          <w:szCs w:val="22"/>
        </w:rPr>
        <w:t>Se precisa que, dentro de las modalidades contractuales CREG se encuentran los contratos de tipo firme o que garantizan firmeza, siendo parte de ellas la CF95, la CF80 propuesta, el OCG, el OCGX, el CFC y el CSC. Dentro de las modalidades del tipo interrumpible se encuentran los contratos con interrupciones. El tipo de contrato mixto no tiene una modalidad CREG determinada, porque bien se establece en la Resolución CREG 186 de 2020</w:t>
      </w:r>
      <w:r w:rsidR="00232A11">
        <w:rPr>
          <w:bCs/>
          <w:sz w:val="22"/>
          <w:szCs w:val="22"/>
        </w:rPr>
        <w:t xml:space="preserve"> vigente</w:t>
      </w:r>
      <w:r>
        <w:rPr>
          <w:bCs/>
          <w:sz w:val="22"/>
          <w:szCs w:val="22"/>
        </w:rPr>
        <w:t>, lo cual se mantiene en la propuesta, que l</w:t>
      </w:r>
      <w:r w:rsidRPr="00F9409F">
        <w:rPr>
          <w:bCs/>
          <w:sz w:val="22"/>
          <w:szCs w:val="22"/>
        </w:rPr>
        <w:t>os contratos que se pacten en el mercado primario deberán constar por escrito, y corresponde</w:t>
      </w:r>
      <w:r>
        <w:rPr>
          <w:bCs/>
          <w:sz w:val="22"/>
          <w:szCs w:val="22"/>
        </w:rPr>
        <w:t>r</w:t>
      </w:r>
      <w:r w:rsidRPr="00F9409F">
        <w:rPr>
          <w:bCs/>
          <w:sz w:val="22"/>
          <w:szCs w:val="22"/>
        </w:rPr>
        <w:t xml:space="preserve"> íntegra y exclusivamente a una de las modalidades contractuales establecidas </w:t>
      </w:r>
      <w:r>
        <w:rPr>
          <w:bCs/>
          <w:sz w:val="22"/>
          <w:szCs w:val="22"/>
        </w:rPr>
        <w:t xml:space="preserve">por la CREG en el </w:t>
      </w:r>
      <w:r w:rsidR="00232A11">
        <w:rPr>
          <w:bCs/>
          <w:sz w:val="22"/>
          <w:szCs w:val="22"/>
        </w:rPr>
        <w:t>a</w:t>
      </w:r>
      <w:r>
        <w:rPr>
          <w:bCs/>
          <w:sz w:val="22"/>
          <w:szCs w:val="22"/>
        </w:rPr>
        <w:t>rtículo correspondiente.</w:t>
      </w:r>
    </w:p>
    <w:p w14:paraId="06E8E86C" w14:textId="77777777" w:rsidR="00F9409F" w:rsidRDefault="00F9409F" w:rsidP="00396C9B">
      <w:pPr>
        <w:rPr>
          <w:bCs/>
          <w:sz w:val="22"/>
          <w:szCs w:val="22"/>
        </w:rPr>
      </w:pPr>
    </w:p>
    <w:p w14:paraId="36D1145C" w14:textId="7FE3F35A" w:rsidR="00F9409F" w:rsidRDefault="00F9409F" w:rsidP="00396C9B">
      <w:pPr>
        <w:rPr>
          <w:bCs/>
          <w:sz w:val="22"/>
          <w:szCs w:val="22"/>
        </w:rPr>
      </w:pPr>
      <w:r>
        <w:rPr>
          <w:bCs/>
          <w:sz w:val="22"/>
          <w:szCs w:val="22"/>
        </w:rPr>
        <w:t>Ahora bien, en aplicación de la propuesta en que se especifican algunas excepciones, para los cuales</w:t>
      </w:r>
      <w:r w:rsidRPr="00F9409F">
        <w:rPr>
          <w:bCs/>
          <w:sz w:val="22"/>
          <w:szCs w:val="22"/>
        </w:rPr>
        <w:t xml:space="preserve"> las partes, de común acuerdo, definirán las condiciones de los contratos que celebren.</w:t>
      </w:r>
    </w:p>
    <w:p w14:paraId="37451C44" w14:textId="77777777" w:rsidR="00F9409F" w:rsidRDefault="00F9409F" w:rsidP="00396C9B">
      <w:pPr>
        <w:rPr>
          <w:bCs/>
          <w:sz w:val="22"/>
          <w:szCs w:val="22"/>
        </w:rPr>
      </w:pPr>
    </w:p>
    <w:p w14:paraId="2DB47B1E" w14:textId="2D903BC9" w:rsidR="00F9409F" w:rsidRDefault="00F9409F" w:rsidP="00396C9B">
      <w:pPr>
        <w:rPr>
          <w:bCs/>
          <w:sz w:val="22"/>
          <w:szCs w:val="22"/>
        </w:rPr>
      </w:pPr>
      <w:r>
        <w:rPr>
          <w:bCs/>
          <w:sz w:val="22"/>
          <w:szCs w:val="22"/>
        </w:rPr>
        <w:t>En la nueva propuesta, en la información que se requiere en el Anexo 1 para el registro de los contratos, las partes deberían identificar en todo caso las cantidades que se comprometen en firme y las cantidades con interrupciones.</w:t>
      </w:r>
    </w:p>
    <w:p w14:paraId="24D51C19" w14:textId="77777777" w:rsidR="00F9409F" w:rsidRDefault="00F9409F" w:rsidP="00396C9B">
      <w:pPr>
        <w:rPr>
          <w:bCs/>
          <w:sz w:val="22"/>
          <w:szCs w:val="22"/>
        </w:rPr>
      </w:pPr>
    </w:p>
    <w:p w14:paraId="09621EF5" w14:textId="77777777" w:rsidR="00F9409F" w:rsidRDefault="00F9409F" w:rsidP="00396C9B">
      <w:pPr>
        <w:rPr>
          <w:bCs/>
          <w:sz w:val="22"/>
          <w:szCs w:val="22"/>
        </w:rPr>
      </w:pPr>
    </w:p>
    <w:p w14:paraId="336A80AF" w14:textId="77777777" w:rsidR="00396C9B" w:rsidRPr="00781FE6" w:rsidRDefault="00396C9B" w:rsidP="00456774">
      <w:pPr>
        <w:pStyle w:val="Ttulo4"/>
      </w:pPr>
      <w:r w:rsidRPr="00781FE6">
        <w:t>SSPD</w:t>
      </w:r>
      <w:r w:rsidRPr="00781FE6">
        <w:tab/>
      </w:r>
    </w:p>
    <w:p w14:paraId="2855D097" w14:textId="02132476" w:rsidR="00396C9B" w:rsidRPr="00F9409F" w:rsidRDefault="00396C9B" w:rsidP="00396C9B">
      <w:pPr>
        <w:rPr>
          <w:bCs/>
          <w:i/>
          <w:iCs/>
          <w:sz w:val="22"/>
          <w:szCs w:val="22"/>
        </w:rPr>
      </w:pPr>
      <w:r w:rsidRPr="00781FE6">
        <w:rPr>
          <w:bCs/>
          <w:sz w:val="22"/>
          <w:szCs w:val="22"/>
        </w:rPr>
        <w:t>"</w:t>
      </w:r>
      <w:r w:rsidRPr="00F9409F">
        <w:rPr>
          <w:bCs/>
          <w:i/>
          <w:iCs/>
          <w:sz w:val="22"/>
          <w:szCs w:val="22"/>
        </w:rPr>
        <w:t xml:space="preserve">La propuesta regulatoria propone dos limitaciones: </w:t>
      </w:r>
    </w:p>
    <w:p w14:paraId="7F2FF9E8" w14:textId="77777777" w:rsidR="00396C9B" w:rsidRPr="00F9409F" w:rsidRDefault="00396C9B" w:rsidP="00396C9B">
      <w:pPr>
        <w:rPr>
          <w:bCs/>
          <w:i/>
          <w:iCs/>
          <w:sz w:val="22"/>
          <w:szCs w:val="22"/>
        </w:rPr>
      </w:pPr>
    </w:p>
    <w:p w14:paraId="6E933D4D" w14:textId="77777777" w:rsidR="00396C9B" w:rsidRPr="00F9409F" w:rsidRDefault="00396C9B" w:rsidP="00396C9B">
      <w:pPr>
        <w:rPr>
          <w:bCs/>
          <w:i/>
          <w:iCs/>
          <w:sz w:val="22"/>
          <w:szCs w:val="22"/>
        </w:rPr>
      </w:pPr>
      <w:r w:rsidRPr="00F9409F">
        <w:rPr>
          <w:bCs/>
          <w:i/>
          <w:iCs/>
          <w:sz w:val="22"/>
          <w:szCs w:val="22"/>
        </w:rPr>
        <w:t>1. Los compradores del mercado primario no podrán nominar las cantidades variables sino únicamente cuando sean requeridas para su mercado relevante y no para la venta en el secundario.</w:t>
      </w:r>
    </w:p>
    <w:p w14:paraId="21A3B546" w14:textId="77777777" w:rsidR="00396C9B" w:rsidRPr="00F9409F" w:rsidRDefault="00396C9B" w:rsidP="00396C9B">
      <w:pPr>
        <w:rPr>
          <w:bCs/>
          <w:i/>
          <w:iCs/>
          <w:sz w:val="22"/>
          <w:szCs w:val="22"/>
        </w:rPr>
      </w:pPr>
    </w:p>
    <w:p w14:paraId="206E137A" w14:textId="77777777" w:rsidR="00396C9B" w:rsidRPr="00F9409F" w:rsidRDefault="00396C9B" w:rsidP="00396C9B">
      <w:pPr>
        <w:rPr>
          <w:bCs/>
          <w:i/>
          <w:iCs/>
          <w:sz w:val="22"/>
          <w:szCs w:val="22"/>
        </w:rPr>
      </w:pPr>
      <w:r w:rsidRPr="00F9409F">
        <w:rPr>
          <w:bCs/>
          <w:i/>
          <w:iCs/>
          <w:sz w:val="22"/>
          <w:szCs w:val="22"/>
        </w:rPr>
        <w:t xml:space="preserve">2. Los vendedores del mercado primario podrán vender estas cantidades variables por medio de contratos con interrupciones. </w:t>
      </w:r>
    </w:p>
    <w:p w14:paraId="39EDE904" w14:textId="77777777" w:rsidR="00396C9B" w:rsidRPr="00F9409F" w:rsidRDefault="00396C9B" w:rsidP="00396C9B">
      <w:pPr>
        <w:rPr>
          <w:bCs/>
          <w:i/>
          <w:iCs/>
          <w:sz w:val="22"/>
          <w:szCs w:val="22"/>
        </w:rPr>
      </w:pPr>
    </w:p>
    <w:p w14:paraId="7711130B" w14:textId="77777777" w:rsidR="00396C9B" w:rsidRDefault="00396C9B" w:rsidP="00396C9B">
      <w:pPr>
        <w:rPr>
          <w:bCs/>
          <w:sz w:val="22"/>
          <w:szCs w:val="22"/>
        </w:rPr>
      </w:pPr>
      <w:r w:rsidRPr="00F9409F">
        <w:rPr>
          <w:bCs/>
          <w:i/>
          <w:iCs/>
          <w:sz w:val="22"/>
          <w:szCs w:val="22"/>
        </w:rPr>
        <w:t>Ante estas dos limitaciones surge la inquietud sobre si estas medidas pueden tener como consecuencia que ante eventos programados o no programados del SNT, sectores de demanda que requieran contratación en firme, y que podría respaldarse temporalmente en las cantidades variables del CF80 y CF95, no puedan suscribir contratos con firmeza de corto plazo durante dichos eventos. Lo anterior bajo el contexto de las condiciones que conllevan a declarar racionamiento programado</w:t>
      </w:r>
      <w:r w:rsidRPr="00781FE6">
        <w:rPr>
          <w:bCs/>
          <w:sz w:val="22"/>
          <w:szCs w:val="22"/>
        </w:rPr>
        <w:t>."</w:t>
      </w:r>
    </w:p>
    <w:p w14:paraId="521F6EEF" w14:textId="77777777" w:rsidR="00F9409F" w:rsidRDefault="00F9409F" w:rsidP="00396C9B">
      <w:pPr>
        <w:rPr>
          <w:bCs/>
          <w:sz w:val="22"/>
          <w:szCs w:val="22"/>
        </w:rPr>
      </w:pPr>
    </w:p>
    <w:p w14:paraId="0F5F2C45" w14:textId="59CAC243" w:rsidR="00F9409F" w:rsidRPr="00F9409F" w:rsidRDefault="00F9409F" w:rsidP="00396C9B">
      <w:pPr>
        <w:rPr>
          <w:b/>
          <w:sz w:val="22"/>
          <w:szCs w:val="22"/>
        </w:rPr>
      </w:pPr>
      <w:r w:rsidRPr="00F9409F">
        <w:rPr>
          <w:b/>
          <w:sz w:val="22"/>
          <w:szCs w:val="22"/>
        </w:rPr>
        <w:t>Respuesta:</w:t>
      </w:r>
    </w:p>
    <w:p w14:paraId="4AA579FB" w14:textId="77777777" w:rsidR="00F9409F" w:rsidRDefault="00F9409F" w:rsidP="00396C9B">
      <w:pPr>
        <w:rPr>
          <w:bCs/>
          <w:sz w:val="22"/>
          <w:szCs w:val="22"/>
        </w:rPr>
      </w:pPr>
    </w:p>
    <w:p w14:paraId="32F8A127" w14:textId="77777777" w:rsidR="00D25DE8" w:rsidRDefault="00D25DE8" w:rsidP="00D25DE8">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43679BE2" w14:textId="77777777" w:rsidR="00396C9B" w:rsidRPr="00781FE6" w:rsidRDefault="00396C9B" w:rsidP="00396C9B">
      <w:pPr>
        <w:rPr>
          <w:bCs/>
          <w:sz w:val="22"/>
          <w:szCs w:val="22"/>
        </w:rPr>
      </w:pPr>
    </w:p>
    <w:p w14:paraId="780169E5" w14:textId="77777777" w:rsidR="00396C9B" w:rsidRPr="00781FE6" w:rsidRDefault="00396C9B" w:rsidP="00396C9B">
      <w:pPr>
        <w:rPr>
          <w:bCs/>
          <w:sz w:val="22"/>
          <w:szCs w:val="22"/>
        </w:rPr>
      </w:pPr>
    </w:p>
    <w:p w14:paraId="1929F284" w14:textId="77777777" w:rsidR="00396C9B" w:rsidRPr="00781FE6" w:rsidRDefault="00396C9B" w:rsidP="00781FE6">
      <w:pPr>
        <w:pStyle w:val="Ttulo2"/>
      </w:pPr>
      <w:bookmarkStart w:id="894" w:name="_Toc140506473"/>
      <w:r w:rsidRPr="00781FE6">
        <w:t>SURTIGAS</w:t>
      </w:r>
      <w:bookmarkEnd w:id="894"/>
      <w:r w:rsidRPr="00781FE6">
        <w:tab/>
      </w:r>
    </w:p>
    <w:p w14:paraId="32D7A805" w14:textId="77777777" w:rsidR="00456774" w:rsidRPr="00781FE6" w:rsidRDefault="00456774" w:rsidP="00456774">
      <w:pPr>
        <w:pStyle w:val="Ttulo4"/>
      </w:pPr>
      <w:r w:rsidRPr="00781FE6">
        <w:t>SURTIGAS</w:t>
      </w:r>
      <w:r w:rsidRPr="00781FE6">
        <w:tab/>
      </w:r>
    </w:p>
    <w:p w14:paraId="65148FF8" w14:textId="2FE2AFBF" w:rsidR="00396C9B" w:rsidRPr="00D25DE8" w:rsidRDefault="00396C9B" w:rsidP="00396C9B">
      <w:pPr>
        <w:rPr>
          <w:bCs/>
          <w:i/>
          <w:iCs/>
          <w:sz w:val="22"/>
          <w:szCs w:val="22"/>
        </w:rPr>
      </w:pPr>
      <w:r w:rsidRPr="00781FE6">
        <w:rPr>
          <w:bCs/>
          <w:sz w:val="22"/>
          <w:szCs w:val="22"/>
        </w:rPr>
        <w:t>"</w:t>
      </w:r>
      <w:r w:rsidRPr="00D25DE8">
        <w:rPr>
          <w:bCs/>
          <w:i/>
          <w:iCs/>
          <w:sz w:val="22"/>
          <w:szCs w:val="22"/>
        </w:rPr>
        <w:t xml:space="preserve">La Comisión define que los vendedores del mercado primario pueden </w:t>
      </w:r>
      <w:r w:rsidR="00C71DD9">
        <w:rPr>
          <w:bCs/>
          <w:i/>
          <w:iCs/>
          <w:sz w:val="22"/>
          <w:szCs w:val="22"/>
        </w:rPr>
        <w:t>‘</w:t>
      </w:r>
      <w:r w:rsidRPr="00D25DE8">
        <w:rPr>
          <w:bCs/>
          <w:i/>
          <w:iCs/>
          <w:sz w:val="22"/>
          <w:szCs w:val="22"/>
        </w:rPr>
        <w:t>…negociar directamente el suministro del gas natural mediante contratos con interrupciones que provenga de la parte variable de los contratos con modalidades CF80 y CF95, cuando dicha cantidad variable no sea nominada por el comprador que suscribió dicho contrato para su propio consumo o para consumo del mercado de comercialización que atiende</w:t>
      </w:r>
      <w:r w:rsidR="00C71DD9">
        <w:rPr>
          <w:bCs/>
          <w:i/>
          <w:iCs/>
          <w:sz w:val="22"/>
          <w:szCs w:val="22"/>
        </w:rPr>
        <w:t>’</w:t>
      </w:r>
      <w:r w:rsidRPr="00D25DE8">
        <w:rPr>
          <w:bCs/>
          <w:i/>
          <w:iCs/>
          <w:sz w:val="22"/>
          <w:szCs w:val="22"/>
        </w:rPr>
        <w:t xml:space="preserve"> (subrayado fuera de texto), </w:t>
      </w:r>
    </w:p>
    <w:p w14:paraId="60E40A6A" w14:textId="77777777" w:rsidR="00396C9B" w:rsidRPr="00D25DE8" w:rsidRDefault="00396C9B" w:rsidP="00396C9B">
      <w:pPr>
        <w:rPr>
          <w:bCs/>
          <w:i/>
          <w:iCs/>
          <w:sz w:val="22"/>
          <w:szCs w:val="22"/>
        </w:rPr>
      </w:pPr>
    </w:p>
    <w:p w14:paraId="27705EE0" w14:textId="77777777" w:rsidR="00396C9B" w:rsidRDefault="00396C9B" w:rsidP="00396C9B">
      <w:pPr>
        <w:rPr>
          <w:bCs/>
          <w:sz w:val="22"/>
          <w:szCs w:val="22"/>
        </w:rPr>
      </w:pPr>
      <w:r w:rsidRPr="00D25DE8">
        <w:rPr>
          <w:bCs/>
          <w:i/>
          <w:iCs/>
          <w:sz w:val="22"/>
          <w:szCs w:val="22"/>
        </w:rPr>
        <w:t xml:space="preserve">En primer </w:t>
      </w:r>
      <w:proofErr w:type="gramStart"/>
      <w:r w:rsidRPr="00D25DE8">
        <w:rPr>
          <w:bCs/>
          <w:i/>
          <w:iCs/>
          <w:sz w:val="22"/>
          <w:szCs w:val="22"/>
        </w:rPr>
        <w:t>lugar</w:t>
      </w:r>
      <w:proofErr w:type="gramEnd"/>
      <w:r w:rsidRPr="00D25DE8">
        <w:rPr>
          <w:bCs/>
          <w:i/>
          <w:iCs/>
          <w:sz w:val="22"/>
          <w:szCs w:val="22"/>
        </w:rPr>
        <w:t xml:space="preserve"> debe quedar claro que, de aplicarse esta condición, el contrato con interrupciones suspende entregas en caso de </w:t>
      </w:r>
      <w:proofErr w:type="spellStart"/>
      <w:r w:rsidRPr="00D25DE8">
        <w:rPr>
          <w:bCs/>
          <w:i/>
          <w:iCs/>
          <w:sz w:val="22"/>
          <w:szCs w:val="22"/>
        </w:rPr>
        <w:t>renominaciones</w:t>
      </w:r>
      <w:proofErr w:type="spellEnd"/>
      <w:r w:rsidRPr="00D25DE8">
        <w:rPr>
          <w:bCs/>
          <w:i/>
          <w:iCs/>
          <w:sz w:val="22"/>
          <w:szCs w:val="22"/>
        </w:rPr>
        <w:t xml:space="preserve"> por parte del comprador del CF95 o del CF80. De otra parte, consideramos que El Comprador, no puede perder su derecho de solicitar hasta el 100% del contrato independientemente si el gas será utilizado en su mercado propio o para transar en mercado secundario, lo anterior porque, seguramente El Vendedor al vender el gas bajo esta modalidad de contrato valoró en el precio el riesgo de no utilización de estos porcentajes</w:t>
      </w:r>
      <w:r w:rsidRPr="00781FE6">
        <w:rPr>
          <w:bCs/>
          <w:sz w:val="22"/>
          <w:szCs w:val="22"/>
        </w:rPr>
        <w:t>."</w:t>
      </w:r>
    </w:p>
    <w:p w14:paraId="667A5DE2" w14:textId="77777777" w:rsidR="00D25DE8" w:rsidRDefault="00D25DE8" w:rsidP="00396C9B">
      <w:pPr>
        <w:rPr>
          <w:bCs/>
          <w:sz w:val="22"/>
          <w:szCs w:val="22"/>
        </w:rPr>
      </w:pPr>
    </w:p>
    <w:p w14:paraId="1F78F0E4" w14:textId="09EF07D7" w:rsidR="00D25DE8" w:rsidRPr="00D25DE8" w:rsidRDefault="00D25DE8" w:rsidP="00396C9B">
      <w:pPr>
        <w:rPr>
          <w:b/>
          <w:sz w:val="22"/>
          <w:szCs w:val="22"/>
        </w:rPr>
      </w:pPr>
      <w:r w:rsidRPr="00D25DE8">
        <w:rPr>
          <w:b/>
          <w:sz w:val="22"/>
          <w:szCs w:val="22"/>
        </w:rPr>
        <w:t>Respuesta:</w:t>
      </w:r>
    </w:p>
    <w:p w14:paraId="21FD5183" w14:textId="77777777" w:rsidR="00D25DE8" w:rsidRDefault="00D25DE8" w:rsidP="00396C9B">
      <w:pPr>
        <w:rPr>
          <w:bCs/>
          <w:sz w:val="22"/>
          <w:szCs w:val="22"/>
        </w:rPr>
      </w:pPr>
    </w:p>
    <w:p w14:paraId="609048C7" w14:textId="77777777" w:rsidR="00D25DE8" w:rsidRDefault="00D25DE8" w:rsidP="00D25DE8">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6845BF04" w14:textId="77777777" w:rsidR="00D25DE8" w:rsidRDefault="00D25DE8" w:rsidP="00396C9B">
      <w:pPr>
        <w:rPr>
          <w:bCs/>
          <w:sz w:val="22"/>
          <w:szCs w:val="22"/>
        </w:rPr>
      </w:pPr>
    </w:p>
    <w:p w14:paraId="4ABB46EC" w14:textId="77777777" w:rsidR="00396C9B" w:rsidRPr="00781FE6" w:rsidRDefault="00396C9B" w:rsidP="00396C9B">
      <w:pPr>
        <w:rPr>
          <w:bCs/>
          <w:sz w:val="22"/>
          <w:szCs w:val="22"/>
        </w:rPr>
      </w:pPr>
    </w:p>
    <w:p w14:paraId="4D242E9A" w14:textId="77777777" w:rsidR="00396C9B" w:rsidRPr="00781FE6" w:rsidRDefault="00396C9B" w:rsidP="00456774">
      <w:pPr>
        <w:pStyle w:val="Ttulo4"/>
      </w:pPr>
      <w:r w:rsidRPr="00781FE6">
        <w:t>SURTIGAS</w:t>
      </w:r>
      <w:r w:rsidRPr="00781FE6">
        <w:tab/>
      </w:r>
    </w:p>
    <w:p w14:paraId="1CF46D1A" w14:textId="0D9CA2F4" w:rsidR="00396C9B" w:rsidRPr="00D25DE8" w:rsidRDefault="00396C9B" w:rsidP="00396C9B">
      <w:pPr>
        <w:rPr>
          <w:bCs/>
          <w:i/>
          <w:iCs/>
          <w:sz w:val="22"/>
          <w:szCs w:val="22"/>
        </w:rPr>
      </w:pPr>
      <w:r w:rsidRPr="00781FE6">
        <w:rPr>
          <w:bCs/>
          <w:sz w:val="22"/>
          <w:szCs w:val="22"/>
        </w:rPr>
        <w:t>"</w:t>
      </w:r>
      <w:r w:rsidRPr="00D25DE8">
        <w:rPr>
          <w:bCs/>
          <w:i/>
          <w:iCs/>
          <w:sz w:val="22"/>
          <w:szCs w:val="22"/>
        </w:rPr>
        <w:t xml:space="preserve">El Anexo 3 es igual al Anexo 4 de la Resolución CREG-114 de 2017. Solo se diferencian en la inclusión de la modalidad CF80 y en ajustes en la variable </w:t>
      </w:r>
      <w:proofErr w:type="spellStart"/>
      <w:r w:rsidRPr="00D25DE8">
        <w:rPr>
          <w:bCs/>
          <w:i/>
          <w:iCs/>
          <w:sz w:val="22"/>
          <w:szCs w:val="22"/>
        </w:rPr>
        <w:t>ai</w:t>
      </w:r>
      <w:proofErr w:type="spellEnd"/>
      <w:r w:rsidRPr="00D25DE8">
        <w:rPr>
          <w:bCs/>
          <w:i/>
          <w:iCs/>
          <w:sz w:val="22"/>
          <w:szCs w:val="22"/>
        </w:rPr>
        <w:t>. Teniendo en cuenta que en el Proyecto de Resolución está previsto que estos contratos tengan una duración mínima de tres (3) meses, las ecuaciones deben ser reformuladas.</w:t>
      </w:r>
    </w:p>
    <w:p w14:paraId="680A3AFC" w14:textId="77777777" w:rsidR="00396C9B" w:rsidRPr="00D25DE8" w:rsidRDefault="00396C9B" w:rsidP="00396C9B">
      <w:pPr>
        <w:rPr>
          <w:bCs/>
          <w:i/>
          <w:iCs/>
          <w:sz w:val="22"/>
          <w:szCs w:val="22"/>
        </w:rPr>
      </w:pPr>
    </w:p>
    <w:p w14:paraId="6B85CCC1" w14:textId="77777777" w:rsidR="00396C9B" w:rsidRPr="00D25DE8" w:rsidRDefault="00396C9B" w:rsidP="00396C9B">
      <w:pPr>
        <w:rPr>
          <w:bCs/>
          <w:i/>
          <w:iCs/>
          <w:sz w:val="22"/>
          <w:szCs w:val="22"/>
        </w:rPr>
      </w:pPr>
      <w:r w:rsidRPr="00D25DE8">
        <w:rPr>
          <w:bCs/>
          <w:i/>
          <w:iCs/>
          <w:sz w:val="22"/>
          <w:szCs w:val="22"/>
        </w:rPr>
        <w:t>Un comprador podría suscribir su contrato de suministro en uno cualquiera de los siguientes trimestres: diciembre-febrero, marzo-mayo, junio-agosto, septiembre-noviembre. Seguramente, dependiendo del trimestre en el que se suscriba el contrato, el precio será diferente.</w:t>
      </w:r>
    </w:p>
    <w:p w14:paraId="070D07F2" w14:textId="77777777" w:rsidR="00396C9B" w:rsidRPr="00D25DE8" w:rsidRDefault="00396C9B" w:rsidP="00396C9B">
      <w:pPr>
        <w:rPr>
          <w:bCs/>
          <w:i/>
          <w:iCs/>
          <w:sz w:val="22"/>
          <w:szCs w:val="22"/>
        </w:rPr>
      </w:pPr>
    </w:p>
    <w:p w14:paraId="19F67DE6" w14:textId="77777777" w:rsidR="00396C9B" w:rsidRPr="00D25DE8" w:rsidRDefault="00396C9B" w:rsidP="00396C9B">
      <w:pPr>
        <w:rPr>
          <w:bCs/>
          <w:i/>
          <w:iCs/>
          <w:sz w:val="22"/>
          <w:szCs w:val="22"/>
        </w:rPr>
      </w:pPr>
      <w:r w:rsidRPr="00D25DE8">
        <w:rPr>
          <w:bCs/>
          <w:i/>
          <w:iCs/>
          <w:sz w:val="22"/>
          <w:szCs w:val="22"/>
        </w:rPr>
        <w:t>Las ecuaciones de actualización contenidas en el Anexo están previstas para un solo contrato y períodos de contratación mínimos de (1) año.</w:t>
      </w:r>
    </w:p>
    <w:p w14:paraId="20488FC3" w14:textId="77777777" w:rsidR="00396C9B" w:rsidRPr="00D25DE8" w:rsidRDefault="00396C9B" w:rsidP="00396C9B">
      <w:pPr>
        <w:rPr>
          <w:bCs/>
          <w:i/>
          <w:iCs/>
          <w:sz w:val="22"/>
          <w:szCs w:val="22"/>
        </w:rPr>
      </w:pPr>
    </w:p>
    <w:p w14:paraId="50651B63" w14:textId="1FB82ECC" w:rsidR="00396C9B" w:rsidRDefault="00396C9B" w:rsidP="00396C9B">
      <w:pPr>
        <w:rPr>
          <w:bCs/>
          <w:sz w:val="22"/>
          <w:szCs w:val="22"/>
        </w:rPr>
      </w:pPr>
      <w:r w:rsidRPr="00D25DE8">
        <w:rPr>
          <w:bCs/>
          <w:i/>
          <w:iCs/>
          <w:sz w:val="22"/>
          <w:szCs w:val="22"/>
        </w:rPr>
        <w:t>Adicionalmente, con relación a la indexación de precios para los contratos que su fecha de ejecución sea posterior a la de registro, consideramos que debe ser de libre elección entre las partes si el precio pactado le aplica o no dicha indexación. Poder tener certeza del precio al cual iniciaría el costo del gas, es indispensable para lograr la viabilidad de varios proyectos, lo cual no sería posible con lo que se busca implementar en la resolución en consulta</w:t>
      </w:r>
      <w:r w:rsidRPr="00781FE6">
        <w:rPr>
          <w:bCs/>
          <w:sz w:val="22"/>
          <w:szCs w:val="22"/>
        </w:rPr>
        <w:t>."</w:t>
      </w:r>
    </w:p>
    <w:p w14:paraId="77C00BBD" w14:textId="77777777" w:rsidR="00D25DE8" w:rsidRDefault="00D25DE8" w:rsidP="00396C9B">
      <w:pPr>
        <w:rPr>
          <w:bCs/>
          <w:sz w:val="22"/>
          <w:szCs w:val="22"/>
        </w:rPr>
      </w:pPr>
    </w:p>
    <w:p w14:paraId="6F036293" w14:textId="77777777" w:rsidR="00D25DE8" w:rsidRPr="00F9409F" w:rsidRDefault="00D25DE8" w:rsidP="00D25DE8">
      <w:pPr>
        <w:rPr>
          <w:b/>
          <w:sz w:val="22"/>
          <w:szCs w:val="22"/>
        </w:rPr>
      </w:pPr>
      <w:r w:rsidRPr="00F9409F">
        <w:rPr>
          <w:b/>
          <w:sz w:val="22"/>
          <w:szCs w:val="22"/>
        </w:rPr>
        <w:t>Respuesta:</w:t>
      </w:r>
    </w:p>
    <w:p w14:paraId="6FE9856E" w14:textId="77777777" w:rsidR="00D25DE8" w:rsidRDefault="00D25DE8" w:rsidP="00D25DE8">
      <w:pPr>
        <w:rPr>
          <w:bCs/>
          <w:sz w:val="22"/>
          <w:szCs w:val="22"/>
        </w:rPr>
      </w:pPr>
    </w:p>
    <w:p w14:paraId="6CB0B9AE" w14:textId="77777777" w:rsidR="00D25DE8" w:rsidRDefault="00D25DE8" w:rsidP="00D25DE8">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_Ref132897991 \n \h </w:instrText>
      </w:r>
      <w:r>
        <w:rPr>
          <w:bCs/>
          <w:sz w:val="22"/>
          <w:szCs w:val="22"/>
        </w:rPr>
      </w:r>
      <w:r>
        <w:rPr>
          <w:bCs/>
          <w:sz w:val="22"/>
          <w:szCs w:val="22"/>
        </w:rPr>
        <w:fldChar w:fldCharType="separate"/>
      </w:r>
      <w:r>
        <w:rPr>
          <w:bCs/>
          <w:sz w:val="22"/>
          <w:szCs w:val="22"/>
        </w:rPr>
        <w:t>20.10.1.3</w:t>
      </w:r>
      <w:r>
        <w:rPr>
          <w:bCs/>
          <w:sz w:val="22"/>
          <w:szCs w:val="22"/>
        </w:rPr>
        <w:fldChar w:fldCharType="end"/>
      </w:r>
      <w:r>
        <w:rPr>
          <w:bCs/>
          <w:sz w:val="22"/>
          <w:szCs w:val="22"/>
        </w:rPr>
        <w:t>.</w:t>
      </w:r>
    </w:p>
    <w:p w14:paraId="775ABCA1" w14:textId="77777777" w:rsidR="00D25DE8" w:rsidRPr="00781FE6" w:rsidRDefault="00D25DE8" w:rsidP="00396C9B">
      <w:pPr>
        <w:rPr>
          <w:bCs/>
          <w:sz w:val="22"/>
          <w:szCs w:val="22"/>
        </w:rPr>
      </w:pPr>
    </w:p>
    <w:p w14:paraId="6451585F" w14:textId="77777777" w:rsidR="00396C9B" w:rsidRPr="00781FE6" w:rsidRDefault="00396C9B" w:rsidP="00396C9B">
      <w:pPr>
        <w:rPr>
          <w:bCs/>
          <w:sz w:val="22"/>
          <w:szCs w:val="22"/>
        </w:rPr>
      </w:pPr>
    </w:p>
    <w:p w14:paraId="1E57455E" w14:textId="77777777" w:rsidR="00396C9B" w:rsidRPr="00781FE6" w:rsidRDefault="00396C9B" w:rsidP="00456774">
      <w:pPr>
        <w:pStyle w:val="Ttulo4"/>
      </w:pPr>
      <w:r w:rsidRPr="00781FE6">
        <w:t>SURTIGAS</w:t>
      </w:r>
      <w:r w:rsidRPr="00781FE6">
        <w:tab/>
      </w:r>
    </w:p>
    <w:p w14:paraId="51D88433" w14:textId="77E81AC1" w:rsidR="00396C9B" w:rsidRPr="00D25DE8" w:rsidRDefault="00396C9B" w:rsidP="00396C9B">
      <w:pPr>
        <w:rPr>
          <w:bCs/>
          <w:i/>
          <w:iCs/>
          <w:sz w:val="22"/>
          <w:szCs w:val="22"/>
        </w:rPr>
      </w:pPr>
      <w:r w:rsidRPr="00781FE6">
        <w:rPr>
          <w:bCs/>
          <w:sz w:val="22"/>
          <w:szCs w:val="22"/>
        </w:rPr>
        <w:t>"</w:t>
      </w:r>
      <w:r w:rsidRPr="00D25DE8">
        <w:rPr>
          <w:bCs/>
          <w:i/>
          <w:iCs/>
          <w:sz w:val="22"/>
          <w:szCs w:val="22"/>
        </w:rPr>
        <w:t>Con respecto al literal l), no se encuentra fundamento en el documento soporte para establecer una restricción como la planteada.</w:t>
      </w:r>
    </w:p>
    <w:p w14:paraId="7A546D31" w14:textId="77777777" w:rsidR="00396C9B" w:rsidRPr="00D25DE8" w:rsidRDefault="00396C9B" w:rsidP="00396C9B">
      <w:pPr>
        <w:rPr>
          <w:bCs/>
          <w:i/>
          <w:iCs/>
          <w:sz w:val="22"/>
          <w:szCs w:val="22"/>
        </w:rPr>
      </w:pPr>
    </w:p>
    <w:p w14:paraId="13EDFABF" w14:textId="77777777" w:rsidR="00396C9B" w:rsidRPr="00D25DE8" w:rsidRDefault="00396C9B" w:rsidP="00396C9B">
      <w:pPr>
        <w:rPr>
          <w:bCs/>
          <w:i/>
          <w:iCs/>
          <w:sz w:val="22"/>
          <w:szCs w:val="22"/>
        </w:rPr>
      </w:pPr>
      <w:r w:rsidRPr="00D25DE8">
        <w:rPr>
          <w:bCs/>
          <w:i/>
          <w:iCs/>
          <w:sz w:val="22"/>
          <w:szCs w:val="22"/>
        </w:rPr>
        <w:t>- Los agentes con contratos CF95/CF80 deben estar habilitados para vender no solo la cantidad de gas correspondiente al pago variable de tales contratos, sino cualquier excedente que se materialice con relación a la cantidad diaria máxima de gas natural sin interrupciones que esté comprometida en firme en el respectivo contrato.</w:t>
      </w:r>
    </w:p>
    <w:p w14:paraId="2BB9344D" w14:textId="77777777" w:rsidR="00396C9B" w:rsidRPr="00D25DE8" w:rsidRDefault="00396C9B" w:rsidP="00396C9B">
      <w:pPr>
        <w:rPr>
          <w:bCs/>
          <w:i/>
          <w:iCs/>
          <w:sz w:val="22"/>
          <w:szCs w:val="22"/>
        </w:rPr>
      </w:pPr>
    </w:p>
    <w:p w14:paraId="7B182950" w14:textId="77777777" w:rsidR="00396C9B" w:rsidRPr="00D25DE8" w:rsidRDefault="00396C9B" w:rsidP="00396C9B">
      <w:pPr>
        <w:rPr>
          <w:bCs/>
          <w:i/>
          <w:iCs/>
          <w:sz w:val="22"/>
          <w:szCs w:val="22"/>
        </w:rPr>
      </w:pPr>
      <w:r w:rsidRPr="00D25DE8">
        <w:rPr>
          <w:bCs/>
          <w:i/>
          <w:iCs/>
          <w:sz w:val="22"/>
          <w:szCs w:val="22"/>
        </w:rPr>
        <w:t>- Además de las disposiciones establecidas en el Proyecto de Resolución CREG-227 de 2021, que castigan en más de un sentido los excedentes que la misma CREG les impone a los agentes que sirven demanda regulada, esta limitación implica que el agente no puede participar ni ofrecer gas para la venta por fuera de su mercado relevante, sean tales ventas destinadas a otro mercado de comercialización, o a usuarios no regulados conectados a otros sistemas de distribución o conectados a la red de transporte.</w:t>
      </w:r>
    </w:p>
    <w:p w14:paraId="68F5DCDE" w14:textId="77777777" w:rsidR="00396C9B" w:rsidRPr="00D25DE8" w:rsidRDefault="00396C9B" w:rsidP="00396C9B">
      <w:pPr>
        <w:rPr>
          <w:bCs/>
          <w:i/>
          <w:iCs/>
          <w:sz w:val="22"/>
          <w:szCs w:val="22"/>
        </w:rPr>
      </w:pPr>
    </w:p>
    <w:p w14:paraId="3B2725C3" w14:textId="77777777" w:rsidR="00396C9B" w:rsidRPr="00D25DE8" w:rsidRDefault="00396C9B" w:rsidP="00396C9B">
      <w:pPr>
        <w:rPr>
          <w:bCs/>
          <w:i/>
          <w:iCs/>
          <w:sz w:val="22"/>
          <w:szCs w:val="22"/>
        </w:rPr>
      </w:pPr>
      <w:r w:rsidRPr="00D25DE8">
        <w:rPr>
          <w:bCs/>
          <w:i/>
          <w:iCs/>
          <w:sz w:val="22"/>
          <w:szCs w:val="22"/>
        </w:rPr>
        <w:t>- La Comisión estaría estableciendo una restricción a la competencia, dejándole como única opción al agente la venta de excedentes (obviando la limitación que también establece la CREG a los eventuales excedentes de la parte fija del contrato) en el mercado úselo o véndalo.</w:t>
      </w:r>
    </w:p>
    <w:p w14:paraId="67E08001" w14:textId="77777777" w:rsidR="00396C9B" w:rsidRPr="00D25DE8" w:rsidRDefault="00396C9B" w:rsidP="00396C9B">
      <w:pPr>
        <w:rPr>
          <w:bCs/>
          <w:i/>
          <w:iCs/>
          <w:sz w:val="22"/>
          <w:szCs w:val="22"/>
        </w:rPr>
      </w:pPr>
    </w:p>
    <w:p w14:paraId="2FAB21DA" w14:textId="4A9CDB71" w:rsidR="00396C9B" w:rsidRDefault="00396C9B" w:rsidP="00396C9B">
      <w:pPr>
        <w:rPr>
          <w:bCs/>
          <w:sz w:val="22"/>
          <w:szCs w:val="22"/>
        </w:rPr>
      </w:pPr>
      <w:r w:rsidRPr="00D25DE8">
        <w:rPr>
          <w:bCs/>
          <w:i/>
          <w:iCs/>
          <w:sz w:val="22"/>
          <w:szCs w:val="22"/>
        </w:rPr>
        <w:t>- Esta propuesta de norma de la CREG debe ser sometida a concepto por parte de la SIC</w:t>
      </w:r>
      <w:r w:rsidRPr="00781FE6">
        <w:rPr>
          <w:bCs/>
          <w:sz w:val="22"/>
          <w:szCs w:val="22"/>
        </w:rPr>
        <w:t>."</w:t>
      </w:r>
    </w:p>
    <w:p w14:paraId="2A505AFB" w14:textId="77777777" w:rsidR="00D25DE8" w:rsidRDefault="00D25DE8" w:rsidP="00396C9B">
      <w:pPr>
        <w:rPr>
          <w:bCs/>
          <w:sz w:val="22"/>
          <w:szCs w:val="22"/>
        </w:rPr>
      </w:pPr>
    </w:p>
    <w:p w14:paraId="2BDCFD84" w14:textId="77777777" w:rsidR="00D25DE8" w:rsidRPr="005E4E43" w:rsidRDefault="00D25DE8" w:rsidP="00D25DE8">
      <w:pPr>
        <w:rPr>
          <w:b/>
          <w:sz w:val="22"/>
          <w:szCs w:val="22"/>
        </w:rPr>
      </w:pPr>
      <w:r w:rsidRPr="005E4E43">
        <w:rPr>
          <w:b/>
          <w:sz w:val="22"/>
          <w:szCs w:val="22"/>
        </w:rPr>
        <w:t>Respuesta:</w:t>
      </w:r>
    </w:p>
    <w:p w14:paraId="57F68925" w14:textId="77777777" w:rsidR="00D25DE8" w:rsidRDefault="00D25DE8" w:rsidP="00D25DE8">
      <w:pPr>
        <w:rPr>
          <w:bCs/>
          <w:sz w:val="22"/>
          <w:szCs w:val="22"/>
        </w:rPr>
      </w:pPr>
    </w:p>
    <w:p w14:paraId="27F82244" w14:textId="77777777" w:rsidR="00D25DE8" w:rsidRDefault="00D25DE8" w:rsidP="00D25DE8">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2B4C5EC9" w14:textId="77777777" w:rsidR="00D25DE8" w:rsidRPr="00781FE6" w:rsidRDefault="00D25DE8" w:rsidP="00396C9B">
      <w:pPr>
        <w:rPr>
          <w:bCs/>
          <w:sz w:val="22"/>
          <w:szCs w:val="22"/>
        </w:rPr>
      </w:pPr>
    </w:p>
    <w:p w14:paraId="2AEC69A0" w14:textId="77777777" w:rsidR="00396C9B" w:rsidRPr="00781FE6" w:rsidRDefault="00396C9B" w:rsidP="00396C9B">
      <w:pPr>
        <w:rPr>
          <w:bCs/>
          <w:sz w:val="22"/>
          <w:szCs w:val="22"/>
        </w:rPr>
      </w:pPr>
    </w:p>
    <w:p w14:paraId="21BDF929" w14:textId="77777777" w:rsidR="00D25DE8" w:rsidRPr="00781FE6" w:rsidRDefault="00D25DE8" w:rsidP="00D25DE8">
      <w:pPr>
        <w:pStyle w:val="Ttulo4"/>
      </w:pPr>
      <w:r w:rsidRPr="00781FE6">
        <w:t>SURTIGAS</w:t>
      </w:r>
      <w:r w:rsidRPr="00781FE6">
        <w:tab/>
      </w:r>
    </w:p>
    <w:p w14:paraId="533E6410" w14:textId="7E9B605A" w:rsidR="00396C9B" w:rsidRPr="00D25DE8" w:rsidRDefault="00396C9B" w:rsidP="00396C9B">
      <w:pPr>
        <w:rPr>
          <w:bCs/>
          <w:i/>
          <w:iCs/>
          <w:sz w:val="22"/>
          <w:szCs w:val="22"/>
        </w:rPr>
      </w:pPr>
      <w:r w:rsidRPr="00781FE6">
        <w:rPr>
          <w:bCs/>
          <w:sz w:val="22"/>
          <w:szCs w:val="22"/>
        </w:rPr>
        <w:t>"</w:t>
      </w:r>
      <w:r w:rsidRPr="00D25DE8">
        <w:rPr>
          <w:bCs/>
          <w:i/>
          <w:iCs/>
          <w:sz w:val="22"/>
          <w:szCs w:val="22"/>
        </w:rPr>
        <w:t>Sobre los mecanismos de cobertura que se puedan establecer entre vendedores y compradores del mercado primario, consideramos que la CREG debería establecer tales mecanismos, de tal manera que el vendedor que en nuestro mercado tiene posición dominante, no pueda imponer criterios arbitrarios y no pueda discriminar entre agentes compradores.</w:t>
      </w:r>
    </w:p>
    <w:p w14:paraId="1B9198AD" w14:textId="77777777" w:rsidR="00396C9B" w:rsidRPr="00D25DE8" w:rsidRDefault="00396C9B" w:rsidP="00396C9B">
      <w:pPr>
        <w:rPr>
          <w:bCs/>
          <w:i/>
          <w:iCs/>
          <w:sz w:val="22"/>
          <w:szCs w:val="22"/>
        </w:rPr>
      </w:pPr>
    </w:p>
    <w:p w14:paraId="3B9AD6AD" w14:textId="77777777" w:rsidR="00396C9B" w:rsidRPr="00781FE6" w:rsidRDefault="00396C9B" w:rsidP="00396C9B">
      <w:pPr>
        <w:rPr>
          <w:bCs/>
          <w:sz w:val="22"/>
          <w:szCs w:val="22"/>
        </w:rPr>
      </w:pPr>
      <w:r w:rsidRPr="00D25DE8">
        <w:rPr>
          <w:bCs/>
          <w:i/>
          <w:iCs/>
          <w:sz w:val="22"/>
          <w:szCs w:val="22"/>
        </w:rPr>
        <w:t>Al contrario de lo que afirma la CREG, su propuesta reduce hasta la casi extinción, la liquidez del mercado secundario. No existen los mercados secundarios sin que se registren excedentes en el mercado primario. Se considera una involución en el desarrollo del mercado. Si la CREG lo que busca es reducir los excedentes, puede lograr su desaparición estableciendo como reglas: contratos de suministro pague lo demandado con prioridad para la Demanda Esencial</w:t>
      </w:r>
      <w:r w:rsidRPr="00781FE6">
        <w:rPr>
          <w:bCs/>
          <w:sz w:val="22"/>
          <w:szCs w:val="22"/>
        </w:rPr>
        <w:t>."</w:t>
      </w:r>
    </w:p>
    <w:p w14:paraId="417E59D6" w14:textId="77777777" w:rsidR="00396C9B" w:rsidRPr="00781FE6" w:rsidRDefault="00396C9B" w:rsidP="00396C9B">
      <w:pPr>
        <w:rPr>
          <w:bCs/>
          <w:sz w:val="22"/>
          <w:szCs w:val="22"/>
        </w:rPr>
      </w:pPr>
    </w:p>
    <w:p w14:paraId="71726405" w14:textId="77777777" w:rsidR="00D25DE8" w:rsidRPr="00F9409F" w:rsidRDefault="00D25DE8" w:rsidP="00D25DE8">
      <w:pPr>
        <w:rPr>
          <w:b/>
          <w:sz w:val="22"/>
          <w:szCs w:val="22"/>
        </w:rPr>
      </w:pPr>
      <w:r w:rsidRPr="00F9409F">
        <w:rPr>
          <w:b/>
          <w:sz w:val="22"/>
          <w:szCs w:val="22"/>
        </w:rPr>
        <w:t>Respuesta:</w:t>
      </w:r>
    </w:p>
    <w:p w14:paraId="4C741538" w14:textId="77777777" w:rsidR="00D25DE8" w:rsidRDefault="00D25DE8" w:rsidP="00D25DE8">
      <w:pPr>
        <w:rPr>
          <w:bCs/>
          <w:sz w:val="22"/>
          <w:szCs w:val="22"/>
        </w:rPr>
      </w:pPr>
    </w:p>
    <w:p w14:paraId="1C5ED37F" w14:textId="77777777" w:rsidR="00D25DE8" w:rsidRDefault="00D25DE8" w:rsidP="00D25DE8">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_Ref133143489 \n \h </w:instrText>
      </w:r>
      <w:r>
        <w:rPr>
          <w:bCs/>
          <w:sz w:val="22"/>
          <w:szCs w:val="22"/>
        </w:rPr>
      </w:r>
      <w:r>
        <w:rPr>
          <w:bCs/>
          <w:sz w:val="22"/>
          <w:szCs w:val="22"/>
        </w:rPr>
        <w:fldChar w:fldCharType="separate"/>
      </w:r>
      <w:r>
        <w:rPr>
          <w:bCs/>
          <w:sz w:val="22"/>
          <w:szCs w:val="22"/>
        </w:rPr>
        <w:t>20.10.1.4</w:t>
      </w:r>
      <w:r>
        <w:rPr>
          <w:bCs/>
          <w:sz w:val="22"/>
          <w:szCs w:val="22"/>
        </w:rPr>
        <w:fldChar w:fldCharType="end"/>
      </w:r>
      <w:r>
        <w:rPr>
          <w:bCs/>
          <w:sz w:val="22"/>
          <w:szCs w:val="22"/>
        </w:rPr>
        <w:t>.</w:t>
      </w:r>
    </w:p>
    <w:p w14:paraId="3EA15C56" w14:textId="77777777" w:rsidR="00D25DE8" w:rsidRDefault="00D25DE8" w:rsidP="00396C9B">
      <w:pPr>
        <w:rPr>
          <w:bCs/>
          <w:sz w:val="22"/>
          <w:szCs w:val="22"/>
        </w:rPr>
      </w:pPr>
    </w:p>
    <w:p w14:paraId="368242E6" w14:textId="77777777" w:rsidR="00D25DE8" w:rsidRPr="00781FE6" w:rsidRDefault="00D25DE8" w:rsidP="00396C9B">
      <w:pPr>
        <w:rPr>
          <w:bCs/>
          <w:sz w:val="22"/>
          <w:szCs w:val="22"/>
        </w:rPr>
      </w:pPr>
    </w:p>
    <w:p w14:paraId="0D1F5654" w14:textId="77777777" w:rsidR="00396C9B" w:rsidRPr="00781FE6" w:rsidRDefault="00396C9B" w:rsidP="00781FE6">
      <w:pPr>
        <w:pStyle w:val="Ttulo2"/>
      </w:pPr>
      <w:bookmarkStart w:id="895" w:name="_Toc140506474"/>
      <w:r w:rsidRPr="00781FE6">
        <w:t>TEBSA</w:t>
      </w:r>
      <w:bookmarkEnd w:id="895"/>
      <w:r w:rsidRPr="00781FE6">
        <w:tab/>
      </w:r>
    </w:p>
    <w:p w14:paraId="69338EA3" w14:textId="77777777" w:rsidR="00456774" w:rsidRPr="00781FE6" w:rsidRDefault="00456774" w:rsidP="00456774">
      <w:pPr>
        <w:pStyle w:val="Ttulo4"/>
      </w:pPr>
      <w:r w:rsidRPr="00781FE6">
        <w:t>TEBSA</w:t>
      </w:r>
      <w:r w:rsidRPr="00781FE6">
        <w:tab/>
      </w:r>
    </w:p>
    <w:p w14:paraId="3E2A7CAB" w14:textId="624F4BC7" w:rsidR="00396C9B" w:rsidRPr="00FE707E" w:rsidRDefault="008C492D" w:rsidP="00396C9B">
      <w:pPr>
        <w:rPr>
          <w:bCs/>
          <w:i/>
          <w:iCs/>
          <w:sz w:val="22"/>
          <w:szCs w:val="22"/>
        </w:rPr>
      </w:pPr>
      <w:r>
        <w:rPr>
          <w:bCs/>
          <w:i/>
          <w:iCs/>
          <w:sz w:val="22"/>
          <w:szCs w:val="22"/>
        </w:rPr>
        <w:t>“</w:t>
      </w:r>
      <w:r w:rsidR="00396C9B" w:rsidRPr="00FE707E">
        <w:rPr>
          <w:bCs/>
          <w:i/>
          <w:iCs/>
          <w:sz w:val="22"/>
          <w:szCs w:val="22"/>
        </w:rPr>
        <w:t>Para las condiciones de negociación de suministro de gas que requieren respaldo físico, consideramos que la nueva modalidad CF80 disminuye las cantidades para contratar en firme, adem</w:t>
      </w:r>
      <w:r w:rsidR="00FE707E" w:rsidRPr="00FE707E">
        <w:rPr>
          <w:bCs/>
          <w:i/>
          <w:iCs/>
          <w:sz w:val="22"/>
          <w:szCs w:val="22"/>
        </w:rPr>
        <w:t>á</w:t>
      </w:r>
      <w:r w:rsidR="00396C9B" w:rsidRPr="00FE707E">
        <w:rPr>
          <w:bCs/>
          <w:i/>
          <w:iCs/>
          <w:sz w:val="22"/>
          <w:szCs w:val="22"/>
        </w:rPr>
        <w:t>s que pueden encarecer el precio de compra</w:t>
      </w:r>
      <w:r w:rsidR="00FE707E" w:rsidRPr="00FE707E">
        <w:rPr>
          <w:bCs/>
          <w:i/>
          <w:iCs/>
          <w:sz w:val="22"/>
          <w:szCs w:val="22"/>
        </w:rPr>
        <w:t>.</w:t>
      </w:r>
      <w:r>
        <w:rPr>
          <w:bCs/>
          <w:i/>
          <w:iCs/>
          <w:sz w:val="22"/>
          <w:szCs w:val="22"/>
        </w:rPr>
        <w:t>”</w:t>
      </w:r>
    </w:p>
    <w:p w14:paraId="510E4D64" w14:textId="77777777" w:rsidR="00396C9B" w:rsidRPr="00781FE6" w:rsidRDefault="00396C9B" w:rsidP="00396C9B">
      <w:pPr>
        <w:rPr>
          <w:bCs/>
          <w:sz w:val="22"/>
          <w:szCs w:val="22"/>
        </w:rPr>
      </w:pPr>
    </w:p>
    <w:p w14:paraId="3ABFC509" w14:textId="3CABAE0E" w:rsidR="00396C9B" w:rsidRPr="00FE707E" w:rsidRDefault="00FE707E" w:rsidP="00396C9B">
      <w:pPr>
        <w:rPr>
          <w:b/>
          <w:sz w:val="22"/>
          <w:szCs w:val="22"/>
        </w:rPr>
      </w:pPr>
      <w:r w:rsidRPr="00FE707E">
        <w:rPr>
          <w:b/>
          <w:sz w:val="22"/>
          <w:szCs w:val="22"/>
        </w:rPr>
        <w:t>Respuesta:</w:t>
      </w:r>
    </w:p>
    <w:p w14:paraId="5A1CC82C" w14:textId="77777777" w:rsidR="00FE707E" w:rsidRDefault="00FE707E" w:rsidP="00396C9B">
      <w:pPr>
        <w:rPr>
          <w:bCs/>
          <w:sz w:val="22"/>
          <w:szCs w:val="22"/>
        </w:rPr>
      </w:pPr>
    </w:p>
    <w:p w14:paraId="54CCE4A0" w14:textId="574BA6FD" w:rsidR="00FE707E" w:rsidRDefault="00FE707E" w:rsidP="00396C9B">
      <w:pPr>
        <w:rPr>
          <w:bCs/>
          <w:sz w:val="22"/>
          <w:szCs w:val="22"/>
        </w:rPr>
      </w:pPr>
      <w:r>
        <w:rPr>
          <w:bCs/>
          <w:sz w:val="22"/>
          <w:szCs w:val="22"/>
        </w:rPr>
        <w:t xml:space="preserve">Las características de la modalidad contractual CF80 propuesta pueden ayudar a que los agentes que atienden demanda con variaciones importantes entre días laborales y fines de </w:t>
      </w:r>
      <w:proofErr w:type="gramStart"/>
      <w:r>
        <w:rPr>
          <w:bCs/>
          <w:sz w:val="22"/>
          <w:szCs w:val="22"/>
        </w:rPr>
        <w:t>semana,</w:t>
      </w:r>
      <w:proofErr w:type="gramEnd"/>
      <w:r>
        <w:rPr>
          <w:bCs/>
          <w:sz w:val="22"/>
          <w:szCs w:val="22"/>
        </w:rPr>
        <w:t xml:space="preserve"> puedan optimizar con la modalidad CF95 el precio promedio resultante, considerando las limitaciones que se mantienen de que la liquidación del pago mínimo sea mensual y de que no se puede nominar en un día cantidades superiores a las contratadas.</w:t>
      </w:r>
      <w:r w:rsidR="00F20CA0">
        <w:rPr>
          <w:bCs/>
          <w:sz w:val="22"/>
          <w:szCs w:val="22"/>
        </w:rPr>
        <w:t xml:space="preserve"> </w:t>
      </w:r>
    </w:p>
    <w:p w14:paraId="66172961" w14:textId="77777777" w:rsidR="00FE707E" w:rsidRDefault="00FE707E" w:rsidP="00396C9B">
      <w:pPr>
        <w:rPr>
          <w:bCs/>
          <w:sz w:val="22"/>
          <w:szCs w:val="22"/>
        </w:rPr>
      </w:pPr>
    </w:p>
    <w:p w14:paraId="0B7D2E40" w14:textId="780483C5" w:rsidR="00FE707E" w:rsidRDefault="00FE707E" w:rsidP="00396C9B">
      <w:pPr>
        <w:rPr>
          <w:bCs/>
          <w:sz w:val="22"/>
          <w:szCs w:val="22"/>
        </w:rPr>
      </w:pPr>
      <w:r>
        <w:rPr>
          <w:bCs/>
          <w:sz w:val="22"/>
          <w:szCs w:val="22"/>
        </w:rPr>
        <w:t xml:space="preserve">Se </w:t>
      </w:r>
      <w:proofErr w:type="gramStart"/>
      <w:r>
        <w:rPr>
          <w:bCs/>
          <w:sz w:val="22"/>
          <w:szCs w:val="22"/>
        </w:rPr>
        <w:t>espera</w:t>
      </w:r>
      <w:proofErr w:type="gramEnd"/>
      <w:r>
        <w:rPr>
          <w:bCs/>
          <w:sz w:val="22"/>
          <w:szCs w:val="22"/>
        </w:rPr>
        <w:t xml:space="preserve"> </w:t>
      </w:r>
      <w:r w:rsidR="00F20CA0">
        <w:rPr>
          <w:bCs/>
          <w:sz w:val="22"/>
          <w:szCs w:val="22"/>
        </w:rPr>
        <w:t xml:space="preserve">además, </w:t>
      </w:r>
      <w:r>
        <w:rPr>
          <w:bCs/>
          <w:sz w:val="22"/>
          <w:szCs w:val="22"/>
        </w:rPr>
        <w:t xml:space="preserve">que el efecto combinado </w:t>
      </w:r>
      <w:r w:rsidR="00F20CA0">
        <w:rPr>
          <w:bCs/>
          <w:sz w:val="22"/>
          <w:szCs w:val="22"/>
        </w:rPr>
        <w:t>del efecto en precio por un menor porcentaje mínimo a pagar lleve a una mayor precisión en la estimación de las cantidades que negocien los compradores con los vendedores.</w:t>
      </w:r>
    </w:p>
    <w:p w14:paraId="44071A79" w14:textId="77777777" w:rsidR="00F20CA0" w:rsidRDefault="00F20CA0" w:rsidP="00396C9B">
      <w:pPr>
        <w:rPr>
          <w:bCs/>
          <w:sz w:val="22"/>
          <w:szCs w:val="22"/>
        </w:rPr>
      </w:pPr>
    </w:p>
    <w:p w14:paraId="19F8B95D" w14:textId="6EAD9EC4" w:rsidR="00F20CA0" w:rsidRDefault="00F20CA0" w:rsidP="00396C9B">
      <w:pPr>
        <w:rPr>
          <w:bCs/>
          <w:sz w:val="22"/>
          <w:szCs w:val="22"/>
        </w:rPr>
      </w:pPr>
      <w:r>
        <w:rPr>
          <w:bCs/>
          <w:sz w:val="22"/>
          <w:szCs w:val="22"/>
        </w:rPr>
        <w:t>En todo caso, en caso de encontrarse un balance comercial deficitario, las modalidades contractuales a utilizar se limitan a la CF95, OCG y CFC, por lo que la modalidad CF80 no será parte de la subasta o de los mecanismos que se desarrollen para las fuentes de suministro exentas de mecanismos de comercialización CREG.</w:t>
      </w:r>
    </w:p>
    <w:p w14:paraId="154E3EAC" w14:textId="77777777" w:rsidR="00FE707E" w:rsidRDefault="00FE707E" w:rsidP="00396C9B">
      <w:pPr>
        <w:rPr>
          <w:bCs/>
          <w:sz w:val="22"/>
          <w:szCs w:val="22"/>
        </w:rPr>
      </w:pPr>
    </w:p>
    <w:p w14:paraId="6EAF6E07" w14:textId="77777777" w:rsidR="00FE707E" w:rsidRPr="00781FE6" w:rsidRDefault="00FE707E" w:rsidP="00396C9B">
      <w:pPr>
        <w:rPr>
          <w:bCs/>
          <w:sz w:val="22"/>
          <w:szCs w:val="22"/>
        </w:rPr>
      </w:pPr>
    </w:p>
    <w:p w14:paraId="3C272853" w14:textId="77777777" w:rsidR="00396C9B" w:rsidRPr="00781FE6" w:rsidRDefault="00396C9B" w:rsidP="00781FE6">
      <w:pPr>
        <w:pStyle w:val="Ttulo2"/>
      </w:pPr>
      <w:bookmarkStart w:id="896" w:name="_Toc140506475"/>
      <w:r w:rsidRPr="00781FE6">
        <w:t>TERPEL</w:t>
      </w:r>
      <w:bookmarkEnd w:id="896"/>
      <w:r w:rsidRPr="00781FE6">
        <w:tab/>
      </w:r>
    </w:p>
    <w:p w14:paraId="4D14BEAA" w14:textId="77777777" w:rsidR="00456774" w:rsidRPr="00781FE6" w:rsidRDefault="00456774" w:rsidP="00456774">
      <w:pPr>
        <w:pStyle w:val="Ttulo4"/>
      </w:pPr>
      <w:r w:rsidRPr="00781FE6">
        <w:t>TERPEL</w:t>
      </w:r>
      <w:r w:rsidRPr="00781FE6">
        <w:tab/>
      </w:r>
    </w:p>
    <w:p w14:paraId="610E68C2" w14:textId="4542D5BD" w:rsidR="00396C9B" w:rsidRDefault="00396C9B" w:rsidP="00396C9B">
      <w:pPr>
        <w:rPr>
          <w:bCs/>
          <w:sz w:val="22"/>
          <w:szCs w:val="22"/>
        </w:rPr>
      </w:pPr>
      <w:r w:rsidRPr="00781FE6">
        <w:rPr>
          <w:bCs/>
          <w:sz w:val="22"/>
          <w:szCs w:val="22"/>
        </w:rPr>
        <w:t>"</w:t>
      </w:r>
      <w:r w:rsidRPr="00F20CA0">
        <w:rPr>
          <w:bCs/>
          <w:i/>
          <w:iCs/>
          <w:sz w:val="22"/>
          <w:szCs w:val="22"/>
        </w:rPr>
        <w:t>Al contrario de generar flexibilidad en los contratos, la cláusula de ajuste regulatorio genera incertidumbre para las partes, tanto para vendedores como para compradores, para la celebración de contratos a largo plazo, más allá de 2025, al restringir la autonomía de la voluntad de las partes de revisar las condiciones contractuales ante los cambios regulatorios, inciertos en el corto y mediano plazo</w:t>
      </w:r>
      <w:r w:rsidRPr="00781FE6">
        <w:rPr>
          <w:bCs/>
          <w:sz w:val="22"/>
          <w:szCs w:val="22"/>
        </w:rPr>
        <w:t>."</w:t>
      </w:r>
    </w:p>
    <w:p w14:paraId="376CF128" w14:textId="77777777" w:rsidR="00F20CA0" w:rsidRDefault="00F20CA0" w:rsidP="00396C9B">
      <w:pPr>
        <w:rPr>
          <w:bCs/>
          <w:sz w:val="22"/>
          <w:szCs w:val="22"/>
        </w:rPr>
      </w:pPr>
    </w:p>
    <w:p w14:paraId="535F2B28" w14:textId="2ED7A0CB" w:rsidR="00F20CA0" w:rsidRPr="00F20CA0" w:rsidRDefault="00F20CA0" w:rsidP="00396C9B">
      <w:pPr>
        <w:rPr>
          <w:b/>
          <w:sz w:val="22"/>
          <w:szCs w:val="22"/>
        </w:rPr>
      </w:pPr>
      <w:r w:rsidRPr="00F20CA0">
        <w:rPr>
          <w:b/>
          <w:sz w:val="22"/>
          <w:szCs w:val="22"/>
        </w:rPr>
        <w:t>Respuesta:</w:t>
      </w:r>
    </w:p>
    <w:p w14:paraId="3BF69AA7" w14:textId="77777777" w:rsidR="00F20CA0" w:rsidRDefault="00F20CA0" w:rsidP="00396C9B">
      <w:pPr>
        <w:rPr>
          <w:bCs/>
          <w:sz w:val="22"/>
          <w:szCs w:val="22"/>
        </w:rPr>
      </w:pPr>
    </w:p>
    <w:p w14:paraId="1E76F94D" w14:textId="280208C5" w:rsidR="00F20CA0" w:rsidRDefault="00F20CA0"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\n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22273478" w14:textId="77777777" w:rsidR="00F20CA0" w:rsidRPr="00781FE6" w:rsidRDefault="00F20CA0" w:rsidP="00396C9B">
      <w:pPr>
        <w:rPr>
          <w:bCs/>
          <w:sz w:val="22"/>
          <w:szCs w:val="22"/>
        </w:rPr>
      </w:pPr>
    </w:p>
    <w:p w14:paraId="3896A1D6" w14:textId="77777777" w:rsidR="00396C9B" w:rsidRPr="00781FE6" w:rsidRDefault="00396C9B" w:rsidP="00396C9B">
      <w:pPr>
        <w:rPr>
          <w:bCs/>
          <w:sz w:val="22"/>
          <w:szCs w:val="22"/>
        </w:rPr>
      </w:pPr>
    </w:p>
    <w:p w14:paraId="68890183" w14:textId="77777777" w:rsidR="00396C9B" w:rsidRPr="00781FE6" w:rsidRDefault="00396C9B" w:rsidP="00456774">
      <w:pPr>
        <w:pStyle w:val="Ttulo4"/>
      </w:pPr>
      <w:r w:rsidRPr="00781FE6">
        <w:t>TERPEL</w:t>
      </w:r>
      <w:r w:rsidRPr="00781FE6">
        <w:tab/>
      </w:r>
    </w:p>
    <w:p w14:paraId="00D5CD7F" w14:textId="08F01100" w:rsidR="00396C9B" w:rsidRDefault="008C492D" w:rsidP="00396C9B">
      <w:pPr>
        <w:rPr>
          <w:bCs/>
          <w:sz w:val="22"/>
          <w:szCs w:val="22"/>
        </w:rPr>
      </w:pPr>
      <w:r>
        <w:rPr>
          <w:bCs/>
          <w:i/>
          <w:iCs/>
          <w:sz w:val="22"/>
          <w:szCs w:val="22"/>
        </w:rPr>
        <w:t>“</w:t>
      </w:r>
      <w:r w:rsidR="00396C9B" w:rsidRPr="00F20CA0">
        <w:rPr>
          <w:bCs/>
          <w:i/>
          <w:iCs/>
          <w:sz w:val="22"/>
          <w:szCs w:val="22"/>
        </w:rPr>
        <w:t>La comercialización del gas de campos en pruebas debería ser destinada a atender cualquier tipo de demanda sin discriminación, incluida la demanda esencial, siempre que la misma esté respaldada con reservas sean probables o posibles</w:t>
      </w:r>
      <w:r w:rsidR="00396C9B" w:rsidRPr="00781FE6">
        <w:rPr>
          <w:bCs/>
          <w:sz w:val="22"/>
          <w:szCs w:val="22"/>
        </w:rPr>
        <w:t>.</w:t>
      </w:r>
      <w:r>
        <w:rPr>
          <w:bCs/>
          <w:sz w:val="22"/>
          <w:szCs w:val="22"/>
        </w:rPr>
        <w:t>”</w:t>
      </w:r>
      <w:r w:rsidR="00396C9B" w:rsidRPr="00781FE6">
        <w:rPr>
          <w:bCs/>
          <w:sz w:val="22"/>
          <w:szCs w:val="22"/>
        </w:rPr>
        <w:t xml:space="preserve"> </w:t>
      </w:r>
    </w:p>
    <w:p w14:paraId="12BF5B2D" w14:textId="77777777" w:rsidR="00F20CA0" w:rsidRDefault="00F20CA0" w:rsidP="00396C9B">
      <w:pPr>
        <w:rPr>
          <w:bCs/>
          <w:sz w:val="22"/>
          <w:szCs w:val="22"/>
        </w:rPr>
      </w:pPr>
    </w:p>
    <w:p w14:paraId="3B470418" w14:textId="631FB1D6" w:rsidR="00F20CA0" w:rsidRPr="00F20CA0" w:rsidRDefault="00F20CA0" w:rsidP="00396C9B">
      <w:pPr>
        <w:rPr>
          <w:b/>
          <w:sz w:val="22"/>
          <w:szCs w:val="22"/>
        </w:rPr>
      </w:pPr>
      <w:r w:rsidRPr="00F20CA0">
        <w:rPr>
          <w:b/>
          <w:sz w:val="22"/>
          <w:szCs w:val="22"/>
        </w:rPr>
        <w:t>Respuesta:</w:t>
      </w:r>
    </w:p>
    <w:p w14:paraId="726EC98D" w14:textId="77777777" w:rsidR="00F20CA0" w:rsidRDefault="00F20CA0" w:rsidP="00396C9B">
      <w:pPr>
        <w:rPr>
          <w:bCs/>
          <w:sz w:val="22"/>
          <w:szCs w:val="22"/>
        </w:rPr>
      </w:pPr>
    </w:p>
    <w:p w14:paraId="1F6E5081" w14:textId="0BF546C2" w:rsidR="00F20CA0" w:rsidRDefault="00F20CA0"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_Ref132893566 \n \h </w:instrText>
      </w:r>
      <w:r>
        <w:rPr>
          <w:bCs/>
          <w:sz w:val="22"/>
          <w:szCs w:val="22"/>
        </w:rPr>
      </w:r>
      <w:r>
        <w:rPr>
          <w:bCs/>
          <w:sz w:val="22"/>
          <w:szCs w:val="22"/>
        </w:rPr>
        <w:fldChar w:fldCharType="separate"/>
      </w:r>
      <w:r>
        <w:rPr>
          <w:bCs/>
          <w:sz w:val="22"/>
          <w:szCs w:val="22"/>
        </w:rPr>
        <w:t>20.1.1.3</w:t>
      </w:r>
      <w:r>
        <w:rPr>
          <w:bCs/>
          <w:sz w:val="22"/>
          <w:szCs w:val="22"/>
        </w:rPr>
        <w:fldChar w:fldCharType="end"/>
      </w:r>
      <w:r>
        <w:rPr>
          <w:bCs/>
          <w:sz w:val="22"/>
          <w:szCs w:val="22"/>
        </w:rPr>
        <w:t>.</w:t>
      </w:r>
    </w:p>
    <w:p w14:paraId="09C9C30B" w14:textId="77777777" w:rsidR="00F20CA0" w:rsidRPr="00781FE6" w:rsidRDefault="00F20CA0" w:rsidP="00396C9B">
      <w:pPr>
        <w:rPr>
          <w:bCs/>
          <w:sz w:val="22"/>
          <w:szCs w:val="22"/>
        </w:rPr>
      </w:pPr>
    </w:p>
    <w:p w14:paraId="44FB71C6" w14:textId="77777777" w:rsidR="00396C9B" w:rsidRPr="00781FE6" w:rsidRDefault="00396C9B" w:rsidP="00396C9B">
      <w:pPr>
        <w:rPr>
          <w:bCs/>
          <w:sz w:val="22"/>
          <w:szCs w:val="22"/>
        </w:rPr>
      </w:pPr>
    </w:p>
    <w:p w14:paraId="63B4E6ED" w14:textId="77777777" w:rsidR="00396C9B" w:rsidRPr="00781FE6" w:rsidRDefault="00396C9B" w:rsidP="00456774">
      <w:pPr>
        <w:pStyle w:val="Ttulo4"/>
      </w:pPr>
      <w:r w:rsidRPr="00781FE6">
        <w:t>TERPEL</w:t>
      </w:r>
      <w:r w:rsidRPr="00781FE6">
        <w:tab/>
      </w:r>
    </w:p>
    <w:p w14:paraId="25392DA5" w14:textId="3FE3B089" w:rsidR="00396C9B" w:rsidRPr="00F20CA0" w:rsidRDefault="008C492D" w:rsidP="00396C9B">
      <w:pPr>
        <w:rPr>
          <w:bCs/>
          <w:i/>
          <w:iCs/>
          <w:sz w:val="22"/>
          <w:szCs w:val="22"/>
        </w:rPr>
      </w:pPr>
      <w:r>
        <w:rPr>
          <w:bCs/>
          <w:i/>
          <w:iCs/>
          <w:sz w:val="22"/>
          <w:szCs w:val="22"/>
        </w:rPr>
        <w:t>“</w:t>
      </w:r>
      <w:r w:rsidR="00396C9B" w:rsidRPr="00F20CA0">
        <w:rPr>
          <w:bCs/>
          <w:i/>
          <w:iCs/>
          <w:sz w:val="22"/>
          <w:szCs w:val="22"/>
        </w:rPr>
        <w:t>Por favor indicar cual es el mercado relevante para un comercializador.</w:t>
      </w:r>
      <w:r>
        <w:rPr>
          <w:bCs/>
          <w:i/>
          <w:iCs/>
          <w:sz w:val="22"/>
          <w:szCs w:val="22"/>
        </w:rPr>
        <w:t>”</w:t>
      </w:r>
    </w:p>
    <w:p w14:paraId="1E88F845" w14:textId="77777777" w:rsidR="00396C9B" w:rsidRDefault="00396C9B" w:rsidP="00396C9B">
      <w:pPr>
        <w:rPr>
          <w:bCs/>
          <w:sz w:val="22"/>
          <w:szCs w:val="22"/>
        </w:rPr>
      </w:pPr>
    </w:p>
    <w:p w14:paraId="533D5260" w14:textId="33D9642F" w:rsidR="00F20CA0" w:rsidRPr="00F20CA0" w:rsidRDefault="00F20CA0" w:rsidP="00396C9B">
      <w:pPr>
        <w:rPr>
          <w:b/>
          <w:sz w:val="22"/>
          <w:szCs w:val="22"/>
        </w:rPr>
      </w:pPr>
      <w:r w:rsidRPr="00F20CA0">
        <w:rPr>
          <w:b/>
          <w:sz w:val="22"/>
          <w:szCs w:val="22"/>
        </w:rPr>
        <w:t>Respuesta:</w:t>
      </w:r>
    </w:p>
    <w:p w14:paraId="6283CC8B" w14:textId="77777777" w:rsidR="00F20CA0" w:rsidRDefault="00F20CA0" w:rsidP="00396C9B">
      <w:pPr>
        <w:rPr>
          <w:bCs/>
          <w:sz w:val="22"/>
          <w:szCs w:val="22"/>
        </w:rPr>
      </w:pPr>
    </w:p>
    <w:p w14:paraId="534C3F60" w14:textId="185828A8" w:rsidR="00F20CA0" w:rsidRPr="00781FE6" w:rsidRDefault="00F20CA0"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_Ref133212724 \n \h </w:instrText>
      </w:r>
      <w:r>
        <w:rPr>
          <w:bCs/>
          <w:sz w:val="22"/>
          <w:szCs w:val="22"/>
        </w:rPr>
      </w:r>
      <w:r>
        <w:rPr>
          <w:bCs/>
          <w:sz w:val="22"/>
          <w:szCs w:val="22"/>
        </w:rPr>
        <w:fldChar w:fldCharType="separate"/>
      </w:r>
      <w:r>
        <w:rPr>
          <w:bCs/>
          <w:sz w:val="22"/>
          <w:szCs w:val="22"/>
        </w:rPr>
        <w:t>20.1.1.2</w:t>
      </w:r>
      <w:r>
        <w:rPr>
          <w:bCs/>
          <w:sz w:val="22"/>
          <w:szCs w:val="22"/>
        </w:rPr>
        <w:fldChar w:fldCharType="end"/>
      </w:r>
      <w:r>
        <w:rPr>
          <w:bCs/>
          <w:sz w:val="22"/>
          <w:szCs w:val="22"/>
        </w:rPr>
        <w:t>.</w:t>
      </w:r>
    </w:p>
    <w:p w14:paraId="013FA1E9" w14:textId="77777777" w:rsidR="00396C9B" w:rsidRPr="00781FE6" w:rsidRDefault="00396C9B" w:rsidP="00396C9B">
      <w:pPr>
        <w:rPr>
          <w:bCs/>
          <w:sz w:val="22"/>
          <w:szCs w:val="22"/>
        </w:rPr>
      </w:pPr>
    </w:p>
    <w:p w14:paraId="1FC9CFC4" w14:textId="77777777" w:rsidR="00396C9B" w:rsidRPr="00781FE6" w:rsidRDefault="00396C9B" w:rsidP="00781FE6">
      <w:pPr>
        <w:pStyle w:val="Ttulo2"/>
      </w:pPr>
      <w:bookmarkStart w:id="897" w:name="_Toc140506476"/>
      <w:r w:rsidRPr="00781FE6">
        <w:t>VANTI</w:t>
      </w:r>
      <w:bookmarkEnd w:id="897"/>
      <w:r w:rsidRPr="00781FE6">
        <w:tab/>
      </w:r>
    </w:p>
    <w:p w14:paraId="79974DA9" w14:textId="77777777" w:rsidR="00456774" w:rsidRPr="00781FE6" w:rsidRDefault="00456774" w:rsidP="00456774">
      <w:pPr>
        <w:pStyle w:val="Ttulo4"/>
      </w:pPr>
      <w:r w:rsidRPr="00781FE6">
        <w:t>VANTI</w:t>
      </w:r>
      <w:r w:rsidRPr="00781FE6">
        <w:tab/>
      </w:r>
    </w:p>
    <w:p w14:paraId="1D98E8BD" w14:textId="0133156E" w:rsidR="00396C9B" w:rsidRPr="00CB422E" w:rsidRDefault="00396C9B" w:rsidP="00396C9B">
      <w:pPr>
        <w:rPr>
          <w:bCs/>
          <w:i/>
          <w:iCs/>
          <w:sz w:val="22"/>
          <w:szCs w:val="22"/>
        </w:rPr>
      </w:pPr>
      <w:r w:rsidRPr="00781FE6">
        <w:rPr>
          <w:bCs/>
          <w:sz w:val="22"/>
          <w:szCs w:val="22"/>
        </w:rPr>
        <w:t>"</w:t>
      </w:r>
      <w:r w:rsidRPr="00CB422E">
        <w:rPr>
          <w:bCs/>
          <w:i/>
          <w:iCs/>
          <w:sz w:val="22"/>
          <w:szCs w:val="22"/>
        </w:rPr>
        <w:t xml:space="preserve">Teniendo en cuenta principios como la seguridad jurídica y la confianza legítima no nos es aceptable este mandato, toda vez que no se especifica el alcance de cuáles son las condiciones contractuales en las que se deberá tener un ajuste después del 30 de noviembre de 2025, ni cuáles son las disposiciones que determinará la CREG. </w:t>
      </w:r>
    </w:p>
    <w:p w14:paraId="0E2558D1" w14:textId="77777777" w:rsidR="00396C9B" w:rsidRPr="00CB422E" w:rsidRDefault="00396C9B" w:rsidP="00396C9B">
      <w:pPr>
        <w:rPr>
          <w:bCs/>
          <w:i/>
          <w:iCs/>
          <w:sz w:val="22"/>
          <w:szCs w:val="22"/>
        </w:rPr>
      </w:pPr>
    </w:p>
    <w:p w14:paraId="49CD03F5" w14:textId="22C4475A" w:rsidR="00396C9B" w:rsidRPr="00CB422E" w:rsidRDefault="00396C9B" w:rsidP="00396C9B">
      <w:pPr>
        <w:rPr>
          <w:bCs/>
          <w:i/>
          <w:iCs/>
          <w:sz w:val="22"/>
          <w:szCs w:val="22"/>
        </w:rPr>
      </w:pPr>
      <w:r w:rsidRPr="00CB422E">
        <w:rPr>
          <w:bCs/>
          <w:i/>
          <w:iCs/>
          <w:sz w:val="22"/>
          <w:szCs w:val="22"/>
        </w:rPr>
        <w:t xml:space="preserve">En efecto, la confianza legítima, </w:t>
      </w:r>
      <w:r w:rsidR="004A1A47">
        <w:rPr>
          <w:bCs/>
          <w:i/>
          <w:iCs/>
          <w:sz w:val="22"/>
          <w:szCs w:val="22"/>
        </w:rPr>
        <w:t>‘</w:t>
      </w:r>
      <w:r w:rsidRPr="00CB422E">
        <w:rPr>
          <w:bCs/>
          <w:i/>
          <w:iCs/>
          <w:sz w:val="22"/>
          <w:szCs w:val="22"/>
        </w:rPr>
        <w:t>(…) se fundamenta en la protección de las expectativas ciertas, razonables y fundadas que tienen los administrados con relación a las actuaciones del Estado, así, ha sido reconocido por la jurisprudencia constitucional y de lo contencioso administrativo que, la seguridad jurídica y la confianza legítima proyectan el principio constitucional de la buena fe consagrado en el artículo 83 superior, que irradia toda la actividad estatal, incluida la judicial. (…) [L]a confianza legítima supone corroborar que existen hechos claros, precisos y contundentes, de los que se puede concluir la voluntad estatal en caminada a producir determinados efectos jurídicos, así como la confianza de los administrados en tales mandatos. (…)</w:t>
      </w:r>
      <w:proofErr w:type="gramStart"/>
      <w:r w:rsidR="004A1A47">
        <w:rPr>
          <w:bCs/>
          <w:i/>
          <w:iCs/>
          <w:sz w:val="22"/>
          <w:szCs w:val="22"/>
        </w:rPr>
        <w:t>’</w:t>
      </w:r>
      <w:r w:rsidRPr="00CB422E">
        <w:rPr>
          <w:bCs/>
          <w:i/>
          <w:iCs/>
          <w:sz w:val="22"/>
          <w:szCs w:val="22"/>
        </w:rPr>
        <w:t>(</w:t>
      </w:r>
      <w:proofErr w:type="gramEnd"/>
      <w:r w:rsidRPr="00CB422E">
        <w:rPr>
          <w:bCs/>
          <w:i/>
          <w:iCs/>
          <w:sz w:val="22"/>
          <w:szCs w:val="22"/>
        </w:rPr>
        <w:t xml:space="preserve">Resaltado fuera de texto original) </w:t>
      </w:r>
    </w:p>
    <w:p w14:paraId="591DAEC6" w14:textId="77777777" w:rsidR="00396C9B" w:rsidRPr="00CB422E" w:rsidRDefault="00396C9B" w:rsidP="00396C9B">
      <w:pPr>
        <w:rPr>
          <w:bCs/>
          <w:i/>
          <w:iCs/>
          <w:sz w:val="22"/>
          <w:szCs w:val="22"/>
        </w:rPr>
      </w:pPr>
    </w:p>
    <w:p w14:paraId="62C6BF24" w14:textId="085F6911" w:rsidR="00396C9B" w:rsidRPr="00CB422E" w:rsidRDefault="00396C9B" w:rsidP="00396C9B">
      <w:pPr>
        <w:rPr>
          <w:bCs/>
          <w:i/>
          <w:iCs/>
          <w:sz w:val="22"/>
          <w:szCs w:val="22"/>
        </w:rPr>
      </w:pPr>
      <w:r w:rsidRPr="00CB422E">
        <w:rPr>
          <w:bCs/>
          <w:i/>
          <w:iCs/>
          <w:sz w:val="22"/>
          <w:szCs w:val="22"/>
        </w:rPr>
        <w:t xml:space="preserve">Entonces se trata de la </w:t>
      </w:r>
      <w:r w:rsidR="004A1A47">
        <w:rPr>
          <w:bCs/>
          <w:i/>
          <w:iCs/>
          <w:sz w:val="22"/>
          <w:szCs w:val="22"/>
        </w:rPr>
        <w:t>‘</w:t>
      </w:r>
      <w:r w:rsidRPr="00CB422E">
        <w:rPr>
          <w:bCs/>
          <w:i/>
          <w:iCs/>
          <w:sz w:val="22"/>
          <w:szCs w:val="22"/>
        </w:rPr>
        <w:t>protección jurídica a las expectativas razonables, ciertas y fundadas que pueden albergar los administrados con respecto a la estabilidad o proyección futura de determinadas situaciones jurídicas de carácter particular y concreto, cuando ellas han sido promovidas, permitidas, propiciadas o toleradas por el propio Estado</w:t>
      </w:r>
      <w:r w:rsidR="004A1A47">
        <w:rPr>
          <w:bCs/>
          <w:i/>
          <w:iCs/>
          <w:sz w:val="22"/>
          <w:szCs w:val="22"/>
        </w:rPr>
        <w:t>’</w:t>
      </w:r>
      <w:r w:rsidRPr="00CB422E">
        <w:rPr>
          <w:bCs/>
          <w:i/>
          <w:iCs/>
          <w:sz w:val="22"/>
          <w:szCs w:val="22"/>
        </w:rPr>
        <w:t xml:space="preserve">. </w:t>
      </w:r>
    </w:p>
    <w:p w14:paraId="7D9FA06A" w14:textId="77777777" w:rsidR="00396C9B" w:rsidRPr="00CB422E" w:rsidRDefault="00396C9B" w:rsidP="00396C9B">
      <w:pPr>
        <w:rPr>
          <w:bCs/>
          <w:i/>
          <w:iCs/>
          <w:sz w:val="22"/>
          <w:szCs w:val="22"/>
        </w:rPr>
      </w:pPr>
    </w:p>
    <w:p w14:paraId="6FDA08A0" w14:textId="6EBDFA4F" w:rsidR="00396C9B" w:rsidRPr="00CB422E" w:rsidRDefault="00396C9B" w:rsidP="00396C9B">
      <w:pPr>
        <w:rPr>
          <w:bCs/>
          <w:i/>
          <w:iCs/>
          <w:sz w:val="22"/>
          <w:szCs w:val="22"/>
        </w:rPr>
      </w:pPr>
      <w:r w:rsidRPr="00CB422E">
        <w:rPr>
          <w:bCs/>
          <w:i/>
          <w:iCs/>
          <w:sz w:val="22"/>
          <w:szCs w:val="22"/>
        </w:rPr>
        <w:t xml:space="preserve">De este modo, la previsión contenida en el literal a) del artículo 22 de la propuesta regulatoria resulta desproporcionada, no es razonable y vulnera los derechos fundamentales de los administrados. Cabe recordar que tal y como ha sido señalado por la jurisprudencia de la H. Corte Constitucional, </w:t>
      </w:r>
      <w:r w:rsidR="004A1A47">
        <w:rPr>
          <w:bCs/>
          <w:i/>
          <w:iCs/>
          <w:sz w:val="22"/>
          <w:szCs w:val="22"/>
        </w:rPr>
        <w:t>‘</w:t>
      </w:r>
      <w:r w:rsidRPr="00CB422E">
        <w:rPr>
          <w:bCs/>
          <w:i/>
          <w:iCs/>
          <w:sz w:val="22"/>
          <w:szCs w:val="22"/>
        </w:rPr>
        <w:t xml:space="preserve">(…) el artículo 83 de la Constitución Política dispone que “[l]as actuaciones de los particulares y de las </w:t>
      </w:r>
      <w:proofErr w:type="gramStart"/>
      <w:r w:rsidRPr="00CB422E">
        <w:rPr>
          <w:bCs/>
          <w:i/>
          <w:iCs/>
          <w:sz w:val="22"/>
          <w:szCs w:val="22"/>
        </w:rPr>
        <w:t>autoridades públicas</w:t>
      </w:r>
      <w:proofErr w:type="gramEnd"/>
      <w:r w:rsidRPr="00CB422E">
        <w:rPr>
          <w:bCs/>
          <w:i/>
          <w:iCs/>
          <w:sz w:val="22"/>
          <w:szCs w:val="22"/>
        </w:rPr>
        <w:t xml:space="preserve"> deberán ceñirse a los postulados de la buena fe, la cual se presumirá en todas las gestiones que aquellos adelanten ante éstas</w:t>
      </w:r>
      <w:r w:rsidR="004A1A47">
        <w:rPr>
          <w:bCs/>
          <w:i/>
          <w:iCs/>
          <w:sz w:val="22"/>
          <w:szCs w:val="22"/>
        </w:rPr>
        <w:t>’</w:t>
      </w:r>
      <w:r w:rsidRPr="00CB422E">
        <w:rPr>
          <w:bCs/>
          <w:i/>
          <w:iCs/>
          <w:sz w:val="22"/>
          <w:szCs w:val="22"/>
        </w:rPr>
        <w:t xml:space="preserve">. El principio de confianza legítima es una proyección del principio de buena fe. La jurisprudencia de este Tribunal ha establecido que la confianza legítima es un principio constitucional que implica una prohibición para la administración. En concreto, supone que las autoridades no pueden cambiar de manera sorpresiva ciertas condiciones que permitían a los administrados de manera directa o indirecta confiar en que las condiciones de su actuar se mantengan sin otorgar un período de transición o brindar alternativas para solucionar los efectos de su decisión. En esencia, este principio consiste en que el ciudadano debe desarrollarse en un medio jurídico estable y previsible, en el cual pueda </w:t>
      </w:r>
      <w:proofErr w:type="gramStart"/>
      <w:r w:rsidRPr="00CB422E">
        <w:rPr>
          <w:bCs/>
          <w:i/>
          <w:iCs/>
          <w:sz w:val="22"/>
          <w:szCs w:val="22"/>
        </w:rPr>
        <w:t>confiar.(</w:t>
      </w:r>
      <w:proofErr w:type="gramEnd"/>
      <w:r w:rsidRPr="00CB422E">
        <w:rPr>
          <w:bCs/>
          <w:i/>
          <w:iCs/>
          <w:sz w:val="22"/>
          <w:szCs w:val="22"/>
        </w:rPr>
        <w:t>…)</w:t>
      </w:r>
      <w:r w:rsidR="004A1A47">
        <w:rPr>
          <w:bCs/>
          <w:i/>
          <w:iCs/>
          <w:sz w:val="22"/>
          <w:szCs w:val="22"/>
        </w:rPr>
        <w:t>’</w:t>
      </w:r>
    </w:p>
    <w:p w14:paraId="1A89E7BA" w14:textId="77777777" w:rsidR="00396C9B" w:rsidRPr="00CB422E" w:rsidRDefault="00396C9B" w:rsidP="00396C9B">
      <w:pPr>
        <w:rPr>
          <w:bCs/>
          <w:i/>
          <w:iCs/>
          <w:sz w:val="22"/>
          <w:szCs w:val="22"/>
        </w:rPr>
      </w:pPr>
    </w:p>
    <w:p w14:paraId="378B78F4" w14:textId="77777777" w:rsidR="00396C9B" w:rsidRPr="00CB422E" w:rsidRDefault="00396C9B" w:rsidP="00396C9B">
      <w:pPr>
        <w:rPr>
          <w:bCs/>
          <w:i/>
          <w:iCs/>
          <w:sz w:val="22"/>
          <w:szCs w:val="22"/>
        </w:rPr>
      </w:pPr>
      <w:r w:rsidRPr="00CB422E">
        <w:rPr>
          <w:bCs/>
          <w:i/>
          <w:iCs/>
          <w:sz w:val="22"/>
          <w:szCs w:val="22"/>
        </w:rPr>
        <w:t>Sobre el particular es preciso recordar cómo actuaciones recientes de la Comisión, como la Resolución 185 de 2020 que desarrollaron cambios regulatorios que afectaron y afectan sustancialmente los contratos firmados con 15 años de antigüedad donde se obliga al comercializador a vender el transporte de gas a costo fijo cero en los procesos del úselo o véndalo de corto plazo pero mantiene su obligación de pago al transportador, no son aceptables, vulneran derechos de los agentes, que confiando en reglas regulatorias establecidas previamente procedieron a suscribirlos y adquirir compromisos; ya hemos expresado como estas disposiciones desconocieron abiertamente la existencia de contratos de largo plazo de los comercializadores que fueron suscritos bajo las reglas regulatorias establecidas en su momento para cubrir su demanda y para facilitar la expansión de los sistemas de transporte (</w:t>
      </w:r>
      <w:proofErr w:type="spellStart"/>
      <w:r w:rsidRPr="00CB422E">
        <w:rPr>
          <w:bCs/>
          <w:i/>
          <w:iCs/>
          <w:sz w:val="22"/>
          <w:szCs w:val="22"/>
        </w:rPr>
        <w:t>contract</w:t>
      </w:r>
      <w:proofErr w:type="spellEnd"/>
      <w:r w:rsidRPr="00CB422E">
        <w:rPr>
          <w:bCs/>
          <w:i/>
          <w:iCs/>
          <w:sz w:val="22"/>
          <w:szCs w:val="22"/>
        </w:rPr>
        <w:t xml:space="preserve"> </w:t>
      </w:r>
      <w:proofErr w:type="spellStart"/>
      <w:r w:rsidRPr="00CB422E">
        <w:rPr>
          <w:bCs/>
          <w:i/>
          <w:iCs/>
          <w:sz w:val="22"/>
          <w:szCs w:val="22"/>
        </w:rPr>
        <w:t>carriage</w:t>
      </w:r>
      <w:proofErr w:type="spellEnd"/>
      <w:r w:rsidRPr="00CB422E">
        <w:rPr>
          <w:bCs/>
          <w:i/>
          <w:iCs/>
          <w:sz w:val="22"/>
          <w:szCs w:val="22"/>
        </w:rPr>
        <w:t xml:space="preserve">) que implican para el comercializador por imposición regulatoria -en abierta violación a los principios legales superiores- la imposibilidad de remunerar riesgo de contratación a largo plazo ya que el mercado secundario no permite márgenes y el de úselo o véndalo lo obliga a liberar cantidades a una fracción del costo de transporte contratado. </w:t>
      </w:r>
    </w:p>
    <w:p w14:paraId="7CABECD2" w14:textId="77777777" w:rsidR="00396C9B" w:rsidRPr="00CB422E" w:rsidRDefault="00396C9B" w:rsidP="00396C9B">
      <w:pPr>
        <w:rPr>
          <w:bCs/>
          <w:i/>
          <w:iCs/>
          <w:sz w:val="22"/>
          <w:szCs w:val="22"/>
        </w:rPr>
      </w:pPr>
    </w:p>
    <w:p w14:paraId="6AA93FBA" w14:textId="77777777" w:rsidR="00396C9B" w:rsidRPr="00CB422E" w:rsidRDefault="00396C9B" w:rsidP="00396C9B">
      <w:pPr>
        <w:rPr>
          <w:bCs/>
          <w:i/>
          <w:iCs/>
          <w:sz w:val="22"/>
          <w:szCs w:val="22"/>
        </w:rPr>
      </w:pPr>
      <w:r w:rsidRPr="00CB422E">
        <w:rPr>
          <w:bCs/>
          <w:i/>
          <w:iCs/>
          <w:sz w:val="22"/>
          <w:szCs w:val="22"/>
        </w:rPr>
        <w:t xml:space="preserve">En este mismo sentido, vale mencionar que tampoco son de recibo -y resultarían ilegales- las señales regulatorias contenidas en la resolución en comentarios 227 de 2021 en la cual no se permite el traslado a la demanda de los mismos contratos históricos de transporte y que limitan el precio de los contratos de venta de suministro en el mercado secundario. </w:t>
      </w:r>
    </w:p>
    <w:p w14:paraId="79FEC41E" w14:textId="77777777" w:rsidR="00396C9B" w:rsidRPr="00CB422E" w:rsidRDefault="00396C9B" w:rsidP="00396C9B">
      <w:pPr>
        <w:rPr>
          <w:bCs/>
          <w:i/>
          <w:iCs/>
          <w:sz w:val="22"/>
          <w:szCs w:val="22"/>
        </w:rPr>
      </w:pPr>
    </w:p>
    <w:p w14:paraId="2E8A3B8D" w14:textId="28E95D41" w:rsidR="00426028" w:rsidRDefault="00396C9B" w:rsidP="00396C9B">
      <w:pPr>
        <w:rPr>
          <w:bCs/>
          <w:sz w:val="22"/>
          <w:szCs w:val="22"/>
        </w:rPr>
      </w:pPr>
      <w:r w:rsidRPr="00CB422E">
        <w:rPr>
          <w:bCs/>
          <w:i/>
          <w:iCs/>
          <w:sz w:val="22"/>
          <w:szCs w:val="22"/>
        </w:rPr>
        <w:t xml:space="preserve">Estas señales regulatorias erradas, además de imponer cargas injustas y desproporcionadas al comercializador, están llevando a generar una competencia basada en una ventaja regulatoria que se </w:t>
      </w:r>
      <w:proofErr w:type="gramStart"/>
      <w:r w:rsidRPr="00CB422E">
        <w:rPr>
          <w:bCs/>
          <w:i/>
          <w:iCs/>
          <w:sz w:val="22"/>
          <w:szCs w:val="22"/>
        </w:rPr>
        <w:t>le</w:t>
      </w:r>
      <w:proofErr w:type="gramEnd"/>
      <w:r w:rsidRPr="00CB422E">
        <w:rPr>
          <w:bCs/>
          <w:i/>
          <w:iCs/>
          <w:sz w:val="22"/>
          <w:szCs w:val="22"/>
        </w:rPr>
        <w:t xml:space="preserve"> otorga a solo algunos agentes de la cadena y que no está basada en una señal de mercado. De lo anterior vemos que la Comisión en sus decisiones, no está guardando el equilibrio entre los diferentes agentes de la cadena -desconociendo mandatos superiores como los contenidos en la Ley 142 de 1994 y el Decreto 1073 de 2015 según los cuales corresponde a la CREG ejercer sus funciones para promover la competencia y desarrollar mecanismos contractuales que propendan por el equilibro de las relaciones contractuales entre los agentes; la CREG está pretendiendo seguir imponiendo -en adición a lo ya comentado respecto de la Resolución CREG 185 de 2020- cargas excesivas y riesgos no gestionables al comercializador sin darle herramientas que le permitan gestionar estos cambios regulatorios, manteniendo a su cargo las obligaciones de pago de los contratos, pero a la vez conservando el estatus quo para productores y transportadores. En conclusión, es por ello por lo que, vemos que una cláusula regulatoria abierta de este tipo incrementa sustancialmente el riesgo de contratación para los comercializadores de gas que no están en el deber legal de aceptar. Reiteramos entonces que no les es dable a la CREG intervenir contratos y modificar por esta vía lo pactado por las partes -con arreglo a la regulación vigente- en ejercicio se su autonomía de la voluntad. En este orden de ideas se hace un llamado a la CREG para revisar este punto, ya que no puede obligar a las partes a firmar los contratos venideros con tal grado de incertidumbre</w:t>
      </w:r>
      <w:r w:rsidRPr="00781FE6">
        <w:rPr>
          <w:bCs/>
          <w:sz w:val="22"/>
          <w:szCs w:val="22"/>
        </w:rPr>
        <w:t>."</w:t>
      </w:r>
    </w:p>
    <w:p w14:paraId="1616710B" w14:textId="77777777" w:rsidR="00CB422E" w:rsidRDefault="00CB422E" w:rsidP="00396C9B">
      <w:pPr>
        <w:rPr>
          <w:bCs/>
          <w:sz w:val="22"/>
          <w:szCs w:val="22"/>
        </w:rPr>
      </w:pPr>
    </w:p>
    <w:p w14:paraId="4A1DF00A" w14:textId="742077BC" w:rsidR="00CB422E" w:rsidRPr="00CB422E" w:rsidRDefault="00CB422E" w:rsidP="00396C9B">
      <w:pPr>
        <w:rPr>
          <w:b/>
          <w:sz w:val="22"/>
          <w:szCs w:val="22"/>
        </w:rPr>
      </w:pPr>
      <w:r w:rsidRPr="00CB422E">
        <w:rPr>
          <w:b/>
          <w:sz w:val="22"/>
          <w:szCs w:val="22"/>
        </w:rPr>
        <w:t>Respuesta:</w:t>
      </w:r>
    </w:p>
    <w:p w14:paraId="010FCC9E" w14:textId="77777777" w:rsidR="00CB422E" w:rsidRDefault="00CB422E" w:rsidP="00396C9B">
      <w:pPr>
        <w:rPr>
          <w:bCs/>
          <w:sz w:val="22"/>
          <w:szCs w:val="22"/>
        </w:rPr>
      </w:pPr>
    </w:p>
    <w:p w14:paraId="0FFED6AE" w14:textId="0C77118E" w:rsidR="00CB422E" w:rsidRPr="00781FE6" w:rsidRDefault="00DF0CB6" w:rsidP="00396C9B">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_Ref132894380 \n \h </w:instrText>
      </w:r>
      <w:r>
        <w:rPr>
          <w:bCs/>
          <w:sz w:val="22"/>
          <w:szCs w:val="22"/>
        </w:rPr>
      </w:r>
      <w:r>
        <w:rPr>
          <w:bCs/>
          <w:sz w:val="22"/>
          <w:szCs w:val="22"/>
        </w:rPr>
        <w:fldChar w:fldCharType="separate"/>
      </w:r>
      <w:r>
        <w:rPr>
          <w:bCs/>
          <w:sz w:val="22"/>
          <w:szCs w:val="22"/>
        </w:rPr>
        <w:t>20.1.1.1</w:t>
      </w:r>
      <w:r>
        <w:rPr>
          <w:bCs/>
          <w:sz w:val="22"/>
          <w:szCs w:val="22"/>
        </w:rPr>
        <w:fldChar w:fldCharType="end"/>
      </w:r>
      <w:r>
        <w:rPr>
          <w:bCs/>
          <w:sz w:val="22"/>
          <w:szCs w:val="22"/>
        </w:rPr>
        <w:t>.</w:t>
      </w:r>
    </w:p>
    <w:p w14:paraId="4CE15D1E" w14:textId="3448705D" w:rsidR="00396C9B" w:rsidRDefault="00396C9B" w:rsidP="00396C9B">
      <w:pPr>
        <w:rPr>
          <w:b/>
          <w:szCs w:val="24"/>
        </w:rPr>
      </w:pPr>
    </w:p>
    <w:p w14:paraId="76D59AAE" w14:textId="10603C9F" w:rsidR="00396C9B" w:rsidRDefault="00396C9B" w:rsidP="00396C9B">
      <w:pPr>
        <w:rPr>
          <w:b/>
          <w:szCs w:val="24"/>
        </w:rPr>
      </w:pPr>
    </w:p>
    <w:p w14:paraId="7812C52F" w14:textId="1D80891A" w:rsidR="00AD6B74" w:rsidRDefault="00AD6B74" w:rsidP="00AD6B74">
      <w:pPr>
        <w:pStyle w:val="Ttulo1"/>
        <w:numPr>
          <w:ilvl w:val="0"/>
          <w:numId w:val="1"/>
        </w:numPr>
        <w:rPr>
          <w:caps/>
        </w:rPr>
      </w:pPr>
      <w:bookmarkStart w:id="898" w:name="_Toc140506477"/>
      <w:r>
        <w:t xml:space="preserve">ARTÍCULO 23. </w:t>
      </w:r>
      <w:r w:rsidRPr="00AD6B74">
        <w:rPr>
          <w:caps/>
        </w:rPr>
        <w:t>Comercialización conjunta de la producción de Fuentes de Suministro costa afuera</w:t>
      </w:r>
      <w:bookmarkEnd w:id="898"/>
    </w:p>
    <w:p w14:paraId="77E109AA" w14:textId="77777777" w:rsidR="000A3554" w:rsidRDefault="000A3554" w:rsidP="000A3554">
      <w:pPr>
        <w:pStyle w:val="Ttulo2"/>
      </w:pPr>
      <w:bookmarkStart w:id="899" w:name="_Toc140506478"/>
      <w:r w:rsidRPr="000A3554">
        <w:t>FRONTERA</w:t>
      </w:r>
      <w:bookmarkEnd w:id="899"/>
      <w:r w:rsidRPr="000A3554">
        <w:tab/>
      </w:r>
    </w:p>
    <w:p w14:paraId="355F2514" w14:textId="77777777" w:rsidR="000A3554" w:rsidRDefault="000A3554" w:rsidP="000A3554">
      <w:pPr>
        <w:pStyle w:val="Ttulo4"/>
      </w:pPr>
      <w:r w:rsidRPr="000A3554">
        <w:t>FRONTERA</w:t>
      </w:r>
      <w:r w:rsidRPr="000A3554">
        <w:tab/>
      </w:r>
    </w:p>
    <w:p w14:paraId="212BBCA5" w14:textId="563BDFE7" w:rsidR="000A3554" w:rsidRPr="00C0541A" w:rsidRDefault="000A3554" w:rsidP="000A3554">
      <w:pPr>
        <w:rPr>
          <w:bCs/>
          <w:i/>
          <w:iCs/>
          <w:sz w:val="22"/>
          <w:szCs w:val="22"/>
        </w:rPr>
      </w:pPr>
      <w:r w:rsidRPr="000A3554">
        <w:rPr>
          <w:bCs/>
          <w:sz w:val="22"/>
          <w:szCs w:val="22"/>
        </w:rPr>
        <w:t>"</w:t>
      </w:r>
      <w:r w:rsidRPr="00C0541A">
        <w:rPr>
          <w:bCs/>
          <w:i/>
          <w:iCs/>
          <w:sz w:val="22"/>
          <w:szCs w:val="22"/>
        </w:rPr>
        <w:t xml:space="preserve">En particular, en esta oportunidad queremos comentar sobre la </w:t>
      </w:r>
      <w:r w:rsidR="003B54A6" w:rsidRPr="00C0541A">
        <w:rPr>
          <w:bCs/>
          <w:i/>
          <w:iCs/>
          <w:sz w:val="22"/>
          <w:szCs w:val="22"/>
        </w:rPr>
        <w:t>resolución</w:t>
      </w:r>
      <w:r w:rsidRPr="00C0541A">
        <w:rPr>
          <w:bCs/>
          <w:i/>
          <w:iCs/>
          <w:sz w:val="22"/>
          <w:szCs w:val="22"/>
        </w:rPr>
        <w:t xml:space="preserve"> del asunto, en la que se toca un tema de amplia importancia, como es la </w:t>
      </w:r>
      <w:r w:rsidR="003B54A6" w:rsidRPr="00C0541A">
        <w:rPr>
          <w:bCs/>
          <w:i/>
          <w:iCs/>
          <w:sz w:val="22"/>
          <w:szCs w:val="22"/>
        </w:rPr>
        <w:t>limitación</w:t>
      </w:r>
      <w:r w:rsidRPr="00C0541A">
        <w:rPr>
          <w:bCs/>
          <w:i/>
          <w:iCs/>
          <w:sz w:val="22"/>
          <w:szCs w:val="22"/>
        </w:rPr>
        <w:t xml:space="preserve"> de la </w:t>
      </w:r>
      <w:r w:rsidR="003B54A6" w:rsidRPr="00C0541A">
        <w:rPr>
          <w:bCs/>
          <w:i/>
          <w:iCs/>
          <w:sz w:val="22"/>
          <w:szCs w:val="22"/>
        </w:rPr>
        <w:t>Comercialización</w:t>
      </w:r>
      <w:r w:rsidRPr="00C0541A">
        <w:rPr>
          <w:bCs/>
          <w:i/>
          <w:iCs/>
          <w:sz w:val="22"/>
          <w:szCs w:val="22"/>
        </w:rPr>
        <w:t xml:space="preserve"> Conjunta, definida en la </w:t>
      </w:r>
      <w:r w:rsidR="003B54A6" w:rsidRPr="00C0541A">
        <w:rPr>
          <w:bCs/>
          <w:i/>
          <w:iCs/>
          <w:sz w:val="22"/>
          <w:szCs w:val="22"/>
        </w:rPr>
        <w:t>Resolución</w:t>
      </w:r>
      <w:r w:rsidRPr="00C0541A">
        <w:rPr>
          <w:bCs/>
          <w:i/>
          <w:iCs/>
          <w:sz w:val="22"/>
          <w:szCs w:val="22"/>
        </w:rPr>
        <w:t xml:space="preserve"> CREG 093 de 2006, la cual si bien es de gran utilidad para garantizar condiciones neutrales y transparentes para acceso al mercado de todos los agentes y evitar situaciones que generen el efecto de restringir la competencia, lo es en temas </w:t>
      </w:r>
      <w:r w:rsidR="003B54A6" w:rsidRPr="00C0541A">
        <w:rPr>
          <w:bCs/>
          <w:i/>
          <w:iCs/>
          <w:sz w:val="22"/>
          <w:szCs w:val="22"/>
        </w:rPr>
        <w:t>prácticos</w:t>
      </w:r>
      <w:r w:rsidRPr="00C0541A">
        <w:rPr>
          <w:bCs/>
          <w:i/>
          <w:iCs/>
          <w:sz w:val="22"/>
          <w:szCs w:val="22"/>
        </w:rPr>
        <w:t xml:space="preserve"> en los grandes campos que posee el </w:t>
      </w:r>
      <w:r w:rsidR="003B54A6" w:rsidRPr="00C0541A">
        <w:rPr>
          <w:bCs/>
          <w:i/>
          <w:iCs/>
          <w:sz w:val="22"/>
          <w:szCs w:val="22"/>
        </w:rPr>
        <w:t>país</w:t>
      </w:r>
      <w:r w:rsidRPr="00C0541A">
        <w:rPr>
          <w:bCs/>
          <w:i/>
          <w:iCs/>
          <w:sz w:val="22"/>
          <w:szCs w:val="22"/>
        </w:rPr>
        <w:t xml:space="preserve">, y que por obvias razones </w:t>
      </w:r>
      <w:r w:rsidR="003B54A6" w:rsidRPr="00C0541A">
        <w:rPr>
          <w:bCs/>
          <w:i/>
          <w:iCs/>
          <w:sz w:val="22"/>
          <w:szCs w:val="22"/>
        </w:rPr>
        <w:t>podrían</w:t>
      </w:r>
      <w:r w:rsidRPr="00C0541A">
        <w:rPr>
          <w:bCs/>
          <w:i/>
          <w:iCs/>
          <w:sz w:val="22"/>
          <w:szCs w:val="22"/>
        </w:rPr>
        <w:t xml:space="preserve"> incurrir en las practicas antes mencionadas, no obstante lo anterior, podemos a </w:t>
      </w:r>
      <w:r w:rsidR="003B54A6" w:rsidRPr="00C0541A">
        <w:rPr>
          <w:bCs/>
          <w:i/>
          <w:iCs/>
          <w:sz w:val="22"/>
          <w:szCs w:val="22"/>
        </w:rPr>
        <w:t>consideración</w:t>
      </w:r>
      <w:r w:rsidRPr="00C0541A">
        <w:rPr>
          <w:bCs/>
          <w:i/>
          <w:iCs/>
          <w:sz w:val="22"/>
          <w:szCs w:val="22"/>
        </w:rPr>
        <w:t xml:space="preserve"> de la </w:t>
      </w:r>
      <w:r w:rsidR="003B54A6" w:rsidRPr="00C0541A">
        <w:rPr>
          <w:bCs/>
          <w:i/>
          <w:iCs/>
          <w:sz w:val="22"/>
          <w:szCs w:val="22"/>
        </w:rPr>
        <w:t>Comisión</w:t>
      </w:r>
      <w:r w:rsidRPr="00C0541A">
        <w:rPr>
          <w:bCs/>
          <w:i/>
          <w:iCs/>
          <w:sz w:val="22"/>
          <w:szCs w:val="22"/>
        </w:rPr>
        <w:t xml:space="preserve">, que para el caso de Campos Menores, </w:t>
      </w:r>
      <w:r w:rsidR="003B54A6" w:rsidRPr="00C0541A">
        <w:rPr>
          <w:bCs/>
          <w:i/>
          <w:iCs/>
          <w:sz w:val="22"/>
          <w:szCs w:val="22"/>
        </w:rPr>
        <w:t>según</w:t>
      </w:r>
      <w:r w:rsidRPr="00C0541A">
        <w:rPr>
          <w:bCs/>
          <w:i/>
          <w:iCs/>
          <w:sz w:val="22"/>
          <w:szCs w:val="22"/>
        </w:rPr>
        <w:t xml:space="preserve"> lo define la </w:t>
      </w:r>
      <w:r w:rsidR="003B54A6" w:rsidRPr="00C0541A">
        <w:rPr>
          <w:bCs/>
          <w:i/>
          <w:iCs/>
          <w:sz w:val="22"/>
          <w:szCs w:val="22"/>
        </w:rPr>
        <w:t>Regulación</w:t>
      </w:r>
      <w:r w:rsidRPr="00C0541A">
        <w:rPr>
          <w:bCs/>
          <w:i/>
          <w:iCs/>
          <w:sz w:val="22"/>
          <w:szCs w:val="22"/>
        </w:rPr>
        <w:t xml:space="preserve"> Vigente, en el que varios productores tienen </w:t>
      </w:r>
      <w:r w:rsidR="003B54A6" w:rsidRPr="00C0541A">
        <w:rPr>
          <w:bCs/>
          <w:i/>
          <w:iCs/>
          <w:sz w:val="22"/>
          <w:szCs w:val="22"/>
        </w:rPr>
        <w:t>participación</w:t>
      </w:r>
      <w:r w:rsidRPr="00C0541A">
        <w:rPr>
          <w:bCs/>
          <w:i/>
          <w:iCs/>
          <w:sz w:val="22"/>
          <w:szCs w:val="22"/>
        </w:rPr>
        <w:t xml:space="preserve"> en la </w:t>
      </w:r>
      <w:r w:rsidR="003B54A6" w:rsidRPr="00C0541A">
        <w:rPr>
          <w:bCs/>
          <w:i/>
          <w:iCs/>
          <w:sz w:val="22"/>
          <w:szCs w:val="22"/>
        </w:rPr>
        <w:t>producción</w:t>
      </w:r>
      <w:r w:rsidRPr="00C0541A">
        <w:rPr>
          <w:bCs/>
          <w:i/>
          <w:iCs/>
          <w:sz w:val="22"/>
          <w:szCs w:val="22"/>
        </w:rPr>
        <w:t xml:space="preserve">, se extienda la </w:t>
      </w:r>
      <w:r w:rsidR="003B54A6" w:rsidRPr="00C0541A">
        <w:rPr>
          <w:bCs/>
          <w:i/>
          <w:iCs/>
          <w:sz w:val="22"/>
          <w:szCs w:val="22"/>
        </w:rPr>
        <w:t>excepción</w:t>
      </w:r>
      <w:r w:rsidRPr="00C0541A">
        <w:rPr>
          <w:bCs/>
          <w:i/>
          <w:iCs/>
          <w:sz w:val="22"/>
          <w:szCs w:val="22"/>
        </w:rPr>
        <w:t xml:space="preserve"> propuesta en el proyecto de </w:t>
      </w:r>
      <w:r w:rsidR="003B54A6" w:rsidRPr="00C0541A">
        <w:rPr>
          <w:bCs/>
          <w:i/>
          <w:iCs/>
          <w:sz w:val="22"/>
          <w:szCs w:val="22"/>
        </w:rPr>
        <w:t>resolución</w:t>
      </w:r>
      <w:r w:rsidRPr="00C0541A">
        <w:rPr>
          <w:bCs/>
          <w:i/>
          <w:iCs/>
          <w:sz w:val="22"/>
          <w:szCs w:val="22"/>
        </w:rPr>
        <w:t xml:space="preserve"> en su </w:t>
      </w:r>
      <w:proofErr w:type="spellStart"/>
      <w:r w:rsidRPr="00C0541A">
        <w:rPr>
          <w:bCs/>
          <w:i/>
          <w:iCs/>
          <w:sz w:val="22"/>
          <w:szCs w:val="22"/>
        </w:rPr>
        <w:t>Articulo</w:t>
      </w:r>
      <w:proofErr w:type="spellEnd"/>
      <w:r w:rsidRPr="00C0541A">
        <w:rPr>
          <w:bCs/>
          <w:i/>
          <w:iCs/>
          <w:sz w:val="22"/>
          <w:szCs w:val="22"/>
        </w:rPr>
        <w:t xml:space="preserve"> 23, que reza (negrilla y subrayado nuestro):</w:t>
      </w:r>
    </w:p>
    <w:p w14:paraId="25F0D524" w14:textId="77777777" w:rsidR="000A3554" w:rsidRPr="00C0541A" w:rsidRDefault="000A3554" w:rsidP="000A3554">
      <w:pPr>
        <w:rPr>
          <w:bCs/>
          <w:i/>
          <w:iCs/>
          <w:sz w:val="22"/>
          <w:szCs w:val="22"/>
        </w:rPr>
      </w:pPr>
    </w:p>
    <w:p w14:paraId="570263A5" w14:textId="3CA8FA95" w:rsidR="00396C9B" w:rsidRPr="00C0541A" w:rsidRDefault="000A3554" w:rsidP="000A3554">
      <w:pPr>
        <w:rPr>
          <w:bCs/>
          <w:i/>
          <w:iCs/>
          <w:sz w:val="22"/>
          <w:szCs w:val="22"/>
        </w:rPr>
      </w:pPr>
      <w:r w:rsidRPr="00C0541A">
        <w:rPr>
          <w:bCs/>
          <w:i/>
          <w:iCs/>
          <w:sz w:val="22"/>
          <w:szCs w:val="22"/>
        </w:rPr>
        <w:t xml:space="preserve">Es claro que, con la </w:t>
      </w:r>
      <w:r w:rsidR="003B54A6" w:rsidRPr="00C0541A">
        <w:rPr>
          <w:bCs/>
          <w:i/>
          <w:iCs/>
          <w:sz w:val="22"/>
          <w:szCs w:val="22"/>
        </w:rPr>
        <w:t>inclusión</w:t>
      </w:r>
      <w:r w:rsidRPr="00C0541A">
        <w:rPr>
          <w:bCs/>
          <w:i/>
          <w:iCs/>
          <w:sz w:val="22"/>
          <w:szCs w:val="22"/>
        </w:rPr>
        <w:t xml:space="preserve"> propuesta se optimizan los procesos de </w:t>
      </w:r>
      <w:r w:rsidR="003B54A6" w:rsidRPr="00C0541A">
        <w:rPr>
          <w:bCs/>
          <w:i/>
          <w:iCs/>
          <w:sz w:val="22"/>
          <w:szCs w:val="22"/>
        </w:rPr>
        <w:t>comercialización</w:t>
      </w:r>
      <w:r w:rsidRPr="00C0541A">
        <w:rPr>
          <w:bCs/>
          <w:i/>
          <w:iCs/>
          <w:sz w:val="22"/>
          <w:szCs w:val="22"/>
        </w:rPr>
        <w:t xml:space="preserve"> de los campos menores, que, por su tamaño, su potencial de riesgo para ejercer practicas del mercado es </w:t>
      </w:r>
      <w:r w:rsidR="003B54A6" w:rsidRPr="00C0541A">
        <w:rPr>
          <w:bCs/>
          <w:i/>
          <w:iCs/>
          <w:sz w:val="22"/>
          <w:szCs w:val="22"/>
        </w:rPr>
        <w:t>prácticamente</w:t>
      </w:r>
      <w:r w:rsidRPr="00C0541A">
        <w:rPr>
          <w:bCs/>
          <w:i/>
          <w:iCs/>
          <w:sz w:val="22"/>
          <w:szCs w:val="22"/>
        </w:rPr>
        <w:t xml:space="preserve"> nulo</w:t>
      </w:r>
      <w:r w:rsidR="00C0541A">
        <w:rPr>
          <w:bCs/>
          <w:i/>
          <w:iCs/>
          <w:sz w:val="22"/>
          <w:szCs w:val="22"/>
        </w:rPr>
        <w:t>.</w:t>
      </w:r>
      <w:r w:rsidRPr="00C0541A">
        <w:rPr>
          <w:bCs/>
          <w:i/>
          <w:iCs/>
          <w:sz w:val="22"/>
          <w:szCs w:val="22"/>
        </w:rPr>
        <w:t>"</w:t>
      </w:r>
    </w:p>
    <w:p w14:paraId="20A4E004" w14:textId="77777777" w:rsidR="00C0541A" w:rsidRDefault="00C0541A" w:rsidP="000A3554">
      <w:pPr>
        <w:rPr>
          <w:bCs/>
          <w:sz w:val="22"/>
          <w:szCs w:val="22"/>
        </w:rPr>
      </w:pPr>
    </w:p>
    <w:p w14:paraId="635D556A" w14:textId="58EF9152" w:rsidR="00C0541A" w:rsidRPr="00C0541A" w:rsidRDefault="00C0541A" w:rsidP="000A3554">
      <w:pPr>
        <w:rPr>
          <w:b/>
          <w:sz w:val="22"/>
          <w:szCs w:val="22"/>
        </w:rPr>
      </w:pPr>
      <w:r w:rsidRPr="00C0541A">
        <w:rPr>
          <w:b/>
          <w:sz w:val="22"/>
          <w:szCs w:val="22"/>
        </w:rPr>
        <w:t>Respuesta:</w:t>
      </w:r>
    </w:p>
    <w:p w14:paraId="0EC9CBBC" w14:textId="77777777" w:rsidR="00C0541A" w:rsidRDefault="00C0541A" w:rsidP="000A3554">
      <w:pPr>
        <w:rPr>
          <w:bCs/>
          <w:sz w:val="22"/>
          <w:szCs w:val="22"/>
        </w:rPr>
      </w:pPr>
    </w:p>
    <w:p w14:paraId="0B5F6EE6" w14:textId="55DC65C7" w:rsidR="00C0541A" w:rsidRDefault="00C0541A" w:rsidP="000A3554">
      <w:pPr>
        <w:rPr>
          <w:bCs/>
          <w:sz w:val="22"/>
          <w:szCs w:val="22"/>
        </w:rPr>
      </w:pPr>
      <w:r>
        <w:rPr>
          <w:bCs/>
          <w:sz w:val="22"/>
          <w:szCs w:val="22"/>
        </w:rPr>
        <w:t>No se acoge el comentario.</w:t>
      </w:r>
    </w:p>
    <w:p w14:paraId="4CBC1BBF" w14:textId="77777777" w:rsidR="00C0541A" w:rsidRDefault="00C0541A" w:rsidP="000A3554">
      <w:pPr>
        <w:rPr>
          <w:bCs/>
          <w:sz w:val="22"/>
          <w:szCs w:val="22"/>
        </w:rPr>
      </w:pPr>
    </w:p>
    <w:p w14:paraId="63BD18C3" w14:textId="0382F68F" w:rsidR="00C0541A" w:rsidRDefault="0049208A" w:rsidP="000A3554">
      <w:pPr>
        <w:rPr>
          <w:bCs/>
          <w:sz w:val="22"/>
          <w:szCs w:val="22"/>
        </w:rPr>
      </w:pPr>
      <w:r>
        <w:rPr>
          <w:bCs/>
          <w:sz w:val="22"/>
          <w:szCs w:val="22"/>
        </w:rPr>
        <w:t xml:space="preserve">Ver numeral </w:t>
      </w:r>
      <w:r>
        <w:rPr>
          <w:bCs/>
          <w:sz w:val="22"/>
          <w:szCs w:val="22"/>
        </w:rPr>
        <w:fldChar w:fldCharType="begin"/>
      </w:r>
      <w:r>
        <w:rPr>
          <w:bCs/>
          <w:sz w:val="22"/>
          <w:szCs w:val="22"/>
        </w:rPr>
        <w:instrText xml:space="preserve"> REF _Ref133213202 \n \h </w:instrText>
      </w:r>
      <w:r>
        <w:rPr>
          <w:bCs/>
          <w:sz w:val="22"/>
          <w:szCs w:val="22"/>
        </w:rPr>
      </w:r>
      <w:r>
        <w:rPr>
          <w:bCs/>
          <w:sz w:val="22"/>
          <w:szCs w:val="22"/>
        </w:rPr>
        <w:fldChar w:fldCharType="separate"/>
      </w:r>
      <w:r>
        <w:rPr>
          <w:bCs/>
          <w:sz w:val="22"/>
          <w:szCs w:val="22"/>
        </w:rPr>
        <w:t>3.2.2</w:t>
      </w:r>
      <w:r>
        <w:rPr>
          <w:bCs/>
          <w:sz w:val="22"/>
          <w:szCs w:val="22"/>
        </w:rPr>
        <w:fldChar w:fldCharType="end"/>
      </w:r>
      <w:r>
        <w:rPr>
          <w:bCs/>
          <w:sz w:val="22"/>
          <w:szCs w:val="22"/>
        </w:rPr>
        <w:t>.</w:t>
      </w:r>
    </w:p>
    <w:p w14:paraId="54926827" w14:textId="77777777" w:rsidR="0049208A" w:rsidRDefault="0049208A" w:rsidP="000A3554">
      <w:pPr>
        <w:rPr>
          <w:bCs/>
          <w:sz w:val="22"/>
          <w:szCs w:val="22"/>
        </w:rPr>
      </w:pPr>
    </w:p>
    <w:p w14:paraId="4CE8716F" w14:textId="096AF118" w:rsidR="0049208A" w:rsidRDefault="0049208A" w:rsidP="000A3554">
      <w:pPr>
        <w:rPr>
          <w:bCs/>
          <w:sz w:val="22"/>
          <w:szCs w:val="22"/>
        </w:rPr>
      </w:pPr>
      <w:r>
        <w:rPr>
          <w:bCs/>
          <w:sz w:val="22"/>
          <w:szCs w:val="22"/>
        </w:rPr>
        <w:t>En el caso de cualquier otra fuente de suministro y la comercialización conjunta de la misma, se deberá aplicar la Resolución CREG 093 de 2006 que establece los requisitos para la autorización de la CREG ante solicitud en ese sentido.</w:t>
      </w:r>
    </w:p>
    <w:p w14:paraId="1610E7BE" w14:textId="77777777" w:rsidR="00C0541A" w:rsidRPr="000A3554" w:rsidRDefault="00C0541A" w:rsidP="000A3554">
      <w:pPr>
        <w:rPr>
          <w:bCs/>
          <w:sz w:val="22"/>
          <w:szCs w:val="22"/>
        </w:rPr>
      </w:pPr>
    </w:p>
    <w:p w14:paraId="7D66F209" w14:textId="77777777" w:rsidR="000A3554" w:rsidRPr="006F1229" w:rsidRDefault="000A3554" w:rsidP="00396C9B">
      <w:pPr>
        <w:rPr>
          <w:rFonts w:cs="Arial"/>
          <w:b/>
          <w:bCs/>
          <w:sz w:val="22"/>
          <w:szCs w:val="22"/>
        </w:rPr>
      </w:pPr>
    </w:p>
    <w:p w14:paraId="17738399" w14:textId="445CFB92" w:rsidR="00EF1C07" w:rsidRDefault="00EF1C07" w:rsidP="00EF1C07">
      <w:pPr>
        <w:pStyle w:val="Ttulo1"/>
        <w:numPr>
          <w:ilvl w:val="0"/>
          <w:numId w:val="1"/>
        </w:numPr>
        <w:rPr>
          <w:caps/>
        </w:rPr>
      </w:pPr>
      <w:bookmarkStart w:id="900" w:name="_Toc140506479"/>
      <w:r>
        <w:t xml:space="preserve">ARTÍCULO 24. </w:t>
      </w:r>
      <w:r w:rsidR="0070732E" w:rsidRPr="0070732E">
        <w:rPr>
          <w:caps/>
        </w:rPr>
        <w:t>Condición de precio</w:t>
      </w:r>
      <w:bookmarkEnd w:id="900"/>
    </w:p>
    <w:p w14:paraId="73EBC961" w14:textId="77777777" w:rsidR="00AE5720" w:rsidRDefault="00AE5720" w:rsidP="00E05466">
      <w:pPr>
        <w:pStyle w:val="Ttulo2"/>
      </w:pPr>
      <w:bookmarkStart w:id="901" w:name="_Toc140506480"/>
      <w:r w:rsidRPr="00AE5720">
        <w:t>ACP</w:t>
      </w:r>
      <w:bookmarkEnd w:id="901"/>
      <w:r w:rsidRPr="00AE5720">
        <w:tab/>
      </w:r>
    </w:p>
    <w:p w14:paraId="4BC872C5" w14:textId="77777777" w:rsidR="00E05466" w:rsidRDefault="00E05466" w:rsidP="00E05466">
      <w:pPr>
        <w:pStyle w:val="Ttulo4"/>
      </w:pPr>
      <w:bookmarkStart w:id="902" w:name="_Ref133304402"/>
      <w:r w:rsidRPr="00AE5720">
        <w:t>ACP</w:t>
      </w:r>
      <w:bookmarkEnd w:id="902"/>
      <w:r w:rsidRPr="00AE5720">
        <w:tab/>
      </w:r>
    </w:p>
    <w:p w14:paraId="1748F363" w14:textId="62ABD8FD" w:rsidR="00AE5720" w:rsidRPr="007848C6" w:rsidRDefault="002E74BE" w:rsidP="00AE5720">
      <w:pPr>
        <w:rPr>
          <w:i/>
          <w:iCs/>
          <w:sz w:val="22"/>
          <w:szCs w:val="22"/>
        </w:rPr>
      </w:pPr>
      <w:r>
        <w:rPr>
          <w:i/>
          <w:iCs/>
          <w:sz w:val="22"/>
          <w:szCs w:val="22"/>
        </w:rPr>
        <w:t>“</w:t>
      </w:r>
      <w:r w:rsidR="00AE5720" w:rsidRPr="007848C6">
        <w:rPr>
          <w:i/>
          <w:iCs/>
          <w:sz w:val="22"/>
          <w:szCs w:val="22"/>
        </w:rPr>
        <w:t>Condición de precio: Se mencionan los artículos 188 y 199 que no existen en la propuesta de resolución.</w:t>
      </w:r>
      <w:r>
        <w:rPr>
          <w:i/>
          <w:iCs/>
          <w:sz w:val="22"/>
          <w:szCs w:val="22"/>
        </w:rPr>
        <w:t>”</w:t>
      </w:r>
    </w:p>
    <w:p w14:paraId="6C7663EC" w14:textId="77777777" w:rsidR="007848C6" w:rsidRDefault="007848C6" w:rsidP="00AE5720">
      <w:pPr>
        <w:rPr>
          <w:sz w:val="22"/>
          <w:szCs w:val="22"/>
        </w:rPr>
      </w:pPr>
    </w:p>
    <w:p w14:paraId="14B862AA" w14:textId="56F4040B" w:rsidR="007848C6" w:rsidRPr="007848C6" w:rsidRDefault="007848C6" w:rsidP="00AE5720">
      <w:pPr>
        <w:rPr>
          <w:b/>
          <w:bCs/>
          <w:sz w:val="22"/>
          <w:szCs w:val="22"/>
        </w:rPr>
      </w:pPr>
      <w:r w:rsidRPr="007848C6">
        <w:rPr>
          <w:b/>
          <w:bCs/>
          <w:sz w:val="22"/>
          <w:szCs w:val="22"/>
        </w:rPr>
        <w:t>Respuesta:</w:t>
      </w:r>
    </w:p>
    <w:p w14:paraId="0106B133" w14:textId="77777777" w:rsidR="007848C6" w:rsidRDefault="007848C6" w:rsidP="00AE5720">
      <w:pPr>
        <w:rPr>
          <w:sz w:val="22"/>
          <w:szCs w:val="22"/>
        </w:rPr>
      </w:pPr>
    </w:p>
    <w:p w14:paraId="5F8F7F65" w14:textId="26CF7009" w:rsidR="007848C6" w:rsidRDefault="007848C6" w:rsidP="00AE5720">
      <w:pPr>
        <w:rPr>
          <w:sz w:val="22"/>
          <w:szCs w:val="22"/>
        </w:rPr>
      </w:pPr>
      <w:r>
        <w:rPr>
          <w:sz w:val="22"/>
          <w:szCs w:val="22"/>
        </w:rPr>
        <w:t>Se acoge el comentario.</w:t>
      </w:r>
    </w:p>
    <w:p w14:paraId="3569883D" w14:textId="77777777" w:rsidR="007848C6" w:rsidRDefault="007848C6" w:rsidP="00AE5720">
      <w:pPr>
        <w:rPr>
          <w:sz w:val="22"/>
          <w:szCs w:val="22"/>
        </w:rPr>
      </w:pPr>
    </w:p>
    <w:p w14:paraId="054173DA" w14:textId="3E1C57A8" w:rsidR="007848C6" w:rsidRDefault="007848C6" w:rsidP="00AE5720">
      <w:pPr>
        <w:rPr>
          <w:sz w:val="22"/>
          <w:szCs w:val="22"/>
        </w:rPr>
      </w:pPr>
      <w:r>
        <w:rPr>
          <w:sz w:val="22"/>
          <w:szCs w:val="22"/>
        </w:rPr>
        <w:t>En la nueva propuesta se hacen las correcciones de redacción correspondientes.</w:t>
      </w:r>
    </w:p>
    <w:p w14:paraId="44AB4652" w14:textId="77777777" w:rsidR="007848C6" w:rsidRDefault="007848C6" w:rsidP="00AE5720">
      <w:pPr>
        <w:rPr>
          <w:sz w:val="22"/>
          <w:szCs w:val="22"/>
        </w:rPr>
      </w:pPr>
    </w:p>
    <w:p w14:paraId="15DE1AB3" w14:textId="77777777" w:rsidR="00AE5720" w:rsidRPr="00AE5720" w:rsidRDefault="00AE5720" w:rsidP="00AE5720">
      <w:pPr>
        <w:rPr>
          <w:sz w:val="22"/>
          <w:szCs w:val="22"/>
        </w:rPr>
      </w:pPr>
    </w:p>
    <w:p w14:paraId="6192576C" w14:textId="77777777" w:rsidR="00AE5720" w:rsidRDefault="00AE5720" w:rsidP="00E05466">
      <w:pPr>
        <w:pStyle w:val="Ttulo4"/>
      </w:pPr>
      <w:r w:rsidRPr="00AE5720">
        <w:t>ACP</w:t>
      </w:r>
      <w:r w:rsidRPr="00AE5720">
        <w:tab/>
      </w:r>
    </w:p>
    <w:p w14:paraId="64ADD4F0" w14:textId="2B28F5D0" w:rsidR="00AE5720" w:rsidRPr="007848C6" w:rsidRDefault="002E74BE" w:rsidP="00AE5720">
      <w:pPr>
        <w:rPr>
          <w:i/>
          <w:iCs/>
          <w:sz w:val="22"/>
          <w:szCs w:val="22"/>
        </w:rPr>
      </w:pPr>
      <w:r>
        <w:rPr>
          <w:i/>
          <w:iCs/>
          <w:sz w:val="22"/>
          <w:szCs w:val="22"/>
        </w:rPr>
        <w:t>“</w:t>
      </w:r>
      <w:r w:rsidR="00AE5720" w:rsidRPr="007848C6">
        <w:rPr>
          <w:i/>
          <w:iCs/>
          <w:sz w:val="22"/>
          <w:szCs w:val="22"/>
        </w:rPr>
        <w:t>Sugerimos revisar la posibilidad de que las partes acuerden libremente la actualización de precios, con alternativas adicionales a las propuestas en el Anexo 3.</w:t>
      </w:r>
      <w:r>
        <w:rPr>
          <w:i/>
          <w:iCs/>
          <w:sz w:val="22"/>
          <w:szCs w:val="22"/>
        </w:rPr>
        <w:t>”</w:t>
      </w:r>
    </w:p>
    <w:p w14:paraId="720831F7" w14:textId="77777777" w:rsidR="007848C6" w:rsidRDefault="007848C6" w:rsidP="00AE5720">
      <w:pPr>
        <w:rPr>
          <w:sz w:val="22"/>
          <w:szCs w:val="22"/>
        </w:rPr>
      </w:pPr>
    </w:p>
    <w:p w14:paraId="0CF32C5E" w14:textId="7A9A5882" w:rsidR="007848C6" w:rsidRPr="007848C6" w:rsidRDefault="007848C6" w:rsidP="00AE5720">
      <w:pPr>
        <w:rPr>
          <w:b/>
          <w:bCs/>
          <w:sz w:val="22"/>
          <w:szCs w:val="22"/>
        </w:rPr>
      </w:pPr>
      <w:r w:rsidRPr="007848C6">
        <w:rPr>
          <w:b/>
          <w:bCs/>
          <w:sz w:val="22"/>
          <w:szCs w:val="22"/>
        </w:rPr>
        <w:t>Respuesta:</w:t>
      </w:r>
    </w:p>
    <w:p w14:paraId="26E5AE30" w14:textId="77777777" w:rsidR="007848C6" w:rsidRDefault="007848C6" w:rsidP="00AE5720">
      <w:pPr>
        <w:rPr>
          <w:sz w:val="22"/>
          <w:szCs w:val="22"/>
        </w:rPr>
      </w:pPr>
    </w:p>
    <w:p w14:paraId="16C63944" w14:textId="49137BA7" w:rsidR="007848C6" w:rsidRDefault="007848C6" w:rsidP="00AE5720">
      <w:pPr>
        <w:rPr>
          <w:sz w:val="22"/>
          <w:szCs w:val="22"/>
        </w:rPr>
      </w:pPr>
      <w:r>
        <w:rPr>
          <w:sz w:val="22"/>
          <w:szCs w:val="22"/>
        </w:rPr>
        <w:t>Se acoge el comentario.</w:t>
      </w:r>
    </w:p>
    <w:p w14:paraId="1F2EB50A" w14:textId="77777777" w:rsidR="007848C6" w:rsidRDefault="007848C6" w:rsidP="00AE5720">
      <w:pPr>
        <w:rPr>
          <w:sz w:val="22"/>
          <w:szCs w:val="22"/>
        </w:rPr>
      </w:pPr>
    </w:p>
    <w:p w14:paraId="0CE4EA2D" w14:textId="1F9C1392" w:rsidR="007848C6" w:rsidRDefault="007848C6" w:rsidP="00AE5720">
      <w:pPr>
        <w:rPr>
          <w:sz w:val="22"/>
          <w:szCs w:val="22"/>
        </w:rPr>
      </w:pPr>
      <w:r>
        <w:rPr>
          <w:sz w:val="22"/>
          <w:szCs w:val="22"/>
        </w:rPr>
        <w:t xml:space="preserve">Ver numeral </w:t>
      </w:r>
      <w:r>
        <w:rPr>
          <w:sz w:val="22"/>
          <w:szCs w:val="22"/>
        </w:rPr>
        <w:fldChar w:fldCharType="begin"/>
      </w:r>
      <w:r>
        <w:rPr>
          <w:sz w:val="22"/>
          <w:szCs w:val="22"/>
        </w:rPr>
        <w:instrText xml:space="preserve"> REF _Ref130805559 \r \h </w:instrText>
      </w:r>
      <w:r>
        <w:rPr>
          <w:sz w:val="22"/>
          <w:szCs w:val="22"/>
        </w:rPr>
      </w:r>
      <w:r>
        <w:rPr>
          <w:sz w:val="22"/>
          <w:szCs w:val="22"/>
        </w:rPr>
        <w:fldChar w:fldCharType="separate"/>
      </w:r>
      <w:r>
        <w:rPr>
          <w:sz w:val="22"/>
          <w:szCs w:val="22"/>
        </w:rPr>
        <w:t>4.19</w:t>
      </w:r>
      <w:r>
        <w:rPr>
          <w:sz w:val="22"/>
          <w:szCs w:val="22"/>
        </w:rPr>
        <w:fldChar w:fldCharType="end"/>
      </w:r>
      <w:r>
        <w:rPr>
          <w:sz w:val="22"/>
          <w:szCs w:val="22"/>
        </w:rPr>
        <w:t>.</w:t>
      </w:r>
    </w:p>
    <w:p w14:paraId="58123ADF" w14:textId="77777777" w:rsidR="007848C6" w:rsidRDefault="007848C6" w:rsidP="00AE5720">
      <w:pPr>
        <w:rPr>
          <w:sz w:val="22"/>
          <w:szCs w:val="22"/>
        </w:rPr>
      </w:pPr>
    </w:p>
    <w:p w14:paraId="53891945" w14:textId="77777777" w:rsidR="00AE5720" w:rsidRPr="00AE5720" w:rsidRDefault="00AE5720" w:rsidP="00AE5720">
      <w:pPr>
        <w:rPr>
          <w:sz w:val="22"/>
          <w:szCs w:val="22"/>
        </w:rPr>
      </w:pPr>
    </w:p>
    <w:p w14:paraId="5C312049" w14:textId="77777777" w:rsidR="00AE5720" w:rsidRDefault="00AE5720" w:rsidP="00E05466">
      <w:pPr>
        <w:pStyle w:val="Ttulo4"/>
      </w:pPr>
      <w:r w:rsidRPr="00AE5720">
        <w:t>ACP</w:t>
      </w:r>
      <w:r w:rsidRPr="00AE5720">
        <w:tab/>
      </w:r>
    </w:p>
    <w:p w14:paraId="7BCEDFF6" w14:textId="23E324EB" w:rsidR="00AE5720" w:rsidRPr="007848C6" w:rsidRDefault="002E74BE" w:rsidP="00AE5720">
      <w:pPr>
        <w:rPr>
          <w:i/>
          <w:iCs/>
          <w:sz w:val="22"/>
          <w:szCs w:val="22"/>
        </w:rPr>
      </w:pPr>
      <w:r>
        <w:rPr>
          <w:i/>
          <w:iCs/>
          <w:sz w:val="22"/>
          <w:szCs w:val="22"/>
        </w:rPr>
        <w:t>“</w:t>
      </w:r>
      <w:r w:rsidR="00AE5720" w:rsidRPr="007848C6">
        <w:rPr>
          <w:i/>
          <w:iCs/>
          <w:sz w:val="22"/>
          <w:szCs w:val="22"/>
        </w:rPr>
        <w:t>En el caso de suscribir un contrato uno o dos años antes del primer año de ejecución, ¿Es posible que en la suscripción se fije el Precio que se cobrará al inicio del contrato para las entregas durante el primer año de gas de ejecución, y que la primera actualización anual de precios aplique a partir del segundo año de gas de ejecución del contrato?</w:t>
      </w:r>
      <w:r>
        <w:rPr>
          <w:i/>
          <w:iCs/>
          <w:sz w:val="22"/>
          <w:szCs w:val="22"/>
        </w:rPr>
        <w:t>”</w:t>
      </w:r>
    </w:p>
    <w:p w14:paraId="5173C60A" w14:textId="77777777" w:rsidR="007848C6" w:rsidRDefault="007848C6" w:rsidP="00AE5720">
      <w:pPr>
        <w:rPr>
          <w:sz w:val="22"/>
          <w:szCs w:val="22"/>
        </w:rPr>
      </w:pPr>
    </w:p>
    <w:p w14:paraId="36B4093C" w14:textId="17AC96A8" w:rsidR="007848C6" w:rsidRPr="007848C6" w:rsidRDefault="007848C6" w:rsidP="00AE5720">
      <w:pPr>
        <w:rPr>
          <w:b/>
          <w:bCs/>
          <w:sz w:val="22"/>
          <w:szCs w:val="22"/>
        </w:rPr>
      </w:pPr>
      <w:r w:rsidRPr="007848C6">
        <w:rPr>
          <w:b/>
          <w:bCs/>
          <w:sz w:val="22"/>
          <w:szCs w:val="22"/>
        </w:rPr>
        <w:t>Respuesta:</w:t>
      </w:r>
    </w:p>
    <w:p w14:paraId="05DD8AD0" w14:textId="77777777" w:rsidR="007848C6" w:rsidRDefault="007848C6" w:rsidP="00AE5720">
      <w:pPr>
        <w:rPr>
          <w:sz w:val="22"/>
          <w:szCs w:val="22"/>
        </w:rPr>
      </w:pPr>
    </w:p>
    <w:p w14:paraId="1B1FC300" w14:textId="3249063C" w:rsidR="007848C6" w:rsidRDefault="007848C6" w:rsidP="00AE5720">
      <w:pPr>
        <w:rPr>
          <w:sz w:val="22"/>
          <w:szCs w:val="22"/>
        </w:rPr>
      </w:pPr>
      <w:r>
        <w:rPr>
          <w:sz w:val="22"/>
          <w:szCs w:val="22"/>
        </w:rPr>
        <w:t>En la nueva propuesta se establecen condiciones más flexibles respecto del precio inicial a utilizar en contratos cuyo suministro inicia su ejecución en años posteriores a su suscripción y registro.</w:t>
      </w:r>
    </w:p>
    <w:p w14:paraId="0D38419C" w14:textId="77777777" w:rsidR="007848C6" w:rsidRDefault="007848C6" w:rsidP="00AE5720">
      <w:pPr>
        <w:rPr>
          <w:sz w:val="22"/>
          <w:szCs w:val="22"/>
        </w:rPr>
      </w:pPr>
    </w:p>
    <w:p w14:paraId="389BC401" w14:textId="34AD7BA8" w:rsidR="007848C6" w:rsidRPr="00AE5720" w:rsidRDefault="007848C6" w:rsidP="00AE5720">
      <w:pPr>
        <w:rPr>
          <w:sz w:val="22"/>
          <w:szCs w:val="22"/>
        </w:rPr>
      </w:pPr>
      <w:r>
        <w:rPr>
          <w:sz w:val="22"/>
          <w:szCs w:val="22"/>
        </w:rPr>
        <w:t xml:space="preserve">Ver numeral </w:t>
      </w:r>
      <w:r>
        <w:rPr>
          <w:sz w:val="22"/>
          <w:szCs w:val="22"/>
        </w:rPr>
        <w:fldChar w:fldCharType="begin"/>
      </w:r>
      <w:r>
        <w:rPr>
          <w:sz w:val="22"/>
          <w:szCs w:val="22"/>
        </w:rPr>
        <w:instrText xml:space="preserve"> REF _Ref130805559 \r \h </w:instrText>
      </w:r>
      <w:r>
        <w:rPr>
          <w:sz w:val="22"/>
          <w:szCs w:val="22"/>
        </w:rPr>
      </w:r>
      <w:r>
        <w:rPr>
          <w:sz w:val="22"/>
          <w:szCs w:val="22"/>
        </w:rPr>
        <w:fldChar w:fldCharType="separate"/>
      </w:r>
      <w:r>
        <w:rPr>
          <w:sz w:val="22"/>
          <w:szCs w:val="22"/>
        </w:rPr>
        <w:t>4.19</w:t>
      </w:r>
      <w:r>
        <w:rPr>
          <w:sz w:val="22"/>
          <w:szCs w:val="22"/>
        </w:rPr>
        <w:fldChar w:fldCharType="end"/>
      </w:r>
      <w:r>
        <w:rPr>
          <w:sz w:val="22"/>
          <w:szCs w:val="22"/>
        </w:rPr>
        <w:t>.</w:t>
      </w:r>
    </w:p>
    <w:p w14:paraId="012C85C3" w14:textId="77777777" w:rsidR="00AE5720" w:rsidRDefault="00AE5720" w:rsidP="00AE5720">
      <w:pPr>
        <w:rPr>
          <w:sz w:val="22"/>
          <w:szCs w:val="22"/>
        </w:rPr>
      </w:pPr>
    </w:p>
    <w:p w14:paraId="389231D0" w14:textId="77777777" w:rsidR="00AE5720" w:rsidRDefault="00AE5720" w:rsidP="00AE5720">
      <w:pPr>
        <w:rPr>
          <w:sz w:val="22"/>
          <w:szCs w:val="22"/>
        </w:rPr>
      </w:pPr>
    </w:p>
    <w:p w14:paraId="6B47B58E" w14:textId="77777777" w:rsidR="00AE5720" w:rsidRDefault="00AE5720" w:rsidP="00E05466">
      <w:pPr>
        <w:pStyle w:val="Ttulo2"/>
      </w:pPr>
      <w:bookmarkStart w:id="903" w:name="_Toc140506481"/>
      <w:r w:rsidRPr="00AE5720">
        <w:t>BOLSA MERCANTIL DE COLOMBIA</w:t>
      </w:r>
      <w:bookmarkEnd w:id="903"/>
      <w:r w:rsidRPr="00AE5720">
        <w:tab/>
      </w:r>
    </w:p>
    <w:p w14:paraId="3A2B99CB" w14:textId="77777777" w:rsidR="00E05466" w:rsidRDefault="00E05466" w:rsidP="00E05466">
      <w:pPr>
        <w:pStyle w:val="Ttulo4"/>
      </w:pPr>
      <w:r w:rsidRPr="00AE5720">
        <w:t>BOLSA MERCANTIL DE COLOMBIA</w:t>
      </w:r>
      <w:r w:rsidRPr="00AE5720">
        <w:tab/>
      </w:r>
    </w:p>
    <w:p w14:paraId="4A72EC55" w14:textId="5B8DD596" w:rsidR="00AE5720" w:rsidRDefault="00AE5720" w:rsidP="00AE5720">
      <w:pPr>
        <w:rPr>
          <w:i/>
          <w:iCs/>
          <w:sz w:val="22"/>
          <w:szCs w:val="22"/>
        </w:rPr>
      </w:pPr>
      <w:r w:rsidRPr="00AE5720">
        <w:rPr>
          <w:sz w:val="22"/>
          <w:szCs w:val="22"/>
        </w:rPr>
        <w:t>"</w:t>
      </w:r>
      <w:r w:rsidRPr="007848C6">
        <w:rPr>
          <w:i/>
          <w:iCs/>
          <w:sz w:val="22"/>
          <w:szCs w:val="22"/>
        </w:rPr>
        <w:t>Señala el mencionado aparte en su numeral 2 que:</w:t>
      </w:r>
    </w:p>
    <w:p w14:paraId="5C5B3E3A" w14:textId="77777777" w:rsidR="007848C6" w:rsidRPr="007848C6" w:rsidRDefault="007848C6" w:rsidP="00AE5720">
      <w:pPr>
        <w:rPr>
          <w:i/>
          <w:iCs/>
          <w:sz w:val="22"/>
          <w:szCs w:val="22"/>
        </w:rPr>
      </w:pPr>
    </w:p>
    <w:p w14:paraId="35E15E68" w14:textId="13A12467" w:rsidR="00AE5720" w:rsidRDefault="00306E00" w:rsidP="00AE5720">
      <w:pPr>
        <w:rPr>
          <w:sz w:val="22"/>
          <w:szCs w:val="22"/>
        </w:rPr>
      </w:pPr>
      <w:proofErr w:type="gramStart"/>
      <w:r>
        <w:rPr>
          <w:i/>
          <w:iCs/>
          <w:sz w:val="22"/>
          <w:szCs w:val="22"/>
        </w:rPr>
        <w:t>‘</w:t>
      </w:r>
      <w:r w:rsidR="00AE5720" w:rsidRPr="007848C6">
        <w:rPr>
          <w:i/>
          <w:iCs/>
          <w:sz w:val="22"/>
          <w:szCs w:val="22"/>
        </w:rPr>
        <w:t xml:space="preserve"> 2</w:t>
      </w:r>
      <w:proofErr w:type="gramEnd"/>
      <w:r w:rsidR="00AE5720" w:rsidRPr="007848C6">
        <w:rPr>
          <w:i/>
          <w:iCs/>
          <w:sz w:val="22"/>
          <w:szCs w:val="22"/>
        </w:rPr>
        <w:t>.</w:t>
      </w:r>
      <w:r w:rsidR="00AE5720" w:rsidRPr="007848C6">
        <w:rPr>
          <w:i/>
          <w:iCs/>
          <w:sz w:val="22"/>
          <w:szCs w:val="22"/>
        </w:rPr>
        <w:tab/>
        <w:t>En el caso de las negociaciones de contratos de largo plazo a que se hace referencia en el Artículo 21 de esta Resolución, el precio será el que acuerden las partes en caso de negociación directa, o el que surja de la aplicación del mecanismo de subasta</w:t>
      </w:r>
      <w:r w:rsidR="00AE5720" w:rsidRPr="00AE5720">
        <w:rPr>
          <w:sz w:val="22"/>
          <w:szCs w:val="22"/>
        </w:rPr>
        <w:t>.</w:t>
      </w:r>
      <w:r>
        <w:rPr>
          <w:sz w:val="22"/>
          <w:szCs w:val="22"/>
        </w:rPr>
        <w:t>’</w:t>
      </w:r>
    </w:p>
    <w:p w14:paraId="4B57F93B" w14:textId="77777777" w:rsidR="007848C6" w:rsidRDefault="007848C6" w:rsidP="00AE5720">
      <w:pPr>
        <w:rPr>
          <w:sz w:val="22"/>
          <w:szCs w:val="22"/>
        </w:rPr>
      </w:pPr>
    </w:p>
    <w:p w14:paraId="0B8603B2" w14:textId="5FF9D070" w:rsidR="007848C6" w:rsidRPr="007848C6" w:rsidRDefault="007848C6" w:rsidP="007848C6">
      <w:pPr>
        <w:rPr>
          <w:i/>
          <w:iCs/>
          <w:sz w:val="22"/>
          <w:szCs w:val="22"/>
        </w:rPr>
      </w:pPr>
      <w:r w:rsidRPr="007848C6">
        <w:rPr>
          <w:i/>
          <w:iCs/>
          <w:sz w:val="22"/>
          <w:szCs w:val="22"/>
        </w:rPr>
        <w:t xml:space="preserve">Al respecto, dado que la propuesta regulatoria está eliminando el periodo de negociación directa de contratos de largo plazo, de 3 o </w:t>
      </w:r>
      <w:proofErr w:type="spellStart"/>
      <w:r w:rsidRPr="007848C6">
        <w:rPr>
          <w:i/>
          <w:iCs/>
          <w:sz w:val="22"/>
          <w:szCs w:val="22"/>
        </w:rPr>
        <w:t>mas</w:t>
      </w:r>
      <w:proofErr w:type="spellEnd"/>
      <w:r w:rsidRPr="007848C6">
        <w:rPr>
          <w:i/>
          <w:iCs/>
          <w:sz w:val="22"/>
          <w:szCs w:val="22"/>
        </w:rPr>
        <w:t xml:space="preserve"> años con inicio en diciembre del año en curso y del siguiente año de gas, agradecemos aclarar si deberá entenderse como </w:t>
      </w:r>
      <w:r w:rsidR="00306E00">
        <w:rPr>
          <w:i/>
          <w:iCs/>
          <w:sz w:val="22"/>
          <w:szCs w:val="22"/>
        </w:rPr>
        <w:t>‘</w:t>
      </w:r>
      <w:r w:rsidRPr="007848C6">
        <w:rPr>
          <w:i/>
          <w:iCs/>
          <w:sz w:val="22"/>
          <w:szCs w:val="22"/>
        </w:rPr>
        <w:t>contratos de largo plazo</w:t>
      </w:r>
      <w:r w:rsidR="00306E00">
        <w:rPr>
          <w:i/>
          <w:iCs/>
          <w:sz w:val="22"/>
          <w:szCs w:val="22"/>
        </w:rPr>
        <w:t>’</w:t>
      </w:r>
      <w:r w:rsidRPr="007848C6">
        <w:rPr>
          <w:i/>
          <w:iCs/>
          <w:sz w:val="22"/>
          <w:szCs w:val="22"/>
        </w:rPr>
        <w:t xml:space="preserve"> aquellos resultantes de negociaciones directas con duración de un (1) año o más o en general la regla sobre el precio aplicaría independientemente de la duración del contrato y de si derivaron de los mecanismos de negociación directa o subasta. Lo anterior, dado que conforme se está definiendo en la aplicación del MADE se podrían negociar contratos con duraciones entre 1 y hasta 40 trimestres estándar.</w:t>
      </w:r>
    </w:p>
    <w:p w14:paraId="2F48872D" w14:textId="77777777" w:rsidR="007848C6" w:rsidRPr="007848C6" w:rsidRDefault="007848C6" w:rsidP="007848C6">
      <w:pPr>
        <w:rPr>
          <w:i/>
          <w:iCs/>
          <w:sz w:val="22"/>
          <w:szCs w:val="22"/>
        </w:rPr>
      </w:pPr>
    </w:p>
    <w:p w14:paraId="0F59583F" w14:textId="38055AAA" w:rsidR="007848C6" w:rsidRPr="007848C6" w:rsidRDefault="007848C6" w:rsidP="007848C6">
      <w:pPr>
        <w:rPr>
          <w:i/>
          <w:iCs/>
          <w:sz w:val="22"/>
          <w:szCs w:val="22"/>
        </w:rPr>
      </w:pPr>
      <w:r w:rsidRPr="007848C6">
        <w:rPr>
          <w:i/>
          <w:iCs/>
          <w:sz w:val="22"/>
          <w:szCs w:val="22"/>
        </w:rPr>
        <w:t xml:space="preserve">Con respecto a lo señalado en el numeral 6 del citado artículo, sugerimos evaluar si es pertinente aclarar que la regla de actualización de precios respecto de los contratos derivados de las asignaciones mediante el esquema de </w:t>
      </w:r>
      <w:proofErr w:type="gramStart"/>
      <w:r w:rsidRPr="007848C6">
        <w:rPr>
          <w:i/>
          <w:iCs/>
          <w:sz w:val="22"/>
          <w:szCs w:val="22"/>
        </w:rPr>
        <w:t>subasta,</w:t>
      </w:r>
      <w:proofErr w:type="gramEnd"/>
      <w:r w:rsidRPr="007848C6">
        <w:rPr>
          <w:i/>
          <w:iCs/>
          <w:sz w:val="22"/>
          <w:szCs w:val="22"/>
        </w:rPr>
        <w:t xml:space="preserve"> deberá ser igual respecto de los compradores adjudicados con el fin de mantener uniforme el precio resultante de la aplicación del mecanismo de subasta.</w:t>
      </w:r>
      <w:r w:rsidR="00306E00">
        <w:rPr>
          <w:i/>
          <w:iCs/>
          <w:sz w:val="22"/>
          <w:szCs w:val="22"/>
        </w:rPr>
        <w:t>”</w:t>
      </w:r>
    </w:p>
    <w:p w14:paraId="4F409C34" w14:textId="77777777" w:rsidR="007848C6" w:rsidRDefault="007848C6" w:rsidP="00AE5720">
      <w:pPr>
        <w:rPr>
          <w:sz w:val="22"/>
          <w:szCs w:val="22"/>
        </w:rPr>
      </w:pPr>
    </w:p>
    <w:p w14:paraId="54E0D0D8" w14:textId="0C2A4245" w:rsidR="007848C6" w:rsidRPr="007848C6" w:rsidRDefault="007848C6" w:rsidP="00AE5720">
      <w:pPr>
        <w:rPr>
          <w:b/>
          <w:bCs/>
          <w:sz w:val="22"/>
          <w:szCs w:val="22"/>
        </w:rPr>
      </w:pPr>
      <w:r w:rsidRPr="007848C6">
        <w:rPr>
          <w:b/>
          <w:bCs/>
          <w:sz w:val="22"/>
          <w:szCs w:val="22"/>
        </w:rPr>
        <w:t>Respuesta:</w:t>
      </w:r>
    </w:p>
    <w:p w14:paraId="59EA30EE" w14:textId="77777777" w:rsidR="007848C6" w:rsidRDefault="007848C6" w:rsidP="00AE5720">
      <w:pPr>
        <w:rPr>
          <w:sz w:val="22"/>
          <w:szCs w:val="22"/>
        </w:rPr>
      </w:pPr>
    </w:p>
    <w:p w14:paraId="7D04C6A0" w14:textId="0DBE3FCB" w:rsidR="007848C6" w:rsidRPr="00AE5720" w:rsidRDefault="00E018A7" w:rsidP="00AE5720">
      <w:pPr>
        <w:rPr>
          <w:sz w:val="22"/>
          <w:szCs w:val="22"/>
        </w:rPr>
      </w:pPr>
      <w:r>
        <w:rPr>
          <w:sz w:val="22"/>
          <w:szCs w:val="22"/>
        </w:rPr>
        <w:t>En la nueva propuesta se retiró el uso de la expresión de “contratos de largo plazo” para casos de nuevos contratos.</w:t>
      </w:r>
    </w:p>
    <w:p w14:paraId="21EF9A58" w14:textId="77777777" w:rsidR="00AE5720" w:rsidRPr="00AE5720" w:rsidRDefault="00AE5720" w:rsidP="00AE5720">
      <w:pPr>
        <w:rPr>
          <w:sz w:val="22"/>
          <w:szCs w:val="22"/>
        </w:rPr>
      </w:pPr>
    </w:p>
    <w:p w14:paraId="403FEB5C" w14:textId="77777777" w:rsidR="00AE5720" w:rsidRDefault="00AE5720" w:rsidP="00AE5720">
      <w:pPr>
        <w:rPr>
          <w:sz w:val="22"/>
          <w:szCs w:val="22"/>
        </w:rPr>
      </w:pPr>
    </w:p>
    <w:p w14:paraId="5F1D7C17" w14:textId="77777777" w:rsidR="00AE5720" w:rsidRDefault="00AE5720" w:rsidP="00E05466">
      <w:pPr>
        <w:pStyle w:val="Ttulo2"/>
      </w:pPr>
      <w:bookmarkStart w:id="904" w:name="_Toc140506482"/>
      <w:r w:rsidRPr="00AE5720">
        <w:t>EPM</w:t>
      </w:r>
      <w:bookmarkEnd w:id="904"/>
      <w:r w:rsidRPr="00AE5720">
        <w:tab/>
      </w:r>
    </w:p>
    <w:p w14:paraId="195B6B57" w14:textId="77777777" w:rsidR="00E05466" w:rsidRDefault="00E05466" w:rsidP="00E05466">
      <w:pPr>
        <w:pStyle w:val="Ttulo4"/>
      </w:pPr>
      <w:r w:rsidRPr="00AE5720">
        <w:t>EPM</w:t>
      </w:r>
      <w:r w:rsidRPr="00AE5720">
        <w:tab/>
      </w:r>
    </w:p>
    <w:p w14:paraId="3C5C78D3" w14:textId="1FE01A85" w:rsidR="00AE5720" w:rsidRPr="00E018A7" w:rsidRDefault="00AE5720" w:rsidP="00AE5720">
      <w:pPr>
        <w:rPr>
          <w:i/>
          <w:iCs/>
          <w:sz w:val="22"/>
          <w:szCs w:val="22"/>
        </w:rPr>
      </w:pPr>
      <w:r w:rsidRPr="00AE5720">
        <w:rPr>
          <w:sz w:val="22"/>
          <w:szCs w:val="22"/>
        </w:rPr>
        <w:t>"</w:t>
      </w:r>
      <w:r w:rsidRPr="00E018A7">
        <w:rPr>
          <w:i/>
          <w:iCs/>
          <w:sz w:val="22"/>
          <w:szCs w:val="22"/>
        </w:rPr>
        <w:t xml:space="preserve">El precio de reserva que envíe un productor al Gestor de Mercado (GM) debe contener alguna señal de eficiencia en su formación y evidenciar la mínima disponibilidad a la que se espera vender gas firme en un determinado trimestre. Este valor será el precio para la demanda esencial (GNV y Residencial) en caso de que en un determinado trimestre haya déficit y no existan excedentes, o será el precio base de la subasta si existen excedentes a subastar. La propuesta del MADE es acertada porque por una parte es probable que al inicio del trimestre el productor enfrente cierta incertidumbre pues </w:t>
      </w:r>
      <w:r w:rsidR="00306E00">
        <w:rPr>
          <w:i/>
          <w:iCs/>
          <w:sz w:val="22"/>
          <w:szCs w:val="22"/>
        </w:rPr>
        <w:t>‘</w:t>
      </w:r>
      <w:r w:rsidRPr="00E018A7">
        <w:rPr>
          <w:i/>
          <w:iCs/>
          <w:sz w:val="22"/>
          <w:szCs w:val="22"/>
        </w:rPr>
        <w:t>no sabe</w:t>
      </w:r>
      <w:r w:rsidR="00306E00">
        <w:rPr>
          <w:i/>
          <w:iCs/>
          <w:sz w:val="22"/>
          <w:szCs w:val="22"/>
        </w:rPr>
        <w:t>’</w:t>
      </w:r>
      <w:r w:rsidRPr="00E018A7">
        <w:rPr>
          <w:i/>
          <w:iCs/>
          <w:sz w:val="22"/>
          <w:szCs w:val="22"/>
        </w:rPr>
        <w:t xml:space="preserve"> qué demanda va a solicitar gas y, de igual forma, la demanda no sabrá exactamente cuánto gas comprará si puede reducir cantidades para evitar ir a una subasta en un determinado campo, dado que al publicarse el balance comercial podría ajustar sus requerimientos sobre trimestres</w:t>
      </w:r>
    </w:p>
    <w:p w14:paraId="42941C7B" w14:textId="77777777" w:rsidR="00AE5720" w:rsidRPr="00E018A7" w:rsidRDefault="00AE5720" w:rsidP="00AE5720">
      <w:pPr>
        <w:rPr>
          <w:i/>
          <w:iCs/>
          <w:sz w:val="22"/>
          <w:szCs w:val="22"/>
        </w:rPr>
      </w:pPr>
      <w:r w:rsidRPr="00E018A7">
        <w:rPr>
          <w:i/>
          <w:iCs/>
          <w:sz w:val="22"/>
          <w:szCs w:val="22"/>
        </w:rPr>
        <w:t>posteriores.</w:t>
      </w:r>
    </w:p>
    <w:p w14:paraId="47157C8A" w14:textId="77777777" w:rsidR="00AE5720" w:rsidRPr="00E018A7" w:rsidRDefault="00AE5720" w:rsidP="00AE5720">
      <w:pPr>
        <w:rPr>
          <w:i/>
          <w:iCs/>
          <w:sz w:val="22"/>
          <w:szCs w:val="22"/>
        </w:rPr>
      </w:pPr>
    </w:p>
    <w:p w14:paraId="1E579C84" w14:textId="3084C83A" w:rsidR="00AE5720" w:rsidRPr="00E018A7" w:rsidRDefault="00AE5720" w:rsidP="00AE5720">
      <w:pPr>
        <w:rPr>
          <w:i/>
          <w:iCs/>
          <w:sz w:val="22"/>
          <w:szCs w:val="22"/>
        </w:rPr>
      </w:pPr>
      <w:proofErr w:type="spellStart"/>
      <w:r w:rsidRPr="00E018A7">
        <w:rPr>
          <w:i/>
          <w:iCs/>
          <w:sz w:val="22"/>
          <w:szCs w:val="22"/>
        </w:rPr>
        <w:t>Este</w:t>
      </w:r>
      <w:proofErr w:type="gramStart"/>
      <w:r w:rsidR="00306E00">
        <w:rPr>
          <w:i/>
          <w:iCs/>
          <w:sz w:val="22"/>
          <w:szCs w:val="22"/>
        </w:rPr>
        <w:t>’</w:t>
      </w:r>
      <w:r w:rsidRPr="00E018A7">
        <w:rPr>
          <w:i/>
          <w:iCs/>
          <w:sz w:val="22"/>
          <w:szCs w:val="22"/>
        </w:rPr>
        <w:t>“</w:t>
      </w:r>
      <w:proofErr w:type="gramEnd"/>
      <w:r w:rsidRPr="00E018A7">
        <w:rPr>
          <w:i/>
          <w:iCs/>
          <w:sz w:val="22"/>
          <w:szCs w:val="22"/>
        </w:rPr>
        <w:t>juego</w:t>
      </w:r>
      <w:proofErr w:type="spellEnd"/>
      <w:r w:rsidR="00306E00">
        <w:rPr>
          <w:i/>
          <w:iCs/>
          <w:sz w:val="22"/>
          <w:szCs w:val="22"/>
        </w:rPr>
        <w:t>’</w:t>
      </w:r>
      <w:r w:rsidRPr="00E018A7">
        <w:rPr>
          <w:i/>
          <w:iCs/>
          <w:sz w:val="22"/>
          <w:szCs w:val="22"/>
        </w:rPr>
        <w:t xml:space="preserve"> se daría periódicamente cada trimestre y, en esa medida el Productor y el Comercializador conocerán un proxi del gas que se estaría transando y con señales de precio, lo que incentivaría a un productor a ofrecer un precio de mercado que le permita vender el gas en caso de subasta y reflejar tal situación su precio de reserva. No obstante, existe un riesgo en caso de subasta para la demanda esencial pues ante esta situación, se hace una asignación administrada y dicha demanda debe aceptar el precio de cierre de la subasta de manera pasiva.</w:t>
      </w:r>
    </w:p>
    <w:p w14:paraId="221C3A63" w14:textId="77777777" w:rsidR="00AE5720" w:rsidRPr="00E018A7" w:rsidRDefault="00AE5720" w:rsidP="00AE5720">
      <w:pPr>
        <w:rPr>
          <w:i/>
          <w:iCs/>
          <w:sz w:val="22"/>
          <w:szCs w:val="22"/>
        </w:rPr>
      </w:pPr>
    </w:p>
    <w:p w14:paraId="2FF8B7EA" w14:textId="77777777" w:rsidR="00AE5720" w:rsidRDefault="00AE5720" w:rsidP="00AE5720">
      <w:pPr>
        <w:rPr>
          <w:sz w:val="22"/>
          <w:szCs w:val="22"/>
        </w:rPr>
      </w:pPr>
      <w:r w:rsidRPr="00E018A7">
        <w:rPr>
          <w:i/>
          <w:iCs/>
          <w:sz w:val="22"/>
          <w:szCs w:val="22"/>
        </w:rPr>
        <w:t xml:space="preserve">Parte de la solución estaría relacionada con el momento de declaración y publicación del Precio de Reserva. Permitir fijar un Precio de Reserva con posterioridad al balance comercial trimestral podría ser contraproducente, pues el oferente-Productor tendría toda la información de cantidades faltantes y tipo de demanda que requiere gas, extrayendo el máximo del excedente del consumidor. Al respecto, se debe tener en cuenta que el Productor cuando fija su precio de reserva es un precio piso del que espera, racionalmente, un ingreso que como mínimo satisface sus costos de producción y no debe depender de en qué momento se reporta pues sus costos serían los mismos. Por lo anterior, sugerimos a la CREG lo siguiente: i) Que el precio de reserva del productor sea declarado desde el día 1 del inicio de un trimestre estándar y que el mercado lo conozca una vez se publique balance comercial definitivo por parte del GM. </w:t>
      </w:r>
      <w:proofErr w:type="spellStart"/>
      <w:r w:rsidRPr="00E018A7">
        <w:rPr>
          <w:i/>
          <w:iCs/>
          <w:sz w:val="22"/>
          <w:szCs w:val="22"/>
        </w:rPr>
        <w:t>ii</w:t>
      </w:r>
      <w:proofErr w:type="spellEnd"/>
      <w:r w:rsidRPr="00E018A7">
        <w:rPr>
          <w:i/>
          <w:iCs/>
          <w:sz w:val="22"/>
          <w:szCs w:val="22"/>
        </w:rPr>
        <w:t>) Incluir que la demanda esencial sea tomadora del precio de reserva aún en el caso que existan cantidades para subastar y no del precio de cierre de la subasta</w:t>
      </w:r>
      <w:r w:rsidRPr="00AE5720">
        <w:rPr>
          <w:sz w:val="22"/>
          <w:szCs w:val="22"/>
        </w:rPr>
        <w:t>."</w:t>
      </w:r>
    </w:p>
    <w:p w14:paraId="019BF0D8" w14:textId="77777777" w:rsidR="00E018A7" w:rsidRDefault="00E018A7" w:rsidP="00AE5720">
      <w:pPr>
        <w:rPr>
          <w:sz w:val="22"/>
          <w:szCs w:val="22"/>
        </w:rPr>
      </w:pPr>
    </w:p>
    <w:p w14:paraId="1D17C536" w14:textId="5DA8189A" w:rsidR="00E018A7" w:rsidRPr="00E018A7" w:rsidRDefault="00E018A7" w:rsidP="00AE5720">
      <w:pPr>
        <w:rPr>
          <w:b/>
          <w:bCs/>
          <w:sz w:val="22"/>
          <w:szCs w:val="22"/>
        </w:rPr>
      </w:pPr>
      <w:r w:rsidRPr="00E018A7">
        <w:rPr>
          <w:b/>
          <w:bCs/>
          <w:sz w:val="22"/>
          <w:szCs w:val="22"/>
        </w:rPr>
        <w:t>Respuesta:</w:t>
      </w:r>
    </w:p>
    <w:p w14:paraId="5829F567" w14:textId="77777777" w:rsidR="00E018A7" w:rsidRDefault="00E018A7" w:rsidP="00AE5720">
      <w:pPr>
        <w:rPr>
          <w:sz w:val="22"/>
          <w:szCs w:val="22"/>
        </w:rPr>
      </w:pPr>
    </w:p>
    <w:p w14:paraId="298643CA" w14:textId="7AB28A57" w:rsidR="00E018A7" w:rsidRDefault="00E018A7" w:rsidP="00AE5720">
      <w:pPr>
        <w:rPr>
          <w:sz w:val="22"/>
          <w:szCs w:val="22"/>
        </w:rPr>
      </w:pPr>
      <w:r>
        <w:rPr>
          <w:sz w:val="22"/>
          <w:szCs w:val="22"/>
        </w:rPr>
        <w:t>No se acoge el comentario.</w:t>
      </w:r>
    </w:p>
    <w:p w14:paraId="6E54E6F1" w14:textId="77777777" w:rsidR="00E018A7" w:rsidRDefault="00E018A7" w:rsidP="00AE5720">
      <w:pPr>
        <w:rPr>
          <w:sz w:val="22"/>
          <w:szCs w:val="22"/>
        </w:rPr>
      </w:pPr>
    </w:p>
    <w:p w14:paraId="2D199035" w14:textId="787AEC80" w:rsidR="00E018A7" w:rsidRDefault="00E018A7" w:rsidP="00AE5720">
      <w:pPr>
        <w:rPr>
          <w:sz w:val="22"/>
          <w:szCs w:val="22"/>
        </w:rPr>
      </w:pPr>
      <w:r>
        <w:rPr>
          <w:sz w:val="22"/>
          <w:szCs w:val="22"/>
        </w:rPr>
        <w:t xml:space="preserve">Al momento de declarar el precio de reserva de una fuente de suministro que hace parte de un punto de referencia, cuando el balance comercial de un </w:t>
      </w:r>
      <w:r w:rsidR="009D22E9">
        <w:rPr>
          <w:sz w:val="22"/>
          <w:szCs w:val="22"/>
        </w:rPr>
        <w:t>trimestre estándar de ejecución</w:t>
      </w:r>
      <w:r>
        <w:rPr>
          <w:sz w:val="22"/>
          <w:szCs w:val="22"/>
        </w:rPr>
        <w:t xml:space="preserve"> futuro resulta deficitario, los vendedores desconocen si las cantidades totales ofertadas para dicho punto de suministro son superiores a no a las cantidades totales requeridas para atender la Demanda Esencial declaradas en la segunda instancia al Gestor del Mercado. </w:t>
      </w:r>
    </w:p>
    <w:p w14:paraId="153145B1" w14:textId="77777777" w:rsidR="00E018A7" w:rsidRDefault="00E018A7" w:rsidP="00AE5720">
      <w:pPr>
        <w:rPr>
          <w:sz w:val="22"/>
          <w:szCs w:val="22"/>
        </w:rPr>
      </w:pPr>
    </w:p>
    <w:p w14:paraId="4B916E2B" w14:textId="3E55810A" w:rsidR="00E018A7" w:rsidRDefault="00E018A7" w:rsidP="00AE5720">
      <w:pPr>
        <w:rPr>
          <w:sz w:val="22"/>
          <w:szCs w:val="22"/>
        </w:rPr>
      </w:pPr>
      <w:r>
        <w:rPr>
          <w:sz w:val="22"/>
          <w:szCs w:val="22"/>
        </w:rPr>
        <w:t xml:space="preserve">El precio que toma la Demanda Esencial corresponde al precio de cierre de la subasta porque es el mismo precio que pagará la demanda asignada mediante el proceso de subasta, el cual se formó por la limitación de las cantidades disponibles ofertadas, en parte por la misma priorización a la Demanda Esencial requerida. El producto del contrato de tipo firme o que garantiza firmeza es igual entonces, indiferente del tipo de usuario, aún a pesar de que en condiciones de insalvables restricciones de largo plazo o de declaración de racionamiento, primero se despachan las cantidades disponibles operativas para la Demanda Esencial, antes que la demás demanda, a pesar de que el precio del contrato de suministro es el mismo. </w:t>
      </w:r>
    </w:p>
    <w:p w14:paraId="6675941B" w14:textId="77777777" w:rsidR="00E018A7" w:rsidRDefault="00E018A7" w:rsidP="00AE5720">
      <w:pPr>
        <w:rPr>
          <w:sz w:val="22"/>
          <w:szCs w:val="22"/>
        </w:rPr>
      </w:pPr>
    </w:p>
    <w:p w14:paraId="2248CF89" w14:textId="29DEC7F7" w:rsidR="00E018A7" w:rsidRDefault="00E018A7" w:rsidP="00AE5720">
      <w:pPr>
        <w:rPr>
          <w:sz w:val="22"/>
          <w:szCs w:val="22"/>
        </w:rPr>
      </w:pPr>
      <w:r>
        <w:rPr>
          <w:sz w:val="22"/>
          <w:szCs w:val="22"/>
        </w:rPr>
        <w:t xml:space="preserve">Por otro lado, los compradores no están obligados a adquirir en un </w:t>
      </w:r>
      <w:r w:rsidR="00621D36">
        <w:rPr>
          <w:sz w:val="22"/>
          <w:szCs w:val="22"/>
        </w:rPr>
        <w:t xml:space="preserve">solo </w:t>
      </w:r>
      <w:r>
        <w:rPr>
          <w:sz w:val="22"/>
          <w:szCs w:val="22"/>
        </w:rPr>
        <w:t>trimestre de negociación cantidades mínimas</w:t>
      </w:r>
      <w:r w:rsidR="00621D36">
        <w:rPr>
          <w:sz w:val="22"/>
          <w:szCs w:val="22"/>
        </w:rPr>
        <w:t xml:space="preserve"> determinadas por la CREG para un </w:t>
      </w:r>
      <w:r w:rsidR="009D22E9">
        <w:rPr>
          <w:sz w:val="22"/>
          <w:szCs w:val="22"/>
        </w:rPr>
        <w:t>trimestre estándar de ejecución</w:t>
      </w:r>
      <w:r w:rsidR="00621D36">
        <w:rPr>
          <w:sz w:val="22"/>
          <w:szCs w:val="22"/>
        </w:rPr>
        <w:t xml:space="preserve"> futuro. Lo pueden hacer en diferentes trimestres de negociación. </w:t>
      </w:r>
      <w:r w:rsidR="004F21EE">
        <w:rPr>
          <w:sz w:val="22"/>
          <w:szCs w:val="22"/>
        </w:rPr>
        <w:t xml:space="preserve">Lo anterior permite un margen de maniobra al comprador, de modo que una oferta comercial deficitaria sea una última instancia que resulta eventualmente de congestión contractual.  </w:t>
      </w:r>
      <w:r w:rsidR="00621D36">
        <w:rPr>
          <w:sz w:val="22"/>
          <w:szCs w:val="22"/>
        </w:rPr>
        <w:t xml:space="preserve">Ver numeral </w:t>
      </w:r>
      <w:r w:rsidR="00621D36">
        <w:rPr>
          <w:sz w:val="22"/>
          <w:szCs w:val="22"/>
        </w:rPr>
        <w:fldChar w:fldCharType="begin"/>
      </w:r>
      <w:r w:rsidR="00621D36">
        <w:rPr>
          <w:sz w:val="22"/>
          <w:szCs w:val="22"/>
        </w:rPr>
        <w:instrText xml:space="preserve"> REF _Ref130304509 \r \h </w:instrText>
      </w:r>
      <w:r w:rsidR="00621D36">
        <w:rPr>
          <w:sz w:val="22"/>
          <w:szCs w:val="22"/>
        </w:rPr>
      </w:r>
      <w:r w:rsidR="00621D36">
        <w:rPr>
          <w:sz w:val="22"/>
          <w:szCs w:val="22"/>
        </w:rPr>
        <w:fldChar w:fldCharType="separate"/>
      </w:r>
      <w:r w:rsidR="00621D36">
        <w:rPr>
          <w:sz w:val="22"/>
          <w:szCs w:val="22"/>
        </w:rPr>
        <w:t>4.11.1</w:t>
      </w:r>
      <w:r w:rsidR="00621D36">
        <w:rPr>
          <w:sz w:val="22"/>
          <w:szCs w:val="22"/>
        </w:rPr>
        <w:fldChar w:fldCharType="end"/>
      </w:r>
      <w:r w:rsidR="00621D36">
        <w:rPr>
          <w:sz w:val="22"/>
          <w:szCs w:val="22"/>
        </w:rPr>
        <w:t>.</w:t>
      </w:r>
    </w:p>
    <w:p w14:paraId="60F6111C" w14:textId="77777777" w:rsidR="00E018A7" w:rsidRDefault="00E018A7" w:rsidP="00AE5720">
      <w:pPr>
        <w:rPr>
          <w:sz w:val="22"/>
          <w:szCs w:val="22"/>
        </w:rPr>
      </w:pPr>
    </w:p>
    <w:p w14:paraId="7602D483" w14:textId="3A49E483" w:rsidR="00E018A7" w:rsidRPr="00AE5720" w:rsidRDefault="00621D36" w:rsidP="00AE5720">
      <w:pPr>
        <w:rPr>
          <w:sz w:val="22"/>
          <w:szCs w:val="22"/>
        </w:rPr>
      </w:pPr>
      <w:r>
        <w:rPr>
          <w:sz w:val="22"/>
          <w:szCs w:val="22"/>
        </w:rPr>
        <w:t>Sobre el precio de reserva, v</w:t>
      </w:r>
      <w:r w:rsidR="00E018A7">
        <w:rPr>
          <w:sz w:val="22"/>
          <w:szCs w:val="22"/>
        </w:rPr>
        <w:t xml:space="preserve">er respuesta a </w:t>
      </w:r>
      <w:r w:rsidR="00E018A7">
        <w:rPr>
          <w:sz w:val="22"/>
          <w:szCs w:val="22"/>
        </w:rPr>
        <w:fldChar w:fldCharType="begin"/>
      </w:r>
      <w:r w:rsidR="00E018A7">
        <w:rPr>
          <w:sz w:val="22"/>
          <w:szCs w:val="22"/>
        </w:rPr>
        <w:instrText xml:space="preserve"> REF _Ref132198348 \r \h </w:instrText>
      </w:r>
      <w:r w:rsidR="00E018A7">
        <w:rPr>
          <w:sz w:val="22"/>
          <w:szCs w:val="22"/>
        </w:rPr>
      </w:r>
      <w:r w:rsidR="00E018A7">
        <w:rPr>
          <w:sz w:val="22"/>
          <w:szCs w:val="22"/>
        </w:rPr>
        <w:fldChar w:fldCharType="separate"/>
      </w:r>
      <w:r w:rsidR="00E018A7">
        <w:rPr>
          <w:sz w:val="22"/>
          <w:szCs w:val="22"/>
        </w:rPr>
        <w:t>19.7.1.4</w:t>
      </w:r>
      <w:r w:rsidR="00E018A7">
        <w:rPr>
          <w:sz w:val="22"/>
          <w:szCs w:val="22"/>
        </w:rPr>
        <w:fldChar w:fldCharType="end"/>
      </w:r>
      <w:r w:rsidR="00E018A7">
        <w:rPr>
          <w:sz w:val="22"/>
          <w:szCs w:val="22"/>
        </w:rPr>
        <w:t>.</w:t>
      </w:r>
    </w:p>
    <w:p w14:paraId="5233C540" w14:textId="77777777" w:rsidR="00AE5720" w:rsidRDefault="00AE5720" w:rsidP="00AE5720">
      <w:pPr>
        <w:rPr>
          <w:sz w:val="22"/>
          <w:szCs w:val="22"/>
        </w:rPr>
      </w:pPr>
    </w:p>
    <w:p w14:paraId="042848A3" w14:textId="77777777" w:rsidR="00AE5720" w:rsidRDefault="00AE5720" w:rsidP="00AE5720">
      <w:pPr>
        <w:rPr>
          <w:sz w:val="22"/>
          <w:szCs w:val="22"/>
        </w:rPr>
      </w:pPr>
    </w:p>
    <w:p w14:paraId="32018D6C" w14:textId="77777777" w:rsidR="00AE5720" w:rsidRDefault="00AE5720" w:rsidP="00E05466">
      <w:pPr>
        <w:pStyle w:val="Ttulo2"/>
      </w:pPr>
      <w:bookmarkStart w:id="905" w:name="_Toc140506483"/>
      <w:r w:rsidRPr="00AE5720">
        <w:t>GASES DE LA GUAJIRA</w:t>
      </w:r>
      <w:bookmarkEnd w:id="905"/>
      <w:r w:rsidRPr="00AE5720">
        <w:tab/>
      </w:r>
    </w:p>
    <w:p w14:paraId="1E4D77D7" w14:textId="77777777" w:rsidR="00E05466" w:rsidRDefault="00E05466" w:rsidP="00E05466">
      <w:pPr>
        <w:pStyle w:val="Ttulo4"/>
      </w:pPr>
      <w:bookmarkStart w:id="906" w:name="_Ref133247161"/>
      <w:r w:rsidRPr="00AE5720">
        <w:t>GASES DE LA GUAJIRA</w:t>
      </w:r>
      <w:bookmarkEnd w:id="906"/>
      <w:r w:rsidRPr="00AE5720">
        <w:tab/>
      </w:r>
    </w:p>
    <w:p w14:paraId="73B45E93" w14:textId="187740E7" w:rsidR="00AE5720" w:rsidRPr="004F21EE" w:rsidRDefault="00AE5720" w:rsidP="00AE5720">
      <w:pPr>
        <w:rPr>
          <w:i/>
          <w:iCs/>
          <w:sz w:val="22"/>
          <w:szCs w:val="22"/>
        </w:rPr>
      </w:pPr>
      <w:r w:rsidRPr="00AE5720">
        <w:rPr>
          <w:sz w:val="22"/>
          <w:szCs w:val="22"/>
        </w:rPr>
        <w:t>"</w:t>
      </w:r>
      <w:r w:rsidRPr="004F21EE">
        <w:rPr>
          <w:i/>
          <w:iCs/>
          <w:sz w:val="22"/>
          <w:szCs w:val="22"/>
        </w:rPr>
        <w:t>La redacción no es clara y en ese sentido se pregunta:</w:t>
      </w:r>
    </w:p>
    <w:p w14:paraId="699D340C" w14:textId="77777777" w:rsidR="00AE5720" w:rsidRPr="004F21EE" w:rsidRDefault="00AE5720" w:rsidP="00AE5720">
      <w:pPr>
        <w:rPr>
          <w:i/>
          <w:iCs/>
          <w:sz w:val="22"/>
          <w:szCs w:val="22"/>
        </w:rPr>
      </w:pPr>
    </w:p>
    <w:p w14:paraId="4EE299EF" w14:textId="77777777" w:rsidR="00AE5720" w:rsidRPr="004F21EE" w:rsidRDefault="00AE5720" w:rsidP="00AE5720">
      <w:pPr>
        <w:rPr>
          <w:i/>
          <w:iCs/>
          <w:sz w:val="22"/>
          <w:szCs w:val="22"/>
        </w:rPr>
      </w:pPr>
      <w:r w:rsidRPr="004F21EE">
        <w:rPr>
          <w:i/>
          <w:iCs/>
          <w:sz w:val="22"/>
          <w:szCs w:val="22"/>
        </w:rPr>
        <w:t xml:space="preserve">¿Si un contrato involucra más de un trimestre, puede tener un precio por trimestre? </w:t>
      </w:r>
      <w:proofErr w:type="gramStart"/>
      <w:r w:rsidRPr="004F21EE">
        <w:rPr>
          <w:i/>
          <w:iCs/>
          <w:sz w:val="22"/>
          <w:szCs w:val="22"/>
        </w:rPr>
        <w:t>O deben ser contratos separados?</w:t>
      </w:r>
      <w:proofErr w:type="gramEnd"/>
    </w:p>
    <w:p w14:paraId="66383D0A" w14:textId="77777777" w:rsidR="00AE5720" w:rsidRPr="004F21EE" w:rsidRDefault="00AE5720" w:rsidP="00AE5720">
      <w:pPr>
        <w:rPr>
          <w:i/>
          <w:iCs/>
          <w:sz w:val="22"/>
          <w:szCs w:val="22"/>
        </w:rPr>
      </w:pPr>
    </w:p>
    <w:p w14:paraId="168A92F5" w14:textId="5783CA79" w:rsidR="00AE5720" w:rsidRPr="004F21EE" w:rsidRDefault="00AE5720" w:rsidP="00AE5720">
      <w:pPr>
        <w:rPr>
          <w:i/>
          <w:iCs/>
          <w:sz w:val="22"/>
          <w:szCs w:val="22"/>
        </w:rPr>
      </w:pPr>
      <w:r w:rsidRPr="004F21EE">
        <w:rPr>
          <w:i/>
          <w:iCs/>
          <w:sz w:val="22"/>
          <w:szCs w:val="22"/>
        </w:rPr>
        <w:t xml:space="preserve">¿Los contratos asignados dentro del mecanismo deficitario, son independientes o están incluidos dentro de los que negocie el agente en trimestres </w:t>
      </w:r>
      <w:proofErr w:type="spellStart"/>
      <w:r w:rsidRPr="004F21EE">
        <w:rPr>
          <w:i/>
          <w:iCs/>
          <w:sz w:val="22"/>
          <w:szCs w:val="22"/>
        </w:rPr>
        <w:t>excendentarios</w:t>
      </w:r>
      <w:proofErr w:type="spellEnd"/>
      <w:r w:rsidRPr="004F21EE">
        <w:rPr>
          <w:i/>
          <w:iCs/>
          <w:sz w:val="22"/>
          <w:szCs w:val="22"/>
        </w:rPr>
        <w:t>?"</w:t>
      </w:r>
    </w:p>
    <w:p w14:paraId="496C5436" w14:textId="77777777" w:rsidR="004F21EE" w:rsidRDefault="004F21EE" w:rsidP="00AE5720">
      <w:pPr>
        <w:rPr>
          <w:sz w:val="22"/>
          <w:szCs w:val="22"/>
        </w:rPr>
      </w:pPr>
    </w:p>
    <w:p w14:paraId="5724F71C" w14:textId="688BE0C4" w:rsidR="004F21EE" w:rsidRPr="004F21EE" w:rsidRDefault="004F21EE" w:rsidP="00AE5720">
      <w:pPr>
        <w:rPr>
          <w:b/>
          <w:bCs/>
          <w:sz w:val="22"/>
          <w:szCs w:val="22"/>
        </w:rPr>
      </w:pPr>
      <w:r w:rsidRPr="004F21EE">
        <w:rPr>
          <w:b/>
          <w:bCs/>
          <w:sz w:val="22"/>
          <w:szCs w:val="22"/>
        </w:rPr>
        <w:t>Respuesta:</w:t>
      </w:r>
    </w:p>
    <w:p w14:paraId="3B4FA72A" w14:textId="77777777" w:rsidR="004F21EE" w:rsidRDefault="004F21EE" w:rsidP="00AE5720">
      <w:pPr>
        <w:rPr>
          <w:sz w:val="22"/>
          <w:szCs w:val="22"/>
        </w:rPr>
      </w:pPr>
    </w:p>
    <w:p w14:paraId="4066AB9E" w14:textId="6D01E3D0" w:rsidR="004F21EE" w:rsidRDefault="004F21EE" w:rsidP="00AE5720">
      <w:pPr>
        <w:rPr>
          <w:sz w:val="22"/>
          <w:szCs w:val="22"/>
        </w:rPr>
      </w:pPr>
      <w:r>
        <w:rPr>
          <w:sz w:val="22"/>
          <w:szCs w:val="22"/>
        </w:rPr>
        <w:t xml:space="preserve">Si la ejecución de un mismo contrato se realiza en trimestres diferentes el precio será el pactado para el primer período de ejecución del contrato, aplicando las fórmulas de actualización pactadas entre las partes o la establecida por la CREG, para los períodos de actualización establecidos de como mínimo un trimestre estándar o un año en el caso de aplicar las ecuaciones establecidas por la CREG. </w:t>
      </w:r>
    </w:p>
    <w:p w14:paraId="5ED85FE6" w14:textId="77777777" w:rsidR="004F21EE" w:rsidRDefault="004F21EE" w:rsidP="00AE5720">
      <w:pPr>
        <w:rPr>
          <w:sz w:val="22"/>
          <w:szCs w:val="22"/>
        </w:rPr>
      </w:pPr>
    </w:p>
    <w:p w14:paraId="1BA51258" w14:textId="59CD09E0" w:rsidR="004F21EE" w:rsidRDefault="004F21EE" w:rsidP="00AE5720">
      <w:pPr>
        <w:rPr>
          <w:sz w:val="22"/>
          <w:szCs w:val="22"/>
        </w:rPr>
      </w:pPr>
      <w:r>
        <w:rPr>
          <w:sz w:val="22"/>
          <w:szCs w:val="22"/>
        </w:rPr>
        <w:t xml:space="preserve">Si en el mismo contrato de la misma modalidad contractual se incluyen cantidades contratadas para trimestres de suministro futuros en negociaciones directas y </w:t>
      </w:r>
      <w:r w:rsidR="00A77D26">
        <w:rPr>
          <w:sz w:val="22"/>
          <w:szCs w:val="22"/>
        </w:rPr>
        <w:t xml:space="preserve">también </w:t>
      </w:r>
      <w:r>
        <w:rPr>
          <w:sz w:val="22"/>
          <w:szCs w:val="22"/>
        </w:rPr>
        <w:t xml:space="preserve">en asignaciones mediante subasta, el precio inicial de ejecución para cada uno de los dos mecanismos de negociación podrá ser diferente, pero para los trimestres siguientes de </w:t>
      </w:r>
      <w:r w:rsidR="00A77D26">
        <w:rPr>
          <w:sz w:val="22"/>
          <w:szCs w:val="22"/>
        </w:rPr>
        <w:t xml:space="preserve">ejecución de </w:t>
      </w:r>
      <w:r>
        <w:rPr>
          <w:sz w:val="22"/>
          <w:szCs w:val="22"/>
        </w:rPr>
        <w:t xml:space="preserve">las cantidades de cada mecanismo, </w:t>
      </w:r>
      <w:r w:rsidR="00A77D26">
        <w:rPr>
          <w:sz w:val="22"/>
          <w:szCs w:val="22"/>
        </w:rPr>
        <w:t xml:space="preserve">el precio </w:t>
      </w:r>
      <w:r>
        <w:rPr>
          <w:sz w:val="22"/>
          <w:szCs w:val="22"/>
        </w:rPr>
        <w:t xml:space="preserve">será el que resulte de </w:t>
      </w:r>
      <w:r w:rsidR="00A77D26">
        <w:rPr>
          <w:sz w:val="22"/>
          <w:szCs w:val="22"/>
        </w:rPr>
        <w:t xml:space="preserve">actualizar </w:t>
      </w:r>
      <w:r>
        <w:rPr>
          <w:sz w:val="22"/>
          <w:szCs w:val="22"/>
        </w:rPr>
        <w:t>cada precio inicial con la aplicación de la</w:t>
      </w:r>
      <w:r w:rsidR="007543AD">
        <w:rPr>
          <w:sz w:val="22"/>
          <w:szCs w:val="22"/>
        </w:rPr>
        <w:t>s</w:t>
      </w:r>
      <w:r>
        <w:rPr>
          <w:sz w:val="22"/>
          <w:szCs w:val="22"/>
        </w:rPr>
        <w:t xml:space="preserve"> ecuaciones de actualización de precios. </w:t>
      </w:r>
    </w:p>
    <w:p w14:paraId="3944F16F" w14:textId="77777777" w:rsidR="004F21EE" w:rsidRDefault="004F21EE" w:rsidP="00AE5720">
      <w:pPr>
        <w:rPr>
          <w:sz w:val="22"/>
          <w:szCs w:val="22"/>
        </w:rPr>
      </w:pPr>
    </w:p>
    <w:p w14:paraId="7DB30ACB" w14:textId="56E527D6" w:rsidR="004F21EE" w:rsidRDefault="00743BAA" w:rsidP="00AE5720">
      <w:pPr>
        <w:rPr>
          <w:sz w:val="22"/>
          <w:szCs w:val="22"/>
        </w:rPr>
      </w:pPr>
      <w:r>
        <w:rPr>
          <w:sz w:val="22"/>
          <w:szCs w:val="22"/>
        </w:rPr>
        <w:t xml:space="preserve">Ver el ejemplo del numeral </w:t>
      </w:r>
      <w:r>
        <w:rPr>
          <w:sz w:val="22"/>
          <w:szCs w:val="22"/>
        </w:rPr>
        <w:fldChar w:fldCharType="begin"/>
      </w:r>
      <w:r>
        <w:rPr>
          <w:sz w:val="22"/>
          <w:szCs w:val="22"/>
        </w:rPr>
        <w:instrText xml:space="preserve"> REF _Ref130805559 \r \h </w:instrText>
      </w:r>
      <w:r>
        <w:rPr>
          <w:sz w:val="22"/>
          <w:szCs w:val="22"/>
        </w:rPr>
      </w:r>
      <w:r>
        <w:rPr>
          <w:sz w:val="22"/>
          <w:szCs w:val="22"/>
        </w:rPr>
        <w:fldChar w:fldCharType="separate"/>
      </w:r>
      <w:r>
        <w:rPr>
          <w:sz w:val="22"/>
          <w:szCs w:val="22"/>
        </w:rPr>
        <w:t>4.19</w:t>
      </w:r>
      <w:r>
        <w:rPr>
          <w:sz w:val="22"/>
          <w:szCs w:val="22"/>
        </w:rPr>
        <w:fldChar w:fldCharType="end"/>
      </w:r>
      <w:r w:rsidR="007543AD">
        <w:rPr>
          <w:sz w:val="22"/>
          <w:szCs w:val="22"/>
        </w:rPr>
        <w:t xml:space="preserve">. </w:t>
      </w:r>
    </w:p>
    <w:p w14:paraId="6249CB93" w14:textId="77777777" w:rsidR="004F21EE" w:rsidRDefault="004F21EE" w:rsidP="00AE5720">
      <w:pPr>
        <w:rPr>
          <w:sz w:val="22"/>
          <w:szCs w:val="22"/>
        </w:rPr>
      </w:pPr>
    </w:p>
    <w:p w14:paraId="602E59F8" w14:textId="77777777" w:rsidR="00AE5720" w:rsidRDefault="00AE5720" w:rsidP="00AE5720">
      <w:pPr>
        <w:rPr>
          <w:sz w:val="22"/>
          <w:szCs w:val="22"/>
        </w:rPr>
      </w:pPr>
    </w:p>
    <w:p w14:paraId="4661AC11" w14:textId="77777777" w:rsidR="00AE5720" w:rsidRDefault="00AE5720" w:rsidP="00E05466">
      <w:pPr>
        <w:pStyle w:val="Ttulo4"/>
      </w:pPr>
      <w:bookmarkStart w:id="907" w:name="_Ref133247238"/>
      <w:r w:rsidRPr="00AE5720">
        <w:t>GASES DE LA GUAJIRA</w:t>
      </w:r>
      <w:bookmarkEnd w:id="907"/>
      <w:r w:rsidRPr="00AE5720">
        <w:tab/>
      </w:r>
    </w:p>
    <w:p w14:paraId="6902E151" w14:textId="3A730F19" w:rsidR="00AE5720" w:rsidRPr="004F21EE" w:rsidRDefault="00150BE1" w:rsidP="00AE5720">
      <w:pPr>
        <w:rPr>
          <w:i/>
          <w:iCs/>
          <w:sz w:val="22"/>
          <w:szCs w:val="22"/>
        </w:rPr>
      </w:pPr>
      <w:r>
        <w:rPr>
          <w:i/>
          <w:iCs/>
          <w:sz w:val="22"/>
          <w:szCs w:val="22"/>
        </w:rPr>
        <w:t>“</w:t>
      </w:r>
      <w:r w:rsidR="00AE5720" w:rsidRPr="004F21EE">
        <w:rPr>
          <w:i/>
          <w:iCs/>
          <w:sz w:val="22"/>
          <w:szCs w:val="22"/>
        </w:rPr>
        <w:t xml:space="preserve">Favor </w:t>
      </w:r>
      <w:proofErr w:type="gramStart"/>
      <w:r w:rsidR="00AE5720" w:rsidRPr="004F21EE">
        <w:rPr>
          <w:i/>
          <w:iCs/>
          <w:sz w:val="22"/>
          <w:szCs w:val="22"/>
        </w:rPr>
        <w:t>aclarar</w:t>
      </w:r>
      <w:proofErr w:type="gramEnd"/>
      <w:r w:rsidR="00AE5720" w:rsidRPr="004F21EE">
        <w:rPr>
          <w:i/>
          <w:iCs/>
          <w:sz w:val="22"/>
          <w:szCs w:val="22"/>
        </w:rPr>
        <w:t xml:space="preserve"> que esto no incluye los reconocimientos económicos que haga el Productor por fallas en el suministro.</w:t>
      </w:r>
      <w:r>
        <w:rPr>
          <w:i/>
          <w:iCs/>
          <w:sz w:val="22"/>
          <w:szCs w:val="22"/>
        </w:rPr>
        <w:t>”</w:t>
      </w:r>
    </w:p>
    <w:p w14:paraId="5A420141" w14:textId="77777777" w:rsidR="004F21EE" w:rsidRDefault="004F21EE" w:rsidP="00AE5720">
      <w:pPr>
        <w:rPr>
          <w:sz w:val="22"/>
          <w:szCs w:val="22"/>
        </w:rPr>
      </w:pPr>
    </w:p>
    <w:p w14:paraId="25554BEB" w14:textId="434BB574" w:rsidR="004F21EE" w:rsidRPr="004F21EE" w:rsidRDefault="004F21EE" w:rsidP="00AE5720">
      <w:pPr>
        <w:rPr>
          <w:b/>
          <w:bCs/>
          <w:sz w:val="22"/>
          <w:szCs w:val="22"/>
        </w:rPr>
      </w:pPr>
      <w:r w:rsidRPr="004F21EE">
        <w:rPr>
          <w:b/>
          <w:bCs/>
          <w:sz w:val="22"/>
          <w:szCs w:val="22"/>
        </w:rPr>
        <w:t>Respuesta:</w:t>
      </w:r>
    </w:p>
    <w:p w14:paraId="3949AC1D" w14:textId="77777777" w:rsidR="004F21EE" w:rsidRDefault="004F21EE" w:rsidP="00AE5720">
      <w:pPr>
        <w:rPr>
          <w:sz w:val="22"/>
          <w:szCs w:val="22"/>
        </w:rPr>
      </w:pPr>
    </w:p>
    <w:p w14:paraId="25BD643B" w14:textId="4E8FA442" w:rsidR="004F21EE" w:rsidRDefault="00FD6FAB" w:rsidP="00AE5720">
      <w:pPr>
        <w:rPr>
          <w:sz w:val="22"/>
          <w:szCs w:val="22"/>
        </w:rPr>
      </w:pPr>
      <w:r>
        <w:rPr>
          <w:sz w:val="22"/>
          <w:szCs w:val="22"/>
        </w:rPr>
        <w:t xml:space="preserve">No se acoge el comentario. </w:t>
      </w:r>
    </w:p>
    <w:p w14:paraId="6883DA2A" w14:textId="77777777" w:rsidR="00FD6FAB" w:rsidRDefault="00FD6FAB" w:rsidP="00AE5720">
      <w:pPr>
        <w:rPr>
          <w:sz w:val="22"/>
          <w:szCs w:val="22"/>
        </w:rPr>
      </w:pPr>
    </w:p>
    <w:p w14:paraId="5B5EEDAD" w14:textId="7102226C" w:rsidR="00FD6FAB" w:rsidRDefault="00FD6FAB" w:rsidP="00AE5720">
      <w:pPr>
        <w:rPr>
          <w:sz w:val="22"/>
          <w:szCs w:val="22"/>
        </w:rPr>
      </w:pPr>
      <w:r>
        <w:rPr>
          <w:sz w:val="22"/>
          <w:szCs w:val="22"/>
        </w:rPr>
        <w:t xml:space="preserve">Se mantiene el texto vigente sin ajustes propuestos, </w:t>
      </w:r>
      <w:r w:rsidR="00150BE1">
        <w:rPr>
          <w:sz w:val="22"/>
          <w:szCs w:val="22"/>
        </w:rPr>
        <w:t xml:space="preserve">el cual </w:t>
      </w:r>
      <w:r>
        <w:rPr>
          <w:sz w:val="22"/>
          <w:szCs w:val="22"/>
        </w:rPr>
        <w:t>establece que l</w:t>
      </w:r>
      <w:r w:rsidRPr="00FD6FAB">
        <w:rPr>
          <w:sz w:val="22"/>
          <w:szCs w:val="22"/>
        </w:rPr>
        <w:t>os descuentos que se realicen se considerarán como una modificación al precio inicial del contrato.</w:t>
      </w:r>
    </w:p>
    <w:p w14:paraId="06C3D807" w14:textId="77777777" w:rsidR="00FD6FAB" w:rsidRDefault="00FD6FAB" w:rsidP="00AE5720">
      <w:pPr>
        <w:rPr>
          <w:sz w:val="22"/>
          <w:szCs w:val="22"/>
        </w:rPr>
      </w:pPr>
    </w:p>
    <w:p w14:paraId="07BD6A02" w14:textId="4E7AE199" w:rsidR="00FD6FAB" w:rsidRDefault="00FD6FAB" w:rsidP="00AE5720">
      <w:pPr>
        <w:rPr>
          <w:sz w:val="22"/>
          <w:szCs w:val="22"/>
        </w:rPr>
      </w:pPr>
      <w:r>
        <w:rPr>
          <w:sz w:val="22"/>
          <w:szCs w:val="22"/>
        </w:rPr>
        <w:t>Se entiende que los reconocimientos económicos al comprador se realizan con base en lo establecido respecto de las compensaciones por incumplimiento de un contrato de suministro.</w:t>
      </w:r>
    </w:p>
    <w:p w14:paraId="2F1EFB9F" w14:textId="77777777" w:rsidR="004F21EE" w:rsidRDefault="004F21EE" w:rsidP="00AE5720">
      <w:pPr>
        <w:rPr>
          <w:sz w:val="22"/>
          <w:szCs w:val="22"/>
        </w:rPr>
      </w:pPr>
    </w:p>
    <w:p w14:paraId="07FE48B7" w14:textId="77777777" w:rsidR="004F21EE" w:rsidRDefault="004F21EE" w:rsidP="00AE5720">
      <w:pPr>
        <w:rPr>
          <w:sz w:val="22"/>
          <w:szCs w:val="22"/>
        </w:rPr>
      </w:pPr>
    </w:p>
    <w:p w14:paraId="0475291C" w14:textId="77777777" w:rsidR="00AE5720" w:rsidRDefault="00AE5720" w:rsidP="00E05466">
      <w:pPr>
        <w:pStyle w:val="Ttulo4"/>
      </w:pPr>
      <w:bookmarkStart w:id="908" w:name="_Ref133247282"/>
      <w:r w:rsidRPr="00AE5720">
        <w:t>GASES DE LA GUAJIRA</w:t>
      </w:r>
      <w:bookmarkEnd w:id="908"/>
      <w:r w:rsidRPr="00AE5720">
        <w:tab/>
      </w:r>
    </w:p>
    <w:p w14:paraId="44B252D3" w14:textId="6FF32A1D" w:rsidR="00AE5720" w:rsidRPr="002C657E" w:rsidRDefault="00635659" w:rsidP="00AE5720">
      <w:pPr>
        <w:rPr>
          <w:i/>
          <w:iCs/>
          <w:sz w:val="22"/>
          <w:szCs w:val="22"/>
        </w:rPr>
      </w:pPr>
      <w:r>
        <w:rPr>
          <w:i/>
          <w:iCs/>
          <w:sz w:val="22"/>
          <w:szCs w:val="22"/>
        </w:rPr>
        <w:t>“</w:t>
      </w:r>
      <w:r w:rsidR="00AE5720" w:rsidRPr="002C657E">
        <w:rPr>
          <w:i/>
          <w:iCs/>
          <w:sz w:val="22"/>
          <w:szCs w:val="22"/>
        </w:rPr>
        <w:t xml:space="preserve">Consideramos que las partes deben tener libertad para definir el precio del contrato, en los cosos donde el inicio de la ejecución sea en un año posterior a la fecha del registro del contrato. Por lo cual, proponemos que la indexación aplique, en los términos establecidos por las partes. </w:t>
      </w:r>
      <w:r>
        <w:rPr>
          <w:i/>
          <w:iCs/>
          <w:sz w:val="22"/>
          <w:szCs w:val="22"/>
        </w:rPr>
        <w:t>“</w:t>
      </w:r>
    </w:p>
    <w:p w14:paraId="161DCAEA" w14:textId="77777777" w:rsidR="002C657E" w:rsidRDefault="002C657E" w:rsidP="00AE5720">
      <w:pPr>
        <w:rPr>
          <w:sz w:val="22"/>
          <w:szCs w:val="22"/>
        </w:rPr>
      </w:pPr>
    </w:p>
    <w:p w14:paraId="23C99836" w14:textId="5596822C" w:rsidR="002C657E" w:rsidRPr="002C657E" w:rsidRDefault="002C657E" w:rsidP="00AE5720">
      <w:pPr>
        <w:rPr>
          <w:b/>
          <w:bCs/>
          <w:sz w:val="22"/>
          <w:szCs w:val="22"/>
        </w:rPr>
      </w:pPr>
      <w:r w:rsidRPr="002C657E">
        <w:rPr>
          <w:b/>
          <w:bCs/>
          <w:sz w:val="22"/>
          <w:szCs w:val="22"/>
        </w:rPr>
        <w:t>Respuesta:</w:t>
      </w:r>
    </w:p>
    <w:p w14:paraId="271F41AD" w14:textId="77777777" w:rsidR="002C657E" w:rsidRDefault="002C657E" w:rsidP="00AE5720">
      <w:pPr>
        <w:rPr>
          <w:sz w:val="22"/>
          <w:szCs w:val="22"/>
        </w:rPr>
      </w:pPr>
    </w:p>
    <w:p w14:paraId="7DCD064B" w14:textId="5EA3A081" w:rsidR="002C657E" w:rsidRDefault="002C657E" w:rsidP="00AE5720">
      <w:pPr>
        <w:rPr>
          <w:sz w:val="22"/>
          <w:szCs w:val="22"/>
        </w:rPr>
      </w:pPr>
      <w:r>
        <w:rPr>
          <w:sz w:val="22"/>
          <w:szCs w:val="22"/>
        </w:rPr>
        <w:t xml:space="preserve">En la nueva propuesta </w:t>
      </w:r>
      <w:r w:rsidR="00635659">
        <w:rPr>
          <w:sz w:val="22"/>
          <w:szCs w:val="22"/>
        </w:rPr>
        <w:t>s</w:t>
      </w:r>
      <w:r>
        <w:rPr>
          <w:sz w:val="22"/>
          <w:szCs w:val="22"/>
        </w:rPr>
        <w:t>e incluyeron ajustes que brindan mayor flexibilidad en cuanto a los precios y ecuaciones inicialmente acordadas y la posibilidad de modificarlas, siempre y cuando su</w:t>
      </w:r>
      <w:r w:rsidRPr="002C657E">
        <w:rPr>
          <w:sz w:val="22"/>
          <w:szCs w:val="22"/>
        </w:rPr>
        <w:t xml:space="preserve"> modificación no tenga la capacidad, el propósito o el efecto de ir en detrimento de los derechos e intereses de los usuarios, así como alterar los propósitos y principios establecidos en </w:t>
      </w:r>
      <w:r>
        <w:rPr>
          <w:sz w:val="22"/>
          <w:szCs w:val="22"/>
        </w:rPr>
        <w:t>l</w:t>
      </w:r>
      <w:r w:rsidRPr="002C657E">
        <w:rPr>
          <w:sz w:val="22"/>
          <w:szCs w:val="22"/>
        </w:rPr>
        <w:t>a resolución</w:t>
      </w:r>
      <w:r>
        <w:rPr>
          <w:sz w:val="22"/>
          <w:szCs w:val="22"/>
        </w:rPr>
        <w:t>.</w:t>
      </w:r>
    </w:p>
    <w:p w14:paraId="3E0EE037" w14:textId="77777777" w:rsidR="002D4928" w:rsidRDefault="002D4928" w:rsidP="00AE5720">
      <w:pPr>
        <w:rPr>
          <w:sz w:val="22"/>
          <w:szCs w:val="22"/>
        </w:rPr>
      </w:pPr>
    </w:p>
    <w:p w14:paraId="68C07FC9" w14:textId="1CF890A8" w:rsidR="002D4928" w:rsidRPr="00AE5720" w:rsidRDefault="002D4928" w:rsidP="00AE5720">
      <w:pPr>
        <w:rPr>
          <w:sz w:val="22"/>
          <w:szCs w:val="22"/>
        </w:rPr>
      </w:pPr>
      <w:r>
        <w:rPr>
          <w:sz w:val="22"/>
          <w:szCs w:val="22"/>
        </w:rPr>
        <w:t xml:space="preserve">Ver numeral </w:t>
      </w:r>
      <w:r>
        <w:rPr>
          <w:sz w:val="22"/>
          <w:szCs w:val="22"/>
        </w:rPr>
        <w:fldChar w:fldCharType="begin"/>
      </w:r>
      <w:r>
        <w:rPr>
          <w:sz w:val="22"/>
          <w:szCs w:val="22"/>
        </w:rPr>
        <w:instrText xml:space="preserve"> REF _Ref130805559 \r \h </w:instrText>
      </w:r>
      <w:r>
        <w:rPr>
          <w:sz w:val="22"/>
          <w:szCs w:val="22"/>
        </w:rPr>
      </w:r>
      <w:r>
        <w:rPr>
          <w:sz w:val="22"/>
          <w:szCs w:val="22"/>
        </w:rPr>
        <w:fldChar w:fldCharType="separate"/>
      </w:r>
      <w:r>
        <w:rPr>
          <w:sz w:val="22"/>
          <w:szCs w:val="22"/>
        </w:rPr>
        <w:t>4.19</w:t>
      </w:r>
      <w:r>
        <w:rPr>
          <w:sz w:val="22"/>
          <w:szCs w:val="22"/>
        </w:rPr>
        <w:fldChar w:fldCharType="end"/>
      </w:r>
      <w:r>
        <w:rPr>
          <w:sz w:val="22"/>
          <w:szCs w:val="22"/>
        </w:rPr>
        <w:t>.</w:t>
      </w:r>
    </w:p>
    <w:p w14:paraId="05E2B280" w14:textId="77777777" w:rsidR="00AE5720" w:rsidRDefault="00AE5720" w:rsidP="00AE5720">
      <w:pPr>
        <w:rPr>
          <w:sz w:val="22"/>
          <w:szCs w:val="22"/>
        </w:rPr>
      </w:pPr>
    </w:p>
    <w:p w14:paraId="7D88F0FC" w14:textId="77777777" w:rsidR="00AE5720" w:rsidRDefault="00AE5720" w:rsidP="00AE5720">
      <w:pPr>
        <w:rPr>
          <w:sz w:val="22"/>
          <w:szCs w:val="22"/>
        </w:rPr>
      </w:pPr>
    </w:p>
    <w:p w14:paraId="40F5CAD7" w14:textId="77777777" w:rsidR="00AE5720" w:rsidRDefault="00AE5720" w:rsidP="00E05466">
      <w:pPr>
        <w:pStyle w:val="Ttulo2"/>
      </w:pPr>
      <w:bookmarkStart w:id="909" w:name="_Toc140506484"/>
      <w:r w:rsidRPr="00AE5720">
        <w:t>GASES DEL CARIBE</w:t>
      </w:r>
      <w:bookmarkEnd w:id="909"/>
      <w:r w:rsidRPr="00AE5720">
        <w:tab/>
      </w:r>
    </w:p>
    <w:p w14:paraId="7350E4EA" w14:textId="77777777" w:rsidR="00E05466" w:rsidRDefault="00E05466" w:rsidP="00E05466">
      <w:pPr>
        <w:pStyle w:val="Ttulo4"/>
      </w:pPr>
      <w:r w:rsidRPr="00AE5720">
        <w:t>GASES DEL CARIBE</w:t>
      </w:r>
      <w:r w:rsidRPr="00AE5720">
        <w:tab/>
      </w:r>
    </w:p>
    <w:p w14:paraId="08203C93" w14:textId="0991FF24" w:rsidR="00AE5720" w:rsidRPr="00FD6FAB" w:rsidRDefault="00AE5720" w:rsidP="00AE5720">
      <w:pPr>
        <w:rPr>
          <w:i/>
          <w:iCs/>
          <w:sz w:val="22"/>
          <w:szCs w:val="22"/>
        </w:rPr>
      </w:pPr>
      <w:r w:rsidRPr="00FD6FAB">
        <w:rPr>
          <w:i/>
          <w:iCs/>
          <w:sz w:val="22"/>
          <w:szCs w:val="22"/>
        </w:rPr>
        <w:t>"La redacción no es clara y en ese sentido se pregunta:</w:t>
      </w:r>
    </w:p>
    <w:p w14:paraId="57C097A9" w14:textId="77777777" w:rsidR="00AE5720" w:rsidRPr="00FD6FAB" w:rsidRDefault="00AE5720" w:rsidP="00AE5720">
      <w:pPr>
        <w:rPr>
          <w:i/>
          <w:iCs/>
          <w:sz w:val="22"/>
          <w:szCs w:val="22"/>
        </w:rPr>
      </w:pPr>
    </w:p>
    <w:p w14:paraId="12871A72" w14:textId="77777777" w:rsidR="00AE5720" w:rsidRPr="00FD6FAB" w:rsidRDefault="00AE5720" w:rsidP="00AE5720">
      <w:pPr>
        <w:rPr>
          <w:i/>
          <w:iCs/>
          <w:sz w:val="22"/>
          <w:szCs w:val="22"/>
        </w:rPr>
      </w:pPr>
      <w:r w:rsidRPr="00FD6FAB">
        <w:rPr>
          <w:i/>
          <w:iCs/>
          <w:sz w:val="22"/>
          <w:szCs w:val="22"/>
        </w:rPr>
        <w:t xml:space="preserve">¿Si un contrato involucra más de un trimestre, puede tener un precio por trimestre? </w:t>
      </w:r>
      <w:proofErr w:type="gramStart"/>
      <w:r w:rsidRPr="00FD6FAB">
        <w:rPr>
          <w:i/>
          <w:iCs/>
          <w:sz w:val="22"/>
          <w:szCs w:val="22"/>
        </w:rPr>
        <w:t>O deben ser contratos separados?</w:t>
      </w:r>
      <w:proofErr w:type="gramEnd"/>
    </w:p>
    <w:p w14:paraId="640E380A" w14:textId="77777777" w:rsidR="00AE5720" w:rsidRPr="00FD6FAB" w:rsidRDefault="00AE5720" w:rsidP="00AE5720">
      <w:pPr>
        <w:rPr>
          <w:i/>
          <w:iCs/>
          <w:sz w:val="22"/>
          <w:szCs w:val="22"/>
        </w:rPr>
      </w:pPr>
    </w:p>
    <w:p w14:paraId="1088D36B" w14:textId="77777777" w:rsidR="00AE5720" w:rsidRDefault="00AE5720" w:rsidP="00AE5720">
      <w:pPr>
        <w:rPr>
          <w:sz w:val="22"/>
          <w:szCs w:val="22"/>
        </w:rPr>
      </w:pPr>
      <w:r w:rsidRPr="00FD6FAB">
        <w:rPr>
          <w:i/>
          <w:iCs/>
          <w:sz w:val="22"/>
          <w:szCs w:val="22"/>
        </w:rPr>
        <w:t xml:space="preserve">¿Los contratos asignados dentro del mecanismo deficitario, son independientes o están incluidos dentro de los que negocie el agente en trimestres </w:t>
      </w:r>
      <w:proofErr w:type="spellStart"/>
      <w:r w:rsidRPr="00FD6FAB">
        <w:rPr>
          <w:i/>
          <w:iCs/>
          <w:sz w:val="22"/>
          <w:szCs w:val="22"/>
        </w:rPr>
        <w:t>excendentarios</w:t>
      </w:r>
      <w:proofErr w:type="spellEnd"/>
      <w:r w:rsidRPr="00FD6FAB">
        <w:rPr>
          <w:i/>
          <w:iCs/>
          <w:sz w:val="22"/>
          <w:szCs w:val="22"/>
        </w:rPr>
        <w:t xml:space="preserve">? </w:t>
      </w:r>
      <w:r w:rsidRPr="00AE5720">
        <w:rPr>
          <w:sz w:val="22"/>
          <w:szCs w:val="22"/>
        </w:rPr>
        <w:t>"</w:t>
      </w:r>
    </w:p>
    <w:p w14:paraId="7BCAFA13" w14:textId="77777777" w:rsidR="00FD6FAB" w:rsidRDefault="00FD6FAB" w:rsidP="00AE5720">
      <w:pPr>
        <w:rPr>
          <w:sz w:val="22"/>
          <w:szCs w:val="22"/>
        </w:rPr>
      </w:pPr>
    </w:p>
    <w:p w14:paraId="5E9CA9AC" w14:textId="1A8E398D" w:rsidR="00FD6FAB" w:rsidRPr="00FD6FAB" w:rsidRDefault="00FD6FAB" w:rsidP="00AE5720">
      <w:pPr>
        <w:rPr>
          <w:b/>
          <w:bCs/>
          <w:sz w:val="22"/>
          <w:szCs w:val="22"/>
        </w:rPr>
      </w:pPr>
      <w:r w:rsidRPr="00FD6FAB">
        <w:rPr>
          <w:b/>
          <w:bCs/>
          <w:sz w:val="22"/>
          <w:szCs w:val="22"/>
        </w:rPr>
        <w:t>Respuesta:</w:t>
      </w:r>
    </w:p>
    <w:p w14:paraId="60527F8A" w14:textId="77777777" w:rsidR="00FD6FAB" w:rsidRDefault="00FD6FAB" w:rsidP="00AE5720">
      <w:pPr>
        <w:rPr>
          <w:sz w:val="22"/>
          <w:szCs w:val="22"/>
        </w:rPr>
      </w:pPr>
    </w:p>
    <w:p w14:paraId="39C4E633" w14:textId="6639D760" w:rsidR="00FD6FAB" w:rsidRDefault="00FD6FAB" w:rsidP="00AE5720">
      <w:pPr>
        <w:rPr>
          <w:sz w:val="22"/>
          <w:szCs w:val="22"/>
        </w:rPr>
      </w:pPr>
      <w:r>
        <w:rPr>
          <w:sz w:val="22"/>
          <w:szCs w:val="22"/>
        </w:rPr>
        <w:t xml:space="preserve">Ver respuesta a </w:t>
      </w:r>
      <w:r>
        <w:rPr>
          <w:sz w:val="22"/>
          <w:szCs w:val="22"/>
        </w:rPr>
        <w:fldChar w:fldCharType="begin"/>
      </w:r>
      <w:r>
        <w:rPr>
          <w:sz w:val="22"/>
          <w:szCs w:val="22"/>
        </w:rPr>
        <w:instrText xml:space="preserve"> REF _Ref133247161 \r \h </w:instrText>
      </w:r>
      <w:r>
        <w:rPr>
          <w:sz w:val="22"/>
          <w:szCs w:val="22"/>
        </w:rPr>
      </w:r>
      <w:r>
        <w:rPr>
          <w:sz w:val="22"/>
          <w:szCs w:val="22"/>
        </w:rPr>
        <w:fldChar w:fldCharType="separate"/>
      </w:r>
      <w:r>
        <w:rPr>
          <w:sz w:val="22"/>
          <w:szCs w:val="22"/>
        </w:rPr>
        <w:t>22.4.1.1</w:t>
      </w:r>
      <w:r>
        <w:rPr>
          <w:sz w:val="22"/>
          <w:szCs w:val="22"/>
        </w:rPr>
        <w:fldChar w:fldCharType="end"/>
      </w:r>
      <w:r>
        <w:rPr>
          <w:sz w:val="22"/>
          <w:szCs w:val="22"/>
        </w:rPr>
        <w:t>.</w:t>
      </w:r>
    </w:p>
    <w:p w14:paraId="62A0708B" w14:textId="77777777" w:rsidR="00FD6FAB" w:rsidRPr="00AE5720" w:rsidRDefault="00FD6FAB" w:rsidP="00AE5720">
      <w:pPr>
        <w:rPr>
          <w:sz w:val="22"/>
          <w:szCs w:val="22"/>
        </w:rPr>
      </w:pPr>
    </w:p>
    <w:p w14:paraId="574B070F" w14:textId="77777777" w:rsidR="00AE5720" w:rsidRDefault="00AE5720" w:rsidP="00AE5720">
      <w:pPr>
        <w:rPr>
          <w:sz w:val="22"/>
          <w:szCs w:val="22"/>
        </w:rPr>
      </w:pPr>
    </w:p>
    <w:p w14:paraId="58542EE7" w14:textId="77777777" w:rsidR="00AE5720" w:rsidRDefault="00AE5720" w:rsidP="00E05466">
      <w:pPr>
        <w:pStyle w:val="Ttulo4"/>
      </w:pPr>
      <w:r w:rsidRPr="00AE5720">
        <w:t>GASES DEL CARIBE</w:t>
      </w:r>
      <w:r w:rsidRPr="00AE5720">
        <w:tab/>
      </w:r>
    </w:p>
    <w:p w14:paraId="6C23660B" w14:textId="5CF58098" w:rsidR="00AE5720" w:rsidRPr="00FD6FAB" w:rsidRDefault="00635659" w:rsidP="00AE5720">
      <w:pPr>
        <w:rPr>
          <w:i/>
          <w:iCs/>
          <w:sz w:val="22"/>
          <w:szCs w:val="22"/>
        </w:rPr>
      </w:pPr>
      <w:r>
        <w:rPr>
          <w:i/>
          <w:iCs/>
          <w:sz w:val="22"/>
          <w:szCs w:val="22"/>
        </w:rPr>
        <w:t>“</w:t>
      </w:r>
      <w:r w:rsidR="00AE5720" w:rsidRPr="00FD6FAB">
        <w:rPr>
          <w:i/>
          <w:iCs/>
          <w:sz w:val="22"/>
          <w:szCs w:val="22"/>
        </w:rPr>
        <w:t xml:space="preserve">Favor </w:t>
      </w:r>
      <w:proofErr w:type="gramStart"/>
      <w:r w:rsidR="00AE5720" w:rsidRPr="00FD6FAB">
        <w:rPr>
          <w:i/>
          <w:iCs/>
          <w:sz w:val="22"/>
          <w:szCs w:val="22"/>
        </w:rPr>
        <w:t>aclarar</w:t>
      </w:r>
      <w:proofErr w:type="gramEnd"/>
      <w:r w:rsidR="00AE5720" w:rsidRPr="00FD6FAB">
        <w:rPr>
          <w:i/>
          <w:iCs/>
          <w:sz w:val="22"/>
          <w:szCs w:val="22"/>
        </w:rPr>
        <w:t xml:space="preserve"> que esto no incluye los reconocimientos económicos que haga el Productor por fallas en el suministro.</w:t>
      </w:r>
      <w:r>
        <w:rPr>
          <w:i/>
          <w:iCs/>
          <w:sz w:val="22"/>
          <w:szCs w:val="22"/>
        </w:rPr>
        <w:t>”</w:t>
      </w:r>
    </w:p>
    <w:p w14:paraId="6A4D49D7" w14:textId="77777777" w:rsidR="00FD6FAB" w:rsidRDefault="00FD6FAB" w:rsidP="00AE5720">
      <w:pPr>
        <w:rPr>
          <w:sz w:val="22"/>
          <w:szCs w:val="22"/>
        </w:rPr>
      </w:pPr>
    </w:p>
    <w:p w14:paraId="2C4F9E0C" w14:textId="67922931" w:rsidR="00FD6FAB" w:rsidRPr="00FD6FAB" w:rsidRDefault="00FD6FAB" w:rsidP="00AE5720">
      <w:pPr>
        <w:rPr>
          <w:b/>
          <w:bCs/>
          <w:sz w:val="22"/>
          <w:szCs w:val="22"/>
        </w:rPr>
      </w:pPr>
      <w:r w:rsidRPr="00FD6FAB">
        <w:rPr>
          <w:b/>
          <w:bCs/>
          <w:sz w:val="22"/>
          <w:szCs w:val="22"/>
        </w:rPr>
        <w:t>Respuesta:</w:t>
      </w:r>
    </w:p>
    <w:p w14:paraId="451E33D8" w14:textId="77777777" w:rsidR="00FD6FAB" w:rsidRDefault="00FD6FAB" w:rsidP="00AE5720">
      <w:pPr>
        <w:rPr>
          <w:sz w:val="22"/>
          <w:szCs w:val="22"/>
        </w:rPr>
      </w:pPr>
    </w:p>
    <w:p w14:paraId="4D589533" w14:textId="468419F7" w:rsidR="00FD6FAB" w:rsidRPr="00AE5720" w:rsidRDefault="00FD6FAB" w:rsidP="00AE5720">
      <w:pPr>
        <w:rPr>
          <w:sz w:val="22"/>
          <w:szCs w:val="22"/>
        </w:rPr>
      </w:pPr>
      <w:r>
        <w:rPr>
          <w:sz w:val="22"/>
          <w:szCs w:val="22"/>
        </w:rPr>
        <w:t xml:space="preserve">Ver respuesta a </w:t>
      </w:r>
      <w:r>
        <w:rPr>
          <w:sz w:val="22"/>
          <w:szCs w:val="22"/>
        </w:rPr>
        <w:fldChar w:fldCharType="begin"/>
      </w:r>
      <w:r>
        <w:rPr>
          <w:sz w:val="22"/>
          <w:szCs w:val="22"/>
        </w:rPr>
        <w:instrText xml:space="preserve"> REF _Ref133247238 \r \h </w:instrText>
      </w:r>
      <w:r>
        <w:rPr>
          <w:sz w:val="22"/>
          <w:szCs w:val="22"/>
        </w:rPr>
      </w:r>
      <w:r>
        <w:rPr>
          <w:sz w:val="22"/>
          <w:szCs w:val="22"/>
        </w:rPr>
        <w:fldChar w:fldCharType="separate"/>
      </w:r>
      <w:r>
        <w:rPr>
          <w:sz w:val="22"/>
          <w:szCs w:val="22"/>
        </w:rPr>
        <w:t>22.4.1.2</w:t>
      </w:r>
      <w:r>
        <w:rPr>
          <w:sz w:val="22"/>
          <w:szCs w:val="22"/>
        </w:rPr>
        <w:fldChar w:fldCharType="end"/>
      </w:r>
      <w:r>
        <w:rPr>
          <w:sz w:val="22"/>
          <w:szCs w:val="22"/>
        </w:rPr>
        <w:t>.</w:t>
      </w:r>
    </w:p>
    <w:p w14:paraId="5987B87E" w14:textId="77777777" w:rsidR="00AE5720" w:rsidRDefault="00AE5720" w:rsidP="00AE5720">
      <w:pPr>
        <w:rPr>
          <w:sz w:val="22"/>
          <w:szCs w:val="22"/>
        </w:rPr>
      </w:pPr>
    </w:p>
    <w:p w14:paraId="57909459" w14:textId="77777777" w:rsidR="00FD6FAB" w:rsidRDefault="00FD6FAB" w:rsidP="00AE5720">
      <w:pPr>
        <w:rPr>
          <w:sz w:val="22"/>
          <w:szCs w:val="22"/>
        </w:rPr>
      </w:pPr>
    </w:p>
    <w:p w14:paraId="7286F7B0" w14:textId="77777777" w:rsidR="00AE5720" w:rsidRDefault="00AE5720" w:rsidP="00E05466">
      <w:pPr>
        <w:pStyle w:val="Ttulo4"/>
      </w:pPr>
      <w:r w:rsidRPr="00AE5720">
        <w:t>GASES DEL CARIBE</w:t>
      </w:r>
      <w:r w:rsidRPr="00AE5720">
        <w:tab/>
      </w:r>
    </w:p>
    <w:p w14:paraId="250E9A5A" w14:textId="46BD9842" w:rsidR="00AE5720" w:rsidRPr="00FD6FAB" w:rsidRDefault="00AE5720" w:rsidP="00AE5720">
      <w:pPr>
        <w:rPr>
          <w:i/>
          <w:iCs/>
          <w:sz w:val="22"/>
          <w:szCs w:val="22"/>
        </w:rPr>
      </w:pPr>
      <w:r w:rsidRPr="00FD6FAB">
        <w:rPr>
          <w:i/>
          <w:iCs/>
          <w:sz w:val="22"/>
          <w:szCs w:val="22"/>
        </w:rPr>
        <w:t xml:space="preserve">Consideramos que las partes deben tener libertad para definir el precio del contrato, en los cosos donde el inicio de la ejecución sea en un año posterior a la fecha del registro del contrato. Por lo cual, proponemos que la indexación aplique, en los términos establecidos por las partes. </w:t>
      </w:r>
    </w:p>
    <w:p w14:paraId="6C6EB167" w14:textId="77777777" w:rsidR="00FD6FAB" w:rsidRDefault="00FD6FAB" w:rsidP="00AE5720">
      <w:pPr>
        <w:rPr>
          <w:sz w:val="22"/>
          <w:szCs w:val="22"/>
        </w:rPr>
      </w:pPr>
    </w:p>
    <w:p w14:paraId="12CBE816" w14:textId="4657038D" w:rsidR="00FD6FAB" w:rsidRPr="00FD6FAB" w:rsidRDefault="00FD6FAB" w:rsidP="00AE5720">
      <w:pPr>
        <w:rPr>
          <w:b/>
          <w:bCs/>
          <w:sz w:val="22"/>
          <w:szCs w:val="22"/>
        </w:rPr>
      </w:pPr>
      <w:r w:rsidRPr="00FD6FAB">
        <w:rPr>
          <w:b/>
          <w:bCs/>
          <w:sz w:val="22"/>
          <w:szCs w:val="22"/>
        </w:rPr>
        <w:t>Respuesta:</w:t>
      </w:r>
    </w:p>
    <w:p w14:paraId="348E145E" w14:textId="77777777" w:rsidR="00FD6FAB" w:rsidRDefault="00FD6FAB" w:rsidP="00AE5720">
      <w:pPr>
        <w:rPr>
          <w:sz w:val="22"/>
          <w:szCs w:val="22"/>
        </w:rPr>
      </w:pPr>
    </w:p>
    <w:p w14:paraId="05E45850" w14:textId="5F31A503" w:rsidR="00FD6FAB" w:rsidRPr="00AE5720" w:rsidRDefault="00FD6FAB" w:rsidP="00AE5720">
      <w:pPr>
        <w:rPr>
          <w:sz w:val="22"/>
          <w:szCs w:val="22"/>
        </w:rPr>
      </w:pPr>
      <w:r>
        <w:rPr>
          <w:sz w:val="22"/>
          <w:szCs w:val="22"/>
        </w:rPr>
        <w:t xml:space="preserve">Ver respuesta a </w:t>
      </w:r>
      <w:r>
        <w:rPr>
          <w:sz w:val="22"/>
          <w:szCs w:val="22"/>
        </w:rPr>
        <w:fldChar w:fldCharType="begin"/>
      </w:r>
      <w:r>
        <w:rPr>
          <w:sz w:val="22"/>
          <w:szCs w:val="22"/>
        </w:rPr>
        <w:instrText xml:space="preserve"> REF _Ref133247282 \r \h </w:instrText>
      </w:r>
      <w:r>
        <w:rPr>
          <w:sz w:val="22"/>
          <w:szCs w:val="22"/>
        </w:rPr>
      </w:r>
      <w:r>
        <w:rPr>
          <w:sz w:val="22"/>
          <w:szCs w:val="22"/>
        </w:rPr>
        <w:fldChar w:fldCharType="separate"/>
      </w:r>
      <w:r>
        <w:rPr>
          <w:sz w:val="22"/>
          <w:szCs w:val="22"/>
        </w:rPr>
        <w:t>22.4.1.3</w:t>
      </w:r>
      <w:r>
        <w:rPr>
          <w:sz w:val="22"/>
          <w:szCs w:val="22"/>
        </w:rPr>
        <w:fldChar w:fldCharType="end"/>
      </w:r>
      <w:r>
        <w:rPr>
          <w:sz w:val="22"/>
          <w:szCs w:val="22"/>
        </w:rPr>
        <w:t>.</w:t>
      </w:r>
    </w:p>
    <w:p w14:paraId="26163251" w14:textId="77777777" w:rsidR="00AE5720" w:rsidRDefault="00AE5720" w:rsidP="00AE5720">
      <w:pPr>
        <w:rPr>
          <w:sz w:val="22"/>
          <w:szCs w:val="22"/>
        </w:rPr>
      </w:pPr>
    </w:p>
    <w:p w14:paraId="3C058771" w14:textId="77777777" w:rsidR="00AE5720" w:rsidRDefault="00AE5720" w:rsidP="00AE5720">
      <w:pPr>
        <w:rPr>
          <w:sz w:val="22"/>
          <w:szCs w:val="22"/>
        </w:rPr>
      </w:pPr>
    </w:p>
    <w:p w14:paraId="4FF774E3" w14:textId="77777777" w:rsidR="00AE5720" w:rsidRDefault="00AE5720" w:rsidP="00E05466">
      <w:pPr>
        <w:pStyle w:val="Ttulo2"/>
      </w:pPr>
      <w:bookmarkStart w:id="910" w:name="_Toc140506485"/>
      <w:r w:rsidRPr="00AE5720">
        <w:t>GECELCA</w:t>
      </w:r>
      <w:bookmarkEnd w:id="910"/>
      <w:r w:rsidRPr="00AE5720">
        <w:tab/>
      </w:r>
    </w:p>
    <w:p w14:paraId="2894CB4D" w14:textId="77777777" w:rsidR="00E05466" w:rsidRDefault="00E05466" w:rsidP="00E05466">
      <w:pPr>
        <w:pStyle w:val="Ttulo4"/>
      </w:pPr>
      <w:r w:rsidRPr="00AE5720">
        <w:t>GECELCA</w:t>
      </w:r>
      <w:r w:rsidRPr="00AE5720">
        <w:tab/>
      </w:r>
    </w:p>
    <w:p w14:paraId="3C4426F8" w14:textId="3733483A" w:rsidR="00AE5720" w:rsidRPr="002D4928" w:rsidRDefault="00635659" w:rsidP="00AE5720">
      <w:pPr>
        <w:rPr>
          <w:i/>
          <w:iCs/>
          <w:sz w:val="22"/>
          <w:szCs w:val="22"/>
        </w:rPr>
      </w:pPr>
      <w:r>
        <w:rPr>
          <w:i/>
          <w:iCs/>
          <w:sz w:val="22"/>
          <w:szCs w:val="22"/>
        </w:rPr>
        <w:t>“</w:t>
      </w:r>
      <w:r w:rsidR="00AE5720" w:rsidRPr="002D4928">
        <w:rPr>
          <w:i/>
          <w:iCs/>
          <w:sz w:val="22"/>
          <w:szCs w:val="22"/>
        </w:rPr>
        <w:t>De acuerdo con lo establecido en este numeral, consideramos pertinente que para los casos en los que se pactan contratos mediante una negociación directa se pueda permitir que ante una situación coyuntural se puedan realizar modificaciones por acuerdo entre las partes al precio inicial del contrato o a las ecuaciones aplicables para la actualización del precio.</w:t>
      </w:r>
      <w:r>
        <w:rPr>
          <w:i/>
          <w:iCs/>
          <w:sz w:val="22"/>
          <w:szCs w:val="22"/>
        </w:rPr>
        <w:t>”</w:t>
      </w:r>
      <w:r w:rsidR="00AE5720" w:rsidRPr="002D4928">
        <w:rPr>
          <w:i/>
          <w:iCs/>
          <w:sz w:val="22"/>
          <w:szCs w:val="22"/>
        </w:rPr>
        <w:t xml:space="preserve"> </w:t>
      </w:r>
    </w:p>
    <w:p w14:paraId="38212CDB" w14:textId="77777777" w:rsidR="002D4928" w:rsidRDefault="002D4928" w:rsidP="00AE5720">
      <w:pPr>
        <w:rPr>
          <w:sz w:val="22"/>
          <w:szCs w:val="22"/>
        </w:rPr>
      </w:pPr>
    </w:p>
    <w:p w14:paraId="22BA06F7" w14:textId="74C72BE4" w:rsidR="002D4928" w:rsidRPr="002D4928" w:rsidRDefault="002D4928" w:rsidP="00AE5720">
      <w:pPr>
        <w:rPr>
          <w:b/>
          <w:bCs/>
          <w:sz w:val="22"/>
          <w:szCs w:val="22"/>
        </w:rPr>
      </w:pPr>
      <w:r w:rsidRPr="002D4928">
        <w:rPr>
          <w:b/>
          <w:bCs/>
          <w:sz w:val="22"/>
          <w:szCs w:val="22"/>
        </w:rPr>
        <w:t>Respuesta:</w:t>
      </w:r>
    </w:p>
    <w:p w14:paraId="49202458" w14:textId="77777777" w:rsidR="002D4928" w:rsidRDefault="002D4928" w:rsidP="00AE5720">
      <w:pPr>
        <w:rPr>
          <w:sz w:val="22"/>
          <w:szCs w:val="22"/>
        </w:rPr>
      </w:pPr>
    </w:p>
    <w:p w14:paraId="4E3E9372" w14:textId="77777777" w:rsidR="002D4928" w:rsidRPr="00AE5720" w:rsidRDefault="002D4928" w:rsidP="002D4928">
      <w:pPr>
        <w:rPr>
          <w:sz w:val="22"/>
          <w:szCs w:val="22"/>
        </w:rPr>
      </w:pPr>
      <w:r>
        <w:rPr>
          <w:sz w:val="22"/>
          <w:szCs w:val="22"/>
        </w:rPr>
        <w:t xml:space="preserve">Ver respuesta a </w:t>
      </w:r>
      <w:r>
        <w:rPr>
          <w:sz w:val="22"/>
          <w:szCs w:val="22"/>
        </w:rPr>
        <w:fldChar w:fldCharType="begin"/>
      </w:r>
      <w:r>
        <w:rPr>
          <w:sz w:val="22"/>
          <w:szCs w:val="22"/>
        </w:rPr>
        <w:instrText xml:space="preserve"> REF _Ref133247282 \r \h </w:instrText>
      </w:r>
      <w:r>
        <w:rPr>
          <w:sz w:val="22"/>
          <w:szCs w:val="22"/>
        </w:rPr>
      </w:r>
      <w:r>
        <w:rPr>
          <w:sz w:val="22"/>
          <w:szCs w:val="22"/>
        </w:rPr>
        <w:fldChar w:fldCharType="separate"/>
      </w:r>
      <w:r>
        <w:rPr>
          <w:sz w:val="22"/>
          <w:szCs w:val="22"/>
        </w:rPr>
        <w:t>22.4.1.3</w:t>
      </w:r>
      <w:r>
        <w:rPr>
          <w:sz w:val="22"/>
          <w:szCs w:val="22"/>
        </w:rPr>
        <w:fldChar w:fldCharType="end"/>
      </w:r>
      <w:r>
        <w:rPr>
          <w:sz w:val="22"/>
          <w:szCs w:val="22"/>
        </w:rPr>
        <w:t>.</w:t>
      </w:r>
    </w:p>
    <w:p w14:paraId="7523E5F7" w14:textId="77777777" w:rsidR="00AE5720" w:rsidRDefault="00AE5720" w:rsidP="00AE5720">
      <w:pPr>
        <w:rPr>
          <w:sz w:val="22"/>
          <w:szCs w:val="22"/>
        </w:rPr>
      </w:pPr>
    </w:p>
    <w:p w14:paraId="38CC1783" w14:textId="77777777" w:rsidR="00AE5720" w:rsidRDefault="00AE5720" w:rsidP="00AE5720">
      <w:pPr>
        <w:rPr>
          <w:sz w:val="22"/>
          <w:szCs w:val="22"/>
        </w:rPr>
      </w:pPr>
    </w:p>
    <w:p w14:paraId="34B01F4B" w14:textId="77777777" w:rsidR="00AE5720" w:rsidRDefault="00AE5720" w:rsidP="00E05466">
      <w:pPr>
        <w:pStyle w:val="Ttulo2"/>
      </w:pPr>
      <w:bookmarkStart w:id="911" w:name="_Toc140506486"/>
      <w:r w:rsidRPr="00AE5720">
        <w:t>GIGAS ENERGY</w:t>
      </w:r>
      <w:bookmarkEnd w:id="911"/>
      <w:r w:rsidRPr="00AE5720">
        <w:tab/>
      </w:r>
    </w:p>
    <w:p w14:paraId="6F970DD3" w14:textId="77777777" w:rsidR="00E05466" w:rsidRDefault="00E05466" w:rsidP="00E05466">
      <w:pPr>
        <w:pStyle w:val="Ttulo4"/>
      </w:pPr>
      <w:r w:rsidRPr="00AE5720">
        <w:t>GIGAS ENERGY</w:t>
      </w:r>
      <w:r w:rsidRPr="00AE5720">
        <w:tab/>
      </w:r>
    </w:p>
    <w:p w14:paraId="1D97BB62" w14:textId="6EB1FEDC" w:rsidR="00AE5720" w:rsidRPr="002D4928" w:rsidRDefault="00635659" w:rsidP="00AE5720">
      <w:pPr>
        <w:rPr>
          <w:i/>
          <w:iCs/>
          <w:sz w:val="22"/>
          <w:szCs w:val="22"/>
        </w:rPr>
      </w:pPr>
      <w:r>
        <w:rPr>
          <w:i/>
          <w:iCs/>
          <w:sz w:val="22"/>
          <w:szCs w:val="22"/>
        </w:rPr>
        <w:t>“</w:t>
      </w:r>
      <w:r w:rsidR="00AE5720" w:rsidRPr="002D4928">
        <w:rPr>
          <w:i/>
          <w:iCs/>
          <w:sz w:val="22"/>
          <w:szCs w:val="22"/>
        </w:rPr>
        <w:t>Se sugiere eliminar la limitación impuesta a las Partes para modificar los precios durante el plazo del contrato. Lo anterior en la medida que el regulador desconoce el principio de autonomía de la voluntad que sobrevive con posterioridad a la celebración del contrato.</w:t>
      </w:r>
      <w:r>
        <w:rPr>
          <w:i/>
          <w:iCs/>
          <w:sz w:val="22"/>
          <w:szCs w:val="22"/>
        </w:rPr>
        <w:t>”</w:t>
      </w:r>
    </w:p>
    <w:p w14:paraId="4A7BC74D" w14:textId="77777777" w:rsidR="002D4928" w:rsidRDefault="002D4928" w:rsidP="00AE5720">
      <w:pPr>
        <w:rPr>
          <w:sz w:val="22"/>
          <w:szCs w:val="22"/>
        </w:rPr>
      </w:pPr>
    </w:p>
    <w:p w14:paraId="681C1000" w14:textId="445DF08C" w:rsidR="002D4928" w:rsidRPr="002D4928" w:rsidRDefault="002D4928" w:rsidP="00AE5720">
      <w:pPr>
        <w:rPr>
          <w:b/>
          <w:bCs/>
          <w:sz w:val="22"/>
          <w:szCs w:val="22"/>
        </w:rPr>
      </w:pPr>
      <w:r w:rsidRPr="002D4928">
        <w:rPr>
          <w:b/>
          <w:bCs/>
          <w:sz w:val="22"/>
          <w:szCs w:val="22"/>
        </w:rPr>
        <w:t>Respuesta:</w:t>
      </w:r>
    </w:p>
    <w:p w14:paraId="11FDEE2C" w14:textId="77777777" w:rsidR="002D4928" w:rsidRDefault="002D4928" w:rsidP="00AE5720">
      <w:pPr>
        <w:rPr>
          <w:sz w:val="22"/>
          <w:szCs w:val="22"/>
        </w:rPr>
      </w:pPr>
    </w:p>
    <w:p w14:paraId="045028AF" w14:textId="77777777" w:rsidR="00437C89" w:rsidRPr="00AE5720" w:rsidRDefault="00437C89" w:rsidP="00437C89">
      <w:pPr>
        <w:rPr>
          <w:sz w:val="22"/>
          <w:szCs w:val="22"/>
        </w:rPr>
      </w:pPr>
      <w:r>
        <w:rPr>
          <w:sz w:val="22"/>
          <w:szCs w:val="22"/>
        </w:rPr>
        <w:t xml:space="preserve">Ver respuesta a </w:t>
      </w:r>
      <w:r>
        <w:rPr>
          <w:sz w:val="22"/>
          <w:szCs w:val="22"/>
        </w:rPr>
        <w:fldChar w:fldCharType="begin"/>
      </w:r>
      <w:r>
        <w:rPr>
          <w:sz w:val="22"/>
          <w:szCs w:val="22"/>
        </w:rPr>
        <w:instrText xml:space="preserve"> REF _Ref133247282 \r \h </w:instrText>
      </w:r>
      <w:r>
        <w:rPr>
          <w:sz w:val="22"/>
          <w:szCs w:val="22"/>
        </w:rPr>
      </w:r>
      <w:r>
        <w:rPr>
          <w:sz w:val="22"/>
          <w:szCs w:val="22"/>
        </w:rPr>
        <w:fldChar w:fldCharType="separate"/>
      </w:r>
      <w:r>
        <w:rPr>
          <w:sz w:val="22"/>
          <w:szCs w:val="22"/>
        </w:rPr>
        <w:t>22.4.1.3</w:t>
      </w:r>
      <w:r>
        <w:rPr>
          <w:sz w:val="22"/>
          <w:szCs w:val="22"/>
        </w:rPr>
        <w:fldChar w:fldCharType="end"/>
      </w:r>
      <w:r>
        <w:rPr>
          <w:sz w:val="22"/>
          <w:szCs w:val="22"/>
        </w:rPr>
        <w:t>.</w:t>
      </w:r>
    </w:p>
    <w:p w14:paraId="0877BCEF" w14:textId="77777777" w:rsidR="00AE5720" w:rsidRDefault="00AE5720" w:rsidP="00AE5720">
      <w:pPr>
        <w:rPr>
          <w:sz w:val="22"/>
          <w:szCs w:val="22"/>
        </w:rPr>
      </w:pPr>
    </w:p>
    <w:p w14:paraId="7CBD870F" w14:textId="77777777" w:rsidR="00AE5720" w:rsidRDefault="00AE5720" w:rsidP="00AE5720">
      <w:pPr>
        <w:rPr>
          <w:sz w:val="22"/>
          <w:szCs w:val="22"/>
        </w:rPr>
      </w:pPr>
    </w:p>
    <w:p w14:paraId="482AC9EF" w14:textId="77777777" w:rsidR="00AE5720" w:rsidRDefault="00AE5720" w:rsidP="00E05466">
      <w:pPr>
        <w:pStyle w:val="Ttulo2"/>
      </w:pPr>
      <w:bookmarkStart w:id="912" w:name="_Toc140506487"/>
      <w:r w:rsidRPr="00AE5720">
        <w:t>MC2 S.A. E.S.P.</w:t>
      </w:r>
      <w:bookmarkEnd w:id="912"/>
      <w:r w:rsidRPr="00AE5720">
        <w:tab/>
      </w:r>
    </w:p>
    <w:p w14:paraId="1EAD5CE8" w14:textId="77777777" w:rsidR="00E05466" w:rsidRDefault="00E05466" w:rsidP="00E05466">
      <w:pPr>
        <w:pStyle w:val="Ttulo4"/>
      </w:pPr>
      <w:r w:rsidRPr="00AE5720">
        <w:t>MC2 S.A. E.S.P.</w:t>
      </w:r>
      <w:r w:rsidRPr="00AE5720">
        <w:tab/>
      </w:r>
    </w:p>
    <w:p w14:paraId="60FC566C" w14:textId="3857210B" w:rsidR="00AE5720" w:rsidRPr="00D96AFB" w:rsidRDefault="00DD3043" w:rsidP="00E05466">
      <w:pPr>
        <w:rPr>
          <w:i/>
          <w:iCs/>
          <w:sz w:val="22"/>
          <w:szCs w:val="22"/>
        </w:rPr>
      </w:pPr>
      <w:r>
        <w:rPr>
          <w:i/>
          <w:iCs/>
          <w:sz w:val="22"/>
          <w:szCs w:val="22"/>
        </w:rPr>
        <w:t>“</w:t>
      </w:r>
      <w:r w:rsidR="00AE5720" w:rsidRPr="00D96AFB">
        <w:rPr>
          <w:i/>
          <w:iCs/>
          <w:sz w:val="22"/>
          <w:szCs w:val="22"/>
        </w:rPr>
        <w:t>Hay un error de redacción al hacer referencia al Artículo 188.</w:t>
      </w:r>
      <w:r>
        <w:rPr>
          <w:i/>
          <w:iCs/>
          <w:sz w:val="22"/>
          <w:szCs w:val="22"/>
        </w:rPr>
        <w:t>”</w:t>
      </w:r>
    </w:p>
    <w:p w14:paraId="22E386C1" w14:textId="77777777" w:rsidR="00437C89" w:rsidRPr="00D96AFB" w:rsidRDefault="00437C89" w:rsidP="00E05466">
      <w:pPr>
        <w:rPr>
          <w:sz w:val="22"/>
          <w:szCs w:val="22"/>
        </w:rPr>
      </w:pPr>
    </w:p>
    <w:p w14:paraId="031A613E" w14:textId="598F6B7B" w:rsidR="00437C89" w:rsidRPr="00D96AFB" w:rsidRDefault="00437C89" w:rsidP="00E05466">
      <w:pPr>
        <w:rPr>
          <w:b/>
          <w:bCs/>
          <w:sz w:val="22"/>
          <w:szCs w:val="22"/>
        </w:rPr>
      </w:pPr>
      <w:r w:rsidRPr="00D96AFB">
        <w:rPr>
          <w:b/>
          <w:bCs/>
          <w:sz w:val="22"/>
          <w:szCs w:val="22"/>
        </w:rPr>
        <w:t>Respuesta:</w:t>
      </w:r>
    </w:p>
    <w:p w14:paraId="21F35AEC" w14:textId="77777777" w:rsidR="00437C89" w:rsidRPr="00D96AFB" w:rsidRDefault="00437C89" w:rsidP="00E05466">
      <w:pPr>
        <w:rPr>
          <w:sz w:val="22"/>
          <w:szCs w:val="22"/>
        </w:rPr>
      </w:pPr>
    </w:p>
    <w:p w14:paraId="281CEE95" w14:textId="624CD07A" w:rsidR="00D96AFB" w:rsidRPr="00D96AFB" w:rsidRDefault="00D96AFB" w:rsidP="00D96AFB">
      <w:pPr>
        <w:rPr>
          <w:sz w:val="22"/>
          <w:szCs w:val="22"/>
        </w:rPr>
      </w:pPr>
      <w:r w:rsidRPr="00D96AFB">
        <w:rPr>
          <w:sz w:val="22"/>
          <w:szCs w:val="22"/>
        </w:rPr>
        <w:t xml:space="preserve">Ver respuesta a </w:t>
      </w:r>
      <w:r w:rsidRPr="00D96AFB">
        <w:rPr>
          <w:sz w:val="22"/>
          <w:szCs w:val="22"/>
        </w:rPr>
        <w:fldChar w:fldCharType="begin"/>
      </w:r>
      <w:r w:rsidRPr="00D96AFB">
        <w:rPr>
          <w:sz w:val="22"/>
          <w:szCs w:val="22"/>
        </w:rPr>
        <w:instrText xml:space="preserve"> REF _Ref133304402 \r \h </w:instrText>
      </w:r>
      <w:r>
        <w:rPr>
          <w:sz w:val="22"/>
          <w:szCs w:val="22"/>
        </w:rPr>
        <w:instrText xml:space="preserve"> \* MERGEFORMAT </w:instrText>
      </w:r>
      <w:r w:rsidRPr="00D96AFB">
        <w:rPr>
          <w:sz w:val="22"/>
          <w:szCs w:val="22"/>
        </w:rPr>
      </w:r>
      <w:r w:rsidRPr="00D96AFB">
        <w:rPr>
          <w:sz w:val="22"/>
          <w:szCs w:val="22"/>
        </w:rPr>
        <w:fldChar w:fldCharType="separate"/>
      </w:r>
      <w:r w:rsidRPr="00D96AFB">
        <w:rPr>
          <w:sz w:val="22"/>
          <w:szCs w:val="22"/>
        </w:rPr>
        <w:t>22.1.1.1</w:t>
      </w:r>
      <w:r w:rsidRPr="00D96AFB">
        <w:rPr>
          <w:sz w:val="22"/>
          <w:szCs w:val="22"/>
        </w:rPr>
        <w:fldChar w:fldCharType="end"/>
      </w:r>
      <w:r w:rsidRPr="00D96AFB">
        <w:rPr>
          <w:sz w:val="22"/>
          <w:szCs w:val="22"/>
        </w:rPr>
        <w:t>.</w:t>
      </w:r>
    </w:p>
    <w:p w14:paraId="6C65FA6B" w14:textId="1F44CDF7" w:rsidR="00AE5720" w:rsidRDefault="00AE5720" w:rsidP="00AE5720">
      <w:pPr>
        <w:rPr>
          <w:sz w:val="22"/>
          <w:szCs w:val="22"/>
        </w:rPr>
      </w:pPr>
    </w:p>
    <w:p w14:paraId="2D9E3035" w14:textId="77777777" w:rsidR="00AE5720" w:rsidRDefault="00AE5720" w:rsidP="00AE5720">
      <w:pPr>
        <w:rPr>
          <w:sz w:val="22"/>
          <w:szCs w:val="22"/>
        </w:rPr>
      </w:pPr>
    </w:p>
    <w:p w14:paraId="6D6ADF51" w14:textId="77777777" w:rsidR="00E05466" w:rsidRDefault="00AE5720" w:rsidP="00E05466">
      <w:pPr>
        <w:pStyle w:val="Ttulo4"/>
      </w:pPr>
      <w:r w:rsidRPr="00AE5720">
        <w:t>MC2 S.A. E.S.P.</w:t>
      </w:r>
      <w:r w:rsidRPr="00AE5720">
        <w:tab/>
      </w:r>
    </w:p>
    <w:p w14:paraId="4B8C5370" w14:textId="6F1F66F4" w:rsidR="00AE5720" w:rsidRPr="00437C89" w:rsidRDefault="00DD3043" w:rsidP="00AE5720">
      <w:pPr>
        <w:rPr>
          <w:i/>
          <w:iCs/>
          <w:sz w:val="22"/>
          <w:szCs w:val="22"/>
        </w:rPr>
      </w:pPr>
      <w:r>
        <w:rPr>
          <w:i/>
          <w:iCs/>
          <w:sz w:val="22"/>
          <w:szCs w:val="22"/>
        </w:rPr>
        <w:t>“</w:t>
      </w:r>
      <w:r w:rsidR="00AE5720" w:rsidRPr="00437C89">
        <w:rPr>
          <w:i/>
          <w:iCs/>
          <w:sz w:val="22"/>
          <w:szCs w:val="22"/>
        </w:rPr>
        <w:t>Hay un error de redacción en el numeral 1 al hacer referencia al Artículo 199.</w:t>
      </w:r>
      <w:r>
        <w:rPr>
          <w:i/>
          <w:iCs/>
          <w:sz w:val="22"/>
          <w:szCs w:val="22"/>
        </w:rPr>
        <w:t>”</w:t>
      </w:r>
    </w:p>
    <w:p w14:paraId="037E4F11" w14:textId="77777777" w:rsidR="00437C89" w:rsidRDefault="00437C89" w:rsidP="00AE5720">
      <w:pPr>
        <w:rPr>
          <w:sz w:val="22"/>
          <w:szCs w:val="22"/>
        </w:rPr>
      </w:pPr>
    </w:p>
    <w:p w14:paraId="2723EF91" w14:textId="77777777" w:rsidR="00437C89" w:rsidRPr="00437C89" w:rsidRDefault="00437C89" w:rsidP="00437C89">
      <w:pPr>
        <w:rPr>
          <w:b/>
          <w:bCs/>
        </w:rPr>
      </w:pPr>
      <w:r w:rsidRPr="00437C89">
        <w:rPr>
          <w:b/>
          <w:bCs/>
        </w:rPr>
        <w:t>Respuesta:</w:t>
      </w:r>
    </w:p>
    <w:p w14:paraId="28AA4CD8" w14:textId="77777777" w:rsidR="00437C89" w:rsidRDefault="00437C89" w:rsidP="00437C89"/>
    <w:p w14:paraId="7817C86D" w14:textId="77777777" w:rsidR="00D96AFB" w:rsidRDefault="00D96AFB" w:rsidP="00D96AFB">
      <w:pPr>
        <w:rPr>
          <w:sz w:val="22"/>
          <w:szCs w:val="22"/>
        </w:rPr>
      </w:pPr>
      <w:r>
        <w:rPr>
          <w:sz w:val="22"/>
          <w:szCs w:val="22"/>
        </w:rPr>
        <w:t xml:space="preserve">Ver respuesta a </w:t>
      </w:r>
      <w:r>
        <w:rPr>
          <w:sz w:val="22"/>
          <w:szCs w:val="22"/>
        </w:rPr>
        <w:fldChar w:fldCharType="begin"/>
      </w:r>
      <w:r>
        <w:rPr>
          <w:sz w:val="22"/>
          <w:szCs w:val="22"/>
        </w:rPr>
        <w:instrText xml:space="preserve"> REF _Ref133304402 \r \h </w:instrText>
      </w:r>
      <w:r>
        <w:rPr>
          <w:sz w:val="22"/>
          <w:szCs w:val="22"/>
        </w:rPr>
      </w:r>
      <w:r>
        <w:rPr>
          <w:sz w:val="22"/>
          <w:szCs w:val="22"/>
        </w:rPr>
        <w:fldChar w:fldCharType="separate"/>
      </w:r>
      <w:r>
        <w:rPr>
          <w:sz w:val="22"/>
          <w:szCs w:val="22"/>
        </w:rPr>
        <w:t>22.1.1.1</w:t>
      </w:r>
      <w:r>
        <w:rPr>
          <w:sz w:val="22"/>
          <w:szCs w:val="22"/>
        </w:rPr>
        <w:fldChar w:fldCharType="end"/>
      </w:r>
      <w:r>
        <w:rPr>
          <w:sz w:val="22"/>
          <w:szCs w:val="22"/>
        </w:rPr>
        <w:t>.</w:t>
      </w:r>
    </w:p>
    <w:p w14:paraId="22B6C046" w14:textId="50A46C1D" w:rsidR="00437C89" w:rsidRPr="00AE5720" w:rsidRDefault="00437C89" w:rsidP="00AE5720">
      <w:pPr>
        <w:rPr>
          <w:sz w:val="22"/>
          <w:szCs w:val="22"/>
        </w:rPr>
      </w:pPr>
    </w:p>
    <w:p w14:paraId="712A877C" w14:textId="77777777" w:rsidR="00AE5720" w:rsidRDefault="00AE5720" w:rsidP="00AE5720">
      <w:pPr>
        <w:rPr>
          <w:sz w:val="22"/>
          <w:szCs w:val="22"/>
        </w:rPr>
      </w:pPr>
    </w:p>
    <w:p w14:paraId="05404B86" w14:textId="77777777" w:rsidR="00AE5720" w:rsidRDefault="00AE5720" w:rsidP="00E05466">
      <w:pPr>
        <w:pStyle w:val="Ttulo4"/>
      </w:pPr>
      <w:r w:rsidRPr="00AE5720">
        <w:t>MC2 S.A. E.S.P.</w:t>
      </w:r>
      <w:r w:rsidRPr="00AE5720">
        <w:tab/>
      </w:r>
    </w:p>
    <w:p w14:paraId="6169C03C" w14:textId="1A269D77" w:rsidR="00AE5720" w:rsidRPr="00437C89" w:rsidRDefault="00AE5720" w:rsidP="00AE5720">
      <w:pPr>
        <w:rPr>
          <w:i/>
          <w:iCs/>
          <w:sz w:val="22"/>
          <w:szCs w:val="22"/>
        </w:rPr>
      </w:pPr>
      <w:r w:rsidRPr="00AE5720">
        <w:rPr>
          <w:sz w:val="22"/>
          <w:szCs w:val="22"/>
        </w:rPr>
        <w:t>"</w:t>
      </w:r>
      <w:r w:rsidRPr="00437C89">
        <w:rPr>
          <w:i/>
          <w:iCs/>
          <w:sz w:val="22"/>
          <w:szCs w:val="22"/>
        </w:rPr>
        <w:t xml:space="preserve">El numeral 5 establece que </w:t>
      </w:r>
      <w:r w:rsidR="00DD3043">
        <w:rPr>
          <w:i/>
          <w:iCs/>
          <w:sz w:val="22"/>
          <w:szCs w:val="22"/>
        </w:rPr>
        <w:t>‘</w:t>
      </w:r>
      <w:r w:rsidRPr="00437C89">
        <w:rPr>
          <w:i/>
          <w:iCs/>
          <w:sz w:val="22"/>
          <w:szCs w:val="22"/>
        </w:rPr>
        <w:t>5. Las partes de los contratos no podrán acordar modificaciones al precio inicial del contrato, ni a las ecuaciones aplicables para la actualización de precios establecidas en el Artículo 15 y en el Anexo 3 de la presente Resolución.</w:t>
      </w:r>
      <w:r w:rsidR="00DD3043">
        <w:rPr>
          <w:i/>
          <w:iCs/>
          <w:sz w:val="22"/>
          <w:szCs w:val="22"/>
        </w:rPr>
        <w:t>’</w:t>
      </w:r>
      <w:r w:rsidRPr="00437C89">
        <w:rPr>
          <w:i/>
          <w:iCs/>
          <w:sz w:val="22"/>
          <w:szCs w:val="22"/>
        </w:rPr>
        <w:t xml:space="preserve"> Y el numeral 7 establece que </w:t>
      </w:r>
      <w:r w:rsidR="00DD3043">
        <w:rPr>
          <w:i/>
          <w:iCs/>
          <w:sz w:val="22"/>
          <w:szCs w:val="22"/>
        </w:rPr>
        <w:t>‘</w:t>
      </w:r>
      <w:r w:rsidRPr="00437C89">
        <w:rPr>
          <w:i/>
          <w:iCs/>
          <w:sz w:val="22"/>
          <w:szCs w:val="22"/>
        </w:rPr>
        <w:t>Los descuentos que se realicen se considerarán como una modificación al precio inicial del contrato.</w:t>
      </w:r>
      <w:r w:rsidR="00DD3043">
        <w:rPr>
          <w:i/>
          <w:iCs/>
          <w:sz w:val="22"/>
          <w:szCs w:val="22"/>
        </w:rPr>
        <w:t>’</w:t>
      </w:r>
    </w:p>
    <w:p w14:paraId="3100A1C1" w14:textId="77777777" w:rsidR="00AE5720" w:rsidRPr="00437C89" w:rsidRDefault="00AE5720" w:rsidP="00AE5720">
      <w:pPr>
        <w:rPr>
          <w:i/>
          <w:iCs/>
          <w:sz w:val="22"/>
          <w:szCs w:val="22"/>
        </w:rPr>
      </w:pPr>
    </w:p>
    <w:p w14:paraId="004A286F" w14:textId="77777777" w:rsidR="00AE5720" w:rsidRDefault="00AE5720" w:rsidP="00AE5720">
      <w:pPr>
        <w:rPr>
          <w:sz w:val="22"/>
          <w:szCs w:val="22"/>
        </w:rPr>
      </w:pPr>
      <w:r w:rsidRPr="00437C89">
        <w:rPr>
          <w:i/>
          <w:iCs/>
          <w:sz w:val="22"/>
          <w:szCs w:val="22"/>
        </w:rPr>
        <w:t>No se entiende la razón por la cual se está limitando la voluntad de las partes contratantes, particularmente en aquellos contratos que podrán negociarse de manera directa. El precio del contrato es un elemento que debe poder negociarse, sobre todo, en tratándose de contratos de largo plazo. Existen múltiples circunstancias que pueden llevar a las partes de cualquier contrato modificar su precio (aumentarlo o disminuirlo). Esto va en contravía de la posibilidad de que las partes de un contrato, con el fin de evitar acudir a la autoridad competente, puedan resolver sus diferencias y dificultades cuando, por ejemplo, un contrato se hace muy oneroso por causas imprevistas</w:t>
      </w:r>
      <w:r w:rsidRPr="00AE5720">
        <w:rPr>
          <w:sz w:val="22"/>
          <w:szCs w:val="22"/>
        </w:rPr>
        <w:t>."</w:t>
      </w:r>
    </w:p>
    <w:p w14:paraId="58A5AF84" w14:textId="77777777" w:rsidR="00437C89" w:rsidRDefault="00437C89" w:rsidP="00AE5720">
      <w:pPr>
        <w:rPr>
          <w:sz w:val="22"/>
          <w:szCs w:val="22"/>
        </w:rPr>
      </w:pPr>
    </w:p>
    <w:p w14:paraId="4A0FEE9C" w14:textId="72EABA24" w:rsidR="00437C89" w:rsidRPr="00437C89" w:rsidRDefault="00437C89" w:rsidP="00AE5720">
      <w:pPr>
        <w:rPr>
          <w:b/>
          <w:bCs/>
          <w:sz w:val="22"/>
          <w:szCs w:val="22"/>
        </w:rPr>
      </w:pPr>
      <w:r w:rsidRPr="00437C89">
        <w:rPr>
          <w:b/>
          <w:bCs/>
          <w:sz w:val="22"/>
          <w:szCs w:val="22"/>
        </w:rPr>
        <w:t>Respuesta:</w:t>
      </w:r>
    </w:p>
    <w:p w14:paraId="73D04007" w14:textId="77777777" w:rsidR="00437C89" w:rsidRDefault="00437C89" w:rsidP="00AE5720">
      <w:pPr>
        <w:rPr>
          <w:sz w:val="22"/>
          <w:szCs w:val="22"/>
        </w:rPr>
      </w:pPr>
    </w:p>
    <w:p w14:paraId="6EF4196A" w14:textId="674D40D4" w:rsidR="00437C89" w:rsidRDefault="00437C89" w:rsidP="00AE5720">
      <w:pPr>
        <w:rPr>
          <w:sz w:val="22"/>
          <w:szCs w:val="22"/>
        </w:rPr>
      </w:pPr>
      <w:r>
        <w:rPr>
          <w:sz w:val="22"/>
          <w:szCs w:val="22"/>
        </w:rPr>
        <w:t xml:space="preserve">En la propuesta inicial se mantuvieron las condiciones mencionadas en el comentario. Sin </w:t>
      </w:r>
      <w:proofErr w:type="gramStart"/>
      <w:r>
        <w:rPr>
          <w:sz w:val="22"/>
          <w:szCs w:val="22"/>
        </w:rPr>
        <w:t>embargo</w:t>
      </w:r>
      <w:proofErr w:type="gramEnd"/>
      <w:r>
        <w:rPr>
          <w:sz w:val="22"/>
          <w:szCs w:val="22"/>
        </w:rPr>
        <w:t xml:space="preserve"> en la nueva propuesta se propone mayor flexibilidad en las condiciones de precio inicial y ecuaciones de actualización del precio inicial.</w:t>
      </w:r>
    </w:p>
    <w:p w14:paraId="7D4F547C" w14:textId="77777777" w:rsidR="00437C89" w:rsidRDefault="00437C89" w:rsidP="00AE5720">
      <w:pPr>
        <w:rPr>
          <w:sz w:val="22"/>
          <w:szCs w:val="22"/>
        </w:rPr>
      </w:pPr>
    </w:p>
    <w:p w14:paraId="37C96109" w14:textId="77777777" w:rsidR="00437C89" w:rsidRPr="00AE5720" w:rsidRDefault="00437C89" w:rsidP="00437C89">
      <w:pPr>
        <w:rPr>
          <w:sz w:val="22"/>
          <w:szCs w:val="22"/>
        </w:rPr>
      </w:pPr>
      <w:r>
        <w:rPr>
          <w:sz w:val="22"/>
          <w:szCs w:val="22"/>
        </w:rPr>
        <w:t xml:space="preserve">Ver respuesta a </w:t>
      </w:r>
      <w:r>
        <w:rPr>
          <w:sz w:val="22"/>
          <w:szCs w:val="22"/>
        </w:rPr>
        <w:fldChar w:fldCharType="begin"/>
      </w:r>
      <w:r>
        <w:rPr>
          <w:sz w:val="22"/>
          <w:szCs w:val="22"/>
        </w:rPr>
        <w:instrText xml:space="preserve"> REF _Ref133247282 \r \h </w:instrText>
      </w:r>
      <w:r>
        <w:rPr>
          <w:sz w:val="22"/>
          <w:szCs w:val="22"/>
        </w:rPr>
      </w:r>
      <w:r>
        <w:rPr>
          <w:sz w:val="22"/>
          <w:szCs w:val="22"/>
        </w:rPr>
        <w:fldChar w:fldCharType="separate"/>
      </w:r>
      <w:r>
        <w:rPr>
          <w:sz w:val="22"/>
          <w:szCs w:val="22"/>
        </w:rPr>
        <w:t>22.4.1.3</w:t>
      </w:r>
      <w:r>
        <w:rPr>
          <w:sz w:val="22"/>
          <w:szCs w:val="22"/>
        </w:rPr>
        <w:fldChar w:fldCharType="end"/>
      </w:r>
      <w:r>
        <w:rPr>
          <w:sz w:val="22"/>
          <w:szCs w:val="22"/>
        </w:rPr>
        <w:t>.</w:t>
      </w:r>
    </w:p>
    <w:p w14:paraId="601DB459" w14:textId="77777777" w:rsidR="00AE5720" w:rsidRDefault="00AE5720" w:rsidP="00AE5720">
      <w:pPr>
        <w:rPr>
          <w:sz w:val="22"/>
          <w:szCs w:val="22"/>
        </w:rPr>
      </w:pPr>
    </w:p>
    <w:p w14:paraId="099F3A22" w14:textId="77777777" w:rsidR="00AE5720" w:rsidRDefault="00AE5720" w:rsidP="00AE5720">
      <w:pPr>
        <w:rPr>
          <w:sz w:val="22"/>
          <w:szCs w:val="22"/>
        </w:rPr>
      </w:pPr>
    </w:p>
    <w:p w14:paraId="7548AEF2" w14:textId="77777777" w:rsidR="00AE5720" w:rsidRDefault="00AE5720" w:rsidP="00E05466">
      <w:pPr>
        <w:pStyle w:val="Ttulo2"/>
      </w:pPr>
      <w:bookmarkStart w:id="913" w:name="_Toc140506488"/>
      <w:r w:rsidRPr="00AE5720">
        <w:t>SSPD</w:t>
      </w:r>
      <w:bookmarkEnd w:id="913"/>
      <w:r w:rsidRPr="00AE5720">
        <w:tab/>
      </w:r>
    </w:p>
    <w:p w14:paraId="60097AA9" w14:textId="77777777" w:rsidR="00E05466" w:rsidRDefault="00E05466" w:rsidP="00E05466">
      <w:pPr>
        <w:pStyle w:val="Ttulo4"/>
      </w:pPr>
      <w:r w:rsidRPr="00AE5720">
        <w:t>SSPD</w:t>
      </w:r>
      <w:r w:rsidRPr="00AE5720">
        <w:tab/>
      </w:r>
    </w:p>
    <w:p w14:paraId="37FDCA18" w14:textId="068250AC" w:rsidR="00AE5720" w:rsidRPr="00437C89" w:rsidRDefault="000C40AE" w:rsidP="00AE5720">
      <w:pPr>
        <w:rPr>
          <w:i/>
          <w:iCs/>
          <w:sz w:val="22"/>
          <w:szCs w:val="22"/>
        </w:rPr>
      </w:pPr>
      <w:r>
        <w:rPr>
          <w:i/>
          <w:iCs/>
          <w:sz w:val="22"/>
          <w:szCs w:val="22"/>
        </w:rPr>
        <w:t>“</w:t>
      </w:r>
      <w:r w:rsidR="00AE5720" w:rsidRPr="00437C89">
        <w:rPr>
          <w:i/>
          <w:iCs/>
          <w:sz w:val="22"/>
          <w:szCs w:val="22"/>
        </w:rPr>
        <w:t xml:space="preserve">Se hace referencia erróneamente al Artículo 188 y 199. </w:t>
      </w:r>
      <w:proofErr w:type="gramStart"/>
      <w:r w:rsidR="00AE5720" w:rsidRPr="00437C89">
        <w:rPr>
          <w:i/>
          <w:iCs/>
          <w:sz w:val="22"/>
          <w:szCs w:val="22"/>
        </w:rPr>
        <w:t>De acuerdo al</w:t>
      </w:r>
      <w:proofErr w:type="gramEnd"/>
      <w:r w:rsidR="00AE5720" w:rsidRPr="00437C89">
        <w:rPr>
          <w:i/>
          <w:iCs/>
          <w:sz w:val="22"/>
          <w:szCs w:val="22"/>
        </w:rPr>
        <w:t xml:space="preserve"> entendimiento de la resolución se debe hacer referencia al Artículo 18 (Mecanismos de comercialización) y al Artículo 19 (Negociación directa en cualquier momento del año)</w:t>
      </w:r>
      <w:r w:rsidR="00437C89" w:rsidRPr="00437C89">
        <w:rPr>
          <w:i/>
          <w:iCs/>
          <w:sz w:val="22"/>
          <w:szCs w:val="22"/>
        </w:rPr>
        <w:t>.</w:t>
      </w:r>
      <w:r>
        <w:rPr>
          <w:i/>
          <w:iCs/>
          <w:sz w:val="22"/>
          <w:szCs w:val="22"/>
        </w:rPr>
        <w:t>”</w:t>
      </w:r>
    </w:p>
    <w:p w14:paraId="7A014ABB" w14:textId="77777777" w:rsidR="00437C89" w:rsidRDefault="00437C89" w:rsidP="00AE5720">
      <w:pPr>
        <w:rPr>
          <w:sz w:val="22"/>
          <w:szCs w:val="22"/>
        </w:rPr>
      </w:pPr>
    </w:p>
    <w:p w14:paraId="04C7555D" w14:textId="5433C612" w:rsidR="00437C89" w:rsidRPr="00437C89" w:rsidRDefault="00437C89" w:rsidP="00AE5720">
      <w:pPr>
        <w:rPr>
          <w:b/>
          <w:bCs/>
          <w:sz w:val="22"/>
          <w:szCs w:val="22"/>
        </w:rPr>
      </w:pPr>
      <w:r w:rsidRPr="00437C89">
        <w:rPr>
          <w:b/>
          <w:bCs/>
          <w:sz w:val="22"/>
          <w:szCs w:val="22"/>
        </w:rPr>
        <w:t>Respuesta:</w:t>
      </w:r>
    </w:p>
    <w:p w14:paraId="4F7FFFD9" w14:textId="77777777" w:rsidR="00437C89" w:rsidRDefault="00437C89" w:rsidP="00AE5720">
      <w:pPr>
        <w:rPr>
          <w:sz w:val="22"/>
          <w:szCs w:val="22"/>
        </w:rPr>
      </w:pPr>
    </w:p>
    <w:p w14:paraId="50D0AF80" w14:textId="77777777" w:rsidR="00D96AFB" w:rsidRDefault="00D96AFB" w:rsidP="00D96AFB">
      <w:pPr>
        <w:rPr>
          <w:sz w:val="22"/>
          <w:szCs w:val="22"/>
        </w:rPr>
      </w:pPr>
      <w:r>
        <w:rPr>
          <w:sz w:val="22"/>
          <w:szCs w:val="22"/>
        </w:rPr>
        <w:t xml:space="preserve">Ver respuesta a </w:t>
      </w:r>
      <w:r>
        <w:rPr>
          <w:sz w:val="22"/>
          <w:szCs w:val="22"/>
        </w:rPr>
        <w:fldChar w:fldCharType="begin"/>
      </w:r>
      <w:r>
        <w:rPr>
          <w:sz w:val="22"/>
          <w:szCs w:val="22"/>
        </w:rPr>
        <w:instrText xml:space="preserve"> REF _Ref133304402 \r \h </w:instrText>
      </w:r>
      <w:r>
        <w:rPr>
          <w:sz w:val="22"/>
          <w:szCs w:val="22"/>
        </w:rPr>
      </w:r>
      <w:r>
        <w:rPr>
          <w:sz w:val="22"/>
          <w:szCs w:val="22"/>
        </w:rPr>
        <w:fldChar w:fldCharType="separate"/>
      </w:r>
      <w:r>
        <w:rPr>
          <w:sz w:val="22"/>
          <w:szCs w:val="22"/>
        </w:rPr>
        <w:t>22.1.1.1</w:t>
      </w:r>
      <w:r>
        <w:rPr>
          <w:sz w:val="22"/>
          <w:szCs w:val="22"/>
        </w:rPr>
        <w:fldChar w:fldCharType="end"/>
      </w:r>
      <w:r>
        <w:rPr>
          <w:sz w:val="22"/>
          <w:szCs w:val="22"/>
        </w:rPr>
        <w:t>.</w:t>
      </w:r>
    </w:p>
    <w:p w14:paraId="5D6DA0AA" w14:textId="77777777" w:rsidR="00AE5720" w:rsidRDefault="00AE5720" w:rsidP="00AE5720">
      <w:pPr>
        <w:rPr>
          <w:sz w:val="22"/>
          <w:szCs w:val="22"/>
        </w:rPr>
      </w:pPr>
    </w:p>
    <w:p w14:paraId="4E0D1DDD" w14:textId="77777777" w:rsidR="00D96AFB" w:rsidRDefault="00D96AFB" w:rsidP="00AE5720">
      <w:pPr>
        <w:rPr>
          <w:sz w:val="22"/>
          <w:szCs w:val="22"/>
        </w:rPr>
      </w:pPr>
    </w:p>
    <w:p w14:paraId="5F7820FB" w14:textId="77777777" w:rsidR="00AE5720" w:rsidRDefault="00AE5720" w:rsidP="00E05466">
      <w:pPr>
        <w:pStyle w:val="Ttulo2"/>
      </w:pPr>
      <w:bookmarkStart w:id="914" w:name="_Toc140506489"/>
      <w:r w:rsidRPr="00AE5720">
        <w:t>TEBSA</w:t>
      </w:r>
      <w:bookmarkEnd w:id="914"/>
      <w:r w:rsidRPr="00AE5720">
        <w:tab/>
      </w:r>
    </w:p>
    <w:p w14:paraId="6253ED59" w14:textId="77777777" w:rsidR="00E05466" w:rsidRDefault="00E05466" w:rsidP="00E05466">
      <w:pPr>
        <w:pStyle w:val="Ttulo4"/>
      </w:pPr>
      <w:r w:rsidRPr="00AE5720">
        <w:t>TEBSA</w:t>
      </w:r>
      <w:r w:rsidRPr="00AE5720">
        <w:tab/>
      </w:r>
    </w:p>
    <w:p w14:paraId="1E3ED529" w14:textId="26CCE119" w:rsidR="00AE5720" w:rsidRPr="00437C89" w:rsidRDefault="000C40AE" w:rsidP="00AE5720">
      <w:pPr>
        <w:rPr>
          <w:i/>
          <w:iCs/>
          <w:sz w:val="22"/>
          <w:szCs w:val="22"/>
        </w:rPr>
      </w:pPr>
      <w:r>
        <w:rPr>
          <w:i/>
          <w:iCs/>
          <w:sz w:val="22"/>
          <w:szCs w:val="22"/>
        </w:rPr>
        <w:t>“</w:t>
      </w:r>
      <w:r w:rsidR="00AE5720" w:rsidRPr="00437C89">
        <w:rPr>
          <w:i/>
          <w:iCs/>
          <w:sz w:val="22"/>
          <w:szCs w:val="22"/>
        </w:rPr>
        <w:t>Se entiende que las particularidades indicadas en los numerales 3 al 7 corresponderán a los contratos derivados del artículo 18.</w:t>
      </w:r>
      <w:r>
        <w:rPr>
          <w:i/>
          <w:iCs/>
          <w:sz w:val="22"/>
          <w:szCs w:val="22"/>
        </w:rPr>
        <w:t>”</w:t>
      </w:r>
    </w:p>
    <w:p w14:paraId="67D470A5" w14:textId="77777777" w:rsidR="00437C89" w:rsidRDefault="00437C89" w:rsidP="00AE5720">
      <w:pPr>
        <w:rPr>
          <w:sz w:val="22"/>
          <w:szCs w:val="22"/>
        </w:rPr>
      </w:pPr>
    </w:p>
    <w:p w14:paraId="7CED69F9" w14:textId="1B22E0E4" w:rsidR="00437C89" w:rsidRPr="00437C89" w:rsidRDefault="00437C89" w:rsidP="00AE5720">
      <w:pPr>
        <w:rPr>
          <w:b/>
          <w:bCs/>
          <w:sz w:val="22"/>
          <w:szCs w:val="22"/>
        </w:rPr>
      </w:pPr>
      <w:r w:rsidRPr="00437C89">
        <w:rPr>
          <w:b/>
          <w:bCs/>
          <w:sz w:val="22"/>
          <w:szCs w:val="22"/>
        </w:rPr>
        <w:t>Respuesta:</w:t>
      </w:r>
    </w:p>
    <w:p w14:paraId="2127E1BB" w14:textId="77777777" w:rsidR="00437C89" w:rsidRDefault="00437C89" w:rsidP="00AE5720">
      <w:pPr>
        <w:rPr>
          <w:sz w:val="22"/>
          <w:szCs w:val="22"/>
        </w:rPr>
      </w:pPr>
    </w:p>
    <w:p w14:paraId="5DE41F24" w14:textId="3B522B9B" w:rsidR="00437C89" w:rsidRPr="00AE5720" w:rsidRDefault="00437C89" w:rsidP="00AE5720">
      <w:pPr>
        <w:rPr>
          <w:sz w:val="22"/>
          <w:szCs w:val="22"/>
        </w:rPr>
      </w:pPr>
      <w:r>
        <w:rPr>
          <w:sz w:val="22"/>
          <w:szCs w:val="22"/>
        </w:rPr>
        <w:t>Las condiciones de precio se deben aplicar en cualquier contrato que se suscriba y registre en el Mercado Primario, sin excepción ninguna a cualquier fuente de suministro, nacional o de gas obtenido en el exterior.</w:t>
      </w:r>
    </w:p>
    <w:p w14:paraId="034DECA9" w14:textId="77777777" w:rsidR="00AE5720" w:rsidRDefault="00AE5720" w:rsidP="00AE5720">
      <w:pPr>
        <w:rPr>
          <w:sz w:val="22"/>
          <w:szCs w:val="22"/>
        </w:rPr>
      </w:pPr>
    </w:p>
    <w:p w14:paraId="4D97F5DA" w14:textId="77777777" w:rsidR="00AE5720" w:rsidRDefault="00AE5720" w:rsidP="00AE5720">
      <w:pPr>
        <w:rPr>
          <w:sz w:val="22"/>
          <w:szCs w:val="22"/>
        </w:rPr>
      </w:pPr>
    </w:p>
    <w:p w14:paraId="26433963" w14:textId="77777777" w:rsidR="00AE5720" w:rsidRDefault="00AE5720" w:rsidP="00E05466">
      <w:pPr>
        <w:pStyle w:val="Ttulo2"/>
      </w:pPr>
      <w:bookmarkStart w:id="915" w:name="_Toc140506490"/>
      <w:r w:rsidRPr="00AE5720">
        <w:t>TERPEL</w:t>
      </w:r>
      <w:bookmarkEnd w:id="915"/>
      <w:r w:rsidRPr="00AE5720">
        <w:tab/>
      </w:r>
    </w:p>
    <w:p w14:paraId="72249BD2" w14:textId="77777777" w:rsidR="00E05466" w:rsidRDefault="00E05466" w:rsidP="00E05466">
      <w:pPr>
        <w:pStyle w:val="Ttulo4"/>
      </w:pPr>
      <w:r w:rsidRPr="00AE5720">
        <w:t>TERPEL</w:t>
      </w:r>
      <w:r w:rsidRPr="00AE5720">
        <w:tab/>
      </w:r>
    </w:p>
    <w:p w14:paraId="6B8450F8" w14:textId="77739935" w:rsidR="00AE5720" w:rsidRPr="00D96AFB" w:rsidRDefault="000C40AE" w:rsidP="00AE5720">
      <w:pPr>
        <w:rPr>
          <w:i/>
          <w:iCs/>
          <w:sz w:val="22"/>
          <w:szCs w:val="22"/>
        </w:rPr>
      </w:pPr>
      <w:r>
        <w:rPr>
          <w:i/>
          <w:iCs/>
          <w:sz w:val="22"/>
          <w:szCs w:val="22"/>
        </w:rPr>
        <w:t>“</w:t>
      </w:r>
      <w:r w:rsidR="00AE5720" w:rsidRPr="00D96AFB">
        <w:rPr>
          <w:i/>
          <w:iCs/>
          <w:sz w:val="22"/>
          <w:szCs w:val="22"/>
        </w:rPr>
        <w:t>Condición de precio: Se mencionan los artículos 188 y 199 que no existen en la propuesta de resolución.</w:t>
      </w:r>
      <w:r>
        <w:rPr>
          <w:i/>
          <w:iCs/>
          <w:sz w:val="22"/>
          <w:szCs w:val="22"/>
        </w:rPr>
        <w:t>”</w:t>
      </w:r>
    </w:p>
    <w:p w14:paraId="41C95340" w14:textId="77777777" w:rsidR="00AE5720" w:rsidRDefault="00AE5720" w:rsidP="00AE5720">
      <w:pPr>
        <w:rPr>
          <w:sz w:val="22"/>
          <w:szCs w:val="22"/>
        </w:rPr>
      </w:pPr>
    </w:p>
    <w:p w14:paraId="42285001" w14:textId="632D2A97" w:rsidR="00D96AFB" w:rsidRPr="00D96AFB" w:rsidRDefault="00D96AFB" w:rsidP="00AE5720">
      <w:pPr>
        <w:rPr>
          <w:b/>
          <w:bCs/>
          <w:sz w:val="22"/>
          <w:szCs w:val="22"/>
        </w:rPr>
      </w:pPr>
      <w:r w:rsidRPr="00D96AFB">
        <w:rPr>
          <w:b/>
          <w:bCs/>
          <w:sz w:val="22"/>
          <w:szCs w:val="22"/>
        </w:rPr>
        <w:t>Respuesta:</w:t>
      </w:r>
    </w:p>
    <w:p w14:paraId="4C95512C" w14:textId="77777777" w:rsidR="00D96AFB" w:rsidRDefault="00D96AFB" w:rsidP="00AE5720">
      <w:pPr>
        <w:rPr>
          <w:sz w:val="22"/>
          <w:szCs w:val="22"/>
        </w:rPr>
      </w:pPr>
    </w:p>
    <w:p w14:paraId="5663E271" w14:textId="54B82B18" w:rsidR="00D96AFB" w:rsidRDefault="00D96AFB" w:rsidP="00AE5720">
      <w:pPr>
        <w:rPr>
          <w:sz w:val="22"/>
          <w:szCs w:val="22"/>
        </w:rPr>
      </w:pPr>
      <w:r>
        <w:rPr>
          <w:sz w:val="22"/>
          <w:szCs w:val="22"/>
        </w:rPr>
        <w:t xml:space="preserve">Ver respuesta a </w:t>
      </w:r>
      <w:r>
        <w:rPr>
          <w:sz w:val="22"/>
          <w:szCs w:val="22"/>
        </w:rPr>
        <w:fldChar w:fldCharType="begin"/>
      </w:r>
      <w:r>
        <w:rPr>
          <w:sz w:val="22"/>
          <w:szCs w:val="22"/>
        </w:rPr>
        <w:instrText xml:space="preserve"> REF _Ref133304402 \r \h </w:instrText>
      </w:r>
      <w:r>
        <w:rPr>
          <w:sz w:val="22"/>
          <w:szCs w:val="22"/>
        </w:rPr>
      </w:r>
      <w:r>
        <w:rPr>
          <w:sz w:val="22"/>
          <w:szCs w:val="22"/>
        </w:rPr>
        <w:fldChar w:fldCharType="separate"/>
      </w:r>
      <w:r>
        <w:rPr>
          <w:sz w:val="22"/>
          <w:szCs w:val="22"/>
        </w:rPr>
        <w:t>22.1.1.1</w:t>
      </w:r>
      <w:r>
        <w:rPr>
          <w:sz w:val="22"/>
          <w:szCs w:val="22"/>
        </w:rPr>
        <w:fldChar w:fldCharType="end"/>
      </w:r>
      <w:r>
        <w:rPr>
          <w:sz w:val="22"/>
          <w:szCs w:val="22"/>
        </w:rPr>
        <w:t>.</w:t>
      </w:r>
    </w:p>
    <w:p w14:paraId="23F774B4" w14:textId="77777777" w:rsidR="00D96AFB" w:rsidRDefault="00D96AFB" w:rsidP="00AE5720">
      <w:pPr>
        <w:rPr>
          <w:sz w:val="22"/>
          <w:szCs w:val="22"/>
        </w:rPr>
      </w:pPr>
    </w:p>
    <w:p w14:paraId="40DDB410" w14:textId="77777777" w:rsidR="00D96AFB" w:rsidRDefault="00D96AFB" w:rsidP="00AE5720">
      <w:pPr>
        <w:rPr>
          <w:sz w:val="22"/>
          <w:szCs w:val="22"/>
        </w:rPr>
      </w:pPr>
    </w:p>
    <w:p w14:paraId="7EAF6C81" w14:textId="77777777" w:rsidR="00AE5720" w:rsidRDefault="00AE5720" w:rsidP="00E05466">
      <w:pPr>
        <w:pStyle w:val="Ttulo4"/>
      </w:pPr>
      <w:r w:rsidRPr="00AE5720">
        <w:t>TERPEL</w:t>
      </w:r>
      <w:r w:rsidRPr="00AE5720">
        <w:tab/>
      </w:r>
    </w:p>
    <w:p w14:paraId="4E233A72" w14:textId="0537B090" w:rsidR="00AE5720" w:rsidRPr="00D96AFB" w:rsidRDefault="000C40AE" w:rsidP="00AE5720">
      <w:pPr>
        <w:rPr>
          <w:i/>
          <w:iCs/>
          <w:sz w:val="22"/>
          <w:szCs w:val="22"/>
        </w:rPr>
      </w:pPr>
      <w:r>
        <w:rPr>
          <w:i/>
          <w:iCs/>
          <w:sz w:val="22"/>
          <w:szCs w:val="22"/>
        </w:rPr>
        <w:t>“</w:t>
      </w:r>
      <w:r w:rsidR="00AE5720" w:rsidRPr="00D96AFB">
        <w:rPr>
          <w:i/>
          <w:iCs/>
          <w:sz w:val="22"/>
          <w:szCs w:val="22"/>
        </w:rPr>
        <w:t>Sugerimos revisar la posibilidad de que las partes acuerden libremente la actualización de precios, además de las alternativas propuestas en el Anexo 3.</w:t>
      </w:r>
      <w:r>
        <w:rPr>
          <w:i/>
          <w:iCs/>
          <w:sz w:val="22"/>
          <w:szCs w:val="22"/>
        </w:rPr>
        <w:t>”</w:t>
      </w:r>
    </w:p>
    <w:p w14:paraId="65720F81" w14:textId="77777777" w:rsidR="00D96AFB" w:rsidRDefault="00D96AFB" w:rsidP="00AE5720">
      <w:pPr>
        <w:rPr>
          <w:sz w:val="22"/>
          <w:szCs w:val="22"/>
        </w:rPr>
      </w:pPr>
    </w:p>
    <w:p w14:paraId="053722FA" w14:textId="0FD0ECF8" w:rsidR="00D96AFB" w:rsidRPr="00D96AFB" w:rsidRDefault="00D96AFB" w:rsidP="00AE5720">
      <w:pPr>
        <w:rPr>
          <w:b/>
          <w:bCs/>
          <w:sz w:val="22"/>
          <w:szCs w:val="22"/>
        </w:rPr>
      </w:pPr>
      <w:r w:rsidRPr="00D96AFB">
        <w:rPr>
          <w:b/>
          <w:bCs/>
          <w:sz w:val="22"/>
          <w:szCs w:val="22"/>
        </w:rPr>
        <w:t>Respuesta:</w:t>
      </w:r>
    </w:p>
    <w:p w14:paraId="1F47F3BE" w14:textId="77777777" w:rsidR="00D96AFB" w:rsidRDefault="00D96AFB" w:rsidP="00AE5720">
      <w:pPr>
        <w:rPr>
          <w:sz w:val="22"/>
          <w:szCs w:val="22"/>
        </w:rPr>
      </w:pPr>
    </w:p>
    <w:p w14:paraId="5D31384A" w14:textId="77777777" w:rsidR="00D96AFB" w:rsidRPr="00AE5720" w:rsidRDefault="00D96AFB" w:rsidP="00D96AFB">
      <w:pPr>
        <w:rPr>
          <w:sz w:val="22"/>
          <w:szCs w:val="22"/>
        </w:rPr>
      </w:pPr>
      <w:r>
        <w:rPr>
          <w:sz w:val="22"/>
          <w:szCs w:val="22"/>
        </w:rPr>
        <w:t xml:space="preserve">Ver respuesta a </w:t>
      </w:r>
      <w:r>
        <w:rPr>
          <w:sz w:val="22"/>
          <w:szCs w:val="22"/>
        </w:rPr>
        <w:fldChar w:fldCharType="begin"/>
      </w:r>
      <w:r>
        <w:rPr>
          <w:sz w:val="22"/>
          <w:szCs w:val="22"/>
        </w:rPr>
        <w:instrText xml:space="preserve"> REF _Ref133247282 \r \h </w:instrText>
      </w:r>
      <w:r>
        <w:rPr>
          <w:sz w:val="22"/>
          <w:szCs w:val="22"/>
        </w:rPr>
      </w:r>
      <w:r>
        <w:rPr>
          <w:sz w:val="22"/>
          <w:szCs w:val="22"/>
        </w:rPr>
        <w:fldChar w:fldCharType="separate"/>
      </w:r>
      <w:r>
        <w:rPr>
          <w:sz w:val="22"/>
          <w:szCs w:val="22"/>
        </w:rPr>
        <w:t>22.4.1.3</w:t>
      </w:r>
      <w:r>
        <w:rPr>
          <w:sz w:val="22"/>
          <w:szCs w:val="22"/>
        </w:rPr>
        <w:fldChar w:fldCharType="end"/>
      </w:r>
      <w:r>
        <w:rPr>
          <w:sz w:val="22"/>
          <w:szCs w:val="22"/>
        </w:rPr>
        <w:t>.</w:t>
      </w:r>
    </w:p>
    <w:p w14:paraId="10622899" w14:textId="77777777" w:rsidR="00D96AFB" w:rsidRPr="00AE5720" w:rsidRDefault="00D96AFB" w:rsidP="00AE5720">
      <w:pPr>
        <w:rPr>
          <w:sz w:val="22"/>
          <w:szCs w:val="22"/>
        </w:rPr>
      </w:pPr>
    </w:p>
    <w:p w14:paraId="5173C475" w14:textId="77777777" w:rsidR="00AE5720" w:rsidRDefault="00AE5720" w:rsidP="00AE5720">
      <w:pPr>
        <w:rPr>
          <w:sz w:val="22"/>
          <w:szCs w:val="22"/>
        </w:rPr>
      </w:pPr>
    </w:p>
    <w:p w14:paraId="1E206CF7" w14:textId="77777777" w:rsidR="00AE5720" w:rsidRDefault="00AE5720" w:rsidP="00E05466">
      <w:pPr>
        <w:pStyle w:val="Ttulo4"/>
      </w:pPr>
      <w:r w:rsidRPr="00AE5720">
        <w:t>TERPEL</w:t>
      </w:r>
      <w:r w:rsidRPr="00AE5720">
        <w:tab/>
      </w:r>
    </w:p>
    <w:p w14:paraId="3E2BF199" w14:textId="3ECB84AF" w:rsidR="00AD6B74" w:rsidRPr="00D96AFB" w:rsidRDefault="000C40AE" w:rsidP="00AE5720">
      <w:pPr>
        <w:rPr>
          <w:i/>
          <w:iCs/>
          <w:sz w:val="22"/>
          <w:szCs w:val="22"/>
        </w:rPr>
      </w:pPr>
      <w:r>
        <w:rPr>
          <w:i/>
          <w:iCs/>
          <w:sz w:val="22"/>
          <w:szCs w:val="22"/>
        </w:rPr>
        <w:t>“</w:t>
      </w:r>
      <w:r w:rsidR="00AE5720" w:rsidRPr="00D96AFB">
        <w:rPr>
          <w:i/>
          <w:iCs/>
          <w:sz w:val="22"/>
          <w:szCs w:val="22"/>
        </w:rPr>
        <w:t xml:space="preserve">En el caso de suscribir un contrato uno o dos años antes del primer año de ejecución, ¿Es posible que en la suscripción se fije el Precio que se cobrara al inicio del contrato para las entregas durante el primer año de gas de ejecución y que la primera actualización anual de precios aplique a partir del segundo año de gas de ejecución del contrato?    Ejemplo, se suscribe en el año n-2 para inicio en el año n con un precio de USD$ 5/MBTU que aplicará todo el año n y que a partir del año n+1 se </w:t>
      </w:r>
      <w:proofErr w:type="gramStart"/>
      <w:r w:rsidR="00AE5720" w:rsidRPr="00D96AFB">
        <w:rPr>
          <w:i/>
          <w:iCs/>
          <w:sz w:val="22"/>
          <w:szCs w:val="22"/>
        </w:rPr>
        <w:t>aplicara</w:t>
      </w:r>
      <w:proofErr w:type="gramEnd"/>
      <w:r w:rsidR="00AE5720" w:rsidRPr="00D96AFB">
        <w:rPr>
          <w:i/>
          <w:iCs/>
          <w:sz w:val="22"/>
          <w:szCs w:val="22"/>
        </w:rPr>
        <w:t xml:space="preserve"> la indexación regulatoria.</w:t>
      </w:r>
      <w:r>
        <w:rPr>
          <w:i/>
          <w:iCs/>
          <w:sz w:val="22"/>
          <w:szCs w:val="22"/>
        </w:rPr>
        <w:t>”</w:t>
      </w:r>
    </w:p>
    <w:p w14:paraId="7AD52192" w14:textId="77777777" w:rsidR="00D96AFB" w:rsidRDefault="00D96AFB" w:rsidP="00AE5720">
      <w:pPr>
        <w:rPr>
          <w:sz w:val="22"/>
          <w:szCs w:val="22"/>
        </w:rPr>
      </w:pPr>
    </w:p>
    <w:p w14:paraId="2C41730C" w14:textId="32CA8EA2" w:rsidR="00D96AFB" w:rsidRPr="00D96AFB" w:rsidRDefault="00D96AFB" w:rsidP="00AE5720">
      <w:pPr>
        <w:rPr>
          <w:b/>
          <w:bCs/>
          <w:sz w:val="22"/>
          <w:szCs w:val="22"/>
        </w:rPr>
      </w:pPr>
      <w:r w:rsidRPr="00D96AFB">
        <w:rPr>
          <w:b/>
          <w:bCs/>
          <w:sz w:val="22"/>
          <w:szCs w:val="22"/>
        </w:rPr>
        <w:t>Respuesta:</w:t>
      </w:r>
    </w:p>
    <w:p w14:paraId="57941DDC" w14:textId="77777777" w:rsidR="00D96AFB" w:rsidRDefault="00D96AFB" w:rsidP="00AE5720">
      <w:pPr>
        <w:rPr>
          <w:sz w:val="22"/>
          <w:szCs w:val="22"/>
        </w:rPr>
      </w:pPr>
    </w:p>
    <w:p w14:paraId="3F69ACDC" w14:textId="5E314160" w:rsidR="00D96AFB" w:rsidRDefault="00D96AFB" w:rsidP="00AE5720">
      <w:pPr>
        <w:rPr>
          <w:sz w:val="22"/>
          <w:szCs w:val="22"/>
        </w:rPr>
      </w:pPr>
      <w:r>
        <w:rPr>
          <w:sz w:val="22"/>
          <w:szCs w:val="22"/>
        </w:rPr>
        <w:t>En la nueva propuesta se incluye mayor flexibilidad en las ecuaciones de actualización de precios y su aplicación.</w:t>
      </w:r>
    </w:p>
    <w:p w14:paraId="6BABEDC8" w14:textId="77777777" w:rsidR="00D96AFB" w:rsidRDefault="00D96AFB" w:rsidP="00AE5720">
      <w:pPr>
        <w:rPr>
          <w:sz w:val="22"/>
          <w:szCs w:val="22"/>
        </w:rPr>
      </w:pPr>
    </w:p>
    <w:p w14:paraId="0F0C7491" w14:textId="54195A59" w:rsidR="00D96AFB" w:rsidRDefault="00D96AFB" w:rsidP="00AE5720">
      <w:pPr>
        <w:rPr>
          <w:sz w:val="22"/>
          <w:szCs w:val="22"/>
        </w:rPr>
      </w:pPr>
      <w:r>
        <w:rPr>
          <w:sz w:val="22"/>
          <w:szCs w:val="22"/>
        </w:rPr>
        <w:t xml:space="preserve">Ver el numeral </w:t>
      </w:r>
      <w:r>
        <w:rPr>
          <w:sz w:val="22"/>
          <w:szCs w:val="22"/>
        </w:rPr>
        <w:fldChar w:fldCharType="begin"/>
      </w:r>
      <w:r>
        <w:rPr>
          <w:sz w:val="22"/>
          <w:szCs w:val="22"/>
        </w:rPr>
        <w:instrText xml:space="preserve"> REF _Ref130805559 \r \h </w:instrText>
      </w:r>
      <w:r>
        <w:rPr>
          <w:sz w:val="22"/>
          <w:szCs w:val="22"/>
        </w:rPr>
      </w:r>
      <w:r>
        <w:rPr>
          <w:sz w:val="22"/>
          <w:szCs w:val="22"/>
        </w:rPr>
        <w:fldChar w:fldCharType="separate"/>
      </w:r>
      <w:r>
        <w:rPr>
          <w:sz w:val="22"/>
          <w:szCs w:val="22"/>
        </w:rPr>
        <w:t>4.19</w:t>
      </w:r>
      <w:r>
        <w:rPr>
          <w:sz w:val="22"/>
          <w:szCs w:val="22"/>
        </w:rPr>
        <w:fldChar w:fldCharType="end"/>
      </w:r>
    </w:p>
    <w:p w14:paraId="0AA4F8B1" w14:textId="77777777" w:rsidR="00D96AFB" w:rsidRPr="00AE5720" w:rsidRDefault="00D96AFB" w:rsidP="00AE5720">
      <w:pPr>
        <w:rPr>
          <w:sz w:val="22"/>
          <w:szCs w:val="22"/>
        </w:rPr>
      </w:pPr>
    </w:p>
    <w:p w14:paraId="3D3BBAC5" w14:textId="3778ED36" w:rsidR="00EF1C07" w:rsidRDefault="00EF1C07" w:rsidP="00371CB5">
      <w:pPr>
        <w:rPr>
          <w:rFonts w:cs="Arial"/>
          <w:b/>
          <w:bCs/>
          <w:sz w:val="22"/>
          <w:szCs w:val="22"/>
        </w:rPr>
      </w:pPr>
    </w:p>
    <w:p w14:paraId="3334B5A7" w14:textId="7C24500A" w:rsidR="00EF1C07" w:rsidRDefault="00EF1C07" w:rsidP="00EF1C07">
      <w:pPr>
        <w:pStyle w:val="Ttulo1"/>
        <w:numPr>
          <w:ilvl w:val="0"/>
          <w:numId w:val="1"/>
        </w:numPr>
        <w:rPr>
          <w:caps/>
        </w:rPr>
      </w:pPr>
      <w:bookmarkStart w:id="916" w:name="_Toc140506491"/>
      <w:r>
        <w:t xml:space="preserve">ARTÍCULO 25. </w:t>
      </w:r>
      <w:r w:rsidR="0070732E" w:rsidRPr="0070732E">
        <w:rPr>
          <w:caps/>
        </w:rPr>
        <w:t>Modalidades de contratos permitidos en el mercado secundario</w:t>
      </w:r>
      <w:bookmarkEnd w:id="916"/>
    </w:p>
    <w:p w14:paraId="4B10190B" w14:textId="77777777" w:rsidR="00057072" w:rsidRDefault="00B51957" w:rsidP="00E74D6F">
      <w:pPr>
        <w:pStyle w:val="Ttulo2"/>
      </w:pPr>
      <w:bookmarkStart w:id="917" w:name="_Toc140506492"/>
      <w:r w:rsidRPr="00B51957">
        <w:t>ACP</w:t>
      </w:r>
      <w:bookmarkEnd w:id="917"/>
      <w:r w:rsidRPr="00B51957">
        <w:tab/>
      </w:r>
    </w:p>
    <w:p w14:paraId="6D6B97F1" w14:textId="77777777" w:rsidR="00E74D6F" w:rsidRDefault="00E74D6F" w:rsidP="00E74D6F">
      <w:pPr>
        <w:pStyle w:val="Ttulo4"/>
      </w:pPr>
      <w:bookmarkStart w:id="918" w:name="_Ref133307225"/>
      <w:r w:rsidRPr="00B51957">
        <w:t>ACP</w:t>
      </w:r>
      <w:bookmarkEnd w:id="918"/>
      <w:r w:rsidRPr="00B51957">
        <w:tab/>
      </w:r>
    </w:p>
    <w:p w14:paraId="23A99197" w14:textId="2B9553D3" w:rsidR="00B51957" w:rsidRPr="00F63215" w:rsidRDefault="000C40AE" w:rsidP="00B51957">
      <w:pPr>
        <w:rPr>
          <w:rFonts w:cs="Arial"/>
          <w:i/>
          <w:iCs/>
          <w:sz w:val="22"/>
          <w:szCs w:val="22"/>
        </w:rPr>
      </w:pPr>
      <w:r>
        <w:rPr>
          <w:rFonts w:cs="Arial"/>
          <w:i/>
          <w:iCs/>
          <w:sz w:val="22"/>
          <w:szCs w:val="22"/>
        </w:rPr>
        <w:t>“</w:t>
      </w:r>
      <w:r w:rsidR="00B51957" w:rsidRPr="00F63215">
        <w:rPr>
          <w:rFonts w:cs="Arial"/>
          <w:i/>
          <w:iCs/>
          <w:sz w:val="22"/>
          <w:szCs w:val="22"/>
        </w:rPr>
        <w:t xml:space="preserve">En el texto dice </w:t>
      </w:r>
      <w:r>
        <w:rPr>
          <w:rFonts w:cs="Arial"/>
          <w:i/>
          <w:iCs/>
          <w:sz w:val="22"/>
          <w:szCs w:val="22"/>
        </w:rPr>
        <w:t>‘</w:t>
      </w:r>
      <w:r w:rsidR="00B51957" w:rsidRPr="00F63215">
        <w:rPr>
          <w:rFonts w:cs="Arial"/>
          <w:i/>
          <w:iCs/>
          <w:sz w:val="22"/>
          <w:szCs w:val="22"/>
        </w:rPr>
        <w:t>artículo 122</w:t>
      </w:r>
      <w:r>
        <w:rPr>
          <w:rFonts w:cs="Arial"/>
          <w:i/>
          <w:iCs/>
          <w:sz w:val="22"/>
          <w:szCs w:val="22"/>
        </w:rPr>
        <w:t>’</w:t>
      </w:r>
      <w:r w:rsidR="00B51957" w:rsidRPr="00F63215">
        <w:rPr>
          <w:rFonts w:cs="Arial"/>
          <w:i/>
          <w:iCs/>
          <w:sz w:val="22"/>
          <w:szCs w:val="22"/>
        </w:rPr>
        <w:t xml:space="preserve"> pero no existe en esta resolución</w:t>
      </w:r>
      <w:r>
        <w:rPr>
          <w:rFonts w:cs="Arial"/>
          <w:i/>
          <w:iCs/>
          <w:sz w:val="22"/>
          <w:szCs w:val="22"/>
        </w:rPr>
        <w:t>”</w:t>
      </w:r>
      <w:r w:rsidR="00B51957" w:rsidRPr="00F63215">
        <w:rPr>
          <w:rFonts w:cs="Arial"/>
          <w:i/>
          <w:iCs/>
          <w:sz w:val="22"/>
          <w:szCs w:val="22"/>
        </w:rPr>
        <w:t>.</w:t>
      </w:r>
    </w:p>
    <w:p w14:paraId="499FCAD1" w14:textId="77777777" w:rsidR="00F63215" w:rsidRDefault="00F63215" w:rsidP="00B51957">
      <w:pPr>
        <w:rPr>
          <w:rFonts w:cs="Arial"/>
          <w:sz w:val="22"/>
          <w:szCs w:val="22"/>
        </w:rPr>
      </w:pPr>
    </w:p>
    <w:p w14:paraId="081DA820" w14:textId="15390366" w:rsidR="00F63215" w:rsidRPr="00F63215" w:rsidRDefault="00F63215" w:rsidP="00B51957">
      <w:pPr>
        <w:rPr>
          <w:rFonts w:cs="Arial"/>
          <w:b/>
          <w:bCs/>
          <w:sz w:val="22"/>
          <w:szCs w:val="22"/>
        </w:rPr>
      </w:pPr>
      <w:r w:rsidRPr="00F63215">
        <w:rPr>
          <w:rFonts w:cs="Arial"/>
          <w:b/>
          <w:bCs/>
          <w:sz w:val="22"/>
          <w:szCs w:val="22"/>
        </w:rPr>
        <w:t>Respuesta:</w:t>
      </w:r>
    </w:p>
    <w:p w14:paraId="18386AE5" w14:textId="77777777" w:rsidR="00F63215" w:rsidRDefault="00F63215" w:rsidP="00B51957">
      <w:pPr>
        <w:rPr>
          <w:rFonts w:cs="Arial"/>
          <w:sz w:val="22"/>
          <w:szCs w:val="22"/>
        </w:rPr>
      </w:pPr>
    </w:p>
    <w:p w14:paraId="7A312DDA" w14:textId="5306C758" w:rsidR="00F63215" w:rsidRDefault="00F63215" w:rsidP="00B51957">
      <w:pPr>
        <w:rPr>
          <w:rFonts w:cs="Arial"/>
          <w:sz w:val="22"/>
          <w:szCs w:val="22"/>
        </w:rPr>
      </w:pPr>
      <w:r>
        <w:rPr>
          <w:rFonts w:cs="Arial"/>
          <w:sz w:val="22"/>
          <w:szCs w:val="22"/>
        </w:rPr>
        <w:t>Se acoge el comentario</w:t>
      </w:r>
    </w:p>
    <w:p w14:paraId="1443AADF" w14:textId="77777777" w:rsidR="00F63215" w:rsidRDefault="00F63215" w:rsidP="00B51957">
      <w:pPr>
        <w:rPr>
          <w:rFonts w:cs="Arial"/>
          <w:sz w:val="22"/>
          <w:szCs w:val="22"/>
        </w:rPr>
      </w:pPr>
    </w:p>
    <w:p w14:paraId="4774B808" w14:textId="0EBB2527" w:rsidR="00F63215" w:rsidRPr="00B51957" w:rsidRDefault="00F63215" w:rsidP="00B51957">
      <w:pPr>
        <w:rPr>
          <w:rFonts w:cs="Arial"/>
          <w:sz w:val="22"/>
          <w:szCs w:val="22"/>
        </w:rPr>
      </w:pPr>
      <w:r>
        <w:rPr>
          <w:rFonts w:cs="Arial"/>
          <w:sz w:val="22"/>
          <w:szCs w:val="22"/>
        </w:rPr>
        <w:t>La referencia correcta es el Artículo12.  En la nueva propuesta se realiza la corrección de redacción.</w:t>
      </w:r>
    </w:p>
    <w:p w14:paraId="129CA24D" w14:textId="77777777" w:rsidR="00057072" w:rsidRDefault="00057072" w:rsidP="00B51957">
      <w:pPr>
        <w:rPr>
          <w:rFonts w:cs="Arial"/>
          <w:sz w:val="22"/>
          <w:szCs w:val="22"/>
        </w:rPr>
      </w:pPr>
    </w:p>
    <w:p w14:paraId="2B783DFA" w14:textId="77777777" w:rsidR="00057072" w:rsidRDefault="00057072" w:rsidP="00B51957">
      <w:pPr>
        <w:rPr>
          <w:rFonts w:cs="Arial"/>
          <w:sz w:val="22"/>
          <w:szCs w:val="22"/>
        </w:rPr>
      </w:pPr>
    </w:p>
    <w:p w14:paraId="59A4E945" w14:textId="77777777" w:rsidR="00057072" w:rsidRDefault="00B51957" w:rsidP="00E74D6F">
      <w:pPr>
        <w:pStyle w:val="Ttulo2"/>
      </w:pPr>
      <w:bookmarkStart w:id="919" w:name="_Toc140506493"/>
      <w:r w:rsidRPr="00B51957">
        <w:t>ALCANOS</w:t>
      </w:r>
      <w:bookmarkEnd w:id="919"/>
      <w:r w:rsidRPr="00B51957">
        <w:tab/>
      </w:r>
    </w:p>
    <w:p w14:paraId="104816DC" w14:textId="77777777" w:rsidR="00E74D6F" w:rsidRDefault="00E74D6F" w:rsidP="00E74D6F">
      <w:pPr>
        <w:pStyle w:val="Ttulo4"/>
      </w:pPr>
      <w:bookmarkStart w:id="920" w:name="_Ref133306606"/>
      <w:r w:rsidRPr="00B51957">
        <w:t>ALCANOS</w:t>
      </w:r>
      <w:bookmarkEnd w:id="920"/>
      <w:r w:rsidRPr="00B51957">
        <w:tab/>
      </w:r>
    </w:p>
    <w:p w14:paraId="3B430EAB" w14:textId="166B24A4" w:rsidR="00B51957" w:rsidRPr="00F63215" w:rsidRDefault="000C40AE" w:rsidP="00B51957">
      <w:pPr>
        <w:rPr>
          <w:rFonts w:cs="Arial"/>
          <w:i/>
          <w:iCs/>
          <w:sz w:val="22"/>
          <w:szCs w:val="22"/>
        </w:rPr>
      </w:pPr>
      <w:r>
        <w:rPr>
          <w:rFonts w:cs="Arial"/>
          <w:i/>
          <w:iCs/>
          <w:sz w:val="22"/>
          <w:szCs w:val="22"/>
        </w:rPr>
        <w:t>“</w:t>
      </w:r>
      <w:r w:rsidR="00B51957" w:rsidRPr="00F63215">
        <w:rPr>
          <w:rFonts w:cs="Arial"/>
          <w:i/>
          <w:iCs/>
          <w:sz w:val="22"/>
          <w:szCs w:val="22"/>
        </w:rPr>
        <w:t>Considerando los condicionamientos establecidos para los contratos CF80, ¿Si un agente tiene un contrato CF80, puede negociar la capacidad firme en un contrato firme equivalente en el mercado secundario?</w:t>
      </w:r>
      <w:r>
        <w:rPr>
          <w:rFonts w:cs="Arial"/>
          <w:i/>
          <w:iCs/>
          <w:sz w:val="22"/>
          <w:szCs w:val="22"/>
        </w:rPr>
        <w:t>”</w:t>
      </w:r>
    </w:p>
    <w:p w14:paraId="0A011DE2" w14:textId="77777777" w:rsidR="00F63215" w:rsidRDefault="00F63215" w:rsidP="00B51957">
      <w:pPr>
        <w:rPr>
          <w:rFonts w:cs="Arial"/>
          <w:sz w:val="22"/>
          <w:szCs w:val="22"/>
        </w:rPr>
      </w:pPr>
    </w:p>
    <w:p w14:paraId="32A06B2D" w14:textId="3C29F1C3" w:rsidR="00F63215" w:rsidRPr="00F63215" w:rsidRDefault="00F63215" w:rsidP="00B51957">
      <w:pPr>
        <w:rPr>
          <w:rFonts w:cs="Arial"/>
          <w:b/>
          <w:bCs/>
          <w:sz w:val="22"/>
          <w:szCs w:val="22"/>
        </w:rPr>
      </w:pPr>
      <w:r w:rsidRPr="00F63215">
        <w:rPr>
          <w:rFonts w:cs="Arial"/>
          <w:b/>
          <w:bCs/>
          <w:sz w:val="22"/>
          <w:szCs w:val="22"/>
        </w:rPr>
        <w:t>Respuesta:</w:t>
      </w:r>
    </w:p>
    <w:p w14:paraId="3C35B987" w14:textId="77777777" w:rsidR="00F63215" w:rsidRDefault="00F63215" w:rsidP="00B51957">
      <w:pPr>
        <w:rPr>
          <w:rFonts w:cs="Arial"/>
          <w:sz w:val="22"/>
          <w:szCs w:val="22"/>
        </w:rPr>
      </w:pPr>
    </w:p>
    <w:p w14:paraId="564D1081" w14:textId="41DFCC6A" w:rsidR="00F63215" w:rsidRDefault="00F63215" w:rsidP="00B51957">
      <w:pPr>
        <w:rPr>
          <w:rFonts w:cs="Arial"/>
          <w:sz w:val="22"/>
          <w:szCs w:val="22"/>
        </w:rPr>
      </w:pPr>
      <w:r>
        <w:rPr>
          <w:rFonts w:cs="Arial"/>
          <w:sz w:val="22"/>
          <w:szCs w:val="22"/>
        </w:rPr>
        <w:t>En el Mercado Secundario no se incluye la modalidad contractual CF80, así como tampoco la modalidad CF95, tal como actualmente se encuentra vigente en este último caso.</w:t>
      </w:r>
    </w:p>
    <w:p w14:paraId="558B0C13" w14:textId="77777777" w:rsidR="00F63215" w:rsidRDefault="00F63215" w:rsidP="00B51957">
      <w:pPr>
        <w:rPr>
          <w:rFonts w:cs="Arial"/>
          <w:sz w:val="22"/>
          <w:szCs w:val="22"/>
        </w:rPr>
      </w:pPr>
    </w:p>
    <w:p w14:paraId="0DC6B8DE" w14:textId="182EF913" w:rsidR="00F63215" w:rsidRDefault="00E74156" w:rsidP="00B51957">
      <w:pPr>
        <w:rPr>
          <w:rFonts w:cs="Arial"/>
          <w:sz w:val="22"/>
          <w:szCs w:val="22"/>
        </w:rPr>
      </w:pPr>
      <w:r>
        <w:rPr>
          <w:rFonts w:cs="Arial"/>
          <w:sz w:val="22"/>
          <w:szCs w:val="22"/>
        </w:rPr>
        <w:t>La capacidad en firme corresponde al 100% de la capacidad contratada, otra cosa es el pagó mínimo de la liquidación mensual que es del 80% en el caso de la modalidad CF80.</w:t>
      </w:r>
    </w:p>
    <w:p w14:paraId="296334C6" w14:textId="77777777" w:rsidR="00532595" w:rsidRDefault="00532595" w:rsidP="00B51957">
      <w:pPr>
        <w:rPr>
          <w:rFonts w:cs="Arial"/>
          <w:sz w:val="22"/>
          <w:szCs w:val="22"/>
        </w:rPr>
      </w:pPr>
    </w:p>
    <w:p w14:paraId="517A3E0C" w14:textId="7318A7BB" w:rsidR="00532595" w:rsidRPr="00B51957" w:rsidRDefault="00532595" w:rsidP="00B51957">
      <w:pPr>
        <w:rPr>
          <w:rFonts w:cs="Arial"/>
          <w:sz w:val="22"/>
          <w:szCs w:val="22"/>
        </w:rPr>
      </w:pPr>
      <w:r>
        <w:rPr>
          <w:rFonts w:cs="Arial"/>
          <w:sz w:val="22"/>
          <w:szCs w:val="22"/>
        </w:rPr>
        <w:t>En la nueva propuesta en form</w:t>
      </w:r>
      <w:r w:rsidR="00B62FB4">
        <w:rPr>
          <w:rFonts w:cs="Arial"/>
          <w:sz w:val="22"/>
          <w:szCs w:val="22"/>
        </w:rPr>
        <w:t>a</w:t>
      </w:r>
      <w:r>
        <w:rPr>
          <w:rFonts w:cs="Arial"/>
          <w:sz w:val="22"/>
          <w:szCs w:val="22"/>
        </w:rPr>
        <w:t xml:space="preserve"> general se permite que la</w:t>
      </w:r>
      <w:r w:rsidRPr="00532595">
        <w:rPr>
          <w:rFonts w:cs="Arial"/>
          <w:sz w:val="22"/>
          <w:szCs w:val="22"/>
        </w:rPr>
        <w:t xml:space="preserve"> cantidad total de derechos de suministro de cada comercializador que se ofrezca en venta mediante contratos en firme o que  garantizan firmeza, no podrá ser superior a </w:t>
      </w:r>
      <w:proofErr w:type="gramStart"/>
      <w:r w:rsidRPr="00532595">
        <w:rPr>
          <w:rFonts w:cs="Arial"/>
          <w:sz w:val="22"/>
          <w:szCs w:val="22"/>
        </w:rPr>
        <w:t>la sumas</w:t>
      </w:r>
      <w:proofErr w:type="gramEnd"/>
      <w:r w:rsidRPr="00532595">
        <w:rPr>
          <w:rFonts w:cs="Arial"/>
          <w:sz w:val="22"/>
          <w:szCs w:val="22"/>
        </w:rPr>
        <w:t xml:space="preserve"> de las cantidades de derechos de suministro de que disponga dicho comercializador a través de los contratos suscritos en firme o con garantía de firmeza, como parte compradora, tanto en el mercado primario como en el mercado secundario</w:t>
      </w:r>
      <w:r>
        <w:rPr>
          <w:rFonts w:cs="Arial"/>
          <w:sz w:val="22"/>
          <w:szCs w:val="22"/>
        </w:rPr>
        <w:t>.</w:t>
      </w:r>
    </w:p>
    <w:p w14:paraId="5E5E49E4" w14:textId="77777777" w:rsidR="00057072" w:rsidRDefault="00057072" w:rsidP="00B51957">
      <w:pPr>
        <w:rPr>
          <w:rFonts w:cs="Arial"/>
          <w:sz w:val="22"/>
          <w:szCs w:val="22"/>
        </w:rPr>
      </w:pPr>
    </w:p>
    <w:p w14:paraId="218B4D9D" w14:textId="77777777" w:rsidR="00057072" w:rsidRDefault="00057072" w:rsidP="00B51957">
      <w:pPr>
        <w:rPr>
          <w:rFonts w:cs="Arial"/>
          <w:sz w:val="22"/>
          <w:szCs w:val="22"/>
        </w:rPr>
      </w:pPr>
    </w:p>
    <w:p w14:paraId="7A6F6A9D" w14:textId="77777777" w:rsidR="00057072" w:rsidRDefault="00B51957" w:rsidP="00E74D6F">
      <w:pPr>
        <w:pStyle w:val="Ttulo2"/>
      </w:pPr>
      <w:bookmarkStart w:id="921" w:name="_Toc140506494"/>
      <w:r w:rsidRPr="00B51957">
        <w:t>BOLSA MERCANTIL DE COLOMBIA</w:t>
      </w:r>
      <w:bookmarkEnd w:id="921"/>
      <w:r w:rsidRPr="00B51957">
        <w:tab/>
      </w:r>
    </w:p>
    <w:p w14:paraId="12A4DE0A" w14:textId="77777777" w:rsidR="00E74D6F" w:rsidRDefault="00E74D6F" w:rsidP="00E74D6F">
      <w:pPr>
        <w:pStyle w:val="Ttulo4"/>
      </w:pPr>
      <w:r w:rsidRPr="00B51957">
        <w:t>BOLSA MERCANTIL DE COLOMBIA</w:t>
      </w:r>
      <w:r w:rsidRPr="00B51957">
        <w:tab/>
      </w:r>
    </w:p>
    <w:p w14:paraId="29CCFA27" w14:textId="09B75F4A" w:rsidR="00B51957" w:rsidRPr="00532595" w:rsidRDefault="007A2539" w:rsidP="00B51957">
      <w:pPr>
        <w:rPr>
          <w:rFonts w:cs="Arial"/>
          <w:i/>
          <w:iCs/>
          <w:sz w:val="22"/>
          <w:szCs w:val="22"/>
        </w:rPr>
      </w:pPr>
      <w:r>
        <w:rPr>
          <w:rFonts w:cs="Arial"/>
          <w:i/>
          <w:iCs/>
          <w:sz w:val="22"/>
          <w:szCs w:val="22"/>
        </w:rPr>
        <w:t>“</w:t>
      </w:r>
      <w:r w:rsidR="00B51957" w:rsidRPr="00532595">
        <w:rPr>
          <w:rFonts w:cs="Arial"/>
          <w:i/>
          <w:iCs/>
          <w:sz w:val="22"/>
          <w:szCs w:val="22"/>
        </w:rPr>
        <w:t>Actualmente, los participantes del mercado secundario incluyen a compradores del mercado secundario que hacen reventas.</w:t>
      </w:r>
      <w:r>
        <w:rPr>
          <w:rFonts w:cs="Arial"/>
          <w:i/>
          <w:iCs/>
          <w:sz w:val="22"/>
          <w:szCs w:val="22"/>
        </w:rPr>
        <w:t>”</w:t>
      </w:r>
    </w:p>
    <w:p w14:paraId="56B702E0" w14:textId="77777777" w:rsidR="00532595" w:rsidRDefault="00532595" w:rsidP="00B51957">
      <w:pPr>
        <w:rPr>
          <w:rFonts w:cs="Arial"/>
          <w:sz w:val="22"/>
          <w:szCs w:val="22"/>
        </w:rPr>
      </w:pPr>
    </w:p>
    <w:p w14:paraId="1273D8D3" w14:textId="4628B287" w:rsidR="00532595" w:rsidRPr="00532595" w:rsidRDefault="00532595" w:rsidP="00B51957">
      <w:pPr>
        <w:rPr>
          <w:rFonts w:cs="Arial"/>
          <w:b/>
          <w:bCs/>
          <w:sz w:val="22"/>
          <w:szCs w:val="22"/>
        </w:rPr>
      </w:pPr>
      <w:r w:rsidRPr="00532595">
        <w:rPr>
          <w:rFonts w:cs="Arial"/>
          <w:b/>
          <w:bCs/>
          <w:sz w:val="22"/>
          <w:szCs w:val="22"/>
        </w:rPr>
        <w:t>Respuesta:</w:t>
      </w:r>
    </w:p>
    <w:p w14:paraId="4E88B5C6" w14:textId="77777777" w:rsidR="00532595" w:rsidRDefault="00532595" w:rsidP="00B51957">
      <w:pPr>
        <w:rPr>
          <w:rFonts w:cs="Arial"/>
          <w:sz w:val="22"/>
          <w:szCs w:val="22"/>
        </w:rPr>
      </w:pPr>
    </w:p>
    <w:p w14:paraId="6B408603" w14:textId="2501AA4D" w:rsidR="00532595" w:rsidRDefault="00532595" w:rsidP="00B51957">
      <w:pPr>
        <w:rPr>
          <w:rFonts w:cs="Arial"/>
          <w:sz w:val="22"/>
          <w:szCs w:val="22"/>
        </w:rPr>
      </w:pPr>
      <w:r>
        <w:rPr>
          <w:rFonts w:cs="Arial"/>
          <w:sz w:val="22"/>
          <w:szCs w:val="22"/>
        </w:rPr>
        <w:t>Se acoge el comentario.</w:t>
      </w:r>
    </w:p>
    <w:p w14:paraId="23C1B86B" w14:textId="77777777" w:rsidR="00532595" w:rsidRDefault="00532595" w:rsidP="00B51957">
      <w:pPr>
        <w:rPr>
          <w:rFonts w:cs="Arial"/>
          <w:sz w:val="22"/>
          <w:szCs w:val="22"/>
        </w:rPr>
      </w:pPr>
    </w:p>
    <w:p w14:paraId="18558CA7" w14:textId="10BCC999" w:rsidR="00532595" w:rsidRPr="00B51957" w:rsidRDefault="00532595" w:rsidP="00B51957">
      <w:pPr>
        <w:rPr>
          <w:rFonts w:cs="Arial"/>
          <w:sz w:val="22"/>
          <w:szCs w:val="22"/>
        </w:rPr>
      </w:pPr>
      <w:r>
        <w:rPr>
          <w:rFonts w:cs="Arial"/>
          <w:sz w:val="22"/>
          <w:szCs w:val="22"/>
        </w:rPr>
        <w:t>En la nueva propuesta se hacen los ajustes de texto consecuentes.</w:t>
      </w:r>
    </w:p>
    <w:p w14:paraId="5A8BED37" w14:textId="77777777" w:rsidR="00057072" w:rsidRDefault="00057072" w:rsidP="00B51957">
      <w:pPr>
        <w:rPr>
          <w:rFonts w:cs="Arial"/>
          <w:sz w:val="22"/>
          <w:szCs w:val="22"/>
        </w:rPr>
      </w:pPr>
    </w:p>
    <w:p w14:paraId="4EF2B8FB" w14:textId="77777777" w:rsidR="00057072" w:rsidRDefault="00057072" w:rsidP="00B51957">
      <w:pPr>
        <w:rPr>
          <w:rFonts w:cs="Arial"/>
          <w:sz w:val="22"/>
          <w:szCs w:val="22"/>
        </w:rPr>
      </w:pPr>
    </w:p>
    <w:p w14:paraId="73E42367" w14:textId="77777777" w:rsidR="00057072" w:rsidRDefault="00B51957" w:rsidP="00E74D6F">
      <w:pPr>
        <w:pStyle w:val="Ttulo2"/>
      </w:pPr>
      <w:bookmarkStart w:id="922" w:name="_Toc140506495"/>
      <w:r w:rsidRPr="00B51957">
        <w:t>EPM</w:t>
      </w:r>
      <w:bookmarkEnd w:id="922"/>
      <w:r w:rsidRPr="00B51957">
        <w:tab/>
      </w:r>
    </w:p>
    <w:p w14:paraId="2D171AD2" w14:textId="77777777" w:rsidR="00E74D6F" w:rsidRDefault="00E74D6F" w:rsidP="00E74D6F">
      <w:pPr>
        <w:pStyle w:val="Ttulo4"/>
      </w:pPr>
      <w:bookmarkStart w:id="923" w:name="_Ref133324550"/>
      <w:r w:rsidRPr="00B51957">
        <w:t>EPM</w:t>
      </w:r>
      <w:bookmarkEnd w:id="923"/>
      <w:r w:rsidRPr="00B51957">
        <w:tab/>
      </w:r>
    </w:p>
    <w:p w14:paraId="37A56E5B" w14:textId="79A6B483" w:rsidR="00B51957" w:rsidRPr="00532595" w:rsidRDefault="00B51957" w:rsidP="00B51957">
      <w:pPr>
        <w:rPr>
          <w:rFonts w:cs="Arial"/>
          <w:i/>
          <w:iCs/>
          <w:sz w:val="22"/>
          <w:szCs w:val="22"/>
        </w:rPr>
      </w:pPr>
      <w:r w:rsidRPr="00B51957">
        <w:rPr>
          <w:rFonts w:cs="Arial"/>
          <w:sz w:val="22"/>
          <w:szCs w:val="22"/>
        </w:rPr>
        <w:t>"</w:t>
      </w:r>
      <w:r w:rsidRPr="00532595">
        <w:rPr>
          <w:rFonts w:cs="Arial"/>
          <w:i/>
          <w:iCs/>
          <w:sz w:val="22"/>
          <w:szCs w:val="22"/>
        </w:rPr>
        <w:t>Según la información publicada por el GM</w:t>
      </w:r>
      <w:r w:rsidR="00911724" w:rsidRPr="00532595">
        <w:rPr>
          <w:rFonts w:cs="Arial"/>
          <w:i/>
          <w:iCs/>
          <w:sz w:val="22"/>
          <w:szCs w:val="22"/>
        </w:rPr>
        <w:t>,</w:t>
      </w:r>
      <w:r w:rsidRPr="00532595">
        <w:rPr>
          <w:rFonts w:cs="Arial"/>
          <w:i/>
          <w:iCs/>
          <w:sz w:val="22"/>
          <w:szCs w:val="22"/>
        </w:rPr>
        <w:t xml:space="preserve"> tal y como se observa en la gráfica entre el 2015 y el 2022 las cantidades transadas en dicha subasta han tenido una variación significativa, por lo que no podría concluirse a priori que su disminución obedeció exclusivamente a nuevas reglas establecidas mediante la Resolución CREG 021 en 2019, en donde se permitió la venta bilateral de excedentes interrumpibles entre comercializadores.  </w:t>
      </w:r>
    </w:p>
    <w:p w14:paraId="608757C6" w14:textId="77777777" w:rsidR="00B51957" w:rsidRPr="00532595" w:rsidRDefault="00B51957" w:rsidP="00B51957">
      <w:pPr>
        <w:rPr>
          <w:rFonts w:cs="Arial"/>
          <w:i/>
          <w:iCs/>
          <w:sz w:val="22"/>
          <w:szCs w:val="22"/>
        </w:rPr>
      </w:pPr>
    </w:p>
    <w:p w14:paraId="433F220B" w14:textId="77777777" w:rsidR="00B51957" w:rsidRPr="00532595" w:rsidRDefault="00B51957" w:rsidP="00B51957">
      <w:pPr>
        <w:rPr>
          <w:rFonts w:cs="Arial"/>
          <w:i/>
          <w:iCs/>
          <w:sz w:val="22"/>
          <w:szCs w:val="22"/>
        </w:rPr>
      </w:pPr>
      <w:r w:rsidRPr="00532595">
        <w:rPr>
          <w:rFonts w:cs="Arial"/>
          <w:i/>
          <w:iCs/>
          <w:sz w:val="22"/>
          <w:szCs w:val="22"/>
        </w:rPr>
        <w:t xml:space="preserve">Esta variación no significa que este mecanismo sea ineficiente o esté funcionando mal, principalmente porque las cantidades que ahí se colocan, dependen de los excedentes que cada productor quiera vender como interrumpible del total de su PTDV, lo cual depende de sus condiciones operativas, de sus autoconsumos, o de la reinyección de gas en sus campos. Por el contrario, observamos que el mecanismo bilateral entre comercializadores de gas interrumpible y este mecanismo de subasta son complementarios. </w:t>
      </w:r>
    </w:p>
    <w:p w14:paraId="6809D50A" w14:textId="77777777" w:rsidR="00B51957" w:rsidRPr="00532595" w:rsidRDefault="00B51957" w:rsidP="00B51957">
      <w:pPr>
        <w:rPr>
          <w:rFonts w:cs="Arial"/>
          <w:i/>
          <w:iCs/>
          <w:sz w:val="22"/>
          <w:szCs w:val="22"/>
        </w:rPr>
      </w:pPr>
    </w:p>
    <w:p w14:paraId="5C3EC0B1" w14:textId="72E52CC2" w:rsidR="00B51957" w:rsidRPr="00532595" w:rsidRDefault="00B51957" w:rsidP="00B51957">
      <w:pPr>
        <w:rPr>
          <w:rFonts w:cs="Arial"/>
          <w:i/>
          <w:iCs/>
          <w:sz w:val="22"/>
          <w:szCs w:val="22"/>
        </w:rPr>
      </w:pPr>
      <w:r w:rsidRPr="00532595">
        <w:rPr>
          <w:rFonts w:cs="Arial"/>
          <w:i/>
          <w:iCs/>
          <w:sz w:val="22"/>
          <w:szCs w:val="22"/>
        </w:rPr>
        <w:t xml:space="preserve">La subasta mensual es un mecanismo eficiente y neutral porque en la formación de precios no hay </w:t>
      </w:r>
      <w:r w:rsidR="007931A8">
        <w:rPr>
          <w:rFonts w:cs="Arial"/>
          <w:i/>
          <w:iCs/>
          <w:sz w:val="22"/>
          <w:szCs w:val="22"/>
        </w:rPr>
        <w:t>‘</w:t>
      </w:r>
      <w:r w:rsidRPr="00532595">
        <w:rPr>
          <w:rFonts w:cs="Arial"/>
          <w:i/>
          <w:iCs/>
          <w:sz w:val="22"/>
          <w:szCs w:val="22"/>
        </w:rPr>
        <w:t>negociación bilateral</w:t>
      </w:r>
      <w:r w:rsidR="007931A8">
        <w:rPr>
          <w:rFonts w:cs="Arial"/>
          <w:i/>
          <w:iCs/>
          <w:sz w:val="22"/>
          <w:szCs w:val="22"/>
        </w:rPr>
        <w:t>’</w:t>
      </w:r>
      <w:r w:rsidRPr="00532595">
        <w:rPr>
          <w:rFonts w:cs="Arial"/>
          <w:i/>
          <w:iCs/>
          <w:sz w:val="22"/>
          <w:szCs w:val="22"/>
        </w:rPr>
        <w:t xml:space="preserve"> </w:t>
      </w:r>
      <w:proofErr w:type="gramStart"/>
      <w:r w:rsidRPr="00532595">
        <w:rPr>
          <w:rFonts w:cs="Arial"/>
          <w:i/>
          <w:iCs/>
          <w:sz w:val="22"/>
          <w:szCs w:val="22"/>
        </w:rPr>
        <w:t>y</w:t>
      </w:r>
      <w:proofErr w:type="gramEnd"/>
      <w:r w:rsidRPr="00532595">
        <w:rPr>
          <w:rFonts w:cs="Arial"/>
          <w:i/>
          <w:iCs/>
          <w:sz w:val="22"/>
          <w:szCs w:val="22"/>
        </w:rPr>
        <w:t xml:space="preserve"> por el contrario, este mecanismo es referente de precio para los contratos interrumpibles entre comercializadores, en donde el comprador puede elegir entre si compra en la subasta directamente con el productor, o si compra a los comercializadores que venden bilaterales interrumpibles. </w:t>
      </w:r>
    </w:p>
    <w:p w14:paraId="6E731AE4" w14:textId="77777777" w:rsidR="00B51957" w:rsidRPr="00532595" w:rsidRDefault="00B51957" w:rsidP="00B51957">
      <w:pPr>
        <w:rPr>
          <w:rFonts w:cs="Arial"/>
          <w:i/>
          <w:iCs/>
          <w:sz w:val="22"/>
          <w:szCs w:val="22"/>
        </w:rPr>
      </w:pPr>
    </w:p>
    <w:p w14:paraId="50DB9FCD" w14:textId="77777777" w:rsidR="00B51957" w:rsidRPr="00532595" w:rsidRDefault="00B51957" w:rsidP="00B51957">
      <w:pPr>
        <w:rPr>
          <w:rFonts w:cs="Arial"/>
          <w:i/>
          <w:iCs/>
          <w:sz w:val="22"/>
          <w:szCs w:val="22"/>
        </w:rPr>
      </w:pPr>
      <w:r w:rsidRPr="00532595">
        <w:rPr>
          <w:rFonts w:cs="Arial"/>
          <w:i/>
          <w:iCs/>
          <w:sz w:val="22"/>
          <w:szCs w:val="22"/>
        </w:rPr>
        <w:t xml:space="preserve">Actualmente, puede que estas cantidades no superen el 1% de total transado en el mercado, pero para un agente comercializador si pueden ser cantidades representativas, que ayudan a cubrir faltantes de demanda cuando se requiere ante variaciones semanales de demanda entre días hábiles y festivos, por ejemplo. </w:t>
      </w:r>
    </w:p>
    <w:p w14:paraId="148E68CC" w14:textId="77777777" w:rsidR="00B51957" w:rsidRPr="00532595" w:rsidRDefault="00B51957" w:rsidP="00B51957">
      <w:pPr>
        <w:rPr>
          <w:rFonts w:cs="Arial"/>
          <w:i/>
          <w:iCs/>
          <w:sz w:val="22"/>
          <w:szCs w:val="22"/>
        </w:rPr>
      </w:pPr>
    </w:p>
    <w:p w14:paraId="36570E1C" w14:textId="77777777" w:rsidR="00B51957" w:rsidRPr="00532595" w:rsidRDefault="00B51957" w:rsidP="00B51957">
      <w:pPr>
        <w:rPr>
          <w:rFonts w:cs="Arial"/>
          <w:i/>
          <w:iCs/>
          <w:sz w:val="22"/>
          <w:szCs w:val="22"/>
        </w:rPr>
      </w:pPr>
      <w:r w:rsidRPr="00532595">
        <w:rPr>
          <w:rFonts w:cs="Arial"/>
          <w:i/>
          <w:iCs/>
          <w:sz w:val="22"/>
          <w:szCs w:val="22"/>
        </w:rPr>
        <w:t xml:space="preserve">Destacamos aspectos positivos que bajo una negociación bilateral con el productor se perderían pues en la subasta actual el productor solo puede vender el gas una sola vez y bajo un mecanismo en donde debe competir contra un precio de reserva que será el precio más alto que coloquen comercializadoras que tengan excedentes para la venta en dicho mecanismo. Lo anterior por una parte garantiza una formación eficiente del precio y garantiza la venta de excedentes de los comercializadores, contrario a las negociaciones bilaterales donde el productor maneja el precio directamente incrementándose su poder de mercado.  </w:t>
      </w:r>
    </w:p>
    <w:p w14:paraId="44C52442" w14:textId="77777777" w:rsidR="00B51957" w:rsidRPr="00532595" w:rsidRDefault="00B51957" w:rsidP="00B51957">
      <w:pPr>
        <w:rPr>
          <w:rFonts w:cs="Arial"/>
          <w:i/>
          <w:iCs/>
          <w:sz w:val="22"/>
          <w:szCs w:val="22"/>
        </w:rPr>
      </w:pPr>
    </w:p>
    <w:p w14:paraId="5A0CDAE1" w14:textId="358EB6D8" w:rsidR="00B51957" w:rsidRPr="00532595" w:rsidRDefault="00B51957" w:rsidP="00B51957">
      <w:pPr>
        <w:rPr>
          <w:rFonts w:cs="Arial"/>
          <w:i/>
          <w:iCs/>
          <w:sz w:val="22"/>
          <w:szCs w:val="22"/>
        </w:rPr>
      </w:pPr>
      <w:r w:rsidRPr="00532595">
        <w:rPr>
          <w:rFonts w:cs="Arial"/>
          <w:i/>
          <w:iCs/>
          <w:sz w:val="22"/>
          <w:szCs w:val="22"/>
        </w:rPr>
        <w:t>Esta propuesta realmente estaría en contravía de los análisis realizados por la CREG en 2013 en donde mediante la Resolución CREG 089 de 2013, el regulador estableció su intención de evitar que precisamente el productor generara distorsiones en el mercado secundario, a través de este tipo de venta de excedentes desde el mercado primario y por ello las prohibió. Un paso en este sentido sería un retroceso en el mercado secundario."</w:t>
      </w:r>
    </w:p>
    <w:p w14:paraId="613BA928" w14:textId="77777777" w:rsidR="00532595" w:rsidRDefault="00532595" w:rsidP="00B51957">
      <w:pPr>
        <w:rPr>
          <w:rFonts w:cs="Arial"/>
          <w:sz w:val="22"/>
          <w:szCs w:val="22"/>
        </w:rPr>
      </w:pPr>
    </w:p>
    <w:p w14:paraId="3CB65C99" w14:textId="4FBB94DA" w:rsidR="00532595" w:rsidRPr="00532595" w:rsidRDefault="00532595" w:rsidP="00B51957">
      <w:pPr>
        <w:rPr>
          <w:rFonts w:cs="Arial"/>
          <w:b/>
          <w:bCs/>
          <w:sz w:val="22"/>
          <w:szCs w:val="22"/>
        </w:rPr>
      </w:pPr>
      <w:r w:rsidRPr="00532595">
        <w:rPr>
          <w:rFonts w:cs="Arial"/>
          <w:b/>
          <w:bCs/>
          <w:sz w:val="22"/>
          <w:szCs w:val="22"/>
        </w:rPr>
        <w:t>Respuesta:</w:t>
      </w:r>
    </w:p>
    <w:p w14:paraId="3D094527" w14:textId="77777777" w:rsidR="00532595" w:rsidRDefault="00532595" w:rsidP="00B51957">
      <w:pPr>
        <w:rPr>
          <w:rFonts w:cs="Arial"/>
          <w:sz w:val="22"/>
          <w:szCs w:val="22"/>
        </w:rPr>
      </w:pPr>
    </w:p>
    <w:p w14:paraId="74374F85" w14:textId="110318E3" w:rsidR="00532595" w:rsidRDefault="00532595" w:rsidP="00B51957">
      <w:pPr>
        <w:rPr>
          <w:rFonts w:cs="Arial"/>
          <w:sz w:val="22"/>
          <w:szCs w:val="22"/>
        </w:rPr>
      </w:pPr>
      <w:r>
        <w:rPr>
          <w:rFonts w:cs="Arial"/>
          <w:sz w:val="22"/>
          <w:szCs w:val="22"/>
        </w:rPr>
        <w:t>No se acoge el comentario.</w:t>
      </w:r>
    </w:p>
    <w:p w14:paraId="757C4D9A" w14:textId="77777777" w:rsidR="00532595" w:rsidRDefault="00532595" w:rsidP="00B51957">
      <w:pPr>
        <w:rPr>
          <w:rFonts w:cs="Arial"/>
          <w:sz w:val="22"/>
          <w:szCs w:val="22"/>
        </w:rPr>
      </w:pPr>
    </w:p>
    <w:p w14:paraId="4561218A" w14:textId="5E3B512A" w:rsidR="00532595" w:rsidRDefault="00532595" w:rsidP="00B51957">
      <w:pPr>
        <w:rPr>
          <w:rFonts w:cs="Arial"/>
          <w:sz w:val="22"/>
          <w:szCs w:val="22"/>
        </w:rPr>
      </w:pPr>
      <w:r>
        <w:rPr>
          <w:rFonts w:cs="Arial"/>
          <w:sz w:val="22"/>
          <w:szCs w:val="22"/>
        </w:rPr>
        <w:t xml:space="preserve">En el esquema de subasta vigente se utiliza el sobre cerrado. Sin embargo, hay una condición que lleva a que el precio de reserva del vendedor del Mercado Primario no sea el menor precio posible que tal vendedor </w:t>
      </w:r>
      <w:proofErr w:type="gramStart"/>
      <w:r>
        <w:rPr>
          <w:rFonts w:cs="Arial"/>
          <w:sz w:val="22"/>
          <w:szCs w:val="22"/>
        </w:rPr>
        <w:t>podría</w:t>
      </w:r>
      <w:proofErr w:type="gramEnd"/>
      <w:r>
        <w:rPr>
          <w:rFonts w:cs="Arial"/>
          <w:sz w:val="22"/>
          <w:szCs w:val="22"/>
        </w:rPr>
        <w:t xml:space="preserve"> ofertar si esa condición de precio </w:t>
      </w:r>
      <w:r w:rsidR="00C562BE">
        <w:rPr>
          <w:rFonts w:cs="Arial"/>
          <w:sz w:val="22"/>
          <w:szCs w:val="22"/>
        </w:rPr>
        <w:t xml:space="preserve">de reserva de oferta </w:t>
      </w:r>
      <w:r>
        <w:rPr>
          <w:rFonts w:cs="Arial"/>
          <w:sz w:val="22"/>
          <w:szCs w:val="22"/>
        </w:rPr>
        <w:t xml:space="preserve">no se aplicase. Dicha condición hace que, como mínimo, el precio </w:t>
      </w:r>
      <w:r w:rsidR="00C562BE">
        <w:rPr>
          <w:rFonts w:cs="Arial"/>
          <w:sz w:val="22"/>
          <w:szCs w:val="22"/>
        </w:rPr>
        <w:t xml:space="preserve">de reserva </w:t>
      </w:r>
      <w:r>
        <w:rPr>
          <w:rFonts w:cs="Arial"/>
          <w:sz w:val="22"/>
          <w:szCs w:val="22"/>
        </w:rPr>
        <w:t xml:space="preserve">ofertado por el vendedor del Mercado Primario sea </w:t>
      </w:r>
      <w:r w:rsidR="00C562BE">
        <w:rPr>
          <w:rFonts w:cs="Arial"/>
          <w:sz w:val="22"/>
          <w:szCs w:val="22"/>
        </w:rPr>
        <w:t xml:space="preserve">igual o </w:t>
      </w:r>
      <w:r>
        <w:rPr>
          <w:rFonts w:cs="Arial"/>
          <w:sz w:val="22"/>
          <w:szCs w:val="22"/>
        </w:rPr>
        <w:t xml:space="preserve">superior al </w:t>
      </w:r>
      <w:r w:rsidR="00C562BE" w:rsidRPr="00C562BE">
        <w:rPr>
          <w:rFonts w:cs="Arial"/>
          <w:sz w:val="22"/>
          <w:szCs w:val="22"/>
        </w:rPr>
        <w:t>mayor de los precios de reserva declarados por todos los vendedores</w:t>
      </w:r>
      <w:r w:rsidR="00C562BE">
        <w:rPr>
          <w:rFonts w:cs="Arial"/>
          <w:sz w:val="22"/>
          <w:szCs w:val="22"/>
        </w:rPr>
        <w:t>.</w:t>
      </w:r>
    </w:p>
    <w:p w14:paraId="2F2838C9" w14:textId="77777777" w:rsidR="00C562BE" w:rsidRDefault="00C562BE" w:rsidP="00B51957">
      <w:pPr>
        <w:rPr>
          <w:rFonts w:cs="Arial"/>
          <w:sz w:val="22"/>
          <w:szCs w:val="22"/>
        </w:rPr>
      </w:pPr>
    </w:p>
    <w:p w14:paraId="4E29123F" w14:textId="77777777" w:rsidR="00C562BE" w:rsidRDefault="00C562BE" w:rsidP="00B51957">
      <w:pPr>
        <w:rPr>
          <w:rFonts w:cs="Arial"/>
          <w:sz w:val="22"/>
          <w:szCs w:val="22"/>
        </w:rPr>
      </w:pPr>
      <w:r>
        <w:rPr>
          <w:rFonts w:cs="Arial"/>
          <w:sz w:val="22"/>
          <w:szCs w:val="22"/>
        </w:rPr>
        <w:t>Ahora bien, se mantiene unas diferencias en las condiciones de negociación directa que se establecen a los vendedores del Mercado Primario con respecto a los vendedores del Mercado Secundario, particularmente en la duración de los contratos. Igualmente, en la propuesta no se establecen excepciones a ningún tipo de fuente de suministro del Mercado Primario.</w:t>
      </w:r>
    </w:p>
    <w:p w14:paraId="63222E92" w14:textId="77777777" w:rsidR="00C562BE" w:rsidRDefault="00C562BE" w:rsidP="00B51957">
      <w:pPr>
        <w:rPr>
          <w:rFonts w:cs="Arial"/>
          <w:sz w:val="22"/>
          <w:szCs w:val="22"/>
        </w:rPr>
      </w:pPr>
    </w:p>
    <w:p w14:paraId="58BCCE28" w14:textId="52FF2FEB" w:rsidR="00C562BE" w:rsidRDefault="00C562BE" w:rsidP="00B51957">
      <w:pPr>
        <w:rPr>
          <w:rFonts w:cs="Arial"/>
          <w:sz w:val="22"/>
          <w:szCs w:val="22"/>
        </w:rPr>
      </w:pPr>
      <w:r>
        <w:rPr>
          <w:rFonts w:cs="Arial"/>
          <w:sz w:val="22"/>
          <w:szCs w:val="22"/>
        </w:rPr>
        <w:t xml:space="preserve">La propuesta surge, como se explicó previamente, con base en la evolución observada de los resultados del mecanismo de subasta hasta la fecha. </w:t>
      </w:r>
    </w:p>
    <w:p w14:paraId="023E1417" w14:textId="77777777" w:rsidR="00C562BE" w:rsidRDefault="00C562BE" w:rsidP="00B51957">
      <w:pPr>
        <w:rPr>
          <w:rFonts w:cs="Arial"/>
          <w:sz w:val="22"/>
          <w:szCs w:val="22"/>
        </w:rPr>
      </w:pPr>
    </w:p>
    <w:p w14:paraId="58494AB7" w14:textId="3425FBF1" w:rsidR="00C562BE" w:rsidRDefault="00C562BE" w:rsidP="00B51957">
      <w:pPr>
        <w:rPr>
          <w:rFonts w:cs="Arial"/>
          <w:sz w:val="22"/>
          <w:szCs w:val="22"/>
        </w:rPr>
      </w:pPr>
      <w:r>
        <w:rPr>
          <w:rFonts w:cs="Arial"/>
          <w:sz w:val="22"/>
          <w:szCs w:val="22"/>
        </w:rPr>
        <w:t>Finalmente</w:t>
      </w:r>
      <w:r w:rsidR="00FE6FF7">
        <w:rPr>
          <w:rFonts w:cs="Arial"/>
          <w:sz w:val="22"/>
          <w:szCs w:val="22"/>
        </w:rPr>
        <w:t>,</w:t>
      </w:r>
      <w:r>
        <w:rPr>
          <w:rFonts w:cs="Arial"/>
          <w:sz w:val="22"/>
          <w:szCs w:val="22"/>
        </w:rPr>
        <w:t xml:space="preserve"> el gas solo se vende una vez en los contratos con interrupciones donde los vendedores son del Mercado Primario, que es diferente a que las cantidades totales contratadas por el vendedor sean superiores a las cantidades PTDV declaradas al MME para un mismo período de tiempo y una misma fuente de suministro. Lo anterior porque para la venta se requiere que</w:t>
      </w:r>
      <w:r w:rsidR="00184212">
        <w:rPr>
          <w:rFonts w:cs="Arial"/>
          <w:sz w:val="22"/>
          <w:szCs w:val="22"/>
        </w:rPr>
        <w:t>,</w:t>
      </w:r>
      <w:r>
        <w:rPr>
          <w:rFonts w:cs="Arial"/>
          <w:sz w:val="22"/>
          <w:szCs w:val="22"/>
        </w:rPr>
        <w:t xml:space="preserve"> simultáneamente para un</w:t>
      </w:r>
      <w:r w:rsidR="00184212">
        <w:rPr>
          <w:rFonts w:cs="Arial"/>
          <w:sz w:val="22"/>
          <w:szCs w:val="22"/>
        </w:rPr>
        <w:t xml:space="preserve"> mismo</w:t>
      </w:r>
      <w:r>
        <w:rPr>
          <w:rFonts w:cs="Arial"/>
          <w:sz w:val="22"/>
          <w:szCs w:val="22"/>
        </w:rPr>
        <w:t xml:space="preserve"> día de gas, el vendedor del Mercado Primario tenga posibilidad de entregar gas y que el comprador desee </w:t>
      </w:r>
      <w:r w:rsidR="00184212">
        <w:rPr>
          <w:rFonts w:cs="Arial"/>
          <w:sz w:val="22"/>
          <w:szCs w:val="22"/>
        </w:rPr>
        <w:t>nominarlo</w:t>
      </w:r>
      <w:r>
        <w:rPr>
          <w:rFonts w:cs="Arial"/>
          <w:sz w:val="22"/>
          <w:szCs w:val="22"/>
        </w:rPr>
        <w:t xml:space="preserve">. Solo cuando se realiza la </w:t>
      </w:r>
      <w:r w:rsidR="00184212">
        <w:rPr>
          <w:rFonts w:cs="Arial"/>
          <w:sz w:val="22"/>
          <w:szCs w:val="22"/>
        </w:rPr>
        <w:t>entrega del gas en el punto de entrega establecido en el contrato es cuando se realiza la venta.</w:t>
      </w:r>
    </w:p>
    <w:p w14:paraId="051C0379" w14:textId="77777777" w:rsidR="00C562BE" w:rsidRDefault="00C562BE" w:rsidP="00B51957">
      <w:pPr>
        <w:rPr>
          <w:rFonts w:cs="Arial"/>
          <w:sz w:val="22"/>
          <w:szCs w:val="22"/>
        </w:rPr>
      </w:pPr>
    </w:p>
    <w:p w14:paraId="28270FCF" w14:textId="77777777" w:rsidR="00057072" w:rsidRDefault="00057072" w:rsidP="00B51957">
      <w:pPr>
        <w:rPr>
          <w:rFonts w:cs="Arial"/>
          <w:sz w:val="22"/>
          <w:szCs w:val="22"/>
        </w:rPr>
      </w:pPr>
    </w:p>
    <w:p w14:paraId="05A33730" w14:textId="77777777" w:rsidR="00057072" w:rsidRDefault="00B51957" w:rsidP="00E74D6F">
      <w:pPr>
        <w:pStyle w:val="Ttulo2"/>
      </w:pPr>
      <w:bookmarkStart w:id="924" w:name="_Toc140506496"/>
      <w:r w:rsidRPr="00B51957">
        <w:t>GASES DE LA GUAJIRA</w:t>
      </w:r>
      <w:bookmarkEnd w:id="924"/>
      <w:r w:rsidRPr="00B51957">
        <w:tab/>
      </w:r>
    </w:p>
    <w:p w14:paraId="58DED1DE" w14:textId="77777777" w:rsidR="00E74D6F" w:rsidRDefault="00E74D6F" w:rsidP="00E74D6F">
      <w:pPr>
        <w:pStyle w:val="Ttulo4"/>
      </w:pPr>
      <w:r w:rsidRPr="00B51957">
        <w:t>GASES DE LA GUAJIRA</w:t>
      </w:r>
      <w:r w:rsidRPr="00B51957">
        <w:tab/>
      </w:r>
    </w:p>
    <w:p w14:paraId="3A35E0F3" w14:textId="7D962F58" w:rsidR="00B51957" w:rsidRPr="00350ACB" w:rsidRDefault="00B51957" w:rsidP="00B51957">
      <w:pPr>
        <w:rPr>
          <w:rFonts w:cs="Arial"/>
          <w:i/>
          <w:iCs/>
          <w:sz w:val="22"/>
          <w:szCs w:val="22"/>
        </w:rPr>
      </w:pPr>
      <w:r w:rsidRPr="00350ACB">
        <w:rPr>
          <w:rFonts w:cs="Arial"/>
          <w:i/>
          <w:iCs/>
          <w:sz w:val="22"/>
          <w:szCs w:val="22"/>
        </w:rPr>
        <w:t>"Considerando los condicionamientos establecidos para los contratos CF80, se pregunta:</w:t>
      </w:r>
    </w:p>
    <w:p w14:paraId="4003A3BE" w14:textId="77777777" w:rsidR="00B51957" w:rsidRPr="00350ACB" w:rsidRDefault="00B51957" w:rsidP="00B51957">
      <w:pPr>
        <w:rPr>
          <w:rFonts w:cs="Arial"/>
          <w:i/>
          <w:iCs/>
          <w:sz w:val="22"/>
          <w:szCs w:val="22"/>
        </w:rPr>
      </w:pPr>
    </w:p>
    <w:p w14:paraId="66AD8537" w14:textId="77777777" w:rsidR="00B51957" w:rsidRPr="00350ACB" w:rsidRDefault="00B51957" w:rsidP="00B51957">
      <w:pPr>
        <w:rPr>
          <w:rFonts w:cs="Arial"/>
          <w:i/>
          <w:iCs/>
          <w:sz w:val="22"/>
          <w:szCs w:val="22"/>
        </w:rPr>
      </w:pPr>
      <w:r w:rsidRPr="00350ACB">
        <w:rPr>
          <w:rFonts w:cs="Arial"/>
          <w:i/>
          <w:iCs/>
          <w:sz w:val="22"/>
          <w:szCs w:val="22"/>
        </w:rPr>
        <w:t>¿Si un agente tiene un contrato CF80, puede negociar la capacidad firme en un contrato firme equivalente en el mercado secundario?"</w:t>
      </w:r>
    </w:p>
    <w:p w14:paraId="26D44BDC" w14:textId="77777777" w:rsidR="00350ACB" w:rsidRDefault="00350ACB" w:rsidP="00B51957">
      <w:pPr>
        <w:rPr>
          <w:rFonts w:cs="Arial"/>
          <w:sz w:val="22"/>
          <w:szCs w:val="22"/>
        </w:rPr>
      </w:pPr>
    </w:p>
    <w:p w14:paraId="45F65252" w14:textId="56AF3774" w:rsidR="00350ACB" w:rsidRPr="00350ACB" w:rsidRDefault="00350ACB" w:rsidP="00B51957">
      <w:pPr>
        <w:rPr>
          <w:rFonts w:cs="Arial"/>
          <w:b/>
          <w:bCs/>
          <w:sz w:val="22"/>
          <w:szCs w:val="22"/>
        </w:rPr>
      </w:pPr>
      <w:r w:rsidRPr="00350ACB">
        <w:rPr>
          <w:rFonts w:cs="Arial"/>
          <w:b/>
          <w:bCs/>
          <w:sz w:val="22"/>
          <w:szCs w:val="22"/>
        </w:rPr>
        <w:t>Respuesta:</w:t>
      </w:r>
    </w:p>
    <w:p w14:paraId="684AB3C4" w14:textId="77777777" w:rsidR="00350ACB" w:rsidRDefault="00350ACB" w:rsidP="00B51957">
      <w:pPr>
        <w:rPr>
          <w:rFonts w:cs="Arial"/>
          <w:sz w:val="22"/>
          <w:szCs w:val="22"/>
        </w:rPr>
      </w:pPr>
    </w:p>
    <w:p w14:paraId="54832DD7" w14:textId="11EAA9BA" w:rsidR="00350ACB" w:rsidRPr="00B51957" w:rsidRDefault="00350ACB" w:rsidP="00B5195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_Ref133306606 \r \h </w:instrText>
      </w:r>
      <w:r>
        <w:rPr>
          <w:rFonts w:cs="Arial"/>
          <w:sz w:val="22"/>
          <w:szCs w:val="22"/>
        </w:rPr>
      </w:r>
      <w:r>
        <w:rPr>
          <w:rFonts w:cs="Arial"/>
          <w:sz w:val="22"/>
          <w:szCs w:val="22"/>
        </w:rPr>
        <w:fldChar w:fldCharType="separate"/>
      </w:r>
      <w:r>
        <w:rPr>
          <w:rFonts w:cs="Arial"/>
          <w:sz w:val="22"/>
          <w:szCs w:val="22"/>
        </w:rPr>
        <w:t>23.2.1.1</w:t>
      </w:r>
      <w:r>
        <w:rPr>
          <w:rFonts w:cs="Arial"/>
          <w:sz w:val="22"/>
          <w:szCs w:val="22"/>
        </w:rPr>
        <w:fldChar w:fldCharType="end"/>
      </w:r>
      <w:r>
        <w:rPr>
          <w:rFonts w:cs="Arial"/>
          <w:sz w:val="22"/>
          <w:szCs w:val="22"/>
        </w:rPr>
        <w:t>.</w:t>
      </w:r>
    </w:p>
    <w:p w14:paraId="597077C9" w14:textId="77777777" w:rsidR="00057072" w:rsidRDefault="00057072" w:rsidP="00B51957">
      <w:pPr>
        <w:rPr>
          <w:rFonts w:cs="Arial"/>
          <w:sz w:val="22"/>
          <w:szCs w:val="22"/>
        </w:rPr>
      </w:pPr>
    </w:p>
    <w:p w14:paraId="64EA8EC8" w14:textId="77777777" w:rsidR="00057072" w:rsidRDefault="00057072" w:rsidP="00B51957">
      <w:pPr>
        <w:rPr>
          <w:rFonts w:cs="Arial"/>
          <w:sz w:val="22"/>
          <w:szCs w:val="22"/>
        </w:rPr>
      </w:pPr>
    </w:p>
    <w:p w14:paraId="30A281BD" w14:textId="77777777" w:rsidR="00057072" w:rsidRDefault="00B51957" w:rsidP="00E74D6F">
      <w:pPr>
        <w:pStyle w:val="Ttulo2"/>
      </w:pPr>
      <w:bookmarkStart w:id="925" w:name="_Toc140506497"/>
      <w:r w:rsidRPr="00B51957">
        <w:t>GASES DEL CARIBE</w:t>
      </w:r>
      <w:bookmarkEnd w:id="925"/>
      <w:r w:rsidRPr="00B51957">
        <w:tab/>
      </w:r>
    </w:p>
    <w:p w14:paraId="53831536" w14:textId="77777777" w:rsidR="00E74D6F" w:rsidRDefault="00E74D6F" w:rsidP="00E74D6F">
      <w:pPr>
        <w:pStyle w:val="Ttulo4"/>
      </w:pPr>
      <w:r w:rsidRPr="00B51957">
        <w:t>GASES DEL CARIBE</w:t>
      </w:r>
      <w:r w:rsidRPr="00B51957">
        <w:tab/>
      </w:r>
    </w:p>
    <w:p w14:paraId="29DC7CFA" w14:textId="15747B15" w:rsidR="00B51957" w:rsidRPr="001E68DD" w:rsidRDefault="00B51957" w:rsidP="00B51957">
      <w:pPr>
        <w:rPr>
          <w:rFonts w:cs="Arial"/>
          <w:i/>
          <w:iCs/>
          <w:sz w:val="22"/>
          <w:szCs w:val="22"/>
        </w:rPr>
      </w:pPr>
      <w:r w:rsidRPr="001E68DD">
        <w:rPr>
          <w:rFonts w:cs="Arial"/>
          <w:i/>
          <w:iCs/>
          <w:sz w:val="22"/>
          <w:szCs w:val="22"/>
        </w:rPr>
        <w:t>"Considerando los condicionamientos establecidos para los contratos CF80, se pregunta:</w:t>
      </w:r>
    </w:p>
    <w:p w14:paraId="0AB34F2D" w14:textId="77777777" w:rsidR="00B51957" w:rsidRPr="001E68DD" w:rsidRDefault="00B51957" w:rsidP="00B51957">
      <w:pPr>
        <w:rPr>
          <w:rFonts w:cs="Arial"/>
          <w:i/>
          <w:iCs/>
          <w:sz w:val="22"/>
          <w:szCs w:val="22"/>
        </w:rPr>
      </w:pPr>
    </w:p>
    <w:p w14:paraId="1BF12859" w14:textId="77777777" w:rsidR="00B51957" w:rsidRPr="001E68DD" w:rsidRDefault="00B51957" w:rsidP="00B51957">
      <w:pPr>
        <w:rPr>
          <w:rFonts w:cs="Arial"/>
          <w:i/>
          <w:iCs/>
          <w:sz w:val="22"/>
          <w:szCs w:val="22"/>
        </w:rPr>
      </w:pPr>
      <w:r w:rsidRPr="001E68DD">
        <w:rPr>
          <w:rFonts w:cs="Arial"/>
          <w:i/>
          <w:iCs/>
          <w:sz w:val="22"/>
          <w:szCs w:val="22"/>
        </w:rPr>
        <w:t>¿Si un agente tiene un contrato CF80, puede negociar la capacidad firme en un contrato firme equivalente en el mercado secundario?"</w:t>
      </w:r>
    </w:p>
    <w:p w14:paraId="6542DA4C" w14:textId="77777777" w:rsidR="00350ACB" w:rsidRDefault="00350ACB" w:rsidP="00B51957">
      <w:pPr>
        <w:rPr>
          <w:rFonts w:cs="Arial"/>
          <w:sz w:val="22"/>
          <w:szCs w:val="22"/>
        </w:rPr>
      </w:pPr>
    </w:p>
    <w:p w14:paraId="43477D18" w14:textId="77777777" w:rsidR="00350ACB" w:rsidRPr="00350ACB" w:rsidRDefault="00350ACB" w:rsidP="00350ACB">
      <w:pPr>
        <w:rPr>
          <w:rFonts w:cs="Arial"/>
          <w:b/>
          <w:bCs/>
          <w:sz w:val="22"/>
          <w:szCs w:val="22"/>
        </w:rPr>
      </w:pPr>
      <w:r w:rsidRPr="00350ACB">
        <w:rPr>
          <w:rFonts w:cs="Arial"/>
          <w:b/>
          <w:bCs/>
          <w:sz w:val="22"/>
          <w:szCs w:val="22"/>
        </w:rPr>
        <w:t>Respuesta:</w:t>
      </w:r>
    </w:p>
    <w:p w14:paraId="2896E035" w14:textId="77777777" w:rsidR="00350ACB" w:rsidRDefault="00350ACB" w:rsidP="00350ACB">
      <w:pPr>
        <w:rPr>
          <w:rFonts w:cs="Arial"/>
          <w:sz w:val="22"/>
          <w:szCs w:val="22"/>
        </w:rPr>
      </w:pPr>
    </w:p>
    <w:p w14:paraId="3F24069A" w14:textId="77777777" w:rsidR="00350ACB" w:rsidRPr="00B51957" w:rsidRDefault="00350ACB" w:rsidP="00350ACB">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_Ref133306606 \r \h </w:instrText>
      </w:r>
      <w:r>
        <w:rPr>
          <w:rFonts w:cs="Arial"/>
          <w:sz w:val="22"/>
          <w:szCs w:val="22"/>
        </w:rPr>
      </w:r>
      <w:r>
        <w:rPr>
          <w:rFonts w:cs="Arial"/>
          <w:sz w:val="22"/>
          <w:szCs w:val="22"/>
        </w:rPr>
        <w:fldChar w:fldCharType="separate"/>
      </w:r>
      <w:r>
        <w:rPr>
          <w:rFonts w:cs="Arial"/>
          <w:sz w:val="22"/>
          <w:szCs w:val="22"/>
        </w:rPr>
        <w:t>23.2.1.1</w:t>
      </w:r>
      <w:r>
        <w:rPr>
          <w:rFonts w:cs="Arial"/>
          <w:sz w:val="22"/>
          <w:szCs w:val="22"/>
        </w:rPr>
        <w:fldChar w:fldCharType="end"/>
      </w:r>
      <w:r>
        <w:rPr>
          <w:rFonts w:cs="Arial"/>
          <w:sz w:val="22"/>
          <w:szCs w:val="22"/>
        </w:rPr>
        <w:t>.</w:t>
      </w:r>
    </w:p>
    <w:p w14:paraId="79B1305D" w14:textId="77777777" w:rsidR="00057072" w:rsidRDefault="00057072" w:rsidP="00B51957">
      <w:pPr>
        <w:rPr>
          <w:rFonts w:cs="Arial"/>
          <w:sz w:val="22"/>
          <w:szCs w:val="22"/>
        </w:rPr>
      </w:pPr>
    </w:p>
    <w:p w14:paraId="1F40C774" w14:textId="77777777" w:rsidR="00057072" w:rsidRDefault="00057072" w:rsidP="00B51957">
      <w:pPr>
        <w:rPr>
          <w:rFonts w:cs="Arial"/>
          <w:sz w:val="22"/>
          <w:szCs w:val="22"/>
        </w:rPr>
      </w:pPr>
    </w:p>
    <w:p w14:paraId="44B1DFA5" w14:textId="77777777" w:rsidR="00057072" w:rsidRDefault="00B51957" w:rsidP="00E74D6F">
      <w:pPr>
        <w:pStyle w:val="Ttulo2"/>
      </w:pPr>
      <w:bookmarkStart w:id="926" w:name="_Toc140506498"/>
      <w:r w:rsidRPr="00B51957">
        <w:t>GIGAS ENERGY</w:t>
      </w:r>
      <w:bookmarkEnd w:id="926"/>
      <w:r w:rsidRPr="00B51957">
        <w:tab/>
      </w:r>
    </w:p>
    <w:p w14:paraId="332855FA" w14:textId="77777777" w:rsidR="00E74D6F" w:rsidRDefault="00E74D6F" w:rsidP="00E74D6F">
      <w:pPr>
        <w:pStyle w:val="Ttulo4"/>
      </w:pPr>
      <w:r w:rsidRPr="00B51957">
        <w:t>GIGAS ENERGY</w:t>
      </w:r>
      <w:r w:rsidRPr="00B51957">
        <w:tab/>
      </w:r>
    </w:p>
    <w:p w14:paraId="0DA59E40" w14:textId="26CA1E52" w:rsidR="00B51957" w:rsidRPr="00350ACB" w:rsidRDefault="001E68DD" w:rsidP="00B51957">
      <w:pPr>
        <w:rPr>
          <w:rFonts w:cs="Arial"/>
          <w:i/>
          <w:iCs/>
          <w:sz w:val="22"/>
          <w:szCs w:val="22"/>
        </w:rPr>
      </w:pPr>
      <w:r>
        <w:rPr>
          <w:rFonts w:cs="Arial"/>
          <w:i/>
          <w:iCs/>
          <w:sz w:val="22"/>
          <w:szCs w:val="22"/>
        </w:rPr>
        <w:t>“</w:t>
      </w:r>
      <w:r w:rsidR="00B51957" w:rsidRPr="00350ACB">
        <w:rPr>
          <w:rFonts w:cs="Arial"/>
          <w:i/>
          <w:iCs/>
          <w:sz w:val="22"/>
          <w:szCs w:val="22"/>
        </w:rPr>
        <w:t>El inciso inicial limita la participación en el mercado secundario a comercializadores con derechos adquiridos en el mercado secundario, pues solo permite la celebración de los contratos enlistados respecto de aquellos derechos de suministro adquiridos en el mercado primario.</w:t>
      </w:r>
      <w:r>
        <w:rPr>
          <w:rFonts w:cs="Arial"/>
          <w:i/>
          <w:iCs/>
          <w:sz w:val="22"/>
          <w:szCs w:val="22"/>
        </w:rPr>
        <w:t>”</w:t>
      </w:r>
    </w:p>
    <w:p w14:paraId="4D3870AA" w14:textId="77777777" w:rsidR="00350ACB" w:rsidRDefault="00350ACB" w:rsidP="00B51957">
      <w:pPr>
        <w:rPr>
          <w:rFonts w:cs="Arial"/>
          <w:sz w:val="22"/>
          <w:szCs w:val="22"/>
        </w:rPr>
      </w:pPr>
    </w:p>
    <w:p w14:paraId="06A39C43" w14:textId="1E7EA0BF" w:rsidR="00350ACB" w:rsidRPr="00350ACB" w:rsidRDefault="00350ACB" w:rsidP="00B51957">
      <w:pPr>
        <w:rPr>
          <w:rFonts w:cs="Arial"/>
          <w:b/>
          <w:bCs/>
          <w:sz w:val="22"/>
          <w:szCs w:val="22"/>
        </w:rPr>
      </w:pPr>
      <w:r w:rsidRPr="00350ACB">
        <w:rPr>
          <w:rFonts w:cs="Arial"/>
          <w:b/>
          <w:bCs/>
          <w:sz w:val="22"/>
          <w:szCs w:val="22"/>
        </w:rPr>
        <w:t>Respuesta:</w:t>
      </w:r>
    </w:p>
    <w:p w14:paraId="6C551283" w14:textId="77777777" w:rsidR="00350ACB" w:rsidRDefault="00350ACB" w:rsidP="00B51957">
      <w:pPr>
        <w:rPr>
          <w:rFonts w:cs="Arial"/>
          <w:sz w:val="22"/>
          <w:szCs w:val="22"/>
        </w:rPr>
      </w:pPr>
    </w:p>
    <w:p w14:paraId="148E8FB5" w14:textId="76050A51" w:rsidR="00350ACB" w:rsidRDefault="00350ACB" w:rsidP="00B51957">
      <w:pPr>
        <w:rPr>
          <w:rFonts w:cs="Arial"/>
          <w:sz w:val="22"/>
          <w:szCs w:val="22"/>
        </w:rPr>
      </w:pPr>
      <w:r>
        <w:rPr>
          <w:rFonts w:cs="Arial"/>
          <w:sz w:val="22"/>
          <w:szCs w:val="22"/>
        </w:rPr>
        <w:t>Se acoge el comentario.</w:t>
      </w:r>
    </w:p>
    <w:p w14:paraId="37DF01F3" w14:textId="77777777" w:rsidR="00350ACB" w:rsidRDefault="00350ACB" w:rsidP="00B51957">
      <w:pPr>
        <w:rPr>
          <w:rFonts w:cs="Arial"/>
          <w:sz w:val="22"/>
          <w:szCs w:val="22"/>
        </w:rPr>
      </w:pPr>
    </w:p>
    <w:p w14:paraId="0A460BB5" w14:textId="4CC88563" w:rsidR="00350ACB" w:rsidRPr="00B51957" w:rsidRDefault="00350ACB" w:rsidP="00B5195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_Ref133306606 \r \h </w:instrText>
      </w:r>
      <w:r>
        <w:rPr>
          <w:rFonts w:cs="Arial"/>
          <w:sz w:val="22"/>
          <w:szCs w:val="22"/>
        </w:rPr>
      </w:r>
      <w:r>
        <w:rPr>
          <w:rFonts w:cs="Arial"/>
          <w:sz w:val="22"/>
          <w:szCs w:val="22"/>
        </w:rPr>
        <w:fldChar w:fldCharType="separate"/>
      </w:r>
      <w:r>
        <w:rPr>
          <w:rFonts w:cs="Arial"/>
          <w:sz w:val="22"/>
          <w:szCs w:val="22"/>
        </w:rPr>
        <w:t>23.2.1.1</w:t>
      </w:r>
      <w:r>
        <w:rPr>
          <w:rFonts w:cs="Arial"/>
          <w:sz w:val="22"/>
          <w:szCs w:val="22"/>
        </w:rPr>
        <w:fldChar w:fldCharType="end"/>
      </w:r>
      <w:r>
        <w:rPr>
          <w:rFonts w:cs="Arial"/>
          <w:sz w:val="22"/>
          <w:szCs w:val="22"/>
        </w:rPr>
        <w:t>.</w:t>
      </w:r>
    </w:p>
    <w:p w14:paraId="2D44AFF6" w14:textId="77777777" w:rsidR="00057072" w:rsidRDefault="00057072" w:rsidP="00B51957">
      <w:pPr>
        <w:rPr>
          <w:rFonts w:cs="Arial"/>
          <w:sz w:val="22"/>
          <w:szCs w:val="22"/>
        </w:rPr>
      </w:pPr>
    </w:p>
    <w:p w14:paraId="2A91D16A" w14:textId="77777777" w:rsidR="00057072" w:rsidRDefault="00057072" w:rsidP="00B51957">
      <w:pPr>
        <w:rPr>
          <w:rFonts w:cs="Arial"/>
          <w:sz w:val="22"/>
          <w:szCs w:val="22"/>
        </w:rPr>
      </w:pPr>
    </w:p>
    <w:p w14:paraId="3AE650E2" w14:textId="77777777" w:rsidR="00057072" w:rsidRDefault="00B51957" w:rsidP="00E74D6F">
      <w:pPr>
        <w:pStyle w:val="Ttulo2"/>
      </w:pPr>
      <w:bookmarkStart w:id="927" w:name="_Toc140506499"/>
      <w:r w:rsidRPr="00B51957">
        <w:t>MC2 S.A. E.S.P.</w:t>
      </w:r>
      <w:bookmarkEnd w:id="927"/>
      <w:r w:rsidRPr="00B51957">
        <w:tab/>
      </w:r>
    </w:p>
    <w:p w14:paraId="14F8B14F" w14:textId="77777777" w:rsidR="00E74D6F" w:rsidRDefault="00E74D6F" w:rsidP="00E74D6F">
      <w:pPr>
        <w:pStyle w:val="Ttulo4"/>
      </w:pPr>
      <w:r w:rsidRPr="00B51957">
        <w:t>MC2 S.A. E.S.P.</w:t>
      </w:r>
      <w:r w:rsidRPr="00B51957">
        <w:tab/>
      </w:r>
    </w:p>
    <w:p w14:paraId="25B4AE68" w14:textId="742233F9" w:rsidR="00B51957" w:rsidRPr="00350ACB" w:rsidRDefault="00B51957" w:rsidP="00B51957">
      <w:pPr>
        <w:rPr>
          <w:rFonts w:cs="Arial"/>
          <w:i/>
          <w:iCs/>
          <w:sz w:val="22"/>
          <w:szCs w:val="22"/>
        </w:rPr>
      </w:pPr>
      <w:r w:rsidRPr="00B51957">
        <w:rPr>
          <w:rFonts w:cs="Arial"/>
          <w:sz w:val="22"/>
          <w:szCs w:val="22"/>
        </w:rPr>
        <w:t>"</w:t>
      </w:r>
      <w:r w:rsidRPr="00350ACB">
        <w:rPr>
          <w:rFonts w:cs="Arial"/>
          <w:i/>
          <w:iCs/>
          <w:sz w:val="22"/>
          <w:szCs w:val="22"/>
        </w:rPr>
        <w:t xml:space="preserve">El artículo 25 establece que </w:t>
      </w:r>
      <w:r w:rsidR="001E68DD">
        <w:rPr>
          <w:rFonts w:cs="Arial"/>
          <w:i/>
          <w:iCs/>
          <w:sz w:val="22"/>
          <w:szCs w:val="22"/>
        </w:rPr>
        <w:t>‘</w:t>
      </w:r>
      <w:r w:rsidRPr="00350ACB">
        <w:rPr>
          <w:rFonts w:cs="Arial"/>
          <w:i/>
          <w:iCs/>
          <w:sz w:val="22"/>
          <w:szCs w:val="22"/>
        </w:rPr>
        <w:t>En el mercado secundario sólo podrán pactarse las siguientes modalidades de contratos para negociar los derechos de suministro adquiridos por los compradores del Mercado Primario:</w:t>
      </w:r>
      <w:r w:rsidR="00D3399F">
        <w:rPr>
          <w:rFonts w:cs="Arial"/>
          <w:i/>
          <w:iCs/>
          <w:sz w:val="22"/>
          <w:szCs w:val="22"/>
        </w:rPr>
        <w:t>’</w:t>
      </w:r>
      <w:r w:rsidRPr="00350ACB">
        <w:rPr>
          <w:rFonts w:cs="Arial"/>
          <w:i/>
          <w:iCs/>
          <w:sz w:val="22"/>
          <w:szCs w:val="22"/>
        </w:rPr>
        <w:t xml:space="preserve"> De acuerdo con esa redacción ¿debe entenderse que los derechos de suministro adquiridos en el mercado secundario por el comprador cesionario no son objeto de negociación en dicho mercado secundario? Adicionalmente, si el mercado secundario es un mercado de excedentes y ajustes ¿por qué no se permitiría la celebración de contratos de suministro entre comercializadores?</w:t>
      </w:r>
      <w:r w:rsidR="00D3399F">
        <w:rPr>
          <w:rFonts w:cs="Arial"/>
          <w:i/>
          <w:iCs/>
          <w:sz w:val="22"/>
          <w:szCs w:val="22"/>
        </w:rPr>
        <w:t>”</w:t>
      </w:r>
    </w:p>
    <w:p w14:paraId="1F938541" w14:textId="77777777" w:rsidR="00B51957" w:rsidRDefault="00B51957" w:rsidP="00B51957">
      <w:pPr>
        <w:rPr>
          <w:rFonts w:cs="Arial"/>
          <w:i/>
          <w:iCs/>
          <w:sz w:val="22"/>
          <w:szCs w:val="22"/>
        </w:rPr>
      </w:pPr>
    </w:p>
    <w:p w14:paraId="2066476B" w14:textId="0F47393D" w:rsidR="00350ACB" w:rsidRPr="00350ACB" w:rsidRDefault="00350ACB" w:rsidP="00B51957">
      <w:pPr>
        <w:rPr>
          <w:rFonts w:cs="Arial"/>
          <w:b/>
          <w:bCs/>
          <w:sz w:val="22"/>
          <w:szCs w:val="22"/>
        </w:rPr>
      </w:pPr>
      <w:r w:rsidRPr="00350ACB">
        <w:rPr>
          <w:rFonts w:cs="Arial"/>
          <w:b/>
          <w:bCs/>
          <w:sz w:val="22"/>
          <w:szCs w:val="22"/>
        </w:rPr>
        <w:t>Respuesta:</w:t>
      </w:r>
    </w:p>
    <w:p w14:paraId="4A66C1BE" w14:textId="77777777" w:rsidR="00350ACB" w:rsidRDefault="00350ACB" w:rsidP="00B51957">
      <w:pPr>
        <w:rPr>
          <w:rFonts w:cs="Arial"/>
          <w:i/>
          <w:iCs/>
          <w:sz w:val="22"/>
          <w:szCs w:val="22"/>
        </w:rPr>
      </w:pPr>
    </w:p>
    <w:p w14:paraId="5FB2B809" w14:textId="5E5D703B" w:rsidR="00350ACB" w:rsidRPr="00350ACB" w:rsidRDefault="00FA3769" w:rsidP="00B51957">
      <w:pPr>
        <w:rPr>
          <w:rFonts w:cs="Arial"/>
          <w:sz w:val="22"/>
          <w:szCs w:val="22"/>
        </w:rPr>
      </w:pPr>
      <w:r>
        <w:rPr>
          <w:rFonts w:cs="Arial"/>
          <w:sz w:val="22"/>
          <w:szCs w:val="22"/>
        </w:rPr>
        <w:t xml:space="preserve">En la nueva propuesta se da claridad sobre el tema. El comprador cesionario solamente podrá ser un comprador del Mercado Primario, que remplaza al comprador </w:t>
      </w:r>
      <w:r w:rsidR="00503F31">
        <w:rPr>
          <w:rFonts w:cs="Arial"/>
          <w:sz w:val="22"/>
          <w:szCs w:val="22"/>
        </w:rPr>
        <w:t xml:space="preserve">inicial </w:t>
      </w:r>
      <w:r>
        <w:rPr>
          <w:rFonts w:cs="Arial"/>
          <w:sz w:val="22"/>
          <w:szCs w:val="22"/>
        </w:rPr>
        <w:t xml:space="preserve">del contrato </w:t>
      </w:r>
      <w:r w:rsidR="00503F31">
        <w:rPr>
          <w:rFonts w:cs="Arial"/>
          <w:sz w:val="22"/>
          <w:szCs w:val="22"/>
        </w:rPr>
        <w:t xml:space="preserve">de suministro </w:t>
      </w:r>
      <w:r>
        <w:rPr>
          <w:rFonts w:cs="Arial"/>
          <w:sz w:val="22"/>
          <w:szCs w:val="22"/>
        </w:rPr>
        <w:t>suscrito con e</w:t>
      </w:r>
      <w:r w:rsidR="00503F31">
        <w:rPr>
          <w:rFonts w:cs="Arial"/>
          <w:sz w:val="22"/>
          <w:szCs w:val="22"/>
        </w:rPr>
        <w:t>l</w:t>
      </w:r>
      <w:r>
        <w:rPr>
          <w:rFonts w:cs="Arial"/>
          <w:sz w:val="22"/>
          <w:szCs w:val="22"/>
        </w:rPr>
        <w:t xml:space="preserve"> vendedor</w:t>
      </w:r>
      <w:r w:rsidR="00503F31">
        <w:rPr>
          <w:rFonts w:cs="Arial"/>
          <w:sz w:val="22"/>
          <w:szCs w:val="22"/>
        </w:rPr>
        <w:t xml:space="preserve"> del Mercado Primario. El contrato sigue siendo del Mercado Primario, ni hay aplicación de Mercado Secundario en tal cesión.</w:t>
      </w:r>
      <w:r>
        <w:rPr>
          <w:rFonts w:cs="Arial"/>
          <w:sz w:val="22"/>
          <w:szCs w:val="22"/>
        </w:rPr>
        <w:t xml:space="preserve"> </w:t>
      </w:r>
    </w:p>
    <w:p w14:paraId="35626334" w14:textId="77777777" w:rsidR="00350ACB" w:rsidRDefault="00350ACB" w:rsidP="00B51957">
      <w:pPr>
        <w:rPr>
          <w:rFonts w:cs="Arial"/>
          <w:i/>
          <w:iCs/>
          <w:sz w:val="22"/>
          <w:szCs w:val="22"/>
        </w:rPr>
      </w:pPr>
    </w:p>
    <w:p w14:paraId="6DBB9691" w14:textId="77777777" w:rsidR="00350ACB" w:rsidRDefault="00350ACB" w:rsidP="00B51957">
      <w:pPr>
        <w:rPr>
          <w:rFonts w:cs="Arial"/>
          <w:i/>
          <w:iCs/>
          <w:sz w:val="22"/>
          <w:szCs w:val="22"/>
        </w:rPr>
      </w:pPr>
    </w:p>
    <w:p w14:paraId="2C863779" w14:textId="77777777" w:rsidR="00350ACB" w:rsidRDefault="00350ACB" w:rsidP="00350ACB">
      <w:pPr>
        <w:pStyle w:val="Ttulo4"/>
      </w:pPr>
      <w:bookmarkStart w:id="928" w:name="_Ref133307344"/>
      <w:r w:rsidRPr="00B51957">
        <w:t>MC2 S.A. E.S.P.</w:t>
      </w:r>
      <w:bookmarkEnd w:id="928"/>
      <w:r w:rsidRPr="00B51957">
        <w:tab/>
      </w:r>
    </w:p>
    <w:p w14:paraId="796BCE4D" w14:textId="68CE42AB" w:rsidR="00B51957" w:rsidRDefault="00D3399F" w:rsidP="00B51957">
      <w:pPr>
        <w:rPr>
          <w:rFonts w:cs="Arial"/>
          <w:sz w:val="22"/>
          <w:szCs w:val="22"/>
        </w:rPr>
      </w:pPr>
      <w:r>
        <w:rPr>
          <w:rFonts w:cs="Arial"/>
          <w:i/>
          <w:iCs/>
          <w:sz w:val="22"/>
          <w:szCs w:val="22"/>
        </w:rPr>
        <w:t>“</w:t>
      </w:r>
      <w:r w:rsidR="00B51957" w:rsidRPr="00350ACB">
        <w:rPr>
          <w:rFonts w:cs="Arial"/>
          <w:i/>
          <w:iCs/>
          <w:sz w:val="22"/>
          <w:szCs w:val="22"/>
        </w:rPr>
        <w:t>Adicionalmente, la participación del comercializador puro en el mercado puede verse limitada, pues solo se está permitiendo la comercialización de contratos de suministro suscritos en el mercado primario. De tal forma que no permite las transacciones entre comercializadores, particularmente impide que un comercializador compre excedentes para sus ajustes que constituyen sobrantes de otro comercializador</w:t>
      </w:r>
      <w:r w:rsidR="00B51957" w:rsidRPr="00B51957">
        <w:rPr>
          <w:rFonts w:cs="Arial"/>
          <w:sz w:val="22"/>
          <w:szCs w:val="22"/>
        </w:rPr>
        <w:t>."</w:t>
      </w:r>
    </w:p>
    <w:p w14:paraId="21B2AF88" w14:textId="77777777" w:rsidR="00350ACB" w:rsidRDefault="00350ACB" w:rsidP="00B51957">
      <w:pPr>
        <w:rPr>
          <w:rFonts w:cs="Arial"/>
          <w:sz w:val="22"/>
          <w:szCs w:val="22"/>
        </w:rPr>
      </w:pPr>
    </w:p>
    <w:p w14:paraId="54161354" w14:textId="09FC589F" w:rsidR="00350ACB" w:rsidRPr="00350ACB" w:rsidRDefault="00350ACB" w:rsidP="00B51957">
      <w:pPr>
        <w:rPr>
          <w:rFonts w:cs="Arial"/>
          <w:b/>
          <w:bCs/>
          <w:sz w:val="22"/>
          <w:szCs w:val="22"/>
        </w:rPr>
      </w:pPr>
      <w:r w:rsidRPr="00350ACB">
        <w:rPr>
          <w:rFonts w:cs="Arial"/>
          <w:b/>
          <w:bCs/>
          <w:sz w:val="22"/>
          <w:szCs w:val="22"/>
        </w:rPr>
        <w:t>Respuesta:</w:t>
      </w:r>
    </w:p>
    <w:p w14:paraId="31CE3E31" w14:textId="77777777" w:rsidR="00350ACB" w:rsidRDefault="00350ACB" w:rsidP="00B51957">
      <w:pPr>
        <w:rPr>
          <w:rFonts w:cs="Arial"/>
          <w:sz w:val="22"/>
          <w:szCs w:val="22"/>
        </w:rPr>
      </w:pPr>
    </w:p>
    <w:p w14:paraId="36A0B69C" w14:textId="69126629" w:rsidR="00503F31" w:rsidRPr="00B51957" w:rsidRDefault="00503F31" w:rsidP="00503F31">
      <w:pPr>
        <w:rPr>
          <w:rFonts w:cs="Arial"/>
          <w:sz w:val="22"/>
          <w:szCs w:val="22"/>
        </w:rPr>
      </w:pPr>
      <w:r>
        <w:rPr>
          <w:rFonts w:cs="Arial"/>
          <w:sz w:val="22"/>
          <w:szCs w:val="22"/>
        </w:rPr>
        <w:t>En la nueva propuesta en form</w:t>
      </w:r>
      <w:r w:rsidR="00B62FB4">
        <w:rPr>
          <w:rFonts w:cs="Arial"/>
          <w:sz w:val="22"/>
          <w:szCs w:val="22"/>
        </w:rPr>
        <w:t>a</w:t>
      </w:r>
      <w:r>
        <w:rPr>
          <w:rFonts w:cs="Arial"/>
          <w:sz w:val="22"/>
          <w:szCs w:val="22"/>
        </w:rPr>
        <w:t xml:space="preserve"> general se permite que la</w:t>
      </w:r>
      <w:r w:rsidRPr="00532595">
        <w:rPr>
          <w:rFonts w:cs="Arial"/>
          <w:sz w:val="22"/>
          <w:szCs w:val="22"/>
        </w:rPr>
        <w:t xml:space="preserve"> cantidad total de derechos de suministro de cada comercializador que se ofrezca en venta mediante contratos en firme o que  garantizan firmeza, no podrá ser superior a </w:t>
      </w:r>
      <w:proofErr w:type="gramStart"/>
      <w:r w:rsidRPr="00532595">
        <w:rPr>
          <w:rFonts w:cs="Arial"/>
          <w:sz w:val="22"/>
          <w:szCs w:val="22"/>
        </w:rPr>
        <w:t>la sumas</w:t>
      </w:r>
      <w:proofErr w:type="gramEnd"/>
      <w:r w:rsidRPr="00532595">
        <w:rPr>
          <w:rFonts w:cs="Arial"/>
          <w:sz w:val="22"/>
          <w:szCs w:val="22"/>
        </w:rPr>
        <w:t xml:space="preserve"> de las cantidades de derechos de suministro de que disponga dicho comercializador a través de los contratos suscritos en firme o con garantía de firmeza, como parte compradora, tanto en el mercado primario como en el mercado secundario</w:t>
      </w:r>
      <w:r>
        <w:rPr>
          <w:rFonts w:cs="Arial"/>
          <w:sz w:val="22"/>
          <w:szCs w:val="22"/>
        </w:rPr>
        <w:t>.</w:t>
      </w:r>
    </w:p>
    <w:p w14:paraId="524D926C" w14:textId="77777777" w:rsidR="00503F31" w:rsidRPr="00B51957" w:rsidRDefault="00503F31" w:rsidP="00B51957">
      <w:pPr>
        <w:rPr>
          <w:rFonts w:cs="Arial"/>
          <w:sz w:val="22"/>
          <w:szCs w:val="22"/>
        </w:rPr>
      </w:pPr>
    </w:p>
    <w:p w14:paraId="636EAC41" w14:textId="77777777" w:rsidR="00057072" w:rsidRDefault="00057072" w:rsidP="00B51957">
      <w:pPr>
        <w:rPr>
          <w:rFonts w:cs="Arial"/>
          <w:sz w:val="22"/>
          <w:szCs w:val="22"/>
        </w:rPr>
      </w:pPr>
    </w:p>
    <w:p w14:paraId="69D74134" w14:textId="77777777" w:rsidR="00057072" w:rsidRDefault="00B51957" w:rsidP="00E74D6F">
      <w:pPr>
        <w:pStyle w:val="Ttulo4"/>
      </w:pPr>
      <w:r w:rsidRPr="00B51957">
        <w:t>MC2 S.A. E.S.P.</w:t>
      </w:r>
      <w:r w:rsidRPr="00B51957">
        <w:tab/>
      </w:r>
    </w:p>
    <w:p w14:paraId="37D648F3" w14:textId="7629FEC1" w:rsidR="00B51957" w:rsidRPr="00503F31" w:rsidRDefault="00D3399F" w:rsidP="00B51957">
      <w:pPr>
        <w:rPr>
          <w:rFonts w:cs="Arial"/>
          <w:i/>
          <w:iCs/>
          <w:sz w:val="22"/>
          <w:szCs w:val="22"/>
        </w:rPr>
      </w:pPr>
      <w:r>
        <w:rPr>
          <w:rFonts w:cs="Arial"/>
          <w:i/>
          <w:iCs/>
          <w:sz w:val="22"/>
          <w:szCs w:val="22"/>
        </w:rPr>
        <w:t>“</w:t>
      </w:r>
      <w:r w:rsidR="00B51957" w:rsidRPr="00503F31">
        <w:rPr>
          <w:rFonts w:cs="Arial"/>
          <w:i/>
          <w:iCs/>
          <w:sz w:val="22"/>
          <w:szCs w:val="22"/>
        </w:rPr>
        <w:t>En el parágrafo 5 hay un error de redacción al hacer referencia al Artículo 122.</w:t>
      </w:r>
      <w:r>
        <w:rPr>
          <w:rFonts w:cs="Arial"/>
          <w:i/>
          <w:iCs/>
          <w:sz w:val="22"/>
          <w:szCs w:val="22"/>
        </w:rPr>
        <w:t>”</w:t>
      </w:r>
    </w:p>
    <w:p w14:paraId="2DBCFC64" w14:textId="77777777" w:rsidR="00503F31" w:rsidRDefault="00503F31" w:rsidP="00B51957">
      <w:pPr>
        <w:rPr>
          <w:rFonts w:cs="Arial"/>
          <w:sz w:val="22"/>
          <w:szCs w:val="22"/>
        </w:rPr>
      </w:pPr>
    </w:p>
    <w:p w14:paraId="43BF97B2" w14:textId="6693C98A" w:rsidR="00503F31" w:rsidRPr="00503F31" w:rsidRDefault="00503F31" w:rsidP="00B51957">
      <w:pPr>
        <w:rPr>
          <w:rFonts w:cs="Arial"/>
          <w:b/>
          <w:bCs/>
          <w:sz w:val="22"/>
          <w:szCs w:val="22"/>
        </w:rPr>
      </w:pPr>
      <w:r w:rsidRPr="00503F31">
        <w:rPr>
          <w:rFonts w:cs="Arial"/>
          <w:b/>
          <w:bCs/>
          <w:sz w:val="22"/>
          <w:szCs w:val="22"/>
        </w:rPr>
        <w:t>Respuesta:</w:t>
      </w:r>
    </w:p>
    <w:p w14:paraId="238D606F" w14:textId="77777777" w:rsidR="00503F31" w:rsidRDefault="00503F31" w:rsidP="00B51957">
      <w:pPr>
        <w:rPr>
          <w:rFonts w:cs="Arial"/>
          <w:sz w:val="22"/>
          <w:szCs w:val="22"/>
        </w:rPr>
      </w:pPr>
    </w:p>
    <w:p w14:paraId="0748557B" w14:textId="2A081952" w:rsidR="00503F31" w:rsidRPr="00B51957" w:rsidRDefault="00503F31" w:rsidP="00B5195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_Ref133307225 \r \h </w:instrText>
      </w:r>
      <w:r>
        <w:rPr>
          <w:rFonts w:cs="Arial"/>
          <w:sz w:val="22"/>
          <w:szCs w:val="22"/>
        </w:rPr>
      </w:r>
      <w:r>
        <w:rPr>
          <w:rFonts w:cs="Arial"/>
          <w:sz w:val="22"/>
          <w:szCs w:val="22"/>
        </w:rPr>
        <w:fldChar w:fldCharType="separate"/>
      </w:r>
      <w:r>
        <w:rPr>
          <w:rFonts w:cs="Arial"/>
          <w:sz w:val="22"/>
          <w:szCs w:val="22"/>
        </w:rPr>
        <w:t>23.1.1.1</w:t>
      </w:r>
      <w:r>
        <w:rPr>
          <w:rFonts w:cs="Arial"/>
          <w:sz w:val="22"/>
          <w:szCs w:val="22"/>
        </w:rPr>
        <w:fldChar w:fldCharType="end"/>
      </w:r>
      <w:r>
        <w:rPr>
          <w:rFonts w:cs="Arial"/>
          <w:sz w:val="22"/>
          <w:szCs w:val="22"/>
        </w:rPr>
        <w:t>.</w:t>
      </w:r>
    </w:p>
    <w:p w14:paraId="0A214504" w14:textId="77777777" w:rsidR="00057072" w:rsidRDefault="00057072" w:rsidP="00B51957">
      <w:pPr>
        <w:rPr>
          <w:rFonts w:cs="Arial"/>
          <w:sz w:val="22"/>
          <w:szCs w:val="22"/>
        </w:rPr>
      </w:pPr>
    </w:p>
    <w:p w14:paraId="69FDFDDD" w14:textId="77777777" w:rsidR="00057072" w:rsidRDefault="00057072" w:rsidP="00B51957">
      <w:pPr>
        <w:rPr>
          <w:rFonts w:cs="Arial"/>
          <w:sz w:val="22"/>
          <w:szCs w:val="22"/>
        </w:rPr>
      </w:pPr>
    </w:p>
    <w:p w14:paraId="4E086BF1" w14:textId="77777777" w:rsidR="00057072" w:rsidRDefault="00B51957" w:rsidP="00E74D6F">
      <w:pPr>
        <w:pStyle w:val="Ttulo2"/>
      </w:pPr>
      <w:bookmarkStart w:id="929" w:name="_Toc140506500"/>
      <w:r w:rsidRPr="00B51957">
        <w:t>SSPD</w:t>
      </w:r>
      <w:bookmarkEnd w:id="929"/>
      <w:r w:rsidRPr="00B51957">
        <w:tab/>
      </w:r>
    </w:p>
    <w:p w14:paraId="409CFD04" w14:textId="77777777" w:rsidR="00E74D6F" w:rsidRDefault="00E74D6F" w:rsidP="00E74D6F">
      <w:pPr>
        <w:pStyle w:val="Ttulo4"/>
      </w:pPr>
      <w:r w:rsidRPr="00B51957">
        <w:t>SSPD</w:t>
      </w:r>
      <w:r w:rsidRPr="00B51957">
        <w:tab/>
      </w:r>
    </w:p>
    <w:p w14:paraId="32B95830" w14:textId="0B29F4B2" w:rsidR="00B51957" w:rsidRPr="00503F31" w:rsidRDefault="00D3399F" w:rsidP="00B51957">
      <w:pPr>
        <w:rPr>
          <w:rFonts w:cs="Arial"/>
          <w:i/>
          <w:iCs/>
          <w:sz w:val="22"/>
          <w:szCs w:val="22"/>
        </w:rPr>
      </w:pPr>
      <w:r>
        <w:rPr>
          <w:rFonts w:cs="Arial"/>
          <w:i/>
          <w:iCs/>
          <w:sz w:val="22"/>
          <w:szCs w:val="22"/>
        </w:rPr>
        <w:t>“</w:t>
      </w:r>
      <w:r w:rsidR="00B51957" w:rsidRPr="00503F31">
        <w:rPr>
          <w:rFonts w:cs="Arial"/>
          <w:i/>
          <w:iCs/>
          <w:sz w:val="22"/>
          <w:szCs w:val="22"/>
        </w:rPr>
        <w:t xml:space="preserve">Se hace referencia erróneamente al Artículo 122. </w:t>
      </w:r>
      <w:proofErr w:type="gramStart"/>
      <w:r w:rsidR="00B51957" w:rsidRPr="00503F31">
        <w:rPr>
          <w:rFonts w:cs="Arial"/>
          <w:i/>
          <w:iCs/>
          <w:sz w:val="22"/>
          <w:szCs w:val="22"/>
        </w:rPr>
        <w:t>De acuerdo al</w:t>
      </w:r>
      <w:proofErr w:type="gramEnd"/>
      <w:r w:rsidR="00B51957" w:rsidRPr="00503F31">
        <w:rPr>
          <w:rFonts w:cs="Arial"/>
          <w:i/>
          <w:iCs/>
          <w:sz w:val="22"/>
          <w:szCs w:val="22"/>
        </w:rPr>
        <w:t xml:space="preserve"> entendimiento de la resolución se debe hacer referencia al Artículo 12 (Duración permisible para suspensiones del servicio)</w:t>
      </w:r>
      <w:r w:rsidR="00503F31" w:rsidRPr="00503F31">
        <w:rPr>
          <w:rFonts w:cs="Arial"/>
          <w:i/>
          <w:iCs/>
          <w:sz w:val="22"/>
          <w:szCs w:val="22"/>
        </w:rPr>
        <w:t>.</w:t>
      </w:r>
      <w:r>
        <w:rPr>
          <w:rFonts w:cs="Arial"/>
          <w:i/>
          <w:iCs/>
          <w:sz w:val="22"/>
          <w:szCs w:val="22"/>
        </w:rPr>
        <w:t>”</w:t>
      </w:r>
    </w:p>
    <w:p w14:paraId="4A6046B7" w14:textId="77777777" w:rsidR="00503F31" w:rsidRDefault="00503F31" w:rsidP="00B51957">
      <w:pPr>
        <w:rPr>
          <w:rFonts w:cs="Arial"/>
          <w:sz w:val="22"/>
          <w:szCs w:val="22"/>
        </w:rPr>
      </w:pPr>
    </w:p>
    <w:p w14:paraId="28BC446F" w14:textId="0168BF3C" w:rsidR="00503F31" w:rsidRPr="00503F31" w:rsidRDefault="00503F31" w:rsidP="00B51957">
      <w:pPr>
        <w:rPr>
          <w:rFonts w:cs="Arial"/>
          <w:b/>
          <w:bCs/>
          <w:sz w:val="22"/>
          <w:szCs w:val="22"/>
        </w:rPr>
      </w:pPr>
      <w:r w:rsidRPr="00503F31">
        <w:rPr>
          <w:rFonts w:cs="Arial"/>
          <w:b/>
          <w:bCs/>
          <w:sz w:val="22"/>
          <w:szCs w:val="22"/>
        </w:rPr>
        <w:t>Respuesta:</w:t>
      </w:r>
    </w:p>
    <w:p w14:paraId="5D7F05C2" w14:textId="77777777" w:rsidR="00503F31" w:rsidRDefault="00503F31" w:rsidP="00B51957">
      <w:pPr>
        <w:rPr>
          <w:rFonts w:cs="Arial"/>
          <w:sz w:val="22"/>
          <w:szCs w:val="22"/>
        </w:rPr>
      </w:pPr>
    </w:p>
    <w:p w14:paraId="4BD75133" w14:textId="77777777" w:rsidR="00503F31" w:rsidRPr="00B51957" w:rsidRDefault="00503F31" w:rsidP="00503F3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_Ref133307225 \r \h </w:instrText>
      </w:r>
      <w:r>
        <w:rPr>
          <w:rFonts w:cs="Arial"/>
          <w:sz w:val="22"/>
          <w:szCs w:val="22"/>
        </w:rPr>
      </w:r>
      <w:r>
        <w:rPr>
          <w:rFonts w:cs="Arial"/>
          <w:sz w:val="22"/>
          <w:szCs w:val="22"/>
        </w:rPr>
        <w:fldChar w:fldCharType="separate"/>
      </w:r>
      <w:r>
        <w:rPr>
          <w:rFonts w:cs="Arial"/>
          <w:sz w:val="22"/>
          <w:szCs w:val="22"/>
        </w:rPr>
        <w:t>23.1.1.1</w:t>
      </w:r>
      <w:r>
        <w:rPr>
          <w:rFonts w:cs="Arial"/>
          <w:sz w:val="22"/>
          <w:szCs w:val="22"/>
        </w:rPr>
        <w:fldChar w:fldCharType="end"/>
      </w:r>
      <w:r>
        <w:rPr>
          <w:rFonts w:cs="Arial"/>
          <w:sz w:val="22"/>
          <w:szCs w:val="22"/>
        </w:rPr>
        <w:t>.</w:t>
      </w:r>
    </w:p>
    <w:p w14:paraId="118967BC" w14:textId="77777777" w:rsidR="00057072" w:rsidRDefault="00057072" w:rsidP="00B51957">
      <w:pPr>
        <w:rPr>
          <w:rFonts w:cs="Arial"/>
          <w:sz w:val="22"/>
          <w:szCs w:val="22"/>
        </w:rPr>
      </w:pPr>
    </w:p>
    <w:p w14:paraId="1B96E23F" w14:textId="77777777" w:rsidR="00057072" w:rsidRDefault="00057072" w:rsidP="00B51957">
      <w:pPr>
        <w:rPr>
          <w:rFonts w:cs="Arial"/>
          <w:sz w:val="22"/>
          <w:szCs w:val="22"/>
        </w:rPr>
      </w:pPr>
    </w:p>
    <w:p w14:paraId="6B477F7E" w14:textId="77777777" w:rsidR="00057072" w:rsidRDefault="00B51957" w:rsidP="00E74D6F">
      <w:pPr>
        <w:pStyle w:val="Ttulo2"/>
      </w:pPr>
      <w:bookmarkStart w:id="930" w:name="_Toc140506501"/>
      <w:r w:rsidRPr="00B51957">
        <w:t>TEBSA</w:t>
      </w:r>
      <w:bookmarkEnd w:id="930"/>
      <w:r w:rsidRPr="00B51957">
        <w:tab/>
      </w:r>
    </w:p>
    <w:p w14:paraId="7CE65AAE" w14:textId="77777777" w:rsidR="00E74D6F" w:rsidRDefault="00E74D6F" w:rsidP="00E74D6F">
      <w:pPr>
        <w:pStyle w:val="Ttulo4"/>
      </w:pPr>
      <w:bookmarkStart w:id="931" w:name="_Ref133307603"/>
      <w:r w:rsidRPr="00B51957">
        <w:t>TEBSA</w:t>
      </w:r>
      <w:bookmarkEnd w:id="931"/>
      <w:r w:rsidRPr="00B51957">
        <w:tab/>
      </w:r>
    </w:p>
    <w:p w14:paraId="0B78EEF9" w14:textId="19992BA1" w:rsidR="00B51957" w:rsidRPr="00503F31" w:rsidRDefault="00D3399F" w:rsidP="00B51957">
      <w:pPr>
        <w:rPr>
          <w:rFonts w:cs="Arial"/>
          <w:i/>
          <w:iCs/>
          <w:sz w:val="22"/>
          <w:szCs w:val="22"/>
        </w:rPr>
      </w:pPr>
      <w:r>
        <w:rPr>
          <w:rFonts w:cs="Arial"/>
          <w:i/>
          <w:iCs/>
          <w:sz w:val="22"/>
          <w:szCs w:val="22"/>
        </w:rPr>
        <w:t>“</w:t>
      </w:r>
      <w:r w:rsidR="00B51957" w:rsidRPr="00503F31">
        <w:rPr>
          <w:rFonts w:cs="Arial"/>
          <w:i/>
          <w:iCs/>
          <w:sz w:val="22"/>
          <w:szCs w:val="22"/>
        </w:rPr>
        <w:t>¿Se pueden negociar cantidades que no son adquiridas en el mercado primario? Por ejemplo, ¿cantidades de un UNR, del cual comercializador es el administrador del contrato y vende sus excedentes?</w:t>
      </w:r>
      <w:r>
        <w:rPr>
          <w:rFonts w:cs="Arial"/>
          <w:i/>
          <w:iCs/>
          <w:sz w:val="22"/>
          <w:szCs w:val="22"/>
        </w:rPr>
        <w:t>”</w:t>
      </w:r>
    </w:p>
    <w:p w14:paraId="6169D8D8" w14:textId="77777777" w:rsidR="00503F31" w:rsidRDefault="00503F31" w:rsidP="00B51957">
      <w:pPr>
        <w:rPr>
          <w:rFonts w:cs="Arial"/>
          <w:sz w:val="22"/>
          <w:szCs w:val="22"/>
        </w:rPr>
      </w:pPr>
    </w:p>
    <w:p w14:paraId="79CD33D7" w14:textId="6AB7D109" w:rsidR="00503F31" w:rsidRPr="00503F31" w:rsidRDefault="00503F31" w:rsidP="00B51957">
      <w:pPr>
        <w:rPr>
          <w:rFonts w:cs="Arial"/>
          <w:b/>
          <w:bCs/>
          <w:sz w:val="22"/>
          <w:szCs w:val="22"/>
        </w:rPr>
      </w:pPr>
      <w:r w:rsidRPr="00503F31">
        <w:rPr>
          <w:rFonts w:cs="Arial"/>
          <w:b/>
          <w:bCs/>
          <w:sz w:val="22"/>
          <w:szCs w:val="22"/>
        </w:rPr>
        <w:t>Respuesta:</w:t>
      </w:r>
    </w:p>
    <w:p w14:paraId="7EEF0457" w14:textId="77777777" w:rsidR="00503F31" w:rsidRDefault="00503F31" w:rsidP="00B51957">
      <w:pPr>
        <w:rPr>
          <w:rFonts w:cs="Arial"/>
          <w:sz w:val="22"/>
          <w:szCs w:val="22"/>
        </w:rPr>
      </w:pPr>
    </w:p>
    <w:p w14:paraId="6DFC8FB4" w14:textId="5EFFCBE9" w:rsidR="00503F31" w:rsidRDefault="00AD306F" w:rsidP="00B5195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_Ref133307344 \r \h </w:instrText>
      </w:r>
      <w:r>
        <w:rPr>
          <w:rFonts w:cs="Arial"/>
          <w:sz w:val="22"/>
          <w:szCs w:val="22"/>
        </w:rPr>
      </w:r>
      <w:r>
        <w:rPr>
          <w:rFonts w:cs="Arial"/>
          <w:sz w:val="22"/>
          <w:szCs w:val="22"/>
        </w:rPr>
        <w:fldChar w:fldCharType="separate"/>
      </w:r>
      <w:r>
        <w:rPr>
          <w:rFonts w:cs="Arial"/>
          <w:sz w:val="22"/>
          <w:szCs w:val="22"/>
        </w:rPr>
        <w:t>23.8.1.2</w:t>
      </w:r>
      <w:r>
        <w:rPr>
          <w:rFonts w:cs="Arial"/>
          <w:sz w:val="22"/>
          <w:szCs w:val="22"/>
        </w:rPr>
        <w:fldChar w:fldCharType="end"/>
      </w:r>
      <w:r>
        <w:rPr>
          <w:rFonts w:cs="Arial"/>
          <w:sz w:val="22"/>
          <w:szCs w:val="22"/>
        </w:rPr>
        <w:t xml:space="preserve">. </w:t>
      </w:r>
    </w:p>
    <w:p w14:paraId="7BC7A9DB" w14:textId="77777777" w:rsidR="00AD306F" w:rsidRDefault="00AD306F" w:rsidP="00B51957">
      <w:pPr>
        <w:rPr>
          <w:rFonts w:cs="Arial"/>
          <w:sz w:val="22"/>
          <w:szCs w:val="22"/>
        </w:rPr>
      </w:pPr>
    </w:p>
    <w:p w14:paraId="75DC4E7A" w14:textId="37412922" w:rsidR="00AD306F" w:rsidRDefault="00AD306F" w:rsidP="00B51957">
      <w:pPr>
        <w:rPr>
          <w:rFonts w:cs="Arial"/>
          <w:sz w:val="22"/>
          <w:szCs w:val="22"/>
        </w:rPr>
      </w:pPr>
      <w:r>
        <w:rPr>
          <w:rFonts w:cs="Arial"/>
          <w:sz w:val="22"/>
          <w:szCs w:val="22"/>
        </w:rPr>
        <w:t xml:space="preserve">Se debe tener en cuenta que un usuario no regulado que contrata como comprador el suministro de gas natural a un comercializador, solo puede hacerlo en el Mercado Minorista siendo este un contrato de prestación del servicio con condiciones especiales. Sobre </w:t>
      </w:r>
      <w:r w:rsidR="00B26074">
        <w:rPr>
          <w:rFonts w:cs="Arial"/>
          <w:sz w:val="22"/>
          <w:szCs w:val="22"/>
        </w:rPr>
        <w:t xml:space="preserve">la determinación de </w:t>
      </w:r>
      <w:r>
        <w:rPr>
          <w:rFonts w:cs="Arial"/>
          <w:sz w:val="22"/>
          <w:szCs w:val="22"/>
        </w:rPr>
        <w:t>esas condiciones especiales la CREG no ha establecido reglas específicas a la fecha.</w:t>
      </w:r>
    </w:p>
    <w:p w14:paraId="13404CD2" w14:textId="77777777" w:rsidR="00553EFE" w:rsidRDefault="00553EFE" w:rsidP="00B51957">
      <w:pPr>
        <w:rPr>
          <w:rFonts w:cs="Arial"/>
          <w:sz w:val="22"/>
          <w:szCs w:val="22"/>
        </w:rPr>
      </w:pPr>
    </w:p>
    <w:p w14:paraId="7B1D931F" w14:textId="77777777" w:rsidR="00057072" w:rsidRDefault="00057072" w:rsidP="00B51957">
      <w:pPr>
        <w:rPr>
          <w:rFonts w:cs="Arial"/>
          <w:sz w:val="22"/>
          <w:szCs w:val="22"/>
        </w:rPr>
      </w:pPr>
    </w:p>
    <w:p w14:paraId="39C839F2" w14:textId="77777777" w:rsidR="00057072" w:rsidRDefault="00B51957" w:rsidP="00E74D6F">
      <w:pPr>
        <w:pStyle w:val="Ttulo4"/>
      </w:pPr>
      <w:r w:rsidRPr="00B51957">
        <w:t>TEBSA</w:t>
      </w:r>
      <w:r w:rsidRPr="00B51957">
        <w:tab/>
      </w:r>
    </w:p>
    <w:p w14:paraId="39748F83" w14:textId="4FA0F023" w:rsidR="00B51957" w:rsidRDefault="00B51957" w:rsidP="00B51957">
      <w:pPr>
        <w:rPr>
          <w:rFonts w:cs="Arial"/>
          <w:i/>
          <w:iCs/>
          <w:sz w:val="22"/>
          <w:szCs w:val="22"/>
        </w:rPr>
      </w:pPr>
      <w:r w:rsidRPr="00553EFE">
        <w:rPr>
          <w:rFonts w:cs="Arial"/>
          <w:i/>
          <w:iCs/>
          <w:sz w:val="22"/>
          <w:szCs w:val="22"/>
        </w:rPr>
        <w:t xml:space="preserve">"¿Se pueden negociar cantidades que no son adquiridas en el MP? </w:t>
      </w:r>
      <w:proofErr w:type="gramStart"/>
      <w:r w:rsidRPr="00553EFE">
        <w:rPr>
          <w:rFonts w:cs="Arial"/>
          <w:i/>
          <w:iCs/>
          <w:sz w:val="22"/>
          <w:szCs w:val="22"/>
        </w:rPr>
        <w:t>Por ejemplo, cantidades de un UNR, del cual comercializador es el administrador del contrato y vende sus excedentes?</w:t>
      </w:r>
      <w:proofErr w:type="gramEnd"/>
      <w:r w:rsidR="00CB6A00">
        <w:rPr>
          <w:rFonts w:cs="Arial"/>
          <w:i/>
          <w:iCs/>
          <w:sz w:val="22"/>
          <w:szCs w:val="22"/>
        </w:rPr>
        <w:t>”</w:t>
      </w:r>
    </w:p>
    <w:p w14:paraId="3A28B8C8" w14:textId="77777777" w:rsidR="00AB6527" w:rsidRDefault="00AB6527" w:rsidP="00B51957">
      <w:pPr>
        <w:rPr>
          <w:rFonts w:cs="Arial"/>
          <w:i/>
          <w:iCs/>
          <w:sz w:val="22"/>
          <w:szCs w:val="22"/>
        </w:rPr>
      </w:pPr>
    </w:p>
    <w:p w14:paraId="23CB4FA3" w14:textId="77777777" w:rsidR="00AB6527" w:rsidRPr="00553EFE" w:rsidRDefault="00AB6527" w:rsidP="00AB6527">
      <w:pPr>
        <w:rPr>
          <w:rFonts w:cs="Arial"/>
          <w:b/>
          <w:bCs/>
          <w:sz w:val="22"/>
          <w:szCs w:val="22"/>
        </w:rPr>
      </w:pPr>
      <w:r w:rsidRPr="00553EFE">
        <w:rPr>
          <w:rFonts w:cs="Arial"/>
          <w:b/>
          <w:bCs/>
          <w:sz w:val="22"/>
          <w:szCs w:val="22"/>
        </w:rPr>
        <w:t xml:space="preserve">Respuesta: </w:t>
      </w:r>
    </w:p>
    <w:p w14:paraId="49BAF376" w14:textId="77777777" w:rsidR="00AB6527" w:rsidRDefault="00AB6527" w:rsidP="00AB6527">
      <w:pPr>
        <w:rPr>
          <w:rFonts w:cs="Arial"/>
          <w:sz w:val="22"/>
          <w:szCs w:val="22"/>
        </w:rPr>
      </w:pPr>
    </w:p>
    <w:p w14:paraId="241AC824" w14:textId="77777777" w:rsidR="00AB6527" w:rsidRDefault="00AB6527" w:rsidP="00AB652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_Ref133307603 \r \h </w:instrText>
      </w:r>
      <w:r>
        <w:rPr>
          <w:rFonts w:cs="Arial"/>
          <w:sz w:val="22"/>
          <w:szCs w:val="22"/>
        </w:rPr>
      </w:r>
      <w:r>
        <w:rPr>
          <w:rFonts w:cs="Arial"/>
          <w:sz w:val="22"/>
          <w:szCs w:val="22"/>
        </w:rPr>
        <w:fldChar w:fldCharType="separate"/>
      </w:r>
      <w:r>
        <w:rPr>
          <w:rFonts w:cs="Arial"/>
          <w:sz w:val="22"/>
          <w:szCs w:val="22"/>
        </w:rPr>
        <w:t>23.10.1.1</w:t>
      </w:r>
      <w:r>
        <w:rPr>
          <w:rFonts w:cs="Arial"/>
          <w:sz w:val="22"/>
          <w:szCs w:val="22"/>
        </w:rPr>
        <w:fldChar w:fldCharType="end"/>
      </w:r>
    </w:p>
    <w:p w14:paraId="562661C2" w14:textId="77777777" w:rsidR="00AB6527" w:rsidRPr="00553EFE" w:rsidRDefault="00AB6527" w:rsidP="00B51957">
      <w:pPr>
        <w:rPr>
          <w:rFonts w:cs="Arial"/>
          <w:i/>
          <w:iCs/>
          <w:sz w:val="22"/>
          <w:szCs w:val="22"/>
        </w:rPr>
      </w:pPr>
    </w:p>
    <w:p w14:paraId="47B27240" w14:textId="77777777" w:rsidR="00B51957" w:rsidRPr="00553EFE" w:rsidRDefault="00B51957" w:rsidP="00B51957">
      <w:pPr>
        <w:rPr>
          <w:rFonts w:cs="Arial"/>
          <w:i/>
          <w:iCs/>
          <w:sz w:val="22"/>
          <w:szCs w:val="22"/>
        </w:rPr>
      </w:pPr>
    </w:p>
    <w:p w14:paraId="0AB35EC2" w14:textId="77777777" w:rsidR="00AB6527" w:rsidRDefault="00AB6527" w:rsidP="00AB6527">
      <w:pPr>
        <w:pStyle w:val="Ttulo4"/>
      </w:pPr>
      <w:r w:rsidRPr="00B51957">
        <w:t>TEBSA</w:t>
      </w:r>
      <w:r w:rsidRPr="00B51957">
        <w:tab/>
      </w:r>
    </w:p>
    <w:p w14:paraId="23D5DD0A" w14:textId="1C684EDD" w:rsidR="00B51957" w:rsidRDefault="00CB6A00" w:rsidP="00B51957">
      <w:pPr>
        <w:rPr>
          <w:rFonts w:cs="Arial"/>
          <w:i/>
          <w:iCs/>
          <w:sz w:val="22"/>
          <w:szCs w:val="22"/>
        </w:rPr>
      </w:pPr>
      <w:r>
        <w:rPr>
          <w:rFonts w:cs="Arial"/>
          <w:i/>
          <w:iCs/>
          <w:sz w:val="22"/>
          <w:szCs w:val="22"/>
        </w:rPr>
        <w:t>“</w:t>
      </w:r>
      <w:r w:rsidR="00B51957" w:rsidRPr="00553EFE">
        <w:rPr>
          <w:rFonts w:cs="Arial"/>
          <w:i/>
          <w:iCs/>
          <w:sz w:val="22"/>
          <w:szCs w:val="22"/>
        </w:rPr>
        <w:t>¿Se pueden realizar ventas también por medio de contratos en el MP con interrupciones y de 1 día?</w:t>
      </w:r>
      <w:r>
        <w:rPr>
          <w:rFonts w:cs="Arial"/>
          <w:i/>
          <w:iCs/>
          <w:sz w:val="22"/>
          <w:szCs w:val="22"/>
        </w:rPr>
        <w:t>”</w:t>
      </w:r>
    </w:p>
    <w:p w14:paraId="0C67A5E5" w14:textId="77777777" w:rsidR="00AB6527" w:rsidRDefault="00AB6527" w:rsidP="00B51957">
      <w:pPr>
        <w:rPr>
          <w:rFonts w:cs="Arial"/>
          <w:i/>
          <w:iCs/>
          <w:sz w:val="22"/>
          <w:szCs w:val="22"/>
        </w:rPr>
      </w:pPr>
    </w:p>
    <w:p w14:paraId="4D0F4B0B" w14:textId="77777777" w:rsidR="00AB6527" w:rsidRPr="00553EFE" w:rsidRDefault="00AB6527" w:rsidP="00AB6527">
      <w:pPr>
        <w:rPr>
          <w:rFonts w:cs="Arial"/>
          <w:b/>
          <w:bCs/>
          <w:sz w:val="22"/>
          <w:szCs w:val="22"/>
        </w:rPr>
      </w:pPr>
      <w:r w:rsidRPr="00553EFE">
        <w:rPr>
          <w:rFonts w:cs="Arial"/>
          <w:b/>
          <w:bCs/>
          <w:sz w:val="22"/>
          <w:szCs w:val="22"/>
        </w:rPr>
        <w:t xml:space="preserve">Respuesta: </w:t>
      </w:r>
    </w:p>
    <w:p w14:paraId="5EBECEF1" w14:textId="77777777" w:rsidR="00AB6527" w:rsidRDefault="00AB6527" w:rsidP="00AB6527">
      <w:pPr>
        <w:rPr>
          <w:rFonts w:cs="Arial"/>
          <w:sz w:val="22"/>
          <w:szCs w:val="22"/>
        </w:rPr>
      </w:pPr>
    </w:p>
    <w:p w14:paraId="5915ED9C" w14:textId="474F15B7" w:rsidR="00AB6527" w:rsidRDefault="00AB6527" w:rsidP="00AB6527">
      <w:pPr>
        <w:rPr>
          <w:rFonts w:cs="Arial"/>
          <w:sz w:val="22"/>
          <w:szCs w:val="22"/>
        </w:rPr>
      </w:pPr>
      <w:r>
        <w:rPr>
          <w:rFonts w:cs="Arial"/>
          <w:sz w:val="22"/>
          <w:szCs w:val="22"/>
        </w:rPr>
        <w:t>Sobre la nominación de contratos con interrupciones no se han propuesto ajustes.</w:t>
      </w:r>
      <w:r w:rsidR="003B4DE0">
        <w:rPr>
          <w:rFonts w:cs="Arial"/>
          <w:sz w:val="22"/>
          <w:szCs w:val="22"/>
        </w:rPr>
        <w:t xml:space="preserve"> </w:t>
      </w:r>
    </w:p>
    <w:p w14:paraId="7EF8F7F9" w14:textId="77777777" w:rsidR="003B4DE0" w:rsidRDefault="003B4DE0" w:rsidP="00AB6527">
      <w:pPr>
        <w:rPr>
          <w:rFonts w:cs="Arial"/>
          <w:sz w:val="22"/>
          <w:szCs w:val="22"/>
        </w:rPr>
      </w:pPr>
    </w:p>
    <w:p w14:paraId="67C43FD7" w14:textId="3C5BFB00" w:rsidR="003B4DE0" w:rsidRDefault="003B4DE0" w:rsidP="003B4DE0">
      <w:pPr>
        <w:rPr>
          <w:rFonts w:cs="Arial"/>
          <w:sz w:val="22"/>
          <w:szCs w:val="22"/>
        </w:rPr>
      </w:pPr>
      <w:r>
        <w:rPr>
          <w:rFonts w:cs="Arial"/>
          <w:sz w:val="22"/>
          <w:szCs w:val="22"/>
        </w:rPr>
        <w:t>El gas solo se vende una vez en los contratos con interrupciones donde los vendedores son del Mercado Primario, que es diferente a que las cantidades totales contratadas por el vendedor sean superiores a las cantidades PTDV declaradas al MME para un mismo período de tiempo y una misma fuente de suministro. Lo anterior porque para la venta se requiere que, simultáneamente para un mismo día de gas, el vendedor del Mercado Primario tenga posibilidad de entregar gas y que el comprador desee nominarlo. Solo cuando se realiza la entrega del gas en el punto de entrega establecido en el contrato es cuando se realiza la venta.</w:t>
      </w:r>
    </w:p>
    <w:p w14:paraId="6ED20354" w14:textId="77777777" w:rsidR="003B4DE0" w:rsidRDefault="003B4DE0" w:rsidP="003B4DE0">
      <w:pPr>
        <w:rPr>
          <w:rFonts w:cs="Arial"/>
          <w:sz w:val="22"/>
          <w:szCs w:val="22"/>
        </w:rPr>
      </w:pPr>
    </w:p>
    <w:p w14:paraId="5E8D8FAA" w14:textId="77777777" w:rsidR="00B51957" w:rsidRPr="00553EFE" w:rsidRDefault="00B51957" w:rsidP="00B51957">
      <w:pPr>
        <w:rPr>
          <w:rFonts w:cs="Arial"/>
          <w:i/>
          <w:iCs/>
          <w:sz w:val="22"/>
          <w:szCs w:val="22"/>
        </w:rPr>
      </w:pPr>
    </w:p>
    <w:p w14:paraId="67643F7C" w14:textId="77777777" w:rsidR="003B4DE0" w:rsidRDefault="003B4DE0" w:rsidP="003B4DE0">
      <w:pPr>
        <w:pStyle w:val="Ttulo4"/>
      </w:pPr>
      <w:r w:rsidRPr="00B51957">
        <w:t>TEBSA</w:t>
      </w:r>
      <w:r w:rsidRPr="00B51957">
        <w:tab/>
      </w:r>
    </w:p>
    <w:p w14:paraId="77CD4E16" w14:textId="5A60B765" w:rsidR="00B51957" w:rsidRPr="003B4DE0" w:rsidRDefault="003B4DE0" w:rsidP="00B51957">
      <w:pPr>
        <w:rPr>
          <w:rFonts w:cs="Arial"/>
          <w:i/>
          <w:iCs/>
          <w:sz w:val="22"/>
          <w:szCs w:val="22"/>
        </w:rPr>
      </w:pPr>
      <w:r w:rsidRPr="003B4DE0">
        <w:rPr>
          <w:rFonts w:cs="Arial"/>
          <w:i/>
          <w:iCs/>
          <w:sz w:val="22"/>
          <w:szCs w:val="22"/>
        </w:rPr>
        <w:t>“</w:t>
      </w:r>
      <w:r w:rsidR="00B51957" w:rsidRPr="003B4DE0">
        <w:rPr>
          <w:rFonts w:cs="Arial"/>
          <w:i/>
          <w:iCs/>
          <w:sz w:val="22"/>
          <w:szCs w:val="22"/>
        </w:rPr>
        <w:t xml:space="preserve">Se está restringiendo la posibilidad de gestión de cantidades que no fueron entregadas por medio de </w:t>
      </w:r>
      <w:proofErr w:type="spellStart"/>
      <w:r w:rsidR="00B51957" w:rsidRPr="003B4DE0">
        <w:rPr>
          <w:rFonts w:cs="Arial"/>
          <w:i/>
          <w:iCs/>
          <w:sz w:val="22"/>
          <w:szCs w:val="22"/>
        </w:rPr>
        <w:t>cttos</w:t>
      </w:r>
      <w:proofErr w:type="spellEnd"/>
      <w:r w:rsidR="00B51957" w:rsidRPr="003B4DE0">
        <w:rPr>
          <w:rFonts w:cs="Arial"/>
          <w:i/>
          <w:iCs/>
          <w:sz w:val="22"/>
          <w:szCs w:val="22"/>
        </w:rPr>
        <w:t xml:space="preserve"> en el MP en el MS."</w:t>
      </w:r>
    </w:p>
    <w:p w14:paraId="0815EC31" w14:textId="77777777" w:rsidR="00553EFE" w:rsidRDefault="00553EFE" w:rsidP="00B51957">
      <w:pPr>
        <w:rPr>
          <w:rFonts w:cs="Arial"/>
          <w:sz w:val="22"/>
          <w:szCs w:val="22"/>
        </w:rPr>
      </w:pPr>
    </w:p>
    <w:p w14:paraId="3343D880" w14:textId="2BEF4F3E" w:rsidR="00553EFE" w:rsidRPr="003B4DE0" w:rsidRDefault="003B4DE0" w:rsidP="00B51957">
      <w:pPr>
        <w:rPr>
          <w:rFonts w:cs="Arial"/>
          <w:b/>
          <w:bCs/>
          <w:sz w:val="22"/>
          <w:szCs w:val="22"/>
        </w:rPr>
      </w:pPr>
      <w:r w:rsidRPr="003B4DE0">
        <w:rPr>
          <w:rFonts w:cs="Arial"/>
          <w:b/>
          <w:bCs/>
          <w:sz w:val="22"/>
          <w:szCs w:val="22"/>
        </w:rPr>
        <w:t>Respuesta:</w:t>
      </w:r>
    </w:p>
    <w:p w14:paraId="55BC1EBA" w14:textId="77777777" w:rsidR="003B4DE0" w:rsidRDefault="003B4DE0" w:rsidP="00B51957">
      <w:pPr>
        <w:rPr>
          <w:rFonts w:cs="Arial"/>
          <w:sz w:val="22"/>
          <w:szCs w:val="22"/>
        </w:rPr>
      </w:pPr>
    </w:p>
    <w:p w14:paraId="1BD512B0" w14:textId="51BF17DB" w:rsidR="003B4DE0" w:rsidRPr="00B51957" w:rsidRDefault="003B4DE0" w:rsidP="00B5195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_Ref133307344 \r \h </w:instrText>
      </w:r>
      <w:r>
        <w:rPr>
          <w:rFonts w:cs="Arial"/>
          <w:sz w:val="22"/>
          <w:szCs w:val="22"/>
        </w:rPr>
      </w:r>
      <w:r>
        <w:rPr>
          <w:rFonts w:cs="Arial"/>
          <w:sz w:val="22"/>
          <w:szCs w:val="22"/>
        </w:rPr>
        <w:fldChar w:fldCharType="separate"/>
      </w:r>
      <w:r>
        <w:rPr>
          <w:rFonts w:cs="Arial"/>
          <w:sz w:val="22"/>
          <w:szCs w:val="22"/>
        </w:rPr>
        <w:t>23.8.1.2</w:t>
      </w:r>
      <w:r>
        <w:rPr>
          <w:rFonts w:cs="Arial"/>
          <w:sz w:val="22"/>
          <w:szCs w:val="22"/>
        </w:rPr>
        <w:fldChar w:fldCharType="end"/>
      </w:r>
      <w:r>
        <w:rPr>
          <w:rFonts w:cs="Arial"/>
          <w:sz w:val="22"/>
          <w:szCs w:val="22"/>
        </w:rPr>
        <w:t>.</w:t>
      </w:r>
    </w:p>
    <w:p w14:paraId="79F2D1D0" w14:textId="77777777" w:rsidR="00057072" w:rsidRDefault="00057072" w:rsidP="00B51957">
      <w:pPr>
        <w:rPr>
          <w:rFonts w:cs="Arial"/>
          <w:sz w:val="22"/>
          <w:szCs w:val="22"/>
        </w:rPr>
      </w:pPr>
    </w:p>
    <w:p w14:paraId="0492CD7E" w14:textId="77777777" w:rsidR="003B4DE0" w:rsidRDefault="003B4DE0" w:rsidP="00B51957">
      <w:pPr>
        <w:rPr>
          <w:rFonts w:cs="Arial"/>
          <w:sz w:val="22"/>
          <w:szCs w:val="22"/>
        </w:rPr>
      </w:pPr>
    </w:p>
    <w:p w14:paraId="7AF84F78" w14:textId="77777777" w:rsidR="00057072" w:rsidRDefault="00B51957" w:rsidP="00E74D6F">
      <w:pPr>
        <w:pStyle w:val="Ttulo2"/>
      </w:pPr>
      <w:bookmarkStart w:id="932" w:name="_Toc140506502"/>
      <w:r w:rsidRPr="00B51957">
        <w:t>TERPEL</w:t>
      </w:r>
      <w:bookmarkEnd w:id="932"/>
      <w:r w:rsidRPr="00B51957">
        <w:tab/>
      </w:r>
    </w:p>
    <w:p w14:paraId="208F1661" w14:textId="77777777" w:rsidR="00E74D6F" w:rsidRDefault="00E74D6F" w:rsidP="00E74D6F">
      <w:pPr>
        <w:pStyle w:val="Ttulo4"/>
      </w:pPr>
      <w:r w:rsidRPr="00B51957">
        <w:t>TERPEL</w:t>
      </w:r>
      <w:r w:rsidRPr="00B51957">
        <w:tab/>
      </w:r>
    </w:p>
    <w:p w14:paraId="1A39A053" w14:textId="6C2DC9D6" w:rsidR="00B51957" w:rsidRPr="003B4DE0" w:rsidRDefault="00B65763" w:rsidP="00B51957">
      <w:pPr>
        <w:rPr>
          <w:rFonts w:cs="Arial"/>
          <w:i/>
          <w:iCs/>
          <w:sz w:val="22"/>
          <w:szCs w:val="22"/>
        </w:rPr>
      </w:pPr>
      <w:r>
        <w:rPr>
          <w:rFonts w:cs="Arial"/>
          <w:i/>
          <w:iCs/>
          <w:sz w:val="22"/>
          <w:szCs w:val="22"/>
        </w:rPr>
        <w:t>“</w:t>
      </w:r>
      <w:r w:rsidR="00B51957" w:rsidRPr="003B4DE0">
        <w:rPr>
          <w:rFonts w:cs="Arial"/>
          <w:i/>
          <w:iCs/>
          <w:sz w:val="22"/>
          <w:szCs w:val="22"/>
        </w:rPr>
        <w:t xml:space="preserve">En el texto dice </w:t>
      </w:r>
      <w:r>
        <w:rPr>
          <w:rFonts w:cs="Arial"/>
          <w:i/>
          <w:iCs/>
          <w:sz w:val="22"/>
          <w:szCs w:val="22"/>
        </w:rPr>
        <w:t>‘</w:t>
      </w:r>
      <w:r w:rsidR="00B51957" w:rsidRPr="003B4DE0">
        <w:rPr>
          <w:rFonts w:cs="Arial"/>
          <w:i/>
          <w:iCs/>
          <w:sz w:val="22"/>
          <w:szCs w:val="22"/>
        </w:rPr>
        <w:t>artículo 122</w:t>
      </w:r>
      <w:r>
        <w:rPr>
          <w:rFonts w:cs="Arial"/>
          <w:i/>
          <w:iCs/>
          <w:sz w:val="22"/>
          <w:szCs w:val="22"/>
        </w:rPr>
        <w:t>’</w:t>
      </w:r>
      <w:r w:rsidR="00B51957" w:rsidRPr="003B4DE0">
        <w:rPr>
          <w:rFonts w:cs="Arial"/>
          <w:i/>
          <w:iCs/>
          <w:sz w:val="22"/>
          <w:szCs w:val="22"/>
        </w:rPr>
        <w:t xml:space="preserve"> pero no existe en esta resolución.</w:t>
      </w:r>
      <w:r>
        <w:rPr>
          <w:rFonts w:cs="Arial"/>
          <w:i/>
          <w:iCs/>
          <w:sz w:val="22"/>
          <w:szCs w:val="22"/>
        </w:rPr>
        <w:t>”</w:t>
      </w:r>
    </w:p>
    <w:p w14:paraId="3146C421" w14:textId="77777777" w:rsidR="003B4DE0" w:rsidRDefault="003B4DE0" w:rsidP="00B51957">
      <w:pPr>
        <w:rPr>
          <w:rFonts w:cs="Arial"/>
          <w:sz w:val="22"/>
          <w:szCs w:val="22"/>
        </w:rPr>
      </w:pPr>
    </w:p>
    <w:p w14:paraId="3DAAB4FA" w14:textId="4620E0D5" w:rsidR="003B4DE0" w:rsidRPr="003B4DE0" w:rsidRDefault="003B4DE0" w:rsidP="00B51957">
      <w:pPr>
        <w:rPr>
          <w:rFonts w:cs="Arial"/>
          <w:b/>
          <w:bCs/>
          <w:sz w:val="22"/>
          <w:szCs w:val="22"/>
        </w:rPr>
      </w:pPr>
      <w:r w:rsidRPr="003B4DE0">
        <w:rPr>
          <w:rFonts w:cs="Arial"/>
          <w:b/>
          <w:bCs/>
          <w:sz w:val="22"/>
          <w:szCs w:val="22"/>
        </w:rPr>
        <w:t>Respuesta:</w:t>
      </w:r>
    </w:p>
    <w:p w14:paraId="158CFE18" w14:textId="77777777" w:rsidR="003B4DE0" w:rsidRDefault="003B4DE0" w:rsidP="00B51957">
      <w:pPr>
        <w:rPr>
          <w:rFonts w:cs="Arial"/>
          <w:sz w:val="22"/>
          <w:szCs w:val="22"/>
        </w:rPr>
      </w:pPr>
    </w:p>
    <w:p w14:paraId="63D4338E" w14:textId="0A2B7C9B" w:rsidR="003B4DE0" w:rsidRPr="00B51957" w:rsidRDefault="003B4DE0" w:rsidP="00B5195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_Ref133307225 \r \h </w:instrText>
      </w:r>
      <w:r>
        <w:rPr>
          <w:rFonts w:cs="Arial"/>
          <w:sz w:val="22"/>
          <w:szCs w:val="22"/>
        </w:rPr>
      </w:r>
      <w:r>
        <w:rPr>
          <w:rFonts w:cs="Arial"/>
          <w:sz w:val="22"/>
          <w:szCs w:val="22"/>
        </w:rPr>
        <w:fldChar w:fldCharType="separate"/>
      </w:r>
      <w:r>
        <w:rPr>
          <w:rFonts w:cs="Arial"/>
          <w:sz w:val="22"/>
          <w:szCs w:val="22"/>
        </w:rPr>
        <w:t>23.1.1.1</w:t>
      </w:r>
      <w:r>
        <w:rPr>
          <w:rFonts w:cs="Arial"/>
          <w:sz w:val="22"/>
          <w:szCs w:val="22"/>
        </w:rPr>
        <w:fldChar w:fldCharType="end"/>
      </w:r>
      <w:r>
        <w:rPr>
          <w:rFonts w:cs="Arial"/>
          <w:sz w:val="22"/>
          <w:szCs w:val="22"/>
        </w:rPr>
        <w:t>.</w:t>
      </w:r>
    </w:p>
    <w:p w14:paraId="5BE9BD08" w14:textId="77777777" w:rsidR="00057072" w:rsidRDefault="00057072" w:rsidP="00B51957">
      <w:pPr>
        <w:rPr>
          <w:rFonts w:cs="Arial"/>
          <w:sz w:val="22"/>
          <w:szCs w:val="22"/>
        </w:rPr>
      </w:pPr>
    </w:p>
    <w:p w14:paraId="45563853" w14:textId="77777777" w:rsidR="00057072" w:rsidRDefault="00057072" w:rsidP="00B51957">
      <w:pPr>
        <w:rPr>
          <w:rFonts w:cs="Arial"/>
          <w:sz w:val="22"/>
          <w:szCs w:val="22"/>
        </w:rPr>
      </w:pPr>
    </w:p>
    <w:p w14:paraId="120658AF" w14:textId="77777777" w:rsidR="00057072" w:rsidRDefault="00B51957" w:rsidP="00E74D6F">
      <w:pPr>
        <w:pStyle w:val="Ttulo2"/>
      </w:pPr>
      <w:bookmarkStart w:id="933" w:name="_Toc140506503"/>
      <w:r w:rsidRPr="00B51957">
        <w:t>VANTI</w:t>
      </w:r>
      <w:bookmarkEnd w:id="933"/>
      <w:r w:rsidRPr="00B51957">
        <w:tab/>
      </w:r>
    </w:p>
    <w:p w14:paraId="4DB15057" w14:textId="77777777" w:rsidR="00E74D6F" w:rsidRDefault="00E74D6F" w:rsidP="00E74D6F">
      <w:pPr>
        <w:pStyle w:val="Ttulo4"/>
      </w:pPr>
      <w:r w:rsidRPr="00B51957">
        <w:t>VANTI</w:t>
      </w:r>
      <w:r w:rsidRPr="00B51957">
        <w:tab/>
      </w:r>
    </w:p>
    <w:p w14:paraId="2FC84D38" w14:textId="50B4012D" w:rsidR="00B51957" w:rsidRPr="003B4DE0" w:rsidRDefault="00B65763" w:rsidP="00B51957">
      <w:pPr>
        <w:rPr>
          <w:rFonts w:cs="Arial"/>
          <w:i/>
          <w:iCs/>
          <w:sz w:val="22"/>
          <w:szCs w:val="22"/>
        </w:rPr>
      </w:pPr>
      <w:r>
        <w:rPr>
          <w:rFonts w:cs="Arial"/>
          <w:i/>
          <w:iCs/>
          <w:sz w:val="22"/>
          <w:szCs w:val="22"/>
        </w:rPr>
        <w:t>“</w:t>
      </w:r>
      <w:r w:rsidR="00B51957" w:rsidRPr="003B4DE0">
        <w:rPr>
          <w:rFonts w:cs="Arial"/>
          <w:i/>
          <w:iCs/>
          <w:sz w:val="22"/>
          <w:szCs w:val="22"/>
        </w:rPr>
        <w:t>La limitación a la capacidad de suministro que las empresas pueden ofrecer en el mercado secundario, con respaldo en contratos del mercado primario, tiene efectos en la libre competencia y por tanto requiere que el mismo deba surtir un trámite de abogacía de la competencia ante la SIC. Específicamente en cuanto al parágrafo 6, Artículo 25, la CREG expone el entendimiento que tiene en estas propuestas regulatorias en que el mercado secundario debe ser un mercado de ajuste, lo cual, desde la vigencia de la Resolución 089 de 2013 no corresponde con la definición para este mercado.</w:t>
      </w:r>
      <w:r>
        <w:rPr>
          <w:rFonts w:cs="Arial"/>
          <w:i/>
          <w:iCs/>
          <w:sz w:val="22"/>
          <w:szCs w:val="22"/>
        </w:rPr>
        <w:t>”</w:t>
      </w:r>
    </w:p>
    <w:p w14:paraId="66728D10" w14:textId="77777777" w:rsidR="003B4DE0" w:rsidRDefault="003B4DE0" w:rsidP="00B51957">
      <w:pPr>
        <w:rPr>
          <w:rFonts w:cs="Arial"/>
          <w:sz w:val="22"/>
          <w:szCs w:val="22"/>
        </w:rPr>
      </w:pPr>
    </w:p>
    <w:p w14:paraId="68B748F7" w14:textId="3028B5B1" w:rsidR="003B4DE0" w:rsidRPr="003B4DE0" w:rsidRDefault="003B4DE0" w:rsidP="00B51957">
      <w:pPr>
        <w:rPr>
          <w:rFonts w:cs="Arial"/>
          <w:b/>
          <w:bCs/>
          <w:sz w:val="22"/>
          <w:szCs w:val="22"/>
        </w:rPr>
      </w:pPr>
      <w:r w:rsidRPr="003B4DE0">
        <w:rPr>
          <w:rFonts w:cs="Arial"/>
          <w:b/>
          <w:bCs/>
          <w:sz w:val="22"/>
          <w:szCs w:val="22"/>
        </w:rPr>
        <w:t>Respuesta:</w:t>
      </w:r>
    </w:p>
    <w:p w14:paraId="362956ED" w14:textId="77777777" w:rsidR="003B4DE0" w:rsidRDefault="003B4DE0" w:rsidP="00B51957">
      <w:pPr>
        <w:rPr>
          <w:rFonts w:cs="Arial"/>
          <w:sz w:val="22"/>
          <w:szCs w:val="22"/>
        </w:rPr>
      </w:pPr>
    </w:p>
    <w:p w14:paraId="5FB3CA26" w14:textId="444197AB" w:rsidR="003B4DE0" w:rsidRDefault="003B4DE0" w:rsidP="00B5195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_Ref133307344 \r \h </w:instrText>
      </w:r>
      <w:r>
        <w:rPr>
          <w:rFonts w:cs="Arial"/>
          <w:sz w:val="22"/>
          <w:szCs w:val="22"/>
        </w:rPr>
      </w:r>
      <w:r>
        <w:rPr>
          <w:rFonts w:cs="Arial"/>
          <w:sz w:val="22"/>
          <w:szCs w:val="22"/>
        </w:rPr>
        <w:fldChar w:fldCharType="separate"/>
      </w:r>
      <w:r>
        <w:rPr>
          <w:rFonts w:cs="Arial"/>
          <w:sz w:val="22"/>
          <w:szCs w:val="22"/>
        </w:rPr>
        <w:t>23.8.1.2</w:t>
      </w:r>
      <w:r>
        <w:rPr>
          <w:rFonts w:cs="Arial"/>
          <w:sz w:val="22"/>
          <w:szCs w:val="22"/>
        </w:rPr>
        <w:fldChar w:fldCharType="end"/>
      </w:r>
      <w:r>
        <w:rPr>
          <w:rFonts w:cs="Arial"/>
          <w:sz w:val="22"/>
          <w:szCs w:val="22"/>
        </w:rPr>
        <w:t>.</w:t>
      </w:r>
    </w:p>
    <w:p w14:paraId="5C5E248E" w14:textId="77777777" w:rsidR="003B4DE0" w:rsidRPr="00B51957" w:rsidRDefault="003B4DE0" w:rsidP="00B51957">
      <w:pPr>
        <w:rPr>
          <w:rFonts w:cs="Arial"/>
          <w:sz w:val="22"/>
          <w:szCs w:val="22"/>
        </w:rPr>
      </w:pPr>
    </w:p>
    <w:p w14:paraId="3F6D7D36" w14:textId="77777777" w:rsidR="00057072" w:rsidRDefault="00057072" w:rsidP="00B51957">
      <w:pPr>
        <w:rPr>
          <w:rFonts w:cs="Arial"/>
          <w:sz w:val="22"/>
          <w:szCs w:val="22"/>
        </w:rPr>
      </w:pPr>
    </w:p>
    <w:p w14:paraId="722D72C5" w14:textId="77777777" w:rsidR="00057072" w:rsidRDefault="00B51957" w:rsidP="00E74D6F">
      <w:pPr>
        <w:pStyle w:val="Ttulo4"/>
      </w:pPr>
      <w:r w:rsidRPr="00B51957">
        <w:t>VANTI</w:t>
      </w:r>
      <w:r w:rsidRPr="00B51957">
        <w:tab/>
      </w:r>
    </w:p>
    <w:p w14:paraId="3530FBB2" w14:textId="5D9F488E" w:rsidR="00EF1C07" w:rsidRPr="003B4DE0" w:rsidRDefault="00B65763" w:rsidP="00B51957">
      <w:pPr>
        <w:rPr>
          <w:rFonts w:cs="Arial"/>
          <w:b/>
          <w:bCs/>
          <w:i/>
          <w:iCs/>
          <w:sz w:val="22"/>
          <w:szCs w:val="22"/>
        </w:rPr>
      </w:pPr>
      <w:r>
        <w:rPr>
          <w:rFonts w:cs="Arial"/>
          <w:i/>
          <w:iCs/>
          <w:sz w:val="22"/>
          <w:szCs w:val="22"/>
        </w:rPr>
        <w:t>“</w:t>
      </w:r>
      <w:r w:rsidR="00B51957" w:rsidRPr="003B4DE0">
        <w:rPr>
          <w:rFonts w:cs="Arial"/>
          <w:i/>
          <w:iCs/>
          <w:sz w:val="22"/>
          <w:szCs w:val="22"/>
        </w:rPr>
        <w:t xml:space="preserve">Se solicita se elimine este parágrafo 6 del Artículo 25, y se tenga en cuenta que para efecto de las operaciones con empresas vinculadas se encuentra regulado el margen de intermediación a través de la Resolución 112 de 2007 </w:t>
      </w:r>
      <w:r>
        <w:rPr>
          <w:rFonts w:cs="Arial"/>
          <w:i/>
          <w:iCs/>
          <w:sz w:val="22"/>
          <w:szCs w:val="22"/>
        </w:rPr>
        <w:t>‘</w:t>
      </w:r>
      <w:r w:rsidR="00B51957" w:rsidRPr="003B4DE0">
        <w:rPr>
          <w:rFonts w:cs="Arial"/>
          <w:i/>
          <w:iCs/>
          <w:sz w:val="22"/>
          <w:szCs w:val="22"/>
        </w:rPr>
        <w:t>Por la cual se establecen normas sobre los límites de integración horizontal de las actividades de Distribución y Comercialización Minorista de gas natural y se dictan otras disposiciones</w:t>
      </w:r>
      <w:r>
        <w:rPr>
          <w:rFonts w:cs="Arial"/>
          <w:i/>
          <w:iCs/>
          <w:sz w:val="22"/>
          <w:szCs w:val="22"/>
        </w:rPr>
        <w:t>’</w:t>
      </w:r>
      <w:r w:rsidR="00B51957" w:rsidRPr="003B4DE0">
        <w:rPr>
          <w:rFonts w:cs="Arial"/>
          <w:i/>
          <w:iCs/>
          <w:sz w:val="22"/>
          <w:szCs w:val="22"/>
        </w:rPr>
        <w:t>, artículo 4º que establece que el margen de intermediación por la gestión de compra y venta de gas destinado a usuarios regulados en el caso de existir vinculación económica entre el Agente que realice la actividad de intermediación y el que comercialice a usuario final, será como máximo del 1,6% adicional al valor de la compra</w:t>
      </w:r>
      <w:r w:rsidR="00B51957" w:rsidRPr="003B4DE0">
        <w:rPr>
          <w:rFonts w:cs="Arial"/>
          <w:b/>
          <w:bCs/>
          <w:i/>
          <w:iCs/>
          <w:sz w:val="22"/>
          <w:szCs w:val="22"/>
        </w:rPr>
        <w:t>.</w:t>
      </w:r>
      <w:r>
        <w:rPr>
          <w:rFonts w:cs="Arial"/>
          <w:b/>
          <w:bCs/>
          <w:i/>
          <w:iCs/>
          <w:sz w:val="22"/>
          <w:szCs w:val="22"/>
        </w:rPr>
        <w:t>”</w:t>
      </w:r>
    </w:p>
    <w:p w14:paraId="69A82B1D" w14:textId="77777777" w:rsidR="003B4DE0" w:rsidRDefault="003B4DE0" w:rsidP="00B51957">
      <w:pPr>
        <w:rPr>
          <w:rFonts w:cs="Arial"/>
          <w:b/>
          <w:bCs/>
          <w:sz w:val="22"/>
          <w:szCs w:val="22"/>
        </w:rPr>
      </w:pPr>
    </w:p>
    <w:p w14:paraId="31948A45" w14:textId="0F4173DE" w:rsidR="003B4DE0" w:rsidRDefault="003B4DE0" w:rsidP="00B51957">
      <w:pPr>
        <w:rPr>
          <w:rFonts w:cs="Arial"/>
          <w:b/>
          <w:bCs/>
          <w:sz w:val="22"/>
          <w:szCs w:val="22"/>
        </w:rPr>
      </w:pPr>
      <w:r>
        <w:rPr>
          <w:rFonts w:cs="Arial"/>
          <w:b/>
          <w:bCs/>
          <w:sz w:val="22"/>
          <w:szCs w:val="22"/>
        </w:rPr>
        <w:t>Respuesta:</w:t>
      </w:r>
    </w:p>
    <w:p w14:paraId="67A27780" w14:textId="77777777" w:rsidR="003B4DE0" w:rsidRDefault="003B4DE0" w:rsidP="00B51957">
      <w:pPr>
        <w:rPr>
          <w:rFonts w:cs="Arial"/>
          <w:b/>
          <w:bCs/>
          <w:sz w:val="22"/>
          <w:szCs w:val="22"/>
        </w:rPr>
      </w:pPr>
    </w:p>
    <w:p w14:paraId="33E02B45" w14:textId="77777777" w:rsidR="003B4DE0" w:rsidRDefault="003B4DE0" w:rsidP="003B4DE0">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_Ref133307344 \r \h </w:instrText>
      </w:r>
      <w:r>
        <w:rPr>
          <w:rFonts w:cs="Arial"/>
          <w:sz w:val="22"/>
          <w:szCs w:val="22"/>
        </w:rPr>
      </w:r>
      <w:r>
        <w:rPr>
          <w:rFonts w:cs="Arial"/>
          <w:sz w:val="22"/>
          <w:szCs w:val="22"/>
        </w:rPr>
        <w:fldChar w:fldCharType="separate"/>
      </w:r>
      <w:r>
        <w:rPr>
          <w:rFonts w:cs="Arial"/>
          <w:sz w:val="22"/>
          <w:szCs w:val="22"/>
        </w:rPr>
        <w:t>23.8.1.2</w:t>
      </w:r>
      <w:r>
        <w:rPr>
          <w:rFonts w:cs="Arial"/>
          <w:sz w:val="22"/>
          <w:szCs w:val="22"/>
        </w:rPr>
        <w:fldChar w:fldCharType="end"/>
      </w:r>
      <w:r>
        <w:rPr>
          <w:rFonts w:cs="Arial"/>
          <w:sz w:val="22"/>
          <w:szCs w:val="22"/>
        </w:rPr>
        <w:t>.</w:t>
      </w:r>
    </w:p>
    <w:p w14:paraId="72F81ADE" w14:textId="0AA63BE0" w:rsidR="00E05466" w:rsidRDefault="00B62EF4" w:rsidP="00371CB5">
      <w:pPr>
        <w:rPr>
          <w:rFonts w:cs="Arial"/>
          <w:b/>
          <w:bCs/>
          <w:sz w:val="22"/>
          <w:szCs w:val="22"/>
        </w:rPr>
      </w:pPr>
      <w:r>
        <w:rPr>
          <w:rFonts w:cs="Arial"/>
          <w:b/>
          <w:bCs/>
          <w:sz w:val="22"/>
          <w:szCs w:val="22"/>
        </w:rPr>
        <w:t xml:space="preserve"> </w:t>
      </w:r>
    </w:p>
    <w:p w14:paraId="1B1C93C2" w14:textId="325D3845" w:rsidR="00EF1C07" w:rsidRDefault="00EF1C07" w:rsidP="00371CB5">
      <w:pPr>
        <w:rPr>
          <w:rFonts w:cs="Arial"/>
          <w:b/>
          <w:bCs/>
          <w:sz w:val="22"/>
          <w:szCs w:val="22"/>
        </w:rPr>
      </w:pPr>
    </w:p>
    <w:p w14:paraId="04C171F2" w14:textId="422AB9BD" w:rsidR="00EF1C07" w:rsidRDefault="00EF1C07" w:rsidP="00EF1C07">
      <w:pPr>
        <w:pStyle w:val="Ttulo1"/>
        <w:numPr>
          <w:ilvl w:val="0"/>
          <w:numId w:val="1"/>
        </w:numPr>
        <w:rPr>
          <w:caps/>
        </w:rPr>
      </w:pPr>
      <w:bookmarkStart w:id="934" w:name="_Toc140506504"/>
      <w:r>
        <w:t xml:space="preserve">ARTÍCULO 26. </w:t>
      </w:r>
      <w:r w:rsidR="0070732E" w:rsidRPr="0070732E">
        <w:rPr>
          <w:caps/>
        </w:rPr>
        <w:t>Duración de los contratos</w:t>
      </w:r>
      <w:bookmarkEnd w:id="934"/>
    </w:p>
    <w:p w14:paraId="3D446AC9" w14:textId="4851C01C" w:rsidR="00EF1C07" w:rsidRDefault="00EF1C07" w:rsidP="00371CB5">
      <w:pPr>
        <w:rPr>
          <w:rFonts w:cs="Arial"/>
          <w:b/>
          <w:bCs/>
          <w:sz w:val="22"/>
          <w:szCs w:val="22"/>
        </w:rPr>
      </w:pPr>
    </w:p>
    <w:p w14:paraId="4C928246" w14:textId="77777777" w:rsidR="0039016E" w:rsidRDefault="0039016E" w:rsidP="0039016E">
      <w:pPr>
        <w:pStyle w:val="Ttulo2"/>
      </w:pPr>
      <w:bookmarkStart w:id="935" w:name="_Toc140506505"/>
      <w:r w:rsidRPr="0039016E">
        <w:t>BOLSA MERCANTIL DE COLOMBIA</w:t>
      </w:r>
      <w:bookmarkEnd w:id="935"/>
      <w:r w:rsidRPr="0039016E">
        <w:tab/>
      </w:r>
    </w:p>
    <w:p w14:paraId="5541C251" w14:textId="77777777" w:rsidR="0039016E" w:rsidRDefault="0039016E" w:rsidP="0039016E">
      <w:pPr>
        <w:pStyle w:val="Ttulo4"/>
      </w:pPr>
      <w:r w:rsidRPr="0039016E">
        <w:t>BOLSA MERCANTIL DE COLOMBIA</w:t>
      </w:r>
      <w:r w:rsidRPr="0039016E">
        <w:tab/>
      </w:r>
    </w:p>
    <w:p w14:paraId="336AECE1" w14:textId="5D4C6232" w:rsidR="0039016E" w:rsidRDefault="00B65763" w:rsidP="0039016E">
      <w:pPr>
        <w:rPr>
          <w:rFonts w:cs="Arial"/>
          <w:sz w:val="22"/>
          <w:szCs w:val="22"/>
        </w:rPr>
      </w:pPr>
      <w:r>
        <w:rPr>
          <w:rFonts w:cs="Arial"/>
          <w:i/>
          <w:iCs/>
          <w:sz w:val="22"/>
          <w:szCs w:val="22"/>
        </w:rPr>
        <w:t>“</w:t>
      </w:r>
      <w:r w:rsidR="0039016E" w:rsidRPr="00B62EF4">
        <w:rPr>
          <w:rFonts w:cs="Arial"/>
          <w:i/>
          <w:iCs/>
          <w:sz w:val="22"/>
          <w:szCs w:val="22"/>
        </w:rPr>
        <w:t>Dadas las problemáticas percibidas por los participantes del mercado en aplicación de esta disposición, se podría ampliar la ventana de tiempo para llevar a cabo el inicio de ejecución del contrato</w:t>
      </w:r>
      <w:r w:rsidR="0039016E" w:rsidRPr="0039016E">
        <w:rPr>
          <w:rFonts w:cs="Arial"/>
          <w:sz w:val="22"/>
          <w:szCs w:val="22"/>
        </w:rPr>
        <w:t xml:space="preserve">. </w:t>
      </w:r>
    </w:p>
    <w:p w14:paraId="4C2B9060" w14:textId="77777777" w:rsidR="00B62EF4" w:rsidRDefault="00B62EF4" w:rsidP="0039016E">
      <w:pPr>
        <w:rPr>
          <w:rFonts w:cs="Arial"/>
          <w:sz w:val="22"/>
          <w:szCs w:val="22"/>
        </w:rPr>
      </w:pPr>
    </w:p>
    <w:p w14:paraId="6805C84E" w14:textId="41E4283E" w:rsidR="00B62EF4" w:rsidRPr="00B62EF4" w:rsidRDefault="00B62EF4" w:rsidP="0039016E">
      <w:pPr>
        <w:rPr>
          <w:rFonts w:cs="Arial"/>
          <w:i/>
          <w:iCs/>
          <w:sz w:val="22"/>
          <w:szCs w:val="22"/>
        </w:rPr>
      </w:pPr>
      <w:r w:rsidRPr="00B62EF4">
        <w:rPr>
          <w:rFonts w:cs="Arial"/>
          <w:i/>
          <w:iCs/>
          <w:sz w:val="22"/>
          <w:szCs w:val="22"/>
        </w:rPr>
        <w:t xml:space="preserve">Sugerimos evaluar la posibilidad de ampliar la ventana de tiempo para llevar a cabo el inicio de ejecución del contrato sin que necesariamente sea en el año de gas en que se realiza el registro. Lo anterior ha venido afectando los contratos para el proceso de la subasta de </w:t>
      </w:r>
      <w:proofErr w:type="spellStart"/>
      <w:r w:rsidRPr="00B62EF4">
        <w:rPr>
          <w:rFonts w:cs="Arial"/>
          <w:i/>
          <w:iCs/>
          <w:sz w:val="22"/>
          <w:szCs w:val="22"/>
        </w:rPr>
        <w:t>uselo</w:t>
      </w:r>
      <w:proofErr w:type="spellEnd"/>
      <w:r w:rsidRPr="00B62EF4">
        <w:rPr>
          <w:rFonts w:cs="Arial"/>
          <w:i/>
          <w:iCs/>
          <w:sz w:val="22"/>
          <w:szCs w:val="22"/>
        </w:rPr>
        <w:t xml:space="preserve"> o véndalo de largo plazo para capacidad de transporte.</w:t>
      </w:r>
      <w:r w:rsidR="00B65763">
        <w:rPr>
          <w:rFonts w:cs="Arial"/>
          <w:i/>
          <w:iCs/>
          <w:sz w:val="22"/>
          <w:szCs w:val="22"/>
        </w:rPr>
        <w:t>”</w:t>
      </w:r>
    </w:p>
    <w:p w14:paraId="76DF2491" w14:textId="77777777" w:rsidR="00B62EF4" w:rsidRDefault="00B62EF4" w:rsidP="0039016E">
      <w:pPr>
        <w:rPr>
          <w:rFonts w:cs="Arial"/>
          <w:sz w:val="22"/>
          <w:szCs w:val="22"/>
        </w:rPr>
      </w:pPr>
    </w:p>
    <w:p w14:paraId="0D23E001" w14:textId="19BCA5C1" w:rsidR="00B62EF4" w:rsidRPr="00B62EF4" w:rsidRDefault="00B62EF4" w:rsidP="0039016E">
      <w:pPr>
        <w:rPr>
          <w:rFonts w:cs="Arial"/>
          <w:b/>
          <w:bCs/>
          <w:sz w:val="22"/>
          <w:szCs w:val="22"/>
        </w:rPr>
      </w:pPr>
      <w:r w:rsidRPr="00B62EF4">
        <w:rPr>
          <w:rFonts w:cs="Arial"/>
          <w:b/>
          <w:bCs/>
          <w:sz w:val="22"/>
          <w:szCs w:val="22"/>
        </w:rPr>
        <w:t>Respuesta:</w:t>
      </w:r>
    </w:p>
    <w:p w14:paraId="3BE4CCE0" w14:textId="77777777" w:rsidR="00B62EF4" w:rsidRDefault="00B62EF4" w:rsidP="0039016E">
      <w:pPr>
        <w:rPr>
          <w:rFonts w:cs="Arial"/>
          <w:sz w:val="22"/>
          <w:szCs w:val="22"/>
        </w:rPr>
      </w:pPr>
    </w:p>
    <w:p w14:paraId="01B2B613" w14:textId="302FBED6" w:rsidR="00B62EF4" w:rsidRDefault="00B62EF4" w:rsidP="0039016E">
      <w:pPr>
        <w:rPr>
          <w:rFonts w:cs="Arial"/>
          <w:sz w:val="22"/>
          <w:szCs w:val="22"/>
        </w:rPr>
      </w:pPr>
      <w:r>
        <w:rPr>
          <w:rFonts w:cs="Arial"/>
          <w:sz w:val="22"/>
          <w:szCs w:val="22"/>
        </w:rPr>
        <w:t>No se acoge el comentario.</w:t>
      </w:r>
    </w:p>
    <w:p w14:paraId="7A32E8A7" w14:textId="77777777" w:rsidR="00B62EF4" w:rsidRDefault="00B62EF4" w:rsidP="0039016E">
      <w:pPr>
        <w:rPr>
          <w:rFonts w:cs="Arial"/>
          <w:sz w:val="22"/>
          <w:szCs w:val="22"/>
        </w:rPr>
      </w:pPr>
    </w:p>
    <w:p w14:paraId="3CF4693E" w14:textId="54385D12" w:rsidR="00B62EF4" w:rsidRPr="0039016E" w:rsidRDefault="00B62EF4" w:rsidP="0039016E">
      <w:pPr>
        <w:rPr>
          <w:rFonts w:cs="Arial"/>
          <w:sz w:val="22"/>
          <w:szCs w:val="22"/>
        </w:rPr>
      </w:pPr>
      <w:r>
        <w:rPr>
          <w:rFonts w:cs="Arial"/>
          <w:sz w:val="22"/>
          <w:szCs w:val="22"/>
        </w:rPr>
        <w:t xml:space="preserve">Sobre el plazo de inicio de suministro del contrato del Mercado Secundario se mantiene la condición establecida vigente actualmente, de que </w:t>
      </w:r>
      <w:r w:rsidRPr="00B62EF4">
        <w:rPr>
          <w:rFonts w:cs="Arial"/>
          <w:sz w:val="22"/>
          <w:szCs w:val="22"/>
        </w:rPr>
        <w:t>la fecha de suministro inicie durante el año de gas en que se realizó el registro del correspondiente contrato</w:t>
      </w:r>
      <w:r>
        <w:rPr>
          <w:rFonts w:cs="Arial"/>
          <w:sz w:val="22"/>
          <w:szCs w:val="22"/>
        </w:rPr>
        <w:t>.</w:t>
      </w:r>
    </w:p>
    <w:p w14:paraId="31162EE3" w14:textId="77777777" w:rsidR="0039016E" w:rsidRDefault="0039016E" w:rsidP="0039016E">
      <w:pPr>
        <w:rPr>
          <w:rFonts w:cs="Arial"/>
          <w:sz w:val="22"/>
          <w:szCs w:val="22"/>
        </w:rPr>
      </w:pPr>
    </w:p>
    <w:p w14:paraId="286594B2" w14:textId="77777777" w:rsidR="0039016E" w:rsidRDefault="0039016E" w:rsidP="0039016E">
      <w:pPr>
        <w:rPr>
          <w:rFonts w:cs="Arial"/>
          <w:sz w:val="22"/>
          <w:szCs w:val="22"/>
        </w:rPr>
      </w:pPr>
    </w:p>
    <w:p w14:paraId="770EF7EC" w14:textId="77777777" w:rsidR="0039016E" w:rsidRDefault="0039016E" w:rsidP="0039016E">
      <w:pPr>
        <w:pStyle w:val="Ttulo2"/>
      </w:pPr>
      <w:bookmarkStart w:id="936" w:name="_Toc140506506"/>
      <w:r w:rsidRPr="0039016E">
        <w:t>EPM</w:t>
      </w:r>
      <w:bookmarkEnd w:id="936"/>
      <w:r w:rsidRPr="0039016E">
        <w:tab/>
      </w:r>
    </w:p>
    <w:p w14:paraId="626D536F" w14:textId="77777777" w:rsidR="0039016E" w:rsidRDefault="0039016E" w:rsidP="0039016E">
      <w:pPr>
        <w:pStyle w:val="Ttulo4"/>
      </w:pPr>
      <w:r w:rsidRPr="0039016E">
        <w:t>EPM</w:t>
      </w:r>
      <w:r w:rsidRPr="0039016E">
        <w:tab/>
      </w:r>
    </w:p>
    <w:p w14:paraId="280E3CDF" w14:textId="29B8053B" w:rsidR="0039016E" w:rsidRPr="00B62EF4" w:rsidRDefault="003D4BD6" w:rsidP="0039016E">
      <w:pPr>
        <w:rPr>
          <w:rFonts w:cs="Arial"/>
          <w:i/>
          <w:iCs/>
          <w:sz w:val="22"/>
          <w:szCs w:val="22"/>
        </w:rPr>
      </w:pPr>
      <w:r>
        <w:rPr>
          <w:rFonts w:cs="Arial"/>
          <w:i/>
          <w:iCs/>
          <w:sz w:val="22"/>
          <w:szCs w:val="22"/>
        </w:rPr>
        <w:t>“</w:t>
      </w:r>
      <w:r w:rsidR="0039016E" w:rsidRPr="00B62EF4">
        <w:rPr>
          <w:rFonts w:cs="Arial"/>
          <w:i/>
          <w:iCs/>
          <w:sz w:val="22"/>
          <w:szCs w:val="22"/>
        </w:rPr>
        <w:t>Subasta bimestral de excedentes firmes: Este mecanismo si bien se utiliza en menor frecuencia comparado con la subasta mensual, presenta una flexibilidad muy similar a ella pues permite interacción directa con el productor y fija precios de referencia para las cantidades comercializadas en firme en el secundario. No obstante, si es susceptible de mejora en la parte de garantías y en parte esto puede ser la causa de su poca concurrencia. En la actualidad se requiere presentar garantías bancarias antes de conocerse si el productor tiene o no cantidades para ofertar en un campo en cada bimestre. La incertidumbre en el proceso de asignación, sumado al costo no recuperable de estas garantías, constituyen desincentivos a los comercializadores para participar de estos procesos. Por lo anterior, sugerimos revisar y corregir esta falencia y permitir que por lo menos dicho mecanismo subsista hasta la próxima evaluación que realice el GM sobre la efectividad de los mecanismos transaccionales firmes e interrumpibles.</w:t>
      </w:r>
      <w:r w:rsidR="00315AAD">
        <w:rPr>
          <w:rFonts w:cs="Arial"/>
          <w:i/>
          <w:iCs/>
          <w:sz w:val="22"/>
          <w:szCs w:val="22"/>
        </w:rPr>
        <w:t>”</w:t>
      </w:r>
    </w:p>
    <w:p w14:paraId="6AED4B3A" w14:textId="77777777" w:rsidR="00B62EF4" w:rsidRDefault="00B62EF4" w:rsidP="0039016E">
      <w:pPr>
        <w:rPr>
          <w:rFonts w:cs="Arial"/>
          <w:sz w:val="22"/>
          <w:szCs w:val="22"/>
        </w:rPr>
      </w:pPr>
    </w:p>
    <w:p w14:paraId="410DA049" w14:textId="1B65451C" w:rsidR="00B62EF4" w:rsidRPr="00B62EF4" w:rsidRDefault="00B62EF4" w:rsidP="0039016E">
      <w:pPr>
        <w:rPr>
          <w:rFonts w:cs="Arial"/>
          <w:b/>
          <w:bCs/>
          <w:sz w:val="22"/>
          <w:szCs w:val="22"/>
        </w:rPr>
      </w:pPr>
      <w:r w:rsidRPr="00B62EF4">
        <w:rPr>
          <w:rFonts w:cs="Arial"/>
          <w:b/>
          <w:bCs/>
          <w:sz w:val="22"/>
          <w:szCs w:val="22"/>
        </w:rPr>
        <w:t>Respuesta:</w:t>
      </w:r>
    </w:p>
    <w:p w14:paraId="35A0DA1F" w14:textId="77777777" w:rsidR="00B62EF4" w:rsidRDefault="00B62EF4" w:rsidP="0039016E">
      <w:pPr>
        <w:rPr>
          <w:rFonts w:cs="Arial"/>
          <w:sz w:val="22"/>
          <w:szCs w:val="22"/>
        </w:rPr>
      </w:pPr>
    </w:p>
    <w:p w14:paraId="0A8EAF1D" w14:textId="0073F8CD" w:rsidR="00B62EF4" w:rsidRDefault="00B62EF4" w:rsidP="0039016E">
      <w:pPr>
        <w:rPr>
          <w:rFonts w:cs="Arial"/>
          <w:sz w:val="22"/>
          <w:szCs w:val="22"/>
        </w:rPr>
      </w:pPr>
      <w:r>
        <w:rPr>
          <w:rFonts w:cs="Arial"/>
          <w:sz w:val="22"/>
          <w:szCs w:val="22"/>
        </w:rPr>
        <w:t>No se acoge el comentario.</w:t>
      </w:r>
    </w:p>
    <w:p w14:paraId="6CBCB5EC" w14:textId="77777777" w:rsidR="00B62EF4" w:rsidRDefault="00B62EF4" w:rsidP="0039016E">
      <w:pPr>
        <w:rPr>
          <w:rFonts w:cs="Arial"/>
          <w:sz w:val="22"/>
          <w:szCs w:val="22"/>
        </w:rPr>
      </w:pPr>
    </w:p>
    <w:p w14:paraId="64FCFEB6" w14:textId="69BB75EB" w:rsidR="00B62EF4" w:rsidRPr="0039016E" w:rsidRDefault="00B62EF4" w:rsidP="0039016E">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_Ref133315366 \r \h </w:instrText>
      </w:r>
      <w:r>
        <w:rPr>
          <w:rFonts w:cs="Arial"/>
          <w:sz w:val="22"/>
          <w:szCs w:val="22"/>
        </w:rPr>
      </w:r>
      <w:r>
        <w:rPr>
          <w:rFonts w:cs="Arial"/>
          <w:sz w:val="22"/>
          <w:szCs w:val="22"/>
        </w:rPr>
        <w:fldChar w:fldCharType="separate"/>
      </w:r>
      <w:r>
        <w:rPr>
          <w:rFonts w:cs="Arial"/>
          <w:sz w:val="22"/>
          <w:szCs w:val="22"/>
        </w:rPr>
        <w:t>4.2</w:t>
      </w:r>
      <w:r>
        <w:rPr>
          <w:rFonts w:cs="Arial"/>
          <w:sz w:val="22"/>
          <w:szCs w:val="22"/>
        </w:rPr>
        <w:fldChar w:fldCharType="end"/>
      </w:r>
      <w:r>
        <w:rPr>
          <w:rFonts w:cs="Arial"/>
          <w:sz w:val="22"/>
          <w:szCs w:val="22"/>
        </w:rPr>
        <w:t>.</w:t>
      </w:r>
    </w:p>
    <w:p w14:paraId="785B3023" w14:textId="26C21220" w:rsidR="0039016E" w:rsidRDefault="0039016E" w:rsidP="0039016E">
      <w:pPr>
        <w:rPr>
          <w:rFonts w:cs="Arial"/>
          <w:sz w:val="22"/>
          <w:szCs w:val="22"/>
        </w:rPr>
      </w:pPr>
    </w:p>
    <w:p w14:paraId="7E3E0EA4" w14:textId="77777777" w:rsidR="0039016E" w:rsidRDefault="0039016E" w:rsidP="0039016E">
      <w:pPr>
        <w:rPr>
          <w:rFonts w:cs="Arial"/>
          <w:sz w:val="22"/>
          <w:szCs w:val="22"/>
        </w:rPr>
      </w:pPr>
    </w:p>
    <w:p w14:paraId="4797647F" w14:textId="77777777" w:rsidR="0039016E" w:rsidRDefault="0039016E" w:rsidP="0039016E">
      <w:pPr>
        <w:pStyle w:val="Ttulo2"/>
      </w:pPr>
      <w:bookmarkStart w:id="937" w:name="_Toc140506507"/>
      <w:r w:rsidRPr="0039016E">
        <w:t>TEBSA</w:t>
      </w:r>
      <w:bookmarkEnd w:id="937"/>
      <w:r w:rsidRPr="0039016E">
        <w:tab/>
      </w:r>
    </w:p>
    <w:p w14:paraId="476FC153" w14:textId="77777777" w:rsidR="0039016E" w:rsidRDefault="0039016E" w:rsidP="0039016E">
      <w:pPr>
        <w:pStyle w:val="Ttulo4"/>
      </w:pPr>
      <w:r w:rsidRPr="0039016E">
        <w:t>TEBSA</w:t>
      </w:r>
      <w:r w:rsidRPr="0039016E">
        <w:tab/>
      </w:r>
    </w:p>
    <w:p w14:paraId="0343C56C" w14:textId="42AF623A" w:rsidR="002B4683" w:rsidRPr="006B34FD" w:rsidRDefault="00315AAD" w:rsidP="0039016E">
      <w:pPr>
        <w:rPr>
          <w:rFonts w:cs="Arial"/>
          <w:i/>
          <w:iCs/>
          <w:sz w:val="22"/>
          <w:szCs w:val="22"/>
        </w:rPr>
      </w:pPr>
      <w:r>
        <w:rPr>
          <w:rFonts w:cs="Arial"/>
          <w:i/>
          <w:iCs/>
          <w:sz w:val="22"/>
          <w:szCs w:val="22"/>
        </w:rPr>
        <w:t>“</w:t>
      </w:r>
      <w:r w:rsidR="0039016E" w:rsidRPr="006B34FD">
        <w:rPr>
          <w:rFonts w:cs="Arial"/>
          <w:i/>
          <w:iCs/>
          <w:sz w:val="22"/>
          <w:szCs w:val="22"/>
        </w:rPr>
        <w:t xml:space="preserve">¿Qué significa caracterizar? ¿Es hacer un registro? Esta información del parágrafo 1 del artículo 22 es aplicable para el </w:t>
      </w:r>
      <w:proofErr w:type="gramStart"/>
      <w:r w:rsidR="0039016E" w:rsidRPr="006B34FD">
        <w:rPr>
          <w:rFonts w:cs="Arial"/>
          <w:i/>
          <w:iCs/>
          <w:sz w:val="22"/>
          <w:szCs w:val="22"/>
        </w:rPr>
        <w:t>MS?.</w:t>
      </w:r>
      <w:proofErr w:type="gramEnd"/>
      <w:r w:rsidR="0039016E" w:rsidRPr="006B34FD">
        <w:rPr>
          <w:rFonts w:cs="Arial"/>
          <w:i/>
          <w:iCs/>
          <w:sz w:val="22"/>
          <w:szCs w:val="22"/>
        </w:rPr>
        <w:t xml:space="preserve"> </w:t>
      </w:r>
      <w:proofErr w:type="gramStart"/>
      <w:r w:rsidR="0039016E" w:rsidRPr="006B34FD">
        <w:rPr>
          <w:rFonts w:cs="Arial"/>
          <w:i/>
          <w:iCs/>
          <w:sz w:val="22"/>
          <w:szCs w:val="22"/>
        </w:rPr>
        <w:t>Como</w:t>
      </w:r>
      <w:proofErr w:type="gramEnd"/>
      <w:r w:rsidR="0039016E" w:rsidRPr="006B34FD">
        <w:rPr>
          <w:rFonts w:cs="Arial"/>
          <w:i/>
          <w:iCs/>
          <w:sz w:val="22"/>
          <w:szCs w:val="22"/>
        </w:rPr>
        <w:t xml:space="preserve"> por ejemplo, tipo de usuario final a atender</w:t>
      </w:r>
      <w:r>
        <w:rPr>
          <w:rFonts w:cs="Arial"/>
          <w:i/>
          <w:iCs/>
          <w:sz w:val="22"/>
          <w:szCs w:val="22"/>
        </w:rPr>
        <w:t>.”</w:t>
      </w:r>
    </w:p>
    <w:p w14:paraId="1FF49BE0" w14:textId="77777777" w:rsidR="006B34FD" w:rsidRDefault="006B34FD" w:rsidP="0039016E">
      <w:pPr>
        <w:rPr>
          <w:rFonts w:cs="Arial"/>
          <w:sz w:val="22"/>
          <w:szCs w:val="22"/>
        </w:rPr>
      </w:pPr>
    </w:p>
    <w:p w14:paraId="2B34E802" w14:textId="6BE30423" w:rsidR="006B34FD" w:rsidRPr="006B34FD" w:rsidRDefault="006B34FD" w:rsidP="0039016E">
      <w:pPr>
        <w:rPr>
          <w:rFonts w:cs="Arial"/>
          <w:b/>
          <w:bCs/>
          <w:sz w:val="22"/>
          <w:szCs w:val="22"/>
        </w:rPr>
      </w:pPr>
      <w:r w:rsidRPr="006B34FD">
        <w:rPr>
          <w:rFonts w:cs="Arial"/>
          <w:b/>
          <w:bCs/>
          <w:sz w:val="22"/>
          <w:szCs w:val="22"/>
        </w:rPr>
        <w:t>Respuesta:</w:t>
      </w:r>
    </w:p>
    <w:p w14:paraId="6CB05E3D" w14:textId="77777777" w:rsidR="006B34FD" w:rsidRDefault="006B34FD" w:rsidP="0039016E">
      <w:pPr>
        <w:rPr>
          <w:rFonts w:cs="Arial"/>
          <w:sz w:val="22"/>
          <w:szCs w:val="22"/>
        </w:rPr>
      </w:pPr>
    </w:p>
    <w:p w14:paraId="64EB56BE" w14:textId="631D1ED2" w:rsidR="006B34FD" w:rsidRPr="0039016E" w:rsidRDefault="006B34FD" w:rsidP="0039016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_Ref133143636 \r \h </w:instrText>
      </w:r>
      <w:r>
        <w:rPr>
          <w:rFonts w:cs="Arial"/>
          <w:sz w:val="22"/>
          <w:szCs w:val="22"/>
        </w:rPr>
      </w:r>
      <w:r>
        <w:rPr>
          <w:rFonts w:cs="Arial"/>
          <w:sz w:val="22"/>
          <w:szCs w:val="22"/>
        </w:rPr>
        <w:fldChar w:fldCharType="separate"/>
      </w:r>
      <w:r>
        <w:rPr>
          <w:rFonts w:cs="Arial"/>
          <w:sz w:val="22"/>
          <w:szCs w:val="22"/>
        </w:rPr>
        <w:t>20.6.1.2</w:t>
      </w:r>
      <w:r>
        <w:rPr>
          <w:rFonts w:cs="Arial"/>
          <w:sz w:val="22"/>
          <w:szCs w:val="22"/>
        </w:rPr>
        <w:fldChar w:fldCharType="end"/>
      </w:r>
      <w:r>
        <w:rPr>
          <w:rFonts w:cs="Arial"/>
          <w:sz w:val="22"/>
          <w:szCs w:val="22"/>
        </w:rPr>
        <w:t>.</w:t>
      </w:r>
    </w:p>
    <w:p w14:paraId="50B68BDA" w14:textId="062014D2" w:rsidR="002B4683" w:rsidRDefault="002B4683" w:rsidP="00371CB5">
      <w:pPr>
        <w:rPr>
          <w:rFonts w:cs="Arial"/>
          <w:b/>
          <w:bCs/>
          <w:sz w:val="22"/>
          <w:szCs w:val="22"/>
        </w:rPr>
      </w:pPr>
    </w:p>
    <w:p w14:paraId="6910CF75" w14:textId="44F3AEAB" w:rsidR="00EF1C07" w:rsidRDefault="00EF1C07" w:rsidP="00371CB5">
      <w:pPr>
        <w:rPr>
          <w:rFonts w:cs="Arial"/>
          <w:b/>
          <w:bCs/>
          <w:sz w:val="22"/>
          <w:szCs w:val="22"/>
        </w:rPr>
      </w:pPr>
    </w:p>
    <w:p w14:paraId="0BF69604" w14:textId="0CB6215E" w:rsidR="00EF1C07" w:rsidRDefault="00EF1C07" w:rsidP="00EF1C07">
      <w:pPr>
        <w:pStyle w:val="Ttulo1"/>
        <w:numPr>
          <w:ilvl w:val="0"/>
          <w:numId w:val="1"/>
        </w:numPr>
        <w:rPr>
          <w:caps/>
        </w:rPr>
      </w:pPr>
      <w:bookmarkStart w:id="938" w:name="_Toc140506508"/>
      <w:r>
        <w:t xml:space="preserve">ARTÍCULO 27. </w:t>
      </w:r>
      <w:r w:rsidR="0070732E" w:rsidRPr="0070732E">
        <w:rPr>
          <w:caps/>
        </w:rPr>
        <w:t>Puntos Estándar de entrega e indicadores de formación de precios</w:t>
      </w:r>
      <w:bookmarkEnd w:id="938"/>
    </w:p>
    <w:p w14:paraId="21807422" w14:textId="77777777" w:rsidR="006E2C87" w:rsidRDefault="006E2C87" w:rsidP="006E2C87">
      <w:pPr>
        <w:pStyle w:val="Ttulo2"/>
      </w:pPr>
      <w:bookmarkStart w:id="939" w:name="_Toc140506509"/>
      <w:r w:rsidRPr="006E2C87">
        <w:t>BOLSA MERCANTIL DE COLOMBIA</w:t>
      </w:r>
      <w:bookmarkEnd w:id="939"/>
      <w:r w:rsidRPr="006E2C87">
        <w:tab/>
      </w:r>
    </w:p>
    <w:p w14:paraId="43E7CB84" w14:textId="77777777" w:rsidR="006E2C87" w:rsidRDefault="006E2C87" w:rsidP="006E2C87">
      <w:pPr>
        <w:pStyle w:val="Ttulo4"/>
      </w:pPr>
      <w:r w:rsidRPr="006E2C87">
        <w:t>BOLSA MERCANTIL DE COLOMBIA</w:t>
      </w:r>
      <w:r w:rsidRPr="006E2C87">
        <w:tab/>
      </w:r>
    </w:p>
    <w:p w14:paraId="53F71D7E" w14:textId="1B54FCA6" w:rsidR="006E2C87" w:rsidRPr="006B34FD" w:rsidRDefault="00315AAD" w:rsidP="006E2C87">
      <w:pPr>
        <w:rPr>
          <w:rFonts w:cs="Arial"/>
          <w:i/>
          <w:iCs/>
          <w:sz w:val="22"/>
          <w:szCs w:val="22"/>
        </w:rPr>
      </w:pPr>
      <w:r>
        <w:rPr>
          <w:rFonts w:cs="Arial"/>
          <w:i/>
          <w:iCs/>
          <w:sz w:val="22"/>
          <w:szCs w:val="22"/>
        </w:rPr>
        <w:t>“</w:t>
      </w:r>
      <w:r w:rsidR="006E2C87" w:rsidRPr="006B34FD">
        <w:rPr>
          <w:rFonts w:cs="Arial"/>
          <w:i/>
          <w:iCs/>
          <w:sz w:val="22"/>
          <w:szCs w:val="22"/>
        </w:rPr>
        <w:t>Si bien se está solicitando que el Comercializador Mayorista con derechos de suministro en el mercado primario declare la fuente de suministro y el contrato del Mercado Primario asociados al centro poblado donde entrega el gas, esta medida debería aplicar también a los vendedores del mercado secundario.</w:t>
      </w:r>
      <w:r>
        <w:rPr>
          <w:rFonts w:cs="Arial"/>
          <w:i/>
          <w:iCs/>
          <w:sz w:val="22"/>
          <w:szCs w:val="22"/>
        </w:rPr>
        <w:t>”</w:t>
      </w:r>
    </w:p>
    <w:p w14:paraId="45876B8D" w14:textId="77777777" w:rsidR="006B34FD" w:rsidRDefault="006B34FD" w:rsidP="006E2C87">
      <w:pPr>
        <w:rPr>
          <w:rFonts w:cs="Arial"/>
          <w:sz w:val="22"/>
          <w:szCs w:val="22"/>
        </w:rPr>
      </w:pPr>
    </w:p>
    <w:p w14:paraId="6829676A" w14:textId="69B5EC94" w:rsidR="006B34FD" w:rsidRPr="006B34FD" w:rsidRDefault="006B34FD" w:rsidP="006E2C87">
      <w:pPr>
        <w:rPr>
          <w:rFonts w:cs="Arial"/>
          <w:b/>
          <w:bCs/>
          <w:sz w:val="22"/>
          <w:szCs w:val="22"/>
        </w:rPr>
      </w:pPr>
      <w:r w:rsidRPr="006B34FD">
        <w:rPr>
          <w:rFonts w:cs="Arial"/>
          <w:b/>
          <w:bCs/>
          <w:sz w:val="22"/>
          <w:szCs w:val="22"/>
        </w:rPr>
        <w:t>Respuesta:</w:t>
      </w:r>
    </w:p>
    <w:p w14:paraId="0E94F07D" w14:textId="77777777" w:rsidR="006B34FD" w:rsidRDefault="006B34FD" w:rsidP="006E2C87">
      <w:pPr>
        <w:rPr>
          <w:rFonts w:cs="Arial"/>
          <w:sz w:val="22"/>
          <w:szCs w:val="22"/>
        </w:rPr>
      </w:pPr>
    </w:p>
    <w:p w14:paraId="1BA909A1" w14:textId="5CDD9F40" w:rsidR="006B34FD" w:rsidRDefault="006B34FD" w:rsidP="006E2C87">
      <w:pPr>
        <w:rPr>
          <w:rFonts w:cs="Arial"/>
          <w:sz w:val="22"/>
          <w:szCs w:val="22"/>
        </w:rPr>
      </w:pPr>
      <w:r>
        <w:rPr>
          <w:rFonts w:cs="Arial"/>
          <w:sz w:val="22"/>
          <w:szCs w:val="22"/>
        </w:rPr>
        <w:t>No se acoge el comentario.</w:t>
      </w:r>
    </w:p>
    <w:p w14:paraId="73EE7F28" w14:textId="77777777" w:rsidR="006B34FD" w:rsidRDefault="006B34FD" w:rsidP="006E2C87">
      <w:pPr>
        <w:rPr>
          <w:rFonts w:cs="Arial"/>
          <w:sz w:val="22"/>
          <w:szCs w:val="22"/>
        </w:rPr>
      </w:pPr>
    </w:p>
    <w:p w14:paraId="1E073833" w14:textId="5D582176" w:rsidR="006B34FD" w:rsidRDefault="006B34FD" w:rsidP="006E2C87">
      <w:pPr>
        <w:rPr>
          <w:rFonts w:cs="Arial"/>
          <w:sz w:val="22"/>
          <w:szCs w:val="22"/>
        </w:rPr>
      </w:pPr>
      <w:r>
        <w:rPr>
          <w:rFonts w:cs="Arial"/>
          <w:sz w:val="22"/>
          <w:szCs w:val="22"/>
        </w:rPr>
        <w:t>El vendedor del Mercado Secundario no está limitado a alguna fuente de suministro específica de un contrato de suministro del Mercado Primario para garantizar el suministro del contrato de suministro del Mercado Secundario en el que se vuelve vendedor, pues las cantidades que se compromete a garantizar pueden provenir de diversas fuentes de suministro de diferentes contratos de suministro del Mercado Primario.</w:t>
      </w:r>
    </w:p>
    <w:p w14:paraId="31E00F66" w14:textId="77777777" w:rsidR="006B34FD" w:rsidRDefault="006B34FD" w:rsidP="006E2C87">
      <w:pPr>
        <w:rPr>
          <w:rFonts w:cs="Arial"/>
          <w:sz w:val="22"/>
          <w:szCs w:val="22"/>
        </w:rPr>
      </w:pPr>
    </w:p>
    <w:p w14:paraId="674F99E7" w14:textId="600BFC05" w:rsidR="006B34FD" w:rsidRPr="006E2C87" w:rsidRDefault="006B34FD" w:rsidP="006E2C87">
      <w:pPr>
        <w:rPr>
          <w:rFonts w:cs="Arial"/>
          <w:sz w:val="22"/>
          <w:szCs w:val="22"/>
        </w:rPr>
      </w:pPr>
      <w:r>
        <w:rPr>
          <w:rFonts w:cs="Arial"/>
          <w:sz w:val="22"/>
          <w:szCs w:val="22"/>
        </w:rPr>
        <w:t xml:space="preserve">Tener en cuenta la respuesta a </w:t>
      </w:r>
      <w:r>
        <w:rPr>
          <w:rFonts w:cs="Arial"/>
          <w:sz w:val="22"/>
          <w:szCs w:val="22"/>
        </w:rPr>
        <w:fldChar w:fldCharType="begin"/>
      </w:r>
      <w:r>
        <w:rPr>
          <w:rFonts w:cs="Arial"/>
          <w:sz w:val="22"/>
          <w:szCs w:val="22"/>
        </w:rPr>
        <w:instrText xml:space="preserve"> REF _Ref133307344 \r \h </w:instrText>
      </w:r>
      <w:r>
        <w:rPr>
          <w:rFonts w:cs="Arial"/>
          <w:sz w:val="22"/>
          <w:szCs w:val="22"/>
        </w:rPr>
      </w:r>
      <w:r>
        <w:rPr>
          <w:rFonts w:cs="Arial"/>
          <w:sz w:val="22"/>
          <w:szCs w:val="22"/>
        </w:rPr>
        <w:fldChar w:fldCharType="separate"/>
      </w:r>
      <w:r>
        <w:rPr>
          <w:rFonts w:cs="Arial"/>
          <w:sz w:val="22"/>
          <w:szCs w:val="22"/>
        </w:rPr>
        <w:t>23.8.1.2</w:t>
      </w:r>
      <w:r>
        <w:rPr>
          <w:rFonts w:cs="Arial"/>
          <w:sz w:val="22"/>
          <w:szCs w:val="22"/>
        </w:rPr>
        <w:fldChar w:fldCharType="end"/>
      </w:r>
      <w:r>
        <w:rPr>
          <w:rFonts w:cs="Arial"/>
          <w:sz w:val="22"/>
          <w:szCs w:val="22"/>
        </w:rPr>
        <w:t>.</w:t>
      </w:r>
    </w:p>
    <w:p w14:paraId="498B6CE7" w14:textId="77777777" w:rsidR="006E2C87" w:rsidRDefault="006E2C87" w:rsidP="006E2C87">
      <w:pPr>
        <w:rPr>
          <w:rFonts w:cs="Arial"/>
          <w:sz w:val="22"/>
          <w:szCs w:val="22"/>
        </w:rPr>
      </w:pPr>
    </w:p>
    <w:p w14:paraId="4B25CA0A" w14:textId="77777777" w:rsidR="006E2C87" w:rsidRDefault="006E2C87" w:rsidP="006E2C87">
      <w:pPr>
        <w:rPr>
          <w:rFonts w:cs="Arial"/>
          <w:sz w:val="22"/>
          <w:szCs w:val="22"/>
        </w:rPr>
      </w:pPr>
    </w:p>
    <w:p w14:paraId="50556483" w14:textId="77777777" w:rsidR="006E2C87" w:rsidRDefault="006E2C87" w:rsidP="006E2C87">
      <w:pPr>
        <w:pStyle w:val="Ttulo2"/>
      </w:pPr>
      <w:bookmarkStart w:id="940" w:name="_Toc140506510"/>
      <w:r w:rsidRPr="006E2C87">
        <w:t>GASES DE LA GUAJIRA</w:t>
      </w:r>
      <w:bookmarkEnd w:id="940"/>
      <w:r w:rsidRPr="006E2C87">
        <w:tab/>
      </w:r>
    </w:p>
    <w:p w14:paraId="5E32A54C" w14:textId="77777777" w:rsidR="006E2C87" w:rsidRDefault="006E2C87" w:rsidP="006E2C87">
      <w:pPr>
        <w:pStyle w:val="Ttulo4"/>
      </w:pPr>
      <w:bookmarkStart w:id="941" w:name="_Ref133316355"/>
      <w:r w:rsidRPr="006E2C87">
        <w:t>GASES DE LA GUAJIRA</w:t>
      </w:r>
      <w:bookmarkEnd w:id="941"/>
      <w:r w:rsidRPr="006E2C87">
        <w:tab/>
      </w:r>
    </w:p>
    <w:p w14:paraId="247A987C" w14:textId="43092175" w:rsidR="006E2C87" w:rsidRPr="006B34FD" w:rsidRDefault="006E2C87" w:rsidP="006E2C87">
      <w:pPr>
        <w:rPr>
          <w:rFonts w:cs="Arial"/>
          <w:i/>
          <w:iCs/>
          <w:sz w:val="22"/>
          <w:szCs w:val="22"/>
        </w:rPr>
      </w:pPr>
      <w:r w:rsidRPr="006E2C87">
        <w:rPr>
          <w:rFonts w:cs="Arial"/>
          <w:sz w:val="22"/>
          <w:szCs w:val="22"/>
        </w:rPr>
        <w:t>"</w:t>
      </w:r>
      <w:r w:rsidRPr="006B34FD">
        <w:rPr>
          <w:rFonts w:cs="Arial"/>
          <w:i/>
          <w:iCs/>
          <w:sz w:val="22"/>
          <w:szCs w:val="22"/>
        </w:rPr>
        <w:t>Es importante que la CREG involucre de manera clara, el funcionamiento del sector transporte, cuando, por ejemplo, el punto estándar no implique un pago de transporte, que ocurre con los gasoductos bidireccionales y demás, y finalmente, que ocurre si el vendedor no tiene acceso a la capacidad de transporte que le implica vender el gas en el punto estándar.</w:t>
      </w:r>
    </w:p>
    <w:p w14:paraId="0E38A098" w14:textId="77777777" w:rsidR="006E2C87" w:rsidRPr="006B34FD" w:rsidRDefault="006E2C87" w:rsidP="006E2C87">
      <w:pPr>
        <w:rPr>
          <w:rFonts w:cs="Arial"/>
          <w:i/>
          <w:iCs/>
          <w:sz w:val="22"/>
          <w:szCs w:val="22"/>
        </w:rPr>
      </w:pPr>
    </w:p>
    <w:p w14:paraId="2D75AF00" w14:textId="46D04773" w:rsidR="006E2C87" w:rsidRDefault="006E2C87" w:rsidP="006E2C87">
      <w:pPr>
        <w:rPr>
          <w:rFonts w:cs="Arial"/>
          <w:sz w:val="22"/>
          <w:szCs w:val="22"/>
        </w:rPr>
      </w:pPr>
      <w:r w:rsidRPr="006B34FD">
        <w:rPr>
          <w:rFonts w:cs="Arial"/>
          <w:i/>
          <w:iCs/>
          <w:sz w:val="22"/>
          <w:szCs w:val="22"/>
        </w:rPr>
        <w:t>Finalmente, el regulador debe notar que cuando el Punto de Entrega de un contrato negociado en el Primerio, difiere del secundario, se están generando dos productos diferentes que no son susceptibles de comparación</w:t>
      </w:r>
      <w:r w:rsidR="006B34FD">
        <w:rPr>
          <w:rFonts w:cs="Arial"/>
          <w:sz w:val="22"/>
          <w:szCs w:val="22"/>
        </w:rPr>
        <w:t>.</w:t>
      </w:r>
      <w:r w:rsidRPr="006E2C87">
        <w:rPr>
          <w:rFonts w:cs="Arial"/>
          <w:sz w:val="22"/>
          <w:szCs w:val="22"/>
        </w:rPr>
        <w:t>"</w:t>
      </w:r>
    </w:p>
    <w:p w14:paraId="4173B278" w14:textId="77777777" w:rsidR="006B34FD" w:rsidRDefault="006B34FD" w:rsidP="006E2C87">
      <w:pPr>
        <w:rPr>
          <w:rFonts w:cs="Arial"/>
          <w:sz w:val="22"/>
          <w:szCs w:val="22"/>
        </w:rPr>
      </w:pPr>
    </w:p>
    <w:p w14:paraId="25C51046" w14:textId="76E6B115" w:rsidR="006B34FD" w:rsidRPr="006B34FD" w:rsidRDefault="006B34FD" w:rsidP="006E2C87">
      <w:pPr>
        <w:rPr>
          <w:rFonts w:cs="Arial"/>
          <w:b/>
          <w:bCs/>
          <w:sz w:val="22"/>
          <w:szCs w:val="22"/>
        </w:rPr>
      </w:pPr>
      <w:r w:rsidRPr="006B34FD">
        <w:rPr>
          <w:rFonts w:cs="Arial"/>
          <w:b/>
          <w:bCs/>
          <w:sz w:val="22"/>
          <w:szCs w:val="22"/>
        </w:rPr>
        <w:t>Respuesta:</w:t>
      </w:r>
    </w:p>
    <w:p w14:paraId="28E7F09F" w14:textId="5D110DB5" w:rsidR="006B34FD" w:rsidRDefault="006B34FD" w:rsidP="006E2C87">
      <w:pPr>
        <w:rPr>
          <w:rFonts w:cs="Arial"/>
          <w:sz w:val="22"/>
          <w:szCs w:val="22"/>
        </w:rPr>
      </w:pPr>
    </w:p>
    <w:p w14:paraId="1B909AAC" w14:textId="19089645" w:rsidR="00536EE8" w:rsidRPr="006E2C87" w:rsidRDefault="00536EE8" w:rsidP="006E2C87">
      <w:pPr>
        <w:rPr>
          <w:rFonts w:cs="Arial"/>
          <w:sz w:val="22"/>
          <w:szCs w:val="22"/>
        </w:rPr>
      </w:pPr>
      <w:r>
        <w:rPr>
          <w:rFonts w:cs="Arial"/>
          <w:sz w:val="22"/>
          <w:szCs w:val="22"/>
        </w:rPr>
        <w:t>La información que se requiere declarar al Gestor del Mercado busca viabilizar el cálculo de valores realmente comparables de precios en el Mercado Secundario, de modo que se pueda separar el costo de suministro del costo de transporte y así obtener una comparación más adecuada de costos de suministro en el Mercado Primario y de suministro en el Mercado Secundario para un mismo punto de entrega de gas antes de incluir los costos de transporte.</w:t>
      </w:r>
    </w:p>
    <w:p w14:paraId="03E2EB6D" w14:textId="77777777" w:rsidR="006E2C87" w:rsidRDefault="006E2C87" w:rsidP="006E2C87">
      <w:pPr>
        <w:rPr>
          <w:rFonts w:cs="Arial"/>
          <w:sz w:val="22"/>
          <w:szCs w:val="22"/>
        </w:rPr>
      </w:pPr>
    </w:p>
    <w:p w14:paraId="2FC359BF" w14:textId="77777777" w:rsidR="006E2C87" w:rsidRDefault="006E2C87" w:rsidP="006E2C87">
      <w:pPr>
        <w:rPr>
          <w:rFonts w:cs="Arial"/>
          <w:sz w:val="22"/>
          <w:szCs w:val="22"/>
        </w:rPr>
      </w:pPr>
    </w:p>
    <w:p w14:paraId="3D8942E7" w14:textId="77777777" w:rsidR="006E2C87" w:rsidRDefault="006E2C87" w:rsidP="006E2C87">
      <w:pPr>
        <w:pStyle w:val="Ttulo2"/>
      </w:pPr>
      <w:bookmarkStart w:id="942" w:name="_Toc140506511"/>
      <w:r w:rsidRPr="006E2C87">
        <w:t>GASES DEL CARIBE</w:t>
      </w:r>
      <w:bookmarkEnd w:id="942"/>
      <w:r w:rsidRPr="006E2C87">
        <w:tab/>
      </w:r>
    </w:p>
    <w:p w14:paraId="19590106" w14:textId="77777777" w:rsidR="006E2C87" w:rsidRDefault="006E2C87" w:rsidP="006E2C87">
      <w:pPr>
        <w:pStyle w:val="Ttulo4"/>
      </w:pPr>
      <w:r w:rsidRPr="006E2C87">
        <w:t>GASES DEL CARIBE</w:t>
      </w:r>
      <w:r w:rsidRPr="006E2C87">
        <w:tab/>
      </w:r>
    </w:p>
    <w:p w14:paraId="16C76D4B" w14:textId="7456B5CC" w:rsidR="006E2C87" w:rsidRPr="003C4875" w:rsidRDefault="006E2C87" w:rsidP="006E2C87">
      <w:pPr>
        <w:rPr>
          <w:rFonts w:cs="Arial"/>
          <w:i/>
          <w:iCs/>
          <w:sz w:val="22"/>
          <w:szCs w:val="22"/>
        </w:rPr>
      </w:pPr>
      <w:r w:rsidRPr="006E2C87">
        <w:rPr>
          <w:rFonts w:cs="Arial"/>
          <w:sz w:val="22"/>
          <w:szCs w:val="22"/>
        </w:rPr>
        <w:t>"</w:t>
      </w:r>
      <w:r w:rsidRPr="003C4875">
        <w:rPr>
          <w:rFonts w:cs="Arial"/>
          <w:i/>
          <w:iCs/>
          <w:sz w:val="22"/>
          <w:szCs w:val="22"/>
        </w:rPr>
        <w:t>Es importante que la CREG involucre de manera clara, el funcionamiento del sector transporte, cuando, por ejemplo, el punto estándar no implique un pago de transporte, que ocurre con los gasoductos bidireccionales y demás, y finalmente, que ocurre si el vendedor no tiene acceso a la capacidad de transporte que le implica vender el gas en el punto estándar.</w:t>
      </w:r>
    </w:p>
    <w:p w14:paraId="7BB884FF" w14:textId="77777777" w:rsidR="006E2C87" w:rsidRPr="003C4875" w:rsidRDefault="006E2C87" w:rsidP="006E2C87">
      <w:pPr>
        <w:rPr>
          <w:rFonts w:cs="Arial"/>
          <w:i/>
          <w:iCs/>
          <w:sz w:val="22"/>
          <w:szCs w:val="22"/>
        </w:rPr>
      </w:pPr>
    </w:p>
    <w:p w14:paraId="70D33806" w14:textId="77851A9F" w:rsidR="006E2C87" w:rsidRPr="003C4875" w:rsidRDefault="006E2C87" w:rsidP="006E2C87">
      <w:pPr>
        <w:rPr>
          <w:rFonts w:cs="Arial"/>
          <w:i/>
          <w:iCs/>
          <w:sz w:val="22"/>
          <w:szCs w:val="22"/>
        </w:rPr>
      </w:pPr>
      <w:r w:rsidRPr="003C4875">
        <w:rPr>
          <w:rFonts w:cs="Arial"/>
          <w:i/>
          <w:iCs/>
          <w:sz w:val="22"/>
          <w:szCs w:val="22"/>
        </w:rPr>
        <w:t>Finalmente, el regulador debe notar que cuando el Punto de Entrega de un contrato negociado en el Primerio, difiere del secundario, se están generando dos productos diferentes que no son susceptibles de comparación</w:t>
      </w:r>
      <w:r w:rsidR="003C4875">
        <w:rPr>
          <w:rFonts w:cs="Arial"/>
          <w:i/>
          <w:iCs/>
          <w:sz w:val="22"/>
          <w:szCs w:val="22"/>
        </w:rPr>
        <w:t>.</w:t>
      </w:r>
      <w:r w:rsidRPr="003C4875">
        <w:rPr>
          <w:rFonts w:cs="Arial"/>
          <w:i/>
          <w:iCs/>
          <w:sz w:val="22"/>
          <w:szCs w:val="22"/>
        </w:rPr>
        <w:t>"</w:t>
      </w:r>
    </w:p>
    <w:p w14:paraId="48482E7F" w14:textId="77777777" w:rsidR="003C4875" w:rsidRDefault="003C4875" w:rsidP="006E2C87">
      <w:pPr>
        <w:rPr>
          <w:rFonts w:cs="Arial"/>
          <w:sz w:val="22"/>
          <w:szCs w:val="22"/>
        </w:rPr>
      </w:pPr>
    </w:p>
    <w:p w14:paraId="0E08A0E9" w14:textId="096C94FA" w:rsidR="003C4875" w:rsidRPr="003C4875" w:rsidRDefault="003C4875" w:rsidP="006E2C87">
      <w:pPr>
        <w:rPr>
          <w:rFonts w:cs="Arial"/>
          <w:b/>
          <w:bCs/>
          <w:sz w:val="22"/>
          <w:szCs w:val="22"/>
        </w:rPr>
      </w:pPr>
      <w:r w:rsidRPr="003C4875">
        <w:rPr>
          <w:rFonts w:cs="Arial"/>
          <w:b/>
          <w:bCs/>
          <w:sz w:val="22"/>
          <w:szCs w:val="22"/>
        </w:rPr>
        <w:t>Respuesta:</w:t>
      </w:r>
    </w:p>
    <w:p w14:paraId="6CBD7084" w14:textId="77777777" w:rsidR="003C4875" w:rsidRDefault="003C4875" w:rsidP="006E2C87">
      <w:pPr>
        <w:rPr>
          <w:rFonts w:cs="Arial"/>
          <w:sz w:val="22"/>
          <w:szCs w:val="22"/>
        </w:rPr>
      </w:pPr>
    </w:p>
    <w:p w14:paraId="1D91A574" w14:textId="3C3F993B" w:rsidR="003C4875" w:rsidRPr="006E2C87" w:rsidRDefault="003C4875" w:rsidP="006E2C8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_Ref133316355 \r \h </w:instrText>
      </w:r>
      <w:r>
        <w:rPr>
          <w:rFonts w:cs="Arial"/>
          <w:sz w:val="22"/>
          <w:szCs w:val="22"/>
        </w:rPr>
      </w:r>
      <w:r>
        <w:rPr>
          <w:rFonts w:cs="Arial"/>
          <w:sz w:val="22"/>
          <w:szCs w:val="22"/>
        </w:rPr>
        <w:fldChar w:fldCharType="separate"/>
      </w:r>
      <w:r>
        <w:rPr>
          <w:rFonts w:cs="Arial"/>
          <w:sz w:val="22"/>
          <w:szCs w:val="22"/>
        </w:rPr>
        <w:t>25.2.1.1</w:t>
      </w:r>
      <w:r>
        <w:rPr>
          <w:rFonts w:cs="Arial"/>
          <w:sz w:val="22"/>
          <w:szCs w:val="22"/>
        </w:rPr>
        <w:fldChar w:fldCharType="end"/>
      </w:r>
      <w:r>
        <w:rPr>
          <w:rFonts w:cs="Arial"/>
          <w:sz w:val="22"/>
          <w:szCs w:val="22"/>
        </w:rPr>
        <w:t>.</w:t>
      </w:r>
    </w:p>
    <w:p w14:paraId="6B9C70A1" w14:textId="77777777" w:rsidR="006E2C87" w:rsidRDefault="006E2C87" w:rsidP="006E2C87">
      <w:pPr>
        <w:rPr>
          <w:rFonts w:cs="Arial"/>
          <w:sz w:val="22"/>
          <w:szCs w:val="22"/>
        </w:rPr>
      </w:pPr>
    </w:p>
    <w:p w14:paraId="045E4547" w14:textId="77777777" w:rsidR="006E2C87" w:rsidRDefault="006E2C87" w:rsidP="006E2C87">
      <w:pPr>
        <w:rPr>
          <w:rFonts w:cs="Arial"/>
          <w:sz w:val="22"/>
          <w:szCs w:val="22"/>
        </w:rPr>
      </w:pPr>
    </w:p>
    <w:p w14:paraId="6E0612FE" w14:textId="77777777" w:rsidR="006E2C87" w:rsidRDefault="006E2C87" w:rsidP="006E2C87">
      <w:pPr>
        <w:pStyle w:val="Ttulo2"/>
      </w:pPr>
      <w:bookmarkStart w:id="943" w:name="_Toc140506512"/>
      <w:r w:rsidRPr="006E2C87">
        <w:t>TEBSA</w:t>
      </w:r>
      <w:bookmarkEnd w:id="943"/>
      <w:r w:rsidRPr="006E2C87">
        <w:tab/>
      </w:r>
    </w:p>
    <w:p w14:paraId="770C13C1" w14:textId="77777777" w:rsidR="006E2C87" w:rsidRDefault="006E2C87" w:rsidP="006E2C87">
      <w:pPr>
        <w:pStyle w:val="Ttulo4"/>
      </w:pPr>
      <w:r w:rsidRPr="006E2C87">
        <w:t>TEBSA</w:t>
      </w:r>
      <w:r w:rsidRPr="006E2C87">
        <w:tab/>
      </w:r>
    </w:p>
    <w:p w14:paraId="72193517" w14:textId="36CDDC8F" w:rsidR="006E2C87" w:rsidRPr="003C4875" w:rsidRDefault="00075FDE" w:rsidP="006E2C87">
      <w:pPr>
        <w:rPr>
          <w:rFonts w:cs="Arial"/>
          <w:i/>
          <w:iCs/>
          <w:sz w:val="22"/>
          <w:szCs w:val="22"/>
        </w:rPr>
      </w:pPr>
      <w:r>
        <w:rPr>
          <w:rFonts w:cs="Arial"/>
          <w:i/>
          <w:iCs/>
          <w:sz w:val="22"/>
          <w:szCs w:val="22"/>
        </w:rPr>
        <w:t>“</w:t>
      </w:r>
      <w:r w:rsidR="006E2C87" w:rsidRPr="003C4875">
        <w:rPr>
          <w:rFonts w:cs="Arial"/>
          <w:i/>
          <w:iCs/>
          <w:sz w:val="22"/>
          <w:szCs w:val="22"/>
        </w:rPr>
        <w:t>¿Por qué la CREG considera necesaria la desagregación?</w:t>
      </w:r>
      <w:r>
        <w:rPr>
          <w:rFonts w:cs="Arial"/>
          <w:i/>
          <w:iCs/>
          <w:sz w:val="22"/>
          <w:szCs w:val="22"/>
        </w:rPr>
        <w:t>”</w:t>
      </w:r>
    </w:p>
    <w:p w14:paraId="61EFCDB5" w14:textId="77777777" w:rsidR="003C4875" w:rsidRDefault="003C4875" w:rsidP="006E2C87">
      <w:pPr>
        <w:rPr>
          <w:rFonts w:cs="Arial"/>
          <w:sz w:val="22"/>
          <w:szCs w:val="22"/>
        </w:rPr>
      </w:pPr>
    </w:p>
    <w:p w14:paraId="4A628157" w14:textId="38FA8EF8" w:rsidR="003C4875" w:rsidRPr="003C4875" w:rsidRDefault="003C4875" w:rsidP="006E2C87">
      <w:pPr>
        <w:rPr>
          <w:rFonts w:cs="Arial"/>
          <w:b/>
          <w:bCs/>
          <w:sz w:val="22"/>
          <w:szCs w:val="22"/>
        </w:rPr>
      </w:pPr>
      <w:r w:rsidRPr="003C4875">
        <w:rPr>
          <w:rFonts w:cs="Arial"/>
          <w:b/>
          <w:bCs/>
          <w:sz w:val="22"/>
          <w:szCs w:val="22"/>
        </w:rPr>
        <w:t>Respuesta:</w:t>
      </w:r>
    </w:p>
    <w:p w14:paraId="112105BA" w14:textId="77777777" w:rsidR="003C4875" w:rsidRDefault="003C4875" w:rsidP="006E2C87">
      <w:pPr>
        <w:rPr>
          <w:rFonts w:cs="Arial"/>
          <w:sz w:val="22"/>
          <w:szCs w:val="22"/>
        </w:rPr>
      </w:pPr>
    </w:p>
    <w:p w14:paraId="1D68418C" w14:textId="77777777" w:rsidR="003C4875" w:rsidRPr="006E2C87" w:rsidRDefault="003C4875" w:rsidP="003C4875">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_Ref133316355 \r \h </w:instrText>
      </w:r>
      <w:r>
        <w:rPr>
          <w:rFonts w:cs="Arial"/>
          <w:sz w:val="22"/>
          <w:szCs w:val="22"/>
        </w:rPr>
      </w:r>
      <w:r>
        <w:rPr>
          <w:rFonts w:cs="Arial"/>
          <w:sz w:val="22"/>
          <w:szCs w:val="22"/>
        </w:rPr>
        <w:fldChar w:fldCharType="separate"/>
      </w:r>
      <w:r>
        <w:rPr>
          <w:rFonts w:cs="Arial"/>
          <w:sz w:val="22"/>
          <w:szCs w:val="22"/>
        </w:rPr>
        <w:t>25.2.1.1</w:t>
      </w:r>
      <w:r>
        <w:rPr>
          <w:rFonts w:cs="Arial"/>
          <w:sz w:val="22"/>
          <w:szCs w:val="22"/>
        </w:rPr>
        <w:fldChar w:fldCharType="end"/>
      </w:r>
      <w:r>
        <w:rPr>
          <w:rFonts w:cs="Arial"/>
          <w:sz w:val="22"/>
          <w:szCs w:val="22"/>
        </w:rPr>
        <w:t>.</w:t>
      </w:r>
    </w:p>
    <w:p w14:paraId="0C1C7EF8" w14:textId="77777777" w:rsidR="003C4875" w:rsidRPr="006E2C87" w:rsidRDefault="003C4875" w:rsidP="006E2C87">
      <w:pPr>
        <w:rPr>
          <w:rFonts w:cs="Arial"/>
          <w:sz w:val="22"/>
          <w:szCs w:val="22"/>
        </w:rPr>
      </w:pPr>
    </w:p>
    <w:p w14:paraId="58F83BA8" w14:textId="77777777" w:rsidR="006E2C87" w:rsidRDefault="006E2C87" w:rsidP="006E2C87">
      <w:pPr>
        <w:rPr>
          <w:rFonts w:cs="Arial"/>
          <w:sz w:val="22"/>
          <w:szCs w:val="22"/>
        </w:rPr>
      </w:pPr>
    </w:p>
    <w:p w14:paraId="44628F20" w14:textId="77777777" w:rsidR="006E2C87" w:rsidRDefault="006E2C87" w:rsidP="006E2C87">
      <w:pPr>
        <w:pStyle w:val="Ttulo4"/>
      </w:pPr>
      <w:r w:rsidRPr="006E2C87">
        <w:t>TEBSA</w:t>
      </w:r>
      <w:r w:rsidRPr="006E2C87">
        <w:tab/>
      </w:r>
    </w:p>
    <w:p w14:paraId="5380B6ED" w14:textId="1F8F6B9A" w:rsidR="00EF1C07" w:rsidRPr="00075FDE" w:rsidRDefault="00075FDE" w:rsidP="006E2C87">
      <w:pPr>
        <w:rPr>
          <w:rFonts w:cs="Arial"/>
          <w:i/>
          <w:iCs/>
          <w:sz w:val="22"/>
          <w:szCs w:val="22"/>
        </w:rPr>
      </w:pPr>
      <w:r>
        <w:rPr>
          <w:rFonts w:cs="Arial"/>
          <w:i/>
          <w:iCs/>
          <w:sz w:val="22"/>
          <w:szCs w:val="22"/>
        </w:rPr>
        <w:t>“</w:t>
      </w:r>
      <w:r w:rsidR="006E2C87" w:rsidRPr="00075FDE">
        <w:rPr>
          <w:rFonts w:cs="Arial"/>
          <w:i/>
          <w:iCs/>
          <w:sz w:val="22"/>
          <w:szCs w:val="22"/>
        </w:rPr>
        <w:t>Esta información es reportada en el SUI, ¿debe hacerse también ante el gestor?</w:t>
      </w:r>
      <w:r>
        <w:rPr>
          <w:rFonts w:cs="Arial"/>
          <w:i/>
          <w:iCs/>
          <w:sz w:val="22"/>
          <w:szCs w:val="22"/>
        </w:rPr>
        <w:t>”</w:t>
      </w:r>
    </w:p>
    <w:p w14:paraId="06C7F3F9" w14:textId="77777777" w:rsidR="003C4875" w:rsidRDefault="003C4875" w:rsidP="006E2C87">
      <w:pPr>
        <w:rPr>
          <w:rFonts w:cs="Arial"/>
          <w:sz w:val="22"/>
          <w:szCs w:val="22"/>
        </w:rPr>
      </w:pPr>
    </w:p>
    <w:p w14:paraId="29D0465D" w14:textId="0C978BE9" w:rsidR="003C4875" w:rsidRPr="003C4875" w:rsidRDefault="003C4875" w:rsidP="006E2C87">
      <w:pPr>
        <w:rPr>
          <w:rFonts w:cs="Arial"/>
          <w:b/>
          <w:bCs/>
          <w:sz w:val="22"/>
          <w:szCs w:val="22"/>
        </w:rPr>
      </w:pPr>
      <w:r w:rsidRPr="003C4875">
        <w:rPr>
          <w:rFonts w:cs="Arial"/>
          <w:b/>
          <w:bCs/>
          <w:sz w:val="22"/>
          <w:szCs w:val="22"/>
        </w:rPr>
        <w:t>Respuesta:</w:t>
      </w:r>
    </w:p>
    <w:p w14:paraId="06C05C30" w14:textId="77777777" w:rsidR="003C4875" w:rsidRDefault="003C4875" w:rsidP="006E2C87">
      <w:pPr>
        <w:rPr>
          <w:rFonts w:cs="Arial"/>
          <w:sz w:val="22"/>
          <w:szCs w:val="22"/>
        </w:rPr>
      </w:pPr>
    </w:p>
    <w:p w14:paraId="597B1B16" w14:textId="2DF526C8" w:rsidR="003C4875" w:rsidRPr="006E2C87" w:rsidRDefault="003C4875" w:rsidP="006E2C87">
      <w:pPr>
        <w:rPr>
          <w:rFonts w:cs="Arial"/>
          <w:sz w:val="22"/>
          <w:szCs w:val="22"/>
        </w:rPr>
      </w:pPr>
      <w:r>
        <w:rPr>
          <w:rFonts w:cs="Arial"/>
          <w:sz w:val="22"/>
          <w:szCs w:val="22"/>
        </w:rPr>
        <w:t xml:space="preserve">El Gestor del Mercado debe obtener indicadores del Mercado Mayorista para los efectos de transparencia de la información a los agentes del Mercado y comparabilidad de </w:t>
      </w:r>
      <w:proofErr w:type="gramStart"/>
      <w:r>
        <w:rPr>
          <w:rFonts w:cs="Arial"/>
          <w:sz w:val="22"/>
          <w:szCs w:val="22"/>
        </w:rPr>
        <w:t>la misma</w:t>
      </w:r>
      <w:proofErr w:type="gramEnd"/>
      <w:r>
        <w:rPr>
          <w:rFonts w:cs="Arial"/>
          <w:sz w:val="22"/>
          <w:szCs w:val="22"/>
        </w:rPr>
        <w:t>, entre otros. La información del SUI se utiliza</w:t>
      </w:r>
      <w:r w:rsidR="00D00322">
        <w:rPr>
          <w:rFonts w:cs="Arial"/>
          <w:sz w:val="22"/>
          <w:szCs w:val="22"/>
        </w:rPr>
        <w:t>, entre otros,</w:t>
      </w:r>
      <w:r>
        <w:rPr>
          <w:rFonts w:cs="Arial"/>
          <w:sz w:val="22"/>
          <w:szCs w:val="22"/>
        </w:rPr>
        <w:t xml:space="preserve"> para efectos de la vigilancia y control de la prestación del servicio público domiciliario, en que no se diferencia el origen del suministro y del transporte de gas de acuerdo con los mecanismos del Mercado Mayorista.</w:t>
      </w:r>
    </w:p>
    <w:p w14:paraId="5A839D2B" w14:textId="5FC690EE" w:rsidR="00EF1C07" w:rsidRDefault="00EF1C07" w:rsidP="00371CB5">
      <w:pPr>
        <w:rPr>
          <w:rFonts w:cs="Arial"/>
          <w:b/>
          <w:bCs/>
          <w:sz w:val="22"/>
          <w:szCs w:val="22"/>
        </w:rPr>
      </w:pPr>
    </w:p>
    <w:p w14:paraId="2ECF758A" w14:textId="67DCF6D6" w:rsidR="00EF1C07" w:rsidRDefault="00EF1C07" w:rsidP="00371CB5">
      <w:pPr>
        <w:rPr>
          <w:rFonts w:cs="Arial"/>
          <w:b/>
          <w:bCs/>
          <w:sz w:val="22"/>
          <w:szCs w:val="22"/>
        </w:rPr>
      </w:pPr>
    </w:p>
    <w:p w14:paraId="623753D6" w14:textId="1133D66F" w:rsidR="00EF1C07" w:rsidRDefault="00EF1C07" w:rsidP="00EF1C07">
      <w:pPr>
        <w:pStyle w:val="Ttulo1"/>
        <w:numPr>
          <w:ilvl w:val="0"/>
          <w:numId w:val="1"/>
        </w:numPr>
        <w:rPr>
          <w:caps/>
        </w:rPr>
      </w:pPr>
      <w:bookmarkStart w:id="944" w:name="_Toc140506513"/>
      <w:r>
        <w:t xml:space="preserve">ARTÍCULO 28. </w:t>
      </w:r>
      <w:r w:rsidR="0070732E" w:rsidRPr="0070732E">
        <w:rPr>
          <w:caps/>
        </w:rPr>
        <w:t>Vendedores de gas natural del Mercado Secundario</w:t>
      </w:r>
      <w:bookmarkEnd w:id="944"/>
    </w:p>
    <w:p w14:paraId="56A3A950" w14:textId="77777777" w:rsidR="00594256" w:rsidRDefault="00594256" w:rsidP="00594256">
      <w:pPr>
        <w:pStyle w:val="Ttulo2"/>
      </w:pPr>
      <w:bookmarkStart w:id="945" w:name="_Toc140506514"/>
      <w:r w:rsidRPr="00594256">
        <w:t>GASES DE LA GUAJIRA</w:t>
      </w:r>
      <w:bookmarkEnd w:id="945"/>
      <w:r w:rsidRPr="00594256">
        <w:tab/>
      </w:r>
    </w:p>
    <w:p w14:paraId="2DB23E62" w14:textId="77777777" w:rsidR="00594256" w:rsidRDefault="00594256" w:rsidP="00594256">
      <w:pPr>
        <w:pStyle w:val="Ttulo4"/>
      </w:pPr>
      <w:r w:rsidRPr="00594256">
        <w:t>GASES DE LA GUAJIRA</w:t>
      </w:r>
      <w:r w:rsidRPr="00594256">
        <w:tab/>
      </w:r>
    </w:p>
    <w:p w14:paraId="570C6CD4" w14:textId="1DDD877E" w:rsidR="00594256" w:rsidRPr="00B47B10" w:rsidRDefault="00594256" w:rsidP="00594256">
      <w:pPr>
        <w:rPr>
          <w:rFonts w:cs="Arial"/>
          <w:i/>
          <w:iCs/>
          <w:sz w:val="22"/>
          <w:szCs w:val="22"/>
        </w:rPr>
      </w:pPr>
      <w:r w:rsidRPr="00594256">
        <w:rPr>
          <w:rFonts w:cs="Arial"/>
          <w:sz w:val="22"/>
          <w:szCs w:val="22"/>
        </w:rPr>
        <w:t>"</w:t>
      </w:r>
      <w:r w:rsidRPr="00B47B10">
        <w:rPr>
          <w:rFonts w:cs="Arial"/>
          <w:i/>
          <w:iCs/>
          <w:sz w:val="22"/>
          <w:szCs w:val="22"/>
        </w:rPr>
        <w:t>El regulador hace un cambio importante de posición, frente a los usuarios no regulados, a dejarlos vender y comprar de manera libre en el mercado secundario.</w:t>
      </w:r>
    </w:p>
    <w:p w14:paraId="12B7D2FE" w14:textId="77777777" w:rsidR="00594256" w:rsidRPr="00B47B10" w:rsidRDefault="00594256" w:rsidP="00594256">
      <w:pPr>
        <w:rPr>
          <w:rFonts w:cs="Arial"/>
          <w:i/>
          <w:iCs/>
          <w:sz w:val="22"/>
          <w:szCs w:val="22"/>
        </w:rPr>
      </w:pPr>
    </w:p>
    <w:p w14:paraId="312602D0" w14:textId="77777777" w:rsidR="00594256" w:rsidRPr="00B47B10" w:rsidRDefault="00594256" w:rsidP="00594256">
      <w:pPr>
        <w:rPr>
          <w:rFonts w:cs="Arial"/>
          <w:i/>
          <w:iCs/>
          <w:sz w:val="22"/>
          <w:szCs w:val="22"/>
        </w:rPr>
      </w:pPr>
      <w:r w:rsidRPr="00B47B10">
        <w:rPr>
          <w:rFonts w:cs="Arial"/>
          <w:i/>
          <w:iCs/>
          <w:sz w:val="22"/>
          <w:szCs w:val="22"/>
        </w:rPr>
        <w:t xml:space="preserve">En ese sentido, los usuarios no regulados, en la práctica estarían haciendo funciones de Comercializador Mayorista, sin tener que cumplir los requisitos para el efecto, y sin estar bajo la supervisión de la SSPD. Se solicita explicar el cambio de posición y </w:t>
      </w:r>
      <w:proofErr w:type="spellStart"/>
      <w:r w:rsidRPr="00B47B10">
        <w:rPr>
          <w:rFonts w:cs="Arial"/>
          <w:i/>
          <w:iCs/>
          <w:sz w:val="22"/>
          <w:szCs w:val="22"/>
        </w:rPr>
        <w:t>cual</w:t>
      </w:r>
      <w:proofErr w:type="spellEnd"/>
      <w:r w:rsidRPr="00B47B10">
        <w:rPr>
          <w:rFonts w:cs="Arial"/>
          <w:i/>
          <w:iCs/>
          <w:sz w:val="22"/>
          <w:szCs w:val="22"/>
        </w:rPr>
        <w:t xml:space="preserve"> es el impacto que un cambio de estos podría tener."</w:t>
      </w:r>
    </w:p>
    <w:p w14:paraId="44F0FF7B" w14:textId="77777777" w:rsidR="00B47B10" w:rsidRDefault="00B47B10" w:rsidP="00594256">
      <w:pPr>
        <w:rPr>
          <w:rFonts w:cs="Arial"/>
          <w:sz w:val="22"/>
          <w:szCs w:val="22"/>
        </w:rPr>
      </w:pPr>
    </w:p>
    <w:p w14:paraId="68616895" w14:textId="25CFB00C" w:rsidR="00B47B10" w:rsidRPr="00B47B10" w:rsidRDefault="00B47B10" w:rsidP="00594256">
      <w:pPr>
        <w:rPr>
          <w:rFonts w:cs="Arial"/>
          <w:b/>
          <w:bCs/>
          <w:sz w:val="22"/>
          <w:szCs w:val="22"/>
        </w:rPr>
      </w:pPr>
      <w:r w:rsidRPr="00B47B10">
        <w:rPr>
          <w:rFonts w:cs="Arial"/>
          <w:b/>
          <w:bCs/>
          <w:sz w:val="22"/>
          <w:szCs w:val="22"/>
        </w:rPr>
        <w:t>Respuesta:</w:t>
      </w:r>
    </w:p>
    <w:p w14:paraId="6D23A134" w14:textId="77777777" w:rsidR="00B47B10" w:rsidRDefault="00B47B10" w:rsidP="00594256">
      <w:pPr>
        <w:rPr>
          <w:rFonts w:cs="Arial"/>
          <w:sz w:val="22"/>
          <w:szCs w:val="22"/>
        </w:rPr>
      </w:pPr>
    </w:p>
    <w:p w14:paraId="5C7B2BD9" w14:textId="77777777" w:rsidR="00437B7A" w:rsidRDefault="00437B7A" w:rsidP="00437B7A">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_Ref130808163 \r \h </w:instrText>
      </w:r>
      <w:r>
        <w:rPr>
          <w:rFonts w:cs="Arial"/>
          <w:sz w:val="22"/>
          <w:szCs w:val="22"/>
        </w:rPr>
      </w:r>
      <w:r>
        <w:rPr>
          <w:rFonts w:cs="Arial"/>
          <w:sz w:val="22"/>
          <w:szCs w:val="22"/>
        </w:rPr>
        <w:fldChar w:fldCharType="separate"/>
      </w:r>
      <w:r>
        <w:rPr>
          <w:rFonts w:cs="Arial"/>
          <w:sz w:val="22"/>
          <w:szCs w:val="22"/>
        </w:rPr>
        <w:t>16.1.1.1</w:t>
      </w:r>
      <w:r>
        <w:rPr>
          <w:rFonts w:cs="Arial"/>
          <w:sz w:val="22"/>
          <w:szCs w:val="22"/>
        </w:rPr>
        <w:fldChar w:fldCharType="end"/>
      </w:r>
      <w:r>
        <w:rPr>
          <w:rFonts w:cs="Arial"/>
          <w:sz w:val="22"/>
          <w:szCs w:val="22"/>
        </w:rPr>
        <w:t>.</w:t>
      </w:r>
    </w:p>
    <w:p w14:paraId="18A4ABE6" w14:textId="77777777" w:rsidR="00594256" w:rsidRDefault="00594256" w:rsidP="00594256">
      <w:pPr>
        <w:rPr>
          <w:rFonts w:cs="Arial"/>
          <w:sz w:val="22"/>
          <w:szCs w:val="22"/>
        </w:rPr>
      </w:pPr>
    </w:p>
    <w:p w14:paraId="7B69AE98" w14:textId="77777777" w:rsidR="00594256" w:rsidRDefault="00594256" w:rsidP="00594256">
      <w:pPr>
        <w:rPr>
          <w:rFonts w:cs="Arial"/>
          <w:sz w:val="22"/>
          <w:szCs w:val="22"/>
        </w:rPr>
      </w:pPr>
    </w:p>
    <w:p w14:paraId="02108FA6" w14:textId="77777777" w:rsidR="00594256" w:rsidRDefault="00594256" w:rsidP="00594256">
      <w:pPr>
        <w:pStyle w:val="Ttulo2"/>
      </w:pPr>
      <w:bookmarkStart w:id="946" w:name="_Toc140506515"/>
      <w:r w:rsidRPr="00594256">
        <w:t>GASES DEL CARIBE</w:t>
      </w:r>
      <w:bookmarkEnd w:id="946"/>
      <w:r w:rsidRPr="00594256">
        <w:tab/>
      </w:r>
    </w:p>
    <w:p w14:paraId="5E109896" w14:textId="77777777" w:rsidR="00594256" w:rsidRDefault="00594256" w:rsidP="00594256">
      <w:pPr>
        <w:pStyle w:val="Ttulo4"/>
      </w:pPr>
      <w:r w:rsidRPr="00594256">
        <w:t>GASES DEL CARIBE</w:t>
      </w:r>
      <w:r w:rsidRPr="00594256">
        <w:tab/>
      </w:r>
    </w:p>
    <w:p w14:paraId="1A46A34E" w14:textId="205BEFF0" w:rsidR="00594256" w:rsidRPr="00BE23BD" w:rsidRDefault="00594256" w:rsidP="00594256">
      <w:pPr>
        <w:rPr>
          <w:rFonts w:cs="Arial"/>
          <w:i/>
          <w:iCs/>
          <w:sz w:val="22"/>
          <w:szCs w:val="22"/>
        </w:rPr>
      </w:pPr>
      <w:r w:rsidRPr="00594256">
        <w:rPr>
          <w:rFonts w:cs="Arial"/>
          <w:sz w:val="22"/>
          <w:szCs w:val="22"/>
        </w:rPr>
        <w:t>"</w:t>
      </w:r>
      <w:r w:rsidRPr="00BE23BD">
        <w:rPr>
          <w:rFonts w:cs="Arial"/>
          <w:i/>
          <w:iCs/>
          <w:sz w:val="22"/>
          <w:szCs w:val="22"/>
        </w:rPr>
        <w:t>El regulador hace un cambio importante de posición, frente a los usuarios no regulados, a dejarlos vender y comprar de manera libre en el mercado secundario.</w:t>
      </w:r>
    </w:p>
    <w:p w14:paraId="22F3B497" w14:textId="77777777" w:rsidR="00594256" w:rsidRPr="00BE23BD" w:rsidRDefault="00594256" w:rsidP="00594256">
      <w:pPr>
        <w:rPr>
          <w:rFonts w:cs="Arial"/>
          <w:i/>
          <w:iCs/>
          <w:sz w:val="22"/>
          <w:szCs w:val="22"/>
        </w:rPr>
      </w:pPr>
    </w:p>
    <w:p w14:paraId="7A63C2BE" w14:textId="77777777" w:rsidR="00594256" w:rsidRDefault="00594256" w:rsidP="00594256">
      <w:pPr>
        <w:rPr>
          <w:rFonts w:cs="Arial"/>
          <w:sz w:val="22"/>
          <w:szCs w:val="22"/>
        </w:rPr>
      </w:pPr>
      <w:r w:rsidRPr="00BE23BD">
        <w:rPr>
          <w:rFonts w:cs="Arial"/>
          <w:i/>
          <w:iCs/>
          <w:sz w:val="22"/>
          <w:szCs w:val="22"/>
        </w:rPr>
        <w:t xml:space="preserve">En ese sentido, los usuarios no regulados, en la práctica estarían haciendo funciones de Comercializador Mayorista, sin tener que cumplir los requisitos para el efecto, y sin estar bajo la supervisión de la SSPD. Se solicita explicar el cambio de posición y </w:t>
      </w:r>
      <w:proofErr w:type="spellStart"/>
      <w:r w:rsidRPr="00BE23BD">
        <w:rPr>
          <w:rFonts w:cs="Arial"/>
          <w:i/>
          <w:iCs/>
          <w:sz w:val="22"/>
          <w:szCs w:val="22"/>
        </w:rPr>
        <w:t>cual</w:t>
      </w:r>
      <w:proofErr w:type="spellEnd"/>
      <w:r w:rsidRPr="00BE23BD">
        <w:rPr>
          <w:rFonts w:cs="Arial"/>
          <w:i/>
          <w:iCs/>
          <w:sz w:val="22"/>
          <w:szCs w:val="22"/>
        </w:rPr>
        <w:t xml:space="preserve"> es el impacto que un cambio de estos podría tener</w:t>
      </w:r>
      <w:r w:rsidRPr="00594256">
        <w:rPr>
          <w:rFonts w:cs="Arial"/>
          <w:sz w:val="22"/>
          <w:szCs w:val="22"/>
        </w:rPr>
        <w:t>."</w:t>
      </w:r>
    </w:p>
    <w:p w14:paraId="6D72C135" w14:textId="77777777" w:rsidR="00437B7A" w:rsidRPr="00594256" w:rsidRDefault="00437B7A" w:rsidP="00594256">
      <w:pPr>
        <w:rPr>
          <w:rFonts w:cs="Arial"/>
          <w:sz w:val="22"/>
          <w:szCs w:val="22"/>
        </w:rPr>
      </w:pPr>
    </w:p>
    <w:p w14:paraId="314AB087" w14:textId="02C5C2B2" w:rsidR="00437B7A" w:rsidRPr="00437B7A" w:rsidRDefault="00437B7A" w:rsidP="00437B7A">
      <w:pPr>
        <w:rPr>
          <w:rFonts w:cs="Arial"/>
          <w:b/>
          <w:bCs/>
          <w:sz w:val="22"/>
          <w:szCs w:val="22"/>
        </w:rPr>
      </w:pPr>
      <w:r w:rsidRPr="00437B7A">
        <w:rPr>
          <w:rFonts w:cs="Arial"/>
          <w:b/>
          <w:bCs/>
          <w:sz w:val="22"/>
          <w:szCs w:val="22"/>
        </w:rPr>
        <w:t>Respuesta:</w:t>
      </w:r>
    </w:p>
    <w:p w14:paraId="0751BD2E" w14:textId="77777777" w:rsidR="00437B7A" w:rsidRDefault="00437B7A" w:rsidP="00437B7A">
      <w:pPr>
        <w:rPr>
          <w:rFonts w:cs="Arial"/>
          <w:sz w:val="22"/>
          <w:szCs w:val="22"/>
        </w:rPr>
      </w:pPr>
    </w:p>
    <w:p w14:paraId="3834133C" w14:textId="196308B5" w:rsidR="00437B7A" w:rsidRDefault="00437B7A" w:rsidP="00437B7A">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_Ref130808163 \r \h </w:instrText>
      </w:r>
      <w:r>
        <w:rPr>
          <w:rFonts w:cs="Arial"/>
          <w:sz w:val="22"/>
          <w:szCs w:val="22"/>
        </w:rPr>
      </w:r>
      <w:r>
        <w:rPr>
          <w:rFonts w:cs="Arial"/>
          <w:sz w:val="22"/>
          <w:szCs w:val="22"/>
        </w:rPr>
        <w:fldChar w:fldCharType="separate"/>
      </w:r>
      <w:r>
        <w:rPr>
          <w:rFonts w:cs="Arial"/>
          <w:sz w:val="22"/>
          <w:szCs w:val="22"/>
        </w:rPr>
        <w:t>16.1.1.1</w:t>
      </w:r>
      <w:r>
        <w:rPr>
          <w:rFonts w:cs="Arial"/>
          <w:sz w:val="22"/>
          <w:szCs w:val="22"/>
        </w:rPr>
        <w:fldChar w:fldCharType="end"/>
      </w:r>
      <w:r>
        <w:rPr>
          <w:rFonts w:cs="Arial"/>
          <w:sz w:val="22"/>
          <w:szCs w:val="22"/>
        </w:rPr>
        <w:t>.</w:t>
      </w:r>
    </w:p>
    <w:p w14:paraId="1766FF1D" w14:textId="77777777" w:rsidR="00594256" w:rsidRDefault="00594256" w:rsidP="00594256">
      <w:pPr>
        <w:rPr>
          <w:rFonts w:cs="Arial"/>
          <w:sz w:val="22"/>
          <w:szCs w:val="22"/>
        </w:rPr>
      </w:pPr>
    </w:p>
    <w:p w14:paraId="26D6AD58" w14:textId="77777777" w:rsidR="00594256" w:rsidRDefault="00594256" w:rsidP="00594256">
      <w:pPr>
        <w:rPr>
          <w:rFonts w:cs="Arial"/>
          <w:sz w:val="22"/>
          <w:szCs w:val="22"/>
        </w:rPr>
      </w:pPr>
    </w:p>
    <w:p w14:paraId="5ED3C12A" w14:textId="77777777" w:rsidR="00594256" w:rsidRDefault="00594256" w:rsidP="00594256">
      <w:pPr>
        <w:pStyle w:val="Ttulo2"/>
      </w:pPr>
      <w:bookmarkStart w:id="947" w:name="_Toc140506516"/>
      <w:r w:rsidRPr="00594256">
        <w:t>TEBSA</w:t>
      </w:r>
      <w:bookmarkEnd w:id="947"/>
      <w:r w:rsidRPr="00594256">
        <w:tab/>
      </w:r>
    </w:p>
    <w:p w14:paraId="00ABD6AD" w14:textId="77777777" w:rsidR="00594256" w:rsidRDefault="00594256" w:rsidP="00594256">
      <w:pPr>
        <w:pStyle w:val="Ttulo4"/>
      </w:pPr>
      <w:r w:rsidRPr="00594256">
        <w:t>TEBSA</w:t>
      </w:r>
      <w:r w:rsidRPr="00594256">
        <w:tab/>
      </w:r>
    </w:p>
    <w:p w14:paraId="22F6696E" w14:textId="1B0611BD" w:rsidR="00EF1C07" w:rsidRPr="00BE23BD" w:rsidRDefault="00D00322" w:rsidP="00594256">
      <w:pPr>
        <w:rPr>
          <w:rFonts w:cs="Arial"/>
          <w:i/>
          <w:iCs/>
          <w:sz w:val="22"/>
          <w:szCs w:val="22"/>
        </w:rPr>
      </w:pPr>
      <w:r>
        <w:rPr>
          <w:rFonts w:cs="Arial"/>
          <w:i/>
          <w:iCs/>
          <w:sz w:val="22"/>
          <w:szCs w:val="22"/>
        </w:rPr>
        <w:t>“</w:t>
      </w:r>
      <w:r w:rsidR="00594256" w:rsidRPr="00BE23BD">
        <w:rPr>
          <w:rFonts w:cs="Arial"/>
          <w:i/>
          <w:iCs/>
          <w:sz w:val="22"/>
          <w:szCs w:val="22"/>
        </w:rPr>
        <w:t>¿Por qué en las modalidades se tiene la restricción de no ventas de excedentes, pero en los vendedores si menciona el tema?, ¿es una contrariedad?</w:t>
      </w:r>
      <w:r>
        <w:rPr>
          <w:rFonts w:cs="Arial"/>
          <w:i/>
          <w:iCs/>
          <w:sz w:val="22"/>
          <w:szCs w:val="22"/>
        </w:rPr>
        <w:t>”</w:t>
      </w:r>
    </w:p>
    <w:p w14:paraId="3B5911AD" w14:textId="77777777" w:rsidR="00437B7A" w:rsidRDefault="00437B7A" w:rsidP="00594256">
      <w:pPr>
        <w:rPr>
          <w:rFonts w:cs="Arial"/>
          <w:sz w:val="22"/>
          <w:szCs w:val="22"/>
        </w:rPr>
      </w:pPr>
    </w:p>
    <w:p w14:paraId="431C789C" w14:textId="3C8C92BF" w:rsidR="00437B7A" w:rsidRPr="00437B7A" w:rsidRDefault="00437B7A" w:rsidP="00594256">
      <w:pPr>
        <w:rPr>
          <w:rFonts w:cs="Arial"/>
          <w:b/>
          <w:bCs/>
          <w:sz w:val="22"/>
          <w:szCs w:val="22"/>
        </w:rPr>
      </w:pPr>
      <w:r w:rsidRPr="00437B7A">
        <w:rPr>
          <w:rFonts w:cs="Arial"/>
          <w:b/>
          <w:bCs/>
          <w:sz w:val="22"/>
          <w:szCs w:val="22"/>
        </w:rPr>
        <w:t>Respuesta:</w:t>
      </w:r>
    </w:p>
    <w:p w14:paraId="60B84014" w14:textId="77777777" w:rsidR="00437B7A" w:rsidRDefault="00437B7A" w:rsidP="00594256">
      <w:pPr>
        <w:rPr>
          <w:rFonts w:cs="Arial"/>
          <w:sz w:val="22"/>
          <w:szCs w:val="22"/>
        </w:rPr>
      </w:pPr>
    </w:p>
    <w:p w14:paraId="0368A1AC" w14:textId="38D594A9" w:rsidR="00437B7A" w:rsidRPr="00594256" w:rsidRDefault="00B62FB4" w:rsidP="0059425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_Ref132897384 \r \h </w:instrText>
      </w:r>
      <w:r>
        <w:rPr>
          <w:rFonts w:cs="Arial"/>
          <w:sz w:val="22"/>
          <w:szCs w:val="22"/>
        </w:rPr>
      </w:r>
      <w:r>
        <w:rPr>
          <w:rFonts w:cs="Arial"/>
          <w:sz w:val="22"/>
          <w:szCs w:val="22"/>
        </w:rPr>
        <w:fldChar w:fldCharType="separate"/>
      </w:r>
      <w:r>
        <w:rPr>
          <w:rFonts w:cs="Arial"/>
          <w:sz w:val="22"/>
          <w:szCs w:val="22"/>
        </w:rPr>
        <w:t>19.23.1.4</w:t>
      </w:r>
      <w:r>
        <w:rPr>
          <w:rFonts w:cs="Arial"/>
          <w:sz w:val="22"/>
          <w:szCs w:val="22"/>
        </w:rPr>
        <w:fldChar w:fldCharType="end"/>
      </w:r>
      <w:r>
        <w:rPr>
          <w:rFonts w:cs="Arial"/>
          <w:sz w:val="22"/>
          <w:szCs w:val="22"/>
        </w:rPr>
        <w:t>.</w:t>
      </w:r>
    </w:p>
    <w:p w14:paraId="7FD76340" w14:textId="05078936" w:rsidR="00EF1C07" w:rsidRDefault="00EF1C07" w:rsidP="00371CB5">
      <w:pPr>
        <w:rPr>
          <w:rFonts w:cs="Arial"/>
          <w:b/>
          <w:bCs/>
          <w:sz w:val="22"/>
          <w:szCs w:val="22"/>
        </w:rPr>
      </w:pPr>
    </w:p>
    <w:p w14:paraId="0D2792F2" w14:textId="423CF57A" w:rsidR="00EF1C07" w:rsidRDefault="00EF1C07" w:rsidP="00371CB5">
      <w:pPr>
        <w:rPr>
          <w:rFonts w:cs="Arial"/>
          <w:b/>
          <w:bCs/>
          <w:sz w:val="22"/>
          <w:szCs w:val="22"/>
        </w:rPr>
      </w:pPr>
    </w:p>
    <w:p w14:paraId="61A1B3C6" w14:textId="0698063C" w:rsidR="00EF1C07" w:rsidRDefault="00EF1C07" w:rsidP="00EF1C07">
      <w:pPr>
        <w:pStyle w:val="Ttulo1"/>
        <w:numPr>
          <w:ilvl w:val="0"/>
          <w:numId w:val="1"/>
        </w:numPr>
        <w:rPr>
          <w:caps/>
        </w:rPr>
      </w:pPr>
      <w:bookmarkStart w:id="948" w:name="_Toc140506517"/>
      <w:r>
        <w:t xml:space="preserve">ARTÍCULO 29. </w:t>
      </w:r>
      <w:r w:rsidR="0070732E" w:rsidRPr="0070732E">
        <w:rPr>
          <w:caps/>
        </w:rPr>
        <w:t>Compradores de gas natural del Mercado Secundario</w:t>
      </w:r>
      <w:bookmarkEnd w:id="948"/>
    </w:p>
    <w:p w14:paraId="15D5CAE9" w14:textId="77777777" w:rsidR="004C553A" w:rsidRDefault="004C553A" w:rsidP="004C553A">
      <w:pPr>
        <w:pStyle w:val="Ttulo2"/>
      </w:pPr>
      <w:bookmarkStart w:id="949" w:name="_Toc140506518"/>
      <w:r w:rsidRPr="004C553A">
        <w:t>ALCANOS</w:t>
      </w:r>
      <w:bookmarkEnd w:id="949"/>
      <w:r w:rsidRPr="004C553A">
        <w:tab/>
      </w:r>
    </w:p>
    <w:p w14:paraId="4F1B55E4" w14:textId="77777777" w:rsidR="004C553A" w:rsidRDefault="004C553A" w:rsidP="004C553A">
      <w:pPr>
        <w:pStyle w:val="Ttulo4"/>
      </w:pPr>
      <w:bookmarkStart w:id="950" w:name="_Ref133319779"/>
      <w:r w:rsidRPr="004C553A">
        <w:t>ALCANOS</w:t>
      </w:r>
      <w:bookmarkEnd w:id="950"/>
      <w:r w:rsidRPr="004C553A">
        <w:tab/>
      </w:r>
    </w:p>
    <w:p w14:paraId="091D48A4" w14:textId="68B5D08B" w:rsidR="004C553A" w:rsidRDefault="004C553A" w:rsidP="004C553A">
      <w:pPr>
        <w:rPr>
          <w:rFonts w:cs="Arial"/>
          <w:sz w:val="22"/>
          <w:szCs w:val="22"/>
        </w:rPr>
      </w:pPr>
      <w:r w:rsidRPr="004C553A">
        <w:rPr>
          <w:rFonts w:cs="Arial"/>
          <w:sz w:val="22"/>
          <w:szCs w:val="22"/>
        </w:rPr>
        <w:t>"</w:t>
      </w:r>
      <w:r w:rsidRPr="00B97861">
        <w:rPr>
          <w:rFonts w:cs="Arial"/>
          <w:i/>
          <w:iCs/>
          <w:sz w:val="22"/>
          <w:szCs w:val="22"/>
        </w:rPr>
        <w:t>La redacción resulta confusa, en la medida que determina una condición que no es posible de determinar. En efecto, el regulador señala que los compradores recurren al mercado secundario, para atender faltantes de sus mercados de comercialización. Excluiría en ese sentido, una compra para atender nuevos mercados, lo cual claramente limitaría la competencia</w:t>
      </w:r>
      <w:r w:rsidRPr="004C553A">
        <w:rPr>
          <w:rFonts w:cs="Arial"/>
          <w:sz w:val="22"/>
          <w:szCs w:val="22"/>
        </w:rPr>
        <w:t>"</w:t>
      </w:r>
    </w:p>
    <w:p w14:paraId="58313B17" w14:textId="77777777" w:rsidR="00B97861" w:rsidRDefault="00B97861" w:rsidP="004C553A">
      <w:pPr>
        <w:rPr>
          <w:rFonts w:cs="Arial"/>
          <w:sz w:val="22"/>
          <w:szCs w:val="22"/>
        </w:rPr>
      </w:pPr>
    </w:p>
    <w:p w14:paraId="78D72F50" w14:textId="3C7B5D74" w:rsidR="00B97861" w:rsidRPr="00B97861" w:rsidRDefault="00B97861" w:rsidP="004C553A">
      <w:pPr>
        <w:rPr>
          <w:rFonts w:cs="Arial"/>
          <w:b/>
          <w:bCs/>
          <w:sz w:val="22"/>
          <w:szCs w:val="22"/>
        </w:rPr>
      </w:pPr>
      <w:r w:rsidRPr="00B97861">
        <w:rPr>
          <w:rFonts w:cs="Arial"/>
          <w:b/>
          <w:bCs/>
          <w:sz w:val="22"/>
          <w:szCs w:val="22"/>
        </w:rPr>
        <w:t>Respuesta:</w:t>
      </w:r>
    </w:p>
    <w:p w14:paraId="6255C6CE" w14:textId="77777777" w:rsidR="00B97861" w:rsidRDefault="00B97861" w:rsidP="004C553A">
      <w:pPr>
        <w:rPr>
          <w:rFonts w:cs="Arial"/>
          <w:sz w:val="22"/>
          <w:szCs w:val="22"/>
        </w:rPr>
      </w:pPr>
    </w:p>
    <w:p w14:paraId="3EC45422" w14:textId="040F43A6" w:rsidR="00B97861" w:rsidRDefault="00B97861" w:rsidP="004C553A">
      <w:pPr>
        <w:rPr>
          <w:rFonts w:cs="Arial"/>
          <w:sz w:val="22"/>
          <w:szCs w:val="22"/>
        </w:rPr>
      </w:pPr>
      <w:r>
        <w:rPr>
          <w:rFonts w:cs="Arial"/>
          <w:sz w:val="22"/>
          <w:szCs w:val="22"/>
        </w:rPr>
        <w:t>Se acoge el comentario.</w:t>
      </w:r>
    </w:p>
    <w:p w14:paraId="7BEAD9C6" w14:textId="77777777" w:rsidR="00B97861" w:rsidRDefault="00B97861" w:rsidP="004C553A">
      <w:pPr>
        <w:rPr>
          <w:rFonts w:cs="Arial"/>
          <w:sz w:val="22"/>
          <w:szCs w:val="22"/>
        </w:rPr>
      </w:pPr>
    </w:p>
    <w:p w14:paraId="649F7C7E" w14:textId="44580497" w:rsidR="00B97861" w:rsidRPr="004C553A" w:rsidRDefault="00B97861" w:rsidP="004C553A">
      <w:pPr>
        <w:rPr>
          <w:rFonts w:cs="Arial"/>
          <w:sz w:val="22"/>
          <w:szCs w:val="22"/>
        </w:rPr>
      </w:pPr>
      <w:r>
        <w:rPr>
          <w:rFonts w:cs="Arial"/>
          <w:sz w:val="22"/>
          <w:szCs w:val="22"/>
        </w:rPr>
        <w:t>En la nueva propuesta se retira la limitación inicialmente establecida.</w:t>
      </w:r>
    </w:p>
    <w:p w14:paraId="4210E5EB" w14:textId="77777777" w:rsidR="004C553A" w:rsidRDefault="004C553A" w:rsidP="004C553A">
      <w:pPr>
        <w:rPr>
          <w:rFonts w:cs="Arial"/>
          <w:sz w:val="22"/>
          <w:szCs w:val="22"/>
        </w:rPr>
      </w:pPr>
    </w:p>
    <w:p w14:paraId="52FB310E" w14:textId="77777777" w:rsidR="004C553A" w:rsidRDefault="004C553A" w:rsidP="004C553A">
      <w:pPr>
        <w:rPr>
          <w:rFonts w:cs="Arial"/>
          <w:sz w:val="22"/>
          <w:szCs w:val="22"/>
        </w:rPr>
      </w:pPr>
    </w:p>
    <w:p w14:paraId="5007E33F" w14:textId="77777777" w:rsidR="004C553A" w:rsidRDefault="004C553A" w:rsidP="004C553A">
      <w:pPr>
        <w:pStyle w:val="Ttulo2"/>
      </w:pPr>
      <w:bookmarkStart w:id="951" w:name="_Toc140506519"/>
      <w:r w:rsidRPr="004C553A">
        <w:t>GASES DE LA GUAJIRA</w:t>
      </w:r>
      <w:bookmarkEnd w:id="951"/>
      <w:r w:rsidRPr="004C553A">
        <w:tab/>
      </w:r>
    </w:p>
    <w:p w14:paraId="5FB8073C" w14:textId="77777777" w:rsidR="004C553A" w:rsidRDefault="004C553A" w:rsidP="004C553A">
      <w:pPr>
        <w:pStyle w:val="Ttulo4"/>
      </w:pPr>
      <w:r w:rsidRPr="004C553A">
        <w:t>GASES DE LA GUAJIRA</w:t>
      </w:r>
      <w:r w:rsidRPr="004C553A">
        <w:tab/>
      </w:r>
    </w:p>
    <w:p w14:paraId="43787353" w14:textId="0995B9DC" w:rsidR="004C553A" w:rsidRPr="00B97861" w:rsidRDefault="004C553A" w:rsidP="004C553A">
      <w:pPr>
        <w:rPr>
          <w:rFonts w:cs="Arial"/>
          <w:i/>
          <w:iCs/>
          <w:sz w:val="22"/>
          <w:szCs w:val="22"/>
        </w:rPr>
      </w:pPr>
      <w:r w:rsidRPr="004C553A">
        <w:rPr>
          <w:rFonts w:cs="Arial"/>
          <w:sz w:val="22"/>
          <w:szCs w:val="22"/>
        </w:rPr>
        <w:t>"</w:t>
      </w:r>
      <w:r w:rsidRPr="00B97861">
        <w:rPr>
          <w:rFonts w:cs="Arial"/>
          <w:i/>
          <w:iCs/>
          <w:sz w:val="22"/>
          <w:szCs w:val="22"/>
        </w:rPr>
        <w:t>La redacción resulta confusa, en la medida que determina una condición que no es posible de determinar. En efecto, el regulador señala que los compradores recurren al mercado secundario, para atender faltantes de sus mercados de comercialización. Excluiría en ese sentido, una compra para atender nuevos mercados, lo cual claramente limitaría la competencia.</w:t>
      </w:r>
    </w:p>
    <w:p w14:paraId="7EED1662" w14:textId="77777777" w:rsidR="004C553A" w:rsidRPr="00B97861" w:rsidRDefault="004C553A" w:rsidP="004C553A">
      <w:pPr>
        <w:rPr>
          <w:rFonts w:cs="Arial"/>
          <w:i/>
          <w:iCs/>
          <w:sz w:val="22"/>
          <w:szCs w:val="22"/>
        </w:rPr>
      </w:pPr>
    </w:p>
    <w:p w14:paraId="6880A8A2" w14:textId="77777777" w:rsidR="004C553A" w:rsidRDefault="004C553A" w:rsidP="004C553A">
      <w:pPr>
        <w:rPr>
          <w:rFonts w:cs="Arial"/>
          <w:sz w:val="22"/>
          <w:szCs w:val="22"/>
        </w:rPr>
      </w:pPr>
      <w:r w:rsidRPr="00B97861">
        <w:rPr>
          <w:rFonts w:cs="Arial"/>
          <w:i/>
          <w:iCs/>
          <w:sz w:val="22"/>
          <w:szCs w:val="22"/>
        </w:rPr>
        <w:t>Favor aclarar</w:t>
      </w:r>
      <w:r w:rsidRPr="004C553A">
        <w:rPr>
          <w:rFonts w:cs="Arial"/>
          <w:sz w:val="22"/>
          <w:szCs w:val="22"/>
        </w:rPr>
        <w:t>."</w:t>
      </w:r>
    </w:p>
    <w:p w14:paraId="5C0D8AA3" w14:textId="77777777" w:rsidR="00B97861" w:rsidRDefault="00B97861" w:rsidP="004C553A">
      <w:pPr>
        <w:rPr>
          <w:rFonts w:cs="Arial"/>
          <w:sz w:val="22"/>
          <w:szCs w:val="22"/>
        </w:rPr>
      </w:pPr>
    </w:p>
    <w:p w14:paraId="3B455428" w14:textId="270470A8" w:rsidR="00B97861" w:rsidRPr="00B97861" w:rsidRDefault="00B97861" w:rsidP="004C553A">
      <w:pPr>
        <w:rPr>
          <w:rFonts w:cs="Arial"/>
          <w:b/>
          <w:bCs/>
          <w:sz w:val="22"/>
          <w:szCs w:val="22"/>
        </w:rPr>
      </w:pPr>
      <w:r w:rsidRPr="00B97861">
        <w:rPr>
          <w:rFonts w:cs="Arial"/>
          <w:b/>
          <w:bCs/>
          <w:sz w:val="22"/>
          <w:szCs w:val="22"/>
        </w:rPr>
        <w:t>Respuesta:</w:t>
      </w:r>
    </w:p>
    <w:p w14:paraId="139BB6E1" w14:textId="77777777" w:rsidR="00B97861" w:rsidRDefault="00B97861" w:rsidP="004C553A">
      <w:pPr>
        <w:rPr>
          <w:rFonts w:cs="Arial"/>
          <w:sz w:val="22"/>
          <w:szCs w:val="22"/>
        </w:rPr>
      </w:pPr>
    </w:p>
    <w:p w14:paraId="05C9B9C2" w14:textId="11E04D80" w:rsidR="00B97861" w:rsidRPr="004C553A" w:rsidRDefault="00B97861" w:rsidP="004C553A">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_Ref133319779 \r \h </w:instrText>
      </w:r>
      <w:r>
        <w:rPr>
          <w:rFonts w:cs="Arial"/>
          <w:sz w:val="22"/>
          <w:szCs w:val="22"/>
        </w:rPr>
      </w:r>
      <w:r>
        <w:rPr>
          <w:rFonts w:cs="Arial"/>
          <w:sz w:val="22"/>
          <w:szCs w:val="22"/>
        </w:rPr>
        <w:fldChar w:fldCharType="separate"/>
      </w:r>
      <w:r>
        <w:rPr>
          <w:rFonts w:cs="Arial"/>
          <w:sz w:val="22"/>
          <w:szCs w:val="22"/>
        </w:rPr>
        <w:t>27.1.1.1</w:t>
      </w:r>
      <w:r>
        <w:rPr>
          <w:rFonts w:cs="Arial"/>
          <w:sz w:val="22"/>
          <w:szCs w:val="22"/>
        </w:rPr>
        <w:fldChar w:fldCharType="end"/>
      </w:r>
      <w:r>
        <w:rPr>
          <w:rFonts w:cs="Arial"/>
          <w:sz w:val="22"/>
          <w:szCs w:val="22"/>
        </w:rPr>
        <w:t>.</w:t>
      </w:r>
    </w:p>
    <w:p w14:paraId="1C0F0627" w14:textId="77777777" w:rsidR="004C553A" w:rsidRDefault="004C553A" w:rsidP="004C553A">
      <w:pPr>
        <w:rPr>
          <w:rFonts w:cs="Arial"/>
          <w:sz w:val="22"/>
          <w:szCs w:val="22"/>
        </w:rPr>
      </w:pPr>
    </w:p>
    <w:p w14:paraId="4BA97602" w14:textId="77777777" w:rsidR="004C553A" w:rsidRDefault="004C553A" w:rsidP="004C553A">
      <w:pPr>
        <w:rPr>
          <w:rFonts w:cs="Arial"/>
          <w:sz w:val="22"/>
          <w:szCs w:val="22"/>
        </w:rPr>
      </w:pPr>
    </w:p>
    <w:p w14:paraId="71C17472" w14:textId="77777777" w:rsidR="004C553A" w:rsidRDefault="004C553A" w:rsidP="004C553A">
      <w:pPr>
        <w:pStyle w:val="Ttulo2"/>
      </w:pPr>
      <w:bookmarkStart w:id="952" w:name="_Toc140506520"/>
      <w:r w:rsidRPr="004C553A">
        <w:t>GASES DEL CARIBE</w:t>
      </w:r>
      <w:bookmarkEnd w:id="952"/>
      <w:r w:rsidRPr="004C553A">
        <w:tab/>
      </w:r>
    </w:p>
    <w:p w14:paraId="49777325" w14:textId="77777777" w:rsidR="004C553A" w:rsidRDefault="004C553A" w:rsidP="004C553A">
      <w:pPr>
        <w:pStyle w:val="Ttulo4"/>
      </w:pPr>
      <w:r w:rsidRPr="004C553A">
        <w:t>GASES DEL CARIBE</w:t>
      </w:r>
      <w:r w:rsidRPr="004C553A">
        <w:tab/>
      </w:r>
    </w:p>
    <w:p w14:paraId="2AD23295" w14:textId="3F210B76" w:rsidR="004C553A" w:rsidRPr="00B97861" w:rsidRDefault="004C553A" w:rsidP="004C553A">
      <w:pPr>
        <w:rPr>
          <w:rFonts w:cs="Arial"/>
          <w:i/>
          <w:iCs/>
          <w:sz w:val="22"/>
          <w:szCs w:val="22"/>
        </w:rPr>
      </w:pPr>
      <w:r w:rsidRPr="004C553A">
        <w:rPr>
          <w:rFonts w:cs="Arial"/>
          <w:sz w:val="22"/>
          <w:szCs w:val="22"/>
        </w:rPr>
        <w:t>"</w:t>
      </w:r>
      <w:r w:rsidRPr="00B97861">
        <w:rPr>
          <w:rFonts w:cs="Arial"/>
          <w:i/>
          <w:iCs/>
          <w:sz w:val="22"/>
          <w:szCs w:val="22"/>
        </w:rPr>
        <w:t>La redacción resulta confusa, en la medida que determina una condición que no es posible de determinar. En efecto, el regulador señala que los compradores recurren al mercado secundario, para atender faltantes de sus mercados de comercialización. Excluiría en ese sentido, una compra para atender nuevos mercados, lo cual claramente limitaría la competencia.</w:t>
      </w:r>
    </w:p>
    <w:p w14:paraId="5CEB4EE6" w14:textId="77777777" w:rsidR="004C553A" w:rsidRPr="00B97861" w:rsidRDefault="004C553A" w:rsidP="004C553A">
      <w:pPr>
        <w:rPr>
          <w:rFonts w:cs="Arial"/>
          <w:i/>
          <w:iCs/>
          <w:sz w:val="22"/>
          <w:szCs w:val="22"/>
        </w:rPr>
      </w:pPr>
    </w:p>
    <w:p w14:paraId="37A21F90" w14:textId="4A3EC66A" w:rsidR="00EF1C07" w:rsidRPr="00B97861" w:rsidRDefault="004C553A" w:rsidP="004C553A">
      <w:pPr>
        <w:rPr>
          <w:rFonts w:cs="Arial"/>
          <w:i/>
          <w:iCs/>
          <w:sz w:val="22"/>
          <w:szCs w:val="22"/>
        </w:rPr>
      </w:pPr>
      <w:r w:rsidRPr="00B97861">
        <w:rPr>
          <w:rFonts w:cs="Arial"/>
          <w:i/>
          <w:iCs/>
          <w:sz w:val="22"/>
          <w:szCs w:val="22"/>
        </w:rPr>
        <w:t>Favor aclarar."</w:t>
      </w:r>
    </w:p>
    <w:p w14:paraId="0889EB07" w14:textId="2E0A1CEC" w:rsidR="00EF1C07" w:rsidRDefault="00EF1C07" w:rsidP="00371CB5">
      <w:pPr>
        <w:rPr>
          <w:rFonts w:cs="Arial"/>
          <w:b/>
          <w:bCs/>
          <w:sz w:val="22"/>
          <w:szCs w:val="22"/>
        </w:rPr>
      </w:pPr>
    </w:p>
    <w:p w14:paraId="155977CB" w14:textId="77777777" w:rsidR="00B97861" w:rsidRPr="00B97861" w:rsidRDefault="00B97861" w:rsidP="00B97861">
      <w:pPr>
        <w:rPr>
          <w:rFonts w:cs="Arial"/>
          <w:b/>
          <w:bCs/>
          <w:sz w:val="22"/>
          <w:szCs w:val="22"/>
        </w:rPr>
      </w:pPr>
      <w:r w:rsidRPr="00B97861">
        <w:rPr>
          <w:rFonts w:cs="Arial"/>
          <w:b/>
          <w:bCs/>
          <w:sz w:val="22"/>
          <w:szCs w:val="22"/>
        </w:rPr>
        <w:t>Respuesta:</w:t>
      </w:r>
    </w:p>
    <w:p w14:paraId="245576B2" w14:textId="77777777" w:rsidR="00B97861" w:rsidRDefault="00B97861" w:rsidP="00B97861">
      <w:pPr>
        <w:rPr>
          <w:rFonts w:cs="Arial"/>
          <w:sz w:val="22"/>
          <w:szCs w:val="22"/>
        </w:rPr>
      </w:pPr>
    </w:p>
    <w:p w14:paraId="7DB75D3B" w14:textId="77777777" w:rsidR="00B97861" w:rsidRPr="004C553A" w:rsidRDefault="00B97861" w:rsidP="00B97861">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_Ref133319779 \r \h </w:instrText>
      </w:r>
      <w:r>
        <w:rPr>
          <w:rFonts w:cs="Arial"/>
          <w:sz w:val="22"/>
          <w:szCs w:val="22"/>
        </w:rPr>
      </w:r>
      <w:r>
        <w:rPr>
          <w:rFonts w:cs="Arial"/>
          <w:sz w:val="22"/>
          <w:szCs w:val="22"/>
        </w:rPr>
        <w:fldChar w:fldCharType="separate"/>
      </w:r>
      <w:r>
        <w:rPr>
          <w:rFonts w:cs="Arial"/>
          <w:sz w:val="22"/>
          <w:szCs w:val="22"/>
        </w:rPr>
        <w:t>27.1.1.1</w:t>
      </w:r>
      <w:r>
        <w:rPr>
          <w:rFonts w:cs="Arial"/>
          <w:sz w:val="22"/>
          <w:szCs w:val="22"/>
        </w:rPr>
        <w:fldChar w:fldCharType="end"/>
      </w:r>
      <w:r>
        <w:rPr>
          <w:rFonts w:cs="Arial"/>
          <w:sz w:val="22"/>
          <w:szCs w:val="22"/>
        </w:rPr>
        <w:t>.</w:t>
      </w:r>
    </w:p>
    <w:p w14:paraId="5504581C" w14:textId="505D5ECE" w:rsidR="00EF1C07" w:rsidRDefault="00EF1C07" w:rsidP="00371CB5">
      <w:pPr>
        <w:rPr>
          <w:rFonts w:cs="Arial"/>
          <w:b/>
          <w:bCs/>
          <w:sz w:val="22"/>
          <w:szCs w:val="22"/>
        </w:rPr>
      </w:pPr>
    </w:p>
    <w:p w14:paraId="290AD35D" w14:textId="77777777" w:rsidR="00EC360D" w:rsidRDefault="00EC360D" w:rsidP="00371CB5">
      <w:pPr>
        <w:rPr>
          <w:rFonts w:cs="Arial"/>
          <w:b/>
          <w:bCs/>
          <w:sz w:val="22"/>
          <w:szCs w:val="22"/>
        </w:rPr>
      </w:pPr>
    </w:p>
    <w:p w14:paraId="6A9B1672" w14:textId="44EE574D" w:rsidR="00EF1C07" w:rsidRDefault="00EF1C07" w:rsidP="00EF1C07">
      <w:pPr>
        <w:pStyle w:val="Ttulo1"/>
        <w:numPr>
          <w:ilvl w:val="0"/>
          <w:numId w:val="1"/>
        </w:numPr>
        <w:rPr>
          <w:caps/>
        </w:rPr>
      </w:pPr>
      <w:bookmarkStart w:id="953" w:name="_Toc140506521"/>
      <w:r>
        <w:t xml:space="preserve">ARTÍCULO 30. </w:t>
      </w:r>
      <w:r w:rsidR="0070732E" w:rsidRPr="0070732E">
        <w:rPr>
          <w:caps/>
        </w:rPr>
        <w:t>Negociaciones directas de derechos de suministro de gas natural del Mercado Secundario</w:t>
      </w:r>
      <w:bookmarkEnd w:id="953"/>
    </w:p>
    <w:p w14:paraId="26D56DFA" w14:textId="77777777" w:rsidR="00EC360D" w:rsidRDefault="00EC360D" w:rsidP="00EC360D">
      <w:pPr>
        <w:pStyle w:val="Ttulo2"/>
      </w:pPr>
      <w:bookmarkStart w:id="954" w:name="_Toc140506522"/>
      <w:r w:rsidRPr="00EC360D">
        <w:t>ASOENERGIA</w:t>
      </w:r>
      <w:bookmarkEnd w:id="954"/>
      <w:r w:rsidRPr="00EC360D">
        <w:tab/>
      </w:r>
    </w:p>
    <w:p w14:paraId="3E23C28A" w14:textId="77777777" w:rsidR="00EC360D" w:rsidRDefault="00EC360D" w:rsidP="00EC360D">
      <w:pPr>
        <w:pStyle w:val="Ttulo4"/>
      </w:pPr>
      <w:r w:rsidRPr="00EC360D">
        <w:t>ASOENERGIA</w:t>
      </w:r>
      <w:r w:rsidRPr="00EC360D">
        <w:tab/>
      </w:r>
    </w:p>
    <w:p w14:paraId="777B3967" w14:textId="71D570C1" w:rsidR="00EC360D" w:rsidRPr="00B26074" w:rsidRDefault="002616B1" w:rsidP="00EC360D">
      <w:pPr>
        <w:rPr>
          <w:rFonts w:cs="Arial"/>
          <w:i/>
          <w:iCs/>
          <w:sz w:val="22"/>
          <w:szCs w:val="22"/>
        </w:rPr>
      </w:pPr>
      <w:r>
        <w:rPr>
          <w:rFonts w:cs="Arial"/>
          <w:i/>
          <w:iCs/>
          <w:sz w:val="22"/>
          <w:szCs w:val="22"/>
        </w:rPr>
        <w:t>“</w:t>
      </w:r>
      <w:r w:rsidR="00EC360D" w:rsidRPr="00B26074">
        <w:rPr>
          <w:rFonts w:cs="Arial"/>
          <w:i/>
          <w:iCs/>
          <w:sz w:val="22"/>
          <w:szCs w:val="22"/>
        </w:rPr>
        <w:t>Celebramos el cambio en el sentido de que el Usuario No Regulado puede realizar negociaciones directas en el Mercado Secundario.</w:t>
      </w:r>
      <w:r>
        <w:rPr>
          <w:rFonts w:cs="Arial"/>
          <w:i/>
          <w:iCs/>
          <w:sz w:val="22"/>
          <w:szCs w:val="22"/>
        </w:rPr>
        <w:t>”</w:t>
      </w:r>
    </w:p>
    <w:p w14:paraId="5E7A016E" w14:textId="77777777" w:rsidR="00B26074" w:rsidRDefault="00B26074" w:rsidP="00EC360D">
      <w:pPr>
        <w:rPr>
          <w:rFonts w:cs="Arial"/>
          <w:sz w:val="22"/>
          <w:szCs w:val="22"/>
        </w:rPr>
      </w:pPr>
    </w:p>
    <w:p w14:paraId="5B35BFDE" w14:textId="77777777" w:rsidR="00B26074" w:rsidRPr="00437B7A" w:rsidRDefault="00B26074" w:rsidP="00B26074">
      <w:pPr>
        <w:rPr>
          <w:rFonts w:cs="Arial"/>
          <w:b/>
          <w:bCs/>
          <w:sz w:val="22"/>
          <w:szCs w:val="22"/>
        </w:rPr>
      </w:pPr>
      <w:r w:rsidRPr="00437B7A">
        <w:rPr>
          <w:rFonts w:cs="Arial"/>
          <w:b/>
          <w:bCs/>
          <w:sz w:val="22"/>
          <w:szCs w:val="22"/>
        </w:rPr>
        <w:t>Respuesta:</w:t>
      </w:r>
    </w:p>
    <w:p w14:paraId="380E9113" w14:textId="77777777" w:rsidR="00B26074" w:rsidRDefault="00B26074" w:rsidP="00B26074">
      <w:pPr>
        <w:rPr>
          <w:rFonts w:cs="Arial"/>
          <w:sz w:val="22"/>
          <w:szCs w:val="22"/>
        </w:rPr>
      </w:pPr>
    </w:p>
    <w:p w14:paraId="21E04F2F" w14:textId="77777777" w:rsidR="00B26074" w:rsidRDefault="00B26074" w:rsidP="00B26074">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_Ref130808163 \r \h </w:instrText>
      </w:r>
      <w:r>
        <w:rPr>
          <w:rFonts w:cs="Arial"/>
          <w:sz w:val="22"/>
          <w:szCs w:val="22"/>
        </w:rPr>
      </w:r>
      <w:r>
        <w:rPr>
          <w:rFonts w:cs="Arial"/>
          <w:sz w:val="22"/>
          <w:szCs w:val="22"/>
        </w:rPr>
        <w:fldChar w:fldCharType="separate"/>
      </w:r>
      <w:r>
        <w:rPr>
          <w:rFonts w:cs="Arial"/>
          <w:sz w:val="22"/>
          <w:szCs w:val="22"/>
        </w:rPr>
        <w:t>16.1.1.1</w:t>
      </w:r>
      <w:r>
        <w:rPr>
          <w:rFonts w:cs="Arial"/>
          <w:sz w:val="22"/>
          <w:szCs w:val="22"/>
        </w:rPr>
        <w:fldChar w:fldCharType="end"/>
      </w:r>
      <w:r>
        <w:rPr>
          <w:rFonts w:cs="Arial"/>
          <w:sz w:val="22"/>
          <w:szCs w:val="22"/>
        </w:rPr>
        <w:t>.</w:t>
      </w:r>
    </w:p>
    <w:p w14:paraId="29F4CF1E" w14:textId="77777777" w:rsidR="00EC360D" w:rsidRDefault="00EC360D" w:rsidP="00EC360D">
      <w:pPr>
        <w:rPr>
          <w:rFonts w:cs="Arial"/>
          <w:sz w:val="22"/>
          <w:szCs w:val="22"/>
        </w:rPr>
      </w:pPr>
    </w:p>
    <w:p w14:paraId="20A41973" w14:textId="77777777" w:rsidR="00EC360D" w:rsidRDefault="00EC360D" w:rsidP="00EC360D">
      <w:pPr>
        <w:rPr>
          <w:rFonts w:cs="Arial"/>
          <w:sz w:val="22"/>
          <w:szCs w:val="22"/>
        </w:rPr>
      </w:pPr>
    </w:p>
    <w:p w14:paraId="56CB0B9E" w14:textId="77777777" w:rsidR="00EC360D" w:rsidRDefault="00EC360D" w:rsidP="00EC360D">
      <w:pPr>
        <w:pStyle w:val="Ttulo2"/>
      </w:pPr>
      <w:bookmarkStart w:id="955" w:name="_Toc140506523"/>
      <w:r w:rsidRPr="00EC360D">
        <w:t>METROGAS ESP</w:t>
      </w:r>
      <w:bookmarkEnd w:id="955"/>
      <w:r w:rsidRPr="00EC360D">
        <w:tab/>
      </w:r>
    </w:p>
    <w:p w14:paraId="4DBD1FD1" w14:textId="77777777" w:rsidR="00EC360D" w:rsidRDefault="00EC360D" w:rsidP="00EC360D">
      <w:pPr>
        <w:pStyle w:val="Ttulo4"/>
      </w:pPr>
      <w:r w:rsidRPr="00EC360D">
        <w:t>METROGAS ESP</w:t>
      </w:r>
      <w:r w:rsidRPr="00EC360D">
        <w:tab/>
      </w:r>
    </w:p>
    <w:p w14:paraId="1561F906" w14:textId="08799F40" w:rsidR="00EF1C07" w:rsidRDefault="002616B1" w:rsidP="00EC360D">
      <w:pPr>
        <w:rPr>
          <w:rFonts w:cs="Arial"/>
          <w:i/>
          <w:iCs/>
          <w:sz w:val="22"/>
          <w:szCs w:val="22"/>
        </w:rPr>
      </w:pPr>
      <w:r>
        <w:rPr>
          <w:rFonts w:cs="Arial"/>
          <w:i/>
          <w:iCs/>
          <w:sz w:val="22"/>
          <w:szCs w:val="22"/>
        </w:rPr>
        <w:t>“</w:t>
      </w:r>
      <w:r w:rsidR="00EC360D" w:rsidRPr="00B26074">
        <w:rPr>
          <w:rFonts w:cs="Arial"/>
          <w:i/>
          <w:iCs/>
          <w:sz w:val="22"/>
          <w:szCs w:val="22"/>
        </w:rPr>
        <w:t xml:space="preserve">Los excedentes </w:t>
      </w:r>
      <w:proofErr w:type="spellStart"/>
      <w:r w:rsidR="00EC360D" w:rsidRPr="00B26074">
        <w:rPr>
          <w:rFonts w:cs="Arial"/>
          <w:i/>
          <w:iCs/>
          <w:sz w:val="22"/>
          <w:szCs w:val="22"/>
        </w:rPr>
        <w:t>ó</w:t>
      </w:r>
      <w:proofErr w:type="spellEnd"/>
      <w:r w:rsidR="00EC360D" w:rsidRPr="00B26074">
        <w:rPr>
          <w:rFonts w:cs="Arial"/>
          <w:i/>
          <w:iCs/>
          <w:sz w:val="22"/>
          <w:szCs w:val="22"/>
        </w:rPr>
        <w:t xml:space="preserve"> faltantes que se presentan en nuestros mercados de comercialización son cantidades inmateriales, lo que dificulta la comercialización por ser poco atractivo y sujeto a un proceso logístico igual al de una transacción de gas con mayores volúmenes.</w:t>
      </w:r>
    </w:p>
    <w:p w14:paraId="7532C8C8" w14:textId="77777777" w:rsidR="00B26074" w:rsidRDefault="00B26074" w:rsidP="00EC360D">
      <w:pPr>
        <w:rPr>
          <w:rFonts w:cs="Arial"/>
          <w:i/>
          <w:iCs/>
          <w:sz w:val="22"/>
          <w:szCs w:val="22"/>
        </w:rPr>
      </w:pPr>
    </w:p>
    <w:p w14:paraId="1277A866" w14:textId="76ABE269" w:rsidR="00B26074" w:rsidRPr="00B26074" w:rsidRDefault="00B26074" w:rsidP="00EC360D">
      <w:pPr>
        <w:rPr>
          <w:rFonts w:cs="Arial"/>
          <w:i/>
          <w:iCs/>
          <w:sz w:val="22"/>
          <w:szCs w:val="22"/>
        </w:rPr>
      </w:pPr>
      <w:r w:rsidRPr="00B26074">
        <w:rPr>
          <w:rFonts w:cs="Arial"/>
          <w:i/>
          <w:iCs/>
          <w:sz w:val="22"/>
          <w:szCs w:val="22"/>
        </w:rPr>
        <w:t>Sugerimos a la Comisión adoptar mecanismos para facilitar la gestión de excedentes cuando se trate de cantidades menores, para evitar afectaciones económicas a los comercializadores.</w:t>
      </w:r>
      <w:r w:rsidR="002616B1">
        <w:rPr>
          <w:rFonts w:cs="Arial"/>
          <w:i/>
          <w:iCs/>
          <w:sz w:val="22"/>
          <w:szCs w:val="22"/>
        </w:rPr>
        <w:t>”</w:t>
      </w:r>
    </w:p>
    <w:p w14:paraId="2D52DFBE" w14:textId="77777777" w:rsidR="00B26074" w:rsidRDefault="00B26074" w:rsidP="00EC360D">
      <w:pPr>
        <w:rPr>
          <w:rFonts w:cs="Arial"/>
          <w:sz w:val="22"/>
          <w:szCs w:val="22"/>
        </w:rPr>
      </w:pPr>
    </w:p>
    <w:p w14:paraId="3E11537D" w14:textId="6C981CE3" w:rsidR="00B26074" w:rsidRPr="00B26074" w:rsidRDefault="00B26074" w:rsidP="00EC360D">
      <w:pPr>
        <w:rPr>
          <w:rFonts w:cs="Arial"/>
          <w:b/>
          <w:bCs/>
          <w:sz w:val="22"/>
          <w:szCs w:val="22"/>
        </w:rPr>
      </w:pPr>
      <w:r w:rsidRPr="00B26074">
        <w:rPr>
          <w:rFonts w:cs="Arial"/>
          <w:b/>
          <w:bCs/>
          <w:sz w:val="22"/>
          <w:szCs w:val="22"/>
        </w:rPr>
        <w:t>Respuesta:</w:t>
      </w:r>
    </w:p>
    <w:p w14:paraId="672F816C" w14:textId="77777777" w:rsidR="00B26074" w:rsidRDefault="00B26074" w:rsidP="00EC360D">
      <w:pPr>
        <w:rPr>
          <w:rFonts w:cs="Arial"/>
          <w:sz w:val="22"/>
          <w:szCs w:val="22"/>
        </w:rPr>
      </w:pPr>
    </w:p>
    <w:p w14:paraId="6403F2A2" w14:textId="77777777" w:rsidR="00B26074" w:rsidRPr="00594256" w:rsidRDefault="00B26074" w:rsidP="00B26074">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_Ref132897384 \r \h </w:instrText>
      </w:r>
      <w:r>
        <w:rPr>
          <w:rFonts w:cs="Arial"/>
          <w:sz w:val="22"/>
          <w:szCs w:val="22"/>
        </w:rPr>
      </w:r>
      <w:r>
        <w:rPr>
          <w:rFonts w:cs="Arial"/>
          <w:sz w:val="22"/>
          <w:szCs w:val="22"/>
        </w:rPr>
        <w:fldChar w:fldCharType="separate"/>
      </w:r>
      <w:r>
        <w:rPr>
          <w:rFonts w:cs="Arial"/>
          <w:sz w:val="22"/>
          <w:szCs w:val="22"/>
        </w:rPr>
        <w:t>19.23.1.4</w:t>
      </w:r>
      <w:r>
        <w:rPr>
          <w:rFonts w:cs="Arial"/>
          <w:sz w:val="22"/>
          <w:szCs w:val="22"/>
        </w:rPr>
        <w:fldChar w:fldCharType="end"/>
      </w:r>
      <w:r>
        <w:rPr>
          <w:rFonts w:cs="Arial"/>
          <w:sz w:val="22"/>
          <w:szCs w:val="22"/>
        </w:rPr>
        <w:t>.</w:t>
      </w:r>
    </w:p>
    <w:p w14:paraId="550E51E4" w14:textId="77777777" w:rsidR="00EC360D" w:rsidRDefault="00EC360D" w:rsidP="00371CB5">
      <w:pPr>
        <w:rPr>
          <w:rFonts w:cs="Arial"/>
          <w:b/>
          <w:bCs/>
          <w:sz w:val="22"/>
          <w:szCs w:val="22"/>
        </w:rPr>
      </w:pPr>
    </w:p>
    <w:p w14:paraId="03B1A572" w14:textId="5124ACB4" w:rsidR="00EF1C07" w:rsidRDefault="00EF1C07" w:rsidP="00371CB5">
      <w:pPr>
        <w:rPr>
          <w:rFonts w:cs="Arial"/>
          <w:b/>
          <w:bCs/>
          <w:sz w:val="22"/>
          <w:szCs w:val="22"/>
        </w:rPr>
      </w:pPr>
    </w:p>
    <w:p w14:paraId="7D9B0821" w14:textId="56E5B219" w:rsidR="00EF1C07" w:rsidRDefault="00EF1C07" w:rsidP="00EF1C07">
      <w:pPr>
        <w:pStyle w:val="Ttulo1"/>
        <w:numPr>
          <w:ilvl w:val="0"/>
          <w:numId w:val="1"/>
        </w:numPr>
        <w:rPr>
          <w:caps/>
        </w:rPr>
      </w:pPr>
      <w:bookmarkStart w:id="956" w:name="_Toc140506524"/>
      <w:r>
        <w:t xml:space="preserve">ARTÍCULO 32. </w:t>
      </w:r>
      <w:r w:rsidR="0070732E" w:rsidRPr="0070732E">
        <w:rPr>
          <w:caps/>
        </w:rPr>
        <w:t>Negociaciones directas a través del BEC</w:t>
      </w:r>
      <w:bookmarkEnd w:id="956"/>
    </w:p>
    <w:p w14:paraId="2A3D9859" w14:textId="77777777" w:rsidR="00EC360D" w:rsidRDefault="00EC360D" w:rsidP="00EC360D">
      <w:pPr>
        <w:pStyle w:val="Ttulo2"/>
      </w:pPr>
      <w:bookmarkStart w:id="957" w:name="_Toc140506525"/>
      <w:r w:rsidRPr="00EC360D">
        <w:t>OILGAS ENERGY</w:t>
      </w:r>
      <w:bookmarkEnd w:id="957"/>
      <w:r w:rsidRPr="00EC360D">
        <w:tab/>
      </w:r>
    </w:p>
    <w:p w14:paraId="0215AD6E" w14:textId="77777777" w:rsidR="00EC360D" w:rsidRDefault="00EC360D" w:rsidP="00EC360D">
      <w:pPr>
        <w:pStyle w:val="Ttulo4"/>
      </w:pPr>
      <w:r w:rsidRPr="00EC360D">
        <w:t>OILGAS ENERGY</w:t>
      </w:r>
      <w:r w:rsidRPr="00EC360D">
        <w:tab/>
      </w:r>
    </w:p>
    <w:p w14:paraId="522792A3" w14:textId="2039E512" w:rsidR="00EC360D" w:rsidRPr="00B26074" w:rsidRDefault="00EC360D" w:rsidP="00EC360D">
      <w:pPr>
        <w:rPr>
          <w:rFonts w:cs="Arial"/>
          <w:i/>
          <w:iCs/>
          <w:sz w:val="22"/>
          <w:szCs w:val="22"/>
        </w:rPr>
      </w:pPr>
      <w:r w:rsidRPr="00EC360D">
        <w:rPr>
          <w:rFonts w:cs="Arial"/>
          <w:sz w:val="22"/>
          <w:szCs w:val="22"/>
        </w:rPr>
        <w:t>"</w:t>
      </w:r>
      <w:r w:rsidRPr="00B26074">
        <w:rPr>
          <w:rFonts w:cs="Arial"/>
          <w:i/>
          <w:iCs/>
          <w:sz w:val="22"/>
          <w:szCs w:val="22"/>
        </w:rPr>
        <w:t xml:space="preserve">El artículo 32 del Borrador CREG 226 de 2021 señala la información que el </w:t>
      </w:r>
      <w:r w:rsidR="005114C6" w:rsidRPr="00B26074">
        <w:rPr>
          <w:rFonts w:cs="Arial"/>
          <w:i/>
          <w:iCs/>
          <w:sz w:val="22"/>
          <w:szCs w:val="22"/>
        </w:rPr>
        <w:t>Gestor del Mercado</w:t>
      </w:r>
      <w:r w:rsidRPr="00B26074">
        <w:rPr>
          <w:rFonts w:cs="Arial"/>
          <w:i/>
          <w:iCs/>
          <w:sz w:val="22"/>
          <w:szCs w:val="22"/>
        </w:rPr>
        <w:t xml:space="preserve"> pondrá a disposición de los participantes del mercado, esta es, la oferta de venta de derechos de suministro de gas natural y la solicitud de compra de derechos de suministro de gas natural.</w:t>
      </w:r>
    </w:p>
    <w:p w14:paraId="5C84A66A" w14:textId="77777777" w:rsidR="00EC360D" w:rsidRPr="00B26074" w:rsidRDefault="00EC360D" w:rsidP="00EC360D">
      <w:pPr>
        <w:rPr>
          <w:rFonts w:cs="Arial"/>
          <w:i/>
          <w:iCs/>
          <w:sz w:val="22"/>
          <w:szCs w:val="22"/>
        </w:rPr>
      </w:pPr>
    </w:p>
    <w:p w14:paraId="53315327" w14:textId="3BE50885" w:rsidR="00EC360D" w:rsidRPr="00B26074" w:rsidRDefault="00EC360D" w:rsidP="00EC360D">
      <w:pPr>
        <w:rPr>
          <w:rFonts w:cs="Arial"/>
          <w:i/>
          <w:iCs/>
          <w:sz w:val="22"/>
          <w:szCs w:val="22"/>
        </w:rPr>
      </w:pPr>
      <w:r w:rsidRPr="00B26074">
        <w:rPr>
          <w:rFonts w:cs="Arial"/>
          <w:i/>
          <w:iCs/>
          <w:sz w:val="22"/>
          <w:szCs w:val="22"/>
        </w:rPr>
        <w:t>El artículo señala que será responsabilidad de los participantes del mercado llevar a cabo cada una de las negociaciones directas y celebrar los contratos correspondientes.</w:t>
      </w:r>
    </w:p>
    <w:p w14:paraId="5FB60F66" w14:textId="77777777" w:rsidR="00EC360D" w:rsidRPr="00B26074" w:rsidRDefault="00EC360D" w:rsidP="00EC360D">
      <w:pPr>
        <w:rPr>
          <w:rFonts w:cs="Arial"/>
          <w:i/>
          <w:iCs/>
          <w:sz w:val="22"/>
          <w:szCs w:val="22"/>
        </w:rPr>
      </w:pPr>
    </w:p>
    <w:p w14:paraId="264FD423" w14:textId="310549ED" w:rsidR="00EC360D" w:rsidRPr="00B26074" w:rsidRDefault="00EC360D" w:rsidP="00EC360D">
      <w:pPr>
        <w:rPr>
          <w:rFonts w:cs="Arial"/>
          <w:i/>
          <w:iCs/>
          <w:sz w:val="22"/>
          <w:szCs w:val="22"/>
        </w:rPr>
      </w:pPr>
      <w:r w:rsidRPr="00B26074">
        <w:rPr>
          <w:rFonts w:cs="Arial"/>
          <w:i/>
          <w:iCs/>
          <w:sz w:val="22"/>
          <w:szCs w:val="22"/>
        </w:rPr>
        <w:t xml:space="preserve">Sin embargo, se sugiere que se le permita a los participantes del mercado presentar una petición formal al </w:t>
      </w:r>
      <w:r w:rsidR="005114C6" w:rsidRPr="00B26074">
        <w:rPr>
          <w:rFonts w:cs="Arial"/>
          <w:i/>
          <w:iCs/>
          <w:sz w:val="22"/>
          <w:szCs w:val="22"/>
        </w:rPr>
        <w:t>Gestor del Mercado</w:t>
      </w:r>
      <w:r w:rsidRPr="00B26074">
        <w:rPr>
          <w:rFonts w:cs="Arial"/>
          <w:i/>
          <w:iCs/>
          <w:sz w:val="22"/>
          <w:szCs w:val="22"/>
        </w:rPr>
        <w:t xml:space="preserve"> solicitando información detallada acerca de la oferta o solicitud de compra que ellos requieran en caso de que la información brindada por el </w:t>
      </w:r>
      <w:r w:rsidR="005114C6" w:rsidRPr="00B26074">
        <w:rPr>
          <w:rFonts w:cs="Arial"/>
          <w:i/>
          <w:iCs/>
          <w:sz w:val="22"/>
          <w:szCs w:val="22"/>
        </w:rPr>
        <w:t>Gestor del Mercado</w:t>
      </w:r>
      <w:r w:rsidRPr="00B26074">
        <w:rPr>
          <w:rFonts w:cs="Arial"/>
          <w:i/>
          <w:iCs/>
          <w:sz w:val="22"/>
          <w:szCs w:val="22"/>
        </w:rPr>
        <w:t xml:space="preserve"> sea insuficiente, esto, con el fin de contar con la información completa y veraz requerida para poder cumplir con la responsabilidad de llevar a cabo las negociaciones y la celebración de los contratos que el artículo señala.</w:t>
      </w:r>
    </w:p>
    <w:p w14:paraId="657795D2" w14:textId="77777777" w:rsidR="00EC360D" w:rsidRPr="00B26074" w:rsidRDefault="00EC360D" w:rsidP="00EC360D">
      <w:pPr>
        <w:rPr>
          <w:rFonts w:cs="Arial"/>
          <w:i/>
          <w:iCs/>
          <w:sz w:val="22"/>
          <w:szCs w:val="22"/>
        </w:rPr>
      </w:pPr>
    </w:p>
    <w:p w14:paraId="5F8A1BCE" w14:textId="00B94F9C" w:rsidR="00EC360D" w:rsidRPr="00B26074" w:rsidRDefault="00EC360D" w:rsidP="00EC360D">
      <w:pPr>
        <w:rPr>
          <w:rFonts w:cs="Arial"/>
          <w:i/>
          <w:iCs/>
          <w:sz w:val="22"/>
          <w:szCs w:val="22"/>
        </w:rPr>
      </w:pPr>
      <w:r w:rsidRPr="00B26074">
        <w:rPr>
          <w:rFonts w:cs="Arial"/>
          <w:i/>
          <w:iCs/>
          <w:sz w:val="22"/>
          <w:szCs w:val="22"/>
        </w:rPr>
        <w:t xml:space="preserve">Se solicita que se configure el silencio administrativo positivo en caso de que el </w:t>
      </w:r>
      <w:r w:rsidR="005114C6" w:rsidRPr="00B26074">
        <w:rPr>
          <w:rFonts w:cs="Arial"/>
          <w:i/>
          <w:iCs/>
          <w:sz w:val="22"/>
          <w:szCs w:val="22"/>
        </w:rPr>
        <w:t>Gestor del Mercado</w:t>
      </w:r>
      <w:r w:rsidRPr="00B26074">
        <w:rPr>
          <w:rFonts w:cs="Arial"/>
          <w:i/>
          <w:iCs/>
          <w:sz w:val="22"/>
          <w:szCs w:val="22"/>
        </w:rPr>
        <w:t xml:space="preserve"> no dé respuesta a lo solicitado por los participantes del mercado.</w:t>
      </w:r>
    </w:p>
    <w:p w14:paraId="26269E7F" w14:textId="77777777" w:rsidR="00EC360D" w:rsidRPr="00B26074" w:rsidRDefault="00EC360D" w:rsidP="00EC360D">
      <w:pPr>
        <w:rPr>
          <w:rFonts w:cs="Arial"/>
          <w:i/>
          <w:iCs/>
          <w:sz w:val="22"/>
          <w:szCs w:val="22"/>
        </w:rPr>
      </w:pPr>
    </w:p>
    <w:p w14:paraId="07024844" w14:textId="24DDC422" w:rsidR="00EF1C07" w:rsidRDefault="00EC360D" w:rsidP="00EC360D">
      <w:pPr>
        <w:rPr>
          <w:rFonts w:cs="Arial"/>
          <w:sz w:val="22"/>
          <w:szCs w:val="22"/>
        </w:rPr>
      </w:pPr>
      <w:r w:rsidRPr="00B26074">
        <w:rPr>
          <w:rFonts w:cs="Arial"/>
          <w:i/>
          <w:iCs/>
          <w:sz w:val="22"/>
          <w:szCs w:val="22"/>
        </w:rPr>
        <w:t xml:space="preserve">Para ello, se entenderá que la respuesta es positiva si el </w:t>
      </w:r>
      <w:r w:rsidR="005114C6" w:rsidRPr="00B26074">
        <w:rPr>
          <w:rFonts w:cs="Arial"/>
          <w:i/>
          <w:iCs/>
          <w:sz w:val="22"/>
          <w:szCs w:val="22"/>
        </w:rPr>
        <w:t>Gestor del Mercado</w:t>
      </w:r>
      <w:r w:rsidRPr="00B26074">
        <w:rPr>
          <w:rFonts w:cs="Arial"/>
          <w:i/>
          <w:iCs/>
          <w:sz w:val="22"/>
          <w:szCs w:val="22"/>
        </w:rPr>
        <w:t xml:space="preserve"> no da respuesta en el término de 15 días</w:t>
      </w:r>
      <w:r w:rsidRPr="00EC360D">
        <w:rPr>
          <w:rFonts w:cs="Arial"/>
          <w:sz w:val="22"/>
          <w:szCs w:val="22"/>
        </w:rPr>
        <w:t>."</w:t>
      </w:r>
    </w:p>
    <w:p w14:paraId="023DA680" w14:textId="77777777" w:rsidR="00B26074" w:rsidRDefault="00B26074" w:rsidP="00EC360D">
      <w:pPr>
        <w:rPr>
          <w:rFonts w:cs="Arial"/>
          <w:sz w:val="22"/>
          <w:szCs w:val="22"/>
        </w:rPr>
      </w:pPr>
    </w:p>
    <w:p w14:paraId="5019E764" w14:textId="4E4BA922" w:rsidR="00B26074" w:rsidRPr="00B26074" w:rsidRDefault="00B26074" w:rsidP="00EC360D">
      <w:pPr>
        <w:rPr>
          <w:rFonts w:cs="Arial"/>
          <w:b/>
          <w:bCs/>
          <w:sz w:val="22"/>
          <w:szCs w:val="22"/>
        </w:rPr>
      </w:pPr>
      <w:r w:rsidRPr="00B26074">
        <w:rPr>
          <w:rFonts w:cs="Arial"/>
          <w:b/>
          <w:bCs/>
          <w:sz w:val="22"/>
          <w:szCs w:val="22"/>
        </w:rPr>
        <w:t>Respuesta:</w:t>
      </w:r>
    </w:p>
    <w:p w14:paraId="093B6740" w14:textId="77777777" w:rsidR="00B26074" w:rsidRDefault="00B26074" w:rsidP="00EC360D">
      <w:pPr>
        <w:rPr>
          <w:rFonts w:cs="Arial"/>
          <w:sz w:val="22"/>
          <w:szCs w:val="22"/>
        </w:rPr>
      </w:pPr>
    </w:p>
    <w:p w14:paraId="6F8E2180" w14:textId="20C8ED2C" w:rsidR="0004604D" w:rsidRDefault="0004604D" w:rsidP="00EC360D">
      <w:pPr>
        <w:rPr>
          <w:rFonts w:cs="Arial"/>
          <w:sz w:val="22"/>
          <w:szCs w:val="22"/>
        </w:rPr>
      </w:pPr>
      <w:r>
        <w:rPr>
          <w:rFonts w:cs="Arial"/>
          <w:sz w:val="22"/>
          <w:szCs w:val="22"/>
        </w:rPr>
        <w:t>No se acoge el comentario.</w:t>
      </w:r>
    </w:p>
    <w:p w14:paraId="001E9021" w14:textId="77777777" w:rsidR="0004604D" w:rsidRDefault="0004604D" w:rsidP="00EC360D">
      <w:pPr>
        <w:rPr>
          <w:rFonts w:cs="Arial"/>
          <w:sz w:val="22"/>
          <w:szCs w:val="22"/>
        </w:rPr>
      </w:pPr>
    </w:p>
    <w:p w14:paraId="28ECD58B" w14:textId="797985D7" w:rsidR="0004604D" w:rsidRDefault="0004604D" w:rsidP="00EC360D">
      <w:pPr>
        <w:rPr>
          <w:rFonts w:cs="Arial"/>
          <w:sz w:val="22"/>
          <w:szCs w:val="22"/>
        </w:rPr>
      </w:pPr>
      <w:r>
        <w:rPr>
          <w:rFonts w:cs="Arial"/>
          <w:sz w:val="22"/>
          <w:szCs w:val="22"/>
        </w:rPr>
        <w:t xml:space="preserve">La información que se publica en el BEC debe incluir los datos de contacto del oferente o del solicitante, para que con ello se puedan realizar las negociaciones directas de su interés, tal como se menciona en el </w:t>
      </w:r>
      <w:r w:rsidR="002616B1">
        <w:rPr>
          <w:rFonts w:cs="Arial"/>
          <w:sz w:val="22"/>
          <w:szCs w:val="22"/>
        </w:rPr>
        <w:t>a</w:t>
      </w:r>
      <w:r>
        <w:rPr>
          <w:rFonts w:cs="Arial"/>
          <w:sz w:val="22"/>
          <w:szCs w:val="22"/>
        </w:rPr>
        <w:t xml:space="preserve">rtículo referido. Si el agente requiere información más detallada acerca de la oferta o solicitud de compra, la información la debe obtener durante la negociación directa con el posible vendedor o con el posible comprador, no a través del Gestor del Mercado. </w:t>
      </w:r>
    </w:p>
    <w:p w14:paraId="330C2823" w14:textId="77777777" w:rsidR="0004604D" w:rsidRDefault="0004604D" w:rsidP="00EC360D">
      <w:pPr>
        <w:rPr>
          <w:rFonts w:cs="Arial"/>
          <w:sz w:val="22"/>
          <w:szCs w:val="22"/>
        </w:rPr>
      </w:pPr>
    </w:p>
    <w:p w14:paraId="06A2F5E6" w14:textId="0EE3E8C6" w:rsidR="0004604D" w:rsidRDefault="003412B6" w:rsidP="00EC360D">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_Ref133320593 \r \h </w:instrText>
      </w:r>
      <w:r>
        <w:rPr>
          <w:rFonts w:cs="Arial"/>
          <w:sz w:val="22"/>
          <w:szCs w:val="22"/>
        </w:rPr>
      </w:r>
      <w:r>
        <w:rPr>
          <w:rFonts w:cs="Arial"/>
          <w:sz w:val="22"/>
          <w:szCs w:val="22"/>
        </w:rPr>
        <w:fldChar w:fldCharType="separate"/>
      </w:r>
      <w:r>
        <w:rPr>
          <w:rFonts w:cs="Arial"/>
          <w:sz w:val="22"/>
          <w:szCs w:val="22"/>
        </w:rPr>
        <w:t>4.21</w:t>
      </w:r>
      <w:r>
        <w:rPr>
          <w:rFonts w:cs="Arial"/>
          <w:sz w:val="22"/>
          <w:szCs w:val="22"/>
        </w:rPr>
        <w:fldChar w:fldCharType="end"/>
      </w:r>
      <w:r>
        <w:rPr>
          <w:rFonts w:cs="Arial"/>
          <w:sz w:val="22"/>
          <w:szCs w:val="22"/>
        </w:rPr>
        <w:t>.</w:t>
      </w:r>
    </w:p>
    <w:p w14:paraId="33430562" w14:textId="77777777" w:rsidR="00B26074" w:rsidRPr="00EC360D" w:rsidRDefault="00B26074" w:rsidP="00EC360D">
      <w:pPr>
        <w:rPr>
          <w:rFonts w:cs="Arial"/>
          <w:sz w:val="22"/>
          <w:szCs w:val="22"/>
        </w:rPr>
      </w:pPr>
    </w:p>
    <w:p w14:paraId="76890315" w14:textId="01483ABD" w:rsidR="00EF1C07" w:rsidRDefault="00EF1C07" w:rsidP="00371CB5">
      <w:pPr>
        <w:rPr>
          <w:rFonts w:cs="Arial"/>
          <w:b/>
          <w:bCs/>
          <w:sz w:val="22"/>
          <w:szCs w:val="22"/>
        </w:rPr>
      </w:pPr>
    </w:p>
    <w:p w14:paraId="28AFDC0C" w14:textId="46A584D5" w:rsidR="00EF1C07" w:rsidRDefault="00EF1C07" w:rsidP="00EF1C07">
      <w:pPr>
        <w:pStyle w:val="Ttulo1"/>
        <w:numPr>
          <w:ilvl w:val="0"/>
          <w:numId w:val="1"/>
        </w:numPr>
        <w:rPr>
          <w:caps/>
        </w:rPr>
      </w:pPr>
      <w:bookmarkStart w:id="958" w:name="_Toc140506526"/>
      <w:r>
        <w:t xml:space="preserve">ARTÍCULO 33. </w:t>
      </w:r>
      <w:r w:rsidR="0070732E" w:rsidRPr="0070732E">
        <w:rPr>
          <w:caps/>
        </w:rPr>
        <w:t>Negociaciones directas a través de otras plataformas</w:t>
      </w:r>
      <w:bookmarkEnd w:id="958"/>
    </w:p>
    <w:p w14:paraId="1A6805B1" w14:textId="77777777" w:rsidR="00572EE6" w:rsidRDefault="00572EE6" w:rsidP="00572EE6">
      <w:pPr>
        <w:pStyle w:val="Ttulo2"/>
      </w:pPr>
      <w:bookmarkStart w:id="959" w:name="_Toc140506527"/>
      <w:r w:rsidRPr="00572EE6">
        <w:t>TEBSA</w:t>
      </w:r>
      <w:bookmarkEnd w:id="959"/>
      <w:r w:rsidRPr="00572EE6">
        <w:tab/>
      </w:r>
    </w:p>
    <w:p w14:paraId="4EF745C6" w14:textId="77777777" w:rsidR="00572EE6" w:rsidRDefault="00572EE6" w:rsidP="00572EE6">
      <w:pPr>
        <w:pStyle w:val="Ttulo4"/>
      </w:pPr>
      <w:r w:rsidRPr="00572EE6">
        <w:t>TEBSA</w:t>
      </w:r>
      <w:r w:rsidRPr="00572EE6">
        <w:tab/>
      </w:r>
    </w:p>
    <w:p w14:paraId="4B020CBF" w14:textId="1F2607B6" w:rsidR="00EF1C07" w:rsidRPr="003412B6" w:rsidRDefault="002616B1" w:rsidP="00371CB5">
      <w:pPr>
        <w:rPr>
          <w:rFonts w:cs="Arial"/>
          <w:i/>
          <w:iCs/>
          <w:sz w:val="22"/>
          <w:szCs w:val="22"/>
        </w:rPr>
      </w:pPr>
      <w:r>
        <w:rPr>
          <w:rFonts w:cs="Arial"/>
          <w:i/>
          <w:iCs/>
          <w:sz w:val="22"/>
          <w:szCs w:val="22"/>
        </w:rPr>
        <w:t>“</w:t>
      </w:r>
      <w:r w:rsidR="00572EE6" w:rsidRPr="003412B6">
        <w:rPr>
          <w:rFonts w:cs="Arial"/>
          <w:i/>
          <w:iCs/>
          <w:sz w:val="22"/>
          <w:szCs w:val="22"/>
        </w:rPr>
        <w:t>¿Cómo acceder a las BD del gestor de mercado?, ¿qué otras plataformas se puedan vincular a las BD del GM, aplicando la interoperabilidad</w:t>
      </w:r>
      <w:r w:rsidR="003412B6" w:rsidRPr="003412B6">
        <w:rPr>
          <w:rFonts w:cs="Arial"/>
          <w:i/>
          <w:iCs/>
          <w:sz w:val="22"/>
          <w:szCs w:val="22"/>
        </w:rPr>
        <w:t>.</w:t>
      </w:r>
      <w:r>
        <w:rPr>
          <w:rFonts w:cs="Arial"/>
          <w:i/>
          <w:iCs/>
          <w:sz w:val="22"/>
          <w:szCs w:val="22"/>
        </w:rPr>
        <w:t>”</w:t>
      </w:r>
    </w:p>
    <w:p w14:paraId="3506FD67" w14:textId="77777777" w:rsidR="003412B6" w:rsidRDefault="003412B6" w:rsidP="00371CB5">
      <w:pPr>
        <w:rPr>
          <w:rFonts w:cs="Arial"/>
          <w:sz w:val="22"/>
          <w:szCs w:val="22"/>
        </w:rPr>
      </w:pPr>
    </w:p>
    <w:p w14:paraId="3570400A" w14:textId="5CC16A27" w:rsidR="003412B6" w:rsidRPr="003412B6" w:rsidRDefault="003412B6" w:rsidP="00371CB5">
      <w:pPr>
        <w:rPr>
          <w:rFonts w:cs="Arial"/>
          <w:b/>
          <w:bCs/>
          <w:sz w:val="22"/>
          <w:szCs w:val="22"/>
        </w:rPr>
      </w:pPr>
      <w:r w:rsidRPr="003412B6">
        <w:rPr>
          <w:rFonts w:cs="Arial"/>
          <w:b/>
          <w:bCs/>
          <w:sz w:val="22"/>
          <w:szCs w:val="22"/>
        </w:rPr>
        <w:t>Respuesta:</w:t>
      </w:r>
    </w:p>
    <w:p w14:paraId="5BBE9345" w14:textId="77777777" w:rsidR="003412B6" w:rsidRPr="00572EE6" w:rsidRDefault="003412B6" w:rsidP="00371CB5">
      <w:pPr>
        <w:rPr>
          <w:rFonts w:cs="Arial"/>
          <w:sz w:val="22"/>
          <w:szCs w:val="22"/>
        </w:rPr>
      </w:pPr>
    </w:p>
    <w:p w14:paraId="2CDE1D25" w14:textId="67A4BC7F" w:rsidR="00EF1C07" w:rsidRDefault="003412B6" w:rsidP="00371CB5">
      <w:pPr>
        <w:rPr>
          <w:rFonts w:cs="Arial"/>
          <w:sz w:val="22"/>
          <w:szCs w:val="22"/>
        </w:rPr>
      </w:pPr>
      <w:r w:rsidRPr="003412B6">
        <w:rPr>
          <w:rFonts w:cs="Arial"/>
          <w:sz w:val="22"/>
          <w:szCs w:val="22"/>
        </w:rPr>
        <w:t>El Ges</w:t>
      </w:r>
      <w:r>
        <w:rPr>
          <w:rFonts w:cs="Arial"/>
          <w:sz w:val="22"/>
          <w:szCs w:val="22"/>
        </w:rPr>
        <w:t>t</w:t>
      </w:r>
      <w:r w:rsidRPr="003412B6">
        <w:rPr>
          <w:rFonts w:cs="Arial"/>
          <w:sz w:val="22"/>
          <w:szCs w:val="22"/>
        </w:rPr>
        <w:t xml:space="preserve">or del Mercado ha dispuesto </w:t>
      </w:r>
      <w:r>
        <w:rPr>
          <w:rFonts w:cs="Arial"/>
          <w:sz w:val="22"/>
          <w:szCs w:val="22"/>
        </w:rPr>
        <w:t>para los agentes del Mercado Mayorista de Gas Natural y público en general, información diversa de operación comercial tanto de la actividad de suministro como de la actividad de transporte.</w:t>
      </w:r>
    </w:p>
    <w:p w14:paraId="7821F585" w14:textId="77777777" w:rsidR="003412B6" w:rsidRDefault="003412B6" w:rsidP="00371CB5">
      <w:pPr>
        <w:rPr>
          <w:rFonts w:cs="Arial"/>
          <w:sz w:val="22"/>
          <w:szCs w:val="22"/>
        </w:rPr>
      </w:pPr>
    </w:p>
    <w:p w14:paraId="48AA5B39" w14:textId="4014F6C2" w:rsidR="003412B6" w:rsidRPr="003412B6" w:rsidRDefault="003412B6" w:rsidP="00371CB5">
      <w:pPr>
        <w:rPr>
          <w:rFonts w:cs="Arial"/>
          <w:sz w:val="22"/>
          <w:szCs w:val="22"/>
        </w:rPr>
      </w:pPr>
      <w:r>
        <w:rPr>
          <w:rFonts w:cs="Arial"/>
          <w:sz w:val="22"/>
          <w:szCs w:val="22"/>
        </w:rPr>
        <w:t xml:space="preserve">La información contenida en la base de datos del Gestor del mercado tiene </w:t>
      </w:r>
      <w:r w:rsidR="005A473B">
        <w:rPr>
          <w:rFonts w:cs="Arial"/>
          <w:sz w:val="22"/>
          <w:szCs w:val="22"/>
        </w:rPr>
        <w:t>carácter reservado, por lo cual no es accesible a ningún agente del Mercado.</w:t>
      </w:r>
      <w:r>
        <w:rPr>
          <w:rFonts w:cs="Arial"/>
          <w:sz w:val="22"/>
          <w:szCs w:val="22"/>
        </w:rPr>
        <w:t xml:space="preserve"> </w:t>
      </w:r>
    </w:p>
    <w:p w14:paraId="026A2AAA" w14:textId="3DF36066" w:rsidR="00EF1C07" w:rsidRDefault="00EF1C07" w:rsidP="00371CB5">
      <w:pPr>
        <w:rPr>
          <w:rFonts w:cs="Arial"/>
          <w:b/>
          <w:bCs/>
          <w:sz w:val="22"/>
          <w:szCs w:val="22"/>
        </w:rPr>
      </w:pPr>
    </w:p>
    <w:p w14:paraId="51A988C5" w14:textId="77777777" w:rsidR="007F67F0" w:rsidRDefault="007F67F0" w:rsidP="00371CB5">
      <w:pPr>
        <w:rPr>
          <w:rFonts w:cs="Arial"/>
          <w:b/>
          <w:bCs/>
          <w:sz w:val="22"/>
          <w:szCs w:val="22"/>
        </w:rPr>
      </w:pPr>
    </w:p>
    <w:p w14:paraId="12645FA3" w14:textId="21EBB6B2" w:rsidR="00EF1C07" w:rsidRDefault="00EF1C07" w:rsidP="00EF1C07">
      <w:pPr>
        <w:pStyle w:val="Ttulo1"/>
        <w:numPr>
          <w:ilvl w:val="0"/>
          <w:numId w:val="1"/>
        </w:numPr>
        <w:rPr>
          <w:caps/>
        </w:rPr>
      </w:pPr>
      <w:bookmarkStart w:id="960" w:name="_Toc140506528"/>
      <w:r>
        <w:t xml:space="preserve">ARTÍCULO 35. </w:t>
      </w:r>
      <w:r w:rsidR="0070732E" w:rsidRPr="0070732E">
        <w:rPr>
          <w:caps/>
        </w:rPr>
        <w:t>Proceso úselo o véndalo de corto plazo para gas natural</w:t>
      </w:r>
      <w:bookmarkEnd w:id="960"/>
    </w:p>
    <w:p w14:paraId="61AEA2D1" w14:textId="77777777" w:rsidR="00C816F4" w:rsidRDefault="00572EE6" w:rsidP="00C816F4">
      <w:pPr>
        <w:pStyle w:val="Ttulo2"/>
      </w:pPr>
      <w:bookmarkStart w:id="961" w:name="_Toc140506529"/>
      <w:r>
        <w:t>ACP</w:t>
      </w:r>
      <w:bookmarkEnd w:id="961"/>
      <w:r>
        <w:tab/>
      </w:r>
    </w:p>
    <w:p w14:paraId="3A01AE23" w14:textId="77777777" w:rsidR="00C816F4" w:rsidRDefault="00C816F4" w:rsidP="00C816F4">
      <w:pPr>
        <w:pStyle w:val="Ttulo4"/>
      </w:pPr>
      <w:bookmarkStart w:id="962" w:name="_Ref133323463"/>
      <w:r>
        <w:t>ACP</w:t>
      </w:r>
      <w:bookmarkEnd w:id="962"/>
      <w:r>
        <w:tab/>
      </w:r>
    </w:p>
    <w:p w14:paraId="4CE35799" w14:textId="57E503C4" w:rsidR="00572EE6" w:rsidRPr="00AA3410" w:rsidRDefault="00AA3410" w:rsidP="00572EE6">
      <w:pPr>
        <w:rPr>
          <w:i/>
          <w:iCs/>
          <w:sz w:val="22"/>
          <w:szCs w:val="22"/>
        </w:rPr>
      </w:pPr>
      <w:r>
        <w:rPr>
          <w:i/>
          <w:iCs/>
          <w:sz w:val="22"/>
          <w:szCs w:val="22"/>
        </w:rPr>
        <w:t>“</w:t>
      </w:r>
      <w:r w:rsidR="00572EE6" w:rsidRPr="00AA3410">
        <w:rPr>
          <w:i/>
          <w:iCs/>
          <w:sz w:val="22"/>
          <w:szCs w:val="22"/>
        </w:rPr>
        <w:t>No indica el número del anexo que contiene el numeral 5.4.</w:t>
      </w:r>
      <w:r>
        <w:rPr>
          <w:i/>
          <w:iCs/>
          <w:sz w:val="22"/>
          <w:szCs w:val="22"/>
        </w:rPr>
        <w:t>”</w:t>
      </w:r>
    </w:p>
    <w:p w14:paraId="79CA944E" w14:textId="77777777" w:rsidR="00877ADB" w:rsidRPr="00877ADB" w:rsidRDefault="00877ADB" w:rsidP="00572EE6">
      <w:pPr>
        <w:rPr>
          <w:sz w:val="22"/>
          <w:szCs w:val="22"/>
        </w:rPr>
      </w:pPr>
    </w:p>
    <w:p w14:paraId="65281A6F" w14:textId="13CDF5FF" w:rsidR="00877ADB" w:rsidRPr="00877ADB" w:rsidRDefault="00877ADB" w:rsidP="00572EE6">
      <w:pPr>
        <w:rPr>
          <w:b/>
          <w:bCs/>
          <w:sz w:val="22"/>
          <w:szCs w:val="22"/>
        </w:rPr>
      </w:pPr>
      <w:r w:rsidRPr="00877ADB">
        <w:rPr>
          <w:b/>
          <w:bCs/>
          <w:sz w:val="22"/>
          <w:szCs w:val="22"/>
        </w:rPr>
        <w:t>Respuesta:</w:t>
      </w:r>
    </w:p>
    <w:p w14:paraId="721BDB1C" w14:textId="77777777" w:rsidR="00877ADB" w:rsidRPr="00877ADB" w:rsidRDefault="00877ADB" w:rsidP="00572EE6">
      <w:pPr>
        <w:rPr>
          <w:sz w:val="22"/>
          <w:szCs w:val="22"/>
        </w:rPr>
      </w:pPr>
    </w:p>
    <w:p w14:paraId="072FA16C" w14:textId="61C03903" w:rsidR="00877ADB" w:rsidRPr="00877ADB" w:rsidRDefault="00877ADB" w:rsidP="00572EE6">
      <w:pPr>
        <w:rPr>
          <w:sz w:val="22"/>
          <w:szCs w:val="22"/>
        </w:rPr>
      </w:pPr>
      <w:r w:rsidRPr="00877ADB">
        <w:rPr>
          <w:sz w:val="22"/>
          <w:szCs w:val="22"/>
        </w:rPr>
        <w:t>Se acoge el comentario.</w:t>
      </w:r>
    </w:p>
    <w:p w14:paraId="1AC48853" w14:textId="77777777" w:rsidR="00877ADB" w:rsidRPr="00877ADB" w:rsidRDefault="00877ADB" w:rsidP="00572EE6">
      <w:pPr>
        <w:rPr>
          <w:sz w:val="22"/>
          <w:szCs w:val="22"/>
        </w:rPr>
      </w:pPr>
    </w:p>
    <w:p w14:paraId="4351EF9C" w14:textId="7C64EBCD" w:rsidR="00877ADB" w:rsidRPr="00877ADB" w:rsidRDefault="00877ADB" w:rsidP="00572EE6">
      <w:pPr>
        <w:rPr>
          <w:sz w:val="22"/>
          <w:szCs w:val="22"/>
        </w:rPr>
      </w:pPr>
      <w:r w:rsidRPr="00877ADB">
        <w:rPr>
          <w:sz w:val="22"/>
          <w:szCs w:val="22"/>
        </w:rPr>
        <w:t>En la nueva propuesta se hace la inclusión del n</w:t>
      </w:r>
      <w:r w:rsidR="00F1283B">
        <w:rPr>
          <w:sz w:val="22"/>
          <w:szCs w:val="22"/>
        </w:rPr>
        <w:t>ú</w:t>
      </w:r>
      <w:r w:rsidRPr="00877ADB">
        <w:rPr>
          <w:sz w:val="22"/>
          <w:szCs w:val="22"/>
        </w:rPr>
        <w:t>mero del Anexo referido.</w:t>
      </w:r>
    </w:p>
    <w:p w14:paraId="0A4B73F8" w14:textId="77777777" w:rsidR="00C816F4" w:rsidRDefault="00C816F4" w:rsidP="00572EE6"/>
    <w:p w14:paraId="785AB068" w14:textId="77777777" w:rsidR="00C816F4" w:rsidRDefault="00C816F4" w:rsidP="00572EE6"/>
    <w:p w14:paraId="76190364" w14:textId="77777777" w:rsidR="00C816F4" w:rsidRDefault="00572EE6" w:rsidP="00C816F4">
      <w:pPr>
        <w:pStyle w:val="Ttulo2"/>
      </w:pPr>
      <w:bookmarkStart w:id="963" w:name="_Toc140506530"/>
      <w:r>
        <w:t>BOLSA MERCANTIL DE COLOMBIA</w:t>
      </w:r>
      <w:bookmarkEnd w:id="963"/>
      <w:r>
        <w:tab/>
      </w:r>
    </w:p>
    <w:p w14:paraId="6BD84A58" w14:textId="77777777" w:rsidR="00C816F4" w:rsidRDefault="00C816F4" w:rsidP="00C816F4">
      <w:pPr>
        <w:pStyle w:val="Ttulo4"/>
      </w:pPr>
      <w:r>
        <w:t>BOLSA MERCANTIL DE COLOMBIA</w:t>
      </w:r>
      <w:r>
        <w:tab/>
      </w:r>
    </w:p>
    <w:p w14:paraId="48A4608C" w14:textId="1F52EAE4" w:rsidR="00572EE6" w:rsidRDefault="00AA3410" w:rsidP="00572EE6">
      <w:pPr>
        <w:rPr>
          <w:i/>
          <w:iCs/>
          <w:sz w:val="22"/>
          <w:szCs w:val="22"/>
        </w:rPr>
      </w:pPr>
      <w:r>
        <w:rPr>
          <w:i/>
          <w:iCs/>
          <w:sz w:val="22"/>
          <w:szCs w:val="22"/>
        </w:rPr>
        <w:t>“</w:t>
      </w:r>
      <w:r w:rsidR="00572EE6" w:rsidRPr="00877ADB">
        <w:rPr>
          <w:i/>
          <w:iCs/>
          <w:sz w:val="22"/>
          <w:szCs w:val="22"/>
        </w:rPr>
        <w:t>Actualmente la notificación de los resultados de las subastas UVCP de suministro se realiza a los productores-comercializadores y comercializadores de gas importado, a los titulares de suministro de gas con excedentes para el siguiente día de gas adjudicados y a los compradores de corto plazo adjudicados.</w:t>
      </w:r>
    </w:p>
    <w:p w14:paraId="5F1691FF" w14:textId="77777777" w:rsidR="00F1283B" w:rsidRDefault="00F1283B" w:rsidP="00572EE6">
      <w:pPr>
        <w:rPr>
          <w:i/>
          <w:iCs/>
          <w:sz w:val="22"/>
          <w:szCs w:val="22"/>
        </w:rPr>
      </w:pPr>
    </w:p>
    <w:p w14:paraId="15C49579" w14:textId="2FC522F5" w:rsidR="00F1283B" w:rsidRPr="00877ADB" w:rsidRDefault="00F1283B" w:rsidP="00572EE6">
      <w:pPr>
        <w:rPr>
          <w:i/>
          <w:iCs/>
          <w:sz w:val="22"/>
          <w:szCs w:val="22"/>
        </w:rPr>
      </w:pPr>
      <w:r w:rsidRPr="00F1283B">
        <w:rPr>
          <w:i/>
          <w:iCs/>
          <w:sz w:val="22"/>
          <w:szCs w:val="22"/>
        </w:rPr>
        <w:t>Sugerimos mantener la redacción contenida en la Resolución CREG 186 de 2020, de manera que sea claro que la notificación de los resultados de las subastas UVCP de suministro se realiza a los productores-comercializadores y comercializadores de gas importado, a los titulares de suministro de gas con excedentes para el siguiente día de gas adjudicados y a los respectivos compradores de corto plazo adjudicados.</w:t>
      </w:r>
      <w:r w:rsidR="00AA3410">
        <w:rPr>
          <w:i/>
          <w:iCs/>
          <w:sz w:val="22"/>
          <w:szCs w:val="22"/>
        </w:rPr>
        <w:t>”</w:t>
      </w:r>
    </w:p>
    <w:p w14:paraId="4D261EC3" w14:textId="77777777" w:rsidR="00877ADB" w:rsidRDefault="00877ADB" w:rsidP="00572EE6"/>
    <w:p w14:paraId="51209D87" w14:textId="2F2E2444" w:rsidR="00877ADB" w:rsidRPr="00F1283B" w:rsidRDefault="00877ADB" w:rsidP="00572EE6">
      <w:pPr>
        <w:rPr>
          <w:b/>
          <w:bCs/>
          <w:sz w:val="22"/>
          <w:szCs w:val="22"/>
        </w:rPr>
      </w:pPr>
      <w:r w:rsidRPr="00F1283B">
        <w:rPr>
          <w:b/>
          <w:bCs/>
          <w:sz w:val="22"/>
          <w:szCs w:val="22"/>
        </w:rPr>
        <w:t>Respuesta:</w:t>
      </w:r>
    </w:p>
    <w:p w14:paraId="5537F2C3" w14:textId="77777777" w:rsidR="00877ADB" w:rsidRPr="00F1283B" w:rsidRDefault="00877ADB" w:rsidP="00572EE6">
      <w:pPr>
        <w:rPr>
          <w:sz w:val="22"/>
          <w:szCs w:val="22"/>
        </w:rPr>
      </w:pPr>
    </w:p>
    <w:p w14:paraId="7F6171F8" w14:textId="7F4EFD3A" w:rsidR="00877ADB" w:rsidRPr="00F1283B" w:rsidRDefault="00F1283B" w:rsidP="00572EE6">
      <w:pPr>
        <w:rPr>
          <w:sz w:val="22"/>
          <w:szCs w:val="22"/>
        </w:rPr>
      </w:pPr>
      <w:r w:rsidRPr="00F1283B">
        <w:rPr>
          <w:sz w:val="22"/>
          <w:szCs w:val="22"/>
        </w:rPr>
        <w:t>Se acoge el comentario.</w:t>
      </w:r>
    </w:p>
    <w:p w14:paraId="3248C9F9" w14:textId="77777777" w:rsidR="00F1283B" w:rsidRPr="00F1283B" w:rsidRDefault="00F1283B" w:rsidP="00572EE6">
      <w:pPr>
        <w:rPr>
          <w:sz w:val="22"/>
          <w:szCs w:val="22"/>
        </w:rPr>
      </w:pPr>
    </w:p>
    <w:p w14:paraId="1A130B13" w14:textId="370DBD94" w:rsidR="00F1283B" w:rsidRPr="00F1283B" w:rsidRDefault="00F1283B" w:rsidP="00572EE6">
      <w:pPr>
        <w:rPr>
          <w:sz w:val="22"/>
          <w:szCs w:val="22"/>
        </w:rPr>
      </w:pPr>
      <w:r w:rsidRPr="00F1283B">
        <w:rPr>
          <w:sz w:val="22"/>
          <w:szCs w:val="22"/>
        </w:rPr>
        <w:t>En la nueva propuesta se mantiene lo actualmente establecido respecto de la información a entregar a los productores-comercializadores y a los comercializadores de gas importado.</w:t>
      </w:r>
    </w:p>
    <w:p w14:paraId="266E86A0" w14:textId="77777777" w:rsidR="00877ADB" w:rsidRDefault="00877ADB" w:rsidP="00572EE6"/>
    <w:p w14:paraId="08DEC21F" w14:textId="77777777" w:rsidR="00C816F4" w:rsidRDefault="00C816F4" w:rsidP="00572EE6"/>
    <w:p w14:paraId="2D1994AC" w14:textId="77777777" w:rsidR="00C816F4" w:rsidRDefault="00572EE6" w:rsidP="00C816F4">
      <w:pPr>
        <w:pStyle w:val="Ttulo4"/>
      </w:pPr>
      <w:r>
        <w:t>BOLSA MERCANTIL DE COLOMBIA</w:t>
      </w:r>
      <w:r>
        <w:tab/>
      </w:r>
    </w:p>
    <w:p w14:paraId="6518BE23" w14:textId="0112399B" w:rsidR="00572EE6" w:rsidRPr="00F1283B" w:rsidRDefault="00AA3410" w:rsidP="00572EE6">
      <w:pPr>
        <w:rPr>
          <w:i/>
          <w:iCs/>
          <w:sz w:val="22"/>
          <w:szCs w:val="22"/>
        </w:rPr>
      </w:pPr>
      <w:r>
        <w:rPr>
          <w:i/>
          <w:iCs/>
          <w:sz w:val="22"/>
          <w:szCs w:val="22"/>
        </w:rPr>
        <w:t>“</w:t>
      </w:r>
      <w:r w:rsidR="00572EE6" w:rsidRPr="00F1283B">
        <w:rPr>
          <w:i/>
          <w:iCs/>
          <w:sz w:val="22"/>
          <w:szCs w:val="22"/>
        </w:rPr>
        <w:t>Actualmente la suscripción de los respectivos contratos derivados de la SUVCP de suministro se realiza entre el titular de las cantidades de energía no nominadas para el siguiente día de gas y el respectivo comprador de corto plazo.</w:t>
      </w:r>
      <w:r>
        <w:rPr>
          <w:i/>
          <w:iCs/>
          <w:sz w:val="22"/>
          <w:szCs w:val="22"/>
        </w:rPr>
        <w:t>”</w:t>
      </w:r>
    </w:p>
    <w:p w14:paraId="40DA0B90" w14:textId="77777777" w:rsidR="00C816F4" w:rsidRPr="00F1283B" w:rsidRDefault="00C816F4" w:rsidP="00572EE6">
      <w:pPr>
        <w:rPr>
          <w:sz w:val="22"/>
          <w:szCs w:val="22"/>
        </w:rPr>
      </w:pPr>
    </w:p>
    <w:p w14:paraId="22BC4A42" w14:textId="77777777" w:rsidR="0082782F" w:rsidRPr="00F1283B" w:rsidRDefault="0082782F" w:rsidP="0082782F">
      <w:pPr>
        <w:rPr>
          <w:b/>
          <w:bCs/>
          <w:sz w:val="22"/>
          <w:szCs w:val="22"/>
        </w:rPr>
      </w:pPr>
      <w:r w:rsidRPr="00F1283B">
        <w:rPr>
          <w:b/>
          <w:bCs/>
          <w:sz w:val="22"/>
          <w:szCs w:val="22"/>
        </w:rPr>
        <w:t>Respuesta:</w:t>
      </w:r>
    </w:p>
    <w:p w14:paraId="2C79939B" w14:textId="77777777" w:rsidR="0082782F" w:rsidRPr="00F1283B" w:rsidRDefault="0082782F" w:rsidP="0082782F">
      <w:pPr>
        <w:rPr>
          <w:sz w:val="22"/>
          <w:szCs w:val="22"/>
        </w:rPr>
      </w:pPr>
    </w:p>
    <w:p w14:paraId="4F205BAD" w14:textId="77777777" w:rsidR="0082782F" w:rsidRPr="00F1283B" w:rsidRDefault="0082782F" w:rsidP="0082782F">
      <w:pPr>
        <w:rPr>
          <w:sz w:val="22"/>
          <w:szCs w:val="22"/>
        </w:rPr>
      </w:pPr>
      <w:r w:rsidRPr="00F1283B">
        <w:rPr>
          <w:sz w:val="22"/>
          <w:szCs w:val="22"/>
        </w:rPr>
        <w:t>Se acoge el comentario.</w:t>
      </w:r>
    </w:p>
    <w:p w14:paraId="2769E8CC" w14:textId="77777777" w:rsidR="0082782F" w:rsidRPr="00F1283B" w:rsidRDefault="0082782F" w:rsidP="0082782F">
      <w:pPr>
        <w:rPr>
          <w:sz w:val="22"/>
          <w:szCs w:val="22"/>
        </w:rPr>
      </w:pPr>
    </w:p>
    <w:p w14:paraId="251491A2" w14:textId="4D65EDFA" w:rsidR="0082782F" w:rsidRPr="00F1283B" w:rsidRDefault="0082782F" w:rsidP="0082782F">
      <w:pPr>
        <w:rPr>
          <w:sz w:val="22"/>
          <w:szCs w:val="22"/>
        </w:rPr>
      </w:pPr>
      <w:r w:rsidRPr="00F1283B">
        <w:rPr>
          <w:sz w:val="22"/>
          <w:szCs w:val="22"/>
        </w:rPr>
        <w:t xml:space="preserve">En la nueva propuesta se mantiene lo actualmente establecido respecto </w:t>
      </w:r>
      <w:r>
        <w:rPr>
          <w:sz w:val="22"/>
          <w:szCs w:val="22"/>
        </w:rPr>
        <w:t>a las partes que suscriben el contrato del mercado Secundario</w:t>
      </w:r>
      <w:r w:rsidRPr="00F1283B">
        <w:rPr>
          <w:sz w:val="22"/>
          <w:szCs w:val="22"/>
        </w:rPr>
        <w:t>.</w:t>
      </w:r>
    </w:p>
    <w:p w14:paraId="4CAB5BF1" w14:textId="77777777" w:rsidR="00F1283B" w:rsidRDefault="00F1283B" w:rsidP="00572EE6"/>
    <w:p w14:paraId="7998C3EF" w14:textId="77777777" w:rsidR="00F1283B" w:rsidRDefault="00F1283B" w:rsidP="00572EE6"/>
    <w:p w14:paraId="0D974FAB" w14:textId="77777777" w:rsidR="00C816F4" w:rsidRDefault="00572EE6" w:rsidP="00C816F4">
      <w:pPr>
        <w:pStyle w:val="Ttulo2"/>
      </w:pPr>
      <w:bookmarkStart w:id="964" w:name="_Toc140506531"/>
      <w:r>
        <w:t>GASES DE LA GUAJIRA</w:t>
      </w:r>
      <w:bookmarkEnd w:id="964"/>
      <w:r>
        <w:tab/>
      </w:r>
    </w:p>
    <w:p w14:paraId="4CA9172A" w14:textId="77777777" w:rsidR="00C816F4" w:rsidRDefault="00C816F4" w:rsidP="00C816F4">
      <w:pPr>
        <w:pStyle w:val="Ttulo4"/>
      </w:pPr>
      <w:bookmarkStart w:id="965" w:name="_Ref133323047"/>
      <w:r>
        <w:t>GASES DE LA GUAJIRA</w:t>
      </w:r>
      <w:bookmarkEnd w:id="965"/>
      <w:r>
        <w:tab/>
      </w:r>
    </w:p>
    <w:p w14:paraId="01433869" w14:textId="17B4C932" w:rsidR="00572EE6" w:rsidRPr="0082782F" w:rsidRDefault="00572EE6" w:rsidP="00572EE6">
      <w:pPr>
        <w:rPr>
          <w:i/>
          <w:iCs/>
          <w:sz w:val="22"/>
          <w:szCs w:val="22"/>
        </w:rPr>
      </w:pPr>
      <w:r w:rsidRPr="00F1283B">
        <w:rPr>
          <w:sz w:val="22"/>
          <w:szCs w:val="22"/>
        </w:rPr>
        <w:t>"</w:t>
      </w:r>
      <w:r w:rsidRPr="0082782F">
        <w:rPr>
          <w:i/>
          <w:iCs/>
          <w:sz w:val="22"/>
          <w:szCs w:val="22"/>
        </w:rPr>
        <w:t>Dentro del documento soporte, no existe un análisis de las razones por las cuales este mecanismo no ha dado sus frutos, lo cual sería deseable para evaluar las alternativas y medidas a tomar.</w:t>
      </w:r>
    </w:p>
    <w:p w14:paraId="0AD7B2A5" w14:textId="77777777" w:rsidR="00572EE6" w:rsidRPr="0082782F" w:rsidRDefault="00572EE6" w:rsidP="00572EE6">
      <w:pPr>
        <w:rPr>
          <w:i/>
          <w:iCs/>
          <w:sz w:val="22"/>
          <w:szCs w:val="22"/>
        </w:rPr>
      </w:pPr>
    </w:p>
    <w:p w14:paraId="0FED14A6" w14:textId="77777777" w:rsidR="00572EE6" w:rsidRPr="0082782F" w:rsidRDefault="00572EE6" w:rsidP="00572EE6">
      <w:pPr>
        <w:rPr>
          <w:i/>
          <w:iCs/>
          <w:sz w:val="22"/>
          <w:szCs w:val="22"/>
        </w:rPr>
      </w:pPr>
      <w:r w:rsidRPr="0082782F">
        <w:rPr>
          <w:i/>
          <w:iCs/>
          <w:sz w:val="22"/>
          <w:szCs w:val="22"/>
        </w:rPr>
        <w:t>Puede afirmarse que los resultados de este proceso deberían ser obligatorios, y en ese sentido, la negativa a suscribir los acuerdos, debería ser un incumplimiento de la regulación, susceptible de ser sancionado por la SSPD.</w:t>
      </w:r>
    </w:p>
    <w:p w14:paraId="153DE5D5" w14:textId="77777777" w:rsidR="00572EE6" w:rsidRPr="0082782F" w:rsidRDefault="00572EE6" w:rsidP="00572EE6">
      <w:pPr>
        <w:rPr>
          <w:i/>
          <w:iCs/>
          <w:sz w:val="22"/>
          <w:szCs w:val="22"/>
        </w:rPr>
      </w:pPr>
    </w:p>
    <w:p w14:paraId="02A6DD15" w14:textId="77777777" w:rsidR="00572EE6" w:rsidRPr="0082782F" w:rsidRDefault="00572EE6" w:rsidP="00572EE6">
      <w:pPr>
        <w:rPr>
          <w:i/>
          <w:iCs/>
          <w:sz w:val="22"/>
          <w:szCs w:val="22"/>
        </w:rPr>
      </w:pPr>
      <w:r w:rsidRPr="0082782F">
        <w:rPr>
          <w:i/>
          <w:iCs/>
          <w:sz w:val="22"/>
          <w:szCs w:val="22"/>
        </w:rPr>
        <w:t>Los agentes no sujetos de regulación, como los usuarios no regulados, deben tener previamente una póliza de seriedad, que permita que el mercado realmente funcione."</w:t>
      </w:r>
    </w:p>
    <w:p w14:paraId="0AFD76FC" w14:textId="77777777" w:rsidR="0082782F" w:rsidRDefault="0082782F" w:rsidP="00572EE6">
      <w:pPr>
        <w:rPr>
          <w:sz w:val="22"/>
          <w:szCs w:val="22"/>
        </w:rPr>
      </w:pPr>
    </w:p>
    <w:p w14:paraId="46EA24CE" w14:textId="4B901B8A" w:rsidR="0082782F" w:rsidRPr="0082782F" w:rsidRDefault="0082782F" w:rsidP="00572EE6">
      <w:pPr>
        <w:rPr>
          <w:b/>
          <w:bCs/>
          <w:sz w:val="22"/>
          <w:szCs w:val="22"/>
        </w:rPr>
      </w:pPr>
      <w:r w:rsidRPr="0082782F">
        <w:rPr>
          <w:b/>
          <w:bCs/>
          <w:sz w:val="22"/>
          <w:szCs w:val="22"/>
        </w:rPr>
        <w:t>Respuesta:</w:t>
      </w:r>
    </w:p>
    <w:p w14:paraId="4D5BE1AE" w14:textId="77777777" w:rsidR="0082782F" w:rsidRDefault="0082782F" w:rsidP="00572EE6">
      <w:pPr>
        <w:rPr>
          <w:sz w:val="22"/>
          <w:szCs w:val="22"/>
        </w:rPr>
      </w:pPr>
    </w:p>
    <w:p w14:paraId="323F73C6" w14:textId="7F4B3FAC" w:rsidR="0082782F" w:rsidRDefault="0060559E" w:rsidP="00572EE6">
      <w:pPr>
        <w:rPr>
          <w:sz w:val="22"/>
          <w:szCs w:val="22"/>
        </w:rPr>
      </w:pPr>
      <w:r>
        <w:rPr>
          <w:sz w:val="22"/>
          <w:szCs w:val="22"/>
        </w:rPr>
        <w:t>En la propuesta no se hacen modificaciones al mecanismo de comercialización de la subasta Úselo o Véndalo de Corto Plazo</w:t>
      </w:r>
      <w:r w:rsidR="00700FF4">
        <w:rPr>
          <w:sz w:val="22"/>
          <w:szCs w:val="22"/>
        </w:rPr>
        <w:t xml:space="preserve"> - </w:t>
      </w:r>
      <w:proofErr w:type="spellStart"/>
      <w:r w:rsidR="00700FF4">
        <w:rPr>
          <w:sz w:val="22"/>
          <w:szCs w:val="22"/>
        </w:rPr>
        <w:t>UoVCP</w:t>
      </w:r>
      <w:proofErr w:type="spellEnd"/>
      <w:r>
        <w:rPr>
          <w:sz w:val="22"/>
          <w:szCs w:val="22"/>
        </w:rPr>
        <w:t xml:space="preserve">. Se han recibido comentarios </w:t>
      </w:r>
      <w:r w:rsidR="00700FF4">
        <w:rPr>
          <w:sz w:val="22"/>
          <w:szCs w:val="22"/>
        </w:rPr>
        <w:t xml:space="preserve">que se señalan en el numeral 2.1.4 del documento CREG D-049 de 2021 publicado con la circular 031 de 2021 de </w:t>
      </w:r>
      <w:r w:rsidR="00700FF4" w:rsidRPr="00700FF4">
        <w:rPr>
          <w:sz w:val="22"/>
          <w:szCs w:val="22"/>
        </w:rPr>
        <w:t>ANÁLISIS DE LA COMERCIALIZACIÓN MAYORISTA DE SUMINISTRO DE GAS NATURAL</w:t>
      </w:r>
      <w:r w:rsidR="00700FF4">
        <w:rPr>
          <w:sz w:val="22"/>
          <w:szCs w:val="22"/>
        </w:rPr>
        <w:t>. Se mencionan altos costos de transacción. Exigir más garantías conlleva a mayores costos de transacción, lo que haría más inefectivo el mecanismo.</w:t>
      </w:r>
    </w:p>
    <w:p w14:paraId="5D06BD18" w14:textId="77777777" w:rsidR="00700FF4" w:rsidRDefault="00700FF4" w:rsidP="00572EE6">
      <w:pPr>
        <w:rPr>
          <w:sz w:val="22"/>
          <w:szCs w:val="22"/>
        </w:rPr>
      </w:pPr>
    </w:p>
    <w:p w14:paraId="6A0E7545" w14:textId="04D67D71" w:rsidR="00700FF4" w:rsidRPr="00F1283B" w:rsidRDefault="00700FF4" w:rsidP="00572EE6">
      <w:pPr>
        <w:rPr>
          <w:sz w:val="22"/>
          <w:szCs w:val="22"/>
        </w:rPr>
      </w:pPr>
      <w:r>
        <w:rPr>
          <w:sz w:val="22"/>
          <w:szCs w:val="22"/>
        </w:rPr>
        <w:t xml:space="preserve">Se espera que la eficacia del mecanismo </w:t>
      </w:r>
      <w:proofErr w:type="spellStart"/>
      <w:r>
        <w:rPr>
          <w:sz w:val="22"/>
          <w:szCs w:val="22"/>
        </w:rPr>
        <w:t>UoVCP</w:t>
      </w:r>
      <w:proofErr w:type="spellEnd"/>
      <w:r>
        <w:rPr>
          <w:sz w:val="22"/>
          <w:szCs w:val="22"/>
        </w:rPr>
        <w:t xml:space="preserve"> se incremente con varias de las medidas establecidas en la nueva propuesta de ajustes y en la nueva regulación por expedir respecto de la fórmula tarifaria general de los usuarios regulados de gas combustible por redes.  </w:t>
      </w:r>
    </w:p>
    <w:p w14:paraId="7D1FAF1E" w14:textId="77777777" w:rsidR="00C816F4" w:rsidRPr="00F1283B" w:rsidRDefault="00C816F4" w:rsidP="00572EE6">
      <w:pPr>
        <w:rPr>
          <w:sz w:val="22"/>
          <w:szCs w:val="22"/>
        </w:rPr>
      </w:pPr>
    </w:p>
    <w:p w14:paraId="3C1CEF5F" w14:textId="77777777" w:rsidR="00C816F4" w:rsidRPr="00F1283B" w:rsidRDefault="00C816F4" w:rsidP="00572EE6">
      <w:pPr>
        <w:rPr>
          <w:sz w:val="22"/>
          <w:szCs w:val="22"/>
        </w:rPr>
      </w:pPr>
    </w:p>
    <w:p w14:paraId="5A9F0503" w14:textId="77777777" w:rsidR="00C816F4" w:rsidRPr="00F1283B" w:rsidRDefault="00572EE6" w:rsidP="00C816F4">
      <w:pPr>
        <w:pStyle w:val="Ttulo2"/>
        <w:rPr>
          <w:sz w:val="22"/>
          <w:szCs w:val="22"/>
        </w:rPr>
      </w:pPr>
      <w:bookmarkStart w:id="966" w:name="_Toc140506532"/>
      <w:r w:rsidRPr="00F1283B">
        <w:rPr>
          <w:sz w:val="22"/>
          <w:szCs w:val="22"/>
        </w:rPr>
        <w:t>GASES DEL CARIBE</w:t>
      </w:r>
      <w:bookmarkEnd w:id="966"/>
      <w:r w:rsidRPr="00F1283B">
        <w:rPr>
          <w:sz w:val="22"/>
          <w:szCs w:val="22"/>
        </w:rPr>
        <w:tab/>
      </w:r>
    </w:p>
    <w:p w14:paraId="2344AACD" w14:textId="77777777" w:rsidR="00C816F4" w:rsidRPr="00F1283B" w:rsidRDefault="00C816F4" w:rsidP="00C816F4">
      <w:pPr>
        <w:pStyle w:val="Ttulo4"/>
        <w:rPr>
          <w:sz w:val="22"/>
          <w:szCs w:val="22"/>
        </w:rPr>
      </w:pPr>
      <w:r w:rsidRPr="00F1283B">
        <w:rPr>
          <w:sz w:val="22"/>
          <w:szCs w:val="22"/>
        </w:rPr>
        <w:t>GASES DEL CARIBE</w:t>
      </w:r>
      <w:r w:rsidRPr="00F1283B">
        <w:rPr>
          <w:sz w:val="22"/>
          <w:szCs w:val="22"/>
        </w:rPr>
        <w:tab/>
      </w:r>
    </w:p>
    <w:p w14:paraId="567C2F67" w14:textId="3D17F1AB" w:rsidR="00572EE6" w:rsidRPr="00700FF4" w:rsidRDefault="00572EE6" w:rsidP="00572EE6">
      <w:pPr>
        <w:rPr>
          <w:i/>
          <w:iCs/>
          <w:sz w:val="22"/>
          <w:szCs w:val="22"/>
        </w:rPr>
      </w:pPr>
      <w:r w:rsidRPr="00F1283B">
        <w:rPr>
          <w:sz w:val="22"/>
          <w:szCs w:val="22"/>
        </w:rPr>
        <w:t>"</w:t>
      </w:r>
      <w:r w:rsidRPr="00700FF4">
        <w:rPr>
          <w:i/>
          <w:iCs/>
          <w:sz w:val="22"/>
          <w:szCs w:val="22"/>
        </w:rPr>
        <w:t>Dentro del documento soporte, no existe un análisis de las razones por las cuales este mecanismo no ha dado sus frutos, lo cual sería deseable para evaluar las alternativas y medidas a tomar.</w:t>
      </w:r>
    </w:p>
    <w:p w14:paraId="75337086" w14:textId="77777777" w:rsidR="00572EE6" w:rsidRPr="00700FF4" w:rsidRDefault="00572EE6" w:rsidP="00572EE6">
      <w:pPr>
        <w:rPr>
          <w:i/>
          <w:iCs/>
          <w:sz w:val="22"/>
          <w:szCs w:val="22"/>
        </w:rPr>
      </w:pPr>
    </w:p>
    <w:p w14:paraId="5170C5A1" w14:textId="77777777" w:rsidR="00572EE6" w:rsidRPr="00700FF4" w:rsidRDefault="00572EE6" w:rsidP="00572EE6">
      <w:pPr>
        <w:rPr>
          <w:i/>
          <w:iCs/>
          <w:sz w:val="22"/>
          <w:szCs w:val="22"/>
        </w:rPr>
      </w:pPr>
      <w:r w:rsidRPr="00700FF4">
        <w:rPr>
          <w:i/>
          <w:iCs/>
          <w:sz w:val="22"/>
          <w:szCs w:val="22"/>
        </w:rPr>
        <w:t>Puede afirmarse que los resultados de este proceso deberían ser obligatorios, y en ese sentido, la negativa a suscribir los acuerdos, debería ser un incumplimiento de la regulación, susceptible de ser sancionado por la SSPD.</w:t>
      </w:r>
    </w:p>
    <w:p w14:paraId="6E5AA28D" w14:textId="77777777" w:rsidR="00572EE6" w:rsidRPr="00700FF4" w:rsidRDefault="00572EE6" w:rsidP="00572EE6">
      <w:pPr>
        <w:rPr>
          <w:i/>
          <w:iCs/>
          <w:sz w:val="22"/>
          <w:szCs w:val="22"/>
        </w:rPr>
      </w:pPr>
    </w:p>
    <w:p w14:paraId="261AFF19" w14:textId="77777777" w:rsidR="00572EE6" w:rsidRDefault="00572EE6" w:rsidP="00572EE6">
      <w:pPr>
        <w:rPr>
          <w:sz w:val="22"/>
          <w:szCs w:val="22"/>
        </w:rPr>
      </w:pPr>
      <w:r w:rsidRPr="00700FF4">
        <w:rPr>
          <w:i/>
          <w:iCs/>
          <w:sz w:val="22"/>
          <w:szCs w:val="22"/>
        </w:rPr>
        <w:t>Los agentes no sujetos de regulación, como los usuarios no regulados, deben tener previamente una póliza de seriedad, que permita que el mercado realmente funcione</w:t>
      </w:r>
      <w:r w:rsidRPr="00F1283B">
        <w:rPr>
          <w:sz w:val="22"/>
          <w:szCs w:val="22"/>
        </w:rPr>
        <w:t>."</w:t>
      </w:r>
    </w:p>
    <w:p w14:paraId="463FF918" w14:textId="77777777" w:rsidR="00700FF4" w:rsidRDefault="00700FF4" w:rsidP="00572EE6">
      <w:pPr>
        <w:rPr>
          <w:sz w:val="22"/>
          <w:szCs w:val="22"/>
        </w:rPr>
      </w:pPr>
    </w:p>
    <w:p w14:paraId="62F06783" w14:textId="71EFDC33" w:rsidR="00700FF4" w:rsidRPr="00700FF4" w:rsidRDefault="00700FF4" w:rsidP="00572EE6">
      <w:pPr>
        <w:rPr>
          <w:b/>
          <w:bCs/>
          <w:sz w:val="22"/>
          <w:szCs w:val="22"/>
        </w:rPr>
      </w:pPr>
      <w:r w:rsidRPr="00700FF4">
        <w:rPr>
          <w:b/>
          <w:bCs/>
          <w:sz w:val="22"/>
          <w:szCs w:val="22"/>
        </w:rPr>
        <w:t>Respuesta:</w:t>
      </w:r>
    </w:p>
    <w:p w14:paraId="2D3C703C" w14:textId="77777777" w:rsidR="00700FF4" w:rsidRDefault="00700FF4" w:rsidP="00572EE6">
      <w:pPr>
        <w:rPr>
          <w:sz w:val="22"/>
          <w:szCs w:val="22"/>
        </w:rPr>
      </w:pPr>
    </w:p>
    <w:p w14:paraId="62FCEB91" w14:textId="7B020B82" w:rsidR="00700FF4" w:rsidRPr="00F1283B" w:rsidRDefault="004635E0" w:rsidP="00572EE6">
      <w:pPr>
        <w:rPr>
          <w:sz w:val="22"/>
          <w:szCs w:val="22"/>
        </w:rPr>
      </w:pPr>
      <w:r>
        <w:rPr>
          <w:sz w:val="22"/>
          <w:szCs w:val="22"/>
        </w:rPr>
        <w:t xml:space="preserve">Ver respuesta a </w:t>
      </w:r>
      <w:r>
        <w:rPr>
          <w:sz w:val="22"/>
          <w:szCs w:val="22"/>
        </w:rPr>
        <w:fldChar w:fldCharType="begin"/>
      </w:r>
      <w:r>
        <w:rPr>
          <w:sz w:val="22"/>
          <w:szCs w:val="22"/>
        </w:rPr>
        <w:instrText xml:space="preserve"> REF _Ref133323047 \r \h </w:instrText>
      </w:r>
      <w:r>
        <w:rPr>
          <w:sz w:val="22"/>
          <w:szCs w:val="22"/>
        </w:rPr>
      </w:r>
      <w:r>
        <w:rPr>
          <w:sz w:val="22"/>
          <w:szCs w:val="22"/>
        </w:rPr>
        <w:fldChar w:fldCharType="separate"/>
      </w:r>
      <w:r>
        <w:rPr>
          <w:sz w:val="22"/>
          <w:szCs w:val="22"/>
        </w:rPr>
        <w:t>31.3.1.1</w:t>
      </w:r>
      <w:r>
        <w:rPr>
          <w:sz w:val="22"/>
          <w:szCs w:val="22"/>
        </w:rPr>
        <w:fldChar w:fldCharType="end"/>
      </w:r>
      <w:r>
        <w:rPr>
          <w:sz w:val="22"/>
          <w:szCs w:val="22"/>
        </w:rPr>
        <w:t>.</w:t>
      </w:r>
    </w:p>
    <w:p w14:paraId="3137E0DE" w14:textId="77777777" w:rsidR="00C816F4" w:rsidRPr="00F1283B" w:rsidRDefault="00C816F4" w:rsidP="00572EE6">
      <w:pPr>
        <w:rPr>
          <w:sz w:val="22"/>
          <w:szCs w:val="22"/>
        </w:rPr>
      </w:pPr>
    </w:p>
    <w:p w14:paraId="556017F0" w14:textId="77777777" w:rsidR="00C816F4" w:rsidRPr="00F1283B" w:rsidRDefault="00C816F4" w:rsidP="00572EE6">
      <w:pPr>
        <w:rPr>
          <w:sz w:val="22"/>
          <w:szCs w:val="22"/>
        </w:rPr>
      </w:pPr>
    </w:p>
    <w:p w14:paraId="60B51240" w14:textId="77777777" w:rsidR="00C816F4" w:rsidRPr="00F1283B" w:rsidRDefault="00572EE6" w:rsidP="00C816F4">
      <w:pPr>
        <w:pStyle w:val="Ttulo2"/>
        <w:rPr>
          <w:sz w:val="22"/>
          <w:szCs w:val="22"/>
        </w:rPr>
      </w:pPr>
      <w:bookmarkStart w:id="967" w:name="_Toc140506533"/>
      <w:r w:rsidRPr="00F1283B">
        <w:rPr>
          <w:sz w:val="22"/>
          <w:szCs w:val="22"/>
        </w:rPr>
        <w:t>ISAGEN</w:t>
      </w:r>
      <w:bookmarkEnd w:id="967"/>
      <w:r w:rsidRPr="00F1283B">
        <w:rPr>
          <w:sz w:val="22"/>
          <w:szCs w:val="22"/>
        </w:rPr>
        <w:tab/>
      </w:r>
    </w:p>
    <w:p w14:paraId="39AE67A8" w14:textId="77777777" w:rsidR="00C816F4" w:rsidRPr="00F1283B" w:rsidRDefault="00C816F4" w:rsidP="00C816F4">
      <w:pPr>
        <w:pStyle w:val="Ttulo4"/>
        <w:rPr>
          <w:sz w:val="22"/>
          <w:szCs w:val="22"/>
        </w:rPr>
      </w:pPr>
      <w:r w:rsidRPr="00F1283B">
        <w:rPr>
          <w:sz w:val="22"/>
          <w:szCs w:val="22"/>
        </w:rPr>
        <w:t>ISAGEN</w:t>
      </w:r>
      <w:r w:rsidRPr="00F1283B">
        <w:rPr>
          <w:sz w:val="22"/>
          <w:szCs w:val="22"/>
        </w:rPr>
        <w:tab/>
      </w:r>
    </w:p>
    <w:p w14:paraId="74B92FEE" w14:textId="6283432D" w:rsidR="00572EE6" w:rsidRPr="004635E0" w:rsidRDefault="00572EE6" w:rsidP="00572EE6">
      <w:pPr>
        <w:rPr>
          <w:i/>
          <w:iCs/>
          <w:sz w:val="22"/>
          <w:szCs w:val="22"/>
        </w:rPr>
      </w:pPr>
      <w:proofErr w:type="gramStart"/>
      <w:r w:rsidRPr="004635E0">
        <w:rPr>
          <w:i/>
          <w:iCs/>
          <w:sz w:val="22"/>
          <w:szCs w:val="22"/>
        </w:rPr>
        <w:t>Aclarar</w:t>
      </w:r>
      <w:proofErr w:type="gramEnd"/>
      <w:r w:rsidRPr="004635E0">
        <w:rPr>
          <w:i/>
          <w:iCs/>
          <w:sz w:val="22"/>
          <w:szCs w:val="22"/>
        </w:rPr>
        <w:t xml:space="preserve"> que se refiere al Anexo 4.</w:t>
      </w:r>
    </w:p>
    <w:p w14:paraId="10AF84B3" w14:textId="77777777" w:rsidR="004635E0" w:rsidRDefault="004635E0" w:rsidP="00572EE6">
      <w:pPr>
        <w:rPr>
          <w:sz w:val="22"/>
          <w:szCs w:val="22"/>
        </w:rPr>
      </w:pPr>
    </w:p>
    <w:p w14:paraId="00045FA7" w14:textId="253135BA" w:rsidR="004635E0" w:rsidRPr="004635E0" w:rsidRDefault="004635E0" w:rsidP="00572EE6">
      <w:pPr>
        <w:rPr>
          <w:b/>
          <w:bCs/>
          <w:sz w:val="22"/>
          <w:szCs w:val="22"/>
        </w:rPr>
      </w:pPr>
      <w:r w:rsidRPr="004635E0">
        <w:rPr>
          <w:b/>
          <w:bCs/>
          <w:sz w:val="22"/>
          <w:szCs w:val="22"/>
        </w:rPr>
        <w:t>Respuesta:</w:t>
      </w:r>
    </w:p>
    <w:p w14:paraId="170780FC" w14:textId="77777777" w:rsidR="004635E0" w:rsidRDefault="004635E0" w:rsidP="00572EE6">
      <w:pPr>
        <w:rPr>
          <w:sz w:val="22"/>
          <w:szCs w:val="22"/>
        </w:rPr>
      </w:pPr>
    </w:p>
    <w:p w14:paraId="183135B3" w14:textId="1B6744FF" w:rsidR="004635E0" w:rsidRPr="00F1283B" w:rsidRDefault="00492582" w:rsidP="00572EE6">
      <w:pPr>
        <w:rPr>
          <w:sz w:val="22"/>
          <w:szCs w:val="22"/>
        </w:rPr>
      </w:pPr>
      <w:r>
        <w:rPr>
          <w:sz w:val="22"/>
          <w:szCs w:val="22"/>
        </w:rPr>
        <w:t xml:space="preserve">Ver respuesta a </w:t>
      </w:r>
      <w:r>
        <w:rPr>
          <w:sz w:val="22"/>
          <w:szCs w:val="22"/>
        </w:rPr>
        <w:fldChar w:fldCharType="begin"/>
      </w:r>
      <w:r>
        <w:rPr>
          <w:sz w:val="22"/>
          <w:szCs w:val="22"/>
        </w:rPr>
        <w:instrText xml:space="preserve"> REF _Ref133323463 \r \h </w:instrText>
      </w:r>
      <w:r>
        <w:rPr>
          <w:sz w:val="22"/>
          <w:szCs w:val="22"/>
        </w:rPr>
      </w:r>
      <w:r>
        <w:rPr>
          <w:sz w:val="22"/>
          <w:szCs w:val="22"/>
        </w:rPr>
        <w:fldChar w:fldCharType="separate"/>
      </w:r>
      <w:r>
        <w:rPr>
          <w:sz w:val="22"/>
          <w:szCs w:val="22"/>
        </w:rPr>
        <w:t>31.1.1.1</w:t>
      </w:r>
      <w:r>
        <w:rPr>
          <w:sz w:val="22"/>
          <w:szCs w:val="22"/>
        </w:rPr>
        <w:fldChar w:fldCharType="end"/>
      </w:r>
      <w:r>
        <w:rPr>
          <w:sz w:val="22"/>
          <w:szCs w:val="22"/>
        </w:rPr>
        <w:t>.</w:t>
      </w:r>
    </w:p>
    <w:p w14:paraId="56045E64" w14:textId="77777777" w:rsidR="00C816F4" w:rsidRPr="00F1283B" w:rsidRDefault="00C816F4" w:rsidP="00572EE6">
      <w:pPr>
        <w:rPr>
          <w:sz w:val="22"/>
          <w:szCs w:val="22"/>
        </w:rPr>
      </w:pPr>
    </w:p>
    <w:p w14:paraId="7C519D92" w14:textId="77777777" w:rsidR="00C816F4" w:rsidRPr="00F1283B" w:rsidRDefault="00C816F4" w:rsidP="00572EE6">
      <w:pPr>
        <w:rPr>
          <w:sz w:val="22"/>
          <w:szCs w:val="22"/>
        </w:rPr>
      </w:pPr>
    </w:p>
    <w:p w14:paraId="25B4B7C3" w14:textId="77777777" w:rsidR="00C816F4" w:rsidRPr="00F1283B" w:rsidRDefault="00572EE6" w:rsidP="00C816F4">
      <w:pPr>
        <w:pStyle w:val="Ttulo2"/>
        <w:rPr>
          <w:sz w:val="22"/>
          <w:szCs w:val="22"/>
        </w:rPr>
      </w:pPr>
      <w:bookmarkStart w:id="968" w:name="_Toc140506534"/>
      <w:r w:rsidRPr="00F1283B">
        <w:rPr>
          <w:sz w:val="22"/>
          <w:szCs w:val="22"/>
        </w:rPr>
        <w:t>MC2 S.A. E.S.P.</w:t>
      </w:r>
      <w:bookmarkEnd w:id="968"/>
      <w:r w:rsidRPr="00F1283B">
        <w:rPr>
          <w:sz w:val="22"/>
          <w:szCs w:val="22"/>
        </w:rPr>
        <w:tab/>
      </w:r>
    </w:p>
    <w:p w14:paraId="6051B72B" w14:textId="77777777" w:rsidR="00C816F4" w:rsidRPr="00F1283B" w:rsidRDefault="00C816F4" w:rsidP="00C816F4">
      <w:pPr>
        <w:pStyle w:val="Ttulo4"/>
        <w:rPr>
          <w:sz w:val="22"/>
          <w:szCs w:val="22"/>
        </w:rPr>
      </w:pPr>
      <w:bookmarkStart w:id="969" w:name="_Ref133326631"/>
      <w:r w:rsidRPr="00F1283B">
        <w:rPr>
          <w:sz w:val="22"/>
          <w:szCs w:val="22"/>
        </w:rPr>
        <w:t>MC2 S.A. E.S.P.</w:t>
      </w:r>
      <w:bookmarkEnd w:id="969"/>
      <w:r w:rsidRPr="00F1283B">
        <w:rPr>
          <w:sz w:val="22"/>
          <w:szCs w:val="22"/>
        </w:rPr>
        <w:tab/>
      </w:r>
    </w:p>
    <w:p w14:paraId="7F70B318" w14:textId="3A2FF6FF" w:rsidR="00572EE6" w:rsidRPr="00492582" w:rsidRDefault="00572EE6" w:rsidP="00572EE6">
      <w:pPr>
        <w:rPr>
          <w:i/>
          <w:iCs/>
          <w:sz w:val="22"/>
          <w:szCs w:val="22"/>
        </w:rPr>
      </w:pPr>
      <w:r w:rsidRPr="00F1283B">
        <w:rPr>
          <w:sz w:val="22"/>
          <w:szCs w:val="22"/>
        </w:rPr>
        <w:t>"</w:t>
      </w:r>
      <w:r w:rsidRPr="00492582">
        <w:rPr>
          <w:i/>
          <w:iCs/>
          <w:sz w:val="22"/>
          <w:szCs w:val="22"/>
        </w:rPr>
        <w:t xml:space="preserve">El numeral 1 del artículo 35 establece que </w:t>
      </w:r>
      <w:r w:rsidR="000C76D5">
        <w:rPr>
          <w:i/>
          <w:iCs/>
          <w:sz w:val="22"/>
          <w:szCs w:val="22"/>
        </w:rPr>
        <w:t>‘</w:t>
      </w:r>
      <w:r w:rsidRPr="00492582">
        <w:rPr>
          <w:i/>
          <w:iCs/>
          <w:sz w:val="22"/>
          <w:szCs w:val="22"/>
        </w:rPr>
        <w:t xml:space="preserve">Declaración de las cantidades disponibles. A más tardar a las 15:55 horas del Día D-1, los Vendedores del Mercado Primario declararán, al </w:t>
      </w:r>
      <w:r w:rsidR="005114C6" w:rsidRPr="00492582">
        <w:rPr>
          <w:i/>
          <w:iCs/>
          <w:sz w:val="22"/>
          <w:szCs w:val="22"/>
        </w:rPr>
        <w:t>Gestor del Mercado</w:t>
      </w:r>
      <w:r w:rsidRPr="00492582">
        <w:rPr>
          <w:i/>
          <w:iCs/>
          <w:sz w:val="22"/>
          <w:szCs w:val="22"/>
        </w:rPr>
        <w:t>, los titulares de los derechos de suministro del gas natural contratado, bajo las modalidades de contratos firmes, firmes CF80, en el 80% de la cantidad contratada, firmes CF95, en el 95% de la cantidad contratada), de firmeza condicionada, que no haya sido nominado para el siguiente día de gas, las respectivas cantidades de gas no nominado y los correspondientes puntos de entrega de dicho gas pactados en los contratos. Esta declaración deberá presentarse de acuerdo con lo señalado en el numeral 5.4 del Anexo de la presente Resolución.</w:t>
      </w:r>
      <w:r w:rsidR="000C76D5">
        <w:rPr>
          <w:i/>
          <w:iCs/>
          <w:sz w:val="22"/>
          <w:szCs w:val="22"/>
        </w:rPr>
        <w:t>’</w:t>
      </w:r>
      <w:r w:rsidRPr="00492582">
        <w:rPr>
          <w:i/>
          <w:iCs/>
          <w:sz w:val="22"/>
          <w:szCs w:val="22"/>
        </w:rPr>
        <w:t xml:space="preserve"> </w:t>
      </w:r>
    </w:p>
    <w:p w14:paraId="2193A6D1" w14:textId="77777777" w:rsidR="00572EE6" w:rsidRPr="00492582" w:rsidRDefault="00572EE6" w:rsidP="00572EE6">
      <w:pPr>
        <w:rPr>
          <w:i/>
          <w:iCs/>
          <w:sz w:val="22"/>
          <w:szCs w:val="22"/>
        </w:rPr>
      </w:pPr>
    </w:p>
    <w:p w14:paraId="41857E28" w14:textId="77777777" w:rsidR="00C816F4" w:rsidRPr="00492582" w:rsidRDefault="00572EE6" w:rsidP="00572EE6">
      <w:pPr>
        <w:rPr>
          <w:i/>
          <w:iCs/>
          <w:sz w:val="22"/>
          <w:szCs w:val="22"/>
        </w:rPr>
      </w:pPr>
      <w:r w:rsidRPr="00492582">
        <w:rPr>
          <w:i/>
          <w:iCs/>
          <w:sz w:val="22"/>
          <w:szCs w:val="22"/>
        </w:rPr>
        <w:t xml:space="preserve">De acuerdo con lo anterior ¿debe entenderse que los titulares de derechos de gas natural bajo las modalidades mencionadas en el artículo pierden su derecho a realizar </w:t>
      </w:r>
      <w:proofErr w:type="spellStart"/>
      <w:r w:rsidRPr="00492582">
        <w:rPr>
          <w:i/>
          <w:iCs/>
          <w:sz w:val="22"/>
          <w:szCs w:val="22"/>
        </w:rPr>
        <w:t>renominaciones</w:t>
      </w:r>
      <w:proofErr w:type="spellEnd"/>
      <w:r w:rsidRPr="00492582">
        <w:rPr>
          <w:i/>
          <w:iCs/>
          <w:sz w:val="22"/>
          <w:szCs w:val="22"/>
        </w:rPr>
        <w:t>? Teniendo en cuenta que las cantidades exced</w:t>
      </w:r>
      <w:r w:rsidR="00C816F4" w:rsidRPr="00492582">
        <w:rPr>
          <w:i/>
          <w:iCs/>
          <w:sz w:val="22"/>
          <w:szCs w:val="22"/>
        </w:rPr>
        <w:t>e</w:t>
      </w:r>
      <w:r w:rsidRPr="00492582">
        <w:rPr>
          <w:i/>
          <w:iCs/>
          <w:sz w:val="22"/>
          <w:szCs w:val="22"/>
        </w:rPr>
        <w:t xml:space="preserve">ntarias deben ponerse a disposición del mercado, en caso de que respecto de esas cantidades haya una adjudicación, por la venta no será posible </w:t>
      </w:r>
      <w:proofErr w:type="spellStart"/>
      <w:r w:rsidRPr="00492582">
        <w:rPr>
          <w:i/>
          <w:iCs/>
          <w:sz w:val="22"/>
          <w:szCs w:val="22"/>
        </w:rPr>
        <w:t>renominar</w:t>
      </w:r>
      <w:proofErr w:type="spellEnd"/>
      <w:r w:rsidRPr="00492582">
        <w:rPr>
          <w:i/>
          <w:iCs/>
          <w:sz w:val="22"/>
          <w:szCs w:val="22"/>
        </w:rPr>
        <w:t xml:space="preserve"> cantidades de gas hasta las cantidades contratada. Sí lo podr</w:t>
      </w:r>
      <w:r w:rsidR="00C816F4" w:rsidRPr="00492582">
        <w:rPr>
          <w:i/>
          <w:iCs/>
          <w:sz w:val="22"/>
          <w:szCs w:val="22"/>
        </w:rPr>
        <w:t xml:space="preserve">á </w:t>
      </w:r>
      <w:r w:rsidRPr="00492582">
        <w:rPr>
          <w:i/>
          <w:iCs/>
          <w:sz w:val="22"/>
          <w:szCs w:val="22"/>
        </w:rPr>
        <w:t xml:space="preserve">hacer para cantidades menores a las contratadas. </w:t>
      </w:r>
    </w:p>
    <w:p w14:paraId="41043B39" w14:textId="77777777" w:rsidR="00C816F4" w:rsidRPr="00492582" w:rsidRDefault="00C816F4" w:rsidP="00572EE6">
      <w:pPr>
        <w:rPr>
          <w:i/>
          <w:iCs/>
          <w:sz w:val="22"/>
          <w:szCs w:val="22"/>
        </w:rPr>
      </w:pPr>
    </w:p>
    <w:p w14:paraId="38736695" w14:textId="3945ACD5" w:rsidR="00572EE6" w:rsidRPr="00492582" w:rsidRDefault="00572EE6" w:rsidP="00572EE6">
      <w:pPr>
        <w:rPr>
          <w:i/>
          <w:iCs/>
          <w:sz w:val="22"/>
          <w:szCs w:val="22"/>
        </w:rPr>
      </w:pPr>
      <w:r w:rsidRPr="00492582">
        <w:rPr>
          <w:i/>
          <w:iCs/>
          <w:sz w:val="22"/>
          <w:szCs w:val="22"/>
        </w:rPr>
        <w:t xml:space="preserve">Esto desdibuja la figura de la </w:t>
      </w:r>
      <w:proofErr w:type="spellStart"/>
      <w:r w:rsidRPr="00492582">
        <w:rPr>
          <w:i/>
          <w:iCs/>
          <w:sz w:val="22"/>
          <w:szCs w:val="22"/>
        </w:rPr>
        <w:t>renominación</w:t>
      </w:r>
      <w:proofErr w:type="spellEnd"/>
      <w:r w:rsidRPr="00492582">
        <w:rPr>
          <w:i/>
          <w:iCs/>
          <w:sz w:val="22"/>
          <w:szCs w:val="22"/>
        </w:rPr>
        <w:t xml:space="preserve">, porque la </w:t>
      </w:r>
      <w:proofErr w:type="spellStart"/>
      <w:r w:rsidRPr="00492582">
        <w:rPr>
          <w:i/>
          <w:iCs/>
          <w:sz w:val="22"/>
          <w:szCs w:val="22"/>
        </w:rPr>
        <w:t>renominación</w:t>
      </w:r>
      <w:proofErr w:type="spellEnd"/>
      <w:r w:rsidRPr="00492582">
        <w:rPr>
          <w:i/>
          <w:iCs/>
          <w:sz w:val="22"/>
          <w:szCs w:val="22"/>
        </w:rPr>
        <w:t xml:space="preserve"> está sujeta al resultado de la subasta."</w:t>
      </w:r>
    </w:p>
    <w:p w14:paraId="0A0D1F45" w14:textId="77777777" w:rsidR="00492582" w:rsidRDefault="00492582" w:rsidP="00572EE6">
      <w:pPr>
        <w:rPr>
          <w:sz w:val="22"/>
          <w:szCs w:val="22"/>
        </w:rPr>
      </w:pPr>
    </w:p>
    <w:p w14:paraId="12B104BB" w14:textId="0DCE2AD9" w:rsidR="00492582" w:rsidRPr="00492582" w:rsidRDefault="00492582" w:rsidP="00572EE6">
      <w:pPr>
        <w:rPr>
          <w:b/>
          <w:bCs/>
          <w:sz w:val="22"/>
          <w:szCs w:val="22"/>
        </w:rPr>
      </w:pPr>
      <w:r w:rsidRPr="00492582">
        <w:rPr>
          <w:b/>
          <w:bCs/>
          <w:sz w:val="22"/>
          <w:szCs w:val="22"/>
        </w:rPr>
        <w:t>Respuesta:</w:t>
      </w:r>
    </w:p>
    <w:p w14:paraId="14214115" w14:textId="77777777" w:rsidR="00492582" w:rsidRDefault="00492582" w:rsidP="00572EE6">
      <w:pPr>
        <w:rPr>
          <w:sz w:val="22"/>
          <w:szCs w:val="22"/>
        </w:rPr>
      </w:pPr>
    </w:p>
    <w:p w14:paraId="2560CD21" w14:textId="01D9645E" w:rsidR="00492582" w:rsidRDefault="00492582" w:rsidP="00572EE6">
      <w:pPr>
        <w:rPr>
          <w:sz w:val="22"/>
          <w:szCs w:val="22"/>
        </w:rPr>
      </w:pPr>
      <w:r>
        <w:rPr>
          <w:sz w:val="22"/>
          <w:szCs w:val="22"/>
        </w:rPr>
        <w:t>En la propuesta publicada en la Resolución CREG 226 de 2021 no se propone ningún ajuste al texto vigente mencionado, solamente se añade la mención de la modalidad CF80</w:t>
      </w:r>
      <w:r w:rsidR="003559DA">
        <w:rPr>
          <w:sz w:val="22"/>
          <w:szCs w:val="22"/>
        </w:rPr>
        <w:t xml:space="preserve"> propuesta</w:t>
      </w:r>
      <w:r>
        <w:rPr>
          <w:sz w:val="22"/>
          <w:szCs w:val="22"/>
        </w:rPr>
        <w:t xml:space="preserve">. </w:t>
      </w:r>
    </w:p>
    <w:p w14:paraId="7C2255D5" w14:textId="77777777" w:rsidR="003559DA" w:rsidRDefault="003559DA" w:rsidP="00572EE6">
      <w:pPr>
        <w:rPr>
          <w:sz w:val="22"/>
          <w:szCs w:val="22"/>
        </w:rPr>
      </w:pPr>
    </w:p>
    <w:p w14:paraId="5CDE6A89" w14:textId="0AD0B601" w:rsidR="003559DA" w:rsidRDefault="003559DA" w:rsidP="00572EE6">
      <w:pPr>
        <w:rPr>
          <w:sz w:val="22"/>
          <w:szCs w:val="22"/>
        </w:rPr>
      </w:pPr>
      <w:r>
        <w:rPr>
          <w:sz w:val="22"/>
          <w:szCs w:val="22"/>
        </w:rPr>
        <w:t xml:space="preserve">La única excepción establecida para la participación de los compradores del Mercado Primario en el mecanismo </w:t>
      </w:r>
      <w:proofErr w:type="spellStart"/>
      <w:r>
        <w:rPr>
          <w:sz w:val="22"/>
          <w:szCs w:val="22"/>
        </w:rPr>
        <w:t>UoVCP</w:t>
      </w:r>
      <w:proofErr w:type="spellEnd"/>
      <w:r>
        <w:rPr>
          <w:sz w:val="22"/>
          <w:szCs w:val="22"/>
        </w:rPr>
        <w:t xml:space="preserve"> como vendedores en dicho mecanismo de las cantidades no nominadas inicialmente, es la contemplada para los </w:t>
      </w:r>
      <w:r w:rsidRPr="003559DA">
        <w:rPr>
          <w:sz w:val="22"/>
          <w:szCs w:val="22"/>
        </w:rPr>
        <w:t xml:space="preserve">generadores térmicos, </w:t>
      </w:r>
      <w:r>
        <w:rPr>
          <w:sz w:val="22"/>
          <w:szCs w:val="22"/>
        </w:rPr>
        <w:t>quienes</w:t>
      </w:r>
      <w:r w:rsidRPr="003559DA">
        <w:rPr>
          <w:sz w:val="22"/>
          <w:szCs w:val="22"/>
        </w:rPr>
        <w:t xml:space="preserve"> deberán informar al Gestor del Mercado qué cantidad no debe ser ofrecida a través del proceso úselo o véndalo de corto plazo para gas natural.</w:t>
      </w:r>
    </w:p>
    <w:p w14:paraId="210DDB23" w14:textId="593E186C" w:rsidR="003559DA" w:rsidRDefault="003559DA" w:rsidP="00572EE6">
      <w:pPr>
        <w:rPr>
          <w:sz w:val="22"/>
          <w:szCs w:val="22"/>
        </w:rPr>
      </w:pPr>
    </w:p>
    <w:p w14:paraId="52BE68A2" w14:textId="77777777" w:rsidR="00492582" w:rsidRPr="00F1283B" w:rsidRDefault="00492582" w:rsidP="00572EE6">
      <w:pPr>
        <w:rPr>
          <w:sz w:val="22"/>
          <w:szCs w:val="22"/>
        </w:rPr>
      </w:pPr>
    </w:p>
    <w:p w14:paraId="5BC7C7E5" w14:textId="77777777" w:rsidR="00C816F4" w:rsidRPr="00F1283B" w:rsidRDefault="00572EE6" w:rsidP="00C816F4">
      <w:pPr>
        <w:pStyle w:val="Ttulo4"/>
        <w:rPr>
          <w:sz w:val="22"/>
          <w:szCs w:val="22"/>
        </w:rPr>
      </w:pPr>
      <w:r w:rsidRPr="00F1283B">
        <w:rPr>
          <w:sz w:val="22"/>
          <w:szCs w:val="22"/>
        </w:rPr>
        <w:t>MC2 S.A. E.S.P.</w:t>
      </w:r>
      <w:r w:rsidRPr="00F1283B">
        <w:rPr>
          <w:sz w:val="22"/>
          <w:szCs w:val="22"/>
        </w:rPr>
        <w:tab/>
      </w:r>
    </w:p>
    <w:p w14:paraId="3E3346FC" w14:textId="7AB20826" w:rsidR="00572EE6" w:rsidRPr="003559DA" w:rsidRDefault="00E91E33" w:rsidP="00572EE6">
      <w:pPr>
        <w:rPr>
          <w:i/>
          <w:iCs/>
          <w:sz w:val="22"/>
          <w:szCs w:val="22"/>
        </w:rPr>
      </w:pPr>
      <w:r>
        <w:rPr>
          <w:i/>
          <w:iCs/>
          <w:sz w:val="22"/>
          <w:szCs w:val="22"/>
        </w:rPr>
        <w:t>“</w:t>
      </w:r>
      <w:r w:rsidR="00572EE6" w:rsidRPr="003559DA">
        <w:rPr>
          <w:i/>
          <w:iCs/>
          <w:sz w:val="22"/>
          <w:szCs w:val="22"/>
        </w:rPr>
        <w:t>Hay un error de redacción en el numeral 4 al hacer referencia al Anexo.</w:t>
      </w:r>
      <w:r>
        <w:rPr>
          <w:i/>
          <w:iCs/>
          <w:sz w:val="22"/>
          <w:szCs w:val="22"/>
        </w:rPr>
        <w:t>”</w:t>
      </w:r>
    </w:p>
    <w:p w14:paraId="443DA58C" w14:textId="77777777" w:rsidR="003559DA" w:rsidRDefault="003559DA" w:rsidP="00572EE6">
      <w:pPr>
        <w:rPr>
          <w:sz w:val="22"/>
          <w:szCs w:val="22"/>
        </w:rPr>
      </w:pPr>
    </w:p>
    <w:p w14:paraId="1AC8A7F8" w14:textId="3FAC5C28" w:rsidR="003559DA" w:rsidRPr="003559DA" w:rsidRDefault="003559DA" w:rsidP="00572EE6">
      <w:pPr>
        <w:rPr>
          <w:b/>
          <w:bCs/>
          <w:sz w:val="22"/>
          <w:szCs w:val="22"/>
        </w:rPr>
      </w:pPr>
      <w:r w:rsidRPr="003559DA">
        <w:rPr>
          <w:b/>
          <w:bCs/>
          <w:sz w:val="22"/>
          <w:szCs w:val="22"/>
        </w:rPr>
        <w:t>Respuesta:</w:t>
      </w:r>
    </w:p>
    <w:p w14:paraId="1F2143BD" w14:textId="77777777" w:rsidR="003559DA" w:rsidRDefault="003559DA" w:rsidP="00572EE6">
      <w:pPr>
        <w:rPr>
          <w:sz w:val="22"/>
          <w:szCs w:val="22"/>
        </w:rPr>
      </w:pPr>
    </w:p>
    <w:p w14:paraId="6260E3AB" w14:textId="77777777" w:rsidR="003559DA" w:rsidRPr="00F1283B" w:rsidRDefault="003559DA" w:rsidP="003559DA">
      <w:pPr>
        <w:rPr>
          <w:sz w:val="22"/>
          <w:szCs w:val="22"/>
        </w:rPr>
      </w:pPr>
      <w:r>
        <w:rPr>
          <w:sz w:val="22"/>
          <w:szCs w:val="22"/>
        </w:rPr>
        <w:t xml:space="preserve">Ver respuesta a </w:t>
      </w:r>
      <w:r>
        <w:rPr>
          <w:sz w:val="22"/>
          <w:szCs w:val="22"/>
        </w:rPr>
        <w:fldChar w:fldCharType="begin"/>
      </w:r>
      <w:r>
        <w:rPr>
          <w:sz w:val="22"/>
          <w:szCs w:val="22"/>
        </w:rPr>
        <w:instrText xml:space="preserve"> REF _Ref133323463 \r \h </w:instrText>
      </w:r>
      <w:r>
        <w:rPr>
          <w:sz w:val="22"/>
          <w:szCs w:val="22"/>
        </w:rPr>
      </w:r>
      <w:r>
        <w:rPr>
          <w:sz w:val="22"/>
          <w:szCs w:val="22"/>
        </w:rPr>
        <w:fldChar w:fldCharType="separate"/>
      </w:r>
      <w:r>
        <w:rPr>
          <w:sz w:val="22"/>
          <w:szCs w:val="22"/>
        </w:rPr>
        <w:t>31.1.1.1</w:t>
      </w:r>
      <w:r>
        <w:rPr>
          <w:sz w:val="22"/>
          <w:szCs w:val="22"/>
        </w:rPr>
        <w:fldChar w:fldCharType="end"/>
      </w:r>
      <w:r>
        <w:rPr>
          <w:sz w:val="22"/>
          <w:szCs w:val="22"/>
        </w:rPr>
        <w:t>.</w:t>
      </w:r>
    </w:p>
    <w:p w14:paraId="0E0A0707" w14:textId="77777777" w:rsidR="003559DA" w:rsidRPr="00F1283B" w:rsidRDefault="003559DA" w:rsidP="00572EE6">
      <w:pPr>
        <w:rPr>
          <w:sz w:val="22"/>
          <w:szCs w:val="22"/>
        </w:rPr>
      </w:pPr>
    </w:p>
    <w:p w14:paraId="05D6DA5D" w14:textId="77777777" w:rsidR="00C816F4" w:rsidRPr="00F1283B" w:rsidRDefault="00C816F4" w:rsidP="00572EE6">
      <w:pPr>
        <w:rPr>
          <w:sz w:val="22"/>
          <w:szCs w:val="22"/>
        </w:rPr>
      </w:pPr>
    </w:p>
    <w:p w14:paraId="402F38D1" w14:textId="77777777" w:rsidR="00C816F4" w:rsidRPr="00F1283B" w:rsidRDefault="00572EE6" w:rsidP="00C816F4">
      <w:pPr>
        <w:pStyle w:val="Ttulo4"/>
        <w:rPr>
          <w:sz w:val="22"/>
          <w:szCs w:val="22"/>
        </w:rPr>
      </w:pPr>
      <w:r w:rsidRPr="00F1283B">
        <w:rPr>
          <w:sz w:val="22"/>
          <w:szCs w:val="22"/>
        </w:rPr>
        <w:t>MC2 S.A. E.S.P.</w:t>
      </w:r>
      <w:r w:rsidRPr="00F1283B">
        <w:rPr>
          <w:sz w:val="22"/>
          <w:szCs w:val="22"/>
        </w:rPr>
        <w:tab/>
      </w:r>
    </w:p>
    <w:p w14:paraId="5036F7C1" w14:textId="6E8DC3F5" w:rsidR="00572EE6" w:rsidRPr="00E91E33" w:rsidRDefault="00E91E33" w:rsidP="00572EE6">
      <w:pPr>
        <w:rPr>
          <w:i/>
          <w:iCs/>
          <w:sz w:val="22"/>
          <w:szCs w:val="22"/>
        </w:rPr>
      </w:pPr>
      <w:r>
        <w:rPr>
          <w:i/>
          <w:iCs/>
          <w:sz w:val="22"/>
          <w:szCs w:val="22"/>
        </w:rPr>
        <w:t>“</w:t>
      </w:r>
      <w:r w:rsidR="00572EE6" w:rsidRPr="00E91E33">
        <w:rPr>
          <w:i/>
          <w:iCs/>
          <w:sz w:val="22"/>
          <w:szCs w:val="22"/>
        </w:rPr>
        <w:t>Hay un error de redacción en el numeral 5 al hacer referencia al Anexo.</w:t>
      </w:r>
      <w:r>
        <w:rPr>
          <w:i/>
          <w:iCs/>
          <w:sz w:val="22"/>
          <w:szCs w:val="22"/>
        </w:rPr>
        <w:t>”</w:t>
      </w:r>
    </w:p>
    <w:p w14:paraId="1F46458E" w14:textId="77777777" w:rsidR="003559DA" w:rsidRDefault="003559DA" w:rsidP="003559DA">
      <w:pPr>
        <w:rPr>
          <w:b/>
          <w:bCs/>
          <w:sz w:val="22"/>
          <w:szCs w:val="22"/>
        </w:rPr>
      </w:pPr>
    </w:p>
    <w:p w14:paraId="78B50259" w14:textId="3CF85E4B" w:rsidR="003559DA" w:rsidRPr="003559DA" w:rsidRDefault="003559DA" w:rsidP="003559DA">
      <w:pPr>
        <w:rPr>
          <w:b/>
          <w:bCs/>
          <w:sz w:val="22"/>
          <w:szCs w:val="22"/>
        </w:rPr>
      </w:pPr>
      <w:r w:rsidRPr="003559DA">
        <w:rPr>
          <w:b/>
          <w:bCs/>
          <w:sz w:val="22"/>
          <w:szCs w:val="22"/>
        </w:rPr>
        <w:t>Respuesta:</w:t>
      </w:r>
    </w:p>
    <w:p w14:paraId="5327F5EF" w14:textId="77777777" w:rsidR="003559DA" w:rsidRDefault="003559DA" w:rsidP="003559DA">
      <w:pPr>
        <w:rPr>
          <w:sz w:val="22"/>
          <w:szCs w:val="22"/>
        </w:rPr>
      </w:pPr>
    </w:p>
    <w:p w14:paraId="3F12B75A" w14:textId="77777777" w:rsidR="003559DA" w:rsidRPr="00F1283B" w:rsidRDefault="003559DA" w:rsidP="003559DA">
      <w:pPr>
        <w:rPr>
          <w:sz w:val="22"/>
          <w:szCs w:val="22"/>
        </w:rPr>
      </w:pPr>
      <w:r>
        <w:rPr>
          <w:sz w:val="22"/>
          <w:szCs w:val="22"/>
        </w:rPr>
        <w:t xml:space="preserve">Ver respuesta a </w:t>
      </w:r>
      <w:r>
        <w:rPr>
          <w:sz w:val="22"/>
          <w:szCs w:val="22"/>
        </w:rPr>
        <w:fldChar w:fldCharType="begin"/>
      </w:r>
      <w:r>
        <w:rPr>
          <w:sz w:val="22"/>
          <w:szCs w:val="22"/>
        </w:rPr>
        <w:instrText xml:space="preserve"> REF _Ref133323463 \r \h </w:instrText>
      </w:r>
      <w:r>
        <w:rPr>
          <w:sz w:val="22"/>
          <w:szCs w:val="22"/>
        </w:rPr>
      </w:r>
      <w:r>
        <w:rPr>
          <w:sz w:val="22"/>
          <w:szCs w:val="22"/>
        </w:rPr>
        <w:fldChar w:fldCharType="separate"/>
      </w:r>
      <w:r>
        <w:rPr>
          <w:sz w:val="22"/>
          <w:szCs w:val="22"/>
        </w:rPr>
        <w:t>31.1.1.1</w:t>
      </w:r>
      <w:r>
        <w:rPr>
          <w:sz w:val="22"/>
          <w:szCs w:val="22"/>
        </w:rPr>
        <w:fldChar w:fldCharType="end"/>
      </w:r>
      <w:r>
        <w:rPr>
          <w:sz w:val="22"/>
          <w:szCs w:val="22"/>
        </w:rPr>
        <w:t>.</w:t>
      </w:r>
    </w:p>
    <w:p w14:paraId="4C10D641" w14:textId="77777777" w:rsidR="003559DA" w:rsidRPr="00F1283B" w:rsidRDefault="003559DA" w:rsidP="003559DA">
      <w:pPr>
        <w:rPr>
          <w:sz w:val="22"/>
          <w:szCs w:val="22"/>
        </w:rPr>
      </w:pPr>
    </w:p>
    <w:p w14:paraId="16B04705" w14:textId="77777777" w:rsidR="00C816F4" w:rsidRPr="00F1283B" w:rsidRDefault="00C816F4" w:rsidP="00572EE6">
      <w:pPr>
        <w:rPr>
          <w:sz w:val="22"/>
          <w:szCs w:val="22"/>
        </w:rPr>
      </w:pPr>
    </w:p>
    <w:p w14:paraId="5F326EA3" w14:textId="77777777" w:rsidR="00C816F4" w:rsidRPr="00F1283B" w:rsidRDefault="00572EE6" w:rsidP="00C816F4">
      <w:pPr>
        <w:pStyle w:val="Ttulo2"/>
        <w:rPr>
          <w:sz w:val="22"/>
          <w:szCs w:val="22"/>
        </w:rPr>
      </w:pPr>
      <w:bookmarkStart w:id="970" w:name="_Toc140506535"/>
      <w:r w:rsidRPr="00F1283B">
        <w:rPr>
          <w:sz w:val="22"/>
          <w:szCs w:val="22"/>
        </w:rPr>
        <w:t>SSPD</w:t>
      </w:r>
      <w:bookmarkEnd w:id="970"/>
      <w:r w:rsidRPr="00F1283B">
        <w:rPr>
          <w:sz w:val="22"/>
          <w:szCs w:val="22"/>
        </w:rPr>
        <w:tab/>
      </w:r>
    </w:p>
    <w:p w14:paraId="689EF58C" w14:textId="77777777" w:rsidR="00C816F4" w:rsidRPr="00F1283B" w:rsidRDefault="00C816F4" w:rsidP="00C816F4">
      <w:pPr>
        <w:pStyle w:val="Ttulo4"/>
        <w:rPr>
          <w:sz w:val="22"/>
          <w:szCs w:val="22"/>
        </w:rPr>
      </w:pPr>
      <w:r w:rsidRPr="00F1283B">
        <w:rPr>
          <w:sz w:val="22"/>
          <w:szCs w:val="22"/>
        </w:rPr>
        <w:t>SSPD</w:t>
      </w:r>
      <w:r w:rsidRPr="00F1283B">
        <w:rPr>
          <w:sz w:val="22"/>
          <w:szCs w:val="22"/>
        </w:rPr>
        <w:tab/>
      </w:r>
    </w:p>
    <w:p w14:paraId="67CB8885" w14:textId="0EA9EF06" w:rsidR="00572EE6" w:rsidRPr="00E91E33" w:rsidRDefault="00E91E33" w:rsidP="00572EE6">
      <w:pPr>
        <w:rPr>
          <w:i/>
          <w:iCs/>
          <w:sz w:val="22"/>
          <w:szCs w:val="22"/>
        </w:rPr>
      </w:pPr>
      <w:r>
        <w:rPr>
          <w:i/>
          <w:iCs/>
          <w:sz w:val="22"/>
          <w:szCs w:val="22"/>
        </w:rPr>
        <w:t>“</w:t>
      </w:r>
      <w:r w:rsidR="00572EE6" w:rsidRPr="00E91E33">
        <w:rPr>
          <w:i/>
          <w:iCs/>
          <w:sz w:val="22"/>
          <w:szCs w:val="22"/>
        </w:rPr>
        <w:t>Es necesario que la Comisión indique a que anexo se est</w:t>
      </w:r>
      <w:r w:rsidR="00C40B0C" w:rsidRPr="00E91E33">
        <w:rPr>
          <w:i/>
          <w:iCs/>
          <w:sz w:val="22"/>
          <w:szCs w:val="22"/>
        </w:rPr>
        <w:t>á</w:t>
      </w:r>
      <w:r w:rsidR="00572EE6" w:rsidRPr="00E91E33">
        <w:rPr>
          <w:i/>
          <w:iCs/>
          <w:sz w:val="22"/>
          <w:szCs w:val="22"/>
        </w:rPr>
        <w:t xml:space="preserve"> haciendo referencia.</w:t>
      </w:r>
      <w:r>
        <w:rPr>
          <w:i/>
          <w:iCs/>
          <w:sz w:val="22"/>
          <w:szCs w:val="22"/>
        </w:rPr>
        <w:t>”</w:t>
      </w:r>
    </w:p>
    <w:p w14:paraId="0D0BC716" w14:textId="77777777" w:rsidR="00C816F4" w:rsidRPr="00F1283B" w:rsidRDefault="00C816F4" w:rsidP="00572EE6">
      <w:pPr>
        <w:rPr>
          <w:sz w:val="22"/>
          <w:szCs w:val="22"/>
        </w:rPr>
      </w:pPr>
    </w:p>
    <w:p w14:paraId="1D61BD22" w14:textId="77777777" w:rsidR="00C40B0C" w:rsidRPr="003559DA" w:rsidRDefault="00C40B0C" w:rsidP="00C40B0C">
      <w:pPr>
        <w:rPr>
          <w:b/>
          <w:bCs/>
          <w:sz w:val="22"/>
          <w:szCs w:val="22"/>
        </w:rPr>
      </w:pPr>
      <w:r w:rsidRPr="003559DA">
        <w:rPr>
          <w:b/>
          <w:bCs/>
          <w:sz w:val="22"/>
          <w:szCs w:val="22"/>
        </w:rPr>
        <w:t>Respuesta:</w:t>
      </w:r>
    </w:p>
    <w:p w14:paraId="49A1835D" w14:textId="77777777" w:rsidR="00C40B0C" w:rsidRDefault="00C40B0C" w:rsidP="00C40B0C">
      <w:pPr>
        <w:rPr>
          <w:sz w:val="22"/>
          <w:szCs w:val="22"/>
        </w:rPr>
      </w:pPr>
    </w:p>
    <w:p w14:paraId="54396199" w14:textId="77777777" w:rsidR="00C40B0C" w:rsidRPr="00F1283B" w:rsidRDefault="00C40B0C" w:rsidP="00C40B0C">
      <w:pPr>
        <w:rPr>
          <w:sz w:val="22"/>
          <w:szCs w:val="22"/>
        </w:rPr>
      </w:pPr>
      <w:r>
        <w:rPr>
          <w:sz w:val="22"/>
          <w:szCs w:val="22"/>
        </w:rPr>
        <w:t xml:space="preserve">Ver respuesta a </w:t>
      </w:r>
      <w:r>
        <w:rPr>
          <w:sz w:val="22"/>
          <w:szCs w:val="22"/>
        </w:rPr>
        <w:fldChar w:fldCharType="begin"/>
      </w:r>
      <w:r>
        <w:rPr>
          <w:sz w:val="22"/>
          <w:szCs w:val="22"/>
        </w:rPr>
        <w:instrText xml:space="preserve"> REF _Ref133323463 \r \h </w:instrText>
      </w:r>
      <w:r>
        <w:rPr>
          <w:sz w:val="22"/>
          <w:szCs w:val="22"/>
        </w:rPr>
      </w:r>
      <w:r>
        <w:rPr>
          <w:sz w:val="22"/>
          <w:szCs w:val="22"/>
        </w:rPr>
        <w:fldChar w:fldCharType="separate"/>
      </w:r>
      <w:r>
        <w:rPr>
          <w:sz w:val="22"/>
          <w:szCs w:val="22"/>
        </w:rPr>
        <w:t>31.1.1.1</w:t>
      </w:r>
      <w:r>
        <w:rPr>
          <w:sz w:val="22"/>
          <w:szCs w:val="22"/>
        </w:rPr>
        <w:fldChar w:fldCharType="end"/>
      </w:r>
      <w:r>
        <w:rPr>
          <w:sz w:val="22"/>
          <w:szCs w:val="22"/>
        </w:rPr>
        <w:t>.</w:t>
      </w:r>
    </w:p>
    <w:p w14:paraId="3B9910BF" w14:textId="77777777" w:rsidR="00C816F4" w:rsidRDefault="00C816F4" w:rsidP="00572EE6">
      <w:pPr>
        <w:rPr>
          <w:sz w:val="22"/>
          <w:szCs w:val="22"/>
        </w:rPr>
      </w:pPr>
    </w:p>
    <w:p w14:paraId="242AEB14" w14:textId="77777777" w:rsidR="00C40B0C" w:rsidRPr="00F1283B" w:rsidRDefault="00C40B0C" w:rsidP="00572EE6">
      <w:pPr>
        <w:rPr>
          <w:sz w:val="22"/>
          <w:szCs w:val="22"/>
        </w:rPr>
      </w:pPr>
    </w:p>
    <w:p w14:paraId="5B035FCC" w14:textId="77777777" w:rsidR="00C816F4" w:rsidRPr="00F1283B" w:rsidRDefault="00572EE6" w:rsidP="00C816F4">
      <w:pPr>
        <w:pStyle w:val="Ttulo2"/>
        <w:rPr>
          <w:sz w:val="22"/>
          <w:szCs w:val="22"/>
        </w:rPr>
      </w:pPr>
      <w:bookmarkStart w:id="971" w:name="_Toc140506536"/>
      <w:r w:rsidRPr="00F1283B">
        <w:rPr>
          <w:sz w:val="22"/>
          <w:szCs w:val="22"/>
        </w:rPr>
        <w:t>TEBSA</w:t>
      </w:r>
      <w:bookmarkEnd w:id="971"/>
      <w:r w:rsidRPr="00F1283B">
        <w:rPr>
          <w:sz w:val="22"/>
          <w:szCs w:val="22"/>
        </w:rPr>
        <w:tab/>
      </w:r>
    </w:p>
    <w:p w14:paraId="749BB116" w14:textId="77777777" w:rsidR="00C816F4" w:rsidRPr="00F1283B" w:rsidRDefault="00C816F4" w:rsidP="00C816F4">
      <w:pPr>
        <w:pStyle w:val="Ttulo4"/>
        <w:rPr>
          <w:sz w:val="22"/>
          <w:szCs w:val="22"/>
        </w:rPr>
      </w:pPr>
      <w:r w:rsidRPr="00F1283B">
        <w:rPr>
          <w:sz w:val="22"/>
          <w:szCs w:val="22"/>
        </w:rPr>
        <w:t>TEBSA</w:t>
      </w:r>
      <w:r w:rsidRPr="00F1283B">
        <w:rPr>
          <w:sz w:val="22"/>
          <w:szCs w:val="22"/>
        </w:rPr>
        <w:tab/>
      </w:r>
    </w:p>
    <w:p w14:paraId="06413541" w14:textId="06119DB1" w:rsidR="00572EE6" w:rsidRPr="00C40B0C" w:rsidRDefault="00E91E33" w:rsidP="00572EE6">
      <w:pPr>
        <w:rPr>
          <w:i/>
          <w:iCs/>
          <w:sz w:val="22"/>
          <w:szCs w:val="22"/>
        </w:rPr>
      </w:pPr>
      <w:r>
        <w:rPr>
          <w:i/>
          <w:iCs/>
          <w:sz w:val="22"/>
          <w:szCs w:val="22"/>
        </w:rPr>
        <w:t>“</w:t>
      </w:r>
      <w:r w:rsidR="00572EE6" w:rsidRPr="00C40B0C">
        <w:rPr>
          <w:i/>
          <w:iCs/>
          <w:sz w:val="22"/>
          <w:szCs w:val="22"/>
        </w:rPr>
        <w:t xml:space="preserve">Estos procesos de UVCP la CREG lo define como mecanismos de </w:t>
      </w:r>
      <w:proofErr w:type="spellStart"/>
      <w:r w:rsidR="00572EE6" w:rsidRPr="00C40B0C">
        <w:rPr>
          <w:i/>
          <w:iCs/>
          <w:sz w:val="22"/>
          <w:szCs w:val="22"/>
        </w:rPr>
        <w:t>ultima</w:t>
      </w:r>
      <w:proofErr w:type="spellEnd"/>
      <w:r w:rsidR="00572EE6" w:rsidRPr="00C40B0C">
        <w:rPr>
          <w:i/>
          <w:iCs/>
          <w:sz w:val="22"/>
          <w:szCs w:val="22"/>
        </w:rPr>
        <w:t xml:space="preserve"> instancia, consideramos de mayor efectividad que estas subastas se ejecuten durante el día de gas, así se conoce las condiciones de mercado del día y las cantidades excedentarias de gas.</w:t>
      </w:r>
      <w:r>
        <w:rPr>
          <w:i/>
          <w:iCs/>
          <w:sz w:val="22"/>
          <w:szCs w:val="22"/>
        </w:rPr>
        <w:t>”</w:t>
      </w:r>
    </w:p>
    <w:p w14:paraId="771D39E0" w14:textId="77777777" w:rsidR="00C40B0C" w:rsidRDefault="00C40B0C" w:rsidP="00572EE6">
      <w:pPr>
        <w:rPr>
          <w:sz w:val="22"/>
          <w:szCs w:val="22"/>
        </w:rPr>
      </w:pPr>
    </w:p>
    <w:p w14:paraId="0404F43E" w14:textId="400A48B1" w:rsidR="00C40B0C" w:rsidRPr="00C40B0C" w:rsidRDefault="00C40B0C" w:rsidP="00572EE6">
      <w:pPr>
        <w:rPr>
          <w:b/>
          <w:bCs/>
          <w:sz w:val="22"/>
          <w:szCs w:val="22"/>
        </w:rPr>
      </w:pPr>
      <w:r w:rsidRPr="00C40B0C">
        <w:rPr>
          <w:b/>
          <w:bCs/>
          <w:sz w:val="22"/>
          <w:szCs w:val="22"/>
        </w:rPr>
        <w:t>Respuesta:</w:t>
      </w:r>
    </w:p>
    <w:p w14:paraId="68EBB276" w14:textId="77777777" w:rsidR="00C40B0C" w:rsidRDefault="00C40B0C" w:rsidP="00572EE6">
      <w:pPr>
        <w:rPr>
          <w:sz w:val="22"/>
          <w:szCs w:val="22"/>
        </w:rPr>
      </w:pPr>
    </w:p>
    <w:p w14:paraId="3368C791" w14:textId="2143471F" w:rsidR="00C40B0C" w:rsidRDefault="00C40B0C" w:rsidP="00572EE6">
      <w:pPr>
        <w:rPr>
          <w:sz w:val="22"/>
          <w:szCs w:val="22"/>
        </w:rPr>
      </w:pPr>
      <w:r>
        <w:rPr>
          <w:sz w:val="22"/>
          <w:szCs w:val="22"/>
        </w:rPr>
        <w:t>No se acoge el comentario.</w:t>
      </w:r>
    </w:p>
    <w:p w14:paraId="48367F24" w14:textId="77777777" w:rsidR="00C40B0C" w:rsidRDefault="00C40B0C" w:rsidP="00572EE6">
      <w:pPr>
        <w:rPr>
          <w:sz w:val="22"/>
          <w:szCs w:val="22"/>
        </w:rPr>
      </w:pPr>
    </w:p>
    <w:p w14:paraId="3F73B405" w14:textId="6BF82147" w:rsidR="00C816F4" w:rsidRDefault="00C40B0C" w:rsidP="00572EE6">
      <w:pPr>
        <w:rPr>
          <w:sz w:val="22"/>
          <w:szCs w:val="22"/>
        </w:rPr>
      </w:pPr>
      <w:r>
        <w:rPr>
          <w:sz w:val="22"/>
          <w:szCs w:val="22"/>
        </w:rPr>
        <w:t>La adjudicación durante el día de gas implicaría la posibilidad de que los programas de entrega del gas natural de los vendedores del Mercado Primario y de transporte de los transportadores del SNT no se puedan ejecutar de manera de cumplir oportunamente y con seguridad operativa la obligación con el comprador de corto plazo.</w:t>
      </w:r>
    </w:p>
    <w:p w14:paraId="04E5F034" w14:textId="77777777" w:rsidR="00C40B0C" w:rsidRDefault="00C40B0C" w:rsidP="00572EE6">
      <w:pPr>
        <w:rPr>
          <w:sz w:val="22"/>
          <w:szCs w:val="22"/>
        </w:rPr>
      </w:pPr>
    </w:p>
    <w:p w14:paraId="4DFD8DC3" w14:textId="77777777" w:rsidR="00C40B0C" w:rsidRPr="00F1283B" w:rsidRDefault="00C40B0C" w:rsidP="00572EE6">
      <w:pPr>
        <w:rPr>
          <w:sz w:val="22"/>
          <w:szCs w:val="22"/>
        </w:rPr>
      </w:pPr>
    </w:p>
    <w:p w14:paraId="6F1F718A" w14:textId="77777777" w:rsidR="00C816F4" w:rsidRPr="00F1283B" w:rsidRDefault="00572EE6" w:rsidP="00C816F4">
      <w:pPr>
        <w:pStyle w:val="Ttulo2"/>
        <w:rPr>
          <w:sz w:val="22"/>
          <w:szCs w:val="22"/>
        </w:rPr>
      </w:pPr>
      <w:bookmarkStart w:id="972" w:name="_Toc140506537"/>
      <w:r w:rsidRPr="00F1283B">
        <w:rPr>
          <w:sz w:val="22"/>
          <w:szCs w:val="22"/>
        </w:rPr>
        <w:t>TERPEL</w:t>
      </w:r>
      <w:bookmarkEnd w:id="972"/>
      <w:r w:rsidRPr="00F1283B">
        <w:rPr>
          <w:sz w:val="22"/>
          <w:szCs w:val="22"/>
        </w:rPr>
        <w:tab/>
      </w:r>
    </w:p>
    <w:p w14:paraId="4D37EA49" w14:textId="77777777" w:rsidR="00C816F4" w:rsidRPr="00F1283B" w:rsidRDefault="00C816F4" w:rsidP="00C816F4">
      <w:pPr>
        <w:pStyle w:val="Ttulo4"/>
        <w:rPr>
          <w:sz w:val="22"/>
          <w:szCs w:val="22"/>
        </w:rPr>
      </w:pPr>
      <w:r w:rsidRPr="00F1283B">
        <w:rPr>
          <w:sz w:val="22"/>
          <w:szCs w:val="22"/>
        </w:rPr>
        <w:t>TERPEL</w:t>
      </w:r>
      <w:r w:rsidRPr="00F1283B">
        <w:rPr>
          <w:sz w:val="22"/>
          <w:szCs w:val="22"/>
        </w:rPr>
        <w:tab/>
      </w:r>
    </w:p>
    <w:p w14:paraId="6ACC8A63" w14:textId="40E1367A" w:rsidR="00572EE6" w:rsidRPr="004573E0" w:rsidRDefault="004573E0" w:rsidP="00572EE6">
      <w:pPr>
        <w:rPr>
          <w:i/>
          <w:iCs/>
          <w:sz w:val="22"/>
          <w:szCs w:val="22"/>
        </w:rPr>
      </w:pPr>
      <w:r w:rsidRPr="004573E0">
        <w:rPr>
          <w:i/>
          <w:iCs/>
          <w:sz w:val="22"/>
          <w:szCs w:val="22"/>
        </w:rPr>
        <w:t>“</w:t>
      </w:r>
      <w:r w:rsidR="00572EE6" w:rsidRPr="004573E0">
        <w:rPr>
          <w:i/>
          <w:iCs/>
          <w:sz w:val="22"/>
          <w:szCs w:val="22"/>
        </w:rPr>
        <w:t>No indica el número del anexo que contiene el numeral 5.4.</w:t>
      </w:r>
      <w:r w:rsidRPr="004573E0">
        <w:rPr>
          <w:i/>
          <w:iCs/>
          <w:sz w:val="22"/>
          <w:szCs w:val="22"/>
        </w:rPr>
        <w:t>”</w:t>
      </w:r>
    </w:p>
    <w:p w14:paraId="597BD101" w14:textId="77777777" w:rsidR="00C40B0C" w:rsidRDefault="00C40B0C" w:rsidP="00572EE6">
      <w:pPr>
        <w:rPr>
          <w:sz w:val="22"/>
          <w:szCs w:val="22"/>
        </w:rPr>
      </w:pPr>
    </w:p>
    <w:p w14:paraId="18698540" w14:textId="172A37CC" w:rsidR="00C40B0C" w:rsidRPr="00C40B0C" w:rsidRDefault="00C40B0C" w:rsidP="00572EE6">
      <w:pPr>
        <w:rPr>
          <w:b/>
          <w:bCs/>
          <w:sz w:val="22"/>
          <w:szCs w:val="22"/>
        </w:rPr>
      </w:pPr>
      <w:r w:rsidRPr="00C40B0C">
        <w:rPr>
          <w:b/>
          <w:bCs/>
          <w:sz w:val="22"/>
          <w:szCs w:val="22"/>
        </w:rPr>
        <w:t>Respuesta:</w:t>
      </w:r>
    </w:p>
    <w:p w14:paraId="4A358806" w14:textId="77777777" w:rsidR="00C40B0C" w:rsidRDefault="00C40B0C" w:rsidP="00572EE6">
      <w:pPr>
        <w:rPr>
          <w:sz w:val="22"/>
          <w:szCs w:val="22"/>
        </w:rPr>
      </w:pPr>
    </w:p>
    <w:p w14:paraId="5D115BE1" w14:textId="77777777" w:rsidR="00C40B0C" w:rsidRPr="00F1283B" w:rsidRDefault="00C40B0C" w:rsidP="00C40B0C">
      <w:pPr>
        <w:rPr>
          <w:sz w:val="22"/>
          <w:szCs w:val="22"/>
        </w:rPr>
      </w:pPr>
      <w:r>
        <w:rPr>
          <w:sz w:val="22"/>
          <w:szCs w:val="22"/>
        </w:rPr>
        <w:t xml:space="preserve">Ver respuesta a </w:t>
      </w:r>
      <w:r>
        <w:rPr>
          <w:sz w:val="22"/>
          <w:szCs w:val="22"/>
        </w:rPr>
        <w:fldChar w:fldCharType="begin"/>
      </w:r>
      <w:r>
        <w:rPr>
          <w:sz w:val="22"/>
          <w:szCs w:val="22"/>
        </w:rPr>
        <w:instrText xml:space="preserve"> REF _Ref133323463 \r \h </w:instrText>
      </w:r>
      <w:r>
        <w:rPr>
          <w:sz w:val="22"/>
          <w:szCs w:val="22"/>
        </w:rPr>
      </w:r>
      <w:r>
        <w:rPr>
          <w:sz w:val="22"/>
          <w:szCs w:val="22"/>
        </w:rPr>
        <w:fldChar w:fldCharType="separate"/>
      </w:r>
      <w:r>
        <w:rPr>
          <w:sz w:val="22"/>
          <w:szCs w:val="22"/>
        </w:rPr>
        <w:t>31.1.1.1</w:t>
      </w:r>
      <w:r>
        <w:rPr>
          <w:sz w:val="22"/>
          <w:szCs w:val="22"/>
        </w:rPr>
        <w:fldChar w:fldCharType="end"/>
      </w:r>
      <w:r>
        <w:rPr>
          <w:sz w:val="22"/>
          <w:szCs w:val="22"/>
        </w:rPr>
        <w:t>.</w:t>
      </w:r>
    </w:p>
    <w:p w14:paraId="05F923FA" w14:textId="41E5EF9C" w:rsidR="00EF1C07" w:rsidRDefault="00EF1C07" w:rsidP="00371CB5">
      <w:pPr>
        <w:rPr>
          <w:rFonts w:cs="Arial"/>
          <w:b/>
          <w:bCs/>
          <w:sz w:val="22"/>
          <w:szCs w:val="22"/>
        </w:rPr>
      </w:pPr>
    </w:p>
    <w:p w14:paraId="2D25F995" w14:textId="24E48EAA" w:rsidR="00EF1C07" w:rsidRDefault="00EF1C07" w:rsidP="00371CB5">
      <w:pPr>
        <w:rPr>
          <w:rFonts w:cs="Arial"/>
          <w:b/>
          <w:bCs/>
          <w:sz w:val="22"/>
          <w:szCs w:val="22"/>
        </w:rPr>
      </w:pPr>
    </w:p>
    <w:p w14:paraId="4C278139" w14:textId="50923683" w:rsidR="00EF1C07" w:rsidRDefault="00EF1C07" w:rsidP="00EF1C07">
      <w:pPr>
        <w:pStyle w:val="Ttulo1"/>
        <w:numPr>
          <w:ilvl w:val="0"/>
          <w:numId w:val="1"/>
        </w:numPr>
        <w:rPr>
          <w:caps/>
        </w:rPr>
      </w:pPr>
      <w:bookmarkStart w:id="973" w:name="_Toc140506538"/>
      <w:r>
        <w:t xml:space="preserve">ARTÍCULO 36. </w:t>
      </w:r>
      <w:r w:rsidR="0070732E" w:rsidRPr="0070732E">
        <w:rPr>
          <w:caps/>
        </w:rPr>
        <w:t>Negociación de contratos con interrupciones a través de negociaciones directas</w:t>
      </w:r>
      <w:bookmarkEnd w:id="973"/>
    </w:p>
    <w:p w14:paraId="500F0857" w14:textId="77777777" w:rsidR="007701B7" w:rsidRDefault="003F6B46" w:rsidP="00C72898">
      <w:pPr>
        <w:pStyle w:val="Ttulo2"/>
      </w:pPr>
      <w:bookmarkStart w:id="974" w:name="_Toc140506539"/>
      <w:r w:rsidRPr="003F6B46">
        <w:t>ACP</w:t>
      </w:r>
      <w:bookmarkEnd w:id="974"/>
      <w:r w:rsidRPr="003F6B46">
        <w:tab/>
      </w:r>
    </w:p>
    <w:p w14:paraId="47EA77D1" w14:textId="77777777" w:rsidR="00766731" w:rsidRDefault="00766731" w:rsidP="00766731">
      <w:pPr>
        <w:pStyle w:val="Ttulo4"/>
      </w:pPr>
      <w:bookmarkStart w:id="975" w:name="_Ref133331267"/>
      <w:r w:rsidRPr="003F6B46">
        <w:t>ACP</w:t>
      </w:r>
      <w:bookmarkEnd w:id="975"/>
      <w:r w:rsidRPr="003F6B46">
        <w:tab/>
      </w:r>
    </w:p>
    <w:p w14:paraId="1C74AF78" w14:textId="2987CEDB" w:rsidR="003F6B46" w:rsidRPr="0049136B" w:rsidRDefault="004573E0" w:rsidP="003F6B46">
      <w:pPr>
        <w:rPr>
          <w:rFonts w:cs="Arial"/>
          <w:i/>
          <w:iCs/>
          <w:sz w:val="22"/>
          <w:szCs w:val="22"/>
        </w:rPr>
      </w:pPr>
      <w:r>
        <w:rPr>
          <w:rFonts w:cs="Arial"/>
          <w:i/>
          <w:iCs/>
          <w:sz w:val="22"/>
          <w:szCs w:val="22"/>
        </w:rPr>
        <w:t>“</w:t>
      </w:r>
      <w:r w:rsidR="003F6B46" w:rsidRPr="0049136B">
        <w:rPr>
          <w:rFonts w:cs="Arial"/>
          <w:i/>
          <w:iCs/>
          <w:sz w:val="22"/>
          <w:szCs w:val="22"/>
        </w:rPr>
        <w:t>Sugerimos extender a un máximo de 3 meses la duración de los contratos para los vendedores del mercado primario.</w:t>
      </w:r>
      <w:r>
        <w:rPr>
          <w:rFonts w:cs="Arial"/>
          <w:i/>
          <w:iCs/>
          <w:sz w:val="22"/>
          <w:szCs w:val="22"/>
        </w:rPr>
        <w:t>”</w:t>
      </w:r>
    </w:p>
    <w:p w14:paraId="5F19E17F" w14:textId="77777777" w:rsidR="0049136B" w:rsidRDefault="0049136B" w:rsidP="003F6B46">
      <w:pPr>
        <w:rPr>
          <w:rFonts w:cs="Arial"/>
          <w:sz w:val="22"/>
          <w:szCs w:val="22"/>
        </w:rPr>
      </w:pPr>
    </w:p>
    <w:p w14:paraId="45293277" w14:textId="4B6DCAD3" w:rsidR="0049136B" w:rsidRPr="0049136B" w:rsidRDefault="0049136B" w:rsidP="003F6B46">
      <w:pPr>
        <w:rPr>
          <w:rFonts w:cs="Arial"/>
          <w:b/>
          <w:bCs/>
          <w:sz w:val="22"/>
          <w:szCs w:val="22"/>
        </w:rPr>
      </w:pPr>
      <w:r w:rsidRPr="0049136B">
        <w:rPr>
          <w:rFonts w:cs="Arial"/>
          <w:b/>
          <w:bCs/>
          <w:sz w:val="22"/>
          <w:szCs w:val="22"/>
        </w:rPr>
        <w:t>Respuesta:</w:t>
      </w:r>
    </w:p>
    <w:p w14:paraId="139A8C5C" w14:textId="77777777" w:rsidR="0049136B" w:rsidRDefault="0049136B" w:rsidP="003F6B46">
      <w:pPr>
        <w:rPr>
          <w:rFonts w:cs="Arial"/>
          <w:sz w:val="22"/>
          <w:szCs w:val="22"/>
        </w:rPr>
      </w:pPr>
    </w:p>
    <w:p w14:paraId="54C4B766" w14:textId="3384DFC7" w:rsidR="0049136B" w:rsidRPr="003F6B46" w:rsidRDefault="0049136B" w:rsidP="003F6B46">
      <w:pPr>
        <w:rPr>
          <w:rFonts w:cs="Arial"/>
          <w:sz w:val="22"/>
          <w:szCs w:val="22"/>
        </w:rPr>
      </w:pPr>
      <w:r>
        <w:rPr>
          <w:rFonts w:cs="Arial"/>
          <w:sz w:val="22"/>
          <w:szCs w:val="22"/>
        </w:rPr>
        <w:t>No se acoge el comentario.</w:t>
      </w:r>
    </w:p>
    <w:p w14:paraId="36D8B281" w14:textId="77777777" w:rsidR="007701B7" w:rsidRDefault="007701B7" w:rsidP="003F6B46">
      <w:pPr>
        <w:rPr>
          <w:rFonts w:cs="Arial"/>
          <w:sz w:val="22"/>
          <w:szCs w:val="22"/>
        </w:rPr>
      </w:pPr>
    </w:p>
    <w:p w14:paraId="15028778" w14:textId="536F2873" w:rsidR="0049136B" w:rsidRDefault="004F1756"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_Ref133324550 \r \h </w:instrText>
      </w:r>
      <w:r>
        <w:rPr>
          <w:rFonts w:cs="Arial"/>
          <w:sz w:val="22"/>
          <w:szCs w:val="22"/>
        </w:rPr>
      </w:r>
      <w:r>
        <w:rPr>
          <w:rFonts w:cs="Arial"/>
          <w:sz w:val="22"/>
          <w:szCs w:val="22"/>
        </w:rPr>
        <w:fldChar w:fldCharType="separate"/>
      </w:r>
      <w:r>
        <w:rPr>
          <w:rFonts w:cs="Arial"/>
          <w:sz w:val="22"/>
          <w:szCs w:val="22"/>
        </w:rPr>
        <w:t>23.4.1.1</w:t>
      </w:r>
      <w:r>
        <w:rPr>
          <w:rFonts w:cs="Arial"/>
          <w:sz w:val="22"/>
          <w:szCs w:val="22"/>
        </w:rPr>
        <w:fldChar w:fldCharType="end"/>
      </w:r>
      <w:r>
        <w:rPr>
          <w:rFonts w:cs="Arial"/>
          <w:sz w:val="22"/>
          <w:szCs w:val="22"/>
        </w:rPr>
        <w:t>.</w:t>
      </w:r>
    </w:p>
    <w:p w14:paraId="05BFD07C" w14:textId="77777777" w:rsidR="008C6BD0" w:rsidRDefault="008C6BD0" w:rsidP="003F6B46">
      <w:pPr>
        <w:rPr>
          <w:rFonts w:cs="Arial"/>
          <w:sz w:val="22"/>
          <w:szCs w:val="22"/>
        </w:rPr>
      </w:pPr>
    </w:p>
    <w:p w14:paraId="6C15EA4E" w14:textId="0ED69E9F" w:rsidR="008C6BD0" w:rsidRDefault="008C6BD0" w:rsidP="003F6B46">
      <w:pPr>
        <w:rPr>
          <w:rFonts w:cs="Arial"/>
          <w:sz w:val="22"/>
          <w:szCs w:val="22"/>
        </w:rPr>
      </w:pPr>
      <w:r>
        <w:rPr>
          <w:rFonts w:cs="Arial"/>
          <w:sz w:val="22"/>
          <w:szCs w:val="22"/>
        </w:rPr>
        <w:t>Ver la respuesta al numeral 3 del numeral 2.5.1 del documento CREG-063 de 2013, que se publicó como soporte de la Resolución CREG 089 de 2013.</w:t>
      </w:r>
    </w:p>
    <w:p w14:paraId="3C135CE5" w14:textId="77777777" w:rsidR="0049136B" w:rsidRDefault="0049136B" w:rsidP="003F6B46">
      <w:pPr>
        <w:rPr>
          <w:rFonts w:cs="Arial"/>
          <w:sz w:val="22"/>
          <w:szCs w:val="22"/>
        </w:rPr>
      </w:pPr>
    </w:p>
    <w:p w14:paraId="123AF11B" w14:textId="77777777" w:rsidR="007701B7" w:rsidRDefault="007701B7" w:rsidP="003F6B46">
      <w:pPr>
        <w:rPr>
          <w:rFonts w:cs="Arial"/>
          <w:sz w:val="22"/>
          <w:szCs w:val="22"/>
        </w:rPr>
      </w:pPr>
    </w:p>
    <w:p w14:paraId="110E8EEF" w14:textId="77777777" w:rsidR="007701B7" w:rsidRDefault="003F6B46" w:rsidP="00766731">
      <w:pPr>
        <w:pStyle w:val="Ttulo4"/>
      </w:pPr>
      <w:bookmarkStart w:id="976" w:name="_Ref133325291"/>
      <w:r w:rsidRPr="003F6B46">
        <w:t>ACP</w:t>
      </w:r>
      <w:bookmarkEnd w:id="976"/>
      <w:r w:rsidRPr="003F6B46">
        <w:tab/>
      </w:r>
    </w:p>
    <w:p w14:paraId="437C606A" w14:textId="733C781B" w:rsidR="003F6B46" w:rsidRPr="008C6BD0" w:rsidRDefault="004573E0" w:rsidP="003F6B46">
      <w:pPr>
        <w:rPr>
          <w:rFonts w:cs="Arial"/>
          <w:i/>
          <w:iCs/>
          <w:sz w:val="22"/>
          <w:szCs w:val="22"/>
        </w:rPr>
      </w:pPr>
      <w:r>
        <w:rPr>
          <w:rFonts w:cs="Arial"/>
          <w:i/>
          <w:iCs/>
          <w:sz w:val="22"/>
          <w:szCs w:val="22"/>
        </w:rPr>
        <w:t>“</w:t>
      </w:r>
      <w:r w:rsidRPr="008C6BD0">
        <w:rPr>
          <w:rFonts w:cs="Arial"/>
          <w:i/>
          <w:iCs/>
          <w:sz w:val="22"/>
          <w:szCs w:val="22"/>
        </w:rPr>
        <w:t>¿Si un contrato inicia antes de que acabe el año de gas, necesariamente debe terminar en ese año de gas o puede terminar en el siguiente año de gas?</w:t>
      </w:r>
      <w:r w:rsidR="003F6B46" w:rsidRPr="008C6BD0">
        <w:rPr>
          <w:rFonts w:cs="Arial"/>
          <w:i/>
          <w:iCs/>
          <w:sz w:val="22"/>
          <w:szCs w:val="22"/>
        </w:rPr>
        <w:t xml:space="preserve">  </w:t>
      </w:r>
      <w:proofErr w:type="gramStart"/>
      <w:r w:rsidR="003F6B46" w:rsidRPr="008C6BD0">
        <w:rPr>
          <w:rFonts w:cs="Arial"/>
          <w:i/>
          <w:iCs/>
          <w:sz w:val="22"/>
          <w:szCs w:val="22"/>
        </w:rPr>
        <w:t>En ese caso le aplicaría indexación al precio en el momento de cambio de año de gas?</w:t>
      </w:r>
      <w:proofErr w:type="gramEnd"/>
      <w:r w:rsidR="003F6B46" w:rsidRPr="008C6BD0">
        <w:rPr>
          <w:rFonts w:cs="Arial"/>
          <w:i/>
          <w:iCs/>
          <w:sz w:val="22"/>
          <w:szCs w:val="22"/>
        </w:rPr>
        <w:t xml:space="preserve"> </w:t>
      </w:r>
      <w:r w:rsidRPr="008C6BD0">
        <w:rPr>
          <w:rFonts w:cs="Arial"/>
          <w:i/>
          <w:iCs/>
          <w:sz w:val="22"/>
          <w:szCs w:val="22"/>
        </w:rPr>
        <w:t>Ejemplo, Si un contrato se suscribe en junio del año de gas, ¿la duración máxima sería hasta noviembre de ese mismo año de gas o puede llegar hasta el siguiente año de gas?</w:t>
      </w:r>
      <w:r w:rsidR="003F6B46" w:rsidRPr="008C6BD0">
        <w:rPr>
          <w:rFonts w:cs="Arial"/>
          <w:i/>
          <w:iCs/>
          <w:sz w:val="22"/>
          <w:szCs w:val="22"/>
        </w:rPr>
        <w:t>, ¿aplicaría indexación en diciembre?</w:t>
      </w:r>
      <w:r>
        <w:rPr>
          <w:rFonts w:cs="Arial"/>
          <w:i/>
          <w:iCs/>
          <w:sz w:val="22"/>
          <w:szCs w:val="22"/>
        </w:rPr>
        <w:t>”</w:t>
      </w:r>
      <w:r w:rsidR="003F6B46" w:rsidRPr="008C6BD0">
        <w:rPr>
          <w:rFonts w:cs="Arial"/>
          <w:i/>
          <w:iCs/>
          <w:sz w:val="22"/>
          <w:szCs w:val="22"/>
        </w:rPr>
        <w:t xml:space="preserve"> </w:t>
      </w:r>
    </w:p>
    <w:p w14:paraId="60AF3642" w14:textId="77777777" w:rsidR="008C6BD0" w:rsidRDefault="008C6BD0" w:rsidP="003F6B46">
      <w:pPr>
        <w:rPr>
          <w:rFonts w:cs="Arial"/>
          <w:sz w:val="22"/>
          <w:szCs w:val="22"/>
        </w:rPr>
      </w:pPr>
    </w:p>
    <w:p w14:paraId="643F0C51" w14:textId="2B562750" w:rsidR="008C6BD0" w:rsidRPr="008C6BD0" w:rsidRDefault="008C6BD0" w:rsidP="003F6B46">
      <w:pPr>
        <w:rPr>
          <w:rFonts w:cs="Arial"/>
          <w:b/>
          <w:bCs/>
          <w:sz w:val="22"/>
          <w:szCs w:val="22"/>
        </w:rPr>
      </w:pPr>
      <w:r w:rsidRPr="008C6BD0">
        <w:rPr>
          <w:rFonts w:cs="Arial"/>
          <w:b/>
          <w:bCs/>
          <w:sz w:val="22"/>
          <w:szCs w:val="22"/>
        </w:rPr>
        <w:t>Respuesta:</w:t>
      </w:r>
    </w:p>
    <w:p w14:paraId="5A74CE9A" w14:textId="77777777" w:rsidR="008C6BD0" w:rsidRDefault="008C6BD0" w:rsidP="003F6B46">
      <w:pPr>
        <w:rPr>
          <w:rFonts w:cs="Arial"/>
          <w:sz w:val="22"/>
          <w:szCs w:val="22"/>
        </w:rPr>
      </w:pPr>
    </w:p>
    <w:p w14:paraId="419357C9" w14:textId="7F6B4B2C" w:rsidR="008C6BD0" w:rsidRDefault="008C6BD0" w:rsidP="003F6B46">
      <w:pPr>
        <w:rPr>
          <w:rFonts w:cs="Arial"/>
          <w:sz w:val="22"/>
          <w:szCs w:val="22"/>
        </w:rPr>
      </w:pPr>
      <w:r>
        <w:rPr>
          <w:rFonts w:cs="Arial"/>
          <w:sz w:val="22"/>
          <w:szCs w:val="22"/>
        </w:rPr>
        <w:t>En la nueva propuesta los contratos con interrupciones no tienen actualización de precio pues son contratos de duración no superior a un año y que contemplan un precio máximo de ejecución.</w:t>
      </w:r>
    </w:p>
    <w:p w14:paraId="074667CC" w14:textId="77777777" w:rsidR="008C6BD0" w:rsidRPr="003F6B46" w:rsidRDefault="008C6BD0" w:rsidP="003F6B46">
      <w:pPr>
        <w:rPr>
          <w:rFonts w:cs="Arial"/>
          <w:sz w:val="22"/>
          <w:szCs w:val="22"/>
        </w:rPr>
      </w:pPr>
    </w:p>
    <w:p w14:paraId="465FB8F4" w14:textId="77777777" w:rsidR="007701B7" w:rsidRDefault="007701B7" w:rsidP="003F6B46">
      <w:pPr>
        <w:rPr>
          <w:rFonts w:cs="Arial"/>
          <w:sz w:val="22"/>
          <w:szCs w:val="22"/>
        </w:rPr>
      </w:pPr>
    </w:p>
    <w:p w14:paraId="04AEC74B" w14:textId="77777777" w:rsidR="007701B7" w:rsidRDefault="003F6B46" w:rsidP="00766731">
      <w:pPr>
        <w:pStyle w:val="Ttulo4"/>
      </w:pPr>
      <w:r w:rsidRPr="003F6B46">
        <w:t>ACP</w:t>
      </w:r>
      <w:r w:rsidRPr="003F6B46">
        <w:tab/>
      </w:r>
    </w:p>
    <w:p w14:paraId="158BA9D6" w14:textId="489F73CE" w:rsidR="003F6B46" w:rsidRPr="008C6BD0" w:rsidRDefault="004573E0" w:rsidP="003F6B46">
      <w:pPr>
        <w:rPr>
          <w:rFonts w:cs="Arial"/>
          <w:i/>
          <w:iCs/>
          <w:sz w:val="22"/>
          <w:szCs w:val="22"/>
        </w:rPr>
      </w:pPr>
      <w:r>
        <w:rPr>
          <w:rFonts w:cs="Arial"/>
          <w:i/>
          <w:iCs/>
          <w:sz w:val="22"/>
          <w:szCs w:val="22"/>
        </w:rPr>
        <w:t>“</w:t>
      </w:r>
      <w:r w:rsidR="003F6B46" w:rsidRPr="008C6BD0">
        <w:rPr>
          <w:rFonts w:cs="Arial"/>
          <w:i/>
          <w:iCs/>
          <w:sz w:val="22"/>
          <w:szCs w:val="22"/>
        </w:rPr>
        <w:t xml:space="preserve">En el caso de que el plazo de ejecución de un contrato inicie en un año de gas y termine en otro año de gas, ¿aplica la indexación regulatoria en el momento de cambio de año de gas? </w:t>
      </w:r>
      <w:r w:rsidRPr="008C6BD0">
        <w:rPr>
          <w:rFonts w:cs="Arial"/>
          <w:i/>
          <w:iCs/>
          <w:sz w:val="22"/>
          <w:szCs w:val="22"/>
        </w:rPr>
        <w:t>¿O la indexación regulatoria se considera una modificación al precio y no puede aplicarse?</w:t>
      </w:r>
      <w:r>
        <w:rPr>
          <w:rFonts w:cs="Arial"/>
          <w:i/>
          <w:iCs/>
          <w:sz w:val="22"/>
          <w:szCs w:val="22"/>
        </w:rPr>
        <w:t>”</w:t>
      </w:r>
    </w:p>
    <w:p w14:paraId="1114361D" w14:textId="77777777" w:rsidR="008C6BD0" w:rsidRDefault="008C6BD0" w:rsidP="003F6B46">
      <w:pPr>
        <w:rPr>
          <w:rFonts w:cs="Arial"/>
          <w:sz w:val="22"/>
          <w:szCs w:val="22"/>
        </w:rPr>
      </w:pPr>
    </w:p>
    <w:p w14:paraId="1A1E8019" w14:textId="13C893D6" w:rsidR="008C6BD0" w:rsidRPr="008C6BD0" w:rsidRDefault="008C6BD0" w:rsidP="003F6B46">
      <w:pPr>
        <w:rPr>
          <w:rFonts w:cs="Arial"/>
          <w:b/>
          <w:bCs/>
          <w:sz w:val="22"/>
          <w:szCs w:val="22"/>
        </w:rPr>
      </w:pPr>
      <w:r w:rsidRPr="008C6BD0">
        <w:rPr>
          <w:rFonts w:cs="Arial"/>
          <w:b/>
          <w:bCs/>
          <w:sz w:val="22"/>
          <w:szCs w:val="22"/>
        </w:rPr>
        <w:t>Respuesta:</w:t>
      </w:r>
    </w:p>
    <w:p w14:paraId="6909787B" w14:textId="77777777" w:rsidR="008C6BD0" w:rsidRDefault="008C6BD0" w:rsidP="003F6B46">
      <w:pPr>
        <w:rPr>
          <w:rFonts w:cs="Arial"/>
          <w:sz w:val="22"/>
          <w:szCs w:val="22"/>
        </w:rPr>
      </w:pPr>
    </w:p>
    <w:p w14:paraId="1A462E8F" w14:textId="47134A85" w:rsidR="008C6BD0" w:rsidRDefault="008C6BD0" w:rsidP="003F6B46">
      <w:pPr>
        <w:rPr>
          <w:rFonts w:cs="Arial"/>
          <w:sz w:val="22"/>
          <w:szCs w:val="22"/>
        </w:rPr>
      </w:pPr>
      <w:r>
        <w:rPr>
          <w:rFonts w:cs="Arial"/>
          <w:sz w:val="22"/>
          <w:szCs w:val="22"/>
        </w:rPr>
        <w:t xml:space="preserve">Ver respuesta a </w:t>
      </w:r>
      <w:r w:rsidR="00DA134E">
        <w:rPr>
          <w:rFonts w:cs="Arial"/>
          <w:sz w:val="22"/>
          <w:szCs w:val="22"/>
        </w:rPr>
        <w:fldChar w:fldCharType="begin"/>
      </w:r>
      <w:r w:rsidR="00DA134E">
        <w:rPr>
          <w:rFonts w:cs="Arial"/>
          <w:sz w:val="22"/>
          <w:szCs w:val="22"/>
        </w:rPr>
        <w:instrText xml:space="preserve"> REF _Ref133325291 \r \h </w:instrText>
      </w:r>
      <w:r w:rsidR="00DA134E">
        <w:rPr>
          <w:rFonts w:cs="Arial"/>
          <w:sz w:val="22"/>
          <w:szCs w:val="22"/>
        </w:rPr>
      </w:r>
      <w:r w:rsidR="00DA134E">
        <w:rPr>
          <w:rFonts w:cs="Arial"/>
          <w:sz w:val="22"/>
          <w:szCs w:val="22"/>
        </w:rPr>
        <w:fldChar w:fldCharType="separate"/>
      </w:r>
      <w:r w:rsidR="00DA134E">
        <w:rPr>
          <w:rFonts w:cs="Arial"/>
          <w:sz w:val="22"/>
          <w:szCs w:val="22"/>
        </w:rPr>
        <w:t>32.1.1.2</w:t>
      </w:r>
      <w:r w:rsidR="00DA134E">
        <w:rPr>
          <w:rFonts w:cs="Arial"/>
          <w:sz w:val="22"/>
          <w:szCs w:val="22"/>
        </w:rPr>
        <w:fldChar w:fldCharType="end"/>
      </w:r>
      <w:r w:rsidR="00DA134E">
        <w:rPr>
          <w:rFonts w:cs="Arial"/>
          <w:sz w:val="22"/>
          <w:szCs w:val="22"/>
        </w:rPr>
        <w:t>.</w:t>
      </w:r>
    </w:p>
    <w:p w14:paraId="4BC0F387" w14:textId="77777777" w:rsidR="008C6BD0" w:rsidRPr="003F6B46" w:rsidRDefault="008C6BD0" w:rsidP="003F6B46">
      <w:pPr>
        <w:rPr>
          <w:rFonts w:cs="Arial"/>
          <w:sz w:val="22"/>
          <w:szCs w:val="22"/>
        </w:rPr>
      </w:pPr>
    </w:p>
    <w:p w14:paraId="2E134BBA" w14:textId="77777777" w:rsidR="007701B7" w:rsidRDefault="007701B7" w:rsidP="003F6B46">
      <w:pPr>
        <w:rPr>
          <w:rFonts w:cs="Arial"/>
          <w:sz w:val="22"/>
          <w:szCs w:val="22"/>
        </w:rPr>
      </w:pPr>
    </w:p>
    <w:p w14:paraId="63CEB23B" w14:textId="77777777" w:rsidR="007701B7" w:rsidRDefault="003F6B46" w:rsidP="00766731">
      <w:pPr>
        <w:pStyle w:val="Ttulo4"/>
      </w:pPr>
      <w:bookmarkStart w:id="977" w:name="_Ref133333717"/>
      <w:r w:rsidRPr="003F6B46">
        <w:t>ACP</w:t>
      </w:r>
      <w:bookmarkEnd w:id="977"/>
      <w:r w:rsidRPr="003F6B46">
        <w:tab/>
      </w:r>
    </w:p>
    <w:p w14:paraId="29FF3CBA" w14:textId="354CF138" w:rsidR="003F6B46" w:rsidRPr="00DA134E" w:rsidRDefault="003F6B46" w:rsidP="003F6B46">
      <w:pPr>
        <w:rPr>
          <w:rFonts w:cs="Arial"/>
          <w:i/>
          <w:iCs/>
          <w:sz w:val="22"/>
          <w:szCs w:val="22"/>
        </w:rPr>
      </w:pPr>
      <w:r w:rsidRPr="00DA134E">
        <w:rPr>
          <w:rFonts w:cs="Arial"/>
          <w:i/>
          <w:iCs/>
          <w:sz w:val="22"/>
          <w:szCs w:val="22"/>
        </w:rPr>
        <w:t>¿El contrato necesariamente debe terminar en el mismo año de gas en que inició?</w:t>
      </w:r>
    </w:p>
    <w:p w14:paraId="150836FE" w14:textId="77777777" w:rsidR="00DA134E" w:rsidRDefault="00DA134E" w:rsidP="003F6B46">
      <w:pPr>
        <w:rPr>
          <w:rFonts w:cs="Arial"/>
          <w:sz w:val="22"/>
          <w:szCs w:val="22"/>
        </w:rPr>
      </w:pPr>
    </w:p>
    <w:p w14:paraId="62A636E1" w14:textId="7C12DCE6" w:rsidR="00DA134E" w:rsidRPr="00DA134E" w:rsidRDefault="00DA134E" w:rsidP="003F6B46">
      <w:pPr>
        <w:rPr>
          <w:rFonts w:cs="Arial"/>
          <w:b/>
          <w:bCs/>
          <w:sz w:val="22"/>
          <w:szCs w:val="22"/>
        </w:rPr>
      </w:pPr>
      <w:r w:rsidRPr="00DA134E">
        <w:rPr>
          <w:rFonts w:cs="Arial"/>
          <w:b/>
          <w:bCs/>
          <w:sz w:val="22"/>
          <w:szCs w:val="22"/>
        </w:rPr>
        <w:t>Respuesta:</w:t>
      </w:r>
    </w:p>
    <w:p w14:paraId="00C30D05" w14:textId="77777777" w:rsidR="00DA134E" w:rsidRDefault="00DA134E" w:rsidP="003F6B46">
      <w:pPr>
        <w:rPr>
          <w:rFonts w:cs="Arial"/>
          <w:sz w:val="22"/>
          <w:szCs w:val="22"/>
        </w:rPr>
      </w:pPr>
    </w:p>
    <w:p w14:paraId="3B328644" w14:textId="59891423" w:rsidR="00DA134E" w:rsidRDefault="00DA134E" w:rsidP="003F6B46">
      <w:pPr>
        <w:rPr>
          <w:rFonts w:cs="Arial"/>
          <w:sz w:val="22"/>
          <w:szCs w:val="22"/>
        </w:rPr>
      </w:pPr>
      <w:r>
        <w:rPr>
          <w:rFonts w:cs="Arial"/>
          <w:sz w:val="22"/>
          <w:szCs w:val="22"/>
        </w:rPr>
        <w:t>En la nueva propuesta el contrato con interrupciones del Mercado Primario puede tener una duración de un mes calendario, y en el mercado Secundario de entre un mes y doce meses calendario sin que todos los meses correspondan al mismo año de gas.</w:t>
      </w:r>
    </w:p>
    <w:p w14:paraId="5920105E" w14:textId="77777777" w:rsidR="00DA134E" w:rsidRPr="003F6B46" w:rsidRDefault="00DA134E" w:rsidP="003F6B46">
      <w:pPr>
        <w:rPr>
          <w:rFonts w:cs="Arial"/>
          <w:sz w:val="22"/>
          <w:szCs w:val="22"/>
        </w:rPr>
      </w:pPr>
    </w:p>
    <w:p w14:paraId="70AD0A2F" w14:textId="77777777" w:rsidR="007701B7" w:rsidRDefault="007701B7" w:rsidP="003F6B46">
      <w:pPr>
        <w:rPr>
          <w:rFonts w:cs="Arial"/>
          <w:sz w:val="22"/>
          <w:szCs w:val="22"/>
        </w:rPr>
      </w:pPr>
    </w:p>
    <w:p w14:paraId="160FF345" w14:textId="77777777" w:rsidR="007701B7" w:rsidRDefault="003F6B46" w:rsidP="00766731">
      <w:pPr>
        <w:pStyle w:val="Ttulo4"/>
      </w:pPr>
      <w:bookmarkStart w:id="978" w:name="_Ref133327912"/>
      <w:r w:rsidRPr="003F6B46">
        <w:t>ACP</w:t>
      </w:r>
      <w:bookmarkEnd w:id="978"/>
      <w:r w:rsidRPr="003F6B46">
        <w:tab/>
      </w:r>
    </w:p>
    <w:p w14:paraId="3FC97813" w14:textId="396C97FF" w:rsidR="003F6B46" w:rsidRPr="00DA134E" w:rsidRDefault="003F6B46" w:rsidP="003F6B46">
      <w:pPr>
        <w:rPr>
          <w:rFonts w:cs="Arial"/>
          <w:i/>
          <w:iCs/>
          <w:sz w:val="22"/>
          <w:szCs w:val="22"/>
        </w:rPr>
      </w:pPr>
      <w:r w:rsidRPr="003F6B46">
        <w:rPr>
          <w:rFonts w:cs="Arial"/>
          <w:sz w:val="22"/>
          <w:szCs w:val="22"/>
        </w:rPr>
        <w:t>"</w:t>
      </w:r>
      <w:r w:rsidRPr="00DA134E">
        <w:rPr>
          <w:rFonts w:cs="Arial"/>
          <w:i/>
          <w:iCs/>
          <w:sz w:val="22"/>
          <w:szCs w:val="22"/>
        </w:rPr>
        <w:t>Sugerimos no establecer topes para las cantidades que podrán ser contratadas mediante contratos con interrupciones. Como fue mencionado anteriormente, no es consistente la definición de contrato con interrupciones con respaldo físico, de modo que no debería atarse a una PTDV, o a un porcentaje de las cantidades contratadas con respaldo físico.</w:t>
      </w:r>
    </w:p>
    <w:p w14:paraId="2F1035D6" w14:textId="77777777" w:rsidR="003F6B46" w:rsidRPr="00DA134E" w:rsidRDefault="003F6B46" w:rsidP="003F6B46">
      <w:pPr>
        <w:rPr>
          <w:rFonts w:cs="Arial"/>
          <w:i/>
          <w:iCs/>
          <w:sz w:val="22"/>
          <w:szCs w:val="22"/>
        </w:rPr>
      </w:pPr>
    </w:p>
    <w:p w14:paraId="1BEE30C8" w14:textId="77777777" w:rsidR="003F6B46" w:rsidRDefault="003F6B46" w:rsidP="003F6B46">
      <w:pPr>
        <w:rPr>
          <w:rFonts w:cs="Arial"/>
          <w:sz w:val="22"/>
          <w:szCs w:val="22"/>
        </w:rPr>
      </w:pPr>
      <w:r w:rsidRPr="00DA134E">
        <w:rPr>
          <w:rFonts w:cs="Arial"/>
          <w:i/>
          <w:iCs/>
          <w:sz w:val="22"/>
          <w:szCs w:val="22"/>
        </w:rPr>
        <w:t>Por otra parte, siendo la demanda termoeléctrica sujeta a alta variabilidad en su despacho, se puede estar limitando, con estos topes establecidos, a atender dicha variabilidad mediante contratos con interrupciones. Bajo esta situación, la demanda termoeléctrica tendría la necesidad de incurrir a otras fuentes, como el gas importado, que es más costoso</w:t>
      </w:r>
      <w:r w:rsidRPr="003F6B46">
        <w:rPr>
          <w:rFonts w:cs="Arial"/>
          <w:sz w:val="22"/>
          <w:szCs w:val="22"/>
        </w:rPr>
        <w:t>."</w:t>
      </w:r>
    </w:p>
    <w:p w14:paraId="0D309F2F" w14:textId="77777777" w:rsidR="00DA134E" w:rsidRDefault="00DA134E" w:rsidP="003F6B46">
      <w:pPr>
        <w:rPr>
          <w:rFonts w:cs="Arial"/>
          <w:sz w:val="22"/>
          <w:szCs w:val="22"/>
        </w:rPr>
      </w:pPr>
    </w:p>
    <w:p w14:paraId="40BB93C6" w14:textId="1C74ABEF" w:rsidR="00DA134E" w:rsidRPr="00DA134E" w:rsidRDefault="00DA134E" w:rsidP="003F6B46">
      <w:pPr>
        <w:rPr>
          <w:rFonts w:cs="Arial"/>
          <w:b/>
          <w:bCs/>
          <w:sz w:val="22"/>
          <w:szCs w:val="22"/>
        </w:rPr>
      </w:pPr>
      <w:r w:rsidRPr="00DA134E">
        <w:rPr>
          <w:rFonts w:cs="Arial"/>
          <w:b/>
          <w:bCs/>
          <w:sz w:val="22"/>
          <w:szCs w:val="22"/>
        </w:rPr>
        <w:t>Respuesta:</w:t>
      </w:r>
    </w:p>
    <w:p w14:paraId="3E54B0B4" w14:textId="77777777" w:rsidR="00DA134E" w:rsidRDefault="00DA134E" w:rsidP="003F6B46">
      <w:pPr>
        <w:rPr>
          <w:rFonts w:cs="Arial"/>
          <w:sz w:val="22"/>
          <w:szCs w:val="22"/>
        </w:rPr>
      </w:pPr>
    </w:p>
    <w:p w14:paraId="42FCA74D" w14:textId="0C5BF358" w:rsidR="005D066E" w:rsidRDefault="005D066E" w:rsidP="005D066E">
      <w:pPr>
        <w:rPr>
          <w:rFonts w:cs="Arial"/>
          <w:sz w:val="22"/>
          <w:szCs w:val="22"/>
        </w:rPr>
      </w:pPr>
      <w:r>
        <w:rPr>
          <w:rFonts w:cs="Arial"/>
          <w:sz w:val="22"/>
          <w:szCs w:val="22"/>
        </w:rPr>
        <w:t xml:space="preserve">Se busca un balance en que no se desborden las cantidades comprometidas en esta modalidad de contratos, ver respuesta a </w:t>
      </w:r>
      <w:r>
        <w:rPr>
          <w:rFonts w:cs="Arial"/>
          <w:sz w:val="22"/>
          <w:szCs w:val="22"/>
        </w:rPr>
        <w:fldChar w:fldCharType="begin"/>
      </w:r>
      <w:r>
        <w:rPr>
          <w:rFonts w:cs="Arial"/>
          <w:sz w:val="22"/>
          <w:szCs w:val="22"/>
        </w:rPr>
        <w:instrText xml:space="preserve"> REF _Ref133327912 \r \h </w:instrText>
      </w:r>
      <w:r>
        <w:rPr>
          <w:rFonts w:cs="Arial"/>
          <w:sz w:val="22"/>
          <w:szCs w:val="22"/>
        </w:rPr>
      </w:r>
      <w:r>
        <w:rPr>
          <w:rFonts w:cs="Arial"/>
          <w:sz w:val="22"/>
          <w:szCs w:val="22"/>
        </w:rPr>
        <w:fldChar w:fldCharType="separate"/>
      </w:r>
      <w:r>
        <w:rPr>
          <w:rFonts w:cs="Arial"/>
          <w:sz w:val="22"/>
          <w:szCs w:val="22"/>
        </w:rPr>
        <w:t>32.1.1.5</w:t>
      </w:r>
      <w:r>
        <w:rPr>
          <w:rFonts w:cs="Arial"/>
          <w:sz w:val="22"/>
          <w:szCs w:val="22"/>
        </w:rPr>
        <w:fldChar w:fldCharType="end"/>
      </w:r>
      <w:r>
        <w:rPr>
          <w:rFonts w:cs="Arial"/>
          <w:sz w:val="22"/>
          <w:szCs w:val="22"/>
        </w:rPr>
        <w:t>. La nueva propuesta con topes de cantidades máximas totales a comprometerse en contratos con interrupciones, tanto por los vendedores del Mercado Primario como por los vendedores del Mercado Secundario, busca un mayor equilibrio ente la parte vendedora con expectativa de despachar gas disponible, lo cual tiene mayor probabilidad de que ocurra si no tiene limitaciones de cantidades contratadas y la parte compradora con expectativa de que le entreguen gas disponible si lo requiere, lo cual tiene mayor probabilidad de que ocurra si hay mayor limitación de cantidades contratadas por el vendedor</w:t>
      </w:r>
    </w:p>
    <w:p w14:paraId="08BE22DD" w14:textId="77777777" w:rsidR="00EC085B" w:rsidRDefault="00EC085B" w:rsidP="003F6B46">
      <w:pPr>
        <w:rPr>
          <w:rFonts w:cs="Arial"/>
          <w:sz w:val="22"/>
          <w:szCs w:val="22"/>
        </w:rPr>
      </w:pPr>
    </w:p>
    <w:p w14:paraId="2A784726" w14:textId="49F7BC0B" w:rsidR="00DA134E" w:rsidRDefault="00DA134E" w:rsidP="003F6B46">
      <w:pPr>
        <w:rPr>
          <w:rFonts w:cs="Arial"/>
          <w:sz w:val="22"/>
          <w:szCs w:val="22"/>
        </w:rPr>
      </w:pPr>
      <w:r>
        <w:rPr>
          <w:rFonts w:cs="Arial"/>
          <w:sz w:val="22"/>
          <w:szCs w:val="22"/>
        </w:rPr>
        <w:t xml:space="preserve">Por otro lado, se espera que los ajustes propuestos </w:t>
      </w:r>
      <w:r w:rsidR="00DC62AE">
        <w:rPr>
          <w:rFonts w:cs="Arial"/>
          <w:sz w:val="22"/>
          <w:szCs w:val="22"/>
        </w:rPr>
        <w:t xml:space="preserve">dando mayor flexibilidad </w:t>
      </w:r>
      <w:r>
        <w:rPr>
          <w:rFonts w:cs="Arial"/>
          <w:sz w:val="22"/>
          <w:szCs w:val="22"/>
        </w:rPr>
        <w:t xml:space="preserve">en las condiciones </w:t>
      </w:r>
      <w:r w:rsidR="00DC62AE">
        <w:rPr>
          <w:rFonts w:cs="Arial"/>
          <w:sz w:val="22"/>
          <w:szCs w:val="22"/>
        </w:rPr>
        <w:t xml:space="preserve">de ejecución y pago </w:t>
      </w:r>
      <w:r>
        <w:rPr>
          <w:rFonts w:cs="Arial"/>
          <w:sz w:val="22"/>
          <w:szCs w:val="22"/>
        </w:rPr>
        <w:t>de los contratos de tipo firme o que garantizan firmeza</w:t>
      </w:r>
      <w:r w:rsidR="00DC62AE">
        <w:rPr>
          <w:rFonts w:cs="Arial"/>
          <w:sz w:val="22"/>
          <w:szCs w:val="22"/>
        </w:rPr>
        <w:t>, que son de mucha mayor probabilidad de ejecución,</w:t>
      </w:r>
      <w:r>
        <w:rPr>
          <w:rFonts w:cs="Arial"/>
          <w:sz w:val="22"/>
          <w:szCs w:val="22"/>
        </w:rPr>
        <w:t xml:space="preserve"> lleven a unas menores cantidades </w:t>
      </w:r>
      <w:r w:rsidR="00EC085B">
        <w:rPr>
          <w:rFonts w:cs="Arial"/>
          <w:sz w:val="22"/>
          <w:szCs w:val="22"/>
        </w:rPr>
        <w:t xml:space="preserve">a ser </w:t>
      </w:r>
      <w:r>
        <w:rPr>
          <w:rFonts w:cs="Arial"/>
          <w:sz w:val="22"/>
          <w:szCs w:val="22"/>
        </w:rPr>
        <w:t xml:space="preserve">comprometidas en contratos con interrupciones. </w:t>
      </w:r>
    </w:p>
    <w:p w14:paraId="4B179AE3" w14:textId="77777777" w:rsidR="00DA134E" w:rsidRPr="003F6B46" w:rsidRDefault="00DA134E" w:rsidP="003F6B46">
      <w:pPr>
        <w:rPr>
          <w:rFonts w:cs="Arial"/>
          <w:sz w:val="22"/>
          <w:szCs w:val="22"/>
        </w:rPr>
      </w:pPr>
    </w:p>
    <w:p w14:paraId="47CE864B" w14:textId="77777777" w:rsidR="007701B7" w:rsidRDefault="007701B7" w:rsidP="003F6B46">
      <w:pPr>
        <w:rPr>
          <w:rFonts w:cs="Arial"/>
          <w:sz w:val="22"/>
          <w:szCs w:val="22"/>
        </w:rPr>
      </w:pPr>
    </w:p>
    <w:p w14:paraId="58AC018B" w14:textId="77777777" w:rsidR="007701B7" w:rsidRDefault="003F6B46" w:rsidP="00766731">
      <w:pPr>
        <w:pStyle w:val="Ttulo4"/>
      </w:pPr>
      <w:bookmarkStart w:id="979" w:name="_Ref133328491"/>
      <w:r w:rsidRPr="003F6B46">
        <w:t>ACP</w:t>
      </w:r>
      <w:bookmarkEnd w:id="979"/>
      <w:r w:rsidRPr="003F6B46">
        <w:tab/>
      </w:r>
    </w:p>
    <w:p w14:paraId="1BD21A90" w14:textId="63B733D3" w:rsidR="003F6B46" w:rsidRPr="00DC62AE" w:rsidRDefault="00022D42" w:rsidP="003F6B46">
      <w:pPr>
        <w:rPr>
          <w:rFonts w:cs="Arial"/>
          <w:i/>
          <w:iCs/>
          <w:sz w:val="22"/>
          <w:szCs w:val="22"/>
        </w:rPr>
      </w:pPr>
      <w:r>
        <w:rPr>
          <w:rFonts w:cs="Arial"/>
          <w:i/>
          <w:iCs/>
          <w:sz w:val="22"/>
          <w:szCs w:val="22"/>
        </w:rPr>
        <w:t>“</w:t>
      </w:r>
      <w:r w:rsidR="003F6B46" w:rsidRPr="00DC62AE">
        <w:rPr>
          <w:rFonts w:cs="Arial"/>
          <w:i/>
          <w:iCs/>
          <w:sz w:val="22"/>
          <w:szCs w:val="22"/>
        </w:rPr>
        <w:t>Si el comercializador tiene contratado una cantidad de gas en firme en el mercado primario, ¿Puede vender en el mercado secundario varios contratos interrumpibles cuya sumatoria de cantidades supera su respaldo firme, considerando que muchos de sus compradores pudieran no nominarle el gas?</w:t>
      </w:r>
      <w:r>
        <w:rPr>
          <w:rFonts w:cs="Arial"/>
          <w:i/>
          <w:iCs/>
          <w:sz w:val="22"/>
          <w:szCs w:val="22"/>
        </w:rPr>
        <w:t>”</w:t>
      </w:r>
    </w:p>
    <w:p w14:paraId="52DECAD2" w14:textId="77777777" w:rsidR="00DC62AE" w:rsidRDefault="00DC62AE" w:rsidP="003F6B46">
      <w:pPr>
        <w:rPr>
          <w:rFonts w:cs="Arial"/>
          <w:sz w:val="22"/>
          <w:szCs w:val="22"/>
        </w:rPr>
      </w:pPr>
    </w:p>
    <w:p w14:paraId="503B0999" w14:textId="60D77790" w:rsidR="00DC62AE" w:rsidRPr="00DC62AE" w:rsidRDefault="00DC62AE" w:rsidP="003F6B46">
      <w:pPr>
        <w:rPr>
          <w:rFonts w:cs="Arial"/>
          <w:b/>
          <w:bCs/>
          <w:sz w:val="22"/>
          <w:szCs w:val="22"/>
        </w:rPr>
      </w:pPr>
      <w:r w:rsidRPr="00DC62AE">
        <w:rPr>
          <w:rFonts w:cs="Arial"/>
          <w:b/>
          <w:bCs/>
          <w:sz w:val="22"/>
          <w:szCs w:val="22"/>
        </w:rPr>
        <w:t>Respuesta:</w:t>
      </w:r>
    </w:p>
    <w:p w14:paraId="7A73F1DE" w14:textId="77777777" w:rsidR="00DC62AE" w:rsidRDefault="00DC62AE" w:rsidP="003F6B46">
      <w:pPr>
        <w:rPr>
          <w:rFonts w:cs="Arial"/>
          <w:sz w:val="22"/>
          <w:szCs w:val="22"/>
        </w:rPr>
      </w:pPr>
    </w:p>
    <w:p w14:paraId="659C2EDB" w14:textId="3C557958" w:rsidR="00DC62AE" w:rsidRDefault="00CC4D82" w:rsidP="003F6B46">
      <w:pPr>
        <w:rPr>
          <w:rFonts w:cs="Arial"/>
          <w:sz w:val="22"/>
          <w:szCs w:val="22"/>
        </w:rPr>
      </w:pPr>
      <w:r>
        <w:rPr>
          <w:rFonts w:cs="Arial"/>
          <w:sz w:val="22"/>
          <w:szCs w:val="22"/>
        </w:rPr>
        <w:t>Se entiende que la referencia que se hace en el comentario de “vender” varios contratos interrumpibles significa realmente suscribir varios contratos con interrupciones.</w:t>
      </w:r>
    </w:p>
    <w:p w14:paraId="12C3ED3A" w14:textId="77777777" w:rsidR="00CC4D82" w:rsidRDefault="00CC4D82" w:rsidP="003F6B46">
      <w:pPr>
        <w:rPr>
          <w:rFonts w:cs="Arial"/>
          <w:sz w:val="22"/>
          <w:szCs w:val="22"/>
        </w:rPr>
      </w:pPr>
    </w:p>
    <w:p w14:paraId="28FEBF5E" w14:textId="1A795E18" w:rsidR="00CC4D82" w:rsidRPr="003F6B46" w:rsidRDefault="00CC4D82" w:rsidP="003F6B46">
      <w:pPr>
        <w:rPr>
          <w:rFonts w:cs="Arial"/>
          <w:sz w:val="22"/>
          <w:szCs w:val="22"/>
        </w:rPr>
      </w:pPr>
      <w:r>
        <w:rPr>
          <w:rFonts w:cs="Arial"/>
          <w:sz w:val="22"/>
          <w:szCs w:val="22"/>
        </w:rPr>
        <w:t xml:space="preserve">En la nueva propuesta se establece </w:t>
      </w:r>
      <w:proofErr w:type="gramStart"/>
      <w:r>
        <w:rPr>
          <w:rFonts w:cs="Arial"/>
          <w:sz w:val="22"/>
          <w:szCs w:val="22"/>
        </w:rPr>
        <w:t>que</w:t>
      </w:r>
      <w:proofErr w:type="gramEnd"/>
      <w:r>
        <w:rPr>
          <w:rFonts w:cs="Arial"/>
          <w:sz w:val="22"/>
          <w:szCs w:val="22"/>
        </w:rPr>
        <w:t xml:space="preserve"> </w:t>
      </w:r>
      <w:r w:rsidR="00677DA3">
        <w:rPr>
          <w:rFonts w:cs="Arial"/>
          <w:sz w:val="22"/>
          <w:szCs w:val="22"/>
        </w:rPr>
        <w:t>e</w:t>
      </w:r>
      <w:r w:rsidR="00677DA3" w:rsidRPr="00677DA3">
        <w:rPr>
          <w:rFonts w:cs="Arial"/>
          <w:sz w:val="22"/>
          <w:szCs w:val="22"/>
        </w:rPr>
        <w:t xml:space="preserve">n el caso de los </w:t>
      </w:r>
      <w:r w:rsidR="00677DA3">
        <w:rPr>
          <w:rFonts w:cs="Arial"/>
          <w:sz w:val="22"/>
          <w:szCs w:val="22"/>
        </w:rPr>
        <w:t>v</w:t>
      </w:r>
      <w:r w:rsidR="00677DA3" w:rsidRPr="00677DA3">
        <w:rPr>
          <w:rFonts w:cs="Arial"/>
          <w:sz w:val="22"/>
          <w:szCs w:val="22"/>
        </w:rPr>
        <w:t xml:space="preserve">endedores del </w:t>
      </w:r>
      <w:r w:rsidR="00677DA3">
        <w:rPr>
          <w:rFonts w:cs="Arial"/>
          <w:sz w:val="22"/>
          <w:szCs w:val="22"/>
        </w:rPr>
        <w:t>M</w:t>
      </w:r>
      <w:r w:rsidR="00677DA3" w:rsidRPr="00677DA3">
        <w:rPr>
          <w:rFonts w:cs="Arial"/>
          <w:sz w:val="22"/>
          <w:szCs w:val="22"/>
        </w:rPr>
        <w:t xml:space="preserve">ercado </w:t>
      </w:r>
      <w:r w:rsidR="00677DA3">
        <w:rPr>
          <w:rFonts w:cs="Arial"/>
          <w:sz w:val="22"/>
          <w:szCs w:val="22"/>
        </w:rPr>
        <w:t>S</w:t>
      </w:r>
      <w:r w:rsidR="00677DA3" w:rsidRPr="00677DA3">
        <w:rPr>
          <w:rFonts w:cs="Arial"/>
          <w:sz w:val="22"/>
          <w:szCs w:val="22"/>
        </w:rPr>
        <w:t xml:space="preserve">ecundario, las cantidades que podrán ser contratadas mediante contratos con interrupciones podrán ser hasta el mayor valor resultante de comparar: i.) El veinte por ciento (20%) de la cantidad de los derechos de suministro comprados en el mercado primario y en el mercado secundario para un mismo punto de entrega, que se encuentran registradas ante el Gestor del Mercado a la fecha de registro del contrato con interrupciones, mediante contratos firmes o que garantizan firmeza para el mismo período de ejecución del contrato con interrupciones que se desea registrar; y, </w:t>
      </w:r>
      <w:proofErr w:type="spellStart"/>
      <w:r w:rsidR="00677DA3" w:rsidRPr="00677DA3">
        <w:rPr>
          <w:rFonts w:cs="Arial"/>
          <w:sz w:val="22"/>
          <w:szCs w:val="22"/>
        </w:rPr>
        <w:t>ii</w:t>
      </w:r>
      <w:proofErr w:type="spellEnd"/>
      <w:r w:rsidR="00677DA3" w:rsidRPr="00677DA3">
        <w:rPr>
          <w:rFonts w:cs="Arial"/>
          <w:sz w:val="22"/>
          <w:szCs w:val="22"/>
        </w:rPr>
        <w:t>.) El ciento por ciento (100%) de la cantidad contratada mediante contratos con interrupciones en el mercado primario y en el mercado secundario para un mismo punto de entrega, que se encuentran registradas ante el Gestor del Mercado a la fecha de registro del contrato con interrupciones para el mismo período de ejecución del contrato con interrupciones que se desea registrar</w:t>
      </w:r>
    </w:p>
    <w:p w14:paraId="54D0876D" w14:textId="77777777" w:rsidR="007701B7" w:rsidRDefault="007701B7" w:rsidP="003F6B46">
      <w:pPr>
        <w:rPr>
          <w:rFonts w:cs="Arial"/>
          <w:sz w:val="22"/>
          <w:szCs w:val="22"/>
        </w:rPr>
      </w:pPr>
    </w:p>
    <w:p w14:paraId="659344CF" w14:textId="77777777" w:rsidR="00677DA3" w:rsidRDefault="00677DA3" w:rsidP="003F6B46">
      <w:pPr>
        <w:rPr>
          <w:rFonts w:cs="Arial"/>
          <w:sz w:val="22"/>
          <w:szCs w:val="22"/>
        </w:rPr>
      </w:pPr>
    </w:p>
    <w:p w14:paraId="0E4A6A09" w14:textId="77777777" w:rsidR="007701B7" w:rsidRDefault="003F6B46" w:rsidP="00766731">
      <w:pPr>
        <w:pStyle w:val="Ttulo4"/>
      </w:pPr>
      <w:bookmarkStart w:id="980" w:name="_Ref133326810"/>
      <w:r w:rsidRPr="003F6B46">
        <w:t>ACP</w:t>
      </w:r>
      <w:bookmarkEnd w:id="980"/>
      <w:r w:rsidRPr="003F6B46">
        <w:tab/>
      </w:r>
    </w:p>
    <w:p w14:paraId="6651B8BD" w14:textId="62C5051A" w:rsidR="003F6B46" w:rsidRPr="00677DA3" w:rsidRDefault="00640CF9" w:rsidP="003F6B46">
      <w:pPr>
        <w:rPr>
          <w:rFonts w:cs="Arial"/>
          <w:i/>
          <w:iCs/>
          <w:sz w:val="22"/>
          <w:szCs w:val="22"/>
        </w:rPr>
      </w:pPr>
      <w:r>
        <w:rPr>
          <w:rFonts w:cs="Arial"/>
          <w:i/>
          <w:iCs/>
          <w:sz w:val="22"/>
          <w:szCs w:val="22"/>
        </w:rPr>
        <w:t>“</w:t>
      </w:r>
      <w:r w:rsidR="003F6B46" w:rsidRPr="00677DA3">
        <w:rPr>
          <w:rFonts w:cs="Arial"/>
          <w:i/>
          <w:iCs/>
          <w:sz w:val="22"/>
          <w:szCs w:val="22"/>
        </w:rPr>
        <w:t>En el caso de que un comercializador tiene contratado una cantidad de gas en firme en el mercado primario y lo vende firme o interrumpible en el secundario pero ese comprador secundario no lo nomina para un día, ¿El comercializador puede volver a negociar ese gas directamente en modalidad en firme diario a otro cliente?</w:t>
      </w:r>
      <w:r>
        <w:rPr>
          <w:rFonts w:cs="Arial"/>
          <w:i/>
          <w:iCs/>
          <w:sz w:val="22"/>
          <w:szCs w:val="22"/>
        </w:rPr>
        <w:t>”</w:t>
      </w:r>
    </w:p>
    <w:p w14:paraId="385BF9B6" w14:textId="77777777" w:rsidR="00677DA3" w:rsidRDefault="00677DA3" w:rsidP="003F6B46">
      <w:pPr>
        <w:rPr>
          <w:rFonts w:cs="Arial"/>
          <w:sz w:val="22"/>
          <w:szCs w:val="22"/>
        </w:rPr>
      </w:pPr>
    </w:p>
    <w:p w14:paraId="5B648CEF" w14:textId="2AC91113" w:rsidR="00677DA3" w:rsidRPr="00677DA3" w:rsidRDefault="00677DA3" w:rsidP="003F6B46">
      <w:pPr>
        <w:rPr>
          <w:rFonts w:cs="Arial"/>
          <w:b/>
          <w:bCs/>
          <w:sz w:val="22"/>
          <w:szCs w:val="22"/>
        </w:rPr>
      </w:pPr>
      <w:r w:rsidRPr="00677DA3">
        <w:rPr>
          <w:rFonts w:cs="Arial"/>
          <w:b/>
          <w:bCs/>
          <w:sz w:val="22"/>
          <w:szCs w:val="22"/>
        </w:rPr>
        <w:t>Respuesta:</w:t>
      </w:r>
    </w:p>
    <w:p w14:paraId="787E69B1" w14:textId="77777777" w:rsidR="00677DA3" w:rsidRDefault="00677DA3" w:rsidP="003F6B46">
      <w:pPr>
        <w:rPr>
          <w:rFonts w:cs="Arial"/>
          <w:sz w:val="22"/>
          <w:szCs w:val="22"/>
        </w:rPr>
      </w:pPr>
    </w:p>
    <w:p w14:paraId="1A2B5C60" w14:textId="3A6AF42A" w:rsidR="00677DA3" w:rsidRDefault="00E40195" w:rsidP="003F6B46">
      <w:pPr>
        <w:rPr>
          <w:rFonts w:cs="Arial"/>
          <w:sz w:val="22"/>
          <w:szCs w:val="22"/>
        </w:rPr>
      </w:pPr>
      <w:r>
        <w:rPr>
          <w:rFonts w:cs="Arial"/>
          <w:sz w:val="22"/>
          <w:szCs w:val="22"/>
        </w:rPr>
        <w:t xml:space="preserve">Se debe tener en cuenta </w:t>
      </w:r>
      <w:r w:rsidR="009A1ED1">
        <w:rPr>
          <w:rFonts w:cs="Arial"/>
          <w:sz w:val="22"/>
          <w:szCs w:val="22"/>
        </w:rPr>
        <w:t xml:space="preserve">la aplicación del mecanismo </w:t>
      </w:r>
      <w:proofErr w:type="spellStart"/>
      <w:r w:rsidR="009A1ED1">
        <w:rPr>
          <w:rFonts w:cs="Arial"/>
          <w:sz w:val="22"/>
          <w:szCs w:val="22"/>
        </w:rPr>
        <w:t>UoVCP</w:t>
      </w:r>
      <w:proofErr w:type="spellEnd"/>
      <w:r w:rsidR="009A1ED1">
        <w:rPr>
          <w:rFonts w:cs="Arial"/>
          <w:sz w:val="22"/>
          <w:szCs w:val="22"/>
        </w:rPr>
        <w:t xml:space="preserve"> para las cantidades no nominadas al vendedor del Mercado Primario de los contratos de tipo firme o que garantizan firmeza. Ver </w:t>
      </w:r>
      <w:r>
        <w:rPr>
          <w:rFonts w:cs="Arial"/>
          <w:sz w:val="22"/>
          <w:szCs w:val="22"/>
        </w:rPr>
        <w:t xml:space="preserve">la respuesta a </w:t>
      </w:r>
      <w:r>
        <w:rPr>
          <w:rFonts w:cs="Arial"/>
          <w:sz w:val="22"/>
          <w:szCs w:val="22"/>
        </w:rPr>
        <w:fldChar w:fldCharType="begin"/>
      </w:r>
      <w:r>
        <w:rPr>
          <w:rFonts w:cs="Arial"/>
          <w:sz w:val="22"/>
          <w:szCs w:val="22"/>
        </w:rPr>
        <w:instrText xml:space="preserve"> REF _Ref133326631 \r \h </w:instrText>
      </w:r>
      <w:r>
        <w:rPr>
          <w:rFonts w:cs="Arial"/>
          <w:sz w:val="22"/>
          <w:szCs w:val="22"/>
        </w:rPr>
      </w:r>
      <w:r>
        <w:rPr>
          <w:rFonts w:cs="Arial"/>
          <w:sz w:val="22"/>
          <w:szCs w:val="22"/>
        </w:rPr>
        <w:fldChar w:fldCharType="separate"/>
      </w:r>
      <w:r>
        <w:rPr>
          <w:rFonts w:cs="Arial"/>
          <w:sz w:val="22"/>
          <w:szCs w:val="22"/>
        </w:rPr>
        <w:t>31.6.1.1</w:t>
      </w:r>
      <w:r>
        <w:rPr>
          <w:rFonts w:cs="Arial"/>
          <w:sz w:val="22"/>
          <w:szCs w:val="22"/>
        </w:rPr>
        <w:fldChar w:fldCharType="end"/>
      </w:r>
      <w:r>
        <w:rPr>
          <w:rFonts w:cs="Arial"/>
          <w:sz w:val="22"/>
          <w:szCs w:val="22"/>
        </w:rPr>
        <w:t>.</w:t>
      </w:r>
    </w:p>
    <w:p w14:paraId="2C9CA353" w14:textId="77777777" w:rsidR="00677DA3" w:rsidRPr="003F6B46" w:rsidRDefault="00677DA3" w:rsidP="003F6B46">
      <w:pPr>
        <w:rPr>
          <w:rFonts w:cs="Arial"/>
          <w:sz w:val="22"/>
          <w:szCs w:val="22"/>
        </w:rPr>
      </w:pPr>
    </w:p>
    <w:p w14:paraId="440B8370" w14:textId="77777777" w:rsidR="007701B7" w:rsidRDefault="007701B7" w:rsidP="003F6B46">
      <w:pPr>
        <w:rPr>
          <w:rFonts w:cs="Arial"/>
          <w:sz w:val="22"/>
          <w:szCs w:val="22"/>
        </w:rPr>
      </w:pPr>
    </w:p>
    <w:p w14:paraId="04950303" w14:textId="77777777" w:rsidR="007701B7" w:rsidRDefault="003F6B46" w:rsidP="00766731">
      <w:pPr>
        <w:pStyle w:val="Ttulo4"/>
      </w:pPr>
      <w:r w:rsidRPr="003F6B46">
        <w:t>ACP</w:t>
      </w:r>
      <w:r w:rsidRPr="003F6B46">
        <w:tab/>
      </w:r>
    </w:p>
    <w:p w14:paraId="68290DDD" w14:textId="34731B19" w:rsidR="003F6B46" w:rsidRPr="009A1ED1" w:rsidRDefault="00B6485F" w:rsidP="003F6B46">
      <w:pPr>
        <w:rPr>
          <w:rFonts w:cs="Arial"/>
          <w:i/>
          <w:iCs/>
          <w:sz w:val="22"/>
          <w:szCs w:val="22"/>
        </w:rPr>
      </w:pPr>
      <w:r>
        <w:rPr>
          <w:rFonts w:cs="Arial"/>
          <w:i/>
          <w:iCs/>
          <w:sz w:val="22"/>
          <w:szCs w:val="22"/>
        </w:rPr>
        <w:t>“</w:t>
      </w:r>
      <w:r w:rsidR="003F6B46" w:rsidRPr="009A1ED1">
        <w:rPr>
          <w:rFonts w:cs="Arial"/>
          <w:i/>
          <w:iCs/>
          <w:sz w:val="22"/>
          <w:szCs w:val="22"/>
        </w:rPr>
        <w:t xml:space="preserve">En el caso de un comercializador tiene contratado una cantidad de gas en firme en el primario y vende </w:t>
      </w:r>
      <w:proofErr w:type="gramStart"/>
      <w:r w:rsidR="003F6B46" w:rsidRPr="009A1ED1">
        <w:rPr>
          <w:rFonts w:cs="Arial"/>
          <w:i/>
          <w:iCs/>
          <w:sz w:val="22"/>
          <w:szCs w:val="22"/>
        </w:rPr>
        <w:t>ese misma cantidad</w:t>
      </w:r>
      <w:proofErr w:type="gramEnd"/>
      <w:r w:rsidR="003F6B46" w:rsidRPr="009A1ED1">
        <w:rPr>
          <w:rFonts w:cs="Arial"/>
          <w:i/>
          <w:iCs/>
          <w:sz w:val="22"/>
          <w:szCs w:val="22"/>
        </w:rPr>
        <w:t xml:space="preserve"> de gas en el secundario en modalidad interrumpible, ante una oportunidad posterior de vender esa misma cantidad de gas en firme, puede hacerlo?</w:t>
      </w:r>
      <w:r>
        <w:rPr>
          <w:rFonts w:cs="Arial"/>
          <w:i/>
          <w:iCs/>
          <w:sz w:val="22"/>
          <w:szCs w:val="22"/>
        </w:rPr>
        <w:t>”</w:t>
      </w:r>
    </w:p>
    <w:p w14:paraId="299AAA81" w14:textId="77777777" w:rsidR="009A1ED1" w:rsidRDefault="009A1ED1" w:rsidP="003F6B46">
      <w:pPr>
        <w:rPr>
          <w:rFonts w:cs="Arial"/>
          <w:sz w:val="22"/>
          <w:szCs w:val="22"/>
        </w:rPr>
      </w:pPr>
    </w:p>
    <w:p w14:paraId="6A8FF2BA" w14:textId="7EB7707C" w:rsidR="009A1ED1" w:rsidRPr="009A1ED1" w:rsidRDefault="009A1ED1" w:rsidP="003F6B46">
      <w:pPr>
        <w:rPr>
          <w:rFonts w:cs="Arial"/>
          <w:b/>
          <w:bCs/>
          <w:sz w:val="22"/>
          <w:szCs w:val="22"/>
        </w:rPr>
      </w:pPr>
      <w:r w:rsidRPr="009A1ED1">
        <w:rPr>
          <w:rFonts w:cs="Arial"/>
          <w:b/>
          <w:bCs/>
          <w:sz w:val="22"/>
          <w:szCs w:val="22"/>
        </w:rPr>
        <w:t>Respuesta:</w:t>
      </w:r>
    </w:p>
    <w:p w14:paraId="20D1E085" w14:textId="77777777" w:rsidR="009A1ED1" w:rsidRDefault="009A1ED1" w:rsidP="003F6B46">
      <w:pPr>
        <w:rPr>
          <w:rFonts w:cs="Arial"/>
          <w:sz w:val="22"/>
          <w:szCs w:val="22"/>
        </w:rPr>
      </w:pPr>
    </w:p>
    <w:p w14:paraId="27C39B83" w14:textId="2B47BEE6" w:rsidR="009A1ED1" w:rsidRPr="003F6B46" w:rsidRDefault="009A1ED1"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_Ref133326810 \r \h </w:instrText>
      </w:r>
      <w:r>
        <w:rPr>
          <w:rFonts w:cs="Arial"/>
          <w:sz w:val="22"/>
          <w:szCs w:val="22"/>
        </w:rPr>
      </w:r>
      <w:r>
        <w:rPr>
          <w:rFonts w:cs="Arial"/>
          <w:sz w:val="22"/>
          <w:szCs w:val="22"/>
        </w:rPr>
        <w:fldChar w:fldCharType="separate"/>
      </w:r>
      <w:r>
        <w:rPr>
          <w:rFonts w:cs="Arial"/>
          <w:sz w:val="22"/>
          <w:szCs w:val="22"/>
        </w:rPr>
        <w:t>32.1.1.7</w:t>
      </w:r>
      <w:r>
        <w:rPr>
          <w:rFonts w:cs="Arial"/>
          <w:sz w:val="22"/>
          <w:szCs w:val="22"/>
        </w:rPr>
        <w:fldChar w:fldCharType="end"/>
      </w:r>
      <w:r>
        <w:rPr>
          <w:rFonts w:cs="Arial"/>
          <w:sz w:val="22"/>
          <w:szCs w:val="22"/>
        </w:rPr>
        <w:t>.</w:t>
      </w:r>
    </w:p>
    <w:p w14:paraId="3C1FB136" w14:textId="77777777" w:rsidR="007701B7" w:rsidRDefault="007701B7" w:rsidP="003F6B46">
      <w:pPr>
        <w:rPr>
          <w:rFonts w:cs="Arial"/>
          <w:sz w:val="22"/>
          <w:szCs w:val="22"/>
        </w:rPr>
      </w:pPr>
    </w:p>
    <w:p w14:paraId="3479BDEC" w14:textId="77777777" w:rsidR="007701B7" w:rsidRDefault="007701B7" w:rsidP="003F6B46">
      <w:pPr>
        <w:rPr>
          <w:rFonts w:cs="Arial"/>
          <w:sz w:val="22"/>
          <w:szCs w:val="22"/>
        </w:rPr>
      </w:pPr>
    </w:p>
    <w:p w14:paraId="392ECD40" w14:textId="77777777" w:rsidR="007701B7" w:rsidRDefault="003F6B46" w:rsidP="00C72898">
      <w:pPr>
        <w:pStyle w:val="Ttulo2"/>
      </w:pPr>
      <w:bookmarkStart w:id="981" w:name="_Toc140506540"/>
      <w:r w:rsidRPr="003F6B46">
        <w:t>ANDESCO</w:t>
      </w:r>
      <w:bookmarkEnd w:id="981"/>
      <w:r w:rsidRPr="003F6B46">
        <w:tab/>
      </w:r>
    </w:p>
    <w:p w14:paraId="6754C564" w14:textId="77777777" w:rsidR="00766731" w:rsidRDefault="00766731" w:rsidP="00766731">
      <w:pPr>
        <w:pStyle w:val="Ttulo4"/>
      </w:pPr>
      <w:r w:rsidRPr="003F6B46">
        <w:t>ANDESCO</w:t>
      </w:r>
      <w:r w:rsidRPr="003F6B46">
        <w:tab/>
      </w:r>
    </w:p>
    <w:p w14:paraId="0A05C402" w14:textId="3D77D4E3" w:rsidR="003F6B46" w:rsidRPr="009A1ED1" w:rsidRDefault="003F6B46" w:rsidP="003F6B46">
      <w:pPr>
        <w:rPr>
          <w:rFonts w:cs="Arial"/>
          <w:i/>
          <w:iCs/>
          <w:sz w:val="22"/>
          <w:szCs w:val="22"/>
        </w:rPr>
      </w:pPr>
      <w:r w:rsidRPr="003F6B46">
        <w:rPr>
          <w:rFonts w:cs="Arial"/>
          <w:sz w:val="22"/>
          <w:szCs w:val="22"/>
        </w:rPr>
        <w:t>"</w:t>
      </w:r>
      <w:proofErr w:type="gramStart"/>
      <w:r w:rsidRPr="009A1ED1">
        <w:rPr>
          <w:rFonts w:cs="Arial"/>
          <w:i/>
          <w:iCs/>
          <w:sz w:val="22"/>
          <w:szCs w:val="22"/>
        </w:rPr>
        <w:t>En relación a</w:t>
      </w:r>
      <w:proofErr w:type="gramEnd"/>
      <w:r w:rsidRPr="009A1ED1">
        <w:rPr>
          <w:rFonts w:cs="Arial"/>
          <w:i/>
          <w:iCs/>
          <w:sz w:val="22"/>
          <w:szCs w:val="22"/>
        </w:rPr>
        <w:t xml:space="preserve"> las negociaciones de contratos con interrupciones, consideramos que las disposiciones que aplicarían para los campos de producción que no puedan negociar de manera directa en cualquier momento del año el suministro de gas, restringen la posibilidad de que un agente en efecto pueda llevar suministro al mercado. </w:t>
      </w:r>
    </w:p>
    <w:p w14:paraId="1A3D49B6" w14:textId="77777777" w:rsidR="003F6B46" w:rsidRPr="009A1ED1" w:rsidRDefault="003F6B46" w:rsidP="003F6B46">
      <w:pPr>
        <w:rPr>
          <w:rFonts w:cs="Arial"/>
          <w:i/>
          <w:iCs/>
          <w:sz w:val="22"/>
          <w:szCs w:val="22"/>
        </w:rPr>
      </w:pPr>
    </w:p>
    <w:p w14:paraId="3C417B72" w14:textId="6AF7CC49" w:rsidR="003F6B46" w:rsidRPr="009A1ED1" w:rsidRDefault="003F6B46" w:rsidP="003F6B46">
      <w:pPr>
        <w:rPr>
          <w:rFonts w:cs="Arial"/>
          <w:i/>
          <w:iCs/>
          <w:sz w:val="22"/>
          <w:szCs w:val="22"/>
        </w:rPr>
      </w:pPr>
      <w:r w:rsidRPr="009A1ED1">
        <w:rPr>
          <w:rFonts w:cs="Arial"/>
          <w:i/>
          <w:iCs/>
          <w:sz w:val="22"/>
          <w:szCs w:val="22"/>
        </w:rPr>
        <w:t>Si bien se menciona que las restricciones buscan que los Vendedores del Mercado Secundario cuenten con mayor posibilidad de vender aquellas cantidades de gas de contratos de suministro con garantía de firmeza suscritos en el Mercado Primario que eventualmente no utilicen (no nominen), que a pesar de ello deben pagar al vendedor del Mercado Primario; solicitamos aclarar cómo se cumpliría este objetivo.</w:t>
      </w:r>
      <w:r w:rsidR="00B6485F">
        <w:rPr>
          <w:rFonts w:cs="Arial"/>
          <w:i/>
          <w:iCs/>
          <w:sz w:val="22"/>
          <w:szCs w:val="22"/>
        </w:rPr>
        <w:t>”</w:t>
      </w:r>
    </w:p>
    <w:p w14:paraId="3729A453" w14:textId="77777777" w:rsidR="003F6B46" w:rsidRDefault="003F6B46" w:rsidP="003F6B46">
      <w:pPr>
        <w:rPr>
          <w:rFonts w:cs="Arial"/>
          <w:i/>
          <w:iCs/>
          <w:sz w:val="22"/>
          <w:szCs w:val="22"/>
        </w:rPr>
      </w:pPr>
    </w:p>
    <w:p w14:paraId="34FE61D3" w14:textId="77777777" w:rsidR="00C21AD0" w:rsidRPr="009A1ED1" w:rsidRDefault="00C21AD0" w:rsidP="00C21AD0">
      <w:pPr>
        <w:rPr>
          <w:rFonts w:cs="Arial"/>
          <w:b/>
          <w:bCs/>
          <w:sz w:val="22"/>
          <w:szCs w:val="22"/>
        </w:rPr>
      </w:pPr>
      <w:r w:rsidRPr="009A1ED1">
        <w:rPr>
          <w:rFonts w:cs="Arial"/>
          <w:b/>
          <w:bCs/>
          <w:sz w:val="22"/>
          <w:szCs w:val="22"/>
        </w:rPr>
        <w:t>Respuesta:</w:t>
      </w:r>
    </w:p>
    <w:p w14:paraId="1DFBADC7" w14:textId="77777777" w:rsidR="00C21AD0" w:rsidRDefault="00C21AD0" w:rsidP="00C21AD0">
      <w:pPr>
        <w:rPr>
          <w:rFonts w:cs="Arial"/>
          <w:sz w:val="22"/>
          <w:szCs w:val="22"/>
        </w:rPr>
      </w:pPr>
    </w:p>
    <w:p w14:paraId="5B4661C4" w14:textId="77777777" w:rsidR="00C21AD0" w:rsidRDefault="00C21AD0" w:rsidP="00C21AD0">
      <w:pPr>
        <w:rPr>
          <w:rFonts w:cs="Arial"/>
          <w:sz w:val="22"/>
          <w:szCs w:val="22"/>
        </w:rPr>
      </w:pPr>
      <w:r>
        <w:rPr>
          <w:rFonts w:cs="Arial"/>
          <w:sz w:val="22"/>
          <w:szCs w:val="22"/>
        </w:rPr>
        <w:t>En la propuesta no se incluye ninguna disposición que no permita la negociación directa de los contratos con interrupciones por parte de los vendedores del Mercado Primario.</w:t>
      </w:r>
    </w:p>
    <w:p w14:paraId="36217811" w14:textId="77777777" w:rsidR="00C21AD0" w:rsidRDefault="00C21AD0" w:rsidP="00C21AD0">
      <w:pPr>
        <w:rPr>
          <w:rFonts w:cs="Arial"/>
          <w:sz w:val="22"/>
          <w:szCs w:val="22"/>
        </w:rPr>
      </w:pPr>
    </w:p>
    <w:p w14:paraId="3D07F22D" w14:textId="77777777" w:rsidR="00C21AD0" w:rsidRDefault="00C21AD0" w:rsidP="00C21AD0">
      <w:pPr>
        <w:rPr>
          <w:rFonts w:cs="Arial"/>
          <w:sz w:val="22"/>
          <w:szCs w:val="22"/>
        </w:rPr>
      </w:pPr>
      <w:r>
        <w:rPr>
          <w:rFonts w:cs="Arial"/>
          <w:sz w:val="22"/>
          <w:szCs w:val="22"/>
        </w:rPr>
        <w:t>En la nueva propuesta se establece una excepción al plazo de un mes contemplado en un contrato con interrupciones para los campos en pruebas o sin declaración de comercialidad, que no tendrán esa limitación.</w:t>
      </w:r>
    </w:p>
    <w:p w14:paraId="620355C5" w14:textId="77777777" w:rsidR="00C21AD0" w:rsidRDefault="00C21AD0" w:rsidP="003F6B46">
      <w:pPr>
        <w:rPr>
          <w:rFonts w:cs="Arial"/>
          <w:i/>
          <w:iCs/>
          <w:sz w:val="22"/>
          <w:szCs w:val="22"/>
        </w:rPr>
      </w:pPr>
    </w:p>
    <w:p w14:paraId="2D716CCB" w14:textId="77777777" w:rsidR="00C21AD0" w:rsidRPr="009A1ED1" w:rsidRDefault="00C21AD0" w:rsidP="003F6B46">
      <w:pPr>
        <w:rPr>
          <w:rFonts w:cs="Arial"/>
          <w:i/>
          <w:iCs/>
          <w:sz w:val="22"/>
          <w:szCs w:val="22"/>
        </w:rPr>
      </w:pPr>
    </w:p>
    <w:p w14:paraId="686E62B0" w14:textId="77777777" w:rsidR="00C21AD0" w:rsidRDefault="00C21AD0" w:rsidP="00C21AD0">
      <w:pPr>
        <w:pStyle w:val="Ttulo4"/>
      </w:pPr>
      <w:bookmarkStart w:id="982" w:name="_Ref133334109"/>
      <w:r w:rsidRPr="003F6B46">
        <w:t>ANDESCO</w:t>
      </w:r>
      <w:bookmarkEnd w:id="982"/>
      <w:r w:rsidRPr="003F6B46">
        <w:tab/>
      </w:r>
    </w:p>
    <w:p w14:paraId="5391CACF" w14:textId="77CCFD9C" w:rsidR="003F6B46" w:rsidRPr="003F6B46" w:rsidRDefault="00907E48" w:rsidP="003F6B46">
      <w:pPr>
        <w:rPr>
          <w:rFonts w:cs="Arial"/>
          <w:sz w:val="22"/>
          <w:szCs w:val="22"/>
        </w:rPr>
      </w:pPr>
      <w:r>
        <w:rPr>
          <w:rFonts w:cs="Arial"/>
          <w:i/>
          <w:iCs/>
          <w:sz w:val="22"/>
          <w:szCs w:val="22"/>
        </w:rPr>
        <w:t>“</w:t>
      </w:r>
      <w:r w:rsidR="003F6B46" w:rsidRPr="009A1ED1">
        <w:rPr>
          <w:rFonts w:cs="Arial"/>
          <w:i/>
          <w:iCs/>
          <w:sz w:val="22"/>
          <w:szCs w:val="22"/>
        </w:rPr>
        <w:t>Por otra parte, se permitiría al vendedor vender las cantidades de los contratos CF95 y de los contratos CF80. No obstante, no es claro cómo operaría este proceso, contemplando, además, que el proyecto no incluye ajustes a las disposiciones de balances diarios</w:t>
      </w:r>
      <w:r w:rsidR="003F6B46" w:rsidRPr="003F6B46">
        <w:rPr>
          <w:rFonts w:cs="Arial"/>
          <w:sz w:val="22"/>
          <w:szCs w:val="22"/>
        </w:rPr>
        <w:t>."</w:t>
      </w:r>
    </w:p>
    <w:p w14:paraId="2B9F96D7" w14:textId="77777777" w:rsidR="007701B7" w:rsidRDefault="007701B7" w:rsidP="003F6B46">
      <w:pPr>
        <w:rPr>
          <w:rFonts w:cs="Arial"/>
          <w:sz w:val="22"/>
          <w:szCs w:val="22"/>
        </w:rPr>
      </w:pPr>
    </w:p>
    <w:p w14:paraId="655C628E" w14:textId="325527B9" w:rsidR="00C21AD0" w:rsidRPr="00C21AD0" w:rsidRDefault="00C21AD0" w:rsidP="003F6B46">
      <w:pPr>
        <w:rPr>
          <w:rFonts w:cs="Arial"/>
          <w:b/>
          <w:bCs/>
          <w:sz w:val="22"/>
          <w:szCs w:val="22"/>
        </w:rPr>
      </w:pPr>
      <w:r w:rsidRPr="00C21AD0">
        <w:rPr>
          <w:rFonts w:cs="Arial"/>
          <w:b/>
          <w:bCs/>
          <w:sz w:val="22"/>
          <w:szCs w:val="22"/>
        </w:rPr>
        <w:t>Respuesta:</w:t>
      </w:r>
    </w:p>
    <w:p w14:paraId="75BE3826" w14:textId="77777777" w:rsidR="00C21AD0" w:rsidRDefault="00C21AD0" w:rsidP="003F6B46">
      <w:pPr>
        <w:rPr>
          <w:rFonts w:cs="Arial"/>
          <w:sz w:val="22"/>
          <w:szCs w:val="22"/>
        </w:rPr>
      </w:pPr>
    </w:p>
    <w:p w14:paraId="17CE1674" w14:textId="7F8BC054" w:rsidR="00C21AD0" w:rsidRDefault="00C21AD0" w:rsidP="003F6B46">
      <w:pPr>
        <w:rPr>
          <w:rFonts w:cs="Arial"/>
          <w:sz w:val="22"/>
          <w:szCs w:val="22"/>
        </w:rPr>
      </w:pPr>
      <w:r>
        <w:rPr>
          <w:rFonts w:cs="Arial"/>
          <w:sz w:val="22"/>
          <w:szCs w:val="22"/>
        </w:rPr>
        <w:t xml:space="preserve">Ver respuesta a </w:t>
      </w:r>
      <w:r w:rsidR="00EB518A">
        <w:rPr>
          <w:rFonts w:cs="Arial"/>
          <w:sz w:val="22"/>
          <w:szCs w:val="22"/>
        </w:rPr>
        <w:fldChar w:fldCharType="begin"/>
      </w:r>
      <w:r w:rsidR="00EB518A">
        <w:rPr>
          <w:rFonts w:cs="Arial"/>
          <w:sz w:val="22"/>
          <w:szCs w:val="22"/>
        </w:rPr>
        <w:instrText xml:space="preserve"> REF _Ref132897384 \r \h </w:instrText>
      </w:r>
      <w:r w:rsidR="00EB518A">
        <w:rPr>
          <w:rFonts w:cs="Arial"/>
          <w:sz w:val="22"/>
          <w:szCs w:val="22"/>
        </w:rPr>
      </w:r>
      <w:r w:rsidR="00EB518A">
        <w:rPr>
          <w:rFonts w:cs="Arial"/>
          <w:sz w:val="22"/>
          <w:szCs w:val="22"/>
        </w:rPr>
        <w:fldChar w:fldCharType="separate"/>
      </w:r>
      <w:r w:rsidR="00EB518A">
        <w:rPr>
          <w:rFonts w:cs="Arial"/>
          <w:sz w:val="22"/>
          <w:szCs w:val="22"/>
        </w:rPr>
        <w:t>19.23.1.4</w:t>
      </w:r>
      <w:r w:rsidR="00EB518A">
        <w:rPr>
          <w:rFonts w:cs="Arial"/>
          <w:sz w:val="22"/>
          <w:szCs w:val="22"/>
        </w:rPr>
        <w:fldChar w:fldCharType="end"/>
      </w:r>
      <w:r w:rsidR="00EB518A">
        <w:rPr>
          <w:rFonts w:cs="Arial"/>
          <w:sz w:val="22"/>
          <w:szCs w:val="22"/>
        </w:rPr>
        <w:t>.</w:t>
      </w:r>
    </w:p>
    <w:p w14:paraId="07F847CD" w14:textId="77777777" w:rsidR="009A1ED1" w:rsidRDefault="009A1ED1" w:rsidP="003F6B46">
      <w:pPr>
        <w:rPr>
          <w:rFonts w:cs="Arial"/>
          <w:sz w:val="22"/>
          <w:szCs w:val="22"/>
        </w:rPr>
      </w:pPr>
    </w:p>
    <w:p w14:paraId="26DC0BB1" w14:textId="77777777" w:rsidR="007701B7" w:rsidRDefault="007701B7" w:rsidP="003F6B46">
      <w:pPr>
        <w:rPr>
          <w:rFonts w:cs="Arial"/>
          <w:sz w:val="22"/>
          <w:szCs w:val="22"/>
        </w:rPr>
      </w:pPr>
    </w:p>
    <w:p w14:paraId="7A059675" w14:textId="77777777" w:rsidR="007701B7" w:rsidRDefault="003F6B46" w:rsidP="00C72898">
      <w:pPr>
        <w:pStyle w:val="Ttulo2"/>
      </w:pPr>
      <w:bookmarkStart w:id="983" w:name="_Toc140506541"/>
      <w:r w:rsidRPr="003F6B46">
        <w:t>ANDI</w:t>
      </w:r>
      <w:bookmarkEnd w:id="983"/>
      <w:r w:rsidRPr="003F6B46">
        <w:tab/>
      </w:r>
    </w:p>
    <w:p w14:paraId="1CEC7B80" w14:textId="77777777" w:rsidR="00766731" w:rsidRDefault="00766731" w:rsidP="00766731">
      <w:pPr>
        <w:pStyle w:val="Ttulo4"/>
      </w:pPr>
      <w:bookmarkStart w:id="984" w:name="_Ref133328708"/>
      <w:r w:rsidRPr="003F6B46">
        <w:t>ANDI</w:t>
      </w:r>
      <w:bookmarkEnd w:id="984"/>
      <w:r w:rsidRPr="003F6B46">
        <w:tab/>
      </w:r>
    </w:p>
    <w:p w14:paraId="1B1E4C0E" w14:textId="126C0BC9" w:rsidR="003F6B46" w:rsidRPr="00EB518A" w:rsidRDefault="00907E48" w:rsidP="003F6B46">
      <w:pPr>
        <w:rPr>
          <w:rFonts w:cs="Arial"/>
          <w:i/>
          <w:iCs/>
          <w:sz w:val="22"/>
          <w:szCs w:val="22"/>
        </w:rPr>
      </w:pPr>
      <w:r>
        <w:rPr>
          <w:rFonts w:cs="Arial"/>
          <w:i/>
          <w:iCs/>
          <w:sz w:val="22"/>
          <w:szCs w:val="22"/>
        </w:rPr>
        <w:t>“</w:t>
      </w:r>
      <w:r w:rsidR="003F6B46" w:rsidRPr="00EB518A">
        <w:rPr>
          <w:rFonts w:cs="Arial"/>
          <w:i/>
          <w:iCs/>
          <w:sz w:val="22"/>
          <w:szCs w:val="22"/>
        </w:rPr>
        <w:t>Negociación de contratos con interrupciones a través de negociaciones directas, es importante evitar que el gas quede atrapado porque los agentes que lo tienen contratado no lo requieran, mientras un agente industrial puede estar en disposición, dependiendo del precio, de consumir dicho gas.</w:t>
      </w:r>
      <w:r>
        <w:rPr>
          <w:rFonts w:cs="Arial"/>
          <w:i/>
          <w:iCs/>
          <w:sz w:val="22"/>
          <w:szCs w:val="22"/>
        </w:rPr>
        <w:t>”</w:t>
      </w:r>
    </w:p>
    <w:p w14:paraId="522317BA" w14:textId="77777777" w:rsidR="00EB518A" w:rsidRDefault="00EB518A" w:rsidP="003F6B46">
      <w:pPr>
        <w:rPr>
          <w:rFonts w:cs="Arial"/>
          <w:sz w:val="22"/>
          <w:szCs w:val="22"/>
        </w:rPr>
      </w:pPr>
    </w:p>
    <w:p w14:paraId="70A028DB" w14:textId="64E78DC4" w:rsidR="00EB518A" w:rsidRPr="00EB518A" w:rsidRDefault="00EB518A" w:rsidP="003F6B46">
      <w:pPr>
        <w:rPr>
          <w:rFonts w:cs="Arial"/>
          <w:b/>
          <w:bCs/>
          <w:sz w:val="22"/>
          <w:szCs w:val="22"/>
        </w:rPr>
      </w:pPr>
      <w:r w:rsidRPr="00EB518A">
        <w:rPr>
          <w:rFonts w:cs="Arial"/>
          <w:b/>
          <w:bCs/>
          <w:sz w:val="22"/>
          <w:szCs w:val="22"/>
        </w:rPr>
        <w:t>Respuesta:</w:t>
      </w:r>
    </w:p>
    <w:p w14:paraId="226DABDF" w14:textId="77777777" w:rsidR="00EB518A" w:rsidRDefault="00EB518A" w:rsidP="003F6B46">
      <w:pPr>
        <w:rPr>
          <w:rFonts w:cs="Arial"/>
          <w:sz w:val="22"/>
          <w:szCs w:val="22"/>
        </w:rPr>
      </w:pPr>
    </w:p>
    <w:p w14:paraId="6969622A" w14:textId="6F5187E8" w:rsidR="00EB518A" w:rsidRDefault="003B3791" w:rsidP="003F6B46">
      <w:pPr>
        <w:rPr>
          <w:rFonts w:cs="Arial"/>
          <w:sz w:val="22"/>
          <w:szCs w:val="22"/>
        </w:rPr>
      </w:pPr>
      <w:r>
        <w:rPr>
          <w:rFonts w:cs="Arial"/>
          <w:sz w:val="22"/>
          <w:szCs w:val="22"/>
        </w:rPr>
        <w:t>En la propuesta se está flexibilizando la “condición” de que</w:t>
      </w:r>
      <w:r w:rsidR="00497616">
        <w:rPr>
          <w:rFonts w:cs="Arial"/>
          <w:sz w:val="22"/>
          <w:szCs w:val="22"/>
        </w:rPr>
        <w:t>,</w:t>
      </w:r>
      <w:r>
        <w:rPr>
          <w:rFonts w:cs="Arial"/>
          <w:sz w:val="22"/>
          <w:szCs w:val="22"/>
        </w:rPr>
        <w:t xml:space="preserve"> para las cantidades a comprometer en l</w:t>
      </w:r>
      <w:r w:rsidR="00354D4C">
        <w:rPr>
          <w:rFonts w:cs="Arial"/>
          <w:sz w:val="22"/>
          <w:szCs w:val="22"/>
        </w:rPr>
        <w:t>a</w:t>
      </w:r>
      <w:r>
        <w:rPr>
          <w:rFonts w:cs="Arial"/>
          <w:sz w:val="22"/>
          <w:szCs w:val="22"/>
        </w:rPr>
        <w:t xml:space="preserve"> suscripción de contratos con interrupciones, el vendedor del Mercado Primario no supere las cantidades totales de PTDV declaradas al MME.</w:t>
      </w:r>
    </w:p>
    <w:p w14:paraId="5658E69A" w14:textId="77777777" w:rsidR="000A6F9A" w:rsidRDefault="000A6F9A" w:rsidP="003F6B46">
      <w:pPr>
        <w:rPr>
          <w:rFonts w:cs="Arial"/>
          <w:sz w:val="22"/>
          <w:szCs w:val="22"/>
        </w:rPr>
      </w:pPr>
    </w:p>
    <w:p w14:paraId="5470BAA6" w14:textId="36984CD5" w:rsidR="000A6F9A" w:rsidRDefault="000A6F9A" w:rsidP="003F6B46">
      <w:pPr>
        <w:rPr>
          <w:rFonts w:cs="Arial"/>
          <w:sz w:val="22"/>
          <w:szCs w:val="22"/>
        </w:rPr>
      </w:pPr>
      <w:r>
        <w:rPr>
          <w:rFonts w:cs="Arial"/>
          <w:sz w:val="22"/>
          <w:szCs w:val="22"/>
        </w:rPr>
        <w:t xml:space="preserve">Ahora, también se busca un balance en que no se desborden las cantidades comprometidas en esta modalidad de contratos, ver respuesta a </w:t>
      </w:r>
      <w:r w:rsidR="007B251E">
        <w:rPr>
          <w:rFonts w:cs="Arial"/>
          <w:sz w:val="22"/>
          <w:szCs w:val="22"/>
        </w:rPr>
        <w:fldChar w:fldCharType="begin"/>
      </w:r>
      <w:r w:rsidR="007B251E">
        <w:rPr>
          <w:rFonts w:cs="Arial"/>
          <w:sz w:val="22"/>
          <w:szCs w:val="22"/>
        </w:rPr>
        <w:instrText xml:space="preserve"> REF _Ref133327912 \r \h </w:instrText>
      </w:r>
      <w:r w:rsidR="007B251E">
        <w:rPr>
          <w:rFonts w:cs="Arial"/>
          <w:sz w:val="22"/>
          <w:szCs w:val="22"/>
        </w:rPr>
      </w:r>
      <w:r w:rsidR="007B251E">
        <w:rPr>
          <w:rFonts w:cs="Arial"/>
          <w:sz w:val="22"/>
          <w:szCs w:val="22"/>
        </w:rPr>
        <w:fldChar w:fldCharType="separate"/>
      </w:r>
      <w:r w:rsidR="007B251E">
        <w:rPr>
          <w:rFonts w:cs="Arial"/>
          <w:sz w:val="22"/>
          <w:szCs w:val="22"/>
        </w:rPr>
        <w:t>32.1.1.5</w:t>
      </w:r>
      <w:r w:rsidR="007B251E">
        <w:rPr>
          <w:rFonts w:cs="Arial"/>
          <w:sz w:val="22"/>
          <w:szCs w:val="22"/>
        </w:rPr>
        <w:fldChar w:fldCharType="end"/>
      </w:r>
      <w:r w:rsidR="007B251E">
        <w:rPr>
          <w:rFonts w:cs="Arial"/>
          <w:sz w:val="22"/>
          <w:szCs w:val="22"/>
        </w:rPr>
        <w:t>.</w:t>
      </w:r>
      <w:r w:rsidR="00B75850">
        <w:rPr>
          <w:rFonts w:cs="Arial"/>
          <w:sz w:val="22"/>
          <w:szCs w:val="22"/>
        </w:rPr>
        <w:t xml:space="preserve"> La nueva propuesta con topes de cantidades máximas totales a comprometerse en contratos con interrupciones, tanto por los vendedores del Mercado Primario como por los vendedores del Mercado Secundario, busca un mayor equilibrio ente la parte vendedora con expectativa de despachar gas disponible, lo cual tiene mayor probabilidad de que ocurra si no tiene limitaciones de cantidades contratadas y la parte compradora con expectativa de que le entreguen gas disponible si lo requiere, lo cual tiene mayor probabilidad de que ocurra si hay mayor limitación de cantidades contratadas por el vendedor</w:t>
      </w:r>
    </w:p>
    <w:p w14:paraId="5369E37A" w14:textId="77777777" w:rsidR="007B251E" w:rsidRDefault="007B251E" w:rsidP="003F6B46">
      <w:pPr>
        <w:rPr>
          <w:rFonts w:cs="Arial"/>
          <w:sz w:val="22"/>
          <w:szCs w:val="22"/>
        </w:rPr>
      </w:pPr>
    </w:p>
    <w:p w14:paraId="19C821B3" w14:textId="7FC11188" w:rsidR="002E0ED5" w:rsidRDefault="002E0ED5" w:rsidP="003F6B46">
      <w:pPr>
        <w:rPr>
          <w:rFonts w:cs="Arial"/>
          <w:sz w:val="22"/>
          <w:szCs w:val="22"/>
        </w:rPr>
      </w:pPr>
      <w:r>
        <w:rPr>
          <w:rFonts w:cs="Arial"/>
          <w:sz w:val="22"/>
          <w:szCs w:val="22"/>
        </w:rPr>
        <w:t>Se debe tener en cuenta que el precio que se pacta en un contrato con interrupciones no es un precio fijo, sino que es un precio máximo.</w:t>
      </w:r>
    </w:p>
    <w:p w14:paraId="7423BA6E" w14:textId="77777777" w:rsidR="002E0ED5" w:rsidRDefault="002E0ED5" w:rsidP="003F6B46">
      <w:pPr>
        <w:rPr>
          <w:rFonts w:cs="Arial"/>
          <w:sz w:val="22"/>
          <w:szCs w:val="22"/>
        </w:rPr>
      </w:pPr>
    </w:p>
    <w:p w14:paraId="021D27F3" w14:textId="2DC1854E" w:rsidR="002343C9" w:rsidRDefault="007B251E" w:rsidP="003F6B46">
      <w:pPr>
        <w:rPr>
          <w:rFonts w:cs="Arial"/>
          <w:sz w:val="22"/>
          <w:szCs w:val="22"/>
        </w:rPr>
      </w:pPr>
      <w:r>
        <w:rPr>
          <w:rFonts w:cs="Arial"/>
          <w:sz w:val="22"/>
          <w:szCs w:val="22"/>
        </w:rPr>
        <w:t xml:space="preserve">Finalmente en la propuesta se establece que </w:t>
      </w:r>
      <w:r w:rsidR="002343C9" w:rsidRPr="002343C9">
        <w:rPr>
          <w:rFonts w:cs="Arial"/>
          <w:sz w:val="22"/>
          <w:szCs w:val="22"/>
        </w:rPr>
        <w:t xml:space="preserve">los vendedores deberán establecer y publicar un mecanismo que cumpla con criterios establecidos </w:t>
      </w:r>
      <w:r w:rsidR="002343C9">
        <w:rPr>
          <w:rFonts w:cs="Arial"/>
          <w:sz w:val="22"/>
          <w:szCs w:val="22"/>
        </w:rPr>
        <w:t>en</w:t>
      </w:r>
      <w:r w:rsidR="002343C9" w:rsidRPr="002343C9">
        <w:rPr>
          <w:rFonts w:cs="Arial"/>
          <w:sz w:val="22"/>
          <w:szCs w:val="22"/>
        </w:rPr>
        <w:t xml:space="preserve"> la resolución, para ser aplicado en la autorización de las nominaciones de suministro, asegurando la neutralidad y evitando tratos discriminatorios indebidos, el cual debe ser de público conocimiento de los compradores del mercado primario y los compradores del mercado secundario que tengan vigentes contratos con interrupciones, así como de futuros compradores interesados en esa modalidad contractual</w:t>
      </w:r>
      <w:r w:rsidR="002E0ED5">
        <w:rPr>
          <w:rFonts w:cs="Arial"/>
          <w:sz w:val="22"/>
          <w:szCs w:val="22"/>
        </w:rPr>
        <w:t>.</w:t>
      </w:r>
    </w:p>
    <w:p w14:paraId="3CC83704" w14:textId="77777777" w:rsidR="002E0ED5" w:rsidRDefault="002E0ED5" w:rsidP="003F6B46">
      <w:pPr>
        <w:rPr>
          <w:rFonts w:cs="Arial"/>
          <w:sz w:val="22"/>
          <w:szCs w:val="22"/>
        </w:rPr>
      </w:pPr>
    </w:p>
    <w:p w14:paraId="7F039A20" w14:textId="00C34D45" w:rsidR="002E0ED5" w:rsidRPr="003F6B46" w:rsidRDefault="002E0ED5" w:rsidP="003F6B46">
      <w:pPr>
        <w:rPr>
          <w:rFonts w:cs="Arial"/>
          <w:sz w:val="22"/>
          <w:szCs w:val="22"/>
        </w:rPr>
      </w:pPr>
    </w:p>
    <w:p w14:paraId="6C89F9CC" w14:textId="77777777" w:rsidR="007701B7" w:rsidRDefault="003F6B46" w:rsidP="00C72898">
      <w:pPr>
        <w:pStyle w:val="Ttulo2"/>
      </w:pPr>
      <w:bookmarkStart w:id="985" w:name="_Toc140506542"/>
      <w:r w:rsidRPr="003F6B46">
        <w:t>BOLSA MERCANTIL DE COLOMBIA</w:t>
      </w:r>
      <w:bookmarkEnd w:id="985"/>
      <w:r w:rsidRPr="003F6B46">
        <w:tab/>
      </w:r>
    </w:p>
    <w:p w14:paraId="7DE43F3B" w14:textId="77777777" w:rsidR="00766731" w:rsidRDefault="00766731" w:rsidP="00766731">
      <w:pPr>
        <w:pStyle w:val="Ttulo4"/>
      </w:pPr>
      <w:r w:rsidRPr="003F6B46">
        <w:t>BOLSA MERCANTIL DE COLOMBIA</w:t>
      </w:r>
      <w:r w:rsidRPr="003F6B46">
        <w:tab/>
      </w:r>
    </w:p>
    <w:p w14:paraId="74587B4A" w14:textId="7F1090E3" w:rsidR="003F6B46" w:rsidRPr="008D368C" w:rsidRDefault="002002ED" w:rsidP="003F6B46">
      <w:pPr>
        <w:rPr>
          <w:rFonts w:cs="Arial"/>
          <w:i/>
          <w:iCs/>
          <w:sz w:val="22"/>
          <w:szCs w:val="22"/>
        </w:rPr>
      </w:pPr>
      <w:r>
        <w:rPr>
          <w:rFonts w:cs="Arial"/>
          <w:i/>
          <w:iCs/>
          <w:sz w:val="22"/>
          <w:szCs w:val="22"/>
        </w:rPr>
        <w:t>“</w:t>
      </w:r>
      <w:r w:rsidR="003F6B46" w:rsidRPr="008D368C">
        <w:rPr>
          <w:rFonts w:cs="Arial"/>
          <w:i/>
          <w:iCs/>
          <w:sz w:val="22"/>
          <w:szCs w:val="22"/>
        </w:rPr>
        <w:t>No queda explicito que la información de ejecución del contrato con interrupciones debe diferenciar en la declaración de las partes si es para el Mercado Primario o para el Mercado Secundario.</w:t>
      </w:r>
      <w:r>
        <w:rPr>
          <w:rFonts w:cs="Arial"/>
          <w:i/>
          <w:iCs/>
          <w:sz w:val="22"/>
          <w:szCs w:val="22"/>
        </w:rPr>
        <w:t>”</w:t>
      </w:r>
    </w:p>
    <w:p w14:paraId="2BA532A7" w14:textId="77777777" w:rsidR="008D368C" w:rsidRDefault="008D368C" w:rsidP="003F6B46">
      <w:pPr>
        <w:rPr>
          <w:rFonts w:cs="Arial"/>
          <w:sz w:val="22"/>
          <w:szCs w:val="22"/>
        </w:rPr>
      </w:pPr>
    </w:p>
    <w:p w14:paraId="7C28210F" w14:textId="45D37D83" w:rsidR="008D368C" w:rsidRPr="008D368C" w:rsidRDefault="008D368C" w:rsidP="003F6B46">
      <w:pPr>
        <w:rPr>
          <w:rFonts w:cs="Arial"/>
          <w:b/>
          <w:bCs/>
          <w:sz w:val="22"/>
          <w:szCs w:val="22"/>
        </w:rPr>
      </w:pPr>
      <w:r w:rsidRPr="008D368C">
        <w:rPr>
          <w:rFonts w:cs="Arial"/>
          <w:b/>
          <w:bCs/>
          <w:sz w:val="22"/>
          <w:szCs w:val="22"/>
        </w:rPr>
        <w:t>Respuesta:</w:t>
      </w:r>
    </w:p>
    <w:p w14:paraId="02F7D0D3" w14:textId="77777777" w:rsidR="008D368C" w:rsidRDefault="008D368C" w:rsidP="003F6B46">
      <w:pPr>
        <w:rPr>
          <w:rFonts w:cs="Arial"/>
          <w:sz w:val="22"/>
          <w:szCs w:val="22"/>
        </w:rPr>
      </w:pPr>
    </w:p>
    <w:p w14:paraId="079C5C1D" w14:textId="5C3672C1" w:rsidR="008D368C" w:rsidRDefault="00060089" w:rsidP="003F6B46">
      <w:pPr>
        <w:rPr>
          <w:rFonts w:cs="Arial"/>
          <w:sz w:val="22"/>
          <w:szCs w:val="22"/>
        </w:rPr>
      </w:pPr>
      <w:r>
        <w:rPr>
          <w:rFonts w:cs="Arial"/>
          <w:sz w:val="22"/>
          <w:szCs w:val="22"/>
        </w:rPr>
        <w:t>No se acoge el comentario.</w:t>
      </w:r>
    </w:p>
    <w:p w14:paraId="344B499E" w14:textId="77777777" w:rsidR="00060089" w:rsidRDefault="00060089" w:rsidP="003F6B46">
      <w:pPr>
        <w:rPr>
          <w:rFonts w:cs="Arial"/>
          <w:sz w:val="22"/>
          <w:szCs w:val="22"/>
        </w:rPr>
      </w:pPr>
    </w:p>
    <w:p w14:paraId="7CCB4452" w14:textId="0A76220A" w:rsidR="00060089" w:rsidRDefault="00060089" w:rsidP="003F6B46">
      <w:pPr>
        <w:rPr>
          <w:rFonts w:cs="Arial"/>
          <w:sz w:val="22"/>
          <w:szCs w:val="22"/>
        </w:rPr>
      </w:pPr>
      <w:r>
        <w:rPr>
          <w:rFonts w:cs="Arial"/>
          <w:sz w:val="22"/>
          <w:szCs w:val="22"/>
        </w:rPr>
        <w:t>Al informarse la ejecución del contrato con interrupciones, el Gestor del Mercado puede deducir de qué contrato se trata y en qué Mercado se negoció (primario o secundario).</w:t>
      </w:r>
    </w:p>
    <w:p w14:paraId="077188D9" w14:textId="77777777" w:rsidR="008D368C" w:rsidRPr="003F6B46" w:rsidRDefault="008D368C" w:rsidP="003F6B46">
      <w:pPr>
        <w:rPr>
          <w:rFonts w:cs="Arial"/>
          <w:sz w:val="22"/>
          <w:szCs w:val="22"/>
        </w:rPr>
      </w:pPr>
    </w:p>
    <w:p w14:paraId="4B249804" w14:textId="77777777" w:rsidR="007701B7" w:rsidRDefault="007701B7" w:rsidP="003F6B46">
      <w:pPr>
        <w:rPr>
          <w:rFonts w:cs="Arial"/>
          <w:sz w:val="22"/>
          <w:szCs w:val="22"/>
        </w:rPr>
      </w:pPr>
    </w:p>
    <w:p w14:paraId="5C30B4B3" w14:textId="77777777" w:rsidR="007701B7" w:rsidRDefault="003F6B46" w:rsidP="00766731">
      <w:pPr>
        <w:pStyle w:val="Ttulo4"/>
      </w:pPr>
      <w:r w:rsidRPr="003F6B46">
        <w:t>BOLSA MERCANTIL DE COLOMBIA</w:t>
      </w:r>
      <w:r w:rsidRPr="003F6B46">
        <w:tab/>
      </w:r>
    </w:p>
    <w:p w14:paraId="017ECDA8" w14:textId="33F5547A" w:rsidR="003F6B46" w:rsidRPr="00060089" w:rsidRDefault="00713585" w:rsidP="003F6B46">
      <w:pPr>
        <w:rPr>
          <w:rFonts w:cs="Arial"/>
          <w:i/>
          <w:iCs/>
          <w:sz w:val="22"/>
          <w:szCs w:val="22"/>
        </w:rPr>
      </w:pPr>
      <w:r>
        <w:rPr>
          <w:rFonts w:cs="Arial"/>
          <w:i/>
          <w:iCs/>
          <w:sz w:val="22"/>
          <w:szCs w:val="22"/>
        </w:rPr>
        <w:t>“</w:t>
      </w:r>
      <w:r w:rsidR="003F6B46" w:rsidRPr="00060089">
        <w:rPr>
          <w:rFonts w:cs="Arial"/>
          <w:i/>
          <w:iCs/>
          <w:sz w:val="22"/>
          <w:szCs w:val="22"/>
        </w:rPr>
        <w:t>Dado que este aparte prevé la posibilidad de que el Productor - Comercializador o Comercializador de Gas Importado negocie de manera directa las cantidades no nominadas de la parte variable de los contratos CF80 y CF95 y a su vez, dado que la nominación se realiza de manera diaria, se entendería que estos contratos derivados de estos excedentes no nominados serían de duración diaria.</w:t>
      </w:r>
      <w:r>
        <w:rPr>
          <w:rFonts w:cs="Arial"/>
          <w:i/>
          <w:iCs/>
          <w:sz w:val="22"/>
          <w:szCs w:val="22"/>
        </w:rPr>
        <w:t>”</w:t>
      </w:r>
      <w:r w:rsidR="003F6B46" w:rsidRPr="00060089">
        <w:rPr>
          <w:rFonts w:cs="Arial"/>
          <w:i/>
          <w:iCs/>
          <w:sz w:val="22"/>
          <w:szCs w:val="22"/>
        </w:rPr>
        <w:t xml:space="preserve"> </w:t>
      </w:r>
    </w:p>
    <w:p w14:paraId="7F7D439A" w14:textId="77777777" w:rsidR="007701B7" w:rsidRDefault="007701B7" w:rsidP="003F6B46">
      <w:pPr>
        <w:rPr>
          <w:rFonts w:cs="Arial"/>
          <w:sz w:val="22"/>
          <w:szCs w:val="22"/>
        </w:rPr>
      </w:pPr>
    </w:p>
    <w:p w14:paraId="57781367" w14:textId="77777777" w:rsidR="00060089" w:rsidRDefault="00060089" w:rsidP="003F6B46">
      <w:pPr>
        <w:rPr>
          <w:rFonts w:cs="Arial"/>
          <w:sz w:val="22"/>
          <w:szCs w:val="22"/>
        </w:rPr>
      </w:pPr>
    </w:p>
    <w:p w14:paraId="285B9BD2" w14:textId="6B6B6990" w:rsidR="00060089" w:rsidRPr="00060089" w:rsidRDefault="00060089" w:rsidP="003F6B46">
      <w:pPr>
        <w:rPr>
          <w:rFonts w:cs="Arial"/>
          <w:b/>
          <w:bCs/>
          <w:sz w:val="22"/>
          <w:szCs w:val="22"/>
        </w:rPr>
      </w:pPr>
      <w:r w:rsidRPr="00060089">
        <w:rPr>
          <w:rFonts w:cs="Arial"/>
          <w:b/>
          <w:bCs/>
          <w:sz w:val="22"/>
          <w:szCs w:val="22"/>
        </w:rPr>
        <w:t>Respuesta:</w:t>
      </w:r>
    </w:p>
    <w:p w14:paraId="12FE94A7" w14:textId="77777777" w:rsidR="00060089" w:rsidRDefault="00060089" w:rsidP="003F6B46">
      <w:pPr>
        <w:rPr>
          <w:rFonts w:cs="Arial"/>
          <w:sz w:val="22"/>
          <w:szCs w:val="22"/>
        </w:rPr>
      </w:pPr>
    </w:p>
    <w:p w14:paraId="5B2CFBBE" w14:textId="79DDF840" w:rsidR="00060089" w:rsidRDefault="008D7B3D" w:rsidP="003F6B46">
      <w:pPr>
        <w:rPr>
          <w:rFonts w:cs="Arial"/>
          <w:sz w:val="22"/>
          <w:szCs w:val="22"/>
        </w:rPr>
      </w:pPr>
      <w:r>
        <w:rPr>
          <w:rFonts w:cs="Arial"/>
          <w:sz w:val="22"/>
          <w:szCs w:val="22"/>
        </w:rPr>
        <w:t xml:space="preserve">Ver la respuesta a </w:t>
      </w:r>
      <w:r>
        <w:rPr>
          <w:rFonts w:cs="Arial"/>
          <w:sz w:val="22"/>
          <w:szCs w:val="22"/>
        </w:rPr>
        <w:fldChar w:fldCharType="begin"/>
      </w:r>
      <w:r>
        <w:rPr>
          <w:rFonts w:cs="Arial"/>
          <w:sz w:val="22"/>
          <w:szCs w:val="22"/>
        </w:rPr>
        <w:instrText xml:space="preserve"> REF _Ref132897384 \r \h </w:instrText>
      </w:r>
      <w:r>
        <w:rPr>
          <w:rFonts w:cs="Arial"/>
          <w:sz w:val="22"/>
          <w:szCs w:val="22"/>
        </w:rPr>
      </w:r>
      <w:r>
        <w:rPr>
          <w:rFonts w:cs="Arial"/>
          <w:sz w:val="22"/>
          <w:szCs w:val="22"/>
        </w:rPr>
        <w:fldChar w:fldCharType="separate"/>
      </w:r>
      <w:r>
        <w:rPr>
          <w:rFonts w:cs="Arial"/>
          <w:sz w:val="22"/>
          <w:szCs w:val="22"/>
        </w:rPr>
        <w:t>19.23.1.4</w:t>
      </w:r>
      <w:r>
        <w:rPr>
          <w:rFonts w:cs="Arial"/>
          <w:sz w:val="22"/>
          <w:szCs w:val="22"/>
        </w:rPr>
        <w:fldChar w:fldCharType="end"/>
      </w:r>
      <w:r>
        <w:rPr>
          <w:rFonts w:cs="Arial"/>
          <w:sz w:val="22"/>
          <w:szCs w:val="22"/>
        </w:rPr>
        <w:t>.</w:t>
      </w:r>
    </w:p>
    <w:p w14:paraId="5403CEED" w14:textId="77777777" w:rsidR="00060089" w:rsidRDefault="00060089" w:rsidP="003F6B46">
      <w:pPr>
        <w:rPr>
          <w:rFonts w:cs="Arial"/>
          <w:sz w:val="22"/>
          <w:szCs w:val="22"/>
        </w:rPr>
      </w:pPr>
    </w:p>
    <w:p w14:paraId="2B3675E2" w14:textId="77777777" w:rsidR="00060089" w:rsidRDefault="00060089" w:rsidP="003F6B46">
      <w:pPr>
        <w:rPr>
          <w:rFonts w:cs="Arial"/>
          <w:sz w:val="22"/>
          <w:szCs w:val="22"/>
        </w:rPr>
      </w:pPr>
    </w:p>
    <w:p w14:paraId="616C9458" w14:textId="77777777" w:rsidR="007701B7" w:rsidRDefault="003F6B46" w:rsidP="00766731">
      <w:pPr>
        <w:pStyle w:val="Ttulo4"/>
      </w:pPr>
      <w:r w:rsidRPr="003F6B46">
        <w:t>BOLSA MERCANTIL DE COLOMBIA</w:t>
      </w:r>
      <w:r w:rsidRPr="003F6B46">
        <w:tab/>
      </w:r>
    </w:p>
    <w:p w14:paraId="78A45E99" w14:textId="19333C91" w:rsidR="003F6B46" w:rsidRPr="008D7B3D" w:rsidRDefault="00713585" w:rsidP="003F6B46">
      <w:pPr>
        <w:rPr>
          <w:rFonts w:cs="Arial"/>
          <w:i/>
          <w:iCs/>
          <w:sz w:val="22"/>
          <w:szCs w:val="22"/>
        </w:rPr>
      </w:pPr>
      <w:r>
        <w:rPr>
          <w:rFonts w:cs="Arial"/>
          <w:i/>
          <w:iCs/>
          <w:sz w:val="22"/>
          <w:szCs w:val="22"/>
        </w:rPr>
        <w:t>“</w:t>
      </w:r>
      <w:r w:rsidR="003F6B46" w:rsidRPr="008D7B3D">
        <w:rPr>
          <w:rFonts w:cs="Arial"/>
          <w:i/>
          <w:iCs/>
          <w:sz w:val="22"/>
          <w:szCs w:val="22"/>
        </w:rPr>
        <w:t xml:space="preserve">La propuesta impediría el ofrecimiento de derechos de suministro en el mercado secundario cuando son adquiridos en esta misma instancia de negociación, lo cual podría afectar la liquidez y dinamismo </w:t>
      </w:r>
      <w:proofErr w:type="gramStart"/>
      <w:r w:rsidR="003F6B46" w:rsidRPr="008D7B3D">
        <w:rPr>
          <w:rFonts w:cs="Arial"/>
          <w:i/>
          <w:iCs/>
          <w:sz w:val="22"/>
          <w:szCs w:val="22"/>
        </w:rPr>
        <w:t>del mismo</w:t>
      </w:r>
      <w:proofErr w:type="gramEnd"/>
      <w:r w:rsidR="003F6B46" w:rsidRPr="008D7B3D">
        <w:rPr>
          <w:rFonts w:cs="Arial"/>
          <w:i/>
          <w:iCs/>
          <w:sz w:val="22"/>
          <w:szCs w:val="22"/>
        </w:rPr>
        <w:t>.</w:t>
      </w:r>
      <w:r>
        <w:rPr>
          <w:rFonts w:cs="Arial"/>
          <w:i/>
          <w:iCs/>
          <w:sz w:val="22"/>
          <w:szCs w:val="22"/>
        </w:rPr>
        <w:t>”</w:t>
      </w:r>
    </w:p>
    <w:p w14:paraId="65B21493" w14:textId="77777777" w:rsidR="008D7B3D" w:rsidRDefault="008D7B3D" w:rsidP="003F6B46">
      <w:pPr>
        <w:rPr>
          <w:rFonts w:cs="Arial"/>
          <w:sz w:val="22"/>
          <w:szCs w:val="22"/>
        </w:rPr>
      </w:pPr>
    </w:p>
    <w:p w14:paraId="65DA4D12" w14:textId="694378EF" w:rsidR="008D7B3D" w:rsidRPr="008D7B3D" w:rsidRDefault="008D7B3D" w:rsidP="003F6B46">
      <w:pPr>
        <w:rPr>
          <w:rFonts w:cs="Arial"/>
          <w:b/>
          <w:bCs/>
          <w:sz w:val="22"/>
          <w:szCs w:val="22"/>
        </w:rPr>
      </w:pPr>
      <w:r w:rsidRPr="008D7B3D">
        <w:rPr>
          <w:rFonts w:cs="Arial"/>
          <w:b/>
          <w:bCs/>
          <w:sz w:val="22"/>
          <w:szCs w:val="22"/>
        </w:rPr>
        <w:t>Respuesta:</w:t>
      </w:r>
    </w:p>
    <w:p w14:paraId="340E5502" w14:textId="77777777" w:rsidR="008D7B3D" w:rsidRDefault="008D7B3D" w:rsidP="003F6B46">
      <w:pPr>
        <w:rPr>
          <w:rFonts w:cs="Arial"/>
          <w:sz w:val="22"/>
          <w:szCs w:val="22"/>
        </w:rPr>
      </w:pPr>
    </w:p>
    <w:p w14:paraId="3DCC22AC" w14:textId="0749701F" w:rsidR="008D7B3D" w:rsidRDefault="008D7B3D"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_Ref133328491 \r \h </w:instrText>
      </w:r>
      <w:r>
        <w:rPr>
          <w:rFonts w:cs="Arial"/>
          <w:sz w:val="22"/>
          <w:szCs w:val="22"/>
        </w:rPr>
      </w:r>
      <w:r>
        <w:rPr>
          <w:rFonts w:cs="Arial"/>
          <w:sz w:val="22"/>
          <w:szCs w:val="22"/>
        </w:rPr>
        <w:fldChar w:fldCharType="separate"/>
      </w:r>
      <w:r>
        <w:rPr>
          <w:rFonts w:cs="Arial"/>
          <w:sz w:val="22"/>
          <w:szCs w:val="22"/>
        </w:rPr>
        <w:t>32.1.1.6</w:t>
      </w:r>
      <w:r>
        <w:rPr>
          <w:rFonts w:cs="Arial"/>
          <w:sz w:val="22"/>
          <w:szCs w:val="22"/>
        </w:rPr>
        <w:fldChar w:fldCharType="end"/>
      </w:r>
      <w:r>
        <w:rPr>
          <w:rFonts w:cs="Arial"/>
          <w:sz w:val="22"/>
          <w:szCs w:val="22"/>
        </w:rPr>
        <w:t>.</w:t>
      </w:r>
    </w:p>
    <w:p w14:paraId="5A4EEC48" w14:textId="77777777" w:rsidR="008D7B3D" w:rsidRPr="003F6B46" w:rsidRDefault="008D7B3D" w:rsidP="003F6B46">
      <w:pPr>
        <w:rPr>
          <w:rFonts w:cs="Arial"/>
          <w:sz w:val="22"/>
          <w:szCs w:val="22"/>
        </w:rPr>
      </w:pPr>
    </w:p>
    <w:p w14:paraId="64DFEB58" w14:textId="77777777" w:rsidR="007701B7" w:rsidRDefault="007701B7" w:rsidP="003F6B46">
      <w:pPr>
        <w:rPr>
          <w:rFonts w:cs="Arial"/>
          <w:sz w:val="22"/>
          <w:szCs w:val="22"/>
        </w:rPr>
      </w:pPr>
    </w:p>
    <w:p w14:paraId="2B95EFBE" w14:textId="77777777" w:rsidR="007701B7" w:rsidRDefault="003F6B46" w:rsidP="00766731">
      <w:pPr>
        <w:pStyle w:val="Ttulo4"/>
      </w:pPr>
      <w:r w:rsidRPr="003F6B46">
        <w:t>BOLSA MERCANTIL DE COLOMBIA</w:t>
      </w:r>
      <w:r w:rsidRPr="003F6B46">
        <w:tab/>
      </w:r>
    </w:p>
    <w:p w14:paraId="54CE191B" w14:textId="5B2F8807" w:rsidR="003F6B46" w:rsidRPr="008D7B3D" w:rsidRDefault="00713585" w:rsidP="003F6B46">
      <w:pPr>
        <w:rPr>
          <w:rFonts w:cs="Arial"/>
          <w:i/>
          <w:iCs/>
          <w:sz w:val="22"/>
          <w:szCs w:val="22"/>
        </w:rPr>
      </w:pPr>
      <w:r>
        <w:rPr>
          <w:rFonts w:cs="Arial"/>
          <w:i/>
          <w:iCs/>
          <w:sz w:val="22"/>
          <w:szCs w:val="22"/>
        </w:rPr>
        <w:t>“</w:t>
      </w:r>
      <w:r w:rsidR="003F6B46" w:rsidRPr="008D7B3D">
        <w:rPr>
          <w:rFonts w:cs="Arial"/>
          <w:i/>
          <w:iCs/>
          <w:sz w:val="22"/>
          <w:szCs w:val="22"/>
        </w:rPr>
        <w:t>No es claro si el registro aplica únicamente para los contratos con interrupciones en el mercado secundario y no para el mercado primario.</w:t>
      </w:r>
      <w:r>
        <w:rPr>
          <w:rFonts w:cs="Arial"/>
          <w:i/>
          <w:iCs/>
          <w:sz w:val="22"/>
          <w:szCs w:val="22"/>
        </w:rPr>
        <w:t>”</w:t>
      </w:r>
    </w:p>
    <w:p w14:paraId="05D335D5" w14:textId="77777777" w:rsidR="008D7B3D" w:rsidRDefault="008D7B3D" w:rsidP="003F6B46">
      <w:pPr>
        <w:rPr>
          <w:rFonts w:cs="Arial"/>
          <w:sz w:val="22"/>
          <w:szCs w:val="22"/>
        </w:rPr>
      </w:pPr>
    </w:p>
    <w:p w14:paraId="27819293" w14:textId="5941C81B" w:rsidR="008D7B3D" w:rsidRPr="008D7B3D" w:rsidRDefault="008D7B3D" w:rsidP="003F6B46">
      <w:pPr>
        <w:rPr>
          <w:rFonts w:cs="Arial"/>
          <w:b/>
          <w:bCs/>
          <w:sz w:val="22"/>
          <w:szCs w:val="22"/>
        </w:rPr>
      </w:pPr>
      <w:r w:rsidRPr="008D7B3D">
        <w:rPr>
          <w:rFonts w:cs="Arial"/>
          <w:b/>
          <w:bCs/>
          <w:sz w:val="22"/>
          <w:szCs w:val="22"/>
        </w:rPr>
        <w:t>Respuesta:</w:t>
      </w:r>
    </w:p>
    <w:p w14:paraId="51B71267" w14:textId="77777777" w:rsidR="008D7B3D" w:rsidRDefault="008D7B3D" w:rsidP="003F6B46">
      <w:pPr>
        <w:rPr>
          <w:rFonts w:cs="Arial"/>
          <w:sz w:val="22"/>
          <w:szCs w:val="22"/>
        </w:rPr>
      </w:pPr>
    </w:p>
    <w:p w14:paraId="698D365E" w14:textId="063000CE" w:rsidR="008D7B3D" w:rsidRDefault="0038791B" w:rsidP="003F6B46">
      <w:pPr>
        <w:rPr>
          <w:rFonts w:cs="Arial"/>
          <w:sz w:val="22"/>
          <w:szCs w:val="22"/>
        </w:rPr>
      </w:pPr>
      <w:r>
        <w:rPr>
          <w:rFonts w:cs="Arial"/>
          <w:sz w:val="22"/>
          <w:szCs w:val="22"/>
        </w:rPr>
        <w:t>Se acoge el comentario.</w:t>
      </w:r>
    </w:p>
    <w:p w14:paraId="3E9369DD" w14:textId="77777777" w:rsidR="0038791B" w:rsidRDefault="0038791B" w:rsidP="003F6B46">
      <w:pPr>
        <w:rPr>
          <w:rFonts w:cs="Arial"/>
          <w:sz w:val="22"/>
          <w:szCs w:val="22"/>
        </w:rPr>
      </w:pPr>
    </w:p>
    <w:p w14:paraId="18C07E5B" w14:textId="6F2B731C" w:rsidR="0038791B" w:rsidRPr="003F6B46" w:rsidRDefault="0038791B" w:rsidP="003F6B46">
      <w:pPr>
        <w:rPr>
          <w:rFonts w:cs="Arial"/>
          <w:sz w:val="22"/>
          <w:szCs w:val="22"/>
        </w:rPr>
      </w:pPr>
      <w:r>
        <w:rPr>
          <w:rFonts w:cs="Arial"/>
          <w:sz w:val="22"/>
          <w:szCs w:val="22"/>
        </w:rPr>
        <w:t>En la nueva propuesta se hacen las adiciones de texto necesarias.</w:t>
      </w:r>
    </w:p>
    <w:p w14:paraId="5335873D" w14:textId="77777777" w:rsidR="007701B7" w:rsidRDefault="007701B7" w:rsidP="003F6B46">
      <w:pPr>
        <w:rPr>
          <w:rFonts w:cs="Arial"/>
          <w:sz w:val="22"/>
          <w:szCs w:val="22"/>
        </w:rPr>
      </w:pPr>
    </w:p>
    <w:p w14:paraId="4733E4E6" w14:textId="77777777" w:rsidR="007701B7" w:rsidRDefault="007701B7" w:rsidP="003F6B46">
      <w:pPr>
        <w:rPr>
          <w:rFonts w:cs="Arial"/>
          <w:sz w:val="22"/>
          <w:szCs w:val="22"/>
        </w:rPr>
      </w:pPr>
    </w:p>
    <w:p w14:paraId="5344F24C" w14:textId="77777777" w:rsidR="007701B7" w:rsidRDefault="003F6B46" w:rsidP="00C72898">
      <w:pPr>
        <w:pStyle w:val="Ttulo2"/>
      </w:pPr>
      <w:bookmarkStart w:id="986" w:name="_Toc140506543"/>
      <w:r w:rsidRPr="003F6B46">
        <w:t>CANACOL</w:t>
      </w:r>
      <w:bookmarkEnd w:id="986"/>
      <w:r w:rsidRPr="003F6B46">
        <w:tab/>
      </w:r>
    </w:p>
    <w:p w14:paraId="1A766824" w14:textId="77777777" w:rsidR="00766731" w:rsidRDefault="00766731" w:rsidP="00766731">
      <w:pPr>
        <w:pStyle w:val="Ttulo4"/>
      </w:pPr>
      <w:r w:rsidRPr="003F6B46">
        <w:t>CANACOL</w:t>
      </w:r>
      <w:r w:rsidRPr="003F6B46">
        <w:tab/>
      </w:r>
    </w:p>
    <w:p w14:paraId="01A5FA0D" w14:textId="2CE11DE7" w:rsidR="003F6B46" w:rsidRPr="0038791B" w:rsidRDefault="003F6B46" w:rsidP="003F6B46">
      <w:pPr>
        <w:rPr>
          <w:rFonts w:cs="Arial"/>
          <w:i/>
          <w:iCs/>
          <w:sz w:val="22"/>
          <w:szCs w:val="22"/>
        </w:rPr>
      </w:pPr>
      <w:r w:rsidRPr="003F6B46">
        <w:rPr>
          <w:rFonts w:cs="Arial"/>
          <w:sz w:val="22"/>
          <w:szCs w:val="22"/>
        </w:rPr>
        <w:t>"</w:t>
      </w:r>
      <w:r w:rsidRPr="0038791B">
        <w:rPr>
          <w:rFonts w:cs="Arial"/>
          <w:i/>
          <w:iCs/>
          <w:sz w:val="22"/>
          <w:szCs w:val="22"/>
        </w:rPr>
        <w:t xml:space="preserve">Limitar la cantidad que los productores pueden comprometer mediante contratos con interrupciones reduce la competencia en el mercado, </w:t>
      </w:r>
      <w:proofErr w:type="spellStart"/>
      <w:r w:rsidRPr="0038791B">
        <w:rPr>
          <w:rFonts w:cs="Arial"/>
          <w:i/>
          <w:iCs/>
          <w:sz w:val="22"/>
          <w:szCs w:val="22"/>
        </w:rPr>
        <w:t>sobretodo</w:t>
      </w:r>
      <w:proofErr w:type="spellEnd"/>
      <w:r w:rsidRPr="0038791B">
        <w:rPr>
          <w:rFonts w:cs="Arial"/>
          <w:i/>
          <w:iCs/>
          <w:sz w:val="22"/>
          <w:szCs w:val="22"/>
        </w:rPr>
        <w:t xml:space="preserve"> en el caso de la demanda termoeléctrica.</w:t>
      </w:r>
    </w:p>
    <w:p w14:paraId="57768503" w14:textId="77777777" w:rsidR="003F6B46" w:rsidRPr="0038791B" w:rsidRDefault="003F6B46" w:rsidP="003F6B46">
      <w:pPr>
        <w:rPr>
          <w:rFonts w:cs="Arial"/>
          <w:i/>
          <w:iCs/>
          <w:sz w:val="22"/>
          <w:szCs w:val="22"/>
        </w:rPr>
      </w:pPr>
    </w:p>
    <w:p w14:paraId="78D99815" w14:textId="77777777" w:rsidR="003F6B46" w:rsidRPr="0038791B" w:rsidRDefault="003F6B46" w:rsidP="003F6B46">
      <w:pPr>
        <w:rPr>
          <w:rFonts w:cs="Arial"/>
          <w:i/>
          <w:iCs/>
          <w:sz w:val="22"/>
          <w:szCs w:val="22"/>
        </w:rPr>
      </w:pPr>
      <w:r w:rsidRPr="0038791B">
        <w:rPr>
          <w:rFonts w:cs="Arial"/>
          <w:i/>
          <w:iCs/>
          <w:sz w:val="22"/>
          <w:szCs w:val="22"/>
        </w:rPr>
        <w:t xml:space="preserve">La razón de lo </w:t>
      </w:r>
      <w:proofErr w:type="gramStart"/>
      <w:r w:rsidRPr="0038791B">
        <w:rPr>
          <w:rFonts w:cs="Arial"/>
          <w:i/>
          <w:iCs/>
          <w:sz w:val="22"/>
          <w:szCs w:val="22"/>
        </w:rPr>
        <w:t>anterior,</w:t>
      </w:r>
      <w:proofErr w:type="gramEnd"/>
      <w:r w:rsidRPr="0038791B">
        <w:rPr>
          <w:rFonts w:cs="Arial"/>
          <w:i/>
          <w:iCs/>
          <w:sz w:val="22"/>
          <w:szCs w:val="22"/>
        </w:rPr>
        <w:t xml:space="preserve"> es que el despacho eléctrico es tan variable, </w:t>
      </w:r>
      <w:proofErr w:type="spellStart"/>
      <w:r w:rsidRPr="0038791B">
        <w:rPr>
          <w:rFonts w:cs="Arial"/>
          <w:i/>
          <w:iCs/>
          <w:sz w:val="22"/>
          <w:szCs w:val="22"/>
        </w:rPr>
        <w:t>sobretodo</w:t>
      </w:r>
      <w:proofErr w:type="spellEnd"/>
      <w:r w:rsidRPr="0038791B">
        <w:rPr>
          <w:rFonts w:cs="Arial"/>
          <w:i/>
          <w:iCs/>
          <w:sz w:val="22"/>
          <w:szCs w:val="22"/>
        </w:rPr>
        <w:t xml:space="preserve"> en el tema de restricciones, que el despacho puede requerir que se prenda una planta en un día en particular, y al día siguiente apagar dicha planta y requerir que se prenda otra diferente.</w:t>
      </w:r>
    </w:p>
    <w:p w14:paraId="4EAC5AAF" w14:textId="77777777" w:rsidR="003F6B46" w:rsidRPr="0038791B" w:rsidRDefault="003F6B46" w:rsidP="003F6B46">
      <w:pPr>
        <w:rPr>
          <w:rFonts w:cs="Arial"/>
          <w:i/>
          <w:iCs/>
          <w:sz w:val="22"/>
          <w:szCs w:val="22"/>
        </w:rPr>
      </w:pPr>
    </w:p>
    <w:p w14:paraId="451FCB8F" w14:textId="77777777" w:rsidR="003F6B46" w:rsidRPr="0038791B" w:rsidRDefault="003F6B46" w:rsidP="003F6B46">
      <w:pPr>
        <w:rPr>
          <w:rFonts w:cs="Arial"/>
          <w:i/>
          <w:iCs/>
          <w:sz w:val="22"/>
          <w:szCs w:val="22"/>
        </w:rPr>
      </w:pPr>
      <w:r w:rsidRPr="0038791B">
        <w:rPr>
          <w:rFonts w:cs="Arial"/>
          <w:i/>
          <w:iCs/>
          <w:sz w:val="22"/>
          <w:szCs w:val="22"/>
        </w:rPr>
        <w:t>Por lo tanto, si se restringe la cantidad de gas con interrupciones a esta demanda, probablemente muchas plantas se queden sin contrato y, el día en que las llamen a generar no va a tener el gas, con independencia de que la planta que tiene el contrato con interrupciones este apagada y tampoco lo vaya a solicitar.</w:t>
      </w:r>
    </w:p>
    <w:p w14:paraId="6FD0FA93" w14:textId="77777777" w:rsidR="003F6B46" w:rsidRPr="0038791B" w:rsidRDefault="003F6B46" w:rsidP="003F6B46">
      <w:pPr>
        <w:rPr>
          <w:rFonts w:cs="Arial"/>
          <w:i/>
          <w:iCs/>
          <w:sz w:val="22"/>
          <w:szCs w:val="22"/>
        </w:rPr>
      </w:pPr>
    </w:p>
    <w:p w14:paraId="3F29BA23" w14:textId="77777777" w:rsidR="003F6B46" w:rsidRDefault="003F6B46" w:rsidP="003F6B46">
      <w:pPr>
        <w:rPr>
          <w:rFonts w:cs="Arial"/>
          <w:sz w:val="22"/>
          <w:szCs w:val="22"/>
        </w:rPr>
      </w:pPr>
      <w:r w:rsidRPr="0038791B">
        <w:rPr>
          <w:rFonts w:cs="Arial"/>
          <w:i/>
          <w:iCs/>
          <w:sz w:val="22"/>
          <w:szCs w:val="22"/>
        </w:rPr>
        <w:t xml:space="preserve">Nótese que en la situación antes descrita el gas se quedaría enterrado, y una planta </w:t>
      </w:r>
      <w:proofErr w:type="spellStart"/>
      <w:r w:rsidRPr="0038791B">
        <w:rPr>
          <w:rFonts w:cs="Arial"/>
          <w:i/>
          <w:iCs/>
          <w:sz w:val="22"/>
          <w:szCs w:val="22"/>
        </w:rPr>
        <w:t>necesitaria</w:t>
      </w:r>
      <w:proofErr w:type="spellEnd"/>
      <w:r w:rsidRPr="0038791B">
        <w:rPr>
          <w:rFonts w:cs="Arial"/>
          <w:i/>
          <w:iCs/>
          <w:sz w:val="22"/>
          <w:szCs w:val="22"/>
        </w:rPr>
        <w:t xml:space="preserve"> ir a otras fuentes más costosas, por el solo hecho de no poder firmar un contrato con interrupciones</w:t>
      </w:r>
      <w:r w:rsidRPr="003F6B46">
        <w:rPr>
          <w:rFonts w:cs="Arial"/>
          <w:sz w:val="22"/>
          <w:szCs w:val="22"/>
        </w:rPr>
        <w:t>."</w:t>
      </w:r>
    </w:p>
    <w:p w14:paraId="2782CCEF" w14:textId="77777777" w:rsidR="0038791B" w:rsidRDefault="0038791B" w:rsidP="003F6B46">
      <w:pPr>
        <w:rPr>
          <w:rFonts w:cs="Arial"/>
          <w:sz w:val="22"/>
          <w:szCs w:val="22"/>
        </w:rPr>
      </w:pPr>
    </w:p>
    <w:p w14:paraId="79D7F90E" w14:textId="7131D68C" w:rsidR="0038791B" w:rsidRPr="0038791B" w:rsidRDefault="0038791B" w:rsidP="003F6B46">
      <w:pPr>
        <w:rPr>
          <w:rFonts w:cs="Arial"/>
          <w:b/>
          <w:bCs/>
          <w:sz w:val="22"/>
          <w:szCs w:val="22"/>
        </w:rPr>
      </w:pPr>
      <w:r w:rsidRPr="0038791B">
        <w:rPr>
          <w:rFonts w:cs="Arial"/>
          <w:b/>
          <w:bCs/>
          <w:sz w:val="22"/>
          <w:szCs w:val="22"/>
        </w:rPr>
        <w:t>Respuesta:</w:t>
      </w:r>
    </w:p>
    <w:p w14:paraId="57160924" w14:textId="77777777" w:rsidR="0038791B" w:rsidRDefault="0038791B" w:rsidP="003F6B46">
      <w:pPr>
        <w:rPr>
          <w:rFonts w:cs="Arial"/>
          <w:sz w:val="22"/>
          <w:szCs w:val="22"/>
        </w:rPr>
      </w:pPr>
    </w:p>
    <w:p w14:paraId="048EA22C" w14:textId="6D18116F" w:rsidR="0038791B" w:rsidRDefault="008E2BEE" w:rsidP="003F6B46">
      <w:pPr>
        <w:rPr>
          <w:rFonts w:cs="Arial"/>
          <w:sz w:val="22"/>
          <w:szCs w:val="22"/>
        </w:rPr>
      </w:pPr>
      <w:r>
        <w:rPr>
          <w:rFonts w:cs="Arial"/>
          <w:sz w:val="22"/>
          <w:szCs w:val="22"/>
        </w:rPr>
        <w:t>No se acoge el comentario.</w:t>
      </w:r>
    </w:p>
    <w:p w14:paraId="71D15459" w14:textId="77777777" w:rsidR="008E2BEE" w:rsidRDefault="008E2BEE" w:rsidP="003F6B46">
      <w:pPr>
        <w:rPr>
          <w:rFonts w:cs="Arial"/>
          <w:sz w:val="22"/>
          <w:szCs w:val="22"/>
        </w:rPr>
      </w:pPr>
    </w:p>
    <w:p w14:paraId="6F293EDC" w14:textId="53D499DC" w:rsidR="008E2BEE" w:rsidRPr="003F6B46" w:rsidRDefault="008E2BEE"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_Ref133328708 \r \h </w:instrText>
      </w:r>
      <w:r>
        <w:rPr>
          <w:rFonts w:cs="Arial"/>
          <w:sz w:val="22"/>
          <w:szCs w:val="22"/>
        </w:rPr>
      </w:r>
      <w:r>
        <w:rPr>
          <w:rFonts w:cs="Arial"/>
          <w:sz w:val="22"/>
          <w:szCs w:val="22"/>
        </w:rPr>
        <w:fldChar w:fldCharType="separate"/>
      </w:r>
      <w:r>
        <w:rPr>
          <w:rFonts w:cs="Arial"/>
          <w:sz w:val="22"/>
          <w:szCs w:val="22"/>
        </w:rPr>
        <w:t>32.3.1.1</w:t>
      </w:r>
      <w:r>
        <w:rPr>
          <w:rFonts w:cs="Arial"/>
          <w:sz w:val="22"/>
          <w:szCs w:val="22"/>
        </w:rPr>
        <w:fldChar w:fldCharType="end"/>
      </w:r>
      <w:r>
        <w:rPr>
          <w:rFonts w:cs="Arial"/>
          <w:sz w:val="22"/>
          <w:szCs w:val="22"/>
        </w:rPr>
        <w:t>.</w:t>
      </w:r>
    </w:p>
    <w:p w14:paraId="60398A4B" w14:textId="77777777" w:rsidR="007701B7" w:rsidRDefault="007701B7" w:rsidP="003F6B46">
      <w:pPr>
        <w:rPr>
          <w:rFonts w:cs="Arial"/>
          <w:sz w:val="22"/>
          <w:szCs w:val="22"/>
        </w:rPr>
      </w:pPr>
    </w:p>
    <w:p w14:paraId="08F59CDE" w14:textId="77777777" w:rsidR="007701B7" w:rsidRDefault="007701B7" w:rsidP="003F6B46">
      <w:pPr>
        <w:rPr>
          <w:rFonts w:cs="Arial"/>
          <w:sz w:val="22"/>
          <w:szCs w:val="22"/>
        </w:rPr>
      </w:pPr>
    </w:p>
    <w:p w14:paraId="1052DD62" w14:textId="1AD7F822" w:rsidR="007701B7" w:rsidRDefault="00C72898" w:rsidP="00C72898">
      <w:pPr>
        <w:pStyle w:val="Ttulo2"/>
      </w:pPr>
      <w:bookmarkStart w:id="987" w:name="_Toc140506544"/>
      <w:r w:rsidRPr="007701B7">
        <w:t>ENEL COLOMBIA</w:t>
      </w:r>
      <w:r w:rsidRPr="003F6B46">
        <w:t xml:space="preserve"> S</w:t>
      </w:r>
      <w:r w:rsidR="003F6B46" w:rsidRPr="003F6B46">
        <w:t>.A. E.S.P</w:t>
      </w:r>
      <w:bookmarkEnd w:id="987"/>
      <w:r w:rsidR="003F6B46" w:rsidRPr="003F6B46">
        <w:tab/>
      </w:r>
    </w:p>
    <w:p w14:paraId="1DE1DCD4" w14:textId="77777777" w:rsidR="00766731" w:rsidRDefault="00766731" w:rsidP="00766731">
      <w:pPr>
        <w:pStyle w:val="Ttulo4"/>
      </w:pPr>
      <w:r w:rsidRPr="007701B7">
        <w:t>ENEL COLOMBIA</w:t>
      </w:r>
      <w:r w:rsidRPr="003F6B46">
        <w:t xml:space="preserve"> S.A. E.S.P</w:t>
      </w:r>
      <w:r w:rsidRPr="003F6B46">
        <w:tab/>
      </w:r>
    </w:p>
    <w:p w14:paraId="3ED6975F" w14:textId="176E1F4C" w:rsidR="003F6B46" w:rsidRPr="008E2BEE" w:rsidRDefault="003F6B46" w:rsidP="003F6B46">
      <w:pPr>
        <w:rPr>
          <w:rFonts w:cs="Arial"/>
          <w:i/>
          <w:iCs/>
          <w:sz w:val="22"/>
          <w:szCs w:val="22"/>
        </w:rPr>
      </w:pPr>
      <w:r w:rsidRPr="003F6B46">
        <w:rPr>
          <w:rFonts w:cs="Arial"/>
          <w:sz w:val="22"/>
          <w:szCs w:val="22"/>
        </w:rPr>
        <w:t>"</w:t>
      </w:r>
      <w:r w:rsidRPr="008E2BEE">
        <w:rPr>
          <w:rFonts w:cs="Arial"/>
          <w:i/>
          <w:iCs/>
          <w:sz w:val="22"/>
          <w:szCs w:val="22"/>
        </w:rPr>
        <w:t>a)</w:t>
      </w:r>
      <w:r w:rsidR="008E2BEE">
        <w:rPr>
          <w:rFonts w:cs="Arial"/>
          <w:i/>
          <w:iCs/>
          <w:sz w:val="22"/>
          <w:szCs w:val="22"/>
        </w:rPr>
        <w:t xml:space="preserve"> </w:t>
      </w:r>
      <w:r w:rsidRPr="008E2BEE">
        <w:rPr>
          <w:rFonts w:cs="Arial"/>
          <w:i/>
          <w:iCs/>
          <w:sz w:val="22"/>
          <w:szCs w:val="22"/>
        </w:rPr>
        <w:t>Restricción mercado primario contratos con interrupciones:</w:t>
      </w:r>
    </w:p>
    <w:p w14:paraId="4979FC5D" w14:textId="77777777" w:rsidR="003F6B46" w:rsidRPr="008E2BEE" w:rsidRDefault="003F6B46" w:rsidP="003F6B46">
      <w:pPr>
        <w:rPr>
          <w:rFonts w:cs="Arial"/>
          <w:i/>
          <w:iCs/>
          <w:sz w:val="22"/>
          <w:szCs w:val="22"/>
        </w:rPr>
      </w:pPr>
    </w:p>
    <w:p w14:paraId="67D3685B" w14:textId="5961F909" w:rsidR="003F6B46" w:rsidRPr="008E2BEE" w:rsidRDefault="003F6B46" w:rsidP="003F6B46">
      <w:pPr>
        <w:rPr>
          <w:rFonts w:cs="Arial"/>
          <w:i/>
          <w:iCs/>
          <w:sz w:val="22"/>
          <w:szCs w:val="22"/>
        </w:rPr>
      </w:pPr>
      <w:r w:rsidRPr="008E2BEE">
        <w:rPr>
          <w:rFonts w:cs="Arial"/>
          <w:i/>
          <w:iCs/>
          <w:sz w:val="22"/>
          <w:szCs w:val="22"/>
        </w:rPr>
        <w:t xml:space="preserve">En el Articulo 36 Numeral 9 se tiene la siguiente redacción respecto a la restricción de los contratos interrumpibles: </w:t>
      </w:r>
      <w:r w:rsidR="009E2B76">
        <w:rPr>
          <w:rFonts w:cs="Arial"/>
          <w:i/>
          <w:iCs/>
          <w:sz w:val="22"/>
          <w:szCs w:val="22"/>
        </w:rPr>
        <w:t>‘</w:t>
      </w:r>
      <w:r w:rsidRPr="008E2BEE">
        <w:rPr>
          <w:rFonts w:cs="Arial"/>
          <w:i/>
          <w:iCs/>
          <w:sz w:val="22"/>
          <w:szCs w:val="22"/>
        </w:rPr>
        <w:t>En el caso de los Vendedores establecidos en el artículo 16 de la presente Resolución, las cantidades que podrán ser contratadas mediante contratos con interrupciones podrán superar hasta máximo en un cincuenta por ciento (50%) el valor de PTDV declarada al Ministerio para dicha fuente, o hasta máximo en un veinte por ciento (20%) el valor de las cantidades contratadas con Respaldo Físico con garantía de firmeza</w:t>
      </w:r>
      <w:r w:rsidR="009E2B76">
        <w:rPr>
          <w:rFonts w:cs="Arial"/>
          <w:i/>
          <w:iCs/>
          <w:sz w:val="22"/>
          <w:szCs w:val="22"/>
        </w:rPr>
        <w:t>’</w:t>
      </w:r>
      <w:r w:rsidRPr="008E2BEE">
        <w:rPr>
          <w:rFonts w:cs="Arial"/>
          <w:i/>
          <w:iCs/>
          <w:sz w:val="22"/>
          <w:szCs w:val="22"/>
        </w:rPr>
        <w:t xml:space="preserve">. </w:t>
      </w:r>
    </w:p>
    <w:p w14:paraId="34574C77" w14:textId="77777777" w:rsidR="003F6B46" w:rsidRPr="008E2BEE" w:rsidRDefault="003F6B46" w:rsidP="003F6B46">
      <w:pPr>
        <w:rPr>
          <w:rFonts w:cs="Arial"/>
          <w:i/>
          <w:iCs/>
          <w:sz w:val="22"/>
          <w:szCs w:val="22"/>
        </w:rPr>
      </w:pPr>
    </w:p>
    <w:p w14:paraId="141D502B" w14:textId="55CEFD5C" w:rsidR="003F6B46" w:rsidRPr="008E2BEE" w:rsidRDefault="003F6B46" w:rsidP="003F6B46">
      <w:pPr>
        <w:rPr>
          <w:rFonts w:cs="Arial"/>
          <w:i/>
          <w:iCs/>
          <w:sz w:val="22"/>
          <w:szCs w:val="22"/>
        </w:rPr>
      </w:pPr>
      <w:r w:rsidRPr="008E2BEE">
        <w:rPr>
          <w:rFonts w:cs="Arial"/>
          <w:i/>
          <w:iCs/>
          <w:sz w:val="22"/>
          <w:szCs w:val="22"/>
        </w:rPr>
        <w:t xml:space="preserve">En el documento de soporte (DOCUMENTO CREG-188 de 2021 </w:t>
      </w:r>
      <w:proofErr w:type="spellStart"/>
      <w:r w:rsidRPr="008E2BEE">
        <w:rPr>
          <w:rFonts w:cs="Arial"/>
          <w:i/>
          <w:iCs/>
          <w:sz w:val="22"/>
          <w:szCs w:val="22"/>
        </w:rPr>
        <w:t>Pg</w:t>
      </w:r>
      <w:proofErr w:type="spellEnd"/>
      <w:r w:rsidRPr="008E2BEE">
        <w:rPr>
          <w:rFonts w:cs="Arial"/>
          <w:i/>
          <w:iCs/>
          <w:sz w:val="22"/>
          <w:szCs w:val="22"/>
        </w:rPr>
        <w:t xml:space="preserve"> 44) se habla sobre la misma definición de la siguiente forma: </w:t>
      </w:r>
      <w:r w:rsidR="009E2B76">
        <w:rPr>
          <w:rFonts w:cs="Arial"/>
          <w:i/>
          <w:iCs/>
          <w:sz w:val="22"/>
          <w:szCs w:val="22"/>
        </w:rPr>
        <w:t>‘</w:t>
      </w:r>
      <w:r w:rsidRPr="008E2BEE">
        <w:rPr>
          <w:rFonts w:cs="Arial"/>
          <w:i/>
          <w:iCs/>
          <w:sz w:val="22"/>
          <w:szCs w:val="22"/>
        </w:rPr>
        <w:t>El menor valor de la comparación del ciento cincuenta por ciento (150%) de PTDV declarada al Ministerio para dicha fuente que se encuentre vigente al momento de realizar los cálculos, o del veinte por ciento (20%) del valor de las cantidades contratadas con Respaldo Físico vigentes al momento de realizar los cálculos</w:t>
      </w:r>
      <w:r w:rsidR="009E2B76">
        <w:rPr>
          <w:rFonts w:cs="Arial"/>
          <w:i/>
          <w:iCs/>
          <w:sz w:val="22"/>
          <w:szCs w:val="22"/>
        </w:rPr>
        <w:t>’</w:t>
      </w:r>
    </w:p>
    <w:p w14:paraId="43993A6B" w14:textId="77777777" w:rsidR="003F6B46" w:rsidRPr="008E2BEE" w:rsidRDefault="003F6B46" w:rsidP="003F6B46">
      <w:pPr>
        <w:rPr>
          <w:rFonts w:cs="Arial"/>
          <w:i/>
          <w:iCs/>
          <w:sz w:val="22"/>
          <w:szCs w:val="22"/>
        </w:rPr>
      </w:pPr>
    </w:p>
    <w:p w14:paraId="6862E892" w14:textId="77777777" w:rsidR="003F6B46" w:rsidRPr="008E2BEE" w:rsidRDefault="003F6B46" w:rsidP="003F6B46">
      <w:pPr>
        <w:rPr>
          <w:rFonts w:cs="Arial"/>
          <w:i/>
          <w:iCs/>
          <w:sz w:val="22"/>
          <w:szCs w:val="22"/>
        </w:rPr>
      </w:pPr>
      <w:r w:rsidRPr="008E2BEE">
        <w:rPr>
          <w:rFonts w:cs="Arial"/>
          <w:i/>
          <w:iCs/>
          <w:sz w:val="22"/>
          <w:szCs w:val="22"/>
        </w:rPr>
        <w:t xml:space="preserve">Dado que en la resolución no es claro entre estos dos valores cual definiría la cantidad a ofrecer en interrumpible y en el documento de soporte se define que es el menor valor entre ambos resultados, se quisiera que se clarificara en la resolución si se toma el máximo entre los dos resultados o se toma el mínimo. </w:t>
      </w:r>
    </w:p>
    <w:p w14:paraId="358110BE" w14:textId="77777777" w:rsidR="003F6B46" w:rsidRPr="008E2BEE" w:rsidRDefault="003F6B46" w:rsidP="003F6B46">
      <w:pPr>
        <w:rPr>
          <w:rFonts w:cs="Arial"/>
          <w:i/>
          <w:iCs/>
          <w:sz w:val="22"/>
          <w:szCs w:val="22"/>
        </w:rPr>
      </w:pPr>
    </w:p>
    <w:p w14:paraId="336C0B7C" w14:textId="77777777" w:rsidR="003F6B46" w:rsidRDefault="003F6B46" w:rsidP="003F6B46">
      <w:pPr>
        <w:rPr>
          <w:rFonts w:cs="Arial"/>
          <w:sz w:val="22"/>
          <w:szCs w:val="22"/>
        </w:rPr>
      </w:pPr>
      <w:r w:rsidRPr="008E2BEE">
        <w:rPr>
          <w:rFonts w:cs="Arial"/>
          <w:i/>
          <w:iCs/>
          <w:sz w:val="22"/>
          <w:szCs w:val="22"/>
        </w:rPr>
        <w:t xml:space="preserve">La expectativa por parte de los Comercializadores que participamos en el mercado </w:t>
      </w:r>
      <w:proofErr w:type="gramStart"/>
      <w:r w:rsidRPr="008E2BEE">
        <w:rPr>
          <w:rFonts w:cs="Arial"/>
          <w:i/>
          <w:iCs/>
          <w:sz w:val="22"/>
          <w:szCs w:val="22"/>
        </w:rPr>
        <w:t>secundario,</w:t>
      </w:r>
      <w:proofErr w:type="gramEnd"/>
      <w:r w:rsidRPr="008E2BEE">
        <w:rPr>
          <w:rFonts w:cs="Arial"/>
          <w:i/>
          <w:iCs/>
          <w:sz w:val="22"/>
          <w:szCs w:val="22"/>
        </w:rPr>
        <w:t xml:space="preserve"> es que los Productores-Comercializadores no conviertan esta oferta interrumpible en una competencia de los mismos contratos que estos mismos agentes han puesto a disposición en los contratos firmes. </w:t>
      </w:r>
      <w:r w:rsidRPr="003F6B46">
        <w:rPr>
          <w:rFonts w:cs="Arial"/>
          <w:sz w:val="22"/>
          <w:szCs w:val="22"/>
        </w:rPr>
        <w:t>"</w:t>
      </w:r>
    </w:p>
    <w:p w14:paraId="387C1892" w14:textId="77777777" w:rsidR="008E2BEE" w:rsidRDefault="008E2BEE" w:rsidP="003F6B46">
      <w:pPr>
        <w:rPr>
          <w:rFonts w:cs="Arial"/>
          <w:sz w:val="22"/>
          <w:szCs w:val="22"/>
        </w:rPr>
      </w:pPr>
    </w:p>
    <w:p w14:paraId="7A6CF77D" w14:textId="1D5532C0" w:rsidR="008E2BEE" w:rsidRPr="008E2BEE" w:rsidRDefault="008E2BEE" w:rsidP="003F6B46">
      <w:pPr>
        <w:rPr>
          <w:rFonts w:cs="Arial"/>
          <w:b/>
          <w:bCs/>
          <w:sz w:val="22"/>
          <w:szCs w:val="22"/>
        </w:rPr>
      </w:pPr>
      <w:r w:rsidRPr="008E2BEE">
        <w:rPr>
          <w:rFonts w:cs="Arial"/>
          <w:b/>
          <w:bCs/>
          <w:sz w:val="22"/>
          <w:szCs w:val="22"/>
        </w:rPr>
        <w:t>Respuesta:</w:t>
      </w:r>
    </w:p>
    <w:p w14:paraId="5D66542E" w14:textId="77777777" w:rsidR="008E2BEE" w:rsidRDefault="008E2BEE" w:rsidP="003F6B46">
      <w:pPr>
        <w:rPr>
          <w:rFonts w:cs="Arial"/>
          <w:sz w:val="22"/>
          <w:szCs w:val="22"/>
        </w:rPr>
      </w:pPr>
    </w:p>
    <w:p w14:paraId="6EFD3473" w14:textId="582D33B4" w:rsidR="008E2BEE" w:rsidRDefault="008E2BEE" w:rsidP="003F6B46">
      <w:pPr>
        <w:rPr>
          <w:rFonts w:cs="Arial"/>
          <w:sz w:val="22"/>
          <w:szCs w:val="22"/>
        </w:rPr>
      </w:pPr>
      <w:r>
        <w:rPr>
          <w:rFonts w:cs="Arial"/>
          <w:sz w:val="22"/>
          <w:szCs w:val="22"/>
        </w:rPr>
        <w:t>Se acoge el comentario parcialmente.</w:t>
      </w:r>
    </w:p>
    <w:p w14:paraId="0C33B661" w14:textId="77777777" w:rsidR="008E2BEE" w:rsidRDefault="008E2BEE" w:rsidP="003F6B46">
      <w:pPr>
        <w:rPr>
          <w:rFonts w:cs="Arial"/>
          <w:sz w:val="22"/>
          <w:szCs w:val="22"/>
        </w:rPr>
      </w:pPr>
    </w:p>
    <w:p w14:paraId="0DB01057" w14:textId="73867C0B" w:rsidR="008E2BEE" w:rsidRDefault="008E2BEE" w:rsidP="003F6B46">
      <w:pPr>
        <w:rPr>
          <w:rFonts w:cs="Arial"/>
          <w:sz w:val="22"/>
          <w:szCs w:val="22"/>
        </w:rPr>
      </w:pPr>
      <w:r>
        <w:rPr>
          <w:rFonts w:cs="Arial"/>
          <w:sz w:val="22"/>
          <w:szCs w:val="22"/>
        </w:rPr>
        <w:t>En la nueva propuesta se hacen los ajustes de redacción para que quede claro los topes de referencia para las cantidades totales a comprometerse en el Mercado Mayorista en contratos con interrupciones.</w:t>
      </w:r>
    </w:p>
    <w:p w14:paraId="5052E6D3" w14:textId="77777777" w:rsidR="008E2BEE" w:rsidRDefault="008E2BEE" w:rsidP="003F6B46">
      <w:pPr>
        <w:rPr>
          <w:rFonts w:cs="Arial"/>
          <w:sz w:val="22"/>
          <w:szCs w:val="22"/>
        </w:rPr>
      </w:pPr>
    </w:p>
    <w:p w14:paraId="687CAF73" w14:textId="77777777" w:rsidR="007701B7" w:rsidRDefault="007701B7" w:rsidP="003F6B46">
      <w:pPr>
        <w:rPr>
          <w:rFonts w:cs="Arial"/>
          <w:sz w:val="22"/>
          <w:szCs w:val="22"/>
        </w:rPr>
      </w:pPr>
    </w:p>
    <w:p w14:paraId="1722A639" w14:textId="35CC8A31" w:rsidR="007701B7" w:rsidRDefault="007701B7" w:rsidP="00766731">
      <w:pPr>
        <w:pStyle w:val="Ttulo4"/>
      </w:pPr>
      <w:r w:rsidRPr="003F6B46">
        <w:t>ENEL COLOMBIA S.A. E.S.P</w:t>
      </w:r>
      <w:r w:rsidR="003F6B46" w:rsidRPr="003F6B46">
        <w:tab/>
      </w:r>
    </w:p>
    <w:p w14:paraId="5301724E" w14:textId="1263BBA7" w:rsidR="003F6B46" w:rsidRPr="00B078B0" w:rsidRDefault="003F6B46" w:rsidP="003F6B46">
      <w:pPr>
        <w:rPr>
          <w:rFonts w:cs="Arial"/>
          <w:i/>
          <w:iCs/>
          <w:sz w:val="22"/>
          <w:szCs w:val="22"/>
        </w:rPr>
      </w:pPr>
      <w:r w:rsidRPr="003F6B46">
        <w:rPr>
          <w:rFonts w:cs="Arial"/>
          <w:sz w:val="22"/>
          <w:szCs w:val="22"/>
        </w:rPr>
        <w:t>"</w:t>
      </w:r>
      <w:r w:rsidRPr="00B078B0">
        <w:rPr>
          <w:rFonts w:cs="Arial"/>
          <w:i/>
          <w:iCs/>
          <w:sz w:val="22"/>
          <w:szCs w:val="22"/>
        </w:rPr>
        <w:t>b)</w:t>
      </w:r>
      <w:r w:rsidRPr="00B078B0">
        <w:rPr>
          <w:rFonts w:cs="Arial"/>
          <w:i/>
          <w:iCs/>
          <w:sz w:val="22"/>
          <w:szCs w:val="22"/>
        </w:rPr>
        <w:tab/>
        <w:t>Restricción mercado secundario contratos con interrupciones:</w:t>
      </w:r>
    </w:p>
    <w:p w14:paraId="2359D99B" w14:textId="77777777" w:rsidR="00B078B0" w:rsidRPr="00B078B0" w:rsidRDefault="00B078B0" w:rsidP="003F6B46">
      <w:pPr>
        <w:rPr>
          <w:rFonts w:cs="Arial"/>
          <w:i/>
          <w:iCs/>
          <w:sz w:val="22"/>
          <w:szCs w:val="22"/>
        </w:rPr>
      </w:pPr>
    </w:p>
    <w:p w14:paraId="798B0781" w14:textId="5B047ADB" w:rsidR="003F6B46" w:rsidRPr="00B078B0" w:rsidRDefault="003F6B46" w:rsidP="003F6B46">
      <w:pPr>
        <w:rPr>
          <w:rFonts w:cs="Arial"/>
          <w:i/>
          <w:iCs/>
          <w:sz w:val="22"/>
          <w:szCs w:val="22"/>
        </w:rPr>
      </w:pPr>
      <w:r w:rsidRPr="00B078B0">
        <w:rPr>
          <w:rFonts w:cs="Arial"/>
          <w:i/>
          <w:iCs/>
          <w:sz w:val="22"/>
          <w:szCs w:val="22"/>
        </w:rPr>
        <w:t xml:space="preserve">En el Articulo 36 Numeral 10 se habla de lo siguiente: </w:t>
      </w:r>
      <w:r w:rsidR="005D64A7">
        <w:rPr>
          <w:rFonts w:cs="Arial"/>
          <w:i/>
          <w:iCs/>
          <w:sz w:val="22"/>
          <w:szCs w:val="22"/>
        </w:rPr>
        <w:t>‘</w:t>
      </w:r>
      <w:r w:rsidRPr="00B078B0">
        <w:rPr>
          <w:rFonts w:cs="Arial"/>
          <w:i/>
          <w:iCs/>
          <w:sz w:val="22"/>
          <w:szCs w:val="22"/>
        </w:rPr>
        <w:t>Los vendedores del mercado secundario de que trata el Artículo 28 de la presente resolución, podrán ofrecer derechos de suministro bajo Contratos con Interrupciones, siempre y cuando dichos derechos de suministro contratados en el mercado primario, por Punto de Entrega, deriven de contratos firmes o que garantizan firmeza</w:t>
      </w:r>
      <w:r w:rsidR="005D64A7">
        <w:rPr>
          <w:rFonts w:cs="Arial"/>
          <w:i/>
          <w:iCs/>
          <w:sz w:val="22"/>
          <w:szCs w:val="22"/>
        </w:rPr>
        <w:t>’</w:t>
      </w:r>
      <w:r w:rsidRPr="00B078B0">
        <w:rPr>
          <w:rFonts w:cs="Arial"/>
          <w:i/>
          <w:iCs/>
          <w:sz w:val="22"/>
          <w:szCs w:val="22"/>
        </w:rPr>
        <w:t>.</w:t>
      </w:r>
    </w:p>
    <w:p w14:paraId="65ABD2A7" w14:textId="77777777" w:rsidR="003F6B46" w:rsidRPr="00B078B0" w:rsidRDefault="003F6B46" w:rsidP="003F6B46">
      <w:pPr>
        <w:rPr>
          <w:rFonts w:cs="Arial"/>
          <w:i/>
          <w:iCs/>
          <w:sz w:val="22"/>
          <w:szCs w:val="22"/>
        </w:rPr>
      </w:pPr>
    </w:p>
    <w:p w14:paraId="224D7984" w14:textId="77777777" w:rsidR="007701B7" w:rsidRPr="00B078B0" w:rsidRDefault="003F6B46" w:rsidP="003F6B46">
      <w:pPr>
        <w:rPr>
          <w:rFonts w:cs="Arial"/>
          <w:i/>
          <w:iCs/>
          <w:sz w:val="22"/>
          <w:szCs w:val="22"/>
        </w:rPr>
      </w:pPr>
      <w:r w:rsidRPr="00B078B0">
        <w:rPr>
          <w:rFonts w:cs="Arial"/>
          <w:i/>
          <w:iCs/>
          <w:sz w:val="22"/>
          <w:szCs w:val="22"/>
        </w:rPr>
        <w:t xml:space="preserve">Consideramos que esta señal estaría desconociendo el hecho de que cuando un Comercializador del Mercado Secundario actúa en representación de un usuario buscando asegurarle un contrato de suministro, siempre parte del hecho de una necesidad puntual, si el cliente busca un contrato interrumpible, no se puede restringir que dentro de las opciones que se tienen para atender esta necesidad el Comercializador le busque un contrato interrumpible a este cliente, es decir que el riesgo de este tipo de operación se transfiera hacia el cliente final. </w:t>
      </w:r>
    </w:p>
    <w:p w14:paraId="33B36DD7" w14:textId="77777777" w:rsidR="007701B7" w:rsidRPr="00B078B0" w:rsidRDefault="007701B7" w:rsidP="003F6B46">
      <w:pPr>
        <w:rPr>
          <w:rFonts w:cs="Arial"/>
          <w:i/>
          <w:iCs/>
          <w:sz w:val="22"/>
          <w:szCs w:val="22"/>
        </w:rPr>
      </w:pPr>
    </w:p>
    <w:p w14:paraId="0BBD3500" w14:textId="113B86EA" w:rsidR="003F6B46" w:rsidRPr="00B078B0" w:rsidRDefault="003F6B46" w:rsidP="003F6B46">
      <w:pPr>
        <w:rPr>
          <w:rFonts w:cs="Arial"/>
          <w:i/>
          <w:iCs/>
          <w:sz w:val="22"/>
          <w:szCs w:val="22"/>
        </w:rPr>
      </w:pPr>
      <w:r w:rsidRPr="00B078B0">
        <w:rPr>
          <w:rFonts w:cs="Arial"/>
          <w:i/>
          <w:iCs/>
          <w:sz w:val="22"/>
          <w:szCs w:val="22"/>
        </w:rPr>
        <w:t xml:space="preserve">Entendemos que la motivación del proyecto de resolución es resolver problemas asociados a la Demanda Regulada Esencial, sin embargo, estas definiciones por estar ubicadas en una resolución que define al Mercado Mayorista de gas están cubriendo a un rango mayor de usuarios (se estaría cubriendo a usuarios que tienen un nivel de flexibilidad mayor), por lo que de poner en firme esta señal regulatoria se estaría forzando al Comercializador del mercado secundario que asuma el riesgo de comprar en firme algo que su cliente final a la larga no le estaría comprando (un perfil de demanda, un nivel de precios, una flexibilidad adecuada). </w:t>
      </w:r>
    </w:p>
    <w:p w14:paraId="74A6FCCA" w14:textId="77777777" w:rsidR="003F6B46" w:rsidRPr="00B078B0" w:rsidRDefault="003F6B46" w:rsidP="003F6B46">
      <w:pPr>
        <w:rPr>
          <w:rFonts w:cs="Arial"/>
          <w:i/>
          <w:iCs/>
          <w:sz w:val="22"/>
          <w:szCs w:val="22"/>
        </w:rPr>
      </w:pPr>
    </w:p>
    <w:p w14:paraId="453CCFA3" w14:textId="77777777" w:rsidR="003F6B46" w:rsidRPr="00B078B0" w:rsidRDefault="003F6B46" w:rsidP="003F6B46">
      <w:pPr>
        <w:rPr>
          <w:rFonts w:cs="Arial"/>
          <w:i/>
          <w:iCs/>
          <w:sz w:val="22"/>
          <w:szCs w:val="22"/>
        </w:rPr>
      </w:pPr>
      <w:r w:rsidRPr="00B078B0">
        <w:rPr>
          <w:rFonts w:cs="Arial"/>
          <w:i/>
          <w:iCs/>
          <w:sz w:val="22"/>
          <w:szCs w:val="22"/>
        </w:rPr>
        <w:t xml:space="preserve">Poner en firme esta señal perjudica a los Comercializadores al reducir transacciones que podrían realizarse y reduce las opciones para Usuarios Finales, además de trasladarle al Comercializador un riesgo del Productor- Comercializador.  </w:t>
      </w:r>
    </w:p>
    <w:p w14:paraId="48F67C9A" w14:textId="77777777" w:rsidR="003F6B46" w:rsidRPr="00B078B0" w:rsidRDefault="003F6B46" w:rsidP="003F6B46">
      <w:pPr>
        <w:rPr>
          <w:rFonts w:cs="Arial"/>
          <w:i/>
          <w:iCs/>
          <w:sz w:val="22"/>
          <w:szCs w:val="22"/>
        </w:rPr>
      </w:pPr>
    </w:p>
    <w:p w14:paraId="3316F85D" w14:textId="48FDE63A" w:rsidR="003F6B46" w:rsidRDefault="003F6B46" w:rsidP="003F6B46">
      <w:pPr>
        <w:rPr>
          <w:rFonts w:cs="Arial"/>
          <w:sz w:val="22"/>
          <w:szCs w:val="22"/>
        </w:rPr>
      </w:pPr>
      <w:r w:rsidRPr="00B078B0">
        <w:rPr>
          <w:rFonts w:cs="Arial"/>
          <w:i/>
          <w:iCs/>
          <w:sz w:val="22"/>
          <w:szCs w:val="22"/>
        </w:rPr>
        <w:t>Le sugeriríamos a la comisión no incluir el Numeral 10 del Artículo 36 de la resolución en consulta o que considere su aplicación exclusivamente para la atención de Demanda Regulada Esencial, tal como lo está planteando en el Proyecto CREG Resolución 227 de 2021</w:t>
      </w:r>
      <w:r w:rsidRPr="003F6B46">
        <w:rPr>
          <w:rFonts w:cs="Arial"/>
          <w:sz w:val="22"/>
          <w:szCs w:val="22"/>
        </w:rPr>
        <w:t>."</w:t>
      </w:r>
    </w:p>
    <w:p w14:paraId="7EF187F8" w14:textId="77777777" w:rsidR="00B078B0" w:rsidRDefault="00B078B0" w:rsidP="003F6B46">
      <w:pPr>
        <w:rPr>
          <w:rFonts w:cs="Arial"/>
          <w:sz w:val="22"/>
          <w:szCs w:val="22"/>
        </w:rPr>
      </w:pPr>
    </w:p>
    <w:p w14:paraId="25AD2168" w14:textId="5E5ED444" w:rsidR="00B078B0" w:rsidRPr="00B078B0" w:rsidRDefault="00B078B0" w:rsidP="003F6B46">
      <w:pPr>
        <w:rPr>
          <w:rFonts w:cs="Arial"/>
          <w:b/>
          <w:bCs/>
          <w:sz w:val="22"/>
          <w:szCs w:val="22"/>
        </w:rPr>
      </w:pPr>
      <w:r w:rsidRPr="00B078B0">
        <w:rPr>
          <w:rFonts w:cs="Arial"/>
          <w:b/>
          <w:bCs/>
          <w:sz w:val="22"/>
          <w:szCs w:val="22"/>
        </w:rPr>
        <w:t>Respuesta:</w:t>
      </w:r>
    </w:p>
    <w:p w14:paraId="26B807DE" w14:textId="77777777" w:rsidR="00B078B0" w:rsidRDefault="00B078B0" w:rsidP="003F6B46">
      <w:pPr>
        <w:rPr>
          <w:rFonts w:cs="Arial"/>
          <w:sz w:val="22"/>
          <w:szCs w:val="22"/>
        </w:rPr>
      </w:pPr>
    </w:p>
    <w:p w14:paraId="4AF52C05" w14:textId="1ECF4C71" w:rsidR="00B078B0" w:rsidRDefault="003C57A2" w:rsidP="003F6B46">
      <w:pPr>
        <w:rPr>
          <w:rFonts w:cs="Arial"/>
          <w:sz w:val="22"/>
          <w:szCs w:val="22"/>
        </w:rPr>
      </w:pPr>
      <w:r>
        <w:rPr>
          <w:rFonts w:cs="Arial"/>
          <w:sz w:val="22"/>
          <w:szCs w:val="22"/>
        </w:rPr>
        <w:t>Se acoge el comentario.</w:t>
      </w:r>
    </w:p>
    <w:p w14:paraId="4B0ECFDF" w14:textId="77777777" w:rsidR="003C57A2" w:rsidRDefault="003C57A2" w:rsidP="003F6B46">
      <w:pPr>
        <w:rPr>
          <w:rFonts w:cs="Arial"/>
          <w:sz w:val="22"/>
          <w:szCs w:val="22"/>
        </w:rPr>
      </w:pPr>
    </w:p>
    <w:p w14:paraId="255FD0B3" w14:textId="6853F435" w:rsidR="003C57A2" w:rsidRPr="003F6B46" w:rsidRDefault="003C57A2" w:rsidP="003F6B46">
      <w:pPr>
        <w:rPr>
          <w:rFonts w:cs="Arial"/>
          <w:sz w:val="22"/>
          <w:szCs w:val="22"/>
        </w:rPr>
      </w:pPr>
      <w:r>
        <w:rPr>
          <w:rFonts w:cs="Arial"/>
          <w:sz w:val="22"/>
          <w:szCs w:val="22"/>
        </w:rPr>
        <w:t>En la nueva propuesta se incluyeron ajustes a las referencias de topes de cantidades a contratar en contratos con interrupciones del mercado Secundario.</w:t>
      </w:r>
    </w:p>
    <w:p w14:paraId="0AB55704" w14:textId="77777777" w:rsidR="007701B7" w:rsidRDefault="007701B7" w:rsidP="003F6B46">
      <w:pPr>
        <w:rPr>
          <w:rFonts w:cs="Arial"/>
          <w:sz w:val="22"/>
          <w:szCs w:val="22"/>
        </w:rPr>
      </w:pPr>
    </w:p>
    <w:p w14:paraId="1B70810F" w14:textId="77777777" w:rsidR="007701B7" w:rsidRDefault="007701B7" w:rsidP="003F6B46">
      <w:pPr>
        <w:rPr>
          <w:rFonts w:cs="Arial"/>
          <w:sz w:val="22"/>
          <w:szCs w:val="22"/>
        </w:rPr>
      </w:pPr>
    </w:p>
    <w:p w14:paraId="00C36CC8" w14:textId="77777777" w:rsidR="007701B7" w:rsidRDefault="003F6B46" w:rsidP="00C72898">
      <w:pPr>
        <w:pStyle w:val="Ttulo2"/>
      </w:pPr>
      <w:bookmarkStart w:id="988" w:name="_Toc140506545"/>
      <w:r w:rsidRPr="003F6B46">
        <w:t>GASES DE OCCIDENTE</w:t>
      </w:r>
      <w:bookmarkEnd w:id="988"/>
      <w:r w:rsidRPr="003F6B46">
        <w:tab/>
      </w:r>
    </w:p>
    <w:p w14:paraId="4131542D" w14:textId="77777777" w:rsidR="00766731" w:rsidRDefault="00766731" w:rsidP="00766731">
      <w:pPr>
        <w:pStyle w:val="Ttulo4"/>
      </w:pPr>
      <w:bookmarkStart w:id="989" w:name="_Ref133329711"/>
      <w:r w:rsidRPr="003F6B46">
        <w:t>GASES DE OCCIDENTE</w:t>
      </w:r>
      <w:bookmarkEnd w:id="989"/>
      <w:r w:rsidRPr="003F6B46">
        <w:tab/>
      </w:r>
    </w:p>
    <w:p w14:paraId="1342C827" w14:textId="1BE22F98" w:rsidR="003F6B46" w:rsidRPr="003C57A2" w:rsidRDefault="003F6B46" w:rsidP="003F6B46">
      <w:pPr>
        <w:rPr>
          <w:rFonts w:cs="Arial"/>
          <w:i/>
          <w:iCs/>
          <w:sz w:val="22"/>
          <w:szCs w:val="22"/>
        </w:rPr>
      </w:pPr>
      <w:r w:rsidRPr="003F6B46">
        <w:rPr>
          <w:rFonts w:cs="Arial"/>
          <w:sz w:val="22"/>
          <w:szCs w:val="22"/>
        </w:rPr>
        <w:t>"</w:t>
      </w:r>
      <w:r w:rsidRPr="003C57A2">
        <w:rPr>
          <w:rFonts w:cs="Arial"/>
          <w:i/>
          <w:iCs/>
          <w:sz w:val="22"/>
          <w:szCs w:val="22"/>
        </w:rPr>
        <w:t>Lo que parece con fundamento insuficiente, contrario al marco legal vigente y opuesto a los objetivos que se traza la CREG, es la siguiente norma:</w:t>
      </w:r>
    </w:p>
    <w:p w14:paraId="040534C6" w14:textId="77777777" w:rsidR="003F6B46" w:rsidRPr="003C57A2" w:rsidRDefault="003F6B46" w:rsidP="003F6B46">
      <w:pPr>
        <w:rPr>
          <w:rFonts w:cs="Arial"/>
          <w:i/>
          <w:iCs/>
          <w:sz w:val="22"/>
          <w:szCs w:val="22"/>
        </w:rPr>
      </w:pPr>
    </w:p>
    <w:p w14:paraId="56C630AC" w14:textId="77777777" w:rsidR="003F6B46" w:rsidRPr="003C57A2" w:rsidRDefault="003F6B46" w:rsidP="003F6B46">
      <w:pPr>
        <w:rPr>
          <w:rFonts w:cs="Arial"/>
          <w:i/>
          <w:iCs/>
          <w:sz w:val="22"/>
          <w:szCs w:val="22"/>
        </w:rPr>
      </w:pPr>
      <w:r w:rsidRPr="003C57A2">
        <w:rPr>
          <w:rFonts w:cs="Arial"/>
          <w:i/>
          <w:iCs/>
          <w:sz w:val="22"/>
          <w:szCs w:val="22"/>
        </w:rPr>
        <w:t>“En el caso de los Vendedores…, las cantidades que podrán ser contratadas mediante contratos con interrupciones podrán superar hasta máximo en un cincuenta por ciento (50%) el valor de PTDV declarada al Ministerio para dicha fuente, o hasta máximo en un veinte por ciento (20%) el valor de las cantidades contratadas con Respaldo Físico con garantía de firmeza, en ambos casos para el período al que se ofrece el gas en contratos con interrupciones”.</w:t>
      </w:r>
    </w:p>
    <w:p w14:paraId="0C461ECA" w14:textId="77777777" w:rsidR="003F6B46" w:rsidRPr="003C57A2" w:rsidRDefault="003F6B46" w:rsidP="003F6B46">
      <w:pPr>
        <w:rPr>
          <w:rFonts w:cs="Arial"/>
          <w:i/>
          <w:iCs/>
          <w:sz w:val="22"/>
          <w:szCs w:val="22"/>
        </w:rPr>
      </w:pPr>
    </w:p>
    <w:p w14:paraId="7917D8DC" w14:textId="77777777" w:rsidR="003F6B46" w:rsidRDefault="003F6B46" w:rsidP="003F6B46">
      <w:pPr>
        <w:rPr>
          <w:rFonts w:cs="Arial"/>
          <w:i/>
          <w:iCs/>
          <w:sz w:val="22"/>
          <w:szCs w:val="22"/>
        </w:rPr>
      </w:pPr>
      <w:r w:rsidRPr="003C57A2">
        <w:rPr>
          <w:rFonts w:cs="Arial"/>
          <w:i/>
          <w:iCs/>
          <w:sz w:val="22"/>
          <w:szCs w:val="22"/>
        </w:rPr>
        <w:t>Al respecto, se tienen las siguientes observaciones:</w:t>
      </w:r>
    </w:p>
    <w:p w14:paraId="2ECF678F" w14:textId="77777777" w:rsidR="003C57A2" w:rsidRPr="003C57A2" w:rsidRDefault="003C57A2" w:rsidP="003F6B46">
      <w:pPr>
        <w:rPr>
          <w:rFonts w:cs="Arial"/>
          <w:i/>
          <w:iCs/>
          <w:sz w:val="22"/>
          <w:szCs w:val="22"/>
        </w:rPr>
      </w:pPr>
    </w:p>
    <w:p w14:paraId="22E779F1" w14:textId="0EB077EA" w:rsidR="003F6B46" w:rsidRDefault="003F6B46" w:rsidP="003F6B46">
      <w:pPr>
        <w:rPr>
          <w:rFonts w:cs="Arial"/>
          <w:i/>
          <w:iCs/>
          <w:sz w:val="22"/>
          <w:szCs w:val="22"/>
        </w:rPr>
      </w:pPr>
      <w:r w:rsidRPr="003C57A2">
        <w:rPr>
          <w:rFonts w:cs="Arial"/>
          <w:i/>
          <w:iCs/>
          <w:sz w:val="22"/>
          <w:szCs w:val="22"/>
        </w:rPr>
        <w:t>1) En el Artículo 2 del Decreto 2100 de 2011 (</w:t>
      </w:r>
      <w:r w:rsidR="00B9778B">
        <w:rPr>
          <w:rFonts w:cs="Arial"/>
          <w:i/>
          <w:iCs/>
          <w:sz w:val="22"/>
          <w:szCs w:val="22"/>
        </w:rPr>
        <w:t>‘</w:t>
      </w:r>
      <w:r w:rsidRPr="003C57A2">
        <w:rPr>
          <w:rFonts w:cs="Arial"/>
          <w:i/>
          <w:iCs/>
          <w:sz w:val="22"/>
          <w:szCs w:val="22"/>
        </w:rPr>
        <w:t>por el cual se establecen mecanismos para promover el aseguramiento del abastecimiento nacional de gas natural y se dictan otras disposiciones</w:t>
      </w:r>
      <w:r w:rsidR="00B9778B">
        <w:rPr>
          <w:rFonts w:cs="Arial"/>
          <w:i/>
          <w:iCs/>
          <w:sz w:val="22"/>
          <w:szCs w:val="22"/>
        </w:rPr>
        <w:t>’</w:t>
      </w:r>
      <w:r w:rsidRPr="003C57A2">
        <w:rPr>
          <w:rFonts w:cs="Arial"/>
          <w:i/>
          <w:iCs/>
          <w:sz w:val="22"/>
          <w:szCs w:val="22"/>
        </w:rPr>
        <w:t>), compilado en el Decreto 1073 de 2015, define:</w:t>
      </w:r>
    </w:p>
    <w:p w14:paraId="72843964" w14:textId="77777777" w:rsidR="003C57A2" w:rsidRPr="003C57A2" w:rsidRDefault="003C57A2" w:rsidP="003F6B46">
      <w:pPr>
        <w:rPr>
          <w:rFonts w:cs="Arial"/>
          <w:i/>
          <w:iCs/>
          <w:sz w:val="22"/>
          <w:szCs w:val="22"/>
        </w:rPr>
      </w:pPr>
    </w:p>
    <w:p w14:paraId="253DDC82" w14:textId="2E868C5D" w:rsidR="003F6B46" w:rsidRPr="003C57A2" w:rsidRDefault="00B9778B" w:rsidP="003F6B46">
      <w:pPr>
        <w:rPr>
          <w:rFonts w:cs="Arial"/>
          <w:i/>
          <w:iCs/>
          <w:sz w:val="22"/>
          <w:szCs w:val="22"/>
        </w:rPr>
      </w:pPr>
      <w:r>
        <w:rPr>
          <w:rFonts w:cs="Arial"/>
          <w:i/>
          <w:iCs/>
          <w:sz w:val="22"/>
          <w:szCs w:val="22"/>
        </w:rPr>
        <w:t>‘</w:t>
      </w:r>
      <w:r w:rsidR="003F6B46" w:rsidRPr="003C57A2">
        <w:rPr>
          <w:rFonts w:cs="Arial"/>
          <w:i/>
          <w:iCs/>
          <w:sz w:val="22"/>
          <w:szCs w:val="22"/>
        </w:rPr>
        <w:t>Producción Total Disponible para la Venta - PTDV: Totalidad de las cantidades diarias promedio mes de gas natural, medidas en GBTUD, que un productor o productor comercializador estima que tendrá disponibles para la venta bajo cualquier modalidad, en un periodo determinado, a través de contratos de suministro en cada campo o en un punto de entrada al SNT. Este pronóstico considera el desarrollo de las Reservas de Gas Natural, la información técnica de los yacimientos del campo de producción a la tasa máxima de recobro y está basado en la capacidad nominal de las instalaciones de producción existentes y proyectadas</w:t>
      </w:r>
      <w:r>
        <w:rPr>
          <w:rFonts w:cs="Arial"/>
          <w:i/>
          <w:iCs/>
          <w:sz w:val="22"/>
          <w:szCs w:val="22"/>
        </w:rPr>
        <w:t>’</w:t>
      </w:r>
      <w:r w:rsidR="003F6B46" w:rsidRPr="003C57A2">
        <w:rPr>
          <w:rFonts w:cs="Arial"/>
          <w:i/>
          <w:iCs/>
          <w:sz w:val="22"/>
          <w:szCs w:val="22"/>
        </w:rPr>
        <w:t>. (Subrayado Fuera de Texto).</w:t>
      </w:r>
    </w:p>
    <w:p w14:paraId="5141256B" w14:textId="77777777" w:rsidR="003F6B46" w:rsidRPr="003C57A2" w:rsidRDefault="003F6B46" w:rsidP="003F6B46">
      <w:pPr>
        <w:rPr>
          <w:rFonts w:cs="Arial"/>
          <w:i/>
          <w:iCs/>
          <w:sz w:val="22"/>
          <w:szCs w:val="22"/>
        </w:rPr>
      </w:pPr>
    </w:p>
    <w:p w14:paraId="4B454A92" w14:textId="77777777" w:rsidR="003F6B46" w:rsidRPr="003C57A2" w:rsidRDefault="003F6B46" w:rsidP="003F6B46">
      <w:pPr>
        <w:rPr>
          <w:rFonts w:cs="Arial"/>
          <w:i/>
          <w:iCs/>
          <w:sz w:val="22"/>
          <w:szCs w:val="22"/>
        </w:rPr>
      </w:pPr>
      <w:r w:rsidRPr="003C57A2">
        <w:rPr>
          <w:rFonts w:cs="Arial"/>
          <w:i/>
          <w:iCs/>
          <w:sz w:val="22"/>
          <w:szCs w:val="22"/>
        </w:rPr>
        <w:t>Es claro que la definición establecida por el MME no autoriza ventas de gas por encima de las PTDV declaradas por el productor-comercializador, independientemente de la modalidad contractual. La propuesta de la CREG excede lo previsto por el hacedor de política y excede sus propias competencias.</w:t>
      </w:r>
    </w:p>
    <w:p w14:paraId="3C4A8E91" w14:textId="77777777" w:rsidR="003F6B46" w:rsidRPr="003C57A2" w:rsidRDefault="003F6B46" w:rsidP="003F6B46">
      <w:pPr>
        <w:rPr>
          <w:rFonts w:cs="Arial"/>
          <w:i/>
          <w:iCs/>
          <w:sz w:val="22"/>
          <w:szCs w:val="22"/>
        </w:rPr>
      </w:pPr>
    </w:p>
    <w:p w14:paraId="134C2E1D" w14:textId="77777777" w:rsidR="003F6B46" w:rsidRPr="003C57A2" w:rsidRDefault="003F6B46" w:rsidP="003F6B46">
      <w:pPr>
        <w:rPr>
          <w:rFonts w:cs="Arial"/>
          <w:i/>
          <w:iCs/>
          <w:sz w:val="22"/>
          <w:szCs w:val="22"/>
        </w:rPr>
      </w:pPr>
      <w:r w:rsidRPr="003C57A2">
        <w:rPr>
          <w:rFonts w:cs="Arial"/>
          <w:i/>
          <w:iCs/>
          <w:sz w:val="22"/>
          <w:szCs w:val="22"/>
        </w:rPr>
        <w:t>Desvirtúa lo que implícitamente busca el Decreto. Las cantidades que el productor-comercializador podría vender bajo contratos interrumpibles, es aquella comprometida en contratos en firme y no nominada (dado que no están permitidos períodos de reposición), aquella disponible y no nominada bajo otras modalidades contractuales, o aquella no comprometida en otras modalidades contractuales."</w:t>
      </w:r>
    </w:p>
    <w:p w14:paraId="7EA85A02" w14:textId="77777777" w:rsidR="003C57A2" w:rsidRDefault="003C57A2" w:rsidP="003F6B46">
      <w:pPr>
        <w:rPr>
          <w:rFonts w:cs="Arial"/>
          <w:sz w:val="22"/>
          <w:szCs w:val="22"/>
        </w:rPr>
      </w:pPr>
    </w:p>
    <w:p w14:paraId="4B1040A8" w14:textId="48FD0E3A" w:rsidR="003C57A2" w:rsidRPr="003C57A2" w:rsidRDefault="003C57A2" w:rsidP="003F6B46">
      <w:pPr>
        <w:rPr>
          <w:rFonts w:cs="Arial"/>
          <w:b/>
          <w:bCs/>
          <w:sz w:val="22"/>
          <w:szCs w:val="22"/>
        </w:rPr>
      </w:pPr>
      <w:r w:rsidRPr="003C57A2">
        <w:rPr>
          <w:rFonts w:cs="Arial"/>
          <w:b/>
          <w:bCs/>
          <w:sz w:val="22"/>
          <w:szCs w:val="22"/>
        </w:rPr>
        <w:t>Respuesta:</w:t>
      </w:r>
    </w:p>
    <w:p w14:paraId="3A4DE7C1" w14:textId="77777777" w:rsidR="003C57A2" w:rsidRDefault="003C57A2" w:rsidP="003F6B46">
      <w:pPr>
        <w:rPr>
          <w:rFonts w:cs="Arial"/>
          <w:sz w:val="22"/>
          <w:szCs w:val="22"/>
        </w:rPr>
      </w:pPr>
    </w:p>
    <w:p w14:paraId="4FCA3864" w14:textId="71D7CC76" w:rsidR="003C57A2" w:rsidRPr="003F6B46" w:rsidRDefault="00CF26DE" w:rsidP="003F6B46">
      <w:pPr>
        <w:rPr>
          <w:rFonts w:cs="Arial"/>
          <w:sz w:val="22"/>
          <w:szCs w:val="22"/>
        </w:rPr>
      </w:pPr>
      <w:r>
        <w:rPr>
          <w:rFonts w:cs="Arial"/>
          <w:sz w:val="22"/>
          <w:szCs w:val="22"/>
        </w:rPr>
        <w:t xml:space="preserve">Ver </w:t>
      </w:r>
      <w:r w:rsidR="0084605E">
        <w:rPr>
          <w:rFonts w:cs="Arial"/>
          <w:sz w:val="22"/>
          <w:szCs w:val="22"/>
        </w:rPr>
        <w:t xml:space="preserve">numeral </w:t>
      </w:r>
      <w:r w:rsidR="0084605E">
        <w:rPr>
          <w:rFonts w:cs="Arial"/>
          <w:sz w:val="22"/>
          <w:szCs w:val="22"/>
        </w:rPr>
        <w:fldChar w:fldCharType="begin"/>
      </w:r>
      <w:r w:rsidR="0084605E">
        <w:rPr>
          <w:rFonts w:cs="Arial"/>
          <w:sz w:val="22"/>
          <w:szCs w:val="22"/>
        </w:rPr>
        <w:instrText xml:space="preserve"> REF _Ref133329312 \r \h </w:instrText>
      </w:r>
      <w:r w:rsidR="0084605E">
        <w:rPr>
          <w:rFonts w:cs="Arial"/>
          <w:sz w:val="22"/>
          <w:szCs w:val="22"/>
        </w:rPr>
      </w:r>
      <w:r w:rsidR="0084605E">
        <w:rPr>
          <w:rFonts w:cs="Arial"/>
          <w:sz w:val="22"/>
          <w:szCs w:val="22"/>
        </w:rPr>
        <w:fldChar w:fldCharType="separate"/>
      </w:r>
      <w:r w:rsidR="0084605E">
        <w:rPr>
          <w:rFonts w:cs="Arial"/>
          <w:sz w:val="22"/>
          <w:szCs w:val="22"/>
        </w:rPr>
        <w:t>4.12</w:t>
      </w:r>
      <w:r w:rsidR="0084605E">
        <w:rPr>
          <w:rFonts w:cs="Arial"/>
          <w:sz w:val="22"/>
          <w:szCs w:val="22"/>
        </w:rPr>
        <w:fldChar w:fldCharType="end"/>
      </w:r>
      <w:r w:rsidR="0084605E">
        <w:rPr>
          <w:rFonts w:cs="Arial"/>
          <w:sz w:val="22"/>
          <w:szCs w:val="22"/>
        </w:rPr>
        <w:t xml:space="preserve"> y respuesta a </w:t>
      </w:r>
      <w:r w:rsidR="0084605E">
        <w:rPr>
          <w:rFonts w:cs="Arial"/>
          <w:sz w:val="22"/>
          <w:szCs w:val="22"/>
        </w:rPr>
        <w:fldChar w:fldCharType="begin"/>
      </w:r>
      <w:r w:rsidR="0084605E">
        <w:rPr>
          <w:rFonts w:cs="Arial"/>
          <w:sz w:val="22"/>
          <w:szCs w:val="22"/>
        </w:rPr>
        <w:instrText xml:space="preserve"> REF _Ref130291962 \r \h </w:instrText>
      </w:r>
      <w:r w:rsidR="0084605E">
        <w:rPr>
          <w:rFonts w:cs="Arial"/>
          <w:sz w:val="22"/>
          <w:szCs w:val="22"/>
        </w:rPr>
      </w:r>
      <w:r w:rsidR="0084605E">
        <w:rPr>
          <w:rFonts w:cs="Arial"/>
          <w:sz w:val="22"/>
          <w:szCs w:val="22"/>
        </w:rPr>
        <w:fldChar w:fldCharType="separate"/>
      </w:r>
      <w:r w:rsidR="0084605E">
        <w:rPr>
          <w:rFonts w:cs="Arial"/>
          <w:sz w:val="22"/>
          <w:szCs w:val="22"/>
        </w:rPr>
        <w:t>1.4.1.1</w:t>
      </w:r>
      <w:r w:rsidR="0084605E">
        <w:rPr>
          <w:rFonts w:cs="Arial"/>
          <w:sz w:val="22"/>
          <w:szCs w:val="22"/>
        </w:rPr>
        <w:fldChar w:fldCharType="end"/>
      </w:r>
      <w:r w:rsidR="0084605E">
        <w:rPr>
          <w:rFonts w:cs="Arial"/>
          <w:sz w:val="22"/>
          <w:szCs w:val="22"/>
        </w:rPr>
        <w:t xml:space="preserve"> sobre los contratos con interrupciones.</w:t>
      </w:r>
    </w:p>
    <w:p w14:paraId="451ABCF2" w14:textId="0DC226DD" w:rsidR="007701B7" w:rsidRDefault="007701B7" w:rsidP="003F6B46">
      <w:pPr>
        <w:rPr>
          <w:rFonts w:cs="Arial"/>
          <w:sz w:val="22"/>
          <w:szCs w:val="22"/>
        </w:rPr>
      </w:pPr>
    </w:p>
    <w:p w14:paraId="6C59A262" w14:textId="77777777" w:rsidR="00766731" w:rsidRDefault="00766731" w:rsidP="003F6B46">
      <w:pPr>
        <w:rPr>
          <w:rFonts w:cs="Arial"/>
          <w:sz w:val="22"/>
          <w:szCs w:val="22"/>
        </w:rPr>
      </w:pPr>
    </w:p>
    <w:p w14:paraId="5F41399F" w14:textId="77777777" w:rsidR="00766731" w:rsidRDefault="00766731" w:rsidP="00766731">
      <w:pPr>
        <w:pStyle w:val="Ttulo4"/>
      </w:pPr>
      <w:r w:rsidRPr="003F6B46">
        <w:t>GASES DE OCCIDENTE</w:t>
      </w:r>
      <w:r w:rsidRPr="003F6B46">
        <w:tab/>
      </w:r>
    </w:p>
    <w:p w14:paraId="6C91D56A" w14:textId="2DCF6136" w:rsidR="003F6B46" w:rsidRPr="0084605E" w:rsidRDefault="003F6B46" w:rsidP="003F6B46">
      <w:pPr>
        <w:rPr>
          <w:rFonts w:cs="Arial"/>
          <w:i/>
          <w:iCs/>
          <w:sz w:val="22"/>
          <w:szCs w:val="22"/>
        </w:rPr>
      </w:pPr>
      <w:r w:rsidRPr="003F6B46">
        <w:rPr>
          <w:rFonts w:cs="Arial"/>
          <w:sz w:val="22"/>
          <w:szCs w:val="22"/>
        </w:rPr>
        <w:t>"</w:t>
      </w:r>
      <w:r w:rsidRPr="0084605E">
        <w:rPr>
          <w:rFonts w:cs="Arial"/>
          <w:i/>
          <w:iCs/>
          <w:sz w:val="22"/>
          <w:szCs w:val="22"/>
        </w:rPr>
        <w:t>La flexibilidad que la CREG plantea otorgarles a los productores-comercializadores, bajo el escenario de déficit estimado (a partir del mes de abril de 2026) comprometería suministro en firme que pueda requerir el abastecimiento de la Demanda Esencial en un futuro, que hasta donde se infiere del documento soporte, es uno de los objetivos de la CREG.</w:t>
      </w:r>
    </w:p>
    <w:p w14:paraId="31B53D44" w14:textId="77777777" w:rsidR="003F6B46" w:rsidRPr="0084605E" w:rsidRDefault="003F6B46" w:rsidP="003F6B46">
      <w:pPr>
        <w:rPr>
          <w:rFonts w:cs="Arial"/>
          <w:i/>
          <w:iCs/>
          <w:sz w:val="22"/>
          <w:szCs w:val="22"/>
        </w:rPr>
      </w:pPr>
    </w:p>
    <w:p w14:paraId="10FC39FD" w14:textId="77777777" w:rsidR="003F6B46" w:rsidRPr="0084605E" w:rsidRDefault="003F6B46" w:rsidP="003F6B46">
      <w:pPr>
        <w:rPr>
          <w:rFonts w:cs="Arial"/>
          <w:i/>
          <w:iCs/>
          <w:sz w:val="22"/>
          <w:szCs w:val="22"/>
        </w:rPr>
      </w:pPr>
      <w:r w:rsidRPr="0084605E">
        <w:rPr>
          <w:rFonts w:cs="Arial"/>
          <w:i/>
          <w:iCs/>
          <w:sz w:val="22"/>
          <w:szCs w:val="22"/>
        </w:rPr>
        <w:t>Con el mismo argumento anterior, podría inclusive cuestionarse que se les autorice a los productores-comercializadores la venta bajo modalidad interrumpible de la parte variable de los contratos con modalidades CF80 y CF95 que no sea nominada. Nuevamente bajo un escenario de déficit como el estimado por la CREG, las cantidades no nominadas en estos contratos permitirían coadyuvar al abastecimiento de la Demanda Esencial en un futuro."</w:t>
      </w:r>
    </w:p>
    <w:p w14:paraId="6ACFE825" w14:textId="77777777" w:rsidR="0084605E" w:rsidRDefault="0084605E" w:rsidP="003F6B46">
      <w:pPr>
        <w:rPr>
          <w:rFonts w:cs="Arial"/>
          <w:sz w:val="22"/>
          <w:szCs w:val="22"/>
        </w:rPr>
      </w:pPr>
    </w:p>
    <w:p w14:paraId="212C5F2E" w14:textId="4279B675" w:rsidR="0084605E" w:rsidRPr="0084605E" w:rsidRDefault="0084605E" w:rsidP="003F6B46">
      <w:pPr>
        <w:rPr>
          <w:rFonts w:cs="Arial"/>
          <w:b/>
          <w:bCs/>
          <w:sz w:val="22"/>
          <w:szCs w:val="22"/>
        </w:rPr>
      </w:pPr>
      <w:r w:rsidRPr="0084605E">
        <w:rPr>
          <w:rFonts w:cs="Arial"/>
          <w:b/>
          <w:bCs/>
          <w:sz w:val="22"/>
          <w:szCs w:val="22"/>
        </w:rPr>
        <w:t>Respuesta:</w:t>
      </w:r>
    </w:p>
    <w:p w14:paraId="4FC87431" w14:textId="77777777" w:rsidR="0084605E" w:rsidRDefault="0084605E" w:rsidP="003F6B46">
      <w:pPr>
        <w:rPr>
          <w:rFonts w:cs="Arial"/>
          <w:sz w:val="22"/>
          <w:szCs w:val="22"/>
        </w:rPr>
      </w:pPr>
    </w:p>
    <w:p w14:paraId="2F97E16F" w14:textId="77777777" w:rsidR="0084605E" w:rsidRDefault="0084605E" w:rsidP="0084605E">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0970E9F7" w14:textId="77777777" w:rsidR="0084605E" w:rsidRPr="003F6B46" w:rsidRDefault="0084605E" w:rsidP="003F6B46">
      <w:pPr>
        <w:rPr>
          <w:rFonts w:cs="Arial"/>
          <w:sz w:val="22"/>
          <w:szCs w:val="22"/>
        </w:rPr>
      </w:pPr>
    </w:p>
    <w:p w14:paraId="03F05D42" w14:textId="77777777" w:rsidR="007701B7" w:rsidRDefault="007701B7" w:rsidP="003F6B46">
      <w:pPr>
        <w:rPr>
          <w:rFonts w:cs="Arial"/>
          <w:sz w:val="22"/>
          <w:szCs w:val="22"/>
        </w:rPr>
      </w:pPr>
    </w:p>
    <w:p w14:paraId="3CB48D17" w14:textId="77777777" w:rsidR="007701B7" w:rsidRDefault="003F6B46" w:rsidP="00766731">
      <w:pPr>
        <w:pStyle w:val="Ttulo4"/>
      </w:pPr>
      <w:bookmarkStart w:id="990" w:name="_Ref133331851"/>
      <w:r w:rsidRPr="003F6B46">
        <w:t>GASES DE OCCIDENTE</w:t>
      </w:r>
      <w:bookmarkEnd w:id="990"/>
      <w:r w:rsidRPr="003F6B46">
        <w:tab/>
      </w:r>
    </w:p>
    <w:p w14:paraId="3749620C" w14:textId="0225CE26" w:rsidR="003F6B46" w:rsidRPr="0084605E" w:rsidRDefault="00842830" w:rsidP="003F6B46">
      <w:pPr>
        <w:rPr>
          <w:rFonts w:cs="Arial"/>
          <w:i/>
          <w:iCs/>
          <w:sz w:val="22"/>
          <w:szCs w:val="22"/>
        </w:rPr>
      </w:pPr>
      <w:r>
        <w:rPr>
          <w:rFonts w:cs="Arial"/>
          <w:i/>
          <w:iCs/>
          <w:sz w:val="22"/>
          <w:szCs w:val="22"/>
        </w:rPr>
        <w:t>“</w:t>
      </w:r>
      <w:r w:rsidR="003F6B46" w:rsidRPr="0084605E">
        <w:rPr>
          <w:rFonts w:cs="Arial"/>
          <w:i/>
          <w:iCs/>
          <w:sz w:val="22"/>
          <w:szCs w:val="22"/>
        </w:rPr>
        <w:t xml:space="preserve">Se propone que se mantenga la regla de la cantidad máxima que el productor puede vender en contratos mensuales a la máxima PTDV más los porcentajes variables de los contratos firmes CF95 y CF80 vigentes para el período pero que dichos contratos puedan ser suscritos con varios agentes y con reglas de asignación claras. Lo anterior, en el entendido que en realidad la cantidad de gas entregada nunca podría superar la PTDV, condición que podría ser verificada por el </w:t>
      </w:r>
      <w:r w:rsidR="005114C6" w:rsidRPr="0084605E">
        <w:rPr>
          <w:rFonts w:cs="Arial"/>
          <w:i/>
          <w:iCs/>
          <w:sz w:val="22"/>
          <w:szCs w:val="22"/>
        </w:rPr>
        <w:t>Gestor del Mercado</w:t>
      </w:r>
      <w:r w:rsidR="003F6B46" w:rsidRPr="0084605E">
        <w:rPr>
          <w:rFonts w:cs="Arial"/>
          <w:i/>
          <w:iCs/>
          <w:sz w:val="22"/>
          <w:szCs w:val="22"/>
        </w:rPr>
        <w:t>.</w:t>
      </w:r>
      <w:r>
        <w:rPr>
          <w:rFonts w:cs="Arial"/>
          <w:i/>
          <w:iCs/>
          <w:sz w:val="22"/>
          <w:szCs w:val="22"/>
        </w:rPr>
        <w:t>”</w:t>
      </w:r>
    </w:p>
    <w:p w14:paraId="2F5222B0" w14:textId="77777777" w:rsidR="0084605E" w:rsidRDefault="0084605E" w:rsidP="003F6B46">
      <w:pPr>
        <w:rPr>
          <w:rFonts w:cs="Arial"/>
          <w:sz w:val="22"/>
          <w:szCs w:val="22"/>
        </w:rPr>
      </w:pPr>
    </w:p>
    <w:p w14:paraId="7085ECD8" w14:textId="688CF4FE" w:rsidR="0084605E" w:rsidRPr="0084605E" w:rsidRDefault="0084605E" w:rsidP="003F6B46">
      <w:pPr>
        <w:rPr>
          <w:rFonts w:cs="Arial"/>
          <w:b/>
          <w:bCs/>
          <w:sz w:val="22"/>
          <w:szCs w:val="22"/>
        </w:rPr>
      </w:pPr>
      <w:r w:rsidRPr="0084605E">
        <w:rPr>
          <w:rFonts w:cs="Arial"/>
          <w:b/>
          <w:bCs/>
          <w:sz w:val="22"/>
          <w:szCs w:val="22"/>
        </w:rPr>
        <w:t>Respuesta:</w:t>
      </w:r>
    </w:p>
    <w:p w14:paraId="3F9CEEE1" w14:textId="77777777" w:rsidR="0084605E" w:rsidRDefault="0084605E" w:rsidP="003F6B46">
      <w:pPr>
        <w:rPr>
          <w:rFonts w:cs="Arial"/>
          <w:sz w:val="22"/>
          <w:szCs w:val="22"/>
        </w:rPr>
      </w:pPr>
    </w:p>
    <w:p w14:paraId="422ABC57" w14:textId="3C0D6F08" w:rsidR="0084605E" w:rsidRDefault="0084605E" w:rsidP="003F6B46">
      <w:pPr>
        <w:rPr>
          <w:rFonts w:cs="Arial"/>
          <w:sz w:val="22"/>
          <w:szCs w:val="22"/>
        </w:rPr>
      </w:pPr>
      <w:r>
        <w:rPr>
          <w:rFonts w:cs="Arial"/>
          <w:sz w:val="22"/>
          <w:szCs w:val="22"/>
        </w:rPr>
        <w:t>No se acoge el comentario.</w:t>
      </w:r>
    </w:p>
    <w:p w14:paraId="64B97484" w14:textId="77777777" w:rsidR="0084605E" w:rsidRDefault="0084605E" w:rsidP="003F6B46">
      <w:pPr>
        <w:rPr>
          <w:rFonts w:cs="Arial"/>
          <w:sz w:val="22"/>
          <w:szCs w:val="22"/>
        </w:rPr>
      </w:pPr>
    </w:p>
    <w:p w14:paraId="00B4086A" w14:textId="682DB1D3" w:rsidR="007701B7" w:rsidRDefault="0084605E" w:rsidP="003F6B46">
      <w:pPr>
        <w:rPr>
          <w:rFonts w:cs="Arial"/>
          <w:sz w:val="22"/>
          <w:szCs w:val="22"/>
        </w:rPr>
      </w:pPr>
      <w:r>
        <w:rPr>
          <w:rFonts w:cs="Arial"/>
          <w:sz w:val="22"/>
          <w:szCs w:val="22"/>
        </w:rPr>
        <w:t xml:space="preserve">Ver </w:t>
      </w:r>
      <w:r w:rsidR="00EC7F8B">
        <w:rPr>
          <w:rFonts w:cs="Arial"/>
          <w:sz w:val="22"/>
          <w:szCs w:val="22"/>
        </w:rPr>
        <w:t xml:space="preserve">numeral </w:t>
      </w:r>
      <w:r w:rsidR="00EC7F8B">
        <w:rPr>
          <w:rFonts w:cs="Arial"/>
          <w:sz w:val="22"/>
          <w:szCs w:val="22"/>
        </w:rPr>
        <w:fldChar w:fldCharType="begin"/>
      </w:r>
      <w:r w:rsidR="00EC7F8B">
        <w:rPr>
          <w:rFonts w:cs="Arial"/>
          <w:sz w:val="22"/>
          <w:szCs w:val="22"/>
        </w:rPr>
        <w:instrText xml:space="preserve"> REF _Ref133329836 \r \h </w:instrText>
      </w:r>
      <w:r w:rsidR="00EC7F8B">
        <w:rPr>
          <w:rFonts w:cs="Arial"/>
          <w:sz w:val="22"/>
          <w:szCs w:val="22"/>
        </w:rPr>
      </w:r>
      <w:r w:rsidR="00EC7F8B">
        <w:rPr>
          <w:rFonts w:cs="Arial"/>
          <w:sz w:val="22"/>
          <w:szCs w:val="22"/>
        </w:rPr>
        <w:fldChar w:fldCharType="separate"/>
      </w:r>
      <w:r w:rsidR="00EC7F8B">
        <w:rPr>
          <w:rFonts w:cs="Arial"/>
          <w:sz w:val="22"/>
          <w:szCs w:val="22"/>
        </w:rPr>
        <w:t>4.12</w:t>
      </w:r>
      <w:r w:rsidR="00EC7F8B">
        <w:rPr>
          <w:rFonts w:cs="Arial"/>
          <w:sz w:val="22"/>
          <w:szCs w:val="22"/>
        </w:rPr>
        <w:fldChar w:fldCharType="end"/>
      </w:r>
      <w:r w:rsidR="00EC7F8B">
        <w:rPr>
          <w:rFonts w:cs="Arial"/>
          <w:sz w:val="22"/>
          <w:szCs w:val="22"/>
        </w:rPr>
        <w:t xml:space="preserve">, </w:t>
      </w:r>
      <w:r>
        <w:rPr>
          <w:rFonts w:cs="Arial"/>
          <w:sz w:val="22"/>
          <w:szCs w:val="22"/>
        </w:rPr>
        <w:t>respuesta a</w:t>
      </w:r>
      <w:r w:rsidR="00106481">
        <w:rPr>
          <w:rFonts w:cs="Arial"/>
          <w:sz w:val="22"/>
          <w:szCs w:val="22"/>
        </w:rPr>
        <w:t xml:space="preserve"> </w:t>
      </w:r>
      <w:r w:rsidR="00106481">
        <w:rPr>
          <w:rFonts w:cs="Arial"/>
          <w:sz w:val="22"/>
          <w:szCs w:val="22"/>
        </w:rPr>
        <w:fldChar w:fldCharType="begin"/>
      </w:r>
      <w:r w:rsidR="00106481">
        <w:rPr>
          <w:rFonts w:cs="Arial"/>
          <w:sz w:val="22"/>
          <w:szCs w:val="22"/>
        </w:rPr>
        <w:instrText xml:space="preserve"> REF _Ref133328708 \r \h </w:instrText>
      </w:r>
      <w:r w:rsidR="00106481">
        <w:rPr>
          <w:rFonts w:cs="Arial"/>
          <w:sz w:val="22"/>
          <w:szCs w:val="22"/>
        </w:rPr>
      </w:r>
      <w:r w:rsidR="00106481">
        <w:rPr>
          <w:rFonts w:cs="Arial"/>
          <w:sz w:val="22"/>
          <w:szCs w:val="22"/>
        </w:rPr>
        <w:fldChar w:fldCharType="separate"/>
      </w:r>
      <w:r w:rsidR="00106481">
        <w:rPr>
          <w:rFonts w:cs="Arial"/>
          <w:sz w:val="22"/>
          <w:szCs w:val="22"/>
        </w:rPr>
        <w:t>32.3.1.1</w:t>
      </w:r>
      <w:r w:rsidR="00106481">
        <w:rPr>
          <w:rFonts w:cs="Arial"/>
          <w:sz w:val="22"/>
          <w:szCs w:val="22"/>
        </w:rPr>
        <w:fldChar w:fldCharType="end"/>
      </w:r>
      <w:r w:rsidR="00EC7F8B">
        <w:rPr>
          <w:rFonts w:cs="Arial"/>
          <w:sz w:val="22"/>
          <w:szCs w:val="22"/>
        </w:rPr>
        <w:t xml:space="preserve">, a </w:t>
      </w:r>
      <w:r w:rsidR="00EC7F8B">
        <w:rPr>
          <w:rFonts w:cs="Arial"/>
          <w:sz w:val="22"/>
          <w:szCs w:val="22"/>
        </w:rPr>
        <w:fldChar w:fldCharType="begin"/>
      </w:r>
      <w:r w:rsidR="00EC7F8B">
        <w:rPr>
          <w:rFonts w:cs="Arial"/>
          <w:sz w:val="22"/>
          <w:szCs w:val="22"/>
        </w:rPr>
        <w:instrText xml:space="preserve"> REF _Ref130291962 \r \h </w:instrText>
      </w:r>
      <w:r w:rsidR="00EC7F8B">
        <w:rPr>
          <w:rFonts w:cs="Arial"/>
          <w:sz w:val="22"/>
          <w:szCs w:val="22"/>
        </w:rPr>
      </w:r>
      <w:r w:rsidR="00EC7F8B">
        <w:rPr>
          <w:rFonts w:cs="Arial"/>
          <w:sz w:val="22"/>
          <w:szCs w:val="22"/>
        </w:rPr>
        <w:fldChar w:fldCharType="separate"/>
      </w:r>
      <w:r w:rsidR="00EC7F8B">
        <w:rPr>
          <w:rFonts w:cs="Arial"/>
          <w:sz w:val="22"/>
          <w:szCs w:val="22"/>
        </w:rPr>
        <w:t>1.4.1.1</w:t>
      </w:r>
      <w:r w:rsidR="00EC7F8B">
        <w:rPr>
          <w:rFonts w:cs="Arial"/>
          <w:sz w:val="22"/>
          <w:szCs w:val="22"/>
        </w:rPr>
        <w:fldChar w:fldCharType="end"/>
      </w:r>
      <w:r w:rsidR="00EC7F8B">
        <w:rPr>
          <w:rFonts w:cs="Arial"/>
          <w:sz w:val="22"/>
          <w:szCs w:val="22"/>
        </w:rPr>
        <w:t xml:space="preserve"> sobre los contratos con interrupciones</w:t>
      </w:r>
      <w:r w:rsidR="00106481">
        <w:rPr>
          <w:rFonts w:cs="Arial"/>
          <w:sz w:val="22"/>
          <w:szCs w:val="22"/>
        </w:rPr>
        <w:t>, entre otras</w:t>
      </w:r>
      <w:r>
        <w:rPr>
          <w:rFonts w:cs="Arial"/>
          <w:sz w:val="22"/>
          <w:szCs w:val="22"/>
        </w:rPr>
        <w:t>.</w:t>
      </w:r>
    </w:p>
    <w:p w14:paraId="21260789" w14:textId="77777777" w:rsidR="007701B7" w:rsidRDefault="007701B7" w:rsidP="003F6B46">
      <w:pPr>
        <w:rPr>
          <w:rFonts w:cs="Arial"/>
          <w:sz w:val="22"/>
          <w:szCs w:val="22"/>
        </w:rPr>
      </w:pPr>
    </w:p>
    <w:p w14:paraId="5A7F8504" w14:textId="77777777" w:rsidR="0084605E" w:rsidRDefault="0084605E" w:rsidP="003F6B46">
      <w:pPr>
        <w:rPr>
          <w:rFonts w:cs="Arial"/>
          <w:sz w:val="22"/>
          <w:szCs w:val="22"/>
        </w:rPr>
      </w:pPr>
    </w:p>
    <w:p w14:paraId="38123F12" w14:textId="77777777" w:rsidR="007701B7" w:rsidRDefault="003F6B46" w:rsidP="00C72898">
      <w:pPr>
        <w:pStyle w:val="Ttulo2"/>
      </w:pPr>
      <w:bookmarkStart w:id="991" w:name="_Toc140506546"/>
      <w:r w:rsidRPr="003F6B46">
        <w:t>GECELCA</w:t>
      </w:r>
      <w:bookmarkEnd w:id="991"/>
      <w:r w:rsidRPr="003F6B46">
        <w:tab/>
      </w:r>
    </w:p>
    <w:p w14:paraId="61C719B1" w14:textId="77777777" w:rsidR="00766731" w:rsidRDefault="00766731" w:rsidP="00766731">
      <w:pPr>
        <w:pStyle w:val="Ttulo4"/>
      </w:pPr>
      <w:r w:rsidRPr="003F6B46">
        <w:t>GECELCA</w:t>
      </w:r>
      <w:r w:rsidRPr="003F6B46">
        <w:tab/>
      </w:r>
    </w:p>
    <w:p w14:paraId="1543369C" w14:textId="7AC5DB74" w:rsidR="003F6B46" w:rsidRPr="00E36F51" w:rsidRDefault="00D903A4" w:rsidP="003F6B46">
      <w:pPr>
        <w:rPr>
          <w:rFonts w:cs="Arial"/>
          <w:i/>
          <w:iCs/>
          <w:sz w:val="22"/>
          <w:szCs w:val="22"/>
        </w:rPr>
      </w:pPr>
      <w:r>
        <w:rPr>
          <w:rFonts w:cs="Arial"/>
          <w:i/>
          <w:iCs/>
          <w:sz w:val="22"/>
          <w:szCs w:val="22"/>
        </w:rPr>
        <w:t>“</w:t>
      </w:r>
      <w:r w:rsidR="003F6B46" w:rsidRPr="00E36F51">
        <w:rPr>
          <w:rFonts w:cs="Arial"/>
          <w:i/>
          <w:iCs/>
          <w:sz w:val="22"/>
          <w:szCs w:val="22"/>
        </w:rPr>
        <w:t>Con la redacción indicada en el artículo 36 se estaría restringiendo las transacciones en contratos con interrupciones debido a que no sería posible realizar venta de cantidades adquiridas en el mercado secundario.</w:t>
      </w:r>
      <w:r>
        <w:rPr>
          <w:rFonts w:cs="Arial"/>
          <w:i/>
          <w:iCs/>
          <w:sz w:val="22"/>
          <w:szCs w:val="22"/>
        </w:rPr>
        <w:t>”</w:t>
      </w:r>
    </w:p>
    <w:p w14:paraId="42DDAF80" w14:textId="77777777" w:rsidR="00E36F51" w:rsidRDefault="00E36F51" w:rsidP="003F6B46">
      <w:pPr>
        <w:rPr>
          <w:rFonts w:cs="Arial"/>
          <w:sz w:val="22"/>
          <w:szCs w:val="22"/>
        </w:rPr>
      </w:pPr>
    </w:p>
    <w:p w14:paraId="7378BB67" w14:textId="54C0397A" w:rsidR="00E36F51" w:rsidRPr="00E36F51" w:rsidRDefault="00E36F51" w:rsidP="003F6B46">
      <w:pPr>
        <w:rPr>
          <w:rFonts w:cs="Arial"/>
          <w:b/>
          <w:bCs/>
          <w:sz w:val="22"/>
          <w:szCs w:val="22"/>
        </w:rPr>
      </w:pPr>
      <w:r w:rsidRPr="00E36F51">
        <w:rPr>
          <w:rFonts w:cs="Arial"/>
          <w:b/>
          <w:bCs/>
          <w:sz w:val="22"/>
          <w:szCs w:val="22"/>
        </w:rPr>
        <w:t>Respuesta:</w:t>
      </w:r>
    </w:p>
    <w:p w14:paraId="1280F9C6" w14:textId="77777777" w:rsidR="00E36F51" w:rsidRDefault="00E36F51" w:rsidP="003F6B46">
      <w:pPr>
        <w:rPr>
          <w:rFonts w:cs="Arial"/>
          <w:sz w:val="22"/>
          <w:szCs w:val="22"/>
        </w:rPr>
      </w:pPr>
    </w:p>
    <w:p w14:paraId="4B00DC73" w14:textId="78CB5E51" w:rsidR="00E36F51" w:rsidRPr="003F6B46" w:rsidRDefault="00E36F51"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_Ref133328491 \r \h </w:instrText>
      </w:r>
      <w:r>
        <w:rPr>
          <w:rFonts w:cs="Arial"/>
          <w:sz w:val="22"/>
          <w:szCs w:val="22"/>
        </w:rPr>
      </w:r>
      <w:r>
        <w:rPr>
          <w:rFonts w:cs="Arial"/>
          <w:sz w:val="22"/>
          <w:szCs w:val="22"/>
        </w:rPr>
        <w:fldChar w:fldCharType="separate"/>
      </w:r>
      <w:r>
        <w:rPr>
          <w:rFonts w:cs="Arial"/>
          <w:sz w:val="22"/>
          <w:szCs w:val="22"/>
        </w:rPr>
        <w:t>32.1.1.6</w:t>
      </w:r>
      <w:r>
        <w:rPr>
          <w:rFonts w:cs="Arial"/>
          <w:sz w:val="22"/>
          <w:szCs w:val="22"/>
        </w:rPr>
        <w:fldChar w:fldCharType="end"/>
      </w:r>
      <w:r>
        <w:rPr>
          <w:rFonts w:cs="Arial"/>
          <w:sz w:val="22"/>
          <w:szCs w:val="22"/>
        </w:rPr>
        <w:t>.</w:t>
      </w:r>
    </w:p>
    <w:p w14:paraId="3FD27D3A" w14:textId="77777777" w:rsidR="007701B7" w:rsidRDefault="007701B7" w:rsidP="003F6B46">
      <w:pPr>
        <w:rPr>
          <w:rFonts w:cs="Arial"/>
          <w:sz w:val="22"/>
          <w:szCs w:val="22"/>
        </w:rPr>
      </w:pPr>
    </w:p>
    <w:p w14:paraId="6ACC9AA6" w14:textId="77777777" w:rsidR="007701B7" w:rsidRDefault="007701B7" w:rsidP="003F6B46">
      <w:pPr>
        <w:rPr>
          <w:rFonts w:cs="Arial"/>
          <w:sz w:val="22"/>
          <w:szCs w:val="22"/>
        </w:rPr>
      </w:pPr>
    </w:p>
    <w:p w14:paraId="644604BC" w14:textId="77777777" w:rsidR="007701B7" w:rsidRDefault="003F6B46" w:rsidP="00C72898">
      <w:pPr>
        <w:pStyle w:val="Ttulo2"/>
      </w:pPr>
      <w:bookmarkStart w:id="992" w:name="_Toc140506547"/>
      <w:r w:rsidRPr="003F6B46">
        <w:t>GIGAS ENERGY</w:t>
      </w:r>
      <w:bookmarkEnd w:id="992"/>
      <w:r w:rsidRPr="003F6B46">
        <w:tab/>
      </w:r>
    </w:p>
    <w:p w14:paraId="331867BF" w14:textId="77777777" w:rsidR="00766731" w:rsidRDefault="00766731" w:rsidP="00766731">
      <w:pPr>
        <w:pStyle w:val="Ttulo4"/>
      </w:pPr>
      <w:r w:rsidRPr="003F6B46">
        <w:t>GIGAS ENERGY</w:t>
      </w:r>
      <w:r w:rsidRPr="003F6B46">
        <w:tab/>
      </w:r>
    </w:p>
    <w:p w14:paraId="4E92C6C1" w14:textId="374A0118" w:rsidR="003F6B46" w:rsidRPr="00E36F51" w:rsidRDefault="00D903A4" w:rsidP="003F6B46">
      <w:pPr>
        <w:rPr>
          <w:rFonts w:cs="Arial"/>
          <w:i/>
          <w:iCs/>
          <w:sz w:val="22"/>
          <w:szCs w:val="22"/>
        </w:rPr>
      </w:pPr>
      <w:r>
        <w:rPr>
          <w:rFonts w:cs="Arial"/>
          <w:i/>
          <w:iCs/>
          <w:sz w:val="22"/>
          <w:szCs w:val="22"/>
        </w:rPr>
        <w:t>“</w:t>
      </w:r>
      <w:r w:rsidR="003F6B46" w:rsidRPr="00E36F51">
        <w:rPr>
          <w:rFonts w:cs="Arial"/>
          <w:i/>
          <w:iCs/>
          <w:sz w:val="22"/>
          <w:szCs w:val="22"/>
        </w:rPr>
        <w:t>Se sugiere eliminar la limitación impuesta a las Partes para modificar los precios durante el plazo del contrato. Lo anterior en la medida que el regulador desconoce el principio de autonomía de la voluntad que sobrevive con posterioridad a la celebración del contrato.</w:t>
      </w:r>
      <w:r>
        <w:rPr>
          <w:rFonts w:cs="Arial"/>
          <w:i/>
          <w:iCs/>
          <w:sz w:val="22"/>
          <w:szCs w:val="22"/>
        </w:rPr>
        <w:t>”</w:t>
      </w:r>
    </w:p>
    <w:p w14:paraId="4D630D9C" w14:textId="77777777" w:rsidR="00E36F51" w:rsidRDefault="00E36F51" w:rsidP="003F6B46">
      <w:pPr>
        <w:rPr>
          <w:rFonts w:cs="Arial"/>
          <w:sz w:val="22"/>
          <w:szCs w:val="22"/>
        </w:rPr>
      </w:pPr>
    </w:p>
    <w:p w14:paraId="6FF5C6BB" w14:textId="243E34F5" w:rsidR="00E36F51" w:rsidRPr="00E36F51" w:rsidRDefault="00E36F51" w:rsidP="003F6B46">
      <w:pPr>
        <w:rPr>
          <w:rFonts w:cs="Arial"/>
          <w:b/>
          <w:bCs/>
          <w:sz w:val="22"/>
          <w:szCs w:val="22"/>
        </w:rPr>
      </w:pPr>
      <w:r w:rsidRPr="00E36F51">
        <w:rPr>
          <w:rFonts w:cs="Arial"/>
          <w:b/>
          <w:bCs/>
          <w:sz w:val="22"/>
          <w:szCs w:val="22"/>
        </w:rPr>
        <w:t>Respuesta:</w:t>
      </w:r>
    </w:p>
    <w:p w14:paraId="7EEFB784" w14:textId="77777777" w:rsidR="00E36F51" w:rsidRDefault="00E36F51" w:rsidP="003F6B46">
      <w:pPr>
        <w:rPr>
          <w:rFonts w:cs="Arial"/>
          <w:sz w:val="22"/>
          <w:szCs w:val="22"/>
        </w:rPr>
      </w:pPr>
    </w:p>
    <w:p w14:paraId="00BB15B9" w14:textId="0FBE6E8F" w:rsidR="00E36F51" w:rsidRDefault="00647B45" w:rsidP="003F6B46">
      <w:pPr>
        <w:rPr>
          <w:rFonts w:cs="Arial"/>
          <w:sz w:val="22"/>
          <w:szCs w:val="22"/>
        </w:rPr>
      </w:pPr>
      <w:r>
        <w:rPr>
          <w:rFonts w:cs="Arial"/>
          <w:sz w:val="22"/>
          <w:szCs w:val="22"/>
        </w:rPr>
        <w:t>No se acoge el comentario.</w:t>
      </w:r>
    </w:p>
    <w:p w14:paraId="0B54B718" w14:textId="77777777" w:rsidR="00647B45" w:rsidRDefault="00647B45" w:rsidP="003F6B46">
      <w:pPr>
        <w:rPr>
          <w:rFonts w:cs="Arial"/>
          <w:sz w:val="22"/>
          <w:szCs w:val="22"/>
        </w:rPr>
      </w:pPr>
    </w:p>
    <w:p w14:paraId="56876815" w14:textId="3B02E207" w:rsidR="00647B45" w:rsidRPr="003F6B46" w:rsidRDefault="00647B45"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_Ref133325291 \r \h </w:instrText>
      </w:r>
      <w:r>
        <w:rPr>
          <w:rFonts w:cs="Arial"/>
          <w:sz w:val="22"/>
          <w:szCs w:val="22"/>
        </w:rPr>
      </w:r>
      <w:r>
        <w:rPr>
          <w:rFonts w:cs="Arial"/>
          <w:sz w:val="22"/>
          <w:szCs w:val="22"/>
        </w:rPr>
        <w:fldChar w:fldCharType="separate"/>
      </w:r>
      <w:r>
        <w:rPr>
          <w:rFonts w:cs="Arial"/>
          <w:sz w:val="22"/>
          <w:szCs w:val="22"/>
        </w:rPr>
        <w:t>32.1.1.2</w:t>
      </w:r>
      <w:r>
        <w:rPr>
          <w:rFonts w:cs="Arial"/>
          <w:sz w:val="22"/>
          <w:szCs w:val="22"/>
        </w:rPr>
        <w:fldChar w:fldCharType="end"/>
      </w:r>
      <w:r>
        <w:rPr>
          <w:rFonts w:cs="Arial"/>
          <w:sz w:val="22"/>
          <w:szCs w:val="22"/>
        </w:rPr>
        <w:t>.</w:t>
      </w:r>
    </w:p>
    <w:p w14:paraId="7A906271" w14:textId="77777777" w:rsidR="007701B7" w:rsidRDefault="007701B7" w:rsidP="003F6B46">
      <w:pPr>
        <w:rPr>
          <w:rFonts w:cs="Arial"/>
          <w:sz w:val="22"/>
          <w:szCs w:val="22"/>
        </w:rPr>
      </w:pPr>
    </w:p>
    <w:p w14:paraId="55083850" w14:textId="77777777" w:rsidR="007701B7" w:rsidRDefault="007701B7" w:rsidP="003F6B46">
      <w:pPr>
        <w:rPr>
          <w:rFonts w:cs="Arial"/>
          <w:sz w:val="22"/>
          <w:szCs w:val="22"/>
        </w:rPr>
      </w:pPr>
    </w:p>
    <w:p w14:paraId="3FF60364" w14:textId="77777777" w:rsidR="007701B7" w:rsidRDefault="003F6B46" w:rsidP="00C72898">
      <w:pPr>
        <w:pStyle w:val="Ttulo2"/>
      </w:pPr>
      <w:bookmarkStart w:id="993" w:name="_Toc140506548"/>
      <w:r w:rsidRPr="003F6B46">
        <w:t>HOCOL</w:t>
      </w:r>
      <w:bookmarkEnd w:id="993"/>
      <w:r w:rsidRPr="003F6B46">
        <w:tab/>
      </w:r>
    </w:p>
    <w:p w14:paraId="0EC39FA0" w14:textId="77777777" w:rsidR="00766731" w:rsidRDefault="00766731" w:rsidP="00766731">
      <w:pPr>
        <w:pStyle w:val="Ttulo4"/>
      </w:pPr>
      <w:bookmarkStart w:id="994" w:name="_Ref133330856"/>
      <w:r w:rsidRPr="003F6B46">
        <w:t>HOCOL</w:t>
      </w:r>
      <w:bookmarkEnd w:id="994"/>
      <w:r w:rsidRPr="003F6B46">
        <w:tab/>
      </w:r>
    </w:p>
    <w:p w14:paraId="72863AA4" w14:textId="02E5C6F0" w:rsidR="003F6B46" w:rsidRPr="00647B45" w:rsidRDefault="00D903A4" w:rsidP="003F6B46">
      <w:pPr>
        <w:rPr>
          <w:rFonts w:cs="Arial"/>
          <w:i/>
          <w:iCs/>
          <w:sz w:val="22"/>
          <w:szCs w:val="22"/>
        </w:rPr>
      </w:pPr>
      <w:r>
        <w:rPr>
          <w:rFonts w:cs="Arial"/>
          <w:i/>
          <w:iCs/>
          <w:sz w:val="22"/>
          <w:szCs w:val="22"/>
        </w:rPr>
        <w:t>“</w:t>
      </w:r>
      <w:r w:rsidR="003F6B46" w:rsidRPr="00647B45">
        <w:rPr>
          <w:rFonts w:cs="Arial"/>
          <w:i/>
          <w:iCs/>
          <w:sz w:val="22"/>
          <w:szCs w:val="22"/>
        </w:rPr>
        <w:t>Sugerimos amablemente a la Comisión revisar la contradicción que se puede presentar en la limitación de cantidades que se pueden suscribir bajo esta modalidad contractual, versus la definición de esta modalidad contractual que implica que las partes no asumen compromiso de continuidad en la entrega o recibo de gas natural y que el servicio puede ser interrumpido por cualquiera de las partes, en cualquier momento y bajo cualquier circunstancia, diferenciándose en términos absolutos de un contrato en firme que por su naturaleza requiere contar con Respaldo Físico para suscribir los contratos correspondientes.</w:t>
      </w:r>
      <w:r>
        <w:rPr>
          <w:rFonts w:cs="Arial"/>
          <w:i/>
          <w:iCs/>
          <w:sz w:val="22"/>
          <w:szCs w:val="22"/>
        </w:rPr>
        <w:t>”</w:t>
      </w:r>
      <w:r w:rsidR="003F6B46" w:rsidRPr="00647B45">
        <w:rPr>
          <w:rFonts w:cs="Arial"/>
          <w:i/>
          <w:iCs/>
          <w:sz w:val="22"/>
          <w:szCs w:val="22"/>
        </w:rPr>
        <w:t xml:space="preserve"> </w:t>
      </w:r>
    </w:p>
    <w:p w14:paraId="2C41F18F" w14:textId="77777777" w:rsidR="007701B7" w:rsidRPr="00647B45" w:rsidRDefault="007701B7" w:rsidP="003F6B46">
      <w:pPr>
        <w:rPr>
          <w:rFonts w:cs="Arial"/>
          <w:i/>
          <w:iCs/>
          <w:sz w:val="22"/>
          <w:szCs w:val="22"/>
        </w:rPr>
      </w:pPr>
    </w:p>
    <w:p w14:paraId="4DF2ABDC" w14:textId="6E76E2BD" w:rsidR="00647B45" w:rsidRPr="00647B45" w:rsidRDefault="00647B45" w:rsidP="003F6B46">
      <w:pPr>
        <w:rPr>
          <w:rFonts w:cs="Arial"/>
          <w:b/>
          <w:bCs/>
          <w:sz w:val="22"/>
          <w:szCs w:val="22"/>
        </w:rPr>
      </w:pPr>
      <w:r w:rsidRPr="00647B45">
        <w:rPr>
          <w:rFonts w:cs="Arial"/>
          <w:b/>
          <w:bCs/>
          <w:sz w:val="22"/>
          <w:szCs w:val="22"/>
        </w:rPr>
        <w:t>Respuesta:</w:t>
      </w:r>
    </w:p>
    <w:p w14:paraId="3546FD62" w14:textId="77777777" w:rsidR="00647B45" w:rsidRPr="00647B45" w:rsidRDefault="00647B45" w:rsidP="003F6B46">
      <w:pPr>
        <w:rPr>
          <w:rFonts w:cs="Arial"/>
          <w:sz w:val="22"/>
          <w:szCs w:val="22"/>
        </w:rPr>
      </w:pPr>
    </w:p>
    <w:p w14:paraId="6D5FD0CB" w14:textId="55622CB6" w:rsidR="00AA7948" w:rsidRDefault="00AA7948" w:rsidP="003F6B46">
      <w:pPr>
        <w:rPr>
          <w:rFonts w:cs="Arial"/>
          <w:sz w:val="22"/>
          <w:szCs w:val="22"/>
        </w:rPr>
      </w:pPr>
      <w:r>
        <w:rPr>
          <w:rFonts w:cs="Arial"/>
          <w:sz w:val="22"/>
          <w:szCs w:val="22"/>
        </w:rPr>
        <w:t>No se acoge el comentario.</w:t>
      </w:r>
    </w:p>
    <w:p w14:paraId="3930449D" w14:textId="77777777" w:rsidR="00AA7948" w:rsidRDefault="00AA7948" w:rsidP="003F6B46">
      <w:pPr>
        <w:rPr>
          <w:rFonts w:cs="Arial"/>
          <w:sz w:val="22"/>
          <w:szCs w:val="22"/>
        </w:rPr>
      </w:pPr>
    </w:p>
    <w:p w14:paraId="06D57A73" w14:textId="48BA2EBC" w:rsidR="00647B45" w:rsidRPr="00647B45" w:rsidRDefault="00AA7948"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_Ref133327912 \r \h </w:instrText>
      </w:r>
      <w:r>
        <w:rPr>
          <w:rFonts w:cs="Arial"/>
          <w:sz w:val="22"/>
          <w:szCs w:val="22"/>
        </w:rPr>
      </w:r>
      <w:r>
        <w:rPr>
          <w:rFonts w:cs="Arial"/>
          <w:sz w:val="22"/>
          <w:szCs w:val="22"/>
        </w:rPr>
        <w:fldChar w:fldCharType="separate"/>
      </w:r>
      <w:r>
        <w:rPr>
          <w:rFonts w:cs="Arial"/>
          <w:sz w:val="22"/>
          <w:szCs w:val="22"/>
        </w:rPr>
        <w:t>32.1.1.5</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_Ref133328708 \r \h </w:instrText>
      </w:r>
      <w:r>
        <w:rPr>
          <w:rFonts w:cs="Arial"/>
          <w:sz w:val="22"/>
          <w:szCs w:val="22"/>
        </w:rPr>
      </w:r>
      <w:r>
        <w:rPr>
          <w:rFonts w:cs="Arial"/>
          <w:sz w:val="22"/>
          <w:szCs w:val="22"/>
        </w:rPr>
        <w:fldChar w:fldCharType="separate"/>
      </w:r>
      <w:r>
        <w:rPr>
          <w:rFonts w:cs="Arial"/>
          <w:sz w:val="22"/>
          <w:szCs w:val="22"/>
        </w:rPr>
        <w:t>32.3.1.1</w:t>
      </w:r>
      <w:r>
        <w:rPr>
          <w:rFonts w:cs="Arial"/>
          <w:sz w:val="22"/>
          <w:szCs w:val="22"/>
        </w:rPr>
        <w:fldChar w:fldCharType="end"/>
      </w:r>
      <w:r>
        <w:rPr>
          <w:rFonts w:cs="Arial"/>
          <w:sz w:val="22"/>
          <w:szCs w:val="22"/>
        </w:rPr>
        <w:t xml:space="preserve">, entre otras.  </w:t>
      </w:r>
    </w:p>
    <w:p w14:paraId="62FD04DB" w14:textId="77777777" w:rsidR="00647B45" w:rsidRDefault="00647B45" w:rsidP="003F6B46">
      <w:pPr>
        <w:rPr>
          <w:rFonts w:cs="Arial"/>
          <w:i/>
          <w:iCs/>
          <w:sz w:val="22"/>
          <w:szCs w:val="22"/>
        </w:rPr>
      </w:pPr>
    </w:p>
    <w:p w14:paraId="38E13769" w14:textId="77777777" w:rsidR="00647B45" w:rsidRDefault="00647B45" w:rsidP="003F6B46">
      <w:pPr>
        <w:rPr>
          <w:rFonts w:cs="Arial"/>
          <w:i/>
          <w:iCs/>
          <w:sz w:val="22"/>
          <w:szCs w:val="22"/>
        </w:rPr>
      </w:pPr>
    </w:p>
    <w:p w14:paraId="33177A82" w14:textId="77777777" w:rsidR="00647B45" w:rsidRDefault="00647B45" w:rsidP="00647B45">
      <w:pPr>
        <w:pStyle w:val="Ttulo4"/>
      </w:pPr>
      <w:r w:rsidRPr="003F6B46">
        <w:t>HOCOL</w:t>
      </w:r>
      <w:r w:rsidRPr="003F6B46">
        <w:tab/>
      </w:r>
    </w:p>
    <w:p w14:paraId="22848E1B" w14:textId="4E8FF98F" w:rsidR="003F6B46" w:rsidRPr="00647B45" w:rsidRDefault="00D903A4" w:rsidP="003F6B46">
      <w:pPr>
        <w:rPr>
          <w:rFonts w:cs="Arial"/>
          <w:i/>
          <w:iCs/>
          <w:sz w:val="22"/>
          <w:szCs w:val="22"/>
        </w:rPr>
      </w:pPr>
      <w:r>
        <w:rPr>
          <w:rFonts w:cs="Arial"/>
          <w:i/>
          <w:iCs/>
          <w:sz w:val="22"/>
          <w:szCs w:val="22"/>
        </w:rPr>
        <w:t>“</w:t>
      </w:r>
      <w:r w:rsidR="003F6B46" w:rsidRPr="00647B45">
        <w:rPr>
          <w:rFonts w:cs="Arial"/>
          <w:i/>
          <w:iCs/>
          <w:sz w:val="22"/>
          <w:szCs w:val="22"/>
        </w:rPr>
        <w:t>A lo anterior debe agregarse que de la lectura del Decreto 2100 de 2011, compilado en el Decreto 1073 de 2015, en particular de las definiciones de Producción Comprometida (PC) y Producción Total Disponible para la Venta (PTDV), resulta claro que las cantidades comprometidas en Contratos con Interrupciones no cumplen con la condición para ser consideradas PC, en la medida en que las mismas no están comprometidas para la venta mediante contratos de suministro firme o que garanticen firmeza, razón por la cual estas cantidades, independientemente de que se comprometan en múltiples Contratos con Interrupciones, serían cantidades que hacen parte de la PTDV, pudiendo en todo caso comercializarse bajo cualquier modalidad contractual prevista por la CREG y según sus mecanismos, sin los límites que sobre cantidades que pueden o no ejecutarse en el día, se están imponiendo por la CREG para la suscripción de contratos.</w:t>
      </w:r>
      <w:r>
        <w:rPr>
          <w:rFonts w:cs="Arial"/>
          <w:i/>
          <w:iCs/>
          <w:sz w:val="22"/>
          <w:szCs w:val="22"/>
        </w:rPr>
        <w:t>”</w:t>
      </w:r>
    </w:p>
    <w:p w14:paraId="4B467645" w14:textId="77777777" w:rsidR="007701B7" w:rsidRPr="00647B45" w:rsidRDefault="007701B7" w:rsidP="003F6B46">
      <w:pPr>
        <w:rPr>
          <w:rFonts w:cs="Arial"/>
          <w:i/>
          <w:iCs/>
          <w:sz w:val="22"/>
          <w:szCs w:val="22"/>
        </w:rPr>
      </w:pPr>
    </w:p>
    <w:p w14:paraId="36DF5789" w14:textId="019FBC9E" w:rsidR="00647B45" w:rsidRPr="00AA7948" w:rsidRDefault="00AA7948" w:rsidP="003F6B46">
      <w:pPr>
        <w:rPr>
          <w:rFonts w:cs="Arial"/>
          <w:b/>
          <w:bCs/>
          <w:sz w:val="22"/>
          <w:szCs w:val="22"/>
        </w:rPr>
      </w:pPr>
      <w:r w:rsidRPr="00AA7948">
        <w:rPr>
          <w:rFonts w:cs="Arial"/>
          <w:b/>
          <w:bCs/>
          <w:sz w:val="22"/>
          <w:szCs w:val="22"/>
        </w:rPr>
        <w:t>Respuesta:</w:t>
      </w:r>
    </w:p>
    <w:p w14:paraId="55774393" w14:textId="77777777" w:rsidR="00AA7948" w:rsidRDefault="00AA7948" w:rsidP="003F6B46">
      <w:pPr>
        <w:rPr>
          <w:rFonts w:cs="Arial"/>
          <w:i/>
          <w:iCs/>
          <w:sz w:val="22"/>
          <w:szCs w:val="22"/>
        </w:rPr>
      </w:pPr>
    </w:p>
    <w:p w14:paraId="1CBD25EE" w14:textId="7EA5798D" w:rsidR="00AA7948" w:rsidRPr="00AA7948" w:rsidRDefault="00D034EC"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_Ref133330856 \r \h </w:instrText>
      </w:r>
      <w:r>
        <w:rPr>
          <w:rFonts w:cs="Arial"/>
          <w:sz w:val="22"/>
          <w:szCs w:val="22"/>
        </w:rPr>
      </w:r>
      <w:r>
        <w:rPr>
          <w:rFonts w:cs="Arial"/>
          <w:sz w:val="22"/>
          <w:szCs w:val="22"/>
        </w:rPr>
        <w:fldChar w:fldCharType="separate"/>
      </w:r>
      <w:r>
        <w:rPr>
          <w:rFonts w:cs="Arial"/>
          <w:sz w:val="22"/>
          <w:szCs w:val="22"/>
        </w:rPr>
        <w:t>32.10.1.1</w:t>
      </w:r>
      <w:r>
        <w:rPr>
          <w:rFonts w:cs="Arial"/>
          <w:sz w:val="22"/>
          <w:szCs w:val="22"/>
        </w:rPr>
        <w:fldChar w:fldCharType="end"/>
      </w:r>
      <w:r>
        <w:rPr>
          <w:rFonts w:cs="Arial"/>
          <w:sz w:val="22"/>
          <w:szCs w:val="22"/>
        </w:rPr>
        <w:t>.</w:t>
      </w:r>
    </w:p>
    <w:p w14:paraId="79AE5B7E" w14:textId="77777777" w:rsidR="00AA7948" w:rsidRDefault="00AA7948" w:rsidP="003F6B46">
      <w:pPr>
        <w:rPr>
          <w:rFonts w:cs="Arial"/>
          <w:i/>
          <w:iCs/>
          <w:sz w:val="22"/>
          <w:szCs w:val="22"/>
        </w:rPr>
      </w:pPr>
    </w:p>
    <w:p w14:paraId="4AEAADBC" w14:textId="77777777" w:rsidR="00647B45" w:rsidRDefault="00647B45" w:rsidP="003F6B46">
      <w:pPr>
        <w:rPr>
          <w:rFonts w:cs="Arial"/>
          <w:i/>
          <w:iCs/>
          <w:sz w:val="22"/>
          <w:szCs w:val="22"/>
        </w:rPr>
      </w:pPr>
    </w:p>
    <w:p w14:paraId="2817D65F" w14:textId="77777777" w:rsidR="00647B45" w:rsidRDefault="00647B45" w:rsidP="00647B45">
      <w:pPr>
        <w:pStyle w:val="Ttulo4"/>
      </w:pPr>
      <w:r w:rsidRPr="003F6B46">
        <w:t>HOCOL</w:t>
      </w:r>
      <w:r w:rsidRPr="003F6B46">
        <w:tab/>
      </w:r>
    </w:p>
    <w:p w14:paraId="524C6445" w14:textId="39807EA6" w:rsidR="003F6B46" w:rsidRPr="00647B45" w:rsidRDefault="00F72331" w:rsidP="003F6B46">
      <w:pPr>
        <w:rPr>
          <w:rFonts w:cs="Arial"/>
          <w:i/>
          <w:iCs/>
          <w:sz w:val="22"/>
          <w:szCs w:val="22"/>
        </w:rPr>
      </w:pPr>
      <w:r>
        <w:rPr>
          <w:rFonts w:cs="Arial"/>
          <w:i/>
          <w:iCs/>
          <w:sz w:val="22"/>
          <w:szCs w:val="22"/>
        </w:rPr>
        <w:t>“</w:t>
      </w:r>
      <w:r w:rsidR="003F6B46" w:rsidRPr="00647B45">
        <w:rPr>
          <w:rFonts w:cs="Arial"/>
          <w:i/>
          <w:iCs/>
          <w:sz w:val="22"/>
          <w:szCs w:val="22"/>
        </w:rPr>
        <w:t>Para los productores comercializadores es muy importante contar con diferentes alternativas de comercialización que permitan evacuar los excedentes de gas en el día, ya sea por bajas nominaciones de los mismos Contratos con Interrupciones o por declaración de eventos por parte de los compradores, asegurando la maximización de la oferta diaria de gas y evitando las fluctuaciones que afectan la capacidad de producción de los yacimientos. Estas alternativas de comercialización se materializan a través de Contratos con Interrupciones con diversos agentes que puedan tomar los excedentes de acuerdo con sus necesidades diarias. Por lo anterior sugerimos a la CREG eliminar esta limitación a las cantidades que se pueden comercializar bajo Contratos con Interrupciones.</w:t>
      </w:r>
    </w:p>
    <w:p w14:paraId="0D43AAEC" w14:textId="77777777" w:rsidR="007701B7" w:rsidRPr="00647B45" w:rsidRDefault="007701B7" w:rsidP="003F6B46">
      <w:pPr>
        <w:rPr>
          <w:rFonts w:cs="Arial"/>
          <w:i/>
          <w:iCs/>
          <w:sz w:val="22"/>
          <w:szCs w:val="22"/>
        </w:rPr>
      </w:pPr>
    </w:p>
    <w:p w14:paraId="57AF8953" w14:textId="69340F81" w:rsidR="003F6B46" w:rsidRDefault="003F6B46" w:rsidP="003F6B46">
      <w:pPr>
        <w:rPr>
          <w:rFonts w:cs="Arial"/>
          <w:sz w:val="22"/>
          <w:szCs w:val="22"/>
        </w:rPr>
      </w:pPr>
      <w:r w:rsidRPr="00647B45">
        <w:rPr>
          <w:rFonts w:cs="Arial"/>
          <w:i/>
          <w:iCs/>
          <w:sz w:val="22"/>
          <w:szCs w:val="22"/>
        </w:rPr>
        <w:t>Lo anterior resultaría viable, teniendo en cuenta que el borrador de resolución establece la obligación de desarrollar y publicar un mecanismo transparente para ser aplicado en la autorización de las nominaciones de suministro, lo que garantizaría que aun teniendo múltiples Contratos con Interrupciones, la asignación de las cantidades disponibles se haría de una forma neutral y transparente, sin lugar a tratos discriminatorios y sin que las entregas para ese día de gas y bajo cualquier modalidad contractual, superen el potencial de producción del campo, multiplicado por el porcentaje de participación del productor</w:t>
      </w:r>
      <w:r w:rsidRPr="003F6B46">
        <w:rPr>
          <w:rFonts w:cs="Arial"/>
          <w:sz w:val="22"/>
          <w:szCs w:val="22"/>
        </w:rPr>
        <w:t>."</w:t>
      </w:r>
    </w:p>
    <w:p w14:paraId="14C271C2" w14:textId="77777777" w:rsidR="00647B45" w:rsidRDefault="00647B45" w:rsidP="003F6B46">
      <w:pPr>
        <w:rPr>
          <w:rFonts w:cs="Arial"/>
          <w:sz w:val="22"/>
          <w:szCs w:val="22"/>
        </w:rPr>
      </w:pPr>
    </w:p>
    <w:p w14:paraId="56492596" w14:textId="6025FC6C" w:rsidR="00647B45" w:rsidRPr="00AA7948" w:rsidRDefault="00647B45" w:rsidP="003F6B46">
      <w:pPr>
        <w:rPr>
          <w:rFonts w:cs="Arial"/>
          <w:b/>
          <w:bCs/>
          <w:sz w:val="22"/>
          <w:szCs w:val="22"/>
        </w:rPr>
      </w:pPr>
      <w:r w:rsidRPr="00AA7948">
        <w:rPr>
          <w:rFonts w:cs="Arial"/>
          <w:b/>
          <w:bCs/>
          <w:sz w:val="22"/>
          <w:szCs w:val="22"/>
        </w:rPr>
        <w:t>Respuesta:</w:t>
      </w:r>
    </w:p>
    <w:p w14:paraId="55D2D1E5" w14:textId="77777777" w:rsidR="00647B45" w:rsidRDefault="00647B45" w:rsidP="003F6B46">
      <w:pPr>
        <w:rPr>
          <w:rFonts w:cs="Arial"/>
          <w:sz w:val="22"/>
          <w:szCs w:val="22"/>
        </w:rPr>
      </w:pPr>
    </w:p>
    <w:p w14:paraId="71D8B767" w14:textId="33076A10" w:rsidR="00647B45" w:rsidRDefault="00D034EC" w:rsidP="003F6B46">
      <w:pPr>
        <w:rPr>
          <w:rFonts w:cs="Arial"/>
          <w:sz w:val="22"/>
          <w:szCs w:val="22"/>
        </w:rPr>
      </w:pPr>
      <w:r>
        <w:rPr>
          <w:rFonts w:cs="Arial"/>
          <w:sz w:val="22"/>
          <w:szCs w:val="22"/>
        </w:rPr>
        <w:t>No se acoge el comentario.</w:t>
      </w:r>
    </w:p>
    <w:p w14:paraId="4FF079F0" w14:textId="77777777" w:rsidR="00D034EC" w:rsidRDefault="00D034EC" w:rsidP="003F6B46">
      <w:pPr>
        <w:rPr>
          <w:rFonts w:cs="Arial"/>
          <w:sz w:val="22"/>
          <w:szCs w:val="22"/>
        </w:rPr>
      </w:pPr>
    </w:p>
    <w:p w14:paraId="512FD27A" w14:textId="3FCA2BBD" w:rsidR="00D034EC" w:rsidRDefault="00B75850"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_Ref133328708 \r \h </w:instrText>
      </w:r>
      <w:r>
        <w:rPr>
          <w:rFonts w:cs="Arial"/>
          <w:sz w:val="22"/>
          <w:szCs w:val="22"/>
        </w:rPr>
      </w:r>
      <w:r>
        <w:rPr>
          <w:rFonts w:cs="Arial"/>
          <w:sz w:val="22"/>
          <w:szCs w:val="22"/>
        </w:rPr>
        <w:fldChar w:fldCharType="separate"/>
      </w:r>
      <w:r>
        <w:rPr>
          <w:rFonts w:cs="Arial"/>
          <w:sz w:val="22"/>
          <w:szCs w:val="22"/>
        </w:rPr>
        <w:t>32.3.1.1</w:t>
      </w:r>
      <w:r>
        <w:rPr>
          <w:rFonts w:cs="Arial"/>
          <w:sz w:val="22"/>
          <w:szCs w:val="22"/>
        </w:rPr>
        <w:fldChar w:fldCharType="end"/>
      </w:r>
      <w:r w:rsidR="005D50AD">
        <w:rPr>
          <w:rFonts w:cs="Arial"/>
          <w:sz w:val="22"/>
          <w:szCs w:val="22"/>
        </w:rPr>
        <w:t>.</w:t>
      </w:r>
    </w:p>
    <w:p w14:paraId="12765BEA" w14:textId="77777777" w:rsidR="00647B45" w:rsidRPr="003F6B46" w:rsidRDefault="00647B45" w:rsidP="003F6B46">
      <w:pPr>
        <w:rPr>
          <w:rFonts w:cs="Arial"/>
          <w:sz w:val="22"/>
          <w:szCs w:val="22"/>
        </w:rPr>
      </w:pPr>
    </w:p>
    <w:p w14:paraId="4A623909" w14:textId="77777777" w:rsidR="007701B7" w:rsidRDefault="007701B7" w:rsidP="003F6B46">
      <w:pPr>
        <w:rPr>
          <w:rFonts w:cs="Arial"/>
          <w:sz w:val="22"/>
          <w:szCs w:val="22"/>
        </w:rPr>
      </w:pPr>
    </w:p>
    <w:p w14:paraId="004C65D3" w14:textId="77777777" w:rsidR="007701B7" w:rsidRDefault="003F6B46" w:rsidP="00766731">
      <w:pPr>
        <w:pStyle w:val="Ttulo4"/>
      </w:pPr>
      <w:r w:rsidRPr="003F6B46">
        <w:t>HOCOL</w:t>
      </w:r>
      <w:r w:rsidRPr="003F6B46">
        <w:tab/>
      </w:r>
    </w:p>
    <w:p w14:paraId="5F159694" w14:textId="45D86996" w:rsidR="003F6B46" w:rsidRDefault="0069016D" w:rsidP="003F6B46">
      <w:pPr>
        <w:rPr>
          <w:rFonts w:cs="Arial"/>
          <w:sz w:val="22"/>
          <w:szCs w:val="22"/>
        </w:rPr>
      </w:pPr>
      <w:r>
        <w:rPr>
          <w:rFonts w:cs="Arial"/>
          <w:i/>
          <w:iCs/>
          <w:sz w:val="22"/>
          <w:szCs w:val="22"/>
        </w:rPr>
        <w:t>“</w:t>
      </w:r>
      <w:r w:rsidR="003F6B46" w:rsidRPr="0069016D">
        <w:rPr>
          <w:rFonts w:cs="Arial"/>
          <w:i/>
          <w:iCs/>
          <w:sz w:val="22"/>
          <w:szCs w:val="22"/>
        </w:rPr>
        <w:t xml:space="preserve">Sugerimos a la Comisión permitir que los contratos con interrupciones en el Mercado Primario se puedan suscribir entre 1 y 12 meses; ya que una duración mensual genera una gestión administrativa, tanto para los agentes como para el </w:t>
      </w:r>
      <w:r w:rsidR="005114C6" w:rsidRPr="0069016D">
        <w:rPr>
          <w:rFonts w:cs="Arial"/>
          <w:i/>
          <w:iCs/>
          <w:sz w:val="22"/>
          <w:szCs w:val="22"/>
        </w:rPr>
        <w:t>Gestor del Mercado</w:t>
      </w:r>
      <w:r w:rsidR="003F6B46" w:rsidRPr="0069016D">
        <w:rPr>
          <w:rFonts w:cs="Arial"/>
          <w:i/>
          <w:iCs/>
          <w:sz w:val="22"/>
          <w:szCs w:val="22"/>
        </w:rPr>
        <w:t xml:space="preserve"> demasiado alta, y unos costos innecesarios versus el beneficio de contar con Contratos con Interrupciones mensuales. En caso de no acceder a esta solicitud, agradecemos que se aclare que el requisito de duración mensual de los contratos con interrupciones para los vendedores del Artículo 16, contenido en el numeral 1 del Artículo 36, no sería exigido cuando el gas natural provenga de campos que se encuentren en pruebas extensas o sobre los cuales no se haya declarado su comercialidad, de campos menores o de yacimientos no convencionales</w:t>
      </w:r>
      <w:r w:rsidR="003F6B46" w:rsidRPr="003F6B46">
        <w:rPr>
          <w:rFonts w:cs="Arial"/>
          <w:sz w:val="22"/>
          <w:szCs w:val="22"/>
        </w:rPr>
        <w:t>."</w:t>
      </w:r>
    </w:p>
    <w:p w14:paraId="305ACE19" w14:textId="77777777" w:rsidR="0069016D" w:rsidRDefault="0069016D" w:rsidP="003F6B46">
      <w:pPr>
        <w:rPr>
          <w:rFonts w:cs="Arial"/>
          <w:sz w:val="22"/>
          <w:szCs w:val="22"/>
        </w:rPr>
      </w:pPr>
    </w:p>
    <w:p w14:paraId="18ADB67B" w14:textId="04151F25" w:rsidR="0069016D" w:rsidRPr="0069016D" w:rsidRDefault="0069016D" w:rsidP="003F6B46">
      <w:pPr>
        <w:rPr>
          <w:rFonts w:cs="Arial"/>
          <w:b/>
          <w:bCs/>
          <w:sz w:val="22"/>
          <w:szCs w:val="22"/>
        </w:rPr>
      </w:pPr>
      <w:r w:rsidRPr="0069016D">
        <w:rPr>
          <w:rFonts w:cs="Arial"/>
          <w:b/>
          <w:bCs/>
          <w:sz w:val="22"/>
          <w:szCs w:val="22"/>
        </w:rPr>
        <w:t>Respuesta:</w:t>
      </w:r>
    </w:p>
    <w:p w14:paraId="1396C4E2" w14:textId="77777777" w:rsidR="0069016D" w:rsidRDefault="0069016D" w:rsidP="003F6B46">
      <w:pPr>
        <w:rPr>
          <w:rFonts w:cs="Arial"/>
          <w:sz w:val="22"/>
          <w:szCs w:val="22"/>
        </w:rPr>
      </w:pPr>
    </w:p>
    <w:p w14:paraId="1C001B44" w14:textId="3F26F25B" w:rsidR="0069016D" w:rsidRDefault="0069016D" w:rsidP="003F6B46">
      <w:pPr>
        <w:rPr>
          <w:rFonts w:cs="Arial"/>
          <w:sz w:val="22"/>
          <w:szCs w:val="22"/>
        </w:rPr>
      </w:pPr>
      <w:r>
        <w:rPr>
          <w:rFonts w:cs="Arial"/>
          <w:sz w:val="22"/>
          <w:szCs w:val="22"/>
        </w:rPr>
        <w:t>No se acoge el comentario.</w:t>
      </w:r>
    </w:p>
    <w:p w14:paraId="0E631053" w14:textId="77777777" w:rsidR="0069016D" w:rsidRDefault="0069016D" w:rsidP="003F6B46">
      <w:pPr>
        <w:rPr>
          <w:rFonts w:cs="Arial"/>
          <w:sz w:val="22"/>
          <w:szCs w:val="22"/>
        </w:rPr>
      </w:pPr>
    </w:p>
    <w:p w14:paraId="50C72F04" w14:textId="0560E622" w:rsidR="0069016D" w:rsidRPr="003F6B46" w:rsidRDefault="0069016D"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_Ref133331267 \r \h </w:instrText>
      </w:r>
      <w:r>
        <w:rPr>
          <w:rFonts w:cs="Arial"/>
          <w:sz w:val="22"/>
          <w:szCs w:val="22"/>
        </w:rPr>
      </w:r>
      <w:r>
        <w:rPr>
          <w:rFonts w:cs="Arial"/>
          <w:sz w:val="22"/>
          <w:szCs w:val="22"/>
        </w:rPr>
        <w:fldChar w:fldCharType="separate"/>
      </w:r>
      <w:r>
        <w:rPr>
          <w:rFonts w:cs="Arial"/>
          <w:sz w:val="22"/>
          <w:szCs w:val="22"/>
        </w:rPr>
        <w:t>32.1.1.1</w:t>
      </w:r>
      <w:r>
        <w:rPr>
          <w:rFonts w:cs="Arial"/>
          <w:sz w:val="22"/>
          <w:szCs w:val="22"/>
        </w:rPr>
        <w:fldChar w:fldCharType="end"/>
      </w:r>
      <w:r>
        <w:rPr>
          <w:rFonts w:cs="Arial"/>
          <w:sz w:val="22"/>
          <w:szCs w:val="22"/>
        </w:rPr>
        <w:t>.</w:t>
      </w:r>
    </w:p>
    <w:p w14:paraId="0E39BFC4" w14:textId="77777777" w:rsidR="007701B7" w:rsidRDefault="007701B7" w:rsidP="003F6B46">
      <w:pPr>
        <w:rPr>
          <w:rFonts w:cs="Arial"/>
          <w:sz w:val="22"/>
          <w:szCs w:val="22"/>
        </w:rPr>
      </w:pPr>
    </w:p>
    <w:p w14:paraId="06916CA0" w14:textId="77777777" w:rsidR="007701B7" w:rsidRDefault="007701B7" w:rsidP="003F6B46">
      <w:pPr>
        <w:rPr>
          <w:rFonts w:cs="Arial"/>
          <w:sz w:val="22"/>
          <w:szCs w:val="22"/>
        </w:rPr>
      </w:pPr>
    </w:p>
    <w:p w14:paraId="03283DF2" w14:textId="77777777" w:rsidR="007701B7" w:rsidRDefault="003F6B46" w:rsidP="00C72898">
      <w:pPr>
        <w:pStyle w:val="Ttulo2"/>
      </w:pPr>
      <w:bookmarkStart w:id="995" w:name="_Toc140506549"/>
      <w:r w:rsidRPr="003F6B46">
        <w:t>MC2 S.A. E.S.P.</w:t>
      </w:r>
      <w:bookmarkEnd w:id="995"/>
      <w:r w:rsidRPr="003F6B46">
        <w:tab/>
      </w:r>
    </w:p>
    <w:p w14:paraId="510B391C" w14:textId="77777777" w:rsidR="00766731" w:rsidRDefault="00766731" w:rsidP="00766731">
      <w:pPr>
        <w:pStyle w:val="Ttulo4"/>
      </w:pPr>
      <w:r w:rsidRPr="003F6B46">
        <w:t>MC2 S.A. E.S.P.</w:t>
      </w:r>
      <w:r w:rsidRPr="003F6B46">
        <w:tab/>
      </w:r>
    </w:p>
    <w:p w14:paraId="5A3E9018" w14:textId="3C6E370D" w:rsidR="003F6B46" w:rsidRPr="0069016D" w:rsidRDefault="003F6B46" w:rsidP="003F6B46">
      <w:pPr>
        <w:rPr>
          <w:rFonts w:cs="Arial"/>
          <w:i/>
          <w:iCs/>
          <w:sz w:val="22"/>
          <w:szCs w:val="22"/>
        </w:rPr>
      </w:pPr>
      <w:r w:rsidRPr="003F6B46">
        <w:rPr>
          <w:rFonts w:cs="Arial"/>
          <w:sz w:val="22"/>
          <w:szCs w:val="22"/>
        </w:rPr>
        <w:t>"</w:t>
      </w:r>
      <w:r w:rsidRPr="0069016D">
        <w:rPr>
          <w:rFonts w:cs="Arial"/>
          <w:i/>
          <w:iCs/>
          <w:sz w:val="22"/>
          <w:szCs w:val="22"/>
        </w:rPr>
        <w:t xml:space="preserve">El numeral 2 del artículo 36 establece que </w:t>
      </w:r>
      <w:r w:rsidR="00A74BEE">
        <w:rPr>
          <w:rFonts w:cs="Arial"/>
          <w:i/>
          <w:iCs/>
          <w:sz w:val="22"/>
          <w:szCs w:val="22"/>
        </w:rPr>
        <w:t>‘</w:t>
      </w:r>
      <w:r w:rsidRPr="0069016D">
        <w:rPr>
          <w:rFonts w:cs="Arial"/>
          <w:i/>
          <w:iCs/>
          <w:sz w:val="22"/>
          <w:szCs w:val="22"/>
        </w:rPr>
        <w:t>Precio: las partes deberán pactar un precio único expresado en dólares de los Estados Unidos de América por MBTU, y no podrá ser modificado durante el plazo de duración del contrato.</w:t>
      </w:r>
      <w:r w:rsidR="00A74BEE">
        <w:rPr>
          <w:rFonts w:cs="Arial"/>
          <w:i/>
          <w:iCs/>
          <w:sz w:val="22"/>
          <w:szCs w:val="22"/>
        </w:rPr>
        <w:t>’</w:t>
      </w:r>
    </w:p>
    <w:p w14:paraId="2D2ACAE0" w14:textId="77777777" w:rsidR="003F6B46" w:rsidRPr="0069016D" w:rsidRDefault="003F6B46" w:rsidP="003F6B46">
      <w:pPr>
        <w:rPr>
          <w:rFonts w:cs="Arial"/>
          <w:i/>
          <w:iCs/>
          <w:sz w:val="22"/>
          <w:szCs w:val="22"/>
        </w:rPr>
      </w:pPr>
    </w:p>
    <w:p w14:paraId="5DB5CB44" w14:textId="77777777" w:rsidR="003F6B46" w:rsidRDefault="003F6B46" w:rsidP="003F6B46">
      <w:pPr>
        <w:rPr>
          <w:rFonts w:cs="Arial"/>
          <w:sz w:val="22"/>
          <w:szCs w:val="22"/>
        </w:rPr>
      </w:pPr>
      <w:r w:rsidRPr="0069016D">
        <w:rPr>
          <w:rFonts w:cs="Arial"/>
          <w:i/>
          <w:iCs/>
          <w:sz w:val="22"/>
          <w:szCs w:val="22"/>
        </w:rPr>
        <w:t xml:space="preserve">No se entiende la razón por la cual se está limitando la voluntad de las partes contratantes, particularmente en aquellos contratos que podrán negociarse de manera directa. El precio del contrato es un elemento que debe poder negociarse, sobre todo, en tratándose de contratos de largo plazo. Existen múltiples circunstancias que pueden llevar a las partes de cualquier contrato modificar su precio. Esto va en contravía de la posibilidad de que las partes de un contrato, con el fin de evitar acudir a la autoridad competente, puedan resolver sus diferencias y dificultades cuando, por ejemplo, un contrato se hace muy oneroso </w:t>
      </w:r>
      <w:proofErr w:type="gramStart"/>
      <w:r w:rsidRPr="0069016D">
        <w:rPr>
          <w:rFonts w:cs="Arial"/>
          <w:i/>
          <w:iCs/>
          <w:sz w:val="22"/>
          <w:szCs w:val="22"/>
        </w:rPr>
        <w:t>pro causas</w:t>
      </w:r>
      <w:proofErr w:type="gramEnd"/>
      <w:r w:rsidRPr="0069016D">
        <w:rPr>
          <w:rFonts w:cs="Arial"/>
          <w:i/>
          <w:iCs/>
          <w:sz w:val="22"/>
          <w:szCs w:val="22"/>
        </w:rPr>
        <w:t xml:space="preserve"> imprevistas</w:t>
      </w:r>
      <w:r w:rsidRPr="003F6B46">
        <w:rPr>
          <w:rFonts w:cs="Arial"/>
          <w:sz w:val="22"/>
          <w:szCs w:val="22"/>
        </w:rPr>
        <w:t>."</w:t>
      </w:r>
    </w:p>
    <w:p w14:paraId="67E549F3" w14:textId="77777777" w:rsidR="0069016D" w:rsidRDefault="0069016D" w:rsidP="003F6B46">
      <w:pPr>
        <w:rPr>
          <w:rFonts w:cs="Arial"/>
          <w:sz w:val="22"/>
          <w:szCs w:val="22"/>
        </w:rPr>
      </w:pPr>
    </w:p>
    <w:p w14:paraId="013D68F6" w14:textId="79BD24B1" w:rsidR="0069016D" w:rsidRDefault="0069016D" w:rsidP="003F6B46">
      <w:pPr>
        <w:rPr>
          <w:rFonts w:cs="Arial"/>
          <w:b/>
          <w:bCs/>
          <w:sz w:val="22"/>
          <w:szCs w:val="22"/>
        </w:rPr>
      </w:pPr>
      <w:r w:rsidRPr="0069016D">
        <w:rPr>
          <w:rFonts w:cs="Arial"/>
          <w:b/>
          <w:bCs/>
          <w:sz w:val="22"/>
          <w:szCs w:val="22"/>
        </w:rPr>
        <w:t>Respuesta:</w:t>
      </w:r>
    </w:p>
    <w:p w14:paraId="6B1BFC8B" w14:textId="77777777" w:rsidR="0069016D" w:rsidRDefault="0069016D" w:rsidP="003F6B46">
      <w:pPr>
        <w:rPr>
          <w:rFonts w:cs="Arial"/>
          <w:b/>
          <w:bCs/>
          <w:sz w:val="22"/>
          <w:szCs w:val="22"/>
        </w:rPr>
      </w:pPr>
    </w:p>
    <w:p w14:paraId="3E0351FC" w14:textId="260C4114" w:rsidR="0069016D" w:rsidRPr="0069016D" w:rsidRDefault="0069016D" w:rsidP="003F6B46">
      <w:pPr>
        <w:rPr>
          <w:rFonts w:cs="Arial"/>
          <w:sz w:val="22"/>
          <w:szCs w:val="22"/>
        </w:rPr>
      </w:pPr>
      <w:r w:rsidRPr="0069016D">
        <w:rPr>
          <w:rFonts w:cs="Arial"/>
          <w:sz w:val="22"/>
          <w:szCs w:val="22"/>
        </w:rPr>
        <w:t>No se acoge el comentario.</w:t>
      </w:r>
    </w:p>
    <w:p w14:paraId="1EF7EE12" w14:textId="77777777" w:rsidR="0069016D" w:rsidRDefault="0069016D" w:rsidP="003F6B46">
      <w:pPr>
        <w:rPr>
          <w:rFonts w:cs="Arial"/>
          <w:b/>
          <w:bCs/>
          <w:sz w:val="22"/>
          <w:szCs w:val="22"/>
        </w:rPr>
      </w:pPr>
    </w:p>
    <w:p w14:paraId="63961521" w14:textId="77777777" w:rsidR="0069016D" w:rsidRDefault="0069016D" w:rsidP="0069016D">
      <w:pPr>
        <w:rPr>
          <w:rFonts w:cs="Arial"/>
          <w:sz w:val="22"/>
          <w:szCs w:val="22"/>
        </w:rPr>
      </w:pPr>
      <w:r>
        <w:rPr>
          <w:rFonts w:cs="Arial"/>
          <w:sz w:val="22"/>
          <w:szCs w:val="22"/>
        </w:rPr>
        <w:t>Se debe tener en cuenta que el precio que se pacta en un contrato con interrupciones no es un precio fijo, sino que es un precio máximo.</w:t>
      </w:r>
    </w:p>
    <w:p w14:paraId="32FB4E9F" w14:textId="77777777" w:rsidR="0069016D" w:rsidRDefault="0069016D" w:rsidP="003F6B46">
      <w:pPr>
        <w:rPr>
          <w:rFonts w:cs="Arial"/>
          <w:b/>
          <w:bCs/>
          <w:sz w:val="22"/>
          <w:szCs w:val="22"/>
        </w:rPr>
      </w:pPr>
    </w:p>
    <w:p w14:paraId="4E59CC44" w14:textId="77777777" w:rsidR="001B257E" w:rsidRDefault="0069016D" w:rsidP="003F6B46">
      <w:pPr>
        <w:rPr>
          <w:rFonts w:cs="Arial"/>
          <w:sz w:val="22"/>
          <w:szCs w:val="22"/>
        </w:rPr>
      </w:pPr>
      <w:r w:rsidRPr="0069016D">
        <w:rPr>
          <w:rFonts w:cs="Arial"/>
          <w:sz w:val="22"/>
          <w:szCs w:val="22"/>
        </w:rPr>
        <w:t xml:space="preserve">Por otra </w:t>
      </w:r>
      <w:proofErr w:type="gramStart"/>
      <w:r w:rsidRPr="0069016D">
        <w:rPr>
          <w:rFonts w:cs="Arial"/>
          <w:sz w:val="22"/>
          <w:szCs w:val="22"/>
        </w:rPr>
        <w:t>parte</w:t>
      </w:r>
      <w:proofErr w:type="gramEnd"/>
      <w:r w:rsidRPr="0069016D">
        <w:rPr>
          <w:rFonts w:cs="Arial"/>
          <w:sz w:val="22"/>
          <w:szCs w:val="22"/>
        </w:rPr>
        <w:t xml:space="preserve"> se debe tener en cuenta que el contrato con interrupciones realmente no tiene compromisos de firmeza</w:t>
      </w:r>
      <w:r>
        <w:rPr>
          <w:rFonts w:cs="Arial"/>
          <w:sz w:val="22"/>
          <w:szCs w:val="22"/>
        </w:rPr>
        <w:t xml:space="preserve"> del vendedor</w:t>
      </w:r>
      <w:r w:rsidRPr="0069016D">
        <w:rPr>
          <w:rFonts w:cs="Arial"/>
          <w:sz w:val="22"/>
          <w:szCs w:val="22"/>
        </w:rPr>
        <w:t>, ni de pago mínimo</w:t>
      </w:r>
      <w:r>
        <w:rPr>
          <w:rFonts w:cs="Arial"/>
          <w:sz w:val="22"/>
          <w:szCs w:val="22"/>
        </w:rPr>
        <w:t xml:space="preserve"> del comprador</w:t>
      </w:r>
      <w:r w:rsidR="001B257E">
        <w:rPr>
          <w:rFonts w:cs="Arial"/>
          <w:sz w:val="22"/>
          <w:szCs w:val="22"/>
        </w:rPr>
        <w:t xml:space="preserve">, lo que lleva a que las diferencias en la ejecución del contrato que surjan entre las partes se minimicen completamente. </w:t>
      </w:r>
      <w:r>
        <w:rPr>
          <w:rFonts w:cs="Arial"/>
          <w:sz w:val="22"/>
          <w:szCs w:val="22"/>
        </w:rPr>
        <w:t xml:space="preserve"> </w:t>
      </w:r>
    </w:p>
    <w:p w14:paraId="644CDAD1" w14:textId="77777777" w:rsidR="001B257E" w:rsidRDefault="001B257E" w:rsidP="003F6B46">
      <w:pPr>
        <w:rPr>
          <w:rFonts w:cs="Arial"/>
          <w:sz w:val="22"/>
          <w:szCs w:val="22"/>
        </w:rPr>
      </w:pPr>
    </w:p>
    <w:p w14:paraId="3EDD6A06" w14:textId="65FE353A" w:rsidR="0069016D" w:rsidRPr="0069016D" w:rsidRDefault="0069016D" w:rsidP="003F6B46">
      <w:pPr>
        <w:rPr>
          <w:rFonts w:cs="Arial"/>
          <w:sz w:val="22"/>
          <w:szCs w:val="22"/>
        </w:rPr>
      </w:pPr>
      <w:r>
        <w:rPr>
          <w:rFonts w:cs="Arial"/>
          <w:sz w:val="22"/>
          <w:szCs w:val="22"/>
        </w:rPr>
        <w:t xml:space="preserve">En la propuesta no se establece ningún impedimento para que se </w:t>
      </w:r>
      <w:proofErr w:type="spellStart"/>
      <w:r>
        <w:rPr>
          <w:rFonts w:cs="Arial"/>
          <w:sz w:val="22"/>
          <w:szCs w:val="22"/>
        </w:rPr>
        <w:t>de</w:t>
      </w:r>
      <w:proofErr w:type="spellEnd"/>
      <w:r>
        <w:rPr>
          <w:rFonts w:cs="Arial"/>
          <w:sz w:val="22"/>
          <w:szCs w:val="22"/>
        </w:rPr>
        <w:t xml:space="preserve"> por terminado un contrato con interrupciones y se negocie directamente entre las mismas partes un nuevo contrato con interrupciones. </w:t>
      </w:r>
    </w:p>
    <w:p w14:paraId="75D6CF7A" w14:textId="77777777" w:rsidR="007701B7" w:rsidRDefault="007701B7" w:rsidP="003F6B46">
      <w:pPr>
        <w:rPr>
          <w:rFonts w:cs="Arial"/>
          <w:sz w:val="22"/>
          <w:szCs w:val="22"/>
        </w:rPr>
      </w:pPr>
    </w:p>
    <w:p w14:paraId="290565B4" w14:textId="77777777" w:rsidR="007701B7" w:rsidRDefault="007701B7" w:rsidP="003F6B46">
      <w:pPr>
        <w:rPr>
          <w:rFonts w:cs="Arial"/>
          <w:sz w:val="22"/>
          <w:szCs w:val="22"/>
        </w:rPr>
      </w:pPr>
    </w:p>
    <w:p w14:paraId="6D9E3DC0" w14:textId="77777777" w:rsidR="007701B7" w:rsidRDefault="003F6B46" w:rsidP="00C72898">
      <w:pPr>
        <w:pStyle w:val="Ttulo2"/>
      </w:pPr>
      <w:bookmarkStart w:id="996" w:name="_Toc140506550"/>
      <w:r w:rsidRPr="003F6B46">
        <w:t>PROMIGAS</w:t>
      </w:r>
      <w:bookmarkEnd w:id="996"/>
      <w:r w:rsidRPr="003F6B46">
        <w:tab/>
      </w:r>
    </w:p>
    <w:p w14:paraId="23ADAADC" w14:textId="77777777" w:rsidR="00766731" w:rsidRDefault="00766731" w:rsidP="00766731">
      <w:pPr>
        <w:pStyle w:val="Ttulo4"/>
      </w:pPr>
      <w:r w:rsidRPr="003F6B46">
        <w:t>PROMIGAS</w:t>
      </w:r>
      <w:r w:rsidRPr="003F6B46">
        <w:tab/>
      </w:r>
    </w:p>
    <w:p w14:paraId="2243CC04" w14:textId="54096A0F" w:rsidR="003F6B46" w:rsidRPr="005759B8" w:rsidRDefault="003F6B46" w:rsidP="003F6B46">
      <w:pPr>
        <w:rPr>
          <w:rFonts w:cs="Arial"/>
          <w:i/>
          <w:iCs/>
          <w:sz w:val="22"/>
          <w:szCs w:val="22"/>
        </w:rPr>
      </w:pPr>
      <w:r w:rsidRPr="003F6B46">
        <w:rPr>
          <w:rFonts w:cs="Arial"/>
          <w:sz w:val="22"/>
          <w:szCs w:val="22"/>
        </w:rPr>
        <w:t>"</w:t>
      </w:r>
      <w:r w:rsidRPr="005759B8">
        <w:rPr>
          <w:rFonts w:cs="Arial"/>
          <w:i/>
          <w:iCs/>
          <w:sz w:val="22"/>
          <w:szCs w:val="22"/>
        </w:rPr>
        <w:t>Lo que parece con fundamento insuficiente, contrario al marco legal vigente y opuesto a los objetivos que se traza la CREG, es la siguiente norma:</w:t>
      </w:r>
    </w:p>
    <w:p w14:paraId="1DF686E7" w14:textId="77777777" w:rsidR="003F6B46" w:rsidRPr="005759B8" w:rsidRDefault="003F6B46" w:rsidP="003F6B46">
      <w:pPr>
        <w:rPr>
          <w:rFonts w:cs="Arial"/>
          <w:i/>
          <w:iCs/>
          <w:sz w:val="22"/>
          <w:szCs w:val="22"/>
        </w:rPr>
      </w:pPr>
    </w:p>
    <w:p w14:paraId="15A21068" w14:textId="7AC3BE6E" w:rsidR="003F6B46" w:rsidRPr="005759B8" w:rsidRDefault="00464DA7" w:rsidP="003F6B46">
      <w:pPr>
        <w:rPr>
          <w:rFonts w:cs="Arial"/>
          <w:i/>
          <w:iCs/>
          <w:sz w:val="22"/>
          <w:szCs w:val="22"/>
        </w:rPr>
      </w:pPr>
      <w:r>
        <w:rPr>
          <w:rFonts w:cs="Arial"/>
          <w:i/>
          <w:iCs/>
          <w:sz w:val="22"/>
          <w:szCs w:val="22"/>
        </w:rPr>
        <w:t>‘</w:t>
      </w:r>
      <w:r w:rsidR="003F6B46" w:rsidRPr="005759B8">
        <w:rPr>
          <w:rFonts w:cs="Arial"/>
          <w:i/>
          <w:iCs/>
          <w:sz w:val="22"/>
          <w:szCs w:val="22"/>
        </w:rPr>
        <w:t>En el caso de los Vendedores…, las cantidades que podrán ser contratadas mediante contratos con interrupciones podrán superar hasta máximo en un cincuenta por ciento (50%) el valor de PTDV declarada al Ministerio para dicha fuente, o hasta máximo en un veinte por ciento (20%) el valor de las cantidades contratadas con Respaldo Físico con garantía de firmeza, en ambos casos para el período al que se ofrece el gas en contratos con interrupciones</w:t>
      </w:r>
      <w:r>
        <w:rPr>
          <w:rFonts w:cs="Arial"/>
          <w:i/>
          <w:iCs/>
          <w:sz w:val="22"/>
          <w:szCs w:val="22"/>
        </w:rPr>
        <w:t>’</w:t>
      </w:r>
      <w:r w:rsidR="003F6B46" w:rsidRPr="005759B8">
        <w:rPr>
          <w:rFonts w:cs="Arial"/>
          <w:i/>
          <w:iCs/>
          <w:sz w:val="22"/>
          <w:szCs w:val="22"/>
        </w:rPr>
        <w:t>.</w:t>
      </w:r>
    </w:p>
    <w:p w14:paraId="055C1A03" w14:textId="77777777" w:rsidR="003F6B46" w:rsidRPr="005759B8" w:rsidRDefault="003F6B46" w:rsidP="003F6B46">
      <w:pPr>
        <w:rPr>
          <w:rFonts w:cs="Arial"/>
          <w:i/>
          <w:iCs/>
          <w:sz w:val="22"/>
          <w:szCs w:val="22"/>
        </w:rPr>
      </w:pPr>
    </w:p>
    <w:p w14:paraId="395E895B" w14:textId="77777777" w:rsidR="003F6B46" w:rsidRPr="005759B8" w:rsidRDefault="003F6B46" w:rsidP="003F6B46">
      <w:pPr>
        <w:rPr>
          <w:rFonts w:cs="Arial"/>
          <w:i/>
          <w:iCs/>
          <w:sz w:val="22"/>
          <w:szCs w:val="22"/>
        </w:rPr>
      </w:pPr>
      <w:r w:rsidRPr="005759B8">
        <w:rPr>
          <w:rFonts w:cs="Arial"/>
          <w:i/>
          <w:iCs/>
          <w:sz w:val="22"/>
          <w:szCs w:val="22"/>
        </w:rPr>
        <w:t>Al respecto, se tienen las siguientes observaciones:</w:t>
      </w:r>
    </w:p>
    <w:p w14:paraId="48836301" w14:textId="77777777" w:rsidR="00C72898" w:rsidRPr="005759B8" w:rsidRDefault="00C72898" w:rsidP="003F6B46">
      <w:pPr>
        <w:rPr>
          <w:rFonts w:cs="Arial"/>
          <w:i/>
          <w:iCs/>
          <w:sz w:val="22"/>
          <w:szCs w:val="22"/>
        </w:rPr>
      </w:pPr>
    </w:p>
    <w:p w14:paraId="7AC83E99" w14:textId="7F18CC23" w:rsidR="003F6B46" w:rsidRPr="005759B8" w:rsidRDefault="003F6B46" w:rsidP="003F6B46">
      <w:pPr>
        <w:rPr>
          <w:rFonts w:cs="Arial"/>
          <w:i/>
          <w:iCs/>
          <w:sz w:val="22"/>
          <w:szCs w:val="22"/>
        </w:rPr>
      </w:pPr>
      <w:r w:rsidRPr="005759B8">
        <w:rPr>
          <w:rFonts w:cs="Arial"/>
          <w:i/>
          <w:iCs/>
          <w:sz w:val="22"/>
          <w:szCs w:val="22"/>
        </w:rPr>
        <w:t>1) En el Artículo 2 del Decreto 2100 de 2011 (</w:t>
      </w:r>
      <w:r w:rsidR="00464DA7">
        <w:rPr>
          <w:rFonts w:cs="Arial"/>
          <w:i/>
          <w:iCs/>
          <w:sz w:val="22"/>
          <w:szCs w:val="22"/>
        </w:rPr>
        <w:t>‘</w:t>
      </w:r>
      <w:r w:rsidRPr="005759B8">
        <w:rPr>
          <w:rFonts w:cs="Arial"/>
          <w:i/>
          <w:iCs/>
          <w:sz w:val="22"/>
          <w:szCs w:val="22"/>
        </w:rPr>
        <w:t>por el cual se establecen mecanismos para promover el aseguramiento del abastecimiento nacional de gas natural y se dictan otras disposiciones</w:t>
      </w:r>
      <w:r w:rsidR="00464DA7">
        <w:rPr>
          <w:rFonts w:cs="Arial"/>
          <w:i/>
          <w:iCs/>
          <w:sz w:val="22"/>
          <w:szCs w:val="22"/>
        </w:rPr>
        <w:t>’</w:t>
      </w:r>
      <w:r w:rsidRPr="005759B8">
        <w:rPr>
          <w:rFonts w:cs="Arial"/>
          <w:i/>
          <w:iCs/>
          <w:sz w:val="22"/>
          <w:szCs w:val="22"/>
        </w:rPr>
        <w:t>), compilado en el Decreto 1073 de 2015, define:</w:t>
      </w:r>
    </w:p>
    <w:p w14:paraId="6F166BEA" w14:textId="73F0517E" w:rsidR="003F6B46" w:rsidRPr="005759B8" w:rsidRDefault="00464DA7" w:rsidP="003F6B46">
      <w:pPr>
        <w:rPr>
          <w:rFonts w:cs="Arial"/>
          <w:i/>
          <w:iCs/>
          <w:sz w:val="22"/>
          <w:szCs w:val="22"/>
        </w:rPr>
      </w:pPr>
      <w:r>
        <w:rPr>
          <w:rFonts w:cs="Arial"/>
          <w:i/>
          <w:iCs/>
          <w:sz w:val="22"/>
          <w:szCs w:val="22"/>
        </w:rPr>
        <w:t>‘</w:t>
      </w:r>
      <w:r w:rsidR="003F6B46" w:rsidRPr="005759B8">
        <w:rPr>
          <w:rFonts w:cs="Arial"/>
          <w:i/>
          <w:iCs/>
          <w:sz w:val="22"/>
          <w:szCs w:val="22"/>
        </w:rPr>
        <w:t>Producción Total Disponible para la Venta - PTDV: Totalidad de las cantidades diarias promedio mes de gas natural, medidas en GBTUD, que un productor o productor comercializador estima que tendrá disponibles para la venta bajo cualquier modalidad, en un periodo determinado, a través de contratos de suministro en cada campo o en un punto de entrada al SNT. Este pronóstico considera el desarrollo de las Reservas de Gas Natural, la información técnica de los yacimientos del campo de producción a la tasa máxima de recobro y está basado en la capacidad nominal de las instalaciones de producción existentes y proyectadas</w:t>
      </w:r>
      <w:r>
        <w:rPr>
          <w:rFonts w:cs="Arial"/>
          <w:i/>
          <w:iCs/>
          <w:sz w:val="22"/>
          <w:szCs w:val="22"/>
        </w:rPr>
        <w:t>’</w:t>
      </w:r>
      <w:r w:rsidR="003F6B46" w:rsidRPr="005759B8">
        <w:rPr>
          <w:rFonts w:cs="Arial"/>
          <w:i/>
          <w:iCs/>
          <w:sz w:val="22"/>
          <w:szCs w:val="22"/>
        </w:rPr>
        <w:t>. (Subrayado Fuera de Texto).</w:t>
      </w:r>
    </w:p>
    <w:p w14:paraId="4A36E56C" w14:textId="77777777" w:rsidR="003F6B46" w:rsidRPr="005759B8" w:rsidRDefault="003F6B46" w:rsidP="003F6B46">
      <w:pPr>
        <w:rPr>
          <w:rFonts w:cs="Arial"/>
          <w:i/>
          <w:iCs/>
          <w:sz w:val="22"/>
          <w:szCs w:val="22"/>
        </w:rPr>
      </w:pPr>
    </w:p>
    <w:p w14:paraId="370C2BFD" w14:textId="77777777" w:rsidR="003F6B46" w:rsidRPr="005759B8" w:rsidRDefault="003F6B46" w:rsidP="003F6B46">
      <w:pPr>
        <w:rPr>
          <w:rFonts w:cs="Arial"/>
          <w:i/>
          <w:iCs/>
          <w:sz w:val="22"/>
          <w:szCs w:val="22"/>
        </w:rPr>
      </w:pPr>
      <w:r w:rsidRPr="005759B8">
        <w:rPr>
          <w:rFonts w:cs="Arial"/>
          <w:i/>
          <w:iCs/>
          <w:sz w:val="22"/>
          <w:szCs w:val="22"/>
        </w:rPr>
        <w:t>Es claro que la definición establecida por el MME no autoriza ventas de gas por encima de las PTDV declaradas por el productor-comercializador, independientemente de la modalidad contractual. La propuesta de la CREG excede lo previsto por el hacedor de política y excede sus propias competencias.</w:t>
      </w:r>
    </w:p>
    <w:p w14:paraId="690054E3" w14:textId="77777777" w:rsidR="003F6B46" w:rsidRPr="005759B8" w:rsidRDefault="003F6B46" w:rsidP="003F6B46">
      <w:pPr>
        <w:rPr>
          <w:rFonts w:cs="Arial"/>
          <w:i/>
          <w:iCs/>
          <w:sz w:val="22"/>
          <w:szCs w:val="22"/>
        </w:rPr>
      </w:pPr>
    </w:p>
    <w:p w14:paraId="4CC56959" w14:textId="77777777" w:rsidR="003F6B46" w:rsidRDefault="003F6B46" w:rsidP="003F6B46">
      <w:pPr>
        <w:rPr>
          <w:rFonts w:cs="Arial"/>
          <w:sz w:val="22"/>
          <w:szCs w:val="22"/>
        </w:rPr>
      </w:pPr>
      <w:r w:rsidRPr="005759B8">
        <w:rPr>
          <w:rFonts w:cs="Arial"/>
          <w:i/>
          <w:iCs/>
          <w:sz w:val="22"/>
          <w:szCs w:val="22"/>
        </w:rPr>
        <w:t>Desvirtúa lo que implícitamente busca el Decreto. Las cantidades que el productor-comercializador podría vender bajo contratos interrumpibles, es aquella comprometida en contratos en firme y no nominada (dado que no están permitidos períodos de reposición), aquella disponible y no nominada bajo otras modalidades contractuales, o aquella no comprometida en otras modalidades contractuales</w:t>
      </w:r>
      <w:r w:rsidRPr="003F6B46">
        <w:rPr>
          <w:rFonts w:cs="Arial"/>
          <w:sz w:val="22"/>
          <w:szCs w:val="22"/>
        </w:rPr>
        <w:t>."</w:t>
      </w:r>
    </w:p>
    <w:p w14:paraId="262EA0BD" w14:textId="77777777" w:rsidR="005759B8" w:rsidRDefault="005759B8" w:rsidP="003F6B46">
      <w:pPr>
        <w:rPr>
          <w:rFonts w:cs="Arial"/>
          <w:sz w:val="22"/>
          <w:szCs w:val="22"/>
        </w:rPr>
      </w:pPr>
    </w:p>
    <w:p w14:paraId="393E0269" w14:textId="09E1001B" w:rsidR="005759B8" w:rsidRPr="005759B8" w:rsidRDefault="005759B8" w:rsidP="003F6B46">
      <w:pPr>
        <w:rPr>
          <w:rFonts w:cs="Arial"/>
          <w:b/>
          <w:bCs/>
          <w:sz w:val="22"/>
          <w:szCs w:val="22"/>
        </w:rPr>
      </w:pPr>
      <w:r w:rsidRPr="005759B8">
        <w:rPr>
          <w:rFonts w:cs="Arial"/>
          <w:b/>
          <w:bCs/>
          <w:sz w:val="22"/>
          <w:szCs w:val="22"/>
        </w:rPr>
        <w:t>Respuesta:</w:t>
      </w:r>
    </w:p>
    <w:p w14:paraId="4D43ED44" w14:textId="77777777" w:rsidR="005759B8" w:rsidRDefault="005759B8" w:rsidP="003F6B46">
      <w:pPr>
        <w:rPr>
          <w:rFonts w:cs="Arial"/>
          <w:sz w:val="22"/>
          <w:szCs w:val="22"/>
        </w:rPr>
      </w:pPr>
    </w:p>
    <w:p w14:paraId="4306F07D" w14:textId="77777777" w:rsidR="005759B8" w:rsidRPr="003F6B46" w:rsidRDefault="005759B8" w:rsidP="005759B8">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_Ref133329312 \r \h </w:instrText>
      </w:r>
      <w:r>
        <w:rPr>
          <w:rFonts w:cs="Arial"/>
          <w:sz w:val="22"/>
          <w:szCs w:val="22"/>
        </w:rPr>
      </w:r>
      <w:r>
        <w:rPr>
          <w:rFonts w:cs="Arial"/>
          <w:sz w:val="22"/>
          <w:szCs w:val="22"/>
        </w:rPr>
        <w:fldChar w:fldCharType="separate"/>
      </w:r>
      <w:r>
        <w:rPr>
          <w:rFonts w:cs="Arial"/>
          <w:sz w:val="22"/>
          <w:szCs w:val="22"/>
        </w:rPr>
        <w:t>4.12</w:t>
      </w:r>
      <w:r>
        <w:rPr>
          <w:rFonts w:cs="Arial"/>
          <w:sz w:val="22"/>
          <w:szCs w:val="22"/>
        </w:rPr>
        <w:fldChar w:fldCharType="end"/>
      </w:r>
      <w:r>
        <w:rPr>
          <w:rFonts w:cs="Arial"/>
          <w:sz w:val="22"/>
          <w:szCs w:val="22"/>
        </w:rPr>
        <w:t xml:space="preserve"> y respuesta a </w:t>
      </w:r>
      <w:r>
        <w:rPr>
          <w:rFonts w:cs="Arial"/>
          <w:sz w:val="22"/>
          <w:szCs w:val="22"/>
        </w:rPr>
        <w:fldChar w:fldCharType="begin"/>
      </w:r>
      <w:r>
        <w:rPr>
          <w:rFonts w:cs="Arial"/>
          <w:sz w:val="22"/>
          <w:szCs w:val="22"/>
        </w:rPr>
        <w:instrText xml:space="preserve"> REF _Ref130291962 \r \h </w:instrText>
      </w:r>
      <w:r>
        <w:rPr>
          <w:rFonts w:cs="Arial"/>
          <w:sz w:val="22"/>
          <w:szCs w:val="22"/>
        </w:rPr>
      </w:r>
      <w:r>
        <w:rPr>
          <w:rFonts w:cs="Arial"/>
          <w:sz w:val="22"/>
          <w:szCs w:val="22"/>
        </w:rPr>
        <w:fldChar w:fldCharType="separate"/>
      </w:r>
      <w:r>
        <w:rPr>
          <w:rFonts w:cs="Arial"/>
          <w:sz w:val="22"/>
          <w:szCs w:val="22"/>
        </w:rPr>
        <w:t>1.4.1.1</w:t>
      </w:r>
      <w:r>
        <w:rPr>
          <w:rFonts w:cs="Arial"/>
          <w:sz w:val="22"/>
          <w:szCs w:val="22"/>
        </w:rPr>
        <w:fldChar w:fldCharType="end"/>
      </w:r>
      <w:r>
        <w:rPr>
          <w:rFonts w:cs="Arial"/>
          <w:sz w:val="22"/>
          <w:szCs w:val="22"/>
        </w:rPr>
        <w:t xml:space="preserve"> sobre los contratos con interrupciones.</w:t>
      </w:r>
    </w:p>
    <w:p w14:paraId="7FF3489F" w14:textId="77777777" w:rsidR="005759B8" w:rsidRPr="003F6B46" w:rsidRDefault="005759B8" w:rsidP="003F6B46">
      <w:pPr>
        <w:rPr>
          <w:rFonts w:cs="Arial"/>
          <w:sz w:val="22"/>
          <w:szCs w:val="22"/>
        </w:rPr>
      </w:pPr>
    </w:p>
    <w:p w14:paraId="112857BE" w14:textId="77777777" w:rsidR="007701B7" w:rsidRDefault="007701B7" w:rsidP="003F6B46">
      <w:pPr>
        <w:rPr>
          <w:rFonts w:cs="Arial"/>
          <w:sz w:val="22"/>
          <w:szCs w:val="22"/>
        </w:rPr>
      </w:pPr>
    </w:p>
    <w:p w14:paraId="400B6518" w14:textId="77777777" w:rsidR="007701B7" w:rsidRDefault="003F6B46" w:rsidP="00766731">
      <w:pPr>
        <w:pStyle w:val="Ttulo4"/>
      </w:pPr>
      <w:r w:rsidRPr="003F6B46">
        <w:t>PROMIGAS</w:t>
      </w:r>
      <w:r w:rsidRPr="003F6B46">
        <w:tab/>
      </w:r>
    </w:p>
    <w:p w14:paraId="4C674FDA" w14:textId="53BACB05" w:rsidR="003F6B46" w:rsidRPr="005759B8" w:rsidRDefault="003F6B46" w:rsidP="003F6B46">
      <w:pPr>
        <w:rPr>
          <w:rFonts w:cs="Arial"/>
          <w:i/>
          <w:iCs/>
          <w:sz w:val="22"/>
          <w:szCs w:val="22"/>
        </w:rPr>
      </w:pPr>
      <w:r w:rsidRPr="003F6B46">
        <w:rPr>
          <w:rFonts w:cs="Arial"/>
          <w:sz w:val="22"/>
          <w:szCs w:val="22"/>
        </w:rPr>
        <w:t>"</w:t>
      </w:r>
      <w:r w:rsidRPr="005759B8">
        <w:rPr>
          <w:rFonts w:cs="Arial"/>
          <w:i/>
          <w:iCs/>
          <w:sz w:val="22"/>
          <w:szCs w:val="22"/>
        </w:rPr>
        <w:t>La flexibilidad que la CREG plantea otorgarles a los productores-comercializadores, bajo el escenario de déficit estimado (a partir del mes de abril de 2026) comprometería suministro en firme que pueda requerir el abastecimiento de la Demanda Esencial en un futuro, que hasta donde se infiere del documento soporte, es uno de los objetivos de la CREG.</w:t>
      </w:r>
    </w:p>
    <w:p w14:paraId="326F33D7" w14:textId="77777777" w:rsidR="003F6B46" w:rsidRPr="005759B8" w:rsidRDefault="003F6B46" w:rsidP="003F6B46">
      <w:pPr>
        <w:rPr>
          <w:rFonts w:cs="Arial"/>
          <w:i/>
          <w:iCs/>
          <w:sz w:val="22"/>
          <w:szCs w:val="22"/>
        </w:rPr>
      </w:pPr>
    </w:p>
    <w:p w14:paraId="6F248A2E" w14:textId="77777777" w:rsidR="003F6B46" w:rsidRDefault="003F6B46" w:rsidP="003F6B46">
      <w:pPr>
        <w:rPr>
          <w:rFonts w:cs="Arial"/>
          <w:sz w:val="22"/>
          <w:szCs w:val="22"/>
        </w:rPr>
      </w:pPr>
      <w:r w:rsidRPr="005759B8">
        <w:rPr>
          <w:rFonts w:cs="Arial"/>
          <w:i/>
          <w:iCs/>
          <w:sz w:val="22"/>
          <w:szCs w:val="22"/>
        </w:rPr>
        <w:t>Con el mismo argumento anterior, podría inclusive cuestionarse que se les autorice a los productores-comercializadores la venta bajo modalidad interrumpible de la parte variable de los contratos con modalidades CF80 y CF95 que no sea nominada. Nuevamente bajo un escenario de déficit como el estimado por la CREG, las cantidades no nominadas en estos contratos permitirían coadyuvar al abastecimiento de la Demanda Esencial en un futuro</w:t>
      </w:r>
      <w:r w:rsidRPr="003F6B46">
        <w:rPr>
          <w:rFonts w:cs="Arial"/>
          <w:sz w:val="22"/>
          <w:szCs w:val="22"/>
        </w:rPr>
        <w:t>."</w:t>
      </w:r>
    </w:p>
    <w:p w14:paraId="331B2A1B" w14:textId="77777777" w:rsidR="005759B8" w:rsidRDefault="005759B8" w:rsidP="003F6B46">
      <w:pPr>
        <w:rPr>
          <w:rFonts w:cs="Arial"/>
          <w:sz w:val="22"/>
          <w:szCs w:val="22"/>
        </w:rPr>
      </w:pPr>
    </w:p>
    <w:p w14:paraId="51CB3EDB" w14:textId="4E2747F8" w:rsidR="005759B8" w:rsidRPr="005759B8" w:rsidRDefault="005759B8" w:rsidP="003F6B46">
      <w:pPr>
        <w:rPr>
          <w:rFonts w:cs="Arial"/>
          <w:b/>
          <w:bCs/>
          <w:sz w:val="22"/>
          <w:szCs w:val="22"/>
        </w:rPr>
      </w:pPr>
      <w:r w:rsidRPr="005759B8">
        <w:rPr>
          <w:rFonts w:cs="Arial"/>
          <w:b/>
          <w:bCs/>
          <w:sz w:val="22"/>
          <w:szCs w:val="22"/>
        </w:rPr>
        <w:t>Respuesta:</w:t>
      </w:r>
    </w:p>
    <w:p w14:paraId="3D9C7DAB" w14:textId="77777777" w:rsidR="005759B8" w:rsidRDefault="005759B8" w:rsidP="003F6B46">
      <w:pPr>
        <w:rPr>
          <w:rFonts w:cs="Arial"/>
          <w:sz w:val="22"/>
          <w:szCs w:val="22"/>
        </w:rPr>
      </w:pPr>
    </w:p>
    <w:p w14:paraId="01E9E317" w14:textId="77777777" w:rsidR="005759B8" w:rsidRDefault="005759B8" w:rsidP="005759B8">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42F66768" w14:textId="77777777" w:rsidR="005759B8" w:rsidRDefault="005759B8" w:rsidP="003F6B46">
      <w:pPr>
        <w:rPr>
          <w:rFonts w:cs="Arial"/>
          <w:sz w:val="22"/>
          <w:szCs w:val="22"/>
        </w:rPr>
      </w:pPr>
    </w:p>
    <w:p w14:paraId="6E31DAA1" w14:textId="77777777" w:rsidR="007701B7" w:rsidRDefault="007701B7" w:rsidP="003F6B46">
      <w:pPr>
        <w:rPr>
          <w:rFonts w:cs="Arial"/>
          <w:sz w:val="22"/>
          <w:szCs w:val="22"/>
        </w:rPr>
      </w:pPr>
    </w:p>
    <w:p w14:paraId="6F8EEF41" w14:textId="77777777" w:rsidR="007701B7" w:rsidRDefault="003F6B46" w:rsidP="00766731">
      <w:pPr>
        <w:pStyle w:val="Ttulo4"/>
      </w:pPr>
      <w:r w:rsidRPr="003F6B46">
        <w:t>PROMIGAS</w:t>
      </w:r>
      <w:r w:rsidRPr="003F6B46">
        <w:tab/>
      </w:r>
    </w:p>
    <w:p w14:paraId="67D60710" w14:textId="5C24C051" w:rsidR="003F6B46" w:rsidRDefault="00DE26B8" w:rsidP="003F6B46">
      <w:pPr>
        <w:rPr>
          <w:rFonts w:cs="Arial"/>
          <w:sz w:val="22"/>
          <w:szCs w:val="22"/>
        </w:rPr>
      </w:pPr>
      <w:r>
        <w:rPr>
          <w:rFonts w:cs="Arial"/>
          <w:i/>
          <w:iCs/>
          <w:sz w:val="22"/>
          <w:szCs w:val="22"/>
        </w:rPr>
        <w:t>“</w:t>
      </w:r>
      <w:r w:rsidR="003F6B46" w:rsidRPr="005759B8">
        <w:rPr>
          <w:rFonts w:cs="Arial"/>
          <w:i/>
          <w:iCs/>
          <w:sz w:val="22"/>
          <w:szCs w:val="22"/>
        </w:rPr>
        <w:t xml:space="preserve">Se propone que se mantenga la regla de la cantidad máxima que el productor puede vender en contratos mensuales a la máxima PTDV más los porcentajes variables de los contratos firmes CF95 y CF80 vigentes para el período pero que dichos contratos puedan ser suscritos con varios agentes y con reglas de asignación claras. Lo anterior, en el entendido que en realidad la cantidad de gas entregada nunca podría superar la PTDV, condición que podría ser verificada por el </w:t>
      </w:r>
      <w:r w:rsidR="005114C6" w:rsidRPr="005759B8">
        <w:rPr>
          <w:rFonts w:cs="Arial"/>
          <w:i/>
          <w:iCs/>
          <w:sz w:val="22"/>
          <w:szCs w:val="22"/>
        </w:rPr>
        <w:t>Gestor del Mercado</w:t>
      </w:r>
      <w:r w:rsidR="003F6B46" w:rsidRPr="003F6B46">
        <w:rPr>
          <w:rFonts w:cs="Arial"/>
          <w:sz w:val="22"/>
          <w:szCs w:val="22"/>
        </w:rPr>
        <w:t>.</w:t>
      </w:r>
      <w:r>
        <w:rPr>
          <w:rFonts w:cs="Arial"/>
          <w:sz w:val="22"/>
          <w:szCs w:val="22"/>
        </w:rPr>
        <w:t>”</w:t>
      </w:r>
    </w:p>
    <w:p w14:paraId="7CF7DCAB" w14:textId="77777777" w:rsidR="005759B8" w:rsidRDefault="005759B8" w:rsidP="003F6B46">
      <w:pPr>
        <w:rPr>
          <w:rFonts w:cs="Arial"/>
          <w:sz w:val="22"/>
          <w:szCs w:val="22"/>
        </w:rPr>
      </w:pPr>
    </w:p>
    <w:p w14:paraId="72FA888E" w14:textId="2E4482F4" w:rsidR="005759B8" w:rsidRPr="005759B8" w:rsidRDefault="005759B8" w:rsidP="003F6B46">
      <w:pPr>
        <w:rPr>
          <w:rFonts w:cs="Arial"/>
          <w:b/>
          <w:bCs/>
          <w:sz w:val="22"/>
          <w:szCs w:val="22"/>
        </w:rPr>
      </w:pPr>
      <w:r w:rsidRPr="005759B8">
        <w:rPr>
          <w:rFonts w:cs="Arial"/>
          <w:b/>
          <w:bCs/>
          <w:sz w:val="22"/>
          <w:szCs w:val="22"/>
        </w:rPr>
        <w:t>Respuesta:</w:t>
      </w:r>
    </w:p>
    <w:p w14:paraId="38564B90" w14:textId="77777777" w:rsidR="005759B8" w:rsidRDefault="005759B8" w:rsidP="003F6B46">
      <w:pPr>
        <w:rPr>
          <w:rFonts w:cs="Arial"/>
          <w:sz w:val="22"/>
          <w:szCs w:val="22"/>
        </w:rPr>
      </w:pPr>
    </w:p>
    <w:p w14:paraId="286ECB0B" w14:textId="06F5F3DD" w:rsidR="007701B7" w:rsidRDefault="005759B8"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_Ref133331851 \r \h </w:instrText>
      </w:r>
      <w:r>
        <w:rPr>
          <w:rFonts w:cs="Arial"/>
          <w:sz w:val="22"/>
          <w:szCs w:val="22"/>
        </w:rPr>
      </w:r>
      <w:r>
        <w:rPr>
          <w:rFonts w:cs="Arial"/>
          <w:sz w:val="22"/>
          <w:szCs w:val="22"/>
        </w:rPr>
        <w:fldChar w:fldCharType="separate"/>
      </w:r>
      <w:r>
        <w:rPr>
          <w:rFonts w:cs="Arial"/>
          <w:sz w:val="22"/>
          <w:szCs w:val="22"/>
        </w:rPr>
        <w:t>32.7.1.3</w:t>
      </w:r>
      <w:r>
        <w:rPr>
          <w:rFonts w:cs="Arial"/>
          <w:sz w:val="22"/>
          <w:szCs w:val="22"/>
        </w:rPr>
        <w:fldChar w:fldCharType="end"/>
      </w:r>
      <w:r>
        <w:rPr>
          <w:rFonts w:cs="Arial"/>
          <w:sz w:val="22"/>
          <w:szCs w:val="22"/>
        </w:rPr>
        <w:t>.</w:t>
      </w:r>
    </w:p>
    <w:p w14:paraId="22FE23FE" w14:textId="77777777" w:rsidR="005759B8" w:rsidRDefault="005759B8" w:rsidP="003F6B46">
      <w:pPr>
        <w:rPr>
          <w:rFonts w:cs="Arial"/>
          <w:sz w:val="22"/>
          <w:szCs w:val="22"/>
        </w:rPr>
      </w:pPr>
    </w:p>
    <w:p w14:paraId="10E905D0" w14:textId="77777777" w:rsidR="007701B7" w:rsidRDefault="007701B7" w:rsidP="003F6B46">
      <w:pPr>
        <w:rPr>
          <w:rFonts w:cs="Arial"/>
          <w:sz w:val="22"/>
          <w:szCs w:val="22"/>
        </w:rPr>
      </w:pPr>
    </w:p>
    <w:p w14:paraId="08A15717" w14:textId="4AF0EBDF" w:rsidR="007701B7" w:rsidRDefault="003F6B46" w:rsidP="00C72898">
      <w:pPr>
        <w:pStyle w:val="Ttulo2"/>
      </w:pPr>
      <w:bookmarkStart w:id="997" w:name="_Toc140506551"/>
      <w:r w:rsidRPr="003F6B46">
        <w:t>SSPD</w:t>
      </w:r>
      <w:bookmarkEnd w:id="997"/>
      <w:r w:rsidRPr="003F6B46">
        <w:tab/>
      </w:r>
    </w:p>
    <w:p w14:paraId="3587A461" w14:textId="77777777" w:rsidR="00766731" w:rsidRDefault="00766731" w:rsidP="00766731">
      <w:pPr>
        <w:pStyle w:val="Ttulo4"/>
      </w:pPr>
      <w:r w:rsidRPr="003F6B46">
        <w:t>SSPD</w:t>
      </w:r>
      <w:r w:rsidRPr="003F6B46">
        <w:tab/>
      </w:r>
    </w:p>
    <w:p w14:paraId="18D9D080" w14:textId="052A8304" w:rsidR="003F6B46" w:rsidRPr="005759B8" w:rsidRDefault="007701B7" w:rsidP="003F6B46">
      <w:pPr>
        <w:rPr>
          <w:rFonts w:cs="Arial"/>
          <w:i/>
          <w:iCs/>
          <w:sz w:val="22"/>
          <w:szCs w:val="22"/>
        </w:rPr>
      </w:pPr>
      <w:r>
        <w:rPr>
          <w:rFonts w:cs="Arial"/>
          <w:sz w:val="22"/>
          <w:szCs w:val="22"/>
        </w:rPr>
        <w:t>“</w:t>
      </w:r>
      <w:r w:rsidR="003F6B46" w:rsidRPr="005759B8">
        <w:rPr>
          <w:rFonts w:cs="Arial"/>
          <w:i/>
          <w:iCs/>
          <w:sz w:val="22"/>
          <w:szCs w:val="22"/>
        </w:rPr>
        <w:t>La Ley 142 de 1994 en su artículo 79 establece las funciones de la Superintendencia. En el parágrafo 1 se establece que:</w:t>
      </w:r>
    </w:p>
    <w:p w14:paraId="77207040" w14:textId="77777777" w:rsidR="003F6B46" w:rsidRPr="005759B8" w:rsidRDefault="003F6B46" w:rsidP="003F6B46">
      <w:pPr>
        <w:rPr>
          <w:rFonts w:cs="Arial"/>
          <w:i/>
          <w:iCs/>
          <w:sz w:val="22"/>
          <w:szCs w:val="22"/>
        </w:rPr>
      </w:pPr>
    </w:p>
    <w:p w14:paraId="327F3878" w14:textId="65733400" w:rsidR="003F6B46" w:rsidRPr="005759B8" w:rsidRDefault="00DE26B8" w:rsidP="003F6B46">
      <w:pPr>
        <w:rPr>
          <w:rFonts w:cs="Arial"/>
          <w:i/>
          <w:iCs/>
          <w:sz w:val="22"/>
          <w:szCs w:val="22"/>
        </w:rPr>
      </w:pPr>
      <w:r>
        <w:rPr>
          <w:rFonts w:cs="Arial"/>
          <w:i/>
          <w:iCs/>
          <w:sz w:val="22"/>
          <w:szCs w:val="22"/>
        </w:rPr>
        <w:t>‘</w:t>
      </w:r>
      <w:r w:rsidR="003F6B46" w:rsidRPr="005759B8">
        <w:rPr>
          <w:rFonts w:cs="Arial"/>
          <w:i/>
          <w:iCs/>
          <w:sz w:val="22"/>
          <w:szCs w:val="22"/>
        </w:rPr>
        <w:t>Parágrafo 1. En ningún caso el superintendente podrá exigir que ningún acto o contrato de una empresa de servicios públicos se someta a aprobación previa suya […]”</w:t>
      </w:r>
    </w:p>
    <w:p w14:paraId="55A618C0" w14:textId="77777777" w:rsidR="003F6B46" w:rsidRPr="005759B8" w:rsidRDefault="003F6B46" w:rsidP="003F6B46">
      <w:pPr>
        <w:rPr>
          <w:rFonts w:cs="Arial"/>
          <w:i/>
          <w:iCs/>
          <w:sz w:val="22"/>
          <w:szCs w:val="22"/>
        </w:rPr>
      </w:pPr>
    </w:p>
    <w:p w14:paraId="71C00233" w14:textId="786E85FA" w:rsidR="003F6B46" w:rsidRDefault="003F6B46" w:rsidP="003F6B46">
      <w:pPr>
        <w:rPr>
          <w:rFonts w:cs="Arial"/>
          <w:sz w:val="22"/>
          <w:szCs w:val="22"/>
        </w:rPr>
      </w:pPr>
      <w:r w:rsidRPr="005759B8">
        <w:rPr>
          <w:rFonts w:cs="Arial"/>
          <w:i/>
          <w:iCs/>
          <w:sz w:val="22"/>
          <w:szCs w:val="22"/>
        </w:rPr>
        <w:t>Con base en esto, se encuentra que esta Superintendencia no tiene la facultad para presentar objeciones a los procedimientos y criterios de los determinados por los Vendedores del mercado</w:t>
      </w:r>
      <w:r w:rsidRPr="003F6B46">
        <w:rPr>
          <w:rFonts w:cs="Arial"/>
          <w:sz w:val="22"/>
          <w:szCs w:val="22"/>
        </w:rPr>
        <w:t>."</w:t>
      </w:r>
    </w:p>
    <w:p w14:paraId="5B5507E4" w14:textId="77777777" w:rsidR="005759B8" w:rsidRDefault="005759B8" w:rsidP="003F6B46">
      <w:pPr>
        <w:rPr>
          <w:rFonts w:cs="Arial"/>
          <w:sz w:val="22"/>
          <w:szCs w:val="22"/>
        </w:rPr>
      </w:pPr>
    </w:p>
    <w:p w14:paraId="2A338B22" w14:textId="045A5491" w:rsidR="005759B8" w:rsidRPr="005759B8" w:rsidRDefault="005759B8" w:rsidP="003F6B46">
      <w:pPr>
        <w:rPr>
          <w:rFonts w:cs="Arial"/>
          <w:b/>
          <w:bCs/>
          <w:sz w:val="22"/>
          <w:szCs w:val="22"/>
        </w:rPr>
      </w:pPr>
      <w:r w:rsidRPr="005759B8">
        <w:rPr>
          <w:rFonts w:cs="Arial"/>
          <w:b/>
          <w:bCs/>
          <w:sz w:val="22"/>
          <w:szCs w:val="22"/>
        </w:rPr>
        <w:t>Respuesta:</w:t>
      </w:r>
    </w:p>
    <w:p w14:paraId="5BCCBD56" w14:textId="77777777" w:rsidR="005759B8" w:rsidRDefault="005759B8" w:rsidP="003F6B46">
      <w:pPr>
        <w:rPr>
          <w:rFonts w:cs="Arial"/>
          <w:sz w:val="22"/>
          <w:szCs w:val="22"/>
        </w:rPr>
      </w:pPr>
    </w:p>
    <w:p w14:paraId="0575F1A6" w14:textId="01B03253" w:rsidR="005759B8" w:rsidRDefault="00603297" w:rsidP="003F6B46">
      <w:pPr>
        <w:rPr>
          <w:rFonts w:cs="Arial"/>
          <w:sz w:val="22"/>
          <w:szCs w:val="22"/>
        </w:rPr>
      </w:pPr>
      <w:r>
        <w:rPr>
          <w:rFonts w:cs="Arial"/>
          <w:sz w:val="22"/>
          <w:szCs w:val="22"/>
        </w:rPr>
        <w:t>Se acoge el comentario.</w:t>
      </w:r>
    </w:p>
    <w:p w14:paraId="71D6AB5A" w14:textId="77777777" w:rsidR="00603297" w:rsidRDefault="00603297" w:rsidP="003F6B46">
      <w:pPr>
        <w:rPr>
          <w:rFonts w:cs="Arial"/>
          <w:sz w:val="22"/>
          <w:szCs w:val="22"/>
        </w:rPr>
      </w:pPr>
    </w:p>
    <w:p w14:paraId="526C760C" w14:textId="3488DDC2" w:rsidR="00603297" w:rsidRPr="003F6B46" w:rsidRDefault="00603297" w:rsidP="003F6B46">
      <w:pPr>
        <w:rPr>
          <w:rFonts w:cs="Arial"/>
          <w:sz w:val="22"/>
          <w:szCs w:val="22"/>
        </w:rPr>
      </w:pPr>
      <w:r>
        <w:rPr>
          <w:rFonts w:cs="Arial"/>
          <w:sz w:val="22"/>
          <w:szCs w:val="22"/>
        </w:rPr>
        <w:t>En la nueva propuesta se retira el texto comentado.</w:t>
      </w:r>
    </w:p>
    <w:p w14:paraId="62F81126" w14:textId="77777777" w:rsidR="007701B7" w:rsidRDefault="007701B7" w:rsidP="003F6B46">
      <w:pPr>
        <w:rPr>
          <w:rFonts w:cs="Arial"/>
          <w:sz w:val="22"/>
          <w:szCs w:val="22"/>
        </w:rPr>
      </w:pPr>
    </w:p>
    <w:p w14:paraId="4B943E5D" w14:textId="77777777" w:rsidR="00603297" w:rsidRDefault="00603297" w:rsidP="003F6B46">
      <w:pPr>
        <w:rPr>
          <w:rFonts w:cs="Arial"/>
          <w:sz w:val="22"/>
          <w:szCs w:val="22"/>
        </w:rPr>
      </w:pPr>
    </w:p>
    <w:p w14:paraId="3FC83ADC" w14:textId="77777777" w:rsidR="007701B7" w:rsidRDefault="003F6B46" w:rsidP="00C72898">
      <w:pPr>
        <w:pStyle w:val="Ttulo2"/>
      </w:pPr>
      <w:bookmarkStart w:id="998" w:name="_Toc140506552"/>
      <w:r w:rsidRPr="003F6B46">
        <w:t>SURTIGAS</w:t>
      </w:r>
      <w:bookmarkEnd w:id="998"/>
      <w:r w:rsidRPr="003F6B46">
        <w:tab/>
      </w:r>
    </w:p>
    <w:p w14:paraId="16EE59D0" w14:textId="77777777" w:rsidR="00766731" w:rsidRDefault="00766731" w:rsidP="00766731">
      <w:pPr>
        <w:pStyle w:val="Ttulo4"/>
      </w:pPr>
      <w:r w:rsidRPr="003F6B46">
        <w:t>SURTIGAS</w:t>
      </w:r>
      <w:r w:rsidRPr="003F6B46">
        <w:tab/>
      </w:r>
    </w:p>
    <w:p w14:paraId="6E215ECD" w14:textId="79DD746C" w:rsidR="003F6B46" w:rsidRPr="00CE3728" w:rsidRDefault="003F6B46" w:rsidP="003F6B46">
      <w:pPr>
        <w:rPr>
          <w:rFonts w:cs="Arial"/>
          <w:i/>
          <w:iCs/>
          <w:sz w:val="22"/>
          <w:szCs w:val="22"/>
        </w:rPr>
      </w:pPr>
      <w:r w:rsidRPr="003F6B46">
        <w:rPr>
          <w:rFonts w:cs="Arial"/>
          <w:sz w:val="22"/>
          <w:szCs w:val="22"/>
        </w:rPr>
        <w:t xml:space="preserve">" </w:t>
      </w:r>
      <w:r w:rsidRPr="00CE3728">
        <w:rPr>
          <w:rFonts w:cs="Arial"/>
          <w:i/>
          <w:iCs/>
          <w:sz w:val="22"/>
          <w:szCs w:val="22"/>
        </w:rPr>
        <w:t>Lo que parece con fundamento insuficiente, contrario al marco legal vigente y opuesto a los objetivos que se traza la CREG, es la siguiente norma:</w:t>
      </w:r>
    </w:p>
    <w:p w14:paraId="113EDD7B" w14:textId="77777777" w:rsidR="003F6B46" w:rsidRPr="00CE3728" w:rsidRDefault="003F6B46" w:rsidP="003F6B46">
      <w:pPr>
        <w:rPr>
          <w:rFonts w:cs="Arial"/>
          <w:i/>
          <w:iCs/>
          <w:sz w:val="22"/>
          <w:szCs w:val="22"/>
        </w:rPr>
      </w:pPr>
    </w:p>
    <w:p w14:paraId="33C366AA" w14:textId="5A301865" w:rsidR="003F6B46" w:rsidRPr="00CE3728" w:rsidRDefault="00895BA4" w:rsidP="003F6B46">
      <w:pPr>
        <w:rPr>
          <w:rFonts w:cs="Arial"/>
          <w:i/>
          <w:iCs/>
          <w:sz w:val="22"/>
          <w:szCs w:val="22"/>
        </w:rPr>
      </w:pPr>
      <w:r>
        <w:rPr>
          <w:rFonts w:cs="Arial"/>
          <w:i/>
          <w:iCs/>
          <w:sz w:val="22"/>
          <w:szCs w:val="22"/>
        </w:rPr>
        <w:t>‘</w:t>
      </w:r>
      <w:r w:rsidR="003F6B46" w:rsidRPr="00CE3728">
        <w:rPr>
          <w:rFonts w:cs="Arial"/>
          <w:i/>
          <w:iCs/>
          <w:sz w:val="22"/>
          <w:szCs w:val="22"/>
        </w:rPr>
        <w:t>En el caso de los Vendedores…, las cantidades que podrán ser contratadas mediante contratos con interrupciones podrán superar hasta máximo en un cincuenta por ciento (50%) el valor de PTDV declarada al Ministerio para dicha fuente, o hasta máximo en un veinte por ciento (20%) el valor de las cantidades contratadas con Respaldo Físico con garantía de firmeza, en ambos casos para el período al que se ofrece el gas en contratos con interrupciones</w:t>
      </w:r>
      <w:r>
        <w:rPr>
          <w:rFonts w:cs="Arial"/>
          <w:i/>
          <w:iCs/>
          <w:sz w:val="22"/>
          <w:szCs w:val="22"/>
        </w:rPr>
        <w:t>’</w:t>
      </w:r>
      <w:r w:rsidR="003F6B46" w:rsidRPr="00CE3728">
        <w:rPr>
          <w:rFonts w:cs="Arial"/>
          <w:i/>
          <w:iCs/>
          <w:sz w:val="22"/>
          <w:szCs w:val="22"/>
        </w:rPr>
        <w:t>.</w:t>
      </w:r>
    </w:p>
    <w:p w14:paraId="6A465D53" w14:textId="77777777" w:rsidR="003F6B46" w:rsidRPr="00CE3728" w:rsidRDefault="003F6B46" w:rsidP="003F6B46">
      <w:pPr>
        <w:rPr>
          <w:rFonts w:cs="Arial"/>
          <w:i/>
          <w:iCs/>
          <w:sz w:val="22"/>
          <w:szCs w:val="22"/>
        </w:rPr>
      </w:pPr>
    </w:p>
    <w:p w14:paraId="287723A1" w14:textId="77777777" w:rsidR="003F6B46" w:rsidRPr="00CE3728" w:rsidRDefault="003F6B46" w:rsidP="003F6B46">
      <w:pPr>
        <w:rPr>
          <w:rFonts w:cs="Arial"/>
          <w:i/>
          <w:iCs/>
          <w:sz w:val="22"/>
          <w:szCs w:val="22"/>
        </w:rPr>
      </w:pPr>
      <w:r w:rsidRPr="00CE3728">
        <w:rPr>
          <w:rFonts w:cs="Arial"/>
          <w:i/>
          <w:iCs/>
          <w:sz w:val="22"/>
          <w:szCs w:val="22"/>
        </w:rPr>
        <w:t>Al respecto, se tienen las siguientes observaciones:</w:t>
      </w:r>
    </w:p>
    <w:p w14:paraId="1587934F" w14:textId="77777777" w:rsidR="00C72898" w:rsidRPr="00CE3728" w:rsidRDefault="00C72898" w:rsidP="003F6B46">
      <w:pPr>
        <w:rPr>
          <w:rFonts w:cs="Arial"/>
          <w:i/>
          <w:iCs/>
          <w:sz w:val="22"/>
          <w:szCs w:val="22"/>
        </w:rPr>
      </w:pPr>
    </w:p>
    <w:p w14:paraId="7D9E8F3B" w14:textId="559BD22A" w:rsidR="003F6B46" w:rsidRPr="00CE3728" w:rsidRDefault="003F6B46" w:rsidP="003F6B46">
      <w:pPr>
        <w:rPr>
          <w:rFonts w:cs="Arial"/>
          <w:i/>
          <w:iCs/>
          <w:sz w:val="22"/>
          <w:szCs w:val="22"/>
        </w:rPr>
      </w:pPr>
      <w:r w:rsidRPr="00CE3728">
        <w:rPr>
          <w:rFonts w:cs="Arial"/>
          <w:i/>
          <w:iCs/>
          <w:sz w:val="22"/>
          <w:szCs w:val="22"/>
        </w:rPr>
        <w:t>1) En el Artículo 2 del Decreto 2100 de 2011 (</w:t>
      </w:r>
      <w:r w:rsidR="00895BA4">
        <w:rPr>
          <w:rFonts w:cs="Arial"/>
          <w:i/>
          <w:iCs/>
          <w:sz w:val="22"/>
          <w:szCs w:val="22"/>
        </w:rPr>
        <w:t>‘</w:t>
      </w:r>
      <w:r w:rsidRPr="00CE3728">
        <w:rPr>
          <w:rFonts w:cs="Arial"/>
          <w:i/>
          <w:iCs/>
          <w:sz w:val="22"/>
          <w:szCs w:val="22"/>
        </w:rPr>
        <w:t>por el cual se establecen mecanismos para promover el aseguramiento del abastecimiento nacional de gas natural y se dictan otras disposiciones</w:t>
      </w:r>
      <w:r w:rsidR="00895BA4">
        <w:rPr>
          <w:rFonts w:cs="Arial"/>
          <w:i/>
          <w:iCs/>
          <w:sz w:val="22"/>
          <w:szCs w:val="22"/>
        </w:rPr>
        <w:t>’</w:t>
      </w:r>
      <w:r w:rsidRPr="00CE3728">
        <w:rPr>
          <w:rFonts w:cs="Arial"/>
          <w:i/>
          <w:iCs/>
          <w:sz w:val="22"/>
          <w:szCs w:val="22"/>
        </w:rPr>
        <w:t>), compilado en el Decreto 1073 de 2015, define:</w:t>
      </w:r>
    </w:p>
    <w:p w14:paraId="46E9D008" w14:textId="375B00F7" w:rsidR="003F6B46" w:rsidRPr="00CE3728" w:rsidRDefault="00895BA4" w:rsidP="003F6B46">
      <w:pPr>
        <w:rPr>
          <w:rFonts w:cs="Arial"/>
          <w:i/>
          <w:iCs/>
          <w:sz w:val="22"/>
          <w:szCs w:val="22"/>
        </w:rPr>
      </w:pPr>
      <w:r>
        <w:rPr>
          <w:rFonts w:cs="Arial"/>
          <w:i/>
          <w:iCs/>
          <w:sz w:val="22"/>
          <w:szCs w:val="22"/>
        </w:rPr>
        <w:t>‘</w:t>
      </w:r>
      <w:r w:rsidR="003F6B46" w:rsidRPr="00CE3728">
        <w:rPr>
          <w:rFonts w:cs="Arial"/>
          <w:i/>
          <w:iCs/>
          <w:sz w:val="22"/>
          <w:szCs w:val="22"/>
        </w:rPr>
        <w:t>Producción Total Disponible para la Venta - PTDV: Totalidad de las cantidades diarias promedio mes de gas natural, medidas en GBTUD, que un productor o productor comercializador estima que tendrá disponibles para la venta bajo cualquier modalidad, en un periodo determinado, a través de contratos de suministro en cada campo o en un punto de entrada al SNT. Este pronóstico considera el desarrollo de las Reservas de Gas Natural, la información técnica de los yacimientos del campo de producción a la tasa máxima de recobro y está basado en la capacidad nominal de las instalaciones de producción existentes y proyectadas</w:t>
      </w:r>
      <w:r>
        <w:rPr>
          <w:rFonts w:cs="Arial"/>
          <w:i/>
          <w:iCs/>
          <w:sz w:val="22"/>
          <w:szCs w:val="22"/>
        </w:rPr>
        <w:t>’</w:t>
      </w:r>
      <w:r w:rsidR="003F6B46" w:rsidRPr="00CE3728">
        <w:rPr>
          <w:rFonts w:cs="Arial"/>
          <w:i/>
          <w:iCs/>
          <w:sz w:val="22"/>
          <w:szCs w:val="22"/>
        </w:rPr>
        <w:t>. (Subrayado Fuera de Texto).</w:t>
      </w:r>
    </w:p>
    <w:p w14:paraId="12DE97A7" w14:textId="77777777" w:rsidR="003F6B46" w:rsidRPr="00CE3728" w:rsidRDefault="003F6B46" w:rsidP="003F6B46">
      <w:pPr>
        <w:rPr>
          <w:rFonts w:cs="Arial"/>
          <w:i/>
          <w:iCs/>
          <w:sz w:val="22"/>
          <w:szCs w:val="22"/>
        </w:rPr>
      </w:pPr>
    </w:p>
    <w:p w14:paraId="006CA5DB" w14:textId="77777777" w:rsidR="003F6B46" w:rsidRPr="00CE3728" w:rsidRDefault="003F6B46" w:rsidP="003F6B46">
      <w:pPr>
        <w:rPr>
          <w:rFonts w:cs="Arial"/>
          <w:i/>
          <w:iCs/>
          <w:sz w:val="22"/>
          <w:szCs w:val="22"/>
        </w:rPr>
      </w:pPr>
      <w:r w:rsidRPr="00CE3728">
        <w:rPr>
          <w:rFonts w:cs="Arial"/>
          <w:i/>
          <w:iCs/>
          <w:sz w:val="22"/>
          <w:szCs w:val="22"/>
        </w:rPr>
        <w:t>Es claro que la definición establecida por el MME no autoriza ventas de gas por encima de las PTDV declaradas por el productor-comercializador, independientemente de la modalidad contractual. La propuesta de la CREG excede lo previsto por el hacedor de política y excede sus propias competencias.</w:t>
      </w:r>
    </w:p>
    <w:p w14:paraId="63238146" w14:textId="77777777" w:rsidR="003F6B46" w:rsidRPr="00CE3728" w:rsidRDefault="003F6B46" w:rsidP="003F6B46">
      <w:pPr>
        <w:rPr>
          <w:rFonts w:cs="Arial"/>
          <w:i/>
          <w:iCs/>
          <w:sz w:val="22"/>
          <w:szCs w:val="22"/>
        </w:rPr>
      </w:pPr>
    </w:p>
    <w:p w14:paraId="6423358B" w14:textId="77777777" w:rsidR="003F6B46" w:rsidRDefault="003F6B46" w:rsidP="003F6B46">
      <w:pPr>
        <w:rPr>
          <w:rFonts w:cs="Arial"/>
          <w:sz w:val="22"/>
          <w:szCs w:val="22"/>
        </w:rPr>
      </w:pPr>
      <w:r w:rsidRPr="00CE3728">
        <w:rPr>
          <w:rFonts w:cs="Arial"/>
          <w:i/>
          <w:iCs/>
          <w:sz w:val="22"/>
          <w:szCs w:val="22"/>
        </w:rPr>
        <w:t>Desvirtúa lo que implícitamente busca el Decreto. Las cantidades que el productor-comercializador podría vender bajo contratos interrumpibles, es aquella comprometida en contratos en firme y no nominada (dado que no están permitidos períodos de reposición), aquella disponible y no nominada bajo otras modalidades contractuales, o aquella no comprometida en otras modalidades contractuales</w:t>
      </w:r>
      <w:r w:rsidRPr="003F6B46">
        <w:rPr>
          <w:rFonts w:cs="Arial"/>
          <w:sz w:val="22"/>
          <w:szCs w:val="22"/>
        </w:rPr>
        <w:t>."</w:t>
      </w:r>
    </w:p>
    <w:p w14:paraId="2B11C915" w14:textId="77777777" w:rsidR="00603297" w:rsidRDefault="00603297" w:rsidP="003F6B46">
      <w:pPr>
        <w:rPr>
          <w:rFonts w:cs="Arial"/>
          <w:sz w:val="22"/>
          <w:szCs w:val="22"/>
        </w:rPr>
      </w:pPr>
    </w:p>
    <w:p w14:paraId="72AED1A8" w14:textId="77777777" w:rsidR="00603297" w:rsidRPr="005759B8" w:rsidRDefault="00603297" w:rsidP="00603297">
      <w:pPr>
        <w:rPr>
          <w:rFonts w:cs="Arial"/>
          <w:b/>
          <w:bCs/>
          <w:sz w:val="22"/>
          <w:szCs w:val="22"/>
        </w:rPr>
      </w:pPr>
      <w:r w:rsidRPr="005759B8">
        <w:rPr>
          <w:rFonts w:cs="Arial"/>
          <w:b/>
          <w:bCs/>
          <w:sz w:val="22"/>
          <w:szCs w:val="22"/>
        </w:rPr>
        <w:t>Respuesta:</w:t>
      </w:r>
    </w:p>
    <w:p w14:paraId="37AE0E52" w14:textId="77777777" w:rsidR="00603297" w:rsidRDefault="00603297" w:rsidP="00603297">
      <w:pPr>
        <w:rPr>
          <w:rFonts w:cs="Arial"/>
          <w:sz w:val="22"/>
          <w:szCs w:val="22"/>
        </w:rPr>
      </w:pPr>
    </w:p>
    <w:p w14:paraId="2B683608" w14:textId="77777777" w:rsidR="00603297" w:rsidRPr="003F6B46" w:rsidRDefault="00603297" w:rsidP="00603297">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_Ref133329312 \r \h </w:instrText>
      </w:r>
      <w:r>
        <w:rPr>
          <w:rFonts w:cs="Arial"/>
          <w:sz w:val="22"/>
          <w:szCs w:val="22"/>
        </w:rPr>
      </w:r>
      <w:r>
        <w:rPr>
          <w:rFonts w:cs="Arial"/>
          <w:sz w:val="22"/>
          <w:szCs w:val="22"/>
        </w:rPr>
        <w:fldChar w:fldCharType="separate"/>
      </w:r>
      <w:r>
        <w:rPr>
          <w:rFonts w:cs="Arial"/>
          <w:sz w:val="22"/>
          <w:szCs w:val="22"/>
        </w:rPr>
        <w:t>4.12</w:t>
      </w:r>
      <w:r>
        <w:rPr>
          <w:rFonts w:cs="Arial"/>
          <w:sz w:val="22"/>
          <w:szCs w:val="22"/>
        </w:rPr>
        <w:fldChar w:fldCharType="end"/>
      </w:r>
      <w:r>
        <w:rPr>
          <w:rFonts w:cs="Arial"/>
          <w:sz w:val="22"/>
          <w:szCs w:val="22"/>
        </w:rPr>
        <w:t xml:space="preserve"> y respuesta a </w:t>
      </w:r>
      <w:r>
        <w:rPr>
          <w:rFonts w:cs="Arial"/>
          <w:sz w:val="22"/>
          <w:szCs w:val="22"/>
        </w:rPr>
        <w:fldChar w:fldCharType="begin"/>
      </w:r>
      <w:r>
        <w:rPr>
          <w:rFonts w:cs="Arial"/>
          <w:sz w:val="22"/>
          <w:szCs w:val="22"/>
        </w:rPr>
        <w:instrText xml:space="preserve"> REF _Ref130291962 \r \h </w:instrText>
      </w:r>
      <w:r>
        <w:rPr>
          <w:rFonts w:cs="Arial"/>
          <w:sz w:val="22"/>
          <w:szCs w:val="22"/>
        </w:rPr>
      </w:r>
      <w:r>
        <w:rPr>
          <w:rFonts w:cs="Arial"/>
          <w:sz w:val="22"/>
          <w:szCs w:val="22"/>
        </w:rPr>
        <w:fldChar w:fldCharType="separate"/>
      </w:r>
      <w:r>
        <w:rPr>
          <w:rFonts w:cs="Arial"/>
          <w:sz w:val="22"/>
          <w:szCs w:val="22"/>
        </w:rPr>
        <w:t>1.4.1.1</w:t>
      </w:r>
      <w:r>
        <w:rPr>
          <w:rFonts w:cs="Arial"/>
          <w:sz w:val="22"/>
          <w:szCs w:val="22"/>
        </w:rPr>
        <w:fldChar w:fldCharType="end"/>
      </w:r>
      <w:r>
        <w:rPr>
          <w:rFonts w:cs="Arial"/>
          <w:sz w:val="22"/>
          <w:szCs w:val="22"/>
        </w:rPr>
        <w:t xml:space="preserve"> sobre los contratos con interrupciones.</w:t>
      </w:r>
    </w:p>
    <w:p w14:paraId="57EDAD5E" w14:textId="77777777" w:rsidR="00603297" w:rsidRPr="003F6B46" w:rsidRDefault="00603297" w:rsidP="00603297">
      <w:pPr>
        <w:rPr>
          <w:rFonts w:cs="Arial"/>
          <w:sz w:val="22"/>
          <w:szCs w:val="22"/>
        </w:rPr>
      </w:pPr>
    </w:p>
    <w:p w14:paraId="7612F38B" w14:textId="77777777" w:rsidR="007701B7" w:rsidRDefault="007701B7" w:rsidP="003F6B46">
      <w:pPr>
        <w:rPr>
          <w:rFonts w:cs="Arial"/>
          <w:sz w:val="22"/>
          <w:szCs w:val="22"/>
        </w:rPr>
      </w:pPr>
    </w:p>
    <w:p w14:paraId="77B09C1F" w14:textId="77777777" w:rsidR="007701B7" w:rsidRDefault="003F6B46" w:rsidP="00766731">
      <w:pPr>
        <w:pStyle w:val="Ttulo4"/>
      </w:pPr>
      <w:r w:rsidRPr="003F6B46">
        <w:t>SURTIGAS</w:t>
      </w:r>
      <w:r w:rsidRPr="003F6B46">
        <w:tab/>
      </w:r>
    </w:p>
    <w:p w14:paraId="35C9F601" w14:textId="50160452" w:rsidR="003F6B46" w:rsidRPr="00CE3728" w:rsidRDefault="003F6B46" w:rsidP="003F6B46">
      <w:pPr>
        <w:rPr>
          <w:rFonts w:cs="Arial"/>
          <w:i/>
          <w:iCs/>
          <w:sz w:val="22"/>
          <w:szCs w:val="22"/>
        </w:rPr>
      </w:pPr>
      <w:r w:rsidRPr="003F6B46">
        <w:rPr>
          <w:rFonts w:cs="Arial"/>
          <w:sz w:val="22"/>
          <w:szCs w:val="22"/>
        </w:rPr>
        <w:t>"</w:t>
      </w:r>
      <w:r w:rsidRPr="00CE3728">
        <w:rPr>
          <w:rFonts w:cs="Arial"/>
          <w:i/>
          <w:iCs/>
          <w:sz w:val="22"/>
          <w:szCs w:val="22"/>
        </w:rPr>
        <w:t>La flexibilidad que la CREG plantea otorgarles a los productores-comercializadores, bajo el escenario de déficit estimado (a partir del mes de abril de 2026) comprometería suministro en firme que pueda requerir el abastecimiento de la Demanda Esencial en un futuro, que hasta donde se infiere del documento soporte, es uno de los objetivos de la CREG.</w:t>
      </w:r>
    </w:p>
    <w:p w14:paraId="1FEF5C68" w14:textId="77777777" w:rsidR="003F6B46" w:rsidRPr="00CE3728" w:rsidRDefault="003F6B46" w:rsidP="003F6B46">
      <w:pPr>
        <w:rPr>
          <w:rFonts w:cs="Arial"/>
          <w:i/>
          <w:iCs/>
          <w:sz w:val="22"/>
          <w:szCs w:val="22"/>
        </w:rPr>
      </w:pPr>
    </w:p>
    <w:p w14:paraId="3CB8C5AB" w14:textId="77777777" w:rsidR="003F6B46" w:rsidRPr="00CE3728" w:rsidRDefault="003F6B46" w:rsidP="003F6B46">
      <w:pPr>
        <w:rPr>
          <w:rFonts w:cs="Arial"/>
          <w:i/>
          <w:iCs/>
          <w:sz w:val="22"/>
          <w:szCs w:val="22"/>
        </w:rPr>
      </w:pPr>
      <w:r w:rsidRPr="00CE3728">
        <w:rPr>
          <w:rFonts w:cs="Arial"/>
          <w:i/>
          <w:iCs/>
          <w:sz w:val="22"/>
          <w:szCs w:val="22"/>
        </w:rPr>
        <w:t>Con el mismo argumento anterior, podría inclusive cuestionarse que se les autorice a los productores-comercializadores la venta bajo modalidad interrumpible de la parte variable de los contratos con modalidades CF80 y CF95 que no sea nominada. Nuevamente bajo un escenario de déficit como el estimado por la CREG, las cantidades no nominadas en estos contratos permitirían coadyuvar al abastecimiento de la Demanda Esencial en un futuro."</w:t>
      </w:r>
    </w:p>
    <w:p w14:paraId="0E0E1095" w14:textId="77777777" w:rsidR="00603297" w:rsidRDefault="00603297" w:rsidP="003F6B46">
      <w:pPr>
        <w:rPr>
          <w:rFonts w:cs="Arial"/>
          <w:sz w:val="22"/>
          <w:szCs w:val="22"/>
        </w:rPr>
      </w:pPr>
    </w:p>
    <w:p w14:paraId="2738A719" w14:textId="77777777" w:rsidR="00603297" w:rsidRPr="005759B8" w:rsidRDefault="00603297" w:rsidP="00603297">
      <w:pPr>
        <w:rPr>
          <w:rFonts w:cs="Arial"/>
          <w:b/>
          <w:bCs/>
          <w:sz w:val="22"/>
          <w:szCs w:val="22"/>
        </w:rPr>
      </w:pPr>
      <w:r w:rsidRPr="005759B8">
        <w:rPr>
          <w:rFonts w:cs="Arial"/>
          <w:b/>
          <w:bCs/>
          <w:sz w:val="22"/>
          <w:szCs w:val="22"/>
        </w:rPr>
        <w:t>Respuesta:</w:t>
      </w:r>
    </w:p>
    <w:p w14:paraId="436F420C" w14:textId="77777777" w:rsidR="00603297" w:rsidRDefault="00603297" w:rsidP="00603297">
      <w:pPr>
        <w:rPr>
          <w:rFonts w:cs="Arial"/>
          <w:sz w:val="22"/>
          <w:szCs w:val="22"/>
        </w:rPr>
      </w:pPr>
    </w:p>
    <w:p w14:paraId="1E45A9A4" w14:textId="77777777" w:rsidR="00603297" w:rsidRDefault="00603297" w:rsidP="00603297">
      <w:pPr>
        <w:rPr>
          <w:bCs/>
          <w:sz w:val="22"/>
          <w:szCs w:val="22"/>
        </w:rPr>
      </w:pPr>
      <w:r>
        <w:rPr>
          <w:bCs/>
          <w:sz w:val="22"/>
          <w:szCs w:val="22"/>
        </w:rPr>
        <w:t xml:space="preserve">Ver respuesta a </w:t>
      </w:r>
      <w:r>
        <w:rPr>
          <w:bCs/>
          <w:sz w:val="22"/>
          <w:szCs w:val="22"/>
        </w:rPr>
        <w:fldChar w:fldCharType="begin"/>
      </w:r>
      <w:r>
        <w:rPr>
          <w:bCs/>
          <w:sz w:val="22"/>
          <w:szCs w:val="22"/>
        </w:rPr>
        <w:instrText xml:space="preserve"> REF _Ref132897384 \r \h </w:instrText>
      </w:r>
      <w:r>
        <w:rPr>
          <w:bCs/>
          <w:sz w:val="22"/>
          <w:szCs w:val="22"/>
        </w:rPr>
      </w:r>
      <w:r>
        <w:rPr>
          <w:bCs/>
          <w:sz w:val="22"/>
          <w:szCs w:val="22"/>
        </w:rPr>
        <w:fldChar w:fldCharType="separate"/>
      </w:r>
      <w:r>
        <w:rPr>
          <w:bCs/>
          <w:sz w:val="22"/>
          <w:szCs w:val="22"/>
        </w:rPr>
        <w:t>19.23.1.4</w:t>
      </w:r>
      <w:r>
        <w:rPr>
          <w:bCs/>
          <w:sz w:val="22"/>
          <w:szCs w:val="22"/>
        </w:rPr>
        <w:fldChar w:fldCharType="end"/>
      </w:r>
      <w:r>
        <w:rPr>
          <w:bCs/>
          <w:sz w:val="22"/>
          <w:szCs w:val="22"/>
        </w:rPr>
        <w:t>.</w:t>
      </w:r>
    </w:p>
    <w:p w14:paraId="4CE27894" w14:textId="77777777" w:rsidR="00603297" w:rsidRPr="003F6B46" w:rsidRDefault="00603297" w:rsidP="003F6B46">
      <w:pPr>
        <w:rPr>
          <w:rFonts w:cs="Arial"/>
          <w:sz w:val="22"/>
          <w:szCs w:val="22"/>
        </w:rPr>
      </w:pPr>
    </w:p>
    <w:p w14:paraId="4E0D48E0" w14:textId="77777777" w:rsidR="007701B7" w:rsidRDefault="007701B7" w:rsidP="003F6B46">
      <w:pPr>
        <w:rPr>
          <w:rFonts w:cs="Arial"/>
          <w:sz w:val="22"/>
          <w:szCs w:val="22"/>
        </w:rPr>
      </w:pPr>
    </w:p>
    <w:p w14:paraId="2B612E10" w14:textId="77777777" w:rsidR="007701B7" w:rsidRDefault="003F6B46" w:rsidP="00766731">
      <w:pPr>
        <w:pStyle w:val="Ttulo4"/>
      </w:pPr>
      <w:r w:rsidRPr="003F6B46">
        <w:t>SURTIGAS</w:t>
      </w:r>
      <w:r w:rsidRPr="003F6B46">
        <w:tab/>
      </w:r>
    </w:p>
    <w:p w14:paraId="1783FA54" w14:textId="0299DC7E" w:rsidR="003F6B46" w:rsidRPr="00CE3728" w:rsidRDefault="0074404F" w:rsidP="003F6B46">
      <w:pPr>
        <w:rPr>
          <w:rFonts w:cs="Arial"/>
          <w:i/>
          <w:iCs/>
          <w:sz w:val="22"/>
          <w:szCs w:val="22"/>
        </w:rPr>
      </w:pPr>
      <w:r>
        <w:rPr>
          <w:rFonts w:cs="Arial"/>
          <w:i/>
          <w:iCs/>
          <w:sz w:val="22"/>
          <w:szCs w:val="22"/>
        </w:rPr>
        <w:t>“</w:t>
      </w:r>
      <w:r w:rsidR="003F6B46" w:rsidRPr="00CE3728">
        <w:rPr>
          <w:rFonts w:cs="Arial"/>
          <w:i/>
          <w:iCs/>
          <w:sz w:val="22"/>
          <w:szCs w:val="22"/>
        </w:rPr>
        <w:t xml:space="preserve">Se propone que se mantenga la regla de la cantidad máxima que el productor puede vender en contratos mensuales a la máxima PTDV más los porcentajes variables de los contratos firmes CF95 y CF80 vigentes para el período pero que dichos contratos puedan ser suscritos con varios agentes y con reglas de asignación claras. Lo anterior, en el entendido que en realidad la cantidad de gas entregada nunca podría superar la PTDV, condición que podría ser verificada por el </w:t>
      </w:r>
      <w:r w:rsidR="005114C6" w:rsidRPr="00CE3728">
        <w:rPr>
          <w:rFonts w:cs="Arial"/>
          <w:i/>
          <w:iCs/>
          <w:sz w:val="22"/>
          <w:szCs w:val="22"/>
        </w:rPr>
        <w:t>Gestor del Mercado</w:t>
      </w:r>
      <w:r w:rsidR="003F6B46" w:rsidRPr="00CE3728">
        <w:rPr>
          <w:rFonts w:cs="Arial"/>
          <w:i/>
          <w:iCs/>
          <w:sz w:val="22"/>
          <w:szCs w:val="22"/>
        </w:rPr>
        <w:t>.</w:t>
      </w:r>
      <w:r>
        <w:rPr>
          <w:rFonts w:cs="Arial"/>
          <w:i/>
          <w:iCs/>
          <w:sz w:val="22"/>
          <w:szCs w:val="22"/>
        </w:rPr>
        <w:t>”</w:t>
      </w:r>
    </w:p>
    <w:p w14:paraId="500B3ED8" w14:textId="77777777" w:rsidR="007701B7" w:rsidRDefault="007701B7" w:rsidP="003F6B46">
      <w:pPr>
        <w:rPr>
          <w:rFonts w:cs="Arial"/>
          <w:sz w:val="22"/>
          <w:szCs w:val="22"/>
        </w:rPr>
      </w:pPr>
    </w:p>
    <w:p w14:paraId="07DFE475" w14:textId="77777777" w:rsidR="00603297" w:rsidRPr="005759B8" w:rsidRDefault="00603297" w:rsidP="00603297">
      <w:pPr>
        <w:rPr>
          <w:rFonts w:cs="Arial"/>
          <w:b/>
          <w:bCs/>
          <w:sz w:val="22"/>
          <w:szCs w:val="22"/>
        </w:rPr>
      </w:pPr>
      <w:r w:rsidRPr="005759B8">
        <w:rPr>
          <w:rFonts w:cs="Arial"/>
          <w:b/>
          <w:bCs/>
          <w:sz w:val="22"/>
          <w:szCs w:val="22"/>
        </w:rPr>
        <w:t>Respuesta:</w:t>
      </w:r>
    </w:p>
    <w:p w14:paraId="334BFF7F" w14:textId="77777777" w:rsidR="00603297" w:rsidRDefault="00603297" w:rsidP="00603297">
      <w:pPr>
        <w:rPr>
          <w:rFonts w:cs="Arial"/>
          <w:sz w:val="22"/>
          <w:szCs w:val="22"/>
        </w:rPr>
      </w:pPr>
    </w:p>
    <w:p w14:paraId="05957E50" w14:textId="77777777" w:rsidR="00603297" w:rsidRDefault="00603297" w:rsidP="0060329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_Ref133331851 \r \h </w:instrText>
      </w:r>
      <w:r>
        <w:rPr>
          <w:rFonts w:cs="Arial"/>
          <w:sz w:val="22"/>
          <w:szCs w:val="22"/>
        </w:rPr>
      </w:r>
      <w:r>
        <w:rPr>
          <w:rFonts w:cs="Arial"/>
          <w:sz w:val="22"/>
          <w:szCs w:val="22"/>
        </w:rPr>
        <w:fldChar w:fldCharType="separate"/>
      </w:r>
      <w:r>
        <w:rPr>
          <w:rFonts w:cs="Arial"/>
          <w:sz w:val="22"/>
          <w:szCs w:val="22"/>
        </w:rPr>
        <w:t>32.7.1.3</w:t>
      </w:r>
      <w:r>
        <w:rPr>
          <w:rFonts w:cs="Arial"/>
          <w:sz w:val="22"/>
          <w:szCs w:val="22"/>
        </w:rPr>
        <w:fldChar w:fldCharType="end"/>
      </w:r>
      <w:r>
        <w:rPr>
          <w:rFonts w:cs="Arial"/>
          <w:sz w:val="22"/>
          <w:szCs w:val="22"/>
        </w:rPr>
        <w:t>.</w:t>
      </w:r>
    </w:p>
    <w:p w14:paraId="51F039A2" w14:textId="77777777" w:rsidR="00603297" w:rsidRDefault="00603297" w:rsidP="003F6B46">
      <w:pPr>
        <w:rPr>
          <w:rFonts w:cs="Arial"/>
          <w:sz w:val="22"/>
          <w:szCs w:val="22"/>
        </w:rPr>
      </w:pPr>
    </w:p>
    <w:p w14:paraId="193EA510" w14:textId="77777777" w:rsidR="007701B7" w:rsidRDefault="007701B7" w:rsidP="003F6B46">
      <w:pPr>
        <w:rPr>
          <w:rFonts w:cs="Arial"/>
          <w:sz w:val="22"/>
          <w:szCs w:val="22"/>
        </w:rPr>
      </w:pPr>
    </w:p>
    <w:p w14:paraId="5BC039BE" w14:textId="77777777" w:rsidR="007701B7" w:rsidRDefault="003F6B46" w:rsidP="00C72898">
      <w:pPr>
        <w:pStyle w:val="Ttulo2"/>
      </w:pPr>
      <w:bookmarkStart w:id="999" w:name="_Toc140506553"/>
      <w:r w:rsidRPr="003F6B46">
        <w:t>TEBSA</w:t>
      </w:r>
      <w:bookmarkEnd w:id="999"/>
      <w:r w:rsidRPr="003F6B46">
        <w:tab/>
      </w:r>
    </w:p>
    <w:p w14:paraId="6E5963AD" w14:textId="77777777" w:rsidR="00766731" w:rsidRDefault="00766731" w:rsidP="00766731">
      <w:pPr>
        <w:pStyle w:val="Ttulo4"/>
      </w:pPr>
      <w:r w:rsidRPr="003F6B46">
        <w:t>TEBSA</w:t>
      </w:r>
      <w:r w:rsidRPr="003F6B46">
        <w:tab/>
      </w:r>
    </w:p>
    <w:p w14:paraId="3D272DC0" w14:textId="55A2EDD6" w:rsidR="003F6B46" w:rsidRPr="00CE3728" w:rsidRDefault="0074404F" w:rsidP="003F6B46">
      <w:pPr>
        <w:rPr>
          <w:rFonts w:cs="Arial"/>
          <w:i/>
          <w:iCs/>
          <w:sz w:val="22"/>
          <w:szCs w:val="22"/>
        </w:rPr>
      </w:pPr>
      <w:r>
        <w:rPr>
          <w:rFonts w:cs="Arial"/>
          <w:i/>
          <w:iCs/>
          <w:sz w:val="22"/>
          <w:szCs w:val="22"/>
        </w:rPr>
        <w:t>“</w:t>
      </w:r>
      <w:r w:rsidR="003F6B46" w:rsidRPr="00CE3728">
        <w:rPr>
          <w:rFonts w:cs="Arial"/>
          <w:i/>
          <w:iCs/>
          <w:sz w:val="22"/>
          <w:szCs w:val="22"/>
        </w:rPr>
        <w:t xml:space="preserve">Sugerimos que la duración de los contratos CI para los vendedores del </w:t>
      </w:r>
      <w:proofErr w:type="spellStart"/>
      <w:r w:rsidR="003F6B46" w:rsidRPr="00CE3728">
        <w:rPr>
          <w:rFonts w:cs="Arial"/>
          <w:i/>
          <w:iCs/>
          <w:sz w:val="22"/>
          <w:szCs w:val="22"/>
        </w:rPr>
        <w:t>articulo</w:t>
      </w:r>
      <w:proofErr w:type="spellEnd"/>
      <w:r w:rsidR="003F6B46" w:rsidRPr="00CE3728">
        <w:rPr>
          <w:rFonts w:cs="Arial"/>
          <w:i/>
          <w:iCs/>
          <w:sz w:val="22"/>
          <w:szCs w:val="22"/>
        </w:rPr>
        <w:t xml:space="preserve"> 16, dure por lo menos un trimestre y como máximo un año</w:t>
      </w:r>
      <w:r>
        <w:rPr>
          <w:rFonts w:cs="Arial"/>
          <w:i/>
          <w:iCs/>
          <w:sz w:val="22"/>
          <w:szCs w:val="22"/>
        </w:rPr>
        <w:t>.”</w:t>
      </w:r>
    </w:p>
    <w:p w14:paraId="287D120D" w14:textId="77777777" w:rsidR="00CE3728" w:rsidRDefault="00CE3728" w:rsidP="003F6B46">
      <w:pPr>
        <w:rPr>
          <w:rFonts w:cs="Arial"/>
          <w:sz w:val="22"/>
          <w:szCs w:val="22"/>
        </w:rPr>
      </w:pPr>
    </w:p>
    <w:p w14:paraId="2E92B7A5" w14:textId="23B58703" w:rsidR="00CE3728" w:rsidRPr="00CE3728" w:rsidRDefault="00CE3728" w:rsidP="003F6B46">
      <w:pPr>
        <w:rPr>
          <w:rFonts w:cs="Arial"/>
          <w:b/>
          <w:bCs/>
          <w:sz w:val="22"/>
          <w:szCs w:val="22"/>
        </w:rPr>
      </w:pPr>
      <w:r w:rsidRPr="00CE3728">
        <w:rPr>
          <w:rFonts w:cs="Arial"/>
          <w:b/>
          <w:bCs/>
          <w:sz w:val="22"/>
          <w:szCs w:val="22"/>
        </w:rPr>
        <w:t>Respuesta:</w:t>
      </w:r>
    </w:p>
    <w:p w14:paraId="2E2EC644" w14:textId="77777777" w:rsidR="00CE3728" w:rsidRDefault="00CE3728" w:rsidP="003F6B46">
      <w:pPr>
        <w:rPr>
          <w:rFonts w:cs="Arial"/>
          <w:sz w:val="22"/>
          <w:szCs w:val="22"/>
        </w:rPr>
      </w:pPr>
    </w:p>
    <w:p w14:paraId="60573B86" w14:textId="334EB3A7" w:rsidR="00CE3728" w:rsidRDefault="005701AC"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_Ref133331267 \r \h </w:instrText>
      </w:r>
      <w:r>
        <w:rPr>
          <w:rFonts w:cs="Arial"/>
          <w:sz w:val="22"/>
          <w:szCs w:val="22"/>
        </w:rPr>
      </w:r>
      <w:r>
        <w:rPr>
          <w:rFonts w:cs="Arial"/>
          <w:sz w:val="22"/>
          <w:szCs w:val="22"/>
        </w:rPr>
        <w:fldChar w:fldCharType="separate"/>
      </w:r>
      <w:r>
        <w:rPr>
          <w:rFonts w:cs="Arial"/>
          <w:sz w:val="22"/>
          <w:szCs w:val="22"/>
        </w:rPr>
        <w:t>32.1.1.1</w:t>
      </w:r>
      <w:r>
        <w:rPr>
          <w:rFonts w:cs="Arial"/>
          <w:sz w:val="22"/>
          <w:szCs w:val="22"/>
        </w:rPr>
        <w:fldChar w:fldCharType="end"/>
      </w:r>
      <w:r>
        <w:rPr>
          <w:rFonts w:cs="Arial"/>
          <w:sz w:val="22"/>
          <w:szCs w:val="22"/>
        </w:rPr>
        <w:t>.</w:t>
      </w:r>
    </w:p>
    <w:p w14:paraId="012C0024" w14:textId="77777777" w:rsidR="005701AC" w:rsidRPr="003F6B46" w:rsidRDefault="005701AC" w:rsidP="003F6B46">
      <w:pPr>
        <w:rPr>
          <w:rFonts w:cs="Arial"/>
          <w:sz w:val="22"/>
          <w:szCs w:val="22"/>
        </w:rPr>
      </w:pPr>
    </w:p>
    <w:p w14:paraId="1680F968" w14:textId="77777777" w:rsidR="007701B7" w:rsidRDefault="007701B7" w:rsidP="003F6B46">
      <w:pPr>
        <w:rPr>
          <w:rFonts w:cs="Arial"/>
          <w:sz w:val="22"/>
          <w:szCs w:val="22"/>
        </w:rPr>
      </w:pPr>
    </w:p>
    <w:p w14:paraId="772D0BA0" w14:textId="77777777" w:rsidR="007701B7" w:rsidRDefault="003F6B46" w:rsidP="00766731">
      <w:pPr>
        <w:pStyle w:val="Ttulo4"/>
      </w:pPr>
      <w:bookmarkStart w:id="1000" w:name="_Ref133332942"/>
      <w:r w:rsidRPr="003F6B46">
        <w:t>TEBSA</w:t>
      </w:r>
      <w:bookmarkEnd w:id="1000"/>
      <w:r w:rsidRPr="003F6B46">
        <w:tab/>
      </w:r>
    </w:p>
    <w:p w14:paraId="2312F24C" w14:textId="32B39324" w:rsidR="003F6B46" w:rsidRPr="005701AC" w:rsidRDefault="0074404F" w:rsidP="003F6B46">
      <w:pPr>
        <w:rPr>
          <w:rFonts w:cs="Arial"/>
          <w:i/>
          <w:iCs/>
          <w:sz w:val="22"/>
          <w:szCs w:val="22"/>
        </w:rPr>
      </w:pPr>
      <w:r>
        <w:rPr>
          <w:rFonts w:cs="Arial"/>
          <w:i/>
          <w:iCs/>
          <w:sz w:val="22"/>
          <w:szCs w:val="22"/>
        </w:rPr>
        <w:t>“</w:t>
      </w:r>
      <w:r w:rsidR="003F6B46" w:rsidRPr="005701AC">
        <w:rPr>
          <w:rFonts w:cs="Arial"/>
          <w:i/>
          <w:iCs/>
          <w:sz w:val="22"/>
          <w:szCs w:val="22"/>
        </w:rPr>
        <w:t>Sugerimos a la CREG la pertinencia de que el registro de estos contratos sea al menos 1 día calendario antes del inicio de las entregas.</w:t>
      </w:r>
      <w:r>
        <w:rPr>
          <w:rFonts w:cs="Arial"/>
          <w:i/>
          <w:iCs/>
          <w:sz w:val="22"/>
          <w:szCs w:val="22"/>
        </w:rPr>
        <w:t>”</w:t>
      </w:r>
    </w:p>
    <w:p w14:paraId="05EC2539" w14:textId="77777777" w:rsidR="005701AC" w:rsidRDefault="005701AC" w:rsidP="003F6B46">
      <w:pPr>
        <w:rPr>
          <w:rFonts w:cs="Arial"/>
          <w:sz w:val="22"/>
          <w:szCs w:val="22"/>
        </w:rPr>
      </w:pPr>
    </w:p>
    <w:p w14:paraId="3209EC20" w14:textId="29C7A161" w:rsidR="005701AC" w:rsidRPr="005701AC" w:rsidRDefault="005701AC" w:rsidP="003F6B46">
      <w:pPr>
        <w:rPr>
          <w:rFonts w:cs="Arial"/>
          <w:b/>
          <w:bCs/>
          <w:sz w:val="22"/>
          <w:szCs w:val="22"/>
        </w:rPr>
      </w:pPr>
      <w:r w:rsidRPr="005701AC">
        <w:rPr>
          <w:rFonts w:cs="Arial"/>
          <w:b/>
          <w:bCs/>
          <w:sz w:val="22"/>
          <w:szCs w:val="22"/>
        </w:rPr>
        <w:t>Respuesta:</w:t>
      </w:r>
    </w:p>
    <w:p w14:paraId="50D6CD63" w14:textId="77777777" w:rsidR="005701AC" w:rsidRDefault="005701AC" w:rsidP="003F6B46">
      <w:pPr>
        <w:rPr>
          <w:rFonts w:cs="Arial"/>
          <w:sz w:val="22"/>
          <w:szCs w:val="22"/>
        </w:rPr>
      </w:pPr>
    </w:p>
    <w:p w14:paraId="14C64F63" w14:textId="7252DB54" w:rsidR="005701AC" w:rsidRDefault="005701AC" w:rsidP="003F6B46">
      <w:pPr>
        <w:rPr>
          <w:rFonts w:cs="Arial"/>
          <w:sz w:val="22"/>
          <w:szCs w:val="22"/>
        </w:rPr>
      </w:pPr>
      <w:r>
        <w:rPr>
          <w:rFonts w:cs="Arial"/>
          <w:sz w:val="22"/>
          <w:szCs w:val="22"/>
        </w:rPr>
        <w:t>Se acoge el comentario parcialmente.</w:t>
      </w:r>
    </w:p>
    <w:p w14:paraId="60956C7E" w14:textId="77777777" w:rsidR="005701AC" w:rsidRDefault="005701AC" w:rsidP="003F6B46">
      <w:pPr>
        <w:rPr>
          <w:rFonts w:cs="Arial"/>
          <w:sz w:val="22"/>
          <w:szCs w:val="22"/>
        </w:rPr>
      </w:pPr>
    </w:p>
    <w:p w14:paraId="6513985C" w14:textId="1F8A6EA1" w:rsidR="005701AC" w:rsidRDefault="005701AC" w:rsidP="003F6B46">
      <w:pPr>
        <w:rPr>
          <w:rFonts w:cs="Arial"/>
          <w:sz w:val="22"/>
          <w:szCs w:val="22"/>
        </w:rPr>
      </w:pPr>
      <w:r>
        <w:rPr>
          <w:rFonts w:cs="Arial"/>
          <w:sz w:val="22"/>
          <w:szCs w:val="22"/>
        </w:rPr>
        <w:t xml:space="preserve">En la nueva propuesta se incluye la </w:t>
      </w:r>
      <w:proofErr w:type="gramStart"/>
      <w:r>
        <w:rPr>
          <w:rFonts w:cs="Arial"/>
          <w:sz w:val="22"/>
          <w:szCs w:val="22"/>
        </w:rPr>
        <w:t>condición</w:t>
      </w:r>
      <w:proofErr w:type="gramEnd"/>
      <w:r>
        <w:rPr>
          <w:rFonts w:cs="Arial"/>
          <w:sz w:val="22"/>
          <w:szCs w:val="22"/>
        </w:rPr>
        <w:t xml:space="preserve"> pero tomando como referencia el inicio de ejecución del contrato, porque las entregas pueden ser posteriores a dicho inicio</w:t>
      </w:r>
      <w:r w:rsidR="003E1F82">
        <w:rPr>
          <w:rFonts w:cs="Arial"/>
          <w:sz w:val="22"/>
          <w:szCs w:val="22"/>
        </w:rPr>
        <w:t xml:space="preserve"> y se debe verificar por el Gestor del mercado que los topes de cantidades máximas de los vendedores se cumplan antes del inicio de ejecución</w:t>
      </w:r>
      <w:r>
        <w:rPr>
          <w:rFonts w:cs="Arial"/>
          <w:sz w:val="22"/>
          <w:szCs w:val="22"/>
        </w:rPr>
        <w:t>.</w:t>
      </w:r>
    </w:p>
    <w:p w14:paraId="327E981B" w14:textId="77777777" w:rsidR="005701AC" w:rsidRPr="003F6B46" w:rsidRDefault="005701AC" w:rsidP="003F6B46">
      <w:pPr>
        <w:rPr>
          <w:rFonts w:cs="Arial"/>
          <w:sz w:val="22"/>
          <w:szCs w:val="22"/>
        </w:rPr>
      </w:pPr>
    </w:p>
    <w:p w14:paraId="798906A5" w14:textId="77777777" w:rsidR="007701B7" w:rsidRDefault="007701B7" w:rsidP="003F6B46">
      <w:pPr>
        <w:rPr>
          <w:rFonts w:cs="Arial"/>
          <w:sz w:val="22"/>
          <w:szCs w:val="22"/>
        </w:rPr>
      </w:pPr>
    </w:p>
    <w:p w14:paraId="1EC8E366" w14:textId="77777777" w:rsidR="007701B7" w:rsidRDefault="003F6B46" w:rsidP="00766731">
      <w:pPr>
        <w:pStyle w:val="Ttulo4"/>
      </w:pPr>
      <w:r w:rsidRPr="003F6B46">
        <w:t>TEBSA</w:t>
      </w:r>
      <w:r w:rsidRPr="003F6B46">
        <w:tab/>
      </w:r>
    </w:p>
    <w:p w14:paraId="28E61564" w14:textId="3D6E5562" w:rsidR="003F6B46" w:rsidRPr="00A33FF3" w:rsidRDefault="0074404F" w:rsidP="003F6B46">
      <w:pPr>
        <w:rPr>
          <w:rFonts w:cs="Arial"/>
          <w:i/>
          <w:iCs/>
          <w:sz w:val="22"/>
          <w:szCs w:val="22"/>
        </w:rPr>
      </w:pPr>
      <w:r>
        <w:rPr>
          <w:rFonts w:cs="Arial"/>
          <w:i/>
          <w:iCs/>
          <w:sz w:val="22"/>
          <w:szCs w:val="22"/>
        </w:rPr>
        <w:t>“</w:t>
      </w:r>
      <w:r w:rsidR="003F6B46" w:rsidRPr="00A33FF3">
        <w:rPr>
          <w:rFonts w:cs="Arial"/>
          <w:i/>
          <w:iCs/>
          <w:sz w:val="22"/>
          <w:szCs w:val="22"/>
        </w:rPr>
        <w:t>Este precio deber ser un techo, no un precio fijo. Ajustar redacción conforme a la 021 de 2019.</w:t>
      </w:r>
      <w:r>
        <w:rPr>
          <w:rFonts w:cs="Arial"/>
          <w:i/>
          <w:iCs/>
          <w:sz w:val="22"/>
          <w:szCs w:val="22"/>
        </w:rPr>
        <w:t>”</w:t>
      </w:r>
    </w:p>
    <w:p w14:paraId="3F03F4DF" w14:textId="77777777" w:rsidR="00A33FF3" w:rsidRDefault="00A33FF3" w:rsidP="003F6B46">
      <w:pPr>
        <w:rPr>
          <w:rFonts w:cs="Arial"/>
          <w:sz w:val="22"/>
          <w:szCs w:val="22"/>
        </w:rPr>
      </w:pPr>
    </w:p>
    <w:p w14:paraId="47FFBFA3" w14:textId="033F1B59" w:rsidR="00A33FF3" w:rsidRPr="00A33FF3" w:rsidRDefault="00A33FF3" w:rsidP="003F6B46">
      <w:pPr>
        <w:rPr>
          <w:rFonts w:cs="Arial"/>
          <w:b/>
          <w:bCs/>
          <w:sz w:val="22"/>
          <w:szCs w:val="22"/>
        </w:rPr>
      </w:pPr>
      <w:r w:rsidRPr="00A33FF3">
        <w:rPr>
          <w:rFonts w:cs="Arial"/>
          <w:b/>
          <w:bCs/>
          <w:sz w:val="22"/>
          <w:szCs w:val="22"/>
        </w:rPr>
        <w:t>Respuesta:</w:t>
      </w:r>
    </w:p>
    <w:p w14:paraId="1664720E" w14:textId="77777777" w:rsidR="00A33FF3" w:rsidRDefault="00A33FF3" w:rsidP="003F6B46">
      <w:pPr>
        <w:rPr>
          <w:rFonts w:cs="Arial"/>
          <w:sz w:val="22"/>
          <w:szCs w:val="22"/>
        </w:rPr>
      </w:pPr>
    </w:p>
    <w:p w14:paraId="6BB570C9" w14:textId="26B6FB8F" w:rsidR="00A33FF3" w:rsidRDefault="00A33FF3" w:rsidP="003F6B46">
      <w:pPr>
        <w:rPr>
          <w:rFonts w:cs="Arial"/>
          <w:sz w:val="22"/>
          <w:szCs w:val="22"/>
        </w:rPr>
      </w:pPr>
      <w:r>
        <w:rPr>
          <w:rFonts w:cs="Arial"/>
          <w:sz w:val="22"/>
          <w:szCs w:val="22"/>
        </w:rPr>
        <w:t>Se acoge el comentario.</w:t>
      </w:r>
    </w:p>
    <w:p w14:paraId="4A23CE9B" w14:textId="77777777" w:rsidR="00A33FF3" w:rsidRDefault="00A33FF3" w:rsidP="003F6B46">
      <w:pPr>
        <w:rPr>
          <w:rFonts w:cs="Arial"/>
          <w:sz w:val="22"/>
          <w:szCs w:val="22"/>
        </w:rPr>
      </w:pPr>
    </w:p>
    <w:p w14:paraId="2824F351" w14:textId="32E509BD" w:rsidR="00A33FF3" w:rsidRDefault="00A33FF3" w:rsidP="003F6B46">
      <w:pPr>
        <w:rPr>
          <w:rFonts w:cs="Arial"/>
          <w:sz w:val="22"/>
          <w:szCs w:val="22"/>
        </w:rPr>
      </w:pPr>
      <w:r>
        <w:rPr>
          <w:rFonts w:cs="Arial"/>
          <w:sz w:val="22"/>
          <w:szCs w:val="22"/>
        </w:rPr>
        <w:t xml:space="preserve">En la nueva propuesta se hace la corrección </w:t>
      </w:r>
      <w:r w:rsidR="006D5EF3">
        <w:rPr>
          <w:rFonts w:cs="Arial"/>
          <w:sz w:val="22"/>
          <w:szCs w:val="22"/>
        </w:rPr>
        <w:t>ajustando la referencia a un “precio único máximo”</w:t>
      </w:r>
    </w:p>
    <w:p w14:paraId="483B19AB" w14:textId="77777777" w:rsidR="00A33FF3" w:rsidRPr="003F6B46" w:rsidRDefault="00A33FF3" w:rsidP="003F6B46">
      <w:pPr>
        <w:rPr>
          <w:rFonts w:cs="Arial"/>
          <w:sz w:val="22"/>
          <w:szCs w:val="22"/>
        </w:rPr>
      </w:pPr>
    </w:p>
    <w:p w14:paraId="763580DB" w14:textId="77777777" w:rsidR="007701B7" w:rsidRDefault="007701B7" w:rsidP="003F6B46">
      <w:pPr>
        <w:rPr>
          <w:rFonts w:cs="Arial"/>
          <w:sz w:val="22"/>
          <w:szCs w:val="22"/>
        </w:rPr>
      </w:pPr>
    </w:p>
    <w:p w14:paraId="1792D4CC" w14:textId="77777777" w:rsidR="007701B7" w:rsidRDefault="003F6B46" w:rsidP="00766731">
      <w:pPr>
        <w:pStyle w:val="Ttulo4"/>
      </w:pPr>
      <w:r w:rsidRPr="003F6B46">
        <w:t>TEBSA</w:t>
      </w:r>
      <w:r w:rsidRPr="003F6B46">
        <w:tab/>
      </w:r>
    </w:p>
    <w:p w14:paraId="1DCF779E" w14:textId="73426A0B" w:rsidR="003F6B46" w:rsidRPr="006D5EF3" w:rsidRDefault="001A27FE" w:rsidP="003F6B46">
      <w:pPr>
        <w:rPr>
          <w:rFonts w:cs="Arial"/>
          <w:i/>
          <w:iCs/>
          <w:sz w:val="22"/>
          <w:szCs w:val="22"/>
        </w:rPr>
      </w:pPr>
      <w:r>
        <w:rPr>
          <w:rFonts w:cs="Arial"/>
          <w:i/>
          <w:iCs/>
          <w:sz w:val="22"/>
          <w:szCs w:val="22"/>
        </w:rPr>
        <w:t>“</w:t>
      </w:r>
      <w:r w:rsidR="003F6B46" w:rsidRPr="006D5EF3">
        <w:rPr>
          <w:rFonts w:cs="Arial"/>
          <w:i/>
          <w:iCs/>
          <w:sz w:val="22"/>
          <w:szCs w:val="22"/>
        </w:rPr>
        <w:t xml:space="preserve">Que en el día de gas se garantice la entrega en firme de estas cantidades, dado que actualmente en el mercado esto no se </w:t>
      </w:r>
      <w:proofErr w:type="spellStart"/>
      <w:r w:rsidR="003F6B46" w:rsidRPr="006D5EF3">
        <w:rPr>
          <w:rFonts w:cs="Arial"/>
          <w:i/>
          <w:iCs/>
          <w:sz w:val="22"/>
          <w:szCs w:val="22"/>
        </w:rPr>
        <w:t>esta</w:t>
      </w:r>
      <w:proofErr w:type="spellEnd"/>
      <w:r w:rsidR="003F6B46" w:rsidRPr="006D5EF3">
        <w:rPr>
          <w:rFonts w:cs="Arial"/>
          <w:i/>
          <w:iCs/>
          <w:sz w:val="22"/>
          <w:szCs w:val="22"/>
        </w:rPr>
        <w:t xml:space="preserve"> cumpliendo.</w:t>
      </w:r>
      <w:r>
        <w:rPr>
          <w:rFonts w:cs="Arial"/>
          <w:i/>
          <w:iCs/>
          <w:sz w:val="22"/>
          <w:szCs w:val="22"/>
        </w:rPr>
        <w:t>”</w:t>
      </w:r>
    </w:p>
    <w:p w14:paraId="5627FA6F" w14:textId="77777777" w:rsidR="006D5EF3" w:rsidRDefault="006D5EF3" w:rsidP="003F6B46">
      <w:pPr>
        <w:rPr>
          <w:rFonts w:cs="Arial"/>
          <w:sz w:val="22"/>
          <w:szCs w:val="22"/>
        </w:rPr>
      </w:pPr>
    </w:p>
    <w:p w14:paraId="0784CC23" w14:textId="53F438A8" w:rsidR="006D5EF3" w:rsidRPr="006D5EF3" w:rsidRDefault="006D5EF3" w:rsidP="003F6B46">
      <w:pPr>
        <w:rPr>
          <w:rFonts w:cs="Arial"/>
          <w:b/>
          <w:bCs/>
          <w:sz w:val="22"/>
          <w:szCs w:val="22"/>
        </w:rPr>
      </w:pPr>
      <w:r w:rsidRPr="006D5EF3">
        <w:rPr>
          <w:rFonts w:cs="Arial"/>
          <w:b/>
          <w:bCs/>
          <w:sz w:val="22"/>
          <w:szCs w:val="22"/>
        </w:rPr>
        <w:t>Respuesta:</w:t>
      </w:r>
    </w:p>
    <w:p w14:paraId="1C98A715" w14:textId="77777777" w:rsidR="006D5EF3" w:rsidRDefault="006D5EF3" w:rsidP="003F6B46">
      <w:pPr>
        <w:rPr>
          <w:rFonts w:cs="Arial"/>
          <w:sz w:val="22"/>
          <w:szCs w:val="22"/>
        </w:rPr>
      </w:pPr>
    </w:p>
    <w:p w14:paraId="60B69817" w14:textId="5CE78F18" w:rsidR="006D5EF3" w:rsidRDefault="006D5EF3" w:rsidP="003F6B46">
      <w:pPr>
        <w:rPr>
          <w:rFonts w:cs="Arial"/>
          <w:sz w:val="22"/>
          <w:szCs w:val="22"/>
        </w:rPr>
      </w:pPr>
      <w:r>
        <w:rPr>
          <w:rFonts w:cs="Arial"/>
          <w:sz w:val="22"/>
          <w:szCs w:val="22"/>
        </w:rPr>
        <w:t>En el contrato con interrupciones se deben contemplar las condiciones de incumplimiento del contrato y de compensación, en caso de que se nomine por el comprador una cantidad autorizada por el vendedor y finalmente se entregue una cantidad diferente a la autorizada por el vendedor. Lo anterior en el marco de lo establecido para la ejecución del contrato, en se debe surtir el procedimiento establecido en la resolución, para realizarse antes del inicio del ciclo de nominación de suministro, durante el día de gas y durante el día D+1.</w:t>
      </w:r>
    </w:p>
    <w:p w14:paraId="51F2AAA2" w14:textId="77777777" w:rsidR="006D5EF3" w:rsidRPr="003F6B46" w:rsidRDefault="006D5EF3" w:rsidP="003F6B46">
      <w:pPr>
        <w:rPr>
          <w:rFonts w:cs="Arial"/>
          <w:sz w:val="22"/>
          <w:szCs w:val="22"/>
        </w:rPr>
      </w:pPr>
    </w:p>
    <w:p w14:paraId="7F1EA089" w14:textId="77777777" w:rsidR="007701B7" w:rsidRDefault="007701B7" w:rsidP="003F6B46">
      <w:pPr>
        <w:rPr>
          <w:rFonts w:cs="Arial"/>
          <w:sz w:val="22"/>
          <w:szCs w:val="22"/>
        </w:rPr>
      </w:pPr>
    </w:p>
    <w:p w14:paraId="394B6796" w14:textId="77777777" w:rsidR="007701B7" w:rsidRDefault="003F6B46" w:rsidP="00766731">
      <w:pPr>
        <w:pStyle w:val="Ttulo4"/>
      </w:pPr>
      <w:r w:rsidRPr="003F6B46">
        <w:t>TEBSA</w:t>
      </w:r>
      <w:r w:rsidRPr="003F6B46">
        <w:tab/>
      </w:r>
    </w:p>
    <w:p w14:paraId="3B2CBD85" w14:textId="550198AF" w:rsidR="003F6B46" w:rsidRPr="006D5EF3" w:rsidRDefault="003F6B46" w:rsidP="003F6B46">
      <w:pPr>
        <w:rPr>
          <w:rFonts w:cs="Arial"/>
          <w:i/>
          <w:iCs/>
          <w:sz w:val="22"/>
          <w:szCs w:val="22"/>
        </w:rPr>
      </w:pPr>
      <w:r w:rsidRPr="006D5EF3">
        <w:rPr>
          <w:rFonts w:cs="Arial"/>
          <w:i/>
          <w:iCs/>
          <w:sz w:val="22"/>
          <w:szCs w:val="22"/>
        </w:rPr>
        <w:t>"¿Quién es el encargado de realizar estas validaciones? Como no se indica el periodo de la PTDV, sugerimos que sea la de 1 mes.</w:t>
      </w:r>
    </w:p>
    <w:p w14:paraId="3E6F57FB" w14:textId="77777777" w:rsidR="003F6B46" w:rsidRPr="006D5EF3" w:rsidRDefault="003F6B46" w:rsidP="003F6B46">
      <w:pPr>
        <w:rPr>
          <w:rFonts w:cs="Arial"/>
          <w:i/>
          <w:iCs/>
          <w:sz w:val="22"/>
          <w:szCs w:val="22"/>
        </w:rPr>
      </w:pPr>
    </w:p>
    <w:p w14:paraId="508F08A8" w14:textId="3940DA0C" w:rsidR="003F6B46" w:rsidRPr="006D5EF3" w:rsidRDefault="003F6B46" w:rsidP="003F6B46">
      <w:pPr>
        <w:rPr>
          <w:rFonts w:cs="Arial"/>
          <w:i/>
          <w:iCs/>
          <w:sz w:val="22"/>
          <w:szCs w:val="22"/>
        </w:rPr>
      </w:pPr>
      <w:r w:rsidRPr="006D5EF3">
        <w:rPr>
          <w:rFonts w:cs="Arial"/>
          <w:i/>
          <w:iCs/>
          <w:sz w:val="22"/>
          <w:szCs w:val="22"/>
        </w:rPr>
        <w:t xml:space="preserve">Sugerimos que la CREG sea quien proporcione estos lineamientos. </w:t>
      </w:r>
    </w:p>
    <w:p w14:paraId="35B0E2F6" w14:textId="77777777" w:rsidR="007701B7" w:rsidRPr="006D5EF3" w:rsidRDefault="007701B7" w:rsidP="003F6B46">
      <w:pPr>
        <w:rPr>
          <w:rFonts w:cs="Arial"/>
          <w:i/>
          <w:iCs/>
          <w:sz w:val="22"/>
          <w:szCs w:val="22"/>
        </w:rPr>
      </w:pPr>
    </w:p>
    <w:p w14:paraId="6E906D40" w14:textId="5DFFBFAC" w:rsidR="003F6B46" w:rsidRPr="006D5EF3" w:rsidRDefault="003F6B46" w:rsidP="003F6B46">
      <w:pPr>
        <w:rPr>
          <w:rFonts w:cs="Arial"/>
          <w:i/>
          <w:iCs/>
          <w:sz w:val="22"/>
          <w:szCs w:val="22"/>
        </w:rPr>
      </w:pPr>
      <w:proofErr w:type="gramStart"/>
      <w:r w:rsidRPr="006D5EF3">
        <w:rPr>
          <w:rFonts w:cs="Arial"/>
          <w:i/>
          <w:iCs/>
          <w:sz w:val="22"/>
          <w:szCs w:val="22"/>
        </w:rPr>
        <w:t>Por ejemplo, cantidades de un UNR, del cual comercializador es el administrador del contrato y vende sus excedentes?</w:t>
      </w:r>
      <w:proofErr w:type="gramEnd"/>
      <w:r w:rsidRPr="006D5EF3">
        <w:rPr>
          <w:rFonts w:cs="Arial"/>
          <w:i/>
          <w:iCs/>
          <w:sz w:val="22"/>
          <w:szCs w:val="22"/>
        </w:rPr>
        <w:t>"</w:t>
      </w:r>
    </w:p>
    <w:p w14:paraId="7C74C20F" w14:textId="77777777" w:rsidR="006D5EF3" w:rsidRDefault="006D5EF3" w:rsidP="003F6B46">
      <w:pPr>
        <w:rPr>
          <w:rFonts w:cs="Arial"/>
          <w:sz w:val="22"/>
          <w:szCs w:val="22"/>
        </w:rPr>
      </w:pPr>
    </w:p>
    <w:p w14:paraId="5DC1B876" w14:textId="166D23CE" w:rsidR="006D5EF3" w:rsidRPr="006D5EF3" w:rsidRDefault="006D5EF3" w:rsidP="003F6B46">
      <w:pPr>
        <w:rPr>
          <w:rFonts w:cs="Arial"/>
          <w:b/>
          <w:bCs/>
          <w:sz w:val="22"/>
          <w:szCs w:val="22"/>
        </w:rPr>
      </w:pPr>
      <w:r w:rsidRPr="006D5EF3">
        <w:rPr>
          <w:rFonts w:cs="Arial"/>
          <w:b/>
          <w:bCs/>
          <w:sz w:val="22"/>
          <w:szCs w:val="22"/>
        </w:rPr>
        <w:t>Respuesta:</w:t>
      </w:r>
    </w:p>
    <w:p w14:paraId="3FFA72E3" w14:textId="77777777" w:rsidR="006D5EF3" w:rsidRDefault="006D5EF3" w:rsidP="003F6B46">
      <w:pPr>
        <w:rPr>
          <w:rFonts w:cs="Arial"/>
          <w:sz w:val="22"/>
          <w:szCs w:val="22"/>
        </w:rPr>
      </w:pPr>
    </w:p>
    <w:p w14:paraId="537B347C" w14:textId="7D3507B2" w:rsidR="00354D4C" w:rsidRDefault="00354D4C" w:rsidP="003F6B46">
      <w:pPr>
        <w:rPr>
          <w:rFonts w:cs="Arial"/>
          <w:sz w:val="22"/>
          <w:szCs w:val="22"/>
        </w:rPr>
      </w:pPr>
      <w:r>
        <w:rPr>
          <w:rFonts w:cs="Arial"/>
          <w:sz w:val="22"/>
          <w:szCs w:val="22"/>
        </w:rPr>
        <w:t>Se acoge el comentario.</w:t>
      </w:r>
    </w:p>
    <w:p w14:paraId="0771CE0E" w14:textId="77777777" w:rsidR="00354D4C" w:rsidRDefault="00354D4C" w:rsidP="003F6B46">
      <w:pPr>
        <w:rPr>
          <w:rFonts w:cs="Arial"/>
          <w:sz w:val="22"/>
          <w:szCs w:val="22"/>
        </w:rPr>
      </w:pPr>
    </w:p>
    <w:p w14:paraId="31C539C7" w14:textId="405D2B01" w:rsidR="00354D4C" w:rsidRDefault="00354D4C" w:rsidP="003F6B46">
      <w:pPr>
        <w:rPr>
          <w:rFonts w:cs="Arial"/>
          <w:sz w:val="22"/>
          <w:szCs w:val="22"/>
        </w:rPr>
      </w:pPr>
      <w:r>
        <w:rPr>
          <w:rFonts w:cs="Arial"/>
          <w:sz w:val="22"/>
          <w:szCs w:val="22"/>
        </w:rPr>
        <w:t>En la nueva propuesta se establece, como parte de la verificación que debe hacer el Gestor del Mercado antes de proceder con el registro del contrato con interrupciones, la verificación del cumplimiento de los topes de cantidades a contratar máximas totales establecidos a los vendedores.</w:t>
      </w:r>
    </w:p>
    <w:p w14:paraId="44DE521D" w14:textId="77777777" w:rsidR="00354D4C" w:rsidRDefault="00354D4C" w:rsidP="003F6B46">
      <w:pPr>
        <w:rPr>
          <w:rFonts w:cs="Arial"/>
          <w:sz w:val="22"/>
          <w:szCs w:val="22"/>
        </w:rPr>
      </w:pPr>
    </w:p>
    <w:p w14:paraId="5FD08CB4" w14:textId="7F217E7C" w:rsidR="00354D4C" w:rsidRDefault="00354D4C" w:rsidP="003F6B46">
      <w:pPr>
        <w:rPr>
          <w:rFonts w:cs="Arial"/>
          <w:sz w:val="22"/>
          <w:szCs w:val="22"/>
        </w:rPr>
      </w:pPr>
      <w:r>
        <w:rPr>
          <w:rFonts w:cs="Arial"/>
          <w:sz w:val="22"/>
          <w:szCs w:val="22"/>
        </w:rPr>
        <w:t>La referencia de las cantidades topes parte de las compras del agente, no de sus ventas.</w:t>
      </w:r>
    </w:p>
    <w:p w14:paraId="53627370" w14:textId="77777777" w:rsidR="006D5EF3" w:rsidRPr="003F6B46" w:rsidRDefault="006D5EF3" w:rsidP="003F6B46">
      <w:pPr>
        <w:rPr>
          <w:rFonts w:cs="Arial"/>
          <w:sz w:val="22"/>
          <w:szCs w:val="22"/>
        </w:rPr>
      </w:pPr>
    </w:p>
    <w:p w14:paraId="5609F249" w14:textId="77777777" w:rsidR="007701B7" w:rsidRDefault="007701B7" w:rsidP="003F6B46">
      <w:pPr>
        <w:rPr>
          <w:rFonts w:cs="Arial"/>
          <w:sz w:val="22"/>
          <w:szCs w:val="22"/>
        </w:rPr>
      </w:pPr>
    </w:p>
    <w:p w14:paraId="6E1180A5" w14:textId="77777777" w:rsidR="007701B7" w:rsidRDefault="003F6B46" w:rsidP="00766731">
      <w:pPr>
        <w:pStyle w:val="Ttulo4"/>
      </w:pPr>
      <w:r w:rsidRPr="003F6B46">
        <w:t>TEBSA</w:t>
      </w:r>
      <w:r w:rsidRPr="003F6B46">
        <w:tab/>
      </w:r>
    </w:p>
    <w:p w14:paraId="35BC1C5F" w14:textId="56A0B375" w:rsidR="003F6B46" w:rsidRPr="00054B46" w:rsidRDefault="003F6B46" w:rsidP="003F6B46">
      <w:pPr>
        <w:rPr>
          <w:rFonts w:cs="Arial"/>
          <w:i/>
          <w:iCs/>
          <w:sz w:val="22"/>
          <w:szCs w:val="22"/>
        </w:rPr>
      </w:pPr>
      <w:r w:rsidRPr="00054B46">
        <w:rPr>
          <w:rFonts w:cs="Arial"/>
          <w:i/>
          <w:iCs/>
          <w:sz w:val="22"/>
          <w:szCs w:val="22"/>
        </w:rPr>
        <w:t xml:space="preserve">Permitir registro hasta el último </w:t>
      </w:r>
      <w:proofErr w:type="spellStart"/>
      <w:r w:rsidRPr="00054B46">
        <w:rPr>
          <w:rFonts w:cs="Arial"/>
          <w:i/>
          <w:iCs/>
          <w:sz w:val="22"/>
          <w:szCs w:val="22"/>
        </w:rPr>
        <w:t>dia</w:t>
      </w:r>
      <w:proofErr w:type="spellEnd"/>
      <w:r w:rsidRPr="00054B46">
        <w:rPr>
          <w:rFonts w:cs="Arial"/>
          <w:i/>
          <w:iCs/>
          <w:sz w:val="22"/>
          <w:szCs w:val="22"/>
        </w:rPr>
        <w:t xml:space="preserve"> calendario anterior al inicio de las entregas,</w:t>
      </w:r>
    </w:p>
    <w:p w14:paraId="6478DF09" w14:textId="77777777" w:rsidR="007701B7" w:rsidRDefault="007701B7" w:rsidP="003F6B46">
      <w:pPr>
        <w:rPr>
          <w:rFonts w:cs="Arial"/>
          <w:sz w:val="22"/>
          <w:szCs w:val="22"/>
        </w:rPr>
      </w:pPr>
    </w:p>
    <w:p w14:paraId="1099C531" w14:textId="55CCAF49" w:rsidR="007701B7" w:rsidRPr="00054B46" w:rsidRDefault="00054B46" w:rsidP="003F6B46">
      <w:pPr>
        <w:rPr>
          <w:rFonts w:cs="Arial"/>
          <w:b/>
          <w:bCs/>
          <w:sz w:val="22"/>
          <w:szCs w:val="22"/>
        </w:rPr>
      </w:pPr>
      <w:r w:rsidRPr="00054B46">
        <w:rPr>
          <w:rFonts w:cs="Arial"/>
          <w:b/>
          <w:bCs/>
          <w:sz w:val="22"/>
          <w:szCs w:val="22"/>
        </w:rPr>
        <w:t>Respuesta:</w:t>
      </w:r>
    </w:p>
    <w:p w14:paraId="062AA987" w14:textId="77777777" w:rsidR="00054B46" w:rsidRDefault="00054B46" w:rsidP="003F6B46">
      <w:pPr>
        <w:rPr>
          <w:rFonts w:cs="Arial"/>
          <w:sz w:val="22"/>
          <w:szCs w:val="22"/>
        </w:rPr>
      </w:pPr>
    </w:p>
    <w:p w14:paraId="0425DB30" w14:textId="62B65E46" w:rsidR="00054B46" w:rsidRDefault="00054B46"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_Ref133332942 \r \h </w:instrText>
      </w:r>
      <w:r>
        <w:rPr>
          <w:rFonts w:cs="Arial"/>
          <w:sz w:val="22"/>
          <w:szCs w:val="22"/>
        </w:rPr>
      </w:r>
      <w:r>
        <w:rPr>
          <w:rFonts w:cs="Arial"/>
          <w:sz w:val="22"/>
          <w:szCs w:val="22"/>
        </w:rPr>
        <w:fldChar w:fldCharType="separate"/>
      </w:r>
      <w:r>
        <w:rPr>
          <w:rFonts w:cs="Arial"/>
          <w:sz w:val="22"/>
          <w:szCs w:val="22"/>
        </w:rPr>
        <w:t>32.15.1.2</w:t>
      </w:r>
      <w:r>
        <w:rPr>
          <w:rFonts w:cs="Arial"/>
          <w:sz w:val="22"/>
          <w:szCs w:val="22"/>
        </w:rPr>
        <w:fldChar w:fldCharType="end"/>
      </w:r>
      <w:r>
        <w:rPr>
          <w:rFonts w:cs="Arial"/>
          <w:sz w:val="22"/>
          <w:szCs w:val="22"/>
        </w:rPr>
        <w:t>.</w:t>
      </w:r>
    </w:p>
    <w:p w14:paraId="498EC5E1" w14:textId="77777777" w:rsidR="00054B46" w:rsidRDefault="00054B46" w:rsidP="003F6B46">
      <w:pPr>
        <w:rPr>
          <w:rFonts w:cs="Arial"/>
          <w:sz w:val="22"/>
          <w:szCs w:val="22"/>
        </w:rPr>
      </w:pPr>
    </w:p>
    <w:p w14:paraId="30D508F2" w14:textId="77777777" w:rsidR="00054B46" w:rsidRDefault="00054B46" w:rsidP="003F6B46">
      <w:pPr>
        <w:rPr>
          <w:rFonts w:cs="Arial"/>
          <w:sz w:val="22"/>
          <w:szCs w:val="22"/>
        </w:rPr>
      </w:pPr>
    </w:p>
    <w:p w14:paraId="78AC193E" w14:textId="77777777" w:rsidR="007701B7" w:rsidRDefault="003F6B46" w:rsidP="00C72898">
      <w:pPr>
        <w:pStyle w:val="Ttulo2"/>
      </w:pPr>
      <w:bookmarkStart w:id="1001" w:name="_Toc140506554"/>
      <w:r w:rsidRPr="003F6B46">
        <w:t>TERPEL</w:t>
      </w:r>
      <w:bookmarkEnd w:id="1001"/>
      <w:r w:rsidRPr="003F6B46">
        <w:tab/>
      </w:r>
    </w:p>
    <w:p w14:paraId="4769E94F" w14:textId="77777777" w:rsidR="00766731" w:rsidRDefault="00766731" w:rsidP="00766731">
      <w:pPr>
        <w:pStyle w:val="Ttulo4"/>
      </w:pPr>
      <w:r w:rsidRPr="003F6B46">
        <w:t>TERPEL</w:t>
      </w:r>
      <w:r w:rsidRPr="003F6B46">
        <w:tab/>
      </w:r>
    </w:p>
    <w:p w14:paraId="0C99468D" w14:textId="167750AF" w:rsidR="003F6B46" w:rsidRPr="00354D4C" w:rsidRDefault="001F1FA8" w:rsidP="003F6B46">
      <w:pPr>
        <w:rPr>
          <w:rFonts w:cs="Arial"/>
          <w:i/>
          <w:iCs/>
          <w:sz w:val="22"/>
          <w:szCs w:val="22"/>
        </w:rPr>
      </w:pPr>
      <w:r>
        <w:rPr>
          <w:rFonts w:cs="Arial"/>
          <w:i/>
          <w:iCs/>
          <w:sz w:val="22"/>
          <w:szCs w:val="22"/>
        </w:rPr>
        <w:t>“</w:t>
      </w:r>
      <w:r w:rsidR="003F6B46" w:rsidRPr="00354D4C">
        <w:rPr>
          <w:rFonts w:cs="Arial"/>
          <w:i/>
          <w:iCs/>
          <w:sz w:val="22"/>
          <w:szCs w:val="22"/>
        </w:rPr>
        <w:t>Sugerimos extender a un máximo de 3 meses la duración de los contratos para los vendedores del mercado primario.</w:t>
      </w:r>
      <w:r>
        <w:rPr>
          <w:rFonts w:cs="Arial"/>
          <w:i/>
          <w:iCs/>
          <w:sz w:val="22"/>
          <w:szCs w:val="22"/>
        </w:rPr>
        <w:t>”</w:t>
      </w:r>
    </w:p>
    <w:p w14:paraId="3497A5A2" w14:textId="77777777" w:rsidR="00354D4C" w:rsidRDefault="00354D4C" w:rsidP="003F6B46">
      <w:pPr>
        <w:rPr>
          <w:rFonts w:cs="Arial"/>
          <w:sz w:val="22"/>
          <w:szCs w:val="22"/>
        </w:rPr>
      </w:pPr>
    </w:p>
    <w:p w14:paraId="54C9EA88" w14:textId="70126548" w:rsidR="00354D4C" w:rsidRPr="00354D4C" w:rsidRDefault="00354D4C" w:rsidP="003F6B46">
      <w:pPr>
        <w:rPr>
          <w:rFonts w:cs="Arial"/>
          <w:b/>
          <w:bCs/>
          <w:sz w:val="22"/>
          <w:szCs w:val="22"/>
        </w:rPr>
      </w:pPr>
      <w:r w:rsidRPr="00354D4C">
        <w:rPr>
          <w:rFonts w:cs="Arial"/>
          <w:b/>
          <w:bCs/>
          <w:sz w:val="22"/>
          <w:szCs w:val="22"/>
        </w:rPr>
        <w:t>Respuesta:</w:t>
      </w:r>
    </w:p>
    <w:p w14:paraId="649B79C2" w14:textId="77777777" w:rsidR="00354D4C" w:rsidRDefault="00354D4C" w:rsidP="003F6B46">
      <w:pPr>
        <w:rPr>
          <w:rFonts w:cs="Arial"/>
          <w:sz w:val="22"/>
          <w:szCs w:val="22"/>
        </w:rPr>
      </w:pPr>
    </w:p>
    <w:p w14:paraId="43CAA3AB" w14:textId="1C26D510" w:rsidR="00354D4C" w:rsidRDefault="00354D4C"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_Ref133331267 \r \h </w:instrText>
      </w:r>
      <w:r>
        <w:rPr>
          <w:rFonts w:cs="Arial"/>
          <w:sz w:val="22"/>
          <w:szCs w:val="22"/>
        </w:rPr>
      </w:r>
      <w:r>
        <w:rPr>
          <w:rFonts w:cs="Arial"/>
          <w:sz w:val="22"/>
          <w:szCs w:val="22"/>
        </w:rPr>
        <w:fldChar w:fldCharType="separate"/>
      </w:r>
      <w:r>
        <w:rPr>
          <w:rFonts w:cs="Arial"/>
          <w:sz w:val="22"/>
          <w:szCs w:val="22"/>
        </w:rPr>
        <w:t>32.1.1.1</w:t>
      </w:r>
      <w:r>
        <w:rPr>
          <w:rFonts w:cs="Arial"/>
          <w:sz w:val="22"/>
          <w:szCs w:val="22"/>
        </w:rPr>
        <w:fldChar w:fldCharType="end"/>
      </w:r>
      <w:r>
        <w:rPr>
          <w:rFonts w:cs="Arial"/>
          <w:sz w:val="22"/>
          <w:szCs w:val="22"/>
        </w:rPr>
        <w:t>.</w:t>
      </w:r>
    </w:p>
    <w:p w14:paraId="220262FA" w14:textId="77777777" w:rsidR="00354D4C" w:rsidRPr="003F6B46" w:rsidRDefault="00354D4C" w:rsidP="003F6B46">
      <w:pPr>
        <w:rPr>
          <w:rFonts w:cs="Arial"/>
          <w:sz w:val="22"/>
          <w:szCs w:val="22"/>
        </w:rPr>
      </w:pPr>
    </w:p>
    <w:p w14:paraId="336B0FFE" w14:textId="77777777" w:rsidR="007701B7" w:rsidRDefault="007701B7" w:rsidP="003F6B46">
      <w:pPr>
        <w:rPr>
          <w:rFonts w:cs="Arial"/>
          <w:sz w:val="22"/>
          <w:szCs w:val="22"/>
        </w:rPr>
      </w:pPr>
    </w:p>
    <w:p w14:paraId="2659A89B" w14:textId="77777777" w:rsidR="007701B7" w:rsidRDefault="003F6B46" w:rsidP="00766731">
      <w:pPr>
        <w:pStyle w:val="Ttulo4"/>
      </w:pPr>
      <w:r w:rsidRPr="003F6B46">
        <w:t>TERPEL</w:t>
      </w:r>
      <w:r w:rsidRPr="003F6B46">
        <w:tab/>
      </w:r>
    </w:p>
    <w:p w14:paraId="6F34411F" w14:textId="24770C89" w:rsidR="003F6B46" w:rsidRPr="00354D4C" w:rsidRDefault="001F1FA8" w:rsidP="003F6B46">
      <w:pPr>
        <w:rPr>
          <w:rFonts w:cs="Arial"/>
          <w:i/>
          <w:iCs/>
          <w:sz w:val="22"/>
          <w:szCs w:val="22"/>
        </w:rPr>
      </w:pPr>
      <w:r>
        <w:rPr>
          <w:rFonts w:cs="Arial"/>
          <w:i/>
          <w:iCs/>
          <w:sz w:val="22"/>
          <w:szCs w:val="22"/>
        </w:rPr>
        <w:t>“</w:t>
      </w:r>
      <w:r w:rsidR="003F6B46" w:rsidRPr="00354D4C">
        <w:rPr>
          <w:rFonts w:cs="Arial"/>
          <w:i/>
          <w:iCs/>
          <w:sz w:val="22"/>
          <w:szCs w:val="22"/>
        </w:rPr>
        <w:t>Sugerimos no establecer topes para las cantidades que podrán ser contratadas mediante contratos con interrupciones. Como fue mencionado anteriormente, no es consistente la definición de contrato con interrupciones con respaldo físico, de modo que no debería atarse a una PTDV, o a un porcentaje de las cantidades contratadas con respaldo físico.</w:t>
      </w:r>
      <w:r>
        <w:rPr>
          <w:rFonts w:cs="Arial"/>
          <w:i/>
          <w:iCs/>
          <w:sz w:val="22"/>
          <w:szCs w:val="22"/>
        </w:rPr>
        <w:t>”</w:t>
      </w:r>
    </w:p>
    <w:p w14:paraId="5E7575A4" w14:textId="77777777" w:rsidR="00354D4C" w:rsidRDefault="00354D4C" w:rsidP="003F6B46">
      <w:pPr>
        <w:rPr>
          <w:rFonts w:cs="Arial"/>
          <w:sz w:val="22"/>
          <w:szCs w:val="22"/>
        </w:rPr>
      </w:pPr>
    </w:p>
    <w:p w14:paraId="31F356C0" w14:textId="0D954582" w:rsidR="00354D4C" w:rsidRPr="00354D4C" w:rsidRDefault="00354D4C" w:rsidP="003F6B46">
      <w:pPr>
        <w:rPr>
          <w:rFonts w:cs="Arial"/>
          <w:b/>
          <w:bCs/>
          <w:sz w:val="22"/>
          <w:szCs w:val="22"/>
        </w:rPr>
      </w:pPr>
      <w:r w:rsidRPr="00354D4C">
        <w:rPr>
          <w:rFonts w:cs="Arial"/>
          <w:b/>
          <w:bCs/>
          <w:sz w:val="22"/>
          <w:szCs w:val="22"/>
        </w:rPr>
        <w:t>Respuesta:</w:t>
      </w:r>
    </w:p>
    <w:p w14:paraId="156C1297" w14:textId="77777777" w:rsidR="00354D4C" w:rsidRDefault="00354D4C" w:rsidP="003F6B46">
      <w:pPr>
        <w:rPr>
          <w:rFonts w:cs="Arial"/>
          <w:sz w:val="22"/>
          <w:szCs w:val="22"/>
        </w:rPr>
      </w:pPr>
    </w:p>
    <w:p w14:paraId="42D82305" w14:textId="46B8A77A" w:rsidR="00354D4C" w:rsidRDefault="00354D4C"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_Ref133327912 \r \h </w:instrText>
      </w:r>
      <w:r>
        <w:rPr>
          <w:rFonts w:cs="Arial"/>
          <w:sz w:val="22"/>
          <w:szCs w:val="22"/>
        </w:rPr>
      </w:r>
      <w:r>
        <w:rPr>
          <w:rFonts w:cs="Arial"/>
          <w:sz w:val="22"/>
          <w:szCs w:val="22"/>
        </w:rPr>
        <w:fldChar w:fldCharType="separate"/>
      </w:r>
      <w:r>
        <w:rPr>
          <w:rFonts w:cs="Arial"/>
          <w:sz w:val="22"/>
          <w:szCs w:val="22"/>
        </w:rPr>
        <w:t>32.1.1.5</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_Ref133328708 \r \h </w:instrText>
      </w:r>
      <w:r>
        <w:rPr>
          <w:rFonts w:cs="Arial"/>
          <w:sz w:val="22"/>
          <w:szCs w:val="22"/>
        </w:rPr>
      </w:r>
      <w:r>
        <w:rPr>
          <w:rFonts w:cs="Arial"/>
          <w:sz w:val="22"/>
          <w:szCs w:val="22"/>
        </w:rPr>
        <w:fldChar w:fldCharType="separate"/>
      </w:r>
      <w:r>
        <w:rPr>
          <w:rFonts w:cs="Arial"/>
          <w:sz w:val="22"/>
          <w:szCs w:val="22"/>
        </w:rPr>
        <w:t>32.3.1.1</w:t>
      </w:r>
      <w:r>
        <w:rPr>
          <w:rFonts w:cs="Arial"/>
          <w:sz w:val="22"/>
          <w:szCs w:val="22"/>
        </w:rPr>
        <w:fldChar w:fldCharType="end"/>
      </w:r>
      <w:r>
        <w:rPr>
          <w:rFonts w:cs="Arial"/>
          <w:sz w:val="22"/>
          <w:szCs w:val="22"/>
        </w:rPr>
        <w:t>, entre otras.</w:t>
      </w:r>
    </w:p>
    <w:p w14:paraId="303D71F5" w14:textId="77777777" w:rsidR="00354D4C" w:rsidRPr="003F6B46" w:rsidRDefault="00354D4C" w:rsidP="003F6B46">
      <w:pPr>
        <w:rPr>
          <w:rFonts w:cs="Arial"/>
          <w:sz w:val="22"/>
          <w:szCs w:val="22"/>
        </w:rPr>
      </w:pPr>
    </w:p>
    <w:p w14:paraId="72DB65CA" w14:textId="77777777" w:rsidR="007701B7" w:rsidRDefault="007701B7" w:rsidP="003F6B46">
      <w:pPr>
        <w:rPr>
          <w:rFonts w:cs="Arial"/>
          <w:sz w:val="22"/>
          <w:szCs w:val="22"/>
        </w:rPr>
      </w:pPr>
    </w:p>
    <w:p w14:paraId="068BEBB7" w14:textId="77777777" w:rsidR="007701B7" w:rsidRDefault="003F6B46" w:rsidP="00766731">
      <w:pPr>
        <w:pStyle w:val="Ttulo4"/>
      </w:pPr>
      <w:r w:rsidRPr="003F6B46">
        <w:t>TERPEL</w:t>
      </w:r>
      <w:r w:rsidRPr="003F6B46">
        <w:tab/>
      </w:r>
    </w:p>
    <w:p w14:paraId="42B3416A" w14:textId="65663214" w:rsidR="003F6B46" w:rsidRPr="00354D4C" w:rsidRDefault="001F1FA8" w:rsidP="003F6B46">
      <w:pPr>
        <w:rPr>
          <w:rFonts w:cs="Arial"/>
          <w:i/>
          <w:iCs/>
          <w:sz w:val="22"/>
          <w:szCs w:val="22"/>
        </w:rPr>
      </w:pPr>
      <w:r>
        <w:rPr>
          <w:rFonts w:cs="Arial"/>
          <w:i/>
          <w:iCs/>
          <w:sz w:val="22"/>
          <w:szCs w:val="22"/>
        </w:rPr>
        <w:t>“</w:t>
      </w:r>
      <w:r w:rsidRPr="00354D4C">
        <w:rPr>
          <w:rFonts w:cs="Arial"/>
          <w:i/>
          <w:iCs/>
          <w:sz w:val="22"/>
          <w:szCs w:val="22"/>
        </w:rPr>
        <w:t>¿Si un contrato inicia antes de que acabe el año de gas, necesariamente debe terminar en ese año de gas o puede terminar en el siguiente año de gas?</w:t>
      </w:r>
      <w:r w:rsidR="003F6B46" w:rsidRPr="00354D4C">
        <w:rPr>
          <w:rFonts w:cs="Arial"/>
          <w:i/>
          <w:iCs/>
          <w:sz w:val="22"/>
          <w:szCs w:val="22"/>
        </w:rPr>
        <w:t xml:space="preserve">  </w:t>
      </w:r>
      <w:proofErr w:type="gramStart"/>
      <w:r w:rsidR="003F6B46" w:rsidRPr="00354D4C">
        <w:rPr>
          <w:rFonts w:cs="Arial"/>
          <w:i/>
          <w:iCs/>
          <w:sz w:val="22"/>
          <w:szCs w:val="22"/>
        </w:rPr>
        <w:t>En ese caso le aplicaría indexación al precio en el momento de cambio de año de gas?</w:t>
      </w:r>
      <w:proofErr w:type="gramEnd"/>
      <w:r w:rsidR="003F6B46" w:rsidRPr="00354D4C">
        <w:rPr>
          <w:rFonts w:cs="Arial"/>
          <w:i/>
          <w:iCs/>
          <w:sz w:val="22"/>
          <w:szCs w:val="22"/>
        </w:rPr>
        <w:t xml:space="preserve"> </w:t>
      </w:r>
      <w:r w:rsidRPr="00354D4C">
        <w:rPr>
          <w:rFonts w:cs="Arial"/>
          <w:i/>
          <w:iCs/>
          <w:sz w:val="22"/>
          <w:szCs w:val="22"/>
        </w:rPr>
        <w:t>Ejemplo, Si un contrato se suscribe en junio del año de gas, ¿la duración máxima sería hasta noviembre de ese mismo año de gas o puede llegar hasta el siguiente año de gas?</w:t>
      </w:r>
      <w:r w:rsidR="003F6B46" w:rsidRPr="00354D4C">
        <w:rPr>
          <w:rFonts w:cs="Arial"/>
          <w:i/>
          <w:iCs/>
          <w:sz w:val="22"/>
          <w:szCs w:val="22"/>
        </w:rPr>
        <w:t>, ¿aplicaría indexación en diciembre?</w:t>
      </w:r>
      <w:r>
        <w:rPr>
          <w:rFonts w:cs="Arial"/>
          <w:i/>
          <w:iCs/>
          <w:sz w:val="22"/>
          <w:szCs w:val="22"/>
        </w:rPr>
        <w:t>”</w:t>
      </w:r>
      <w:r w:rsidR="003F6B46" w:rsidRPr="00354D4C">
        <w:rPr>
          <w:rFonts w:cs="Arial"/>
          <w:i/>
          <w:iCs/>
          <w:sz w:val="22"/>
          <w:szCs w:val="22"/>
        </w:rPr>
        <w:t xml:space="preserve"> </w:t>
      </w:r>
    </w:p>
    <w:p w14:paraId="0A3E1258" w14:textId="77777777" w:rsidR="00354D4C" w:rsidRDefault="00354D4C" w:rsidP="003F6B46">
      <w:pPr>
        <w:rPr>
          <w:rFonts w:cs="Arial"/>
          <w:sz w:val="22"/>
          <w:szCs w:val="22"/>
        </w:rPr>
      </w:pPr>
    </w:p>
    <w:p w14:paraId="1594133B" w14:textId="5D9E32A0" w:rsidR="00354D4C" w:rsidRPr="00354D4C" w:rsidRDefault="00354D4C" w:rsidP="003F6B46">
      <w:pPr>
        <w:rPr>
          <w:rFonts w:cs="Arial"/>
          <w:b/>
          <w:bCs/>
          <w:sz w:val="22"/>
          <w:szCs w:val="22"/>
        </w:rPr>
      </w:pPr>
      <w:r w:rsidRPr="00354D4C">
        <w:rPr>
          <w:rFonts w:cs="Arial"/>
          <w:b/>
          <w:bCs/>
          <w:sz w:val="22"/>
          <w:szCs w:val="22"/>
        </w:rPr>
        <w:t>Respuesta:</w:t>
      </w:r>
    </w:p>
    <w:p w14:paraId="09D594F7" w14:textId="77777777" w:rsidR="00354D4C" w:rsidRDefault="00354D4C" w:rsidP="003F6B46">
      <w:pPr>
        <w:rPr>
          <w:rFonts w:cs="Arial"/>
          <w:sz w:val="22"/>
          <w:szCs w:val="22"/>
        </w:rPr>
      </w:pPr>
    </w:p>
    <w:p w14:paraId="311B083A" w14:textId="67F5508E" w:rsidR="00354D4C" w:rsidRPr="003F6B46" w:rsidRDefault="00354D4C"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_Ref133325291 \r \h </w:instrText>
      </w:r>
      <w:r>
        <w:rPr>
          <w:rFonts w:cs="Arial"/>
          <w:sz w:val="22"/>
          <w:szCs w:val="22"/>
        </w:rPr>
      </w:r>
      <w:r>
        <w:rPr>
          <w:rFonts w:cs="Arial"/>
          <w:sz w:val="22"/>
          <w:szCs w:val="22"/>
        </w:rPr>
        <w:fldChar w:fldCharType="separate"/>
      </w:r>
      <w:r>
        <w:rPr>
          <w:rFonts w:cs="Arial"/>
          <w:sz w:val="22"/>
          <w:szCs w:val="22"/>
        </w:rPr>
        <w:t>32.1.1.2</w:t>
      </w:r>
      <w:r>
        <w:rPr>
          <w:rFonts w:cs="Arial"/>
          <w:sz w:val="22"/>
          <w:szCs w:val="22"/>
        </w:rPr>
        <w:fldChar w:fldCharType="end"/>
      </w:r>
      <w:r>
        <w:rPr>
          <w:rFonts w:cs="Arial"/>
          <w:sz w:val="22"/>
          <w:szCs w:val="22"/>
        </w:rPr>
        <w:t>.</w:t>
      </w:r>
    </w:p>
    <w:p w14:paraId="38DD1579" w14:textId="77777777" w:rsidR="007701B7" w:rsidRDefault="007701B7" w:rsidP="003F6B46">
      <w:pPr>
        <w:rPr>
          <w:rFonts w:cs="Arial"/>
          <w:sz w:val="22"/>
          <w:szCs w:val="22"/>
        </w:rPr>
      </w:pPr>
    </w:p>
    <w:p w14:paraId="7859179D" w14:textId="77777777" w:rsidR="00354D4C" w:rsidRDefault="00354D4C" w:rsidP="003F6B46">
      <w:pPr>
        <w:rPr>
          <w:rFonts w:cs="Arial"/>
          <w:sz w:val="22"/>
          <w:szCs w:val="22"/>
        </w:rPr>
      </w:pPr>
    </w:p>
    <w:p w14:paraId="18FB81D1" w14:textId="77777777" w:rsidR="007701B7" w:rsidRDefault="003F6B46" w:rsidP="00766731">
      <w:pPr>
        <w:pStyle w:val="Ttulo4"/>
      </w:pPr>
      <w:r w:rsidRPr="003F6B46">
        <w:t>TERPEL</w:t>
      </w:r>
      <w:r w:rsidRPr="003F6B46">
        <w:tab/>
      </w:r>
    </w:p>
    <w:p w14:paraId="71E162C9" w14:textId="59D07894" w:rsidR="003F6B46" w:rsidRPr="00354D4C" w:rsidRDefault="001F1FA8" w:rsidP="003F6B46">
      <w:pPr>
        <w:rPr>
          <w:rFonts w:cs="Arial"/>
          <w:i/>
          <w:iCs/>
          <w:sz w:val="22"/>
          <w:szCs w:val="22"/>
        </w:rPr>
      </w:pPr>
      <w:r>
        <w:rPr>
          <w:rFonts w:cs="Arial"/>
          <w:i/>
          <w:iCs/>
          <w:sz w:val="22"/>
          <w:szCs w:val="22"/>
        </w:rPr>
        <w:t>“</w:t>
      </w:r>
      <w:r w:rsidR="003F6B46" w:rsidRPr="00354D4C">
        <w:rPr>
          <w:rFonts w:cs="Arial"/>
          <w:i/>
          <w:iCs/>
          <w:sz w:val="22"/>
          <w:szCs w:val="22"/>
        </w:rPr>
        <w:t xml:space="preserve">En el caso de que el plazo de ejecución de un contrato inicie en un año de gas y termine en otro año de gas, ¿aplica la indexación regulatoria en el momento de cambio de año de gas? </w:t>
      </w:r>
      <w:r w:rsidRPr="00354D4C">
        <w:rPr>
          <w:rFonts w:cs="Arial"/>
          <w:i/>
          <w:iCs/>
          <w:sz w:val="22"/>
          <w:szCs w:val="22"/>
        </w:rPr>
        <w:t>¿O la indexación regulatoria se considera una modificación al precio y no puede aplicarse?</w:t>
      </w:r>
      <w:r>
        <w:rPr>
          <w:rFonts w:cs="Arial"/>
          <w:i/>
          <w:iCs/>
          <w:sz w:val="22"/>
          <w:szCs w:val="22"/>
        </w:rPr>
        <w:t>”</w:t>
      </w:r>
    </w:p>
    <w:p w14:paraId="4E1149FA" w14:textId="77777777" w:rsidR="00354D4C" w:rsidRDefault="00354D4C" w:rsidP="003F6B46">
      <w:pPr>
        <w:rPr>
          <w:rFonts w:cs="Arial"/>
          <w:sz w:val="22"/>
          <w:szCs w:val="22"/>
        </w:rPr>
      </w:pPr>
    </w:p>
    <w:p w14:paraId="797129D0" w14:textId="79A68FA5" w:rsidR="00354D4C" w:rsidRPr="00354D4C" w:rsidRDefault="00354D4C" w:rsidP="003F6B46">
      <w:pPr>
        <w:rPr>
          <w:rFonts w:cs="Arial"/>
          <w:b/>
          <w:bCs/>
          <w:sz w:val="22"/>
          <w:szCs w:val="22"/>
        </w:rPr>
      </w:pPr>
      <w:r w:rsidRPr="00354D4C">
        <w:rPr>
          <w:rFonts w:cs="Arial"/>
          <w:b/>
          <w:bCs/>
          <w:sz w:val="22"/>
          <w:szCs w:val="22"/>
        </w:rPr>
        <w:t>Respuesta:</w:t>
      </w:r>
    </w:p>
    <w:p w14:paraId="3DD2D924" w14:textId="77777777" w:rsidR="00354D4C" w:rsidRDefault="00354D4C" w:rsidP="003F6B46">
      <w:pPr>
        <w:rPr>
          <w:rFonts w:cs="Arial"/>
          <w:sz w:val="22"/>
          <w:szCs w:val="22"/>
        </w:rPr>
      </w:pPr>
    </w:p>
    <w:p w14:paraId="294A0D3F" w14:textId="77777777" w:rsidR="00354D4C" w:rsidRDefault="00354D4C" w:rsidP="00354D4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_Ref133325291 \r \h </w:instrText>
      </w:r>
      <w:r>
        <w:rPr>
          <w:rFonts w:cs="Arial"/>
          <w:sz w:val="22"/>
          <w:szCs w:val="22"/>
        </w:rPr>
      </w:r>
      <w:r>
        <w:rPr>
          <w:rFonts w:cs="Arial"/>
          <w:sz w:val="22"/>
          <w:szCs w:val="22"/>
        </w:rPr>
        <w:fldChar w:fldCharType="separate"/>
      </w:r>
      <w:r>
        <w:rPr>
          <w:rFonts w:cs="Arial"/>
          <w:sz w:val="22"/>
          <w:szCs w:val="22"/>
        </w:rPr>
        <w:t>32.1.1.2</w:t>
      </w:r>
      <w:r>
        <w:rPr>
          <w:rFonts w:cs="Arial"/>
          <w:sz w:val="22"/>
          <w:szCs w:val="22"/>
        </w:rPr>
        <w:fldChar w:fldCharType="end"/>
      </w:r>
      <w:r>
        <w:rPr>
          <w:rFonts w:cs="Arial"/>
          <w:sz w:val="22"/>
          <w:szCs w:val="22"/>
        </w:rPr>
        <w:t>.</w:t>
      </w:r>
    </w:p>
    <w:p w14:paraId="1CE041C1" w14:textId="77777777" w:rsidR="00354D4C" w:rsidRPr="003F6B46" w:rsidRDefault="00354D4C" w:rsidP="003F6B46">
      <w:pPr>
        <w:rPr>
          <w:rFonts w:cs="Arial"/>
          <w:sz w:val="22"/>
          <w:szCs w:val="22"/>
        </w:rPr>
      </w:pPr>
    </w:p>
    <w:p w14:paraId="71A83B36" w14:textId="77777777" w:rsidR="009E51E2" w:rsidRDefault="009E51E2" w:rsidP="003F6B46">
      <w:pPr>
        <w:rPr>
          <w:rFonts w:cs="Arial"/>
          <w:sz w:val="22"/>
          <w:szCs w:val="22"/>
        </w:rPr>
      </w:pPr>
    </w:p>
    <w:p w14:paraId="067813F9" w14:textId="77777777" w:rsidR="009E51E2" w:rsidRDefault="003F6B46" w:rsidP="00766731">
      <w:pPr>
        <w:pStyle w:val="Ttulo4"/>
      </w:pPr>
      <w:r w:rsidRPr="003F6B46">
        <w:t>TERPEL</w:t>
      </w:r>
      <w:r w:rsidRPr="003F6B46">
        <w:tab/>
      </w:r>
    </w:p>
    <w:p w14:paraId="6E97ACB5" w14:textId="22945623" w:rsidR="003F6B46" w:rsidRPr="00354D4C" w:rsidRDefault="001F1FA8" w:rsidP="003F6B46">
      <w:pPr>
        <w:rPr>
          <w:rFonts w:cs="Arial"/>
          <w:i/>
          <w:iCs/>
          <w:sz w:val="22"/>
          <w:szCs w:val="22"/>
        </w:rPr>
      </w:pPr>
      <w:r>
        <w:rPr>
          <w:rFonts w:cs="Arial"/>
          <w:i/>
          <w:iCs/>
          <w:sz w:val="22"/>
          <w:szCs w:val="22"/>
        </w:rPr>
        <w:t>“</w:t>
      </w:r>
      <w:r w:rsidR="003F6B46" w:rsidRPr="00354D4C">
        <w:rPr>
          <w:rFonts w:cs="Arial"/>
          <w:i/>
          <w:iCs/>
          <w:sz w:val="22"/>
          <w:szCs w:val="22"/>
        </w:rPr>
        <w:t>¿El contrato necesariamente debe terminar en el mismo año de gas en que inició?</w:t>
      </w:r>
      <w:r>
        <w:rPr>
          <w:rFonts w:cs="Arial"/>
          <w:i/>
          <w:iCs/>
          <w:sz w:val="22"/>
          <w:szCs w:val="22"/>
        </w:rPr>
        <w:t>”</w:t>
      </w:r>
    </w:p>
    <w:p w14:paraId="08E9E00B" w14:textId="77777777" w:rsidR="00354D4C" w:rsidRDefault="00354D4C" w:rsidP="003F6B46">
      <w:pPr>
        <w:rPr>
          <w:rFonts w:cs="Arial"/>
          <w:sz w:val="22"/>
          <w:szCs w:val="22"/>
        </w:rPr>
      </w:pPr>
    </w:p>
    <w:p w14:paraId="5921F8EC" w14:textId="39D304FF" w:rsidR="00354D4C" w:rsidRPr="00354D4C" w:rsidRDefault="00354D4C" w:rsidP="003F6B46">
      <w:pPr>
        <w:rPr>
          <w:rFonts w:cs="Arial"/>
          <w:b/>
          <w:bCs/>
          <w:sz w:val="22"/>
          <w:szCs w:val="22"/>
        </w:rPr>
      </w:pPr>
      <w:r w:rsidRPr="00354D4C">
        <w:rPr>
          <w:rFonts w:cs="Arial"/>
          <w:b/>
          <w:bCs/>
          <w:sz w:val="22"/>
          <w:szCs w:val="22"/>
        </w:rPr>
        <w:t>Respuesta:</w:t>
      </w:r>
    </w:p>
    <w:p w14:paraId="3A2496BB" w14:textId="77777777" w:rsidR="00354D4C" w:rsidRDefault="00354D4C" w:rsidP="003F6B46">
      <w:pPr>
        <w:rPr>
          <w:rFonts w:cs="Arial"/>
          <w:sz w:val="22"/>
          <w:szCs w:val="22"/>
        </w:rPr>
      </w:pPr>
    </w:p>
    <w:p w14:paraId="1C9851FC" w14:textId="45F84594" w:rsidR="00354D4C" w:rsidRPr="003F6B46" w:rsidRDefault="00354D4C"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_Ref133333717 \r \h </w:instrText>
      </w:r>
      <w:r>
        <w:rPr>
          <w:rFonts w:cs="Arial"/>
          <w:sz w:val="22"/>
          <w:szCs w:val="22"/>
        </w:rPr>
      </w:r>
      <w:r>
        <w:rPr>
          <w:rFonts w:cs="Arial"/>
          <w:sz w:val="22"/>
          <w:szCs w:val="22"/>
        </w:rPr>
        <w:fldChar w:fldCharType="separate"/>
      </w:r>
      <w:r>
        <w:rPr>
          <w:rFonts w:cs="Arial"/>
          <w:sz w:val="22"/>
          <w:szCs w:val="22"/>
        </w:rPr>
        <w:t>32.1.1.4</w:t>
      </w:r>
      <w:r>
        <w:rPr>
          <w:rFonts w:cs="Arial"/>
          <w:sz w:val="22"/>
          <w:szCs w:val="22"/>
        </w:rPr>
        <w:fldChar w:fldCharType="end"/>
      </w:r>
      <w:r>
        <w:rPr>
          <w:rFonts w:cs="Arial"/>
          <w:sz w:val="22"/>
          <w:szCs w:val="22"/>
        </w:rPr>
        <w:t>.</w:t>
      </w:r>
    </w:p>
    <w:p w14:paraId="5240ABCB" w14:textId="77777777" w:rsidR="009E51E2" w:rsidRDefault="009E51E2" w:rsidP="003F6B46">
      <w:pPr>
        <w:rPr>
          <w:rFonts w:cs="Arial"/>
          <w:sz w:val="22"/>
          <w:szCs w:val="22"/>
        </w:rPr>
      </w:pPr>
    </w:p>
    <w:p w14:paraId="4FE1C317" w14:textId="77777777" w:rsidR="00354D4C" w:rsidRDefault="00354D4C" w:rsidP="003F6B46">
      <w:pPr>
        <w:rPr>
          <w:rFonts w:cs="Arial"/>
          <w:sz w:val="22"/>
          <w:szCs w:val="22"/>
        </w:rPr>
      </w:pPr>
    </w:p>
    <w:p w14:paraId="50D360FF" w14:textId="77777777" w:rsidR="009E51E2" w:rsidRDefault="003F6B46" w:rsidP="00766731">
      <w:pPr>
        <w:pStyle w:val="Ttulo4"/>
      </w:pPr>
      <w:r w:rsidRPr="003F6B46">
        <w:t>TERPEL</w:t>
      </w:r>
      <w:r w:rsidRPr="003F6B46">
        <w:tab/>
      </w:r>
    </w:p>
    <w:p w14:paraId="4BC986FA" w14:textId="6ECBB192" w:rsidR="003F6B46" w:rsidRPr="00354D4C" w:rsidRDefault="001F1FA8" w:rsidP="003F6B46">
      <w:pPr>
        <w:rPr>
          <w:rFonts w:cs="Arial"/>
          <w:i/>
          <w:iCs/>
          <w:sz w:val="22"/>
          <w:szCs w:val="22"/>
        </w:rPr>
      </w:pPr>
      <w:r>
        <w:rPr>
          <w:rFonts w:cs="Arial"/>
          <w:i/>
          <w:iCs/>
          <w:sz w:val="22"/>
          <w:szCs w:val="22"/>
        </w:rPr>
        <w:t>“</w:t>
      </w:r>
      <w:r w:rsidR="003F6B46" w:rsidRPr="00354D4C">
        <w:rPr>
          <w:rFonts w:cs="Arial"/>
          <w:i/>
          <w:iCs/>
          <w:sz w:val="22"/>
          <w:szCs w:val="22"/>
        </w:rPr>
        <w:t>Si el comercializador tiene contratado una cantidad de gas en firme en el mercado primario, ¿Puede vender en el mercado secundario varios contratos interrumpibles cuya sumatoria de cantidades supera su respaldo firme, considerando que muchos de sus compradores pudieran no nominarle el gas?</w:t>
      </w:r>
      <w:r>
        <w:rPr>
          <w:rFonts w:cs="Arial"/>
          <w:i/>
          <w:iCs/>
          <w:sz w:val="22"/>
          <w:szCs w:val="22"/>
        </w:rPr>
        <w:t>”</w:t>
      </w:r>
    </w:p>
    <w:p w14:paraId="5D54202C" w14:textId="77777777" w:rsidR="00354D4C" w:rsidRDefault="00354D4C" w:rsidP="003F6B46">
      <w:pPr>
        <w:rPr>
          <w:rFonts w:cs="Arial"/>
          <w:sz w:val="22"/>
          <w:szCs w:val="22"/>
        </w:rPr>
      </w:pPr>
    </w:p>
    <w:p w14:paraId="1905826D" w14:textId="7A7FEF23" w:rsidR="00354D4C" w:rsidRPr="00354D4C" w:rsidRDefault="00354D4C" w:rsidP="003F6B46">
      <w:pPr>
        <w:rPr>
          <w:rFonts w:cs="Arial"/>
          <w:b/>
          <w:bCs/>
          <w:sz w:val="22"/>
          <w:szCs w:val="22"/>
        </w:rPr>
      </w:pPr>
      <w:r w:rsidRPr="00354D4C">
        <w:rPr>
          <w:rFonts w:cs="Arial"/>
          <w:b/>
          <w:bCs/>
          <w:sz w:val="22"/>
          <w:szCs w:val="22"/>
        </w:rPr>
        <w:t>Respuesta:</w:t>
      </w:r>
    </w:p>
    <w:p w14:paraId="17212A9C" w14:textId="77777777" w:rsidR="00354D4C" w:rsidRDefault="00354D4C" w:rsidP="003F6B46">
      <w:pPr>
        <w:rPr>
          <w:rFonts w:cs="Arial"/>
          <w:sz w:val="22"/>
          <w:szCs w:val="22"/>
        </w:rPr>
      </w:pPr>
    </w:p>
    <w:p w14:paraId="4D965CF3" w14:textId="4A798240" w:rsidR="00354D4C" w:rsidRDefault="00354D4C"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_Ref133328491 \r \h </w:instrText>
      </w:r>
      <w:r>
        <w:rPr>
          <w:rFonts w:cs="Arial"/>
          <w:sz w:val="22"/>
          <w:szCs w:val="22"/>
        </w:rPr>
      </w:r>
      <w:r>
        <w:rPr>
          <w:rFonts w:cs="Arial"/>
          <w:sz w:val="22"/>
          <w:szCs w:val="22"/>
        </w:rPr>
        <w:fldChar w:fldCharType="separate"/>
      </w:r>
      <w:r>
        <w:rPr>
          <w:rFonts w:cs="Arial"/>
          <w:sz w:val="22"/>
          <w:szCs w:val="22"/>
        </w:rPr>
        <w:t>32.1.1.6</w:t>
      </w:r>
      <w:r>
        <w:rPr>
          <w:rFonts w:cs="Arial"/>
          <w:sz w:val="22"/>
          <w:szCs w:val="22"/>
        </w:rPr>
        <w:fldChar w:fldCharType="end"/>
      </w:r>
      <w:r>
        <w:rPr>
          <w:rFonts w:cs="Arial"/>
          <w:sz w:val="22"/>
          <w:szCs w:val="22"/>
        </w:rPr>
        <w:t>.</w:t>
      </w:r>
    </w:p>
    <w:p w14:paraId="5E5C714F" w14:textId="77777777" w:rsidR="00354D4C" w:rsidRPr="003F6B46" w:rsidRDefault="00354D4C" w:rsidP="003F6B46">
      <w:pPr>
        <w:rPr>
          <w:rFonts w:cs="Arial"/>
          <w:sz w:val="22"/>
          <w:szCs w:val="22"/>
        </w:rPr>
      </w:pPr>
    </w:p>
    <w:p w14:paraId="3574E366" w14:textId="77777777" w:rsidR="009E51E2" w:rsidRDefault="009E51E2" w:rsidP="003F6B46">
      <w:pPr>
        <w:rPr>
          <w:rFonts w:cs="Arial"/>
          <w:sz w:val="22"/>
          <w:szCs w:val="22"/>
        </w:rPr>
      </w:pPr>
    </w:p>
    <w:p w14:paraId="3FFF3853" w14:textId="77777777" w:rsidR="009E51E2" w:rsidRDefault="003F6B46" w:rsidP="00766731">
      <w:pPr>
        <w:pStyle w:val="Ttulo4"/>
      </w:pPr>
      <w:r w:rsidRPr="003F6B46">
        <w:t>TERPEL</w:t>
      </w:r>
      <w:r w:rsidRPr="003F6B46">
        <w:tab/>
      </w:r>
    </w:p>
    <w:p w14:paraId="0D4BFBF7" w14:textId="3A622209" w:rsidR="003F6B46" w:rsidRPr="00354D4C" w:rsidRDefault="001F1FA8" w:rsidP="003F6B46">
      <w:pPr>
        <w:rPr>
          <w:rFonts w:cs="Arial"/>
          <w:i/>
          <w:iCs/>
          <w:sz w:val="22"/>
          <w:szCs w:val="22"/>
        </w:rPr>
      </w:pPr>
      <w:r>
        <w:rPr>
          <w:rFonts w:cs="Arial"/>
          <w:i/>
          <w:iCs/>
          <w:sz w:val="22"/>
          <w:szCs w:val="22"/>
        </w:rPr>
        <w:t>“</w:t>
      </w:r>
      <w:r w:rsidR="003F6B46" w:rsidRPr="00354D4C">
        <w:rPr>
          <w:rFonts w:cs="Arial"/>
          <w:i/>
          <w:iCs/>
          <w:sz w:val="22"/>
          <w:szCs w:val="22"/>
        </w:rPr>
        <w:t>En el caso de que un comercializador tiene contratado una cantidad de gas en firme en el mercado primario y lo vende firme o interrumpible en el secundario pero ese comprador secundario no lo nomina para un día, ¿El comercializador puede volver a negociar ese gas directamente en modalidad en firme diario a otro cliente?</w:t>
      </w:r>
      <w:r>
        <w:rPr>
          <w:rFonts w:cs="Arial"/>
          <w:i/>
          <w:iCs/>
          <w:sz w:val="22"/>
          <w:szCs w:val="22"/>
        </w:rPr>
        <w:t>”</w:t>
      </w:r>
    </w:p>
    <w:p w14:paraId="7480B5F6" w14:textId="77777777" w:rsidR="00354D4C" w:rsidRDefault="00354D4C" w:rsidP="003F6B46">
      <w:pPr>
        <w:rPr>
          <w:rFonts w:cs="Arial"/>
          <w:sz w:val="22"/>
          <w:szCs w:val="22"/>
        </w:rPr>
      </w:pPr>
    </w:p>
    <w:p w14:paraId="6D892FAD" w14:textId="7195A481" w:rsidR="00354D4C" w:rsidRPr="00354D4C" w:rsidRDefault="00354D4C" w:rsidP="003F6B46">
      <w:pPr>
        <w:rPr>
          <w:rFonts w:cs="Arial"/>
          <w:b/>
          <w:bCs/>
          <w:sz w:val="22"/>
          <w:szCs w:val="22"/>
        </w:rPr>
      </w:pPr>
      <w:r w:rsidRPr="00354D4C">
        <w:rPr>
          <w:rFonts w:cs="Arial"/>
          <w:b/>
          <w:bCs/>
          <w:sz w:val="22"/>
          <w:szCs w:val="22"/>
        </w:rPr>
        <w:t>Respuesta:</w:t>
      </w:r>
    </w:p>
    <w:p w14:paraId="45D5F02B" w14:textId="77777777" w:rsidR="00354D4C" w:rsidRDefault="00354D4C" w:rsidP="003F6B46">
      <w:pPr>
        <w:rPr>
          <w:rFonts w:cs="Arial"/>
          <w:sz w:val="22"/>
          <w:szCs w:val="22"/>
        </w:rPr>
      </w:pPr>
    </w:p>
    <w:p w14:paraId="25B9CC0D" w14:textId="08C17EFA" w:rsidR="00354D4C" w:rsidRDefault="00354D4C" w:rsidP="003F6B4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_Ref133326810 \r \h </w:instrText>
      </w:r>
      <w:r>
        <w:rPr>
          <w:rFonts w:cs="Arial"/>
          <w:sz w:val="22"/>
          <w:szCs w:val="22"/>
        </w:rPr>
      </w:r>
      <w:r>
        <w:rPr>
          <w:rFonts w:cs="Arial"/>
          <w:sz w:val="22"/>
          <w:szCs w:val="22"/>
        </w:rPr>
        <w:fldChar w:fldCharType="separate"/>
      </w:r>
      <w:r>
        <w:rPr>
          <w:rFonts w:cs="Arial"/>
          <w:sz w:val="22"/>
          <w:szCs w:val="22"/>
        </w:rPr>
        <w:t>32.1.1.7</w:t>
      </w:r>
      <w:r>
        <w:rPr>
          <w:rFonts w:cs="Arial"/>
          <w:sz w:val="22"/>
          <w:szCs w:val="22"/>
        </w:rPr>
        <w:fldChar w:fldCharType="end"/>
      </w:r>
      <w:r>
        <w:rPr>
          <w:rFonts w:cs="Arial"/>
          <w:sz w:val="22"/>
          <w:szCs w:val="22"/>
        </w:rPr>
        <w:t>.</w:t>
      </w:r>
    </w:p>
    <w:p w14:paraId="1B094A62" w14:textId="77777777" w:rsidR="00354D4C" w:rsidRPr="003F6B46" w:rsidRDefault="00354D4C" w:rsidP="003F6B46">
      <w:pPr>
        <w:rPr>
          <w:rFonts w:cs="Arial"/>
          <w:sz w:val="22"/>
          <w:szCs w:val="22"/>
        </w:rPr>
      </w:pPr>
    </w:p>
    <w:p w14:paraId="27AB822E" w14:textId="77777777" w:rsidR="009E51E2" w:rsidRDefault="009E51E2" w:rsidP="003F6B46">
      <w:pPr>
        <w:rPr>
          <w:rFonts w:cs="Arial"/>
          <w:sz w:val="22"/>
          <w:szCs w:val="22"/>
        </w:rPr>
      </w:pPr>
    </w:p>
    <w:p w14:paraId="2045007F" w14:textId="77777777" w:rsidR="009E51E2" w:rsidRDefault="003F6B46" w:rsidP="00766731">
      <w:pPr>
        <w:pStyle w:val="Ttulo4"/>
      </w:pPr>
      <w:r w:rsidRPr="003F6B46">
        <w:t>TERPEL</w:t>
      </w:r>
      <w:r w:rsidRPr="003F6B46">
        <w:tab/>
      </w:r>
    </w:p>
    <w:p w14:paraId="370DEFB9" w14:textId="591008D4" w:rsidR="003F6B46" w:rsidRPr="00354D4C" w:rsidRDefault="001F1FA8" w:rsidP="003F6B46">
      <w:pPr>
        <w:rPr>
          <w:rFonts w:cs="Arial"/>
          <w:i/>
          <w:iCs/>
          <w:sz w:val="22"/>
          <w:szCs w:val="22"/>
        </w:rPr>
      </w:pPr>
      <w:r>
        <w:rPr>
          <w:rFonts w:cs="Arial"/>
          <w:i/>
          <w:iCs/>
          <w:sz w:val="22"/>
          <w:szCs w:val="22"/>
        </w:rPr>
        <w:t>“</w:t>
      </w:r>
      <w:r w:rsidR="003F6B46" w:rsidRPr="00354D4C">
        <w:rPr>
          <w:rFonts w:cs="Arial"/>
          <w:i/>
          <w:iCs/>
          <w:sz w:val="22"/>
          <w:szCs w:val="22"/>
        </w:rPr>
        <w:t xml:space="preserve">En el caso de un comercializador tiene contratado una cantidad de gas en firme en el primario y vende </w:t>
      </w:r>
      <w:proofErr w:type="gramStart"/>
      <w:r w:rsidR="003F6B46" w:rsidRPr="00354D4C">
        <w:rPr>
          <w:rFonts w:cs="Arial"/>
          <w:i/>
          <w:iCs/>
          <w:sz w:val="22"/>
          <w:szCs w:val="22"/>
        </w:rPr>
        <w:t>ese misma cantidad</w:t>
      </w:r>
      <w:proofErr w:type="gramEnd"/>
      <w:r w:rsidR="003F6B46" w:rsidRPr="00354D4C">
        <w:rPr>
          <w:rFonts w:cs="Arial"/>
          <w:i/>
          <w:iCs/>
          <w:sz w:val="22"/>
          <w:szCs w:val="22"/>
        </w:rPr>
        <w:t xml:space="preserve"> de gas en el secundario en modalidad interrumpible, ante una oportunidad posterior de vender esa misma cantidad de gas en firme, puede hacerlo?</w:t>
      </w:r>
      <w:r>
        <w:rPr>
          <w:rFonts w:cs="Arial"/>
          <w:i/>
          <w:iCs/>
          <w:sz w:val="22"/>
          <w:szCs w:val="22"/>
        </w:rPr>
        <w:t>”</w:t>
      </w:r>
    </w:p>
    <w:p w14:paraId="2D87825D" w14:textId="77777777" w:rsidR="00354D4C" w:rsidRDefault="00354D4C" w:rsidP="003F6B46">
      <w:pPr>
        <w:rPr>
          <w:rFonts w:cs="Arial"/>
          <w:sz w:val="22"/>
          <w:szCs w:val="22"/>
        </w:rPr>
      </w:pPr>
    </w:p>
    <w:p w14:paraId="35FDFAD6" w14:textId="5444CF39" w:rsidR="00354D4C" w:rsidRPr="00354D4C" w:rsidRDefault="00354D4C" w:rsidP="003F6B46">
      <w:pPr>
        <w:rPr>
          <w:rFonts w:cs="Arial"/>
          <w:b/>
          <w:bCs/>
          <w:sz w:val="22"/>
          <w:szCs w:val="22"/>
        </w:rPr>
      </w:pPr>
      <w:r w:rsidRPr="00354D4C">
        <w:rPr>
          <w:rFonts w:cs="Arial"/>
          <w:b/>
          <w:bCs/>
          <w:sz w:val="22"/>
          <w:szCs w:val="22"/>
        </w:rPr>
        <w:t>Respuesta:</w:t>
      </w:r>
    </w:p>
    <w:p w14:paraId="09CEC28C" w14:textId="77777777" w:rsidR="00354D4C" w:rsidRDefault="00354D4C" w:rsidP="003F6B46">
      <w:pPr>
        <w:rPr>
          <w:rFonts w:cs="Arial"/>
          <w:sz w:val="22"/>
          <w:szCs w:val="22"/>
        </w:rPr>
      </w:pPr>
    </w:p>
    <w:p w14:paraId="194FD0DC" w14:textId="77777777" w:rsidR="00354D4C" w:rsidRPr="003F6B46" w:rsidRDefault="00354D4C" w:rsidP="00354D4C">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_Ref133326810 \r \h </w:instrText>
      </w:r>
      <w:r>
        <w:rPr>
          <w:rFonts w:cs="Arial"/>
          <w:sz w:val="22"/>
          <w:szCs w:val="22"/>
        </w:rPr>
      </w:r>
      <w:r>
        <w:rPr>
          <w:rFonts w:cs="Arial"/>
          <w:sz w:val="22"/>
          <w:szCs w:val="22"/>
        </w:rPr>
        <w:fldChar w:fldCharType="separate"/>
      </w:r>
      <w:r>
        <w:rPr>
          <w:rFonts w:cs="Arial"/>
          <w:sz w:val="22"/>
          <w:szCs w:val="22"/>
        </w:rPr>
        <w:t>32.1.1.7</w:t>
      </w:r>
      <w:r>
        <w:rPr>
          <w:rFonts w:cs="Arial"/>
          <w:sz w:val="22"/>
          <w:szCs w:val="22"/>
        </w:rPr>
        <w:fldChar w:fldCharType="end"/>
      </w:r>
      <w:r>
        <w:rPr>
          <w:rFonts w:cs="Arial"/>
          <w:sz w:val="22"/>
          <w:szCs w:val="22"/>
        </w:rPr>
        <w:t>.</w:t>
      </w:r>
    </w:p>
    <w:p w14:paraId="7232CC5C" w14:textId="77777777" w:rsidR="009E51E2" w:rsidRDefault="009E51E2" w:rsidP="003F6B46">
      <w:pPr>
        <w:rPr>
          <w:rFonts w:cs="Arial"/>
          <w:sz w:val="22"/>
          <w:szCs w:val="22"/>
        </w:rPr>
      </w:pPr>
    </w:p>
    <w:p w14:paraId="4B5F4671" w14:textId="77777777" w:rsidR="009E51E2" w:rsidRDefault="009E51E2" w:rsidP="003F6B46">
      <w:pPr>
        <w:rPr>
          <w:rFonts w:cs="Arial"/>
          <w:sz w:val="22"/>
          <w:szCs w:val="22"/>
        </w:rPr>
      </w:pPr>
    </w:p>
    <w:p w14:paraId="1FDBF29D" w14:textId="77777777" w:rsidR="009E51E2" w:rsidRDefault="003F6B46" w:rsidP="00C72898">
      <w:pPr>
        <w:pStyle w:val="Ttulo2"/>
      </w:pPr>
      <w:bookmarkStart w:id="1002" w:name="_Toc140506555"/>
      <w:r w:rsidRPr="003F6B46">
        <w:t>VANTI</w:t>
      </w:r>
      <w:bookmarkEnd w:id="1002"/>
      <w:r w:rsidRPr="003F6B46">
        <w:tab/>
      </w:r>
    </w:p>
    <w:p w14:paraId="03459782" w14:textId="77777777" w:rsidR="00766731" w:rsidRDefault="00766731" w:rsidP="00766731">
      <w:pPr>
        <w:pStyle w:val="Ttulo4"/>
      </w:pPr>
      <w:r w:rsidRPr="003F6B46">
        <w:t>VANTI</w:t>
      </w:r>
      <w:r w:rsidRPr="003F6B46">
        <w:tab/>
      </w:r>
    </w:p>
    <w:p w14:paraId="2CB26081" w14:textId="211E3B76" w:rsidR="003F6B46" w:rsidRPr="00354D4C" w:rsidRDefault="003F6B46" w:rsidP="003F6B46">
      <w:pPr>
        <w:rPr>
          <w:rFonts w:cs="Arial"/>
          <w:i/>
          <w:iCs/>
          <w:sz w:val="22"/>
          <w:szCs w:val="22"/>
        </w:rPr>
      </w:pPr>
      <w:r w:rsidRPr="00354D4C">
        <w:rPr>
          <w:rFonts w:cs="Arial"/>
          <w:i/>
          <w:iCs/>
          <w:sz w:val="22"/>
          <w:szCs w:val="22"/>
        </w:rPr>
        <w:t xml:space="preserve">"La propuesta regulatoria, en cuanto al primer esquema, elimina las subastas interrumpibles mensuales y permite que los productores del mercado primario realicen ventas directas de contratos con duración mensual. Sobre esta propuesta, y pese a que entendemos el problema de atrapamiento de gas en el cual al Productor solo se le permite suscribir contratos por igual cantidad que su oferta física, estamos en desacuerdo por: i) el alto poder que se le da al Productor para originar esta oferta interrumpible, y </w:t>
      </w:r>
      <w:proofErr w:type="spellStart"/>
      <w:r w:rsidRPr="00354D4C">
        <w:rPr>
          <w:rFonts w:cs="Arial"/>
          <w:i/>
          <w:iCs/>
          <w:sz w:val="22"/>
          <w:szCs w:val="22"/>
        </w:rPr>
        <w:t>ii</w:t>
      </w:r>
      <w:proofErr w:type="spellEnd"/>
      <w:r w:rsidRPr="00354D4C">
        <w:rPr>
          <w:rFonts w:cs="Arial"/>
          <w:i/>
          <w:iCs/>
          <w:sz w:val="22"/>
          <w:szCs w:val="22"/>
        </w:rPr>
        <w:t xml:space="preserve">) el mercado secundario que queda en desequilibrio frente a este producto del Productor. </w:t>
      </w:r>
    </w:p>
    <w:p w14:paraId="522CF59A" w14:textId="77777777" w:rsidR="003F6B46" w:rsidRPr="00354D4C" w:rsidRDefault="003F6B46" w:rsidP="003F6B46">
      <w:pPr>
        <w:rPr>
          <w:rFonts w:cs="Arial"/>
          <w:i/>
          <w:iCs/>
          <w:sz w:val="22"/>
          <w:szCs w:val="22"/>
        </w:rPr>
      </w:pPr>
    </w:p>
    <w:p w14:paraId="21D6EC64" w14:textId="77777777" w:rsidR="003F6B46" w:rsidRDefault="003F6B46" w:rsidP="003F6B46">
      <w:pPr>
        <w:rPr>
          <w:rFonts w:cs="Arial"/>
          <w:i/>
          <w:iCs/>
          <w:sz w:val="22"/>
          <w:szCs w:val="22"/>
        </w:rPr>
      </w:pPr>
      <w:r w:rsidRPr="00354D4C">
        <w:rPr>
          <w:rFonts w:cs="Arial"/>
          <w:i/>
          <w:iCs/>
          <w:sz w:val="22"/>
          <w:szCs w:val="22"/>
        </w:rPr>
        <w:t xml:space="preserve">En la propuesta, la oferta interrumpible proviene de: </w:t>
      </w:r>
    </w:p>
    <w:p w14:paraId="2D3F80D7" w14:textId="77777777" w:rsidR="00354D4C" w:rsidRPr="00354D4C" w:rsidRDefault="00354D4C" w:rsidP="003F6B46">
      <w:pPr>
        <w:rPr>
          <w:rFonts w:cs="Arial"/>
          <w:i/>
          <w:iCs/>
          <w:sz w:val="22"/>
          <w:szCs w:val="22"/>
        </w:rPr>
      </w:pPr>
    </w:p>
    <w:p w14:paraId="4D376AD4" w14:textId="77777777" w:rsidR="003F6B46" w:rsidRDefault="003F6B46" w:rsidP="003F6B46">
      <w:pPr>
        <w:rPr>
          <w:rFonts w:cs="Arial"/>
          <w:i/>
          <w:iCs/>
          <w:sz w:val="22"/>
          <w:szCs w:val="22"/>
        </w:rPr>
      </w:pPr>
      <w:r w:rsidRPr="00354D4C">
        <w:rPr>
          <w:rFonts w:cs="Arial"/>
          <w:i/>
          <w:iCs/>
          <w:sz w:val="22"/>
          <w:szCs w:val="22"/>
        </w:rPr>
        <w:t xml:space="preserve">- la parte variable de los contratos CF95 y CF80; cuando ésta no sea nominada por el comercializador quien solo podrá nominarla para su propio consumo o para el consumo del mercado de comercialización que atiende. -&gt; en este aspecto estamos en total desacuerdo y solicitamos se le pueda permitir venderla en el mercado secundario; ello como consecuencia de: i) que el Productor accedió a vender una firmeza total, incluyendo esta parte variable, y </w:t>
      </w:r>
      <w:proofErr w:type="spellStart"/>
      <w:r w:rsidRPr="00354D4C">
        <w:rPr>
          <w:rFonts w:cs="Arial"/>
          <w:i/>
          <w:iCs/>
          <w:sz w:val="22"/>
          <w:szCs w:val="22"/>
        </w:rPr>
        <w:t>ii</w:t>
      </w:r>
      <w:proofErr w:type="spellEnd"/>
      <w:r w:rsidRPr="00354D4C">
        <w:rPr>
          <w:rFonts w:cs="Arial"/>
          <w:i/>
          <w:iCs/>
          <w:sz w:val="22"/>
          <w:szCs w:val="22"/>
        </w:rPr>
        <w:t xml:space="preserve">) que el precio que el comercializador está pagando por un CF95, o se pagará por un CF80, es superior en comparación con un CF100 dado que el Productor internaliza en el precio del contrato el riesgo de esta parte variable. </w:t>
      </w:r>
    </w:p>
    <w:p w14:paraId="200BB4AE" w14:textId="77777777" w:rsidR="00D234AE" w:rsidRPr="00354D4C" w:rsidRDefault="00D234AE" w:rsidP="003F6B46">
      <w:pPr>
        <w:rPr>
          <w:rFonts w:cs="Arial"/>
          <w:i/>
          <w:iCs/>
          <w:sz w:val="22"/>
          <w:szCs w:val="22"/>
        </w:rPr>
      </w:pPr>
    </w:p>
    <w:p w14:paraId="620A3130" w14:textId="77777777" w:rsidR="003F6B46" w:rsidRPr="00354D4C" w:rsidRDefault="003F6B46" w:rsidP="003F6B46">
      <w:pPr>
        <w:rPr>
          <w:rFonts w:cs="Arial"/>
          <w:i/>
          <w:iCs/>
          <w:sz w:val="22"/>
          <w:szCs w:val="22"/>
        </w:rPr>
      </w:pPr>
      <w:r w:rsidRPr="00354D4C">
        <w:rPr>
          <w:rFonts w:cs="Arial"/>
          <w:i/>
          <w:iCs/>
          <w:sz w:val="22"/>
          <w:szCs w:val="22"/>
        </w:rPr>
        <w:t xml:space="preserve">- que el Productor pueda ofertar contratos interrumpibles hasta máximo el 50% del valor de su PTDV o un 20% de las cantidades contratadas en contratos firmes en la fuente en cuestión -&gt; en este aspecto vemos que un 20% de las cantidades de contratos en firme en es un porcentaje importante ; por ejemplo, para el caso de Cusiana para el mes de abril de 2022 existen contratos en firme por 207.407 MBTUD y para </w:t>
      </w:r>
      <w:proofErr w:type="spellStart"/>
      <w:r w:rsidRPr="00354D4C">
        <w:rPr>
          <w:rFonts w:cs="Arial"/>
          <w:i/>
          <w:iCs/>
          <w:sz w:val="22"/>
          <w:szCs w:val="22"/>
        </w:rPr>
        <w:t>Cupiagua</w:t>
      </w:r>
      <w:proofErr w:type="spellEnd"/>
      <w:r w:rsidRPr="00354D4C">
        <w:rPr>
          <w:rFonts w:cs="Arial"/>
          <w:i/>
          <w:iCs/>
          <w:sz w:val="22"/>
          <w:szCs w:val="22"/>
        </w:rPr>
        <w:t xml:space="preserve"> de 185.929 MBTUD, con lo cual, Ecopetrol estaría en capacidad de suscribir contratos por 78.667 MBTUD (por supuesto entendiendo que este volumen no será su despacho); </w:t>
      </w:r>
    </w:p>
    <w:p w14:paraId="3C0DE70A" w14:textId="77777777" w:rsidR="003F6B46" w:rsidRPr="00354D4C" w:rsidRDefault="003F6B46" w:rsidP="003F6B46">
      <w:pPr>
        <w:rPr>
          <w:rFonts w:cs="Arial"/>
          <w:i/>
          <w:iCs/>
          <w:sz w:val="22"/>
          <w:szCs w:val="22"/>
        </w:rPr>
      </w:pPr>
    </w:p>
    <w:p w14:paraId="6F41D8CF" w14:textId="7C6533FC" w:rsidR="00EF1C07" w:rsidRPr="00354D4C" w:rsidRDefault="003F6B46" w:rsidP="003F6B46">
      <w:pPr>
        <w:rPr>
          <w:rFonts w:cs="Arial"/>
          <w:i/>
          <w:iCs/>
          <w:sz w:val="22"/>
          <w:szCs w:val="22"/>
        </w:rPr>
      </w:pPr>
      <w:r w:rsidRPr="00354D4C">
        <w:rPr>
          <w:rFonts w:cs="Arial"/>
          <w:i/>
          <w:iCs/>
          <w:sz w:val="22"/>
          <w:szCs w:val="22"/>
        </w:rPr>
        <w:t>Solicitamos se diseñe un esquema de subasta que corrija el problema de atrapamiento de gas identificado, que haya equilibrio con el mercado secundario y que la oferta interrumpible por parte del productor no incremente su poder de mercado sobre los demás comercializadores"</w:t>
      </w:r>
    </w:p>
    <w:p w14:paraId="5A8BE400" w14:textId="77777777" w:rsidR="00354D4C" w:rsidRDefault="00354D4C" w:rsidP="003F6B46">
      <w:pPr>
        <w:rPr>
          <w:rFonts w:cs="Arial"/>
          <w:sz w:val="22"/>
          <w:szCs w:val="22"/>
        </w:rPr>
      </w:pPr>
    </w:p>
    <w:p w14:paraId="55FDB753" w14:textId="4CD79270" w:rsidR="00354D4C" w:rsidRPr="00354D4C" w:rsidRDefault="00354D4C" w:rsidP="003F6B46">
      <w:pPr>
        <w:rPr>
          <w:rFonts w:cs="Arial"/>
          <w:b/>
          <w:bCs/>
          <w:sz w:val="22"/>
          <w:szCs w:val="22"/>
        </w:rPr>
      </w:pPr>
      <w:r w:rsidRPr="00354D4C">
        <w:rPr>
          <w:rFonts w:cs="Arial"/>
          <w:b/>
          <w:bCs/>
          <w:sz w:val="22"/>
          <w:szCs w:val="22"/>
        </w:rPr>
        <w:t>Respuesta:</w:t>
      </w:r>
    </w:p>
    <w:p w14:paraId="43AF17B7" w14:textId="77777777" w:rsidR="00354D4C" w:rsidRDefault="00354D4C" w:rsidP="003F6B46">
      <w:pPr>
        <w:rPr>
          <w:rFonts w:cs="Arial"/>
          <w:sz w:val="22"/>
          <w:szCs w:val="22"/>
        </w:rPr>
      </w:pPr>
    </w:p>
    <w:p w14:paraId="5A43FB18" w14:textId="7928095F" w:rsidR="00012DE6" w:rsidRDefault="00D234AE" w:rsidP="00371CB5">
      <w:pPr>
        <w:rPr>
          <w:rFonts w:cs="Arial"/>
          <w:b/>
          <w:bCs/>
          <w:sz w:val="22"/>
          <w:szCs w:val="22"/>
        </w:rPr>
      </w:pPr>
      <w:r>
        <w:rPr>
          <w:rFonts w:cs="Arial"/>
          <w:sz w:val="22"/>
          <w:szCs w:val="22"/>
        </w:rPr>
        <w:t>Ver</w:t>
      </w:r>
      <w:r w:rsidR="005D066E">
        <w:rPr>
          <w:rFonts w:cs="Arial"/>
          <w:sz w:val="22"/>
          <w:szCs w:val="22"/>
        </w:rPr>
        <w:t xml:space="preserve">  numeral </w:t>
      </w:r>
      <w:r w:rsidR="005D066E">
        <w:rPr>
          <w:rFonts w:cs="Arial"/>
          <w:sz w:val="22"/>
          <w:szCs w:val="22"/>
        </w:rPr>
        <w:fldChar w:fldCharType="begin"/>
      </w:r>
      <w:r w:rsidR="005D066E">
        <w:rPr>
          <w:rFonts w:cs="Arial"/>
          <w:sz w:val="22"/>
          <w:szCs w:val="22"/>
        </w:rPr>
        <w:instrText xml:space="preserve"> REF _Ref133334244 \r \h </w:instrText>
      </w:r>
      <w:r w:rsidR="005D066E">
        <w:rPr>
          <w:rFonts w:cs="Arial"/>
          <w:sz w:val="22"/>
          <w:szCs w:val="22"/>
        </w:rPr>
      </w:r>
      <w:r w:rsidR="005D066E">
        <w:rPr>
          <w:rFonts w:cs="Arial"/>
          <w:sz w:val="22"/>
          <w:szCs w:val="22"/>
        </w:rPr>
        <w:fldChar w:fldCharType="separate"/>
      </w:r>
      <w:r w:rsidR="005D066E">
        <w:rPr>
          <w:rFonts w:cs="Arial"/>
          <w:sz w:val="22"/>
          <w:szCs w:val="22"/>
        </w:rPr>
        <w:t>4.12</w:t>
      </w:r>
      <w:r w:rsidR="005D066E">
        <w:rPr>
          <w:rFonts w:cs="Arial"/>
          <w:sz w:val="22"/>
          <w:szCs w:val="22"/>
        </w:rPr>
        <w:fldChar w:fldCharType="end"/>
      </w:r>
      <w:r w:rsidR="005D066E">
        <w:rPr>
          <w:rFonts w:cs="Arial"/>
          <w:sz w:val="22"/>
          <w:szCs w:val="22"/>
        </w:rPr>
        <w:t xml:space="preserve"> y </w:t>
      </w:r>
      <w:r>
        <w:rPr>
          <w:rFonts w:cs="Arial"/>
          <w:sz w:val="22"/>
          <w:szCs w:val="22"/>
        </w:rPr>
        <w:t xml:space="preserve">respuesta a </w:t>
      </w:r>
      <w:r w:rsidR="005D066E">
        <w:rPr>
          <w:rFonts w:cs="Arial"/>
          <w:sz w:val="22"/>
          <w:szCs w:val="22"/>
        </w:rPr>
        <w:fldChar w:fldCharType="begin"/>
      </w:r>
      <w:r w:rsidR="005D066E">
        <w:rPr>
          <w:rFonts w:cs="Arial"/>
          <w:sz w:val="22"/>
          <w:szCs w:val="22"/>
        </w:rPr>
        <w:instrText xml:space="preserve"> REF _Ref133331267 \r \h </w:instrText>
      </w:r>
      <w:r w:rsidR="005D066E">
        <w:rPr>
          <w:rFonts w:cs="Arial"/>
          <w:sz w:val="22"/>
          <w:szCs w:val="22"/>
        </w:rPr>
      </w:r>
      <w:r w:rsidR="005D066E">
        <w:rPr>
          <w:rFonts w:cs="Arial"/>
          <w:sz w:val="22"/>
          <w:szCs w:val="22"/>
        </w:rPr>
        <w:fldChar w:fldCharType="separate"/>
      </w:r>
      <w:r w:rsidR="005D066E">
        <w:rPr>
          <w:rFonts w:cs="Arial"/>
          <w:sz w:val="22"/>
          <w:szCs w:val="22"/>
        </w:rPr>
        <w:t>32.1.1.1</w:t>
      </w:r>
      <w:r w:rsidR="005D066E">
        <w:rPr>
          <w:rFonts w:cs="Arial"/>
          <w:sz w:val="22"/>
          <w:szCs w:val="22"/>
        </w:rPr>
        <w:fldChar w:fldCharType="end"/>
      </w:r>
      <w:r w:rsidR="005D066E">
        <w:rPr>
          <w:rFonts w:cs="Arial"/>
          <w:sz w:val="22"/>
          <w:szCs w:val="22"/>
        </w:rPr>
        <w:t xml:space="preserve">, a </w:t>
      </w:r>
      <w:r w:rsidR="005D066E">
        <w:rPr>
          <w:rFonts w:cs="Arial"/>
          <w:sz w:val="22"/>
          <w:szCs w:val="22"/>
        </w:rPr>
        <w:fldChar w:fldCharType="begin"/>
      </w:r>
      <w:r w:rsidR="005D066E">
        <w:rPr>
          <w:rFonts w:cs="Arial"/>
          <w:sz w:val="22"/>
          <w:szCs w:val="22"/>
        </w:rPr>
        <w:instrText xml:space="preserve"> REF _Ref133327912 \r \h </w:instrText>
      </w:r>
      <w:r w:rsidR="005D066E">
        <w:rPr>
          <w:rFonts w:cs="Arial"/>
          <w:sz w:val="22"/>
          <w:szCs w:val="22"/>
        </w:rPr>
      </w:r>
      <w:r w:rsidR="005D066E">
        <w:rPr>
          <w:rFonts w:cs="Arial"/>
          <w:sz w:val="22"/>
          <w:szCs w:val="22"/>
        </w:rPr>
        <w:fldChar w:fldCharType="separate"/>
      </w:r>
      <w:r w:rsidR="005D066E">
        <w:rPr>
          <w:rFonts w:cs="Arial"/>
          <w:sz w:val="22"/>
          <w:szCs w:val="22"/>
        </w:rPr>
        <w:t>32.1.1.5</w:t>
      </w:r>
      <w:r w:rsidR="005D066E">
        <w:rPr>
          <w:rFonts w:cs="Arial"/>
          <w:sz w:val="22"/>
          <w:szCs w:val="22"/>
        </w:rPr>
        <w:fldChar w:fldCharType="end"/>
      </w:r>
      <w:r w:rsidR="005D066E">
        <w:rPr>
          <w:rFonts w:cs="Arial"/>
          <w:sz w:val="22"/>
          <w:szCs w:val="22"/>
        </w:rPr>
        <w:t xml:space="preserve">, a </w:t>
      </w:r>
      <w:r w:rsidR="005D066E">
        <w:rPr>
          <w:rFonts w:cs="Arial"/>
          <w:sz w:val="22"/>
          <w:szCs w:val="22"/>
        </w:rPr>
        <w:fldChar w:fldCharType="begin"/>
      </w:r>
      <w:r w:rsidR="005D066E">
        <w:rPr>
          <w:rFonts w:cs="Arial"/>
          <w:sz w:val="22"/>
          <w:szCs w:val="22"/>
        </w:rPr>
        <w:instrText xml:space="preserve"> REF _Ref133334109 \r \h </w:instrText>
      </w:r>
      <w:r w:rsidR="005D066E">
        <w:rPr>
          <w:rFonts w:cs="Arial"/>
          <w:sz w:val="22"/>
          <w:szCs w:val="22"/>
        </w:rPr>
      </w:r>
      <w:r w:rsidR="005D066E">
        <w:rPr>
          <w:rFonts w:cs="Arial"/>
          <w:sz w:val="22"/>
          <w:szCs w:val="22"/>
        </w:rPr>
        <w:fldChar w:fldCharType="separate"/>
      </w:r>
      <w:r w:rsidR="005D066E">
        <w:rPr>
          <w:rFonts w:cs="Arial"/>
          <w:sz w:val="22"/>
          <w:szCs w:val="22"/>
        </w:rPr>
        <w:t>32.2.1.2</w:t>
      </w:r>
      <w:r w:rsidR="005D066E">
        <w:rPr>
          <w:rFonts w:cs="Arial"/>
          <w:sz w:val="22"/>
          <w:szCs w:val="22"/>
        </w:rPr>
        <w:fldChar w:fldCharType="end"/>
      </w:r>
      <w:r w:rsidR="005D066E">
        <w:rPr>
          <w:rFonts w:cs="Arial"/>
          <w:sz w:val="22"/>
          <w:szCs w:val="22"/>
        </w:rPr>
        <w:t xml:space="preserve">, a </w:t>
      </w:r>
      <w:r w:rsidR="005D066E">
        <w:rPr>
          <w:rFonts w:cs="Arial"/>
          <w:sz w:val="22"/>
          <w:szCs w:val="22"/>
        </w:rPr>
        <w:fldChar w:fldCharType="begin"/>
      </w:r>
      <w:r w:rsidR="005D066E">
        <w:rPr>
          <w:rFonts w:cs="Arial"/>
          <w:sz w:val="22"/>
          <w:szCs w:val="22"/>
        </w:rPr>
        <w:instrText xml:space="preserve"> REF _Ref133328708 \r \h </w:instrText>
      </w:r>
      <w:r w:rsidR="005D066E">
        <w:rPr>
          <w:rFonts w:cs="Arial"/>
          <w:sz w:val="22"/>
          <w:szCs w:val="22"/>
        </w:rPr>
      </w:r>
      <w:r w:rsidR="005D066E">
        <w:rPr>
          <w:rFonts w:cs="Arial"/>
          <w:sz w:val="22"/>
          <w:szCs w:val="22"/>
        </w:rPr>
        <w:fldChar w:fldCharType="separate"/>
      </w:r>
      <w:r w:rsidR="005D066E">
        <w:rPr>
          <w:rFonts w:cs="Arial"/>
          <w:sz w:val="22"/>
          <w:szCs w:val="22"/>
        </w:rPr>
        <w:t>32.3.1.1</w:t>
      </w:r>
      <w:r w:rsidR="005D066E">
        <w:rPr>
          <w:rFonts w:cs="Arial"/>
          <w:sz w:val="22"/>
          <w:szCs w:val="22"/>
        </w:rPr>
        <w:fldChar w:fldCharType="end"/>
      </w:r>
      <w:r w:rsidR="005D066E">
        <w:rPr>
          <w:rFonts w:cs="Arial"/>
          <w:sz w:val="22"/>
          <w:szCs w:val="22"/>
        </w:rPr>
        <w:t>, entre otras.</w:t>
      </w:r>
    </w:p>
    <w:p w14:paraId="6EBF7746" w14:textId="424FB197" w:rsidR="00EF1C07" w:rsidRDefault="00EF1C07" w:rsidP="00371CB5">
      <w:pPr>
        <w:rPr>
          <w:rFonts w:cs="Arial"/>
          <w:b/>
          <w:bCs/>
          <w:sz w:val="22"/>
          <w:szCs w:val="22"/>
        </w:rPr>
      </w:pPr>
    </w:p>
    <w:p w14:paraId="63B02ABF" w14:textId="77777777" w:rsidR="005D066E" w:rsidRDefault="005D066E" w:rsidP="00371CB5">
      <w:pPr>
        <w:rPr>
          <w:rFonts w:cs="Arial"/>
          <w:b/>
          <w:bCs/>
          <w:sz w:val="22"/>
          <w:szCs w:val="22"/>
        </w:rPr>
      </w:pPr>
    </w:p>
    <w:p w14:paraId="2EC21C38" w14:textId="4575BAF6" w:rsidR="00EF1C07" w:rsidRDefault="00EF1C07" w:rsidP="00EF1C07">
      <w:pPr>
        <w:pStyle w:val="Ttulo1"/>
        <w:numPr>
          <w:ilvl w:val="0"/>
          <w:numId w:val="1"/>
        </w:numPr>
        <w:rPr>
          <w:caps/>
        </w:rPr>
      </w:pPr>
      <w:bookmarkStart w:id="1003" w:name="_Toc140506556"/>
      <w:r>
        <w:t xml:space="preserve">ARTÍCULO 37. </w:t>
      </w:r>
      <w:r w:rsidR="0070732E" w:rsidRPr="0070732E">
        <w:rPr>
          <w:caps/>
        </w:rPr>
        <w:t>Consideraciones operativas relacionadas con renominaciones</w:t>
      </w:r>
      <w:bookmarkEnd w:id="1003"/>
    </w:p>
    <w:p w14:paraId="38E15827" w14:textId="77777777" w:rsidR="00012DE6" w:rsidRDefault="00797B26" w:rsidP="00B124BE">
      <w:pPr>
        <w:pStyle w:val="Ttulo2"/>
      </w:pPr>
      <w:bookmarkStart w:id="1004" w:name="_Toc140506557"/>
      <w:r w:rsidRPr="00797B26">
        <w:t>ACOLGEN</w:t>
      </w:r>
      <w:bookmarkEnd w:id="1004"/>
      <w:r w:rsidRPr="00797B26">
        <w:tab/>
      </w:r>
    </w:p>
    <w:p w14:paraId="38F0A587" w14:textId="77777777" w:rsidR="00B124BE" w:rsidRDefault="00B124BE" w:rsidP="00B124BE">
      <w:pPr>
        <w:pStyle w:val="Ttulo4"/>
      </w:pPr>
      <w:bookmarkStart w:id="1005" w:name="_Ref133393294"/>
      <w:r w:rsidRPr="00797B26">
        <w:t>ACOLGEN</w:t>
      </w:r>
      <w:bookmarkEnd w:id="1005"/>
      <w:r w:rsidRPr="00797B26">
        <w:tab/>
      </w:r>
    </w:p>
    <w:p w14:paraId="0EE2E65D" w14:textId="41163CA6" w:rsidR="00797B26" w:rsidRPr="002E1ED2" w:rsidRDefault="00F40310" w:rsidP="00797B26">
      <w:pPr>
        <w:rPr>
          <w:rFonts w:cs="Arial"/>
          <w:i/>
          <w:iCs/>
          <w:sz w:val="22"/>
          <w:szCs w:val="22"/>
        </w:rPr>
      </w:pPr>
      <w:r>
        <w:rPr>
          <w:rFonts w:cs="Arial"/>
          <w:i/>
          <w:iCs/>
          <w:sz w:val="22"/>
          <w:szCs w:val="22"/>
        </w:rPr>
        <w:t>“</w:t>
      </w:r>
      <w:r w:rsidR="00797B26" w:rsidRPr="002E1ED2">
        <w:rPr>
          <w:rFonts w:cs="Arial"/>
          <w:i/>
          <w:iCs/>
          <w:sz w:val="22"/>
          <w:szCs w:val="22"/>
        </w:rPr>
        <w:t xml:space="preserve">Adicionalmente, en el numeral 3 del artículo 37, identificamos que es inconsistente con la reglamentación del RUT, ya que allí se permiten </w:t>
      </w:r>
      <w:proofErr w:type="spellStart"/>
      <w:r w:rsidR="00797B26" w:rsidRPr="002E1ED2">
        <w:rPr>
          <w:rFonts w:cs="Arial"/>
          <w:i/>
          <w:iCs/>
          <w:sz w:val="22"/>
          <w:szCs w:val="22"/>
        </w:rPr>
        <w:t>Renominaciones</w:t>
      </w:r>
      <w:proofErr w:type="spellEnd"/>
      <w:r w:rsidR="00797B26" w:rsidRPr="002E1ED2">
        <w:rPr>
          <w:rFonts w:cs="Arial"/>
          <w:i/>
          <w:iCs/>
          <w:sz w:val="22"/>
          <w:szCs w:val="22"/>
        </w:rPr>
        <w:t xml:space="preserve"> de hasta cuatro veces al día.</w:t>
      </w:r>
      <w:r>
        <w:rPr>
          <w:rFonts w:cs="Arial"/>
          <w:i/>
          <w:iCs/>
          <w:sz w:val="22"/>
          <w:szCs w:val="22"/>
        </w:rPr>
        <w:t>”</w:t>
      </w:r>
    </w:p>
    <w:p w14:paraId="4375CAB2" w14:textId="77777777" w:rsidR="002E1ED2" w:rsidRDefault="002E1ED2" w:rsidP="00797B26">
      <w:pPr>
        <w:rPr>
          <w:rFonts w:cs="Arial"/>
          <w:sz w:val="22"/>
          <w:szCs w:val="22"/>
        </w:rPr>
      </w:pPr>
    </w:p>
    <w:p w14:paraId="2D7D13BE" w14:textId="26143535" w:rsidR="002E1ED2" w:rsidRPr="002E1ED2" w:rsidRDefault="002E1ED2" w:rsidP="00797B26">
      <w:pPr>
        <w:rPr>
          <w:rFonts w:cs="Arial"/>
          <w:b/>
          <w:bCs/>
          <w:sz w:val="22"/>
          <w:szCs w:val="22"/>
        </w:rPr>
      </w:pPr>
      <w:r w:rsidRPr="002E1ED2">
        <w:rPr>
          <w:rFonts w:cs="Arial"/>
          <w:b/>
          <w:bCs/>
          <w:sz w:val="22"/>
          <w:szCs w:val="22"/>
        </w:rPr>
        <w:t>Respuesta:</w:t>
      </w:r>
    </w:p>
    <w:p w14:paraId="6071AC69" w14:textId="77777777" w:rsidR="002E1ED2" w:rsidRDefault="002E1ED2" w:rsidP="00797B26">
      <w:pPr>
        <w:rPr>
          <w:rFonts w:cs="Arial"/>
          <w:sz w:val="22"/>
          <w:szCs w:val="22"/>
        </w:rPr>
      </w:pPr>
    </w:p>
    <w:p w14:paraId="2F361C75" w14:textId="4D9149EA" w:rsidR="002E1ED2" w:rsidRDefault="002E1ED2" w:rsidP="00797B26">
      <w:pPr>
        <w:rPr>
          <w:rFonts w:cs="Arial"/>
          <w:sz w:val="22"/>
          <w:szCs w:val="22"/>
        </w:rPr>
      </w:pPr>
      <w:r>
        <w:rPr>
          <w:rFonts w:cs="Arial"/>
          <w:sz w:val="22"/>
          <w:szCs w:val="22"/>
        </w:rPr>
        <w:t>Se acoge el comentario.</w:t>
      </w:r>
    </w:p>
    <w:p w14:paraId="39B024D9" w14:textId="77777777" w:rsidR="002E1ED2" w:rsidRDefault="002E1ED2" w:rsidP="00797B26">
      <w:pPr>
        <w:rPr>
          <w:rFonts w:cs="Arial"/>
          <w:sz w:val="22"/>
          <w:szCs w:val="22"/>
        </w:rPr>
      </w:pPr>
    </w:p>
    <w:p w14:paraId="69283A23" w14:textId="5CA999B7" w:rsidR="002E1ED2" w:rsidRPr="00797B26" w:rsidRDefault="002E1ED2" w:rsidP="00797B26">
      <w:pPr>
        <w:rPr>
          <w:rFonts w:cs="Arial"/>
          <w:sz w:val="22"/>
          <w:szCs w:val="22"/>
        </w:rPr>
      </w:pPr>
      <w:r>
        <w:rPr>
          <w:rFonts w:cs="Arial"/>
          <w:sz w:val="22"/>
          <w:szCs w:val="22"/>
        </w:rPr>
        <w:t>En la nueva propuesta se hace el ajuste correspondiente</w:t>
      </w:r>
      <w:r w:rsidR="00653AD7">
        <w:rPr>
          <w:rFonts w:cs="Arial"/>
          <w:sz w:val="22"/>
          <w:szCs w:val="22"/>
        </w:rPr>
        <w:t xml:space="preserve">, manteniendo el texto vigente respecto de las </w:t>
      </w:r>
      <w:proofErr w:type="spellStart"/>
      <w:r w:rsidR="00653AD7">
        <w:rPr>
          <w:rFonts w:cs="Arial"/>
          <w:sz w:val="22"/>
          <w:szCs w:val="22"/>
        </w:rPr>
        <w:t>renominaciones</w:t>
      </w:r>
      <w:proofErr w:type="spellEnd"/>
      <w:r w:rsidR="00653AD7">
        <w:rPr>
          <w:rFonts w:cs="Arial"/>
          <w:sz w:val="22"/>
          <w:szCs w:val="22"/>
        </w:rPr>
        <w:t xml:space="preserve"> de gas natural.</w:t>
      </w:r>
    </w:p>
    <w:p w14:paraId="64697492" w14:textId="77777777" w:rsidR="00012DE6" w:rsidRDefault="00012DE6" w:rsidP="00797B26">
      <w:pPr>
        <w:rPr>
          <w:rFonts w:cs="Arial"/>
          <w:sz w:val="22"/>
          <w:szCs w:val="22"/>
        </w:rPr>
      </w:pPr>
    </w:p>
    <w:p w14:paraId="60223E02" w14:textId="77777777" w:rsidR="00012DE6" w:rsidRDefault="00012DE6" w:rsidP="00797B26">
      <w:pPr>
        <w:rPr>
          <w:rFonts w:cs="Arial"/>
          <w:sz w:val="22"/>
          <w:szCs w:val="22"/>
        </w:rPr>
      </w:pPr>
    </w:p>
    <w:p w14:paraId="66F10B73" w14:textId="77777777" w:rsidR="00012DE6" w:rsidRDefault="00797B26" w:rsidP="00B124BE">
      <w:pPr>
        <w:pStyle w:val="Ttulo2"/>
      </w:pPr>
      <w:bookmarkStart w:id="1006" w:name="_Toc140506558"/>
      <w:r w:rsidRPr="00797B26">
        <w:t>ACP</w:t>
      </w:r>
      <w:bookmarkEnd w:id="1006"/>
      <w:r w:rsidRPr="00797B26">
        <w:tab/>
      </w:r>
    </w:p>
    <w:p w14:paraId="6957E6AC" w14:textId="77777777" w:rsidR="00B124BE" w:rsidRDefault="00B124BE" w:rsidP="00B124BE">
      <w:pPr>
        <w:pStyle w:val="Ttulo4"/>
      </w:pPr>
      <w:r w:rsidRPr="00797B26">
        <w:t>ACP</w:t>
      </w:r>
      <w:r w:rsidRPr="00797B26">
        <w:tab/>
      </w:r>
    </w:p>
    <w:p w14:paraId="31AC2785" w14:textId="4EE328AF" w:rsidR="00797B26" w:rsidRPr="00653AD7" w:rsidRDefault="00F40310" w:rsidP="00797B26">
      <w:pPr>
        <w:rPr>
          <w:rFonts w:cs="Arial"/>
          <w:i/>
          <w:iCs/>
          <w:sz w:val="22"/>
          <w:szCs w:val="22"/>
        </w:rPr>
      </w:pPr>
      <w:r>
        <w:rPr>
          <w:rFonts w:cs="Arial"/>
          <w:i/>
          <w:iCs/>
          <w:sz w:val="22"/>
          <w:szCs w:val="22"/>
        </w:rPr>
        <w:t>“</w:t>
      </w:r>
      <w:r w:rsidR="00797B26" w:rsidRPr="00653AD7">
        <w:rPr>
          <w:rFonts w:cs="Arial"/>
          <w:i/>
          <w:iCs/>
          <w:sz w:val="22"/>
          <w:szCs w:val="22"/>
        </w:rPr>
        <w:t>En este caso, ¿quién es el responsable de la nominación de gas?</w:t>
      </w:r>
      <w:r>
        <w:rPr>
          <w:rFonts w:cs="Arial"/>
          <w:i/>
          <w:iCs/>
          <w:sz w:val="22"/>
          <w:szCs w:val="22"/>
        </w:rPr>
        <w:t>”</w:t>
      </w:r>
    </w:p>
    <w:p w14:paraId="1D8CB8C2" w14:textId="77777777" w:rsidR="002E1ED2" w:rsidRDefault="002E1ED2" w:rsidP="00797B26">
      <w:pPr>
        <w:rPr>
          <w:rFonts w:cs="Arial"/>
          <w:sz w:val="22"/>
          <w:szCs w:val="22"/>
        </w:rPr>
      </w:pPr>
    </w:p>
    <w:p w14:paraId="0C356836" w14:textId="1BB19273" w:rsidR="002E1ED2" w:rsidRPr="002E1ED2" w:rsidRDefault="002E1ED2" w:rsidP="00797B26">
      <w:pPr>
        <w:rPr>
          <w:rFonts w:cs="Arial"/>
          <w:b/>
          <w:bCs/>
          <w:sz w:val="22"/>
          <w:szCs w:val="22"/>
        </w:rPr>
      </w:pPr>
      <w:r w:rsidRPr="002E1ED2">
        <w:rPr>
          <w:rFonts w:cs="Arial"/>
          <w:b/>
          <w:bCs/>
          <w:sz w:val="22"/>
          <w:szCs w:val="22"/>
        </w:rPr>
        <w:t>Respuesta:</w:t>
      </w:r>
    </w:p>
    <w:p w14:paraId="2FCAB491" w14:textId="77777777" w:rsidR="002E1ED2" w:rsidRDefault="002E1ED2" w:rsidP="00797B26">
      <w:pPr>
        <w:rPr>
          <w:rFonts w:cs="Arial"/>
          <w:sz w:val="22"/>
          <w:szCs w:val="22"/>
        </w:rPr>
      </w:pPr>
    </w:p>
    <w:p w14:paraId="0DF67CB2" w14:textId="70C7E947" w:rsidR="002E1ED2" w:rsidRDefault="002E1ED2" w:rsidP="00797B26">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_Ref133393294 \r \h </w:instrText>
      </w:r>
      <w:r>
        <w:rPr>
          <w:rFonts w:cs="Arial"/>
          <w:sz w:val="22"/>
          <w:szCs w:val="22"/>
        </w:rPr>
      </w:r>
      <w:r>
        <w:rPr>
          <w:rFonts w:cs="Arial"/>
          <w:sz w:val="22"/>
          <w:szCs w:val="22"/>
        </w:rPr>
        <w:fldChar w:fldCharType="separate"/>
      </w:r>
      <w:r>
        <w:rPr>
          <w:rFonts w:cs="Arial"/>
          <w:sz w:val="22"/>
          <w:szCs w:val="22"/>
        </w:rPr>
        <w:t>33.1.1.1</w:t>
      </w:r>
      <w:r>
        <w:rPr>
          <w:rFonts w:cs="Arial"/>
          <w:sz w:val="22"/>
          <w:szCs w:val="22"/>
        </w:rPr>
        <w:fldChar w:fldCharType="end"/>
      </w:r>
      <w:r w:rsidR="00653AD7">
        <w:rPr>
          <w:rFonts w:cs="Arial"/>
          <w:sz w:val="22"/>
          <w:szCs w:val="22"/>
        </w:rPr>
        <w:t>.</w:t>
      </w:r>
    </w:p>
    <w:p w14:paraId="4351E2A8" w14:textId="77777777" w:rsidR="002E1ED2" w:rsidRPr="00797B26" w:rsidRDefault="002E1ED2" w:rsidP="00797B26">
      <w:pPr>
        <w:rPr>
          <w:rFonts w:cs="Arial"/>
          <w:sz w:val="22"/>
          <w:szCs w:val="22"/>
        </w:rPr>
      </w:pPr>
    </w:p>
    <w:p w14:paraId="6CD25D90" w14:textId="77777777" w:rsidR="00012DE6" w:rsidRDefault="00012DE6" w:rsidP="00797B26">
      <w:pPr>
        <w:rPr>
          <w:rFonts w:cs="Arial"/>
          <w:sz w:val="22"/>
          <w:szCs w:val="22"/>
        </w:rPr>
      </w:pPr>
    </w:p>
    <w:p w14:paraId="3A8AED90" w14:textId="77777777" w:rsidR="00012DE6" w:rsidRDefault="00797B26" w:rsidP="00B124BE">
      <w:pPr>
        <w:pStyle w:val="Ttulo4"/>
      </w:pPr>
      <w:r w:rsidRPr="00797B26">
        <w:t>ACP</w:t>
      </w:r>
      <w:r w:rsidRPr="00797B26">
        <w:tab/>
      </w:r>
    </w:p>
    <w:p w14:paraId="6F124809" w14:textId="4A0559C7" w:rsidR="00012DE6" w:rsidRPr="002E1ED2" w:rsidRDefault="00F40310" w:rsidP="00797B26">
      <w:pPr>
        <w:rPr>
          <w:rFonts w:cs="Arial"/>
          <w:i/>
          <w:iCs/>
          <w:sz w:val="22"/>
          <w:szCs w:val="22"/>
        </w:rPr>
      </w:pPr>
      <w:r>
        <w:rPr>
          <w:rFonts w:cs="Arial"/>
          <w:i/>
          <w:iCs/>
          <w:sz w:val="22"/>
          <w:szCs w:val="22"/>
        </w:rPr>
        <w:t>“</w:t>
      </w:r>
      <w:r w:rsidR="00797B26" w:rsidRPr="002E1ED2">
        <w:rPr>
          <w:rFonts w:cs="Arial"/>
          <w:i/>
          <w:iCs/>
          <w:sz w:val="22"/>
          <w:szCs w:val="22"/>
        </w:rPr>
        <w:t xml:space="preserve">¿Que se entiende por confirmación del programa de transporte? </w:t>
      </w:r>
      <w:proofErr w:type="gramStart"/>
      <w:r w:rsidR="00797B26" w:rsidRPr="002E1ED2">
        <w:rPr>
          <w:rFonts w:cs="Arial"/>
          <w:i/>
          <w:iCs/>
          <w:sz w:val="22"/>
          <w:szCs w:val="22"/>
        </w:rPr>
        <w:t xml:space="preserve">En </w:t>
      </w:r>
      <w:proofErr w:type="spellStart"/>
      <w:r w:rsidR="00797B26" w:rsidRPr="002E1ED2">
        <w:rPr>
          <w:rFonts w:cs="Arial"/>
          <w:i/>
          <w:iCs/>
          <w:sz w:val="22"/>
          <w:szCs w:val="22"/>
        </w:rPr>
        <w:t>que</w:t>
      </w:r>
      <w:proofErr w:type="spellEnd"/>
      <w:r w:rsidR="00797B26" w:rsidRPr="002E1ED2">
        <w:rPr>
          <w:rFonts w:cs="Arial"/>
          <w:i/>
          <w:iCs/>
          <w:sz w:val="22"/>
          <w:szCs w:val="22"/>
        </w:rPr>
        <w:t xml:space="preserve"> momento y día de gas es esta confirmación?</w:t>
      </w:r>
      <w:proofErr w:type="gramEnd"/>
      <w:r>
        <w:rPr>
          <w:rFonts w:cs="Arial"/>
          <w:i/>
          <w:iCs/>
          <w:sz w:val="22"/>
          <w:szCs w:val="22"/>
        </w:rPr>
        <w:t>”</w:t>
      </w:r>
    </w:p>
    <w:p w14:paraId="01816F70" w14:textId="77777777" w:rsidR="002E1ED2" w:rsidRDefault="002E1ED2" w:rsidP="00797B26">
      <w:pPr>
        <w:rPr>
          <w:rFonts w:cs="Arial"/>
          <w:sz w:val="22"/>
          <w:szCs w:val="22"/>
        </w:rPr>
      </w:pPr>
    </w:p>
    <w:p w14:paraId="6411EC70" w14:textId="3E2876AF" w:rsidR="002E1ED2" w:rsidRPr="002E1ED2" w:rsidRDefault="002E1ED2" w:rsidP="00797B26">
      <w:pPr>
        <w:rPr>
          <w:rFonts w:cs="Arial"/>
          <w:b/>
          <w:bCs/>
          <w:sz w:val="22"/>
          <w:szCs w:val="22"/>
        </w:rPr>
      </w:pPr>
      <w:r w:rsidRPr="002E1ED2">
        <w:rPr>
          <w:rFonts w:cs="Arial"/>
          <w:b/>
          <w:bCs/>
          <w:sz w:val="22"/>
          <w:szCs w:val="22"/>
        </w:rPr>
        <w:t>Respuesta:</w:t>
      </w:r>
    </w:p>
    <w:p w14:paraId="78FB2418" w14:textId="77777777" w:rsidR="002E1ED2" w:rsidRDefault="002E1ED2" w:rsidP="00797B26">
      <w:pPr>
        <w:rPr>
          <w:rFonts w:cs="Arial"/>
          <w:sz w:val="22"/>
          <w:szCs w:val="22"/>
        </w:rPr>
      </w:pPr>
    </w:p>
    <w:p w14:paraId="2116254B" w14:textId="404D3C68" w:rsidR="002E1ED2" w:rsidRDefault="002E1ED2" w:rsidP="002E1ED2">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_Ref133393294 \r \h </w:instrText>
      </w:r>
      <w:r>
        <w:rPr>
          <w:rFonts w:cs="Arial"/>
          <w:sz w:val="22"/>
          <w:szCs w:val="22"/>
        </w:rPr>
      </w:r>
      <w:r>
        <w:rPr>
          <w:rFonts w:cs="Arial"/>
          <w:sz w:val="22"/>
          <w:szCs w:val="22"/>
        </w:rPr>
        <w:fldChar w:fldCharType="separate"/>
      </w:r>
      <w:r>
        <w:rPr>
          <w:rFonts w:cs="Arial"/>
          <w:sz w:val="22"/>
          <w:szCs w:val="22"/>
        </w:rPr>
        <w:t>33.1.1.1</w:t>
      </w:r>
      <w:r>
        <w:rPr>
          <w:rFonts w:cs="Arial"/>
          <w:sz w:val="22"/>
          <w:szCs w:val="22"/>
        </w:rPr>
        <w:fldChar w:fldCharType="end"/>
      </w:r>
      <w:r w:rsidR="00653AD7">
        <w:rPr>
          <w:rFonts w:cs="Arial"/>
          <w:sz w:val="22"/>
          <w:szCs w:val="22"/>
        </w:rPr>
        <w:t>.</w:t>
      </w:r>
    </w:p>
    <w:p w14:paraId="79593B61" w14:textId="77777777" w:rsidR="00012DE6" w:rsidRDefault="00012DE6" w:rsidP="00797B26">
      <w:pPr>
        <w:rPr>
          <w:rFonts w:cs="Arial"/>
          <w:sz w:val="22"/>
          <w:szCs w:val="22"/>
        </w:rPr>
      </w:pPr>
    </w:p>
    <w:p w14:paraId="56D16B96" w14:textId="77777777" w:rsidR="002E1ED2" w:rsidRDefault="002E1ED2" w:rsidP="00797B26">
      <w:pPr>
        <w:rPr>
          <w:rFonts w:cs="Arial"/>
          <w:sz w:val="22"/>
          <w:szCs w:val="22"/>
        </w:rPr>
      </w:pPr>
    </w:p>
    <w:p w14:paraId="34E251F1" w14:textId="77777777" w:rsidR="00012DE6" w:rsidRDefault="00797B26" w:rsidP="00B124BE">
      <w:pPr>
        <w:pStyle w:val="Ttulo2"/>
      </w:pPr>
      <w:bookmarkStart w:id="1007" w:name="_Toc140506559"/>
      <w:r w:rsidRPr="00797B26">
        <w:t>ALCANOS</w:t>
      </w:r>
      <w:bookmarkEnd w:id="1007"/>
      <w:r w:rsidRPr="00797B26">
        <w:tab/>
      </w:r>
    </w:p>
    <w:p w14:paraId="47B29151" w14:textId="77777777" w:rsidR="00B124BE" w:rsidRDefault="00B124BE" w:rsidP="00B124BE">
      <w:pPr>
        <w:pStyle w:val="Ttulo4"/>
      </w:pPr>
      <w:r w:rsidRPr="00797B26">
        <w:t>ALCANOS</w:t>
      </w:r>
      <w:r w:rsidRPr="00797B26">
        <w:tab/>
      </w:r>
    </w:p>
    <w:p w14:paraId="06A0EBB2" w14:textId="474B5636" w:rsidR="00797B26" w:rsidRDefault="00F40310" w:rsidP="00797B26">
      <w:pPr>
        <w:rPr>
          <w:rFonts w:cs="Arial"/>
          <w:i/>
          <w:iCs/>
          <w:sz w:val="22"/>
          <w:szCs w:val="22"/>
        </w:rPr>
      </w:pPr>
      <w:r>
        <w:rPr>
          <w:rFonts w:cs="Arial"/>
          <w:i/>
          <w:iCs/>
          <w:sz w:val="22"/>
          <w:szCs w:val="22"/>
        </w:rPr>
        <w:t>“</w:t>
      </w:r>
      <w:r w:rsidR="00797B26" w:rsidRPr="002E1ED2">
        <w:rPr>
          <w:rFonts w:cs="Arial"/>
          <w:i/>
          <w:iCs/>
          <w:sz w:val="22"/>
          <w:szCs w:val="22"/>
        </w:rPr>
        <w:t xml:space="preserve">Una vez confirmado el programa de transporte, las cantidades de gas no podrán ser </w:t>
      </w:r>
      <w:proofErr w:type="spellStart"/>
      <w:r w:rsidR="00797B26" w:rsidRPr="002E1ED2">
        <w:rPr>
          <w:rFonts w:cs="Arial"/>
          <w:i/>
          <w:iCs/>
          <w:sz w:val="22"/>
          <w:szCs w:val="22"/>
        </w:rPr>
        <w:t>renominadas</w:t>
      </w:r>
      <w:proofErr w:type="spellEnd"/>
      <w:r w:rsidR="00797B26" w:rsidRPr="002E1ED2">
        <w:rPr>
          <w:rFonts w:cs="Arial"/>
          <w:i/>
          <w:iCs/>
          <w:sz w:val="22"/>
          <w:szCs w:val="22"/>
        </w:rPr>
        <w:t xml:space="preserve"> por los compradores del Mercado Primario. Se exceptúan de esta disposición los compradores Termoeléctricos que la requieran para su generación eléctrica.</w:t>
      </w:r>
    </w:p>
    <w:p w14:paraId="64CDFCBF" w14:textId="77777777" w:rsidR="002E1ED2" w:rsidRDefault="002E1ED2" w:rsidP="00797B26">
      <w:pPr>
        <w:rPr>
          <w:rFonts w:cs="Arial"/>
          <w:i/>
          <w:iCs/>
          <w:sz w:val="22"/>
          <w:szCs w:val="22"/>
        </w:rPr>
      </w:pPr>
    </w:p>
    <w:p w14:paraId="6366B43E" w14:textId="0D3A0DE3" w:rsidR="002E1ED2" w:rsidRPr="002E1ED2" w:rsidRDefault="002E1ED2" w:rsidP="00797B26">
      <w:pPr>
        <w:rPr>
          <w:rFonts w:cs="Arial"/>
          <w:i/>
          <w:iCs/>
          <w:sz w:val="22"/>
          <w:szCs w:val="22"/>
        </w:rPr>
      </w:pPr>
      <w:r w:rsidRPr="002E1ED2">
        <w:rPr>
          <w:rFonts w:cs="Arial"/>
          <w:i/>
          <w:iCs/>
          <w:sz w:val="22"/>
          <w:szCs w:val="22"/>
        </w:rPr>
        <w:t xml:space="preserve">Se requieren </w:t>
      </w:r>
      <w:proofErr w:type="spellStart"/>
      <w:r w:rsidRPr="002E1ED2">
        <w:rPr>
          <w:rFonts w:cs="Arial"/>
          <w:i/>
          <w:iCs/>
          <w:sz w:val="22"/>
          <w:szCs w:val="22"/>
        </w:rPr>
        <w:t>renominaciones</w:t>
      </w:r>
      <w:proofErr w:type="spellEnd"/>
      <w:r w:rsidRPr="002E1ED2">
        <w:rPr>
          <w:rFonts w:cs="Arial"/>
          <w:i/>
          <w:iCs/>
          <w:sz w:val="22"/>
          <w:szCs w:val="22"/>
        </w:rPr>
        <w:t xml:space="preserve"> especialmente para la atención de usuarios atendidos con GNC, dado a la disponibilidad de las rutas de transporte virtual.</w:t>
      </w:r>
      <w:r w:rsidR="00F40310">
        <w:rPr>
          <w:rFonts w:cs="Arial"/>
          <w:i/>
          <w:iCs/>
          <w:sz w:val="22"/>
          <w:szCs w:val="22"/>
        </w:rPr>
        <w:t>”</w:t>
      </w:r>
    </w:p>
    <w:p w14:paraId="536557EF" w14:textId="77777777" w:rsidR="002E1ED2" w:rsidRDefault="002E1ED2" w:rsidP="00797B26">
      <w:pPr>
        <w:rPr>
          <w:rFonts w:cs="Arial"/>
          <w:sz w:val="22"/>
          <w:szCs w:val="22"/>
        </w:rPr>
      </w:pPr>
    </w:p>
    <w:p w14:paraId="51A5A037" w14:textId="79C8A47A" w:rsidR="002E1ED2" w:rsidRPr="002E1ED2" w:rsidRDefault="002E1ED2" w:rsidP="00797B26">
      <w:pPr>
        <w:rPr>
          <w:rFonts w:cs="Arial"/>
          <w:b/>
          <w:bCs/>
          <w:sz w:val="22"/>
          <w:szCs w:val="22"/>
        </w:rPr>
      </w:pPr>
      <w:r w:rsidRPr="002E1ED2">
        <w:rPr>
          <w:rFonts w:cs="Arial"/>
          <w:b/>
          <w:bCs/>
          <w:sz w:val="22"/>
          <w:szCs w:val="22"/>
        </w:rPr>
        <w:t>Respuesta:</w:t>
      </w:r>
    </w:p>
    <w:p w14:paraId="34D67D7F" w14:textId="77777777" w:rsidR="002E1ED2" w:rsidRDefault="002E1ED2" w:rsidP="00797B26">
      <w:pPr>
        <w:rPr>
          <w:rFonts w:cs="Arial"/>
          <w:sz w:val="22"/>
          <w:szCs w:val="22"/>
        </w:rPr>
      </w:pPr>
    </w:p>
    <w:p w14:paraId="07A2A670" w14:textId="77777777" w:rsidR="002E1ED2" w:rsidRDefault="002E1ED2" w:rsidP="002E1ED2">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_Ref133393294 \r \h </w:instrText>
      </w:r>
      <w:r>
        <w:rPr>
          <w:rFonts w:cs="Arial"/>
          <w:sz w:val="22"/>
          <w:szCs w:val="22"/>
        </w:rPr>
      </w:r>
      <w:r>
        <w:rPr>
          <w:rFonts w:cs="Arial"/>
          <w:sz w:val="22"/>
          <w:szCs w:val="22"/>
        </w:rPr>
        <w:fldChar w:fldCharType="separate"/>
      </w:r>
      <w:r>
        <w:rPr>
          <w:rFonts w:cs="Arial"/>
          <w:sz w:val="22"/>
          <w:szCs w:val="22"/>
        </w:rPr>
        <w:t>33.1.1.1</w:t>
      </w:r>
      <w:r>
        <w:rPr>
          <w:rFonts w:cs="Arial"/>
          <w:sz w:val="22"/>
          <w:szCs w:val="22"/>
        </w:rPr>
        <w:fldChar w:fldCharType="end"/>
      </w:r>
    </w:p>
    <w:p w14:paraId="4AB22623" w14:textId="77777777" w:rsidR="00012DE6" w:rsidRDefault="00012DE6" w:rsidP="00797B26">
      <w:pPr>
        <w:rPr>
          <w:rFonts w:cs="Arial"/>
          <w:sz w:val="22"/>
          <w:szCs w:val="22"/>
        </w:rPr>
      </w:pPr>
    </w:p>
    <w:p w14:paraId="28A54B11" w14:textId="77777777" w:rsidR="00012DE6" w:rsidRDefault="00012DE6" w:rsidP="00797B26">
      <w:pPr>
        <w:rPr>
          <w:rFonts w:cs="Arial"/>
          <w:sz w:val="22"/>
          <w:szCs w:val="22"/>
        </w:rPr>
      </w:pPr>
    </w:p>
    <w:p w14:paraId="1D77F894" w14:textId="77777777" w:rsidR="00012DE6" w:rsidRDefault="00797B26" w:rsidP="00B124BE">
      <w:pPr>
        <w:pStyle w:val="Ttulo2"/>
      </w:pPr>
      <w:bookmarkStart w:id="1008" w:name="_Toc140506560"/>
      <w:r w:rsidRPr="00797B26">
        <w:t>ISAGEN</w:t>
      </w:r>
      <w:bookmarkEnd w:id="1008"/>
      <w:r w:rsidRPr="00797B26">
        <w:tab/>
      </w:r>
    </w:p>
    <w:p w14:paraId="473DB61C" w14:textId="77777777" w:rsidR="00B124BE" w:rsidRDefault="00B124BE" w:rsidP="00B124BE">
      <w:pPr>
        <w:pStyle w:val="Ttulo4"/>
      </w:pPr>
      <w:r w:rsidRPr="00797B26">
        <w:t>ISAGEN</w:t>
      </w:r>
      <w:r w:rsidRPr="00797B26">
        <w:tab/>
      </w:r>
    </w:p>
    <w:p w14:paraId="667ECF8C" w14:textId="683D9487" w:rsidR="00797B26" w:rsidRPr="002E1ED2" w:rsidRDefault="00797B26" w:rsidP="00797B26">
      <w:pPr>
        <w:rPr>
          <w:rFonts w:cs="Arial"/>
          <w:i/>
          <w:iCs/>
          <w:sz w:val="22"/>
          <w:szCs w:val="22"/>
        </w:rPr>
      </w:pPr>
      <w:r w:rsidRPr="00797B26">
        <w:rPr>
          <w:rFonts w:cs="Arial"/>
          <w:sz w:val="22"/>
          <w:szCs w:val="22"/>
        </w:rPr>
        <w:t>"</w:t>
      </w:r>
      <w:r w:rsidRPr="002E1ED2">
        <w:rPr>
          <w:rFonts w:cs="Arial"/>
          <w:i/>
          <w:iCs/>
          <w:sz w:val="22"/>
          <w:szCs w:val="22"/>
        </w:rPr>
        <w:t xml:space="preserve">Teniendo en cuenta lo definido en el RUT los agentes podrán hacer hasta 4 </w:t>
      </w:r>
      <w:proofErr w:type="spellStart"/>
      <w:r w:rsidRPr="002E1ED2">
        <w:rPr>
          <w:rFonts w:cs="Arial"/>
          <w:i/>
          <w:iCs/>
          <w:sz w:val="22"/>
          <w:szCs w:val="22"/>
        </w:rPr>
        <w:t>renominaciones</w:t>
      </w:r>
      <w:proofErr w:type="spellEnd"/>
      <w:r w:rsidRPr="002E1ED2">
        <w:rPr>
          <w:rFonts w:cs="Arial"/>
          <w:i/>
          <w:iCs/>
          <w:sz w:val="22"/>
          <w:szCs w:val="22"/>
        </w:rPr>
        <w:t xml:space="preserve"> durante el ciclo de nominaciones, lo cual es permitido incluso durante el día de gas (D) o sea posterior a la confirmación del programa de transporte que se realiza en el D-1. Las </w:t>
      </w:r>
      <w:proofErr w:type="spellStart"/>
      <w:r w:rsidRPr="002E1ED2">
        <w:rPr>
          <w:rFonts w:cs="Arial"/>
          <w:i/>
          <w:iCs/>
          <w:sz w:val="22"/>
          <w:szCs w:val="22"/>
        </w:rPr>
        <w:t>renominaciones</w:t>
      </w:r>
      <w:proofErr w:type="spellEnd"/>
      <w:r w:rsidRPr="002E1ED2">
        <w:rPr>
          <w:rFonts w:cs="Arial"/>
          <w:i/>
          <w:iCs/>
          <w:sz w:val="22"/>
          <w:szCs w:val="22"/>
        </w:rPr>
        <w:t xml:space="preserve"> son los mecanismos que los agentes tenemos para ajustar el programa de suministro y transporte de gas planeado en el día anterior, y es muy contraproducente e inviable que se restrinjan o no se permitan, más </w:t>
      </w:r>
      <w:proofErr w:type="spellStart"/>
      <w:r w:rsidRPr="002E1ED2">
        <w:rPr>
          <w:rFonts w:cs="Arial"/>
          <w:i/>
          <w:iCs/>
          <w:sz w:val="22"/>
          <w:szCs w:val="22"/>
        </w:rPr>
        <w:t>aún</w:t>
      </w:r>
      <w:proofErr w:type="spellEnd"/>
      <w:r w:rsidRPr="002E1ED2">
        <w:rPr>
          <w:rFonts w:cs="Arial"/>
          <w:i/>
          <w:iCs/>
          <w:sz w:val="22"/>
          <w:szCs w:val="22"/>
        </w:rPr>
        <w:t xml:space="preserve"> teniendo en cuenta que en el mercado de gas el transportador cobra </w:t>
      </w:r>
      <w:proofErr w:type="gramStart"/>
      <w:r w:rsidRPr="002E1ED2">
        <w:rPr>
          <w:rFonts w:cs="Arial"/>
          <w:i/>
          <w:iCs/>
          <w:sz w:val="22"/>
          <w:szCs w:val="22"/>
        </w:rPr>
        <w:t>multas económicas</w:t>
      </w:r>
      <w:proofErr w:type="gramEnd"/>
      <w:r w:rsidRPr="002E1ED2">
        <w:rPr>
          <w:rFonts w:cs="Arial"/>
          <w:i/>
          <w:iCs/>
          <w:sz w:val="22"/>
          <w:szCs w:val="22"/>
        </w:rPr>
        <w:t xml:space="preserve"> por las deviaciones horarias y diarias.</w:t>
      </w:r>
    </w:p>
    <w:p w14:paraId="29ED1D6E" w14:textId="77777777" w:rsidR="00797B26" w:rsidRPr="002E1ED2" w:rsidRDefault="00797B26" w:rsidP="00797B26">
      <w:pPr>
        <w:rPr>
          <w:rFonts w:cs="Arial"/>
          <w:i/>
          <w:iCs/>
          <w:sz w:val="22"/>
          <w:szCs w:val="22"/>
        </w:rPr>
      </w:pPr>
    </w:p>
    <w:p w14:paraId="088ECA33" w14:textId="77777777" w:rsidR="00797B26" w:rsidRPr="002E1ED2" w:rsidRDefault="00797B26" w:rsidP="00797B26">
      <w:pPr>
        <w:rPr>
          <w:rFonts w:cs="Arial"/>
          <w:i/>
          <w:iCs/>
          <w:sz w:val="22"/>
          <w:szCs w:val="22"/>
        </w:rPr>
      </w:pPr>
      <w:r w:rsidRPr="002E1ED2">
        <w:rPr>
          <w:rFonts w:cs="Arial"/>
          <w:i/>
          <w:iCs/>
          <w:sz w:val="22"/>
          <w:szCs w:val="22"/>
        </w:rPr>
        <w:t>Adjuntamos algunos apartes del RUT sobre el tema:</w:t>
      </w:r>
    </w:p>
    <w:p w14:paraId="6503A811" w14:textId="77777777" w:rsidR="00012DE6" w:rsidRPr="002E1ED2" w:rsidRDefault="00012DE6" w:rsidP="00797B26">
      <w:pPr>
        <w:rPr>
          <w:rFonts w:cs="Arial"/>
          <w:i/>
          <w:iCs/>
          <w:sz w:val="22"/>
          <w:szCs w:val="22"/>
        </w:rPr>
      </w:pPr>
    </w:p>
    <w:p w14:paraId="68EFB3B5" w14:textId="1E881112" w:rsidR="00797B26" w:rsidRPr="002E1ED2" w:rsidRDefault="00797B26" w:rsidP="00797B26">
      <w:pPr>
        <w:rPr>
          <w:rFonts w:cs="Arial"/>
          <w:i/>
          <w:iCs/>
          <w:sz w:val="22"/>
          <w:szCs w:val="22"/>
        </w:rPr>
      </w:pPr>
      <w:r w:rsidRPr="002E1ED2">
        <w:rPr>
          <w:rFonts w:cs="Arial"/>
          <w:i/>
          <w:iCs/>
          <w:sz w:val="22"/>
          <w:szCs w:val="22"/>
        </w:rPr>
        <w:t>RENOMINACION: Nominación sometida a consideración del CPC durante el Día de Gas mediante la cual un Remitente solicita incrementar o disminuir las nominaciones previamente confirmadas.</w:t>
      </w:r>
    </w:p>
    <w:p w14:paraId="18732A4B" w14:textId="77777777" w:rsidR="00012DE6" w:rsidRPr="002E1ED2" w:rsidRDefault="00012DE6" w:rsidP="00797B26">
      <w:pPr>
        <w:rPr>
          <w:rFonts w:cs="Arial"/>
          <w:i/>
          <w:iCs/>
          <w:sz w:val="22"/>
          <w:szCs w:val="22"/>
        </w:rPr>
      </w:pPr>
    </w:p>
    <w:p w14:paraId="4ECE14E6" w14:textId="58538DC9" w:rsidR="00797B26" w:rsidRPr="002E1ED2" w:rsidRDefault="00797B26" w:rsidP="00797B26">
      <w:pPr>
        <w:rPr>
          <w:rFonts w:cs="Arial"/>
          <w:i/>
          <w:iCs/>
          <w:sz w:val="22"/>
          <w:szCs w:val="22"/>
        </w:rPr>
      </w:pPr>
      <w:r w:rsidRPr="002E1ED2">
        <w:rPr>
          <w:rFonts w:cs="Arial"/>
          <w:i/>
          <w:iCs/>
          <w:sz w:val="22"/>
          <w:szCs w:val="22"/>
        </w:rPr>
        <w:t xml:space="preserve">4.5.1.3  </w:t>
      </w:r>
      <w:proofErr w:type="spellStart"/>
      <w:r w:rsidRPr="002E1ED2">
        <w:rPr>
          <w:rFonts w:cs="Arial"/>
          <w:i/>
          <w:iCs/>
          <w:sz w:val="22"/>
          <w:szCs w:val="22"/>
        </w:rPr>
        <w:t>Renominaciones</w:t>
      </w:r>
      <w:proofErr w:type="spellEnd"/>
      <w:r w:rsidRPr="002E1ED2">
        <w:rPr>
          <w:rFonts w:cs="Arial"/>
          <w:i/>
          <w:iCs/>
          <w:sz w:val="22"/>
          <w:szCs w:val="22"/>
        </w:rPr>
        <w:t xml:space="preserve"> de transporte (Modificado por el Artículo 1 de la Resolución CREG-028 de 2001). El Remitente podrá efectuar, y el CPC respectivo deberá aceptar, por lo menos cuatro (4) </w:t>
      </w:r>
      <w:proofErr w:type="spellStart"/>
      <w:r w:rsidRPr="002E1ED2">
        <w:rPr>
          <w:rFonts w:cs="Arial"/>
          <w:i/>
          <w:iCs/>
          <w:sz w:val="22"/>
          <w:szCs w:val="22"/>
        </w:rPr>
        <w:t>renominaciones</w:t>
      </w:r>
      <w:proofErr w:type="spellEnd"/>
      <w:r w:rsidRPr="002E1ED2">
        <w:rPr>
          <w:rFonts w:cs="Arial"/>
          <w:i/>
          <w:iCs/>
          <w:sz w:val="22"/>
          <w:szCs w:val="22"/>
        </w:rPr>
        <w:t xml:space="preserve"> durante el Día de Gas, siempre y cuando las respectivas solicitudes sean enviadas al menos con seis (6) horas de anticipación al momento en que se requiera la modificación en el flujo de Gas. El CPC podrá negar la aprobación de la </w:t>
      </w:r>
      <w:proofErr w:type="spellStart"/>
      <w:r w:rsidRPr="002E1ED2">
        <w:rPr>
          <w:rFonts w:cs="Arial"/>
          <w:i/>
          <w:iCs/>
          <w:sz w:val="22"/>
          <w:szCs w:val="22"/>
        </w:rPr>
        <w:t>renominación</w:t>
      </w:r>
      <w:proofErr w:type="spellEnd"/>
      <w:r w:rsidRPr="002E1ED2">
        <w:rPr>
          <w:rFonts w:cs="Arial"/>
          <w:i/>
          <w:iCs/>
          <w:sz w:val="22"/>
          <w:szCs w:val="22"/>
        </w:rPr>
        <w:t xml:space="preserve"> si existen limitaciones técnicas o de capacidad demostrables en el Sistema Nacional de Transporte. Las cuatro </w:t>
      </w:r>
      <w:proofErr w:type="spellStart"/>
      <w:r w:rsidRPr="002E1ED2">
        <w:rPr>
          <w:rFonts w:cs="Arial"/>
          <w:i/>
          <w:iCs/>
          <w:sz w:val="22"/>
          <w:szCs w:val="22"/>
        </w:rPr>
        <w:t>renominaciones</w:t>
      </w:r>
      <w:proofErr w:type="spellEnd"/>
      <w:r w:rsidRPr="002E1ED2">
        <w:rPr>
          <w:rFonts w:cs="Arial"/>
          <w:i/>
          <w:iCs/>
          <w:sz w:val="22"/>
          <w:szCs w:val="22"/>
        </w:rPr>
        <w:t xml:space="preserve"> que el Transportador está obligado a aceptar durante el Día de Gas deberán realizarse en forma sincronizada a nivel nacional en los horarios que determine el CNO.</w:t>
      </w:r>
    </w:p>
    <w:p w14:paraId="117257A8" w14:textId="77777777" w:rsidR="00012DE6" w:rsidRPr="002E1ED2" w:rsidRDefault="00012DE6" w:rsidP="00797B26">
      <w:pPr>
        <w:rPr>
          <w:rFonts w:cs="Arial"/>
          <w:i/>
          <w:iCs/>
          <w:sz w:val="22"/>
          <w:szCs w:val="22"/>
        </w:rPr>
      </w:pPr>
    </w:p>
    <w:p w14:paraId="530495D8" w14:textId="152A43A9" w:rsidR="00797B26" w:rsidRDefault="00797B26" w:rsidP="00797B26">
      <w:pPr>
        <w:rPr>
          <w:rFonts w:cs="Arial"/>
          <w:sz w:val="22"/>
          <w:szCs w:val="22"/>
        </w:rPr>
      </w:pPr>
      <w:r w:rsidRPr="002E1ED2">
        <w:rPr>
          <w:rFonts w:cs="Arial"/>
          <w:i/>
          <w:iCs/>
          <w:sz w:val="22"/>
          <w:szCs w:val="22"/>
        </w:rPr>
        <w:t xml:space="preserve">4.5.2.2 </w:t>
      </w:r>
      <w:proofErr w:type="spellStart"/>
      <w:r w:rsidRPr="002E1ED2">
        <w:rPr>
          <w:rFonts w:cs="Arial"/>
          <w:i/>
          <w:iCs/>
          <w:sz w:val="22"/>
          <w:szCs w:val="22"/>
        </w:rPr>
        <w:t>Renominaciones</w:t>
      </w:r>
      <w:proofErr w:type="spellEnd"/>
      <w:r w:rsidRPr="002E1ED2">
        <w:rPr>
          <w:rFonts w:cs="Arial"/>
          <w:i/>
          <w:iCs/>
          <w:sz w:val="22"/>
          <w:szCs w:val="22"/>
        </w:rPr>
        <w:t xml:space="preserve"> de suministro. El Remitente podrá efectuar, y el Productor-Comercializador o Comercializador, según el caso, deberá aceptar, por lo menos cuatro (4) </w:t>
      </w:r>
      <w:proofErr w:type="spellStart"/>
      <w:r w:rsidRPr="002E1ED2">
        <w:rPr>
          <w:rFonts w:cs="Arial"/>
          <w:i/>
          <w:iCs/>
          <w:sz w:val="22"/>
          <w:szCs w:val="22"/>
        </w:rPr>
        <w:t>renominaciones</w:t>
      </w:r>
      <w:proofErr w:type="spellEnd"/>
      <w:r w:rsidRPr="002E1ED2">
        <w:rPr>
          <w:rFonts w:cs="Arial"/>
          <w:i/>
          <w:iCs/>
          <w:sz w:val="22"/>
          <w:szCs w:val="22"/>
        </w:rPr>
        <w:t xml:space="preserve"> durante el Día de Gas, siempre y cuando las respectivas solicitudes sean enviadas al menos con seis (6) horas de anticipación al momento en que se requiera la modificación en el flujo de Gas. El Productor-comercializador o Comercializador podrá negar la aprobación de la </w:t>
      </w:r>
      <w:proofErr w:type="spellStart"/>
      <w:r w:rsidRPr="002E1ED2">
        <w:rPr>
          <w:rFonts w:cs="Arial"/>
          <w:i/>
          <w:iCs/>
          <w:sz w:val="22"/>
          <w:szCs w:val="22"/>
        </w:rPr>
        <w:t>renominación</w:t>
      </w:r>
      <w:proofErr w:type="spellEnd"/>
      <w:r w:rsidRPr="002E1ED2">
        <w:rPr>
          <w:rFonts w:cs="Arial"/>
          <w:i/>
          <w:iCs/>
          <w:sz w:val="22"/>
          <w:szCs w:val="22"/>
        </w:rPr>
        <w:t xml:space="preserve"> si existen limitaciones técnicas o de capacidad en las facilidades de suministro. Las </w:t>
      </w:r>
      <w:proofErr w:type="spellStart"/>
      <w:r w:rsidRPr="002E1ED2">
        <w:rPr>
          <w:rFonts w:cs="Arial"/>
          <w:i/>
          <w:iCs/>
          <w:sz w:val="22"/>
          <w:szCs w:val="22"/>
        </w:rPr>
        <w:t>Renominaciones</w:t>
      </w:r>
      <w:proofErr w:type="spellEnd"/>
      <w:r w:rsidRPr="002E1ED2">
        <w:rPr>
          <w:rFonts w:cs="Arial"/>
          <w:i/>
          <w:iCs/>
          <w:sz w:val="22"/>
          <w:szCs w:val="22"/>
        </w:rPr>
        <w:t xml:space="preserve"> de suministro deberán efectuarse en forma sincronizada a nivel nacional una hora antes de las horas establecidas por el CNO para las </w:t>
      </w:r>
      <w:proofErr w:type="spellStart"/>
      <w:r w:rsidRPr="002E1ED2">
        <w:rPr>
          <w:rFonts w:cs="Arial"/>
          <w:i/>
          <w:iCs/>
          <w:sz w:val="22"/>
          <w:szCs w:val="22"/>
        </w:rPr>
        <w:t>Renominaciones</w:t>
      </w:r>
      <w:proofErr w:type="spellEnd"/>
      <w:r w:rsidRPr="002E1ED2">
        <w:rPr>
          <w:rFonts w:cs="Arial"/>
          <w:i/>
          <w:iCs/>
          <w:sz w:val="22"/>
          <w:szCs w:val="22"/>
        </w:rPr>
        <w:t xml:space="preserve"> de transporte</w:t>
      </w:r>
      <w:r w:rsidRPr="00797B26">
        <w:rPr>
          <w:rFonts w:cs="Arial"/>
          <w:sz w:val="22"/>
          <w:szCs w:val="22"/>
        </w:rPr>
        <w:t>."</w:t>
      </w:r>
    </w:p>
    <w:p w14:paraId="1F1BAD77" w14:textId="77777777" w:rsidR="002E1ED2" w:rsidRDefault="002E1ED2" w:rsidP="00797B26">
      <w:pPr>
        <w:rPr>
          <w:rFonts w:cs="Arial"/>
          <w:sz w:val="22"/>
          <w:szCs w:val="22"/>
        </w:rPr>
      </w:pPr>
    </w:p>
    <w:p w14:paraId="6DD1982E" w14:textId="4E452EDC" w:rsidR="002E1ED2" w:rsidRPr="002E1ED2" w:rsidRDefault="002E1ED2" w:rsidP="00797B26">
      <w:pPr>
        <w:rPr>
          <w:rFonts w:cs="Arial"/>
          <w:b/>
          <w:bCs/>
          <w:sz w:val="22"/>
          <w:szCs w:val="22"/>
        </w:rPr>
      </w:pPr>
      <w:r w:rsidRPr="002E1ED2">
        <w:rPr>
          <w:rFonts w:cs="Arial"/>
          <w:b/>
          <w:bCs/>
          <w:sz w:val="22"/>
          <w:szCs w:val="22"/>
        </w:rPr>
        <w:t>Respuesta:</w:t>
      </w:r>
    </w:p>
    <w:p w14:paraId="22190A22" w14:textId="77777777" w:rsidR="002E1ED2" w:rsidRDefault="002E1ED2" w:rsidP="00797B26">
      <w:pPr>
        <w:rPr>
          <w:rFonts w:cs="Arial"/>
          <w:sz w:val="22"/>
          <w:szCs w:val="22"/>
        </w:rPr>
      </w:pPr>
    </w:p>
    <w:p w14:paraId="65A4D84C" w14:textId="7FD6DC21" w:rsidR="002E1ED2" w:rsidRDefault="002E1ED2" w:rsidP="002E1ED2">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_Ref133393294 \r \h </w:instrText>
      </w:r>
      <w:r>
        <w:rPr>
          <w:rFonts w:cs="Arial"/>
          <w:sz w:val="22"/>
          <w:szCs w:val="22"/>
        </w:rPr>
      </w:r>
      <w:r>
        <w:rPr>
          <w:rFonts w:cs="Arial"/>
          <w:sz w:val="22"/>
          <w:szCs w:val="22"/>
        </w:rPr>
        <w:fldChar w:fldCharType="separate"/>
      </w:r>
      <w:r>
        <w:rPr>
          <w:rFonts w:cs="Arial"/>
          <w:sz w:val="22"/>
          <w:szCs w:val="22"/>
        </w:rPr>
        <w:t>33.1.1.1</w:t>
      </w:r>
      <w:r>
        <w:rPr>
          <w:rFonts w:cs="Arial"/>
          <w:sz w:val="22"/>
          <w:szCs w:val="22"/>
        </w:rPr>
        <w:fldChar w:fldCharType="end"/>
      </w:r>
      <w:r w:rsidR="00653AD7">
        <w:rPr>
          <w:rFonts w:cs="Arial"/>
          <w:sz w:val="22"/>
          <w:szCs w:val="22"/>
        </w:rPr>
        <w:t>.</w:t>
      </w:r>
    </w:p>
    <w:p w14:paraId="4FE3CC40" w14:textId="77777777" w:rsidR="002E1ED2" w:rsidRPr="00797B26" w:rsidRDefault="002E1ED2" w:rsidP="00797B26">
      <w:pPr>
        <w:rPr>
          <w:rFonts w:cs="Arial"/>
          <w:sz w:val="22"/>
          <w:szCs w:val="22"/>
        </w:rPr>
      </w:pPr>
    </w:p>
    <w:p w14:paraId="1B7A8F0B" w14:textId="77777777" w:rsidR="00012DE6" w:rsidRDefault="00012DE6" w:rsidP="00797B26">
      <w:pPr>
        <w:rPr>
          <w:rFonts w:cs="Arial"/>
          <w:sz w:val="22"/>
          <w:szCs w:val="22"/>
        </w:rPr>
      </w:pPr>
    </w:p>
    <w:p w14:paraId="5D641634" w14:textId="77777777" w:rsidR="00012DE6" w:rsidRDefault="00797B26" w:rsidP="00B124BE">
      <w:pPr>
        <w:pStyle w:val="Ttulo2"/>
      </w:pPr>
      <w:bookmarkStart w:id="1009" w:name="_Toc140506561"/>
      <w:r w:rsidRPr="00797B26">
        <w:t>TEBSA</w:t>
      </w:r>
      <w:bookmarkEnd w:id="1009"/>
      <w:r w:rsidRPr="00797B26">
        <w:tab/>
      </w:r>
    </w:p>
    <w:p w14:paraId="3DF5B27B" w14:textId="77777777" w:rsidR="00B124BE" w:rsidRDefault="00B124BE" w:rsidP="00B124BE">
      <w:pPr>
        <w:pStyle w:val="Ttulo4"/>
      </w:pPr>
      <w:r w:rsidRPr="00797B26">
        <w:t>TEBSA</w:t>
      </w:r>
      <w:r w:rsidRPr="00797B26">
        <w:tab/>
      </w:r>
    </w:p>
    <w:p w14:paraId="71F55496" w14:textId="602313C9" w:rsidR="00797B26" w:rsidRPr="00653AD7" w:rsidRDefault="004E2385" w:rsidP="00797B26">
      <w:pPr>
        <w:rPr>
          <w:rFonts w:cs="Arial"/>
          <w:i/>
          <w:iCs/>
          <w:sz w:val="22"/>
          <w:szCs w:val="22"/>
        </w:rPr>
      </w:pPr>
      <w:r>
        <w:rPr>
          <w:rFonts w:cs="Arial"/>
          <w:i/>
          <w:iCs/>
          <w:sz w:val="22"/>
          <w:szCs w:val="22"/>
        </w:rPr>
        <w:t>“</w:t>
      </w:r>
      <w:r w:rsidR="00797B26" w:rsidRPr="00653AD7">
        <w:rPr>
          <w:rFonts w:cs="Arial"/>
          <w:i/>
          <w:iCs/>
          <w:sz w:val="22"/>
          <w:szCs w:val="22"/>
        </w:rPr>
        <w:t>Solicitamos claridad frent</w:t>
      </w:r>
      <w:r w:rsidR="00012DE6" w:rsidRPr="00653AD7">
        <w:rPr>
          <w:rFonts w:cs="Arial"/>
          <w:i/>
          <w:iCs/>
          <w:sz w:val="22"/>
          <w:szCs w:val="22"/>
        </w:rPr>
        <w:t>e</w:t>
      </w:r>
      <w:r w:rsidR="00797B26" w:rsidRPr="00653AD7">
        <w:rPr>
          <w:rFonts w:cs="Arial"/>
          <w:i/>
          <w:iCs/>
          <w:sz w:val="22"/>
          <w:szCs w:val="22"/>
        </w:rPr>
        <w:t xml:space="preserve"> a lo planteado en el numeral 3., consideramos que todo contrato debe permitir las </w:t>
      </w:r>
      <w:proofErr w:type="spellStart"/>
      <w:r w:rsidR="00797B26" w:rsidRPr="00653AD7">
        <w:rPr>
          <w:rFonts w:cs="Arial"/>
          <w:i/>
          <w:iCs/>
          <w:sz w:val="22"/>
          <w:szCs w:val="22"/>
        </w:rPr>
        <w:t>renominaciones</w:t>
      </w:r>
      <w:proofErr w:type="spellEnd"/>
      <w:r w:rsidR="00653AD7" w:rsidRPr="00653AD7">
        <w:rPr>
          <w:rFonts w:cs="Arial"/>
          <w:i/>
          <w:iCs/>
          <w:sz w:val="22"/>
          <w:szCs w:val="22"/>
        </w:rPr>
        <w:t>.</w:t>
      </w:r>
      <w:r>
        <w:rPr>
          <w:rFonts w:cs="Arial"/>
          <w:i/>
          <w:iCs/>
          <w:sz w:val="22"/>
          <w:szCs w:val="22"/>
        </w:rPr>
        <w:t>”</w:t>
      </w:r>
    </w:p>
    <w:p w14:paraId="256BB0C9" w14:textId="77777777" w:rsidR="00653AD7" w:rsidRDefault="00653AD7" w:rsidP="00797B26">
      <w:pPr>
        <w:rPr>
          <w:rFonts w:cs="Arial"/>
          <w:sz w:val="22"/>
          <w:szCs w:val="22"/>
        </w:rPr>
      </w:pPr>
    </w:p>
    <w:p w14:paraId="0B342753" w14:textId="49C14B55" w:rsidR="00653AD7" w:rsidRPr="00653AD7" w:rsidRDefault="00653AD7" w:rsidP="00797B26">
      <w:pPr>
        <w:rPr>
          <w:rFonts w:cs="Arial"/>
          <w:b/>
          <w:bCs/>
          <w:sz w:val="22"/>
          <w:szCs w:val="22"/>
        </w:rPr>
      </w:pPr>
      <w:r w:rsidRPr="00653AD7">
        <w:rPr>
          <w:rFonts w:cs="Arial"/>
          <w:b/>
          <w:bCs/>
          <w:sz w:val="22"/>
          <w:szCs w:val="22"/>
        </w:rPr>
        <w:t>Respuesta:</w:t>
      </w:r>
    </w:p>
    <w:p w14:paraId="50651654" w14:textId="77777777" w:rsidR="00653AD7" w:rsidRDefault="00653AD7" w:rsidP="00797B26">
      <w:pPr>
        <w:rPr>
          <w:rFonts w:cs="Arial"/>
          <w:sz w:val="22"/>
          <w:szCs w:val="22"/>
        </w:rPr>
      </w:pPr>
    </w:p>
    <w:p w14:paraId="3B6EAD7F" w14:textId="7B54D0B0" w:rsidR="00653AD7" w:rsidRDefault="00653AD7" w:rsidP="00653AD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_Ref133393294 \r \h </w:instrText>
      </w:r>
      <w:r>
        <w:rPr>
          <w:rFonts w:cs="Arial"/>
          <w:sz w:val="22"/>
          <w:szCs w:val="22"/>
        </w:rPr>
      </w:r>
      <w:r>
        <w:rPr>
          <w:rFonts w:cs="Arial"/>
          <w:sz w:val="22"/>
          <w:szCs w:val="22"/>
        </w:rPr>
        <w:fldChar w:fldCharType="separate"/>
      </w:r>
      <w:r>
        <w:rPr>
          <w:rFonts w:cs="Arial"/>
          <w:sz w:val="22"/>
          <w:szCs w:val="22"/>
        </w:rPr>
        <w:t>33.1.1.1</w:t>
      </w:r>
      <w:r>
        <w:rPr>
          <w:rFonts w:cs="Arial"/>
          <w:sz w:val="22"/>
          <w:szCs w:val="22"/>
        </w:rPr>
        <w:fldChar w:fldCharType="end"/>
      </w:r>
      <w:r>
        <w:rPr>
          <w:rFonts w:cs="Arial"/>
          <w:sz w:val="22"/>
          <w:szCs w:val="22"/>
        </w:rPr>
        <w:t>.</w:t>
      </w:r>
    </w:p>
    <w:p w14:paraId="644F6DD5" w14:textId="77777777" w:rsidR="00653AD7" w:rsidRPr="00797B26" w:rsidRDefault="00653AD7" w:rsidP="00797B26">
      <w:pPr>
        <w:rPr>
          <w:rFonts w:cs="Arial"/>
          <w:sz w:val="22"/>
          <w:szCs w:val="22"/>
        </w:rPr>
      </w:pPr>
    </w:p>
    <w:p w14:paraId="239A3432" w14:textId="77777777" w:rsidR="00012DE6" w:rsidRDefault="00012DE6" w:rsidP="00797B26">
      <w:pPr>
        <w:rPr>
          <w:rFonts w:cs="Arial"/>
          <w:sz w:val="22"/>
          <w:szCs w:val="22"/>
        </w:rPr>
      </w:pPr>
    </w:p>
    <w:p w14:paraId="0A013D33" w14:textId="77777777" w:rsidR="00012DE6" w:rsidRDefault="00797B26" w:rsidP="00B124BE">
      <w:pPr>
        <w:pStyle w:val="Ttulo4"/>
      </w:pPr>
      <w:r w:rsidRPr="00797B26">
        <w:t>TEBSA</w:t>
      </w:r>
      <w:r w:rsidRPr="00797B26">
        <w:tab/>
        <w:t xml:space="preserve"> </w:t>
      </w:r>
    </w:p>
    <w:p w14:paraId="6BBAE584" w14:textId="564FA21D" w:rsidR="00797B26" w:rsidRPr="00653AD7" w:rsidRDefault="001377DA" w:rsidP="00797B26">
      <w:pPr>
        <w:rPr>
          <w:rFonts w:cs="Arial"/>
          <w:i/>
          <w:iCs/>
          <w:sz w:val="22"/>
          <w:szCs w:val="22"/>
        </w:rPr>
      </w:pPr>
      <w:r>
        <w:rPr>
          <w:rFonts w:cs="Arial"/>
          <w:i/>
          <w:iCs/>
          <w:sz w:val="22"/>
          <w:szCs w:val="22"/>
        </w:rPr>
        <w:t>“</w:t>
      </w:r>
      <w:r w:rsidR="00797B26" w:rsidRPr="00653AD7">
        <w:rPr>
          <w:rFonts w:cs="Arial"/>
          <w:i/>
          <w:iCs/>
          <w:sz w:val="22"/>
          <w:szCs w:val="22"/>
        </w:rPr>
        <w:t>Se requieren otras acciones para tener una adecuada coordinación gas-electricidad</w:t>
      </w:r>
      <w:r w:rsidR="00653AD7" w:rsidRPr="00653AD7">
        <w:rPr>
          <w:rFonts w:cs="Arial"/>
          <w:i/>
          <w:iCs/>
          <w:sz w:val="22"/>
          <w:szCs w:val="22"/>
        </w:rPr>
        <w:t>.</w:t>
      </w:r>
      <w:r>
        <w:rPr>
          <w:rFonts w:cs="Arial"/>
          <w:i/>
          <w:iCs/>
          <w:sz w:val="22"/>
          <w:szCs w:val="22"/>
        </w:rPr>
        <w:t>”</w:t>
      </w:r>
    </w:p>
    <w:p w14:paraId="4389F7A2" w14:textId="77777777" w:rsidR="00653AD7" w:rsidRDefault="00653AD7" w:rsidP="00797B26">
      <w:pPr>
        <w:rPr>
          <w:rFonts w:cs="Arial"/>
          <w:sz w:val="22"/>
          <w:szCs w:val="22"/>
        </w:rPr>
      </w:pPr>
    </w:p>
    <w:p w14:paraId="23FB3F07" w14:textId="0C986FC3" w:rsidR="00653AD7" w:rsidRPr="00653AD7" w:rsidRDefault="00653AD7" w:rsidP="00797B26">
      <w:pPr>
        <w:rPr>
          <w:rFonts w:cs="Arial"/>
          <w:b/>
          <w:bCs/>
          <w:sz w:val="22"/>
          <w:szCs w:val="22"/>
        </w:rPr>
      </w:pPr>
      <w:r w:rsidRPr="00653AD7">
        <w:rPr>
          <w:rFonts w:cs="Arial"/>
          <w:b/>
          <w:bCs/>
          <w:sz w:val="22"/>
          <w:szCs w:val="22"/>
        </w:rPr>
        <w:t>Respuesta:</w:t>
      </w:r>
    </w:p>
    <w:p w14:paraId="71A77077" w14:textId="77777777" w:rsidR="00653AD7" w:rsidRDefault="00653AD7" w:rsidP="00797B26">
      <w:pPr>
        <w:rPr>
          <w:rFonts w:cs="Arial"/>
          <w:sz w:val="22"/>
          <w:szCs w:val="22"/>
        </w:rPr>
      </w:pPr>
    </w:p>
    <w:p w14:paraId="71133C25" w14:textId="78C68C7E" w:rsidR="00653AD7" w:rsidRPr="00797B26" w:rsidRDefault="00653AD7" w:rsidP="00797B26">
      <w:pPr>
        <w:rPr>
          <w:rFonts w:cs="Arial"/>
          <w:sz w:val="22"/>
          <w:szCs w:val="22"/>
        </w:rPr>
      </w:pPr>
      <w:r>
        <w:rPr>
          <w:rFonts w:cs="Arial"/>
          <w:sz w:val="22"/>
          <w:szCs w:val="22"/>
        </w:rPr>
        <w:t>En el comentario no se mencionan qué otras acciones, si operativas o comerciales, se proponen que sean tenidas en cuenta en la reglamentación del Mercado Mayorista de Gas Natural. Se debe tener en cuenta que los aspectos operativos se deben establecer en el Reglamento Único de Transporte – RUT.</w:t>
      </w:r>
    </w:p>
    <w:p w14:paraId="4134B5FF" w14:textId="77777777" w:rsidR="00012DE6" w:rsidRDefault="00012DE6" w:rsidP="00797B26">
      <w:pPr>
        <w:rPr>
          <w:rFonts w:cs="Arial"/>
          <w:sz w:val="22"/>
          <w:szCs w:val="22"/>
        </w:rPr>
      </w:pPr>
    </w:p>
    <w:p w14:paraId="265D6DA5" w14:textId="77777777" w:rsidR="00012DE6" w:rsidRDefault="00012DE6" w:rsidP="00797B26">
      <w:pPr>
        <w:rPr>
          <w:rFonts w:cs="Arial"/>
          <w:sz w:val="22"/>
          <w:szCs w:val="22"/>
        </w:rPr>
      </w:pPr>
    </w:p>
    <w:p w14:paraId="39457907" w14:textId="119BF046" w:rsidR="00012DE6" w:rsidRDefault="00797B26" w:rsidP="00012DE6">
      <w:pPr>
        <w:pStyle w:val="Ttulo2"/>
      </w:pPr>
      <w:bookmarkStart w:id="1010" w:name="_Toc140506562"/>
      <w:r w:rsidRPr="00797B26">
        <w:t>TERPEL</w:t>
      </w:r>
      <w:bookmarkEnd w:id="1010"/>
      <w:r w:rsidRPr="00797B26">
        <w:tab/>
      </w:r>
    </w:p>
    <w:p w14:paraId="777B55EC" w14:textId="77777777" w:rsidR="00B124BE" w:rsidRDefault="00B124BE" w:rsidP="00B124BE">
      <w:pPr>
        <w:pStyle w:val="Ttulo4"/>
      </w:pPr>
      <w:r w:rsidRPr="00797B26">
        <w:t>TERPEL</w:t>
      </w:r>
      <w:r w:rsidRPr="00797B26">
        <w:tab/>
      </w:r>
    </w:p>
    <w:p w14:paraId="7C03EFDC" w14:textId="3749B050" w:rsidR="00797B26" w:rsidRPr="0048604F" w:rsidRDefault="001377DA" w:rsidP="00797B26">
      <w:pPr>
        <w:rPr>
          <w:rFonts w:cs="Arial"/>
          <w:i/>
          <w:iCs/>
          <w:sz w:val="22"/>
          <w:szCs w:val="22"/>
        </w:rPr>
      </w:pPr>
      <w:r>
        <w:rPr>
          <w:rFonts w:cs="Arial"/>
          <w:i/>
          <w:iCs/>
          <w:sz w:val="22"/>
          <w:szCs w:val="22"/>
        </w:rPr>
        <w:t>“</w:t>
      </w:r>
      <w:r w:rsidR="00797B26" w:rsidRPr="0048604F">
        <w:rPr>
          <w:rFonts w:cs="Arial"/>
          <w:i/>
          <w:iCs/>
          <w:sz w:val="22"/>
          <w:szCs w:val="22"/>
        </w:rPr>
        <w:t>En este caso, ¿quién es el responsable de la nominación de gas?</w:t>
      </w:r>
      <w:r>
        <w:rPr>
          <w:rFonts w:cs="Arial"/>
          <w:i/>
          <w:iCs/>
          <w:sz w:val="22"/>
          <w:szCs w:val="22"/>
        </w:rPr>
        <w:t>”</w:t>
      </w:r>
    </w:p>
    <w:p w14:paraId="0C2E0B70" w14:textId="77777777" w:rsidR="00653AD7" w:rsidRDefault="00653AD7" w:rsidP="00797B26">
      <w:pPr>
        <w:rPr>
          <w:rFonts w:cs="Arial"/>
          <w:sz w:val="22"/>
          <w:szCs w:val="22"/>
        </w:rPr>
      </w:pPr>
    </w:p>
    <w:p w14:paraId="167CE2B2" w14:textId="74BB3F7E" w:rsidR="00653AD7" w:rsidRPr="00653AD7" w:rsidRDefault="00653AD7" w:rsidP="00797B26">
      <w:pPr>
        <w:rPr>
          <w:rFonts w:cs="Arial"/>
          <w:b/>
          <w:bCs/>
          <w:sz w:val="22"/>
          <w:szCs w:val="22"/>
        </w:rPr>
      </w:pPr>
      <w:r w:rsidRPr="00653AD7">
        <w:rPr>
          <w:rFonts w:cs="Arial"/>
          <w:b/>
          <w:bCs/>
          <w:sz w:val="22"/>
          <w:szCs w:val="22"/>
        </w:rPr>
        <w:t>Respuesta:</w:t>
      </w:r>
    </w:p>
    <w:p w14:paraId="4787D1C3" w14:textId="77777777" w:rsidR="00653AD7" w:rsidRDefault="00653AD7" w:rsidP="00653AD7">
      <w:pPr>
        <w:rPr>
          <w:rFonts w:cs="Arial"/>
          <w:sz w:val="22"/>
          <w:szCs w:val="22"/>
        </w:rPr>
      </w:pPr>
    </w:p>
    <w:p w14:paraId="27118E6A" w14:textId="34B0BD24" w:rsidR="00653AD7" w:rsidRDefault="00653AD7" w:rsidP="00653AD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_Ref133393294 \r \h </w:instrText>
      </w:r>
      <w:r>
        <w:rPr>
          <w:rFonts w:cs="Arial"/>
          <w:sz w:val="22"/>
          <w:szCs w:val="22"/>
        </w:rPr>
      </w:r>
      <w:r>
        <w:rPr>
          <w:rFonts w:cs="Arial"/>
          <w:sz w:val="22"/>
          <w:szCs w:val="22"/>
        </w:rPr>
        <w:fldChar w:fldCharType="separate"/>
      </w:r>
      <w:r>
        <w:rPr>
          <w:rFonts w:cs="Arial"/>
          <w:sz w:val="22"/>
          <w:szCs w:val="22"/>
        </w:rPr>
        <w:t>33.1.1.1</w:t>
      </w:r>
      <w:r>
        <w:rPr>
          <w:rFonts w:cs="Arial"/>
          <w:sz w:val="22"/>
          <w:szCs w:val="22"/>
        </w:rPr>
        <w:fldChar w:fldCharType="end"/>
      </w:r>
      <w:r>
        <w:rPr>
          <w:rFonts w:cs="Arial"/>
          <w:sz w:val="22"/>
          <w:szCs w:val="22"/>
        </w:rPr>
        <w:t>.</w:t>
      </w:r>
    </w:p>
    <w:p w14:paraId="5DD42C1E" w14:textId="77777777" w:rsidR="00653AD7" w:rsidRPr="00797B26" w:rsidRDefault="00653AD7" w:rsidP="00797B26">
      <w:pPr>
        <w:rPr>
          <w:rFonts w:cs="Arial"/>
          <w:sz w:val="22"/>
          <w:szCs w:val="22"/>
        </w:rPr>
      </w:pPr>
    </w:p>
    <w:p w14:paraId="04A678E3" w14:textId="77777777" w:rsidR="00012DE6" w:rsidRDefault="00012DE6" w:rsidP="00797B26">
      <w:pPr>
        <w:rPr>
          <w:rFonts w:cs="Arial"/>
          <w:sz w:val="22"/>
          <w:szCs w:val="22"/>
        </w:rPr>
      </w:pPr>
    </w:p>
    <w:p w14:paraId="7E01B4D8" w14:textId="77777777" w:rsidR="00012DE6" w:rsidRDefault="00797B26" w:rsidP="00B124BE">
      <w:pPr>
        <w:pStyle w:val="Ttulo4"/>
      </w:pPr>
      <w:r w:rsidRPr="00797B26">
        <w:t>TERPEL</w:t>
      </w:r>
      <w:r w:rsidRPr="00797B26">
        <w:tab/>
      </w:r>
    </w:p>
    <w:p w14:paraId="065CBCC2" w14:textId="643DFB5F" w:rsidR="00EF1C07" w:rsidRPr="00653AD7" w:rsidRDefault="001377DA" w:rsidP="00797B26">
      <w:pPr>
        <w:rPr>
          <w:rFonts w:cs="Arial"/>
          <w:i/>
          <w:iCs/>
          <w:sz w:val="22"/>
          <w:szCs w:val="22"/>
        </w:rPr>
      </w:pPr>
      <w:r>
        <w:rPr>
          <w:rFonts w:cs="Arial"/>
          <w:i/>
          <w:iCs/>
          <w:sz w:val="22"/>
          <w:szCs w:val="22"/>
        </w:rPr>
        <w:t>“</w:t>
      </w:r>
      <w:r w:rsidR="00797B26" w:rsidRPr="00653AD7">
        <w:rPr>
          <w:rFonts w:cs="Arial"/>
          <w:i/>
          <w:iCs/>
          <w:sz w:val="22"/>
          <w:szCs w:val="22"/>
        </w:rPr>
        <w:t xml:space="preserve">¿Que se entiende por confirmación del programa de transporte? </w:t>
      </w:r>
      <w:proofErr w:type="gramStart"/>
      <w:r w:rsidR="00797B26" w:rsidRPr="00653AD7">
        <w:rPr>
          <w:rFonts w:cs="Arial"/>
          <w:i/>
          <w:iCs/>
          <w:sz w:val="22"/>
          <w:szCs w:val="22"/>
        </w:rPr>
        <w:t xml:space="preserve">En </w:t>
      </w:r>
      <w:proofErr w:type="spellStart"/>
      <w:r w:rsidR="00797B26" w:rsidRPr="00653AD7">
        <w:rPr>
          <w:rFonts w:cs="Arial"/>
          <w:i/>
          <w:iCs/>
          <w:sz w:val="22"/>
          <w:szCs w:val="22"/>
        </w:rPr>
        <w:t>que</w:t>
      </w:r>
      <w:proofErr w:type="spellEnd"/>
      <w:r w:rsidR="00797B26" w:rsidRPr="00653AD7">
        <w:rPr>
          <w:rFonts w:cs="Arial"/>
          <w:i/>
          <w:iCs/>
          <w:sz w:val="22"/>
          <w:szCs w:val="22"/>
        </w:rPr>
        <w:t xml:space="preserve"> momento y día de gas es esta confirmación?</w:t>
      </w:r>
      <w:proofErr w:type="gramEnd"/>
      <w:r>
        <w:rPr>
          <w:rFonts w:cs="Arial"/>
          <w:i/>
          <w:iCs/>
          <w:sz w:val="22"/>
          <w:szCs w:val="22"/>
        </w:rPr>
        <w:t>”</w:t>
      </w:r>
    </w:p>
    <w:p w14:paraId="1BEDB487" w14:textId="77777777" w:rsidR="00653AD7" w:rsidRDefault="00653AD7" w:rsidP="00797B26">
      <w:pPr>
        <w:rPr>
          <w:rFonts w:cs="Arial"/>
          <w:sz w:val="22"/>
          <w:szCs w:val="22"/>
        </w:rPr>
      </w:pPr>
    </w:p>
    <w:p w14:paraId="1195629F" w14:textId="570AB79D" w:rsidR="00653AD7" w:rsidRPr="00653AD7" w:rsidRDefault="00653AD7" w:rsidP="00797B26">
      <w:pPr>
        <w:rPr>
          <w:rFonts w:cs="Arial"/>
          <w:b/>
          <w:bCs/>
          <w:sz w:val="22"/>
          <w:szCs w:val="22"/>
        </w:rPr>
      </w:pPr>
      <w:r w:rsidRPr="00653AD7">
        <w:rPr>
          <w:rFonts w:cs="Arial"/>
          <w:b/>
          <w:bCs/>
          <w:sz w:val="22"/>
          <w:szCs w:val="22"/>
        </w:rPr>
        <w:t>Respuesta:</w:t>
      </w:r>
    </w:p>
    <w:p w14:paraId="701BD66E" w14:textId="77777777" w:rsidR="00653AD7" w:rsidRDefault="00653AD7" w:rsidP="00797B26">
      <w:pPr>
        <w:rPr>
          <w:rFonts w:cs="Arial"/>
          <w:sz w:val="22"/>
          <w:szCs w:val="22"/>
        </w:rPr>
      </w:pPr>
    </w:p>
    <w:p w14:paraId="5132D98D" w14:textId="26D0D60F" w:rsidR="00653AD7" w:rsidRDefault="00653AD7" w:rsidP="00653AD7">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_Ref133393294 \r \h </w:instrText>
      </w:r>
      <w:r>
        <w:rPr>
          <w:rFonts w:cs="Arial"/>
          <w:sz w:val="22"/>
          <w:szCs w:val="22"/>
        </w:rPr>
      </w:r>
      <w:r>
        <w:rPr>
          <w:rFonts w:cs="Arial"/>
          <w:sz w:val="22"/>
          <w:szCs w:val="22"/>
        </w:rPr>
        <w:fldChar w:fldCharType="separate"/>
      </w:r>
      <w:r>
        <w:rPr>
          <w:rFonts w:cs="Arial"/>
          <w:sz w:val="22"/>
          <w:szCs w:val="22"/>
        </w:rPr>
        <w:t>33.1.1.1</w:t>
      </w:r>
      <w:r>
        <w:rPr>
          <w:rFonts w:cs="Arial"/>
          <w:sz w:val="22"/>
          <w:szCs w:val="22"/>
        </w:rPr>
        <w:fldChar w:fldCharType="end"/>
      </w:r>
      <w:r>
        <w:rPr>
          <w:rFonts w:cs="Arial"/>
          <w:sz w:val="22"/>
          <w:szCs w:val="22"/>
        </w:rPr>
        <w:t>.</w:t>
      </w:r>
    </w:p>
    <w:p w14:paraId="6636954E" w14:textId="77777777" w:rsidR="00653AD7" w:rsidRPr="00797B26" w:rsidRDefault="00653AD7" w:rsidP="00797B26">
      <w:pPr>
        <w:rPr>
          <w:rFonts w:cs="Arial"/>
          <w:sz w:val="22"/>
          <w:szCs w:val="22"/>
        </w:rPr>
      </w:pPr>
    </w:p>
    <w:p w14:paraId="6A25737D" w14:textId="39CC7D98" w:rsidR="00EF1C07" w:rsidRDefault="00EF1C07" w:rsidP="00371CB5">
      <w:pPr>
        <w:rPr>
          <w:rFonts w:cs="Arial"/>
          <w:b/>
          <w:bCs/>
          <w:sz w:val="22"/>
          <w:szCs w:val="22"/>
        </w:rPr>
      </w:pPr>
    </w:p>
    <w:p w14:paraId="36E57DE5" w14:textId="27CB8338" w:rsidR="00EF1C07" w:rsidRDefault="00EF1C07" w:rsidP="00EF1C07">
      <w:pPr>
        <w:pStyle w:val="Ttulo1"/>
        <w:numPr>
          <w:ilvl w:val="0"/>
          <w:numId w:val="1"/>
        </w:numPr>
        <w:rPr>
          <w:caps/>
        </w:rPr>
      </w:pPr>
      <w:bookmarkStart w:id="1011" w:name="_Toc140506563"/>
      <w:r>
        <w:t xml:space="preserve">ARTÍCULO 38. </w:t>
      </w:r>
      <w:r w:rsidR="0070732E" w:rsidRPr="0070732E">
        <w:rPr>
          <w:caps/>
        </w:rPr>
        <w:t>Registro de contratos de consumo propio en refinerías</w:t>
      </w:r>
      <w:bookmarkEnd w:id="1011"/>
    </w:p>
    <w:p w14:paraId="6C392198" w14:textId="77777777" w:rsidR="00960105" w:rsidRDefault="00960105" w:rsidP="00960105">
      <w:pPr>
        <w:pStyle w:val="Ttulo2"/>
      </w:pPr>
      <w:bookmarkStart w:id="1012" w:name="_Toc140506564"/>
      <w:r w:rsidRPr="00960105">
        <w:t>ASOENERGIA</w:t>
      </w:r>
      <w:bookmarkEnd w:id="1012"/>
      <w:r w:rsidRPr="00960105">
        <w:tab/>
      </w:r>
    </w:p>
    <w:p w14:paraId="5E900DAD" w14:textId="77777777" w:rsidR="00960105" w:rsidRDefault="00960105" w:rsidP="00960105">
      <w:pPr>
        <w:pStyle w:val="Ttulo4"/>
      </w:pPr>
      <w:r w:rsidRPr="00960105">
        <w:t>ASOENERGIA</w:t>
      </w:r>
      <w:r w:rsidRPr="00960105">
        <w:tab/>
      </w:r>
    </w:p>
    <w:p w14:paraId="4235A1F1" w14:textId="779D6503" w:rsidR="00960105" w:rsidRPr="0048604F" w:rsidRDefault="00960105" w:rsidP="00960105">
      <w:pPr>
        <w:rPr>
          <w:rFonts w:cs="Arial"/>
          <w:i/>
          <w:iCs/>
          <w:sz w:val="22"/>
          <w:szCs w:val="22"/>
        </w:rPr>
      </w:pPr>
      <w:r w:rsidRPr="0048604F">
        <w:rPr>
          <w:rFonts w:cs="Arial"/>
          <w:i/>
          <w:iCs/>
          <w:sz w:val="22"/>
          <w:szCs w:val="22"/>
        </w:rPr>
        <w:t xml:space="preserve">Celebramos el cambio en el sentido de que el productor debe establecer los contratos de autoconsumo. Es importante que se establezca la discriminación de los destinos, en el sentido de separar lo asignado a las refinerías o a la demanda eléctrica entre otros usos. Lo anterior, dado que </w:t>
      </w:r>
      <w:proofErr w:type="gramStart"/>
      <w:r w:rsidRPr="0048604F">
        <w:rPr>
          <w:rFonts w:cs="Arial"/>
          <w:i/>
          <w:iCs/>
          <w:sz w:val="22"/>
          <w:szCs w:val="22"/>
        </w:rPr>
        <w:t>el conocimiento de dichas asignaciones son</w:t>
      </w:r>
      <w:proofErr w:type="gramEnd"/>
      <w:r w:rsidRPr="0048604F">
        <w:rPr>
          <w:rFonts w:cs="Arial"/>
          <w:i/>
          <w:iCs/>
          <w:sz w:val="22"/>
          <w:szCs w:val="22"/>
        </w:rPr>
        <w:t xml:space="preserve"> fundamentales en situaciones de restricciones de suministro o en eventos eximentes por programación de mantenimientos.</w:t>
      </w:r>
    </w:p>
    <w:p w14:paraId="104E35AD" w14:textId="77777777" w:rsidR="0048604F" w:rsidRDefault="0048604F" w:rsidP="00960105">
      <w:pPr>
        <w:rPr>
          <w:rFonts w:cs="Arial"/>
          <w:sz w:val="22"/>
          <w:szCs w:val="22"/>
        </w:rPr>
      </w:pPr>
    </w:p>
    <w:p w14:paraId="4493CE7F" w14:textId="784F36F9" w:rsidR="0048604F" w:rsidRPr="0048604F" w:rsidRDefault="0048604F" w:rsidP="00960105">
      <w:pPr>
        <w:rPr>
          <w:rFonts w:cs="Arial"/>
          <w:b/>
          <w:bCs/>
          <w:sz w:val="22"/>
          <w:szCs w:val="22"/>
        </w:rPr>
      </w:pPr>
      <w:r w:rsidRPr="0048604F">
        <w:rPr>
          <w:rFonts w:cs="Arial"/>
          <w:b/>
          <w:bCs/>
          <w:sz w:val="22"/>
          <w:szCs w:val="22"/>
        </w:rPr>
        <w:t>Respuesta:</w:t>
      </w:r>
    </w:p>
    <w:p w14:paraId="2F0F15A3" w14:textId="77777777" w:rsidR="0048604F" w:rsidRDefault="0048604F" w:rsidP="00960105">
      <w:pPr>
        <w:rPr>
          <w:rFonts w:cs="Arial"/>
          <w:sz w:val="22"/>
          <w:szCs w:val="22"/>
        </w:rPr>
      </w:pPr>
    </w:p>
    <w:p w14:paraId="3F87DDC0" w14:textId="680C098B" w:rsidR="0048604F" w:rsidRDefault="0048604F" w:rsidP="00960105">
      <w:pPr>
        <w:rPr>
          <w:rFonts w:cs="Arial"/>
          <w:sz w:val="22"/>
          <w:szCs w:val="22"/>
        </w:rPr>
      </w:pPr>
      <w:r>
        <w:rPr>
          <w:rFonts w:cs="Arial"/>
          <w:sz w:val="22"/>
          <w:szCs w:val="22"/>
        </w:rPr>
        <w:t>En la nueva propuesta se hacen algunos ajustes a la propuesta inicial respecto del gas de consumo propio.</w:t>
      </w:r>
    </w:p>
    <w:p w14:paraId="436FA2D3" w14:textId="77777777" w:rsidR="0048604F" w:rsidRDefault="0048604F" w:rsidP="00960105">
      <w:pPr>
        <w:rPr>
          <w:rFonts w:cs="Arial"/>
          <w:sz w:val="22"/>
          <w:szCs w:val="22"/>
        </w:rPr>
      </w:pPr>
    </w:p>
    <w:p w14:paraId="5031F39E" w14:textId="08E1A501" w:rsidR="0048604F" w:rsidRPr="00960105" w:rsidRDefault="0048604F" w:rsidP="00960105">
      <w:pPr>
        <w:rPr>
          <w:rFonts w:cs="Arial"/>
          <w:sz w:val="22"/>
          <w:szCs w:val="22"/>
        </w:rPr>
      </w:pPr>
      <w:r>
        <w:rPr>
          <w:rFonts w:cs="Arial"/>
          <w:sz w:val="22"/>
          <w:szCs w:val="22"/>
        </w:rPr>
        <w:t xml:space="preserve">Por otro lado, el uso final del gas natural como combustible de cualquier usuario (calentamiento de espacios, cocción de alimentos, cogeneración, …) no es parte del detalle que se registra ante el Gestor del mercado de un contrato de suministro de gas. </w:t>
      </w:r>
    </w:p>
    <w:p w14:paraId="078E66A5" w14:textId="77777777" w:rsidR="00960105" w:rsidRDefault="00960105" w:rsidP="00960105">
      <w:pPr>
        <w:rPr>
          <w:rFonts w:cs="Arial"/>
          <w:sz w:val="22"/>
          <w:szCs w:val="22"/>
        </w:rPr>
      </w:pPr>
    </w:p>
    <w:p w14:paraId="32698DBD" w14:textId="77777777" w:rsidR="00960105" w:rsidRDefault="00960105" w:rsidP="00960105">
      <w:pPr>
        <w:rPr>
          <w:rFonts w:cs="Arial"/>
          <w:sz w:val="22"/>
          <w:szCs w:val="22"/>
        </w:rPr>
      </w:pPr>
    </w:p>
    <w:p w14:paraId="49FA7828" w14:textId="77777777" w:rsidR="00960105" w:rsidRDefault="00960105" w:rsidP="00960105">
      <w:pPr>
        <w:pStyle w:val="Ttulo2"/>
      </w:pPr>
      <w:bookmarkStart w:id="1013" w:name="_Toc140506565"/>
      <w:r w:rsidRPr="00960105">
        <w:t>BOLSA MERCANTIL DE COLOMBIA</w:t>
      </w:r>
      <w:bookmarkEnd w:id="1013"/>
      <w:r w:rsidRPr="00960105">
        <w:tab/>
      </w:r>
    </w:p>
    <w:p w14:paraId="650D9117" w14:textId="77777777" w:rsidR="00960105" w:rsidRDefault="00960105" w:rsidP="00960105">
      <w:pPr>
        <w:pStyle w:val="Ttulo4"/>
      </w:pPr>
      <w:r w:rsidRPr="00960105">
        <w:t>BOLSA MERCANTIL DE COLOMBIA</w:t>
      </w:r>
      <w:r w:rsidRPr="00960105">
        <w:tab/>
      </w:r>
    </w:p>
    <w:p w14:paraId="1E9282C7" w14:textId="2178211A" w:rsidR="00960105" w:rsidRPr="0048604F" w:rsidRDefault="00220033" w:rsidP="00960105">
      <w:pPr>
        <w:rPr>
          <w:rFonts w:cs="Arial"/>
          <w:i/>
          <w:iCs/>
          <w:sz w:val="22"/>
          <w:szCs w:val="22"/>
        </w:rPr>
      </w:pPr>
      <w:r>
        <w:rPr>
          <w:rFonts w:cs="Arial"/>
          <w:i/>
          <w:iCs/>
          <w:sz w:val="22"/>
          <w:szCs w:val="22"/>
        </w:rPr>
        <w:t>“</w:t>
      </w:r>
      <w:r w:rsidR="00960105" w:rsidRPr="0048604F">
        <w:rPr>
          <w:rFonts w:cs="Arial"/>
          <w:i/>
          <w:iCs/>
          <w:sz w:val="22"/>
          <w:szCs w:val="22"/>
        </w:rPr>
        <w:t xml:space="preserve">Los consumos de las refinerías pueden corresponder a los destinados a refinerías u otros consumos propios. </w:t>
      </w:r>
      <w:proofErr w:type="gramStart"/>
      <w:r w:rsidR="00960105" w:rsidRPr="0048604F">
        <w:rPr>
          <w:rFonts w:cs="Arial"/>
          <w:i/>
          <w:iCs/>
          <w:sz w:val="22"/>
          <w:szCs w:val="22"/>
        </w:rPr>
        <w:t>Además</w:t>
      </w:r>
      <w:proofErr w:type="gramEnd"/>
      <w:r w:rsidR="00960105" w:rsidRPr="0048604F">
        <w:rPr>
          <w:rFonts w:cs="Arial"/>
          <w:i/>
          <w:iCs/>
          <w:sz w:val="22"/>
          <w:szCs w:val="22"/>
        </w:rPr>
        <w:t xml:space="preserve"> no es explícito si se establecerá una transición para el registro de estos contratos pactados previo a la entrada en vigencia de la Resolución definitiva.</w:t>
      </w:r>
      <w:r>
        <w:rPr>
          <w:rFonts w:cs="Arial"/>
          <w:i/>
          <w:iCs/>
          <w:sz w:val="22"/>
          <w:szCs w:val="22"/>
        </w:rPr>
        <w:t>”</w:t>
      </w:r>
    </w:p>
    <w:p w14:paraId="0384DAB6" w14:textId="77777777" w:rsidR="0048604F" w:rsidRDefault="0048604F" w:rsidP="00960105">
      <w:pPr>
        <w:rPr>
          <w:rFonts w:cs="Arial"/>
          <w:sz w:val="22"/>
          <w:szCs w:val="22"/>
        </w:rPr>
      </w:pPr>
    </w:p>
    <w:p w14:paraId="64C68490" w14:textId="569AF3C5" w:rsidR="0048604F" w:rsidRPr="0048604F" w:rsidRDefault="0048604F" w:rsidP="00960105">
      <w:pPr>
        <w:rPr>
          <w:rFonts w:cs="Arial"/>
          <w:b/>
          <w:bCs/>
          <w:sz w:val="22"/>
          <w:szCs w:val="22"/>
        </w:rPr>
      </w:pPr>
      <w:r w:rsidRPr="0048604F">
        <w:rPr>
          <w:rFonts w:cs="Arial"/>
          <w:b/>
          <w:bCs/>
          <w:sz w:val="22"/>
          <w:szCs w:val="22"/>
        </w:rPr>
        <w:t>Respuesta:</w:t>
      </w:r>
    </w:p>
    <w:p w14:paraId="78625627" w14:textId="77777777" w:rsidR="0048604F" w:rsidRDefault="0048604F" w:rsidP="00960105">
      <w:pPr>
        <w:rPr>
          <w:rFonts w:cs="Arial"/>
          <w:sz w:val="22"/>
          <w:szCs w:val="22"/>
        </w:rPr>
      </w:pPr>
    </w:p>
    <w:p w14:paraId="05AB8CC8" w14:textId="1B797691" w:rsidR="0048604F" w:rsidRDefault="00CE7D7D" w:rsidP="00960105">
      <w:pPr>
        <w:rPr>
          <w:rFonts w:cs="Arial"/>
          <w:sz w:val="22"/>
          <w:szCs w:val="22"/>
        </w:rPr>
      </w:pPr>
      <w:r>
        <w:rPr>
          <w:rFonts w:cs="Arial"/>
          <w:sz w:val="22"/>
          <w:szCs w:val="22"/>
        </w:rPr>
        <w:t>Se acoge el comentario parcialmente.</w:t>
      </w:r>
    </w:p>
    <w:p w14:paraId="6FCB39ED" w14:textId="77777777" w:rsidR="00CE7D7D" w:rsidRDefault="00CE7D7D" w:rsidP="00960105">
      <w:pPr>
        <w:rPr>
          <w:rFonts w:cs="Arial"/>
          <w:sz w:val="22"/>
          <w:szCs w:val="22"/>
        </w:rPr>
      </w:pPr>
    </w:p>
    <w:p w14:paraId="01B0C1DE" w14:textId="7DA19DC7" w:rsidR="00CE7D7D" w:rsidRPr="00960105" w:rsidRDefault="00CE7D7D" w:rsidP="00960105">
      <w:pPr>
        <w:rPr>
          <w:rFonts w:cs="Arial"/>
          <w:sz w:val="22"/>
          <w:szCs w:val="22"/>
        </w:rPr>
      </w:pPr>
      <w:r>
        <w:rPr>
          <w:rFonts w:cs="Arial"/>
          <w:sz w:val="22"/>
          <w:szCs w:val="22"/>
        </w:rPr>
        <w:t>En la nueva propuesta se incluye como parte del Anexo 1, la entrega de la información. En dicho Anexo 1 se establece el plazo general para completar la información de contratos vigentes.</w:t>
      </w:r>
    </w:p>
    <w:p w14:paraId="440D4C27" w14:textId="77777777" w:rsidR="00960105" w:rsidRDefault="00960105" w:rsidP="00960105">
      <w:pPr>
        <w:rPr>
          <w:rFonts w:cs="Arial"/>
          <w:sz w:val="22"/>
          <w:szCs w:val="22"/>
        </w:rPr>
      </w:pPr>
    </w:p>
    <w:p w14:paraId="2874CF8F" w14:textId="77777777" w:rsidR="00960105" w:rsidRDefault="00960105" w:rsidP="00960105">
      <w:pPr>
        <w:rPr>
          <w:rFonts w:cs="Arial"/>
          <w:sz w:val="22"/>
          <w:szCs w:val="22"/>
        </w:rPr>
      </w:pPr>
    </w:p>
    <w:p w14:paraId="7C17870E" w14:textId="77777777" w:rsidR="00960105" w:rsidRDefault="00960105" w:rsidP="00960105">
      <w:pPr>
        <w:pStyle w:val="Ttulo2"/>
      </w:pPr>
      <w:bookmarkStart w:id="1014" w:name="_Toc140506566"/>
      <w:r w:rsidRPr="00960105">
        <w:t>ECOPETROL</w:t>
      </w:r>
      <w:bookmarkEnd w:id="1014"/>
      <w:r w:rsidRPr="00960105">
        <w:tab/>
      </w:r>
    </w:p>
    <w:p w14:paraId="753DF730" w14:textId="77777777" w:rsidR="00960105" w:rsidRDefault="00960105" w:rsidP="00960105">
      <w:pPr>
        <w:pStyle w:val="Ttulo4"/>
      </w:pPr>
      <w:r w:rsidRPr="00960105">
        <w:t>ECOPETROL</w:t>
      </w:r>
      <w:r w:rsidRPr="00960105">
        <w:tab/>
      </w:r>
    </w:p>
    <w:p w14:paraId="75AFD92B" w14:textId="6B27668C" w:rsidR="00960105" w:rsidRPr="00CE7D7D" w:rsidRDefault="00960105" w:rsidP="00960105">
      <w:pPr>
        <w:rPr>
          <w:rFonts w:cs="Arial"/>
          <w:i/>
          <w:iCs/>
          <w:sz w:val="22"/>
          <w:szCs w:val="22"/>
        </w:rPr>
      </w:pPr>
      <w:r w:rsidRPr="00960105">
        <w:rPr>
          <w:rFonts w:cs="Arial"/>
          <w:sz w:val="22"/>
          <w:szCs w:val="22"/>
        </w:rPr>
        <w:t>"</w:t>
      </w:r>
      <w:r w:rsidRPr="00CE7D7D">
        <w:rPr>
          <w:rFonts w:cs="Arial"/>
          <w:i/>
          <w:iCs/>
          <w:sz w:val="22"/>
          <w:szCs w:val="22"/>
        </w:rPr>
        <w:t xml:space="preserve">Se plantea que </w:t>
      </w:r>
      <w:r w:rsidR="00220033">
        <w:rPr>
          <w:rFonts w:cs="Arial"/>
          <w:i/>
          <w:iCs/>
          <w:sz w:val="22"/>
          <w:szCs w:val="22"/>
        </w:rPr>
        <w:t>‘</w:t>
      </w:r>
      <w:r w:rsidRPr="00CE7D7D">
        <w:rPr>
          <w:rFonts w:cs="Arial"/>
          <w:i/>
          <w:iCs/>
          <w:sz w:val="22"/>
          <w:szCs w:val="22"/>
        </w:rPr>
        <w:t xml:space="preserve">(…) Los Productores comercializadores deberán registrar ante el </w:t>
      </w:r>
      <w:r w:rsidR="005114C6" w:rsidRPr="00CE7D7D">
        <w:rPr>
          <w:rFonts w:cs="Arial"/>
          <w:i/>
          <w:iCs/>
          <w:sz w:val="22"/>
          <w:szCs w:val="22"/>
        </w:rPr>
        <w:t>Gestor del Mercado</w:t>
      </w:r>
      <w:r w:rsidRPr="00CE7D7D">
        <w:rPr>
          <w:rFonts w:cs="Arial"/>
          <w:i/>
          <w:iCs/>
          <w:sz w:val="22"/>
          <w:szCs w:val="22"/>
        </w:rPr>
        <w:t xml:space="preserve"> los contratos de suministro de cantidades de gas de las que sean propietarios, que sean destinadas a consumo en refinerías u otros consumos propios</w:t>
      </w:r>
      <w:r w:rsidR="00220033">
        <w:rPr>
          <w:rFonts w:cs="Arial"/>
          <w:i/>
          <w:iCs/>
          <w:sz w:val="22"/>
          <w:szCs w:val="22"/>
        </w:rPr>
        <w:t>’</w:t>
      </w:r>
      <w:r w:rsidRPr="00CE7D7D">
        <w:rPr>
          <w:rFonts w:cs="Arial"/>
          <w:i/>
          <w:iCs/>
          <w:sz w:val="22"/>
          <w:szCs w:val="22"/>
        </w:rPr>
        <w:t>.</w:t>
      </w:r>
    </w:p>
    <w:p w14:paraId="762B2E65" w14:textId="77777777" w:rsidR="00960105" w:rsidRPr="00CE7D7D" w:rsidRDefault="00960105" w:rsidP="00960105">
      <w:pPr>
        <w:rPr>
          <w:rFonts w:cs="Arial"/>
          <w:i/>
          <w:iCs/>
          <w:sz w:val="22"/>
          <w:szCs w:val="22"/>
        </w:rPr>
      </w:pPr>
    </w:p>
    <w:p w14:paraId="719FC88F" w14:textId="77777777" w:rsidR="00960105" w:rsidRPr="00CE7D7D" w:rsidRDefault="00960105" w:rsidP="00960105">
      <w:pPr>
        <w:rPr>
          <w:rFonts w:cs="Arial"/>
          <w:i/>
          <w:iCs/>
          <w:sz w:val="22"/>
          <w:szCs w:val="22"/>
        </w:rPr>
      </w:pPr>
      <w:r w:rsidRPr="00CE7D7D">
        <w:rPr>
          <w:rFonts w:cs="Arial"/>
          <w:i/>
          <w:iCs/>
          <w:sz w:val="22"/>
          <w:szCs w:val="22"/>
        </w:rPr>
        <w:t>Agradecemos tener en cuenta lo planteado en la sección IV del cuerpo principal de la comunicación, en relación con la posibilidad de suscribir contratos por parte de las refinerías y la sensibilidad de la información asociada a la información sobre las fuentes del gas para la refinación."</w:t>
      </w:r>
    </w:p>
    <w:p w14:paraId="60270F01" w14:textId="77777777" w:rsidR="00CE7D7D" w:rsidRDefault="00CE7D7D" w:rsidP="00960105">
      <w:pPr>
        <w:rPr>
          <w:rFonts w:cs="Arial"/>
          <w:sz w:val="22"/>
          <w:szCs w:val="22"/>
        </w:rPr>
      </w:pPr>
    </w:p>
    <w:p w14:paraId="65150655" w14:textId="40E82D67" w:rsidR="00CE7D7D" w:rsidRPr="00CE7D7D" w:rsidRDefault="00CE7D7D" w:rsidP="00960105">
      <w:pPr>
        <w:rPr>
          <w:rFonts w:cs="Arial"/>
          <w:b/>
          <w:bCs/>
          <w:sz w:val="22"/>
          <w:szCs w:val="22"/>
        </w:rPr>
      </w:pPr>
      <w:r w:rsidRPr="00CE7D7D">
        <w:rPr>
          <w:rFonts w:cs="Arial"/>
          <w:b/>
          <w:bCs/>
          <w:sz w:val="22"/>
          <w:szCs w:val="22"/>
        </w:rPr>
        <w:t>Respuesta:</w:t>
      </w:r>
    </w:p>
    <w:p w14:paraId="191C56A2" w14:textId="77777777" w:rsidR="00CE7D7D" w:rsidRDefault="00CE7D7D" w:rsidP="00960105">
      <w:pPr>
        <w:rPr>
          <w:rFonts w:cs="Arial"/>
          <w:sz w:val="22"/>
          <w:szCs w:val="22"/>
        </w:rPr>
      </w:pPr>
    </w:p>
    <w:p w14:paraId="45EB0BF1" w14:textId="38625B8B" w:rsidR="00CE7D7D" w:rsidRDefault="00CE7D7D" w:rsidP="00960105">
      <w:pPr>
        <w:rPr>
          <w:rFonts w:cs="Arial"/>
          <w:sz w:val="22"/>
          <w:szCs w:val="22"/>
        </w:rPr>
      </w:pPr>
      <w:r>
        <w:rPr>
          <w:rFonts w:cs="Arial"/>
          <w:sz w:val="22"/>
          <w:szCs w:val="22"/>
        </w:rPr>
        <w:t>Se acoge el comentario.</w:t>
      </w:r>
    </w:p>
    <w:p w14:paraId="20447D5B" w14:textId="77777777" w:rsidR="00CE7D7D" w:rsidRDefault="00CE7D7D" w:rsidP="00960105">
      <w:pPr>
        <w:rPr>
          <w:rFonts w:cs="Arial"/>
          <w:sz w:val="22"/>
          <w:szCs w:val="22"/>
        </w:rPr>
      </w:pPr>
    </w:p>
    <w:p w14:paraId="0640940A" w14:textId="5C58A26A" w:rsidR="00CE7D7D" w:rsidRPr="00960105" w:rsidRDefault="00CE7D7D" w:rsidP="00960105">
      <w:pPr>
        <w:rPr>
          <w:rFonts w:cs="Arial"/>
          <w:sz w:val="22"/>
          <w:szCs w:val="22"/>
        </w:rPr>
      </w:pPr>
      <w:r>
        <w:rPr>
          <w:rFonts w:cs="Arial"/>
          <w:sz w:val="22"/>
          <w:szCs w:val="22"/>
        </w:rPr>
        <w:t>En la nueva propuesta se incluye la aclaración solicitada.</w:t>
      </w:r>
    </w:p>
    <w:p w14:paraId="32E9C294" w14:textId="77777777" w:rsidR="00960105" w:rsidRDefault="00960105" w:rsidP="00960105">
      <w:pPr>
        <w:rPr>
          <w:rFonts w:cs="Arial"/>
          <w:sz w:val="22"/>
          <w:szCs w:val="22"/>
        </w:rPr>
      </w:pPr>
    </w:p>
    <w:p w14:paraId="764EC19B" w14:textId="77777777" w:rsidR="00960105" w:rsidRDefault="00960105" w:rsidP="00960105">
      <w:pPr>
        <w:rPr>
          <w:rFonts w:cs="Arial"/>
          <w:sz w:val="22"/>
          <w:szCs w:val="22"/>
        </w:rPr>
      </w:pPr>
    </w:p>
    <w:p w14:paraId="5E71B755" w14:textId="6E023A92" w:rsidR="00960105" w:rsidRDefault="00960105" w:rsidP="00960105">
      <w:pPr>
        <w:pStyle w:val="Ttulo2"/>
      </w:pPr>
      <w:bookmarkStart w:id="1015" w:name="_Toc140506567"/>
      <w:r w:rsidRPr="00960105">
        <w:t>OILGAS ENERGY</w:t>
      </w:r>
      <w:bookmarkEnd w:id="1015"/>
      <w:r w:rsidRPr="00960105">
        <w:tab/>
      </w:r>
    </w:p>
    <w:p w14:paraId="51638D01" w14:textId="668DF4E3" w:rsidR="00960105" w:rsidRDefault="00960105" w:rsidP="00960105">
      <w:pPr>
        <w:pStyle w:val="Ttulo4"/>
      </w:pPr>
      <w:r w:rsidRPr="00960105">
        <w:t>OILGAS ENERGY</w:t>
      </w:r>
      <w:r w:rsidRPr="00960105">
        <w:tab/>
      </w:r>
    </w:p>
    <w:p w14:paraId="19DDF722" w14:textId="74380E93" w:rsidR="00960105" w:rsidRPr="00CE7D7D" w:rsidRDefault="00960105" w:rsidP="00960105">
      <w:pPr>
        <w:rPr>
          <w:rFonts w:cs="Arial"/>
          <w:i/>
          <w:iCs/>
          <w:sz w:val="22"/>
          <w:szCs w:val="22"/>
        </w:rPr>
      </w:pPr>
      <w:r w:rsidRPr="00CE7D7D">
        <w:rPr>
          <w:rFonts w:cs="Arial"/>
          <w:i/>
          <w:iCs/>
          <w:sz w:val="22"/>
          <w:szCs w:val="22"/>
        </w:rPr>
        <w:t xml:space="preserve">El artículo 38 del Borrador CREG 226 de 2021 señala el registro de los contratos de consumo propio en refinerías e indica el registro de los contratos de suministro que deben hacer los comercializadores ante el </w:t>
      </w:r>
      <w:r w:rsidR="005114C6" w:rsidRPr="00CE7D7D">
        <w:rPr>
          <w:rFonts w:cs="Arial"/>
          <w:i/>
          <w:iCs/>
          <w:sz w:val="22"/>
          <w:szCs w:val="22"/>
        </w:rPr>
        <w:t>Gestor del Mercado</w:t>
      </w:r>
      <w:r w:rsidRPr="00CE7D7D">
        <w:rPr>
          <w:rFonts w:cs="Arial"/>
          <w:i/>
          <w:iCs/>
          <w:sz w:val="22"/>
          <w:szCs w:val="22"/>
        </w:rPr>
        <w:t>.</w:t>
      </w:r>
    </w:p>
    <w:p w14:paraId="353772FB" w14:textId="77777777" w:rsidR="00960105" w:rsidRPr="00CE7D7D" w:rsidRDefault="00960105" w:rsidP="00960105">
      <w:pPr>
        <w:rPr>
          <w:rFonts w:cs="Arial"/>
          <w:i/>
          <w:iCs/>
          <w:sz w:val="22"/>
          <w:szCs w:val="22"/>
        </w:rPr>
      </w:pPr>
    </w:p>
    <w:p w14:paraId="735E9D74" w14:textId="533A0451" w:rsidR="00960105" w:rsidRDefault="00960105" w:rsidP="00960105">
      <w:pPr>
        <w:rPr>
          <w:rFonts w:cs="Arial"/>
          <w:sz w:val="22"/>
          <w:szCs w:val="22"/>
        </w:rPr>
      </w:pPr>
      <w:r w:rsidRPr="00CE7D7D">
        <w:rPr>
          <w:rFonts w:cs="Arial"/>
          <w:i/>
          <w:iCs/>
          <w:sz w:val="22"/>
          <w:szCs w:val="22"/>
        </w:rPr>
        <w:t xml:space="preserve">Se sugiere que se adicione el siguiente inciso: </w:t>
      </w:r>
      <w:r w:rsidR="00220033">
        <w:rPr>
          <w:rFonts w:cs="Arial"/>
          <w:i/>
          <w:iCs/>
          <w:sz w:val="22"/>
          <w:szCs w:val="22"/>
        </w:rPr>
        <w:t>‘</w:t>
      </w:r>
      <w:r w:rsidRPr="00CE7D7D">
        <w:rPr>
          <w:rFonts w:cs="Arial"/>
          <w:i/>
          <w:iCs/>
          <w:sz w:val="22"/>
          <w:szCs w:val="22"/>
        </w:rPr>
        <w:t>Para ello se deberá aportar la información con el mismo nivel de detalle que se dispone en el Anexo establecido en la propuesta de resolución para cualquier contrato del Mercado Primario que se desea registrar</w:t>
      </w:r>
      <w:r w:rsidRPr="00960105">
        <w:rPr>
          <w:rFonts w:cs="Arial"/>
          <w:sz w:val="22"/>
          <w:szCs w:val="22"/>
        </w:rPr>
        <w:t>.</w:t>
      </w:r>
      <w:r w:rsidR="002F2C6A">
        <w:rPr>
          <w:rFonts w:cs="Arial"/>
          <w:sz w:val="22"/>
          <w:szCs w:val="22"/>
        </w:rPr>
        <w:t>’”</w:t>
      </w:r>
    </w:p>
    <w:p w14:paraId="0BD3D5C5" w14:textId="77777777" w:rsidR="00CE7D7D" w:rsidRDefault="00CE7D7D" w:rsidP="00960105">
      <w:pPr>
        <w:rPr>
          <w:rFonts w:cs="Arial"/>
          <w:sz w:val="22"/>
          <w:szCs w:val="22"/>
        </w:rPr>
      </w:pPr>
    </w:p>
    <w:p w14:paraId="55F88EF8" w14:textId="7C78F8A9" w:rsidR="00CE7D7D" w:rsidRPr="00CE7D7D" w:rsidRDefault="00CE7D7D" w:rsidP="00960105">
      <w:pPr>
        <w:rPr>
          <w:rFonts w:cs="Arial"/>
          <w:b/>
          <w:bCs/>
          <w:sz w:val="22"/>
          <w:szCs w:val="22"/>
        </w:rPr>
      </w:pPr>
      <w:r w:rsidRPr="00CE7D7D">
        <w:rPr>
          <w:rFonts w:cs="Arial"/>
          <w:b/>
          <w:bCs/>
          <w:sz w:val="22"/>
          <w:szCs w:val="22"/>
        </w:rPr>
        <w:t>Respuesta:</w:t>
      </w:r>
    </w:p>
    <w:p w14:paraId="3B3AF555" w14:textId="77777777" w:rsidR="00CE7D7D" w:rsidRDefault="00CE7D7D" w:rsidP="00960105">
      <w:pPr>
        <w:rPr>
          <w:rFonts w:cs="Arial"/>
          <w:sz w:val="22"/>
          <w:szCs w:val="22"/>
        </w:rPr>
      </w:pPr>
    </w:p>
    <w:p w14:paraId="10737B95" w14:textId="1447D8B8" w:rsidR="00CE7D7D" w:rsidRDefault="00CE7D7D" w:rsidP="00960105">
      <w:pPr>
        <w:rPr>
          <w:rFonts w:cs="Arial"/>
          <w:sz w:val="22"/>
          <w:szCs w:val="22"/>
        </w:rPr>
      </w:pPr>
      <w:r>
        <w:rPr>
          <w:rFonts w:cs="Arial"/>
          <w:sz w:val="22"/>
          <w:szCs w:val="22"/>
        </w:rPr>
        <w:t>Se acoge el comentario parcialmente.</w:t>
      </w:r>
    </w:p>
    <w:p w14:paraId="3EBB9984" w14:textId="77777777" w:rsidR="00CE7D7D" w:rsidRDefault="00CE7D7D" w:rsidP="00960105">
      <w:pPr>
        <w:rPr>
          <w:rFonts w:cs="Arial"/>
          <w:sz w:val="22"/>
          <w:szCs w:val="22"/>
        </w:rPr>
      </w:pPr>
    </w:p>
    <w:p w14:paraId="6528249D" w14:textId="73C488DD" w:rsidR="00CE7D7D" w:rsidRPr="00960105" w:rsidRDefault="00CE7D7D" w:rsidP="00CE7D7D">
      <w:pPr>
        <w:rPr>
          <w:rFonts w:cs="Arial"/>
          <w:sz w:val="22"/>
          <w:szCs w:val="22"/>
        </w:rPr>
      </w:pPr>
      <w:r>
        <w:rPr>
          <w:rFonts w:cs="Arial"/>
          <w:sz w:val="22"/>
          <w:szCs w:val="22"/>
        </w:rPr>
        <w:t xml:space="preserve">En la nueva propuesta se incluye la información detallada a entregar, </w:t>
      </w:r>
      <w:r w:rsidRPr="00CE7D7D">
        <w:rPr>
          <w:rFonts w:cs="Arial"/>
          <w:sz w:val="22"/>
          <w:szCs w:val="22"/>
        </w:rPr>
        <w:t>siempre que la misma esté contenida en el contrato que se registra.</w:t>
      </w:r>
    </w:p>
    <w:p w14:paraId="687F7EF2" w14:textId="77777777" w:rsidR="00960105" w:rsidRDefault="00960105" w:rsidP="00960105">
      <w:pPr>
        <w:rPr>
          <w:rFonts w:cs="Arial"/>
          <w:sz w:val="22"/>
          <w:szCs w:val="22"/>
        </w:rPr>
      </w:pPr>
    </w:p>
    <w:p w14:paraId="7A1AD379" w14:textId="77777777" w:rsidR="00960105" w:rsidRDefault="00960105" w:rsidP="00960105">
      <w:pPr>
        <w:rPr>
          <w:rFonts w:cs="Arial"/>
          <w:sz w:val="22"/>
          <w:szCs w:val="22"/>
        </w:rPr>
      </w:pPr>
    </w:p>
    <w:p w14:paraId="2C900323" w14:textId="77777777" w:rsidR="00960105" w:rsidRDefault="00960105" w:rsidP="00960105">
      <w:pPr>
        <w:pStyle w:val="Ttulo2"/>
      </w:pPr>
      <w:bookmarkStart w:id="1016" w:name="_Toc140506568"/>
      <w:r w:rsidRPr="00960105">
        <w:t>SSPD</w:t>
      </w:r>
      <w:bookmarkEnd w:id="1016"/>
      <w:r w:rsidRPr="00960105">
        <w:tab/>
      </w:r>
    </w:p>
    <w:p w14:paraId="7F5E7C62" w14:textId="77777777" w:rsidR="00960105" w:rsidRDefault="00960105" w:rsidP="00960105">
      <w:pPr>
        <w:pStyle w:val="Ttulo4"/>
      </w:pPr>
      <w:r w:rsidRPr="00960105">
        <w:t>SSPD</w:t>
      </w:r>
      <w:r w:rsidRPr="00960105">
        <w:tab/>
      </w:r>
    </w:p>
    <w:p w14:paraId="63A4733B" w14:textId="43FCC59E" w:rsidR="00EF1C07" w:rsidRPr="00CE7D7D" w:rsidRDefault="002F2C6A" w:rsidP="00960105">
      <w:pPr>
        <w:rPr>
          <w:rFonts w:cs="Arial"/>
          <w:i/>
          <w:iCs/>
          <w:sz w:val="22"/>
          <w:szCs w:val="22"/>
        </w:rPr>
      </w:pPr>
      <w:r>
        <w:rPr>
          <w:rFonts w:cs="Arial"/>
          <w:i/>
          <w:iCs/>
          <w:sz w:val="22"/>
          <w:szCs w:val="22"/>
        </w:rPr>
        <w:t>“</w:t>
      </w:r>
      <w:r w:rsidR="00960105" w:rsidRPr="00CE7D7D">
        <w:rPr>
          <w:rFonts w:cs="Arial"/>
          <w:i/>
          <w:iCs/>
          <w:sz w:val="22"/>
          <w:szCs w:val="22"/>
        </w:rPr>
        <w:t>Teniendo en cuenta que el productor que cuenta con consumos propios no suscribe contratos o acuerdos comerciales, se considera necesario ajustar la redacción para incluir cualquier tipo de acuerdo que defina que el agente cuenta con consumos propios.</w:t>
      </w:r>
      <w:r>
        <w:rPr>
          <w:rFonts w:cs="Arial"/>
          <w:i/>
          <w:iCs/>
          <w:sz w:val="22"/>
          <w:szCs w:val="22"/>
        </w:rPr>
        <w:t>”</w:t>
      </w:r>
    </w:p>
    <w:p w14:paraId="2EBE5B19" w14:textId="57B9945D" w:rsidR="00EF1C07" w:rsidRDefault="00EF1C07" w:rsidP="00371CB5">
      <w:pPr>
        <w:rPr>
          <w:rFonts w:cs="Arial"/>
          <w:b/>
          <w:bCs/>
          <w:sz w:val="22"/>
          <w:szCs w:val="22"/>
        </w:rPr>
      </w:pPr>
    </w:p>
    <w:p w14:paraId="057D9C2A" w14:textId="1E27B660" w:rsidR="00EF1C07" w:rsidRDefault="00CE7D7D" w:rsidP="00371CB5">
      <w:pPr>
        <w:rPr>
          <w:rFonts w:cs="Arial"/>
          <w:b/>
          <w:bCs/>
          <w:sz w:val="22"/>
          <w:szCs w:val="22"/>
        </w:rPr>
      </w:pPr>
      <w:r>
        <w:rPr>
          <w:rFonts w:cs="Arial"/>
          <w:b/>
          <w:bCs/>
          <w:sz w:val="22"/>
          <w:szCs w:val="22"/>
        </w:rPr>
        <w:t>Respuesta:</w:t>
      </w:r>
    </w:p>
    <w:p w14:paraId="43E639AA" w14:textId="77777777" w:rsidR="00CE7D7D" w:rsidRDefault="00CE7D7D" w:rsidP="00371CB5">
      <w:pPr>
        <w:rPr>
          <w:rFonts w:cs="Arial"/>
          <w:b/>
          <w:bCs/>
          <w:sz w:val="22"/>
          <w:szCs w:val="22"/>
        </w:rPr>
      </w:pPr>
    </w:p>
    <w:p w14:paraId="4B5E24C5" w14:textId="77777777" w:rsidR="00CE7D7D" w:rsidRDefault="00CE7D7D" w:rsidP="00CE7D7D">
      <w:pPr>
        <w:rPr>
          <w:rFonts w:cs="Arial"/>
          <w:sz w:val="22"/>
          <w:szCs w:val="22"/>
        </w:rPr>
      </w:pPr>
      <w:r>
        <w:rPr>
          <w:rFonts w:cs="Arial"/>
          <w:sz w:val="22"/>
          <w:szCs w:val="22"/>
        </w:rPr>
        <w:t>Se acoge el comentario.</w:t>
      </w:r>
    </w:p>
    <w:p w14:paraId="75B567B7" w14:textId="77777777" w:rsidR="00CE7D7D" w:rsidRDefault="00CE7D7D" w:rsidP="00CE7D7D">
      <w:pPr>
        <w:rPr>
          <w:rFonts w:cs="Arial"/>
          <w:sz w:val="22"/>
          <w:szCs w:val="22"/>
        </w:rPr>
      </w:pPr>
    </w:p>
    <w:p w14:paraId="4B58C2A1" w14:textId="77777777" w:rsidR="00CE7D7D" w:rsidRPr="00960105" w:rsidRDefault="00CE7D7D" w:rsidP="00CE7D7D">
      <w:pPr>
        <w:rPr>
          <w:rFonts w:cs="Arial"/>
          <w:sz w:val="22"/>
          <w:szCs w:val="22"/>
        </w:rPr>
      </w:pPr>
      <w:r>
        <w:rPr>
          <w:rFonts w:cs="Arial"/>
          <w:sz w:val="22"/>
          <w:szCs w:val="22"/>
        </w:rPr>
        <w:t>En la nueva propuesta se incluye la aclaración solicitada.</w:t>
      </w:r>
    </w:p>
    <w:p w14:paraId="79F147F4" w14:textId="77777777" w:rsidR="00CE7D7D" w:rsidRDefault="00CE7D7D" w:rsidP="00371CB5">
      <w:pPr>
        <w:rPr>
          <w:rFonts w:cs="Arial"/>
          <w:b/>
          <w:bCs/>
          <w:sz w:val="22"/>
          <w:szCs w:val="22"/>
        </w:rPr>
      </w:pPr>
    </w:p>
    <w:p w14:paraId="1BB82B24" w14:textId="77777777" w:rsidR="00960105" w:rsidRDefault="00960105" w:rsidP="00371CB5">
      <w:pPr>
        <w:rPr>
          <w:rFonts w:cs="Arial"/>
          <w:b/>
          <w:bCs/>
          <w:sz w:val="22"/>
          <w:szCs w:val="22"/>
        </w:rPr>
      </w:pPr>
    </w:p>
    <w:p w14:paraId="42FAC710" w14:textId="017605DC" w:rsidR="00EF1C07" w:rsidRDefault="00EF1C07" w:rsidP="00EF1C07">
      <w:pPr>
        <w:pStyle w:val="Ttulo1"/>
        <w:numPr>
          <w:ilvl w:val="0"/>
          <w:numId w:val="1"/>
        </w:numPr>
        <w:rPr>
          <w:caps/>
        </w:rPr>
      </w:pPr>
      <w:bookmarkStart w:id="1017" w:name="_Toc140506569"/>
      <w:r>
        <w:t xml:space="preserve">ARTÍCULO 42. </w:t>
      </w:r>
      <w:r w:rsidR="0070732E" w:rsidRPr="0070732E">
        <w:rPr>
          <w:caps/>
        </w:rPr>
        <w:t>Derogatorias</w:t>
      </w:r>
      <w:bookmarkEnd w:id="1017"/>
    </w:p>
    <w:p w14:paraId="2C0BFF1D" w14:textId="77777777" w:rsidR="00BE593A" w:rsidRDefault="00BE593A" w:rsidP="00BE593A">
      <w:pPr>
        <w:pStyle w:val="Ttulo2"/>
      </w:pPr>
      <w:bookmarkStart w:id="1018" w:name="_Toc140506570"/>
      <w:r w:rsidRPr="00BE593A">
        <w:t>GECELCA</w:t>
      </w:r>
      <w:bookmarkEnd w:id="1018"/>
      <w:r w:rsidRPr="00BE593A">
        <w:tab/>
      </w:r>
    </w:p>
    <w:p w14:paraId="2E632C11" w14:textId="77777777" w:rsidR="00BE593A" w:rsidRDefault="00BE593A" w:rsidP="00BE593A">
      <w:pPr>
        <w:pStyle w:val="Ttulo4"/>
      </w:pPr>
      <w:r w:rsidRPr="00BE593A">
        <w:t>GECELCA</w:t>
      </w:r>
      <w:r w:rsidRPr="00BE593A">
        <w:tab/>
      </w:r>
    </w:p>
    <w:p w14:paraId="7802172A" w14:textId="7BC616AD" w:rsidR="00BE593A" w:rsidRDefault="002F2C6A" w:rsidP="00BE593A">
      <w:pPr>
        <w:rPr>
          <w:rFonts w:cs="Arial"/>
          <w:sz w:val="22"/>
          <w:szCs w:val="22"/>
        </w:rPr>
      </w:pPr>
      <w:r>
        <w:rPr>
          <w:rFonts w:cs="Arial"/>
          <w:i/>
          <w:iCs/>
          <w:sz w:val="22"/>
          <w:szCs w:val="22"/>
        </w:rPr>
        <w:t>“</w:t>
      </w:r>
      <w:r w:rsidR="00BE593A" w:rsidRPr="006F580F">
        <w:rPr>
          <w:rFonts w:cs="Arial"/>
          <w:i/>
          <w:iCs/>
          <w:sz w:val="22"/>
          <w:szCs w:val="22"/>
        </w:rPr>
        <w:t>Teniendo en cuenta que la Resolución CREG 186 de 2020 fue resultado de la compilación de los aspectos comerciales del suministro del Mercado Mayorista de gas natural y que la actividad de compilación ayuda a la consulta y el entendimiento de las normas, solicitamos que se derogue completamente la Resolución CREG 186 de 2020 para evitar interpretaciones erróneas de las disposiciones allí contenidas</w:t>
      </w:r>
      <w:r w:rsidR="00BE593A" w:rsidRPr="00BE593A">
        <w:rPr>
          <w:rFonts w:cs="Arial"/>
          <w:sz w:val="22"/>
          <w:szCs w:val="22"/>
        </w:rPr>
        <w:t>.</w:t>
      </w:r>
      <w:r>
        <w:rPr>
          <w:rFonts w:cs="Arial"/>
          <w:sz w:val="22"/>
          <w:szCs w:val="22"/>
        </w:rPr>
        <w:t>”</w:t>
      </w:r>
    </w:p>
    <w:p w14:paraId="2FAEE2BF" w14:textId="77777777" w:rsidR="006F580F" w:rsidRDefault="006F580F" w:rsidP="00BE593A">
      <w:pPr>
        <w:rPr>
          <w:rFonts w:cs="Arial"/>
          <w:sz w:val="22"/>
          <w:szCs w:val="22"/>
        </w:rPr>
      </w:pPr>
    </w:p>
    <w:p w14:paraId="4BE9EDE1" w14:textId="495A5621" w:rsidR="006F580F" w:rsidRPr="006F580F" w:rsidRDefault="006F580F" w:rsidP="00BE593A">
      <w:pPr>
        <w:rPr>
          <w:rFonts w:cs="Arial"/>
          <w:b/>
          <w:bCs/>
          <w:sz w:val="22"/>
          <w:szCs w:val="22"/>
        </w:rPr>
      </w:pPr>
      <w:r w:rsidRPr="006F580F">
        <w:rPr>
          <w:rFonts w:cs="Arial"/>
          <w:b/>
          <w:bCs/>
          <w:sz w:val="22"/>
          <w:szCs w:val="22"/>
        </w:rPr>
        <w:t>Respuesta:</w:t>
      </w:r>
    </w:p>
    <w:p w14:paraId="064B118C" w14:textId="77777777" w:rsidR="006F580F" w:rsidRDefault="006F580F" w:rsidP="00BE593A">
      <w:pPr>
        <w:rPr>
          <w:rFonts w:cs="Arial"/>
          <w:sz w:val="22"/>
          <w:szCs w:val="22"/>
        </w:rPr>
      </w:pPr>
    </w:p>
    <w:p w14:paraId="02791A7A" w14:textId="2463241F" w:rsidR="006F580F" w:rsidRDefault="006F580F" w:rsidP="00BE593A">
      <w:pPr>
        <w:rPr>
          <w:rFonts w:cs="Arial"/>
          <w:sz w:val="22"/>
          <w:szCs w:val="22"/>
        </w:rPr>
      </w:pPr>
      <w:r>
        <w:rPr>
          <w:rFonts w:cs="Arial"/>
          <w:sz w:val="22"/>
          <w:szCs w:val="22"/>
        </w:rPr>
        <w:t>Se acoge el comentario.</w:t>
      </w:r>
    </w:p>
    <w:p w14:paraId="28917F8B" w14:textId="77777777" w:rsidR="006F580F" w:rsidRDefault="006F580F" w:rsidP="00BE593A">
      <w:pPr>
        <w:rPr>
          <w:rFonts w:cs="Arial"/>
          <w:sz w:val="22"/>
          <w:szCs w:val="22"/>
        </w:rPr>
      </w:pPr>
    </w:p>
    <w:p w14:paraId="7763F8E0" w14:textId="7C64B116" w:rsidR="006F580F" w:rsidRPr="00BE593A" w:rsidRDefault="006F580F" w:rsidP="00BE593A">
      <w:pPr>
        <w:rPr>
          <w:rFonts w:cs="Arial"/>
          <w:sz w:val="22"/>
          <w:szCs w:val="22"/>
        </w:rPr>
      </w:pPr>
      <w:r>
        <w:rPr>
          <w:rFonts w:cs="Arial"/>
          <w:sz w:val="22"/>
          <w:szCs w:val="22"/>
        </w:rPr>
        <w:t xml:space="preserve">En la nueva propuesta se incluyen las derogatorias </w:t>
      </w:r>
      <w:r w:rsidR="002F2C6A">
        <w:rPr>
          <w:rFonts w:cs="Arial"/>
          <w:sz w:val="22"/>
          <w:szCs w:val="22"/>
        </w:rPr>
        <w:t xml:space="preserve">expresas </w:t>
      </w:r>
      <w:r>
        <w:rPr>
          <w:rFonts w:cs="Arial"/>
          <w:sz w:val="22"/>
          <w:szCs w:val="22"/>
        </w:rPr>
        <w:t>respectivas.</w:t>
      </w:r>
    </w:p>
    <w:p w14:paraId="2E6C2172" w14:textId="77777777" w:rsidR="00BE593A" w:rsidRDefault="00BE593A" w:rsidP="00BE593A">
      <w:pPr>
        <w:rPr>
          <w:rFonts w:cs="Arial"/>
          <w:sz w:val="22"/>
          <w:szCs w:val="22"/>
        </w:rPr>
      </w:pPr>
    </w:p>
    <w:p w14:paraId="4BF593D2" w14:textId="77777777" w:rsidR="00BE593A" w:rsidRDefault="00BE593A" w:rsidP="00BE593A">
      <w:pPr>
        <w:rPr>
          <w:rFonts w:cs="Arial"/>
          <w:sz w:val="22"/>
          <w:szCs w:val="22"/>
        </w:rPr>
      </w:pPr>
    </w:p>
    <w:p w14:paraId="2D21F37D" w14:textId="77777777" w:rsidR="00BE593A" w:rsidRDefault="00BE593A" w:rsidP="00BE593A">
      <w:pPr>
        <w:pStyle w:val="Ttulo2"/>
      </w:pPr>
      <w:bookmarkStart w:id="1019" w:name="_Toc140506571"/>
      <w:r w:rsidRPr="00BE593A">
        <w:t>HOCOL</w:t>
      </w:r>
      <w:bookmarkEnd w:id="1019"/>
      <w:r w:rsidRPr="00BE593A">
        <w:tab/>
      </w:r>
    </w:p>
    <w:p w14:paraId="4F5F4FBB" w14:textId="77777777" w:rsidR="00BE593A" w:rsidRDefault="00BE593A" w:rsidP="00BE593A">
      <w:pPr>
        <w:pStyle w:val="Ttulo4"/>
      </w:pPr>
      <w:r w:rsidRPr="00BE593A">
        <w:t>HOCOL</w:t>
      </w:r>
      <w:r w:rsidRPr="00BE593A">
        <w:tab/>
      </w:r>
    </w:p>
    <w:p w14:paraId="033F8C04" w14:textId="709FBA3D" w:rsidR="00BE593A" w:rsidRPr="002F2C6A" w:rsidRDefault="002F2C6A" w:rsidP="00BE593A">
      <w:pPr>
        <w:rPr>
          <w:rFonts w:cs="Arial"/>
          <w:i/>
          <w:iCs/>
          <w:sz w:val="22"/>
          <w:szCs w:val="22"/>
        </w:rPr>
      </w:pPr>
      <w:r>
        <w:rPr>
          <w:rFonts w:cs="Arial"/>
          <w:i/>
          <w:iCs/>
          <w:sz w:val="22"/>
          <w:szCs w:val="22"/>
        </w:rPr>
        <w:t>“</w:t>
      </w:r>
      <w:r w:rsidR="00BE593A" w:rsidRPr="002F2C6A">
        <w:rPr>
          <w:rFonts w:cs="Arial"/>
          <w:i/>
          <w:iCs/>
          <w:sz w:val="22"/>
          <w:szCs w:val="22"/>
        </w:rPr>
        <w:t>Revisar las posibles inconsistencias con la derogación de la resolución CREG 186 de 2020, ya que deroga todo lo establecido en esta resolución salvo lo dispuesto en el Artículo 24, que a su vez reglamenta cantidades disponibles en el mercado para aplicación de contratos C1 y C2, que fueron eliminados en esta propuesta regulatoria contenida en la resolución CREG 226 de 2021.</w:t>
      </w:r>
      <w:r>
        <w:rPr>
          <w:rFonts w:cs="Arial"/>
          <w:i/>
          <w:iCs/>
          <w:sz w:val="22"/>
          <w:szCs w:val="22"/>
        </w:rPr>
        <w:t>”</w:t>
      </w:r>
    </w:p>
    <w:p w14:paraId="7D89E7A8" w14:textId="77777777" w:rsidR="006F580F" w:rsidRDefault="006F580F" w:rsidP="00BE593A">
      <w:pPr>
        <w:rPr>
          <w:rFonts w:cs="Arial"/>
          <w:sz w:val="22"/>
          <w:szCs w:val="22"/>
        </w:rPr>
      </w:pPr>
    </w:p>
    <w:p w14:paraId="5E818FF3" w14:textId="18AC32B5" w:rsidR="006F580F" w:rsidRPr="006F580F" w:rsidRDefault="006F580F" w:rsidP="00BE593A">
      <w:pPr>
        <w:rPr>
          <w:rFonts w:cs="Arial"/>
          <w:b/>
          <w:bCs/>
          <w:sz w:val="22"/>
          <w:szCs w:val="22"/>
        </w:rPr>
      </w:pPr>
      <w:r w:rsidRPr="006F580F">
        <w:rPr>
          <w:rFonts w:cs="Arial"/>
          <w:b/>
          <w:bCs/>
          <w:sz w:val="22"/>
          <w:szCs w:val="22"/>
        </w:rPr>
        <w:t>Respuesta:</w:t>
      </w:r>
    </w:p>
    <w:p w14:paraId="22EBCD53" w14:textId="77777777" w:rsidR="006F580F" w:rsidRDefault="006F580F" w:rsidP="00BE593A">
      <w:pPr>
        <w:rPr>
          <w:rFonts w:cs="Arial"/>
          <w:sz w:val="22"/>
          <w:szCs w:val="22"/>
        </w:rPr>
      </w:pPr>
    </w:p>
    <w:p w14:paraId="6FB1F260" w14:textId="1B358C15" w:rsidR="006F580F" w:rsidRDefault="00BC329A" w:rsidP="00BE593A">
      <w:pPr>
        <w:rPr>
          <w:rFonts w:cs="Arial"/>
          <w:sz w:val="22"/>
          <w:szCs w:val="22"/>
        </w:rPr>
      </w:pPr>
      <w:r>
        <w:rPr>
          <w:rFonts w:cs="Arial"/>
          <w:sz w:val="22"/>
          <w:szCs w:val="22"/>
        </w:rPr>
        <w:t>Se acoge el comentario.</w:t>
      </w:r>
    </w:p>
    <w:p w14:paraId="3453035F" w14:textId="77777777" w:rsidR="00BC329A" w:rsidRDefault="00BC329A" w:rsidP="00BE593A">
      <w:pPr>
        <w:rPr>
          <w:rFonts w:cs="Arial"/>
          <w:sz w:val="22"/>
          <w:szCs w:val="22"/>
        </w:rPr>
      </w:pPr>
    </w:p>
    <w:p w14:paraId="12971E85" w14:textId="5908CCBA" w:rsidR="00BC329A" w:rsidRPr="00BE593A" w:rsidRDefault="00BC329A" w:rsidP="00BE593A">
      <w:pPr>
        <w:rPr>
          <w:rFonts w:cs="Arial"/>
          <w:sz w:val="22"/>
          <w:szCs w:val="22"/>
        </w:rPr>
      </w:pPr>
      <w:r>
        <w:rPr>
          <w:rFonts w:cs="Arial"/>
          <w:sz w:val="22"/>
          <w:szCs w:val="22"/>
        </w:rPr>
        <w:t>En la nueva propuesta se hacen las correcciones correspondientes.</w:t>
      </w:r>
    </w:p>
    <w:p w14:paraId="70F6295A" w14:textId="77777777" w:rsidR="00BE593A" w:rsidRDefault="00BE593A" w:rsidP="00BE593A">
      <w:pPr>
        <w:rPr>
          <w:rFonts w:cs="Arial"/>
          <w:sz w:val="22"/>
          <w:szCs w:val="22"/>
        </w:rPr>
      </w:pPr>
    </w:p>
    <w:p w14:paraId="668808E3" w14:textId="77777777" w:rsidR="00BE593A" w:rsidRDefault="00BE593A" w:rsidP="00BE593A">
      <w:pPr>
        <w:rPr>
          <w:rFonts w:cs="Arial"/>
          <w:sz w:val="22"/>
          <w:szCs w:val="22"/>
        </w:rPr>
      </w:pPr>
    </w:p>
    <w:p w14:paraId="589DFAED" w14:textId="77777777" w:rsidR="00BE593A" w:rsidRDefault="00BE593A" w:rsidP="00BE593A">
      <w:pPr>
        <w:pStyle w:val="Ttulo2"/>
      </w:pPr>
      <w:bookmarkStart w:id="1020" w:name="_Toc140506572"/>
      <w:r w:rsidRPr="00BE593A">
        <w:t>ISAGEN</w:t>
      </w:r>
      <w:bookmarkEnd w:id="1020"/>
      <w:r w:rsidRPr="00BE593A">
        <w:tab/>
      </w:r>
    </w:p>
    <w:p w14:paraId="10A611DD" w14:textId="77777777" w:rsidR="00BE593A" w:rsidRDefault="00BE593A" w:rsidP="00BE593A">
      <w:pPr>
        <w:pStyle w:val="Ttulo4"/>
      </w:pPr>
      <w:r w:rsidRPr="00BE593A">
        <w:t>ISAGEN</w:t>
      </w:r>
      <w:r w:rsidRPr="00BE593A">
        <w:tab/>
      </w:r>
    </w:p>
    <w:p w14:paraId="32B41E4A" w14:textId="222DF56D" w:rsidR="00EF1C07" w:rsidRPr="002F2C6A" w:rsidRDefault="002F2C6A" w:rsidP="00BE593A">
      <w:pPr>
        <w:rPr>
          <w:rFonts w:cs="Arial"/>
          <w:i/>
          <w:iCs/>
          <w:sz w:val="22"/>
          <w:szCs w:val="22"/>
        </w:rPr>
      </w:pPr>
      <w:r>
        <w:rPr>
          <w:rFonts w:cs="Arial"/>
          <w:i/>
          <w:iCs/>
          <w:sz w:val="22"/>
          <w:szCs w:val="22"/>
        </w:rPr>
        <w:t>“</w:t>
      </w:r>
      <w:r w:rsidR="00BE593A" w:rsidRPr="002F2C6A">
        <w:rPr>
          <w:rFonts w:cs="Arial"/>
          <w:i/>
          <w:iCs/>
          <w:sz w:val="22"/>
          <w:szCs w:val="22"/>
        </w:rPr>
        <w:t>Aclarar porque no se deroga el Artículo 24 - Cantidades disponibles en el mercado - de la Resolución CREG 186 de 2020. Para mantener la integralidad de la normatividad y para evitar confusiones e interpretaciones en la regulación, consideramos prudente derogar en su totalidad la Resolución CREG 186 de 2020 y de ser necesario incluir en el presente proyecto de resolución el articulo mencionado, de acuerdo con las recomendaciones de buenas prácticas regulatorias de la OCDE.</w:t>
      </w:r>
      <w:r>
        <w:rPr>
          <w:rFonts w:cs="Arial"/>
          <w:i/>
          <w:iCs/>
          <w:sz w:val="22"/>
          <w:szCs w:val="22"/>
        </w:rPr>
        <w:t>”</w:t>
      </w:r>
    </w:p>
    <w:p w14:paraId="707B5BAE" w14:textId="77777777" w:rsidR="00426028" w:rsidRPr="006F1229" w:rsidRDefault="00426028" w:rsidP="00371CB5">
      <w:pPr>
        <w:rPr>
          <w:rFonts w:cs="Arial"/>
          <w:b/>
          <w:bCs/>
          <w:sz w:val="22"/>
          <w:szCs w:val="22"/>
        </w:rPr>
      </w:pPr>
    </w:p>
    <w:p w14:paraId="0B1C05DA" w14:textId="01D2DDC6" w:rsidR="00426028" w:rsidRDefault="00BC329A" w:rsidP="00371CB5">
      <w:pPr>
        <w:rPr>
          <w:rFonts w:cs="Arial"/>
          <w:b/>
          <w:bCs/>
          <w:sz w:val="22"/>
          <w:szCs w:val="22"/>
        </w:rPr>
      </w:pPr>
      <w:r>
        <w:rPr>
          <w:rFonts w:cs="Arial"/>
          <w:b/>
          <w:bCs/>
          <w:sz w:val="22"/>
          <w:szCs w:val="22"/>
        </w:rPr>
        <w:t>Respuesta:</w:t>
      </w:r>
    </w:p>
    <w:p w14:paraId="3FF20ADF" w14:textId="77777777" w:rsidR="00BC329A" w:rsidRDefault="00BC329A" w:rsidP="00371CB5">
      <w:pPr>
        <w:rPr>
          <w:rFonts w:cs="Arial"/>
          <w:b/>
          <w:bCs/>
          <w:sz w:val="22"/>
          <w:szCs w:val="22"/>
        </w:rPr>
      </w:pPr>
    </w:p>
    <w:p w14:paraId="56AD7936" w14:textId="77777777" w:rsidR="00BC329A" w:rsidRDefault="00BC329A" w:rsidP="00BC329A">
      <w:pPr>
        <w:rPr>
          <w:rFonts w:cs="Arial"/>
          <w:sz w:val="22"/>
          <w:szCs w:val="22"/>
        </w:rPr>
      </w:pPr>
      <w:r>
        <w:rPr>
          <w:rFonts w:cs="Arial"/>
          <w:sz w:val="22"/>
          <w:szCs w:val="22"/>
        </w:rPr>
        <w:t>Se acoge el comentario.</w:t>
      </w:r>
    </w:p>
    <w:p w14:paraId="580FFDC2" w14:textId="77777777" w:rsidR="00BC329A" w:rsidRDefault="00BC329A" w:rsidP="00BC329A">
      <w:pPr>
        <w:rPr>
          <w:rFonts w:cs="Arial"/>
          <w:sz w:val="22"/>
          <w:szCs w:val="22"/>
        </w:rPr>
      </w:pPr>
    </w:p>
    <w:p w14:paraId="7886DFF4" w14:textId="1DA6922E" w:rsidR="00BC329A" w:rsidRPr="00BE593A" w:rsidRDefault="00BC329A" w:rsidP="00BC329A">
      <w:pPr>
        <w:rPr>
          <w:rFonts w:cs="Arial"/>
          <w:sz w:val="22"/>
          <w:szCs w:val="22"/>
        </w:rPr>
      </w:pPr>
      <w:r>
        <w:rPr>
          <w:rFonts w:cs="Arial"/>
          <w:sz w:val="22"/>
          <w:szCs w:val="22"/>
        </w:rPr>
        <w:t>En la nueva propuesta se incluyen las derogatorias</w:t>
      </w:r>
      <w:r w:rsidR="002F2C6A">
        <w:rPr>
          <w:rFonts w:cs="Arial"/>
          <w:sz w:val="22"/>
          <w:szCs w:val="22"/>
        </w:rPr>
        <w:t xml:space="preserve"> expresas</w:t>
      </w:r>
      <w:r>
        <w:rPr>
          <w:rFonts w:cs="Arial"/>
          <w:sz w:val="22"/>
          <w:szCs w:val="22"/>
        </w:rPr>
        <w:t xml:space="preserve"> respectivas.</w:t>
      </w:r>
    </w:p>
    <w:p w14:paraId="583E6290" w14:textId="77777777" w:rsidR="00426028" w:rsidRPr="006F1229" w:rsidRDefault="00426028" w:rsidP="00371CB5">
      <w:pPr>
        <w:rPr>
          <w:rFonts w:cs="Arial"/>
          <w:b/>
          <w:bCs/>
          <w:sz w:val="22"/>
          <w:szCs w:val="22"/>
        </w:rPr>
      </w:pPr>
    </w:p>
    <w:p w14:paraId="0AB8D543" w14:textId="77777777" w:rsidR="00426028" w:rsidRPr="006F1229" w:rsidRDefault="00426028" w:rsidP="00371CB5">
      <w:pPr>
        <w:rPr>
          <w:rFonts w:cs="Arial"/>
          <w:b/>
          <w:bCs/>
          <w:sz w:val="22"/>
          <w:szCs w:val="22"/>
        </w:rPr>
      </w:pPr>
    </w:p>
    <w:p w14:paraId="76E35B20" w14:textId="0CDA25D7" w:rsidR="00D07DF6" w:rsidRDefault="00D07DF6" w:rsidP="00D07DF6">
      <w:pPr>
        <w:pStyle w:val="Ttulo1"/>
        <w:numPr>
          <w:ilvl w:val="0"/>
          <w:numId w:val="1"/>
        </w:numPr>
        <w:rPr>
          <w:caps/>
        </w:rPr>
      </w:pPr>
      <w:bookmarkStart w:id="1021" w:name="_Toc140506573"/>
      <w:r>
        <w:t>ANEXO 1</w:t>
      </w:r>
      <w:bookmarkEnd w:id="1021"/>
    </w:p>
    <w:p w14:paraId="45F0A48B" w14:textId="77777777" w:rsidR="006465FC" w:rsidRDefault="003F411E" w:rsidP="006A2A19">
      <w:pPr>
        <w:pStyle w:val="Ttulo2"/>
      </w:pPr>
      <w:bookmarkStart w:id="1022" w:name="_Toc140506574"/>
      <w:r w:rsidRPr="003F411E">
        <w:t>ACP</w:t>
      </w:r>
      <w:bookmarkEnd w:id="1022"/>
      <w:r w:rsidRPr="003F411E">
        <w:tab/>
      </w:r>
    </w:p>
    <w:p w14:paraId="5C2A9EC0" w14:textId="77777777" w:rsidR="00FB04F6" w:rsidRDefault="00FB04F6" w:rsidP="00FB04F6">
      <w:pPr>
        <w:pStyle w:val="Ttulo4"/>
      </w:pPr>
      <w:r w:rsidRPr="003F411E">
        <w:t>ACP</w:t>
      </w:r>
      <w:r w:rsidRPr="003F411E">
        <w:tab/>
      </w:r>
    </w:p>
    <w:p w14:paraId="3798D7AF" w14:textId="24BDDAE5" w:rsidR="003F411E" w:rsidRPr="009A3038" w:rsidRDefault="002F2C6A" w:rsidP="003F411E">
      <w:pPr>
        <w:rPr>
          <w:rFonts w:cs="Arial"/>
          <w:i/>
          <w:iCs/>
          <w:sz w:val="22"/>
          <w:szCs w:val="22"/>
        </w:rPr>
      </w:pPr>
      <w:r>
        <w:rPr>
          <w:rFonts w:cs="Arial"/>
          <w:i/>
          <w:iCs/>
          <w:sz w:val="22"/>
          <w:szCs w:val="22"/>
        </w:rPr>
        <w:t>“</w:t>
      </w:r>
      <w:r w:rsidR="003F411E" w:rsidRPr="009A3038">
        <w:rPr>
          <w:rFonts w:cs="Arial"/>
          <w:i/>
          <w:iCs/>
          <w:sz w:val="22"/>
          <w:szCs w:val="22"/>
        </w:rPr>
        <w:t>Parece que falta alguna palabra en el texto de inicio del Párrafo.</w:t>
      </w:r>
      <w:r>
        <w:rPr>
          <w:rFonts w:cs="Arial"/>
          <w:i/>
          <w:iCs/>
          <w:sz w:val="22"/>
          <w:szCs w:val="22"/>
        </w:rPr>
        <w:t>”</w:t>
      </w:r>
    </w:p>
    <w:p w14:paraId="3620BC63" w14:textId="77777777" w:rsidR="006465FC" w:rsidRDefault="006465FC" w:rsidP="003F411E">
      <w:pPr>
        <w:rPr>
          <w:rFonts w:cs="Arial"/>
          <w:sz w:val="22"/>
          <w:szCs w:val="22"/>
        </w:rPr>
      </w:pPr>
    </w:p>
    <w:p w14:paraId="684F7FC6" w14:textId="53C2B24A" w:rsidR="009A3038" w:rsidRPr="009A3038" w:rsidRDefault="009A3038" w:rsidP="003F411E">
      <w:pPr>
        <w:rPr>
          <w:rFonts w:cs="Arial"/>
          <w:b/>
          <w:bCs/>
          <w:sz w:val="22"/>
          <w:szCs w:val="22"/>
        </w:rPr>
      </w:pPr>
      <w:r w:rsidRPr="009A3038">
        <w:rPr>
          <w:rFonts w:cs="Arial"/>
          <w:b/>
          <w:bCs/>
          <w:sz w:val="22"/>
          <w:szCs w:val="22"/>
        </w:rPr>
        <w:t>Respuesta:</w:t>
      </w:r>
    </w:p>
    <w:p w14:paraId="512F8C74" w14:textId="77777777" w:rsidR="009A3038" w:rsidRDefault="009A3038" w:rsidP="003F411E">
      <w:pPr>
        <w:rPr>
          <w:rFonts w:cs="Arial"/>
          <w:sz w:val="22"/>
          <w:szCs w:val="22"/>
        </w:rPr>
      </w:pPr>
    </w:p>
    <w:p w14:paraId="149DD3EB" w14:textId="77777777" w:rsidR="00BB02AF" w:rsidRDefault="00BB02AF" w:rsidP="00BB02AF">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_Ref133483437 \r \h </w:instrText>
      </w:r>
      <w:r>
        <w:rPr>
          <w:rFonts w:cs="Arial"/>
          <w:sz w:val="22"/>
          <w:szCs w:val="22"/>
        </w:rPr>
      </w:r>
      <w:r>
        <w:rPr>
          <w:rFonts w:cs="Arial"/>
          <w:sz w:val="22"/>
          <w:szCs w:val="22"/>
        </w:rPr>
        <w:fldChar w:fldCharType="separate"/>
      </w:r>
      <w:r>
        <w:rPr>
          <w:rFonts w:cs="Arial"/>
          <w:sz w:val="22"/>
          <w:szCs w:val="22"/>
        </w:rPr>
        <w:t>36.4.1.1</w:t>
      </w:r>
      <w:r>
        <w:rPr>
          <w:rFonts w:cs="Arial"/>
          <w:sz w:val="22"/>
          <w:szCs w:val="22"/>
        </w:rPr>
        <w:fldChar w:fldCharType="end"/>
      </w:r>
      <w:r>
        <w:rPr>
          <w:rFonts w:cs="Arial"/>
          <w:sz w:val="22"/>
          <w:szCs w:val="22"/>
        </w:rPr>
        <w:t>.</w:t>
      </w:r>
    </w:p>
    <w:p w14:paraId="64B68F98" w14:textId="77777777" w:rsidR="009A3038" w:rsidRDefault="009A3038" w:rsidP="003F411E">
      <w:pPr>
        <w:rPr>
          <w:rFonts w:cs="Arial"/>
          <w:sz w:val="22"/>
          <w:szCs w:val="22"/>
        </w:rPr>
      </w:pPr>
    </w:p>
    <w:p w14:paraId="760D9115" w14:textId="77777777" w:rsidR="003B563F" w:rsidRDefault="003B563F" w:rsidP="003F411E">
      <w:pPr>
        <w:rPr>
          <w:rFonts w:cs="Arial"/>
          <w:sz w:val="22"/>
          <w:szCs w:val="22"/>
        </w:rPr>
      </w:pPr>
    </w:p>
    <w:p w14:paraId="1B6CA85B" w14:textId="77777777" w:rsidR="003B563F" w:rsidRDefault="003B563F" w:rsidP="003B563F">
      <w:pPr>
        <w:pStyle w:val="Ttulo4"/>
      </w:pPr>
      <w:bookmarkStart w:id="1023" w:name="_Ref133483483"/>
      <w:r w:rsidRPr="003F411E">
        <w:t>ACP</w:t>
      </w:r>
      <w:bookmarkEnd w:id="1023"/>
      <w:r w:rsidRPr="003F411E">
        <w:tab/>
      </w:r>
    </w:p>
    <w:p w14:paraId="7D972D83" w14:textId="75B69F08" w:rsidR="003F411E" w:rsidRPr="009A3038" w:rsidRDefault="002F2C6A" w:rsidP="003F411E">
      <w:pPr>
        <w:rPr>
          <w:rFonts w:cs="Arial"/>
          <w:i/>
          <w:iCs/>
          <w:sz w:val="22"/>
          <w:szCs w:val="22"/>
        </w:rPr>
      </w:pPr>
      <w:r>
        <w:rPr>
          <w:rFonts w:cs="Arial"/>
          <w:i/>
          <w:iCs/>
          <w:sz w:val="22"/>
          <w:szCs w:val="22"/>
        </w:rPr>
        <w:t>“</w:t>
      </w:r>
      <w:r w:rsidR="003F411E" w:rsidRPr="009A3038">
        <w:rPr>
          <w:rFonts w:cs="Arial"/>
          <w:i/>
          <w:iCs/>
          <w:sz w:val="22"/>
          <w:szCs w:val="22"/>
        </w:rPr>
        <w:t>¿Siempre se deben nominar las cantidades exactas por punto de entrega establecidas en el contrato o se pueden variar las cantidades entre los diferentes puntos de entrega del contrato?</w:t>
      </w:r>
      <w:r>
        <w:rPr>
          <w:rFonts w:cs="Arial"/>
          <w:i/>
          <w:iCs/>
          <w:sz w:val="22"/>
          <w:szCs w:val="22"/>
        </w:rPr>
        <w:t>”</w:t>
      </w:r>
    </w:p>
    <w:p w14:paraId="4D6B3628" w14:textId="77777777" w:rsidR="009A3038" w:rsidRDefault="009A3038" w:rsidP="003F411E">
      <w:pPr>
        <w:rPr>
          <w:rFonts w:cs="Arial"/>
          <w:sz w:val="22"/>
          <w:szCs w:val="22"/>
        </w:rPr>
      </w:pPr>
    </w:p>
    <w:p w14:paraId="75B5FBB3" w14:textId="3404598C" w:rsidR="009A3038" w:rsidRPr="009A3038" w:rsidRDefault="009A3038" w:rsidP="003F411E">
      <w:pPr>
        <w:rPr>
          <w:rFonts w:cs="Arial"/>
          <w:b/>
          <w:bCs/>
          <w:sz w:val="22"/>
          <w:szCs w:val="22"/>
        </w:rPr>
      </w:pPr>
      <w:r w:rsidRPr="009A3038">
        <w:rPr>
          <w:rFonts w:cs="Arial"/>
          <w:b/>
          <w:bCs/>
          <w:sz w:val="22"/>
          <w:szCs w:val="22"/>
        </w:rPr>
        <w:t>Respuesta:</w:t>
      </w:r>
    </w:p>
    <w:p w14:paraId="6F8CEF42" w14:textId="77777777" w:rsidR="009A3038" w:rsidRDefault="009A3038" w:rsidP="003F411E">
      <w:pPr>
        <w:rPr>
          <w:rFonts w:cs="Arial"/>
          <w:sz w:val="22"/>
          <w:szCs w:val="22"/>
        </w:rPr>
      </w:pPr>
    </w:p>
    <w:p w14:paraId="49156B87" w14:textId="46172594" w:rsidR="009A3038" w:rsidRDefault="009A3038" w:rsidP="003F411E">
      <w:pPr>
        <w:rPr>
          <w:rFonts w:cs="Arial"/>
          <w:sz w:val="22"/>
          <w:szCs w:val="22"/>
        </w:rPr>
      </w:pPr>
      <w:r>
        <w:rPr>
          <w:rFonts w:cs="Arial"/>
          <w:sz w:val="22"/>
          <w:szCs w:val="22"/>
        </w:rPr>
        <w:t xml:space="preserve">Si hay cantidades proveniente de diferentes fuentes de suministro pactadas en un solo contrato de suministro, la cantidad que se nomina para la ejecución del contrato no podrá ser superior al 100% de la cantidad pactada con garantía de suministro, en el caso de tratarse de contratos de tipo firme o que garantizan firmeza. </w:t>
      </w:r>
    </w:p>
    <w:p w14:paraId="66362385" w14:textId="77777777" w:rsidR="009A3038" w:rsidRDefault="009A3038" w:rsidP="003F411E">
      <w:pPr>
        <w:rPr>
          <w:rFonts w:cs="Arial"/>
          <w:sz w:val="22"/>
          <w:szCs w:val="22"/>
        </w:rPr>
      </w:pPr>
    </w:p>
    <w:p w14:paraId="29295CFD" w14:textId="5CE1E427" w:rsidR="009A3038" w:rsidRDefault="009A3038" w:rsidP="003F411E">
      <w:pPr>
        <w:rPr>
          <w:rFonts w:cs="Arial"/>
          <w:sz w:val="22"/>
          <w:szCs w:val="22"/>
        </w:rPr>
      </w:pPr>
      <w:r>
        <w:rPr>
          <w:rFonts w:cs="Arial"/>
          <w:sz w:val="22"/>
          <w:szCs w:val="22"/>
        </w:rPr>
        <w:t>A falta de precisión adicional alguna en el contrato de suministro respecto de lo que se pregunta en el comentario, las condiciones mínimas de cumplimiento y de compensación establecidas por la CREG no establecen particularidad al respecto</w:t>
      </w:r>
      <w:r w:rsidR="00D04AA5">
        <w:rPr>
          <w:rFonts w:cs="Arial"/>
          <w:sz w:val="22"/>
          <w:szCs w:val="22"/>
        </w:rPr>
        <w:t>. Es de tener en cuenta que en la propuesta se establece, tal como actualmente se encuentra vigente, que l</w:t>
      </w:r>
      <w:r w:rsidR="00D04AA5" w:rsidRPr="00D04AA5">
        <w:rPr>
          <w:rFonts w:cs="Arial"/>
          <w:sz w:val="22"/>
          <w:szCs w:val="22"/>
        </w:rPr>
        <w:t xml:space="preserve">as partes podrán definir otras circunstancias adicionales </w:t>
      </w:r>
      <w:r w:rsidR="00D04AA5">
        <w:rPr>
          <w:rFonts w:cs="Arial"/>
          <w:sz w:val="22"/>
          <w:szCs w:val="22"/>
        </w:rPr>
        <w:t xml:space="preserve">a las establecidas por la CREG </w:t>
      </w:r>
      <w:r w:rsidR="00D04AA5" w:rsidRPr="00D04AA5">
        <w:rPr>
          <w:rFonts w:cs="Arial"/>
          <w:sz w:val="22"/>
          <w:szCs w:val="22"/>
        </w:rPr>
        <w:t>en que se configure un incumplimiento, sin que se exima del cumplimiento de la obligación principal del contrato.</w:t>
      </w:r>
      <w:r w:rsidR="00D04AA5">
        <w:rPr>
          <w:rFonts w:cs="Arial"/>
          <w:sz w:val="22"/>
          <w:szCs w:val="22"/>
        </w:rPr>
        <w:t xml:space="preserve"> De forma consistente se establece que si</w:t>
      </w:r>
      <w:r w:rsidR="00D04AA5" w:rsidRPr="00D04AA5">
        <w:rPr>
          <w:rFonts w:cs="Arial"/>
          <w:sz w:val="22"/>
          <w:szCs w:val="22"/>
        </w:rPr>
        <w:t xml:space="preserve"> las partes definen otras circunstancias en que se configure un incumplimiento, las partes también podrán acordar las compensaciones correspondientes.</w:t>
      </w:r>
    </w:p>
    <w:p w14:paraId="6C5E2B32" w14:textId="77777777" w:rsidR="009A3038" w:rsidRPr="003F411E" w:rsidRDefault="009A3038" w:rsidP="003F411E">
      <w:pPr>
        <w:rPr>
          <w:rFonts w:cs="Arial"/>
          <w:sz w:val="22"/>
          <w:szCs w:val="22"/>
        </w:rPr>
      </w:pPr>
    </w:p>
    <w:p w14:paraId="46797EB0" w14:textId="77777777" w:rsidR="006465FC" w:rsidRDefault="006465FC" w:rsidP="003F411E">
      <w:pPr>
        <w:rPr>
          <w:rFonts w:cs="Arial"/>
          <w:sz w:val="22"/>
          <w:szCs w:val="22"/>
        </w:rPr>
      </w:pPr>
    </w:p>
    <w:p w14:paraId="530B3552" w14:textId="77777777" w:rsidR="006465FC" w:rsidRDefault="003F411E" w:rsidP="00FB04F6">
      <w:pPr>
        <w:pStyle w:val="Ttulo4"/>
      </w:pPr>
      <w:bookmarkStart w:id="1024" w:name="_Ref133483528"/>
      <w:r w:rsidRPr="003F411E">
        <w:t>ACP</w:t>
      </w:r>
      <w:bookmarkEnd w:id="1024"/>
      <w:r w:rsidRPr="003F411E">
        <w:tab/>
      </w:r>
    </w:p>
    <w:p w14:paraId="16954991" w14:textId="6DF68E56" w:rsidR="003F411E" w:rsidRDefault="003F411E" w:rsidP="003F411E">
      <w:pPr>
        <w:rPr>
          <w:rFonts w:cs="Arial"/>
          <w:sz w:val="22"/>
          <w:szCs w:val="22"/>
        </w:rPr>
      </w:pPr>
      <w:r w:rsidRPr="003F411E">
        <w:rPr>
          <w:rFonts w:cs="Arial"/>
          <w:sz w:val="22"/>
          <w:szCs w:val="22"/>
        </w:rPr>
        <w:t>"</w:t>
      </w:r>
      <w:r w:rsidRPr="00D04AA5">
        <w:rPr>
          <w:rFonts w:cs="Arial"/>
          <w:i/>
          <w:iCs/>
          <w:sz w:val="22"/>
          <w:szCs w:val="22"/>
        </w:rPr>
        <w:t xml:space="preserve">Parece estar de más la palabra </w:t>
      </w:r>
      <w:r w:rsidR="00E10CD0">
        <w:rPr>
          <w:rFonts w:cs="Arial"/>
          <w:i/>
          <w:iCs/>
          <w:sz w:val="22"/>
          <w:szCs w:val="22"/>
        </w:rPr>
        <w:t>‘</w:t>
      </w:r>
      <w:r w:rsidRPr="00D04AA5">
        <w:rPr>
          <w:rFonts w:cs="Arial"/>
          <w:i/>
          <w:iCs/>
          <w:sz w:val="22"/>
          <w:szCs w:val="22"/>
        </w:rPr>
        <w:t>deberá</w:t>
      </w:r>
      <w:r w:rsidR="00E10CD0">
        <w:rPr>
          <w:rFonts w:cs="Arial"/>
          <w:i/>
          <w:iCs/>
          <w:sz w:val="22"/>
          <w:szCs w:val="22"/>
        </w:rPr>
        <w:t>’</w:t>
      </w:r>
      <w:r w:rsidRPr="00D04AA5">
        <w:rPr>
          <w:rFonts w:cs="Arial"/>
          <w:i/>
          <w:iCs/>
          <w:sz w:val="22"/>
          <w:szCs w:val="22"/>
        </w:rPr>
        <w:t xml:space="preserve"> en el texto </w:t>
      </w:r>
      <w:r w:rsidR="00E10CD0">
        <w:rPr>
          <w:rFonts w:cs="Arial"/>
          <w:i/>
          <w:iCs/>
          <w:sz w:val="22"/>
          <w:szCs w:val="22"/>
        </w:rPr>
        <w:t>‘</w:t>
      </w:r>
      <w:r w:rsidRPr="00D04AA5">
        <w:rPr>
          <w:rFonts w:cs="Arial"/>
          <w:i/>
          <w:iCs/>
          <w:sz w:val="22"/>
          <w:szCs w:val="22"/>
        </w:rPr>
        <w:t>Cuando el comprador entregue a usuarios no regulados conectados</w:t>
      </w:r>
      <w:r w:rsidR="00D04AA5" w:rsidRPr="00D04AA5">
        <w:rPr>
          <w:rFonts w:cs="Arial"/>
          <w:i/>
          <w:iCs/>
          <w:sz w:val="22"/>
          <w:szCs w:val="22"/>
        </w:rPr>
        <w:t xml:space="preserve"> </w:t>
      </w:r>
      <w:r w:rsidRPr="00D04AA5">
        <w:rPr>
          <w:rFonts w:cs="Arial"/>
          <w:i/>
          <w:iCs/>
          <w:sz w:val="22"/>
          <w:szCs w:val="22"/>
        </w:rPr>
        <w:t>al sistema de distribución deberá deberán declarar</w:t>
      </w:r>
      <w:r w:rsidR="00E10CD0">
        <w:rPr>
          <w:rFonts w:cs="Arial"/>
          <w:i/>
          <w:iCs/>
          <w:sz w:val="22"/>
          <w:szCs w:val="22"/>
        </w:rPr>
        <w:t>’</w:t>
      </w:r>
    </w:p>
    <w:p w14:paraId="0FCE2551" w14:textId="77777777" w:rsidR="00D04AA5" w:rsidRDefault="00D04AA5" w:rsidP="003F411E">
      <w:pPr>
        <w:rPr>
          <w:rFonts w:cs="Arial"/>
          <w:sz w:val="22"/>
          <w:szCs w:val="22"/>
        </w:rPr>
      </w:pPr>
    </w:p>
    <w:p w14:paraId="5916AFBA" w14:textId="4088C49B" w:rsidR="00D04AA5" w:rsidRPr="00D04AA5" w:rsidRDefault="00D04AA5" w:rsidP="003F411E">
      <w:pPr>
        <w:rPr>
          <w:rFonts w:cs="Arial"/>
          <w:b/>
          <w:bCs/>
          <w:sz w:val="22"/>
          <w:szCs w:val="22"/>
        </w:rPr>
      </w:pPr>
      <w:r w:rsidRPr="00D04AA5">
        <w:rPr>
          <w:rFonts w:cs="Arial"/>
          <w:b/>
          <w:bCs/>
          <w:sz w:val="22"/>
          <w:szCs w:val="22"/>
        </w:rPr>
        <w:t>Respuesta:</w:t>
      </w:r>
    </w:p>
    <w:p w14:paraId="30FF79B4" w14:textId="77777777" w:rsidR="00D04AA5" w:rsidRDefault="00D04AA5" w:rsidP="003F411E">
      <w:pPr>
        <w:rPr>
          <w:rFonts w:cs="Arial"/>
          <w:sz w:val="22"/>
          <w:szCs w:val="22"/>
        </w:rPr>
      </w:pPr>
    </w:p>
    <w:p w14:paraId="3DC49BFC" w14:textId="2243CD53" w:rsidR="00D04AA5" w:rsidRDefault="00D04AA5" w:rsidP="003F411E">
      <w:pPr>
        <w:rPr>
          <w:rFonts w:cs="Arial"/>
          <w:sz w:val="22"/>
          <w:szCs w:val="22"/>
        </w:rPr>
      </w:pPr>
      <w:r>
        <w:rPr>
          <w:rFonts w:cs="Arial"/>
          <w:sz w:val="22"/>
          <w:szCs w:val="22"/>
        </w:rPr>
        <w:t>Se acoge el comentario.</w:t>
      </w:r>
    </w:p>
    <w:p w14:paraId="18696E84" w14:textId="77777777" w:rsidR="00D04AA5" w:rsidRDefault="00D04AA5" w:rsidP="003F411E">
      <w:pPr>
        <w:rPr>
          <w:rFonts w:cs="Arial"/>
          <w:sz w:val="22"/>
          <w:szCs w:val="22"/>
        </w:rPr>
      </w:pPr>
    </w:p>
    <w:p w14:paraId="5B1AFB47" w14:textId="27DAE83B" w:rsidR="00D04AA5" w:rsidRDefault="00D04AA5" w:rsidP="003F411E">
      <w:pPr>
        <w:rPr>
          <w:rFonts w:cs="Arial"/>
          <w:sz w:val="22"/>
          <w:szCs w:val="22"/>
        </w:rPr>
      </w:pPr>
      <w:r>
        <w:rPr>
          <w:rFonts w:cs="Arial"/>
          <w:sz w:val="22"/>
          <w:szCs w:val="22"/>
        </w:rPr>
        <w:t>En la nueva propuesta se corrige el error de redacción.</w:t>
      </w:r>
    </w:p>
    <w:p w14:paraId="790CE879" w14:textId="77777777" w:rsidR="00D04AA5" w:rsidRPr="003F411E" w:rsidRDefault="00D04AA5" w:rsidP="003F411E">
      <w:pPr>
        <w:rPr>
          <w:rFonts w:cs="Arial"/>
          <w:sz w:val="22"/>
          <w:szCs w:val="22"/>
        </w:rPr>
      </w:pPr>
    </w:p>
    <w:p w14:paraId="7B69B728" w14:textId="77777777" w:rsidR="006465FC" w:rsidRDefault="006465FC" w:rsidP="003F411E">
      <w:pPr>
        <w:rPr>
          <w:rFonts w:cs="Arial"/>
          <w:sz w:val="22"/>
          <w:szCs w:val="22"/>
        </w:rPr>
      </w:pPr>
    </w:p>
    <w:p w14:paraId="3D1E5BA2" w14:textId="77777777" w:rsidR="006465FC" w:rsidRDefault="003F411E" w:rsidP="00FB04F6">
      <w:pPr>
        <w:pStyle w:val="Ttulo4"/>
      </w:pPr>
      <w:bookmarkStart w:id="1025" w:name="_Ref133483600"/>
      <w:r w:rsidRPr="003F411E">
        <w:t>ACP</w:t>
      </w:r>
      <w:bookmarkEnd w:id="1025"/>
      <w:r w:rsidRPr="003F411E">
        <w:tab/>
      </w:r>
    </w:p>
    <w:p w14:paraId="7833F0FA" w14:textId="6ABBB670" w:rsidR="003F411E" w:rsidRPr="00D04AA5" w:rsidRDefault="00E10CD0" w:rsidP="003F411E">
      <w:pPr>
        <w:rPr>
          <w:rFonts w:cs="Arial"/>
          <w:i/>
          <w:iCs/>
          <w:sz w:val="22"/>
          <w:szCs w:val="22"/>
        </w:rPr>
      </w:pPr>
      <w:r>
        <w:rPr>
          <w:rFonts w:cs="Arial"/>
          <w:i/>
          <w:iCs/>
          <w:sz w:val="22"/>
          <w:szCs w:val="22"/>
        </w:rPr>
        <w:t>“</w:t>
      </w:r>
      <w:r w:rsidR="003F411E" w:rsidRPr="00D04AA5">
        <w:rPr>
          <w:rFonts w:cs="Arial"/>
          <w:i/>
          <w:iCs/>
          <w:sz w:val="22"/>
          <w:szCs w:val="22"/>
        </w:rPr>
        <w:t xml:space="preserve">Parece estar de más la palabra </w:t>
      </w:r>
      <w:r>
        <w:rPr>
          <w:rFonts w:cs="Arial"/>
          <w:i/>
          <w:iCs/>
          <w:sz w:val="22"/>
          <w:szCs w:val="22"/>
        </w:rPr>
        <w:t>‘</w:t>
      </w:r>
      <w:r w:rsidR="003F411E" w:rsidRPr="00D04AA5">
        <w:rPr>
          <w:rFonts w:cs="Arial"/>
          <w:i/>
          <w:iCs/>
          <w:sz w:val="22"/>
          <w:szCs w:val="22"/>
        </w:rPr>
        <w:t>negociadas</w:t>
      </w:r>
      <w:r>
        <w:rPr>
          <w:rFonts w:cs="Arial"/>
          <w:i/>
          <w:iCs/>
          <w:sz w:val="22"/>
          <w:szCs w:val="22"/>
        </w:rPr>
        <w:t>’</w:t>
      </w:r>
      <w:r w:rsidR="003F411E" w:rsidRPr="00D04AA5">
        <w:rPr>
          <w:rFonts w:cs="Arial"/>
          <w:i/>
          <w:iCs/>
          <w:sz w:val="22"/>
          <w:szCs w:val="22"/>
        </w:rPr>
        <w:t>.</w:t>
      </w:r>
      <w:r>
        <w:rPr>
          <w:rFonts w:cs="Arial"/>
          <w:i/>
          <w:iCs/>
          <w:sz w:val="22"/>
          <w:szCs w:val="22"/>
        </w:rPr>
        <w:t>”</w:t>
      </w:r>
    </w:p>
    <w:p w14:paraId="28BD573E" w14:textId="77777777" w:rsidR="00D04AA5" w:rsidRDefault="00D04AA5" w:rsidP="003F411E">
      <w:pPr>
        <w:rPr>
          <w:rFonts w:cs="Arial"/>
          <w:sz w:val="22"/>
          <w:szCs w:val="22"/>
        </w:rPr>
      </w:pPr>
    </w:p>
    <w:p w14:paraId="69BB6BF5" w14:textId="370AF3A6" w:rsidR="00D04AA5" w:rsidRPr="00D04AA5" w:rsidRDefault="00D04AA5" w:rsidP="003F411E">
      <w:pPr>
        <w:rPr>
          <w:rFonts w:cs="Arial"/>
          <w:b/>
          <w:bCs/>
          <w:sz w:val="22"/>
          <w:szCs w:val="22"/>
        </w:rPr>
      </w:pPr>
      <w:r w:rsidRPr="00D04AA5">
        <w:rPr>
          <w:rFonts w:cs="Arial"/>
          <w:b/>
          <w:bCs/>
          <w:sz w:val="22"/>
          <w:szCs w:val="22"/>
        </w:rPr>
        <w:t>Respuesta:</w:t>
      </w:r>
    </w:p>
    <w:p w14:paraId="29631123" w14:textId="77777777" w:rsidR="00D04AA5" w:rsidRDefault="00D04AA5" w:rsidP="003F411E">
      <w:pPr>
        <w:rPr>
          <w:rFonts w:cs="Arial"/>
          <w:sz w:val="22"/>
          <w:szCs w:val="22"/>
        </w:rPr>
      </w:pPr>
    </w:p>
    <w:p w14:paraId="6C7B653A" w14:textId="15791F27" w:rsidR="00D04AA5" w:rsidRPr="003F411E" w:rsidRDefault="00D04AA5" w:rsidP="003F411E">
      <w:pPr>
        <w:rPr>
          <w:rFonts w:cs="Arial"/>
          <w:sz w:val="22"/>
          <w:szCs w:val="22"/>
        </w:rPr>
      </w:pPr>
      <w:r>
        <w:rPr>
          <w:rFonts w:cs="Arial"/>
          <w:sz w:val="22"/>
          <w:szCs w:val="22"/>
        </w:rPr>
        <w:t>En la nueva propuesta no se incluye el texto con el error comentado.</w:t>
      </w:r>
    </w:p>
    <w:p w14:paraId="74C6D3A2" w14:textId="77777777" w:rsidR="006465FC" w:rsidRDefault="006465FC" w:rsidP="003F411E">
      <w:pPr>
        <w:rPr>
          <w:rFonts w:cs="Arial"/>
          <w:sz w:val="22"/>
          <w:szCs w:val="22"/>
        </w:rPr>
      </w:pPr>
    </w:p>
    <w:p w14:paraId="67C4184C" w14:textId="77777777" w:rsidR="006465FC" w:rsidRDefault="006465FC" w:rsidP="003F411E">
      <w:pPr>
        <w:rPr>
          <w:rFonts w:cs="Arial"/>
          <w:sz w:val="22"/>
          <w:szCs w:val="22"/>
        </w:rPr>
      </w:pPr>
    </w:p>
    <w:p w14:paraId="331EE926" w14:textId="77777777" w:rsidR="006465FC" w:rsidRDefault="003F411E" w:rsidP="006A2A19">
      <w:pPr>
        <w:pStyle w:val="Ttulo2"/>
      </w:pPr>
      <w:bookmarkStart w:id="1026" w:name="_Toc140506575"/>
      <w:r w:rsidRPr="003F411E">
        <w:t>BOLSA MERCANTIL DE COLOMBIA</w:t>
      </w:r>
      <w:bookmarkEnd w:id="1026"/>
      <w:r w:rsidRPr="003F411E">
        <w:tab/>
      </w:r>
    </w:p>
    <w:p w14:paraId="3F31E211" w14:textId="77777777" w:rsidR="00FB04F6" w:rsidRDefault="00FB04F6" w:rsidP="00FB04F6">
      <w:pPr>
        <w:pStyle w:val="Ttulo4"/>
      </w:pPr>
      <w:r w:rsidRPr="003F411E">
        <w:t>BOLSA MERCANTIL DE COLOMBIA</w:t>
      </w:r>
      <w:r w:rsidRPr="003F411E">
        <w:tab/>
      </w:r>
    </w:p>
    <w:p w14:paraId="7BB09496" w14:textId="734F7CAA" w:rsidR="003F411E" w:rsidRPr="00D04AA5" w:rsidRDefault="00E10CD0" w:rsidP="003F411E">
      <w:pPr>
        <w:rPr>
          <w:rFonts w:cs="Arial"/>
          <w:i/>
          <w:iCs/>
          <w:sz w:val="22"/>
          <w:szCs w:val="22"/>
        </w:rPr>
      </w:pPr>
      <w:r>
        <w:rPr>
          <w:rFonts w:cs="Arial"/>
          <w:i/>
          <w:iCs/>
          <w:sz w:val="22"/>
          <w:szCs w:val="22"/>
        </w:rPr>
        <w:t>“</w:t>
      </w:r>
      <w:r w:rsidR="003F411E" w:rsidRPr="00D04AA5">
        <w:rPr>
          <w:rFonts w:cs="Arial"/>
          <w:i/>
          <w:iCs/>
          <w:sz w:val="22"/>
          <w:szCs w:val="22"/>
        </w:rPr>
        <w:t>No se evidencian los plazo</w:t>
      </w:r>
      <w:r w:rsidR="00D04AA5">
        <w:rPr>
          <w:rFonts w:cs="Arial"/>
          <w:i/>
          <w:iCs/>
          <w:sz w:val="22"/>
          <w:szCs w:val="22"/>
        </w:rPr>
        <w:t>s</w:t>
      </w:r>
      <w:r w:rsidR="003F411E" w:rsidRPr="00D04AA5">
        <w:rPr>
          <w:rFonts w:cs="Arial"/>
          <w:i/>
          <w:iCs/>
          <w:sz w:val="22"/>
          <w:szCs w:val="22"/>
        </w:rPr>
        <w:t xml:space="preserve"> que tendrán los operadores del mercado para efectos de la complementación de las nuevas variables requeridas. </w:t>
      </w:r>
      <w:r>
        <w:rPr>
          <w:rFonts w:cs="Arial"/>
          <w:i/>
          <w:iCs/>
          <w:sz w:val="22"/>
          <w:szCs w:val="22"/>
        </w:rPr>
        <w:t>“</w:t>
      </w:r>
    </w:p>
    <w:p w14:paraId="1D717FBB" w14:textId="77777777" w:rsidR="00D04AA5" w:rsidRDefault="00D04AA5" w:rsidP="003F411E">
      <w:pPr>
        <w:rPr>
          <w:rFonts w:cs="Arial"/>
          <w:sz w:val="22"/>
          <w:szCs w:val="22"/>
        </w:rPr>
      </w:pPr>
    </w:p>
    <w:p w14:paraId="331741F3" w14:textId="17703CCB" w:rsidR="00D04AA5" w:rsidRPr="00D04AA5" w:rsidRDefault="00D04AA5" w:rsidP="003F411E">
      <w:pPr>
        <w:rPr>
          <w:rFonts w:cs="Arial"/>
          <w:b/>
          <w:bCs/>
          <w:sz w:val="22"/>
          <w:szCs w:val="22"/>
        </w:rPr>
      </w:pPr>
      <w:r w:rsidRPr="00D04AA5">
        <w:rPr>
          <w:rFonts w:cs="Arial"/>
          <w:b/>
          <w:bCs/>
          <w:sz w:val="22"/>
          <w:szCs w:val="22"/>
        </w:rPr>
        <w:t>Respuesta:</w:t>
      </w:r>
    </w:p>
    <w:p w14:paraId="6AE3D76D" w14:textId="77777777" w:rsidR="00D04AA5" w:rsidRDefault="00D04AA5" w:rsidP="003F411E">
      <w:pPr>
        <w:rPr>
          <w:rFonts w:cs="Arial"/>
          <w:sz w:val="22"/>
          <w:szCs w:val="22"/>
        </w:rPr>
      </w:pPr>
    </w:p>
    <w:p w14:paraId="56087428" w14:textId="02B9F7A7" w:rsidR="00D04AA5" w:rsidRDefault="00D04AA5" w:rsidP="003F411E">
      <w:pPr>
        <w:rPr>
          <w:rFonts w:cs="Arial"/>
          <w:sz w:val="22"/>
          <w:szCs w:val="22"/>
        </w:rPr>
      </w:pPr>
      <w:r>
        <w:rPr>
          <w:rFonts w:cs="Arial"/>
          <w:sz w:val="22"/>
          <w:szCs w:val="22"/>
        </w:rPr>
        <w:t>Se acoge el comentario.</w:t>
      </w:r>
    </w:p>
    <w:p w14:paraId="48FD66E9" w14:textId="77777777" w:rsidR="00D04AA5" w:rsidRDefault="00D04AA5" w:rsidP="003F411E">
      <w:pPr>
        <w:rPr>
          <w:rFonts w:cs="Arial"/>
          <w:sz w:val="22"/>
          <w:szCs w:val="22"/>
        </w:rPr>
      </w:pPr>
    </w:p>
    <w:p w14:paraId="0F3697D6" w14:textId="44CE2A5A" w:rsidR="00D04AA5" w:rsidRDefault="00D04AA5" w:rsidP="003F411E">
      <w:pPr>
        <w:rPr>
          <w:rFonts w:cs="Arial"/>
          <w:sz w:val="22"/>
          <w:szCs w:val="22"/>
        </w:rPr>
      </w:pPr>
      <w:r>
        <w:rPr>
          <w:rFonts w:cs="Arial"/>
          <w:sz w:val="22"/>
          <w:szCs w:val="22"/>
        </w:rPr>
        <w:t>En la nueva propuesta se establece el plazo máximo para completar la nueva información requerida en el Anexo 1 de los contratos vigentes.</w:t>
      </w:r>
    </w:p>
    <w:p w14:paraId="6DDEC25D" w14:textId="77777777" w:rsidR="00D04AA5" w:rsidRPr="003F411E" w:rsidRDefault="00D04AA5" w:rsidP="003F411E">
      <w:pPr>
        <w:rPr>
          <w:rFonts w:cs="Arial"/>
          <w:sz w:val="22"/>
          <w:szCs w:val="22"/>
        </w:rPr>
      </w:pPr>
    </w:p>
    <w:p w14:paraId="322D7A81" w14:textId="77777777" w:rsidR="006465FC" w:rsidRDefault="006465FC" w:rsidP="003F411E">
      <w:pPr>
        <w:rPr>
          <w:rFonts w:cs="Arial"/>
          <w:sz w:val="22"/>
          <w:szCs w:val="22"/>
        </w:rPr>
      </w:pPr>
    </w:p>
    <w:p w14:paraId="3AE95CC6" w14:textId="77777777" w:rsidR="006465FC" w:rsidRDefault="003F411E" w:rsidP="00FB04F6">
      <w:pPr>
        <w:pStyle w:val="Ttulo4"/>
      </w:pPr>
      <w:r w:rsidRPr="003F411E">
        <w:t>BOLSA MERCANTIL DE COLOMBIA</w:t>
      </w:r>
      <w:r w:rsidRPr="003F411E">
        <w:tab/>
      </w:r>
    </w:p>
    <w:p w14:paraId="404142BE" w14:textId="0DE66533" w:rsidR="003F411E" w:rsidRPr="00D04AA5" w:rsidRDefault="003F411E" w:rsidP="003F411E">
      <w:pPr>
        <w:rPr>
          <w:rFonts w:cs="Arial"/>
          <w:i/>
          <w:iCs/>
          <w:sz w:val="22"/>
          <w:szCs w:val="22"/>
        </w:rPr>
      </w:pPr>
      <w:r w:rsidRPr="003F411E">
        <w:rPr>
          <w:rFonts w:cs="Arial"/>
          <w:sz w:val="22"/>
          <w:szCs w:val="22"/>
        </w:rPr>
        <w:t>"</w:t>
      </w:r>
      <w:r w:rsidRPr="00D04AA5">
        <w:rPr>
          <w:rFonts w:cs="Arial"/>
          <w:i/>
          <w:iCs/>
          <w:sz w:val="22"/>
          <w:szCs w:val="22"/>
        </w:rPr>
        <w:t xml:space="preserve">Se requiere especificar qué se entenderá por </w:t>
      </w:r>
      <w:r w:rsidR="00E10CD0">
        <w:rPr>
          <w:rFonts w:cs="Arial"/>
          <w:i/>
          <w:iCs/>
          <w:sz w:val="22"/>
          <w:szCs w:val="22"/>
        </w:rPr>
        <w:t>‘</w:t>
      </w:r>
      <w:r w:rsidRPr="00D04AA5">
        <w:rPr>
          <w:rFonts w:cs="Arial"/>
          <w:i/>
          <w:iCs/>
          <w:sz w:val="22"/>
          <w:szCs w:val="22"/>
        </w:rPr>
        <w:t>Punto de entrega de la energía al comprador</w:t>
      </w:r>
      <w:r w:rsidR="00E10CD0">
        <w:rPr>
          <w:rFonts w:cs="Arial"/>
          <w:i/>
          <w:iCs/>
          <w:sz w:val="22"/>
          <w:szCs w:val="22"/>
        </w:rPr>
        <w:t>’</w:t>
      </w:r>
      <w:r w:rsidRPr="00D04AA5">
        <w:rPr>
          <w:rFonts w:cs="Arial"/>
          <w:i/>
          <w:iCs/>
          <w:sz w:val="22"/>
          <w:szCs w:val="22"/>
        </w:rPr>
        <w:t xml:space="preserve">. </w:t>
      </w:r>
    </w:p>
    <w:p w14:paraId="22AA3D6E" w14:textId="5AC51F68" w:rsidR="003F411E" w:rsidRDefault="003F411E" w:rsidP="003F411E">
      <w:pPr>
        <w:rPr>
          <w:rFonts w:cs="Arial"/>
          <w:sz w:val="22"/>
          <w:szCs w:val="22"/>
        </w:rPr>
      </w:pPr>
      <w:r w:rsidRPr="00D04AA5">
        <w:rPr>
          <w:rFonts w:cs="Arial"/>
          <w:i/>
          <w:iCs/>
          <w:sz w:val="22"/>
          <w:szCs w:val="22"/>
        </w:rPr>
        <w:t>Además, dado que actualmente el comprador puede gestionar las entregas en diferentes puntos de entrega vía las nominaciones de capacidad de transporte, puede ser no requerido el cambio propuesto en el registro transaccional propuesto por la Comisión</w:t>
      </w:r>
      <w:r w:rsidRPr="003F411E">
        <w:rPr>
          <w:rFonts w:cs="Arial"/>
          <w:sz w:val="22"/>
          <w:szCs w:val="22"/>
        </w:rPr>
        <w:t>."</w:t>
      </w:r>
    </w:p>
    <w:p w14:paraId="68E0F450" w14:textId="77777777" w:rsidR="00D04AA5" w:rsidRDefault="00D04AA5" w:rsidP="003F411E">
      <w:pPr>
        <w:rPr>
          <w:rFonts w:cs="Arial"/>
          <w:sz w:val="22"/>
          <w:szCs w:val="22"/>
        </w:rPr>
      </w:pPr>
    </w:p>
    <w:p w14:paraId="1E99C09D" w14:textId="75E45FF9" w:rsidR="00D04AA5" w:rsidRPr="00D04AA5" w:rsidRDefault="00D04AA5" w:rsidP="003F411E">
      <w:pPr>
        <w:rPr>
          <w:rFonts w:cs="Arial"/>
          <w:b/>
          <w:bCs/>
          <w:sz w:val="22"/>
          <w:szCs w:val="22"/>
        </w:rPr>
      </w:pPr>
      <w:r w:rsidRPr="00D04AA5">
        <w:rPr>
          <w:rFonts w:cs="Arial"/>
          <w:b/>
          <w:bCs/>
          <w:sz w:val="22"/>
          <w:szCs w:val="22"/>
        </w:rPr>
        <w:t>Respuesta:</w:t>
      </w:r>
    </w:p>
    <w:p w14:paraId="7FC1ABEF" w14:textId="77777777" w:rsidR="00D04AA5" w:rsidRDefault="00D04AA5" w:rsidP="003F411E">
      <w:pPr>
        <w:rPr>
          <w:rFonts w:cs="Arial"/>
          <w:sz w:val="22"/>
          <w:szCs w:val="22"/>
        </w:rPr>
      </w:pPr>
    </w:p>
    <w:p w14:paraId="4A7B1B26" w14:textId="746D92A3" w:rsidR="00D04AA5" w:rsidRDefault="001C4474" w:rsidP="003F411E">
      <w:pPr>
        <w:rPr>
          <w:rFonts w:cs="Arial"/>
          <w:sz w:val="22"/>
          <w:szCs w:val="22"/>
        </w:rPr>
      </w:pPr>
      <w:r>
        <w:rPr>
          <w:rFonts w:cs="Arial"/>
          <w:sz w:val="22"/>
          <w:szCs w:val="22"/>
        </w:rPr>
        <w:t>Se deben informar el punto o los puntos de entrega que se incluyeron en el contrato de suministro que se solicita registrar.</w:t>
      </w:r>
    </w:p>
    <w:p w14:paraId="196EB642" w14:textId="77777777" w:rsidR="00D04AA5" w:rsidRPr="003F411E" w:rsidRDefault="00D04AA5" w:rsidP="003F411E">
      <w:pPr>
        <w:rPr>
          <w:rFonts w:cs="Arial"/>
          <w:sz w:val="22"/>
          <w:szCs w:val="22"/>
        </w:rPr>
      </w:pPr>
    </w:p>
    <w:p w14:paraId="039CF3A8" w14:textId="77777777" w:rsidR="006465FC" w:rsidRDefault="006465FC" w:rsidP="003F411E">
      <w:pPr>
        <w:rPr>
          <w:rFonts w:cs="Arial"/>
          <w:sz w:val="22"/>
          <w:szCs w:val="22"/>
        </w:rPr>
      </w:pPr>
    </w:p>
    <w:p w14:paraId="1C0EDD85" w14:textId="77777777" w:rsidR="006465FC" w:rsidRDefault="003F411E" w:rsidP="00FB04F6">
      <w:pPr>
        <w:pStyle w:val="Ttulo4"/>
      </w:pPr>
      <w:r w:rsidRPr="003F411E">
        <w:t>BOLSA MERCANTIL DE COLOMBIA</w:t>
      </w:r>
      <w:r w:rsidRPr="003F411E">
        <w:tab/>
      </w:r>
    </w:p>
    <w:p w14:paraId="78036698" w14:textId="61B9C3B7" w:rsidR="003F411E" w:rsidRPr="001C4474" w:rsidRDefault="00F43C1D" w:rsidP="003F411E">
      <w:pPr>
        <w:rPr>
          <w:rFonts w:cs="Arial"/>
          <w:i/>
          <w:iCs/>
          <w:sz w:val="22"/>
          <w:szCs w:val="22"/>
        </w:rPr>
      </w:pPr>
      <w:r>
        <w:rPr>
          <w:rFonts w:cs="Arial"/>
          <w:i/>
          <w:iCs/>
          <w:sz w:val="22"/>
          <w:szCs w:val="22"/>
        </w:rPr>
        <w:t>“</w:t>
      </w:r>
      <w:r w:rsidR="003F411E" w:rsidRPr="001C4474">
        <w:rPr>
          <w:rFonts w:cs="Arial"/>
          <w:i/>
          <w:iCs/>
          <w:sz w:val="22"/>
          <w:szCs w:val="22"/>
        </w:rPr>
        <w:t xml:space="preserve">La mayoría de información solicitada en el documento anexo de caracterización del contrato es parte del registro de éste en el sistema SEGAS. </w:t>
      </w:r>
      <w:r>
        <w:rPr>
          <w:rFonts w:cs="Arial"/>
          <w:i/>
          <w:iCs/>
          <w:sz w:val="22"/>
          <w:szCs w:val="22"/>
        </w:rPr>
        <w:t>“</w:t>
      </w:r>
    </w:p>
    <w:p w14:paraId="40B28CB1" w14:textId="77777777" w:rsidR="001C4474" w:rsidRDefault="001C4474" w:rsidP="003F411E">
      <w:pPr>
        <w:rPr>
          <w:rFonts w:cs="Arial"/>
          <w:sz w:val="22"/>
          <w:szCs w:val="22"/>
        </w:rPr>
      </w:pPr>
    </w:p>
    <w:p w14:paraId="636B1465" w14:textId="15C530EA" w:rsidR="001C4474" w:rsidRPr="001C4474" w:rsidRDefault="001C4474" w:rsidP="003F411E">
      <w:pPr>
        <w:rPr>
          <w:rFonts w:cs="Arial"/>
          <w:b/>
          <w:bCs/>
          <w:sz w:val="22"/>
          <w:szCs w:val="22"/>
        </w:rPr>
      </w:pPr>
      <w:r w:rsidRPr="001C4474">
        <w:rPr>
          <w:rFonts w:cs="Arial"/>
          <w:b/>
          <w:bCs/>
          <w:sz w:val="22"/>
          <w:szCs w:val="22"/>
        </w:rPr>
        <w:t>Respuesta:</w:t>
      </w:r>
    </w:p>
    <w:p w14:paraId="0DA0B88F" w14:textId="77777777" w:rsidR="001C4474" w:rsidRDefault="001C4474" w:rsidP="003F411E">
      <w:pPr>
        <w:rPr>
          <w:rFonts w:cs="Arial"/>
          <w:sz w:val="22"/>
          <w:szCs w:val="22"/>
        </w:rPr>
      </w:pPr>
    </w:p>
    <w:p w14:paraId="2D379C54" w14:textId="5B230B42" w:rsidR="001C4474" w:rsidRDefault="001C4474"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_Ref133143636 \r \h </w:instrText>
      </w:r>
      <w:r>
        <w:rPr>
          <w:rFonts w:cs="Arial"/>
          <w:sz w:val="22"/>
          <w:szCs w:val="22"/>
        </w:rPr>
      </w:r>
      <w:r>
        <w:rPr>
          <w:rFonts w:cs="Arial"/>
          <w:sz w:val="22"/>
          <w:szCs w:val="22"/>
        </w:rPr>
        <w:fldChar w:fldCharType="separate"/>
      </w:r>
      <w:r>
        <w:rPr>
          <w:rFonts w:cs="Arial"/>
          <w:sz w:val="22"/>
          <w:szCs w:val="22"/>
        </w:rPr>
        <w:t>20.6.1.2</w:t>
      </w:r>
      <w:r>
        <w:rPr>
          <w:rFonts w:cs="Arial"/>
          <w:sz w:val="22"/>
          <w:szCs w:val="22"/>
        </w:rPr>
        <w:fldChar w:fldCharType="end"/>
      </w:r>
      <w:r>
        <w:rPr>
          <w:rFonts w:cs="Arial"/>
          <w:sz w:val="22"/>
          <w:szCs w:val="22"/>
        </w:rPr>
        <w:t>.</w:t>
      </w:r>
    </w:p>
    <w:p w14:paraId="24E94ED0" w14:textId="77777777" w:rsidR="001C4474" w:rsidRPr="003F411E" w:rsidRDefault="001C4474" w:rsidP="003F411E">
      <w:pPr>
        <w:rPr>
          <w:rFonts w:cs="Arial"/>
          <w:sz w:val="22"/>
          <w:szCs w:val="22"/>
        </w:rPr>
      </w:pPr>
    </w:p>
    <w:p w14:paraId="52B94A3B" w14:textId="77777777" w:rsidR="006465FC" w:rsidRDefault="006465FC" w:rsidP="003F411E">
      <w:pPr>
        <w:rPr>
          <w:rFonts w:cs="Arial"/>
          <w:sz w:val="22"/>
          <w:szCs w:val="22"/>
        </w:rPr>
      </w:pPr>
    </w:p>
    <w:p w14:paraId="1EE5DB68" w14:textId="77777777" w:rsidR="006465FC" w:rsidRDefault="003F411E" w:rsidP="00FB04F6">
      <w:pPr>
        <w:pStyle w:val="Ttulo4"/>
      </w:pPr>
      <w:bookmarkStart w:id="1027" w:name="_Ref133414201"/>
      <w:r w:rsidRPr="003F411E">
        <w:t>BOLSA MERCANTIL DE COLOMBIA</w:t>
      </w:r>
      <w:bookmarkEnd w:id="1027"/>
      <w:r w:rsidRPr="003F411E">
        <w:tab/>
      </w:r>
    </w:p>
    <w:p w14:paraId="3583D9EB" w14:textId="3BB9D23B" w:rsidR="003F411E" w:rsidRPr="001C4474" w:rsidRDefault="003F411E" w:rsidP="003F411E">
      <w:pPr>
        <w:rPr>
          <w:rFonts w:cs="Arial"/>
          <w:i/>
          <w:iCs/>
          <w:sz w:val="22"/>
          <w:szCs w:val="22"/>
        </w:rPr>
      </w:pPr>
      <w:r w:rsidRPr="003F411E">
        <w:rPr>
          <w:rFonts w:cs="Arial"/>
          <w:sz w:val="22"/>
          <w:szCs w:val="22"/>
        </w:rPr>
        <w:t xml:space="preserve">" </w:t>
      </w:r>
      <w:r w:rsidRPr="001C4474">
        <w:rPr>
          <w:rFonts w:cs="Arial"/>
          <w:i/>
          <w:iCs/>
          <w:sz w:val="22"/>
          <w:szCs w:val="22"/>
        </w:rPr>
        <w:t xml:space="preserve">No es clara la función asignada al </w:t>
      </w:r>
      <w:r w:rsidR="005114C6" w:rsidRPr="001C4474">
        <w:rPr>
          <w:rFonts w:cs="Arial"/>
          <w:i/>
          <w:iCs/>
          <w:sz w:val="22"/>
          <w:szCs w:val="22"/>
        </w:rPr>
        <w:t>Gestor del Mercado</w:t>
      </w:r>
      <w:r w:rsidRPr="001C4474">
        <w:rPr>
          <w:rFonts w:cs="Arial"/>
          <w:i/>
          <w:iCs/>
          <w:sz w:val="22"/>
          <w:szCs w:val="22"/>
        </w:rPr>
        <w:t xml:space="preserve"> respecto a:</w:t>
      </w:r>
    </w:p>
    <w:p w14:paraId="51C79697" w14:textId="77777777" w:rsidR="001C4474" w:rsidRDefault="001C4474" w:rsidP="003F411E">
      <w:pPr>
        <w:rPr>
          <w:rFonts w:cs="Arial"/>
          <w:i/>
          <w:iCs/>
          <w:sz w:val="22"/>
          <w:szCs w:val="22"/>
        </w:rPr>
      </w:pPr>
    </w:p>
    <w:p w14:paraId="1E4BDA39" w14:textId="1B2B08F8" w:rsidR="003F411E" w:rsidRPr="001C4474" w:rsidRDefault="00F43C1D" w:rsidP="003F411E">
      <w:pPr>
        <w:rPr>
          <w:rFonts w:cs="Arial"/>
          <w:i/>
          <w:iCs/>
          <w:sz w:val="22"/>
          <w:szCs w:val="22"/>
        </w:rPr>
      </w:pPr>
      <w:r>
        <w:rPr>
          <w:rFonts w:cs="Arial"/>
          <w:i/>
          <w:iCs/>
          <w:sz w:val="22"/>
          <w:szCs w:val="22"/>
        </w:rPr>
        <w:t>‘</w:t>
      </w:r>
      <w:r w:rsidR="003F411E" w:rsidRPr="001C4474">
        <w:rPr>
          <w:rFonts w:cs="Arial"/>
          <w:i/>
          <w:iCs/>
          <w:sz w:val="22"/>
          <w:szCs w:val="22"/>
        </w:rPr>
        <w:t xml:space="preserve">Adicionalmente, y para efectos de lo anterior, los vendedores del mercado primario y el </w:t>
      </w:r>
      <w:r w:rsidR="005114C6" w:rsidRPr="001C4474">
        <w:rPr>
          <w:rFonts w:cs="Arial"/>
          <w:i/>
          <w:iCs/>
          <w:sz w:val="22"/>
          <w:szCs w:val="22"/>
        </w:rPr>
        <w:t>Gestor del Mercado</w:t>
      </w:r>
      <w:r w:rsidR="003F411E" w:rsidRPr="001C4474">
        <w:rPr>
          <w:rFonts w:cs="Arial"/>
          <w:i/>
          <w:iCs/>
          <w:sz w:val="22"/>
          <w:szCs w:val="22"/>
        </w:rPr>
        <w:t xml:space="preserve"> deberán tener en cuenta, para los contratos que se desean registrar con base en los casos establecidos en el Parágrafo del Artículo 20 de la presente resolución, tomar el valor asignado a cada fuente de suministro incluida en el contrato, con la que se garantiza el servicio de suministro de gas natural, sin interrupciones, durante un período determinado, excepto en los días establecidos para mantenimiento y labores programadas. Lo anterior independientemente de la denominación que se haya utilizado para definir el contrato de suministro que se desea registrar</w:t>
      </w:r>
      <w:r>
        <w:rPr>
          <w:rFonts w:cs="Arial"/>
          <w:i/>
          <w:iCs/>
          <w:sz w:val="22"/>
          <w:szCs w:val="22"/>
        </w:rPr>
        <w:t>’</w:t>
      </w:r>
      <w:r w:rsidR="003F411E" w:rsidRPr="001C4474">
        <w:rPr>
          <w:rFonts w:cs="Arial"/>
          <w:i/>
          <w:iCs/>
          <w:sz w:val="22"/>
          <w:szCs w:val="22"/>
        </w:rPr>
        <w:t>."</w:t>
      </w:r>
    </w:p>
    <w:p w14:paraId="76056540" w14:textId="77777777" w:rsidR="001C4474" w:rsidRDefault="001C4474" w:rsidP="003F411E">
      <w:pPr>
        <w:rPr>
          <w:rFonts w:cs="Arial"/>
          <w:sz w:val="22"/>
          <w:szCs w:val="22"/>
        </w:rPr>
      </w:pPr>
    </w:p>
    <w:p w14:paraId="4A0F43FA" w14:textId="1F392771" w:rsidR="001C4474" w:rsidRPr="001C4474" w:rsidRDefault="001C4474" w:rsidP="003F411E">
      <w:pPr>
        <w:rPr>
          <w:rFonts w:cs="Arial"/>
          <w:b/>
          <w:bCs/>
          <w:sz w:val="22"/>
          <w:szCs w:val="22"/>
        </w:rPr>
      </w:pPr>
      <w:r w:rsidRPr="001C4474">
        <w:rPr>
          <w:rFonts w:cs="Arial"/>
          <w:b/>
          <w:bCs/>
          <w:sz w:val="22"/>
          <w:szCs w:val="22"/>
        </w:rPr>
        <w:t>Respuesta:</w:t>
      </w:r>
    </w:p>
    <w:p w14:paraId="2E9D8C09" w14:textId="77777777" w:rsidR="001C4474" w:rsidRDefault="001C4474" w:rsidP="003F411E">
      <w:pPr>
        <w:rPr>
          <w:rFonts w:cs="Arial"/>
          <w:sz w:val="22"/>
          <w:szCs w:val="22"/>
        </w:rPr>
      </w:pPr>
    </w:p>
    <w:p w14:paraId="1EA69717" w14:textId="77777777" w:rsidR="00A55BC2" w:rsidRDefault="001C4474" w:rsidP="00A55BC2">
      <w:pPr>
        <w:rPr>
          <w:rFonts w:cs="Arial"/>
          <w:sz w:val="22"/>
          <w:szCs w:val="22"/>
        </w:rPr>
      </w:pPr>
      <w:r>
        <w:rPr>
          <w:rFonts w:cs="Arial"/>
          <w:sz w:val="22"/>
          <w:szCs w:val="22"/>
        </w:rPr>
        <w:t xml:space="preserve">El objetivo es que los vendedores que se acogen a las excepciones establecidas en el parágrafo mencionado en el texto </w:t>
      </w:r>
      <w:proofErr w:type="gramStart"/>
      <w:r>
        <w:rPr>
          <w:rFonts w:cs="Arial"/>
          <w:sz w:val="22"/>
          <w:szCs w:val="22"/>
        </w:rPr>
        <w:t>comentado,</w:t>
      </w:r>
      <w:proofErr w:type="gramEnd"/>
      <w:r>
        <w:rPr>
          <w:rFonts w:cs="Arial"/>
          <w:sz w:val="22"/>
          <w:szCs w:val="22"/>
        </w:rPr>
        <w:t xml:space="preserve"> declaren las cantidades que son firmes en la clasificación de “contratos firmes”. Y las cantidades que son de tipo con interrupciones, así sea un mismo contrato, las </w:t>
      </w:r>
      <w:proofErr w:type="gramStart"/>
      <w:r>
        <w:rPr>
          <w:rFonts w:cs="Arial"/>
          <w:sz w:val="22"/>
          <w:szCs w:val="22"/>
        </w:rPr>
        <w:t>declaren como</w:t>
      </w:r>
      <w:proofErr w:type="gramEnd"/>
      <w:r>
        <w:rPr>
          <w:rFonts w:cs="Arial"/>
          <w:sz w:val="22"/>
          <w:szCs w:val="22"/>
        </w:rPr>
        <w:t xml:space="preserve"> contratos con interrupciones.</w:t>
      </w:r>
    </w:p>
    <w:p w14:paraId="0FDC29F1" w14:textId="77777777" w:rsidR="00A55BC2" w:rsidRDefault="00A55BC2" w:rsidP="00A55BC2">
      <w:pPr>
        <w:rPr>
          <w:rFonts w:cs="Arial"/>
          <w:sz w:val="22"/>
          <w:szCs w:val="22"/>
        </w:rPr>
      </w:pPr>
    </w:p>
    <w:p w14:paraId="34916018" w14:textId="4C6DA3B4" w:rsidR="001C4474" w:rsidRDefault="00A55BC2" w:rsidP="00A55BC2">
      <w:pPr>
        <w:rPr>
          <w:rFonts w:cs="Arial"/>
          <w:sz w:val="22"/>
          <w:szCs w:val="22"/>
        </w:rPr>
      </w:pPr>
      <w:r>
        <w:rPr>
          <w:rFonts w:cs="Arial"/>
          <w:sz w:val="22"/>
          <w:szCs w:val="22"/>
        </w:rPr>
        <w:t xml:space="preserve">El Gestor del mercado debe entonces establecer una clasificación inicial en dos tipos de contratos: firmes y con interrupciones. Y a partir de esa primera clasificación que deben hacer los agentes del mercado Primario, ya entra la clasificación por modalidad contractual CREG, es decir, CF95, CF80, OCG, OCGX, CI, CSC, CFC, y la de “otras”, en donde se clasifica lo que corresponda a lo exceptuado en el parágrafo. </w:t>
      </w:r>
    </w:p>
    <w:p w14:paraId="694D71AB" w14:textId="77777777" w:rsidR="001C4474" w:rsidRDefault="001C4474" w:rsidP="003F411E">
      <w:pPr>
        <w:rPr>
          <w:rFonts w:cs="Arial"/>
          <w:sz w:val="22"/>
          <w:szCs w:val="22"/>
        </w:rPr>
      </w:pPr>
    </w:p>
    <w:p w14:paraId="202A38D5" w14:textId="25B09A4D" w:rsidR="009D3C90" w:rsidRDefault="009D3C90" w:rsidP="003F411E">
      <w:pPr>
        <w:rPr>
          <w:rFonts w:cs="Arial"/>
          <w:sz w:val="22"/>
          <w:szCs w:val="22"/>
        </w:rPr>
      </w:pPr>
      <w:r>
        <w:rPr>
          <w:rFonts w:cs="Arial"/>
          <w:sz w:val="22"/>
          <w:szCs w:val="22"/>
        </w:rPr>
        <w:t>En la nueva propuesta se da mayor precisión al respecto en el Anexo 1.</w:t>
      </w:r>
    </w:p>
    <w:p w14:paraId="5B5BAEFF" w14:textId="77777777" w:rsidR="001C4474" w:rsidRPr="003F411E" w:rsidRDefault="001C4474" w:rsidP="003F411E">
      <w:pPr>
        <w:rPr>
          <w:rFonts w:cs="Arial"/>
          <w:sz w:val="22"/>
          <w:szCs w:val="22"/>
        </w:rPr>
      </w:pPr>
    </w:p>
    <w:p w14:paraId="1BCB1BDE" w14:textId="77777777" w:rsidR="006465FC" w:rsidRDefault="006465FC" w:rsidP="003F411E">
      <w:pPr>
        <w:rPr>
          <w:rFonts w:cs="Arial"/>
          <w:sz w:val="22"/>
          <w:szCs w:val="22"/>
        </w:rPr>
      </w:pPr>
    </w:p>
    <w:p w14:paraId="3B4062AA" w14:textId="77777777" w:rsidR="006465FC" w:rsidRDefault="003F411E" w:rsidP="00FB04F6">
      <w:pPr>
        <w:pStyle w:val="Ttulo4"/>
      </w:pPr>
      <w:bookmarkStart w:id="1028" w:name="_Ref133409228"/>
      <w:r w:rsidRPr="003F411E">
        <w:t>BOLSA MERCANTIL DE COLOMBIA</w:t>
      </w:r>
      <w:bookmarkEnd w:id="1028"/>
      <w:r w:rsidRPr="003F411E">
        <w:tab/>
      </w:r>
    </w:p>
    <w:p w14:paraId="5EFF8BFB" w14:textId="52F4124A" w:rsidR="003F411E" w:rsidRPr="00A55BC2" w:rsidRDefault="003F411E" w:rsidP="003F411E">
      <w:pPr>
        <w:rPr>
          <w:rFonts w:cs="Arial"/>
          <w:i/>
          <w:iCs/>
          <w:sz w:val="22"/>
          <w:szCs w:val="22"/>
        </w:rPr>
      </w:pPr>
      <w:r w:rsidRPr="003F411E">
        <w:rPr>
          <w:rFonts w:cs="Arial"/>
          <w:sz w:val="22"/>
          <w:szCs w:val="22"/>
        </w:rPr>
        <w:t>"</w:t>
      </w:r>
      <w:r w:rsidRPr="00A55BC2">
        <w:rPr>
          <w:rFonts w:cs="Arial"/>
          <w:i/>
          <w:iCs/>
          <w:sz w:val="22"/>
          <w:szCs w:val="22"/>
        </w:rPr>
        <w:t xml:space="preserve">La referencia al registro de los participantes ante las autoridades sectoriales (CREG, SSPD, </w:t>
      </w:r>
      <w:proofErr w:type="spellStart"/>
      <w:r w:rsidRPr="00A55BC2">
        <w:rPr>
          <w:rFonts w:cs="Arial"/>
          <w:i/>
          <w:iCs/>
          <w:sz w:val="22"/>
          <w:szCs w:val="22"/>
        </w:rPr>
        <w:t>MinEnergía</w:t>
      </w:r>
      <w:proofErr w:type="spellEnd"/>
      <w:r w:rsidRPr="00A55BC2">
        <w:rPr>
          <w:rFonts w:cs="Arial"/>
          <w:i/>
          <w:iCs/>
          <w:sz w:val="22"/>
          <w:szCs w:val="22"/>
        </w:rPr>
        <w:t xml:space="preserve"> - FSSRI) puede no ser necesaria, pues previo al registro de información transaccional y operativa este proceso de vinculación ante el </w:t>
      </w:r>
      <w:r w:rsidR="005114C6" w:rsidRPr="00A55BC2">
        <w:rPr>
          <w:rFonts w:cs="Arial"/>
          <w:i/>
          <w:iCs/>
          <w:sz w:val="22"/>
          <w:szCs w:val="22"/>
        </w:rPr>
        <w:t>Gestor del Mercado</w:t>
      </w:r>
      <w:r w:rsidRPr="00A55BC2">
        <w:rPr>
          <w:rFonts w:cs="Arial"/>
          <w:i/>
          <w:iCs/>
          <w:sz w:val="22"/>
          <w:szCs w:val="22"/>
        </w:rPr>
        <w:t xml:space="preserve"> ya se ha surtido. </w:t>
      </w:r>
    </w:p>
    <w:p w14:paraId="0B7D4593" w14:textId="77777777" w:rsidR="006465FC" w:rsidRPr="00A55BC2" w:rsidRDefault="006465FC" w:rsidP="003F411E">
      <w:pPr>
        <w:rPr>
          <w:rFonts w:cs="Arial"/>
          <w:i/>
          <w:iCs/>
          <w:sz w:val="22"/>
          <w:szCs w:val="22"/>
        </w:rPr>
      </w:pPr>
    </w:p>
    <w:p w14:paraId="33245FBF" w14:textId="421BF4BB" w:rsidR="003F411E" w:rsidRDefault="003F411E" w:rsidP="003F411E">
      <w:pPr>
        <w:rPr>
          <w:rFonts w:cs="Arial"/>
          <w:sz w:val="22"/>
          <w:szCs w:val="22"/>
        </w:rPr>
      </w:pPr>
      <w:r w:rsidRPr="00A55BC2">
        <w:rPr>
          <w:rFonts w:cs="Arial"/>
          <w:i/>
          <w:iCs/>
          <w:sz w:val="22"/>
          <w:szCs w:val="22"/>
        </w:rPr>
        <w:t xml:space="preserve">Así mismo, previamente ya ha sido establecida la obligación del respectivo registro ante estas autoridades conforme lo señalado en el parágrafo 5 del Artículo 5. Servicios a cargo del </w:t>
      </w:r>
      <w:r w:rsidR="005114C6" w:rsidRPr="00A55BC2">
        <w:rPr>
          <w:rFonts w:cs="Arial"/>
          <w:i/>
          <w:iCs/>
          <w:sz w:val="22"/>
          <w:szCs w:val="22"/>
        </w:rPr>
        <w:t>Gestor del Mercado</w:t>
      </w:r>
      <w:r w:rsidRPr="00A55BC2">
        <w:rPr>
          <w:rFonts w:cs="Arial"/>
          <w:i/>
          <w:iCs/>
          <w:sz w:val="22"/>
          <w:szCs w:val="22"/>
        </w:rPr>
        <w:t xml:space="preserve"> de la propuesta regulatoria</w:t>
      </w:r>
      <w:r w:rsidRPr="003F411E">
        <w:rPr>
          <w:rFonts w:cs="Arial"/>
          <w:sz w:val="22"/>
          <w:szCs w:val="22"/>
        </w:rPr>
        <w:t>."</w:t>
      </w:r>
    </w:p>
    <w:p w14:paraId="74FA4C32" w14:textId="77777777" w:rsidR="00A55BC2" w:rsidRDefault="00A55BC2" w:rsidP="003F411E">
      <w:pPr>
        <w:rPr>
          <w:rFonts w:cs="Arial"/>
          <w:sz w:val="22"/>
          <w:szCs w:val="22"/>
        </w:rPr>
      </w:pPr>
    </w:p>
    <w:p w14:paraId="4EF16737" w14:textId="05BCBFD1" w:rsidR="00A55BC2" w:rsidRPr="00A55BC2" w:rsidRDefault="00A55BC2" w:rsidP="003F411E">
      <w:pPr>
        <w:rPr>
          <w:rFonts w:cs="Arial"/>
          <w:b/>
          <w:bCs/>
          <w:sz w:val="22"/>
          <w:szCs w:val="22"/>
        </w:rPr>
      </w:pPr>
      <w:r w:rsidRPr="00A55BC2">
        <w:rPr>
          <w:rFonts w:cs="Arial"/>
          <w:b/>
          <w:bCs/>
          <w:sz w:val="22"/>
          <w:szCs w:val="22"/>
        </w:rPr>
        <w:t>Respuesta:</w:t>
      </w:r>
    </w:p>
    <w:p w14:paraId="6090EC1F" w14:textId="77777777" w:rsidR="00A55BC2" w:rsidRDefault="00A55BC2" w:rsidP="003F411E">
      <w:pPr>
        <w:rPr>
          <w:rFonts w:cs="Arial"/>
          <w:sz w:val="22"/>
          <w:szCs w:val="22"/>
        </w:rPr>
      </w:pPr>
    </w:p>
    <w:p w14:paraId="6CDDEB07" w14:textId="43A2CADD" w:rsidR="00A55BC2" w:rsidRDefault="009D3C90" w:rsidP="003F411E">
      <w:pPr>
        <w:rPr>
          <w:rFonts w:cs="Arial"/>
          <w:sz w:val="22"/>
          <w:szCs w:val="22"/>
        </w:rPr>
      </w:pPr>
      <w:r>
        <w:rPr>
          <w:rFonts w:cs="Arial"/>
          <w:sz w:val="22"/>
          <w:szCs w:val="22"/>
        </w:rPr>
        <w:t>Se acoge el comentario.</w:t>
      </w:r>
    </w:p>
    <w:p w14:paraId="4FA0D71D" w14:textId="77777777" w:rsidR="009D3C90" w:rsidRDefault="009D3C90" w:rsidP="003F411E">
      <w:pPr>
        <w:rPr>
          <w:rFonts w:cs="Arial"/>
          <w:sz w:val="22"/>
          <w:szCs w:val="22"/>
        </w:rPr>
      </w:pPr>
    </w:p>
    <w:p w14:paraId="2A379425" w14:textId="46490FDA" w:rsidR="009D3C90" w:rsidRDefault="009D3C90" w:rsidP="003F411E">
      <w:pPr>
        <w:rPr>
          <w:rFonts w:cs="Arial"/>
          <w:sz w:val="22"/>
          <w:szCs w:val="22"/>
        </w:rPr>
      </w:pPr>
      <w:r>
        <w:rPr>
          <w:rFonts w:cs="Arial"/>
          <w:sz w:val="22"/>
          <w:szCs w:val="22"/>
        </w:rPr>
        <w:t>En la nueva propuesta no se incluye ese requisito.</w:t>
      </w:r>
    </w:p>
    <w:p w14:paraId="70D5A114" w14:textId="77777777" w:rsidR="009D3C90" w:rsidRPr="003F411E" w:rsidRDefault="009D3C90" w:rsidP="003F411E">
      <w:pPr>
        <w:rPr>
          <w:rFonts w:cs="Arial"/>
          <w:sz w:val="22"/>
          <w:szCs w:val="22"/>
        </w:rPr>
      </w:pPr>
    </w:p>
    <w:p w14:paraId="546AB719" w14:textId="77777777" w:rsidR="006465FC" w:rsidRDefault="006465FC" w:rsidP="003F411E">
      <w:pPr>
        <w:rPr>
          <w:rFonts w:cs="Arial"/>
          <w:sz w:val="22"/>
          <w:szCs w:val="22"/>
        </w:rPr>
      </w:pPr>
    </w:p>
    <w:p w14:paraId="02BCFE9D" w14:textId="77777777" w:rsidR="006465FC" w:rsidRDefault="003F411E" w:rsidP="00FB04F6">
      <w:pPr>
        <w:pStyle w:val="Ttulo4"/>
      </w:pPr>
      <w:r w:rsidRPr="003F411E">
        <w:t>BOLSA MERCANTIL DE COLOMBIA</w:t>
      </w:r>
      <w:r w:rsidRPr="003F411E">
        <w:tab/>
      </w:r>
    </w:p>
    <w:p w14:paraId="1579EC0B" w14:textId="7BC13C37" w:rsidR="003F411E" w:rsidRPr="009D3C90" w:rsidRDefault="00CA6358" w:rsidP="003F411E">
      <w:pPr>
        <w:rPr>
          <w:rFonts w:cs="Arial"/>
          <w:i/>
          <w:iCs/>
          <w:sz w:val="22"/>
          <w:szCs w:val="22"/>
        </w:rPr>
      </w:pPr>
      <w:r>
        <w:rPr>
          <w:rFonts w:cs="Arial"/>
          <w:i/>
          <w:iCs/>
          <w:sz w:val="22"/>
          <w:szCs w:val="22"/>
        </w:rPr>
        <w:t>“</w:t>
      </w:r>
      <w:r w:rsidR="003F411E" w:rsidRPr="009D3C90">
        <w:rPr>
          <w:rFonts w:cs="Arial"/>
          <w:i/>
          <w:iCs/>
          <w:sz w:val="22"/>
          <w:szCs w:val="22"/>
        </w:rPr>
        <w:t>Vemos pertinente que los participantes del mercado también detallen sus márgenes de intermediación en el mercado secundario.</w:t>
      </w:r>
      <w:r>
        <w:rPr>
          <w:rFonts w:cs="Arial"/>
          <w:i/>
          <w:iCs/>
          <w:sz w:val="22"/>
          <w:szCs w:val="22"/>
        </w:rPr>
        <w:t>”</w:t>
      </w:r>
    </w:p>
    <w:p w14:paraId="0A9A7BE8" w14:textId="77777777" w:rsidR="009D3C90" w:rsidRDefault="009D3C90" w:rsidP="003F411E">
      <w:pPr>
        <w:rPr>
          <w:rFonts w:cs="Arial"/>
          <w:sz w:val="22"/>
          <w:szCs w:val="22"/>
        </w:rPr>
      </w:pPr>
    </w:p>
    <w:p w14:paraId="2A938484" w14:textId="51137E4D" w:rsidR="009D3C90" w:rsidRPr="009D3C90" w:rsidRDefault="009D3C90" w:rsidP="003F411E">
      <w:pPr>
        <w:rPr>
          <w:rFonts w:cs="Arial"/>
          <w:b/>
          <w:bCs/>
          <w:sz w:val="22"/>
          <w:szCs w:val="22"/>
        </w:rPr>
      </w:pPr>
      <w:r w:rsidRPr="009D3C90">
        <w:rPr>
          <w:rFonts w:cs="Arial"/>
          <w:b/>
          <w:bCs/>
          <w:sz w:val="22"/>
          <w:szCs w:val="22"/>
        </w:rPr>
        <w:t>Respuesta:</w:t>
      </w:r>
    </w:p>
    <w:p w14:paraId="22A8C43C" w14:textId="77777777" w:rsidR="009D3C90" w:rsidRDefault="009D3C90" w:rsidP="003F411E">
      <w:pPr>
        <w:rPr>
          <w:rFonts w:cs="Arial"/>
          <w:sz w:val="22"/>
          <w:szCs w:val="22"/>
        </w:rPr>
      </w:pPr>
    </w:p>
    <w:p w14:paraId="5EF3397D" w14:textId="77777777" w:rsidR="00F65CC8" w:rsidRDefault="00F65CC8" w:rsidP="003F411E">
      <w:pPr>
        <w:rPr>
          <w:rFonts w:cs="Arial"/>
          <w:sz w:val="22"/>
          <w:szCs w:val="22"/>
        </w:rPr>
      </w:pPr>
      <w:r>
        <w:rPr>
          <w:rFonts w:cs="Arial"/>
          <w:sz w:val="22"/>
          <w:szCs w:val="22"/>
        </w:rPr>
        <w:t>Se acoge el comentario.</w:t>
      </w:r>
    </w:p>
    <w:p w14:paraId="4CEDB193" w14:textId="77777777" w:rsidR="00F65CC8" w:rsidRDefault="00F65CC8" w:rsidP="003F411E">
      <w:pPr>
        <w:rPr>
          <w:rFonts w:cs="Arial"/>
          <w:sz w:val="22"/>
          <w:szCs w:val="22"/>
        </w:rPr>
      </w:pPr>
    </w:p>
    <w:p w14:paraId="35DBFB72" w14:textId="66658A08" w:rsidR="009D3C90" w:rsidRDefault="00F65CC8" w:rsidP="003F411E">
      <w:pPr>
        <w:rPr>
          <w:rFonts w:cs="Arial"/>
          <w:sz w:val="22"/>
          <w:szCs w:val="22"/>
        </w:rPr>
      </w:pPr>
      <w:r>
        <w:rPr>
          <w:rFonts w:cs="Arial"/>
          <w:sz w:val="22"/>
          <w:szCs w:val="22"/>
        </w:rPr>
        <w:t>Se debe tener en cuenta que l</w:t>
      </w:r>
      <w:r w:rsidR="009D3C90">
        <w:rPr>
          <w:rFonts w:cs="Arial"/>
          <w:sz w:val="22"/>
          <w:szCs w:val="22"/>
        </w:rPr>
        <w:t xml:space="preserve">as cantidades de venta de un contrato de suministro del Mercado Secundario pueden provenir de cantidades tomadas de diversos contratos </w:t>
      </w:r>
      <w:proofErr w:type="gramStart"/>
      <w:r w:rsidR="009D3C90">
        <w:rPr>
          <w:rFonts w:cs="Arial"/>
          <w:sz w:val="22"/>
          <w:szCs w:val="22"/>
        </w:rPr>
        <w:t>del mismo</w:t>
      </w:r>
      <w:proofErr w:type="gramEnd"/>
      <w:r w:rsidR="009D3C90">
        <w:rPr>
          <w:rFonts w:cs="Arial"/>
          <w:sz w:val="22"/>
          <w:szCs w:val="22"/>
        </w:rPr>
        <w:t xml:space="preserve"> comercializador en el Mercado Primario. por ello los márgenes de intermediación pueden no ser establecidos con precisión para el registro del contrato del Mercado Secundario. </w:t>
      </w:r>
      <w:r>
        <w:rPr>
          <w:rFonts w:cs="Arial"/>
          <w:sz w:val="22"/>
          <w:szCs w:val="22"/>
        </w:rPr>
        <w:t>Se añadió la posibilidad de registrar el margen de intermediación en porcentaje.</w:t>
      </w:r>
    </w:p>
    <w:p w14:paraId="6CF92A88" w14:textId="77777777" w:rsidR="009D3C90" w:rsidRDefault="009D3C90" w:rsidP="003F411E">
      <w:pPr>
        <w:rPr>
          <w:rFonts w:cs="Arial"/>
          <w:sz w:val="22"/>
          <w:szCs w:val="22"/>
        </w:rPr>
      </w:pPr>
    </w:p>
    <w:p w14:paraId="13BF258A" w14:textId="77777777" w:rsidR="006465FC" w:rsidRDefault="006465FC" w:rsidP="003F411E">
      <w:pPr>
        <w:rPr>
          <w:rFonts w:cs="Arial"/>
          <w:sz w:val="22"/>
          <w:szCs w:val="22"/>
        </w:rPr>
      </w:pPr>
    </w:p>
    <w:p w14:paraId="2884D483" w14:textId="77777777" w:rsidR="006465FC" w:rsidRDefault="003F411E" w:rsidP="00FB04F6">
      <w:pPr>
        <w:pStyle w:val="Ttulo4"/>
      </w:pPr>
      <w:r w:rsidRPr="003F411E">
        <w:t>BOLSA MERCANTIL DE COLOMBIA</w:t>
      </w:r>
      <w:r w:rsidRPr="003F411E">
        <w:tab/>
      </w:r>
    </w:p>
    <w:p w14:paraId="01612AAE" w14:textId="54EF1563" w:rsidR="003F411E" w:rsidRDefault="00CA6358" w:rsidP="003F411E">
      <w:pPr>
        <w:rPr>
          <w:rFonts w:cs="Arial"/>
          <w:i/>
          <w:iCs/>
          <w:sz w:val="22"/>
          <w:szCs w:val="22"/>
        </w:rPr>
      </w:pPr>
      <w:r>
        <w:rPr>
          <w:rFonts w:cs="Arial"/>
          <w:i/>
          <w:iCs/>
          <w:sz w:val="22"/>
          <w:szCs w:val="22"/>
        </w:rPr>
        <w:t>“</w:t>
      </w:r>
      <w:r w:rsidR="003F411E" w:rsidRPr="009D3C90">
        <w:rPr>
          <w:rFonts w:cs="Arial"/>
          <w:i/>
          <w:iCs/>
          <w:sz w:val="22"/>
          <w:szCs w:val="22"/>
        </w:rPr>
        <w:t>Se requiere articular este punto con lo previsto en el parágrafo 3 del Artículo 27.</w:t>
      </w:r>
    </w:p>
    <w:p w14:paraId="4992428F" w14:textId="77777777" w:rsidR="00F65CC8" w:rsidRDefault="00F65CC8" w:rsidP="003F411E">
      <w:pPr>
        <w:rPr>
          <w:rFonts w:cs="Arial"/>
          <w:i/>
          <w:iCs/>
          <w:sz w:val="22"/>
          <w:szCs w:val="22"/>
        </w:rPr>
      </w:pPr>
    </w:p>
    <w:p w14:paraId="0B50E1B2" w14:textId="32CC6159" w:rsidR="00F65CC8" w:rsidRPr="009D3C90" w:rsidRDefault="00F65CC8" w:rsidP="003F411E">
      <w:pPr>
        <w:rPr>
          <w:rFonts w:cs="Arial"/>
          <w:i/>
          <w:iCs/>
          <w:sz w:val="22"/>
          <w:szCs w:val="22"/>
        </w:rPr>
      </w:pPr>
      <w:r w:rsidRPr="00F65CC8">
        <w:rPr>
          <w:rFonts w:cs="Arial"/>
          <w:i/>
          <w:iCs/>
          <w:sz w:val="22"/>
          <w:szCs w:val="22"/>
        </w:rPr>
        <w:t>Sugerimos incluir dentro de las variables a solicitar para el registro transaccional del mercado secundario, las variables asociadas al contrato o contratos del Mercado Primario que respalden la suscripción del contrato a negociar en el Mercado Secundario.</w:t>
      </w:r>
      <w:r w:rsidR="00CA6358">
        <w:rPr>
          <w:rFonts w:cs="Arial"/>
          <w:i/>
          <w:iCs/>
          <w:sz w:val="22"/>
          <w:szCs w:val="22"/>
        </w:rPr>
        <w:t>”</w:t>
      </w:r>
    </w:p>
    <w:p w14:paraId="3EA1C7BC" w14:textId="77777777" w:rsidR="009D3C90" w:rsidRDefault="009D3C90" w:rsidP="003F411E">
      <w:pPr>
        <w:rPr>
          <w:rFonts w:cs="Arial"/>
          <w:sz w:val="22"/>
          <w:szCs w:val="22"/>
        </w:rPr>
      </w:pPr>
    </w:p>
    <w:p w14:paraId="78446E17" w14:textId="23ED08A6" w:rsidR="009D3C90" w:rsidRPr="009D3C90" w:rsidRDefault="009D3C90" w:rsidP="003F411E">
      <w:pPr>
        <w:rPr>
          <w:rFonts w:cs="Arial"/>
          <w:b/>
          <w:bCs/>
          <w:sz w:val="22"/>
          <w:szCs w:val="22"/>
        </w:rPr>
      </w:pPr>
      <w:r w:rsidRPr="009D3C90">
        <w:rPr>
          <w:rFonts w:cs="Arial"/>
          <w:b/>
          <w:bCs/>
          <w:sz w:val="22"/>
          <w:szCs w:val="22"/>
        </w:rPr>
        <w:t>Respuesta:</w:t>
      </w:r>
    </w:p>
    <w:p w14:paraId="3B0A9246" w14:textId="77777777" w:rsidR="009D3C90" w:rsidRDefault="009D3C90" w:rsidP="003F411E">
      <w:pPr>
        <w:rPr>
          <w:rFonts w:cs="Arial"/>
          <w:sz w:val="22"/>
          <w:szCs w:val="22"/>
        </w:rPr>
      </w:pPr>
    </w:p>
    <w:p w14:paraId="7DF783BD" w14:textId="5FE8660F" w:rsidR="009D3C90" w:rsidRDefault="006337CF" w:rsidP="003F411E">
      <w:pPr>
        <w:rPr>
          <w:rFonts w:cs="Arial"/>
          <w:sz w:val="22"/>
          <w:szCs w:val="22"/>
        </w:rPr>
      </w:pPr>
      <w:r>
        <w:rPr>
          <w:rFonts w:cs="Arial"/>
          <w:sz w:val="22"/>
          <w:szCs w:val="22"/>
        </w:rPr>
        <w:t>No se acoge el comentario.</w:t>
      </w:r>
    </w:p>
    <w:p w14:paraId="21F466A6" w14:textId="77777777" w:rsidR="006337CF" w:rsidRDefault="006337CF" w:rsidP="003F411E">
      <w:pPr>
        <w:rPr>
          <w:rFonts w:cs="Arial"/>
          <w:sz w:val="22"/>
          <w:szCs w:val="22"/>
        </w:rPr>
      </w:pPr>
    </w:p>
    <w:p w14:paraId="407BA8CF" w14:textId="5B7674EC" w:rsidR="006337CF" w:rsidRDefault="006337CF" w:rsidP="003F411E">
      <w:pPr>
        <w:rPr>
          <w:rFonts w:cs="Arial"/>
          <w:sz w:val="22"/>
          <w:szCs w:val="22"/>
        </w:rPr>
      </w:pPr>
      <w:r>
        <w:rPr>
          <w:rFonts w:cs="Arial"/>
          <w:sz w:val="22"/>
          <w:szCs w:val="22"/>
        </w:rPr>
        <w:t>En el contrato del Mercado Secundario no es obligatorio incluir de qué negociación proviene el gas natural que se compromete suministrar.</w:t>
      </w:r>
    </w:p>
    <w:p w14:paraId="65D35453" w14:textId="77777777" w:rsidR="006337CF" w:rsidRPr="003F411E" w:rsidRDefault="006337CF" w:rsidP="003F411E">
      <w:pPr>
        <w:rPr>
          <w:rFonts w:cs="Arial"/>
          <w:sz w:val="22"/>
          <w:szCs w:val="22"/>
        </w:rPr>
      </w:pPr>
    </w:p>
    <w:p w14:paraId="336886A4" w14:textId="77777777" w:rsidR="006465FC" w:rsidRDefault="006465FC" w:rsidP="003F411E">
      <w:pPr>
        <w:rPr>
          <w:rFonts w:cs="Arial"/>
          <w:sz w:val="22"/>
          <w:szCs w:val="22"/>
        </w:rPr>
      </w:pPr>
    </w:p>
    <w:p w14:paraId="04D4CCB9" w14:textId="77777777" w:rsidR="006465FC" w:rsidRDefault="003F411E" w:rsidP="00FB04F6">
      <w:pPr>
        <w:pStyle w:val="Ttulo4"/>
      </w:pPr>
      <w:r w:rsidRPr="003F411E">
        <w:t>BOLSA MERCANTIL DE COLOMBIA</w:t>
      </w:r>
      <w:r w:rsidRPr="003F411E">
        <w:tab/>
      </w:r>
    </w:p>
    <w:p w14:paraId="07AF1009" w14:textId="704CDF27" w:rsidR="003F411E" w:rsidRDefault="00BE59D9" w:rsidP="003F411E">
      <w:pPr>
        <w:rPr>
          <w:rFonts w:cs="Arial"/>
          <w:i/>
          <w:iCs/>
          <w:sz w:val="22"/>
          <w:szCs w:val="22"/>
        </w:rPr>
      </w:pPr>
      <w:r>
        <w:rPr>
          <w:rFonts w:cs="Arial"/>
          <w:i/>
          <w:iCs/>
          <w:sz w:val="22"/>
          <w:szCs w:val="22"/>
        </w:rPr>
        <w:t>“</w:t>
      </w:r>
      <w:r w:rsidR="003F411E" w:rsidRPr="006337CF">
        <w:rPr>
          <w:rFonts w:cs="Arial"/>
          <w:i/>
          <w:iCs/>
          <w:sz w:val="22"/>
          <w:szCs w:val="22"/>
        </w:rPr>
        <w:t xml:space="preserve">El título de este literal hace referencia al mercado primario, sin embargo, el literal se encuentra dentro de las disposiciones establecidas para el mercado secundario. </w:t>
      </w:r>
    </w:p>
    <w:p w14:paraId="524B8BC4" w14:textId="77777777" w:rsidR="00792450" w:rsidRDefault="00792450" w:rsidP="003F411E">
      <w:pPr>
        <w:rPr>
          <w:rFonts w:cs="Arial"/>
          <w:i/>
          <w:iCs/>
          <w:sz w:val="22"/>
          <w:szCs w:val="22"/>
        </w:rPr>
      </w:pPr>
    </w:p>
    <w:p w14:paraId="59C3E1E3" w14:textId="7C28A831" w:rsidR="00792450" w:rsidRPr="006337CF" w:rsidRDefault="00792450" w:rsidP="003F411E">
      <w:pPr>
        <w:rPr>
          <w:rFonts w:cs="Arial"/>
          <w:i/>
          <w:iCs/>
          <w:sz w:val="22"/>
          <w:szCs w:val="22"/>
        </w:rPr>
      </w:pPr>
      <w:r w:rsidRPr="00792450">
        <w:rPr>
          <w:rFonts w:cs="Arial"/>
          <w:i/>
          <w:iCs/>
          <w:sz w:val="22"/>
          <w:szCs w:val="22"/>
        </w:rPr>
        <w:t>Se sugiere ajustar el título de este literal. De aplicar para ambos mercados, se sugiere replicar la misma información en las disposiciones del mercado primario.</w:t>
      </w:r>
      <w:r w:rsidR="00BE59D9">
        <w:rPr>
          <w:rFonts w:cs="Arial"/>
          <w:i/>
          <w:iCs/>
          <w:sz w:val="22"/>
          <w:szCs w:val="22"/>
        </w:rPr>
        <w:t>”</w:t>
      </w:r>
    </w:p>
    <w:p w14:paraId="75CBCD2C" w14:textId="77777777" w:rsidR="006337CF" w:rsidRDefault="006337CF" w:rsidP="003F411E">
      <w:pPr>
        <w:rPr>
          <w:rFonts w:cs="Arial"/>
          <w:sz w:val="22"/>
          <w:szCs w:val="22"/>
        </w:rPr>
      </w:pPr>
    </w:p>
    <w:p w14:paraId="3E1407B9" w14:textId="0DED0297" w:rsidR="006337CF" w:rsidRPr="006337CF" w:rsidRDefault="006337CF" w:rsidP="003F411E">
      <w:pPr>
        <w:rPr>
          <w:rFonts w:cs="Arial"/>
          <w:b/>
          <w:bCs/>
          <w:sz w:val="22"/>
          <w:szCs w:val="22"/>
        </w:rPr>
      </w:pPr>
      <w:r w:rsidRPr="006337CF">
        <w:rPr>
          <w:rFonts w:cs="Arial"/>
          <w:b/>
          <w:bCs/>
          <w:sz w:val="22"/>
          <w:szCs w:val="22"/>
        </w:rPr>
        <w:t>Respuesta:</w:t>
      </w:r>
    </w:p>
    <w:p w14:paraId="1D92DD92" w14:textId="77777777" w:rsidR="006337CF" w:rsidRDefault="006337CF" w:rsidP="003F411E">
      <w:pPr>
        <w:rPr>
          <w:rFonts w:cs="Arial"/>
          <w:sz w:val="22"/>
          <w:szCs w:val="22"/>
        </w:rPr>
      </w:pPr>
    </w:p>
    <w:p w14:paraId="2234D636" w14:textId="78189F3B" w:rsidR="006337CF" w:rsidRDefault="00904927" w:rsidP="003F411E">
      <w:pPr>
        <w:rPr>
          <w:rFonts w:cs="Arial"/>
          <w:sz w:val="22"/>
          <w:szCs w:val="22"/>
        </w:rPr>
      </w:pPr>
      <w:r>
        <w:rPr>
          <w:rFonts w:cs="Arial"/>
          <w:sz w:val="22"/>
          <w:szCs w:val="22"/>
        </w:rPr>
        <w:t>Se acoge el comentario.</w:t>
      </w:r>
    </w:p>
    <w:p w14:paraId="46355950" w14:textId="77777777" w:rsidR="00904927" w:rsidRDefault="00904927" w:rsidP="003F411E">
      <w:pPr>
        <w:rPr>
          <w:rFonts w:cs="Arial"/>
          <w:sz w:val="22"/>
          <w:szCs w:val="22"/>
        </w:rPr>
      </w:pPr>
    </w:p>
    <w:p w14:paraId="0AC2436A" w14:textId="330AC2FC" w:rsidR="00904927" w:rsidRDefault="00904927" w:rsidP="003F411E">
      <w:pPr>
        <w:rPr>
          <w:rFonts w:cs="Arial"/>
          <w:sz w:val="22"/>
          <w:szCs w:val="22"/>
        </w:rPr>
      </w:pPr>
      <w:r>
        <w:rPr>
          <w:rFonts w:cs="Arial"/>
          <w:sz w:val="22"/>
          <w:szCs w:val="22"/>
        </w:rPr>
        <w:t>En la nueva propuesta se hacen las reacomodaciones sugeridas.</w:t>
      </w:r>
    </w:p>
    <w:p w14:paraId="131CC2A6" w14:textId="77777777" w:rsidR="006337CF" w:rsidRPr="003F411E" w:rsidRDefault="006337CF" w:rsidP="003F411E">
      <w:pPr>
        <w:rPr>
          <w:rFonts w:cs="Arial"/>
          <w:sz w:val="22"/>
          <w:szCs w:val="22"/>
        </w:rPr>
      </w:pPr>
    </w:p>
    <w:p w14:paraId="45B8E5D5" w14:textId="77777777" w:rsidR="006465FC" w:rsidRDefault="006465FC" w:rsidP="003F411E">
      <w:pPr>
        <w:rPr>
          <w:rFonts w:cs="Arial"/>
          <w:sz w:val="22"/>
          <w:szCs w:val="22"/>
        </w:rPr>
      </w:pPr>
    </w:p>
    <w:p w14:paraId="399A169A" w14:textId="77777777" w:rsidR="006465FC" w:rsidRDefault="003F411E" w:rsidP="00FB04F6">
      <w:pPr>
        <w:pStyle w:val="Ttulo4"/>
      </w:pPr>
      <w:r w:rsidRPr="003F411E">
        <w:t>BOLSA MERCANTIL DE COLOMBIA</w:t>
      </w:r>
      <w:r w:rsidRPr="003F411E">
        <w:tab/>
      </w:r>
    </w:p>
    <w:p w14:paraId="6206CCEF" w14:textId="660513DE" w:rsidR="003F411E" w:rsidRDefault="00BE59D9" w:rsidP="003F411E">
      <w:pPr>
        <w:rPr>
          <w:rFonts w:cs="Arial"/>
          <w:i/>
          <w:iCs/>
          <w:sz w:val="22"/>
          <w:szCs w:val="22"/>
        </w:rPr>
      </w:pPr>
      <w:r>
        <w:rPr>
          <w:rFonts w:cs="Arial"/>
          <w:i/>
          <w:iCs/>
          <w:sz w:val="22"/>
          <w:szCs w:val="22"/>
        </w:rPr>
        <w:t>“</w:t>
      </w:r>
      <w:r w:rsidR="003F411E" w:rsidRPr="00904927">
        <w:rPr>
          <w:rFonts w:cs="Arial"/>
          <w:i/>
          <w:iCs/>
          <w:sz w:val="22"/>
          <w:szCs w:val="22"/>
        </w:rPr>
        <w:t>La declaración de información de las transacciones de intermediación comercial a usuarios no regulados debería estar desagregada.</w:t>
      </w:r>
    </w:p>
    <w:p w14:paraId="7B457526" w14:textId="77777777" w:rsidR="00904927" w:rsidRDefault="00904927" w:rsidP="003F411E">
      <w:pPr>
        <w:rPr>
          <w:rFonts w:cs="Arial"/>
          <w:i/>
          <w:iCs/>
          <w:sz w:val="22"/>
          <w:szCs w:val="22"/>
        </w:rPr>
      </w:pPr>
    </w:p>
    <w:p w14:paraId="13A6600B" w14:textId="67DD86DD" w:rsidR="00904927" w:rsidRPr="00904927" w:rsidRDefault="00187774" w:rsidP="003F411E">
      <w:pPr>
        <w:rPr>
          <w:rFonts w:cs="Arial"/>
          <w:i/>
          <w:iCs/>
          <w:sz w:val="22"/>
          <w:szCs w:val="22"/>
        </w:rPr>
      </w:pPr>
      <w:r w:rsidRPr="00187774">
        <w:rPr>
          <w:rFonts w:cs="Arial"/>
          <w:i/>
          <w:iCs/>
          <w:sz w:val="22"/>
          <w:szCs w:val="22"/>
        </w:rPr>
        <w:t>Se sugiere que para efectos de la declaración de información de las transacciones de intermediación comercial a usuarios no regulados se desagregue la información de las capacidades contratas de transporte, cuando el producto sea de capacidad de transporte o suministro y capacidad de transporte.</w:t>
      </w:r>
      <w:r w:rsidR="00BE59D9">
        <w:rPr>
          <w:rFonts w:cs="Arial"/>
          <w:i/>
          <w:iCs/>
          <w:sz w:val="22"/>
          <w:szCs w:val="22"/>
        </w:rPr>
        <w:t>”</w:t>
      </w:r>
    </w:p>
    <w:p w14:paraId="0D4FD97D" w14:textId="77777777" w:rsidR="006465FC" w:rsidRDefault="006465FC" w:rsidP="003F411E">
      <w:pPr>
        <w:rPr>
          <w:rFonts w:cs="Arial"/>
          <w:sz w:val="22"/>
          <w:szCs w:val="22"/>
        </w:rPr>
      </w:pPr>
    </w:p>
    <w:p w14:paraId="4225A663" w14:textId="5A500217" w:rsidR="00904927" w:rsidRPr="00904927" w:rsidRDefault="00904927" w:rsidP="003F411E">
      <w:pPr>
        <w:rPr>
          <w:rFonts w:cs="Arial"/>
          <w:b/>
          <w:bCs/>
          <w:sz w:val="22"/>
          <w:szCs w:val="22"/>
        </w:rPr>
      </w:pPr>
      <w:r w:rsidRPr="00904927">
        <w:rPr>
          <w:rFonts w:cs="Arial"/>
          <w:b/>
          <w:bCs/>
          <w:sz w:val="22"/>
          <w:szCs w:val="22"/>
        </w:rPr>
        <w:t>Respuesta:</w:t>
      </w:r>
    </w:p>
    <w:p w14:paraId="52A208B3" w14:textId="77777777" w:rsidR="00904927" w:rsidRDefault="00904927" w:rsidP="003F411E">
      <w:pPr>
        <w:rPr>
          <w:rFonts w:cs="Arial"/>
          <w:sz w:val="22"/>
          <w:szCs w:val="22"/>
        </w:rPr>
      </w:pPr>
    </w:p>
    <w:p w14:paraId="75962D23" w14:textId="3D9C9FC5" w:rsidR="00187774" w:rsidRDefault="00187774" w:rsidP="003F411E">
      <w:pPr>
        <w:rPr>
          <w:rFonts w:cs="Arial"/>
          <w:sz w:val="22"/>
          <w:szCs w:val="22"/>
        </w:rPr>
      </w:pPr>
      <w:r>
        <w:rPr>
          <w:rFonts w:cs="Arial"/>
          <w:sz w:val="22"/>
          <w:szCs w:val="22"/>
        </w:rPr>
        <w:t>Se acoge el comentario.</w:t>
      </w:r>
    </w:p>
    <w:p w14:paraId="65AC04D0" w14:textId="77777777" w:rsidR="00187774" w:rsidRDefault="00187774" w:rsidP="003F411E">
      <w:pPr>
        <w:rPr>
          <w:rFonts w:cs="Arial"/>
          <w:sz w:val="22"/>
          <w:szCs w:val="22"/>
        </w:rPr>
      </w:pPr>
    </w:p>
    <w:p w14:paraId="5659025C" w14:textId="4A4AEB5F" w:rsidR="00187774" w:rsidRDefault="00187774" w:rsidP="003F411E">
      <w:pPr>
        <w:rPr>
          <w:rFonts w:cs="Arial"/>
          <w:sz w:val="22"/>
          <w:szCs w:val="22"/>
        </w:rPr>
      </w:pPr>
      <w:r>
        <w:rPr>
          <w:rFonts w:cs="Arial"/>
          <w:sz w:val="22"/>
          <w:szCs w:val="22"/>
        </w:rPr>
        <w:t>Se incluyó la desagregación comentada.</w:t>
      </w:r>
    </w:p>
    <w:p w14:paraId="5551198B" w14:textId="77777777" w:rsidR="00904927" w:rsidRDefault="00904927" w:rsidP="003F411E">
      <w:pPr>
        <w:rPr>
          <w:rFonts w:cs="Arial"/>
          <w:sz w:val="22"/>
          <w:szCs w:val="22"/>
        </w:rPr>
      </w:pPr>
    </w:p>
    <w:p w14:paraId="74008070" w14:textId="77777777" w:rsidR="006465FC" w:rsidRDefault="006465FC" w:rsidP="003F411E">
      <w:pPr>
        <w:rPr>
          <w:rFonts w:cs="Arial"/>
          <w:sz w:val="22"/>
          <w:szCs w:val="22"/>
        </w:rPr>
      </w:pPr>
    </w:p>
    <w:p w14:paraId="526D11D2" w14:textId="77777777" w:rsidR="006465FC" w:rsidRDefault="003F411E" w:rsidP="00FB04F6">
      <w:pPr>
        <w:pStyle w:val="Ttulo4"/>
      </w:pPr>
      <w:r w:rsidRPr="003F411E">
        <w:t>BOLSA MERCANTIL DE COLOMBIA</w:t>
      </w:r>
    </w:p>
    <w:p w14:paraId="39F0E3D9" w14:textId="227BC5DC" w:rsidR="003F411E" w:rsidRPr="00187774" w:rsidRDefault="003F411E" w:rsidP="003F411E">
      <w:pPr>
        <w:rPr>
          <w:rFonts w:cs="Arial"/>
          <w:i/>
          <w:iCs/>
          <w:sz w:val="22"/>
          <w:szCs w:val="22"/>
        </w:rPr>
      </w:pPr>
      <w:r w:rsidRPr="003F411E">
        <w:rPr>
          <w:rFonts w:cs="Arial"/>
          <w:sz w:val="22"/>
          <w:szCs w:val="22"/>
        </w:rPr>
        <w:t>"</w:t>
      </w:r>
      <w:r w:rsidRPr="00187774">
        <w:rPr>
          <w:rFonts w:cs="Arial"/>
          <w:i/>
          <w:iCs/>
          <w:sz w:val="22"/>
          <w:szCs w:val="22"/>
        </w:rPr>
        <w:t xml:space="preserve">Como ya se ha mencionado, la referencia al registro de los participantes ante las autoridades sectoriales (CREG, SSPD, </w:t>
      </w:r>
      <w:proofErr w:type="spellStart"/>
      <w:r w:rsidRPr="00187774">
        <w:rPr>
          <w:rFonts w:cs="Arial"/>
          <w:i/>
          <w:iCs/>
          <w:sz w:val="22"/>
          <w:szCs w:val="22"/>
        </w:rPr>
        <w:t>MinEnergía</w:t>
      </w:r>
      <w:proofErr w:type="spellEnd"/>
      <w:r w:rsidRPr="00187774">
        <w:rPr>
          <w:rFonts w:cs="Arial"/>
          <w:i/>
          <w:iCs/>
          <w:sz w:val="22"/>
          <w:szCs w:val="22"/>
        </w:rPr>
        <w:t xml:space="preserve"> - FSSRI) puede no ser necesaria, pues previo al registro de información transaccional y operativa este proceso de vinculación ante el </w:t>
      </w:r>
      <w:r w:rsidR="005114C6" w:rsidRPr="00187774">
        <w:rPr>
          <w:rFonts w:cs="Arial"/>
          <w:i/>
          <w:iCs/>
          <w:sz w:val="22"/>
          <w:szCs w:val="22"/>
        </w:rPr>
        <w:t>Gestor del Mercado</w:t>
      </w:r>
      <w:r w:rsidRPr="00187774">
        <w:rPr>
          <w:rFonts w:cs="Arial"/>
          <w:i/>
          <w:iCs/>
          <w:sz w:val="22"/>
          <w:szCs w:val="22"/>
        </w:rPr>
        <w:t xml:space="preserve"> ya se ha surtido. </w:t>
      </w:r>
    </w:p>
    <w:p w14:paraId="6961D718" w14:textId="77777777" w:rsidR="003F411E" w:rsidRPr="00187774" w:rsidRDefault="003F411E" w:rsidP="003F411E">
      <w:pPr>
        <w:rPr>
          <w:rFonts w:cs="Arial"/>
          <w:i/>
          <w:iCs/>
          <w:sz w:val="22"/>
          <w:szCs w:val="22"/>
        </w:rPr>
      </w:pPr>
    </w:p>
    <w:p w14:paraId="698596B2" w14:textId="77777777" w:rsidR="003F411E" w:rsidRDefault="003F411E" w:rsidP="003F411E">
      <w:pPr>
        <w:rPr>
          <w:rFonts w:cs="Arial"/>
          <w:sz w:val="22"/>
          <w:szCs w:val="22"/>
        </w:rPr>
      </w:pPr>
      <w:r w:rsidRPr="00187774">
        <w:rPr>
          <w:rFonts w:cs="Arial"/>
          <w:i/>
          <w:iCs/>
          <w:sz w:val="22"/>
          <w:szCs w:val="22"/>
        </w:rPr>
        <w:t>Llama la atención que se tenga que desagregar el costo de distribución por USD/MBTU cuando por regulación, Resolución CREG 202 de 2013, dicho cargo se expresa en COP/m3</w:t>
      </w:r>
      <w:r w:rsidRPr="003F411E">
        <w:rPr>
          <w:rFonts w:cs="Arial"/>
          <w:sz w:val="22"/>
          <w:szCs w:val="22"/>
        </w:rPr>
        <w:t>."</w:t>
      </w:r>
    </w:p>
    <w:p w14:paraId="7469B9A3" w14:textId="77777777" w:rsidR="00187774" w:rsidRDefault="00187774" w:rsidP="003F411E">
      <w:pPr>
        <w:rPr>
          <w:rFonts w:cs="Arial"/>
          <w:sz w:val="22"/>
          <w:szCs w:val="22"/>
        </w:rPr>
      </w:pPr>
    </w:p>
    <w:p w14:paraId="01247880" w14:textId="26BA0919" w:rsidR="00187774" w:rsidRPr="00187774" w:rsidRDefault="00187774" w:rsidP="003F411E">
      <w:pPr>
        <w:rPr>
          <w:rFonts w:cs="Arial"/>
          <w:b/>
          <w:bCs/>
          <w:sz w:val="22"/>
          <w:szCs w:val="22"/>
        </w:rPr>
      </w:pPr>
      <w:r w:rsidRPr="00187774">
        <w:rPr>
          <w:rFonts w:cs="Arial"/>
          <w:b/>
          <w:bCs/>
          <w:sz w:val="22"/>
          <w:szCs w:val="22"/>
        </w:rPr>
        <w:t>Respuesta:</w:t>
      </w:r>
    </w:p>
    <w:p w14:paraId="5E49BABC" w14:textId="77777777" w:rsidR="00187774" w:rsidRDefault="00187774" w:rsidP="003F411E">
      <w:pPr>
        <w:rPr>
          <w:rFonts w:cs="Arial"/>
          <w:sz w:val="22"/>
          <w:szCs w:val="22"/>
        </w:rPr>
      </w:pPr>
    </w:p>
    <w:p w14:paraId="4B9F4D8F" w14:textId="0728A80C" w:rsidR="00187774" w:rsidRDefault="003648D3"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_Ref133409228 \r \h </w:instrText>
      </w:r>
      <w:r>
        <w:rPr>
          <w:rFonts w:cs="Arial"/>
          <w:sz w:val="22"/>
          <w:szCs w:val="22"/>
        </w:rPr>
      </w:r>
      <w:r>
        <w:rPr>
          <w:rFonts w:cs="Arial"/>
          <w:sz w:val="22"/>
          <w:szCs w:val="22"/>
        </w:rPr>
        <w:fldChar w:fldCharType="separate"/>
      </w:r>
      <w:r>
        <w:rPr>
          <w:rFonts w:cs="Arial"/>
          <w:sz w:val="22"/>
          <w:szCs w:val="22"/>
        </w:rPr>
        <w:t>36.2.1.5</w:t>
      </w:r>
      <w:r>
        <w:rPr>
          <w:rFonts w:cs="Arial"/>
          <w:sz w:val="22"/>
          <w:szCs w:val="22"/>
        </w:rPr>
        <w:fldChar w:fldCharType="end"/>
      </w:r>
      <w:r>
        <w:rPr>
          <w:rFonts w:cs="Arial"/>
          <w:sz w:val="22"/>
          <w:szCs w:val="22"/>
        </w:rPr>
        <w:t>.</w:t>
      </w:r>
    </w:p>
    <w:p w14:paraId="7DB9042B" w14:textId="77777777" w:rsidR="00187774" w:rsidRPr="003F411E" w:rsidRDefault="00187774" w:rsidP="003F411E">
      <w:pPr>
        <w:rPr>
          <w:rFonts w:cs="Arial"/>
          <w:sz w:val="22"/>
          <w:szCs w:val="22"/>
        </w:rPr>
      </w:pPr>
    </w:p>
    <w:p w14:paraId="3D51257B" w14:textId="77777777" w:rsidR="006465FC" w:rsidRDefault="006465FC" w:rsidP="003F411E">
      <w:pPr>
        <w:rPr>
          <w:rFonts w:cs="Arial"/>
          <w:sz w:val="22"/>
          <w:szCs w:val="22"/>
        </w:rPr>
      </w:pPr>
    </w:p>
    <w:p w14:paraId="3F77BAE8" w14:textId="77777777" w:rsidR="006465FC" w:rsidRDefault="003F411E" w:rsidP="00FB04F6">
      <w:pPr>
        <w:pStyle w:val="Ttulo4"/>
      </w:pPr>
      <w:r w:rsidRPr="003F411E">
        <w:t>BOLSA MERCANTIL DE COLOMBIA</w:t>
      </w:r>
      <w:r w:rsidRPr="003F411E">
        <w:tab/>
      </w:r>
    </w:p>
    <w:p w14:paraId="44F328D8" w14:textId="784B9AD7" w:rsidR="003F411E" w:rsidRDefault="00BE59D9" w:rsidP="003F411E">
      <w:pPr>
        <w:rPr>
          <w:rFonts w:cs="Arial"/>
          <w:i/>
          <w:iCs/>
          <w:sz w:val="22"/>
          <w:szCs w:val="22"/>
        </w:rPr>
      </w:pPr>
      <w:r>
        <w:rPr>
          <w:rFonts w:cs="Arial"/>
          <w:i/>
          <w:iCs/>
          <w:sz w:val="22"/>
          <w:szCs w:val="22"/>
        </w:rPr>
        <w:t>“</w:t>
      </w:r>
      <w:r w:rsidR="003F411E" w:rsidRPr="000C5E1E">
        <w:rPr>
          <w:rFonts w:cs="Arial"/>
          <w:i/>
          <w:iCs/>
          <w:sz w:val="22"/>
          <w:szCs w:val="22"/>
        </w:rPr>
        <w:t xml:space="preserve">Los </w:t>
      </w:r>
      <w:r>
        <w:rPr>
          <w:rFonts w:cs="Arial"/>
          <w:i/>
          <w:iCs/>
          <w:sz w:val="22"/>
          <w:szCs w:val="22"/>
        </w:rPr>
        <w:t>‘</w:t>
      </w:r>
      <w:r w:rsidR="003F411E" w:rsidRPr="000C5E1E">
        <w:rPr>
          <w:rFonts w:cs="Arial"/>
          <w:i/>
          <w:iCs/>
          <w:sz w:val="22"/>
          <w:szCs w:val="22"/>
        </w:rPr>
        <w:t>productores-comercializadores y los comercializadores de gas importado</w:t>
      </w:r>
      <w:r>
        <w:rPr>
          <w:rFonts w:cs="Arial"/>
          <w:i/>
          <w:iCs/>
          <w:sz w:val="22"/>
          <w:szCs w:val="22"/>
        </w:rPr>
        <w:t>’</w:t>
      </w:r>
      <w:r w:rsidR="003F411E" w:rsidRPr="000C5E1E">
        <w:rPr>
          <w:rFonts w:cs="Arial"/>
          <w:i/>
          <w:iCs/>
          <w:sz w:val="22"/>
          <w:szCs w:val="22"/>
        </w:rPr>
        <w:t xml:space="preserve"> deberían ser quienes hacen este reporte.</w:t>
      </w:r>
    </w:p>
    <w:p w14:paraId="7E3CDA2F" w14:textId="77777777" w:rsidR="00226D4D" w:rsidRDefault="00226D4D" w:rsidP="003F411E">
      <w:pPr>
        <w:rPr>
          <w:rFonts w:cs="Arial"/>
          <w:i/>
          <w:iCs/>
          <w:sz w:val="22"/>
          <w:szCs w:val="22"/>
        </w:rPr>
      </w:pPr>
    </w:p>
    <w:p w14:paraId="1DDCC5F8" w14:textId="6EB3115D" w:rsidR="00226D4D" w:rsidRPr="000C5E1E" w:rsidRDefault="00226D4D" w:rsidP="003F411E">
      <w:pPr>
        <w:rPr>
          <w:rFonts w:cs="Arial"/>
          <w:i/>
          <w:iCs/>
          <w:sz w:val="22"/>
          <w:szCs w:val="22"/>
        </w:rPr>
      </w:pPr>
      <w:r w:rsidRPr="00226D4D">
        <w:rPr>
          <w:rFonts w:cs="Arial"/>
          <w:i/>
          <w:iCs/>
          <w:sz w:val="22"/>
          <w:szCs w:val="22"/>
        </w:rPr>
        <w:t xml:space="preserve">Se sugiere mantener la disposición explicita que sean los </w:t>
      </w:r>
      <w:r w:rsidR="00BE59D9">
        <w:rPr>
          <w:rFonts w:cs="Arial"/>
          <w:i/>
          <w:iCs/>
          <w:sz w:val="22"/>
          <w:szCs w:val="22"/>
        </w:rPr>
        <w:t>‘</w:t>
      </w:r>
      <w:r w:rsidRPr="00226D4D">
        <w:rPr>
          <w:rFonts w:cs="Arial"/>
          <w:i/>
          <w:iCs/>
          <w:sz w:val="22"/>
          <w:szCs w:val="22"/>
        </w:rPr>
        <w:t>productores-comercializadores y los comercializadores de gas importado</w:t>
      </w:r>
      <w:r w:rsidR="00BE59D9">
        <w:rPr>
          <w:rFonts w:cs="Arial"/>
          <w:i/>
          <w:iCs/>
          <w:sz w:val="22"/>
          <w:szCs w:val="22"/>
        </w:rPr>
        <w:t>’</w:t>
      </w:r>
      <w:r w:rsidRPr="00226D4D">
        <w:rPr>
          <w:rFonts w:cs="Arial"/>
          <w:i/>
          <w:iCs/>
          <w:sz w:val="22"/>
          <w:szCs w:val="22"/>
        </w:rPr>
        <w:t xml:space="preserve"> y no los Vendedores del Mercado Primario, los agentes que realicen este reporte.</w:t>
      </w:r>
      <w:r w:rsidR="00BE59D9">
        <w:rPr>
          <w:rFonts w:cs="Arial"/>
          <w:i/>
          <w:iCs/>
          <w:sz w:val="22"/>
          <w:szCs w:val="22"/>
        </w:rPr>
        <w:t>”</w:t>
      </w:r>
    </w:p>
    <w:p w14:paraId="22E27C66" w14:textId="77777777" w:rsidR="000C5E1E" w:rsidRDefault="000C5E1E" w:rsidP="003F411E">
      <w:pPr>
        <w:rPr>
          <w:rFonts w:cs="Arial"/>
          <w:sz w:val="22"/>
          <w:szCs w:val="22"/>
        </w:rPr>
      </w:pPr>
    </w:p>
    <w:p w14:paraId="39BCB373" w14:textId="5D19BEDA" w:rsidR="000C5E1E" w:rsidRPr="000C5E1E" w:rsidRDefault="000C5E1E" w:rsidP="003F411E">
      <w:pPr>
        <w:rPr>
          <w:rFonts w:cs="Arial"/>
          <w:b/>
          <w:bCs/>
          <w:sz w:val="22"/>
          <w:szCs w:val="22"/>
        </w:rPr>
      </w:pPr>
      <w:r w:rsidRPr="000C5E1E">
        <w:rPr>
          <w:rFonts w:cs="Arial"/>
          <w:b/>
          <w:bCs/>
          <w:sz w:val="22"/>
          <w:szCs w:val="22"/>
        </w:rPr>
        <w:t>Respuesta:</w:t>
      </w:r>
    </w:p>
    <w:p w14:paraId="1B4464C1" w14:textId="77777777" w:rsidR="000C5E1E" w:rsidRDefault="000C5E1E" w:rsidP="003F411E">
      <w:pPr>
        <w:rPr>
          <w:rFonts w:cs="Arial"/>
          <w:sz w:val="22"/>
          <w:szCs w:val="22"/>
        </w:rPr>
      </w:pPr>
    </w:p>
    <w:p w14:paraId="2D318360" w14:textId="66AE157E" w:rsidR="00226D4D" w:rsidRDefault="00226D4D" w:rsidP="003F411E">
      <w:pPr>
        <w:rPr>
          <w:rFonts w:cs="Arial"/>
          <w:sz w:val="22"/>
          <w:szCs w:val="22"/>
        </w:rPr>
      </w:pPr>
      <w:r>
        <w:rPr>
          <w:rFonts w:cs="Arial"/>
          <w:sz w:val="22"/>
          <w:szCs w:val="22"/>
        </w:rPr>
        <w:t>No se entiende el comentario, puesto que “los vendedores del Mercado Primario” es un término genérico y da más flexibilidad que precisar los dos tipos de agentes del comentario.</w:t>
      </w:r>
    </w:p>
    <w:p w14:paraId="7B2B8838" w14:textId="77777777" w:rsidR="000C5E1E" w:rsidRDefault="000C5E1E" w:rsidP="003F411E">
      <w:pPr>
        <w:rPr>
          <w:rFonts w:cs="Arial"/>
          <w:sz w:val="22"/>
          <w:szCs w:val="22"/>
        </w:rPr>
      </w:pPr>
    </w:p>
    <w:p w14:paraId="5714826C" w14:textId="77777777" w:rsidR="006465FC" w:rsidRDefault="006465FC" w:rsidP="003F411E">
      <w:pPr>
        <w:rPr>
          <w:rFonts w:cs="Arial"/>
          <w:sz w:val="22"/>
          <w:szCs w:val="22"/>
        </w:rPr>
      </w:pPr>
    </w:p>
    <w:p w14:paraId="48B4D728" w14:textId="77777777" w:rsidR="006465FC" w:rsidRDefault="003F411E" w:rsidP="00FB04F6">
      <w:pPr>
        <w:pStyle w:val="Ttulo4"/>
      </w:pPr>
      <w:r w:rsidRPr="003F411E">
        <w:t>BOLSA MERCANTIL DE COLOMBIA</w:t>
      </w:r>
      <w:r w:rsidRPr="003F411E">
        <w:tab/>
      </w:r>
    </w:p>
    <w:p w14:paraId="3F72BBD0" w14:textId="02B0032F" w:rsidR="003F411E" w:rsidRDefault="002055A0" w:rsidP="003F411E">
      <w:pPr>
        <w:rPr>
          <w:rFonts w:cs="Arial"/>
          <w:i/>
          <w:iCs/>
          <w:sz w:val="22"/>
          <w:szCs w:val="22"/>
        </w:rPr>
      </w:pPr>
      <w:r>
        <w:rPr>
          <w:rFonts w:cs="Arial"/>
          <w:i/>
          <w:iCs/>
          <w:sz w:val="22"/>
          <w:szCs w:val="22"/>
        </w:rPr>
        <w:t>“</w:t>
      </w:r>
      <w:r w:rsidR="003F411E" w:rsidRPr="00226D4D">
        <w:rPr>
          <w:rFonts w:cs="Arial"/>
          <w:i/>
          <w:iCs/>
          <w:sz w:val="22"/>
          <w:szCs w:val="22"/>
        </w:rPr>
        <w:t>No está el reporte de información de inyección proveniente de campos aislados y entregados a través de infraestructura diferente al Sistema Nacional de Transporte.</w:t>
      </w:r>
    </w:p>
    <w:p w14:paraId="36A2CBE5" w14:textId="77777777" w:rsidR="00226D4D" w:rsidRDefault="00226D4D" w:rsidP="003F411E">
      <w:pPr>
        <w:rPr>
          <w:rFonts w:cs="Arial"/>
          <w:i/>
          <w:iCs/>
          <w:sz w:val="22"/>
          <w:szCs w:val="22"/>
        </w:rPr>
      </w:pPr>
    </w:p>
    <w:p w14:paraId="04DE969E" w14:textId="0B19B308" w:rsidR="00226D4D" w:rsidRPr="00226D4D" w:rsidRDefault="00226D4D" w:rsidP="003F411E">
      <w:pPr>
        <w:rPr>
          <w:rFonts w:cs="Arial"/>
          <w:i/>
          <w:iCs/>
          <w:sz w:val="22"/>
          <w:szCs w:val="22"/>
        </w:rPr>
      </w:pPr>
      <w:r w:rsidRPr="00226D4D">
        <w:rPr>
          <w:rFonts w:cs="Arial"/>
          <w:i/>
          <w:iCs/>
          <w:sz w:val="22"/>
          <w:szCs w:val="22"/>
        </w:rPr>
        <w:t>Se sugiere mantener el reporte de información de inyección proveniente de campos aislados y entregados a través de infraestructura diferente al Sistema Nacional de Transporte (Gasoductos Dedicados, Gasoductos de Conexión, Estaciones de Compresión en fuentes aisladas, gas natural comprimido, entre otras)</w:t>
      </w:r>
      <w:r>
        <w:rPr>
          <w:rFonts w:cs="Arial"/>
          <w:i/>
          <w:iCs/>
          <w:sz w:val="22"/>
          <w:szCs w:val="22"/>
        </w:rPr>
        <w:t>.</w:t>
      </w:r>
      <w:r w:rsidR="002055A0">
        <w:rPr>
          <w:rFonts w:cs="Arial"/>
          <w:i/>
          <w:iCs/>
          <w:sz w:val="22"/>
          <w:szCs w:val="22"/>
        </w:rPr>
        <w:t>”</w:t>
      </w:r>
    </w:p>
    <w:p w14:paraId="1F1A525F" w14:textId="77777777" w:rsidR="00226D4D" w:rsidRDefault="00226D4D" w:rsidP="003F411E">
      <w:pPr>
        <w:rPr>
          <w:rFonts w:cs="Arial"/>
          <w:sz w:val="22"/>
          <w:szCs w:val="22"/>
        </w:rPr>
      </w:pPr>
    </w:p>
    <w:p w14:paraId="7DC663C4" w14:textId="1219A79E" w:rsidR="00226D4D" w:rsidRPr="00226D4D" w:rsidRDefault="00226D4D" w:rsidP="003F411E">
      <w:pPr>
        <w:rPr>
          <w:rFonts w:cs="Arial"/>
          <w:b/>
          <w:bCs/>
          <w:sz w:val="22"/>
          <w:szCs w:val="22"/>
        </w:rPr>
      </w:pPr>
      <w:r w:rsidRPr="00226D4D">
        <w:rPr>
          <w:rFonts w:cs="Arial"/>
          <w:b/>
          <w:bCs/>
          <w:sz w:val="22"/>
          <w:szCs w:val="22"/>
        </w:rPr>
        <w:t>Respuesta:</w:t>
      </w:r>
    </w:p>
    <w:p w14:paraId="1ED7ADBF" w14:textId="77777777" w:rsidR="00226D4D" w:rsidRDefault="00226D4D" w:rsidP="003F411E">
      <w:pPr>
        <w:rPr>
          <w:rFonts w:cs="Arial"/>
          <w:sz w:val="22"/>
          <w:szCs w:val="22"/>
        </w:rPr>
      </w:pPr>
    </w:p>
    <w:p w14:paraId="302DF04D" w14:textId="469B5AA5" w:rsidR="00226D4D" w:rsidRDefault="00226D4D" w:rsidP="003F411E">
      <w:pPr>
        <w:rPr>
          <w:rFonts w:cs="Arial"/>
          <w:sz w:val="22"/>
          <w:szCs w:val="22"/>
        </w:rPr>
      </w:pPr>
      <w:r>
        <w:rPr>
          <w:rFonts w:cs="Arial"/>
          <w:sz w:val="22"/>
          <w:szCs w:val="22"/>
        </w:rPr>
        <w:t xml:space="preserve">Se acoge el comentario. </w:t>
      </w:r>
    </w:p>
    <w:p w14:paraId="5214C694" w14:textId="77777777" w:rsidR="00226D4D" w:rsidRDefault="00226D4D" w:rsidP="003F411E">
      <w:pPr>
        <w:rPr>
          <w:rFonts w:cs="Arial"/>
          <w:sz w:val="22"/>
          <w:szCs w:val="22"/>
        </w:rPr>
      </w:pPr>
    </w:p>
    <w:p w14:paraId="2E5096DE" w14:textId="7B462BB8" w:rsidR="00226D4D" w:rsidRDefault="00226D4D" w:rsidP="003F411E">
      <w:pPr>
        <w:rPr>
          <w:rFonts w:cs="Arial"/>
          <w:sz w:val="22"/>
          <w:szCs w:val="22"/>
        </w:rPr>
      </w:pPr>
      <w:r>
        <w:rPr>
          <w:rFonts w:cs="Arial"/>
          <w:sz w:val="22"/>
          <w:szCs w:val="22"/>
        </w:rPr>
        <w:t>En la nueva propuesta se incluye la información de entrega a infraestructura diferente al SNT.</w:t>
      </w:r>
    </w:p>
    <w:p w14:paraId="597579F1" w14:textId="77777777" w:rsidR="00226D4D" w:rsidRPr="003F411E" w:rsidRDefault="00226D4D" w:rsidP="003F411E">
      <w:pPr>
        <w:rPr>
          <w:rFonts w:cs="Arial"/>
          <w:sz w:val="22"/>
          <w:szCs w:val="22"/>
        </w:rPr>
      </w:pPr>
    </w:p>
    <w:p w14:paraId="0CD64243" w14:textId="77777777" w:rsidR="006465FC" w:rsidRDefault="006465FC" w:rsidP="003F411E">
      <w:pPr>
        <w:rPr>
          <w:rFonts w:cs="Arial"/>
          <w:sz w:val="22"/>
          <w:szCs w:val="22"/>
        </w:rPr>
      </w:pPr>
    </w:p>
    <w:p w14:paraId="55A40540" w14:textId="77777777" w:rsidR="006465FC" w:rsidRDefault="003F411E" w:rsidP="00FB04F6">
      <w:pPr>
        <w:pStyle w:val="Ttulo4"/>
      </w:pPr>
      <w:r w:rsidRPr="003F411E">
        <w:t>BOLSA MERCANTIL DE COLOMBIA</w:t>
      </w:r>
      <w:r w:rsidRPr="003F411E">
        <w:tab/>
      </w:r>
    </w:p>
    <w:p w14:paraId="2F9BF022" w14:textId="1A15CB57" w:rsidR="003F411E" w:rsidRDefault="002055A0" w:rsidP="003F411E">
      <w:pPr>
        <w:rPr>
          <w:rFonts w:cs="Arial"/>
          <w:i/>
          <w:iCs/>
          <w:sz w:val="22"/>
          <w:szCs w:val="22"/>
        </w:rPr>
      </w:pPr>
      <w:r>
        <w:rPr>
          <w:rFonts w:cs="Arial"/>
          <w:i/>
          <w:iCs/>
          <w:sz w:val="22"/>
          <w:szCs w:val="22"/>
        </w:rPr>
        <w:t>“</w:t>
      </w:r>
      <w:r w:rsidR="003F411E" w:rsidRPr="00636F3A">
        <w:rPr>
          <w:rFonts w:cs="Arial"/>
          <w:i/>
          <w:iCs/>
          <w:sz w:val="22"/>
          <w:szCs w:val="22"/>
        </w:rPr>
        <w:t xml:space="preserve">El reporte se puede hacer por puntos de entrada o por puntos de entrega con base en si se usa o no los gasoductos del SNT. </w:t>
      </w:r>
    </w:p>
    <w:p w14:paraId="34BB008F" w14:textId="77777777" w:rsidR="00E20706" w:rsidRDefault="00E20706" w:rsidP="003F411E">
      <w:pPr>
        <w:rPr>
          <w:rFonts w:cs="Arial"/>
          <w:i/>
          <w:iCs/>
          <w:sz w:val="22"/>
          <w:szCs w:val="22"/>
        </w:rPr>
      </w:pPr>
    </w:p>
    <w:p w14:paraId="0260A90B" w14:textId="107568DC" w:rsidR="00E20706" w:rsidRPr="00636F3A" w:rsidRDefault="00E20706" w:rsidP="003F411E">
      <w:pPr>
        <w:rPr>
          <w:rFonts w:cs="Arial"/>
          <w:i/>
          <w:iCs/>
          <w:sz w:val="22"/>
          <w:szCs w:val="22"/>
        </w:rPr>
      </w:pPr>
      <w:r w:rsidRPr="00E20706">
        <w:rPr>
          <w:rFonts w:cs="Arial"/>
          <w:i/>
          <w:iCs/>
          <w:sz w:val="22"/>
          <w:szCs w:val="22"/>
        </w:rPr>
        <w:t>Se sugiere que el reporte se realice por punto de entrada para la energía inyectada al SNT y por punto de entrega para la energía no transferida por el SNT.</w:t>
      </w:r>
      <w:r w:rsidR="002055A0">
        <w:rPr>
          <w:rFonts w:cs="Arial"/>
          <w:i/>
          <w:iCs/>
          <w:sz w:val="22"/>
          <w:szCs w:val="22"/>
        </w:rPr>
        <w:t>”</w:t>
      </w:r>
    </w:p>
    <w:p w14:paraId="2C6EDCEE" w14:textId="77777777" w:rsidR="00226D4D" w:rsidRPr="00636F3A" w:rsidRDefault="00226D4D" w:rsidP="003F411E">
      <w:pPr>
        <w:rPr>
          <w:rFonts w:cs="Arial"/>
          <w:i/>
          <w:iCs/>
          <w:sz w:val="22"/>
          <w:szCs w:val="22"/>
        </w:rPr>
      </w:pPr>
    </w:p>
    <w:p w14:paraId="0ECFAB43" w14:textId="11301F4F" w:rsidR="00226D4D" w:rsidRPr="00226D4D" w:rsidRDefault="00226D4D" w:rsidP="003F411E">
      <w:pPr>
        <w:rPr>
          <w:rFonts w:cs="Arial"/>
          <w:b/>
          <w:bCs/>
          <w:sz w:val="22"/>
          <w:szCs w:val="22"/>
        </w:rPr>
      </w:pPr>
      <w:r w:rsidRPr="00226D4D">
        <w:rPr>
          <w:rFonts w:cs="Arial"/>
          <w:b/>
          <w:bCs/>
          <w:sz w:val="22"/>
          <w:szCs w:val="22"/>
        </w:rPr>
        <w:t>Respuesta:</w:t>
      </w:r>
    </w:p>
    <w:p w14:paraId="3E58C6B1" w14:textId="77777777" w:rsidR="00226D4D" w:rsidRDefault="00226D4D" w:rsidP="003F411E">
      <w:pPr>
        <w:rPr>
          <w:rFonts w:cs="Arial"/>
          <w:sz w:val="22"/>
          <w:szCs w:val="22"/>
        </w:rPr>
      </w:pPr>
    </w:p>
    <w:p w14:paraId="08D20922" w14:textId="1E92DA73" w:rsidR="00226D4D" w:rsidRDefault="00636F3A" w:rsidP="003F411E">
      <w:pPr>
        <w:rPr>
          <w:rFonts w:cs="Arial"/>
          <w:sz w:val="22"/>
          <w:szCs w:val="22"/>
        </w:rPr>
      </w:pPr>
      <w:r>
        <w:rPr>
          <w:rFonts w:cs="Arial"/>
          <w:sz w:val="22"/>
          <w:szCs w:val="22"/>
        </w:rPr>
        <w:t>Se acoge el comentario.</w:t>
      </w:r>
    </w:p>
    <w:p w14:paraId="7B6CECBA" w14:textId="77777777" w:rsidR="00636F3A" w:rsidRDefault="00636F3A" w:rsidP="003F411E">
      <w:pPr>
        <w:rPr>
          <w:rFonts w:cs="Arial"/>
          <w:sz w:val="22"/>
          <w:szCs w:val="22"/>
        </w:rPr>
      </w:pPr>
    </w:p>
    <w:p w14:paraId="6F973258" w14:textId="3F21109F" w:rsidR="00636F3A" w:rsidRDefault="00636F3A" w:rsidP="003F411E">
      <w:pPr>
        <w:rPr>
          <w:rFonts w:cs="Arial"/>
          <w:sz w:val="22"/>
          <w:szCs w:val="22"/>
        </w:rPr>
      </w:pPr>
      <w:r>
        <w:rPr>
          <w:rFonts w:cs="Arial"/>
          <w:sz w:val="22"/>
          <w:szCs w:val="22"/>
        </w:rPr>
        <w:t>En la nueva propuesta se precisa con mayor nivel de detalle la información a entregar.</w:t>
      </w:r>
    </w:p>
    <w:p w14:paraId="53E624DD" w14:textId="77777777" w:rsidR="00636F3A" w:rsidRPr="003F411E" w:rsidRDefault="00636F3A" w:rsidP="003F411E">
      <w:pPr>
        <w:rPr>
          <w:rFonts w:cs="Arial"/>
          <w:sz w:val="22"/>
          <w:szCs w:val="22"/>
        </w:rPr>
      </w:pPr>
    </w:p>
    <w:p w14:paraId="47DDD54A" w14:textId="77777777" w:rsidR="006465FC" w:rsidRDefault="006465FC" w:rsidP="003F411E">
      <w:pPr>
        <w:rPr>
          <w:rFonts w:cs="Arial"/>
          <w:sz w:val="22"/>
          <w:szCs w:val="22"/>
        </w:rPr>
      </w:pPr>
    </w:p>
    <w:p w14:paraId="1D78086F" w14:textId="77777777" w:rsidR="006465FC" w:rsidRDefault="003F411E" w:rsidP="00FB04F6">
      <w:pPr>
        <w:pStyle w:val="Ttulo4"/>
      </w:pPr>
      <w:bookmarkStart w:id="1029" w:name="_Ref133411013"/>
      <w:r w:rsidRPr="003F411E">
        <w:t>BOLSA MERCANTIL DE COLOMBIA</w:t>
      </w:r>
      <w:bookmarkEnd w:id="1029"/>
      <w:r w:rsidRPr="003F411E">
        <w:tab/>
      </w:r>
    </w:p>
    <w:p w14:paraId="0C580C77" w14:textId="41E82BDF" w:rsidR="003F411E" w:rsidRDefault="008825DA" w:rsidP="003F411E">
      <w:pPr>
        <w:rPr>
          <w:rFonts w:cs="Arial"/>
          <w:i/>
          <w:iCs/>
          <w:sz w:val="22"/>
          <w:szCs w:val="22"/>
        </w:rPr>
      </w:pPr>
      <w:r>
        <w:rPr>
          <w:rFonts w:cs="Arial"/>
          <w:i/>
          <w:iCs/>
          <w:sz w:val="22"/>
          <w:szCs w:val="22"/>
        </w:rPr>
        <w:t>“</w:t>
      </w:r>
      <w:r w:rsidR="003F411E" w:rsidRPr="00636F3A">
        <w:rPr>
          <w:rFonts w:cs="Arial"/>
          <w:i/>
          <w:iCs/>
          <w:sz w:val="22"/>
          <w:szCs w:val="22"/>
        </w:rPr>
        <w:t>Es pertinente mantener la declaración semanal de información operativa de entrega a usuarios finales (Resolución CREG 042 de 2020).</w:t>
      </w:r>
    </w:p>
    <w:p w14:paraId="425829AD" w14:textId="77777777" w:rsidR="00E20706" w:rsidRDefault="00E20706" w:rsidP="003F411E">
      <w:pPr>
        <w:rPr>
          <w:rFonts w:cs="Arial"/>
          <w:i/>
          <w:iCs/>
          <w:sz w:val="22"/>
          <w:szCs w:val="22"/>
        </w:rPr>
      </w:pPr>
    </w:p>
    <w:p w14:paraId="7FC1FDB9" w14:textId="7CC0925F" w:rsidR="00E20706" w:rsidRPr="00636F3A" w:rsidRDefault="00E20706" w:rsidP="003F411E">
      <w:pPr>
        <w:rPr>
          <w:rFonts w:cs="Arial"/>
          <w:i/>
          <w:iCs/>
          <w:sz w:val="22"/>
          <w:szCs w:val="22"/>
        </w:rPr>
      </w:pPr>
      <w:r w:rsidRPr="00E20706">
        <w:rPr>
          <w:rFonts w:cs="Arial"/>
          <w:i/>
          <w:iCs/>
          <w:sz w:val="22"/>
          <w:szCs w:val="22"/>
        </w:rPr>
        <w:t>Se sugiere mantener la disposición del Artículo 8 de la Resolución CREG 042 de 2020 referente a la declaración semanal de información operativa de entrega a usuarios finales por parte de los comercializadores o usuarios no regulados.</w:t>
      </w:r>
      <w:r w:rsidR="008825DA">
        <w:rPr>
          <w:rFonts w:cs="Arial"/>
          <w:i/>
          <w:iCs/>
          <w:sz w:val="22"/>
          <w:szCs w:val="22"/>
        </w:rPr>
        <w:t>”</w:t>
      </w:r>
    </w:p>
    <w:p w14:paraId="511B8370" w14:textId="77777777" w:rsidR="00636F3A" w:rsidRDefault="00636F3A" w:rsidP="003F411E">
      <w:pPr>
        <w:rPr>
          <w:rFonts w:cs="Arial"/>
          <w:sz w:val="22"/>
          <w:szCs w:val="22"/>
        </w:rPr>
      </w:pPr>
    </w:p>
    <w:p w14:paraId="17E56ED6" w14:textId="29A8CCC4" w:rsidR="00636F3A" w:rsidRPr="00636F3A" w:rsidRDefault="00636F3A" w:rsidP="003F411E">
      <w:pPr>
        <w:rPr>
          <w:rFonts w:cs="Arial"/>
          <w:b/>
          <w:bCs/>
          <w:sz w:val="22"/>
          <w:szCs w:val="22"/>
        </w:rPr>
      </w:pPr>
      <w:r w:rsidRPr="00636F3A">
        <w:rPr>
          <w:rFonts w:cs="Arial"/>
          <w:b/>
          <w:bCs/>
          <w:sz w:val="22"/>
          <w:szCs w:val="22"/>
        </w:rPr>
        <w:t>Respuesta:</w:t>
      </w:r>
    </w:p>
    <w:p w14:paraId="44F124D3" w14:textId="77777777" w:rsidR="00636F3A" w:rsidRDefault="00636F3A" w:rsidP="003F411E">
      <w:pPr>
        <w:rPr>
          <w:rFonts w:cs="Arial"/>
          <w:sz w:val="22"/>
          <w:szCs w:val="22"/>
        </w:rPr>
      </w:pPr>
    </w:p>
    <w:p w14:paraId="197F09C2" w14:textId="5CA5EDD1" w:rsidR="00636F3A" w:rsidRDefault="00636F3A" w:rsidP="003F411E">
      <w:pPr>
        <w:rPr>
          <w:rFonts w:cs="Arial"/>
          <w:sz w:val="22"/>
          <w:szCs w:val="22"/>
        </w:rPr>
      </w:pPr>
      <w:r>
        <w:rPr>
          <w:rFonts w:cs="Arial"/>
          <w:sz w:val="22"/>
          <w:szCs w:val="22"/>
        </w:rPr>
        <w:t>Se acoge el comentario.</w:t>
      </w:r>
    </w:p>
    <w:p w14:paraId="1A509F72" w14:textId="77777777" w:rsidR="00636F3A" w:rsidRDefault="00636F3A" w:rsidP="003F411E">
      <w:pPr>
        <w:rPr>
          <w:rFonts w:cs="Arial"/>
          <w:sz w:val="22"/>
          <w:szCs w:val="22"/>
        </w:rPr>
      </w:pPr>
    </w:p>
    <w:p w14:paraId="331DDBF2" w14:textId="1B527569" w:rsidR="00636F3A" w:rsidRDefault="00636F3A" w:rsidP="003F411E">
      <w:pPr>
        <w:rPr>
          <w:rFonts w:cs="Arial"/>
          <w:sz w:val="22"/>
          <w:szCs w:val="22"/>
        </w:rPr>
      </w:pPr>
      <w:r>
        <w:rPr>
          <w:rFonts w:cs="Arial"/>
          <w:sz w:val="22"/>
          <w:szCs w:val="22"/>
        </w:rPr>
        <w:t>En la nueva versión se incluye la declaración semanal de los usuarios no regulados.</w:t>
      </w:r>
    </w:p>
    <w:p w14:paraId="58B090D7" w14:textId="77777777" w:rsidR="00636F3A" w:rsidRPr="003F411E" w:rsidRDefault="00636F3A" w:rsidP="003F411E">
      <w:pPr>
        <w:rPr>
          <w:rFonts w:cs="Arial"/>
          <w:sz w:val="22"/>
          <w:szCs w:val="22"/>
        </w:rPr>
      </w:pPr>
    </w:p>
    <w:p w14:paraId="684A6870" w14:textId="77777777" w:rsidR="006465FC" w:rsidRDefault="006465FC" w:rsidP="003F411E">
      <w:pPr>
        <w:rPr>
          <w:rFonts w:cs="Arial"/>
          <w:sz w:val="22"/>
          <w:szCs w:val="22"/>
        </w:rPr>
      </w:pPr>
    </w:p>
    <w:p w14:paraId="4868DD92" w14:textId="77777777" w:rsidR="006465FC" w:rsidRDefault="003F411E" w:rsidP="00FB04F6">
      <w:pPr>
        <w:pStyle w:val="Ttulo4"/>
      </w:pPr>
      <w:r w:rsidRPr="003F411E">
        <w:t>BOLSA MERCANTIL DE COLOMBIA</w:t>
      </w:r>
      <w:r w:rsidRPr="003F411E">
        <w:tab/>
      </w:r>
    </w:p>
    <w:p w14:paraId="28E2E8FB" w14:textId="437A5F94" w:rsidR="003F411E" w:rsidRDefault="008825DA" w:rsidP="003F411E">
      <w:pPr>
        <w:rPr>
          <w:rFonts w:cs="Arial"/>
          <w:i/>
          <w:iCs/>
          <w:sz w:val="22"/>
          <w:szCs w:val="22"/>
        </w:rPr>
      </w:pPr>
      <w:r>
        <w:rPr>
          <w:rFonts w:cs="Arial"/>
          <w:i/>
          <w:iCs/>
          <w:sz w:val="22"/>
          <w:szCs w:val="22"/>
        </w:rPr>
        <w:t>“</w:t>
      </w:r>
      <w:r w:rsidR="003F411E" w:rsidRPr="00E20706">
        <w:rPr>
          <w:rFonts w:cs="Arial"/>
          <w:i/>
          <w:iCs/>
          <w:sz w:val="22"/>
          <w:szCs w:val="22"/>
        </w:rPr>
        <w:t>Los Usuarios No Regulados deben quedar explícitos como responsables de declaración de información en el primer párrafo de este literal.</w:t>
      </w:r>
    </w:p>
    <w:p w14:paraId="3A5F79E8" w14:textId="77777777" w:rsidR="00E20706" w:rsidRDefault="00E20706" w:rsidP="003F411E">
      <w:pPr>
        <w:rPr>
          <w:rFonts w:cs="Arial"/>
          <w:i/>
          <w:iCs/>
          <w:sz w:val="22"/>
          <w:szCs w:val="22"/>
        </w:rPr>
      </w:pPr>
    </w:p>
    <w:p w14:paraId="267E6E07" w14:textId="44BBF3A0" w:rsidR="00E20706" w:rsidRPr="00E20706" w:rsidRDefault="00E20706" w:rsidP="003F411E">
      <w:pPr>
        <w:rPr>
          <w:rFonts w:cs="Arial"/>
          <w:i/>
          <w:iCs/>
          <w:sz w:val="22"/>
          <w:szCs w:val="22"/>
        </w:rPr>
      </w:pPr>
      <w:r w:rsidRPr="00E20706">
        <w:rPr>
          <w:rFonts w:cs="Arial"/>
          <w:i/>
          <w:iCs/>
          <w:sz w:val="22"/>
          <w:szCs w:val="22"/>
        </w:rPr>
        <w:t xml:space="preserve">En complemento a los agentes establecidos en el reporte de entrega a usuarios finales a saber </w:t>
      </w:r>
      <w:r w:rsidR="008825DA">
        <w:rPr>
          <w:rFonts w:cs="Arial"/>
          <w:i/>
          <w:iCs/>
          <w:sz w:val="22"/>
          <w:szCs w:val="22"/>
        </w:rPr>
        <w:t>‘</w:t>
      </w:r>
      <w:r w:rsidRPr="00E20706">
        <w:rPr>
          <w:rFonts w:cs="Arial"/>
          <w:i/>
          <w:iCs/>
          <w:sz w:val="22"/>
          <w:szCs w:val="22"/>
        </w:rPr>
        <w:t>Comercializadores Mayoristas y Minoristas</w:t>
      </w:r>
      <w:r w:rsidR="008825DA">
        <w:rPr>
          <w:rFonts w:cs="Arial"/>
          <w:i/>
          <w:iCs/>
          <w:sz w:val="22"/>
          <w:szCs w:val="22"/>
        </w:rPr>
        <w:t>’</w:t>
      </w:r>
      <w:r w:rsidRPr="00E20706">
        <w:rPr>
          <w:rFonts w:cs="Arial"/>
          <w:i/>
          <w:iCs/>
          <w:sz w:val="22"/>
          <w:szCs w:val="22"/>
        </w:rPr>
        <w:t>, se sugiere incluir a los Usuarios No Regulados.</w:t>
      </w:r>
      <w:r w:rsidR="008825DA">
        <w:rPr>
          <w:rFonts w:cs="Arial"/>
          <w:i/>
          <w:iCs/>
          <w:sz w:val="22"/>
          <w:szCs w:val="22"/>
        </w:rPr>
        <w:t>”</w:t>
      </w:r>
    </w:p>
    <w:p w14:paraId="2B1038BE" w14:textId="77777777" w:rsidR="00E20706" w:rsidRDefault="00E20706" w:rsidP="003F411E">
      <w:pPr>
        <w:rPr>
          <w:rFonts w:cs="Arial"/>
          <w:sz w:val="22"/>
          <w:szCs w:val="22"/>
        </w:rPr>
      </w:pPr>
    </w:p>
    <w:p w14:paraId="27D626FB" w14:textId="36281A83" w:rsidR="00E20706" w:rsidRPr="00E20706" w:rsidRDefault="00E20706" w:rsidP="003F411E">
      <w:pPr>
        <w:rPr>
          <w:rFonts w:cs="Arial"/>
          <w:b/>
          <w:bCs/>
          <w:sz w:val="22"/>
          <w:szCs w:val="22"/>
        </w:rPr>
      </w:pPr>
      <w:r w:rsidRPr="00E20706">
        <w:rPr>
          <w:rFonts w:cs="Arial"/>
          <w:b/>
          <w:bCs/>
          <w:sz w:val="22"/>
          <w:szCs w:val="22"/>
        </w:rPr>
        <w:t>Respuesta:</w:t>
      </w:r>
    </w:p>
    <w:p w14:paraId="501C5826" w14:textId="77777777" w:rsidR="00E20706" w:rsidRDefault="00E20706" w:rsidP="003F411E">
      <w:pPr>
        <w:rPr>
          <w:rFonts w:cs="Arial"/>
          <w:sz w:val="22"/>
          <w:szCs w:val="22"/>
        </w:rPr>
      </w:pPr>
    </w:p>
    <w:p w14:paraId="2C7DE576" w14:textId="02151D60" w:rsidR="00E20706" w:rsidRDefault="00E20706" w:rsidP="003F411E">
      <w:pPr>
        <w:rPr>
          <w:rFonts w:cs="Arial"/>
          <w:sz w:val="22"/>
          <w:szCs w:val="22"/>
        </w:rPr>
      </w:pPr>
      <w:r>
        <w:rPr>
          <w:rFonts w:cs="Arial"/>
          <w:sz w:val="22"/>
          <w:szCs w:val="22"/>
        </w:rPr>
        <w:t>Se acoge el comentario.</w:t>
      </w:r>
    </w:p>
    <w:p w14:paraId="5454BB54" w14:textId="77777777" w:rsidR="00E20706" w:rsidRDefault="00E20706" w:rsidP="003F411E">
      <w:pPr>
        <w:rPr>
          <w:rFonts w:cs="Arial"/>
          <w:sz w:val="22"/>
          <w:szCs w:val="22"/>
        </w:rPr>
      </w:pPr>
    </w:p>
    <w:p w14:paraId="02BF010C" w14:textId="3A384CA7" w:rsidR="00E20706" w:rsidRDefault="00E20706" w:rsidP="003F411E">
      <w:pPr>
        <w:rPr>
          <w:rFonts w:cs="Arial"/>
          <w:sz w:val="22"/>
          <w:szCs w:val="22"/>
        </w:rPr>
      </w:pPr>
      <w:r>
        <w:rPr>
          <w:rFonts w:cs="Arial"/>
          <w:sz w:val="22"/>
          <w:szCs w:val="22"/>
        </w:rPr>
        <w:t>En la nueva propuesta se hace el ajuste comentado.</w:t>
      </w:r>
    </w:p>
    <w:p w14:paraId="359ED15D" w14:textId="77777777" w:rsidR="00E20706" w:rsidRPr="003F411E" w:rsidRDefault="00E20706" w:rsidP="003F411E">
      <w:pPr>
        <w:rPr>
          <w:rFonts w:cs="Arial"/>
          <w:sz w:val="22"/>
          <w:szCs w:val="22"/>
        </w:rPr>
      </w:pPr>
    </w:p>
    <w:p w14:paraId="2614E346" w14:textId="77777777" w:rsidR="006465FC" w:rsidRDefault="006465FC" w:rsidP="003F411E">
      <w:pPr>
        <w:rPr>
          <w:rFonts w:cs="Arial"/>
          <w:sz w:val="22"/>
          <w:szCs w:val="22"/>
        </w:rPr>
      </w:pPr>
    </w:p>
    <w:p w14:paraId="14CA2929" w14:textId="77777777" w:rsidR="006465FC" w:rsidRDefault="003F411E" w:rsidP="00FB04F6">
      <w:pPr>
        <w:pStyle w:val="Ttulo4"/>
      </w:pPr>
      <w:r w:rsidRPr="003F411E">
        <w:t>BOLSA MERCANTIL DE COLOMBIA</w:t>
      </w:r>
      <w:r w:rsidRPr="003F411E">
        <w:tab/>
      </w:r>
    </w:p>
    <w:p w14:paraId="24109E0E" w14:textId="7D8E8FCB" w:rsidR="003F411E" w:rsidRDefault="008825DA" w:rsidP="003F411E">
      <w:pPr>
        <w:rPr>
          <w:rFonts w:cs="Arial"/>
          <w:i/>
          <w:iCs/>
          <w:sz w:val="22"/>
          <w:szCs w:val="22"/>
        </w:rPr>
      </w:pPr>
      <w:r>
        <w:rPr>
          <w:rFonts w:cs="Arial"/>
          <w:i/>
          <w:iCs/>
          <w:sz w:val="22"/>
          <w:szCs w:val="22"/>
        </w:rPr>
        <w:t>“</w:t>
      </w:r>
      <w:r w:rsidR="003F411E" w:rsidRPr="00E20706">
        <w:rPr>
          <w:rFonts w:cs="Arial"/>
          <w:i/>
          <w:iCs/>
          <w:sz w:val="22"/>
          <w:szCs w:val="22"/>
        </w:rPr>
        <w:t>Hay usuarios finales y comercializadores minoristas que desconocen el contrato de transporte primario, lo cual impedirá la declaración del número del contrato bajo el cual se transportó dicho gas.</w:t>
      </w:r>
    </w:p>
    <w:p w14:paraId="0B7D6CFE" w14:textId="77777777" w:rsidR="00E20706" w:rsidRDefault="00E20706" w:rsidP="003F411E">
      <w:pPr>
        <w:rPr>
          <w:rFonts w:cs="Arial"/>
          <w:i/>
          <w:iCs/>
          <w:sz w:val="22"/>
          <w:szCs w:val="22"/>
        </w:rPr>
      </w:pPr>
    </w:p>
    <w:p w14:paraId="36666A12" w14:textId="78640A4D" w:rsidR="00E20706" w:rsidRPr="00E20706" w:rsidRDefault="00E20706" w:rsidP="003F411E">
      <w:pPr>
        <w:rPr>
          <w:rFonts w:cs="Arial"/>
          <w:i/>
          <w:iCs/>
          <w:sz w:val="22"/>
          <w:szCs w:val="22"/>
        </w:rPr>
      </w:pPr>
      <w:r w:rsidRPr="00E20706">
        <w:rPr>
          <w:rFonts w:cs="Arial"/>
          <w:i/>
          <w:iCs/>
          <w:sz w:val="22"/>
          <w:szCs w:val="22"/>
        </w:rPr>
        <w:t xml:space="preserve">Se sugiere eliminar la disposición </w:t>
      </w:r>
      <w:r w:rsidR="008825DA">
        <w:rPr>
          <w:rFonts w:cs="Arial"/>
          <w:i/>
          <w:iCs/>
          <w:sz w:val="22"/>
          <w:szCs w:val="22"/>
        </w:rPr>
        <w:t>‘</w:t>
      </w:r>
      <w:r w:rsidRPr="00E20706">
        <w:rPr>
          <w:rFonts w:cs="Arial"/>
          <w:i/>
          <w:iCs/>
          <w:sz w:val="22"/>
          <w:szCs w:val="22"/>
        </w:rPr>
        <w:t>El comercializador Minorista o el usuario no regulado, según corresponda, declarará el número del contrato bajo el cual se transportó dicho gas hasta los puntos de salida del SNT o hasta el domicilio del UNR.</w:t>
      </w:r>
      <w:r w:rsidR="008825DA">
        <w:rPr>
          <w:rFonts w:cs="Arial"/>
          <w:i/>
          <w:iCs/>
          <w:sz w:val="22"/>
          <w:szCs w:val="22"/>
        </w:rPr>
        <w:t>’</w:t>
      </w:r>
      <w:r w:rsidRPr="00E20706">
        <w:rPr>
          <w:rFonts w:cs="Arial"/>
          <w:i/>
          <w:iCs/>
          <w:sz w:val="22"/>
          <w:szCs w:val="22"/>
        </w:rPr>
        <w:t>"</w:t>
      </w:r>
    </w:p>
    <w:p w14:paraId="1291CBF8" w14:textId="77777777" w:rsidR="00E20706" w:rsidRDefault="00E20706" w:rsidP="003F411E">
      <w:pPr>
        <w:rPr>
          <w:rFonts w:cs="Arial"/>
          <w:sz w:val="22"/>
          <w:szCs w:val="22"/>
        </w:rPr>
      </w:pPr>
    </w:p>
    <w:p w14:paraId="10CF8E6B" w14:textId="6344E0B6" w:rsidR="00E20706" w:rsidRPr="00E20706" w:rsidRDefault="00E20706" w:rsidP="003F411E">
      <w:pPr>
        <w:rPr>
          <w:rFonts w:cs="Arial"/>
          <w:b/>
          <w:bCs/>
          <w:sz w:val="22"/>
          <w:szCs w:val="22"/>
        </w:rPr>
      </w:pPr>
      <w:r w:rsidRPr="00E20706">
        <w:rPr>
          <w:rFonts w:cs="Arial"/>
          <w:b/>
          <w:bCs/>
          <w:sz w:val="22"/>
          <w:szCs w:val="22"/>
        </w:rPr>
        <w:t>Respuesta:</w:t>
      </w:r>
    </w:p>
    <w:p w14:paraId="57BE8C94" w14:textId="77777777" w:rsidR="00E20706" w:rsidRDefault="00E20706" w:rsidP="003F411E">
      <w:pPr>
        <w:rPr>
          <w:rFonts w:cs="Arial"/>
          <w:sz w:val="22"/>
          <w:szCs w:val="22"/>
        </w:rPr>
      </w:pPr>
    </w:p>
    <w:p w14:paraId="62242E7E" w14:textId="14A6C5CA" w:rsidR="00E20706" w:rsidRDefault="00E20706" w:rsidP="003F411E">
      <w:pPr>
        <w:rPr>
          <w:rFonts w:cs="Arial"/>
          <w:sz w:val="22"/>
          <w:szCs w:val="22"/>
        </w:rPr>
      </w:pPr>
      <w:r>
        <w:rPr>
          <w:rFonts w:cs="Arial"/>
          <w:sz w:val="22"/>
          <w:szCs w:val="22"/>
        </w:rPr>
        <w:t>Se acoge el comentario.</w:t>
      </w:r>
    </w:p>
    <w:p w14:paraId="2EC74E65" w14:textId="77777777" w:rsidR="00E20706" w:rsidRDefault="00E20706" w:rsidP="003F411E">
      <w:pPr>
        <w:rPr>
          <w:rFonts w:cs="Arial"/>
          <w:sz w:val="22"/>
          <w:szCs w:val="22"/>
        </w:rPr>
      </w:pPr>
    </w:p>
    <w:p w14:paraId="2867CF63" w14:textId="37E35462" w:rsidR="00E20706" w:rsidRDefault="00E20706" w:rsidP="003F411E">
      <w:pPr>
        <w:rPr>
          <w:rFonts w:cs="Arial"/>
          <w:sz w:val="22"/>
          <w:szCs w:val="22"/>
        </w:rPr>
      </w:pPr>
      <w:r>
        <w:rPr>
          <w:rFonts w:cs="Arial"/>
          <w:sz w:val="22"/>
          <w:szCs w:val="22"/>
        </w:rPr>
        <w:t>En la nueva propuesta se retira la obligación al usuario no regulado.</w:t>
      </w:r>
    </w:p>
    <w:p w14:paraId="3420F1F8" w14:textId="77777777" w:rsidR="00E20706" w:rsidRDefault="00E20706" w:rsidP="003F411E">
      <w:pPr>
        <w:rPr>
          <w:rFonts w:cs="Arial"/>
          <w:sz w:val="22"/>
          <w:szCs w:val="22"/>
        </w:rPr>
      </w:pPr>
    </w:p>
    <w:p w14:paraId="635A0723" w14:textId="77777777" w:rsidR="006465FC" w:rsidRDefault="006465FC" w:rsidP="003F411E">
      <w:pPr>
        <w:rPr>
          <w:rFonts w:cs="Arial"/>
          <w:sz w:val="22"/>
          <w:szCs w:val="22"/>
        </w:rPr>
      </w:pPr>
    </w:p>
    <w:p w14:paraId="526FCCA3" w14:textId="77777777" w:rsidR="006465FC" w:rsidRDefault="003F411E" w:rsidP="00FB04F6">
      <w:pPr>
        <w:pStyle w:val="Ttulo4"/>
      </w:pPr>
      <w:r w:rsidRPr="003F411E">
        <w:t>BOLSA MERCANTIL DE COLOMBIA</w:t>
      </w:r>
      <w:r w:rsidRPr="003F411E">
        <w:tab/>
      </w:r>
    </w:p>
    <w:p w14:paraId="2C8C53C2" w14:textId="139EC5DC" w:rsidR="003F411E" w:rsidRDefault="00060013" w:rsidP="003F411E">
      <w:pPr>
        <w:rPr>
          <w:rFonts w:cs="Arial"/>
          <w:i/>
          <w:iCs/>
          <w:sz w:val="22"/>
          <w:szCs w:val="22"/>
        </w:rPr>
      </w:pPr>
      <w:r>
        <w:rPr>
          <w:rFonts w:cs="Arial"/>
          <w:i/>
          <w:iCs/>
          <w:sz w:val="22"/>
          <w:szCs w:val="22"/>
        </w:rPr>
        <w:t>“</w:t>
      </w:r>
      <w:r w:rsidR="003F411E" w:rsidRPr="00FA5F7F">
        <w:rPr>
          <w:rFonts w:cs="Arial"/>
          <w:i/>
          <w:iCs/>
          <w:sz w:val="22"/>
          <w:szCs w:val="22"/>
        </w:rPr>
        <w:t>Hay otros agentes, a parte de los comercializadores mayoristas y minoristas, y de los usuarios no regulados, que deberían realizar este reporte.</w:t>
      </w:r>
    </w:p>
    <w:p w14:paraId="61A406A0" w14:textId="77777777" w:rsidR="00FA5F7F" w:rsidRDefault="00FA5F7F" w:rsidP="003F411E">
      <w:pPr>
        <w:rPr>
          <w:rFonts w:cs="Arial"/>
          <w:i/>
          <w:iCs/>
          <w:sz w:val="22"/>
          <w:szCs w:val="22"/>
        </w:rPr>
      </w:pPr>
    </w:p>
    <w:p w14:paraId="2D2C1A9C" w14:textId="7C3F5987" w:rsidR="00FA5F7F" w:rsidRPr="00FA5F7F" w:rsidRDefault="00FA5F7F" w:rsidP="003F411E">
      <w:pPr>
        <w:rPr>
          <w:rFonts w:cs="Arial"/>
          <w:i/>
          <w:iCs/>
          <w:sz w:val="22"/>
          <w:szCs w:val="22"/>
        </w:rPr>
      </w:pPr>
      <w:r w:rsidRPr="00FA5F7F">
        <w:rPr>
          <w:rFonts w:cs="Arial"/>
          <w:i/>
          <w:iCs/>
          <w:sz w:val="22"/>
          <w:szCs w:val="22"/>
        </w:rPr>
        <w:t>Se sugiere hacer explicito que los agentes que consumen gas con destino al procesamiento de gas natural, a su utilización como materia prima de procesos industriales petroquímicos, al consumo de los productores comercializadores o a la exportación, deben realizar este reporte.</w:t>
      </w:r>
      <w:r w:rsidR="00060013">
        <w:rPr>
          <w:rFonts w:cs="Arial"/>
          <w:i/>
          <w:iCs/>
          <w:sz w:val="22"/>
          <w:szCs w:val="22"/>
        </w:rPr>
        <w:t>”</w:t>
      </w:r>
    </w:p>
    <w:p w14:paraId="6E10EB13" w14:textId="77777777" w:rsidR="00FA5F7F" w:rsidRDefault="00FA5F7F" w:rsidP="003F411E">
      <w:pPr>
        <w:rPr>
          <w:rFonts w:cs="Arial"/>
          <w:sz w:val="22"/>
          <w:szCs w:val="22"/>
        </w:rPr>
      </w:pPr>
    </w:p>
    <w:p w14:paraId="3C255AE3" w14:textId="0C0785F9" w:rsidR="00FA5F7F" w:rsidRPr="00FA5F7F" w:rsidRDefault="00FA5F7F" w:rsidP="003F411E">
      <w:pPr>
        <w:rPr>
          <w:rFonts w:cs="Arial"/>
          <w:b/>
          <w:bCs/>
          <w:sz w:val="22"/>
          <w:szCs w:val="22"/>
        </w:rPr>
      </w:pPr>
      <w:r w:rsidRPr="00FA5F7F">
        <w:rPr>
          <w:rFonts w:cs="Arial"/>
          <w:b/>
          <w:bCs/>
          <w:sz w:val="22"/>
          <w:szCs w:val="22"/>
        </w:rPr>
        <w:t>Respuesta:</w:t>
      </w:r>
    </w:p>
    <w:p w14:paraId="21C9934D" w14:textId="77777777" w:rsidR="00FA5F7F" w:rsidRDefault="00FA5F7F" w:rsidP="003F411E">
      <w:pPr>
        <w:rPr>
          <w:rFonts w:cs="Arial"/>
          <w:sz w:val="22"/>
          <w:szCs w:val="22"/>
        </w:rPr>
      </w:pPr>
    </w:p>
    <w:p w14:paraId="155A9832" w14:textId="09FADB47" w:rsidR="00FA5F7F" w:rsidRDefault="00FA5F7F" w:rsidP="003F411E">
      <w:pPr>
        <w:rPr>
          <w:rFonts w:cs="Arial"/>
          <w:sz w:val="22"/>
          <w:szCs w:val="22"/>
        </w:rPr>
      </w:pPr>
      <w:r>
        <w:rPr>
          <w:rFonts w:cs="Arial"/>
          <w:sz w:val="22"/>
          <w:szCs w:val="22"/>
        </w:rPr>
        <w:t>No se acoge el comentario.</w:t>
      </w:r>
    </w:p>
    <w:p w14:paraId="7DC953F9" w14:textId="77777777" w:rsidR="00FA5F7F" w:rsidRDefault="00FA5F7F" w:rsidP="003F411E">
      <w:pPr>
        <w:rPr>
          <w:rFonts w:cs="Arial"/>
          <w:sz w:val="22"/>
          <w:szCs w:val="22"/>
        </w:rPr>
      </w:pPr>
    </w:p>
    <w:p w14:paraId="462DA593" w14:textId="4D647CEA" w:rsidR="00FA5F7F" w:rsidRDefault="00FA5F7F" w:rsidP="003F411E">
      <w:pPr>
        <w:rPr>
          <w:rFonts w:cs="Arial"/>
          <w:sz w:val="22"/>
          <w:szCs w:val="22"/>
        </w:rPr>
      </w:pPr>
      <w:r>
        <w:rPr>
          <w:rFonts w:cs="Arial"/>
          <w:sz w:val="22"/>
          <w:szCs w:val="22"/>
        </w:rPr>
        <w:t xml:space="preserve">Los agentes mencionados no están obligados a las reglas del Mercado Mayorista de Gas Natural, </w:t>
      </w:r>
      <w:r w:rsidRPr="00FA5F7F">
        <w:rPr>
          <w:rFonts w:cs="Arial"/>
          <w:sz w:val="22"/>
          <w:szCs w:val="22"/>
        </w:rPr>
        <w:t>De conformidad con el artículo 11 de la Ley 401 de 1997, y los artículos 8 y 26 del Decreto 2100 de 2011</w:t>
      </w:r>
      <w:r>
        <w:rPr>
          <w:rFonts w:cs="Arial"/>
          <w:sz w:val="22"/>
          <w:szCs w:val="22"/>
        </w:rPr>
        <w:t>. Lo anterior a menos que decidan participar como vendedores de gas para la atención del servicio público de gas combustible.</w:t>
      </w:r>
    </w:p>
    <w:p w14:paraId="033F3A88" w14:textId="77777777" w:rsidR="00FA5F7F" w:rsidRPr="003F411E" w:rsidRDefault="00FA5F7F" w:rsidP="003F411E">
      <w:pPr>
        <w:rPr>
          <w:rFonts w:cs="Arial"/>
          <w:sz w:val="22"/>
          <w:szCs w:val="22"/>
        </w:rPr>
      </w:pPr>
    </w:p>
    <w:p w14:paraId="03AF9EB8" w14:textId="77777777" w:rsidR="006465FC" w:rsidRDefault="006465FC" w:rsidP="003F411E">
      <w:pPr>
        <w:rPr>
          <w:rFonts w:cs="Arial"/>
          <w:sz w:val="22"/>
          <w:szCs w:val="22"/>
        </w:rPr>
      </w:pPr>
    </w:p>
    <w:p w14:paraId="5FC4AD30" w14:textId="77777777" w:rsidR="006465FC" w:rsidRDefault="003F411E" w:rsidP="00FB04F6">
      <w:pPr>
        <w:pStyle w:val="Ttulo4"/>
      </w:pPr>
      <w:r w:rsidRPr="003F411E">
        <w:t>BOLSA MERCANTIL DE COLOMBIA</w:t>
      </w:r>
      <w:r w:rsidRPr="003F411E">
        <w:tab/>
      </w:r>
    </w:p>
    <w:p w14:paraId="1E75F6B2" w14:textId="2D840F2E" w:rsidR="003F411E" w:rsidRDefault="00182C18" w:rsidP="003F411E">
      <w:pPr>
        <w:rPr>
          <w:rFonts w:cs="Arial"/>
          <w:i/>
          <w:iCs/>
          <w:sz w:val="22"/>
          <w:szCs w:val="22"/>
        </w:rPr>
      </w:pPr>
      <w:r>
        <w:rPr>
          <w:rFonts w:cs="Arial"/>
          <w:i/>
          <w:iCs/>
          <w:sz w:val="22"/>
          <w:szCs w:val="22"/>
        </w:rPr>
        <w:t>“</w:t>
      </w:r>
      <w:r w:rsidR="003F411E" w:rsidRPr="00FA5F7F">
        <w:rPr>
          <w:rFonts w:cs="Arial"/>
          <w:i/>
          <w:iCs/>
          <w:sz w:val="22"/>
          <w:szCs w:val="22"/>
        </w:rPr>
        <w:t>Se requiere de un numeral que obligue al reporte de nueva información de entregas a usuarios finales.</w:t>
      </w:r>
    </w:p>
    <w:p w14:paraId="4104B08E" w14:textId="77777777" w:rsidR="00E717DE" w:rsidRDefault="00E717DE" w:rsidP="003F411E">
      <w:pPr>
        <w:rPr>
          <w:rFonts w:cs="Arial"/>
          <w:i/>
          <w:iCs/>
          <w:sz w:val="22"/>
          <w:szCs w:val="22"/>
        </w:rPr>
      </w:pPr>
    </w:p>
    <w:p w14:paraId="598BB9D4" w14:textId="02F900D7" w:rsidR="00E717DE" w:rsidRPr="00FA5F7F" w:rsidRDefault="00E717DE" w:rsidP="003F411E">
      <w:pPr>
        <w:rPr>
          <w:rFonts w:cs="Arial"/>
          <w:i/>
          <w:iCs/>
          <w:sz w:val="22"/>
          <w:szCs w:val="22"/>
        </w:rPr>
      </w:pPr>
      <w:r w:rsidRPr="00E717DE">
        <w:rPr>
          <w:rFonts w:cs="Arial"/>
          <w:i/>
          <w:iCs/>
          <w:sz w:val="22"/>
          <w:szCs w:val="22"/>
        </w:rPr>
        <w:t>Se sugiere incluir un numeral con la obligación del reporte de la demanda de los comercializadores minoristas o usuarios no regulados, que es tomada mediante gasoductos dedicados, gas natural comprimido, redes que no hacen parte de SNT, y otros medios de transporte (GNC, GNL, otros).</w:t>
      </w:r>
      <w:r w:rsidR="00182C18">
        <w:rPr>
          <w:rFonts w:cs="Arial"/>
          <w:i/>
          <w:iCs/>
          <w:sz w:val="22"/>
          <w:szCs w:val="22"/>
        </w:rPr>
        <w:t>”</w:t>
      </w:r>
    </w:p>
    <w:p w14:paraId="11A2BEE9" w14:textId="77777777" w:rsidR="00FA5F7F" w:rsidRDefault="00FA5F7F" w:rsidP="003F411E">
      <w:pPr>
        <w:rPr>
          <w:rFonts w:cs="Arial"/>
          <w:sz w:val="22"/>
          <w:szCs w:val="22"/>
        </w:rPr>
      </w:pPr>
    </w:p>
    <w:p w14:paraId="4E26E7B3" w14:textId="0F1A5C9E" w:rsidR="00FA5F7F" w:rsidRPr="00FA5F7F" w:rsidRDefault="00FA5F7F" w:rsidP="003F411E">
      <w:pPr>
        <w:rPr>
          <w:rFonts w:cs="Arial"/>
          <w:b/>
          <w:bCs/>
          <w:sz w:val="22"/>
          <w:szCs w:val="22"/>
        </w:rPr>
      </w:pPr>
      <w:r w:rsidRPr="00FA5F7F">
        <w:rPr>
          <w:rFonts w:cs="Arial"/>
          <w:b/>
          <w:bCs/>
          <w:sz w:val="22"/>
          <w:szCs w:val="22"/>
        </w:rPr>
        <w:t>Respuesta:</w:t>
      </w:r>
    </w:p>
    <w:p w14:paraId="5329A036" w14:textId="77777777" w:rsidR="00FA5F7F" w:rsidRDefault="00FA5F7F" w:rsidP="003F411E">
      <w:pPr>
        <w:rPr>
          <w:rFonts w:cs="Arial"/>
          <w:sz w:val="22"/>
          <w:szCs w:val="22"/>
        </w:rPr>
      </w:pPr>
    </w:p>
    <w:p w14:paraId="740C759D" w14:textId="17C3BBFC" w:rsidR="00FA5F7F" w:rsidRDefault="00880014" w:rsidP="003F411E">
      <w:pPr>
        <w:rPr>
          <w:rFonts w:cs="Arial"/>
          <w:sz w:val="22"/>
          <w:szCs w:val="22"/>
        </w:rPr>
      </w:pPr>
      <w:r>
        <w:rPr>
          <w:rFonts w:cs="Arial"/>
          <w:sz w:val="22"/>
          <w:szCs w:val="22"/>
        </w:rPr>
        <w:t>Se acoge el comentario.</w:t>
      </w:r>
    </w:p>
    <w:p w14:paraId="29621F00" w14:textId="77777777" w:rsidR="00880014" w:rsidRDefault="00880014" w:rsidP="003F411E">
      <w:pPr>
        <w:rPr>
          <w:rFonts w:cs="Arial"/>
          <w:sz w:val="22"/>
          <w:szCs w:val="22"/>
        </w:rPr>
      </w:pPr>
    </w:p>
    <w:p w14:paraId="62ED8476" w14:textId="26B77551" w:rsidR="00880014" w:rsidRDefault="00880014" w:rsidP="003F411E">
      <w:pPr>
        <w:rPr>
          <w:rFonts w:cs="Arial"/>
          <w:sz w:val="22"/>
          <w:szCs w:val="22"/>
        </w:rPr>
      </w:pPr>
      <w:r>
        <w:rPr>
          <w:rFonts w:cs="Arial"/>
          <w:sz w:val="22"/>
          <w:szCs w:val="22"/>
        </w:rPr>
        <w:t>En la nueva propuesta se incluye precisiones al respecto de lo comentado.</w:t>
      </w:r>
    </w:p>
    <w:p w14:paraId="617BD53B" w14:textId="77777777" w:rsidR="00E717DE" w:rsidRPr="003F411E" w:rsidRDefault="00E717DE" w:rsidP="003F411E">
      <w:pPr>
        <w:rPr>
          <w:rFonts w:cs="Arial"/>
          <w:sz w:val="22"/>
          <w:szCs w:val="22"/>
        </w:rPr>
      </w:pPr>
    </w:p>
    <w:p w14:paraId="079812B9" w14:textId="77777777" w:rsidR="006465FC" w:rsidRDefault="006465FC" w:rsidP="003F411E">
      <w:pPr>
        <w:rPr>
          <w:rFonts w:cs="Arial"/>
          <w:sz w:val="22"/>
          <w:szCs w:val="22"/>
        </w:rPr>
      </w:pPr>
    </w:p>
    <w:p w14:paraId="23FE58B2" w14:textId="77777777" w:rsidR="006465FC" w:rsidRDefault="003F411E" w:rsidP="00FB04F6">
      <w:pPr>
        <w:pStyle w:val="Ttulo4"/>
      </w:pPr>
      <w:r w:rsidRPr="003F411E">
        <w:t>BOLSA MERCANTIL DE COLOMBIA</w:t>
      </w:r>
      <w:r w:rsidRPr="003F411E">
        <w:tab/>
      </w:r>
    </w:p>
    <w:p w14:paraId="2E85CD80" w14:textId="74381827" w:rsidR="003F411E" w:rsidRDefault="00182C18" w:rsidP="003F411E">
      <w:pPr>
        <w:rPr>
          <w:rFonts w:cs="Arial"/>
          <w:i/>
          <w:iCs/>
          <w:sz w:val="22"/>
          <w:szCs w:val="22"/>
        </w:rPr>
      </w:pPr>
      <w:r>
        <w:rPr>
          <w:rFonts w:cs="Arial"/>
          <w:i/>
          <w:iCs/>
          <w:sz w:val="22"/>
          <w:szCs w:val="22"/>
        </w:rPr>
        <w:t>“</w:t>
      </w:r>
      <w:r w:rsidR="003F411E" w:rsidRPr="006C55F2">
        <w:rPr>
          <w:rFonts w:cs="Arial"/>
          <w:i/>
          <w:iCs/>
          <w:sz w:val="22"/>
          <w:szCs w:val="22"/>
        </w:rPr>
        <w:t>Es de utilidad que sea diario el reporte de los usuarios no regulados que participan en el mercado primario</w:t>
      </w:r>
      <w:r w:rsidR="006C55F2">
        <w:rPr>
          <w:rFonts w:cs="Arial"/>
          <w:i/>
          <w:iCs/>
          <w:sz w:val="22"/>
          <w:szCs w:val="22"/>
        </w:rPr>
        <w:t>.</w:t>
      </w:r>
    </w:p>
    <w:p w14:paraId="5277D234" w14:textId="77777777" w:rsidR="006C55F2" w:rsidRDefault="006C55F2" w:rsidP="003F411E">
      <w:pPr>
        <w:rPr>
          <w:rFonts w:cs="Arial"/>
          <w:i/>
          <w:iCs/>
          <w:sz w:val="22"/>
          <w:szCs w:val="22"/>
        </w:rPr>
      </w:pPr>
    </w:p>
    <w:p w14:paraId="699C5C63" w14:textId="6E5F17FD" w:rsidR="006C55F2" w:rsidRPr="006C55F2" w:rsidRDefault="006C55F2" w:rsidP="003F411E">
      <w:pPr>
        <w:rPr>
          <w:rFonts w:cs="Arial"/>
          <w:i/>
          <w:iCs/>
          <w:sz w:val="22"/>
          <w:szCs w:val="22"/>
        </w:rPr>
      </w:pPr>
      <w:r w:rsidRPr="006C55F2">
        <w:rPr>
          <w:rFonts w:cs="Arial"/>
          <w:i/>
          <w:iCs/>
          <w:sz w:val="22"/>
          <w:szCs w:val="22"/>
        </w:rPr>
        <w:t xml:space="preserve">Se sugiere evaluar la posibilidad de modificar la disposición </w:t>
      </w:r>
      <w:r w:rsidR="00182C18">
        <w:rPr>
          <w:rFonts w:cs="Arial"/>
          <w:i/>
          <w:iCs/>
          <w:sz w:val="22"/>
          <w:szCs w:val="22"/>
        </w:rPr>
        <w:t>‘</w:t>
      </w:r>
      <w:proofErr w:type="spellStart"/>
      <w:r w:rsidRPr="006C55F2">
        <w:rPr>
          <w:rFonts w:cs="Arial"/>
          <w:i/>
          <w:iCs/>
          <w:sz w:val="22"/>
          <w:szCs w:val="22"/>
        </w:rPr>
        <w:t>ii</w:t>
      </w:r>
      <w:proofErr w:type="spellEnd"/>
      <w:r w:rsidRPr="006C55F2">
        <w:rPr>
          <w:rFonts w:cs="Arial"/>
          <w:i/>
          <w:iCs/>
          <w:sz w:val="22"/>
          <w:szCs w:val="22"/>
        </w:rPr>
        <w:t>. (...) Los usuarios no regulados que participen como compradores en el mercado primario deberán declarar mensualmente al gestor del mercado, a través del medio y del formato que éste defina, la información señalada en este literal.</w:t>
      </w:r>
      <w:r w:rsidR="00182C18">
        <w:rPr>
          <w:rFonts w:cs="Arial"/>
          <w:i/>
          <w:iCs/>
          <w:sz w:val="22"/>
          <w:szCs w:val="22"/>
        </w:rPr>
        <w:t>’</w:t>
      </w:r>
      <w:r w:rsidRPr="006C55F2">
        <w:rPr>
          <w:rFonts w:cs="Arial"/>
          <w:i/>
          <w:iCs/>
          <w:sz w:val="22"/>
          <w:szCs w:val="22"/>
        </w:rPr>
        <w:t>, de manera que el reporte de los usuarios no regulados sea semanal.</w:t>
      </w:r>
      <w:r w:rsidR="00182C18">
        <w:rPr>
          <w:rFonts w:cs="Arial"/>
          <w:i/>
          <w:iCs/>
          <w:sz w:val="22"/>
          <w:szCs w:val="22"/>
        </w:rPr>
        <w:t>”</w:t>
      </w:r>
    </w:p>
    <w:p w14:paraId="7058B2A3" w14:textId="77777777" w:rsidR="006C55F2" w:rsidRDefault="006C55F2" w:rsidP="003F411E">
      <w:pPr>
        <w:rPr>
          <w:rFonts w:cs="Arial"/>
          <w:sz w:val="22"/>
          <w:szCs w:val="22"/>
        </w:rPr>
      </w:pPr>
    </w:p>
    <w:p w14:paraId="01568D72" w14:textId="0AD10896" w:rsidR="006C55F2" w:rsidRPr="006C55F2" w:rsidRDefault="006C55F2" w:rsidP="003F411E">
      <w:pPr>
        <w:rPr>
          <w:rFonts w:cs="Arial"/>
          <w:b/>
          <w:bCs/>
          <w:sz w:val="22"/>
          <w:szCs w:val="22"/>
        </w:rPr>
      </w:pPr>
      <w:r w:rsidRPr="006C55F2">
        <w:rPr>
          <w:rFonts w:cs="Arial"/>
          <w:b/>
          <w:bCs/>
          <w:sz w:val="22"/>
          <w:szCs w:val="22"/>
        </w:rPr>
        <w:t>Respuesta:</w:t>
      </w:r>
    </w:p>
    <w:p w14:paraId="7963B49D" w14:textId="77777777" w:rsidR="006C55F2" w:rsidRDefault="006C55F2" w:rsidP="003F411E">
      <w:pPr>
        <w:rPr>
          <w:rFonts w:cs="Arial"/>
          <w:sz w:val="22"/>
          <w:szCs w:val="22"/>
        </w:rPr>
      </w:pPr>
    </w:p>
    <w:p w14:paraId="1BD62639" w14:textId="54A5925F" w:rsidR="006C55F2" w:rsidRDefault="006B0901"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_Ref133411013 \r \h </w:instrText>
      </w:r>
      <w:r>
        <w:rPr>
          <w:rFonts w:cs="Arial"/>
          <w:sz w:val="22"/>
          <w:szCs w:val="22"/>
        </w:rPr>
      </w:r>
      <w:r>
        <w:rPr>
          <w:rFonts w:cs="Arial"/>
          <w:sz w:val="22"/>
          <w:szCs w:val="22"/>
        </w:rPr>
        <w:fldChar w:fldCharType="separate"/>
      </w:r>
      <w:r>
        <w:rPr>
          <w:rFonts w:cs="Arial"/>
          <w:sz w:val="22"/>
          <w:szCs w:val="22"/>
        </w:rPr>
        <w:t>36.2.1.14</w:t>
      </w:r>
      <w:r>
        <w:rPr>
          <w:rFonts w:cs="Arial"/>
          <w:sz w:val="22"/>
          <w:szCs w:val="22"/>
        </w:rPr>
        <w:fldChar w:fldCharType="end"/>
      </w:r>
      <w:r>
        <w:rPr>
          <w:rFonts w:cs="Arial"/>
          <w:sz w:val="22"/>
          <w:szCs w:val="22"/>
        </w:rPr>
        <w:t>.</w:t>
      </w:r>
    </w:p>
    <w:p w14:paraId="6753EE34" w14:textId="77777777" w:rsidR="006C55F2" w:rsidRPr="003F411E" w:rsidRDefault="006C55F2" w:rsidP="003F411E">
      <w:pPr>
        <w:rPr>
          <w:rFonts w:cs="Arial"/>
          <w:sz w:val="22"/>
          <w:szCs w:val="22"/>
        </w:rPr>
      </w:pPr>
    </w:p>
    <w:p w14:paraId="03487AA5" w14:textId="77777777" w:rsidR="006465FC" w:rsidRDefault="006465FC" w:rsidP="003F411E">
      <w:pPr>
        <w:rPr>
          <w:rFonts w:cs="Arial"/>
          <w:sz w:val="22"/>
          <w:szCs w:val="22"/>
        </w:rPr>
      </w:pPr>
    </w:p>
    <w:p w14:paraId="22673757" w14:textId="77777777" w:rsidR="006465FC" w:rsidRDefault="003F411E" w:rsidP="00FB04F6">
      <w:pPr>
        <w:pStyle w:val="Ttulo4"/>
      </w:pPr>
      <w:r w:rsidRPr="003F411E">
        <w:t>BOLSA MERCANTIL DE COLOMBIA</w:t>
      </w:r>
      <w:r w:rsidRPr="003F411E">
        <w:tab/>
      </w:r>
    </w:p>
    <w:p w14:paraId="5E29823D" w14:textId="30DE5413" w:rsidR="003F411E" w:rsidRDefault="00182C18" w:rsidP="003F411E">
      <w:pPr>
        <w:rPr>
          <w:rFonts w:cs="Arial"/>
          <w:i/>
          <w:iCs/>
          <w:sz w:val="22"/>
          <w:szCs w:val="22"/>
        </w:rPr>
      </w:pPr>
      <w:r>
        <w:rPr>
          <w:rFonts w:cs="Arial"/>
          <w:i/>
          <w:iCs/>
          <w:sz w:val="22"/>
          <w:szCs w:val="22"/>
        </w:rPr>
        <w:t>“</w:t>
      </w:r>
      <w:r w:rsidR="003F411E" w:rsidRPr="006B0901">
        <w:rPr>
          <w:rFonts w:cs="Arial"/>
          <w:i/>
          <w:iCs/>
          <w:sz w:val="22"/>
          <w:szCs w:val="22"/>
        </w:rPr>
        <w:t xml:space="preserve">Es pertinente mantener los reportes de la nominación y </w:t>
      </w:r>
      <w:proofErr w:type="spellStart"/>
      <w:r w:rsidR="003F411E" w:rsidRPr="006B0901">
        <w:rPr>
          <w:rFonts w:cs="Arial"/>
          <w:i/>
          <w:iCs/>
          <w:sz w:val="22"/>
          <w:szCs w:val="22"/>
        </w:rPr>
        <w:t>renominación</w:t>
      </w:r>
      <w:proofErr w:type="spellEnd"/>
      <w:r w:rsidR="003F411E" w:rsidRPr="006B0901">
        <w:rPr>
          <w:rFonts w:cs="Arial"/>
          <w:i/>
          <w:iCs/>
          <w:sz w:val="22"/>
          <w:szCs w:val="22"/>
        </w:rPr>
        <w:t xml:space="preserve"> por parte de los productores-comercializadores y los comercializadores de gas importado, más </w:t>
      </w:r>
      <w:proofErr w:type="gramStart"/>
      <w:r w:rsidR="003F411E" w:rsidRPr="006B0901">
        <w:rPr>
          <w:rFonts w:cs="Arial"/>
          <w:i/>
          <w:iCs/>
          <w:sz w:val="22"/>
          <w:szCs w:val="22"/>
        </w:rPr>
        <w:t>aun</w:t>
      </w:r>
      <w:proofErr w:type="gramEnd"/>
      <w:r w:rsidR="003F411E" w:rsidRPr="006B0901">
        <w:rPr>
          <w:rFonts w:cs="Arial"/>
          <w:i/>
          <w:iCs/>
          <w:sz w:val="22"/>
          <w:szCs w:val="22"/>
        </w:rPr>
        <w:t xml:space="preserve"> considerando que a partir de la propuesta regulatoria estos agentes deberán publicar los procedimientos para autorización de las nominaciones de suministro (numeral 9 del Artículo 36)</w:t>
      </w:r>
      <w:r w:rsidR="006B0901">
        <w:rPr>
          <w:rFonts w:cs="Arial"/>
          <w:i/>
          <w:iCs/>
          <w:sz w:val="22"/>
          <w:szCs w:val="22"/>
        </w:rPr>
        <w:t>.</w:t>
      </w:r>
    </w:p>
    <w:p w14:paraId="49373F15" w14:textId="77777777" w:rsidR="006B0901" w:rsidRDefault="006B0901" w:rsidP="003F411E">
      <w:pPr>
        <w:rPr>
          <w:rFonts w:cs="Arial"/>
          <w:i/>
          <w:iCs/>
          <w:sz w:val="22"/>
          <w:szCs w:val="22"/>
        </w:rPr>
      </w:pPr>
    </w:p>
    <w:p w14:paraId="155B9666" w14:textId="6274A34D" w:rsidR="006B0901" w:rsidRPr="006B0901" w:rsidRDefault="006B0901" w:rsidP="003F411E">
      <w:pPr>
        <w:rPr>
          <w:rFonts w:cs="Arial"/>
          <w:i/>
          <w:iCs/>
          <w:sz w:val="22"/>
          <w:szCs w:val="22"/>
        </w:rPr>
      </w:pPr>
      <w:r w:rsidRPr="006B0901">
        <w:rPr>
          <w:rFonts w:cs="Arial"/>
          <w:i/>
          <w:iCs/>
          <w:sz w:val="22"/>
          <w:szCs w:val="22"/>
        </w:rPr>
        <w:t xml:space="preserve">Se sugiere mantener los reportes de la nominación y </w:t>
      </w:r>
      <w:proofErr w:type="spellStart"/>
      <w:r w:rsidRPr="006B0901">
        <w:rPr>
          <w:rFonts w:cs="Arial"/>
          <w:i/>
          <w:iCs/>
          <w:sz w:val="22"/>
          <w:szCs w:val="22"/>
        </w:rPr>
        <w:t>renominación</w:t>
      </w:r>
      <w:proofErr w:type="spellEnd"/>
      <w:r w:rsidRPr="006B0901">
        <w:rPr>
          <w:rFonts w:cs="Arial"/>
          <w:i/>
          <w:iCs/>
          <w:sz w:val="22"/>
          <w:szCs w:val="22"/>
        </w:rPr>
        <w:t xml:space="preserve"> por parte de los productores-comercializadores y los comercializadores de gas importado.</w:t>
      </w:r>
      <w:r w:rsidR="0001167E">
        <w:rPr>
          <w:rFonts w:cs="Arial"/>
          <w:i/>
          <w:iCs/>
          <w:sz w:val="22"/>
          <w:szCs w:val="22"/>
        </w:rPr>
        <w:t>”</w:t>
      </w:r>
    </w:p>
    <w:p w14:paraId="19697518" w14:textId="77777777" w:rsidR="006B0901" w:rsidRDefault="006B0901" w:rsidP="003F411E">
      <w:pPr>
        <w:rPr>
          <w:rFonts w:cs="Arial"/>
          <w:sz w:val="22"/>
          <w:szCs w:val="22"/>
        </w:rPr>
      </w:pPr>
    </w:p>
    <w:p w14:paraId="78C8A28D" w14:textId="056A7127" w:rsidR="006B0901" w:rsidRPr="006B0901" w:rsidRDefault="006B0901" w:rsidP="003F411E">
      <w:pPr>
        <w:rPr>
          <w:rFonts w:cs="Arial"/>
          <w:b/>
          <w:bCs/>
          <w:sz w:val="22"/>
          <w:szCs w:val="22"/>
        </w:rPr>
      </w:pPr>
      <w:r w:rsidRPr="006B0901">
        <w:rPr>
          <w:rFonts w:cs="Arial"/>
          <w:b/>
          <w:bCs/>
          <w:sz w:val="22"/>
          <w:szCs w:val="22"/>
        </w:rPr>
        <w:t>Respuesta:</w:t>
      </w:r>
    </w:p>
    <w:p w14:paraId="5821B0FD" w14:textId="77777777" w:rsidR="006B0901" w:rsidRDefault="006B0901" w:rsidP="003F411E">
      <w:pPr>
        <w:rPr>
          <w:rFonts w:cs="Arial"/>
          <w:sz w:val="22"/>
          <w:szCs w:val="22"/>
        </w:rPr>
      </w:pPr>
    </w:p>
    <w:p w14:paraId="69EC3C05" w14:textId="164EB2DD" w:rsidR="006B0901" w:rsidRDefault="006B0901" w:rsidP="003F411E">
      <w:pPr>
        <w:rPr>
          <w:rFonts w:cs="Arial"/>
          <w:sz w:val="22"/>
          <w:szCs w:val="22"/>
        </w:rPr>
      </w:pPr>
      <w:r>
        <w:rPr>
          <w:rFonts w:cs="Arial"/>
          <w:sz w:val="22"/>
          <w:szCs w:val="22"/>
        </w:rPr>
        <w:t>No se acoge el comentario.</w:t>
      </w:r>
    </w:p>
    <w:p w14:paraId="368644E1" w14:textId="5CBAC204" w:rsidR="006B0901" w:rsidRDefault="006B0901" w:rsidP="003F411E">
      <w:pPr>
        <w:rPr>
          <w:rFonts w:cs="Arial"/>
          <w:sz w:val="22"/>
          <w:szCs w:val="22"/>
        </w:rPr>
      </w:pPr>
    </w:p>
    <w:p w14:paraId="4224A1D3" w14:textId="324E54E5" w:rsidR="006B0901" w:rsidRDefault="006B0901" w:rsidP="003F411E">
      <w:pPr>
        <w:rPr>
          <w:rFonts w:cs="Arial"/>
          <w:sz w:val="22"/>
          <w:szCs w:val="22"/>
        </w:rPr>
      </w:pPr>
      <w:r>
        <w:rPr>
          <w:rFonts w:cs="Arial"/>
          <w:sz w:val="22"/>
          <w:szCs w:val="22"/>
        </w:rPr>
        <w:t xml:space="preserve">Los agentes que nominan y </w:t>
      </w:r>
      <w:proofErr w:type="spellStart"/>
      <w:r>
        <w:rPr>
          <w:rFonts w:cs="Arial"/>
          <w:sz w:val="22"/>
          <w:szCs w:val="22"/>
        </w:rPr>
        <w:t>renominan</w:t>
      </w:r>
      <w:proofErr w:type="spellEnd"/>
      <w:r>
        <w:rPr>
          <w:rFonts w:cs="Arial"/>
          <w:sz w:val="22"/>
          <w:szCs w:val="22"/>
        </w:rPr>
        <w:t xml:space="preserve"> son los compradores de los contratos de suministro y de transporte del Mercado Primario.</w:t>
      </w:r>
    </w:p>
    <w:p w14:paraId="4CF51449" w14:textId="77777777" w:rsidR="006B0901" w:rsidRPr="003F411E" w:rsidRDefault="006B0901" w:rsidP="003F411E">
      <w:pPr>
        <w:rPr>
          <w:rFonts w:cs="Arial"/>
          <w:sz w:val="22"/>
          <w:szCs w:val="22"/>
        </w:rPr>
      </w:pPr>
    </w:p>
    <w:p w14:paraId="686CAC93" w14:textId="77777777" w:rsidR="006465FC" w:rsidRDefault="006465FC" w:rsidP="003F411E">
      <w:pPr>
        <w:rPr>
          <w:rFonts w:cs="Arial"/>
          <w:sz w:val="22"/>
          <w:szCs w:val="22"/>
        </w:rPr>
      </w:pPr>
    </w:p>
    <w:p w14:paraId="33D53E66" w14:textId="77777777" w:rsidR="006465FC" w:rsidRDefault="003F411E" w:rsidP="00FB04F6">
      <w:pPr>
        <w:pStyle w:val="Ttulo4"/>
      </w:pPr>
      <w:r w:rsidRPr="003F411E">
        <w:t>BOLSA MERCANTIL DE COLOMBIA</w:t>
      </w:r>
      <w:r w:rsidRPr="003F411E">
        <w:tab/>
      </w:r>
    </w:p>
    <w:p w14:paraId="7A13E337" w14:textId="5E14C3F3" w:rsidR="006B0901" w:rsidRDefault="0049181B" w:rsidP="003F411E">
      <w:pPr>
        <w:rPr>
          <w:rFonts w:cs="Arial"/>
          <w:i/>
          <w:iCs/>
          <w:sz w:val="22"/>
          <w:szCs w:val="22"/>
        </w:rPr>
      </w:pPr>
      <w:r>
        <w:rPr>
          <w:rFonts w:cs="Arial"/>
          <w:i/>
          <w:iCs/>
          <w:sz w:val="22"/>
          <w:szCs w:val="22"/>
        </w:rPr>
        <w:t>“</w:t>
      </w:r>
      <w:r w:rsidR="003F411E" w:rsidRPr="006B0901">
        <w:rPr>
          <w:rFonts w:cs="Arial"/>
          <w:i/>
          <w:iCs/>
          <w:sz w:val="22"/>
          <w:szCs w:val="22"/>
        </w:rPr>
        <w:t>En línea con el comentario realizado con respecto al Anexo 1. Numeral 4.1 Literal a), Ordinal i) se sugiere incluir una disposición para el reporte de información operativa de suministro que entregan los Comercializadores minoristas que reciben a través de infraestructura diferente al Sistema Nacional de Transporte (Gasoductos Dedicados, Estaciones de Compresión en fuentes aisladas, gas natural comprimido y Gas Natural Licuado - GNL, entre otras).</w:t>
      </w:r>
      <w:r>
        <w:rPr>
          <w:rFonts w:cs="Arial"/>
          <w:i/>
          <w:iCs/>
          <w:sz w:val="22"/>
          <w:szCs w:val="22"/>
        </w:rPr>
        <w:t>”</w:t>
      </w:r>
    </w:p>
    <w:p w14:paraId="3B6DEC38" w14:textId="77777777" w:rsidR="00A4091D" w:rsidRDefault="00A4091D" w:rsidP="003F411E">
      <w:pPr>
        <w:rPr>
          <w:rFonts w:cs="Arial"/>
          <w:i/>
          <w:iCs/>
          <w:sz w:val="22"/>
          <w:szCs w:val="22"/>
        </w:rPr>
      </w:pPr>
    </w:p>
    <w:p w14:paraId="4A501763" w14:textId="77777777" w:rsidR="006B0901" w:rsidRPr="006B0901" w:rsidRDefault="006B0901" w:rsidP="003F411E">
      <w:pPr>
        <w:rPr>
          <w:rFonts w:cs="Arial"/>
          <w:b/>
          <w:bCs/>
          <w:sz w:val="22"/>
          <w:szCs w:val="22"/>
        </w:rPr>
      </w:pPr>
      <w:r w:rsidRPr="006B0901">
        <w:rPr>
          <w:rFonts w:cs="Arial"/>
          <w:b/>
          <w:bCs/>
          <w:sz w:val="22"/>
          <w:szCs w:val="22"/>
        </w:rPr>
        <w:t>Respuesta:</w:t>
      </w:r>
    </w:p>
    <w:p w14:paraId="3641ADC8" w14:textId="77777777" w:rsidR="006B0901" w:rsidRDefault="006B0901" w:rsidP="003F411E">
      <w:pPr>
        <w:rPr>
          <w:rFonts w:cs="Arial"/>
          <w:sz w:val="22"/>
          <w:szCs w:val="22"/>
        </w:rPr>
      </w:pPr>
    </w:p>
    <w:p w14:paraId="0053FE15" w14:textId="1CD9B5A7" w:rsidR="00A4091D" w:rsidRDefault="00A4091D" w:rsidP="003F411E">
      <w:pPr>
        <w:rPr>
          <w:rFonts w:cs="Arial"/>
          <w:sz w:val="22"/>
          <w:szCs w:val="22"/>
        </w:rPr>
      </w:pPr>
      <w:r>
        <w:rPr>
          <w:rFonts w:cs="Arial"/>
          <w:sz w:val="22"/>
          <w:szCs w:val="22"/>
        </w:rPr>
        <w:t>Se acoge el comentario.</w:t>
      </w:r>
    </w:p>
    <w:p w14:paraId="7F6B9B2B" w14:textId="77777777" w:rsidR="00A4091D" w:rsidRDefault="00A4091D" w:rsidP="003F411E">
      <w:pPr>
        <w:rPr>
          <w:rFonts w:cs="Arial"/>
          <w:sz w:val="22"/>
          <w:szCs w:val="22"/>
        </w:rPr>
      </w:pPr>
    </w:p>
    <w:p w14:paraId="757295E2" w14:textId="3F251D18" w:rsidR="00A4091D" w:rsidRDefault="00A4091D" w:rsidP="003F411E">
      <w:pPr>
        <w:rPr>
          <w:rFonts w:cs="Arial"/>
          <w:sz w:val="22"/>
          <w:szCs w:val="22"/>
        </w:rPr>
      </w:pPr>
      <w:r>
        <w:rPr>
          <w:rFonts w:cs="Arial"/>
          <w:sz w:val="22"/>
          <w:szCs w:val="22"/>
        </w:rPr>
        <w:t>En la nueva propuesta se incluye precisión al respecto</w:t>
      </w:r>
    </w:p>
    <w:p w14:paraId="797636B9" w14:textId="7D9E2014" w:rsidR="003F411E" w:rsidRPr="003F411E" w:rsidRDefault="003F411E" w:rsidP="003F411E">
      <w:pPr>
        <w:rPr>
          <w:rFonts w:cs="Arial"/>
          <w:sz w:val="22"/>
          <w:szCs w:val="22"/>
        </w:rPr>
      </w:pPr>
      <w:r w:rsidRPr="003F411E">
        <w:rPr>
          <w:rFonts w:cs="Arial"/>
          <w:sz w:val="22"/>
          <w:szCs w:val="22"/>
        </w:rPr>
        <w:t xml:space="preserve"> </w:t>
      </w:r>
    </w:p>
    <w:p w14:paraId="1EF2FAA1" w14:textId="77777777" w:rsidR="006465FC" w:rsidRDefault="006465FC" w:rsidP="003F411E">
      <w:pPr>
        <w:rPr>
          <w:rFonts w:cs="Arial"/>
          <w:sz w:val="22"/>
          <w:szCs w:val="22"/>
        </w:rPr>
      </w:pPr>
    </w:p>
    <w:p w14:paraId="24DADF4B" w14:textId="77777777" w:rsidR="006465FC" w:rsidRDefault="003F411E" w:rsidP="00FB04F6">
      <w:pPr>
        <w:pStyle w:val="Ttulo4"/>
      </w:pPr>
      <w:r w:rsidRPr="003F411E">
        <w:t>BOLSA MERCANTIL DE COLOMBIA</w:t>
      </w:r>
      <w:r w:rsidRPr="003F411E">
        <w:tab/>
      </w:r>
    </w:p>
    <w:p w14:paraId="471E4BDF" w14:textId="6204D253" w:rsidR="003F411E" w:rsidRDefault="0049181B" w:rsidP="003F411E">
      <w:pPr>
        <w:rPr>
          <w:rFonts w:cs="Arial"/>
          <w:i/>
          <w:iCs/>
          <w:sz w:val="22"/>
          <w:szCs w:val="22"/>
        </w:rPr>
      </w:pPr>
      <w:r>
        <w:rPr>
          <w:rFonts w:cs="Arial"/>
          <w:i/>
          <w:iCs/>
          <w:sz w:val="22"/>
          <w:szCs w:val="22"/>
        </w:rPr>
        <w:t>“</w:t>
      </w:r>
      <w:r w:rsidR="003F411E" w:rsidRPr="00A4091D">
        <w:rPr>
          <w:rFonts w:cs="Arial"/>
          <w:i/>
          <w:iCs/>
          <w:sz w:val="22"/>
          <w:szCs w:val="22"/>
        </w:rPr>
        <w:t xml:space="preserve">la propuesta CREG podría estar excluyendo la información operativa de inyecciones asociadas a autoconsumos de los productores, la cual es relevante en términos operativos y reflejo de los sistemas de medición. </w:t>
      </w:r>
    </w:p>
    <w:p w14:paraId="3490170E" w14:textId="77777777" w:rsidR="00A4091D" w:rsidRDefault="00A4091D" w:rsidP="003F411E">
      <w:pPr>
        <w:rPr>
          <w:rFonts w:cs="Arial"/>
          <w:i/>
          <w:iCs/>
          <w:sz w:val="22"/>
          <w:szCs w:val="22"/>
        </w:rPr>
      </w:pPr>
    </w:p>
    <w:p w14:paraId="74A1E60C" w14:textId="0C8F2470" w:rsidR="00A4091D" w:rsidRPr="00A4091D" w:rsidRDefault="00A4091D" w:rsidP="003F411E">
      <w:pPr>
        <w:rPr>
          <w:rFonts w:cs="Arial"/>
          <w:i/>
          <w:iCs/>
          <w:sz w:val="22"/>
          <w:szCs w:val="22"/>
        </w:rPr>
      </w:pPr>
      <w:r w:rsidRPr="00A4091D">
        <w:rPr>
          <w:rFonts w:cs="Arial"/>
          <w:i/>
          <w:iCs/>
          <w:sz w:val="22"/>
          <w:szCs w:val="22"/>
        </w:rPr>
        <w:t xml:space="preserve">Sugerimos eliminar la referencia al texto </w:t>
      </w:r>
      <w:r w:rsidR="0049181B">
        <w:rPr>
          <w:rFonts w:cs="Arial"/>
          <w:i/>
          <w:iCs/>
          <w:sz w:val="22"/>
          <w:szCs w:val="22"/>
        </w:rPr>
        <w:t>‘</w:t>
      </w:r>
      <w:r w:rsidRPr="00A4091D">
        <w:rPr>
          <w:rFonts w:cs="Arial"/>
          <w:i/>
          <w:iCs/>
          <w:sz w:val="22"/>
          <w:szCs w:val="22"/>
        </w:rPr>
        <w:t>que intervienen en los contratos de suministro y transporte</w:t>
      </w:r>
      <w:r w:rsidR="0049181B">
        <w:rPr>
          <w:rFonts w:cs="Arial"/>
          <w:i/>
          <w:iCs/>
          <w:sz w:val="22"/>
          <w:szCs w:val="22"/>
        </w:rPr>
        <w:t>’</w:t>
      </w:r>
      <w:r w:rsidRPr="00A4091D">
        <w:rPr>
          <w:rFonts w:cs="Arial"/>
          <w:i/>
          <w:iCs/>
          <w:sz w:val="22"/>
          <w:szCs w:val="22"/>
        </w:rPr>
        <w:t>.</w:t>
      </w:r>
      <w:r w:rsidR="0049181B">
        <w:rPr>
          <w:rFonts w:cs="Arial"/>
          <w:i/>
          <w:iCs/>
          <w:sz w:val="22"/>
          <w:szCs w:val="22"/>
        </w:rPr>
        <w:t>”</w:t>
      </w:r>
    </w:p>
    <w:p w14:paraId="7F6EE4CA" w14:textId="77777777" w:rsidR="00A4091D" w:rsidRDefault="00A4091D" w:rsidP="003F411E">
      <w:pPr>
        <w:rPr>
          <w:rFonts w:cs="Arial"/>
          <w:sz w:val="22"/>
          <w:szCs w:val="22"/>
        </w:rPr>
      </w:pPr>
    </w:p>
    <w:p w14:paraId="6D7BACE0" w14:textId="5A7A5738" w:rsidR="00A4091D" w:rsidRPr="00A4091D" w:rsidRDefault="00A4091D" w:rsidP="003F411E">
      <w:pPr>
        <w:rPr>
          <w:rFonts w:cs="Arial"/>
          <w:b/>
          <w:bCs/>
          <w:sz w:val="22"/>
          <w:szCs w:val="22"/>
        </w:rPr>
      </w:pPr>
      <w:r w:rsidRPr="00A4091D">
        <w:rPr>
          <w:rFonts w:cs="Arial"/>
          <w:b/>
          <w:bCs/>
          <w:sz w:val="22"/>
          <w:szCs w:val="22"/>
        </w:rPr>
        <w:t>Respuesta:</w:t>
      </w:r>
    </w:p>
    <w:p w14:paraId="5F28E7A8" w14:textId="77777777" w:rsidR="00A4091D" w:rsidRDefault="00A4091D" w:rsidP="003F411E">
      <w:pPr>
        <w:rPr>
          <w:rFonts w:cs="Arial"/>
          <w:sz w:val="22"/>
          <w:szCs w:val="22"/>
        </w:rPr>
      </w:pPr>
    </w:p>
    <w:p w14:paraId="630BA155" w14:textId="2B89427E" w:rsidR="00A4091D" w:rsidRDefault="00A4091D" w:rsidP="003F411E">
      <w:pPr>
        <w:rPr>
          <w:rFonts w:cs="Arial"/>
          <w:sz w:val="22"/>
          <w:szCs w:val="22"/>
        </w:rPr>
      </w:pPr>
      <w:r>
        <w:rPr>
          <w:rFonts w:cs="Arial"/>
          <w:sz w:val="22"/>
          <w:szCs w:val="22"/>
        </w:rPr>
        <w:t>Se acoge el comentario.</w:t>
      </w:r>
    </w:p>
    <w:p w14:paraId="6A264529" w14:textId="77777777" w:rsidR="00A4091D" w:rsidRDefault="00A4091D" w:rsidP="003F411E">
      <w:pPr>
        <w:rPr>
          <w:rFonts w:cs="Arial"/>
          <w:sz w:val="22"/>
          <w:szCs w:val="22"/>
        </w:rPr>
      </w:pPr>
    </w:p>
    <w:p w14:paraId="57392B89" w14:textId="0DB50FD1" w:rsidR="00A4091D" w:rsidRDefault="00A4091D" w:rsidP="003F411E">
      <w:pPr>
        <w:rPr>
          <w:rFonts w:cs="Arial"/>
          <w:sz w:val="22"/>
          <w:szCs w:val="22"/>
        </w:rPr>
      </w:pPr>
      <w:r>
        <w:rPr>
          <w:rFonts w:cs="Arial"/>
          <w:sz w:val="22"/>
          <w:szCs w:val="22"/>
        </w:rPr>
        <w:t>En la nueva propuesta se retira el texto comentado.</w:t>
      </w:r>
    </w:p>
    <w:p w14:paraId="55AE6B25" w14:textId="77777777" w:rsidR="00A4091D" w:rsidRPr="003F411E" w:rsidRDefault="00A4091D" w:rsidP="003F411E">
      <w:pPr>
        <w:rPr>
          <w:rFonts w:cs="Arial"/>
          <w:sz w:val="22"/>
          <w:szCs w:val="22"/>
        </w:rPr>
      </w:pPr>
    </w:p>
    <w:p w14:paraId="76DB827C" w14:textId="77777777" w:rsidR="006465FC" w:rsidRDefault="006465FC" w:rsidP="003F411E">
      <w:pPr>
        <w:rPr>
          <w:rFonts w:cs="Arial"/>
          <w:sz w:val="22"/>
          <w:szCs w:val="22"/>
        </w:rPr>
      </w:pPr>
    </w:p>
    <w:p w14:paraId="03B8EABE" w14:textId="77777777" w:rsidR="006465FC" w:rsidRDefault="003F411E" w:rsidP="00FB04F6">
      <w:pPr>
        <w:pStyle w:val="Ttulo4"/>
      </w:pPr>
      <w:r w:rsidRPr="003F411E">
        <w:t>BOLSA MERCANTIL DE COLOMBIA</w:t>
      </w:r>
      <w:r w:rsidRPr="003F411E">
        <w:tab/>
      </w:r>
    </w:p>
    <w:p w14:paraId="70517CCE" w14:textId="0788E8A2" w:rsidR="003F411E" w:rsidRDefault="00BE6507" w:rsidP="003F411E">
      <w:pPr>
        <w:rPr>
          <w:rFonts w:cs="Arial"/>
          <w:i/>
          <w:iCs/>
          <w:sz w:val="22"/>
          <w:szCs w:val="22"/>
        </w:rPr>
      </w:pPr>
      <w:r>
        <w:rPr>
          <w:rFonts w:cs="Arial"/>
          <w:i/>
          <w:iCs/>
          <w:sz w:val="22"/>
          <w:szCs w:val="22"/>
        </w:rPr>
        <w:t>“</w:t>
      </w:r>
      <w:r w:rsidR="003F411E" w:rsidRPr="00A4091D">
        <w:rPr>
          <w:rFonts w:cs="Arial"/>
          <w:i/>
          <w:iCs/>
          <w:sz w:val="22"/>
          <w:szCs w:val="22"/>
        </w:rPr>
        <w:t>Es pertinente no hacer ajustes a lo establecido en la resolución CREG 186 de 2020 dado que éste es un punto de transferencia de custodia entre productores-comercializadores y los comercializadores de gas importado, y transportadores.</w:t>
      </w:r>
    </w:p>
    <w:p w14:paraId="67FA6AE9" w14:textId="77777777" w:rsidR="00A4091D" w:rsidRDefault="00A4091D" w:rsidP="003F411E">
      <w:pPr>
        <w:rPr>
          <w:rFonts w:cs="Arial"/>
          <w:i/>
          <w:iCs/>
          <w:sz w:val="22"/>
          <w:szCs w:val="22"/>
        </w:rPr>
      </w:pPr>
    </w:p>
    <w:p w14:paraId="2CC9F0B6" w14:textId="1EB12CFF" w:rsidR="00A4091D" w:rsidRPr="00A4091D" w:rsidRDefault="00A4091D" w:rsidP="003F411E">
      <w:pPr>
        <w:rPr>
          <w:rFonts w:cs="Arial"/>
          <w:i/>
          <w:iCs/>
          <w:sz w:val="22"/>
          <w:szCs w:val="22"/>
        </w:rPr>
      </w:pPr>
      <w:r w:rsidRPr="00A4091D">
        <w:rPr>
          <w:rFonts w:cs="Arial"/>
          <w:i/>
          <w:iCs/>
          <w:sz w:val="22"/>
          <w:szCs w:val="22"/>
        </w:rPr>
        <w:t>Se sugiere que se mantenga sin modificación lo ya establecido en la Resolución CREG 186 de 2020.</w:t>
      </w:r>
      <w:r w:rsidR="00BE6507">
        <w:rPr>
          <w:rFonts w:cs="Arial"/>
          <w:i/>
          <w:iCs/>
          <w:sz w:val="22"/>
          <w:szCs w:val="22"/>
        </w:rPr>
        <w:t>”</w:t>
      </w:r>
    </w:p>
    <w:p w14:paraId="51461C09" w14:textId="77777777" w:rsidR="00A4091D" w:rsidRDefault="00A4091D" w:rsidP="003F411E">
      <w:pPr>
        <w:rPr>
          <w:rFonts w:cs="Arial"/>
          <w:sz w:val="22"/>
          <w:szCs w:val="22"/>
        </w:rPr>
      </w:pPr>
    </w:p>
    <w:p w14:paraId="03D68C14" w14:textId="10549786" w:rsidR="00A4091D" w:rsidRPr="00A4091D" w:rsidRDefault="00A4091D" w:rsidP="003F411E">
      <w:pPr>
        <w:rPr>
          <w:rFonts w:cs="Arial"/>
          <w:b/>
          <w:bCs/>
          <w:sz w:val="22"/>
          <w:szCs w:val="22"/>
        </w:rPr>
      </w:pPr>
      <w:r w:rsidRPr="00A4091D">
        <w:rPr>
          <w:rFonts w:cs="Arial"/>
          <w:b/>
          <w:bCs/>
          <w:sz w:val="22"/>
          <w:szCs w:val="22"/>
        </w:rPr>
        <w:t>Respuesta:</w:t>
      </w:r>
    </w:p>
    <w:p w14:paraId="41187825" w14:textId="77777777" w:rsidR="00A4091D" w:rsidRDefault="00A4091D" w:rsidP="003F411E">
      <w:pPr>
        <w:rPr>
          <w:rFonts w:cs="Arial"/>
          <w:sz w:val="22"/>
          <w:szCs w:val="22"/>
        </w:rPr>
      </w:pPr>
    </w:p>
    <w:p w14:paraId="7A81244A" w14:textId="36D33300" w:rsidR="00A4091D" w:rsidRDefault="00EB53E7" w:rsidP="003F411E">
      <w:pPr>
        <w:rPr>
          <w:rFonts w:cs="Arial"/>
          <w:sz w:val="22"/>
          <w:szCs w:val="22"/>
        </w:rPr>
      </w:pPr>
      <w:r>
        <w:rPr>
          <w:rFonts w:cs="Arial"/>
          <w:sz w:val="22"/>
          <w:szCs w:val="22"/>
        </w:rPr>
        <w:t>Se acoge el comentario parcialmente.</w:t>
      </w:r>
    </w:p>
    <w:p w14:paraId="323B16F0" w14:textId="77777777" w:rsidR="00EB53E7" w:rsidRDefault="00EB53E7" w:rsidP="003F411E">
      <w:pPr>
        <w:rPr>
          <w:rFonts w:cs="Arial"/>
          <w:sz w:val="22"/>
          <w:szCs w:val="22"/>
        </w:rPr>
      </w:pPr>
    </w:p>
    <w:p w14:paraId="349A4F68" w14:textId="67EACD7F" w:rsidR="00EB53E7" w:rsidRDefault="00EB53E7" w:rsidP="003F411E">
      <w:pPr>
        <w:rPr>
          <w:rFonts w:cs="Arial"/>
          <w:sz w:val="22"/>
          <w:szCs w:val="22"/>
        </w:rPr>
      </w:pPr>
      <w:r>
        <w:rPr>
          <w:rFonts w:cs="Arial"/>
          <w:sz w:val="22"/>
          <w:szCs w:val="22"/>
        </w:rPr>
        <w:t>En la nueva propuesta se retira la referencia de los remitentes en el texto.</w:t>
      </w:r>
    </w:p>
    <w:p w14:paraId="60EBA0D1" w14:textId="77777777" w:rsidR="00A4091D" w:rsidRPr="003F411E" w:rsidRDefault="00A4091D" w:rsidP="003F411E">
      <w:pPr>
        <w:rPr>
          <w:rFonts w:cs="Arial"/>
          <w:sz w:val="22"/>
          <w:szCs w:val="22"/>
        </w:rPr>
      </w:pPr>
    </w:p>
    <w:p w14:paraId="6DCA312D" w14:textId="77777777" w:rsidR="006465FC" w:rsidRDefault="006465FC" w:rsidP="003F411E">
      <w:pPr>
        <w:rPr>
          <w:rFonts w:cs="Arial"/>
          <w:sz w:val="22"/>
          <w:szCs w:val="22"/>
        </w:rPr>
      </w:pPr>
    </w:p>
    <w:p w14:paraId="67897C50" w14:textId="77777777" w:rsidR="006465FC" w:rsidRDefault="003F411E" w:rsidP="00FB04F6">
      <w:pPr>
        <w:pStyle w:val="Ttulo4"/>
      </w:pPr>
      <w:r w:rsidRPr="003F411E">
        <w:t>BOLSA MERCANTIL DE COLOMBIA</w:t>
      </w:r>
      <w:r w:rsidRPr="003F411E">
        <w:tab/>
      </w:r>
    </w:p>
    <w:p w14:paraId="012DE007" w14:textId="533DBE78" w:rsidR="003F411E" w:rsidRPr="00EB53E7" w:rsidRDefault="00BE6507" w:rsidP="003F411E">
      <w:pPr>
        <w:rPr>
          <w:rFonts w:cs="Arial"/>
          <w:i/>
          <w:iCs/>
          <w:sz w:val="22"/>
          <w:szCs w:val="22"/>
        </w:rPr>
      </w:pPr>
      <w:r>
        <w:rPr>
          <w:rFonts w:cs="Arial"/>
          <w:i/>
          <w:iCs/>
          <w:sz w:val="22"/>
          <w:szCs w:val="22"/>
        </w:rPr>
        <w:t>“</w:t>
      </w:r>
      <w:r w:rsidR="003F411E" w:rsidRPr="00EB53E7">
        <w:rPr>
          <w:rFonts w:cs="Arial"/>
          <w:i/>
          <w:iCs/>
          <w:sz w:val="22"/>
          <w:szCs w:val="22"/>
        </w:rPr>
        <w:t>Es pertinente no hacer ajustes a lo establecido en la resolución CREG 186 de 2020 dado que éste es un punto de transferencia de custodia entre transportadores, y comercializadores y los usuarios no regulados.</w:t>
      </w:r>
    </w:p>
    <w:p w14:paraId="22249744" w14:textId="77777777" w:rsidR="00EB53E7" w:rsidRDefault="00EB53E7" w:rsidP="003F411E">
      <w:pPr>
        <w:rPr>
          <w:rFonts w:cs="Arial"/>
          <w:sz w:val="22"/>
          <w:szCs w:val="22"/>
        </w:rPr>
      </w:pPr>
    </w:p>
    <w:p w14:paraId="3F613330" w14:textId="7C90E00E" w:rsidR="00EB53E7" w:rsidRPr="00A4091D" w:rsidRDefault="00EB53E7" w:rsidP="00EB53E7">
      <w:pPr>
        <w:rPr>
          <w:rFonts w:cs="Arial"/>
          <w:i/>
          <w:iCs/>
          <w:sz w:val="22"/>
          <w:szCs w:val="22"/>
        </w:rPr>
      </w:pPr>
      <w:r w:rsidRPr="00A4091D">
        <w:rPr>
          <w:rFonts w:cs="Arial"/>
          <w:i/>
          <w:iCs/>
          <w:sz w:val="22"/>
          <w:szCs w:val="22"/>
        </w:rPr>
        <w:t>Se sugiere que se mantenga sin modificación lo ya establecido en la Resolución CREG 186 de 2020.</w:t>
      </w:r>
      <w:r w:rsidR="00BE6507">
        <w:rPr>
          <w:rFonts w:cs="Arial"/>
          <w:i/>
          <w:iCs/>
          <w:sz w:val="22"/>
          <w:szCs w:val="22"/>
        </w:rPr>
        <w:t>”</w:t>
      </w:r>
    </w:p>
    <w:p w14:paraId="19DD4113" w14:textId="77777777" w:rsidR="00EB53E7" w:rsidRDefault="00EB53E7" w:rsidP="003F411E">
      <w:pPr>
        <w:rPr>
          <w:rFonts w:cs="Arial"/>
          <w:sz w:val="22"/>
          <w:szCs w:val="22"/>
        </w:rPr>
      </w:pPr>
    </w:p>
    <w:p w14:paraId="66ED6C82" w14:textId="5C8481F1" w:rsidR="00EB53E7" w:rsidRPr="00EB53E7" w:rsidRDefault="00EB53E7" w:rsidP="003F411E">
      <w:pPr>
        <w:rPr>
          <w:rFonts w:cs="Arial"/>
          <w:b/>
          <w:bCs/>
          <w:sz w:val="22"/>
          <w:szCs w:val="22"/>
        </w:rPr>
      </w:pPr>
      <w:r w:rsidRPr="00EB53E7">
        <w:rPr>
          <w:rFonts w:cs="Arial"/>
          <w:b/>
          <w:bCs/>
          <w:sz w:val="22"/>
          <w:szCs w:val="22"/>
        </w:rPr>
        <w:t>Respuesta:</w:t>
      </w:r>
    </w:p>
    <w:p w14:paraId="7B705CF9" w14:textId="77777777" w:rsidR="00EB53E7" w:rsidRDefault="00EB53E7" w:rsidP="003F411E">
      <w:pPr>
        <w:rPr>
          <w:rFonts w:cs="Arial"/>
          <w:sz w:val="22"/>
          <w:szCs w:val="22"/>
        </w:rPr>
      </w:pPr>
    </w:p>
    <w:p w14:paraId="3EEDFF66" w14:textId="77777777" w:rsidR="00EB53E7" w:rsidRDefault="00EB53E7" w:rsidP="00EB53E7">
      <w:pPr>
        <w:rPr>
          <w:rFonts w:cs="Arial"/>
          <w:sz w:val="22"/>
          <w:szCs w:val="22"/>
        </w:rPr>
      </w:pPr>
      <w:r>
        <w:rPr>
          <w:rFonts w:cs="Arial"/>
          <w:sz w:val="22"/>
          <w:szCs w:val="22"/>
        </w:rPr>
        <w:t>Se acoge el comentario parcialmente.</w:t>
      </w:r>
    </w:p>
    <w:p w14:paraId="4B6BD27B" w14:textId="77777777" w:rsidR="00EB53E7" w:rsidRDefault="00EB53E7" w:rsidP="00EB53E7">
      <w:pPr>
        <w:rPr>
          <w:rFonts w:cs="Arial"/>
          <w:sz w:val="22"/>
          <w:szCs w:val="22"/>
        </w:rPr>
      </w:pPr>
    </w:p>
    <w:p w14:paraId="02769E24" w14:textId="59C4CDBF" w:rsidR="00EB53E7" w:rsidRDefault="00EB53E7" w:rsidP="00EB53E7">
      <w:pPr>
        <w:rPr>
          <w:rFonts w:cs="Arial"/>
          <w:sz w:val="22"/>
          <w:szCs w:val="22"/>
        </w:rPr>
      </w:pPr>
      <w:r>
        <w:rPr>
          <w:rFonts w:cs="Arial"/>
          <w:sz w:val="22"/>
          <w:szCs w:val="22"/>
        </w:rPr>
        <w:t>En la nueva propuesta se realizan los ajustes considerados válidos.</w:t>
      </w:r>
    </w:p>
    <w:p w14:paraId="1B9D7C4F" w14:textId="77777777" w:rsidR="00EB53E7" w:rsidRPr="003F411E" w:rsidRDefault="00EB53E7" w:rsidP="00EB53E7">
      <w:pPr>
        <w:rPr>
          <w:rFonts w:cs="Arial"/>
          <w:sz w:val="22"/>
          <w:szCs w:val="22"/>
        </w:rPr>
      </w:pPr>
    </w:p>
    <w:p w14:paraId="7720F4C2" w14:textId="77777777" w:rsidR="00EB53E7" w:rsidRPr="003F411E" w:rsidRDefault="00EB53E7" w:rsidP="003F411E">
      <w:pPr>
        <w:rPr>
          <w:rFonts w:cs="Arial"/>
          <w:sz w:val="22"/>
          <w:szCs w:val="22"/>
        </w:rPr>
      </w:pPr>
    </w:p>
    <w:p w14:paraId="79F98674" w14:textId="77777777" w:rsidR="006465FC" w:rsidRDefault="003F411E" w:rsidP="00FB04F6">
      <w:pPr>
        <w:pStyle w:val="Ttulo4"/>
      </w:pPr>
      <w:r w:rsidRPr="003F411E">
        <w:t>BOLSA MERCANTIL DE COLOMBIA</w:t>
      </w:r>
      <w:r w:rsidRPr="003F411E">
        <w:tab/>
      </w:r>
    </w:p>
    <w:p w14:paraId="57F82350" w14:textId="295B976C" w:rsidR="003F411E" w:rsidRDefault="00BE6507" w:rsidP="003F411E">
      <w:pPr>
        <w:rPr>
          <w:rFonts w:cs="Arial"/>
          <w:i/>
          <w:iCs/>
          <w:sz w:val="22"/>
          <w:szCs w:val="22"/>
        </w:rPr>
      </w:pPr>
      <w:r>
        <w:rPr>
          <w:rFonts w:cs="Arial"/>
          <w:i/>
          <w:iCs/>
          <w:sz w:val="22"/>
          <w:szCs w:val="22"/>
        </w:rPr>
        <w:t>“</w:t>
      </w:r>
      <w:r w:rsidR="003F411E" w:rsidRPr="00EB53E7">
        <w:rPr>
          <w:rFonts w:cs="Arial"/>
          <w:i/>
          <w:iCs/>
          <w:sz w:val="22"/>
          <w:szCs w:val="22"/>
        </w:rPr>
        <w:t>La actualización de la información debería ser de forma mensual.</w:t>
      </w:r>
    </w:p>
    <w:p w14:paraId="2D8C9B02" w14:textId="77777777" w:rsidR="00EB53E7" w:rsidRDefault="00EB53E7" w:rsidP="003F411E">
      <w:pPr>
        <w:rPr>
          <w:rFonts w:cs="Arial"/>
          <w:i/>
          <w:iCs/>
          <w:sz w:val="22"/>
          <w:szCs w:val="22"/>
        </w:rPr>
      </w:pPr>
    </w:p>
    <w:p w14:paraId="18EC32A7" w14:textId="3F16FCFF" w:rsidR="00EB53E7" w:rsidRPr="00EB53E7" w:rsidRDefault="00EB53E7" w:rsidP="003F411E">
      <w:pPr>
        <w:rPr>
          <w:rFonts w:cs="Arial"/>
          <w:i/>
          <w:iCs/>
          <w:sz w:val="22"/>
          <w:szCs w:val="22"/>
        </w:rPr>
      </w:pPr>
      <w:r w:rsidRPr="00EB53E7">
        <w:rPr>
          <w:rFonts w:cs="Arial"/>
          <w:i/>
          <w:iCs/>
          <w:sz w:val="22"/>
          <w:szCs w:val="22"/>
        </w:rPr>
        <w:t>Se sugiere incluir una disposición para que se realice la actualización de la información de forma mensual, una vez se concilien los reportes de medición de los remitentes con el transportador.</w:t>
      </w:r>
      <w:r w:rsidR="00BE6507">
        <w:rPr>
          <w:rFonts w:cs="Arial"/>
          <w:i/>
          <w:iCs/>
          <w:sz w:val="22"/>
          <w:szCs w:val="22"/>
        </w:rPr>
        <w:t>”</w:t>
      </w:r>
    </w:p>
    <w:p w14:paraId="2FB6312B" w14:textId="77777777" w:rsidR="00EB53E7" w:rsidRDefault="00EB53E7" w:rsidP="003F411E">
      <w:pPr>
        <w:rPr>
          <w:rFonts w:cs="Arial"/>
          <w:sz w:val="22"/>
          <w:szCs w:val="22"/>
        </w:rPr>
      </w:pPr>
    </w:p>
    <w:p w14:paraId="529C59A5" w14:textId="77C5B393" w:rsidR="00EB53E7" w:rsidRPr="00EB53E7" w:rsidRDefault="00EB53E7" w:rsidP="003F411E">
      <w:pPr>
        <w:rPr>
          <w:rFonts w:cs="Arial"/>
          <w:b/>
          <w:bCs/>
          <w:sz w:val="22"/>
          <w:szCs w:val="22"/>
        </w:rPr>
      </w:pPr>
      <w:r w:rsidRPr="00EB53E7">
        <w:rPr>
          <w:rFonts w:cs="Arial"/>
          <w:b/>
          <w:bCs/>
          <w:sz w:val="22"/>
          <w:szCs w:val="22"/>
        </w:rPr>
        <w:t>Respuesta:</w:t>
      </w:r>
    </w:p>
    <w:p w14:paraId="35708BAE" w14:textId="77777777" w:rsidR="00EB53E7" w:rsidRDefault="00EB53E7" w:rsidP="003F411E">
      <w:pPr>
        <w:rPr>
          <w:rFonts w:cs="Arial"/>
          <w:sz w:val="22"/>
          <w:szCs w:val="22"/>
        </w:rPr>
      </w:pPr>
    </w:p>
    <w:p w14:paraId="00A1FD4B" w14:textId="704DC888" w:rsidR="00EB53E7" w:rsidRDefault="00EB53E7" w:rsidP="003F411E">
      <w:pPr>
        <w:rPr>
          <w:rFonts w:cs="Arial"/>
          <w:sz w:val="22"/>
          <w:szCs w:val="22"/>
        </w:rPr>
      </w:pPr>
      <w:r>
        <w:rPr>
          <w:rFonts w:cs="Arial"/>
          <w:sz w:val="22"/>
          <w:szCs w:val="22"/>
        </w:rPr>
        <w:t>Se acoge el comentario.</w:t>
      </w:r>
    </w:p>
    <w:p w14:paraId="73BC8BC6" w14:textId="77777777" w:rsidR="00DF2531" w:rsidRDefault="00DF2531" w:rsidP="003F411E">
      <w:pPr>
        <w:rPr>
          <w:rFonts w:cs="Arial"/>
          <w:sz w:val="22"/>
          <w:szCs w:val="22"/>
        </w:rPr>
      </w:pPr>
    </w:p>
    <w:p w14:paraId="14CB5439" w14:textId="5E947018" w:rsidR="00DF2531" w:rsidRDefault="00DF2531" w:rsidP="003F411E">
      <w:pPr>
        <w:rPr>
          <w:rFonts w:cs="Arial"/>
          <w:sz w:val="22"/>
          <w:szCs w:val="22"/>
        </w:rPr>
      </w:pPr>
      <w:r>
        <w:rPr>
          <w:rFonts w:cs="Arial"/>
          <w:sz w:val="22"/>
          <w:szCs w:val="22"/>
        </w:rPr>
        <w:t>En la nueva propuesta se hacen las menciones correspondientes.</w:t>
      </w:r>
    </w:p>
    <w:p w14:paraId="50E7B036" w14:textId="1F68DC8D" w:rsidR="00EB53E7" w:rsidRDefault="00EB53E7" w:rsidP="003F411E">
      <w:pPr>
        <w:rPr>
          <w:rFonts w:cs="Arial"/>
          <w:sz w:val="22"/>
          <w:szCs w:val="22"/>
        </w:rPr>
      </w:pPr>
    </w:p>
    <w:p w14:paraId="41F63A04" w14:textId="77777777" w:rsidR="006465FC" w:rsidRDefault="006465FC" w:rsidP="003F411E">
      <w:pPr>
        <w:rPr>
          <w:rFonts w:cs="Arial"/>
          <w:sz w:val="22"/>
          <w:szCs w:val="22"/>
        </w:rPr>
      </w:pPr>
    </w:p>
    <w:p w14:paraId="48465381" w14:textId="77777777" w:rsidR="006465FC" w:rsidRDefault="003F411E" w:rsidP="00FB04F6">
      <w:pPr>
        <w:pStyle w:val="Ttulo4"/>
      </w:pPr>
      <w:r w:rsidRPr="003F411E">
        <w:t>BOLSA MERCANTIL DE COLOMBIA</w:t>
      </w:r>
      <w:r w:rsidRPr="003F411E">
        <w:tab/>
      </w:r>
    </w:p>
    <w:p w14:paraId="656FABCC" w14:textId="075314FE" w:rsidR="003F411E" w:rsidRDefault="00BE6507" w:rsidP="003F411E">
      <w:pPr>
        <w:rPr>
          <w:rFonts w:cs="Arial"/>
          <w:i/>
          <w:iCs/>
          <w:sz w:val="22"/>
          <w:szCs w:val="22"/>
        </w:rPr>
      </w:pPr>
      <w:r>
        <w:rPr>
          <w:rFonts w:cs="Arial"/>
          <w:i/>
          <w:iCs/>
          <w:sz w:val="22"/>
          <w:szCs w:val="22"/>
        </w:rPr>
        <w:t>“</w:t>
      </w:r>
      <w:r w:rsidR="003F411E" w:rsidRPr="00DF2531">
        <w:rPr>
          <w:rFonts w:cs="Arial"/>
          <w:i/>
          <w:iCs/>
          <w:sz w:val="22"/>
          <w:szCs w:val="22"/>
        </w:rPr>
        <w:t>Debe haber un contraste de la información reportada por los productores-comercializadores y los comercializadores de gas importado con respecto a las cantidades recibidas por estos sistemas de transporte diferentes al SNT.</w:t>
      </w:r>
    </w:p>
    <w:p w14:paraId="74E3EBA9" w14:textId="77777777" w:rsidR="00DF2531" w:rsidRDefault="00DF2531" w:rsidP="003F411E">
      <w:pPr>
        <w:rPr>
          <w:rFonts w:cs="Arial"/>
          <w:i/>
          <w:iCs/>
          <w:sz w:val="22"/>
          <w:szCs w:val="22"/>
        </w:rPr>
      </w:pPr>
    </w:p>
    <w:p w14:paraId="099AC056" w14:textId="4AC5DA82" w:rsidR="00DF2531" w:rsidRPr="00DF2531" w:rsidRDefault="00DF2531" w:rsidP="003F411E">
      <w:pPr>
        <w:rPr>
          <w:rFonts w:cs="Arial"/>
          <w:i/>
          <w:iCs/>
          <w:sz w:val="22"/>
          <w:szCs w:val="22"/>
        </w:rPr>
      </w:pPr>
      <w:r w:rsidRPr="00DF2531">
        <w:rPr>
          <w:rFonts w:cs="Arial"/>
          <w:i/>
          <w:iCs/>
          <w:sz w:val="22"/>
          <w:szCs w:val="22"/>
        </w:rPr>
        <w:t>En línea con la sugerencia de incluir el reporte de la demanda de los comercializadores minoristas o usuarios no regulados, que es tomada mediante gasoductos dedicados, GNC, redes que no hacen parte de SNT, y otros medios de transporte, sugerimos incluir en el aparte de verificación, el contraste de la información reportada por los productores-comercializadores y los comercializadores de gas importado con respecto a las cantidades recibidas por estos sistemas de transporte diferentes al SNT.</w:t>
      </w:r>
      <w:r w:rsidR="00BE6507">
        <w:rPr>
          <w:rFonts w:cs="Arial"/>
          <w:i/>
          <w:iCs/>
          <w:sz w:val="22"/>
          <w:szCs w:val="22"/>
        </w:rPr>
        <w:t>”</w:t>
      </w:r>
    </w:p>
    <w:p w14:paraId="5745CCEE" w14:textId="77777777" w:rsidR="00DF2531" w:rsidRDefault="00DF2531" w:rsidP="003F411E">
      <w:pPr>
        <w:rPr>
          <w:rFonts w:cs="Arial"/>
          <w:sz w:val="22"/>
          <w:szCs w:val="22"/>
        </w:rPr>
      </w:pPr>
    </w:p>
    <w:p w14:paraId="7270B245" w14:textId="57364018" w:rsidR="00DF2531" w:rsidRPr="00DF2531" w:rsidRDefault="00DF2531" w:rsidP="003F411E">
      <w:pPr>
        <w:rPr>
          <w:rFonts w:cs="Arial"/>
          <w:b/>
          <w:bCs/>
          <w:sz w:val="22"/>
          <w:szCs w:val="22"/>
        </w:rPr>
      </w:pPr>
      <w:r w:rsidRPr="00DF2531">
        <w:rPr>
          <w:rFonts w:cs="Arial"/>
          <w:b/>
          <w:bCs/>
          <w:sz w:val="22"/>
          <w:szCs w:val="22"/>
        </w:rPr>
        <w:t>Respuesta:</w:t>
      </w:r>
    </w:p>
    <w:p w14:paraId="4C064D93" w14:textId="77777777" w:rsidR="00DF2531" w:rsidRDefault="00DF2531" w:rsidP="003F411E">
      <w:pPr>
        <w:rPr>
          <w:rFonts w:cs="Arial"/>
          <w:sz w:val="22"/>
          <w:szCs w:val="22"/>
        </w:rPr>
      </w:pPr>
    </w:p>
    <w:p w14:paraId="0D54B91D" w14:textId="43B3AD4D" w:rsidR="00DF2531" w:rsidRDefault="00DF2531" w:rsidP="003F411E">
      <w:pPr>
        <w:rPr>
          <w:rFonts w:cs="Arial"/>
          <w:sz w:val="22"/>
          <w:szCs w:val="22"/>
        </w:rPr>
      </w:pPr>
      <w:r>
        <w:rPr>
          <w:rFonts w:cs="Arial"/>
          <w:sz w:val="22"/>
          <w:szCs w:val="22"/>
        </w:rPr>
        <w:t>No se acoge el comentario.</w:t>
      </w:r>
    </w:p>
    <w:p w14:paraId="74D05A5C" w14:textId="77777777" w:rsidR="00DF2531" w:rsidRDefault="00DF2531" w:rsidP="003F411E">
      <w:pPr>
        <w:rPr>
          <w:rFonts w:cs="Arial"/>
          <w:sz w:val="22"/>
          <w:szCs w:val="22"/>
        </w:rPr>
      </w:pPr>
    </w:p>
    <w:p w14:paraId="1BA4F2FC" w14:textId="716D7B0E" w:rsidR="00DF2531" w:rsidRDefault="00DF2531" w:rsidP="003F411E">
      <w:pPr>
        <w:rPr>
          <w:rFonts w:cs="Arial"/>
          <w:sz w:val="22"/>
          <w:szCs w:val="22"/>
        </w:rPr>
      </w:pPr>
      <w:r>
        <w:rPr>
          <w:rFonts w:cs="Arial"/>
          <w:sz w:val="22"/>
          <w:szCs w:val="22"/>
        </w:rPr>
        <w:t xml:space="preserve">La entrega del gas a otros medios o modos de transporte por el </w:t>
      </w:r>
      <w:proofErr w:type="gramStart"/>
      <w:r>
        <w:rPr>
          <w:rFonts w:cs="Arial"/>
          <w:sz w:val="22"/>
          <w:szCs w:val="22"/>
        </w:rPr>
        <w:t>momento,</w:t>
      </w:r>
      <w:proofErr w:type="gramEnd"/>
      <w:r>
        <w:rPr>
          <w:rFonts w:cs="Arial"/>
          <w:sz w:val="22"/>
          <w:szCs w:val="22"/>
        </w:rPr>
        <w:t xml:space="preserve"> debería ser verificada entre las partes del contrato y no tiene los efectos operativos que puede tener las divergencias con respecto a las entregas al SNT</w:t>
      </w:r>
    </w:p>
    <w:p w14:paraId="049C50B2" w14:textId="77777777" w:rsidR="00DF2531" w:rsidRPr="003F411E" w:rsidRDefault="00DF2531" w:rsidP="003F411E">
      <w:pPr>
        <w:rPr>
          <w:rFonts w:cs="Arial"/>
          <w:sz w:val="22"/>
          <w:szCs w:val="22"/>
        </w:rPr>
      </w:pPr>
    </w:p>
    <w:p w14:paraId="5773FD90" w14:textId="77777777" w:rsidR="006465FC" w:rsidRDefault="006465FC" w:rsidP="003F411E">
      <w:pPr>
        <w:rPr>
          <w:rFonts w:cs="Arial"/>
          <w:sz w:val="22"/>
          <w:szCs w:val="22"/>
        </w:rPr>
      </w:pPr>
    </w:p>
    <w:p w14:paraId="22CBB8F2" w14:textId="77777777" w:rsidR="006465FC" w:rsidRDefault="003F411E" w:rsidP="00FB04F6">
      <w:pPr>
        <w:pStyle w:val="Ttulo4"/>
      </w:pPr>
      <w:bookmarkStart w:id="1030" w:name="_Ref133477145"/>
      <w:r w:rsidRPr="003F411E">
        <w:t>BOLSA MERCANTIL DE COLOMBIA</w:t>
      </w:r>
      <w:bookmarkEnd w:id="1030"/>
      <w:r w:rsidRPr="003F411E">
        <w:tab/>
      </w:r>
    </w:p>
    <w:p w14:paraId="081EA075" w14:textId="30EBFC03" w:rsidR="003F411E" w:rsidRDefault="004D3CEB" w:rsidP="003F411E">
      <w:pPr>
        <w:rPr>
          <w:rFonts w:cs="Arial"/>
          <w:i/>
          <w:iCs/>
          <w:sz w:val="22"/>
          <w:szCs w:val="22"/>
        </w:rPr>
      </w:pPr>
      <w:r>
        <w:rPr>
          <w:rFonts w:cs="Arial"/>
          <w:i/>
          <w:iCs/>
          <w:sz w:val="22"/>
          <w:szCs w:val="22"/>
        </w:rPr>
        <w:t>“</w:t>
      </w:r>
      <w:r w:rsidR="003F411E" w:rsidRPr="00DF2531">
        <w:rPr>
          <w:rFonts w:cs="Arial"/>
          <w:i/>
          <w:iCs/>
          <w:sz w:val="22"/>
          <w:szCs w:val="22"/>
        </w:rPr>
        <w:t>Según lo manifestado por los transportadores, los procesos de recolección y conciliación de información, puede tomar más tiempo del propuesto por la Comisión (del orden de los 15 días).</w:t>
      </w:r>
    </w:p>
    <w:p w14:paraId="6186E4F2" w14:textId="77777777" w:rsidR="00DF2531" w:rsidRDefault="00DF2531" w:rsidP="003F411E">
      <w:pPr>
        <w:rPr>
          <w:rFonts w:cs="Arial"/>
          <w:i/>
          <w:iCs/>
          <w:sz w:val="22"/>
          <w:szCs w:val="22"/>
        </w:rPr>
      </w:pPr>
    </w:p>
    <w:p w14:paraId="0D413722" w14:textId="39B2BDBE" w:rsidR="00DF2531" w:rsidRPr="00DF2531" w:rsidRDefault="00DF2531" w:rsidP="003F411E">
      <w:pPr>
        <w:rPr>
          <w:rFonts w:cs="Arial"/>
          <w:i/>
          <w:iCs/>
          <w:sz w:val="22"/>
          <w:szCs w:val="22"/>
        </w:rPr>
      </w:pPr>
      <w:r w:rsidRPr="00DF2531">
        <w:rPr>
          <w:rFonts w:cs="Arial"/>
          <w:i/>
          <w:iCs/>
          <w:sz w:val="22"/>
          <w:szCs w:val="22"/>
        </w:rPr>
        <w:t xml:space="preserve">Se sugiere revisar y ajustar el plazo de </w:t>
      </w:r>
      <w:r w:rsidR="004D3CEB">
        <w:rPr>
          <w:rFonts w:cs="Arial"/>
          <w:i/>
          <w:iCs/>
          <w:sz w:val="22"/>
          <w:szCs w:val="22"/>
        </w:rPr>
        <w:t>‘</w:t>
      </w:r>
      <w:r w:rsidRPr="00DF2531">
        <w:rPr>
          <w:rFonts w:cs="Arial"/>
          <w:i/>
          <w:iCs/>
          <w:sz w:val="22"/>
          <w:szCs w:val="22"/>
        </w:rPr>
        <w:t>Esta información se actualizará dentro de los primeros cinco (5) días hábiles de cada mes</w:t>
      </w:r>
      <w:r w:rsidR="004D3CEB">
        <w:rPr>
          <w:rFonts w:cs="Arial"/>
          <w:i/>
          <w:iCs/>
          <w:sz w:val="22"/>
          <w:szCs w:val="22"/>
        </w:rPr>
        <w:t>’</w:t>
      </w:r>
      <w:r w:rsidRPr="00DF2531">
        <w:rPr>
          <w:rFonts w:cs="Arial"/>
          <w:i/>
          <w:iCs/>
          <w:sz w:val="22"/>
          <w:szCs w:val="22"/>
        </w:rPr>
        <w:t xml:space="preserve"> para puntos de entrada y de salida. El tiempo sugerido es 15 días.</w:t>
      </w:r>
      <w:r w:rsidR="004D3CEB">
        <w:rPr>
          <w:rFonts w:cs="Arial"/>
          <w:i/>
          <w:iCs/>
          <w:sz w:val="22"/>
          <w:szCs w:val="22"/>
        </w:rPr>
        <w:t>”</w:t>
      </w:r>
    </w:p>
    <w:p w14:paraId="507F8523" w14:textId="77777777" w:rsidR="00DF2531" w:rsidRDefault="00DF2531" w:rsidP="003F411E">
      <w:pPr>
        <w:rPr>
          <w:rFonts w:cs="Arial"/>
          <w:sz w:val="22"/>
          <w:szCs w:val="22"/>
        </w:rPr>
      </w:pPr>
    </w:p>
    <w:p w14:paraId="1E4874DE" w14:textId="0EBA4B44" w:rsidR="00DF2531" w:rsidRPr="00DF2531" w:rsidRDefault="00DF2531" w:rsidP="003F411E">
      <w:pPr>
        <w:rPr>
          <w:rFonts w:cs="Arial"/>
          <w:b/>
          <w:bCs/>
          <w:sz w:val="22"/>
          <w:szCs w:val="22"/>
        </w:rPr>
      </w:pPr>
      <w:r w:rsidRPr="00DF2531">
        <w:rPr>
          <w:rFonts w:cs="Arial"/>
          <w:b/>
          <w:bCs/>
          <w:sz w:val="22"/>
          <w:szCs w:val="22"/>
        </w:rPr>
        <w:t>Respuesta:</w:t>
      </w:r>
    </w:p>
    <w:p w14:paraId="6747E8BA" w14:textId="77777777" w:rsidR="00DF2531" w:rsidRDefault="00DF2531" w:rsidP="003F411E">
      <w:pPr>
        <w:rPr>
          <w:rFonts w:cs="Arial"/>
          <w:sz w:val="22"/>
          <w:szCs w:val="22"/>
        </w:rPr>
      </w:pPr>
    </w:p>
    <w:p w14:paraId="4ACD22CC" w14:textId="40FB68AA" w:rsidR="00DF2531" w:rsidRDefault="003F7EB8" w:rsidP="003F411E">
      <w:pPr>
        <w:rPr>
          <w:rFonts w:cs="Arial"/>
          <w:sz w:val="22"/>
          <w:szCs w:val="22"/>
        </w:rPr>
      </w:pPr>
      <w:r>
        <w:rPr>
          <w:rFonts w:cs="Arial"/>
          <w:sz w:val="22"/>
          <w:szCs w:val="22"/>
        </w:rPr>
        <w:t>Se acoge el comentario.</w:t>
      </w:r>
    </w:p>
    <w:p w14:paraId="62E77EBC" w14:textId="77777777" w:rsidR="003F7EB8" w:rsidRDefault="003F7EB8" w:rsidP="003F411E">
      <w:pPr>
        <w:rPr>
          <w:rFonts w:cs="Arial"/>
          <w:sz w:val="22"/>
          <w:szCs w:val="22"/>
        </w:rPr>
      </w:pPr>
    </w:p>
    <w:p w14:paraId="2234E5EC" w14:textId="4A106724" w:rsidR="003F7EB8" w:rsidRDefault="003F7EB8" w:rsidP="003F411E">
      <w:pPr>
        <w:rPr>
          <w:rFonts w:cs="Arial"/>
          <w:sz w:val="22"/>
          <w:szCs w:val="22"/>
        </w:rPr>
      </w:pPr>
      <w:r>
        <w:rPr>
          <w:rFonts w:cs="Arial"/>
          <w:sz w:val="22"/>
          <w:szCs w:val="22"/>
        </w:rPr>
        <w:t>En la nueva propuesta se hacen los ajustes comentados.</w:t>
      </w:r>
    </w:p>
    <w:p w14:paraId="78E5B738" w14:textId="77777777" w:rsidR="00DF2531" w:rsidRPr="003F411E" w:rsidRDefault="00DF2531" w:rsidP="003F411E">
      <w:pPr>
        <w:rPr>
          <w:rFonts w:cs="Arial"/>
          <w:sz w:val="22"/>
          <w:szCs w:val="22"/>
        </w:rPr>
      </w:pPr>
    </w:p>
    <w:p w14:paraId="6407B0B9" w14:textId="77777777" w:rsidR="006465FC" w:rsidRDefault="006465FC" w:rsidP="003F411E">
      <w:pPr>
        <w:rPr>
          <w:rFonts w:cs="Arial"/>
          <w:sz w:val="22"/>
          <w:szCs w:val="22"/>
        </w:rPr>
      </w:pPr>
    </w:p>
    <w:p w14:paraId="0A2C0045" w14:textId="77777777" w:rsidR="006465FC" w:rsidRDefault="003F411E" w:rsidP="00FB04F6">
      <w:pPr>
        <w:pStyle w:val="Ttulo4"/>
      </w:pPr>
      <w:r w:rsidRPr="003F411E">
        <w:t>BOLSA MERCANTIL DE COLOMBIA</w:t>
      </w:r>
      <w:r w:rsidRPr="003F411E">
        <w:tab/>
      </w:r>
    </w:p>
    <w:p w14:paraId="19FE58D6" w14:textId="156BDFE1" w:rsidR="003F411E" w:rsidRDefault="004D3CEB" w:rsidP="003F411E">
      <w:pPr>
        <w:rPr>
          <w:rFonts w:cs="Arial"/>
          <w:i/>
          <w:iCs/>
          <w:sz w:val="22"/>
          <w:szCs w:val="22"/>
        </w:rPr>
      </w:pPr>
      <w:r>
        <w:rPr>
          <w:rFonts w:cs="Arial"/>
          <w:i/>
          <w:iCs/>
          <w:sz w:val="22"/>
          <w:szCs w:val="22"/>
        </w:rPr>
        <w:t>“</w:t>
      </w:r>
      <w:r w:rsidR="003F411E" w:rsidRPr="003F7EB8">
        <w:rPr>
          <w:rFonts w:cs="Arial"/>
          <w:i/>
          <w:iCs/>
          <w:sz w:val="22"/>
          <w:szCs w:val="22"/>
        </w:rPr>
        <w:t>Es necesario incluir la información agregada con la demanda tomada de los puntos de salida del SNT y de las estaciones de compresión, incluyendo variables de ubicación geográfica.</w:t>
      </w:r>
    </w:p>
    <w:p w14:paraId="24AA886F" w14:textId="77777777" w:rsidR="003F7EB8" w:rsidRDefault="003F7EB8" w:rsidP="003F411E">
      <w:pPr>
        <w:rPr>
          <w:rFonts w:cs="Arial"/>
          <w:i/>
          <w:iCs/>
          <w:sz w:val="22"/>
          <w:szCs w:val="22"/>
        </w:rPr>
      </w:pPr>
    </w:p>
    <w:p w14:paraId="7CDCF82B" w14:textId="1925FA11" w:rsidR="003F7EB8" w:rsidRPr="003F7EB8" w:rsidRDefault="003F7EB8" w:rsidP="003F411E">
      <w:pPr>
        <w:rPr>
          <w:rFonts w:cs="Arial"/>
          <w:i/>
          <w:iCs/>
          <w:sz w:val="22"/>
          <w:szCs w:val="22"/>
        </w:rPr>
      </w:pPr>
      <w:r w:rsidRPr="003F7EB8">
        <w:rPr>
          <w:rFonts w:cs="Arial"/>
          <w:i/>
          <w:iCs/>
          <w:sz w:val="22"/>
          <w:szCs w:val="22"/>
        </w:rPr>
        <w:t>En línea con la sugerencia de incluir el reporte de la demanda de los comercializadores minoristas o usuarios no regulados, que es tomada mediante gasoductos dedicados, GNC, redes que no hacen parte de SNT, y otros medios de transporte, sugerimos incluir en el aparte de publicación la información agregada con la demanda tomada de los puntos de salida del SNT y de las estaciones de compresión, incluyendo variables de ubicación geográfica.</w:t>
      </w:r>
      <w:r w:rsidR="004D3CEB">
        <w:rPr>
          <w:rFonts w:cs="Arial"/>
          <w:i/>
          <w:iCs/>
          <w:sz w:val="22"/>
          <w:szCs w:val="22"/>
        </w:rPr>
        <w:t>”</w:t>
      </w:r>
    </w:p>
    <w:p w14:paraId="4385BBCF" w14:textId="77777777" w:rsidR="003F7EB8" w:rsidRDefault="003F7EB8" w:rsidP="003F411E">
      <w:pPr>
        <w:rPr>
          <w:rFonts w:cs="Arial"/>
          <w:sz w:val="22"/>
          <w:szCs w:val="22"/>
        </w:rPr>
      </w:pPr>
    </w:p>
    <w:p w14:paraId="404131A7" w14:textId="7C4615E0" w:rsidR="003F7EB8" w:rsidRPr="003F7EB8" w:rsidRDefault="003F7EB8" w:rsidP="003F411E">
      <w:pPr>
        <w:rPr>
          <w:rFonts w:cs="Arial"/>
          <w:b/>
          <w:bCs/>
          <w:sz w:val="22"/>
          <w:szCs w:val="22"/>
        </w:rPr>
      </w:pPr>
      <w:r w:rsidRPr="003F7EB8">
        <w:rPr>
          <w:rFonts w:cs="Arial"/>
          <w:b/>
          <w:bCs/>
          <w:sz w:val="22"/>
          <w:szCs w:val="22"/>
        </w:rPr>
        <w:t>Respuesta:</w:t>
      </w:r>
    </w:p>
    <w:p w14:paraId="60042A8C" w14:textId="77777777" w:rsidR="003F7EB8" w:rsidRDefault="003F7EB8" w:rsidP="003F411E">
      <w:pPr>
        <w:rPr>
          <w:rFonts w:cs="Arial"/>
          <w:sz w:val="22"/>
          <w:szCs w:val="22"/>
        </w:rPr>
      </w:pPr>
    </w:p>
    <w:p w14:paraId="485BC0C2" w14:textId="58DA4102" w:rsidR="003F7EB8" w:rsidRDefault="00B0639B" w:rsidP="003F411E">
      <w:pPr>
        <w:rPr>
          <w:rFonts w:cs="Arial"/>
          <w:sz w:val="22"/>
          <w:szCs w:val="22"/>
        </w:rPr>
      </w:pPr>
      <w:r>
        <w:rPr>
          <w:rFonts w:cs="Arial"/>
          <w:sz w:val="22"/>
          <w:szCs w:val="22"/>
        </w:rPr>
        <w:t>No se acoge el comentario.</w:t>
      </w:r>
    </w:p>
    <w:p w14:paraId="4A84F9B4" w14:textId="77777777" w:rsidR="00B0639B" w:rsidRDefault="00B0639B" w:rsidP="003F411E">
      <w:pPr>
        <w:rPr>
          <w:rFonts w:cs="Arial"/>
          <w:sz w:val="22"/>
          <w:szCs w:val="22"/>
        </w:rPr>
      </w:pPr>
    </w:p>
    <w:p w14:paraId="596636B9" w14:textId="0A4A06F7" w:rsidR="00B0639B" w:rsidRDefault="00B0639B" w:rsidP="003F411E">
      <w:pPr>
        <w:rPr>
          <w:rFonts w:cs="Arial"/>
          <w:sz w:val="22"/>
          <w:szCs w:val="22"/>
        </w:rPr>
      </w:pPr>
      <w:r>
        <w:rPr>
          <w:rFonts w:cs="Arial"/>
          <w:sz w:val="22"/>
          <w:szCs w:val="22"/>
        </w:rPr>
        <w:t>En la etapa de ajustes propuestos se requiere determinar y conocer con prioridad la información contractual, limitando la información operativa para verificación del cumplimiento de los contratos de suministro y transporte y otros aspectos comerciales de regulación.</w:t>
      </w:r>
    </w:p>
    <w:p w14:paraId="01503824" w14:textId="77777777" w:rsidR="003F7EB8" w:rsidRPr="003F411E" w:rsidRDefault="003F7EB8" w:rsidP="003F411E">
      <w:pPr>
        <w:rPr>
          <w:rFonts w:cs="Arial"/>
          <w:sz w:val="22"/>
          <w:szCs w:val="22"/>
        </w:rPr>
      </w:pPr>
    </w:p>
    <w:p w14:paraId="391800AF" w14:textId="77777777" w:rsidR="006465FC" w:rsidRDefault="006465FC" w:rsidP="003F411E">
      <w:pPr>
        <w:rPr>
          <w:rFonts w:cs="Arial"/>
          <w:sz w:val="22"/>
          <w:szCs w:val="22"/>
        </w:rPr>
      </w:pPr>
    </w:p>
    <w:p w14:paraId="51321898" w14:textId="77777777" w:rsidR="006465FC" w:rsidRDefault="003F411E" w:rsidP="00FB04F6">
      <w:pPr>
        <w:pStyle w:val="Ttulo4"/>
      </w:pPr>
      <w:r w:rsidRPr="003F411E">
        <w:t>BOLSA MERCANTIL DE COLOMBIA</w:t>
      </w:r>
      <w:r w:rsidRPr="003F411E">
        <w:tab/>
      </w:r>
    </w:p>
    <w:p w14:paraId="4DA2C349" w14:textId="2D66613D" w:rsidR="003F411E" w:rsidRDefault="002F40C2" w:rsidP="003F411E">
      <w:pPr>
        <w:rPr>
          <w:rFonts w:cs="Arial"/>
          <w:i/>
          <w:iCs/>
          <w:sz w:val="22"/>
          <w:szCs w:val="22"/>
        </w:rPr>
      </w:pPr>
      <w:r>
        <w:rPr>
          <w:rFonts w:cs="Arial"/>
          <w:i/>
          <w:iCs/>
          <w:sz w:val="22"/>
          <w:szCs w:val="22"/>
        </w:rPr>
        <w:t>“</w:t>
      </w:r>
      <w:r w:rsidR="003F411E" w:rsidRPr="00B0639B">
        <w:rPr>
          <w:rFonts w:cs="Arial"/>
          <w:i/>
          <w:iCs/>
          <w:sz w:val="22"/>
          <w:szCs w:val="22"/>
        </w:rPr>
        <w:t xml:space="preserve">De no ser acogidos los comentarios en el Artículo 8 por parte del Gestor, no se contaría con toda la información requerida para cumplir con lo estipulado en los ordinales i y </w:t>
      </w:r>
      <w:proofErr w:type="spellStart"/>
      <w:r w:rsidR="003F411E" w:rsidRPr="00B0639B">
        <w:rPr>
          <w:rFonts w:cs="Arial"/>
          <w:i/>
          <w:iCs/>
          <w:sz w:val="22"/>
          <w:szCs w:val="22"/>
        </w:rPr>
        <w:t>iv</w:t>
      </w:r>
      <w:proofErr w:type="spellEnd"/>
      <w:r w:rsidR="003F411E" w:rsidRPr="00B0639B">
        <w:rPr>
          <w:rFonts w:cs="Arial"/>
          <w:i/>
          <w:iCs/>
          <w:sz w:val="22"/>
          <w:szCs w:val="22"/>
        </w:rPr>
        <w:t>.</w:t>
      </w:r>
    </w:p>
    <w:p w14:paraId="628CD31F" w14:textId="77777777" w:rsidR="00B0639B" w:rsidRDefault="00B0639B" w:rsidP="003F411E">
      <w:pPr>
        <w:rPr>
          <w:rFonts w:cs="Arial"/>
          <w:i/>
          <w:iCs/>
          <w:sz w:val="22"/>
          <w:szCs w:val="22"/>
        </w:rPr>
      </w:pPr>
    </w:p>
    <w:p w14:paraId="503F525D" w14:textId="03E28905" w:rsidR="00B0639B" w:rsidRPr="00B0639B" w:rsidRDefault="00B0639B" w:rsidP="003F411E">
      <w:pPr>
        <w:rPr>
          <w:rFonts w:cs="Arial"/>
          <w:i/>
          <w:iCs/>
          <w:sz w:val="22"/>
          <w:szCs w:val="22"/>
        </w:rPr>
      </w:pPr>
      <w:r w:rsidRPr="00B0639B">
        <w:rPr>
          <w:rFonts w:cs="Arial"/>
          <w:i/>
          <w:iCs/>
          <w:sz w:val="22"/>
          <w:szCs w:val="22"/>
        </w:rPr>
        <w:t xml:space="preserve">Se sugiere revisar la disposición </w:t>
      </w:r>
      <w:r w:rsidR="002F40C2">
        <w:rPr>
          <w:rFonts w:cs="Arial"/>
          <w:i/>
          <w:iCs/>
          <w:sz w:val="22"/>
          <w:szCs w:val="22"/>
        </w:rPr>
        <w:t>‘</w:t>
      </w:r>
      <w:r w:rsidRPr="00B0639B">
        <w:rPr>
          <w:rFonts w:cs="Arial"/>
          <w:i/>
          <w:iCs/>
          <w:sz w:val="22"/>
          <w:szCs w:val="22"/>
        </w:rPr>
        <w:t>por Punto de Entrega y las modalidades contractuales establecidas en el Artículo 8 de esta Resolución</w:t>
      </w:r>
      <w:r w:rsidR="002F40C2">
        <w:rPr>
          <w:rFonts w:cs="Arial"/>
          <w:i/>
          <w:iCs/>
          <w:sz w:val="22"/>
          <w:szCs w:val="22"/>
        </w:rPr>
        <w:t>’</w:t>
      </w:r>
      <w:r w:rsidRPr="00B0639B">
        <w:rPr>
          <w:rFonts w:cs="Arial"/>
          <w:i/>
          <w:iCs/>
          <w:sz w:val="22"/>
          <w:szCs w:val="22"/>
        </w:rPr>
        <w:t>, pues según se acojan o no algunos de los comentarios planteados, no se contaría con la información de autoconsumos, para uso petroquímico o de cantidades asociadas a gas natural importado.</w:t>
      </w:r>
      <w:r w:rsidR="002F40C2">
        <w:rPr>
          <w:rFonts w:cs="Arial"/>
          <w:i/>
          <w:iCs/>
          <w:sz w:val="22"/>
          <w:szCs w:val="22"/>
        </w:rPr>
        <w:t>”</w:t>
      </w:r>
    </w:p>
    <w:p w14:paraId="10488609" w14:textId="77777777" w:rsidR="00B0639B" w:rsidRDefault="00B0639B" w:rsidP="003F411E">
      <w:pPr>
        <w:rPr>
          <w:rFonts w:cs="Arial"/>
          <w:sz w:val="22"/>
          <w:szCs w:val="22"/>
        </w:rPr>
      </w:pPr>
    </w:p>
    <w:p w14:paraId="5313413F" w14:textId="2830DD1F" w:rsidR="00B0639B" w:rsidRPr="00B0639B" w:rsidRDefault="00B0639B" w:rsidP="003F411E">
      <w:pPr>
        <w:rPr>
          <w:rFonts w:cs="Arial"/>
          <w:b/>
          <w:bCs/>
          <w:sz w:val="22"/>
          <w:szCs w:val="22"/>
        </w:rPr>
      </w:pPr>
      <w:r w:rsidRPr="00B0639B">
        <w:rPr>
          <w:rFonts w:cs="Arial"/>
          <w:b/>
          <w:bCs/>
          <w:sz w:val="22"/>
          <w:szCs w:val="22"/>
        </w:rPr>
        <w:t>Respuesta:</w:t>
      </w:r>
    </w:p>
    <w:p w14:paraId="0CD52A3E" w14:textId="77777777" w:rsidR="00B0639B" w:rsidRDefault="00B0639B" w:rsidP="003F411E">
      <w:pPr>
        <w:rPr>
          <w:rFonts w:cs="Arial"/>
          <w:sz w:val="22"/>
          <w:szCs w:val="22"/>
        </w:rPr>
      </w:pPr>
    </w:p>
    <w:p w14:paraId="6CED16E4" w14:textId="4034224C" w:rsidR="00B0639B" w:rsidRDefault="00F44FE3" w:rsidP="003F411E">
      <w:pPr>
        <w:rPr>
          <w:rFonts w:cs="Arial"/>
          <w:sz w:val="22"/>
          <w:szCs w:val="22"/>
        </w:rPr>
      </w:pPr>
      <w:r>
        <w:rPr>
          <w:rFonts w:cs="Arial"/>
          <w:sz w:val="22"/>
          <w:szCs w:val="22"/>
        </w:rPr>
        <w:t>No se acoge el comentario a falta de precisar la conexión entre el Artículo 8 y la información requerida</w:t>
      </w:r>
    </w:p>
    <w:p w14:paraId="006B82AD" w14:textId="77777777" w:rsidR="00B0639B" w:rsidRPr="003F411E" w:rsidRDefault="00B0639B" w:rsidP="003F411E">
      <w:pPr>
        <w:rPr>
          <w:rFonts w:cs="Arial"/>
          <w:sz w:val="22"/>
          <w:szCs w:val="22"/>
        </w:rPr>
      </w:pPr>
    </w:p>
    <w:p w14:paraId="44A09DED" w14:textId="77777777" w:rsidR="006465FC" w:rsidRDefault="006465FC" w:rsidP="003F411E">
      <w:pPr>
        <w:rPr>
          <w:rFonts w:cs="Arial"/>
          <w:sz w:val="22"/>
          <w:szCs w:val="22"/>
        </w:rPr>
      </w:pPr>
    </w:p>
    <w:p w14:paraId="40F129BE" w14:textId="77777777" w:rsidR="006465FC" w:rsidRDefault="003F411E" w:rsidP="00FB04F6">
      <w:pPr>
        <w:pStyle w:val="Ttulo4"/>
      </w:pPr>
      <w:r w:rsidRPr="003F411E">
        <w:t>BOLSA MERCANTIL DE COLOMBIA</w:t>
      </w:r>
      <w:r w:rsidRPr="003F411E">
        <w:tab/>
      </w:r>
    </w:p>
    <w:p w14:paraId="782AB489" w14:textId="73B8A844" w:rsidR="003F411E" w:rsidRDefault="002F40C2" w:rsidP="003F411E">
      <w:pPr>
        <w:rPr>
          <w:rFonts w:cs="Arial"/>
          <w:i/>
          <w:iCs/>
          <w:sz w:val="22"/>
          <w:szCs w:val="22"/>
        </w:rPr>
      </w:pPr>
      <w:r>
        <w:rPr>
          <w:rFonts w:cs="Arial"/>
          <w:i/>
          <w:iCs/>
          <w:sz w:val="22"/>
          <w:szCs w:val="22"/>
        </w:rPr>
        <w:t>“</w:t>
      </w:r>
      <w:r w:rsidR="003F411E" w:rsidRPr="00F44FE3">
        <w:rPr>
          <w:rFonts w:cs="Arial"/>
          <w:i/>
          <w:iCs/>
          <w:sz w:val="22"/>
          <w:szCs w:val="22"/>
        </w:rPr>
        <w:t xml:space="preserve">Entendemos que por </w:t>
      </w:r>
      <w:r>
        <w:rPr>
          <w:rFonts w:cs="Arial"/>
          <w:i/>
          <w:iCs/>
          <w:sz w:val="22"/>
          <w:szCs w:val="22"/>
        </w:rPr>
        <w:t>‘</w:t>
      </w:r>
      <w:r w:rsidR="003F411E" w:rsidRPr="00F44FE3">
        <w:rPr>
          <w:rFonts w:cs="Arial"/>
          <w:i/>
          <w:iCs/>
          <w:sz w:val="22"/>
          <w:szCs w:val="22"/>
        </w:rPr>
        <w:t>categoría de los contratos</w:t>
      </w:r>
      <w:r>
        <w:rPr>
          <w:rFonts w:cs="Arial"/>
          <w:i/>
          <w:iCs/>
          <w:sz w:val="22"/>
          <w:szCs w:val="22"/>
        </w:rPr>
        <w:t>’</w:t>
      </w:r>
      <w:r w:rsidR="003F411E" w:rsidRPr="00F44FE3">
        <w:rPr>
          <w:rFonts w:cs="Arial"/>
          <w:i/>
          <w:iCs/>
          <w:sz w:val="22"/>
          <w:szCs w:val="22"/>
        </w:rPr>
        <w:t xml:space="preserve"> se hace referencia a la modalidad contractual.</w:t>
      </w:r>
    </w:p>
    <w:p w14:paraId="128B094A" w14:textId="77777777" w:rsidR="00F44FE3" w:rsidRDefault="00F44FE3" w:rsidP="003F411E">
      <w:pPr>
        <w:rPr>
          <w:rFonts w:cs="Arial"/>
          <w:i/>
          <w:iCs/>
          <w:sz w:val="22"/>
          <w:szCs w:val="22"/>
        </w:rPr>
      </w:pPr>
    </w:p>
    <w:p w14:paraId="69FF6642" w14:textId="321CEB0C" w:rsidR="00F44FE3" w:rsidRPr="00F44FE3" w:rsidRDefault="00F44FE3" w:rsidP="003F411E">
      <w:pPr>
        <w:rPr>
          <w:rFonts w:cs="Arial"/>
          <w:i/>
          <w:iCs/>
          <w:sz w:val="22"/>
          <w:szCs w:val="22"/>
        </w:rPr>
      </w:pPr>
      <w:r w:rsidRPr="00F44FE3">
        <w:rPr>
          <w:rFonts w:cs="Arial"/>
          <w:i/>
          <w:iCs/>
          <w:sz w:val="22"/>
          <w:szCs w:val="22"/>
        </w:rPr>
        <w:t xml:space="preserve">Se sugiere ajustar el texto </w:t>
      </w:r>
      <w:r w:rsidR="002F40C2">
        <w:rPr>
          <w:rFonts w:cs="Arial"/>
          <w:i/>
          <w:iCs/>
          <w:sz w:val="22"/>
          <w:szCs w:val="22"/>
        </w:rPr>
        <w:t>‘</w:t>
      </w:r>
      <w:r w:rsidRPr="00F44FE3">
        <w:rPr>
          <w:rFonts w:cs="Arial"/>
          <w:i/>
          <w:iCs/>
          <w:sz w:val="22"/>
          <w:szCs w:val="22"/>
        </w:rPr>
        <w:t>categoría de los contratos</w:t>
      </w:r>
      <w:r w:rsidR="002F40C2">
        <w:rPr>
          <w:rFonts w:cs="Arial"/>
          <w:i/>
          <w:iCs/>
          <w:sz w:val="22"/>
          <w:szCs w:val="22"/>
        </w:rPr>
        <w:t>’</w:t>
      </w:r>
      <w:r w:rsidRPr="00F44FE3">
        <w:rPr>
          <w:rFonts w:cs="Arial"/>
          <w:i/>
          <w:iCs/>
          <w:sz w:val="22"/>
          <w:szCs w:val="22"/>
        </w:rPr>
        <w:t xml:space="preserve"> por </w:t>
      </w:r>
      <w:r w:rsidR="002F40C2">
        <w:rPr>
          <w:rFonts w:cs="Arial"/>
          <w:i/>
          <w:iCs/>
          <w:sz w:val="22"/>
          <w:szCs w:val="22"/>
        </w:rPr>
        <w:t>‘</w:t>
      </w:r>
      <w:r w:rsidRPr="00F44FE3">
        <w:rPr>
          <w:rFonts w:cs="Arial"/>
          <w:i/>
          <w:iCs/>
          <w:sz w:val="22"/>
          <w:szCs w:val="22"/>
        </w:rPr>
        <w:t>modalidad contractual</w:t>
      </w:r>
      <w:r w:rsidR="002F40C2">
        <w:rPr>
          <w:rFonts w:cs="Arial"/>
          <w:i/>
          <w:iCs/>
          <w:sz w:val="22"/>
          <w:szCs w:val="22"/>
        </w:rPr>
        <w:t>’</w:t>
      </w:r>
      <w:r w:rsidRPr="00F44FE3">
        <w:rPr>
          <w:rFonts w:cs="Arial"/>
          <w:i/>
          <w:iCs/>
          <w:sz w:val="22"/>
          <w:szCs w:val="22"/>
        </w:rPr>
        <w:t xml:space="preserve">. Así como aclarar qué </w:t>
      </w:r>
      <w:proofErr w:type="spellStart"/>
      <w:r w:rsidRPr="00F44FE3">
        <w:rPr>
          <w:rFonts w:cs="Arial"/>
          <w:i/>
          <w:iCs/>
          <w:sz w:val="22"/>
          <w:szCs w:val="22"/>
        </w:rPr>
        <w:t>indices</w:t>
      </w:r>
      <w:proofErr w:type="spellEnd"/>
      <w:r w:rsidRPr="00F44FE3">
        <w:rPr>
          <w:rFonts w:cs="Arial"/>
          <w:i/>
          <w:iCs/>
          <w:sz w:val="22"/>
          <w:szCs w:val="22"/>
        </w:rPr>
        <w:t xml:space="preserve"> de mercado deberán ser publicados por el Gestor.</w:t>
      </w:r>
      <w:r w:rsidR="002F40C2">
        <w:rPr>
          <w:rFonts w:cs="Arial"/>
          <w:i/>
          <w:iCs/>
          <w:sz w:val="22"/>
          <w:szCs w:val="22"/>
        </w:rPr>
        <w:t>”</w:t>
      </w:r>
    </w:p>
    <w:p w14:paraId="01005F31" w14:textId="777DCBBD" w:rsidR="006465FC" w:rsidRDefault="006465FC" w:rsidP="003F411E">
      <w:pPr>
        <w:rPr>
          <w:rFonts w:cs="Arial"/>
          <w:sz w:val="22"/>
          <w:szCs w:val="22"/>
        </w:rPr>
      </w:pPr>
    </w:p>
    <w:p w14:paraId="2FFE044D" w14:textId="052F9381" w:rsidR="006465FC" w:rsidRPr="00F44FE3" w:rsidRDefault="00F44FE3" w:rsidP="003F411E">
      <w:pPr>
        <w:rPr>
          <w:rFonts w:cs="Arial"/>
          <w:b/>
          <w:bCs/>
          <w:sz w:val="22"/>
          <w:szCs w:val="22"/>
        </w:rPr>
      </w:pPr>
      <w:r w:rsidRPr="00F44FE3">
        <w:rPr>
          <w:rFonts w:cs="Arial"/>
          <w:b/>
          <w:bCs/>
          <w:sz w:val="22"/>
          <w:szCs w:val="22"/>
        </w:rPr>
        <w:t>Respuesta:</w:t>
      </w:r>
    </w:p>
    <w:p w14:paraId="175DBC4E" w14:textId="77777777" w:rsidR="00F44FE3" w:rsidRDefault="00F44FE3" w:rsidP="003F411E">
      <w:pPr>
        <w:rPr>
          <w:rFonts w:cs="Arial"/>
          <w:sz w:val="22"/>
          <w:szCs w:val="22"/>
        </w:rPr>
      </w:pPr>
    </w:p>
    <w:p w14:paraId="20113652" w14:textId="769BECC7" w:rsidR="00F44FE3" w:rsidRDefault="00F44FE3"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_Ref133414152 \r \h </w:instrText>
      </w:r>
      <w:r>
        <w:rPr>
          <w:rFonts w:cs="Arial"/>
          <w:sz w:val="22"/>
          <w:szCs w:val="22"/>
        </w:rPr>
      </w:r>
      <w:r>
        <w:rPr>
          <w:rFonts w:cs="Arial"/>
          <w:sz w:val="22"/>
          <w:szCs w:val="22"/>
        </w:rPr>
        <w:fldChar w:fldCharType="separate"/>
      </w:r>
      <w:r>
        <w:rPr>
          <w:rFonts w:cs="Arial"/>
          <w:sz w:val="22"/>
          <w:szCs w:val="22"/>
        </w:rPr>
        <w:t>8.4.1.2</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_Ref133414201 \r \h </w:instrText>
      </w:r>
      <w:r>
        <w:rPr>
          <w:rFonts w:cs="Arial"/>
          <w:sz w:val="22"/>
          <w:szCs w:val="22"/>
        </w:rPr>
      </w:r>
      <w:r>
        <w:rPr>
          <w:rFonts w:cs="Arial"/>
          <w:sz w:val="22"/>
          <w:szCs w:val="22"/>
        </w:rPr>
        <w:fldChar w:fldCharType="separate"/>
      </w:r>
      <w:r>
        <w:rPr>
          <w:rFonts w:cs="Arial"/>
          <w:sz w:val="22"/>
          <w:szCs w:val="22"/>
        </w:rPr>
        <w:t>36.2.1.4</w:t>
      </w:r>
      <w:r>
        <w:rPr>
          <w:rFonts w:cs="Arial"/>
          <w:sz w:val="22"/>
          <w:szCs w:val="22"/>
        </w:rPr>
        <w:fldChar w:fldCharType="end"/>
      </w:r>
      <w:r>
        <w:rPr>
          <w:rFonts w:cs="Arial"/>
          <w:sz w:val="22"/>
          <w:szCs w:val="22"/>
        </w:rPr>
        <w:t>.</w:t>
      </w:r>
    </w:p>
    <w:p w14:paraId="6C9D8E51" w14:textId="77777777" w:rsidR="00F44FE3" w:rsidRDefault="00F44FE3" w:rsidP="003F411E">
      <w:pPr>
        <w:rPr>
          <w:rFonts w:cs="Arial"/>
          <w:sz w:val="22"/>
          <w:szCs w:val="22"/>
        </w:rPr>
      </w:pPr>
    </w:p>
    <w:p w14:paraId="352F1ED9" w14:textId="77777777" w:rsidR="00F44FE3" w:rsidRDefault="00F44FE3" w:rsidP="003F411E">
      <w:pPr>
        <w:rPr>
          <w:rFonts w:cs="Arial"/>
          <w:sz w:val="22"/>
          <w:szCs w:val="22"/>
        </w:rPr>
      </w:pPr>
    </w:p>
    <w:p w14:paraId="6271EC7B" w14:textId="77777777" w:rsidR="00F44FE3" w:rsidRDefault="00F44FE3" w:rsidP="003F411E">
      <w:pPr>
        <w:rPr>
          <w:rFonts w:cs="Arial"/>
          <w:sz w:val="22"/>
          <w:szCs w:val="22"/>
        </w:rPr>
      </w:pPr>
    </w:p>
    <w:p w14:paraId="5B2A0E92" w14:textId="77777777" w:rsidR="006465FC" w:rsidRDefault="003F411E" w:rsidP="006A2A19">
      <w:pPr>
        <w:pStyle w:val="Ttulo2"/>
      </w:pPr>
      <w:bookmarkStart w:id="1031" w:name="_Toc140506576"/>
      <w:r w:rsidRPr="003F411E">
        <w:t>GIGAS ENERGY</w:t>
      </w:r>
      <w:bookmarkEnd w:id="1031"/>
      <w:r w:rsidRPr="003F411E">
        <w:tab/>
      </w:r>
    </w:p>
    <w:p w14:paraId="0ADC4334" w14:textId="77777777" w:rsidR="00FB04F6" w:rsidRDefault="00FB04F6" w:rsidP="00FB04F6">
      <w:pPr>
        <w:pStyle w:val="Ttulo4"/>
      </w:pPr>
      <w:r w:rsidRPr="003F411E">
        <w:t>GIGAS ENERGY</w:t>
      </w:r>
      <w:r w:rsidRPr="003F411E">
        <w:tab/>
      </w:r>
    </w:p>
    <w:p w14:paraId="51E56082" w14:textId="47EFD06B" w:rsidR="003F411E" w:rsidRPr="00F44FE3" w:rsidRDefault="002F40C2" w:rsidP="003F411E">
      <w:pPr>
        <w:rPr>
          <w:rFonts w:cs="Arial"/>
          <w:i/>
          <w:iCs/>
          <w:sz w:val="22"/>
          <w:szCs w:val="22"/>
        </w:rPr>
      </w:pPr>
      <w:r>
        <w:rPr>
          <w:rFonts w:cs="Arial"/>
          <w:i/>
          <w:iCs/>
          <w:sz w:val="22"/>
          <w:szCs w:val="22"/>
        </w:rPr>
        <w:t>“</w:t>
      </w:r>
      <w:r w:rsidR="003F411E" w:rsidRPr="00F44FE3">
        <w:rPr>
          <w:rFonts w:cs="Arial"/>
          <w:i/>
          <w:iCs/>
          <w:sz w:val="22"/>
          <w:szCs w:val="22"/>
        </w:rPr>
        <w:t>Se sugiere complementar el anexo indicando cómo se reporta la información de las transacciones que se realicen con usuarios no regulados, que no están conectados ni al SNT ni a ninguno sistema de distribución.</w:t>
      </w:r>
      <w:r>
        <w:rPr>
          <w:rFonts w:cs="Arial"/>
          <w:i/>
          <w:iCs/>
          <w:sz w:val="22"/>
          <w:szCs w:val="22"/>
        </w:rPr>
        <w:t>”</w:t>
      </w:r>
    </w:p>
    <w:p w14:paraId="27E1201C" w14:textId="77777777" w:rsidR="00F44FE3" w:rsidRDefault="00F44FE3" w:rsidP="003F411E">
      <w:pPr>
        <w:rPr>
          <w:rFonts w:cs="Arial"/>
          <w:sz w:val="22"/>
          <w:szCs w:val="22"/>
        </w:rPr>
      </w:pPr>
    </w:p>
    <w:p w14:paraId="5707DEB5" w14:textId="147F8BC7" w:rsidR="00F44FE3" w:rsidRPr="00F44FE3" w:rsidRDefault="00F44FE3" w:rsidP="003F411E">
      <w:pPr>
        <w:rPr>
          <w:rFonts w:cs="Arial"/>
          <w:b/>
          <w:bCs/>
          <w:sz w:val="22"/>
          <w:szCs w:val="22"/>
        </w:rPr>
      </w:pPr>
      <w:r w:rsidRPr="00F44FE3">
        <w:rPr>
          <w:rFonts w:cs="Arial"/>
          <w:b/>
          <w:bCs/>
          <w:sz w:val="22"/>
          <w:szCs w:val="22"/>
        </w:rPr>
        <w:t>Respuesta:</w:t>
      </w:r>
    </w:p>
    <w:p w14:paraId="41F53607" w14:textId="77777777" w:rsidR="00F44FE3" w:rsidRDefault="00F44FE3" w:rsidP="003F411E">
      <w:pPr>
        <w:rPr>
          <w:rFonts w:cs="Arial"/>
          <w:sz w:val="22"/>
          <w:szCs w:val="22"/>
        </w:rPr>
      </w:pPr>
    </w:p>
    <w:p w14:paraId="1DD95C72" w14:textId="70504060" w:rsidR="00F44FE3" w:rsidRPr="003F411E" w:rsidRDefault="00772522" w:rsidP="003F411E">
      <w:pPr>
        <w:rPr>
          <w:rFonts w:cs="Arial"/>
          <w:sz w:val="22"/>
          <w:szCs w:val="22"/>
        </w:rPr>
      </w:pPr>
      <w:r>
        <w:rPr>
          <w:rFonts w:cs="Arial"/>
          <w:sz w:val="22"/>
          <w:szCs w:val="22"/>
        </w:rPr>
        <w:t xml:space="preserve">Le corresponde al Gestor del Mercado elaborar y establecer los formatos que deben usar los agentes para entregar la información requerida en el Anexo 1 de la resolución. </w:t>
      </w:r>
    </w:p>
    <w:p w14:paraId="1FF47377" w14:textId="77777777" w:rsidR="006465FC" w:rsidRDefault="006465FC" w:rsidP="003F411E">
      <w:pPr>
        <w:rPr>
          <w:rFonts w:cs="Arial"/>
          <w:sz w:val="22"/>
          <w:szCs w:val="22"/>
        </w:rPr>
      </w:pPr>
    </w:p>
    <w:p w14:paraId="5D6F3FF4" w14:textId="77777777" w:rsidR="006465FC" w:rsidRDefault="006465FC" w:rsidP="003F411E">
      <w:pPr>
        <w:rPr>
          <w:rFonts w:cs="Arial"/>
          <w:sz w:val="22"/>
          <w:szCs w:val="22"/>
        </w:rPr>
      </w:pPr>
    </w:p>
    <w:p w14:paraId="54A98B51" w14:textId="77777777" w:rsidR="006465FC" w:rsidRDefault="003F411E" w:rsidP="006A2A19">
      <w:pPr>
        <w:pStyle w:val="Ttulo2"/>
      </w:pPr>
      <w:bookmarkStart w:id="1032" w:name="_Toc140506577"/>
      <w:r w:rsidRPr="003F411E">
        <w:t>ISAGEN</w:t>
      </w:r>
      <w:bookmarkEnd w:id="1032"/>
      <w:r w:rsidRPr="003F411E">
        <w:tab/>
      </w:r>
    </w:p>
    <w:p w14:paraId="36E96987" w14:textId="77777777" w:rsidR="00FB04F6" w:rsidRDefault="00FB04F6" w:rsidP="00FB04F6">
      <w:pPr>
        <w:pStyle w:val="Ttulo4"/>
      </w:pPr>
      <w:bookmarkStart w:id="1033" w:name="_Ref133483437"/>
      <w:r w:rsidRPr="003F411E">
        <w:t>ISAGEN</w:t>
      </w:r>
      <w:bookmarkEnd w:id="1033"/>
      <w:r w:rsidRPr="003F411E">
        <w:tab/>
      </w:r>
    </w:p>
    <w:p w14:paraId="67B44014" w14:textId="1A71FCA9" w:rsidR="003F411E" w:rsidRPr="00772522" w:rsidRDefault="00B536B0" w:rsidP="003F411E">
      <w:pPr>
        <w:rPr>
          <w:rFonts w:cs="Arial"/>
          <w:i/>
          <w:iCs/>
          <w:sz w:val="22"/>
          <w:szCs w:val="22"/>
        </w:rPr>
      </w:pPr>
      <w:r>
        <w:rPr>
          <w:rFonts w:cs="Arial"/>
          <w:i/>
          <w:iCs/>
          <w:sz w:val="22"/>
          <w:szCs w:val="22"/>
        </w:rPr>
        <w:t>“</w:t>
      </w:r>
      <w:r w:rsidR="003F411E" w:rsidRPr="00772522">
        <w:rPr>
          <w:rFonts w:cs="Arial"/>
          <w:i/>
          <w:iCs/>
          <w:sz w:val="22"/>
          <w:szCs w:val="22"/>
        </w:rPr>
        <w:t xml:space="preserve">En el literal v falta incluir las palabras </w:t>
      </w:r>
      <w:r>
        <w:rPr>
          <w:rFonts w:cs="Arial"/>
          <w:i/>
          <w:iCs/>
          <w:sz w:val="22"/>
          <w:szCs w:val="22"/>
        </w:rPr>
        <w:t>‘</w:t>
      </w:r>
      <w:r w:rsidR="003F411E" w:rsidRPr="00772522">
        <w:rPr>
          <w:rFonts w:cs="Arial"/>
          <w:i/>
          <w:iCs/>
          <w:sz w:val="22"/>
          <w:szCs w:val="22"/>
        </w:rPr>
        <w:t>Punto de entrega</w:t>
      </w:r>
      <w:r>
        <w:rPr>
          <w:rFonts w:cs="Arial"/>
          <w:i/>
          <w:iCs/>
          <w:sz w:val="22"/>
          <w:szCs w:val="22"/>
        </w:rPr>
        <w:t>’</w:t>
      </w:r>
      <w:r w:rsidR="003F411E" w:rsidRPr="00772522">
        <w:rPr>
          <w:rFonts w:cs="Arial"/>
          <w:i/>
          <w:iCs/>
          <w:sz w:val="22"/>
          <w:szCs w:val="22"/>
        </w:rPr>
        <w:t>”</w:t>
      </w:r>
    </w:p>
    <w:p w14:paraId="2F033589" w14:textId="77777777" w:rsidR="00772522" w:rsidRDefault="00772522" w:rsidP="003F411E">
      <w:pPr>
        <w:rPr>
          <w:rFonts w:cs="Arial"/>
          <w:sz w:val="22"/>
          <w:szCs w:val="22"/>
        </w:rPr>
      </w:pPr>
    </w:p>
    <w:p w14:paraId="3D362D82" w14:textId="60FEBC94" w:rsidR="00772522" w:rsidRPr="00772522" w:rsidRDefault="00772522" w:rsidP="003F411E">
      <w:pPr>
        <w:rPr>
          <w:rFonts w:cs="Arial"/>
          <w:b/>
          <w:bCs/>
          <w:sz w:val="22"/>
          <w:szCs w:val="22"/>
        </w:rPr>
      </w:pPr>
      <w:r w:rsidRPr="00772522">
        <w:rPr>
          <w:rFonts w:cs="Arial"/>
          <w:b/>
          <w:bCs/>
          <w:sz w:val="22"/>
          <w:szCs w:val="22"/>
        </w:rPr>
        <w:t>Respuesta:</w:t>
      </w:r>
    </w:p>
    <w:p w14:paraId="2886DE08" w14:textId="77777777" w:rsidR="00772522" w:rsidRDefault="00772522" w:rsidP="003F411E">
      <w:pPr>
        <w:rPr>
          <w:rFonts w:cs="Arial"/>
          <w:sz w:val="22"/>
          <w:szCs w:val="22"/>
        </w:rPr>
      </w:pPr>
    </w:p>
    <w:p w14:paraId="0874B67B" w14:textId="06451C9A" w:rsidR="00772522" w:rsidRDefault="00772522" w:rsidP="003F411E">
      <w:pPr>
        <w:rPr>
          <w:rFonts w:cs="Arial"/>
          <w:sz w:val="22"/>
          <w:szCs w:val="22"/>
        </w:rPr>
      </w:pPr>
      <w:r>
        <w:rPr>
          <w:rFonts w:cs="Arial"/>
          <w:sz w:val="22"/>
          <w:szCs w:val="22"/>
        </w:rPr>
        <w:t>Se acoge el comentario.</w:t>
      </w:r>
    </w:p>
    <w:p w14:paraId="7A51BFA5" w14:textId="77777777" w:rsidR="00772522" w:rsidRDefault="00772522" w:rsidP="003F411E">
      <w:pPr>
        <w:rPr>
          <w:rFonts w:cs="Arial"/>
          <w:sz w:val="22"/>
          <w:szCs w:val="22"/>
        </w:rPr>
      </w:pPr>
    </w:p>
    <w:p w14:paraId="74F9D89B" w14:textId="08B25D13" w:rsidR="00772522" w:rsidRDefault="00772522" w:rsidP="003F411E">
      <w:pPr>
        <w:rPr>
          <w:rFonts w:cs="Arial"/>
          <w:sz w:val="22"/>
          <w:szCs w:val="22"/>
        </w:rPr>
      </w:pPr>
      <w:r>
        <w:rPr>
          <w:rFonts w:cs="Arial"/>
          <w:sz w:val="22"/>
          <w:szCs w:val="22"/>
        </w:rPr>
        <w:t>En la nueva propuesta se hace la adición de texto correspondiente.</w:t>
      </w:r>
    </w:p>
    <w:p w14:paraId="1F43C764" w14:textId="77777777" w:rsidR="00772522" w:rsidRPr="003F411E" w:rsidRDefault="00772522" w:rsidP="003F411E">
      <w:pPr>
        <w:rPr>
          <w:rFonts w:cs="Arial"/>
          <w:sz w:val="22"/>
          <w:szCs w:val="22"/>
        </w:rPr>
      </w:pPr>
    </w:p>
    <w:p w14:paraId="38FE42E1" w14:textId="77777777" w:rsidR="006465FC" w:rsidRDefault="006465FC" w:rsidP="003F411E">
      <w:pPr>
        <w:rPr>
          <w:rFonts w:cs="Arial"/>
          <w:sz w:val="22"/>
          <w:szCs w:val="22"/>
        </w:rPr>
      </w:pPr>
    </w:p>
    <w:p w14:paraId="18D2BFBC" w14:textId="77777777" w:rsidR="006465FC" w:rsidRDefault="003F411E" w:rsidP="00FB04F6">
      <w:pPr>
        <w:pStyle w:val="Ttulo4"/>
      </w:pPr>
      <w:r w:rsidRPr="003F411E">
        <w:t>ISAGEN</w:t>
      </w:r>
      <w:r w:rsidRPr="003F411E">
        <w:tab/>
      </w:r>
    </w:p>
    <w:p w14:paraId="090B2BD7" w14:textId="34F83595" w:rsidR="003F411E" w:rsidRPr="00772522" w:rsidRDefault="003F411E" w:rsidP="003F411E">
      <w:pPr>
        <w:rPr>
          <w:rFonts w:cs="Arial"/>
          <w:i/>
          <w:iCs/>
          <w:sz w:val="22"/>
          <w:szCs w:val="22"/>
        </w:rPr>
      </w:pPr>
      <w:r w:rsidRPr="003F411E">
        <w:rPr>
          <w:rFonts w:cs="Arial"/>
          <w:sz w:val="22"/>
          <w:szCs w:val="22"/>
        </w:rPr>
        <w:t>"</w:t>
      </w:r>
      <w:r w:rsidRPr="00772522">
        <w:rPr>
          <w:rFonts w:cs="Arial"/>
          <w:i/>
          <w:iCs/>
          <w:sz w:val="22"/>
          <w:szCs w:val="22"/>
        </w:rPr>
        <w:t xml:space="preserve">Teniendo en cuenta las facilidades de la plataforma de registro de la información transaccional implementada por el </w:t>
      </w:r>
      <w:r w:rsidR="005114C6" w:rsidRPr="00772522">
        <w:rPr>
          <w:rFonts w:cs="Arial"/>
          <w:i/>
          <w:iCs/>
          <w:sz w:val="22"/>
          <w:szCs w:val="22"/>
        </w:rPr>
        <w:t>Gestor del Mercado</w:t>
      </w:r>
      <w:r w:rsidRPr="00772522">
        <w:rPr>
          <w:rFonts w:cs="Arial"/>
          <w:i/>
          <w:iCs/>
          <w:sz w:val="22"/>
          <w:szCs w:val="22"/>
        </w:rPr>
        <w:t>, los tipos de contratos a registrar (con interrupciones), el tipo de negociación (directa entre agentes) y los tiempos de negociación de los contratos (en cualquier momento) respetuosamente solicitamos a la Comisión evaluar nuevamente la conveniencia de reducir la anticipación de registro de dichos contratos, toda vez que no vemos la necesidad operativa, de registro y de despacho para un plazo tan amplio, pero si hemos experimentado dificultades por el plazo anticipado de registro, toda vez que no es posible negociar e iniciar estos contratos en un tiempo menor a 7 días hábiles. Ejemplo: Si las partes negocian directamente un contrato de suministro con interrupciones el día 13 de abril del 2022, según lo definido en este literal, la fecha de registro se debería de hacer ese mismo día (13-Abr-2022) pero la fecha de inicio más próxima que podrían acordar las partes seria el 26 de abril de 2022, lo cual representa que desde la fecha de negociación e inicio del contrato pasaron 13 días de gas que no se logró usar o despachar el contrato, debido a esta restricción en la fecha anticipada de registro del contrato. Cabe resaltar que los tiempos de registro de los contratos en el mercado primario es hasta 3 días hábiles POSTERIORES a la negociación y en el mercado secundario entre 1 y 20 horas POSTERIORES a la negociación, contratos que representan la gran mayoría de los contratos del mercado de gas.</w:t>
      </w:r>
    </w:p>
    <w:p w14:paraId="0C9D9227" w14:textId="77777777" w:rsidR="003F411E" w:rsidRPr="00772522" w:rsidRDefault="003F411E" w:rsidP="003F411E">
      <w:pPr>
        <w:rPr>
          <w:rFonts w:cs="Arial"/>
          <w:i/>
          <w:iCs/>
          <w:sz w:val="22"/>
          <w:szCs w:val="22"/>
        </w:rPr>
      </w:pPr>
    </w:p>
    <w:p w14:paraId="13FC9ABE" w14:textId="77777777" w:rsidR="003F411E" w:rsidRDefault="003F411E" w:rsidP="003F411E">
      <w:pPr>
        <w:rPr>
          <w:rFonts w:cs="Arial"/>
          <w:sz w:val="22"/>
          <w:szCs w:val="22"/>
        </w:rPr>
      </w:pPr>
      <w:r w:rsidRPr="00772522">
        <w:rPr>
          <w:rFonts w:cs="Arial"/>
          <w:i/>
          <w:iCs/>
          <w:sz w:val="22"/>
          <w:szCs w:val="22"/>
        </w:rPr>
        <w:t>Por otro lado, con la flexibilidad que permite la regulación para la negociación de dichos contratos, los agentes por lo general usamos estos contratos para atender situaciones inesperadas, eventos de fuerza mayor o demás imprevistos en la operación diaria, pero con esta restricción no se cumple el objetivo de contratación flexible porque los contratos no se pueden usar inmediatamente sean suscritos. Por lo anterior, proponemos que para el registro de estos contratos se definan los mismos o semejantes plazos para el registro de los contratos en el mercado secundario</w:t>
      </w:r>
      <w:r w:rsidRPr="003F411E">
        <w:rPr>
          <w:rFonts w:cs="Arial"/>
          <w:sz w:val="22"/>
          <w:szCs w:val="22"/>
        </w:rPr>
        <w:t>."</w:t>
      </w:r>
    </w:p>
    <w:p w14:paraId="25934C86" w14:textId="77777777" w:rsidR="00772522" w:rsidRDefault="00772522" w:rsidP="003F411E">
      <w:pPr>
        <w:rPr>
          <w:rFonts w:cs="Arial"/>
          <w:sz w:val="22"/>
          <w:szCs w:val="22"/>
        </w:rPr>
      </w:pPr>
    </w:p>
    <w:p w14:paraId="489BF6A0" w14:textId="03955CC8" w:rsidR="00772522" w:rsidRPr="00772522" w:rsidRDefault="00772522" w:rsidP="003F411E">
      <w:pPr>
        <w:rPr>
          <w:rFonts w:cs="Arial"/>
          <w:b/>
          <w:bCs/>
          <w:sz w:val="22"/>
          <w:szCs w:val="22"/>
        </w:rPr>
      </w:pPr>
      <w:r w:rsidRPr="00772522">
        <w:rPr>
          <w:rFonts w:cs="Arial"/>
          <w:b/>
          <w:bCs/>
          <w:sz w:val="22"/>
          <w:szCs w:val="22"/>
        </w:rPr>
        <w:t>Respuesta:</w:t>
      </w:r>
    </w:p>
    <w:p w14:paraId="07AAA945" w14:textId="77777777" w:rsidR="00772522" w:rsidRDefault="00772522" w:rsidP="003F411E">
      <w:pPr>
        <w:rPr>
          <w:rFonts w:cs="Arial"/>
          <w:sz w:val="22"/>
          <w:szCs w:val="22"/>
        </w:rPr>
      </w:pPr>
    </w:p>
    <w:p w14:paraId="78C5B8E8" w14:textId="6718DF1D" w:rsidR="00772522" w:rsidRDefault="00772522" w:rsidP="003F411E">
      <w:pPr>
        <w:rPr>
          <w:rFonts w:cs="Arial"/>
          <w:sz w:val="22"/>
          <w:szCs w:val="22"/>
        </w:rPr>
      </w:pPr>
      <w:r>
        <w:rPr>
          <w:rFonts w:cs="Arial"/>
          <w:sz w:val="22"/>
          <w:szCs w:val="22"/>
        </w:rPr>
        <w:t>Se acoge el comentario.</w:t>
      </w:r>
    </w:p>
    <w:p w14:paraId="2E85EED3" w14:textId="77777777" w:rsidR="00772522" w:rsidRDefault="00772522" w:rsidP="003F411E">
      <w:pPr>
        <w:rPr>
          <w:rFonts w:cs="Arial"/>
          <w:sz w:val="22"/>
          <w:szCs w:val="22"/>
        </w:rPr>
      </w:pPr>
    </w:p>
    <w:p w14:paraId="0A859106" w14:textId="3D3AAAB0" w:rsidR="00772522" w:rsidRDefault="006109E0" w:rsidP="003F411E">
      <w:pPr>
        <w:rPr>
          <w:rFonts w:cs="Arial"/>
          <w:sz w:val="22"/>
          <w:szCs w:val="22"/>
        </w:rPr>
      </w:pPr>
      <w:r>
        <w:rPr>
          <w:rFonts w:cs="Arial"/>
          <w:sz w:val="22"/>
          <w:szCs w:val="22"/>
        </w:rPr>
        <w:t xml:space="preserve">En la nueva propuesta se establece que sea registrado </w:t>
      </w:r>
      <w:r w:rsidRPr="006109E0">
        <w:rPr>
          <w:rFonts w:cs="Arial"/>
          <w:sz w:val="22"/>
          <w:szCs w:val="22"/>
        </w:rPr>
        <w:t>como mínimo un (1) día hábil antes del día de inicio de ejecución</w:t>
      </w:r>
      <w:r>
        <w:rPr>
          <w:rFonts w:cs="Arial"/>
          <w:sz w:val="22"/>
          <w:szCs w:val="22"/>
        </w:rPr>
        <w:t>.</w:t>
      </w:r>
    </w:p>
    <w:p w14:paraId="2559A1CC" w14:textId="77777777" w:rsidR="00772522" w:rsidRPr="003F411E" w:rsidRDefault="00772522" w:rsidP="003F411E">
      <w:pPr>
        <w:rPr>
          <w:rFonts w:cs="Arial"/>
          <w:sz w:val="22"/>
          <w:szCs w:val="22"/>
        </w:rPr>
      </w:pPr>
    </w:p>
    <w:p w14:paraId="2530D52A" w14:textId="77777777" w:rsidR="00B249A6" w:rsidRDefault="00B249A6" w:rsidP="003F411E">
      <w:pPr>
        <w:rPr>
          <w:rFonts w:cs="Arial"/>
          <w:sz w:val="22"/>
          <w:szCs w:val="22"/>
        </w:rPr>
      </w:pPr>
    </w:p>
    <w:p w14:paraId="73497F32" w14:textId="77777777" w:rsidR="00B249A6" w:rsidRDefault="003F411E" w:rsidP="00FB04F6">
      <w:pPr>
        <w:pStyle w:val="Ttulo4"/>
      </w:pPr>
      <w:r w:rsidRPr="003F411E">
        <w:t>ISAGEN</w:t>
      </w:r>
      <w:r w:rsidRPr="003F411E">
        <w:tab/>
      </w:r>
    </w:p>
    <w:p w14:paraId="5CC923D1" w14:textId="62A64765" w:rsidR="003F411E" w:rsidRDefault="00BD2CFE" w:rsidP="003F411E">
      <w:pPr>
        <w:rPr>
          <w:rFonts w:cs="Arial"/>
          <w:sz w:val="22"/>
          <w:szCs w:val="22"/>
        </w:rPr>
      </w:pPr>
      <w:r>
        <w:rPr>
          <w:rFonts w:cs="Arial"/>
          <w:i/>
          <w:iCs/>
          <w:sz w:val="22"/>
          <w:szCs w:val="22"/>
        </w:rPr>
        <w:t>“</w:t>
      </w:r>
      <w:r w:rsidR="003F411E" w:rsidRPr="006109E0">
        <w:rPr>
          <w:rFonts w:cs="Arial"/>
          <w:i/>
          <w:iCs/>
          <w:sz w:val="22"/>
          <w:szCs w:val="22"/>
        </w:rPr>
        <w:t xml:space="preserve">Teniendo en cuenta las dificultades experimentadas en la validación en los reportes de consumos de los usuarios finales no regulados UF NR, entre la información reportada entre el UFNR y el Transportador, que es de amplio conocimiento del </w:t>
      </w:r>
      <w:r w:rsidR="005114C6" w:rsidRPr="006109E0">
        <w:rPr>
          <w:rFonts w:cs="Arial"/>
          <w:i/>
          <w:iCs/>
          <w:sz w:val="22"/>
          <w:szCs w:val="22"/>
        </w:rPr>
        <w:t>Gestor del Mercado</w:t>
      </w:r>
      <w:r w:rsidR="003F411E" w:rsidRPr="006109E0">
        <w:rPr>
          <w:rFonts w:cs="Arial"/>
          <w:i/>
          <w:iCs/>
          <w:sz w:val="22"/>
          <w:szCs w:val="22"/>
        </w:rPr>
        <w:t xml:space="preserve">, solicitamos que la declaración de los consumos de los UF se realice exceptuando la declaratoria o sin tener en cuenta los números de contratos de transporte usados. Toda vez que, por ejemplo, para consumos del gas que son tomados del balance positivo de la cuenta de balance del UF, no existe nominación específica para ese día de gas y por lo tanto el transportador no lo registra, pero el UF si porque se presentó realmente un consumo, lo que representa una inconsistencia en la validación de las cantidades para ese día de gas. Por otra parte las cantidades nominadas en los contratos de transporte no coinciden exactamente con los consumos reales del UF, más </w:t>
      </w:r>
      <w:proofErr w:type="spellStart"/>
      <w:r w:rsidR="003F411E" w:rsidRPr="006109E0">
        <w:rPr>
          <w:rFonts w:cs="Arial"/>
          <w:i/>
          <w:iCs/>
          <w:sz w:val="22"/>
          <w:szCs w:val="22"/>
        </w:rPr>
        <w:t>aún</w:t>
      </w:r>
      <w:proofErr w:type="spellEnd"/>
      <w:r w:rsidR="003F411E" w:rsidRPr="006109E0">
        <w:rPr>
          <w:rFonts w:cs="Arial"/>
          <w:i/>
          <w:iCs/>
          <w:sz w:val="22"/>
          <w:szCs w:val="22"/>
        </w:rPr>
        <w:t xml:space="preserve"> entendiendo que la cantidad consumida por un UF es un valor único que se toma de los medidores de consumo y no se tiene en cuenta los contratos de transporte usados, pero la nominación de transporte se puede dar por múltiples contratos de transporte, por eso para registrar dicho consumo en función de los contratos de transporte y como los valores (nominación y consumo) no son exactamente iguales, es necesario hacer una prorrata o división del consumo en función de las cantidades nominadas para declarar el consumo por cada contrato despachado ese día de gas, y en ese cálculo es en donde se presentan diferencias entre la información declarada por el UF y el Transportador, que en muchos caso la plataforma del </w:t>
      </w:r>
      <w:r w:rsidR="005114C6" w:rsidRPr="006109E0">
        <w:rPr>
          <w:rFonts w:cs="Arial"/>
          <w:i/>
          <w:iCs/>
          <w:sz w:val="22"/>
          <w:szCs w:val="22"/>
        </w:rPr>
        <w:t>Gestor del Mercado</w:t>
      </w:r>
      <w:r w:rsidR="003F411E" w:rsidRPr="006109E0">
        <w:rPr>
          <w:rFonts w:cs="Arial"/>
          <w:i/>
          <w:iCs/>
          <w:sz w:val="22"/>
          <w:szCs w:val="22"/>
        </w:rPr>
        <w:t xml:space="preserve"> no identifica</w:t>
      </w:r>
      <w:r w:rsidR="003F411E" w:rsidRPr="003F411E">
        <w:rPr>
          <w:rFonts w:cs="Arial"/>
          <w:sz w:val="22"/>
          <w:szCs w:val="22"/>
        </w:rPr>
        <w:t>.</w:t>
      </w:r>
      <w:r w:rsidR="008C308E">
        <w:rPr>
          <w:rFonts w:cs="Arial"/>
          <w:sz w:val="22"/>
          <w:szCs w:val="22"/>
        </w:rPr>
        <w:t>”</w:t>
      </w:r>
    </w:p>
    <w:p w14:paraId="039CF107" w14:textId="77777777" w:rsidR="006109E0" w:rsidRDefault="006109E0" w:rsidP="003F411E">
      <w:pPr>
        <w:rPr>
          <w:rFonts w:cs="Arial"/>
          <w:sz w:val="22"/>
          <w:szCs w:val="22"/>
        </w:rPr>
      </w:pPr>
    </w:p>
    <w:p w14:paraId="7EDD5186" w14:textId="02604D98" w:rsidR="006109E0" w:rsidRPr="006109E0" w:rsidRDefault="006109E0" w:rsidP="003F411E">
      <w:pPr>
        <w:rPr>
          <w:rFonts w:cs="Arial"/>
          <w:b/>
          <w:bCs/>
          <w:sz w:val="22"/>
          <w:szCs w:val="22"/>
        </w:rPr>
      </w:pPr>
      <w:r w:rsidRPr="006109E0">
        <w:rPr>
          <w:rFonts w:cs="Arial"/>
          <w:b/>
          <w:bCs/>
          <w:sz w:val="22"/>
          <w:szCs w:val="22"/>
        </w:rPr>
        <w:t>Respuesta:</w:t>
      </w:r>
    </w:p>
    <w:p w14:paraId="23A51076" w14:textId="77777777" w:rsidR="006109E0" w:rsidRDefault="006109E0" w:rsidP="003F411E">
      <w:pPr>
        <w:rPr>
          <w:rFonts w:cs="Arial"/>
          <w:sz w:val="22"/>
          <w:szCs w:val="22"/>
        </w:rPr>
      </w:pPr>
    </w:p>
    <w:p w14:paraId="45D914F0" w14:textId="74688BE9" w:rsidR="006109E0" w:rsidRDefault="002F0CF1" w:rsidP="003F411E">
      <w:pPr>
        <w:rPr>
          <w:rFonts w:cs="Arial"/>
          <w:sz w:val="22"/>
          <w:szCs w:val="22"/>
        </w:rPr>
      </w:pPr>
      <w:r>
        <w:rPr>
          <w:rFonts w:cs="Arial"/>
          <w:sz w:val="22"/>
          <w:szCs w:val="22"/>
        </w:rPr>
        <w:t>No se acoge el comentario.</w:t>
      </w:r>
    </w:p>
    <w:p w14:paraId="5E11A91A" w14:textId="77777777" w:rsidR="002F0CF1" w:rsidRDefault="002F0CF1" w:rsidP="003F411E">
      <w:pPr>
        <w:rPr>
          <w:rFonts w:cs="Arial"/>
          <w:sz w:val="22"/>
          <w:szCs w:val="22"/>
        </w:rPr>
      </w:pPr>
    </w:p>
    <w:p w14:paraId="690FF75A" w14:textId="21F695F2" w:rsidR="002F0CF1" w:rsidRPr="003F411E" w:rsidRDefault="008C308E" w:rsidP="003F411E">
      <w:pPr>
        <w:rPr>
          <w:rFonts w:cs="Arial"/>
          <w:sz w:val="22"/>
          <w:szCs w:val="22"/>
        </w:rPr>
      </w:pPr>
      <w:r>
        <w:rPr>
          <w:rFonts w:cs="Arial"/>
          <w:sz w:val="22"/>
          <w:szCs w:val="22"/>
        </w:rPr>
        <w:t>Ver</w:t>
      </w:r>
      <w:r w:rsidR="002F0CF1">
        <w:rPr>
          <w:rFonts w:cs="Arial"/>
          <w:sz w:val="22"/>
          <w:szCs w:val="22"/>
        </w:rPr>
        <w:t xml:space="preserve"> la respuesta a </w:t>
      </w:r>
      <w:r w:rsidR="002F0CF1">
        <w:rPr>
          <w:rFonts w:cs="Arial"/>
          <w:sz w:val="22"/>
          <w:szCs w:val="22"/>
        </w:rPr>
        <w:fldChar w:fldCharType="begin"/>
      </w:r>
      <w:r w:rsidR="002F0CF1">
        <w:rPr>
          <w:rFonts w:cs="Arial"/>
          <w:sz w:val="22"/>
          <w:szCs w:val="22"/>
        </w:rPr>
        <w:instrText xml:space="preserve"> REF _Ref133477145 \r \h </w:instrText>
      </w:r>
      <w:r w:rsidR="002F0CF1">
        <w:rPr>
          <w:rFonts w:cs="Arial"/>
          <w:sz w:val="22"/>
          <w:szCs w:val="22"/>
        </w:rPr>
      </w:r>
      <w:r w:rsidR="002F0CF1">
        <w:rPr>
          <w:rFonts w:cs="Arial"/>
          <w:sz w:val="22"/>
          <w:szCs w:val="22"/>
        </w:rPr>
        <w:fldChar w:fldCharType="separate"/>
      </w:r>
      <w:r w:rsidR="002F0CF1">
        <w:rPr>
          <w:rFonts w:cs="Arial"/>
          <w:sz w:val="22"/>
          <w:szCs w:val="22"/>
        </w:rPr>
        <w:t>36.2.1.27</w:t>
      </w:r>
      <w:r w:rsidR="002F0CF1">
        <w:rPr>
          <w:rFonts w:cs="Arial"/>
          <w:sz w:val="22"/>
          <w:szCs w:val="22"/>
        </w:rPr>
        <w:fldChar w:fldCharType="end"/>
      </w:r>
      <w:r w:rsidR="002F0CF1">
        <w:rPr>
          <w:rFonts w:cs="Arial"/>
          <w:sz w:val="22"/>
          <w:szCs w:val="22"/>
        </w:rPr>
        <w:t>.</w:t>
      </w:r>
    </w:p>
    <w:p w14:paraId="6DA8F9E6" w14:textId="77777777" w:rsidR="00B249A6" w:rsidRDefault="00B249A6" w:rsidP="003F411E">
      <w:pPr>
        <w:rPr>
          <w:rFonts w:cs="Arial"/>
          <w:sz w:val="22"/>
          <w:szCs w:val="22"/>
        </w:rPr>
      </w:pPr>
    </w:p>
    <w:p w14:paraId="27EE9C16" w14:textId="77777777" w:rsidR="00B249A6" w:rsidRDefault="00B249A6" w:rsidP="003F411E">
      <w:pPr>
        <w:rPr>
          <w:rFonts w:cs="Arial"/>
          <w:sz w:val="22"/>
          <w:szCs w:val="22"/>
        </w:rPr>
      </w:pPr>
    </w:p>
    <w:p w14:paraId="3B82DBC5" w14:textId="77777777" w:rsidR="00B249A6" w:rsidRDefault="003F411E" w:rsidP="006A2A19">
      <w:pPr>
        <w:pStyle w:val="Ttulo2"/>
      </w:pPr>
      <w:bookmarkStart w:id="1034" w:name="_Toc140506578"/>
      <w:r w:rsidRPr="003F411E">
        <w:t>MC2 S.A. E.S.P.</w:t>
      </w:r>
      <w:bookmarkEnd w:id="1034"/>
      <w:r w:rsidRPr="003F411E">
        <w:tab/>
      </w:r>
    </w:p>
    <w:p w14:paraId="29B7337B" w14:textId="77777777" w:rsidR="00FB04F6" w:rsidRDefault="00FB04F6" w:rsidP="00FB04F6">
      <w:pPr>
        <w:pStyle w:val="Ttulo4"/>
      </w:pPr>
      <w:bookmarkStart w:id="1035" w:name="_Ref133482107"/>
      <w:r w:rsidRPr="003F411E">
        <w:t>MC2 S.A. E.S.P.</w:t>
      </w:r>
      <w:bookmarkEnd w:id="1035"/>
      <w:r w:rsidRPr="003F411E">
        <w:tab/>
      </w:r>
    </w:p>
    <w:p w14:paraId="2B6FFCFE" w14:textId="0BE32162" w:rsidR="003F411E" w:rsidRPr="002F0CF1" w:rsidRDefault="008C308E" w:rsidP="003F411E">
      <w:pPr>
        <w:rPr>
          <w:rFonts w:cs="Arial"/>
          <w:i/>
          <w:iCs/>
          <w:sz w:val="22"/>
          <w:szCs w:val="22"/>
        </w:rPr>
      </w:pPr>
      <w:r>
        <w:rPr>
          <w:rFonts w:cs="Arial"/>
          <w:i/>
          <w:iCs/>
          <w:sz w:val="22"/>
          <w:szCs w:val="22"/>
        </w:rPr>
        <w:t>“</w:t>
      </w:r>
      <w:r w:rsidR="003F411E" w:rsidRPr="002F0CF1">
        <w:rPr>
          <w:rFonts w:cs="Arial"/>
          <w:i/>
          <w:iCs/>
          <w:sz w:val="22"/>
          <w:szCs w:val="22"/>
        </w:rPr>
        <w:t xml:space="preserve">Numeral romano v, del numeral 1, del anexo 1 tiene un error de redacción pues establece </w:t>
      </w:r>
      <w:r>
        <w:rPr>
          <w:rFonts w:cs="Arial"/>
          <w:i/>
          <w:iCs/>
          <w:sz w:val="22"/>
          <w:szCs w:val="22"/>
        </w:rPr>
        <w:t>‘</w:t>
      </w:r>
      <w:r w:rsidR="003F411E" w:rsidRPr="002F0CF1">
        <w:rPr>
          <w:rFonts w:cs="Arial"/>
          <w:i/>
          <w:iCs/>
          <w:sz w:val="22"/>
          <w:szCs w:val="22"/>
        </w:rPr>
        <w:t>v. de la energía al comprador.</w:t>
      </w:r>
      <w:r>
        <w:rPr>
          <w:rFonts w:cs="Arial"/>
          <w:i/>
          <w:iCs/>
          <w:sz w:val="22"/>
          <w:szCs w:val="22"/>
        </w:rPr>
        <w:t>’</w:t>
      </w:r>
      <w:r w:rsidR="003F411E" w:rsidRPr="002F0CF1">
        <w:rPr>
          <w:rFonts w:cs="Arial"/>
          <w:i/>
          <w:iCs/>
          <w:sz w:val="22"/>
          <w:szCs w:val="22"/>
        </w:rPr>
        <w:t>"</w:t>
      </w:r>
    </w:p>
    <w:p w14:paraId="26A9B04E" w14:textId="77777777" w:rsidR="002F0CF1" w:rsidRDefault="002F0CF1" w:rsidP="003F411E">
      <w:pPr>
        <w:rPr>
          <w:rFonts w:cs="Arial"/>
          <w:sz w:val="22"/>
          <w:szCs w:val="22"/>
        </w:rPr>
      </w:pPr>
    </w:p>
    <w:p w14:paraId="05C24EC5" w14:textId="56E743F7" w:rsidR="002F0CF1" w:rsidRPr="002F0CF1" w:rsidRDefault="002F0CF1" w:rsidP="003F411E">
      <w:pPr>
        <w:rPr>
          <w:rFonts w:cs="Arial"/>
          <w:b/>
          <w:bCs/>
          <w:sz w:val="22"/>
          <w:szCs w:val="22"/>
        </w:rPr>
      </w:pPr>
      <w:r w:rsidRPr="002F0CF1">
        <w:rPr>
          <w:rFonts w:cs="Arial"/>
          <w:b/>
          <w:bCs/>
          <w:sz w:val="22"/>
          <w:szCs w:val="22"/>
        </w:rPr>
        <w:t>Respuesta:</w:t>
      </w:r>
    </w:p>
    <w:p w14:paraId="5C8803A0" w14:textId="77777777" w:rsidR="002F0CF1" w:rsidRDefault="002F0CF1" w:rsidP="003F411E">
      <w:pPr>
        <w:rPr>
          <w:rFonts w:cs="Arial"/>
          <w:sz w:val="22"/>
          <w:szCs w:val="22"/>
        </w:rPr>
      </w:pPr>
    </w:p>
    <w:p w14:paraId="40191E02" w14:textId="669E8C5C" w:rsidR="002F0CF1" w:rsidRDefault="002F0CF1" w:rsidP="003F411E">
      <w:pPr>
        <w:rPr>
          <w:rFonts w:cs="Arial"/>
          <w:sz w:val="22"/>
          <w:szCs w:val="22"/>
        </w:rPr>
      </w:pPr>
      <w:r>
        <w:rPr>
          <w:rFonts w:cs="Arial"/>
          <w:sz w:val="22"/>
          <w:szCs w:val="22"/>
        </w:rPr>
        <w:t>Se acoge el comentario.</w:t>
      </w:r>
    </w:p>
    <w:p w14:paraId="7C29FADF" w14:textId="77777777" w:rsidR="002F0CF1" w:rsidRDefault="002F0CF1" w:rsidP="003F411E">
      <w:pPr>
        <w:rPr>
          <w:rFonts w:cs="Arial"/>
          <w:sz w:val="22"/>
          <w:szCs w:val="22"/>
        </w:rPr>
      </w:pPr>
    </w:p>
    <w:p w14:paraId="5CCBD636" w14:textId="287A60F4" w:rsidR="002F0CF1" w:rsidRDefault="002F0CF1" w:rsidP="003F411E">
      <w:pPr>
        <w:rPr>
          <w:rFonts w:cs="Arial"/>
          <w:sz w:val="22"/>
          <w:szCs w:val="22"/>
        </w:rPr>
      </w:pPr>
      <w:r>
        <w:rPr>
          <w:rFonts w:cs="Arial"/>
          <w:sz w:val="22"/>
          <w:szCs w:val="22"/>
        </w:rPr>
        <w:t>En la nueva propuesta se corrige el error de redacción.</w:t>
      </w:r>
    </w:p>
    <w:p w14:paraId="245D5D7C" w14:textId="77777777" w:rsidR="002F0CF1" w:rsidRPr="003F411E" w:rsidRDefault="002F0CF1" w:rsidP="003F411E">
      <w:pPr>
        <w:rPr>
          <w:rFonts w:cs="Arial"/>
          <w:sz w:val="22"/>
          <w:szCs w:val="22"/>
        </w:rPr>
      </w:pPr>
    </w:p>
    <w:p w14:paraId="4158B15C" w14:textId="77777777" w:rsidR="00B249A6" w:rsidRDefault="00B249A6" w:rsidP="003F411E">
      <w:pPr>
        <w:rPr>
          <w:rFonts w:cs="Arial"/>
          <w:sz w:val="22"/>
          <w:szCs w:val="22"/>
        </w:rPr>
      </w:pPr>
    </w:p>
    <w:p w14:paraId="410C6317" w14:textId="77777777" w:rsidR="00B249A6" w:rsidRDefault="003F411E" w:rsidP="00FB04F6">
      <w:pPr>
        <w:pStyle w:val="Ttulo4"/>
      </w:pPr>
      <w:r w:rsidRPr="003F411E">
        <w:t>MC2 S.A. E.S.P.</w:t>
      </w:r>
      <w:r w:rsidRPr="003F411E">
        <w:tab/>
      </w:r>
    </w:p>
    <w:p w14:paraId="02495D9D" w14:textId="2BC22A45" w:rsidR="003F411E" w:rsidRPr="002F0CF1" w:rsidRDefault="003F411E" w:rsidP="003F411E">
      <w:pPr>
        <w:rPr>
          <w:rFonts w:cs="Arial"/>
          <w:i/>
          <w:iCs/>
          <w:sz w:val="22"/>
          <w:szCs w:val="22"/>
        </w:rPr>
      </w:pPr>
      <w:r w:rsidRPr="003F411E">
        <w:rPr>
          <w:rFonts w:cs="Arial"/>
          <w:sz w:val="22"/>
          <w:szCs w:val="22"/>
        </w:rPr>
        <w:t>"</w:t>
      </w:r>
      <w:r w:rsidRPr="002F0CF1">
        <w:rPr>
          <w:rFonts w:cs="Arial"/>
          <w:i/>
          <w:iCs/>
          <w:sz w:val="22"/>
          <w:szCs w:val="22"/>
        </w:rPr>
        <w:t xml:space="preserve">Numeral romano </w:t>
      </w:r>
      <w:proofErr w:type="spellStart"/>
      <w:r w:rsidRPr="002F0CF1">
        <w:rPr>
          <w:rFonts w:cs="Arial"/>
          <w:i/>
          <w:iCs/>
          <w:sz w:val="22"/>
          <w:szCs w:val="22"/>
        </w:rPr>
        <w:t>iv</w:t>
      </w:r>
      <w:proofErr w:type="spellEnd"/>
      <w:r w:rsidRPr="002F0CF1">
        <w:rPr>
          <w:rFonts w:cs="Arial"/>
          <w:i/>
          <w:iCs/>
          <w:sz w:val="22"/>
          <w:szCs w:val="22"/>
        </w:rPr>
        <w:t>, del literal a, del numeral 3, del Anexo 1 establece que sobre las negociaciones entre Comercializadores Minoristas y usuarios no regulados se debe recopilar la información relacionada con el tipo de demanda, si esta es "</w:t>
      </w:r>
      <w:r w:rsidR="008C308E">
        <w:rPr>
          <w:rFonts w:cs="Arial"/>
          <w:i/>
          <w:iCs/>
          <w:sz w:val="22"/>
          <w:szCs w:val="22"/>
        </w:rPr>
        <w:t>’</w:t>
      </w:r>
      <w:r w:rsidRPr="002F0CF1">
        <w:rPr>
          <w:rFonts w:cs="Arial"/>
          <w:i/>
          <w:iCs/>
          <w:sz w:val="22"/>
          <w:szCs w:val="22"/>
        </w:rPr>
        <w:t>comercial, industrial, gas para transportadores, petroquímica, refinería, gas natural comprimido vehicular, generación térmica u otros. Se deberá declarar el nombre del usuario, la cantidad contratada con el mismo y su ubicación, para lo cual se deberá especificar si se trata de un usuario conectado al SNT o a un sistema de distribución. Si el usuario no regulado está conectado al SNT, el Comercializador Minorista deberá declarar en cuál municipio y departamento se encuentra el punto de salida del usuario. Si el usuario está conectado a un sistema de distribución, el Comercializador Minorista deberá declarar el mercado relevante de Comercialización al que pertenece y el sistema de distribución al que está conectado.</w:t>
      </w:r>
      <w:r w:rsidR="008C308E">
        <w:rPr>
          <w:rFonts w:cs="Arial"/>
          <w:i/>
          <w:iCs/>
          <w:sz w:val="22"/>
          <w:szCs w:val="22"/>
        </w:rPr>
        <w:t>’</w:t>
      </w:r>
    </w:p>
    <w:p w14:paraId="5399127F" w14:textId="77777777" w:rsidR="003F411E" w:rsidRPr="002F0CF1" w:rsidRDefault="003F411E" w:rsidP="003F411E">
      <w:pPr>
        <w:rPr>
          <w:rFonts w:cs="Arial"/>
          <w:i/>
          <w:iCs/>
          <w:sz w:val="22"/>
          <w:szCs w:val="22"/>
        </w:rPr>
      </w:pPr>
    </w:p>
    <w:p w14:paraId="32677066" w14:textId="77777777" w:rsidR="003F411E" w:rsidRPr="002F0CF1" w:rsidRDefault="003F411E" w:rsidP="003F411E">
      <w:pPr>
        <w:rPr>
          <w:rFonts w:cs="Arial"/>
          <w:i/>
          <w:iCs/>
          <w:sz w:val="22"/>
          <w:szCs w:val="22"/>
        </w:rPr>
      </w:pPr>
      <w:r w:rsidRPr="002F0CF1">
        <w:rPr>
          <w:rFonts w:cs="Arial"/>
          <w:i/>
          <w:iCs/>
          <w:sz w:val="22"/>
          <w:szCs w:val="22"/>
        </w:rPr>
        <w:t>¿Qué ocurre con aquellos usuarios no regulados que no están conectados ni al SNT ni a ningún sistema de distribución y que son atendidos a través de otros medios de prestación del servicio diferente a la tubería?"</w:t>
      </w:r>
    </w:p>
    <w:p w14:paraId="0FFB426E" w14:textId="77777777" w:rsidR="002F0CF1" w:rsidRDefault="002F0CF1" w:rsidP="003F411E">
      <w:pPr>
        <w:rPr>
          <w:rFonts w:cs="Arial"/>
          <w:sz w:val="22"/>
          <w:szCs w:val="22"/>
        </w:rPr>
      </w:pPr>
    </w:p>
    <w:p w14:paraId="1755D576" w14:textId="5AE563D9" w:rsidR="002F0CF1" w:rsidRPr="002F0CF1" w:rsidRDefault="002F0CF1" w:rsidP="003F411E">
      <w:pPr>
        <w:rPr>
          <w:rFonts w:cs="Arial"/>
          <w:b/>
          <w:bCs/>
          <w:sz w:val="22"/>
          <w:szCs w:val="22"/>
        </w:rPr>
      </w:pPr>
      <w:r w:rsidRPr="002F0CF1">
        <w:rPr>
          <w:rFonts w:cs="Arial"/>
          <w:b/>
          <w:bCs/>
          <w:sz w:val="22"/>
          <w:szCs w:val="22"/>
        </w:rPr>
        <w:t>Respuesta:</w:t>
      </w:r>
    </w:p>
    <w:p w14:paraId="4DCFC1BF" w14:textId="77777777" w:rsidR="002F0CF1" w:rsidRDefault="002F0CF1" w:rsidP="003F411E">
      <w:pPr>
        <w:rPr>
          <w:rFonts w:cs="Arial"/>
          <w:sz w:val="22"/>
          <w:szCs w:val="22"/>
        </w:rPr>
      </w:pPr>
    </w:p>
    <w:p w14:paraId="3CEEE34E" w14:textId="331CC526" w:rsidR="002F0CF1" w:rsidRDefault="002F0CF1" w:rsidP="003F411E">
      <w:pPr>
        <w:rPr>
          <w:rFonts w:cs="Arial"/>
          <w:sz w:val="22"/>
          <w:szCs w:val="22"/>
        </w:rPr>
      </w:pPr>
      <w:r>
        <w:rPr>
          <w:rFonts w:cs="Arial"/>
          <w:sz w:val="22"/>
          <w:szCs w:val="22"/>
        </w:rPr>
        <w:t>Se acoge el comentario.</w:t>
      </w:r>
    </w:p>
    <w:p w14:paraId="08080019" w14:textId="77777777" w:rsidR="002F0CF1" w:rsidRDefault="002F0CF1" w:rsidP="003F411E">
      <w:pPr>
        <w:rPr>
          <w:rFonts w:cs="Arial"/>
          <w:sz w:val="22"/>
          <w:szCs w:val="22"/>
        </w:rPr>
      </w:pPr>
    </w:p>
    <w:p w14:paraId="1516833B" w14:textId="67428B38" w:rsidR="002F0CF1" w:rsidRDefault="002F0CF1" w:rsidP="003F411E">
      <w:pPr>
        <w:rPr>
          <w:rFonts w:cs="Arial"/>
          <w:sz w:val="22"/>
          <w:szCs w:val="22"/>
        </w:rPr>
      </w:pPr>
      <w:r>
        <w:rPr>
          <w:rFonts w:cs="Arial"/>
          <w:sz w:val="22"/>
          <w:szCs w:val="22"/>
        </w:rPr>
        <w:t>En la nueva propuesta se incluye el requerimiento de información de usuarios no regulados que no son atendidos mediante redes físicas de distribución.</w:t>
      </w:r>
    </w:p>
    <w:p w14:paraId="1CD9FCAA" w14:textId="77777777" w:rsidR="002F0CF1" w:rsidRPr="003F411E" w:rsidRDefault="002F0CF1" w:rsidP="003F411E">
      <w:pPr>
        <w:rPr>
          <w:rFonts w:cs="Arial"/>
          <w:sz w:val="22"/>
          <w:szCs w:val="22"/>
        </w:rPr>
      </w:pPr>
    </w:p>
    <w:p w14:paraId="2F9BDFBE" w14:textId="77777777" w:rsidR="00B249A6" w:rsidRDefault="00B249A6" w:rsidP="003F411E">
      <w:pPr>
        <w:rPr>
          <w:rFonts w:cs="Arial"/>
          <w:sz w:val="22"/>
          <w:szCs w:val="22"/>
        </w:rPr>
      </w:pPr>
    </w:p>
    <w:p w14:paraId="6FA16521" w14:textId="77777777" w:rsidR="00B249A6" w:rsidRDefault="003F411E" w:rsidP="00FB04F6">
      <w:pPr>
        <w:pStyle w:val="Ttulo4"/>
      </w:pPr>
      <w:r w:rsidRPr="003F411E">
        <w:t>MC2 S.A. E.S.P.</w:t>
      </w:r>
      <w:r w:rsidRPr="003F411E">
        <w:tab/>
      </w:r>
    </w:p>
    <w:p w14:paraId="454FD6DD" w14:textId="446C0DBD" w:rsidR="003F411E" w:rsidRPr="002F0CF1" w:rsidRDefault="00F4640A" w:rsidP="003F411E">
      <w:pPr>
        <w:rPr>
          <w:rFonts w:cs="Arial"/>
          <w:i/>
          <w:iCs/>
          <w:sz w:val="22"/>
          <w:szCs w:val="22"/>
        </w:rPr>
      </w:pPr>
      <w:r>
        <w:rPr>
          <w:rFonts w:cs="Arial"/>
          <w:i/>
          <w:iCs/>
          <w:sz w:val="22"/>
          <w:szCs w:val="22"/>
        </w:rPr>
        <w:t>“</w:t>
      </w:r>
      <w:r w:rsidR="003F411E" w:rsidRPr="002F0CF1">
        <w:rPr>
          <w:rFonts w:cs="Arial"/>
          <w:i/>
          <w:iCs/>
          <w:sz w:val="22"/>
          <w:szCs w:val="22"/>
        </w:rPr>
        <w:t xml:space="preserve">Numeral romano </w:t>
      </w:r>
      <w:proofErr w:type="spellStart"/>
      <w:r w:rsidR="003F411E" w:rsidRPr="002F0CF1">
        <w:rPr>
          <w:rFonts w:cs="Arial"/>
          <w:i/>
          <w:iCs/>
          <w:sz w:val="22"/>
          <w:szCs w:val="22"/>
        </w:rPr>
        <w:t>xii</w:t>
      </w:r>
      <w:proofErr w:type="spellEnd"/>
      <w:r w:rsidR="003F411E" w:rsidRPr="002F0CF1">
        <w:rPr>
          <w:rFonts w:cs="Arial"/>
          <w:i/>
          <w:iCs/>
          <w:sz w:val="22"/>
          <w:szCs w:val="22"/>
        </w:rPr>
        <w:t xml:space="preserve">, del literal a, del numeral 3, del Anexo 1 es redundante con el Numeral romano </w:t>
      </w:r>
      <w:proofErr w:type="spellStart"/>
      <w:r w:rsidR="003F411E" w:rsidRPr="002F0CF1">
        <w:rPr>
          <w:rFonts w:cs="Arial"/>
          <w:i/>
          <w:iCs/>
          <w:sz w:val="22"/>
          <w:szCs w:val="22"/>
        </w:rPr>
        <w:t>iv</w:t>
      </w:r>
      <w:proofErr w:type="spellEnd"/>
      <w:r w:rsidR="003F411E" w:rsidRPr="002F0CF1">
        <w:rPr>
          <w:rFonts w:cs="Arial"/>
          <w:i/>
          <w:iCs/>
          <w:sz w:val="22"/>
          <w:szCs w:val="22"/>
        </w:rPr>
        <w:t>, del literal a, del numeral 3, del Anexo 1 en tanto vuelve y establece la obligación de informar si el usuario está conectado a un sistema de distribución o al SNT.</w:t>
      </w:r>
      <w:r>
        <w:rPr>
          <w:rFonts w:cs="Arial"/>
          <w:i/>
          <w:iCs/>
          <w:sz w:val="22"/>
          <w:szCs w:val="22"/>
        </w:rPr>
        <w:t>”</w:t>
      </w:r>
    </w:p>
    <w:p w14:paraId="0330B67D" w14:textId="77777777" w:rsidR="002F0CF1" w:rsidRDefault="002F0CF1" w:rsidP="003F411E">
      <w:pPr>
        <w:rPr>
          <w:rFonts w:cs="Arial"/>
          <w:sz w:val="22"/>
          <w:szCs w:val="22"/>
        </w:rPr>
      </w:pPr>
    </w:p>
    <w:p w14:paraId="63569D72" w14:textId="5B0B4CE6" w:rsidR="002F0CF1" w:rsidRPr="002F0CF1" w:rsidRDefault="002F0CF1" w:rsidP="003F411E">
      <w:pPr>
        <w:rPr>
          <w:rFonts w:cs="Arial"/>
          <w:b/>
          <w:bCs/>
          <w:sz w:val="22"/>
          <w:szCs w:val="22"/>
        </w:rPr>
      </w:pPr>
      <w:r w:rsidRPr="002F0CF1">
        <w:rPr>
          <w:rFonts w:cs="Arial"/>
          <w:b/>
          <w:bCs/>
          <w:sz w:val="22"/>
          <w:szCs w:val="22"/>
        </w:rPr>
        <w:t>Respuesta:</w:t>
      </w:r>
    </w:p>
    <w:p w14:paraId="0B130D6C" w14:textId="77777777" w:rsidR="002F0CF1" w:rsidRDefault="002F0CF1" w:rsidP="003F411E">
      <w:pPr>
        <w:rPr>
          <w:rFonts w:cs="Arial"/>
          <w:sz w:val="22"/>
          <w:szCs w:val="22"/>
        </w:rPr>
      </w:pPr>
    </w:p>
    <w:p w14:paraId="365E28A8" w14:textId="35EBAF40" w:rsidR="002F0CF1" w:rsidRDefault="00B93416" w:rsidP="003F411E">
      <w:pPr>
        <w:rPr>
          <w:rFonts w:cs="Arial"/>
          <w:sz w:val="22"/>
          <w:szCs w:val="22"/>
        </w:rPr>
      </w:pPr>
      <w:r>
        <w:rPr>
          <w:rFonts w:cs="Arial"/>
          <w:sz w:val="22"/>
          <w:szCs w:val="22"/>
        </w:rPr>
        <w:t>Se acoge el comentario.</w:t>
      </w:r>
    </w:p>
    <w:p w14:paraId="2F310D09" w14:textId="77777777" w:rsidR="00B93416" w:rsidRDefault="00B93416" w:rsidP="003F411E">
      <w:pPr>
        <w:rPr>
          <w:rFonts w:cs="Arial"/>
          <w:sz w:val="22"/>
          <w:szCs w:val="22"/>
        </w:rPr>
      </w:pPr>
    </w:p>
    <w:p w14:paraId="0115E94A" w14:textId="63F33018" w:rsidR="00B93416" w:rsidRPr="003F411E" w:rsidRDefault="00B93416" w:rsidP="003F411E">
      <w:pPr>
        <w:rPr>
          <w:rFonts w:cs="Arial"/>
          <w:sz w:val="22"/>
          <w:szCs w:val="22"/>
        </w:rPr>
      </w:pPr>
      <w:r>
        <w:rPr>
          <w:rFonts w:cs="Arial"/>
          <w:sz w:val="22"/>
          <w:szCs w:val="22"/>
        </w:rPr>
        <w:t>En la nueva versión se retira el texto repetido.</w:t>
      </w:r>
    </w:p>
    <w:p w14:paraId="574B2C60" w14:textId="77777777" w:rsidR="00B249A6" w:rsidRDefault="00B249A6" w:rsidP="003F411E">
      <w:pPr>
        <w:rPr>
          <w:rFonts w:cs="Arial"/>
          <w:sz w:val="22"/>
          <w:szCs w:val="22"/>
        </w:rPr>
      </w:pPr>
    </w:p>
    <w:p w14:paraId="1A46EE35" w14:textId="77777777" w:rsidR="00B249A6" w:rsidRDefault="00B249A6" w:rsidP="003F411E">
      <w:pPr>
        <w:rPr>
          <w:rFonts w:cs="Arial"/>
          <w:sz w:val="22"/>
          <w:szCs w:val="22"/>
        </w:rPr>
      </w:pPr>
    </w:p>
    <w:p w14:paraId="13C34578" w14:textId="77777777" w:rsidR="00B249A6" w:rsidRDefault="003F411E" w:rsidP="006A2A19">
      <w:pPr>
        <w:pStyle w:val="Ttulo2"/>
      </w:pPr>
      <w:bookmarkStart w:id="1036" w:name="_Toc140506579"/>
      <w:r w:rsidRPr="003F411E">
        <w:t>PRIME ENERGIA</w:t>
      </w:r>
      <w:bookmarkEnd w:id="1036"/>
      <w:r w:rsidRPr="003F411E">
        <w:tab/>
      </w:r>
    </w:p>
    <w:p w14:paraId="2685F9FC" w14:textId="77777777" w:rsidR="00FB04F6" w:rsidRDefault="00FB04F6" w:rsidP="00FB04F6">
      <w:pPr>
        <w:pStyle w:val="Ttulo4"/>
      </w:pPr>
      <w:r w:rsidRPr="003F411E">
        <w:t>PRIME ENERGIA</w:t>
      </w:r>
      <w:r w:rsidRPr="003F411E">
        <w:tab/>
      </w:r>
    </w:p>
    <w:p w14:paraId="22F2C603" w14:textId="3CC78972" w:rsidR="003F411E" w:rsidRPr="00B93416" w:rsidRDefault="00F4640A" w:rsidP="003F411E">
      <w:pPr>
        <w:rPr>
          <w:rFonts w:cs="Arial"/>
          <w:i/>
          <w:iCs/>
          <w:sz w:val="22"/>
          <w:szCs w:val="22"/>
        </w:rPr>
      </w:pPr>
      <w:r>
        <w:rPr>
          <w:rFonts w:cs="Arial"/>
          <w:i/>
          <w:iCs/>
          <w:sz w:val="22"/>
          <w:szCs w:val="22"/>
        </w:rPr>
        <w:t>“</w:t>
      </w:r>
      <w:r w:rsidR="003F411E" w:rsidRPr="00B93416">
        <w:rPr>
          <w:rFonts w:cs="Arial"/>
          <w:i/>
          <w:iCs/>
          <w:sz w:val="22"/>
          <w:szCs w:val="22"/>
        </w:rPr>
        <w:t xml:space="preserve">En relación con el reporte diario sobre nominaciones y </w:t>
      </w:r>
      <w:proofErr w:type="spellStart"/>
      <w:r w:rsidR="003F411E" w:rsidRPr="00B93416">
        <w:rPr>
          <w:rFonts w:cs="Arial"/>
          <w:i/>
          <w:iCs/>
          <w:sz w:val="22"/>
          <w:szCs w:val="22"/>
        </w:rPr>
        <w:t>renominaciones</w:t>
      </w:r>
      <w:proofErr w:type="spellEnd"/>
      <w:r w:rsidR="003F411E" w:rsidRPr="00B93416">
        <w:rPr>
          <w:rFonts w:cs="Arial"/>
          <w:i/>
          <w:iCs/>
          <w:sz w:val="22"/>
          <w:szCs w:val="22"/>
        </w:rPr>
        <w:t xml:space="preserve"> de gas natural en cabeza de los usuarios no regulados, consideramos que este ejercicio se convierte en una carga operativa adicional que ya está siendo atendida por los comercializadores y distribuidores de gas natural.</w:t>
      </w:r>
      <w:r>
        <w:rPr>
          <w:rFonts w:cs="Arial"/>
          <w:i/>
          <w:iCs/>
          <w:sz w:val="22"/>
          <w:szCs w:val="22"/>
        </w:rPr>
        <w:t>”</w:t>
      </w:r>
    </w:p>
    <w:p w14:paraId="363D100D" w14:textId="77777777" w:rsidR="00B93416" w:rsidRDefault="00B93416" w:rsidP="003F411E">
      <w:pPr>
        <w:rPr>
          <w:rFonts w:cs="Arial"/>
          <w:sz w:val="22"/>
          <w:szCs w:val="22"/>
        </w:rPr>
      </w:pPr>
    </w:p>
    <w:p w14:paraId="3CC58F66" w14:textId="2CB6E592" w:rsidR="00B93416" w:rsidRPr="00B93416" w:rsidRDefault="00B93416" w:rsidP="003F411E">
      <w:pPr>
        <w:rPr>
          <w:rFonts w:cs="Arial"/>
          <w:b/>
          <w:bCs/>
          <w:sz w:val="22"/>
          <w:szCs w:val="22"/>
        </w:rPr>
      </w:pPr>
      <w:r w:rsidRPr="00B93416">
        <w:rPr>
          <w:rFonts w:cs="Arial"/>
          <w:b/>
          <w:bCs/>
          <w:sz w:val="22"/>
          <w:szCs w:val="22"/>
        </w:rPr>
        <w:t>Respuesta:</w:t>
      </w:r>
    </w:p>
    <w:p w14:paraId="17CBB9B0" w14:textId="77777777" w:rsidR="00B93416" w:rsidRDefault="00B93416" w:rsidP="003F411E">
      <w:pPr>
        <w:rPr>
          <w:rFonts w:cs="Arial"/>
          <w:sz w:val="22"/>
          <w:szCs w:val="22"/>
        </w:rPr>
      </w:pPr>
    </w:p>
    <w:p w14:paraId="029C28BF" w14:textId="299BC153" w:rsidR="00B93416" w:rsidRDefault="00B93416" w:rsidP="003F411E">
      <w:pPr>
        <w:rPr>
          <w:rFonts w:cs="Arial"/>
          <w:sz w:val="22"/>
          <w:szCs w:val="22"/>
        </w:rPr>
      </w:pPr>
      <w:r>
        <w:rPr>
          <w:rFonts w:cs="Arial"/>
          <w:sz w:val="22"/>
          <w:szCs w:val="22"/>
        </w:rPr>
        <w:t>No se acoge el comentario.</w:t>
      </w:r>
    </w:p>
    <w:p w14:paraId="4BED0606" w14:textId="77777777" w:rsidR="00B93416" w:rsidRDefault="00B93416" w:rsidP="003F411E">
      <w:pPr>
        <w:rPr>
          <w:rFonts w:cs="Arial"/>
          <w:sz w:val="22"/>
          <w:szCs w:val="22"/>
        </w:rPr>
      </w:pPr>
    </w:p>
    <w:p w14:paraId="6231219C" w14:textId="5CE8507B" w:rsidR="00B93416" w:rsidRDefault="00B93416" w:rsidP="003F411E">
      <w:pPr>
        <w:rPr>
          <w:rFonts w:cs="Arial"/>
          <w:sz w:val="22"/>
          <w:szCs w:val="22"/>
        </w:rPr>
      </w:pPr>
      <w:r>
        <w:rPr>
          <w:rFonts w:cs="Arial"/>
          <w:sz w:val="22"/>
          <w:szCs w:val="22"/>
        </w:rPr>
        <w:t xml:space="preserve">La información de nominaciones y </w:t>
      </w:r>
      <w:proofErr w:type="spellStart"/>
      <w:r>
        <w:rPr>
          <w:rFonts w:cs="Arial"/>
          <w:sz w:val="22"/>
          <w:szCs w:val="22"/>
        </w:rPr>
        <w:t>renominaciones</w:t>
      </w:r>
      <w:proofErr w:type="spellEnd"/>
      <w:r>
        <w:rPr>
          <w:rFonts w:cs="Arial"/>
          <w:sz w:val="22"/>
          <w:szCs w:val="22"/>
        </w:rPr>
        <w:t xml:space="preserve"> la deben dar los compradores del mercado mayorista. Si el usuario no regulado es quien tiene suscrito contratos de suministro con el vendedor del Mercado Primario (porque no puede tenerlo suscrito en el Mercado Secundario), le corresponde a este usuario entregar la información requerida en el Anexo 1. Si el usuario no regulado es realmente atendido por un comercializador se entiende que el comprador del Mercado Mayorista es el comercializador y no el usuario no regulado que en ese caso debería estar siendo atendido por un contrato de prestación del servicio del Mercado Minorista con el comercializador en mención.</w:t>
      </w:r>
    </w:p>
    <w:p w14:paraId="4E44ADFA" w14:textId="77777777" w:rsidR="00B93416" w:rsidRDefault="00B93416" w:rsidP="003F411E">
      <w:pPr>
        <w:rPr>
          <w:rFonts w:cs="Arial"/>
          <w:sz w:val="22"/>
          <w:szCs w:val="22"/>
        </w:rPr>
      </w:pPr>
    </w:p>
    <w:p w14:paraId="2E11D428" w14:textId="77777777" w:rsidR="00B93416" w:rsidRPr="003F411E" w:rsidRDefault="00B93416" w:rsidP="003F411E">
      <w:pPr>
        <w:rPr>
          <w:rFonts w:cs="Arial"/>
          <w:sz w:val="22"/>
          <w:szCs w:val="22"/>
        </w:rPr>
      </w:pPr>
    </w:p>
    <w:p w14:paraId="2EEFEDD1" w14:textId="77777777" w:rsidR="00B249A6" w:rsidRDefault="003F411E" w:rsidP="006A2A19">
      <w:pPr>
        <w:pStyle w:val="Ttulo2"/>
      </w:pPr>
      <w:bookmarkStart w:id="1037" w:name="_Toc140506580"/>
      <w:r w:rsidRPr="003F411E">
        <w:t>SSPD</w:t>
      </w:r>
      <w:bookmarkEnd w:id="1037"/>
      <w:r w:rsidRPr="003F411E">
        <w:tab/>
      </w:r>
    </w:p>
    <w:p w14:paraId="0547CEAF" w14:textId="77777777" w:rsidR="00FB04F6" w:rsidRDefault="00FB04F6" w:rsidP="00FB04F6">
      <w:pPr>
        <w:pStyle w:val="Ttulo4"/>
      </w:pPr>
      <w:bookmarkStart w:id="1038" w:name="_Ref133482377"/>
      <w:r w:rsidRPr="003F411E">
        <w:t>SSPD</w:t>
      </w:r>
      <w:bookmarkEnd w:id="1038"/>
      <w:r w:rsidRPr="003F411E">
        <w:tab/>
      </w:r>
    </w:p>
    <w:p w14:paraId="56A31FE1" w14:textId="2EA5EFDE" w:rsidR="003F411E" w:rsidRDefault="003F411E" w:rsidP="003F411E">
      <w:pPr>
        <w:rPr>
          <w:rFonts w:cs="Arial"/>
          <w:i/>
          <w:iCs/>
          <w:sz w:val="22"/>
          <w:szCs w:val="22"/>
        </w:rPr>
      </w:pPr>
      <w:r w:rsidRPr="003F411E">
        <w:rPr>
          <w:rFonts w:cs="Arial"/>
          <w:sz w:val="22"/>
          <w:szCs w:val="22"/>
        </w:rPr>
        <w:t>"</w:t>
      </w:r>
      <w:r w:rsidRPr="00B93416">
        <w:rPr>
          <w:rFonts w:cs="Arial"/>
          <w:i/>
          <w:iCs/>
          <w:sz w:val="22"/>
          <w:szCs w:val="22"/>
        </w:rPr>
        <w:t>Reporte anual de precios indexados</w:t>
      </w:r>
    </w:p>
    <w:p w14:paraId="30D5EA1C" w14:textId="77777777" w:rsidR="00B93416" w:rsidRPr="00B93416" w:rsidRDefault="00B93416" w:rsidP="003F411E">
      <w:pPr>
        <w:rPr>
          <w:rFonts w:cs="Arial"/>
          <w:i/>
          <w:iCs/>
          <w:sz w:val="22"/>
          <w:szCs w:val="22"/>
        </w:rPr>
      </w:pPr>
    </w:p>
    <w:p w14:paraId="7AC63535" w14:textId="3559DDA1" w:rsidR="003F411E" w:rsidRPr="00B93416" w:rsidRDefault="003F411E" w:rsidP="003F411E">
      <w:pPr>
        <w:rPr>
          <w:rFonts w:cs="Arial"/>
          <w:i/>
          <w:iCs/>
          <w:sz w:val="22"/>
          <w:szCs w:val="22"/>
        </w:rPr>
      </w:pPr>
      <w:r w:rsidRPr="00B93416">
        <w:rPr>
          <w:rFonts w:cs="Arial"/>
          <w:i/>
          <w:iCs/>
          <w:sz w:val="22"/>
          <w:szCs w:val="22"/>
        </w:rPr>
        <w:t xml:space="preserve">Con el propósito de generar información oportuna y suficiente para las autoridades de control y vigilancia, se hace necesario que los agentes reporten al </w:t>
      </w:r>
      <w:r w:rsidR="005114C6" w:rsidRPr="00B93416">
        <w:rPr>
          <w:rFonts w:cs="Arial"/>
          <w:i/>
          <w:iCs/>
          <w:sz w:val="22"/>
          <w:szCs w:val="22"/>
        </w:rPr>
        <w:t>Gestor del Mercado</w:t>
      </w:r>
      <w:r w:rsidRPr="00B93416">
        <w:rPr>
          <w:rFonts w:cs="Arial"/>
          <w:i/>
          <w:iCs/>
          <w:sz w:val="22"/>
          <w:szCs w:val="22"/>
        </w:rPr>
        <w:t>, además del precio suscrito en el contrato, el precio indexado vigente y que regirá como resultado de aplicar la actualización de precios del Artículo 15."</w:t>
      </w:r>
    </w:p>
    <w:p w14:paraId="4EE44ACC" w14:textId="77777777" w:rsidR="00B93416" w:rsidRDefault="00B93416" w:rsidP="003F411E">
      <w:pPr>
        <w:rPr>
          <w:rFonts w:cs="Arial"/>
          <w:sz w:val="22"/>
          <w:szCs w:val="22"/>
        </w:rPr>
      </w:pPr>
    </w:p>
    <w:p w14:paraId="0255EBB0" w14:textId="57F55D6F" w:rsidR="00B93416" w:rsidRPr="00B93416" w:rsidRDefault="00B93416" w:rsidP="003F411E">
      <w:pPr>
        <w:rPr>
          <w:rFonts w:cs="Arial"/>
          <w:b/>
          <w:bCs/>
          <w:sz w:val="22"/>
          <w:szCs w:val="22"/>
        </w:rPr>
      </w:pPr>
      <w:r w:rsidRPr="00B93416">
        <w:rPr>
          <w:rFonts w:cs="Arial"/>
          <w:b/>
          <w:bCs/>
          <w:sz w:val="22"/>
          <w:szCs w:val="22"/>
        </w:rPr>
        <w:t>Respuesta:</w:t>
      </w:r>
    </w:p>
    <w:p w14:paraId="70828B45" w14:textId="77777777" w:rsidR="00B93416" w:rsidRDefault="00B93416" w:rsidP="003F411E">
      <w:pPr>
        <w:rPr>
          <w:rFonts w:cs="Arial"/>
          <w:sz w:val="22"/>
          <w:szCs w:val="22"/>
        </w:rPr>
      </w:pPr>
    </w:p>
    <w:p w14:paraId="27B2FB83" w14:textId="619C77FE" w:rsidR="00B93416" w:rsidRDefault="00B93416" w:rsidP="003F411E">
      <w:pPr>
        <w:rPr>
          <w:rFonts w:cs="Arial"/>
          <w:sz w:val="22"/>
          <w:szCs w:val="22"/>
        </w:rPr>
      </w:pPr>
      <w:r>
        <w:rPr>
          <w:rFonts w:cs="Arial"/>
          <w:sz w:val="22"/>
          <w:szCs w:val="22"/>
        </w:rPr>
        <w:t xml:space="preserve">En la nueva propuesta se incluye </w:t>
      </w:r>
      <w:r w:rsidR="00F117C5">
        <w:rPr>
          <w:rFonts w:cs="Arial"/>
          <w:sz w:val="22"/>
          <w:szCs w:val="22"/>
        </w:rPr>
        <w:t xml:space="preserve">que las partes de un contrato de suministro del Mercado Primario y del Secundario, </w:t>
      </w:r>
      <w:r w:rsidR="00F117C5" w:rsidRPr="00F117C5">
        <w:rPr>
          <w:rFonts w:cs="Arial"/>
          <w:sz w:val="22"/>
          <w:szCs w:val="22"/>
        </w:rPr>
        <w:t>deberá</w:t>
      </w:r>
      <w:r w:rsidR="00F117C5">
        <w:rPr>
          <w:rFonts w:cs="Arial"/>
          <w:sz w:val="22"/>
          <w:szCs w:val="22"/>
        </w:rPr>
        <w:t>n</w:t>
      </w:r>
      <w:r w:rsidR="00F117C5" w:rsidRPr="00F117C5">
        <w:rPr>
          <w:rFonts w:cs="Arial"/>
          <w:sz w:val="22"/>
          <w:szCs w:val="22"/>
        </w:rPr>
        <w:t xml:space="preserve"> informar el nuevo precio actualizado a aplicar en dicho contrato</w:t>
      </w:r>
      <w:r w:rsidR="00F117C5">
        <w:rPr>
          <w:rFonts w:cs="Arial"/>
          <w:sz w:val="22"/>
          <w:szCs w:val="22"/>
        </w:rPr>
        <w:t>, c</w:t>
      </w:r>
      <w:r w:rsidR="00F117C5" w:rsidRPr="00F117C5">
        <w:rPr>
          <w:rFonts w:cs="Arial"/>
          <w:sz w:val="22"/>
          <w:szCs w:val="22"/>
        </w:rPr>
        <w:t>ada vez que se produzca una actualización de precios del contrato de suministro</w:t>
      </w:r>
      <w:r w:rsidR="00F117C5">
        <w:rPr>
          <w:rFonts w:cs="Arial"/>
          <w:sz w:val="22"/>
          <w:szCs w:val="22"/>
        </w:rPr>
        <w:t>.</w:t>
      </w:r>
      <w:r w:rsidR="00F117C5" w:rsidRPr="00F117C5">
        <w:rPr>
          <w:rFonts w:cs="Arial"/>
          <w:sz w:val="22"/>
          <w:szCs w:val="22"/>
        </w:rPr>
        <w:t xml:space="preserve"> </w:t>
      </w:r>
    </w:p>
    <w:p w14:paraId="56E62A7A" w14:textId="77777777" w:rsidR="00B93416" w:rsidRDefault="00B93416" w:rsidP="003F411E">
      <w:pPr>
        <w:rPr>
          <w:rFonts w:cs="Arial"/>
          <w:sz w:val="22"/>
          <w:szCs w:val="22"/>
        </w:rPr>
      </w:pPr>
    </w:p>
    <w:p w14:paraId="1160F37E" w14:textId="77777777" w:rsidR="00B93416" w:rsidRPr="003F411E" w:rsidRDefault="00B93416" w:rsidP="003F411E">
      <w:pPr>
        <w:rPr>
          <w:rFonts w:cs="Arial"/>
          <w:sz w:val="22"/>
          <w:szCs w:val="22"/>
        </w:rPr>
      </w:pPr>
    </w:p>
    <w:p w14:paraId="379D33FC" w14:textId="77777777" w:rsidR="00B249A6" w:rsidRDefault="003F411E" w:rsidP="00FB04F6">
      <w:pPr>
        <w:pStyle w:val="Ttulo4"/>
      </w:pPr>
      <w:r w:rsidRPr="003F411E">
        <w:t>SSPD</w:t>
      </w:r>
      <w:r w:rsidRPr="003F411E">
        <w:tab/>
      </w:r>
    </w:p>
    <w:p w14:paraId="20F4390D" w14:textId="39D87F49" w:rsidR="003F411E" w:rsidRPr="00F117C5" w:rsidRDefault="00734BFD" w:rsidP="003F411E">
      <w:pPr>
        <w:rPr>
          <w:rFonts w:cs="Arial"/>
          <w:i/>
          <w:iCs/>
          <w:sz w:val="22"/>
          <w:szCs w:val="22"/>
        </w:rPr>
      </w:pPr>
      <w:r>
        <w:rPr>
          <w:rFonts w:cs="Arial"/>
          <w:i/>
          <w:iCs/>
          <w:sz w:val="22"/>
          <w:szCs w:val="22"/>
        </w:rPr>
        <w:t>“</w:t>
      </w:r>
      <w:r w:rsidR="003F411E" w:rsidRPr="00F117C5">
        <w:rPr>
          <w:rFonts w:cs="Arial"/>
          <w:i/>
          <w:iCs/>
          <w:sz w:val="22"/>
          <w:szCs w:val="22"/>
        </w:rPr>
        <w:t>Es necesario ajustar el inicio del párrafo del inciso v. del numeral a), de la sección 1.1, dado que su redacción es confusa.</w:t>
      </w:r>
      <w:r w:rsidR="002B00E5">
        <w:rPr>
          <w:rFonts w:cs="Arial"/>
          <w:i/>
          <w:iCs/>
          <w:sz w:val="22"/>
          <w:szCs w:val="22"/>
        </w:rPr>
        <w:t>”</w:t>
      </w:r>
    </w:p>
    <w:p w14:paraId="1D9098B6" w14:textId="77777777" w:rsidR="00F117C5" w:rsidRDefault="00F117C5" w:rsidP="003F411E">
      <w:pPr>
        <w:rPr>
          <w:rFonts w:cs="Arial"/>
          <w:sz w:val="22"/>
          <w:szCs w:val="22"/>
        </w:rPr>
      </w:pPr>
    </w:p>
    <w:p w14:paraId="7B8D2766" w14:textId="485471C5" w:rsidR="00F117C5" w:rsidRDefault="00F117C5" w:rsidP="003F411E">
      <w:pPr>
        <w:rPr>
          <w:rFonts w:cs="Arial"/>
          <w:b/>
          <w:bCs/>
          <w:sz w:val="22"/>
          <w:szCs w:val="22"/>
        </w:rPr>
      </w:pPr>
      <w:r w:rsidRPr="00F117C5">
        <w:rPr>
          <w:rFonts w:cs="Arial"/>
          <w:b/>
          <w:bCs/>
          <w:sz w:val="22"/>
          <w:szCs w:val="22"/>
        </w:rPr>
        <w:t>Respuesta:</w:t>
      </w:r>
    </w:p>
    <w:p w14:paraId="7BF12A32" w14:textId="77777777" w:rsidR="002B00E5" w:rsidRPr="00F117C5" w:rsidRDefault="002B00E5" w:rsidP="003F411E">
      <w:pPr>
        <w:rPr>
          <w:rFonts w:cs="Arial"/>
          <w:b/>
          <w:bCs/>
          <w:sz w:val="22"/>
          <w:szCs w:val="22"/>
        </w:rPr>
      </w:pPr>
    </w:p>
    <w:p w14:paraId="34E45CFD" w14:textId="36C59C71" w:rsidR="00F117C5" w:rsidRDefault="00F117C5"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_Ref133482107 \r \h </w:instrText>
      </w:r>
      <w:r>
        <w:rPr>
          <w:rFonts w:cs="Arial"/>
          <w:sz w:val="22"/>
          <w:szCs w:val="22"/>
        </w:rPr>
      </w:r>
      <w:r>
        <w:rPr>
          <w:rFonts w:cs="Arial"/>
          <w:sz w:val="22"/>
          <w:szCs w:val="22"/>
        </w:rPr>
        <w:fldChar w:fldCharType="separate"/>
      </w:r>
      <w:r>
        <w:rPr>
          <w:rFonts w:cs="Arial"/>
          <w:sz w:val="22"/>
          <w:szCs w:val="22"/>
        </w:rPr>
        <w:t>36.5.1.1</w:t>
      </w:r>
      <w:r>
        <w:rPr>
          <w:rFonts w:cs="Arial"/>
          <w:sz w:val="22"/>
          <w:szCs w:val="22"/>
        </w:rPr>
        <w:fldChar w:fldCharType="end"/>
      </w:r>
      <w:r>
        <w:rPr>
          <w:rFonts w:cs="Arial"/>
          <w:sz w:val="22"/>
          <w:szCs w:val="22"/>
        </w:rPr>
        <w:t>.</w:t>
      </w:r>
    </w:p>
    <w:p w14:paraId="469143C5" w14:textId="77777777" w:rsidR="00F117C5" w:rsidRPr="003F411E" w:rsidRDefault="00F117C5" w:rsidP="003F411E">
      <w:pPr>
        <w:rPr>
          <w:rFonts w:cs="Arial"/>
          <w:sz w:val="22"/>
          <w:szCs w:val="22"/>
        </w:rPr>
      </w:pPr>
    </w:p>
    <w:p w14:paraId="5DCA8348" w14:textId="77777777" w:rsidR="00B249A6" w:rsidRDefault="00B249A6" w:rsidP="003F411E">
      <w:pPr>
        <w:rPr>
          <w:rFonts w:cs="Arial"/>
          <w:sz w:val="22"/>
          <w:szCs w:val="22"/>
        </w:rPr>
      </w:pPr>
    </w:p>
    <w:p w14:paraId="58EF7797" w14:textId="77777777" w:rsidR="00B249A6" w:rsidRDefault="003F411E" w:rsidP="00FB04F6">
      <w:pPr>
        <w:pStyle w:val="Ttulo4"/>
      </w:pPr>
      <w:r w:rsidRPr="003F411E">
        <w:t>SSPD</w:t>
      </w:r>
      <w:r w:rsidRPr="003F411E">
        <w:tab/>
      </w:r>
    </w:p>
    <w:p w14:paraId="543D78DE" w14:textId="26A03B9A" w:rsidR="003F411E" w:rsidRPr="00F117C5" w:rsidRDefault="002B00E5" w:rsidP="003F411E">
      <w:pPr>
        <w:rPr>
          <w:rFonts w:cs="Arial"/>
          <w:i/>
          <w:iCs/>
          <w:sz w:val="22"/>
          <w:szCs w:val="22"/>
        </w:rPr>
      </w:pPr>
      <w:r>
        <w:rPr>
          <w:rFonts w:cs="Arial"/>
          <w:i/>
          <w:iCs/>
          <w:sz w:val="22"/>
          <w:szCs w:val="22"/>
        </w:rPr>
        <w:t>“</w:t>
      </w:r>
      <w:r w:rsidR="003F411E" w:rsidRPr="00F117C5">
        <w:rPr>
          <w:rFonts w:cs="Arial"/>
          <w:i/>
          <w:iCs/>
          <w:sz w:val="22"/>
          <w:szCs w:val="22"/>
        </w:rPr>
        <w:t>Es necesario especificar a que parágrafo del artículo 22 se hace referencia, dado que existen 3 parágrafos.</w:t>
      </w:r>
      <w:r>
        <w:rPr>
          <w:rFonts w:cs="Arial"/>
          <w:i/>
          <w:iCs/>
          <w:sz w:val="22"/>
          <w:szCs w:val="22"/>
        </w:rPr>
        <w:t>”</w:t>
      </w:r>
    </w:p>
    <w:p w14:paraId="27973C70" w14:textId="77777777" w:rsidR="00F117C5" w:rsidRDefault="00F117C5" w:rsidP="003F411E">
      <w:pPr>
        <w:rPr>
          <w:rFonts w:cs="Arial"/>
          <w:sz w:val="22"/>
          <w:szCs w:val="22"/>
        </w:rPr>
      </w:pPr>
    </w:p>
    <w:p w14:paraId="5754F841" w14:textId="1A2B7836" w:rsidR="00F117C5" w:rsidRPr="00F117C5" w:rsidRDefault="00F117C5" w:rsidP="003F411E">
      <w:pPr>
        <w:rPr>
          <w:rFonts w:cs="Arial"/>
          <w:b/>
          <w:bCs/>
          <w:sz w:val="22"/>
          <w:szCs w:val="22"/>
        </w:rPr>
      </w:pPr>
      <w:r w:rsidRPr="00F117C5">
        <w:rPr>
          <w:rFonts w:cs="Arial"/>
          <w:b/>
          <w:bCs/>
          <w:sz w:val="22"/>
          <w:szCs w:val="22"/>
        </w:rPr>
        <w:t>Respuesta:</w:t>
      </w:r>
    </w:p>
    <w:p w14:paraId="34035B2F" w14:textId="77777777" w:rsidR="00F117C5" w:rsidRDefault="00F117C5" w:rsidP="003F411E">
      <w:pPr>
        <w:rPr>
          <w:rFonts w:cs="Arial"/>
          <w:sz w:val="22"/>
          <w:szCs w:val="22"/>
        </w:rPr>
      </w:pPr>
    </w:p>
    <w:p w14:paraId="21FCDDBC" w14:textId="43F99914" w:rsidR="00F117C5" w:rsidRDefault="00F117C5"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_Ref133143636 \r \h </w:instrText>
      </w:r>
      <w:r>
        <w:rPr>
          <w:rFonts w:cs="Arial"/>
          <w:sz w:val="22"/>
          <w:szCs w:val="22"/>
        </w:rPr>
      </w:r>
      <w:r>
        <w:rPr>
          <w:rFonts w:cs="Arial"/>
          <w:sz w:val="22"/>
          <w:szCs w:val="22"/>
        </w:rPr>
        <w:fldChar w:fldCharType="separate"/>
      </w:r>
      <w:r>
        <w:rPr>
          <w:rFonts w:cs="Arial"/>
          <w:sz w:val="22"/>
          <w:szCs w:val="22"/>
        </w:rPr>
        <w:t>20.6.1.2</w:t>
      </w:r>
      <w:r>
        <w:rPr>
          <w:rFonts w:cs="Arial"/>
          <w:sz w:val="22"/>
          <w:szCs w:val="22"/>
        </w:rPr>
        <w:fldChar w:fldCharType="end"/>
      </w:r>
      <w:r>
        <w:rPr>
          <w:rFonts w:cs="Arial"/>
          <w:sz w:val="22"/>
          <w:szCs w:val="22"/>
        </w:rPr>
        <w:t>.</w:t>
      </w:r>
    </w:p>
    <w:p w14:paraId="1A1BF4CE" w14:textId="77777777" w:rsidR="00F117C5" w:rsidRPr="003F411E" w:rsidRDefault="00F117C5" w:rsidP="003F411E">
      <w:pPr>
        <w:rPr>
          <w:rFonts w:cs="Arial"/>
          <w:sz w:val="22"/>
          <w:szCs w:val="22"/>
        </w:rPr>
      </w:pPr>
    </w:p>
    <w:p w14:paraId="2C6A8B30" w14:textId="77777777" w:rsidR="00B249A6" w:rsidRDefault="00B249A6" w:rsidP="003F411E">
      <w:pPr>
        <w:rPr>
          <w:rFonts w:cs="Arial"/>
          <w:sz w:val="22"/>
          <w:szCs w:val="22"/>
        </w:rPr>
      </w:pPr>
    </w:p>
    <w:p w14:paraId="256A9872" w14:textId="77777777" w:rsidR="00B249A6" w:rsidRDefault="003F411E" w:rsidP="00FB04F6">
      <w:pPr>
        <w:pStyle w:val="Ttulo4"/>
      </w:pPr>
      <w:r w:rsidRPr="003F411E">
        <w:t>SSPD</w:t>
      </w:r>
      <w:r w:rsidRPr="003F411E">
        <w:tab/>
      </w:r>
    </w:p>
    <w:p w14:paraId="5552D1FC" w14:textId="0E6A772C" w:rsidR="003F411E" w:rsidRPr="00F117C5" w:rsidRDefault="003F411E" w:rsidP="003F411E">
      <w:pPr>
        <w:rPr>
          <w:rFonts w:cs="Arial"/>
          <w:i/>
          <w:iCs/>
          <w:sz w:val="22"/>
          <w:szCs w:val="22"/>
        </w:rPr>
      </w:pPr>
      <w:r w:rsidRPr="003F411E">
        <w:rPr>
          <w:rFonts w:cs="Arial"/>
          <w:sz w:val="22"/>
          <w:szCs w:val="22"/>
        </w:rPr>
        <w:t>"</w:t>
      </w:r>
      <w:r w:rsidRPr="00F117C5">
        <w:rPr>
          <w:rFonts w:cs="Arial"/>
          <w:i/>
          <w:iCs/>
          <w:sz w:val="22"/>
          <w:szCs w:val="22"/>
        </w:rPr>
        <w:t xml:space="preserve">Se sugiere que los comercializadores minoristas reporten periódicamente (anual o con cuando se genere la actualización de precios) los precios resultantes de aplicar los indexadores que aplican en los contratos suscritos entre los comercializadores minoristas y los usuarios no regulados. Lo anterior bajo el entendimiento de que existen contratos de largo plazo en la comercialización minorista. </w:t>
      </w:r>
    </w:p>
    <w:p w14:paraId="654E9B9E" w14:textId="77777777" w:rsidR="003F411E" w:rsidRPr="00F117C5" w:rsidRDefault="003F411E" w:rsidP="003F411E">
      <w:pPr>
        <w:rPr>
          <w:rFonts w:cs="Arial"/>
          <w:i/>
          <w:iCs/>
          <w:sz w:val="22"/>
          <w:szCs w:val="22"/>
        </w:rPr>
      </w:pPr>
    </w:p>
    <w:p w14:paraId="13B4EBE5" w14:textId="77777777" w:rsidR="003F411E" w:rsidRDefault="003F411E" w:rsidP="003F411E">
      <w:pPr>
        <w:rPr>
          <w:rFonts w:cs="Arial"/>
          <w:sz w:val="22"/>
          <w:szCs w:val="22"/>
        </w:rPr>
      </w:pPr>
      <w:r w:rsidRPr="00F117C5">
        <w:rPr>
          <w:rFonts w:cs="Arial"/>
          <w:i/>
          <w:iCs/>
          <w:sz w:val="22"/>
          <w:szCs w:val="22"/>
        </w:rPr>
        <w:t xml:space="preserve">Por otro </w:t>
      </w:r>
      <w:proofErr w:type="gramStart"/>
      <w:r w:rsidRPr="00F117C5">
        <w:rPr>
          <w:rFonts w:cs="Arial"/>
          <w:i/>
          <w:iCs/>
          <w:sz w:val="22"/>
          <w:szCs w:val="22"/>
        </w:rPr>
        <w:t>lado</w:t>
      </w:r>
      <w:proofErr w:type="gramEnd"/>
      <w:r w:rsidRPr="00F117C5">
        <w:rPr>
          <w:rFonts w:cs="Arial"/>
          <w:i/>
          <w:iCs/>
          <w:sz w:val="22"/>
          <w:szCs w:val="22"/>
        </w:rPr>
        <w:t xml:space="preserve"> la publicación de estos precios promedio ponderado indexados con destino a Usuarios no Regulados, sería útil para conocimiento de todo el mercado. Lo anterior, en la medida en que contribuye a la competencia disminuyendo las asimetrías de información que pueden tener los nuevos comercializadores o usuarios.</w:t>
      </w:r>
      <w:r w:rsidRPr="003F411E">
        <w:rPr>
          <w:rFonts w:cs="Arial"/>
          <w:sz w:val="22"/>
          <w:szCs w:val="22"/>
        </w:rPr>
        <w:t xml:space="preserve"> "</w:t>
      </w:r>
    </w:p>
    <w:p w14:paraId="1891B57B" w14:textId="77777777" w:rsidR="00F117C5" w:rsidRDefault="00F117C5" w:rsidP="003F411E">
      <w:pPr>
        <w:rPr>
          <w:rFonts w:cs="Arial"/>
          <w:sz w:val="22"/>
          <w:szCs w:val="22"/>
        </w:rPr>
      </w:pPr>
    </w:p>
    <w:p w14:paraId="7CD8292A" w14:textId="066C9161" w:rsidR="00F117C5" w:rsidRPr="00F117C5" w:rsidRDefault="00F117C5" w:rsidP="003F411E">
      <w:pPr>
        <w:rPr>
          <w:rFonts w:cs="Arial"/>
          <w:b/>
          <w:bCs/>
          <w:sz w:val="22"/>
          <w:szCs w:val="22"/>
        </w:rPr>
      </w:pPr>
      <w:r w:rsidRPr="00F117C5">
        <w:rPr>
          <w:rFonts w:cs="Arial"/>
          <w:b/>
          <w:bCs/>
          <w:sz w:val="22"/>
          <w:szCs w:val="22"/>
        </w:rPr>
        <w:t>Respuesta:</w:t>
      </w:r>
    </w:p>
    <w:p w14:paraId="5F59ED7F" w14:textId="77777777" w:rsidR="00F117C5" w:rsidRDefault="00F117C5" w:rsidP="003F411E">
      <w:pPr>
        <w:rPr>
          <w:rFonts w:cs="Arial"/>
          <w:sz w:val="22"/>
          <w:szCs w:val="22"/>
        </w:rPr>
      </w:pPr>
    </w:p>
    <w:p w14:paraId="3D00CEE8" w14:textId="5667E117" w:rsidR="00F117C5" w:rsidRDefault="0013501D"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_Ref133482377 \r \h </w:instrText>
      </w:r>
      <w:r>
        <w:rPr>
          <w:rFonts w:cs="Arial"/>
          <w:sz w:val="22"/>
          <w:szCs w:val="22"/>
        </w:rPr>
      </w:r>
      <w:r>
        <w:rPr>
          <w:rFonts w:cs="Arial"/>
          <w:sz w:val="22"/>
          <w:szCs w:val="22"/>
        </w:rPr>
        <w:fldChar w:fldCharType="separate"/>
      </w:r>
      <w:r>
        <w:rPr>
          <w:rFonts w:cs="Arial"/>
          <w:sz w:val="22"/>
          <w:szCs w:val="22"/>
        </w:rPr>
        <w:t>36.7.1.1</w:t>
      </w:r>
      <w:r>
        <w:rPr>
          <w:rFonts w:cs="Arial"/>
          <w:sz w:val="22"/>
          <w:szCs w:val="22"/>
        </w:rPr>
        <w:fldChar w:fldCharType="end"/>
      </w:r>
      <w:r>
        <w:rPr>
          <w:rFonts w:cs="Arial"/>
          <w:sz w:val="22"/>
          <w:szCs w:val="22"/>
        </w:rPr>
        <w:t>.</w:t>
      </w:r>
    </w:p>
    <w:p w14:paraId="4919B3F4" w14:textId="77777777" w:rsidR="00F117C5" w:rsidRPr="003F411E" w:rsidRDefault="00F117C5" w:rsidP="003F411E">
      <w:pPr>
        <w:rPr>
          <w:rFonts w:cs="Arial"/>
          <w:sz w:val="22"/>
          <w:szCs w:val="22"/>
        </w:rPr>
      </w:pPr>
    </w:p>
    <w:p w14:paraId="60B8ACD3" w14:textId="77777777" w:rsidR="00B249A6" w:rsidRDefault="00B249A6" w:rsidP="003F411E">
      <w:pPr>
        <w:rPr>
          <w:rFonts w:cs="Arial"/>
          <w:sz w:val="22"/>
          <w:szCs w:val="22"/>
        </w:rPr>
      </w:pPr>
    </w:p>
    <w:p w14:paraId="3093B1A0" w14:textId="77777777" w:rsidR="00B249A6" w:rsidRDefault="003F411E" w:rsidP="00FB04F6">
      <w:pPr>
        <w:pStyle w:val="Ttulo4"/>
      </w:pPr>
      <w:r w:rsidRPr="003F411E">
        <w:t>SSPD</w:t>
      </w:r>
      <w:r w:rsidRPr="003F411E">
        <w:tab/>
      </w:r>
    </w:p>
    <w:p w14:paraId="1ECA6E76" w14:textId="27CAF7DD" w:rsidR="003F411E" w:rsidRPr="0013501D" w:rsidRDefault="003F411E" w:rsidP="003F411E">
      <w:pPr>
        <w:rPr>
          <w:rFonts w:cs="Arial"/>
          <w:i/>
          <w:iCs/>
          <w:sz w:val="22"/>
          <w:szCs w:val="22"/>
        </w:rPr>
      </w:pPr>
      <w:r w:rsidRPr="003F411E">
        <w:rPr>
          <w:rFonts w:cs="Arial"/>
          <w:sz w:val="22"/>
          <w:szCs w:val="22"/>
        </w:rPr>
        <w:t>"</w:t>
      </w:r>
      <w:r w:rsidRPr="0013501D">
        <w:rPr>
          <w:rFonts w:cs="Arial"/>
          <w:i/>
          <w:iCs/>
          <w:sz w:val="22"/>
          <w:szCs w:val="22"/>
        </w:rPr>
        <w:t>De acuerdo con el documento CREG 188-2021:</w:t>
      </w:r>
    </w:p>
    <w:p w14:paraId="56FC562B" w14:textId="77777777" w:rsidR="003F411E" w:rsidRPr="0013501D" w:rsidRDefault="003F411E" w:rsidP="003F411E">
      <w:pPr>
        <w:rPr>
          <w:rFonts w:cs="Arial"/>
          <w:i/>
          <w:iCs/>
          <w:sz w:val="22"/>
          <w:szCs w:val="22"/>
        </w:rPr>
      </w:pPr>
    </w:p>
    <w:p w14:paraId="29829D65" w14:textId="52DC6DE2" w:rsidR="003F411E" w:rsidRPr="0013501D" w:rsidRDefault="002B00E5" w:rsidP="003F411E">
      <w:pPr>
        <w:rPr>
          <w:rFonts w:cs="Arial"/>
          <w:i/>
          <w:iCs/>
          <w:sz w:val="22"/>
          <w:szCs w:val="22"/>
        </w:rPr>
      </w:pPr>
      <w:r>
        <w:rPr>
          <w:rFonts w:cs="Arial"/>
          <w:i/>
          <w:iCs/>
          <w:sz w:val="22"/>
          <w:szCs w:val="22"/>
        </w:rPr>
        <w:t>‘</w:t>
      </w:r>
      <w:r w:rsidR="003F411E" w:rsidRPr="0013501D">
        <w:rPr>
          <w:rFonts w:cs="Arial"/>
          <w:i/>
          <w:iCs/>
          <w:sz w:val="22"/>
          <w:szCs w:val="22"/>
        </w:rPr>
        <w:t xml:space="preserve">4.14 Información sobre nominaciones de suministro de gas: </w:t>
      </w:r>
    </w:p>
    <w:p w14:paraId="12DCE324" w14:textId="77777777" w:rsidR="003F411E" w:rsidRPr="0013501D" w:rsidRDefault="003F411E" w:rsidP="003F411E">
      <w:pPr>
        <w:rPr>
          <w:rFonts w:cs="Arial"/>
          <w:i/>
          <w:iCs/>
          <w:sz w:val="22"/>
          <w:szCs w:val="22"/>
        </w:rPr>
      </w:pPr>
    </w:p>
    <w:p w14:paraId="3F029F70" w14:textId="6D70689E" w:rsidR="003F411E" w:rsidRPr="0013501D" w:rsidRDefault="003F411E" w:rsidP="003F411E">
      <w:pPr>
        <w:rPr>
          <w:rFonts w:cs="Arial"/>
          <w:i/>
          <w:iCs/>
          <w:sz w:val="22"/>
          <w:szCs w:val="22"/>
        </w:rPr>
      </w:pPr>
      <w:r w:rsidRPr="0013501D">
        <w:rPr>
          <w:rFonts w:cs="Arial"/>
          <w:i/>
          <w:iCs/>
          <w:sz w:val="22"/>
          <w:szCs w:val="22"/>
        </w:rPr>
        <w:t xml:space="preserve">Los comercializadores y usuarios no regulados, Compradores en el Mercado Primario, deberán declarar al </w:t>
      </w:r>
      <w:r w:rsidR="005114C6" w:rsidRPr="0013501D">
        <w:rPr>
          <w:rFonts w:cs="Arial"/>
          <w:i/>
          <w:iCs/>
          <w:sz w:val="22"/>
          <w:szCs w:val="22"/>
        </w:rPr>
        <w:t>Gestor del Mercado</w:t>
      </w:r>
      <w:r w:rsidRPr="0013501D">
        <w:rPr>
          <w:rFonts w:cs="Arial"/>
          <w:i/>
          <w:iCs/>
          <w:sz w:val="22"/>
          <w:szCs w:val="22"/>
        </w:rPr>
        <w:t xml:space="preserve"> de Gas la información de nominación para el día de gas, por cada contrato registrado. Para lo anterior, el </w:t>
      </w:r>
      <w:r w:rsidR="005114C6" w:rsidRPr="0013501D">
        <w:rPr>
          <w:rFonts w:cs="Arial"/>
          <w:i/>
          <w:iCs/>
          <w:sz w:val="22"/>
          <w:szCs w:val="22"/>
        </w:rPr>
        <w:t>Gestor del Mercado</w:t>
      </w:r>
      <w:r w:rsidRPr="0013501D">
        <w:rPr>
          <w:rFonts w:cs="Arial"/>
          <w:i/>
          <w:iCs/>
          <w:sz w:val="22"/>
          <w:szCs w:val="22"/>
        </w:rPr>
        <w:t xml:space="preserve"> de Gas definirá la información específica a entregar (pág. 110)</w:t>
      </w:r>
      <w:r w:rsidR="002B00E5">
        <w:rPr>
          <w:rFonts w:cs="Arial"/>
          <w:i/>
          <w:iCs/>
          <w:sz w:val="22"/>
          <w:szCs w:val="22"/>
        </w:rPr>
        <w:t>’</w:t>
      </w:r>
    </w:p>
    <w:p w14:paraId="62AB70D7" w14:textId="77777777" w:rsidR="003F411E" w:rsidRPr="0013501D" w:rsidRDefault="003F411E" w:rsidP="003F411E">
      <w:pPr>
        <w:rPr>
          <w:rFonts w:cs="Arial"/>
          <w:i/>
          <w:iCs/>
          <w:sz w:val="22"/>
          <w:szCs w:val="22"/>
        </w:rPr>
      </w:pPr>
    </w:p>
    <w:p w14:paraId="6614CA2F" w14:textId="77777777" w:rsidR="003F411E" w:rsidRPr="0013501D" w:rsidRDefault="003F411E" w:rsidP="003F411E">
      <w:pPr>
        <w:rPr>
          <w:rFonts w:cs="Arial"/>
          <w:i/>
          <w:iCs/>
          <w:sz w:val="22"/>
          <w:szCs w:val="22"/>
        </w:rPr>
      </w:pPr>
    </w:p>
    <w:p w14:paraId="469D645C" w14:textId="667FBCB2" w:rsidR="003F411E" w:rsidRDefault="003F411E" w:rsidP="003F411E">
      <w:pPr>
        <w:rPr>
          <w:rFonts w:cs="Arial"/>
          <w:sz w:val="22"/>
          <w:szCs w:val="22"/>
        </w:rPr>
      </w:pPr>
      <w:r w:rsidRPr="0013501D">
        <w:rPr>
          <w:rFonts w:cs="Arial"/>
          <w:i/>
          <w:iCs/>
          <w:sz w:val="22"/>
          <w:szCs w:val="22"/>
        </w:rPr>
        <w:t xml:space="preserve">Con el propósito de realizar un seguimiento completo de la ejecución de los contratos en el mercado, en especial los contratos </w:t>
      </w:r>
      <w:r w:rsidR="002B00E5">
        <w:rPr>
          <w:rFonts w:cs="Arial"/>
          <w:i/>
          <w:iCs/>
          <w:sz w:val="22"/>
          <w:szCs w:val="22"/>
        </w:rPr>
        <w:t>‘</w:t>
      </w:r>
      <w:r w:rsidRPr="0013501D">
        <w:rPr>
          <w:rFonts w:cs="Arial"/>
          <w:i/>
          <w:iCs/>
          <w:sz w:val="22"/>
          <w:szCs w:val="22"/>
        </w:rPr>
        <w:t>con interrupciones</w:t>
      </w:r>
      <w:r w:rsidR="002B00E5">
        <w:rPr>
          <w:rFonts w:cs="Arial"/>
          <w:i/>
          <w:iCs/>
          <w:sz w:val="22"/>
          <w:szCs w:val="22"/>
        </w:rPr>
        <w:t>’</w:t>
      </w:r>
      <w:r w:rsidRPr="0013501D">
        <w:rPr>
          <w:rFonts w:cs="Arial"/>
          <w:i/>
          <w:iCs/>
          <w:sz w:val="22"/>
          <w:szCs w:val="22"/>
        </w:rPr>
        <w:t xml:space="preserve">, se propone que adicional a la información de nominaciones y </w:t>
      </w:r>
      <w:proofErr w:type="spellStart"/>
      <w:r w:rsidRPr="0013501D">
        <w:rPr>
          <w:rFonts w:cs="Arial"/>
          <w:i/>
          <w:iCs/>
          <w:sz w:val="22"/>
          <w:szCs w:val="22"/>
        </w:rPr>
        <w:t>renominaciones</w:t>
      </w:r>
      <w:proofErr w:type="spellEnd"/>
      <w:r w:rsidRPr="0013501D">
        <w:rPr>
          <w:rFonts w:cs="Arial"/>
          <w:i/>
          <w:iCs/>
          <w:sz w:val="22"/>
          <w:szCs w:val="22"/>
        </w:rPr>
        <w:t>, se solicite también las cantidades efectivamente solicitadas y aceptadas por el productor</w:t>
      </w:r>
      <w:r w:rsidRPr="003F411E">
        <w:rPr>
          <w:rFonts w:cs="Arial"/>
          <w:sz w:val="22"/>
          <w:szCs w:val="22"/>
        </w:rPr>
        <w:t>."</w:t>
      </w:r>
    </w:p>
    <w:p w14:paraId="46898B95" w14:textId="77777777" w:rsidR="0013501D" w:rsidRDefault="0013501D" w:rsidP="003F411E">
      <w:pPr>
        <w:rPr>
          <w:rFonts w:cs="Arial"/>
          <w:sz w:val="22"/>
          <w:szCs w:val="22"/>
        </w:rPr>
      </w:pPr>
    </w:p>
    <w:p w14:paraId="50A96A42" w14:textId="14FA48F4" w:rsidR="0013501D" w:rsidRPr="0013501D" w:rsidRDefault="0013501D" w:rsidP="003F411E">
      <w:pPr>
        <w:rPr>
          <w:rFonts w:cs="Arial"/>
          <w:b/>
          <w:bCs/>
          <w:sz w:val="22"/>
          <w:szCs w:val="22"/>
        </w:rPr>
      </w:pPr>
      <w:r w:rsidRPr="0013501D">
        <w:rPr>
          <w:rFonts w:cs="Arial"/>
          <w:b/>
          <w:bCs/>
          <w:sz w:val="22"/>
          <w:szCs w:val="22"/>
        </w:rPr>
        <w:t>Respuesta:</w:t>
      </w:r>
    </w:p>
    <w:p w14:paraId="3A21585F" w14:textId="4EEDA5D8" w:rsidR="0013501D" w:rsidRDefault="0013501D" w:rsidP="003F411E">
      <w:pPr>
        <w:rPr>
          <w:rFonts w:cs="Arial"/>
          <w:sz w:val="22"/>
          <w:szCs w:val="22"/>
        </w:rPr>
      </w:pPr>
    </w:p>
    <w:p w14:paraId="24C4BC7C" w14:textId="18156AD6" w:rsidR="0013501D" w:rsidRDefault="0013501D" w:rsidP="003F411E">
      <w:pPr>
        <w:rPr>
          <w:rFonts w:cs="Arial"/>
          <w:sz w:val="22"/>
          <w:szCs w:val="22"/>
        </w:rPr>
      </w:pPr>
      <w:r>
        <w:rPr>
          <w:rFonts w:cs="Arial"/>
          <w:sz w:val="22"/>
          <w:szCs w:val="22"/>
        </w:rPr>
        <w:t>En la nueva propuesta se incluye en la información operativa del Anexo 1 a entregar las cantidades autorizadas y entregadas por el vendedor del Mercado Primario.</w:t>
      </w:r>
    </w:p>
    <w:p w14:paraId="622AB213" w14:textId="77777777" w:rsidR="0013501D" w:rsidRPr="003F411E" w:rsidRDefault="0013501D" w:rsidP="003F411E">
      <w:pPr>
        <w:rPr>
          <w:rFonts w:cs="Arial"/>
          <w:sz w:val="22"/>
          <w:szCs w:val="22"/>
        </w:rPr>
      </w:pPr>
    </w:p>
    <w:p w14:paraId="65351375" w14:textId="77777777" w:rsidR="00B249A6" w:rsidRDefault="00B249A6" w:rsidP="003F411E">
      <w:pPr>
        <w:rPr>
          <w:rFonts w:cs="Arial"/>
          <w:sz w:val="22"/>
          <w:szCs w:val="22"/>
        </w:rPr>
      </w:pPr>
    </w:p>
    <w:p w14:paraId="24BBA23B" w14:textId="77777777" w:rsidR="00B249A6" w:rsidRDefault="003F411E" w:rsidP="00FB04F6">
      <w:pPr>
        <w:pStyle w:val="Ttulo4"/>
      </w:pPr>
      <w:r w:rsidRPr="003F411E">
        <w:t>SSPD</w:t>
      </w:r>
      <w:r w:rsidRPr="003F411E">
        <w:tab/>
      </w:r>
    </w:p>
    <w:p w14:paraId="1F1FFDDB" w14:textId="5999189C" w:rsidR="003F411E" w:rsidRPr="0013501D" w:rsidRDefault="0073565F" w:rsidP="003F411E">
      <w:pPr>
        <w:rPr>
          <w:rFonts w:cs="Arial"/>
          <w:i/>
          <w:iCs/>
          <w:sz w:val="22"/>
          <w:szCs w:val="22"/>
        </w:rPr>
      </w:pPr>
      <w:r>
        <w:rPr>
          <w:rFonts w:cs="Arial"/>
          <w:i/>
          <w:iCs/>
          <w:sz w:val="22"/>
          <w:szCs w:val="22"/>
        </w:rPr>
        <w:t>“</w:t>
      </w:r>
      <w:r w:rsidR="003F411E" w:rsidRPr="0013501D">
        <w:rPr>
          <w:rFonts w:cs="Arial"/>
          <w:i/>
          <w:iCs/>
          <w:sz w:val="22"/>
          <w:szCs w:val="22"/>
        </w:rPr>
        <w:t xml:space="preserve">Se sugiere que el </w:t>
      </w:r>
      <w:r w:rsidR="005114C6" w:rsidRPr="0013501D">
        <w:rPr>
          <w:rFonts w:cs="Arial"/>
          <w:i/>
          <w:iCs/>
          <w:sz w:val="22"/>
          <w:szCs w:val="22"/>
        </w:rPr>
        <w:t>Gestor del Mercado</w:t>
      </w:r>
      <w:r w:rsidR="003F411E" w:rsidRPr="0013501D">
        <w:rPr>
          <w:rFonts w:cs="Arial"/>
          <w:i/>
          <w:iCs/>
          <w:sz w:val="22"/>
          <w:szCs w:val="22"/>
        </w:rPr>
        <w:t xml:space="preserve"> no quede limitado a publicar la información que aquí se expone, sino que pueda publicar información adicional siempre y cuando sea de carácter público.</w:t>
      </w:r>
      <w:r>
        <w:rPr>
          <w:rFonts w:cs="Arial"/>
          <w:i/>
          <w:iCs/>
          <w:sz w:val="22"/>
          <w:szCs w:val="22"/>
        </w:rPr>
        <w:t>”</w:t>
      </w:r>
    </w:p>
    <w:p w14:paraId="6DFC5D43" w14:textId="77777777" w:rsidR="0013501D" w:rsidRDefault="0013501D" w:rsidP="003F411E">
      <w:pPr>
        <w:rPr>
          <w:rFonts w:cs="Arial"/>
          <w:sz w:val="22"/>
          <w:szCs w:val="22"/>
        </w:rPr>
      </w:pPr>
    </w:p>
    <w:p w14:paraId="6C0F75B9" w14:textId="0DD96094" w:rsidR="0013501D" w:rsidRPr="0013501D" w:rsidRDefault="0013501D" w:rsidP="003F411E">
      <w:pPr>
        <w:rPr>
          <w:rFonts w:cs="Arial"/>
          <w:b/>
          <w:bCs/>
          <w:sz w:val="22"/>
          <w:szCs w:val="22"/>
        </w:rPr>
      </w:pPr>
      <w:r w:rsidRPr="0013501D">
        <w:rPr>
          <w:rFonts w:cs="Arial"/>
          <w:b/>
          <w:bCs/>
          <w:sz w:val="22"/>
          <w:szCs w:val="22"/>
        </w:rPr>
        <w:t>Respuesta:</w:t>
      </w:r>
    </w:p>
    <w:p w14:paraId="1FA8B9B7" w14:textId="77777777" w:rsidR="0013501D" w:rsidRDefault="0013501D" w:rsidP="003F411E">
      <w:pPr>
        <w:rPr>
          <w:rFonts w:cs="Arial"/>
          <w:sz w:val="22"/>
          <w:szCs w:val="22"/>
        </w:rPr>
      </w:pPr>
    </w:p>
    <w:p w14:paraId="62D43100" w14:textId="7D0EDE40" w:rsidR="0013501D" w:rsidRDefault="0013501D" w:rsidP="003F411E">
      <w:pPr>
        <w:rPr>
          <w:rFonts w:cs="Arial"/>
          <w:sz w:val="22"/>
          <w:szCs w:val="22"/>
        </w:rPr>
      </w:pPr>
      <w:r>
        <w:rPr>
          <w:rFonts w:cs="Arial"/>
          <w:sz w:val="22"/>
          <w:szCs w:val="22"/>
        </w:rPr>
        <w:t xml:space="preserve">El Gestor del Mercado no está limitado actualmente a los indicadores del Anexo 1 de la Resolución CREG 186 de 2020. En los informes </w:t>
      </w:r>
      <w:r w:rsidR="00A1331D">
        <w:rPr>
          <w:rFonts w:cs="Arial"/>
          <w:sz w:val="22"/>
          <w:szCs w:val="22"/>
        </w:rPr>
        <w:t>periódicos (diarios, semanales, mensuales, …) que publica el Gestor del Mercado se encuentran varios indicadores que adicionalmente publica el Gestor.</w:t>
      </w:r>
    </w:p>
    <w:p w14:paraId="734128D7" w14:textId="77777777" w:rsidR="00A1331D" w:rsidRDefault="00A1331D" w:rsidP="003F411E">
      <w:pPr>
        <w:rPr>
          <w:rFonts w:cs="Arial"/>
          <w:sz w:val="22"/>
          <w:szCs w:val="22"/>
        </w:rPr>
      </w:pPr>
    </w:p>
    <w:p w14:paraId="20ABF247" w14:textId="7E6B7FB2" w:rsidR="00A1331D" w:rsidRPr="003F411E" w:rsidRDefault="00A1331D" w:rsidP="003F411E">
      <w:pPr>
        <w:rPr>
          <w:rFonts w:cs="Arial"/>
          <w:sz w:val="22"/>
          <w:szCs w:val="22"/>
        </w:rPr>
      </w:pPr>
      <w:r>
        <w:rPr>
          <w:rFonts w:cs="Arial"/>
          <w:sz w:val="22"/>
          <w:szCs w:val="22"/>
        </w:rPr>
        <w:t>En la nueva propuesta se dejará claro en todo caso, que los indicadores a publicar serán como mínimo loes establecidos en el Anexo 1.</w:t>
      </w:r>
    </w:p>
    <w:p w14:paraId="3DD798C2" w14:textId="06869434" w:rsidR="00B249A6" w:rsidRDefault="00B249A6" w:rsidP="003F411E">
      <w:pPr>
        <w:rPr>
          <w:rFonts w:cs="Arial"/>
          <w:sz w:val="22"/>
          <w:szCs w:val="22"/>
        </w:rPr>
      </w:pPr>
    </w:p>
    <w:p w14:paraId="73F04A28" w14:textId="77777777" w:rsidR="00B249A6" w:rsidRDefault="00B249A6" w:rsidP="003F411E">
      <w:pPr>
        <w:rPr>
          <w:rFonts w:cs="Arial"/>
          <w:sz w:val="22"/>
          <w:szCs w:val="22"/>
        </w:rPr>
      </w:pPr>
    </w:p>
    <w:p w14:paraId="52223CE2" w14:textId="77777777" w:rsidR="00B249A6" w:rsidRDefault="003F411E" w:rsidP="00FB04F6">
      <w:pPr>
        <w:pStyle w:val="Ttulo2"/>
      </w:pPr>
      <w:bookmarkStart w:id="1039" w:name="_Toc140506581"/>
      <w:r w:rsidRPr="003F411E">
        <w:t>TEBSA</w:t>
      </w:r>
      <w:bookmarkEnd w:id="1039"/>
      <w:r w:rsidRPr="003F411E">
        <w:tab/>
      </w:r>
    </w:p>
    <w:p w14:paraId="4EB3AB18" w14:textId="77777777" w:rsidR="00FB04F6" w:rsidRDefault="00FB04F6" w:rsidP="00FB04F6">
      <w:pPr>
        <w:pStyle w:val="Ttulo4"/>
      </w:pPr>
      <w:r w:rsidRPr="003F411E">
        <w:t>TEBSA</w:t>
      </w:r>
      <w:r w:rsidRPr="003F411E">
        <w:tab/>
      </w:r>
    </w:p>
    <w:p w14:paraId="295A8BA2" w14:textId="59F08F1A" w:rsidR="003F411E" w:rsidRPr="00A1331D" w:rsidRDefault="0073565F" w:rsidP="003F411E">
      <w:pPr>
        <w:rPr>
          <w:rFonts w:cs="Arial"/>
          <w:i/>
          <w:iCs/>
          <w:sz w:val="22"/>
          <w:szCs w:val="22"/>
        </w:rPr>
      </w:pPr>
      <w:r>
        <w:rPr>
          <w:rFonts w:cs="Arial"/>
          <w:i/>
          <w:iCs/>
          <w:sz w:val="22"/>
          <w:szCs w:val="22"/>
        </w:rPr>
        <w:t>“</w:t>
      </w:r>
      <w:r w:rsidR="003F411E" w:rsidRPr="00A1331D">
        <w:rPr>
          <w:rFonts w:cs="Arial"/>
          <w:i/>
          <w:iCs/>
          <w:sz w:val="22"/>
          <w:szCs w:val="22"/>
        </w:rPr>
        <w:t>Frente a lo expuesto en los literales b, el reporte de la información no debería quedar a cargo del comercializador, toda vez que es el transportador/distribuidor quien cuenta con la información solicitada.</w:t>
      </w:r>
      <w:r>
        <w:rPr>
          <w:rFonts w:cs="Arial"/>
          <w:i/>
          <w:iCs/>
          <w:sz w:val="22"/>
          <w:szCs w:val="22"/>
        </w:rPr>
        <w:t>”</w:t>
      </w:r>
    </w:p>
    <w:p w14:paraId="1760F322" w14:textId="77777777" w:rsidR="00A1331D" w:rsidRDefault="00A1331D" w:rsidP="003F411E">
      <w:pPr>
        <w:rPr>
          <w:rFonts w:cs="Arial"/>
          <w:sz w:val="22"/>
          <w:szCs w:val="22"/>
        </w:rPr>
      </w:pPr>
    </w:p>
    <w:p w14:paraId="540295E1" w14:textId="780DB162" w:rsidR="00A1331D" w:rsidRPr="00A1331D" w:rsidRDefault="00A1331D" w:rsidP="003F411E">
      <w:pPr>
        <w:rPr>
          <w:rFonts w:cs="Arial"/>
          <w:b/>
          <w:bCs/>
          <w:sz w:val="22"/>
          <w:szCs w:val="22"/>
        </w:rPr>
      </w:pPr>
      <w:r w:rsidRPr="00A1331D">
        <w:rPr>
          <w:rFonts w:cs="Arial"/>
          <w:b/>
          <w:bCs/>
          <w:sz w:val="22"/>
          <w:szCs w:val="22"/>
        </w:rPr>
        <w:t>Respuesta:</w:t>
      </w:r>
    </w:p>
    <w:p w14:paraId="7B70B5B9" w14:textId="77777777" w:rsidR="00A1331D" w:rsidRDefault="00A1331D" w:rsidP="003F411E">
      <w:pPr>
        <w:rPr>
          <w:rFonts w:cs="Arial"/>
          <w:sz w:val="22"/>
          <w:szCs w:val="22"/>
        </w:rPr>
      </w:pPr>
    </w:p>
    <w:p w14:paraId="301E043C" w14:textId="2C8A8540" w:rsidR="00A1331D" w:rsidRDefault="00391BBC" w:rsidP="003F411E">
      <w:pPr>
        <w:rPr>
          <w:rFonts w:cs="Arial"/>
          <w:sz w:val="22"/>
          <w:szCs w:val="22"/>
        </w:rPr>
      </w:pPr>
      <w:r>
        <w:rPr>
          <w:rFonts w:cs="Arial"/>
          <w:sz w:val="22"/>
          <w:szCs w:val="22"/>
        </w:rPr>
        <w:t>No se acoge el comentario.</w:t>
      </w:r>
    </w:p>
    <w:p w14:paraId="3B9B0470" w14:textId="77777777" w:rsidR="00391BBC" w:rsidRDefault="00391BBC" w:rsidP="003F411E">
      <w:pPr>
        <w:rPr>
          <w:rFonts w:cs="Arial"/>
          <w:sz w:val="22"/>
          <w:szCs w:val="22"/>
        </w:rPr>
      </w:pPr>
    </w:p>
    <w:p w14:paraId="14FCF1D5" w14:textId="44D3C812" w:rsidR="00391BBC" w:rsidRDefault="00391BBC" w:rsidP="003F411E">
      <w:pPr>
        <w:rPr>
          <w:rFonts w:cs="Arial"/>
          <w:sz w:val="22"/>
          <w:szCs w:val="22"/>
        </w:rPr>
      </w:pPr>
      <w:r>
        <w:rPr>
          <w:rFonts w:cs="Arial"/>
          <w:sz w:val="22"/>
          <w:szCs w:val="22"/>
        </w:rPr>
        <w:t>El comercializador debe contar con la información requerida, pues es necesaria para la liquidación de sus obligaciones contractuales pactadas con los vendedores del Mercado Primario y del Secundario y con los transportadores.</w:t>
      </w:r>
    </w:p>
    <w:p w14:paraId="0954B5A3" w14:textId="77777777" w:rsidR="00391BBC" w:rsidRPr="003F411E" w:rsidRDefault="00391BBC" w:rsidP="003F411E">
      <w:pPr>
        <w:rPr>
          <w:rFonts w:cs="Arial"/>
          <w:sz w:val="22"/>
          <w:szCs w:val="22"/>
        </w:rPr>
      </w:pPr>
    </w:p>
    <w:p w14:paraId="2DCD20F2" w14:textId="77777777" w:rsidR="00B249A6" w:rsidRDefault="00B249A6" w:rsidP="003F411E">
      <w:pPr>
        <w:rPr>
          <w:rFonts w:cs="Arial"/>
          <w:sz w:val="22"/>
          <w:szCs w:val="22"/>
        </w:rPr>
      </w:pPr>
    </w:p>
    <w:p w14:paraId="0C2010BF" w14:textId="77777777" w:rsidR="00B249A6" w:rsidRDefault="003F411E" w:rsidP="00FB04F6">
      <w:pPr>
        <w:pStyle w:val="Ttulo4"/>
      </w:pPr>
      <w:r w:rsidRPr="003F411E">
        <w:t>TEBSA</w:t>
      </w:r>
      <w:r w:rsidRPr="003F411E">
        <w:tab/>
      </w:r>
    </w:p>
    <w:p w14:paraId="11AB8DDC" w14:textId="3346567A" w:rsidR="003F411E" w:rsidRPr="00391BBC" w:rsidRDefault="0073565F" w:rsidP="003F411E">
      <w:pPr>
        <w:rPr>
          <w:rFonts w:cs="Arial"/>
          <w:i/>
          <w:iCs/>
          <w:sz w:val="22"/>
          <w:szCs w:val="22"/>
        </w:rPr>
      </w:pPr>
      <w:r>
        <w:rPr>
          <w:rFonts w:cs="Arial"/>
          <w:i/>
          <w:iCs/>
          <w:sz w:val="22"/>
          <w:szCs w:val="22"/>
        </w:rPr>
        <w:t>“</w:t>
      </w:r>
      <w:r w:rsidR="003F411E" w:rsidRPr="00391BBC">
        <w:rPr>
          <w:rFonts w:cs="Arial"/>
          <w:i/>
          <w:iCs/>
          <w:sz w:val="22"/>
          <w:szCs w:val="22"/>
        </w:rPr>
        <w:t>Frente a lo expuesto en los literales c y d, consideramos pertinente que la declaración esté a cargo de los compradores del mercado primario.</w:t>
      </w:r>
      <w:r>
        <w:rPr>
          <w:rFonts w:cs="Arial"/>
          <w:i/>
          <w:iCs/>
          <w:sz w:val="22"/>
          <w:szCs w:val="22"/>
        </w:rPr>
        <w:t>”</w:t>
      </w:r>
    </w:p>
    <w:p w14:paraId="5E44FEB5" w14:textId="77777777" w:rsidR="00391BBC" w:rsidRDefault="00391BBC" w:rsidP="003F411E">
      <w:pPr>
        <w:rPr>
          <w:rFonts w:cs="Arial"/>
          <w:sz w:val="22"/>
          <w:szCs w:val="22"/>
        </w:rPr>
      </w:pPr>
    </w:p>
    <w:p w14:paraId="5EB20BFB" w14:textId="7B67F355" w:rsidR="00391BBC" w:rsidRPr="00391BBC" w:rsidRDefault="00391BBC" w:rsidP="003F411E">
      <w:pPr>
        <w:rPr>
          <w:rFonts w:cs="Arial"/>
          <w:b/>
          <w:bCs/>
          <w:sz w:val="22"/>
          <w:szCs w:val="22"/>
        </w:rPr>
      </w:pPr>
      <w:r w:rsidRPr="00391BBC">
        <w:rPr>
          <w:rFonts w:cs="Arial"/>
          <w:b/>
          <w:bCs/>
          <w:sz w:val="22"/>
          <w:szCs w:val="22"/>
        </w:rPr>
        <w:t>Respuesta:</w:t>
      </w:r>
    </w:p>
    <w:p w14:paraId="346877CB" w14:textId="77777777" w:rsidR="00391BBC" w:rsidRDefault="00391BBC" w:rsidP="003F411E">
      <w:pPr>
        <w:rPr>
          <w:rFonts w:cs="Arial"/>
          <w:sz w:val="22"/>
          <w:szCs w:val="22"/>
        </w:rPr>
      </w:pPr>
    </w:p>
    <w:p w14:paraId="72000E6F" w14:textId="19CA16CB" w:rsidR="00391BBC" w:rsidRDefault="005305D6" w:rsidP="003F411E">
      <w:pPr>
        <w:rPr>
          <w:rFonts w:cs="Arial"/>
          <w:sz w:val="22"/>
          <w:szCs w:val="22"/>
        </w:rPr>
      </w:pPr>
      <w:r>
        <w:rPr>
          <w:rFonts w:cs="Arial"/>
          <w:sz w:val="22"/>
          <w:szCs w:val="22"/>
        </w:rPr>
        <w:t>Se acoge el comentario.</w:t>
      </w:r>
    </w:p>
    <w:p w14:paraId="3F64E14C" w14:textId="77777777" w:rsidR="005305D6" w:rsidRDefault="005305D6" w:rsidP="003F411E">
      <w:pPr>
        <w:rPr>
          <w:rFonts w:cs="Arial"/>
          <w:sz w:val="22"/>
          <w:szCs w:val="22"/>
        </w:rPr>
      </w:pPr>
    </w:p>
    <w:p w14:paraId="2B689E28" w14:textId="1209E0A7" w:rsidR="005305D6" w:rsidRDefault="005305D6" w:rsidP="003F411E">
      <w:pPr>
        <w:rPr>
          <w:rFonts w:cs="Arial"/>
          <w:sz w:val="22"/>
          <w:szCs w:val="22"/>
        </w:rPr>
      </w:pPr>
      <w:r>
        <w:rPr>
          <w:rFonts w:cs="Arial"/>
          <w:sz w:val="22"/>
          <w:szCs w:val="22"/>
        </w:rPr>
        <w:t>En la nueva propuesta se hace el ajuste correspondiente.</w:t>
      </w:r>
    </w:p>
    <w:p w14:paraId="562FE8CC" w14:textId="77777777" w:rsidR="00391BBC" w:rsidRPr="003F411E" w:rsidRDefault="00391BBC" w:rsidP="003F411E">
      <w:pPr>
        <w:rPr>
          <w:rFonts w:cs="Arial"/>
          <w:sz w:val="22"/>
          <w:szCs w:val="22"/>
        </w:rPr>
      </w:pPr>
    </w:p>
    <w:p w14:paraId="4EBD9E6A" w14:textId="77777777" w:rsidR="00B249A6" w:rsidRDefault="00B249A6" w:rsidP="003F411E">
      <w:pPr>
        <w:rPr>
          <w:rFonts w:cs="Arial"/>
          <w:sz w:val="22"/>
          <w:szCs w:val="22"/>
        </w:rPr>
      </w:pPr>
    </w:p>
    <w:p w14:paraId="6CD3CCAA" w14:textId="77777777" w:rsidR="00B249A6" w:rsidRDefault="003F411E" w:rsidP="00FB04F6">
      <w:pPr>
        <w:pStyle w:val="Ttulo4"/>
      </w:pPr>
      <w:r w:rsidRPr="003F411E">
        <w:t>TEBSA</w:t>
      </w:r>
      <w:r w:rsidRPr="003F411E">
        <w:tab/>
      </w:r>
    </w:p>
    <w:p w14:paraId="7D6DF9C0" w14:textId="4E540C5C" w:rsidR="003F411E" w:rsidRPr="005305D6" w:rsidRDefault="0073565F" w:rsidP="003F411E">
      <w:pPr>
        <w:rPr>
          <w:rFonts w:cs="Arial"/>
          <w:i/>
          <w:iCs/>
          <w:sz w:val="22"/>
          <w:szCs w:val="22"/>
        </w:rPr>
      </w:pPr>
      <w:r>
        <w:rPr>
          <w:rFonts w:cs="Arial"/>
          <w:i/>
          <w:iCs/>
          <w:sz w:val="22"/>
          <w:szCs w:val="22"/>
        </w:rPr>
        <w:t>“</w:t>
      </w:r>
      <w:r w:rsidR="003F411E" w:rsidRPr="005305D6">
        <w:rPr>
          <w:rFonts w:cs="Arial"/>
          <w:i/>
          <w:iCs/>
          <w:sz w:val="22"/>
          <w:szCs w:val="22"/>
        </w:rPr>
        <w:t xml:space="preserve">Aclarar si el reporte de información operativa que declaran los usuarios no regulados, definida en la res. CREG 114 de 2017, donde su periodicidad era de manera mensual, y con las medidas transitorias tomadas por la CREG con base el evento </w:t>
      </w:r>
      <w:proofErr w:type="spellStart"/>
      <w:r w:rsidR="003F411E" w:rsidRPr="005305D6">
        <w:rPr>
          <w:rFonts w:cs="Arial"/>
          <w:i/>
          <w:iCs/>
          <w:sz w:val="22"/>
          <w:szCs w:val="22"/>
        </w:rPr>
        <w:t>pandemico</w:t>
      </w:r>
      <w:proofErr w:type="spellEnd"/>
      <w:r w:rsidR="003F411E" w:rsidRPr="005305D6">
        <w:rPr>
          <w:rFonts w:cs="Arial"/>
          <w:i/>
          <w:iCs/>
          <w:sz w:val="22"/>
          <w:szCs w:val="22"/>
        </w:rPr>
        <w:t xml:space="preserve">, en la res. CREG 042 de 2020, actualmente se realizar de manera semanal. Sin embargo, en la res. CREG 226 de 2021 no se </w:t>
      </w:r>
      <w:proofErr w:type="gramStart"/>
      <w:r w:rsidR="003F411E" w:rsidRPr="005305D6">
        <w:rPr>
          <w:rFonts w:cs="Arial"/>
          <w:i/>
          <w:iCs/>
          <w:sz w:val="22"/>
          <w:szCs w:val="22"/>
        </w:rPr>
        <w:t>hace mención de</w:t>
      </w:r>
      <w:proofErr w:type="gramEnd"/>
      <w:r w:rsidR="003F411E" w:rsidRPr="005305D6">
        <w:rPr>
          <w:rFonts w:cs="Arial"/>
          <w:i/>
          <w:iCs/>
          <w:sz w:val="22"/>
          <w:szCs w:val="22"/>
        </w:rPr>
        <w:t xml:space="preserve"> este reporte, esto quiere decir que se elimina?</w:t>
      </w:r>
      <w:r>
        <w:rPr>
          <w:rFonts w:cs="Arial"/>
          <w:i/>
          <w:iCs/>
          <w:sz w:val="22"/>
          <w:szCs w:val="22"/>
        </w:rPr>
        <w:t>”</w:t>
      </w:r>
    </w:p>
    <w:p w14:paraId="2794B752" w14:textId="77777777" w:rsidR="005305D6" w:rsidRDefault="005305D6" w:rsidP="003F411E">
      <w:pPr>
        <w:rPr>
          <w:rFonts w:cs="Arial"/>
          <w:sz w:val="22"/>
          <w:szCs w:val="22"/>
        </w:rPr>
      </w:pPr>
    </w:p>
    <w:p w14:paraId="11DF4BA3" w14:textId="6113CD0D" w:rsidR="005305D6" w:rsidRPr="005305D6" w:rsidRDefault="005305D6" w:rsidP="003F411E">
      <w:pPr>
        <w:rPr>
          <w:rFonts w:cs="Arial"/>
          <w:b/>
          <w:bCs/>
          <w:sz w:val="22"/>
          <w:szCs w:val="22"/>
        </w:rPr>
      </w:pPr>
      <w:r w:rsidRPr="005305D6">
        <w:rPr>
          <w:rFonts w:cs="Arial"/>
          <w:b/>
          <w:bCs/>
          <w:sz w:val="22"/>
          <w:szCs w:val="22"/>
        </w:rPr>
        <w:t>Respuesta:</w:t>
      </w:r>
    </w:p>
    <w:p w14:paraId="6F5E4C90" w14:textId="77777777" w:rsidR="005305D6" w:rsidRDefault="005305D6" w:rsidP="003F411E">
      <w:pPr>
        <w:rPr>
          <w:rFonts w:cs="Arial"/>
          <w:sz w:val="22"/>
          <w:szCs w:val="22"/>
        </w:rPr>
      </w:pPr>
    </w:p>
    <w:p w14:paraId="0875E97F" w14:textId="0630C587" w:rsidR="00B249A6" w:rsidRDefault="005305D6"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_Ref133411013 \r \h </w:instrText>
      </w:r>
      <w:r>
        <w:rPr>
          <w:rFonts w:cs="Arial"/>
          <w:sz w:val="22"/>
          <w:szCs w:val="22"/>
        </w:rPr>
      </w:r>
      <w:r>
        <w:rPr>
          <w:rFonts w:cs="Arial"/>
          <w:sz w:val="22"/>
          <w:szCs w:val="22"/>
        </w:rPr>
        <w:fldChar w:fldCharType="separate"/>
      </w:r>
      <w:r>
        <w:rPr>
          <w:rFonts w:cs="Arial"/>
          <w:sz w:val="22"/>
          <w:szCs w:val="22"/>
        </w:rPr>
        <w:t>36.2.1.14</w:t>
      </w:r>
      <w:r>
        <w:rPr>
          <w:rFonts w:cs="Arial"/>
          <w:sz w:val="22"/>
          <w:szCs w:val="22"/>
        </w:rPr>
        <w:fldChar w:fldCharType="end"/>
      </w:r>
      <w:r>
        <w:rPr>
          <w:rFonts w:cs="Arial"/>
          <w:sz w:val="22"/>
          <w:szCs w:val="22"/>
        </w:rPr>
        <w:t>.</w:t>
      </w:r>
    </w:p>
    <w:p w14:paraId="3569B85E" w14:textId="77777777" w:rsidR="005305D6" w:rsidRDefault="005305D6" w:rsidP="003F411E">
      <w:pPr>
        <w:rPr>
          <w:rFonts w:cs="Arial"/>
          <w:sz w:val="22"/>
          <w:szCs w:val="22"/>
        </w:rPr>
      </w:pPr>
    </w:p>
    <w:p w14:paraId="32376D88" w14:textId="77777777" w:rsidR="00B249A6" w:rsidRDefault="00B249A6" w:rsidP="003F411E">
      <w:pPr>
        <w:rPr>
          <w:rFonts w:cs="Arial"/>
          <w:sz w:val="22"/>
          <w:szCs w:val="22"/>
        </w:rPr>
      </w:pPr>
    </w:p>
    <w:p w14:paraId="0CC95606" w14:textId="77777777" w:rsidR="00B249A6" w:rsidRDefault="003F411E" w:rsidP="00FB04F6">
      <w:pPr>
        <w:pStyle w:val="Ttulo2"/>
      </w:pPr>
      <w:bookmarkStart w:id="1040" w:name="_Toc140506582"/>
      <w:r w:rsidRPr="003F411E">
        <w:t>TERPEL</w:t>
      </w:r>
      <w:bookmarkEnd w:id="1040"/>
      <w:r w:rsidRPr="003F411E">
        <w:tab/>
      </w:r>
    </w:p>
    <w:p w14:paraId="5DE934B7" w14:textId="77777777" w:rsidR="00FB04F6" w:rsidRDefault="00FB04F6" w:rsidP="00FB04F6">
      <w:pPr>
        <w:pStyle w:val="Ttulo4"/>
      </w:pPr>
      <w:r w:rsidRPr="003F411E">
        <w:t>TERPEL</w:t>
      </w:r>
      <w:r w:rsidRPr="003F411E">
        <w:tab/>
      </w:r>
    </w:p>
    <w:p w14:paraId="7F1329DD" w14:textId="7146392C" w:rsidR="003F411E" w:rsidRPr="005305D6" w:rsidRDefault="0073565F" w:rsidP="003F411E">
      <w:pPr>
        <w:rPr>
          <w:rFonts w:cs="Arial"/>
          <w:i/>
          <w:iCs/>
          <w:sz w:val="22"/>
          <w:szCs w:val="22"/>
        </w:rPr>
      </w:pPr>
      <w:r>
        <w:rPr>
          <w:rFonts w:cs="Arial"/>
          <w:i/>
          <w:iCs/>
          <w:sz w:val="22"/>
          <w:szCs w:val="22"/>
        </w:rPr>
        <w:t>“</w:t>
      </w:r>
      <w:r w:rsidR="003F411E" w:rsidRPr="005305D6">
        <w:rPr>
          <w:rFonts w:cs="Arial"/>
          <w:i/>
          <w:iCs/>
          <w:sz w:val="22"/>
          <w:szCs w:val="22"/>
        </w:rPr>
        <w:t>Parece que falta alguna palabra en el texto de inicio del Párrafo.</w:t>
      </w:r>
      <w:r>
        <w:rPr>
          <w:rFonts w:cs="Arial"/>
          <w:i/>
          <w:iCs/>
          <w:sz w:val="22"/>
          <w:szCs w:val="22"/>
        </w:rPr>
        <w:t>”</w:t>
      </w:r>
    </w:p>
    <w:p w14:paraId="30695709" w14:textId="77777777" w:rsidR="005305D6" w:rsidRDefault="005305D6" w:rsidP="003F411E">
      <w:pPr>
        <w:rPr>
          <w:rFonts w:cs="Arial"/>
          <w:sz w:val="22"/>
          <w:szCs w:val="22"/>
        </w:rPr>
      </w:pPr>
    </w:p>
    <w:p w14:paraId="39A811C5" w14:textId="12A93F3A" w:rsidR="005305D6" w:rsidRPr="005305D6" w:rsidRDefault="005305D6" w:rsidP="003F411E">
      <w:pPr>
        <w:rPr>
          <w:rFonts w:cs="Arial"/>
          <w:b/>
          <w:bCs/>
          <w:sz w:val="22"/>
          <w:szCs w:val="22"/>
        </w:rPr>
      </w:pPr>
      <w:r w:rsidRPr="005305D6">
        <w:rPr>
          <w:rFonts w:cs="Arial"/>
          <w:b/>
          <w:bCs/>
          <w:sz w:val="22"/>
          <w:szCs w:val="22"/>
        </w:rPr>
        <w:t>Respuesta:</w:t>
      </w:r>
    </w:p>
    <w:p w14:paraId="3919438F" w14:textId="77777777" w:rsidR="005305D6" w:rsidRDefault="005305D6" w:rsidP="003F411E">
      <w:pPr>
        <w:rPr>
          <w:rFonts w:cs="Arial"/>
          <w:sz w:val="22"/>
          <w:szCs w:val="22"/>
        </w:rPr>
      </w:pPr>
    </w:p>
    <w:p w14:paraId="0555F57C" w14:textId="39F737BB" w:rsidR="005305D6" w:rsidRDefault="005305D6"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_Ref133483437 \r \h </w:instrText>
      </w:r>
      <w:r>
        <w:rPr>
          <w:rFonts w:cs="Arial"/>
          <w:sz w:val="22"/>
          <w:szCs w:val="22"/>
        </w:rPr>
      </w:r>
      <w:r>
        <w:rPr>
          <w:rFonts w:cs="Arial"/>
          <w:sz w:val="22"/>
          <w:szCs w:val="22"/>
        </w:rPr>
        <w:fldChar w:fldCharType="separate"/>
      </w:r>
      <w:r>
        <w:rPr>
          <w:rFonts w:cs="Arial"/>
          <w:sz w:val="22"/>
          <w:szCs w:val="22"/>
        </w:rPr>
        <w:t>36.4.1.1</w:t>
      </w:r>
      <w:r>
        <w:rPr>
          <w:rFonts w:cs="Arial"/>
          <w:sz w:val="22"/>
          <w:szCs w:val="22"/>
        </w:rPr>
        <w:fldChar w:fldCharType="end"/>
      </w:r>
      <w:r>
        <w:rPr>
          <w:rFonts w:cs="Arial"/>
          <w:sz w:val="22"/>
          <w:szCs w:val="22"/>
        </w:rPr>
        <w:t>.</w:t>
      </w:r>
    </w:p>
    <w:p w14:paraId="0B2AAFC1" w14:textId="77777777" w:rsidR="005305D6" w:rsidRPr="003F411E" w:rsidRDefault="005305D6" w:rsidP="003F411E">
      <w:pPr>
        <w:rPr>
          <w:rFonts w:cs="Arial"/>
          <w:sz w:val="22"/>
          <w:szCs w:val="22"/>
        </w:rPr>
      </w:pPr>
    </w:p>
    <w:p w14:paraId="57D603A9" w14:textId="77777777" w:rsidR="00B249A6" w:rsidRDefault="00B249A6" w:rsidP="003F411E">
      <w:pPr>
        <w:rPr>
          <w:rFonts w:cs="Arial"/>
          <w:sz w:val="22"/>
          <w:szCs w:val="22"/>
        </w:rPr>
      </w:pPr>
    </w:p>
    <w:p w14:paraId="575D1DE8" w14:textId="77777777" w:rsidR="00B249A6" w:rsidRDefault="003F411E" w:rsidP="00FB04F6">
      <w:pPr>
        <w:pStyle w:val="Ttulo4"/>
      </w:pPr>
      <w:r w:rsidRPr="003F411E">
        <w:t>TERPEL</w:t>
      </w:r>
      <w:r w:rsidRPr="003F411E">
        <w:tab/>
      </w:r>
    </w:p>
    <w:p w14:paraId="1D3A11E0" w14:textId="5F391F93" w:rsidR="003F411E" w:rsidRPr="005305D6" w:rsidRDefault="0073565F" w:rsidP="003F411E">
      <w:pPr>
        <w:rPr>
          <w:rFonts w:cs="Arial"/>
          <w:i/>
          <w:iCs/>
          <w:sz w:val="22"/>
          <w:szCs w:val="22"/>
        </w:rPr>
      </w:pPr>
      <w:r>
        <w:rPr>
          <w:rFonts w:cs="Arial"/>
          <w:i/>
          <w:iCs/>
          <w:sz w:val="22"/>
          <w:szCs w:val="22"/>
        </w:rPr>
        <w:t>“</w:t>
      </w:r>
      <w:r w:rsidR="003F411E" w:rsidRPr="005305D6">
        <w:rPr>
          <w:rFonts w:cs="Arial"/>
          <w:i/>
          <w:iCs/>
          <w:sz w:val="22"/>
          <w:szCs w:val="22"/>
        </w:rPr>
        <w:t>¿Siempre se deben nominar las cantidades exactas por punto de entrega establecidas en el contrato o se pueden varias las cantidades entre los diferentes puntos de entrega del contrato?</w:t>
      </w:r>
      <w:r>
        <w:rPr>
          <w:rFonts w:cs="Arial"/>
          <w:i/>
          <w:iCs/>
          <w:sz w:val="22"/>
          <w:szCs w:val="22"/>
        </w:rPr>
        <w:t>”</w:t>
      </w:r>
    </w:p>
    <w:p w14:paraId="18825EBC" w14:textId="77777777" w:rsidR="005305D6" w:rsidRDefault="005305D6" w:rsidP="003F411E">
      <w:pPr>
        <w:rPr>
          <w:rFonts w:cs="Arial"/>
          <w:sz w:val="22"/>
          <w:szCs w:val="22"/>
        </w:rPr>
      </w:pPr>
    </w:p>
    <w:p w14:paraId="2D1289BF" w14:textId="2F4648E4" w:rsidR="005305D6" w:rsidRPr="005305D6" w:rsidRDefault="005305D6" w:rsidP="003F411E">
      <w:pPr>
        <w:rPr>
          <w:rFonts w:cs="Arial"/>
          <w:b/>
          <w:bCs/>
          <w:sz w:val="22"/>
          <w:szCs w:val="22"/>
        </w:rPr>
      </w:pPr>
      <w:r w:rsidRPr="005305D6">
        <w:rPr>
          <w:rFonts w:cs="Arial"/>
          <w:b/>
          <w:bCs/>
          <w:sz w:val="22"/>
          <w:szCs w:val="22"/>
        </w:rPr>
        <w:t>Respuesta:</w:t>
      </w:r>
    </w:p>
    <w:p w14:paraId="2EBF1294" w14:textId="77777777" w:rsidR="005305D6" w:rsidRDefault="005305D6" w:rsidP="003F411E">
      <w:pPr>
        <w:rPr>
          <w:rFonts w:cs="Arial"/>
          <w:sz w:val="22"/>
          <w:szCs w:val="22"/>
        </w:rPr>
      </w:pPr>
    </w:p>
    <w:p w14:paraId="5C001B70" w14:textId="198E7D35" w:rsidR="005305D6" w:rsidRDefault="005305D6"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_Ref133483483 \r \h </w:instrText>
      </w:r>
      <w:r>
        <w:rPr>
          <w:rFonts w:cs="Arial"/>
          <w:sz w:val="22"/>
          <w:szCs w:val="22"/>
        </w:rPr>
      </w:r>
      <w:r>
        <w:rPr>
          <w:rFonts w:cs="Arial"/>
          <w:sz w:val="22"/>
          <w:szCs w:val="22"/>
        </w:rPr>
        <w:fldChar w:fldCharType="separate"/>
      </w:r>
      <w:r>
        <w:rPr>
          <w:rFonts w:cs="Arial"/>
          <w:sz w:val="22"/>
          <w:szCs w:val="22"/>
        </w:rPr>
        <w:t>36.1.1.2</w:t>
      </w:r>
      <w:r>
        <w:rPr>
          <w:rFonts w:cs="Arial"/>
          <w:sz w:val="22"/>
          <w:szCs w:val="22"/>
        </w:rPr>
        <w:fldChar w:fldCharType="end"/>
      </w:r>
      <w:r>
        <w:rPr>
          <w:rFonts w:cs="Arial"/>
          <w:sz w:val="22"/>
          <w:szCs w:val="22"/>
        </w:rPr>
        <w:t>.</w:t>
      </w:r>
    </w:p>
    <w:p w14:paraId="0C0C23DD" w14:textId="77777777" w:rsidR="005305D6" w:rsidRPr="003F411E" w:rsidRDefault="005305D6" w:rsidP="003F411E">
      <w:pPr>
        <w:rPr>
          <w:rFonts w:cs="Arial"/>
          <w:sz w:val="22"/>
          <w:szCs w:val="22"/>
        </w:rPr>
      </w:pPr>
    </w:p>
    <w:p w14:paraId="616AF33D" w14:textId="77777777" w:rsidR="00B249A6" w:rsidRDefault="00B249A6" w:rsidP="003F411E">
      <w:pPr>
        <w:rPr>
          <w:rFonts w:cs="Arial"/>
          <w:sz w:val="22"/>
          <w:szCs w:val="22"/>
        </w:rPr>
      </w:pPr>
    </w:p>
    <w:p w14:paraId="789BDA73" w14:textId="77777777" w:rsidR="00B249A6" w:rsidRDefault="003F411E" w:rsidP="00FB04F6">
      <w:pPr>
        <w:pStyle w:val="Ttulo4"/>
      </w:pPr>
      <w:r w:rsidRPr="003F411E">
        <w:t>TERPEL</w:t>
      </w:r>
      <w:r w:rsidRPr="003F411E">
        <w:tab/>
      </w:r>
    </w:p>
    <w:p w14:paraId="5D09DDE5" w14:textId="31A29F54" w:rsidR="003F411E" w:rsidRPr="005305D6" w:rsidRDefault="003F411E" w:rsidP="003F411E">
      <w:pPr>
        <w:rPr>
          <w:rFonts w:cs="Arial"/>
          <w:i/>
          <w:iCs/>
          <w:sz w:val="22"/>
          <w:szCs w:val="22"/>
        </w:rPr>
      </w:pPr>
      <w:r w:rsidRPr="003F411E">
        <w:rPr>
          <w:rFonts w:cs="Arial"/>
          <w:sz w:val="22"/>
          <w:szCs w:val="22"/>
        </w:rPr>
        <w:t>"</w:t>
      </w:r>
      <w:r w:rsidRPr="005305D6">
        <w:rPr>
          <w:rFonts w:cs="Arial"/>
          <w:i/>
          <w:iCs/>
          <w:sz w:val="22"/>
          <w:szCs w:val="22"/>
        </w:rPr>
        <w:t xml:space="preserve">Parece estar de más la palabra </w:t>
      </w:r>
      <w:r w:rsidR="0073565F">
        <w:rPr>
          <w:rFonts w:cs="Arial"/>
          <w:i/>
          <w:iCs/>
          <w:sz w:val="22"/>
          <w:szCs w:val="22"/>
        </w:rPr>
        <w:t>‘</w:t>
      </w:r>
      <w:r w:rsidRPr="005305D6">
        <w:rPr>
          <w:rFonts w:cs="Arial"/>
          <w:i/>
          <w:iCs/>
          <w:sz w:val="22"/>
          <w:szCs w:val="22"/>
        </w:rPr>
        <w:t>deberá</w:t>
      </w:r>
      <w:r w:rsidR="0073565F">
        <w:rPr>
          <w:rFonts w:cs="Arial"/>
          <w:i/>
          <w:iCs/>
          <w:sz w:val="22"/>
          <w:szCs w:val="22"/>
        </w:rPr>
        <w:t>’</w:t>
      </w:r>
      <w:r w:rsidRPr="005305D6">
        <w:rPr>
          <w:rFonts w:cs="Arial"/>
          <w:i/>
          <w:iCs/>
          <w:sz w:val="22"/>
          <w:szCs w:val="22"/>
        </w:rPr>
        <w:t xml:space="preserve"> en el texto </w:t>
      </w:r>
      <w:r w:rsidR="0073565F">
        <w:rPr>
          <w:rFonts w:cs="Arial"/>
          <w:i/>
          <w:iCs/>
          <w:sz w:val="22"/>
          <w:szCs w:val="22"/>
        </w:rPr>
        <w:t>‘</w:t>
      </w:r>
      <w:r w:rsidRPr="005305D6">
        <w:rPr>
          <w:rFonts w:cs="Arial"/>
          <w:i/>
          <w:iCs/>
          <w:sz w:val="22"/>
          <w:szCs w:val="22"/>
        </w:rPr>
        <w:t>Cuando el comprador entregue a usuarios no regulados conectados</w:t>
      </w:r>
      <w:r w:rsidR="005305D6" w:rsidRPr="005305D6">
        <w:rPr>
          <w:rFonts w:cs="Arial"/>
          <w:i/>
          <w:iCs/>
          <w:sz w:val="22"/>
          <w:szCs w:val="22"/>
        </w:rPr>
        <w:t xml:space="preserve"> </w:t>
      </w:r>
      <w:r w:rsidRPr="005305D6">
        <w:rPr>
          <w:rFonts w:cs="Arial"/>
          <w:i/>
          <w:iCs/>
          <w:sz w:val="22"/>
          <w:szCs w:val="22"/>
        </w:rPr>
        <w:t>al sistema de distribución deberá deberán declarar</w:t>
      </w:r>
      <w:r w:rsidR="0073565F">
        <w:rPr>
          <w:rFonts w:cs="Arial"/>
          <w:i/>
          <w:iCs/>
          <w:sz w:val="22"/>
          <w:szCs w:val="22"/>
        </w:rPr>
        <w:t>’”</w:t>
      </w:r>
    </w:p>
    <w:p w14:paraId="4F2AFE69" w14:textId="77777777" w:rsidR="005305D6" w:rsidRDefault="005305D6" w:rsidP="003F411E">
      <w:pPr>
        <w:rPr>
          <w:rFonts w:cs="Arial"/>
          <w:sz w:val="22"/>
          <w:szCs w:val="22"/>
        </w:rPr>
      </w:pPr>
    </w:p>
    <w:p w14:paraId="1A3C6CC2" w14:textId="7E506B23" w:rsidR="005305D6" w:rsidRPr="005305D6" w:rsidRDefault="005305D6" w:rsidP="003F411E">
      <w:pPr>
        <w:rPr>
          <w:rFonts w:cs="Arial"/>
          <w:b/>
          <w:bCs/>
          <w:sz w:val="22"/>
          <w:szCs w:val="22"/>
        </w:rPr>
      </w:pPr>
      <w:r w:rsidRPr="005305D6">
        <w:rPr>
          <w:rFonts w:cs="Arial"/>
          <w:b/>
          <w:bCs/>
          <w:sz w:val="22"/>
          <w:szCs w:val="22"/>
        </w:rPr>
        <w:t>Respuesta:</w:t>
      </w:r>
    </w:p>
    <w:p w14:paraId="548D3F07" w14:textId="77777777" w:rsidR="005305D6" w:rsidRDefault="005305D6" w:rsidP="003F411E">
      <w:pPr>
        <w:rPr>
          <w:rFonts w:cs="Arial"/>
          <w:sz w:val="22"/>
          <w:szCs w:val="22"/>
        </w:rPr>
      </w:pPr>
    </w:p>
    <w:p w14:paraId="2BA13BAC" w14:textId="3CF6CE4C" w:rsidR="005305D6" w:rsidRDefault="005305D6"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_Ref133483528 \r \h </w:instrText>
      </w:r>
      <w:r>
        <w:rPr>
          <w:rFonts w:cs="Arial"/>
          <w:sz w:val="22"/>
          <w:szCs w:val="22"/>
        </w:rPr>
      </w:r>
      <w:r>
        <w:rPr>
          <w:rFonts w:cs="Arial"/>
          <w:sz w:val="22"/>
          <w:szCs w:val="22"/>
        </w:rPr>
        <w:fldChar w:fldCharType="separate"/>
      </w:r>
      <w:r>
        <w:rPr>
          <w:rFonts w:cs="Arial"/>
          <w:sz w:val="22"/>
          <w:szCs w:val="22"/>
        </w:rPr>
        <w:t>36.1.1.3</w:t>
      </w:r>
      <w:r>
        <w:rPr>
          <w:rFonts w:cs="Arial"/>
          <w:sz w:val="22"/>
          <w:szCs w:val="22"/>
        </w:rPr>
        <w:fldChar w:fldCharType="end"/>
      </w:r>
      <w:r>
        <w:rPr>
          <w:rFonts w:cs="Arial"/>
          <w:sz w:val="22"/>
          <w:szCs w:val="22"/>
        </w:rPr>
        <w:t>.</w:t>
      </w:r>
    </w:p>
    <w:p w14:paraId="51289C56" w14:textId="77777777" w:rsidR="005305D6" w:rsidRPr="003F411E" w:rsidRDefault="005305D6" w:rsidP="003F411E">
      <w:pPr>
        <w:rPr>
          <w:rFonts w:cs="Arial"/>
          <w:sz w:val="22"/>
          <w:szCs w:val="22"/>
        </w:rPr>
      </w:pPr>
    </w:p>
    <w:p w14:paraId="54221D4C" w14:textId="77777777" w:rsidR="00B249A6" w:rsidRDefault="00B249A6" w:rsidP="003F411E">
      <w:pPr>
        <w:rPr>
          <w:rFonts w:cs="Arial"/>
          <w:sz w:val="22"/>
          <w:szCs w:val="22"/>
        </w:rPr>
      </w:pPr>
    </w:p>
    <w:p w14:paraId="6FC9BD50" w14:textId="77777777" w:rsidR="00B249A6" w:rsidRDefault="003F411E" w:rsidP="00FB04F6">
      <w:pPr>
        <w:pStyle w:val="Ttulo4"/>
      </w:pPr>
      <w:r w:rsidRPr="003F411E">
        <w:t>TERPEL</w:t>
      </w:r>
      <w:r w:rsidRPr="003F411E">
        <w:tab/>
      </w:r>
    </w:p>
    <w:p w14:paraId="5E9285DD" w14:textId="46C729B0" w:rsidR="003F411E" w:rsidRPr="00BB02AF" w:rsidRDefault="0073565F" w:rsidP="003F411E">
      <w:pPr>
        <w:rPr>
          <w:rFonts w:cs="Arial"/>
          <w:i/>
          <w:iCs/>
          <w:sz w:val="22"/>
          <w:szCs w:val="22"/>
        </w:rPr>
      </w:pPr>
      <w:r>
        <w:rPr>
          <w:rFonts w:cs="Arial"/>
          <w:i/>
          <w:iCs/>
          <w:sz w:val="22"/>
          <w:szCs w:val="22"/>
        </w:rPr>
        <w:t>“</w:t>
      </w:r>
      <w:r w:rsidR="003F411E" w:rsidRPr="00BB02AF">
        <w:rPr>
          <w:rFonts w:cs="Arial"/>
          <w:i/>
          <w:iCs/>
          <w:sz w:val="22"/>
          <w:szCs w:val="22"/>
        </w:rPr>
        <w:t xml:space="preserve">Parece estar de más la palabra </w:t>
      </w:r>
      <w:r>
        <w:rPr>
          <w:rFonts w:cs="Arial"/>
          <w:i/>
          <w:iCs/>
          <w:sz w:val="22"/>
          <w:szCs w:val="22"/>
        </w:rPr>
        <w:t>‘</w:t>
      </w:r>
      <w:r w:rsidR="003F411E" w:rsidRPr="00BB02AF">
        <w:rPr>
          <w:rFonts w:cs="Arial"/>
          <w:i/>
          <w:iCs/>
          <w:sz w:val="22"/>
          <w:szCs w:val="22"/>
        </w:rPr>
        <w:t>negociadas</w:t>
      </w:r>
      <w:r>
        <w:rPr>
          <w:rFonts w:cs="Arial"/>
          <w:i/>
          <w:iCs/>
          <w:sz w:val="22"/>
          <w:szCs w:val="22"/>
        </w:rPr>
        <w:t>’</w:t>
      </w:r>
      <w:r w:rsidR="003F411E" w:rsidRPr="00BB02AF">
        <w:rPr>
          <w:rFonts w:cs="Arial"/>
          <w:i/>
          <w:iCs/>
          <w:sz w:val="22"/>
          <w:szCs w:val="22"/>
        </w:rPr>
        <w:t>".</w:t>
      </w:r>
    </w:p>
    <w:p w14:paraId="3BEBAD85" w14:textId="77777777" w:rsidR="00BB02AF" w:rsidRDefault="00BB02AF" w:rsidP="003F411E">
      <w:pPr>
        <w:rPr>
          <w:rFonts w:cs="Arial"/>
          <w:sz w:val="22"/>
          <w:szCs w:val="22"/>
        </w:rPr>
      </w:pPr>
    </w:p>
    <w:p w14:paraId="636FC511" w14:textId="19D40411" w:rsidR="00BB02AF" w:rsidRPr="00BB02AF" w:rsidRDefault="00BB02AF" w:rsidP="003F411E">
      <w:pPr>
        <w:rPr>
          <w:rFonts w:cs="Arial"/>
          <w:b/>
          <w:bCs/>
          <w:sz w:val="22"/>
          <w:szCs w:val="22"/>
        </w:rPr>
      </w:pPr>
      <w:r w:rsidRPr="00BB02AF">
        <w:rPr>
          <w:rFonts w:cs="Arial"/>
          <w:b/>
          <w:bCs/>
          <w:sz w:val="22"/>
          <w:szCs w:val="22"/>
        </w:rPr>
        <w:t>Respuesta:</w:t>
      </w:r>
    </w:p>
    <w:p w14:paraId="7E12F839" w14:textId="77777777" w:rsidR="00BB02AF" w:rsidRDefault="00BB02AF" w:rsidP="003F411E">
      <w:pPr>
        <w:rPr>
          <w:rFonts w:cs="Arial"/>
          <w:sz w:val="22"/>
          <w:szCs w:val="22"/>
        </w:rPr>
      </w:pPr>
    </w:p>
    <w:p w14:paraId="2AF450F6" w14:textId="2ED5F74B" w:rsidR="00BB02AF" w:rsidRPr="003F411E" w:rsidRDefault="00BB02AF" w:rsidP="003F411E">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_Ref133483600 \r \h </w:instrText>
      </w:r>
      <w:r>
        <w:rPr>
          <w:rFonts w:cs="Arial"/>
          <w:sz w:val="22"/>
          <w:szCs w:val="22"/>
        </w:rPr>
      </w:r>
      <w:r>
        <w:rPr>
          <w:rFonts w:cs="Arial"/>
          <w:sz w:val="22"/>
          <w:szCs w:val="22"/>
        </w:rPr>
        <w:fldChar w:fldCharType="separate"/>
      </w:r>
      <w:r>
        <w:rPr>
          <w:rFonts w:cs="Arial"/>
          <w:sz w:val="22"/>
          <w:szCs w:val="22"/>
        </w:rPr>
        <w:t>36.1.1.4</w:t>
      </w:r>
      <w:r>
        <w:rPr>
          <w:rFonts w:cs="Arial"/>
          <w:sz w:val="22"/>
          <w:szCs w:val="22"/>
        </w:rPr>
        <w:fldChar w:fldCharType="end"/>
      </w:r>
      <w:r>
        <w:rPr>
          <w:rFonts w:cs="Arial"/>
          <w:sz w:val="22"/>
          <w:szCs w:val="22"/>
        </w:rPr>
        <w:t>.</w:t>
      </w:r>
    </w:p>
    <w:p w14:paraId="3365DA05" w14:textId="0AC426DC" w:rsidR="003F411E" w:rsidRDefault="003F411E" w:rsidP="003F411E">
      <w:pPr>
        <w:rPr>
          <w:rFonts w:cs="Arial"/>
          <w:sz w:val="22"/>
          <w:szCs w:val="22"/>
        </w:rPr>
      </w:pPr>
    </w:p>
    <w:p w14:paraId="2213750E" w14:textId="77777777" w:rsidR="003F411E" w:rsidRDefault="003F411E" w:rsidP="003F411E">
      <w:pPr>
        <w:rPr>
          <w:rFonts w:cs="Arial"/>
          <w:sz w:val="22"/>
          <w:szCs w:val="22"/>
        </w:rPr>
      </w:pPr>
    </w:p>
    <w:p w14:paraId="25C82870" w14:textId="77777777" w:rsidR="003F411E" w:rsidRDefault="003F411E" w:rsidP="00FB04F6">
      <w:pPr>
        <w:pStyle w:val="Ttulo2"/>
      </w:pPr>
      <w:bookmarkStart w:id="1041" w:name="_Toc140506583"/>
      <w:r w:rsidRPr="003F411E">
        <w:t>VANTI</w:t>
      </w:r>
      <w:bookmarkEnd w:id="1041"/>
      <w:r w:rsidRPr="003F411E">
        <w:tab/>
      </w:r>
    </w:p>
    <w:p w14:paraId="612231F5" w14:textId="77777777" w:rsidR="00FB04F6" w:rsidRDefault="00FB04F6" w:rsidP="00FB04F6">
      <w:pPr>
        <w:pStyle w:val="Ttulo4"/>
      </w:pPr>
      <w:r w:rsidRPr="003F411E">
        <w:t>VANTI</w:t>
      </w:r>
      <w:r w:rsidRPr="003F411E">
        <w:tab/>
      </w:r>
    </w:p>
    <w:p w14:paraId="362649CD" w14:textId="7F8FB26D" w:rsidR="003F411E" w:rsidRDefault="003F411E" w:rsidP="003F411E">
      <w:pPr>
        <w:rPr>
          <w:rFonts w:cs="Arial"/>
          <w:i/>
          <w:iCs/>
          <w:sz w:val="22"/>
          <w:szCs w:val="22"/>
        </w:rPr>
      </w:pPr>
      <w:r w:rsidRPr="00F85989">
        <w:rPr>
          <w:rFonts w:cs="Arial"/>
          <w:i/>
          <w:iCs/>
          <w:sz w:val="22"/>
          <w:szCs w:val="22"/>
        </w:rPr>
        <w:t xml:space="preserve">"La Comisión propone desagregar la demanda regulada en esencial y no esencial. Del documento soporte de la propuesta de la Resolución 227 de 2021 se entiende que con esta separación se busca que los clientes residenciales y comerciales (demanda esencial) tengan una contratación con menores excedentes: </w:t>
      </w:r>
      <w:r w:rsidR="0073565F">
        <w:rPr>
          <w:rFonts w:cs="Arial"/>
          <w:i/>
          <w:iCs/>
          <w:sz w:val="22"/>
          <w:szCs w:val="22"/>
        </w:rPr>
        <w:t>‘</w:t>
      </w:r>
      <w:r w:rsidRPr="00F85989">
        <w:rPr>
          <w:rFonts w:cs="Arial"/>
          <w:i/>
          <w:iCs/>
          <w:sz w:val="22"/>
          <w:szCs w:val="22"/>
        </w:rPr>
        <w:t>… Sin embargo, se requiere hacer un ajuste al rango de compras previsto actualmente en la fórmula tarifaria, para que solo considere las cantidades requeridas por la demanda regulada esencial como lo prevén los Decretos, de tal manera que se evite la subutilización del suministro y transporte del 8% considerado como demanda regulada pero no esencial. …</w:t>
      </w:r>
      <w:r w:rsidR="008A3F71">
        <w:rPr>
          <w:rFonts w:cs="Arial"/>
          <w:i/>
          <w:iCs/>
          <w:sz w:val="22"/>
          <w:szCs w:val="22"/>
        </w:rPr>
        <w:t>’</w:t>
      </w:r>
      <w:r w:rsidRPr="00F85989">
        <w:rPr>
          <w:rFonts w:cs="Arial"/>
          <w:i/>
          <w:iCs/>
          <w:sz w:val="22"/>
          <w:szCs w:val="22"/>
        </w:rPr>
        <w:t xml:space="preserve"> pág.131, numeral 7.3.</w:t>
      </w:r>
      <w:r w:rsidR="008A3F71">
        <w:rPr>
          <w:rFonts w:cs="Arial"/>
          <w:i/>
          <w:iCs/>
          <w:sz w:val="22"/>
          <w:szCs w:val="22"/>
        </w:rPr>
        <w:t>”</w:t>
      </w:r>
      <w:r w:rsidRPr="00F85989">
        <w:rPr>
          <w:rFonts w:cs="Arial"/>
          <w:i/>
          <w:iCs/>
          <w:sz w:val="22"/>
          <w:szCs w:val="22"/>
        </w:rPr>
        <w:t xml:space="preserve"> </w:t>
      </w:r>
    </w:p>
    <w:p w14:paraId="61B1D464" w14:textId="77777777" w:rsidR="00F85989" w:rsidRDefault="00F85989" w:rsidP="003F411E">
      <w:pPr>
        <w:rPr>
          <w:rFonts w:cs="Arial"/>
          <w:i/>
          <w:iCs/>
          <w:sz w:val="22"/>
          <w:szCs w:val="22"/>
        </w:rPr>
      </w:pPr>
    </w:p>
    <w:p w14:paraId="42CC3620" w14:textId="61A4D8A5" w:rsidR="00F85989" w:rsidRPr="00F85989" w:rsidRDefault="00F85989" w:rsidP="003F411E">
      <w:pPr>
        <w:rPr>
          <w:rFonts w:cs="Arial"/>
          <w:b/>
          <w:bCs/>
          <w:sz w:val="22"/>
          <w:szCs w:val="22"/>
        </w:rPr>
      </w:pPr>
      <w:r w:rsidRPr="00F85989">
        <w:rPr>
          <w:rFonts w:cs="Arial"/>
          <w:b/>
          <w:bCs/>
          <w:sz w:val="22"/>
          <w:szCs w:val="22"/>
        </w:rPr>
        <w:t>Respuesta:</w:t>
      </w:r>
    </w:p>
    <w:p w14:paraId="12E7798E" w14:textId="77777777" w:rsidR="00F85989" w:rsidRPr="00F85989" w:rsidRDefault="00F85989" w:rsidP="003F411E">
      <w:pPr>
        <w:rPr>
          <w:rFonts w:cs="Arial"/>
          <w:sz w:val="22"/>
          <w:szCs w:val="22"/>
        </w:rPr>
      </w:pPr>
    </w:p>
    <w:p w14:paraId="040FEF3F" w14:textId="1662BD54" w:rsidR="00F85989" w:rsidRDefault="00F85989" w:rsidP="003F411E">
      <w:pPr>
        <w:rPr>
          <w:rFonts w:cs="Arial"/>
          <w:sz w:val="22"/>
          <w:szCs w:val="22"/>
        </w:rPr>
      </w:pPr>
      <w:r>
        <w:rPr>
          <w:rFonts w:cs="Arial"/>
          <w:sz w:val="22"/>
          <w:szCs w:val="22"/>
        </w:rPr>
        <w:t>La diferenciación entre los contratos de suministro en el Mercado Primario de la Demanda Esencial y de la demás demanda en el contexto de la Resolución del Mercado Mayorista de Gas Natural, tiene que ver con las asignaciones de cantidades y precios que surgen en particular por el procedimiento del MADE.</w:t>
      </w:r>
    </w:p>
    <w:p w14:paraId="2FDA90DC" w14:textId="77777777" w:rsidR="00F85989" w:rsidRDefault="00F85989" w:rsidP="003F411E">
      <w:pPr>
        <w:rPr>
          <w:rFonts w:cs="Arial"/>
          <w:sz w:val="22"/>
          <w:szCs w:val="22"/>
        </w:rPr>
      </w:pPr>
    </w:p>
    <w:p w14:paraId="272782DC" w14:textId="3FC961A1" w:rsidR="00F85989" w:rsidRDefault="00F85989" w:rsidP="003F411E">
      <w:pPr>
        <w:rPr>
          <w:rFonts w:cs="Arial"/>
          <w:sz w:val="22"/>
          <w:szCs w:val="22"/>
        </w:rPr>
      </w:pPr>
      <w:r>
        <w:rPr>
          <w:rFonts w:cs="Arial"/>
          <w:sz w:val="22"/>
          <w:szCs w:val="22"/>
        </w:rPr>
        <w:t xml:space="preserve">Tener en cuenta la respuesta a </w:t>
      </w:r>
      <w:r>
        <w:rPr>
          <w:rFonts w:cs="Arial"/>
          <w:sz w:val="22"/>
          <w:szCs w:val="22"/>
        </w:rPr>
        <w:fldChar w:fldCharType="begin"/>
      </w:r>
      <w:r>
        <w:rPr>
          <w:rFonts w:cs="Arial"/>
          <w:sz w:val="22"/>
          <w:szCs w:val="22"/>
        </w:rPr>
        <w:instrText xml:space="preserve"> REF _Ref133483993 \r \h </w:instrText>
      </w:r>
      <w:r>
        <w:rPr>
          <w:rFonts w:cs="Arial"/>
          <w:sz w:val="22"/>
          <w:szCs w:val="22"/>
        </w:rPr>
      </w:r>
      <w:r>
        <w:rPr>
          <w:rFonts w:cs="Arial"/>
          <w:sz w:val="22"/>
          <w:szCs w:val="22"/>
        </w:rPr>
        <w:fldChar w:fldCharType="separate"/>
      </w:r>
      <w:r>
        <w:rPr>
          <w:rFonts w:cs="Arial"/>
          <w:sz w:val="22"/>
          <w:szCs w:val="22"/>
        </w:rPr>
        <w:t>19.28.1.8</w:t>
      </w:r>
      <w:r>
        <w:rPr>
          <w:rFonts w:cs="Arial"/>
          <w:sz w:val="22"/>
          <w:szCs w:val="22"/>
        </w:rPr>
        <w:fldChar w:fldCharType="end"/>
      </w:r>
      <w:r>
        <w:rPr>
          <w:rFonts w:cs="Arial"/>
          <w:sz w:val="22"/>
          <w:szCs w:val="22"/>
        </w:rPr>
        <w:t>.</w:t>
      </w:r>
    </w:p>
    <w:p w14:paraId="100928FA" w14:textId="77777777" w:rsidR="00F85989" w:rsidRPr="00F85989" w:rsidRDefault="00F85989" w:rsidP="003F411E">
      <w:pPr>
        <w:rPr>
          <w:rFonts w:cs="Arial"/>
          <w:sz w:val="22"/>
          <w:szCs w:val="22"/>
        </w:rPr>
      </w:pPr>
    </w:p>
    <w:p w14:paraId="218D5BBE" w14:textId="77777777" w:rsidR="003F411E" w:rsidRPr="00F85989" w:rsidRDefault="003F411E" w:rsidP="003F411E">
      <w:pPr>
        <w:rPr>
          <w:rFonts w:cs="Arial"/>
          <w:i/>
          <w:iCs/>
          <w:sz w:val="22"/>
          <w:szCs w:val="22"/>
        </w:rPr>
      </w:pPr>
    </w:p>
    <w:p w14:paraId="0FCF772E" w14:textId="77777777" w:rsidR="00F85989" w:rsidRDefault="00F85989" w:rsidP="00F85989">
      <w:pPr>
        <w:pStyle w:val="Ttulo4"/>
      </w:pPr>
      <w:r w:rsidRPr="003F411E">
        <w:t>VANTI</w:t>
      </w:r>
      <w:r w:rsidRPr="003F411E">
        <w:tab/>
      </w:r>
    </w:p>
    <w:p w14:paraId="75EA0121" w14:textId="58725277" w:rsidR="003F411E" w:rsidRPr="00F85989" w:rsidRDefault="008A3F71" w:rsidP="003F411E">
      <w:pPr>
        <w:rPr>
          <w:rFonts w:cs="Arial"/>
          <w:i/>
          <w:iCs/>
          <w:sz w:val="22"/>
          <w:szCs w:val="22"/>
        </w:rPr>
      </w:pPr>
      <w:r>
        <w:rPr>
          <w:rFonts w:cs="Arial"/>
          <w:i/>
          <w:iCs/>
          <w:sz w:val="22"/>
          <w:szCs w:val="22"/>
        </w:rPr>
        <w:t>“</w:t>
      </w:r>
      <w:r w:rsidR="003F411E" w:rsidRPr="00F85989">
        <w:rPr>
          <w:rFonts w:cs="Arial"/>
          <w:i/>
          <w:iCs/>
          <w:sz w:val="22"/>
          <w:szCs w:val="22"/>
        </w:rPr>
        <w:t xml:space="preserve">Al respecto, se solicita respetuosamente a la Comisión realizar estudios del real impacto que tiene en las características de la curva de consumo la desagregación de estos dos tipos de demanda dado que no se presenta ningún análisis soporte. Esto, porque es el perfil de consumo de la demanda residencial </w:t>
      </w:r>
      <w:r>
        <w:rPr>
          <w:rFonts w:cs="Arial"/>
          <w:i/>
          <w:iCs/>
          <w:sz w:val="22"/>
          <w:szCs w:val="22"/>
        </w:rPr>
        <w:t>‘</w:t>
      </w:r>
      <w:r w:rsidR="003F411E" w:rsidRPr="00F85989">
        <w:rPr>
          <w:rFonts w:cs="Arial"/>
          <w:i/>
          <w:iCs/>
          <w:sz w:val="22"/>
          <w:szCs w:val="22"/>
        </w:rPr>
        <w:t>per se</w:t>
      </w:r>
      <w:r>
        <w:rPr>
          <w:rFonts w:cs="Arial"/>
          <w:i/>
          <w:iCs/>
          <w:sz w:val="22"/>
          <w:szCs w:val="22"/>
        </w:rPr>
        <w:t>’</w:t>
      </w:r>
      <w:r w:rsidR="003F411E" w:rsidRPr="00F85989">
        <w:rPr>
          <w:rFonts w:cs="Arial"/>
          <w:i/>
          <w:iCs/>
          <w:sz w:val="22"/>
          <w:szCs w:val="22"/>
        </w:rPr>
        <w:t xml:space="preserve"> el que genera los excedentes de la contratación; como se observa en la Gráfica #1 (5 semanas del 10 de octubre al 21 de noviembre de 2021 y sin eventos de mantenimiento o fuerza mayor) la curva de demanda regulada tiene montañas y valles mucho más pronunciados que la curva de demanda industrial no regulada. </w:t>
      </w:r>
    </w:p>
    <w:p w14:paraId="629A45DE" w14:textId="77777777" w:rsidR="003F411E" w:rsidRPr="00F85989" w:rsidRDefault="003F411E" w:rsidP="003F411E">
      <w:pPr>
        <w:rPr>
          <w:rFonts w:cs="Arial"/>
          <w:i/>
          <w:iCs/>
          <w:sz w:val="22"/>
          <w:szCs w:val="22"/>
        </w:rPr>
      </w:pPr>
    </w:p>
    <w:p w14:paraId="2D3A5004" w14:textId="59A679C4" w:rsidR="003F411E" w:rsidRPr="00F85989" w:rsidRDefault="003F411E" w:rsidP="003F411E">
      <w:pPr>
        <w:rPr>
          <w:rFonts w:cs="Arial"/>
          <w:i/>
          <w:iCs/>
          <w:sz w:val="22"/>
          <w:szCs w:val="22"/>
        </w:rPr>
      </w:pPr>
      <w:r w:rsidRPr="00F85989">
        <w:rPr>
          <w:rFonts w:cs="Arial"/>
          <w:i/>
          <w:iCs/>
          <w:sz w:val="22"/>
          <w:szCs w:val="22"/>
        </w:rPr>
        <w:t>Por esta razón, no se reducirían los excedentes de la demanda esencial (residencial y comercial) evitando la contratación con Respaldo Físico - contratos en firme- de la demanda no esencial (industria regulada), toda vez que la curva de consumo de ésta es más plana y ayuda a reducir los picos de consumo de la demanda esencial.</w:t>
      </w:r>
    </w:p>
    <w:p w14:paraId="722D947D" w14:textId="77777777" w:rsidR="003F411E" w:rsidRPr="00F85989" w:rsidRDefault="003F411E" w:rsidP="003F411E">
      <w:pPr>
        <w:rPr>
          <w:rFonts w:cs="Arial"/>
          <w:i/>
          <w:iCs/>
          <w:sz w:val="22"/>
          <w:szCs w:val="22"/>
        </w:rPr>
      </w:pPr>
    </w:p>
    <w:p w14:paraId="311C7B33" w14:textId="241AE41B" w:rsidR="003F411E" w:rsidRPr="00F85989" w:rsidRDefault="003F411E" w:rsidP="003F411E">
      <w:pPr>
        <w:rPr>
          <w:rFonts w:cs="Arial"/>
          <w:i/>
          <w:iCs/>
          <w:sz w:val="22"/>
          <w:szCs w:val="22"/>
        </w:rPr>
      </w:pPr>
      <w:r w:rsidRPr="00F85989">
        <w:rPr>
          <w:rFonts w:cs="Arial"/>
          <w:i/>
          <w:iCs/>
          <w:sz w:val="22"/>
          <w:szCs w:val="22"/>
        </w:rPr>
        <w:t xml:space="preserve">La propuesta de la Resolución 227 de 2021 plantea que la fórmula tarifaria de los usuarios regulados tenga ahora una separación, donde exista un Costo Unitario para los usuarios del tipo </w:t>
      </w:r>
      <w:r w:rsidR="00794AFA">
        <w:rPr>
          <w:rFonts w:cs="Arial"/>
          <w:i/>
          <w:iCs/>
          <w:sz w:val="22"/>
          <w:szCs w:val="22"/>
        </w:rPr>
        <w:t>‘</w:t>
      </w:r>
      <w:r w:rsidRPr="00F85989">
        <w:rPr>
          <w:rFonts w:cs="Arial"/>
          <w:i/>
          <w:iCs/>
          <w:sz w:val="22"/>
          <w:szCs w:val="22"/>
        </w:rPr>
        <w:t>u</w:t>
      </w:r>
      <w:r w:rsidR="00794AFA">
        <w:rPr>
          <w:rFonts w:cs="Arial"/>
          <w:i/>
          <w:iCs/>
          <w:sz w:val="22"/>
          <w:szCs w:val="22"/>
        </w:rPr>
        <w:t>’</w:t>
      </w:r>
      <w:r w:rsidRPr="00F85989">
        <w:rPr>
          <w:rFonts w:cs="Arial"/>
          <w:i/>
          <w:iCs/>
          <w:sz w:val="22"/>
          <w:szCs w:val="22"/>
        </w:rPr>
        <w:t xml:space="preserve">, donde </w:t>
      </w:r>
      <w:r w:rsidR="00794AFA">
        <w:rPr>
          <w:rFonts w:cs="Arial"/>
          <w:i/>
          <w:iCs/>
          <w:sz w:val="22"/>
          <w:szCs w:val="22"/>
        </w:rPr>
        <w:t>‘</w:t>
      </w:r>
      <w:r w:rsidRPr="00F85989">
        <w:rPr>
          <w:rFonts w:cs="Arial"/>
          <w:i/>
          <w:iCs/>
          <w:sz w:val="22"/>
          <w:szCs w:val="22"/>
        </w:rPr>
        <w:t>u</w:t>
      </w:r>
      <w:r w:rsidR="00794AFA">
        <w:rPr>
          <w:rFonts w:cs="Arial"/>
          <w:i/>
          <w:iCs/>
          <w:sz w:val="22"/>
          <w:szCs w:val="22"/>
        </w:rPr>
        <w:t>’</w:t>
      </w:r>
      <w:r w:rsidRPr="00F85989">
        <w:rPr>
          <w:rFonts w:cs="Arial"/>
          <w:i/>
          <w:iCs/>
          <w:sz w:val="22"/>
          <w:szCs w:val="22"/>
        </w:rPr>
        <w:t xml:space="preserve"> puede ser: i) Usuario Regulado de Demanda Esencial, o </w:t>
      </w:r>
      <w:proofErr w:type="spellStart"/>
      <w:r w:rsidRPr="00F85989">
        <w:rPr>
          <w:rFonts w:cs="Arial"/>
          <w:i/>
          <w:iCs/>
          <w:sz w:val="22"/>
          <w:szCs w:val="22"/>
        </w:rPr>
        <w:t>ii</w:t>
      </w:r>
      <w:proofErr w:type="spellEnd"/>
      <w:r w:rsidRPr="00F85989">
        <w:rPr>
          <w:rFonts w:cs="Arial"/>
          <w:i/>
          <w:iCs/>
          <w:sz w:val="22"/>
          <w:szCs w:val="22"/>
        </w:rPr>
        <w:t xml:space="preserve">) Usuario Regulado de Demanda No Esencial, así: </w:t>
      </w:r>
    </w:p>
    <w:p w14:paraId="4EB440C8" w14:textId="77777777" w:rsidR="003F411E" w:rsidRPr="00F85989" w:rsidRDefault="003F411E" w:rsidP="003F411E">
      <w:pPr>
        <w:rPr>
          <w:rFonts w:cs="Arial"/>
          <w:i/>
          <w:iCs/>
          <w:sz w:val="22"/>
          <w:szCs w:val="22"/>
        </w:rPr>
      </w:pPr>
    </w:p>
    <w:p w14:paraId="2CAF33E3" w14:textId="509DBEF9" w:rsidR="003F411E" w:rsidRPr="00F85989" w:rsidRDefault="003F411E" w:rsidP="003F411E">
      <w:pPr>
        <w:rPr>
          <w:rFonts w:cs="Arial"/>
          <w:i/>
          <w:iCs/>
          <w:sz w:val="22"/>
          <w:szCs w:val="22"/>
        </w:rPr>
      </w:pPr>
      <w:r w:rsidRPr="00F85989">
        <w:rPr>
          <w:rFonts w:cs="Arial"/>
          <w:i/>
          <w:iCs/>
          <w:sz w:val="22"/>
          <w:szCs w:val="22"/>
        </w:rPr>
        <w:t xml:space="preserve">Según los procesos de medición de las empresas, la única manera factible de realizar esta separación, para poder gestionar las compras de suministro y transporte, es identificar de manera diaria el volumen de gas demandado por estos usuarios regulados de Demanda No Esencial donde la única solución es que se implemente en todos y cada uno de ellos la telemedida, así como lo tienen implementado los usuarios no regulados. </w:t>
      </w:r>
    </w:p>
    <w:p w14:paraId="734246A9" w14:textId="77777777" w:rsidR="003F411E" w:rsidRPr="00F85989" w:rsidRDefault="003F411E" w:rsidP="003F411E">
      <w:pPr>
        <w:rPr>
          <w:rFonts w:cs="Arial"/>
          <w:i/>
          <w:iCs/>
          <w:sz w:val="22"/>
          <w:szCs w:val="22"/>
        </w:rPr>
      </w:pPr>
    </w:p>
    <w:p w14:paraId="58665591" w14:textId="42A5F203" w:rsidR="003F411E" w:rsidRPr="00F85989" w:rsidRDefault="003F411E" w:rsidP="003F411E">
      <w:pPr>
        <w:rPr>
          <w:rFonts w:cs="Arial"/>
          <w:i/>
          <w:iCs/>
          <w:sz w:val="22"/>
          <w:szCs w:val="22"/>
        </w:rPr>
      </w:pPr>
      <w:r w:rsidRPr="00F85989">
        <w:rPr>
          <w:rFonts w:cs="Arial"/>
          <w:i/>
          <w:iCs/>
          <w:sz w:val="22"/>
          <w:szCs w:val="22"/>
        </w:rPr>
        <w:t xml:space="preserve">Hoy en día la demanda regulada diaria se identifica de la siguiente manera: i) el gas que ingresa al sistema de distribución a través de las </w:t>
      </w:r>
      <w:proofErr w:type="spellStart"/>
      <w:r w:rsidRPr="00F85989">
        <w:rPr>
          <w:rFonts w:cs="Arial"/>
          <w:i/>
          <w:iCs/>
          <w:sz w:val="22"/>
          <w:szCs w:val="22"/>
        </w:rPr>
        <w:t>city</w:t>
      </w:r>
      <w:proofErr w:type="spellEnd"/>
      <w:r w:rsidRPr="00F85989">
        <w:rPr>
          <w:rFonts w:cs="Arial"/>
          <w:i/>
          <w:iCs/>
          <w:sz w:val="22"/>
          <w:szCs w:val="22"/>
        </w:rPr>
        <w:t xml:space="preserve">-gate tiene una única medida, </w:t>
      </w:r>
      <w:proofErr w:type="spellStart"/>
      <w:r w:rsidRPr="00F85989">
        <w:rPr>
          <w:rFonts w:cs="Arial"/>
          <w:i/>
          <w:iCs/>
          <w:sz w:val="22"/>
          <w:szCs w:val="22"/>
        </w:rPr>
        <w:t>ii</w:t>
      </w:r>
      <w:proofErr w:type="spellEnd"/>
      <w:r w:rsidRPr="00F85989">
        <w:rPr>
          <w:rFonts w:cs="Arial"/>
          <w:i/>
          <w:iCs/>
          <w:sz w:val="22"/>
          <w:szCs w:val="22"/>
        </w:rPr>
        <w:t xml:space="preserve">) en los puntos de suministro de los usuarios no regulados se realiza la medición, a través de la telemedida, usuarios de industria y GNV, </w:t>
      </w:r>
      <w:proofErr w:type="spellStart"/>
      <w:r w:rsidRPr="00F85989">
        <w:rPr>
          <w:rFonts w:cs="Arial"/>
          <w:i/>
          <w:iCs/>
          <w:sz w:val="22"/>
          <w:szCs w:val="22"/>
        </w:rPr>
        <w:t>iii</w:t>
      </w:r>
      <w:proofErr w:type="spellEnd"/>
      <w:r w:rsidRPr="00F85989">
        <w:rPr>
          <w:rFonts w:cs="Arial"/>
          <w:i/>
          <w:iCs/>
          <w:sz w:val="22"/>
          <w:szCs w:val="22"/>
        </w:rPr>
        <w:t xml:space="preserve">) estos datos son recibidos por el Centro de Control quien los descuenta a la medición de las </w:t>
      </w:r>
      <w:proofErr w:type="spellStart"/>
      <w:r w:rsidRPr="00F85989">
        <w:rPr>
          <w:rFonts w:cs="Arial"/>
          <w:i/>
          <w:iCs/>
          <w:sz w:val="22"/>
          <w:szCs w:val="22"/>
        </w:rPr>
        <w:t>city</w:t>
      </w:r>
      <w:proofErr w:type="spellEnd"/>
      <w:r w:rsidRPr="00F85989">
        <w:rPr>
          <w:rFonts w:cs="Arial"/>
          <w:i/>
          <w:iCs/>
          <w:sz w:val="22"/>
          <w:szCs w:val="22"/>
        </w:rPr>
        <w:t xml:space="preserve">-gate, </w:t>
      </w:r>
      <w:proofErr w:type="spellStart"/>
      <w:r w:rsidRPr="00F85989">
        <w:rPr>
          <w:rFonts w:cs="Arial"/>
          <w:i/>
          <w:iCs/>
          <w:sz w:val="22"/>
          <w:szCs w:val="22"/>
        </w:rPr>
        <w:t>iv</w:t>
      </w:r>
      <w:proofErr w:type="spellEnd"/>
      <w:r w:rsidRPr="00F85989">
        <w:rPr>
          <w:rFonts w:cs="Arial"/>
          <w:i/>
          <w:iCs/>
          <w:sz w:val="22"/>
          <w:szCs w:val="22"/>
        </w:rPr>
        <w:t xml:space="preserve">) finalmente, y describiendo el proceso de manera muy general, se identifican los consumos de la demanda regulada. Por esta razón, si lo que se necesita saber ahora es la demanda regulada no esencial, ésta debe contar con equipos de telemedida y poder gestionarla de manera diaria. </w:t>
      </w:r>
    </w:p>
    <w:p w14:paraId="635157E6" w14:textId="77777777" w:rsidR="003F411E" w:rsidRPr="00F85989" w:rsidRDefault="003F411E" w:rsidP="003F411E">
      <w:pPr>
        <w:rPr>
          <w:rFonts w:cs="Arial"/>
          <w:i/>
          <w:iCs/>
          <w:sz w:val="22"/>
          <w:szCs w:val="22"/>
        </w:rPr>
      </w:pPr>
    </w:p>
    <w:p w14:paraId="68ED8E2A" w14:textId="6E248776" w:rsidR="003F411E" w:rsidRDefault="003F411E" w:rsidP="003F411E">
      <w:pPr>
        <w:rPr>
          <w:rFonts w:cs="Arial"/>
          <w:i/>
          <w:iCs/>
          <w:sz w:val="22"/>
          <w:szCs w:val="22"/>
        </w:rPr>
      </w:pPr>
      <w:r w:rsidRPr="00F85989">
        <w:rPr>
          <w:rFonts w:cs="Arial"/>
          <w:i/>
          <w:iCs/>
          <w:sz w:val="22"/>
          <w:szCs w:val="22"/>
        </w:rPr>
        <w:t>Para exponer la magnitud de esta implementación, hoy se tienen 278 clientes no regulados con telemedida, entre industria y GNV, y debería incorporarse a 3.096 clientes adicionales correspondientes a grandes comerciales e industria regulada, con los costos asociados, y seguramente, la renuencia de muchos clientes. Adicionalmente, con una relación costo beneficio para el cambio imposible de justificar, donde los clientes recibirían beneficios marginales a cambio de un costo significativo.</w:t>
      </w:r>
      <w:r w:rsidR="00B05F4A">
        <w:rPr>
          <w:rFonts w:cs="Arial"/>
          <w:i/>
          <w:iCs/>
          <w:sz w:val="22"/>
          <w:szCs w:val="22"/>
        </w:rPr>
        <w:t>”</w:t>
      </w:r>
      <w:r w:rsidRPr="00F85989">
        <w:rPr>
          <w:rFonts w:cs="Arial"/>
          <w:i/>
          <w:iCs/>
          <w:sz w:val="22"/>
          <w:szCs w:val="22"/>
        </w:rPr>
        <w:t xml:space="preserve"> </w:t>
      </w:r>
    </w:p>
    <w:p w14:paraId="374E65D6" w14:textId="77777777" w:rsidR="004F6F87" w:rsidRDefault="004F6F87" w:rsidP="003F411E">
      <w:pPr>
        <w:rPr>
          <w:rFonts w:cs="Arial"/>
          <w:i/>
          <w:iCs/>
          <w:sz w:val="22"/>
          <w:szCs w:val="22"/>
        </w:rPr>
      </w:pPr>
    </w:p>
    <w:p w14:paraId="4DD3AD88" w14:textId="5D0C6938" w:rsidR="004F6F87" w:rsidRPr="004F6F87" w:rsidRDefault="004F6F87" w:rsidP="003F411E">
      <w:pPr>
        <w:rPr>
          <w:rFonts w:cs="Arial"/>
          <w:b/>
          <w:bCs/>
          <w:sz w:val="22"/>
          <w:szCs w:val="22"/>
        </w:rPr>
      </w:pPr>
      <w:r w:rsidRPr="004F6F87">
        <w:rPr>
          <w:rFonts w:cs="Arial"/>
          <w:b/>
          <w:bCs/>
          <w:sz w:val="22"/>
          <w:szCs w:val="22"/>
        </w:rPr>
        <w:t>Respuesta:</w:t>
      </w:r>
    </w:p>
    <w:p w14:paraId="2BB54C0B" w14:textId="77777777" w:rsidR="004F6F87" w:rsidRDefault="004F6F87" w:rsidP="003F411E">
      <w:pPr>
        <w:rPr>
          <w:rFonts w:cs="Arial"/>
          <w:i/>
          <w:iCs/>
          <w:sz w:val="22"/>
          <w:szCs w:val="22"/>
        </w:rPr>
      </w:pPr>
    </w:p>
    <w:p w14:paraId="74CE11C4" w14:textId="0D1CFE06" w:rsidR="004F6F87" w:rsidRPr="004F6F87" w:rsidRDefault="004F6F87" w:rsidP="003F411E">
      <w:pPr>
        <w:rPr>
          <w:rFonts w:cs="Arial"/>
          <w:sz w:val="22"/>
          <w:szCs w:val="22"/>
        </w:rPr>
      </w:pPr>
      <w:r w:rsidRPr="004F6F87">
        <w:rPr>
          <w:rFonts w:cs="Arial"/>
          <w:sz w:val="22"/>
          <w:szCs w:val="22"/>
        </w:rPr>
        <w:t xml:space="preserve">Se requiere conocer </w:t>
      </w:r>
      <w:r>
        <w:rPr>
          <w:rFonts w:cs="Arial"/>
          <w:sz w:val="22"/>
          <w:szCs w:val="22"/>
        </w:rPr>
        <w:t xml:space="preserve">con mayor precisión </w:t>
      </w:r>
      <w:r w:rsidRPr="004F6F87">
        <w:rPr>
          <w:rFonts w:cs="Arial"/>
          <w:sz w:val="22"/>
          <w:szCs w:val="22"/>
        </w:rPr>
        <w:t>por qué es necesaria la medición diaria de los usuarios regulados que no hacen parte de la Demanda Esencial</w:t>
      </w:r>
      <w:r>
        <w:rPr>
          <w:rFonts w:cs="Arial"/>
          <w:sz w:val="22"/>
          <w:szCs w:val="22"/>
        </w:rPr>
        <w:t>, a los que se les hace lectura y facturación mensual, siendo que la liquidación de los contratos de suministro de tipo CF80 propuesto y CF95 actual, es mensual y no diaria.</w:t>
      </w:r>
    </w:p>
    <w:p w14:paraId="332FEE2C" w14:textId="77777777" w:rsidR="004F6F87" w:rsidRPr="00F85989" w:rsidRDefault="004F6F87" w:rsidP="003F411E">
      <w:pPr>
        <w:rPr>
          <w:rFonts w:cs="Arial"/>
          <w:i/>
          <w:iCs/>
          <w:sz w:val="22"/>
          <w:szCs w:val="22"/>
        </w:rPr>
      </w:pPr>
    </w:p>
    <w:p w14:paraId="7A08A520" w14:textId="77777777" w:rsidR="003F411E" w:rsidRPr="00F85989" w:rsidRDefault="003F411E" w:rsidP="003F411E">
      <w:pPr>
        <w:rPr>
          <w:rFonts w:cs="Arial"/>
          <w:i/>
          <w:iCs/>
          <w:sz w:val="22"/>
          <w:szCs w:val="22"/>
        </w:rPr>
      </w:pPr>
    </w:p>
    <w:p w14:paraId="5C630933" w14:textId="77777777" w:rsidR="004F6F87" w:rsidRDefault="004F6F87" w:rsidP="004F6F87">
      <w:pPr>
        <w:pStyle w:val="Ttulo4"/>
      </w:pPr>
      <w:r w:rsidRPr="003F411E">
        <w:t>VANTI</w:t>
      </w:r>
      <w:r w:rsidRPr="003F411E">
        <w:tab/>
      </w:r>
    </w:p>
    <w:p w14:paraId="7C73D013" w14:textId="51A36AD7" w:rsidR="003F411E" w:rsidRPr="00F85989" w:rsidRDefault="00B05F4A" w:rsidP="003F411E">
      <w:pPr>
        <w:rPr>
          <w:rFonts w:cs="Arial"/>
          <w:i/>
          <w:iCs/>
          <w:sz w:val="22"/>
          <w:szCs w:val="22"/>
        </w:rPr>
      </w:pPr>
      <w:r>
        <w:rPr>
          <w:rFonts w:cs="Arial"/>
          <w:i/>
          <w:iCs/>
          <w:sz w:val="22"/>
          <w:szCs w:val="22"/>
        </w:rPr>
        <w:t>“</w:t>
      </w:r>
      <w:r w:rsidR="003F411E" w:rsidRPr="00F85989">
        <w:rPr>
          <w:rFonts w:cs="Arial"/>
          <w:i/>
          <w:iCs/>
          <w:sz w:val="22"/>
          <w:szCs w:val="22"/>
        </w:rPr>
        <w:t xml:space="preserve">La propuesta plantea que el criterio de identificación de los pequeños comerciales conectados a la red de distribución sean aquellos clasificados por el CIIU. Al respecto, se solicita modificar este criterio y que, si la Comisión insiste en conservar la desagregación de la demanda regulada pese a los 2 puntos anteriormente expuestos, la demanda regulada esencial corresponda a los usuarios residenciales y a los usuarios comerciales conectados a la red de distribución y con un consumo menor a 100 KPCD, según los sistemas de facturación de la empresa. </w:t>
      </w:r>
    </w:p>
    <w:p w14:paraId="6586741B" w14:textId="77777777" w:rsidR="003F411E" w:rsidRPr="00F85989" w:rsidRDefault="003F411E" w:rsidP="003F411E">
      <w:pPr>
        <w:rPr>
          <w:rFonts w:cs="Arial"/>
          <w:i/>
          <w:iCs/>
          <w:sz w:val="22"/>
          <w:szCs w:val="22"/>
        </w:rPr>
      </w:pPr>
    </w:p>
    <w:p w14:paraId="02025B8C" w14:textId="4FC8CDA8" w:rsidR="003F411E" w:rsidRPr="00F85989" w:rsidRDefault="003F411E" w:rsidP="003F411E">
      <w:pPr>
        <w:rPr>
          <w:rFonts w:cs="Arial"/>
          <w:i/>
          <w:iCs/>
          <w:sz w:val="22"/>
          <w:szCs w:val="22"/>
        </w:rPr>
      </w:pPr>
      <w:r w:rsidRPr="00F85989">
        <w:rPr>
          <w:rFonts w:cs="Arial"/>
          <w:i/>
          <w:iCs/>
          <w:sz w:val="22"/>
          <w:szCs w:val="22"/>
        </w:rPr>
        <w:t xml:space="preserve">La imposibilidad de utilizar el código CIIU se origina en que esta no es una variable de gestión para la actualización del tipo de uso del gas de los clientes en los sistemas de facturación de las empresas distribuidoras en el país. Esta actualización de uso del gas en los diferentes predios en las empresas del Grupo </w:t>
      </w:r>
      <w:proofErr w:type="spellStart"/>
      <w:r w:rsidRPr="00F85989">
        <w:rPr>
          <w:rFonts w:cs="Arial"/>
          <w:i/>
          <w:iCs/>
          <w:sz w:val="22"/>
          <w:szCs w:val="22"/>
        </w:rPr>
        <w:t>Vanti</w:t>
      </w:r>
      <w:proofErr w:type="spellEnd"/>
      <w:r w:rsidRPr="00F85989">
        <w:rPr>
          <w:rFonts w:cs="Arial"/>
          <w:i/>
          <w:iCs/>
          <w:sz w:val="22"/>
          <w:szCs w:val="22"/>
        </w:rPr>
        <w:t xml:space="preserve"> se lleva a cabo a través de auditorías de calidad periódicas que determinan el tipo de mercado que debe tener cada cliente y emitir de manera correcta el tipo de tarifa en el proceso de facturación. </w:t>
      </w:r>
    </w:p>
    <w:p w14:paraId="2F2F9736" w14:textId="77777777" w:rsidR="003F411E" w:rsidRPr="00F85989" w:rsidRDefault="003F411E" w:rsidP="003F411E">
      <w:pPr>
        <w:rPr>
          <w:rFonts w:cs="Arial"/>
          <w:i/>
          <w:iCs/>
          <w:sz w:val="22"/>
          <w:szCs w:val="22"/>
        </w:rPr>
      </w:pPr>
    </w:p>
    <w:p w14:paraId="1F4CF90C" w14:textId="3F53A286" w:rsidR="00426028" w:rsidRDefault="003F411E" w:rsidP="003F411E">
      <w:pPr>
        <w:rPr>
          <w:rFonts w:cs="Arial"/>
          <w:sz w:val="22"/>
          <w:szCs w:val="22"/>
        </w:rPr>
      </w:pPr>
      <w:r w:rsidRPr="00F85989">
        <w:rPr>
          <w:rFonts w:cs="Arial"/>
          <w:i/>
          <w:iCs/>
          <w:sz w:val="22"/>
          <w:szCs w:val="22"/>
        </w:rPr>
        <w:t xml:space="preserve">Es importante mencionar que predios como clínicas, hospitales, colegios, comedores militares, en general, organismos especiales/críticos, no pueden dejar de ser catalogados como demanda esencial. Lo anterior en razón a que han sido definidos como </w:t>
      </w:r>
      <w:r w:rsidR="00B05F4A">
        <w:rPr>
          <w:rFonts w:cs="Arial"/>
          <w:i/>
          <w:iCs/>
          <w:sz w:val="22"/>
          <w:szCs w:val="22"/>
        </w:rPr>
        <w:t>‘</w:t>
      </w:r>
      <w:r w:rsidRPr="00F85989">
        <w:rPr>
          <w:rFonts w:cs="Arial"/>
          <w:i/>
          <w:iCs/>
          <w:sz w:val="22"/>
          <w:szCs w:val="22"/>
        </w:rPr>
        <w:t>de especial protección</w:t>
      </w:r>
      <w:r w:rsidR="00B05F4A">
        <w:rPr>
          <w:rFonts w:cs="Arial"/>
          <w:i/>
          <w:iCs/>
          <w:sz w:val="22"/>
          <w:szCs w:val="22"/>
        </w:rPr>
        <w:t>’</w:t>
      </w:r>
      <w:r w:rsidRPr="00F85989">
        <w:rPr>
          <w:rFonts w:cs="Arial"/>
          <w:i/>
          <w:iCs/>
          <w:sz w:val="22"/>
          <w:szCs w:val="22"/>
        </w:rPr>
        <w:t xml:space="preserve"> constitucional. Se solicita a la CREG revisar los pronunciamientos jurisprudenciales relacionados con esta categoría de usuarios y las implicaciones que la propuesta regulatoria acarrearía.</w:t>
      </w:r>
      <w:r w:rsidRPr="003F411E">
        <w:rPr>
          <w:rFonts w:cs="Arial"/>
          <w:sz w:val="22"/>
          <w:szCs w:val="22"/>
        </w:rPr>
        <w:t xml:space="preserve"> "</w:t>
      </w:r>
    </w:p>
    <w:p w14:paraId="1F326454" w14:textId="77777777" w:rsidR="00F85989" w:rsidRDefault="00F85989" w:rsidP="003F411E">
      <w:pPr>
        <w:rPr>
          <w:rFonts w:cs="Arial"/>
          <w:sz w:val="22"/>
          <w:szCs w:val="22"/>
        </w:rPr>
      </w:pPr>
    </w:p>
    <w:p w14:paraId="02CDC8C0" w14:textId="4DE83356" w:rsidR="00F85989" w:rsidRPr="00F85989" w:rsidRDefault="00F85989" w:rsidP="003F411E">
      <w:pPr>
        <w:rPr>
          <w:rFonts w:cs="Arial"/>
          <w:b/>
          <w:bCs/>
          <w:sz w:val="22"/>
          <w:szCs w:val="22"/>
        </w:rPr>
      </w:pPr>
      <w:r w:rsidRPr="00F85989">
        <w:rPr>
          <w:rFonts w:cs="Arial"/>
          <w:b/>
          <w:bCs/>
          <w:sz w:val="22"/>
          <w:szCs w:val="22"/>
        </w:rPr>
        <w:t>Respuesta:</w:t>
      </w:r>
    </w:p>
    <w:p w14:paraId="6A1E5A6E" w14:textId="77777777" w:rsidR="00F85989" w:rsidRDefault="00F85989" w:rsidP="003F411E">
      <w:pPr>
        <w:rPr>
          <w:rFonts w:cs="Arial"/>
          <w:sz w:val="22"/>
          <w:szCs w:val="22"/>
        </w:rPr>
      </w:pPr>
    </w:p>
    <w:p w14:paraId="32EB504A" w14:textId="65C2237B" w:rsidR="00F85989" w:rsidRPr="003F411E" w:rsidRDefault="004F6F87" w:rsidP="003F411E">
      <w:pPr>
        <w:rPr>
          <w:rFonts w:cs="Arial"/>
          <w:sz w:val="22"/>
          <w:szCs w:val="22"/>
        </w:rPr>
      </w:pPr>
      <w:r>
        <w:rPr>
          <w:rFonts w:cs="Arial"/>
          <w:sz w:val="22"/>
          <w:szCs w:val="22"/>
        </w:rPr>
        <w:t>Se tendrá en cuenta el comentario para la Resolución definitiva que sustituye la Resolución CREG 137 de 2013 vigente.</w:t>
      </w:r>
    </w:p>
    <w:p w14:paraId="5B7DF706" w14:textId="0A7A82BD" w:rsidR="003F411E" w:rsidRDefault="003F411E" w:rsidP="00371CB5">
      <w:pPr>
        <w:rPr>
          <w:rFonts w:cs="Arial"/>
          <w:b/>
          <w:bCs/>
          <w:sz w:val="22"/>
          <w:szCs w:val="22"/>
        </w:rPr>
      </w:pPr>
    </w:p>
    <w:p w14:paraId="18F6532C" w14:textId="77777777" w:rsidR="003F411E" w:rsidRDefault="003F411E" w:rsidP="00371CB5">
      <w:pPr>
        <w:rPr>
          <w:rFonts w:cs="Arial"/>
          <w:b/>
          <w:bCs/>
          <w:sz w:val="22"/>
          <w:szCs w:val="22"/>
        </w:rPr>
      </w:pPr>
    </w:p>
    <w:p w14:paraId="04B3B9F1" w14:textId="716A7189" w:rsidR="00D07DF6" w:rsidRDefault="00D07DF6" w:rsidP="00D07DF6">
      <w:pPr>
        <w:pStyle w:val="Ttulo1"/>
        <w:numPr>
          <w:ilvl w:val="0"/>
          <w:numId w:val="1"/>
        </w:numPr>
        <w:rPr>
          <w:caps/>
        </w:rPr>
      </w:pPr>
      <w:bookmarkStart w:id="1042" w:name="_Toc140506584"/>
      <w:r>
        <w:t>ANEXO 3</w:t>
      </w:r>
      <w:bookmarkEnd w:id="1042"/>
    </w:p>
    <w:p w14:paraId="1F81A5BE" w14:textId="77777777" w:rsidR="002609DB" w:rsidRDefault="002609DB" w:rsidP="002609DB">
      <w:pPr>
        <w:pStyle w:val="Ttulo2"/>
      </w:pPr>
      <w:bookmarkStart w:id="1043" w:name="_Toc140506585"/>
      <w:r w:rsidRPr="002609DB">
        <w:t>CANACOL</w:t>
      </w:r>
      <w:bookmarkEnd w:id="1043"/>
      <w:r w:rsidRPr="002609DB">
        <w:tab/>
      </w:r>
    </w:p>
    <w:p w14:paraId="2D9B1E10" w14:textId="77777777" w:rsidR="002609DB" w:rsidRDefault="002609DB" w:rsidP="002609DB">
      <w:pPr>
        <w:pStyle w:val="Ttulo4"/>
      </w:pPr>
      <w:r w:rsidRPr="002609DB">
        <w:t>CANACOL</w:t>
      </w:r>
      <w:r w:rsidRPr="002609DB">
        <w:tab/>
      </w:r>
    </w:p>
    <w:p w14:paraId="771EF15E" w14:textId="35C2F316" w:rsidR="002609DB" w:rsidRPr="00CE414C" w:rsidRDefault="00B05F4A" w:rsidP="002609DB">
      <w:pPr>
        <w:rPr>
          <w:rFonts w:cs="Arial"/>
          <w:i/>
          <w:iCs/>
          <w:sz w:val="22"/>
          <w:szCs w:val="22"/>
        </w:rPr>
      </w:pPr>
      <w:r>
        <w:rPr>
          <w:rFonts w:cs="Arial"/>
          <w:i/>
          <w:iCs/>
          <w:sz w:val="22"/>
          <w:szCs w:val="22"/>
        </w:rPr>
        <w:t>“</w:t>
      </w:r>
      <w:r w:rsidR="002609DB" w:rsidRPr="00CE414C">
        <w:rPr>
          <w:rFonts w:cs="Arial"/>
          <w:i/>
          <w:iCs/>
          <w:sz w:val="22"/>
          <w:szCs w:val="22"/>
        </w:rPr>
        <w:t xml:space="preserve">El indexador es uno de los parámetros fundamentales en los contratos de largo plazo, por lo que la CREG </w:t>
      </w:r>
      <w:proofErr w:type="spellStart"/>
      <w:r w:rsidR="002609DB" w:rsidRPr="00CE414C">
        <w:rPr>
          <w:rFonts w:cs="Arial"/>
          <w:i/>
          <w:iCs/>
          <w:sz w:val="22"/>
          <w:szCs w:val="22"/>
        </w:rPr>
        <w:t>deberia</w:t>
      </w:r>
      <w:proofErr w:type="spellEnd"/>
      <w:r w:rsidR="002609DB" w:rsidRPr="00CE414C">
        <w:rPr>
          <w:rFonts w:cs="Arial"/>
          <w:i/>
          <w:iCs/>
          <w:sz w:val="22"/>
          <w:szCs w:val="22"/>
        </w:rPr>
        <w:t xml:space="preserve"> otorgar flexibilidad a las partes en la fijación </w:t>
      </w:r>
      <w:proofErr w:type="gramStart"/>
      <w:r w:rsidR="002609DB" w:rsidRPr="00CE414C">
        <w:rPr>
          <w:rFonts w:cs="Arial"/>
          <w:i/>
          <w:iCs/>
          <w:sz w:val="22"/>
          <w:szCs w:val="22"/>
        </w:rPr>
        <w:t>del mismo</w:t>
      </w:r>
      <w:proofErr w:type="gramEnd"/>
      <w:r w:rsidR="002609DB" w:rsidRPr="00CE414C">
        <w:rPr>
          <w:rFonts w:cs="Arial"/>
          <w:i/>
          <w:iCs/>
          <w:sz w:val="22"/>
          <w:szCs w:val="22"/>
        </w:rPr>
        <w:t>.</w:t>
      </w:r>
      <w:r>
        <w:rPr>
          <w:rFonts w:cs="Arial"/>
          <w:i/>
          <w:iCs/>
          <w:sz w:val="22"/>
          <w:szCs w:val="22"/>
        </w:rPr>
        <w:t>”</w:t>
      </w:r>
    </w:p>
    <w:p w14:paraId="1F8E3816" w14:textId="77777777" w:rsidR="00CE414C" w:rsidRDefault="00CE414C" w:rsidP="002609DB">
      <w:pPr>
        <w:rPr>
          <w:rFonts w:cs="Arial"/>
          <w:sz w:val="22"/>
          <w:szCs w:val="22"/>
        </w:rPr>
      </w:pPr>
    </w:p>
    <w:p w14:paraId="615F5F02" w14:textId="681EC4A9" w:rsidR="00CE414C" w:rsidRPr="00CE414C" w:rsidRDefault="00CE414C" w:rsidP="002609DB">
      <w:pPr>
        <w:rPr>
          <w:rFonts w:cs="Arial"/>
          <w:b/>
          <w:bCs/>
          <w:sz w:val="22"/>
          <w:szCs w:val="22"/>
        </w:rPr>
      </w:pPr>
      <w:r w:rsidRPr="00CE414C">
        <w:rPr>
          <w:rFonts w:cs="Arial"/>
          <w:b/>
          <w:bCs/>
          <w:sz w:val="22"/>
          <w:szCs w:val="22"/>
        </w:rPr>
        <w:t>Respuesta:</w:t>
      </w:r>
    </w:p>
    <w:p w14:paraId="57557742" w14:textId="77777777" w:rsidR="00CE414C" w:rsidRDefault="00CE414C" w:rsidP="002609DB">
      <w:pPr>
        <w:rPr>
          <w:rFonts w:cs="Arial"/>
          <w:sz w:val="22"/>
          <w:szCs w:val="22"/>
        </w:rPr>
      </w:pPr>
    </w:p>
    <w:p w14:paraId="68F0322E" w14:textId="77777777" w:rsidR="00A30EDC" w:rsidRDefault="00A30EDC" w:rsidP="002609DB">
      <w:pPr>
        <w:rPr>
          <w:rFonts w:cs="Arial"/>
          <w:sz w:val="22"/>
          <w:szCs w:val="22"/>
        </w:rPr>
      </w:pPr>
      <w:r>
        <w:rPr>
          <w:rFonts w:cs="Arial"/>
          <w:sz w:val="22"/>
          <w:szCs w:val="22"/>
        </w:rPr>
        <w:t>Se acoge el comentario.</w:t>
      </w:r>
    </w:p>
    <w:p w14:paraId="566408AB" w14:textId="77777777" w:rsidR="00A30EDC" w:rsidRDefault="00A30EDC" w:rsidP="002609DB">
      <w:pPr>
        <w:rPr>
          <w:rFonts w:cs="Arial"/>
          <w:sz w:val="22"/>
          <w:szCs w:val="22"/>
        </w:rPr>
      </w:pPr>
    </w:p>
    <w:p w14:paraId="489A22C4" w14:textId="42306A1F" w:rsidR="00CE414C" w:rsidRPr="002609DB" w:rsidRDefault="00CE414C" w:rsidP="002609DB">
      <w:pPr>
        <w:rPr>
          <w:rFonts w:cs="Arial"/>
          <w:sz w:val="22"/>
          <w:szCs w:val="22"/>
        </w:rPr>
      </w:pPr>
      <w:r>
        <w:rPr>
          <w:rFonts w:cs="Arial"/>
          <w:sz w:val="22"/>
          <w:szCs w:val="22"/>
        </w:rPr>
        <w:t xml:space="preserve">Ver numeral </w:t>
      </w:r>
      <w:r w:rsidR="00A30EDC">
        <w:rPr>
          <w:rFonts w:cs="Arial"/>
          <w:sz w:val="22"/>
          <w:szCs w:val="22"/>
        </w:rPr>
        <w:fldChar w:fldCharType="begin"/>
      </w:r>
      <w:r w:rsidR="00A30EDC">
        <w:rPr>
          <w:rFonts w:cs="Arial"/>
          <w:sz w:val="22"/>
          <w:szCs w:val="22"/>
        </w:rPr>
        <w:instrText xml:space="preserve"> REF _Ref130805559 \r \h </w:instrText>
      </w:r>
      <w:r w:rsidR="00A30EDC">
        <w:rPr>
          <w:rFonts w:cs="Arial"/>
          <w:sz w:val="22"/>
          <w:szCs w:val="22"/>
        </w:rPr>
      </w:r>
      <w:r w:rsidR="00A30EDC">
        <w:rPr>
          <w:rFonts w:cs="Arial"/>
          <w:sz w:val="22"/>
          <w:szCs w:val="22"/>
        </w:rPr>
        <w:fldChar w:fldCharType="separate"/>
      </w:r>
      <w:r w:rsidR="00A30EDC">
        <w:rPr>
          <w:rFonts w:cs="Arial"/>
          <w:sz w:val="22"/>
          <w:szCs w:val="22"/>
        </w:rPr>
        <w:t>4.19</w:t>
      </w:r>
      <w:r w:rsidR="00A30EDC">
        <w:rPr>
          <w:rFonts w:cs="Arial"/>
          <w:sz w:val="22"/>
          <w:szCs w:val="22"/>
        </w:rPr>
        <w:fldChar w:fldCharType="end"/>
      </w:r>
      <w:r w:rsidR="00A30EDC">
        <w:rPr>
          <w:rFonts w:cs="Arial"/>
          <w:sz w:val="22"/>
          <w:szCs w:val="22"/>
        </w:rPr>
        <w:t>.</w:t>
      </w:r>
    </w:p>
    <w:p w14:paraId="27F2DE3D" w14:textId="77777777" w:rsidR="002609DB" w:rsidRDefault="002609DB" w:rsidP="002609DB">
      <w:pPr>
        <w:rPr>
          <w:rFonts w:cs="Arial"/>
          <w:sz w:val="22"/>
          <w:szCs w:val="22"/>
        </w:rPr>
      </w:pPr>
    </w:p>
    <w:p w14:paraId="7F71D26A" w14:textId="77777777" w:rsidR="002609DB" w:rsidRDefault="002609DB" w:rsidP="002609DB">
      <w:pPr>
        <w:rPr>
          <w:rFonts w:cs="Arial"/>
          <w:sz w:val="22"/>
          <w:szCs w:val="22"/>
        </w:rPr>
      </w:pPr>
    </w:p>
    <w:p w14:paraId="05800986" w14:textId="77777777" w:rsidR="002609DB" w:rsidRDefault="002609DB" w:rsidP="002609DB">
      <w:pPr>
        <w:pStyle w:val="Ttulo2"/>
      </w:pPr>
      <w:bookmarkStart w:id="1044" w:name="_Toc140506586"/>
      <w:r w:rsidRPr="002609DB">
        <w:t>TERMOYOPAL</w:t>
      </w:r>
      <w:bookmarkEnd w:id="1044"/>
      <w:r w:rsidRPr="002609DB">
        <w:tab/>
      </w:r>
    </w:p>
    <w:p w14:paraId="71F3C404" w14:textId="77777777" w:rsidR="002609DB" w:rsidRDefault="002609DB" w:rsidP="002609DB">
      <w:pPr>
        <w:pStyle w:val="Ttulo4"/>
      </w:pPr>
      <w:r w:rsidRPr="002609DB">
        <w:t>TERMOYOPAL</w:t>
      </w:r>
      <w:r w:rsidRPr="002609DB">
        <w:tab/>
      </w:r>
    </w:p>
    <w:p w14:paraId="68E3C2C4" w14:textId="7B87A8F0" w:rsidR="00D07DF6" w:rsidRPr="00A30EDC" w:rsidRDefault="00B05F4A" w:rsidP="002609DB">
      <w:pPr>
        <w:rPr>
          <w:rFonts w:cs="Arial"/>
          <w:i/>
          <w:iCs/>
          <w:sz w:val="22"/>
          <w:szCs w:val="22"/>
        </w:rPr>
      </w:pPr>
      <w:r>
        <w:rPr>
          <w:rFonts w:cs="Arial"/>
          <w:i/>
          <w:iCs/>
          <w:sz w:val="22"/>
          <w:szCs w:val="22"/>
        </w:rPr>
        <w:t>“</w:t>
      </w:r>
      <w:r w:rsidR="002609DB" w:rsidRPr="00A30EDC">
        <w:rPr>
          <w:rFonts w:cs="Arial"/>
          <w:i/>
          <w:iCs/>
          <w:sz w:val="22"/>
          <w:szCs w:val="22"/>
        </w:rPr>
        <w:t>El índice a1 está definido de la siguiente forma: primer día calendario del primer Trimestre Estándar de ejecución del contrato y terminará el último día calendario del cuarto Trimestre Estándar de ejecución del contrato y así sucesivamente para períodos de ejecución superiores a cuatro trimestres. Según esto, dicha variable ¿no tendría en cuenta el año gas como se encuentra definido en la actualidad?</w:t>
      </w:r>
      <w:r>
        <w:rPr>
          <w:rFonts w:cs="Arial"/>
          <w:i/>
          <w:iCs/>
          <w:sz w:val="22"/>
          <w:szCs w:val="22"/>
        </w:rPr>
        <w:t>”</w:t>
      </w:r>
    </w:p>
    <w:p w14:paraId="5557633E" w14:textId="77777777" w:rsidR="00A30EDC" w:rsidRDefault="00A30EDC" w:rsidP="002609DB">
      <w:pPr>
        <w:rPr>
          <w:rFonts w:cs="Arial"/>
          <w:sz w:val="22"/>
          <w:szCs w:val="22"/>
        </w:rPr>
      </w:pPr>
    </w:p>
    <w:p w14:paraId="221FA332" w14:textId="54268E14" w:rsidR="00A30EDC" w:rsidRPr="00A30EDC" w:rsidRDefault="00A30EDC" w:rsidP="002609DB">
      <w:pPr>
        <w:rPr>
          <w:rFonts w:cs="Arial"/>
          <w:b/>
          <w:bCs/>
          <w:sz w:val="22"/>
          <w:szCs w:val="22"/>
        </w:rPr>
      </w:pPr>
      <w:r w:rsidRPr="00A30EDC">
        <w:rPr>
          <w:rFonts w:cs="Arial"/>
          <w:b/>
          <w:bCs/>
          <w:sz w:val="22"/>
          <w:szCs w:val="22"/>
        </w:rPr>
        <w:t>Respuesta:</w:t>
      </w:r>
    </w:p>
    <w:p w14:paraId="46C7DD99" w14:textId="77777777" w:rsidR="00A30EDC" w:rsidRDefault="00A30EDC" w:rsidP="002609DB">
      <w:pPr>
        <w:rPr>
          <w:rFonts w:cs="Arial"/>
          <w:sz w:val="22"/>
          <w:szCs w:val="22"/>
        </w:rPr>
      </w:pPr>
    </w:p>
    <w:p w14:paraId="4C7C3CBB" w14:textId="4B1F4198" w:rsidR="00A30EDC" w:rsidRDefault="00297E53" w:rsidP="002609DB">
      <w:pPr>
        <w:rPr>
          <w:rFonts w:cs="Arial"/>
          <w:sz w:val="22"/>
          <w:szCs w:val="22"/>
        </w:rPr>
      </w:pPr>
      <w:r>
        <w:rPr>
          <w:rFonts w:cs="Arial"/>
          <w:sz w:val="22"/>
          <w:szCs w:val="22"/>
        </w:rPr>
        <w:t>Efectivamente, como se propone que los contratos inicien en cualquier trimestre estándar, para efectos de la actualización anual de precios ya no se toma como referencia el año de gas, que actualmente se usa porque los contratos deben iniciar el 1 de diciembre, con una duración de como mínimo 1 año.</w:t>
      </w:r>
    </w:p>
    <w:p w14:paraId="50592101" w14:textId="77777777" w:rsidR="00297E53" w:rsidRDefault="00297E53" w:rsidP="002609DB">
      <w:pPr>
        <w:rPr>
          <w:rFonts w:cs="Arial"/>
          <w:sz w:val="22"/>
          <w:szCs w:val="22"/>
        </w:rPr>
      </w:pPr>
    </w:p>
    <w:p w14:paraId="62B4BC90" w14:textId="0173941D" w:rsidR="00297E53" w:rsidRPr="002609DB" w:rsidRDefault="00297E53" w:rsidP="002609DB">
      <w:pPr>
        <w:rPr>
          <w:rFonts w:cs="Arial"/>
          <w:sz w:val="22"/>
          <w:szCs w:val="22"/>
        </w:rPr>
      </w:pPr>
      <w:r>
        <w:rPr>
          <w:rFonts w:cs="Arial"/>
          <w:sz w:val="22"/>
          <w:szCs w:val="22"/>
        </w:rPr>
        <w:t xml:space="preserve">Ver numeral </w:t>
      </w:r>
      <w:r>
        <w:rPr>
          <w:rFonts w:cs="Arial"/>
          <w:sz w:val="22"/>
          <w:szCs w:val="22"/>
        </w:rPr>
        <w:fldChar w:fldCharType="begin"/>
      </w:r>
      <w:r>
        <w:rPr>
          <w:rFonts w:cs="Arial"/>
          <w:sz w:val="22"/>
          <w:szCs w:val="22"/>
        </w:rPr>
        <w:instrText xml:space="preserve"> REF _Ref130805559 \r \h </w:instrText>
      </w:r>
      <w:r>
        <w:rPr>
          <w:rFonts w:cs="Arial"/>
          <w:sz w:val="22"/>
          <w:szCs w:val="22"/>
        </w:rPr>
      </w:r>
      <w:r>
        <w:rPr>
          <w:rFonts w:cs="Arial"/>
          <w:sz w:val="22"/>
          <w:szCs w:val="22"/>
        </w:rPr>
        <w:fldChar w:fldCharType="separate"/>
      </w:r>
      <w:r>
        <w:rPr>
          <w:rFonts w:cs="Arial"/>
          <w:sz w:val="22"/>
          <w:szCs w:val="22"/>
        </w:rPr>
        <w:t>4.19</w:t>
      </w:r>
      <w:r>
        <w:rPr>
          <w:rFonts w:cs="Arial"/>
          <w:sz w:val="22"/>
          <w:szCs w:val="22"/>
        </w:rPr>
        <w:fldChar w:fldCharType="end"/>
      </w:r>
      <w:r>
        <w:rPr>
          <w:rFonts w:cs="Arial"/>
          <w:sz w:val="22"/>
          <w:szCs w:val="22"/>
        </w:rPr>
        <w:t>.</w:t>
      </w:r>
    </w:p>
    <w:p w14:paraId="5EDBAC65" w14:textId="2C7195E7" w:rsidR="002609DB" w:rsidRDefault="002609DB" w:rsidP="002609DB">
      <w:pPr>
        <w:rPr>
          <w:rFonts w:cs="Arial"/>
          <w:b/>
          <w:bCs/>
          <w:sz w:val="22"/>
          <w:szCs w:val="22"/>
        </w:rPr>
      </w:pPr>
    </w:p>
    <w:p w14:paraId="15F13BF2" w14:textId="77777777" w:rsidR="00297E53" w:rsidRDefault="00297E53" w:rsidP="002609DB">
      <w:pPr>
        <w:rPr>
          <w:rFonts w:cs="Arial"/>
          <w:b/>
          <w:bCs/>
          <w:sz w:val="22"/>
          <w:szCs w:val="22"/>
        </w:rPr>
      </w:pPr>
    </w:p>
    <w:p w14:paraId="5BDB079F" w14:textId="380D34A3" w:rsidR="00D07DF6" w:rsidRDefault="00D07DF6" w:rsidP="00D07DF6">
      <w:pPr>
        <w:pStyle w:val="Ttulo1"/>
        <w:numPr>
          <w:ilvl w:val="0"/>
          <w:numId w:val="1"/>
        </w:numPr>
        <w:rPr>
          <w:caps/>
        </w:rPr>
      </w:pPr>
      <w:bookmarkStart w:id="1045" w:name="_Toc140506587"/>
      <w:r>
        <w:t>ANEXO 4</w:t>
      </w:r>
      <w:bookmarkEnd w:id="1045"/>
    </w:p>
    <w:p w14:paraId="64224868" w14:textId="77777777" w:rsidR="003C50B5" w:rsidRDefault="003C50B5" w:rsidP="003C50B5">
      <w:pPr>
        <w:pStyle w:val="Ttulo2"/>
      </w:pPr>
      <w:bookmarkStart w:id="1046" w:name="_Toc140506588"/>
      <w:r w:rsidRPr="003C50B5">
        <w:t>BOLSA MERCANTIL DE COLOMBIA</w:t>
      </w:r>
      <w:bookmarkEnd w:id="1046"/>
      <w:r w:rsidRPr="003C50B5">
        <w:tab/>
      </w:r>
    </w:p>
    <w:p w14:paraId="1BCDF5C5" w14:textId="77777777" w:rsidR="003C50B5" w:rsidRDefault="003C50B5" w:rsidP="003C50B5">
      <w:pPr>
        <w:pStyle w:val="Ttulo4"/>
      </w:pPr>
      <w:r w:rsidRPr="003C50B5">
        <w:t>BOLSA MERCANTIL DE COLOMBIA</w:t>
      </w:r>
      <w:r w:rsidRPr="003C50B5">
        <w:tab/>
      </w:r>
    </w:p>
    <w:p w14:paraId="0BFD830E" w14:textId="67A4A103" w:rsidR="003C50B5" w:rsidRPr="00297E53" w:rsidRDefault="00B05F4A" w:rsidP="003C50B5">
      <w:pPr>
        <w:rPr>
          <w:rFonts w:cs="Arial"/>
          <w:i/>
          <w:iCs/>
          <w:sz w:val="22"/>
          <w:szCs w:val="22"/>
        </w:rPr>
      </w:pPr>
      <w:r>
        <w:rPr>
          <w:rFonts w:cs="Arial"/>
          <w:i/>
          <w:iCs/>
          <w:sz w:val="22"/>
          <w:szCs w:val="22"/>
        </w:rPr>
        <w:t>“</w:t>
      </w:r>
      <w:r w:rsidR="003C50B5" w:rsidRPr="00297E53">
        <w:rPr>
          <w:rFonts w:cs="Arial"/>
          <w:i/>
          <w:iCs/>
          <w:sz w:val="22"/>
          <w:szCs w:val="22"/>
        </w:rPr>
        <w:t>Se identifica ajustes y supresiones en algunas siglas del anexo</w:t>
      </w:r>
      <w:r w:rsidR="001012CF" w:rsidRPr="00297E53">
        <w:rPr>
          <w:rFonts w:cs="Arial"/>
          <w:i/>
          <w:iCs/>
          <w:sz w:val="22"/>
          <w:szCs w:val="22"/>
        </w:rPr>
        <w:t>.</w:t>
      </w:r>
    </w:p>
    <w:p w14:paraId="124DAE56" w14:textId="4925C599" w:rsidR="001012CF" w:rsidRPr="00297E53" w:rsidRDefault="001012CF" w:rsidP="003C50B5">
      <w:pPr>
        <w:rPr>
          <w:rFonts w:cs="Arial"/>
          <w:i/>
          <w:iCs/>
          <w:sz w:val="22"/>
          <w:szCs w:val="22"/>
        </w:rPr>
      </w:pPr>
    </w:p>
    <w:p w14:paraId="491A6CCD" w14:textId="33E33776" w:rsidR="001012CF" w:rsidRPr="00297E53" w:rsidRDefault="001012CF" w:rsidP="003C50B5">
      <w:pPr>
        <w:rPr>
          <w:rFonts w:cs="Arial"/>
          <w:i/>
          <w:iCs/>
          <w:sz w:val="22"/>
          <w:szCs w:val="22"/>
        </w:rPr>
      </w:pPr>
      <w:r w:rsidRPr="00297E53">
        <w:rPr>
          <w:rFonts w:cs="Arial"/>
          <w:i/>
          <w:iCs/>
          <w:sz w:val="22"/>
          <w:szCs w:val="22"/>
        </w:rPr>
        <w:t>En la definición de Declarantes de información sobre suministro de gas natural, se sugiere ajustar la sigla de firmeza condicionada a CFC; y eliminar las siglas OCG Y OCGX, ya que no aplican en la declaración de información, conforme a lo establecido en el Artículo 35 del proyecto normativo.</w:t>
      </w:r>
      <w:r w:rsidR="00B05F4A">
        <w:rPr>
          <w:rFonts w:cs="Arial"/>
          <w:i/>
          <w:iCs/>
          <w:sz w:val="22"/>
          <w:szCs w:val="22"/>
        </w:rPr>
        <w:t>”</w:t>
      </w:r>
    </w:p>
    <w:p w14:paraId="5BF0016C" w14:textId="77777777" w:rsidR="00297E53" w:rsidRDefault="00297E53" w:rsidP="003C50B5">
      <w:pPr>
        <w:rPr>
          <w:rFonts w:cs="Arial"/>
          <w:sz w:val="22"/>
          <w:szCs w:val="22"/>
        </w:rPr>
      </w:pPr>
    </w:p>
    <w:p w14:paraId="2F10333B" w14:textId="5E895517" w:rsidR="00297E53" w:rsidRPr="00297E53" w:rsidRDefault="00297E53" w:rsidP="003C50B5">
      <w:pPr>
        <w:rPr>
          <w:rFonts w:cs="Arial"/>
          <w:b/>
          <w:bCs/>
          <w:sz w:val="22"/>
          <w:szCs w:val="22"/>
        </w:rPr>
      </w:pPr>
      <w:r w:rsidRPr="00297E53">
        <w:rPr>
          <w:rFonts w:cs="Arial"/>
          <w:b/>
          <w:bCs/>
          <w:sz w:val="22"/>
          <w:szCs w:val="22"/>
        </w:rPr>
        <w:t>Respuesta:</w:t>
      </w:r>
    </w:p>
    <w:p w14:paraId="64CE1DF8" w14:textId="77777777" w:rsidR="00297E53" w:rsidRDefault="00297E53" w:rsidP="003C50B5">
      <w:pPr>
        <w:rPr>
          <w:rFonts w:cs="Arial"/>
          <w:sz w:val="22"/>
          <w:szCs w:val="22"/>
        </w:rPr>
      </w:pPr>
    </w:p>
    <w:p w14:paraId="62977E9B" w14:textId="1CDEBC86" w:rsidR="00297E53" w:rsidRDefault="00F87E18" w:rsidP="003C50B5">
      <w:pPr>
        <w:rPr>
          <w:rFonts w:cs="Arial"/>
          <w:sz w:val="22"/>
          <w:szCs w:val="22"/>
        </w:rPr>
      </w:pPr>
      <w:r>
        <w:rPr>
          <w:rFonts w:cs="Arial"/>
          <w:sz w:val="22"/>
          <w:szCs w:val="22"/>
        </w:rPr>
        <w:t>Se acoge el comentario.</w:t>
      </w:r>
    </w:p>
    <w:p w14:paraId="33E8CDBD" w14:textId="77777777" w:rsidR="00F87E18" w:rsidRDefault="00F87E18" w:rsidP="003C50B5">
      <w:pPr>
        <w:rPr>
          <w:rFonts w:cs="Arial"/>
          <w:sz w:val="22"/>
          <w:szCs w:val="22"/>
        </w:rPr>
      </w:pPr>
    </w:p>
    <w:p w14:paraId="278B8A86" w14:textId="4129EFA1" w:rsidR="00F87E18" w:rsidRDefault="00F87E18" w:rsidP="003C50B5">
      <w:pPr>
        <w:rPr>
          <w:rFonts w:cs="Arial"/>
          <w:sz w:val="22"/>
          <w:szCs w:val="22"/>
        </w:rPr>
      </w:pPr>
      <w:r>
        <w:rPr>
          <w:rFonts w:cs="Arial"/>
          <w:sz w:val="22"/>
          <w:szCs w:val="22"/>
        </w:rPr>
        <w:t>En la nueva propuesta se hacen los ajustes correspondientes.</w:t>
      </w:r>
    </w:p>
    <w:p w14:paraId="09847E9F" w14:textId="77777777" w:rsidR="00297E53" w:rsidRPr="003C50B5" w:rsidRDefault="00297E53" w:rsidP="003C50B5">
      <w:pPr>
        <w:rPr>
          <w:rFonts w:cs="Arial"/>
          <w:sz w:val="22"/>
          <w:szCs w:val="22"/>
        </w:rPr>
      </w:pPr>
    </w:p>
    <w:p w14:paraId="589FDFE6" w14:textId="77777777" w:rsidR="003C50B5" w:rsidRDefault="003C50B5" w:rsidP="003C50B5">
      <w:pPr>
        <w:rPr>
          <w:rFonts w:cs="Arial"/>
          <w:sz w:val="22"/>
          <w:szCs w:val="22"/>
        </w:rPr>
      </w:pPr>
    </w:p>
    <w:p w14:paraId="01B1BEE4" w14:textId="77777777" w:rsidR="003C50B5" w:rsidRDefault="003C50B5" w:rsidP="003C50B5">
      <w:pPr>
        <w:pStyle w:val="Ttulo4"/>
      </w:pPr>
      <w:r w:rsidRPr="003C50B5">
        <w:t>BOLSA MERCANTIL DE COLOMBIA</w:t>
      </w:r>
      <w:r w:rsidRPr="003C50B5">
        <w:tab/>
      </w:r>
    </w:p>
    <w:p w14:paraId="179961B1" w14:textId="5614EF6C" w:rsidR="003C50B5" w:rsidRPr="00F87E18" w:rsidRDefault="00B05F4A" w:rsidP="003C50B5">
      <w:pPr>
        <w:rPr>
          <w:rFonts w:cs="Arial"/>
          <w:i/>
          <w:iCs/>
          <w:sz w:val="22"/>
          <w:szCs w:val="22"/>
        </w:rPr>
      </w:pPr>
      <w:r>
        <w:rPr>
          <w:rFonts w:cs="Arial"/>
          <w:i/>
          <w:iCs/>
          <w:sz w:val="22"/>
          <w:szCs w:val="22"/>
        </w:rPr>
        <w:t>“</w:t>
      </w:r>
      <w:r w:rsidR="003C50B5" w:rsidRPr="00F87E18">
        <w:rPr>
          <w:rFonts w:cs="Arial"/>
          <w:i/>
          <w:iCs/>
          <w:sz w:val="22"/>
          <w:szCs w:val="22"/>
        </w:rPr>
        <w:t>Se sugiere corregir la definición de precio de reserva.</w:t>
      </w:r>
    </w:p>
    <w:p w14:paraId="1CC18688" w14:textId="4752DEE8" w:rsidR="001012CF" w:rsidRPr="00F87E18" w:rsidRDefault="001012CF" w:rsidP="003C50B5">
      <w:pPr>
        <w:rPr>
          <w:rFonts w:cs="Arial"/>
          <w:i/>
          <w:iCs/>
          <w:sz w:val="22"/>
          <w:szCs w:val="22"/>
        </w:rPr>
      </w:pPr>
    </w:p>
    <w:p w14:paraId="513E3968" w14:textId="068EC381" w:rsidR="001012CF" w:rsidRPr="00F87E18" w:rsidRDefault="00B05F4A" w:rsidP="003C50B5">
      <w:pPr>
        <w:rPr>
          <w:rFonts w:cs="Arial"/>
          <w:i/>
          <w:iCs/>
          <w:sz w:val="22"/>
          <w:szCs w:val="22"/>
        </w:rPr>
      </w:pPr>
      <w:r>
        <w:rPr>
          <w:rFonts w:cs="Arial"/>
          <w:i/>
          <w:iCs/>
          <w:sz w:val="22"/>
          <w:szCs w:val="22"/>
        </w:rPr>
        <w:t>‘</w:t>
      </w:r>
      <w:r w:rsidR="001012CF" w:rsidRPr="00F87E18">
        <w:rPr>
          <w:rFonts w:cs="Arial"/>
          <w:i/>
          <w:iCs/>
          <w:sz w:val="22"/>
          <w:szCs w:val="22"/>
        </w:rPr>
        <w:t>Precio de reserva: precio mínimo al cual se ofrece para la venta un producto en una subasta.</w:t>
      </w:r>
      <w:r>
        <w:rPr>
          <w:rFonts w:cs="Arial"/>
          <w:i/>
          <w:iCs/>
          <w:sz w:val="22"/>
          <w:szCs w:val="22"/>
        </w:rPr>
        <w:t>’</w:t>
      </w:r>
      <w:r w:rsidR="001012CF" w:rsidRPr="00F87E18">
        <w:rPr>
          <w:rFonts w:cs="Arial"/>
          <w:i/>
          <w:iCs/>
          <w:sz w:val="22"/>
          <w:szCs w:val="22"/>
        </w:rPr>
        <w:t>"</w:t>
      </w:r>
    </w:p>
    <w:p w14:paraId="6756E66A" w14:textId="77777777" w:rsidR="00F87E18" w:rsidRDefault="00F87E18" w:rsidP="003C50B5">
      <w:pPr>
        <w:rPr>
          <w:rFonts w:cs="Arial"/>
          <w:sz w:val="22"/>
          <w:szCs w:val="22"/>
        </w:rPr>
      </w:pPr>
    </w:p>
    <w:p w14:paraId="21CDC3AE" w14:textId="574B436A" w:rsidR="00F87E18" w:rsidRPr="00F87E18" w:rsidRDefault="00F87E18" w:rsidP="003C50B5">
      <w:pPr>
        <w:rPr>
          <w:rFonts w:cs="Arial"/>
          <w:b/>
          <w:bCs/>
          <w:sz w:val="22"/>
          <w:szCs w:val="22"/>
        </w:rPr>
      </w:pPr>
      <w:r w:rsidRPr="00F87E18">
        <w:rPr>
          <w:rFonts w:cs="Arial"/>
          <w:b/>
          <w:bCs/>
          <w:sz w:val="22"/>
          <w:szCs w:val="22"/>
        </w:rPr>
        <w:t>Respuesta:</w:t>
      </w:r>
    </w:p>
    <w:p w14:paraId="545AECED" w14:textId="77777777" w:rsidR="00F87E18" w:rsidRDefault="00F87E18" w:rsidP="003C50B5">
      <w:pPr>
        <w:rPr>
          <w:rFonts w:cs="Arial"/>
          <w:sz w:val="22"/>
          <w:szCs w:val="22"/>
        </w:rPr>
      </w:pPr>
    </w:p>
    <w:p w14:paraId="1BCABFDC" w14:textId="596A854D" w:rsidR="00F87E18" w:rsidRDefault="00F87E18" w:rsidP="003C50B5">
      <w:pPr>
        <w:rPr>
          <w:rFonts w:cs="Arial"/>
          <w:sz w:val="22"/>
          <w:szCs w:val="22"/>
        </w:rPr>
      </w:pPr>
      <w:r>
        <w:rPr>
          <w:rFonts w:cs="Arial"/>
          <w:sz w:val="22"/>
          <w:szCs w:val="22"/>
        </w:rPr>
        <w:t>Se acoge el comentario.</w:t>
      </w:r>
    </w:p>
    <w:p w14:paraId="25316560" w14:textId="77777777" w:rsidR="00F87E18" w:rsidRDefault="00F87E18" w:rsidP="003C50B5">
      <w:pPr>
        <w:rPr>
          <w:rFonts w:cs="Arial"/>
          <w:sz w:val="22"/>
          <w:szCs w:val="22"/>
        </w:rPr>
      </w:pPr>
    </w:p>
    <w:p w14:paraId="02013D2E" w14:textId="0C4F2BAA" w:rsidR="00F87E18" w:rsidRDefault="00F87E18" w:rsidP="003C50B5">
      <w:pPr>
        <w:rPr>
          <w:rFonts w:cs="Arial"/>
          <w:sz w:val="22"/>
          <w:szCs w:val="22"/>
        </w:rPr>
      </w:pPr>
      <w:r>
        <w:rPr>
          <w:rFonts w:cs="Arial"/>
          <w:sz w:val="22"/>
          <w:szCs w:val="22"/>
        </w:rPr>
        <w:t>En la nueva propuesta se hace el ajuste de redacción correspondiente con otro ajuste al respecto.</w:t>
      </w:r>
    </w:p>
    <w:p w14:paraId="5787F147" w14:textId="77777777" w:rsidR="001012CF" w:rsidRPr="003C50B5" w:rsidRDefault="001012CF" w:rsidP="003C50B5">
      <w:pPr>
        <w:rPr>
          <w:rFonts w:cs="Arial"/>
          <w:sz w:val="22"/>
          <w:szCs w:val="22"/>
        </w:rPr>
      </w:pPr>
    </w:p>
    <w:p w14:paraId="58C61FA3" w14:textId="77777777" w:rsidR="001012CF" w:rsidRPr="001012CF" w:rsidRDefault="001012CF" w:rsidP="001012CF"/>
    <w:p w14:paraId="01AA1801" w14:textId="2D2B1FA5" w:rsidR="003C50B5" w:rsidRDefault="003C50B5" w:rsidP="003C50B5">
      <w:pPr>
        <w:pStyle w:val="Ttulo4"/>
      </w:pPr>
      <w:r w:rsidRPr="003C50B5">
        <w:t>BOLSA MERCANTIL DE COLOMBIA</w:t>
      </w:r>
      <w:r w:rsidRPr="003C50B5">
        <w:tab/>
      </w:r>
    </w:p>
    <w:p w14:paraId="57CC836E" w14:textId="3DC777A0" w:rsidR="00D07DF6" w:rsidRPr="00F87E18" w:rsidRDefault="00B05F4A" w:rsidP="003C50B5">
      <w:pPr>
        <w:rPr>
          <w:rFonts w:cs="Arial"/>
          <w:i/>
          <w:iCs/>
          <w:sz w:val="22"/>
          <w:szCs w:val="22"/>
        </w:rPr>
      </w:pPr>
      <w:r>
        <w:rPr>
          <w:rFonts w:cs="Arial"/>
          <w:i/>
          <w:iCs/>
          <w:sz w:val="22"/>
          <w:szCs w:val="22"/>
        </w:rPr>
        <w:t>“</w:t>
      </w:r>
      <w:r w:rsidR="003C50B5" w:rsidRPr="00F87E18">
        <w:rPr>
          <w:rFonts w:cs="Arial"/>
          <w:i/>
          <w:iCs/>
          <w:sz w:val="22"/>
          <w:szCs w:val="22"/>
        </w:rPr>
        <w:t xml:space="preserve">Es confuso que el título sea; </w:t>
      </w:r>
      <w:proofErr w:type="gramStart"/>
      <w:r>
        <w:rPr>
          <w:rFonts w:cs="Arial"/>
          <w:i/>
          <w:iCs/>
          <w:sz w:val="22"/>
          <w:szCs w:val="22"/>
        </w:rPr>
        <w:t>‘</w:t>
      </w:r>
      <w:r w:rsidR="003C50B5" w:rsidRPr="00F87E18">
        <w:rPr>
          <w:rFonts w:cs="Arial"/>
          <w:i/>
          <w:iCs/>
          <w:sz w:val="22"/>
          <w:szCs w:val="22"/>
        </w:rPr>
        <w:t xml:space="preserve"> ,</w:t>
      </w:r>
      <w:proofErr w:type="gramEnd"/>
      <w:r w:rsidR="003C50B5" w:rsidRPr="00F87E18">
        <w:rPr>
          <w:rFonts w:cs="Arial"/>
          <w:i/>
          <w:iCs/>
          <w:sz w:val="22"/>
          <w:szCs w:val="22"/>
        </w:rPr>
        <w:t xml:space="preserve"> e</w:t>
      </w:r>
      <w:r>
        <w:rPr>
          <w:rFonts w:cs="Arial"/>
          <w:i/>
          <w:iCs/>
          <w:sz w:val="22"/>
          <w:szCs w:val="22"/>
        </w:rPr>
        <w:t>’</w:t>
      </w:r>
      <w:r w:rsidR="001012CF" w:rsidRPr="00F87E18">
        <w:rPr>
          <w:rFonts w:cs="Arial"/>
          <w:i/>
          <w:iCs/>
          <w:sz w:val="22"/>
          <w:szCs w:val="22"/>
        </w:rPr>
        <w:t>. Se sugiere ajustar el título, referente a punto de entrega</w:t>
      </w:r>
      <w:r w:rsidR="00F87E18" w:rsidRPr="00F87E18">
        <w:rPr>
          <w:rFonts w:cs="Arial"/>
          <w:i/>
          <w:iCs/>
          <w:sz w:val="22"/>
          <w:szCs w:val="22"/>
        </w:rPr>
        <w:t>.</w:t>
      </w:r>
      <w:r>
        <w:rPr>
          <w:rFonts w:cs="Arial"/>
          <w:i/>
          <w:iCs/>
          <w:sz w:val="22"/>
          <w:szCs w:val="22"/>
        </w:rPr>
        <w:t>”</w:t>
      </w:r>
    </w:p>
    <w:p w14:paraId="085BC07F" w14:textId="77777777" w:rsidR="00F87E18" w:rsidRDefault="00F87E18" w:rsidP="003C50B5">
      <w:pPr>
        <w:rPr>
          <w:rFonts w:cs="Arial"/>
          <w:sz w:val="22"/>
          <w:szCs w:val="22"/>
        </w:rPr>
      </w:pPr>
    </w:p>
    <w:p w14:paraId="38034A09" w14:textId="329AF007" w:rsidR="00F87E18" w:rsidRPr="00F87E18" w:rsidRDefault="00F87E18" w:rsidP="003C50B5">
      <w:pPr>
        <w:rPr>
          <w:rFonts w:cs="Arial"/>
          <w:b/>
          <w:bCs/>
          <w:sz w:val="22"/>
          <w:szCs w:val="22"/>
        </w:rPr>
      </w:pPr>
      <w:r w:rsidRPr="00F87E18">
        <w:rPr>
          <w:rFonts w:cs="Arial"/>
          <w:b/>
          <w:bCs/>
          <w:sz w:val="22"/>
          <w:szCs w:val="22"/>
        </w:rPr>
        <w:t>Respuesta:</w:t>
      </w:r>
    </w:p>
    <w:p w14:paraId="2D1A0B2C" w14:textId="77777777" w:rsidR="00F87E18" w:rsidRDefault="00F87E18" w:rsidP="003C50B5">
      <w:pPr>
        <w:rPr>
          <w:rFonts w:cs="Arial"/>
          <w:sz w:val="22"/>
          <w:szCs w:val="22"/>
        </w:rPr>
      </w:pPr>
    </w:p>
    <w:p w14:paraId="2BDC289A" w14:textId="5AB90820" w:rsidR="00F87E18" w:rsidRDefault="00F87E18" w:rsidP="003C50B5">
      <w:pPr>
        <w:rPr>
          <w:rFonts w:cs="Arial"/>
          <w:sz w:val="22"/>
          <w:szCs w:val="22"/>
        </w:rPr>
      </w:pPr>
      <w:r>
        <w:rPr>
          <w:rFonts w:cs="Arial"/>
          <w:sz w:val="22"/>
          <w:szCs w:val="22"/>
        </w:rPr>
        <w:t>Se acoge el comentario.</w:t>
      </w:r>
    </w:p>
    <w:p w14:paraId="5C630957" w14:textId="77777777" w:rsidR="00F87E18" w:rsidRDefault="00F87E18" w:rsidP="003C50B5">
      <w:pPr>
        <w:rPr>
          <w:rFonts w:cs="Arial"/>
          <w:sz w:val="22"/>
          <w:szCs w:val="22"/>
        </w:rPr>
      </w:pPr>
    </w:p>
    <w:p w14:paraId="7DC26755" w14:textId="43E67B7C" w:rsidR="003C50B5" w:rsidRDefault="00F87E18" w:rsidP="003C50B5">
      <w:pPr>
        <w:rPr>
          <w:rFonts w:cs="Arial"/>
          <w:sz w:val="22"/>
          <w:szCs w:val="22"/>
        </w:rPr>
      </w:pPr>
      <w:r>
        <w:rPr>
          <w:rFonts w:cs="Arial"/>
          <w:sz w:val="22"/>
          <w:szCs w:val="22"/>
        </w:rPr>
        <w:t>En la nueva propuesta se completó el nombre de la columna.</w:t>
      </w:r>
    </w:p>
    <w:p w14:paraId="5F234E95" w14:textId="77777777" w:rsidR="00F87E18" w:rsidRDefault="00F87E18" w:rsidP="003C50B5">
      <w:pPr>
        <w:rPr>
          <w:rFonts w:cs="Arial"/>
          <w:b/>
          <w:bCs/>
          <w:sz w:val="22"/>
          <w:szCs w:val="22"/>
        </w:rPr>
      </w:pPr>
    </w:p>
    <w:p w14:paraId="5DA13547" w14:textId="0C85C9A6" w:rsidR="00D07DF6" w:rsidRDefault="00D07DF6" w:rsidP="00371CB5">
      <w:pPr>
        <w:rPr>
          <w:rFonts w:cs="Arial"/>
          <w:b/>
          <w:bCs/>
          <w:sz w:val="22"/>
          <w:szCs w:val="22"/>
        </w:rPr>
      </w:pPr>
    </w:p>
    <w:p w14:paraId="1FE1A200" w14:textId="1B61336F" w:rsidR="00D07DF6" w:rsidRDefault="00D07DF6" w:rsidP="00D07DF6">
      <w:pPr>
        <w:pStyle w:val="Ttulo1"/>
        <w:numPr>
          <w:ilvl w:val="0"/>
          <w:numId w:val="1"/>
        </w:numPr>
        <w:rPr>
          <w:caps/>
        </w:rPr>
      </w:pPr>
      <w:bookmarkStart w:id="1047" w:name="_Toc140506589"/>
      <w:r>
        <w:t>ANEXO 5</w:t>
      </w:r>
      <w:bookmarkEnd w:id="1047"/>
    </w:p>
    <w:p w14:paraId="14BA5D49" w14:textId="77777777" w:rsidR="00CA2FC9" w:rsidRDefault="00CA2FC9" w:rsidP="00CA2FC9">
      <w:pPr>
        <w:pStyle w:val="Ttulo2"/>
      </w:pPr>
      <w:bookmarkStart w:id="1048" w:name="_Toc140506590"/>
      <w:r w:rsidRPr="00CA2FC9">
        <w:t>BOLSA MERCANTIL DE COLOMBIA</w:t>
      </w:r>
      <w:bookmarkEnd w:id="1048"/>
      <w:r w:rsidRPr="00CA2FC9">
        <w:tab/>
      </w:r>
    </w:p>
    <w:p w14:paraId="11782A41" w14:textId="77777777" w:rsidR="00CA2FC9" w:rsidRDefault="00CA2FC9" w:rsidP="00CA2FC9">
      <w:pPr>
        <w:pStyle w:val="Ttulo4"/>
      </w:pPr>
      <w:r w:rsidRPr="00CA2FC9">
        <w:t>BOLSA MERCANTIL DE COLOMBIA</w:t>
      </w:r>
      <w:r w:rsidRPr="00CA2FC9">
        <w:tab/>
      </w:r>
    </w:p>
    <w:p w14:paraId="76B84AB3" w14:textId="740EAC65" w:rsidR="00CA2FC9" w:rsidRPr="00F87E18" w:rsidRDefault="00B05F4A" w:rsidP="00CA2FC9">
      <w:pPr>
        <w:rPr>
          <w:rFonts w:cs="Arial"/>
          <w:i/>
          <w:iCs/>
          <w:sz w:val="22"/>
          <w:szCs w:val="22"/>
        </w:rPr>
      </w:pPr>
      <w:r>
        <w:rPr>
          <w:rFonts w:cs="Arial"/>
          <w:i/>
          <w:iCs/>
          <w:sz w:val="22"/>
          <w:szCs w:val="22"/>
        </w:rPr>
        <w:t>“</w:t>
      </w:r>
      <w:r w:rsidR="00CA2FC9" w:rsidRPr="00F87E18">
        <w:rPr>
          <w:rFonts w:cs="Arial"/>
          <w:i/>
          <w:iCs/>
          <w:sz w:val="22"/>
          <w:szCs w:val="22"/>
        </w:rPr>
        <w:t xml:space="preserve">Se entiende que la ecuación descrita en este anexo sólo sería aplicable para el </w:t>
      </w:r>
      <w:proofErr w:type="spellStart"/>
      <w:r w:rsidR="00CA2FC9" w:rsidRPr="00F87E18">
        <w:rPr>
          <w:rFonts w:cs="Arial"/>
          <w:i/>
          <w:iCs/>
          <w:sz w:val="22"/>
          <w:szCs w:val="22"/>
        </w:rPr>
        <w:t>calculo</w:t>
      </w:r>
      <w:proofErr w:type="spellEnd"/>
      <w:r w:rsidR="00CA2FC9" w:rsidRPr="00F87E18">
        <w:rPr>
          <w:rFonts w:cs="Arial"/>
          <w:i/>
          <w:iCs/>
          <w:sz w:val="22"/>
          <w:szCs w:val="22"/>
        </w:rPr>
        <w:t xml:space="preserve"> de la Oferta Comprometida en Firme por fuente o productor - comercializador.</w:t>
      </w:r>
      <w:r>
        <w:rPr>
          <w:rFonts w:cs="Arial"/>
          <w:i/>
          <w:iCs/>
          <w:sz w:val="22"/>
          <w:szCs w:val="22"/>
        </w:rPr>
        <w:t>”</w:t>
      </w:r>
    </w:p>
    <w:p w14:paraId="165A6897" w14:textId="77777777" w:rsidR="00F87E18" w:rsidRDefault="00F87E18" w:rsidP="00CA2FC9">
      <w:pPr>
        <w:rPr>
          <w:rFonts w:cs="Arial"/>
          <w:sz w:val="22"/>
          <w:szCs w:val="22"/>
        </w:rPr>
      </w:pPr>
    </w:p>
    <w:p w14:paraId="3B9E4B37" w14:textId="1339C6AB" w:rsidR="00F87E18" w:rsidRPr="00F87E18" w:rsidRDefault="00F87E18" w:rsidP="00CA2FC9">
      <w:pPr>
        <w:rPr>
          <w:rFonts w:cs="Arial"/>
          <w:b/>
          <w:bCs/>
          <w:sz w:val="22"/>
          <w:szCs w:val="22"/>
        </w:rPr>
      </w:pPr>
      <w:r w:rsidRPr="00F87E18">
        <w:rPr>
          <w:rFonts w:cs="Arial"/>
          <w:b/>
          <w:bCs/>
          <w:sz w:val="22"/>
          <w:szCs w:val="22"/>
        </w:rPr>
        <w:t>Respuesta:</w:t>
      </w:r>
    </w:p>
    <w:p w14:paraId="24FA3914" w14:textId="77777777" w:rsidR="00F87E18" w:rsidRDefault="00F87E18" w:rsidP="00CA2FC9">
      <w:pPr>
        <w:rPr>
          <w:rFonts w:cs="Arial"/>
          <w:sz w:val="22"/>
          <w:szCs w:val="22"/>
        </w:rPr>
      </w:pPr>
    </w:p>
    <w:p w14:paraId="144142BE" w14:textId="3D0DE2C0" w:rsidR="00F87E18" w:rsidRDefault="00A875E9" w:rsidP="00CA2FC9">
      <w:pPr>
        <w:rPr>
          <w:rFonts w:cs="Arial"/>
          <w:sz w:val="22"/>
          <w:szCs w:val="22"/>
        </w:rPr>
      </w:pPr>
      <w:r>
        <w:rPr>
          <w:rFonts w:cs="Arial"/>
          <w:sz w:val="22"/>
          <w:szCs w:val="22"/>
        </w:rPr>
        <w:t>Se acoge el comentario.</w:t>
      </w:r>
    </w:p>
    <w:p w14:paraId="0CB8DA11" w14:textId="77777777" w:rsidR="00A875E9" w:rsidRDefault="00A875E9" w:rsidP="00CA2FC9">
      <w:pPr>
        <w:rPr>
          <w:rFonts w:cs="Arial"/>
          <w:sz w:val="22"/>
          <w:szCs w:val="22"/>
        </w:rPr>
      </w:pPr>
    </w:p>
    <w:p w14:paraId="4E920BAD" w14:textId="07E0FF2A" w:rsidR="00A875E9" w:rsidRDefault="00A875E9" w:rsidP="00CA2FC9">
      <w:pPr>
        <w:rPr>
          <w:rFonts w:cs="Arial"/>
          <w:sz w:val="22"/>
          <w:szCs w:val="22"/>
        </w:rPr>
      </w:pPr>
      <w:r>
        <w:rPr>
          <w:rFonts w:cs="Arial"/>
          <w:sz w:val="22"/>
          <w:szCs w:val="22"/>
        </w:rPr>
        <w:t>En la nueva propuesta se desarrolla con mayor precisión la ecuación mencionada, que debe ser aplicada para obtener la oferta comprometida en firme de los vendedores tanto del Mercado Primario como del Mercado Secundario, para efectos de las verificaciones que debe hacer el Gestor del Mercado como parte del</w:t>
      </w:r>
      <w:r w:rsidR="00F32A58">
        <w:rPr>
          <w:rFonts w:cs="Arial"/>
          <w:sz w:val="22"/>
          <w:szCs w:val="22"/>
        </w:rPr>
        <w:t xml:space="preserve"> proceso de</w:t>
      </w:r>
      <w:r>
        <w:rPr>
          <w:rFonts w:cs="Arial"/>
          <w:sz w:val="22"/>
          <w:szCs w:val="22"/>
        </w:rPr>
        <w:t xml:space="preserve"> registro de un contrato de suministro.</w:t>
      </w:r>
    </w:p>
    <w:p w14:paraId="1E212D0F" w14:textId="77777777" w:rsidR="00F87E18" w:rsidRDefault="00F87E18" w:rsidP="00CA2FC9">
      <w:pPr>
        <w:rPr>
          <w:rFonts w:cs="Arial"/>
          <w:sz w:val="22"/>
          <w:szCs w:val="22"/>
        </w:rPr>
      </w:pPr>
    </w:p>
    <w:p w14:paraId="6111B1CB" w14:textId="77777777" w:rsidR="00F87E18" w:rsidRPr="00CA2FC9" w:rsidRDefault="00F87E18" w:rsidP="00CA2FC9">
      <w:pPr>
        <w:rPr>
          <w:rFonts w:cs="Arial"/>
          <w:sz w:val="22"/>
          <w:szCs w:val="22"/>
        </w:rPr>
      </w:pPr>
    </w:p>
    <w:p w14:paraId="1FFC963E" w14:textId="77777777" w:rsidR="00CA2FC9" w:rsidRDefault="00CA2FC9" w:rsidP="00CA2FC9">
      <w:pPr>
        <w:pStyle w:val="Ttulo4"/>
      </w:pPr>
      <w:r w:rsidRPr="00CA2FC9">
        <w:t>BOLSA MERCANTIL DE COLOMBIA</w:t>
      </w:r>
      <w:r w:rsidRPr="00CA2FC9">
        <w:tab/>
      </w:r>
    </w:p>
    <w:p w14:paraId="0395AB84" w14:textId="6D8D0645" w:rsidR="00D07DF6" w:rsidRPr="00F87E18" w:rsidRDefault="00B05F4A" w:rsidP="00CA2FC9">
      <w:pPr>
        <w:rPr>
          <w:rFonts w:cs="Arial"/>
          <w:i/>
          <w:iCs/>
          <w:sz w:val="22"/>
          <w:szCs w:val="22"/>
        </w:rPr>
      </w:pPr>
      <w:r>
        <w:rPr>
          <w:rFonts w:cs="Arial"/>
          <w:i/>
          <w:iCs/>
          <w:sz w:val="22"/>
          <w:szCs w:val="22"/>
        </w:rPr>
        <w:t>“</w:t>
      </w:r>
      <w:r w:rsidR="00CA2FC9" w:rsidRPr="00F87E18">
        <w:rPr>
          <w:rFonts w:cs="Arial"/>
          <w:i/>
          <w:iCs/>
          <w:sz w:val="22"/>
          <w:szCs w:val="22"/>
        </w:rPr>
        <w:t xml:space="preserve">No queda claro si este anexo hay obligaciones del </w:t>
      </w:r>
      <w:r w:rsidR="005114C6" w:rsidRPr="00F87E18">
        <w:rPr>
          <w:rFonts w:cs="Arial"/>
          <w:i/>
          <w:iCs/>
          <w:sz w:val="22"/>
          <w:szCs w:val="22"/>
        </w:rPr>
        <w:t>Gestor del Mercado</w:t>
      </w:r>
      <w:r w:rsidR="00CA2FC9" w:rsidRPr="00F87E18">
        <w:rPr>
          <w:rFonts w:cs="Arial"/>
          <w:i/>
          <w:iCs/>
          <w:sz w:val="22"/>
          <w:szCs w:val="22"/>
        </w:rPr>
        <w:t xml:space="preserve"> en cuanto a la publicación de información de la OCTGF</w:t>
      </w:r>
      <w:r w:rsidR="00F87E18" w:rsidRPr="00F87E18">
        <w:rPr>
          <w:rFonts w:cs="Arial"/>
          <w:i/>
          <w:iCs/>
          <w:sz w:val="22"/>
          <w:szCs w:val="22"/>
        </w:rPr>
        <w:t>.</w:t>
      </w:r>
      <w:r>
        <w:rPr>
          <w:rFonts w:cs="Arial"/>
          <w:i/>
          <w:iCs/>
          <w:sz w:val="22"/>
          <w:szCs w:val="22"/>
        </w:rPr>
        <w:t>”</w:t>
      </w:r>
    </w:p>
    <w:p w14:paraId="7EDDEA32" w14:textId="77777777" w:rsidR="00F87E18" w:rsidRDefault="00F87E18" w:rsidP="00CA2FC9">
      <w:pPr>
        <w:rPr>
          <w:rFonts w:cs="Arial"/>
          <w:sz w:val="22"/>
          <w:szCs w:val="22"/>
        </w:rPr>
      </w:pPr>
    </w:p>
    <w:p w14:paraId="045C269B" w14:textId="6FA0D881" w:rsidR="00F87E18" w:rsidRPr="00F87E18" w:rsidRDefault="00F87E18" w:rsidP="00CA2FC9">
      <w:pPr>
        <w:rPr>
          <w:rFonts w:cs="Arial"/>
          <w:b/>
          <w:bCs/>
          <w:sz w:val="22"/>
          <w:szCs w:val="22"/>
        </w:rPr>
      </w:pPr>
      <w:r w:rsidRPr="00F87E18">
        <w:rPr>
          <w:rFonts w:cs="Arial"/>
          <w:b/>
          <w:bCs/>
          <w:sz w:val="22"/>
          <w:szCs w:val="22"/>
        </w:rPr>
        <w:t>Respuesta:</w:t>
      </w:r>
    </w:p>
    <w:p w14:paraId="4C53B7C5" w14:textId="77777777" w:rsidR="00F87E18" w:rsidRDefault="00F87E18" w:rsidP="00CA2FC9">
      <w:pPr>
        <w:rPr>
          <w:rFonts w:cs="Arial"/>
          <w:sz w:val="22"/>
          <w:szCs w:val="22"/>
        </w:rPr>
      </w:pPr>
    </w:p>
    <w:p w14:paraId="0B0E5B53" w14:textId="5F12E254" w:rsidR="00F87E18" w:rsidRPr="00CA2FC9" w:rsidRDefault="007C4703" w:rsidP="00CA2FC9">
      <w:pPr>
        <w:rPr>
          <w:rFonts w:cs="Arial"/>
          <w:sz w:val="22"/>
          <w:szCs w:val="22"/>
        </w:rPr>
      </w:pPr>
      <w:r>
        <w:rPr>
          <w:rFonts w:cs="Arial"/>
          <w:sz w:val="22"/>
          <w:szCs w:val="22"/>
        </w:rPr>
        <w:t xml:space="preserve">El Gestor debe calcular los indicadores MP y MS del Anexo 1, con base en los valores obtenidos de OCTGF.  </w:t>
      </w:r>
    </w:p>
    <w:p w14:paraId="2E23C26A" w14:textId="77777777" w:rsidR="00CA2FC9" w:rsidRDefault="00CA2FC9" w:rsidP="00CA2FC9">
      <w:pPr>
        <w:rPr>
          <w:rFonts w:cs="Arial"/>
          <w:b/>
          <w:bCs/>
          <w:sz w:val="22"/>
          <w:szCs w:val="22"/>
        </w:rPr>
      </w:pPr>
    </w:p>
    <w:p w14:paraId="7A4078AC" w14:textId="16625EEA" w:rsidR="00D07DF6" w:rsidRDefault="00D07DF6" w:rsidP="00371CB5">
      <w:pPr>
        <w:rPr>
          <w:rFonts w:cs="Arial"/>
          <w:b/>
          <w:bCs/>
          <w:sz w:val="22"/>
          <w:szCs w:val="22"/>
        </w:rPr>
      </w:pPr>
    </w:p>
    <w:p w14:paraId="6921D279" w14:textId="5636892A" w:rsidR="00D07DF6" w:rsidRDefault="00D07DF6" w:rsidP="00D07DF6">
      <w:pPr>
        <w:pStyle w:val="Ttulo1"/>
        <w:numPr>
          <w:ilvl w:val="0"/>
          <w:numId w:val="1"/>
        </w:numPr>
        <w:rPr>
          <w:caps/>
        </w:rPr>
      </w:pPr>
      <w:bookmarkStart w:id="1049" w:name="_Toc140506591"/>
      <w:r>
        <w:t>DOCUMENTO DE SOPORTE CREG</w:t>
      </w:r>
      <w:r w:rsidR="00B05F4A">
        <w:t xml:space="preserve"> </w:t>
      </w:r>
      <w:r>
        <w:t>188 DE 2021</w:t>
      </w:r>
      <w:bookmarkEnd w:id="1049"/>
    </w:p>
    <w:p w14:paraId="3D7D7E64" w14:textId="77777777" w:rsidR="00A675FD" w:rsidRDefault="00A675FD" w:rsidP="00A675FD">
      <w:pPr>
        <w:pStyle w:val="Ttulo2"/>
      </w:pPr>
      <w:bookmarkStart w:id="1050" w:name="_Toc140506592"/>
      <w:r w:rsidRPr="00A675FD">
        <w:t>TEBSA</w:t>
      </w:r>
      <w:bookmarkEnd w:id="1050"/>
      <w:r w:rsidRPr="00A675FD">
        <w:tab/>
      </w:r>
    </w:p>
    <w:p w14:paraId="19FEA79B" w14:textId="77777777" w:rsidR="00A675FD" w:rsidRDefault="00A675FD" w:rsidP="00A675FD">
      <w:pPr>
        <w:pStyle w:val="Ttulo4"/>
      </w:pPr>
      <w:r w:rsidRPr="00A675FD">
        <w:t>TEBSA</w:t>
      </w:r>
      <w:r w:rsidRPr="00A675FD">
        <w:tab/>
      </w:r>
    </w:p>
    <w:p w14:paraId="0C4433F5" w14:textId="4FA9BB26" w:rsidR="00A675FD" w:rsidRPr="00FA08DC" w:rsidRDefault="00A675FD" w:rsidP="00A675FD">
      <w:pPr>
        <w:rPr>
          <w:rFonts w:cs="Arial"/>
          <w:i/>
          <w:iCs/>
          <w:sz w:val="22"/>
          <w:szCs w:val="22"/>
        </w:rPr>
      </w:pPr>
      <w:r w:rsidRPr="00A675FD">
        <w:rPr>
          <w:rFonts w:cs="Arial"/>
          <w:sz w:val="22"/>
          <w:szCs w:val="22"/>
        </w:rPr>
        <w:t xml:space="preserve">" </w:t>
      </w:r>
      <w:r w:rsidRPr="00FA08DC">
        <w:rPr>
          <w:rFonts w:cs="Arial"/>
          <w:i/>
          <w:iCs/>
          <w:sz w:val="22"/>
          <w:szCs w:val="22"/>
        </w:rPr>
        <w:t xml:space="preserve">En el documento soporte se menciona dentro de las consideraciones que respaldan los cambios lo siguiente: </w:t>
      </w:r>
    </w:p>
    <w:p w14:paraId="2F89F813" w14:textId="77777777" w:rsidR="00A675FD" w:rsidRPr="00FA08DC" w:rsidRDefault="00A675FD" w:rsidP="00A675FD">
      <w:pPr>
        <w:rPr>
          <w:rFonts w:cs="Arial"/>
          <w:i/>
          <w:iCs/>
          <w:sz w:val="22"/>
          <w:szCs w:val="22"/>
        </w:rPr>
      </w:pPr>
    </w:p>
    <w:p w14:paraId="5AFEC1F9" w14:textId="65F2C5B6" w:rsidR="00A675FD" w:rsidRDefault="00B05F4A" w:rsidP="00A675FD">
      <w:pPr>
        <w:rPr>
          <w:rFonts w:cs="Arial"/>
          <w:sz w:val="22"/>
          <w:szCs w:val="22"/>
        </w:rPr>
      </w:pPr>
      <w:r>
        <w:rPr>
          <w:rFonts w:cs="Arial"/>
          <w:i/>
          <w:iCs/>
          <w:sz w:val="22"/>
          <w:szCs w:val="22"/>
        </w:rPr>
        <w:t>‘</w:t>
      </w:r>
      <w:r w:rsidR="00A675FD" w:rsidRPr="00FA08DC">
        <w:rPr>
          <w:rFonts w:cs="Arial"/>
          <w:i/>
          <w:iCs/>
          <w:sz w:val="22"/>
          <w:szCs w:val="22"/>
        </w:rPr>
        <w:t>Se asume para este ejercicio que las cantidades de la demanda proyectada serán contratadas en su totalidad con garantía de firmeza, lo cual es conservador en el sentido de que, por la modalidad contractual CF95 con pago mínimo fijo del 95% de la cantidad diaria mensual contratada, se podría esperar una contratación del 5% por encima de esta demanda proyectada esperada, puesto que no se está obligado a su pago si no se nomina el gas</w:t>
      </w:r>
      <w:r w:rsidR="00A675FD" w:rsidRPr="00A675FD">
        <w:rPr>
          <w:rFonts w:cs="Arial"/>
          <w:sz w:val="22"/>
          <w:szCs w:val="22"/>
        </w:rPr>
        <w:t>.</w:t>
      </w:r>
      <w:r>
        <w:rPr>
          <w:rFonts w:cs="Arial"/>
          <w:sz w:val="22"/>
          <w:szCs w:val="22"/>
        </w:rPr>
        <w:t>’</w:t>
      </w:r>
    </w:p>
    <w:p w14:paraId="78D49348" w14:textId="77777777" w:rsidR="00FA08DC" w:rsidRDefault="00FA08DC" w:rsidP="00A675FD">
      <w:pPr>
        <w:rPr>
          <w:rFonts w:cs="Arial"/>
          <w:sz w:val="22"/>
          <w:szCs w:val="22"/>
        </w:rPr>
      </w:pPr>
    </w:p>
    <w:p w14:paraId="78151D90" w14:textId="59FE10CB" w:rsidR="00FA08DC" w:rsidRPr="00FA08DC" w:rsidRDefault="00FA08DC" w:rsidP="00A675FD">
      <w:pPr>
        <w:rPr>
          <w:rFonts w:cs="Arial"/>
          <w:i/>
          <w:iCs/>
          <w:sz w:val="22"/>
          <w:szCs w:val="22"/>
        </w:rPr>
      </w:pPr>
      <w:r w:rsidRPr="00FA08DC">
        <w:rPr>
          <w:rFonts w:cs="Arial"/>
          <w:i/>
          <w:iCs/>
          <w:sz w:val="22"/>
          <w:szCs w:val="22"/>
        </w:rPr>
        <w:t>Consideramos pertinente que la contratación para la demanda sea equivalente al 100%, permitiendo que el 5% adicional al 95% propuesto, sea contratado a fin de contar con flexibilidad para atender los consumos adicionales y estacionales que se pueden presentar en la demanda y además en los comercializadores podrían proporcionar mayor liquidez al transar dichas cantidades en el mercado secundario.</w:t>
      </w:r>
      <w:r w:rsidR="00B05F4A">
        <w:rPr>
          <w:rFonts w:cs="Arial"/>
          <w:i/>
          <w:iCs/>
          <w:sz w:val="22"/>
          <w:szCs w:val="22"/>
        </w:rPr>
        <w:t>”</w:t>
      </w:r>
    </w:p>
    <w:p w14:paraId="32447962" w14:textId="77777777" w:rsidR="00FA08DC" w:rsidRDefault="00FA08DC" w:rsidP="00A675FD">
      <w:pPr>
        <w:rPr>
          <w:rFonts w:cs="Arial"/>
          <w:sz w:val="22"/>
          <w:szCs w:val="22"/>
        </w:rPr>
      </w:pPr>
    </w:p>
    <w:p w14:paraId="5276442F" w14:textId="6625A4AC" w:rsidR="00FA08DC" w:rsidRPr="00FA08DC" w:rsidRDefault="00FA08DC" w:rsidP="00A675FD">
      <w:pPr>
        <w:rPr>
          <w:rFonts w:cs="Arial"/>
          <w:b/>
          <w:bCs/>
          <w:sz w:val="22"/>
          <w:szCs w:val="22"/>
        </w:rPr>
      </w:pPr>
      <w:r w:rsidRPr="00FA08DC">
        <w:rPr>
          <w:rFonts w:cs="Arial"/>
          <w:b/>
          <w:bCs/>
          <w:sz w:val="22"/>
          <w:szCs w:val="22"/>
        </w:rPr>
        <w:t>Respuesta:</w:t>
      </w:r>
    </w:p>
    <w:p w14:paraId="12A4CABA" w14:textId="77777777" w:rsidR="00FA08DC" w:rsidRDefault="00FA08DC" w:rsidP="00A675FD">
      <w:pPr>
        <w:rPr>
          <w:rFonts w:cs="Arial"/>
          <w:sz w:val="22"/>
          <w:szCs w:val="22"/>
        </w:rPr>
      </w:pPr>
    </w:p>
    <w:p w14:paraId="008A45E4" w14:textId="0CBBDB53" w:rsidR="00FA08DC" w:rsidRDefault="00FA08DC" w:rsidP="00A675FD">
      <w:pPr>
        <w:rPr>
          <w:rFonts w:cs="Arial"/>
          <w:sz w:val="22"/>
          <w:szCs w:val="22"/>
        </w:rPr>
      </w:pPr>
      <w:r>
        <w:rPr>
          <w:rFonts w:cs="Arial"/>
          <w:sz w:val="22"/>
          <w:szCs w:val="22"/>
        </w:rPr>
        <w:t xml:space="preserve">Mediante la modalidad contractual CF95 se garantiza el suministro diario </w:t>
      </w:r>
      <w:r w:rsidR="0035331D">
        <w:rPr>
          <w:rFonts w:cs="Arial"/>
          <w:sz w:val="22"/>
          <w:szCs w:val="22"/>
        </w:rPr>
        <w:t xml:space="preserve">máximo </w:t>
      </w:r>
      <w:r>
        <w:rPr>
          <w:rFonts w:cs="Arial"/>
          <w:sz w:val="22"/>
          <w:szCs w:val="22"/>
        </w:rPr>
        <w:t>del 100% de la cantidad contratada.</w:t>
      </w:r>
    </w:p>
    <w:p w14:paraId="6ABFCA16" w14:textId="77777777" w:rsidR="00FA08DC" w:rsidRPr="00A675FD" w:rsidRDefault="00FA08DC" w:rsidP="00A675FD">
      <w:pPr>
        <w:rPr>
          <w:rFonts w:cs="Arial"/>
          <w:sz w:val="22"/>
          <w:szCs w:val="22"/>
        </w:rPr>
      </w:pPr>
    </w:p>
    <w:p w14:paraId="04C157F6" w14:textId="77777777" w:rsidR="00A675FD" w:rsidRDefault="00A675FD" w:rsidP="00A675FD">
      <w:pPr>
        <w:rPr>
          <w:rFonts w:cs="Arial"/>
          <w:sz w:val="22"/>
          <w:szCs w:val="22"/>
        </w:rPr>
      </w:pPr>
    </w:p>
    <w:p w14:paraId="3AA7E2DB" w14:textId="77777777" w:rsidR="00A675FD" w:rsidRDefault="00A675FD" w:rsidP="00A675FD">
      <w:pPr>
        <w:pStyle w:val="Ttulo4"/>
      </w:pPr>
      <w:r w:rsidRPr="00A675FD">
        <w:t>TEBSA</w:t>
      </w:r>
      <w:r w:rsidRPr="00A675FD">
        <w:tab/>
      </w:r>
    </w:p>
    <w:p w14:paraId="7A645BD3" w14:textId="085832F7" w:rsidR="00A675FD" w:rsidRPr="0035331D" w:rsidRDefault="00A675FD" w:rsidP="00A675FD">
      <w:pPr>
        <w:rPr>
          <w:rFonts w:cs="Arial"/>
          <w:i/>
          <w:iCs/>
          <w:sz w:val="22"/>
          <w:szCs w:val="22"/>
        </w:rPr>
      </w:pPr>
      <w:r w:rsidRPr="00A675FD">
        <w:rPr>
          <w:rFonts w:cs="Arial"/>
          <w:sz w:val="22"/>
          <w:szCs w:val="22"/>
        </w:rPr>
        <w:t>"</w:t>
      </w:r>
      <w:r w:rsidRPr="0035331D">
        <w:rPr>
          <w:rFonts w:cs="Arial"/>
          <w:i/>
          <w:iCs/>
          <w:sz w:val="22"/>
          <w:szCs w:val="22"/>
        </w:rPr>
        <w:t xml:space="preserve">El documento soporte plantea que se requiere que la demanda esencial tenga una prioridad en los mecanismos comerciales, sin embargo, se mencionan unas condiciones de manera particular, creando un protocolo para la atención de esa situación específica. De acuerdo con lo anterior, estas reglas no serían una generalidad. La demanda es inelástica, parte de </w:t>
      </w:r>
      <w:proofErr w:type="gramStart"/>
      <w:r w:rsidRPr="0035331D">
        <w:rPr>
          <w:rFonts w:cs="Arial"/>
          <w:i/>
          <w:iCs/>
          <w:sz w:val="22"/>
          <w:szCs w:val="22"/>
        </w:rPr>
        <w:t>la misma</w:t>
      </w:r>
      <w:proofErr w:type="gramEnd"/>
      <w:r w:rsidRPr="0035331D">
        <w:rPr>
          <w:rFonts w:cs="Arial"/>
          <w:i/>
          <w:iCs/>
          <w:sz w:val="22"/>
          <w:szCs w:val="22"/>
        </w:rPr>
        <w:t xml:space="preserve"> es altamente sensible al precio como por ejemplo el GNV. </w:t>
      </w:r>
    </w:p>
    <w:p w14:paraId="77239CD8" w14:textId="77777777" w:rsidR="00A675FD" w:rsidRPr="0035331D" w:rsidRDefault="00A675FD" w:rsidP="00A675FD">
      <w:pPr>
        <w:rPr>
          <w:rFonts w:cs="Arial"/>
          <w:i/>
          <w:iCs/>
          <w:sz w:val="22"/>
          <w:szCs w:val="22"/>
        </w:rPr>
      </w:pPr>
    </w:p>
    <w:p w14:paraId="2C44F997" w14:textId="77777777" w:rsidR="00A675FD" w:rsidRDefault="00A675FD" w:rsidP="00A675FD">
      <w:pPr>
        <w:rPr>
          <w:rFonts w:cs="Arial"/>
          <w:sz w:val="22"/>
          <w:szCs w:val="22"/>
        </w:rPr>
      </w:pPr>
      <w:r w:rsidRPr="0035331D">
        <w:rPr>
          <w:rFonts w:cs="Arial"/>
          <w:i/>
          <w:iCs/>
          <w:sz w:val="22"/>
          <w:szCs w:val="22"/>
        </w:rPr>
        <w:t>Consideramos necesario definir si existen dos tipos de demanda. La demanda esencial está definida bajo criterios aplicables un estado transitorio. ¿Cómo compagina esto con las obligaciones del mercado secundario? ¿Corresponde a una condición permanente y no transitoria? ¿es necesario garantizar un mecanismo para una definición temporal?</w:t>
      </w:r>
      <w:r w:rsidRPr="00A675FD">
        <w:rPr>
          <w:rFonts w:cs="Arial"/>
          <w:sz w:val="22"/>
          <w:szCs w:val="22"/>
        </w:rPr>
        <w:t xml:space="preserve"> "</w:t>
      </w:r>
    </w:p>
    <w:p w14:paraId="44CBCEF8" w14:textId="77777777" w:rsidR="0035331D" w:rsidRDefault="0035331D" w:rsidP="00A675FD">
      <w:pPr>
        <w:rPr>
          <w:rFonts w:cs="Arial"/>
          <w:sz w:val="22"/>
          <w:szCs w:val="22"/>
        </w:rPr>
      </w:pPr>
    </w:p>
    <w:p w14:paraId="1616756E" w14:textId="715158B6" w:rsidR="0035331D" w:rsidRPr="0035331D" w:rsidRDefault="0035331D" w:rsidP="00A675FD">
      <w:pPr>
        <w:rPr>
          <w:rFonts w:cs="Arial"/>
          <w:b/>
          <w:bCs/>
          <w:sz w:val="22"/>
          <w:szCs w:val="22"/>
        </w:rPr>
      </w:pPr>
      <w:r w:rsidRPr="0035331D">
        <w:rPr>
          <w:rFonts w:cs="Arial"/>
          <w:b/>
          <w:bCs/>
          <w:sz w:val="22"/>
          <w:szCs w:val="22"/>
        </w:rPr>
        <w:t>Respuesta:</w:t>
      </w:r>
    </w:p>
    <w:p w14:paraId="20A170CC" w14:textId="77777777" w:rsidR="0035331D" w:rsidRDefault="0035331D" w:rsidP="00A675FD">
      <w:pPr>
        <w:rPr>
          <w:rFonts w:cs="Arial"/>
          <w:sz w:val="22"/>
          <w:szCs w:val="22"/>
        </w:rPr>
      </w:pPr>
    </w:p>
    <w:p w14:paraId="57FB8EE6" w14:textId="0E527972" w:rsidR="0035331D" w:rsidRDefault="0035331D" w:rsidP="00A675FD">
      <w:pPr>
        <w:rPr>
          <w:rFonts w:cs="Arial"/>
          <w:sz w:val="22"/>
          <w:szCs w:val="22"/>
        </w:rPr>
      </w:pPr>
      <w:r>
        <w:rPr>
          <w:rFonts w:cs="Arial"/>
          <w:sz w:val="22"/>
          <w:szCs w:val="22"/>
        </w:rPr>
        <w:t>En la nueva propuesta se mantiene la priorización de asignación de cantidades a los compradores que requieren cantidades en la segunda instancia de declaración al Gestor del Mercado. Esa priorización solamente se aplica cuando el resultado de un balance comercial de un punto de referencia para un trimestre estándar de ejecución futuro resulta deficitario. En el caso de ser superavitario, se prioriza en una primera etapa de negociación directa, la contratación del total de las cantidades requeridas por los compradores en la segunda instancia de declaración realizada al Gestor del Mercado, y no se condiciona a si son cantidades para atender Demanda Esencial o para la demás demanda.</w:t>
      </w:r>
    </w:p>
    <w:p w14:paraId="410C6F75" w14:textId="77777777" w:rsidR="0035331D" w:rsidRDefault="0035331D" w:rsidP="00A675FD">
      <w:pPr>
        <w:rPr>
          <w:rFonts w:cs="Arial"/>
          <w:sz w:val="22"/>
          <w:szCs w:val="22"/>
        </w:rPr>
      </w:pPr>
    </w:p>
    <w:p w14:paraId="6DCE8724" w14:textId="6792ED31" w:rsidR="0035331D" w:rsidRDefault="0035331D" w:rsidP="00A675FD">
      <w:pPr>
        <w:rPr>
          <w:rFonts w:cs="Arial"/>
          <w:sz w:val="22"/>
          <w:szCs w:val="22"/>
        </w:rPr>
      </w:pPr>
      <w:r>
        <w:rPr>
          <w:rFonts w:cs="Arial"/>
          <w:sz w:val="22"/>
          <w:szCs w:val="22"/>
        </w:rPr>
        <w:t>Dentro de las cantidades de la Demanda Esencial a requerir en la segunda instancia de declaración al Gestor del Mercado, el comprador podrá requerir cantidades a priorizar y cantidades para participar en la subasta, para los usuarios no regulados que hacen parte de la Demanda Esencial.</w:t>
      </w:r>
    </w:p>
    <w:p w14:paraId="11EAA6AA" w14:textId="77777777" w:rsidR="0035331D" w:rsidRPr="00A675FD" w:rsidRDefault="0035331D" w:rsidP="00A675FD">
      <w:pPr>
        <w:rPr>
          <w:rFonts w:cs="Arial"/>
          <w:sz w:val="22"/>
          <w:szCs w:val="22"/>
        </w:rPr>
      </w:pPr>
    </w:p>
    <w:p w14:paraId="5E809A15" w14:textId="77777777" w:rsidR="00A675FD" w:rsidRDefault="00A675FD" w:rsidP="00A675FD">
      <w:pPr>
        <w:rPr>
          <w:rFonts w:cs="Arial"/>
          <w:sz w:val="22"/>
          <w:szCs w:val="22"/>
        </w:rPr>
      </w:pPr>
    </w:p>
    <w:p w14:paraId="59F20016" w14:textId="77777777" w:rsidR="00A675FD" w:rsidRDefault="00A675FD" w:rsidP="00A675FD">
      <w:pPr>
        <w:pStyle w:val="Ttulo4"/>
      </w:pPr>
      <w:r w:rsidRPr="00A675FD">
        <w:t>TEBSA</w:t>
      </w:r>
      <w:r w:rsidRPr="00A675FD">
        <w:tab/>
      </w:r>
    </w:p>
    <w:p w14:paraId="31F2B930" w14:textId="46A20029" w:rsidR="0035331D" w:rsidRPr="0035331D" w:rsidRDefault="006250E5" w:rsidP="00A675FD">
      <w:pPr>
        <w:rPr>
          <w:rFonts w:cs="Arial"/>
          <w:i/>
          <w:iCs/>
          <w:sz w:val="22"/>
          <w:szCs w:val="22"/>
        </w:rPr>
      </w:pPr>
      <w:r>
        <w:rPr>
          <w:rFonts w:cs="Arial"/>
          <w:i/>
          <w:iCs/>
          <w:sz w:val="22"/>
          <w:szCs w:val="22"/>
        </w:rPr>
        <w:t>“</w:t>
      </w:r>
      <w:r w:rsidR="00A675FD" w:rsidRPr="0035331D">
        <w:rPr>
          <w:rFonts w:cs="Arial"/>
          <w:i/>
          <w:iCs/>
          <w:sz w:val="22"/>
          <w:szCs w:val="22"/>
        </w:rPr>
        <w:t>Falta de claridad en la definición de objetivos</w:t>
      </w:r>
      <w:r w:rsidR="0035331D" w:rsidRPr="0035331D">
        <w:rPr>
          <w:rFonts w:cs="Arial"/>
          <w:i/>
          <w:iCs/>
          <w:sz w:val="22"/>
          <w:szCs w:val="22"/>
        </w:rPr>
        <w:t>.</w:t>
      </w:r>
      <w:r>
        <w:rPr>
          <w:rFonts w:cs="Arial"/>
          <w:i/>
          <w:iCs/>
          <w:sz w:val="22"/>
          <w:szCs w:val="22"/>
        </w:rPr>
        <w:t>”</w:t>
      </w:r>
    </w:p>
    <w:p w14:paraId="578C4A9E" w14:textId="77777777" w:rsidR="0035331D" w:rsidRDefault="0035331D" w:rsidP="00A675FD">
      <w:pPr>
        <w:rPr>
          <w:rFonts w:cs="Arial"/>
          <w:sz w:val="22"/>
          <w:szCs w:val="22"/>
        </w:rPr>
      </w:pPr>
    </w:p>
    <w:p w14:paraId="001CF323" w14:textId="77777777" w:rsidR="0035331D" w:rsidRPr="0035331D" w:rsidRDefault="0035331D" w:rsidP="00A675FD">
      <w:pPr>
        <w:rPr>
          <w:rFonts w:cs="Arial"/>
          <w:b/>
          <w:bCs/>
          <w:sz w:val="22"/>
          <w:szCs w:val="22"/>
        </w:rPr>
      </w:pPr>
      <w:r w:rsidRPr="0035331D">
        <w:rPr>
          <w:rFonts w:cs="Arial"/>
          <w:b/>
          <w:bCs/>
          <w:sz w:val="22"/>
          <w:szCs w:val="22"/>
        </w:rPr>
        <w:t>Respuesta:</w:t>
      </w:r>
    </w:p>
    <w:p w14:paraId="5FD1A583" w14:textId="77777777" w:rsidR="0035331D" w:rsidRDefault="0035331D" w:rsidP="00A675FD">
      <w:pPr>
        <w:rPr>
          <w:rFonts w:cs="Arial"/>
          <w:sz w:val="22"/>
          <w:szCs w:val="22"/>
        </w:rPr>
      </w:pPr>
    </w:p>
    <w:p w14:paraId="12811C29" w14:textId="4378E737" w:rsidR="0035331D" w:rsidRDefault="0035331D" w:rsidP="00A675FD">
      <w:pPr>
        <w:rPr>
          <w:rFonts w:cs="Arial"/>
          <w:sz w:val="22"/>
          <w:szCs w:val="22"/>
        </w:rPr>
      </w:pPr>
      <w:r>
        <w:rPr>
          <w:rFonts w:cs="Arial"/>
          <w:sz w:val="22"/>
          <w:szCs w:val="22"/>
        </w:rPr>
        <w:t xml:space="preserve">En el presente documento de soporte se busca dar mayor claridad y profundidad en la definición de objetivos y demás aspectos que hacen parte </w:t>
      </w:r>
      <w:proofErr w:type="gramStart"/>
      <w:r>
        <w:rPr>
          <w:rFonts w:cs="Arial"/>
          <w:sz w:val="22"/>
          <w:szCs w:val="22"/>
        </w:rPr>
        <w:t>del mismo</w:t>
      </w:r>
      <w:proofErr w:type="gramEnd"/>
      <w:r>
        <w:rPr>
          <w:rFonts w:cs="Arial"/>
          <w:sz w:val="22"/>
          <w:szCs w:val="22"/>
        </w:rPr>
        <w:t>, con base en los comentarios recibidos.</w:t>
      </w:r>
    </w:p>
    <w:p w14:paraId="6D27D7B7" w14:textId="224D8201" w:rsidR="00A675FD" w:rsidRPr="00A675FD" w:rsidRDefault="00A675FD" w:rsidP="00A675FD">
      <w:pPr>
        <w:rPr>
          <w:rFonts w:cs="Arial"/>
          <w:sz w:val="22"/>
          <w:szCs w:val="22"/>
        </w:rPr>
      </w:pPr>
      <w:r w:rsidRPr="00A675FD">
        <w:rPr>
          <w:rFonts w:cs="Arial"/>
          <w:sz w:val="22"/>
          <w:szCs w:val="22"/>
        </w:rPr>
        <w:t xml:space="preserve"> </w:t>
      </w:r>
    </w:p>
    <w:p w14:paraId="1D8499D2" w14:textId="77777777" w:rsidR="00A675FD" w:rsidRDefault="00A675FD" w:rsidP="00A675FD">
      <w:pPr>
        <w:rPr>
          <w:rFonts w:cs="Arial"/>
          <w:sz w:val="22"/>
          <w:szCs w:val="22"/>
        </w:rPr>
      </w:pPr>
    </w:p>
    <w:p w14:paraId="460CDE4F" w14:textId="77777777" w:rsidR="00A675FD" w:rsidRDefault="00A675FD" w:rsidP="00A675FD">
      <w:pPr>
        <w:pStyle w:val="Ttulo4"/>
      </w:pPr>
      <w:r w:rsidRPr="00A675FD">
        <w:t>TEBSA</w:t>
      </w:r>
      <w:r w:rsidRPr="00A675FD">
        <w:tab/>
      </w:r>
    </w:p>
    <w:p w14:paraId="2C8B7AB9" w14:textId="31AB5ED0" w:rsidR="00A675FD" w:rsidRDefault="00A675FD" w:rsidP="00A675FD">
      <w:pPr>
        <w:rPr>
          <w:rFonts w:cs="Arial"/>
          <w:i/>
          <w:iCs/>
          <w:sz w:val="22"/>
          <w:szCs w:val="22"/>
        </w:rPr>
      </w:pPr>
      <w:r w:rsidRPr="00A675FD">
        <w:rPr>
          <w:rFonts w:cs="Arial"/>
          <w:sz w:val="22"/>
          <w:szCs w:val="22"/>
        </w:rPr>
        <w:t>"</w:t>
      </w:r>
      <w:r w:rsidRPr="0035331D">
        <w:rPr>
          <w:rFonts w:cs="Arial"/>
          <w:i/>
          <w:iCs/>
          <w:sz w:val="22"/>
          <w:szCs w:val="22"/>
        </w:rPr>
        <w:t xml:space="preserve">Teniendo presente que los precios en el mercado de GNL se definen posterior al momento de la nominación, a diferencia de los precios de los contratos de campos de producción nacional, consideramos que la propuesta </w:t>
      </w:r>
      <w:r w:rsidR="006250E5">
        <w:rPr>
          <w:rFonts w:cs="Arial"/>
          <w:i/>
          <w:iCs/>
          <w:sz w:val="22"/>
          <w:szCs w:val="22"/>
        </w:rPr>
        <w:t>‘</w:t>
      </w:r>
      <w:r w:rsidRPr="0035331D">
        <w:rPr>
          <w:rFonts w:cs="Arial"/>
          <w:i/>
          <w:iCs/>
          <w:sz w:val="22"/>
          <w:szCs w:val="22"/>
        </w:rPr>
        <w:t>Todos los contratos de suministro deberán determinar como mínimo: las cantidades, precios de venta, puntos de entrega, plazos de ejecución, eventos eximentes de responsabilidad (requisitos exigidos como mínimos por la CREG para todos los contratos de suministro)</w:t>
      </w:r>
      <w:r w:rsidR="006250E5">
        <w:rPr>
          <w:rFonts w:cs="Arial"/>
          <w:i/>
          <w:iCs/>
          <w:sz w:val="22"/>
          <w:szCs w:val="22"/>
        </w:rPr>
        <w:t>’</w:t>
      </w:r>
      <w:r w:rsidRPr="0035331D">
        <w:rPr>
          <w:rFonts w:cs="Arial"/>
          <w:i/>
          <w:iCs/>
          <w:sz w:val="22"/>
          <w:szCs w:val="22"/>
        </w:rPr>
        <w:t>, no se ajusta a las condiciones comerciales y operativas del gas importado, lo cual requiere de precios variables dentro de un trimestral o que se permita definir esquemas de precios asociados a indicadores internacionales.</w:t>
      </w:r>
      <w:r w:rsidR="006250E5">
        <w:rPr>
          <w:rFonts w:cs="Arial"/>
          <w:i/>
          <w:iCs/>
          <w:sz w:val="22"/>
          <w:szCs w:val="22"/>
        </w:rPr>
        <w:t>”</w:t>
      </w:r>
      <w:r w:rsidRPr="0035331D">
        <w:rPr>
          <w:rFonts w:cs="Arial"/>
          <w:i/>
          <w:iCs/>
          <w:sz w:val="22"/>
          <w:szCs w:val="22"/>
        </w:rPr>
        <w:t xml:space="preserve"> </w:t>
      </w:r>
    </w:p>
    <w:p w14:paraId="7E452AE0" w14:textId="77777777" w:rsidR="00A640D2" w:rsidRDefault="00A640D2" w:rsidP="00A675FD">
      <w:pPr>
        <w:rPr>
          <w:rFonts w:cs="Arial"/>
          <w:i/>
          <w:iCs/>
          <w:sz w:val="22"/>
          <w:szCs w:val="22"/>
        </w:rPr>
      </w:pPr>
    </w:p>
    <w:p w14:paraId="6D7976CE" w14:textId="15FB8CE4" w:rsidR="00A640D2" w:rsidRPr="00A640D2" w:rsidRDefault="00A640D2" w:rsidP="00A675FD">
      <w:pPr>
        <w:rPr>
          <w:rFonts w:cs="Arial"/>
          <w:b/>
          <w:bCs/>
          <w:sz w:val="22"/>
          <w:szCs w:val="22"/>
        </w:rPr>
      </w:pPr>
      <w:r w:rsidRPr="00A640D2">
        <w:rPr>
          <w:rFonts w:cs="Arial"/>
          <w:b/>
          <w:bCs/>
          <w:sz w:val="22"/>
          <w:szCs w:val="22"/>
        </w:rPr>
        <w:t>Respuesta:</w:t>
      </w:r>
    </w:p>
    <w:p w14:paraId="5F825664" w14:textId="77777777" w:rsidR="00A640D2" w:rsidRPr="00A640D2" w:rsidRDefault="00A640D2" w:rsidP="00A675FD">
      <w:pPr>
        <w:rPr>
          <w:rFonts w:cs="Arial"/>
          <w:sz w:val="22"/>
          <w:szCs w:val="22"/>
        </w:rPr>
      </w:pPr>
    </w:p>
    <w:p w14:paraId="79066D6D" w14:textId="019789AA" w:rsidR="00A640D2" w:rsidRPr="00A640D2" w:rsidRDefault="00A640D2" w:rsidP="00A675FD">
      <w:pPr>
        <w:rPr>
          <w:rFonts w:cs="Arial"/>
          <w:sz w:val="22"/>
          <w:szCs w:val="22"/>
        </w:rPr>
      </w:pPr>
      <w:r>
        <w:rPr>
          <w:rFonts w:cs="Arial"/>
          <w:sz w:val="22"/>
          <w:szCs w:val="22"/>
        </w:rPr>
        <w:t xml:space="preserve">En la nueva propuesta se incluye la definición del Respaldo  </w:t>
      </w:r>
      <w:r>
        <w:rPr>
          <w:rFonts w:cs="Arial"/>
          <w:sz w:val="22"/>
          <w:szCs w:val="22"/>
        </w:rPr>
        <w:br/>
        <w:t xml:space="preserve">Físico cuando el gas es obtenido en el exterior, con el fin de ofrecer cantidades CIDVF </w:t>
      </w:r>
      <w:r w:rsidR="00B9255C">
        <w:rPr>
          <w:rFonts w:cs="Arial"/>
          <w:sz w:val="22"/>
          <w:szCs w:val="22"/>
        </w:rPr>
        <w:t xml:space="preserve">en el Mercado Primario </w:t>
      </w:r>
      <w:r>
        <w:rPr>
          <w:rFonts w:cs="Arial"/>
          <w:sz w:val="22"/>
          <w:szCs w:val="22"/>
        </w:rPr>
        <w:t>para suscribir contratos de tipo firme o que garantizan firmeza. Se busca que el suministro del gas que se negocia tenga un menor riesgo de no ser cumplido</w:t>
      </w:r>
      <w:r w:rsidR="00B9255C">
        <w:rPr>
          <w:rFonts w:cs="Arial"/>
          <w:sz w:val="22"/>
          <w:szCs w:val="22"/>
        </w:rPr>
        <w:t>, sin que ello implique una asunción de riesgos del vendedor que lleven a un precio superior al dispuesto a pagar por el comprador para ese nivel de riesgo de cumplimiento.</w:t>
      </w:r>
      <w:r>
        <w:rPr>
          <w:rFonts w:cs="Arial"/>
          <w:sz w:val="22"/>
          <w:szCs w:val="22"/>
        </w:rPr>
        <w:t xml:space="preserve"> </w:t>
      </w:r>
    </w:p>
    <w:p w14:paraId="723C6703" w14:textId="77777777" w:rsidR="00A640D2" w:rsidRPr="00A640D2" w:rsidRDefault="00A640D2" w:rsidP="00A675FD">
      <w:pPr>
        <w:rPr>
          <w:rFonts w:cs="Arial"/>
          <w:sz w:val="22"/>
          <w:szCs w:val="22"/>
        </w:rPr>
      </w:pPr>
    </w:p>
    <w:p w14:paraId="18D98B27" w14:textId="77777777" w:rsidR="00A640D2" w:rsidRDefault="00A640D2" w:rsidP="00A675FD">
      <w:pPr>
        <w:rPr>
          <w:rFonts w:cs="Arial"/>
          <w:i/>
          <w:iCs/>
          <w:sz w:val="22"/>
          <w:szCs w:val="22"/>
        </w:rPr>
      </w:pPr>
    </w:p>
    <w:p w14:paraId="0544A0DF" w14:textId="77777777" w:rsidR="00A640D2" w:rsidRDefault="00A640D2" w:rsidP="00A640D2">
      <w:pPr>
        <w:pStyle w:val="Ttulo4"/>
      </w:pPr>
      <w:r w:rsidRPr="00A675FD">
        <w:t>TEBSA</w:t>
      </w:r>
      <w:r w:rsidRPr="00A675FD">
        <w:tab/>
      </w:r>
    </w:p>
    <w:p w14:paraId="7DEFCCC4" w14:textId="67CB187B" w:rsidR="00A675FD" w:rsidRPr="0035331D" w:rsidRDefault="00F86D41" w:rsidP="00A675FD">
      <w:pPr>
        <w:rPr>
          <w:rFonts w:cs="Arial"/>
          <w:i/>
          <w:iCs/>
          <w:sz w:val="22"/>
          <w:szCs w:val="22"/>
        </w:rPr>
      </w:pPr>
      <w:r>
        <w:rPr>
          <w:rFonts w:cs="Arial"/>
          <w:i/>
          <w:iCs/>
          <w:sz w:val="22"/>
          <w:szCs w:val="22"/>
        </w:rPr>
        <w:t>“</w:t>
      </w:r>
      <w:r w:rsidR="00A675FD" w:rsidRPr="0035331D">
        <w:rPr>
          <w:rFonts w:cs="Arial"/>
          <w:i/>
          <w:iCs/>
          <w:sz w:val="22"/>
          <w:szCs w:val="22"/>
        </w:rPr>
        <w:t>Destacamos los esfuerzos de la Comisión por la gestión realizada para garantizar que los eventos eximentes a los que hubiere lugar en el transporte, la demanda pueda trasladarla al suministro y gestionar los riesgos asociados a esa situación. Asimismo, aprovechamos la oportunidad para destacar la importancia de viabilizar en el mismo sentido, que los eventos eximentes en el suministro, puedan ser trasladados al transporte.</w:t>
      </w:r>
    </w:p>
    <w:p w14:paraId="738F78EE" w14:textId="77777777" w:rsidR="00A675FD" w:rsidRPr="0035331D" w:rsidRDefault="00A675FD" w:rsidP="00A675FD">
      <w:pPr>
        <w:rPr>
          <w:rFonts w:cs="Arial"/>
          <w:i/>
          <w:iCs/>
          <w:sz w:val="22"/>
          <w:szCs w:val="22"/>
        </w:rPr>
      </w:pPr>
    </w:p>
    <w:p w14:paraId="621F3ADE" w14:textId="1661185F" w:rsidR="00A675FD" w:rsidRDefault="00A675FD" w:rsidP="00A675FD">
      <w:pPr>
        <w:rPr>
          <w:rFonts w:cs="Arial"/>
          <w:sz w:val="22"/>
          <w:szCs w:val="22"/>
        </w:rPr>
      </w:pPr>
      <w:r w:rsidRPr="0035331D">
        <w:rPr>
          <w:rFonts w:cs="Arial"/>
          <w:i/>
          <w:iCs/>
          <w:sz w:val="22"/>
          <w:szCs w:val="22"/>
        </w:rPr>
        <w:t xml:space="preserve"> Por otro lado, referente al punto </w:t>
      </w:r>
      <w:r w:rsidR="00F86D41">
        <w:rPr>
          <w:rFonts w:cs="Arial"/>
          <w:i/>
          <w:iCs/>
          <w:sz w:val="22"/>
          <w:szCs w:val="22"/>
        </w:rPr>
        <w:t>‘</w:t>
      </w:r>
      <w:r w:rsidRPr="0035331D">
        <w:rPr>
          <w:rFonts w:cs="Arial"/>
          <w:i/>
          <w:iCs/>
          <w:sz w:val="22"/>
          <w:szCs w:val="22"/>
        </w:rPr>
        <w:t xml:space="preserve">Se incluye la definición de Punto de Importación para separar la actividad de adquisición del gas en el exterior de aquella donde inicia la comercialización del gas importado con destino al Servicio Público Domiciliario”, solicitamos a la comisión aclarar si ¿los precios son indicativos y dependerán de las cantidades a </w:t>
      </w:r>
      <w:proofErr w:type="spellStart"/>
      <w:r w:rsidRPr="0035331D">
        <w:rPr>
          <w:rFonts w:cs="Arial"/>
          <w:i/>
          <w:iCs/>
          <w:sz w:val="22"/>
          <w:szCs w:val="22"/>
        </w:rPr>
        <w:t>regasificar</w:t>
      </w:r>
      <w:proofErr w:type="spellEnd"/>
      <w:r w:rsidRPr="0035331D">
        <w:rPr>
          <w:rFonts w:cs="Arial"/>
          <w:i/>
          <w:iCs/>
          <w:sz w:val="22"/>
          <w:szCs w:val="22"/>
        </w:rPr>
        <w:t xml:space="preserve">, registros diarios, </w:t>
      </w:r>
      <w:proofErr w:type="spellStart"/>
      <w:r w:rsidRPr="0035331D">
        <w:rPr>
          <w:rFonts w:cs="Arial"/>
          <w:i/>
          <w:iCs/>
          <w:sz w:val="22"/>
          <w:szCs w:val="22"/>
        </w:rPr>
        <w:t>etc</w:t>
      </w:r>
      <w:proofErr w:type="spellEnd"/>
      <w:r w:rsidRPr="00A675FD">
        <w:rPr>
          <w:rFonts w:cs="Arial"/>
          <w:sz w:val="22"/>
          <w:szCs w:val="22"/>
        </w:rPr>
        <w:t>?</w:t>
      </w:r>
      <w:r w:rsidR="00F86D41">
        <w:rPr>
          <w:rFonts w:cs="Arial"/>
          <w:sz w:val="22"/>
          <w:szCs w:val="22"/>
        </w:rPr>
        <w:t>’</w:t>
      </w:r>
      <w:r w:rsidRPr="00A675FD">
        <w:rPr>
          <w:rFonts w:cs="Arial"/>
          <w:sz w:val="22"/>
          <w:szCs w:val="22"/>
        </w:rPr>
        <w:t>"</w:t>
      </w:r>
    </w:p>
    <w:p w14:paraId="604037B3" w14:textId="77777777" w:rsidR="0035331D" w:rsidRDefault="0035331D" w:rsidP="00A675FD">
      <w:pPr>
        <w:rPr>
          <w:rFonts w:cs="Arial"/>
          <w:sz w:val="22"/>
          <w:szCs w:val="22"/>
        </w:rPr>
      </w:pPr>
    </w:p>
    <w:p w14:paraId="635BDC55" w14:textId="6A0FD821" w:rsidR="0035331D" w:rsidRPr="0035331D" w:rsidRDefault="0035331D" w:rsidP="00A675FD">
      <w:pPr>
        <w:rPr>
          <w:rFonts w:cs="Arial"/>
          <w:b/>
          <w:bCs/>
          <w:sz w:val="22"/>
          <w:szCs w:val="22"/>
        </w:rPr>
      </w:pPr>
      <w:r w:rsidRPr="0035331D">
        <w:rPr>
          <w:rFonts w:cs="Arial"/>
          <w:b/>
          <w:bCs/>
          <w:sz w:val="22"/>
          <w:szCs w:val="22"/>
        </w:rPr>
        <w:t>Respuesta:</w:t>
      </w:r>
    </w:p>
    <w:p w14:paraId="39FDBC07" w14:textId="77777777" w:rsidR="0035331D" w:rsidRDefault="0035331D" w:rsidP="00A675FD">
      <w:pPr>
        <w:rPr>
          <w:rFonts w:cs="Arial"/>
          <w:sz w:val="22"/>
          <w:szCs w:val="22"/>
        </w:rPr>
      </w:pPr>
    </w:p>
    <w:p w14:paraId="1DD53C59" w14:textId="33703B14" w:rsidR="0035331D" w:rsidRDefault="00B9255C" w:rsidP="00A675FD">
      <w:pPr>
        <w:rPr>
          <w:rFonts w:cs="Arial"/>
          <w:sz w:val="22"/>
          <w:szCs w:val="22"/>
        </w:rPr>
      </w:pPr>
      <w:r>
        <w:rPr>
          <w:rFonts w:cs="Arial"/>
          <w:sz w:val="22"/>
          <w:szCs w:val="22"/>
        </w:rPr>
        <w:t>No se entiende en la pregunta de qué precios se trata, de suministro o de servicios asociados de regasificación. Los precios de suministro en todo caso serán resueltos en el mecanismo de negociación directa con los compradores o en el de subasta, dependiendo de los resultados de los balances comerciales.</w:t>
      </w:r>
    </w:p>
    <w:p w14:paraId="6490CD7C" w14:textId="77777777" w:rsidR="00A640D2" w:rsidRPr="00A675FD" w:rsidRDefault="00A640D2" w:rsidP="00A675FD">
      <w:pPr>
        <w:rPr>
          <w:rFonts w:cs="Arial"/>
          <w:sz w:val="22"/>
          <w:szCs w:val="22"/>
        </w:rPr>
      </w:pPr>
    </w:p>
    <w:p w14:paraId="3F25B5B7" w14:textId="77777777" w:rsidR="00A675FD" w:rsidRDefault="00A675FD" w:rsidP="00A675FD">
      <w:pPr>
        <w:rPr>
          <w:rFonts w:cs="Arial"/>
          <w:sz w:val="22"/>
          <w:szCs w:val="22"/>
        </w:rPr>
      </w:pPr>
    </w:p>
    <w:p w14:paraId="6686470D" w14:textId="77777777" w:rsidR="00A675FD" w:rsidRDefault="00A675FD" w:rsidP="00A675FD">
      <w:pPr>
        <w:pStyle w:val="Ttulo4"/>
      </w:pPr>
      <w:r w:rsidRPr="00A675FD">
        <w:t>TEBSA</w:t>
      </w:r>
      <w:r w:rsidRPr="00A675FD">
        <w:tab/>
      </w:r>
    </w:p>
    <w:p w14:paraId="632252F4" w14:textId="24B8F471" w:rsidR="00A675FD" w:rsidRPr="00B9255C" w:rsidRDefault="00A675FD" w:rsidP="00A675FD">
      <w:pPr>
        <w:rPr>
          <w:rFonts w:cs="Arial"/>
          <w:i/>
          <w:iCs/>
          <w:sz w:val="22"/>
          <w:szCs w:val="22"/>
        </w:rPr>
      </w:pPr>
      <w:r w:rsidRPr="00A675FD">
        <w:rPr>
          <w:rFonts w:cs="Arial"/>
          <w:sz w:val="22"/>
          <w:szCs w:val="22"/>
        </w:rPr>
        <w:t>"</w:t>
      </w:r>
      <w:r w:rsidRPr="00B9255C">
        <w:rPr>
          <w:rFonts w:cs="Arial"/>
          <w:i/>
          <w:iCs/>
          <w:sz w:val="22"/>
          <w:szCs w:val="22"/>
        </w:rPr>
        <w:t xml:space="preserve">Observamos una contradicción entre lo establecido en el decreto y la propuesta regulatoria debido a que no existe reciprocidad en el cumplimiento de las obligaciones del contrato por parte del campo pudiendo ocurrir que frente la ocurrencia de un evento se presente desabastecimiento de la demanda. Por lo anterior, cuando se mencionada: </w:t>
      </w:r>
    </w:p>
    <w:p w14:paraId="36D54198" w14:textId="77777777" w:rsidR="00A675FD" w:rsidRPr="00B9255C" w:rsidRDefault="00A675FD" w:rsidP="00A675FD">
      <w:pPr>
        <w:rPr>
          <w:rFonts w:cs="Arial"/>
          <w:i/>
          <w:iCs/>
          <w:sz w:val="22"/>
          <w:szCs w:val="22"/>
        </w:rPr>
      </w:pPr>
    </w:p>
    <w:p w14:paraId="2E422DBA" w14:textId="77777777" w:rsidR="00A675FD" w:rsidRPr="00B9255C" w:rsidRDefault="00A675FD" w:rsidP="00A675FD">
      <w:pPr>
        <w:rPr>
          <w:rFonts w:cs="Arial"/>
          <w:i/>
          <w:iCs/>
          <w:sz w:val="22"/>
          <w:szCs w:val="22"/>
        </w:rPr>
      </w:pPr>
      <w:r w:rsidRPr="00B9255C">
        <w:rPr>
          <w:rFonts w:cs="Arial"/>
          <w:i/>
          <w:iCs/>
          <w:sz w:val="22"/>
          <w:szCs w:val="22"/>
        </w:rPr>
        <w:t xml:space="preserve">Se precisará que los eventos eximentes de responsabilidad a cargo del Vendedor del Mercado Primario no aplican cuando se trate de campos en pruebas extensas de producción, ni tampoco aplicarán obligatoriamente las compensaciones establecidas en la regulación, pudiéndose pactar otro tipo de compensaciones. </w:t>
      </w:r>
    </w:p>
    <w:p w14:paraId="3BE0F351" w14:textId="77777777" w:rsidR="00A675FD" w:rsidRPr="00B9255C" w:rsidRDefault="00A675FD" w:rsidP="00A675FD">
      <w:pPr>
        <w:rPr>
          <w:rFonts w:cs="Arial"/>
          <w:i/>
          <w:iCs/>
          <w:sz w:val="22"/>
          <w:szCs w:val="22"/>
        </w:rPr>
      </w:pPr>
    </w:p>
    <w:p w14:paraId="0A774ADC" w14:textId="63BACD8F" w:rsidR="00B9255C" w:rsidRPr="00B9255C" w:rsidRDefault="00A675FD" w:rsidP="00A675FD">
      <w:pPr>
        <w:rPr>
          <w:rFonts w:cs="Arial"/>
          <w:i/>
          <w:iCs/>
          <w:sz w:val="22"/>
          <w:szCs w:val="22"/>
        </w:rPr>
      </w:pPr>
      <w:r w:rsidRPr="00B9255C">
        <w:rPr>
          <w:rFonts w:cs="Arial"/>
          <w:i/>
          <w:iCs/>
          <w:sz w:val="22"/>
          <w:szCs w:val="22"/>
        </w:rPr>
        <w:t xml:space="preserve"> Es preciso establecer ¿cuáles son </w:t>
      </w:r>
      <w:proofErr w:type="gramStart"/>
      <w:r w:rsidRPr="00B9255C">
        <w:rPr>
          <w:rFonts w:cs="Arial"/>
          <w:i/>
          <w:iCs/>
          <w:sz w:val="22"/>
          <w:szCs w:val="22"/>
        </w:rPr>
        <w:t>los criterios a aplicar</w:t>
      </w:r>
      <w:proofErr w:type="gramEnd"/>
      <w:r w:rsidRPr="00B9255C">
        <w:rPr>
          <w:rFonts w:cs="Arial"/>
          <w:i/>
          <w:iCs/>
          <w:sz w:val="22"/>
          <w:szCs w:val="22"/>
        </w:rPr>
        <w:t xml:space="preserve"> para las compensaciones en mención?</w:t>
      </w:r>
      <w:r w:rsidR="00B9255C" w:rsidRPr="00B9255C">
        <w:rPr>
          <w:rFonts w:cs="Arial"/>
          <w:i/>
          <w:iCs/>
          <w:sz w:val="22"/>
          <w:szCs w:val="22"/>
        </w:rPr>
        <w:t>”</w:t>
      </w:r>
    </w:p>
    <w:p w14:paraId="41941166" w14:textId="77777777" w:rsidR="00B9255C" w:rsidRDefault="00B9255C" w:rsidP="00A675FD">
      <w:pPr>
        <w:rPr>
          <w:rFonts w:cs="Arial"/>
          <w:sz w:val="22"/>
          <w:szCs w:val="22"/>
        </w:rPr>
      </w:pPr>
    </w:p>
    <w:p w14:paraId="6B1E16B9" w14:textId="77777777" w:rsidR="00B9255C" w:rsidRPr="00B9255C" w:rsidRDefault="00B9255C" w:rsidP="00A675FD">
      <w:pPr>
        <w:rPr>
          <w:rFonts w:cs="Arial"/>
          <w:b/>
          <w:bCs/>
          <w:sz w:val="22"/>
          <w:szCs w:val="22"/>
        </w:rPr>
      </w:pPr>
      <w:r w:rsidRPr="00B9255C">
        <w:rPr>
          <w:rFonts w:cs="Arial"/>
          <w:b/>
          <w:bCs/>
          <w:sz w:val="22"/>
          <w:szCs w:val="22"/>
        </w:rPr>
        <w:t>Respuesta:</w:t>
      </w:r>
    </w:p>
    <w:p w14:paraId="3E9CEFEE" w14:textId="77777777" w:rsidR="00B9255C" w:rsidRDefault="00B9255C" w:rsidP="00A675FD">
      <w:pPr>
        <w:rPr>
          <w:rFonts w:cs="Arial"/>
          <w:sz w:val="22"/>
          <w:szCs w:val="22"/>
        </w:rPr>
      </w:pPr>
    </w:p>
    <w:p w14:paraId="677916BB" w14:textId="1FDE79A5" w:rsidR="00B9255C" w:rsidRDefault="00B9255C" w:rsidP="00A675FD">
      <w:pPr>
        <w:rPr>
          <w:rFonts w:cs="Arial"/>
          <w:sz w:val="22"/>
          <w:szCs w:val="22"/>
        </w:rPr>
      </w:pPr>
      <w:r>
        <w:rPr>
          <w:rFonts w:cs="Arial"/>
          <w:sz w:val="22"/>
          <w:szCs w:val="22"/>
        </w:rPr>
        <w:t xml:space="preserve">Ver respuesta </w:t>
      </w:r>
      <w:r w:rsidR="00303543">
        <w:rPr>
          <w:rFonts w:cs="Arial"/>
          <w:sz w:val="22"/>
          <w:szCs w:val="22"/>
        </w:rPr>
        <w:t xml:space="preserve">a </w:t>
      </w:r>
      <w:r w:rsidR="00303543">
        <w:rPr>
          <w:rFonts w:cs="Arial"/>
          <w:sz w:val="22"/>
          <w:szCs w:val="22"/>
        </w:rPr>
        <w:fldChar w:fldCharType="begin"/>
      </w:r>
      <w:r w:rsidR="00303543">
        <w:rPr>
          <w:rFonts w:cs="Arial"/>
          <w:sz w:val="22"/>
          <w:szCs w:val="22"/>
        </w:rPr>
        <w:instrText xml:space="preserve"> REF _Ref133400850 \r \h </w:instrText>
      </w:r>
      <w:r w:rsidR="00303543">
        <w:rPr>
          <w:rFonts w:cs="Arial"/>
          <w:sz w:val="22"/>
          <w:szCs w:val="22"/>
        </w:rPr>
      </w:r>
      <w:r w:rsidR="00303543">
        <w:rPr>
          <w:rFonts w:cs="Arial"/>
          <w:sz w:val="22"/>
          <w:szCs w:val="22"/>
        </w:rPr>
        <w:fldChar w:fldCharType="separate"/>
      </w:r>
      <w:r w:rsidR="00303543">
        <w:rPr>
          <w:rFonts w:cs="Arial"/>
          <w:sz w:val="22"/>
          <w:szCs w:val="22"/>
        </w:rPr>
        <w:t>18.6.1.1</w:t>
      </w:r>
      <w:r w:rsidR="00303543">
        <w:rPr>
          <w:rFonts w:cs="Arial"/>
          <w:sz w:val="22"/>
          <w:szCs w:val="22"/>
        </w:rPr>
        <w:fldChar w:fldCharType="end"/>
      </w:r>
      <w:r w:rsidR="00303543">
        <w:rPr>
          <w:rFonts w:cs="Arial"/>
          <w:sz w:val="22"/>
          <w:szCs w:val="22"/>
        </w:rPr>
        <w:t xml:space="preserve">. </w:t>
      </w:r>
    </w:p>
    <w:p w14:paraId="14DF3246" w14:textId="77777777" w:rsidR="00303543" w:rsidRDefault="00303543" w:rsidP="00A675FD">
      <w:pPr>
        <w:rPr>
          <w:rFonts w:cs="Arial"/>
          <w:sz w:val="22"/>
          <w:szCs w:val="22"/>
        </w:rPr>
      </w:pPr>
    </w:p>
    <w:p w14:paraId="5FE3C56C" w14:textId="25F0C0F1" w:rsidR="00303543" w:rsidRDefault="00303543" w:rsidP="00A675FD">
      <w:pPr>
        <w:rPr>
          <w:rFonts w:cs="Arial"/>
          <w:sz w:val="22"/>
          <w:szCs w:val="22"/>
        </w:rPr>
      </w:pPr>
      <w:r>
        <w:rPr>
          <w:rFonts w:cs="Arial"/>
          <w:sz w:val="22"/>
          <w:szCs w:val="22"/>
        </w:rPr>
        <w:t xml:space="preserve">En la nueva propuesta se incluye una condición que se aplica </w:t>
      </w:r>
      <w:r w:rsidR="0086318A">
        <w:rPr>
          <w:rFonts w:cs="Arial"/>
          <w:sz w:val="22"/>
          <w:szCs w:val="22"/>
        </w:rPr>
        <w:t xml:space="preserve">a los campos en </w:t>
      </w:r>
      <w:r w:rsidR="00F86D41">
        <w:rPr>
          <w:rFonts w:cs="Arial"/>
          <w:sz w:val="22"/>
          <w:szCs w:val="22"/>
        </w:rPr>
        <w:t xml:space="preserve">pruebas </w:t>
      </w:r>
      <w:r w:rsidR="0086318A">
        <w:rPr>
          <w:rFonts w:cs="Arial"/>
          <w:sz w:val="22"/>
          <w:szCs w:val="22"/>
        </w:rPr>
        <w:t xml:space="preserve">o sin declaración de comercialidad, en el sentido de que </w:t>
      </w:r>
      <w:r w:rsidR="0086318A" w:rsidRPr="0086318A">
        <w:rPr>
          <w:rFonts w:cs="Arial"/>
          <w:sz w:val="22"/>
          <w:szCs w:val="22"/>
        </w:rPr>
        <w:t xml:space="preserve">los contratos a registrar ante el Gestor del Mercado sobre estas fuentes deben corresponder a alguna de las modalidades establecidas </w:t>
      </w:r>
      <w:r w:rsidR="0086318A">
        <w:rPr>
          <w:rFonts w:cs="Arial"/>
          <w:sz w:val="22"/>
          <w:szCs w:val="22"/>
        </w:rPr>
        <w:t>por la CREG en la</w:t>
      </w:r>
      <w:r w:rsidR="0086318A" w:rsidRPr="0086318A">
        <w:rPr>
          <w:rFonts w:cs="Arial"/>
          <w:sz w:val="22"/>
          <w:szCs w:val="22"/>
        </w:rPr>
        <w:t xml:space="preserve"> resolución, que requieren Respaldo Físico y deberán sujetarse a lo establecido en el Capítulo </w:t>
      </w:r>
      <w:r w:rsidR="0086318A">
        <w:rPr>
          <w:rFonts w:cs="Arial"/>
          <w:sz w:val="22"/>
          <w:szCs w:val="22"/>
        </w:rPr>
        <w:t>d</w:t>
      </w:r>
      <w:r w:rsidR="0086318A" w:rsidRPr="0086318A">
        <w:rPr>
          <w:rFonts w:cs="Arial"/>
          <w:sz w:val="22"/>
          <w:szCs w:val="22"/>
        </w:rPr>
        <w:t>e Requisitos Mínimos de los contratos de suministro.</w:t>
      </w:r>
      <w:r>
        <w:rPr>
          <w:rFonts w:cs="Arial"/>
          <w:sz w:val="22"/>
          <w:szCs w:val="22"/>
        </w:rPr>
        <w:t xml:space="preserve">  </w:t>
      </w:r>
    </w:p>
    <w:p w14:paraId="3FE32D7D" w14:textId="106CD060" w:rsidR="00A675FD" w:rsidRPr="00A675FD" w:rsidRDefault="00A675FD" w:rsidP="00A675FD">
      <w:pPr>
        <w:rPr>
          <w:rFonts w:cs="Arial"/>
          <w:sz w:val="22"/>
          <w:szCs w:val="22"/>
        </w:rPr>
      </w:pPr>
    </w:p>
    <w:p w14:paraId="3CF97D1B" w14:textId="77777777" w:rsidR="00A675FD" w:rsidRDefault="00A675FD" w:rsidP="00A675FD">
      <w:pPr>
        <w:rPr>
          <w:rFonts w:cs="Arial"/>
          <w:sz w:val="22"/>
          <w:szCs w:val="22"/>
        </w:rPr>
      </w:pPr>
    </w:p>
    <w:p w14:paraId="451A177F" w14:textId="77777777" w:rsidR="00A675FD" w:rsidRDefault="00A675FD" w:rsidP="00A675FD">
      <w:pPr>
        <w:pStyle w:val="Ttulo4"/>
      </w:pPr>
      <w:r w:rsidRPr="00A675FD">
        <w:t>TEBSA</w:t>
      </w:r>
      <w:r w:rsidRPr="00A675FD">
        <w:tab/>
      </w:r>
    </w:p>
    <w:p w14:paraId="0954DDB2" w14:textId="4A4145A8" w:rsidR="00A675FD" w:rsidRPr="0086318A" w:rsidRDefault="00A675FD" w:rsidP="00A675FD">
      <w:pPr>
        <w:rPr>
          <w:rFonts w:cs="Arial"/>
          <w:i/>
          <w:iCs/>
          <w:sz w:val="22"/>
          <w:szCs w:val="22"/>
        </w:rPr>
      </w:pPr>
      <w:r w:rsidRPr="00A675FD">
        <w:rPr>
          <w:rFonts w:cs="Arial"/>
          <w:sz w:val="22"/>
          <w:szCs w:val="22"/>
        </w:rPr>
        <w:t>"</w:t>
      </w:r>
      <w:r w:rsidRPr="0086318A">
        <w:rPr>
          <w:rFonts w:cs="Arial"/>
          <w:i/>
          <w:iCs/>
          <w:sz w:val="22"/>
          <w:szCs w:val="22"/>
        </w:rPr>
        <w:t xml:space="preserve">Consideramos que podría vulnerarse el sentido de los contratos con interrupciones debido al siguiente planteamiento: </w:t>
      </w:r>
    </w:p>
    <w:p w14:paraId="17C99B81" w14:textId="77777777" w:rsidR="00A675FD" w:rsidRPr="0086318A" w:rsidRDefault="00A675FD" w:rsidP="00A675FD">
      <w:pPr>
        <w:rPr>
          <w:rFonts w:cs="Arial"/>
          <w:i/>
          <w:iCs/>
          <w:sz w:val="22"/>
          <w:szCs w:val="22"/>
        </w:rPr>
      </w:pPr>
    </w:p>
    <w:p w14:paraId="19ACA467" w14:textId="5DF1DC82" w:rsidR="00A675FD" w:rsidRPr="0086318A" w:rsidRDefault="00A675FD" w:rsidP="00A675FD">
      <w:pPr>
        <w:rPr>
          <w:rFonts w:cs="Arial"/>
          <w:i/>
          <w:iCs/>
          <w:sz w:val="22"/>
          <w:szCs w:val="22"/>
        </w:rPr>
      </w:pPr>
      <w:r w:rsidRPr="0086318A">
        <w:rPr>
          <w:rFonts w:cs="Arial"/>
          <w:i/>
          <w:iCs/>
          <w:sz w:val="22"/>
          <w:szCs w:val="22"/>
        </w:rPr>
        <w:t xml:space="preserve"> Una vez confirmado el programa de transporte (surtido el proceso de Nominación de S y T) dicha cantidad no podrá ser </w:t>
      </w:r>
      <w:proofErr w:type="spellStart"/>
      <w:r w:rsidRPr="0086318A">
        <w:rPr>
          <w:rFonts w:cs="Arial"/>
          <w:i/>
          <w:iCs/>
          <w:sz w:val="22"/>
          <w:szCs w:val="22"/>
        </w:rPr>
        <w:t>renominada</w:t>
      </w:r>
      <w:proofErr w:type="spellEnd"/>
      <w:r w:rsidRPr="0086318A">
        <w:rPr>
          <w:rFonts w:cs="Arial"/>
          <w:i/>
          <w:iCs/>
          <w:sz w:val="22"/>
          <w:szCs w:val="22"/>
        </w:rPr>
        <w:t xml:space="preserve"> por los compradores del Mercado Primario. Se exceptúan de esta disposición los usuarios no regulados del sector termoeléctrico del Mercado Primario que la requieran para generación eléctrica.  </w:t>
      </w:r>
    </w:p>
    <w:p w14:paraId="0F2BC3EF" w14:textId="77777777" w:rsidR="00A675FD" w:rsidRPr="0086318A" w:rsidRDefault="00A675FD" w:rsidP="00A675FD">
      <w:pPr>
        <w:rPr>
          <w:rFonts w:cs="Arial"/>
          <w:i/>
          <w:iCs/>
          <w:sz w:val="22"/>
          <w:szCs w:val="22"/>
        </w:rPr>
      </w:pPr>
    </w:p>
    <w:p w14:paraId="0188395C" w14:textId="213D5949" w:rsidR="00A675FD" w:rsidRPr="0086318A" w:rsidRDefault="00A675FD" w:rsidP="00A675FD">
      <w:pPr>
        <w:rPr>
          <w:rFonts w:cs="Arial"/>
          <w:i/>
          <w:iCs/>
          <w:sz w:val="22"/>
          <w:szCs w:val="22"/>
        </w:rPr>
      </w:pPr>
      <w:r w:rsidRPr="0086318A">
        <w:rPr>
          <w:rFonts w:cs="Arial"/>
          <w:i/>
          <w:iCs/>
          <w:sz w:val="22"/>
          <w:szCs w:val="22"/>
        </w:rPr>
        <w:t xml:space="preserve">Si bien, por la naturaleza misma de estos contratos, son sujetos a </w:t>
      </w:r>
      <w:proofErr w:type="spellStart"/>
      <w:r w:rsidRPr="0086318A">
        <w:rPr>
          <w:rFonts w:cs="Arial"/>
          <w:i/>
          <w:iCs/>
          <w:sz w:val="22"/>
          <w:szCs w:val="22"/>
        </w:rPr>
        <w:t>renominaciones</w:t>
      </w:r>
      <w:proofErr w:type="spellEnd"/>
      <w:r w:rsidRPr="0086318A">
        <w:rPr>
          <w:rFonts w:cs="Arial"/>
          <w:i/>
          <w:iCs/>
          <w:sz w:val="22"/>
          <w:szCs w:val="22"/>
        </w:rPr>
        <w:t xml:space="preserve">, estos contratos se vuelven firmes cuando ya no son objeto de </w:t>
      </w:r>
      <w:proofErr w:type="spellStart"/>
      <w:r w:rsidRPr="0086318A">
        <w:rPr>
          <w:rFonts w:cs="Arial"/>
          <w:i/>
          <w:iCs/>
          <w:sz w:val="22"/>
          <w:szCs w:val="22"/>
        </w:rPr>
        <w:t>renominaciones</w:t>
      </w:r>
      <w:proofErr w:type="spellEnd"/>
      <w:r w:rsidRPr="0086318A">
        <w:rPr>
          <w:rFonts w:cs="Arial"/>
          <w:i/>
          <w:iCs/>
          <w:sz w:val="22"/>
          <w:szCs w:val="22"/>
        </w:rPr>
        <w:t xml:space="preserve">, es decir, cuando por los tiempos de gas, operativamente no es posible reversar la operación posterior a la aceptación comercial. </w:t>
      </w:r>
    </w:p>
    <w:p w14:paraId="54C59AF3" w14:textId="77777777" w:rsidR="00A675FD" w:rsidRDefault="00A675FD" w:rsidP="00A675FD">
      <w:pPr>
        <w:rPr>
          <w:rFonts w:cs="Arial"/>
          <w:i/>
          <w:iCs/>
          <w:sz w:val="22"/>
          <w:szCs w:val="22"/>
        </w:rPr>
      </w:pPr>
    </w:p>
    <w:p w14:paraId="231919BD" w14:textId="29C09C40" w:rsidR="00E573C9" w:rsidRPr="00E573C9" w:rsidRDefault="00E573C9" w:rsidP="00A675FD">
      <w:pPr>
        <w:rPr>
          <w:rFonts w:cs="Arial"/>
          <w:b/>
          <w:bCs/>
          <w:sz w:val="22"/>
          <w:szCs w:val="22"/>
        </w:rPr>
      </w:pPr>
      <w:r w:rsidRPr="00E573C9">
        <w:rPr>
          <w:rFonts w:cs="Arial"/>
          <w:b/>
          <w:bCs/>
          <w:sz w:val="22"/>
          <w:szCs w:val="22"/>
        </w:rPr>
        <w:t>Respuesta:</w:t>
      </w:r>
    </w:p>
    <w:p w14:paraId="229838BE" w14:textId="77777777" w:rsidR="00E573C9" w:rsidRDefault="00E573C9" w:rsidP="00A675FD">
      <w:pPr>
        <w:rPr>
          <w:rFonts w:cs="Arial"/>
          <w:i/>
          <w:iCs/>
          <w:sz w:val="22"/>
          <w:szCs w:val="22"/>
        </w:rPr>
      </w:pPr>
    </w:p>
    <w:p w14:paraId="6A2DE083" w14:textId="328706FF" w:rsidR="00E573C9" w:rsidRDefault="00E573C9" w:rsidP="00A675FD">
      <w:pPr>
        <w:rPr>
          <w:rFonts w:cs="Arial"/>
          <w:sz w:val="22"/>
          <w:szCs w:val="22"/>
        </w:rPr>
      </w:pPr>
      <w:r w:rsidRPr="00E573C9">
        <w:rPr>
          <w:rFonts w:cs="Arial"/>
          <w:sz w:val="22"/>
          <w:szCs w:val="22"/>
        </w:rPr>
        <w:t xml:space="preserve">El tipo de contrato o modalidad de contrato es uno solo, no cambia por efectos de la operación diaria del sistema. </w:t>
      </w:r>
      <w:r>
        <w:rPr>
          <w:rFonts w:cs="Arial"/>
          <w:sz w:val="22"/>
          <w:szCs w:val="22"/>
        </w:rPr>
        <w:t>En ese sentido el contrato con interrupciones no se vuelve un contrato de tipo firme en ningún momento. El contrato de tipo firme establece el derecho</w:t>
      </w:r>
      <w:r w:rsidR="004D2D12">
        <w:rPr>
          <w:rFonts w:cs="Arial"/>
          <w:sz w:val="22"/>
          <w:szCs w:val="22"/>
        </w:rPr>
        <w:t xml:space="preserve"> al comprador </w:t>
      </w:r>
      <w:r>
        <w:rPr>
          <w:rFonts w:cs="Arial"/>
          <w:sz w:val="22"/>
          <w:szCs w:val="22"/>
        </w:rPr>
        <w:t xml:space="preserve">de nominar una cantidad máxima diaria de gas natural, y que el vendedor </w:t>
      </w:r>
      <w:r w:rsidR="004D2D12">
        <w:rPr>
          <w:rFonts w:cs="Arial"/>
          <w:sz w:val="22"/>
          <w:szCs w:val="22"/>
        </w:rPr>
        <w:t>autorice y entregue la cantidad nominada y de pagar la compensación en caso de que no le cumpla al comprador ni con la cantidad autorizada ni con la cantidad entregada.</w:t>
      </w:r>
    </w:p>
    <w:p w14:paraId="6461384E" w14:textId="77777777" w:rsidR="004D2D12" w:rsidRDefault="004D2D12" w:rsidP="00A675FD">
      <w:pPr>
        <w:rPr>
          <w:rFonts w:cs="Arial"/>
          <w:sz w:val="22"/>
          <w:szCs w:val="22"/>
        </w:rPr>
      </w:pPr>
    </w:p>
    <w:p w14:paraId="7734E953" w14:textId="57FBB7BF" w:rsidR="004D2D12" w:rsidRPr="00E573C9" w:rsidRDefault="004D2D12" w:rsidP="00A675FD">
      <w:pPr>
        <w:rPr>
          <w:rFonts w:cs="Arial"/>
          <w:sz w:val="22"/>
          <w:szCs w:val="22"/>
        </w:rPr>
      </w:pPr>
      <w:r>
        <w:rPr>
          <w:rFonts w:cs="Arial"/>
          <w:sz w:val="22"/>
          <w:szCs w:val="22"/>
        </w:rPr>
        <w:t>Por ello actualmente se encuentra establecido en la regulación vigente un procedimiento de ejecución del contrato con interrupciones</w:t>
      </w:r>
      <w:r w:rsidR="009233B9">
        <w:rPr>
          <w:rFonts w:cs="Arial"/>
          <w:sz w:val="22"/>
          <w:szCs w:val="22"/>
        </w:rPr>
        <w:t xml:space="preserve"> que resultó de negociación directa, que se mantiene en la nueva propuesta.</w:t>
      </w:r>
      <w:r>
        <w:rPr>
          <w:rFonts w:cs="Arial"/>
          <w:sz w:val="22"/>
          <w:szCs w:val="22"/>
        </w:rPr>
        <w:t xml:space="preserve"> </w:t>
      </w:r>
    </w:p>
    <w:p w14:paraId="5D80034C" w14:textId="77777777" w:rsidR="00E573C9" w:rsidRDefault="00E573C9" w:rsidP="00A675FD">
      <w:pPr>
        <w:rPr>
          <w:rFonts w:cs="Arial"/>
          <w:i/>
          <w:iCs/>
          <w:sz w:val="22"/>
          <w:szCs w:val="22"/>
        </w:rPr>
      </w:pPr>
    </w:p>
    <w:p w14:paraId="376E1206" w14:textId="77777777" w:rsidR="00E573C9" w:rsidRDefault="00E573C9" w:rsidP="00A675FD">
      <w:pPr>
        <w:rPr>
          <w:rFonts w:cs="Arial"/>
          <w:i/>
          <w:iCs/>
          <w:sz w:val="22"/>
          <w:szCs w:val="22"/>
        </w:rPr>
      </w:pPr>
    </w:p>
    <w:p w14:paraId="7D64DB48" w14:textId="77777777" w:rsidR="00E573C9" w:rsidRDefault="00E573C9" w:rsidP="00E573C9">
      <w:pPr>
        <w:pStyle w:val="Ttulo4"/>
      </w:pPr>
      <w:r w:rsidRPr="00A675FD">
        <w:t>TEBSA</w:t>
      </w:r>
      <w:r w:rsidRPr="00A675FD">
        <w:tab/>
      </w:r>
    </w:p>
    <w:p w14:paraId="3BD62E06" w14:textId="3EBF74F1" w:rsidR="00A675FD" w:rsidRPr="0086318A" w:rsidRDefault="00834396" w:rsidP="00A675FD">
      <w:pPr>
        <w:rPr>
          <w:rFonts w:cs="Arial"/>
          <w:i/>
          <w:iCs/>
          <w:sz w:val="22"/>
          <w:szCs w:val="22"/>
        </w:rPr>
      </w:pPr>
      <w:r>
        <w:rPr>
          <w:rFonts w:cs="Arial"/>
          <w:i/>
          <w:iCs/>
          <w:sz w:val="22"/>
          <w:szCs w:val="22"/>
        </w:rPr>
        <w:t>“</w:t>
      </w:r>
      <w:r w:rsidR="00A675FD" w:rsidRPr="0086318A">
        <w:rPr>
          <w:rFonts w:cs="Arial"/>
          <w:i/>
          <w:iCs/>
          <w:sz w:val="22"/>
          <w:szCs w:val="22"/>
        </w:rPr>
        <w:t xml:space="preserve">En el documento soporte se menciona que: </w:t>
      </w:r>
    </w:p>
    <w:p w14:paraId="22B07C8A" w14:textId="77777777" w:rsidR="00A675FD" w:rsidRPr="0086318A" w:rsidRDefault="00A675FD" w:rsidP="00A675FD">
      <w:pPr>
        <w:rPr>
          <w:rFonts w:cs="Arial"/>
          <w:i/>
          <w:iCs/>
          <w:sz w:val="22"/>
          <w:szCs w:val="22"/>
        </w:rPr>
      </w:pPr>
    </w:p>
    <w:p w14:paraId="00E1B358" w14:textId="5237CC40" w:rsidR="00A675FD" w:rsidRPr="0086318A" w:rsidRDefault="00A675FD" w:rsidP="00A675FD">
      <w:pPr>
        <w:rPr>
          <w:rFonts w:cs="Arial"/>
          <w:i/>
          <w:iCs/>
          <w:sz w:val="22"/>
          <w:szCs w:val="22"/>
        </w:rPr>
      </w:pPr>
      <w:r w:rsidRPr="0086318A">
        <w:rPr>
          <w:rFonts w:cs="Arial"/>
          <w:i/>
          <w:iCs/>
          <w:sz w:val="22"/>
          <w:szCs w:val="22"/>
        </w:rPr>
        <w:t xml:space="preserve"> Los vendedores del Mercado Primario podrán suscribir contratos con interrupciones que podrán superar el PP (máx. 50% de PTDV declarada al Ministerio para dicha fuente, y hasta en un 20% el valor de las cantidades contratadas con Respaldo Físico). Para la atención de dichos contratos se deberán tener en cuenta obligaciones que se establecen al respecto. </w:t>
      </w:r>
    </w:p>
    <w:p w14:paraId="6DA9DCF4" w14:textId="77777777" w:rsidR="00A675FD" w:rsidRPr="0086318A" w:rsidRDefault="00A675FD" w:rsidP="00A675FD">
      <w:pPr>
        <w:rPr>
          <w:rFonts w:cs="Arial"/>
          <w:i/>
          <w:iCs/>
          <w:sz w:val="22"/>
          <w:szCs w:val="22"/>
        </w:rPr>
      </w:pPr>
    </w:p>
    <w:p w14:paraId="288E805E" w14:textId="77777777" w:rsidR="00A675FD" w:rsidRPr="0086318A" w:rsidRDefault="00A675FD" w:rsidP="00A675FD">
      <w:pPr>
        <w:rPr>
          <w:rFonts w:cs="Arial"/>
          <w:i/>
          <w:iCs/>
          <w:sz w:val="22"/>
          <w:szCs w:val="22"/>
        </w:rPr>
      </w:pPr>
      <w:r w:rsidRPr="0086318A">
        <w:rPr>
          <w:rFonts w:cs="Arial"/>
          <w:i/>
          <w:iCs/>
          <w:sz w:val="22"/>
          <w:szCs w:val="22"/>
        </w:rPr>
        <w:t xml:space="preserve">Frente a lo anterior, estamos de acuerdo en que los contratos con interrupciones no requieren respaldo físico, sin embargo, la propuesta ignora que la PTDV se declara por campo independientemente del productor. Sin embargo, son los productores quienes comercializan la PTDV con lo cual podría incurrirse en duplicidad de comercialización de capacidad de transacciones y se permite vender cantidades que no tiene disponible debido a que corresponden a otro productor. </w:t>
      </w:r>
    </w:p>
    <w:p w14:paraId="7DDF6199" w14:textId="77777777" w:rsidR="00A675FD" w:rsidRPr="0086318A" w:rsidRDefault="00A675FD" w:rsidP="00A675FD">
      <w:pPr>
        <w:rPr>
          <w:rFonts w:cs="Arial"/>
          <w:i/>
          <w:iCs/>
          <w:sz w:val="22"/>
          <w:szCs w:val="22"/>
        </w:rPr>
      </w:pPr>
    </w:p>
    <w:p w14:paraId="7DB02769" w14:textId="77777777" w:rsidR="00A675FD" w:rsidRPr="0086318A" w:rsidRDefault="00A675FD" w:rsidP="00A675FD">
      <w:pPr>
        <w:rPr>
          <w:rFonts w:cs="Arial"/>
          <w:i/>
          <w:iCs/>
          <w:sz w:val="22"/>
          <w:szCs w:val="22"/>
        </w:rPr>
      </w:pPr>
      <w:r w:rsidRPr="0086318A">
        <w:rPr>
          <w:rFonts w:cs="Arial"/>
          <w:i/>
          <w:iCs/>
          <w:sz w:val="22"/>
          <w:szCs w:val="22"/>
        </w:rPr>
        <w:t xml:space="preserve">A fin de mitigar esta situación, consideramos pertinente que se establezcan los criterios de asignación y declaración de estas cantidades. </w:t>
      </w:r>
    </w:p>
    <w:p w14:paraId="69E4D8A9" w14:textId="77777777" w:rsidR="00A675FD" w:rsidRPr="0086318A" w:rsidRDefault="00A675FD" w:rsidP="00A675FD">
      <w:pPr>
        <w:rPr>
          <w:rFonts w:cs="Arial"/>
          <w:i/>
          <w:iCs/>
          <w:sz w:val="22"/>
          <w:szCs w:val="22"/>
        </w:rPr>
      </w:pPr>
    </w:p>
    <w:p w14:paraId="0B58AC6E" w14:textId="20269B85" w:rsidR="00A675FD" w:rsidRDefault="00A675FD" w:rsidP="00A675FD">
      <w:pPr>
        <w:rPr>
          <w:rFonts w:cs="Arial"/>
          <w:sz w:val="22"/>
          <w:szCs w:val="22"/>
        </w:rPr>
      </w:pPr>
      <w:r w:rsidRPr="0086318A">
        <w:rPr>
          <w:rFonts w:cs="Arial"/>
          <w:i/>
          <w:iCs/>
          <w:sz w:val="22"/>
          <w:szCs w:val="22"/>
        </w:rPr>
        <w:t>Adicionalmente, la PTDV se declara de manera mensual y la contratación es anual. Consideramos pertinente definir cómo se determinará la PTDV a considerar en las negociaciones anuales.</w:t>
      </w:r>
      <w:r w:rsidR="00834396">
        <w:rPr>
          <w:rFonts w:cs="Arial"/>
          <w:sz w:val="22"/>
          <w:szCs w:val="22"/>
        </w:rPr>
        <w:t>”</w:t>
      </w:r>
    </w:p>
    <w:p w14:paraId="1C90029B" w14:textId="77777777" w:rsidR="0086318A" w:rsidRDefault="0086318A" w:rsidP="00A675FD">
      <w:pPr>
        <w:rPr>
          <w:rFonts w:cs="Arial"/>
          <w:sz w:val="22"/>
          <w:szCs w:val="22"/>
        </w:rPr>
      </w:pPr>
    </w:p>
    <w:p w14:paraId="0CE56E2C" w14:textId="30402BDA" w:rsidR="0086318A" w:rsidRPr="0086318A" w:rsidRDefault="0086318A" w:rsidP="00A675FD">
      <w:pPr>
        <w:rPr>
          <w:rFonts w:cs="Arial"/>
          <w:b/>
          <w:bCs/>
          <w:sz w:val="22"/>
          <w:szCs w:val="22"/>
        </w:rPr>
      </w:pPr>
      <w:r w:rsidRPr="0086318A">
        <w:rPr>
          <w:rFonts w:cs="Arial"/>
          <w:b/>
          <w:bCs/>
          <w:sz w:val="22"/>
          <w:szCs w:val="22"/>
        </w:rPr>
        <w:t>Respuesta:</w:t>
      </w:r>
    </w:p>
    <w:p w14:paraId="116DF65A" w14:textId="77777777" w:rsidR="0086318A" w:rsidRDefault="0086318A" w:rsidP="00A675FD">
      <w:pPr>
        <w:rPr>
          <w:rFonts w:cs="Arial"/>
          <w:sz w:val="22"/>
          <w:szCs w:val="22"/>
        </w:rPr>
      </w:pPr>
    </w:p>
    <w:p w14:paraId="41264313" w14:textId="76A6F1BA" w:rsidR="0086318A" w:rsidRDefault="00340444" w:rsidP="00A675FD">
      <w:pPr>
        <w:rPr>
          <w:rFonts w:cs="Arial"/>
          <w:sz w:val="22"/>
          <w:szCs w:val="22"/>
        </w:rPr>
      </w:pPr>
      <w:r>
        <w:rPr>
          <w:rFonts w:cs="Arial"/>
          <w:sz w:val="22"/>
          <w:szCs w:val="22"/>
        </w:rPr>
        <w:t>Se acoge el comentario.</w:t>
      </w:r>
    </w:p>
    <w:p w14:paraId="438229A4" w14:textId="77777777" w:rsidR="00340444" w:rsidRDefault="00340444" w:rsidP="00A675FD">
      <w:pPr>
        <w:rPr>
          <w:rFonts w:cs="Arial"/>
          <w:sz w:val="22"/>
          <w:szCs w:val="22"/>
        </w:rPr>
      </w:pPr>
    </w:p>
    <w:p w14:paraId="35802E5F" w14:textId="7DC38C5D" w:rsidR="00340444" w:rsidRDefault="00340444" w:rsidP="00A675FD">
      <w:pPr>
        <w:rPr>
          <w:rFonts w:cs="Arial"/>
          <w:sz w:val="22"/>
          <w:szCs w:val="22"/>
        </w:rPr>
      </w:pPr>
      <w:r>
        <w:rPr>
          <w:rFonts w:cs="Arial"/>
          <w:sz w:val="22"/>
          <w:szCs w:val="22"/>
        </w:rPr>
        <w:t>En la nueva propuesta se añade la precisión de que la PTDV se calcula para cada vendedor.</w:t>
      </w:r>
    </w:p>
    <w:p w14:paraId="05DBA955" w14:textId="77777777" w:rsidR="00340444" w:rsidRDefault="00340444" w:rsidP="00A675FD">
      <w:pPr>
        <w:rPr>
          <w:rFonts w:cs="Arial"/>
          <w:sz w:val="22"/>
          <w:szCs w:val="22"/>
        </w:rPr>
      </w:pPr>
    </w:p>
    <w:p w14:paraId="14EA449B" w14:textId="4D166073" w:rsidR="00340444" w:rsidRDefault="00340444" w:rsidP="00A675FD">
      <w:pPr>
        <w:rPr>
          <w:rFonts w:cs="Arial"/>
          <w:sz w:val="22"/>
          <w:szCs w:val="22"/>
        </w:rPr>
      </w:pPr>
      <w:r>
        <w:rPr>
          <w:rFonts w:cs="Arial"/>
          <w:sz w:val="22"/>
          <w:szCs w:val="22"/>
        </w:rPr>
        <w:t>Para cualquier contrato de suministro se establece la obligación de identificar las fuentes de suministro y sus cantidades para cada mes de ejecución del contrato. En cada uno de los meses de ejecución contractual, se deben cumplir los topes establecidos.</w:t>
      </w:r>
    </w:p>
    <w:p w14:paraId="076381F4" w14:textId="77777777" w:rsidR="009233B9" w:rsidRPr="00A675FD" w:rsidRDefault="009233B9" w:rsidP="00A675FD">
      <w:pPr>
        <w:rPr>
          <w:rFonts w:cs="Arial"/>
          <w:sz w:val="22"/>
          <w:szCs w:val="22"/>
        </w:rPr>
      </w:pPr>
    </w:p>
    <w:p w14:paraId="0EDD8C00" w14:textId="77777777" w:rsidR="00A675FD" w:rsidRDefault="00A675FD" w:rsidP="00A675FD">
      <w:pPr>
        <w:rPr>
          <w:rFonts w:cs="Arial"/>
          <w:sz w:val="22"/>
          <w:szCs w:val="22"/>
        </w:rPr>
      </w:pPr>
    </w:p>
    <w:p w14:paraId="04858B80" w14:textId="77777777" w:rsidR="00A675FD" w:rsidRDefault="00A675FD" w:rsidP="00A675FD">
      <w:pPr>
        <w:pStyle w:val="Ttulo4"/>
      </w:pPr>
      <w:r w:rsidRPr="00A675FD">
        <w:t>TEBSA</w:t>
      </w:r>
      <w:r w:rsidRPr="00A675FD">
        <w:tab/>
      </w:r>
    </w:p>
    <w:p w14:paraId="63DBB40D" w14:textId="38391786" w:rsidR="00A675FD" w:rsidRPr="00340444" w:rsidRDefault="00834396" w:rsidP="00A675FD">
      <w:pPr>
        <w:rPr>
          <w:rFonts w:cs="Arial"/>
          <w:i/>
          <w:iCs/>
          <w:sz w:val="22"/>
          <w:szCs w:val="22"/>
        </w:rPr>
      </w:pPr>
      <w:r>
        <w:rPr>
          <w:rFonts w:cs="Arial"/>
          <w:i/>
          <w:iCs/>
          <w:sz w:val="22"/>
          <w:szCs w:val="22"/>
        </w:rPr>
        <w:t>“</w:t>
      </w:r>
      <w:r w:rsidR="00A675FD" w:rsidRPr="00340444">
        <w:rPr>
          <w:rFonts w:cs="Arial"/>
          <w:i/>
          <w:iCs/>
          <w:sz w:val="22"/>
          <w:szCs w:val="22"/>
        </w:rPr>
        <w:t>Consideramos que el inconveniente no es el tipo de contrato realizado en las subastas con interrupciones sino las cantidades que se transan en ellos que no son comparables a las transadas en el mercado secundario por tratarse de mercados diferentes con objetivos diferentes.</w:t>
      </w:r>
      <w:r>
        <w:rPr>
          <w:rFonts w:cs="Arial"/>
          <w:i/>
          <w:iCs/>
          <w:sz w:val="22"/>
          <w:szCs w:val="22"/>
        </w:rPr>
        <w:t>”</w:t>
      </w:r>
    </w:p>
    <w:p w14:paraId="16A1AB95" w14:textId="77777777" w:rsidR="00340444" w:rsidRDefault="00340444" w:rsidP="00A675FD">
      <w:pPr>
        <w:rPr>
          <w:rFonts w:cs="Arial"/>
          <w:sz w:val="22"/>
          <w:szCs w:val="22"/>
        </w:rPr>
      </w:pPr>
    </w:p>
    <w:p w14:paraId="62407582" w14:textId="62F27A6D" w:rsidR="00340444" w:rsidRPr="00340444" w:rsidRDefault="00340444" w:rsidP="00A675FD">
      <w:pPr>
        <w:rPr>
          <w:rFonts w:cs="Arial"/>
          <w:b/>
          <w:bCs/>
          <w:sz w:val="22"/>
          <w:szCs w:val="22"/>
        </w:rPr>
      </w:pPr>
      <w:r w:rsidRPr="00340444">
        <w:rPr>
          <w:rFonts w:cs="Arial"/>
          <w:b/>
          <w:bCs/>
          <w:sz w:val="22"/>
          <w:szCs w:val="22"/>
        </w:rPr>
        <w:t>Respuesta:</w:t>
      </w:r>
    </w:p>
    <w:p w14:paraId="08A343A2" w14:textId="77777777" w:rsidR="00340444" w:rsidRDefault="00340444" w:rsidP="00A675FD">
      <w:pPr>
        <w:rPr>
          <w:rFonts w:cs="Arial"/>
          <w:sz w:val="22"/>
          <w:szCs w:val="22"/>
        </w:rPr>
      </w:pPr>
    </w:p>
    <w:p w14:paraId="426793E5" w14:textId="60A231CE" w:rsidR="00340444" w:rsidRDefault="00AC1645" w:rsidP="00A675FD">
      <w:pPr>
        <w:rPr>
          <w:rFonts w:cs="Arial"/>
          <w:sz w:val="22"/>
          <w:szCs w:val="22"/>
        </w:rPr>
      </w:pPr>
      <w:r>
        <w:rPr>
          <w:rFonts w:cs="Arial"/>
          <w:sz w:val="22"/>
          <w:szCs w:val="22"/>
        </w:rPr>
        <w:t xml:space="preserve">Hay varias situaciones que pueden explicar la inefectividad de las subastas con interrupciones que se proponen eliminar, en particular después de los ajustes realizados en la Resolución CREG 021 de 2019. </w:t>
      </w:r>
      <w:r w:rsidR="00340444">
        <w:rPr>
          <w:rFonts w:cs="Arial"/>
          <w:sz w:val="22"/>
          <w:szCs w:val="22"/>
        </w:rPr>
        <w:t xml:space="preserve">La participación de un vendedor del Mercado Secundario en el esquema de subasta y a su vez pudiendo negociar directamente con el comprador, </w:t>
      </w:r>
      <w:r w:rsidR="001F06F9">
        <w:rPr>
          <w:rFonts w:cs="Arial"/>
          <w:sz w:val="22"/>
          <w:szCs w:val="22"/>
        </w:rPr>
        <w:t xml:space="preserve">la condición que hace que, como mínimo, el precio de reserva ofertado por el vendedor del Mercado Primario sea igual o superior al </w:t>
      </w:r>
      <w:r w:rsidR="001F06F9" w:rsidRPr="00C562BE">
        <w:rPr>
          <w:rFonts w:cs="Arial"/>
          <w:sz w:val="22"/>
          <w:szCs w:val="22"/>
        </w:rPr>
        <w:t>mayor de los precios de reserva declarados por todos los vendedores</w:t>
      </w:r>
      <w:r w:rsidR="001F06F9">
        <w:rPr>
          <w:rFonts w:cs="Arial"/>
          <w:sz w:val="22"/>
          <w:szCs w:val="22"/>
        </w:rPr>
        <w:t xml:space="preserve"> y el mismo modo de funcionamiento de la subasta de sobre cerrado, no incentivan una eficiencia en la comercialización de contratos con interrupciones de los vendedores del Mercado Primario.</w:t>
      </w:r>
    </w:p>
    <w:p w14:paraId="42ED9445" w14:textId="77777777" w:rsidR="00340444" w:rsidRDefault="00340444" w:rsidP="00A675FD">
      <w:pPr>
        <w:rPr>
          <w:rFonts w:cs="Arial"/>
          <w:sz w:val="22"/>
          <w:szCs w:val="22"/>
        </w:rPr>
      </w:pPr>
    </w:p>
    <w:p w14:paraId="3C62F73E" w14:textId="6CCB04F1" w:rsidR="00AC1645" w:rsidRDefault="00AC1645" w:rsidP="00A675FD">
      <w:pPr>
        <w:rPr>
          <w:rFonts w:cs="Arial"/>
          <w:sz w:val="22"/>
          <w:szCs w:val="22"/>
        </w:rPr>
      </w:pPr>
      <w:r>
        <w:rPr>
          <w:rFonts w:cs="Arial"/>
          <w:sz w:val="22"/>
          <w:szCs w:val="22"/>
        </w:rPr>
        <w:t xml:space="preserve">Adicionalmente, con las nuevas flexibilidades que se proponen en la contratación y </w:t>
      </w:r>
      <w:r w:rsidR="00621966">
        <w:rPr>
          <w:rFonts w:cs="Arial"/>
          <w:sz w:val="22"/>
          <w:szCs w:val="22"/>
        </w:rPr>
        <w:t>mayor periodicidad de procesos de negociación y declaración de cantidades, se espera que el uso de los contratos con interrupciones se reduzca</w:t>
      </w:r>
      <w:r w:rsidR="001F06F9">
        <w:rPr>
          <w:rFonts w:cs="Arial"/>
          <w:sz w:val="22"/>
          <w:szCs w:val="22"/>
        </w:rPr>
        <w:t xml:space="preserve"> y se aumente la contratación de tipo firme o que garantiza firmeza</w:t>
      </w:r>
      <w:r w:rsidR="00621966">
        <w:rPr>
          <w:rFonts w:cs="Arial"/>
          <w:sz w:val="22"/>
          <w:szCs w:val="22"/>
        </w:rPr>
        <w:t>.</w:t>
      </w:r>
    </w:p>
    <w:p w14:paraId="0EA60259" w14:textId="77777777" w:rsidR="00621966" w:rsidRPr="00A675FD" w:rsidRDefault="00621966" w:rsidP="00A675FD">
      <w:pPr>
        <w:rPr>
          <w:rFonts w:cs="Arial"/>
          <w:sz w:val="22"/>
          <w:szCs w:val="22"/>
        </w:rPr>
      </w:pPr>
    </w:p>
    <w:p w14:paraId="0B9A7D81" w14:textId="77777777" w:rsidR="00A675FD" w:rsidRDefault="00A675FD" w:rsidP="00A675FD">
      <w:pPr>
        <w:rPr>
          <w:rFonts w:cs="Arial"/>
          <w:sz w:val="22"/>
          <w:szCs w:val="22"/>
        </w:rPr>
      </w:pPr>
    </w:p>
    <w:p w14:paraId="23B011B8" w14:textId="77777777" w:rsidR="00A675FD" w:rsidRDefault="00A675FD" w:rsidP="00A675FD">
      <w:pPr>
        <w:pStyle w:val="Ttulo4"/>
      </w:pPr>
      <w:r w:rsidRPr="00A675FD">
        <w:t>TEBSA</w:t>
      </w:r>
      <w:r w:rsidRPr="00A675FD">
        <w:tab/>
      </w:r>
    </w:p>
    <w:p w14:paraId="7E974A7C" w14:textId="40CD6BDF" w:rsidR="00A675FD" w:rsidRPr="00CA5B79" w:rsidRDefault="00A675FD" w:rsidP="00A675FD">
      <w:pPr>
        <w:rPr>
          <w:rFonts w:cs="Arial"/>
          <w:i/>
          <w:iCs/>
          <w:sz w:val="22"/>
          <w:szCs w:val="22"/>
        </w:rPr>
      </w:pPr>
      <w:r w:rsidRPr="00A675FD">
        <w:rPr>
          <w:rFonts w:cs="Arial"/>
          <w:sz w:val="22"/>
          <w:szCs w:val="22"/>
        </w:rPr>
        <w:t>"</w:t>
      </w:r>
      <w:r w:rsidRPr="00CA5B79">
        <w:rPr>
          <w:rFonts w:cs="Arial"/>
          <w:i/>
          <w:iCs/>
          <w:sz w:val="22"/>
          <w:szCs w:val="22"/>
        </w:rPr>
        <w:t xml:space="preserve">En el documento se menciona que: </w:t>
      </w:r>
    </w:p>
    <w:p w14:paraId="0D11693E" w14:textId="77777777" w:rsidR="00A675FD" w:rsidRPr="00CA5B79" w:rsidRDefault="00A675FD" w:rsidP="00A675FD">
      <w:pPr>
        <w:rPr>
          <w:rFonts w:cs="Arial"/>
          <w:i/>
          <w:iCs/>
          <w:sz w:val="22"/>
          <w:szCs w:val="22"/>
        </w:rPr>
      </w:pPr>
    </w:p>
    <w:p w14:paraId="6FFF1C1A" w14:textId="77777777" w:rsidR="00A675FD" w:rsidRPr="00CA5B79" w:rsidRDefault="00A675FD" w:rsidP="00A675FD">
      <w:pPr>
        <w:rPr>
          <w:rFonts w:cs="Arial"/>
          <w:i/>
          <w:iCs/>
          <w:sz w:val="22"/>
          <w:szCs w:val="22"/>
        </w:rPr>
      </w:pPr>
      <w:r w:rsidRPr="00CA5B79">
        <w:rPr>
          <w:rFonts w:cs="Arial"/>
          <w:i/>
          <w:iCs/>
          <w:sz w:val="22"/>
          <w:szCs w:val="22"/>
        </w:rPr>
        <w:t xml:space="preserve">La cantidad de gas de pago variable de los contratos de las modalidades CF95/CF80 (5% y 20% respectivamente) podrá ser nominada por el comprador únicamente para atender el consumo del mercado relevante de comercialización que atiende, y no para venta en el Mercado Secundario. </w:t>
      </w:r>
    </w:p>
    <w:p w14:paraId="28E61492" w14:textId="77777777" w:rsidR="00A675FD" w:rsidRPr="00CA5B79" w:rsidRDefault="00A675FD" w:rsidP="00A675FD">
      <w:pPr>
        <w:rPr>
          <w:rFonts w:cs="Arial"/>
          <w:i/>
          <w:iCs/>
          <w:sz w:val="22"/>
          <w:szCs w:val="22"/>
        </w:rPr>
      </w:pPr>
    </w:p>
    <w:p w14:paraId="1DAFFA16" w14:textId="77777777" w:rsidR="00A675FD" w:rsidRDefault="00A675FD" w:rsidP="00A675FD">
      <w:pPr>
        <w:rPr>
          <w:rFonts w:cs="Arial"/>
          <w:sz w:val="22"/>
          <w:szCs w:val="22"/>
        </w:rPr>
      </w:pPr>
      <w:r w:rsidRPr="00CA5B79">
        <w:rPr>
          <w:rFonts w:cs="Arial"/>
          <w:i/>
          <w:iCs/>
          <w:sz w:val="22"/>
          <w:szCs w:val="22"/>
        </w:rPr>
        <w:t>Frente a lo anterior, solicitamos mayor claridad sobre ¿cómo se cruza esta información? De igual manera, ¿cómo es el mecanismo de autorización de las nominaciones adicionales de los contratos CI?</w:t>
      </w:r>
      <w:r w:rsidRPr="00A675FD">
        <w:rPr>
          <w:rFonts w:cs="Arial"/>
          <w:sz w:val="22"/>
          <w:szCs w:val="22"/>
        </w:rPr>
        <w:t xml:space="preserve"> "</w:t>
      </w:r>
    </w:p>
    <w:p w14:paraId="0EF452F0" w14:textId="77777777" w:rsidR="00CA5B79" w:rsidRDefault="00CA5B79" w:rsidP="00A675FD">
      <w:pPr>
        <w:rPr>
          <w:rFonts w:cs="Arial"/>
          <w:sz w:val="22"/>
          <w:szCs w:val="22"/>
        </w:rPr>
      </w:pPr>
    </w:p>
    <w:p w14:paraId="00071F9A" w14:textId="2D44832B" w:rsidR="00CA5B79" w:rsidRPr="00CA5B79" w:rsidRDefault="00CA5B79" w:rsidP="00A675FD">
      <w:pPr>
        <w:rPr>
          <w:rFonts w:cs="Arial"/>
          <w:b/>
          <w:bCs/>
          <w:sz w:val="22"/>
          <w:szCs w:val="22"/>
        </w:rPr>
      </w:pPr>
      <w:r w:rsidRPr="00CA5B79">
        <w:rPr>
          <w:rFonts w:cs="Arial"/>
          <w:b/>
          <w:bCs/>
          <w:sz w:val="22"/>
          <w:szCs w:val="22"/>
        </w:rPr>
        <w:t>Respuesta:</w:t>
      </w:r>
    </w:p>
    <w:p w14:paraId="29436BDF" w14:textId="77777777" w:rsidR="00CA5B79" w:rsidRDefault="00CA5B79" w:rsidP="00A675FD">
      <w:pPr>
        <w:rPr>
          <w:rFonts w:cs="Arial"/>
          <w:sz w:val="22"/>
          <w:szCs w:val="22"/>
        </w:rPr>
      </w:pPr>
    </w:p>
    <w:p w14:paraId="441A3621" w14:textId="77777777" w:rsidR="00CA5B79" w:rsidRDefault="00CA5B79" w:rsidP="00CA5B79">
      <w:pPr>
        <w:rPr>
          <w:rFonts w:cs="Arial"/>
          <w:sz w:val="22"/>
          <w:szCs w:val="22"/>
        </w:rPr>
      </w:pPr>
      <w:r>
        <w:rPr>
          <w:rFonts w:cs="Arial"/>
          <w:sz w:val="22"/>
          <w:szCs w:val="22"/>
        </w:rPr>
        <w:t xml:space="preserve">Ver la respuesta a </w:t>
      </w:r>
      <w:r>
        <w:rPr>
          <w:rFonts w:cs="Arial"/>
          <w:sz w:val="22"/>
          <w:szCs w:val="22"/>
        </w:rPr>
        <w:fldChar w:fldCharType="begin"/>
      </w:r>
      <w:r>
        <w:rPr>
          <w:rFonts w:cs="Arial"/>
          <w:sz w:val="22"/>
          <w:szCs w:val="22"/>
        </w:rPr>
        <w:instrText xml:space="preserve"> REF _Ref132897384 \r \h </w:instrText>
      </w:r>
      <w:r>
        <w:rPr>
          <w:rFonts w:cs="Arial"/>
          <w:sz w:val="22"/>
          <w:szCs w:val="22"/>
        </w:rPr>
      </w:r>
      <w:r>
        <w:rPr>
          <w:rFonts w:cs="Arial"/>
          <w:sz w:val="22"/>
          <w:szCs w:val="22"/>
        </w:rPr>
        <w:fldChar w:fldCharType="separate"/>
      </w:r>
      <w:r>
        <w:rPr>
          <w:rFonts w:cs="Arial"/>
          <w:sz w:val="22"/>
          <w:szCs w:val="22"/>
        </w:rPr>
        <w:t>19.23.1.4</w:t>
      </w:r>
      <w:r>
        <w:rPr>
          <w:rFonts w:cs="Arial"/>
          <w:sz w:val="22"/>
          <w:szCs w:val="22"/>
        </w:rPr>
        <w:fldChar w:fldCharType="end"/>
      </w:r>
      <w:r>
        <w:rPr>
          <w:rFonts w:cs="Arial"/>
          <w:sz w:val="22"/>
          <w:szCs w:val="22"/>
        </w:rPr>
        <w:t>.</w:t>
      </w:r>
    </w:p>
    <w:p w14:paraId="72A7D2E8" w14:textId="77777777" w:rsidR="00CA5B79" w:rsidRPr="00A675FD" w:rsidRDefault="00CA5B79" w:rsidP="00A675FD">
      <w:pPr>
        <w:rPr>
          <w:rFonts w:cs="Arial"/>
          <w:sz w:val="22"/>
          <w:szCs w:val="22"/>
        </w:rPr>
      </w:pPr>
    </w:p>
    <w:p w14:paraId="28AE8B80" w14:textId="77777777" w:rsidR="00A675FD" w:rsidRDefault="00A675FD" w:rsidP="00A675FD">
      <w:pPr>
        <w:rPr>
          <w:rFonts w:cs="Arial"/>
          <w:sz w:val="22"/>
          <w:szCs w:val="22"/>
        </w:rPr>
      </w:pPr>
    </w:p>
    <w:p w14:paraId="35C2B261" w14:textId="77777777" w:rsidR="00A675FD" w:rsidRDefault="00A675FD" w:rsidP="00A675FD">
      <w:pPr>
        <w:pStyle w:val="Ttulo4"/>
      </w:pPr>
      <w:r w:rsidRPr="00A675FD">
        <w:t>TEBSA</w:t>
      </w:r>
      <w:r w:rsidRPr="00A675FD">
        <w:tab/>
      </w:r>
    </w:p>
    <w:p w14:paraId="0319D7B1" w14:textId="62AB2B71" w:rsidR="00A675FD" w:rsidRPr="00CA5B79" w:rsidRDefault="00617C8B" w:rsidP="00A675FD">
      <w:pPr>
        <w:rPr>
          <w:rFonts w:cs="Arial"/>
          <w:i/>
          <w:iCs/>
          <w:sz w:val="22"/>
          <w:szCs w:val="22"/>
        </w:rPr>
      </w:pPr>
      <w:r>
        <w:rPr>
          <w:rFonts w:cs="Arial"/>
          <w:i/>
          <w:iCs/>
          <w:sz w:val="22"/>
          <w:szCs w:val="22"/>
        </w:rPr>
        <w:t>“</w:t>
      </w:r>
      <w:r w:rsidR="00A675FD" w:rsidRPr="00CA5B79">
        <w:rPr>
          <w:rFonts w:cs="Arial"/>
          <w:i/>
          <w:iCs/>
          <w:sz w:val="22"/>
          <w:szCs w:val="22"/>
        </w:rPr>
        <w:t>Se menciona que el mecanismo propuesto - MADE se empezaría a aplicar en el trimestre estándar septiembre - noviembre de 2022 para el suministro que inicia en el siguiente trimestre estándar de diciembre 2022 – febrero 2023. Sin embargo, consideramos pertinente que exista un periodo de transición y se realicen los balances para entender la complejidad de la negociación. Adicionalmente, disponer de capacitación y periodos de pruebas con el gestor para que los agentes se familiaricen con la propuesta.</w:t>
      </w:r>
      <w:r>
        <w:rPr>
          <w:rFonts w:cs="Arial"/>
          <w:i/>
          <w:iCs/>
          <w:sz w:val="22"/>
          <w:szCs w:val="22"/>
        </w:rPr>
        <w:t>”</w:t>
      </w:r>
      <w:r w:rsidR="00A675FD" w:rsidRPr="00CA5B79">
        <w:rPr>
          <w:rFonts w:cs="Arial"/>
          <w:i/>
          <w:iCs/>
          <w:sz w:val="22"/>
          <w:szCs w:val="22"/>
        </w:rPr>
        <w:t xml:space="preserve"> </w:t>
      </w:r>
    </w:p>
    <w:p w14:paraId="28042EF9" w14:textId="77777777" w:rsidR="00CA5B79" w:rsidRDefault="00CA5B79" w:rsidP="00A675FD">
      <w:pPr>
        <w:rPr>
          <w:rFonts w:cs="Arial"/>
          <w:sz w:val="22"/>
          <w:szCs w:val="22"/>
        </w:rPr>
      </w:pPr>
    </w:p>
    <w:p w14:paraId="40EE3F3D" w14:textId="682AA19B" w:rsidR="00CA5B79" w:rsidRPr="00CA5B79" w:rsidRDefault="00CA5B79" w:rsidP="00A675FD">
      <w:pPr>
        <w:rPr>
          <w:rFonts w:cs="Arial"/>
          <w:b/>
          <w:bCs/>
          <w:sz w:val="22"/>
          <w:szCs w:val="22"/>
        </w:rPr>
      </w:pPr>
      <w:r w:rsidRPr="00CA5B79">
        <w:rPr>
          <w:rFonts w:cs="Arial"/>
          <w:b/>
          <w:bCs/>
          <w:sz w:val="22"/>
          <w:szCs w:val="22"/>
        </w:rPr>
        <w:t>Respuesta:</w:t>
      </w:r>
    </w:p>
    <w:p w14:paraId="395D6CB6" w14:textId="77777777" w:rsidR="00CA5B79" w:rsidRDefault="00CA5B79" w:rsidP="00A675FD">
      <w:pPr>
        <w:rPr>
          <w:rFonts w:cs="Arial"/>
          <w:sz w:val="22"/>
          <w:szCs w:val="22"/>
        </w:rPr>
      </w:pPr>
    </w:p>
    <w:p w14:paraId="598168D1" w14:textId="77777777" w:rsidR="00CA5B79" w:rsidRPr="0028726C" w:rsidRDefault="00CA5B79" w:rsidP="00CA5B79">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_Ref132615609 \r \h </w:instrText>
      </w:r>
      <w:r>
        <w:rPr>
          <w:rFonts w:cs="Arial"/>
          <w:sz w:val="22"/>
          <w:szCs w:val="22"/>
        </w:rPr>
      </w:r>
      <w:r>
        <w:rPr>
          <w:rFonts w:cs="Arial"/>
          <w:sz w:val="22"/>
          <w:szCs w:val="22"/>
        </w:rPr>
        <w:fldChar w:fldCharType="separate"/>
      </w:r>
      <w:r>
        <w:rPr>
          <w:rFonts w:cs="Arial"/>
          <w:sz w:val="22"/>
          <w:szCs w:val="22"/>
        </w:rPr>
        <w:t>1.2.1.13</w:t>
      </w:r>
      <w:r>
        <w:rPr>
          <w:rFonts w:cs="Arial"/>
          <w:sz w:val="22"/>
          <w:szCs w:val="22"/>
        </w:rPr>
        <w:fldChar w:fldCharType="end"/>
      </w:r>
      <w:r>
        <w:rPr>
          <w:rFonts w:cs="Arial"/>
          <w:sz w:val="22"/>
          <w:szCs w:val="22"/>
        </w:rPr>
        <w:t xml:space="preserve"> y a </w:t>
      </w:r>
      <w:r>
        <w:rPr>
          <w:rFonts w:cs="Arial"/>
          <w:sz w:val="22"/>
          <w:szCs w:val="22"/>
        </w:rPr>
        <w:fldChar w:fldCharType="begin"/>
      </w:r>
      <w:r>
        <w:rPr>
          <w:rFonts w:cs="Arial"/>
          <w:sz w:val="22"/>
          <w:szCs w:val="22"/>
        </w:rPr>
        <w:instrText xml:space="preserve"> REF _Ref132190563 \r \h </w:instrText>
      </w:r>
      <w:r>
        <w:rPr>
          <w:rFonts w:cs="Arial"/>
          <w:sz w:val="22"/>
          <w:szCs w:val="22"/>
        </w:rPr>
      </w:r>
      <w:r>
        <w:rPr>
          <w:rFonts w:cs="Arial"/>
          <w:sz w:val="22"/>
          <w:szCs w:val="22"/>
        </w:rPr>
        <w:fldChar w:fldCharType="separate"/>
      </w:r>
      <w:r>
        <w:rPr>
          <w:rFonts w:cs="Arial"/>
          <w:sz w:val="22"/>
          <w:szCs w:val="22"/>
        </w:rPr>
        <w:t>19.2.1.2</w:t>
      </w:r>
      <w:r>
        <w:rPr>
          <w:rFonts w:cs="Arial"/>
          <w:sz w:val="22"/>
          <w:szCs w:val="22"/>
        </w:rPr>
        <w:fldChar w:fldCharType="end"/>
      </w:r>
      <w:r>
        <w:rPr>
          <w:rFonts w:cs="Arial"/>
          <w:sz w:val="22"/>
          <w:szCs w:val="22"/>
        </w:rPr>
        <w:t>.</w:t>
      </w:r>
    </w:p>
    <w:p w14:paraId="2F5D7107" w14:textId="77777777" w:rsidR="00CA5B79" w:rsidRPr="00A675FD" w:rsidRDefault="00CA5B79" w:rsidP="00A675FD">
      <w:pPr>
        <w:rPr>
          <w:rFonts w:cs="Arial"/>
          <w:sz w:val="22"/>
          <w:szCs w:val="22"/>
        </w:rPr>
      </w:pPr>
    </w:p>
    <w:p w14:paraId="43CC0328" w14:textId="77777777" w:rsidR="00A675FD" w:rsidRDefault="00A675FD" w:rsidP="00A675FD">
      <w:pPr>
        <w:rPr>
          <w:rFonts w:cs="Arial"/>
          <w:sz w:val="22"/>
          <w:szCs w:val="22"/>
        </w:rPr>
      </w:pPr>
    </w:p>
    <w:p w14:paraId="530A0573" w14:textId="77777777" w:rsidR="00A675FD" w:rsidRDefault="00A675FD" w:rsidP="00A675FD">
      <w:pPr>
        <w:pStyle w:val="Ttulo4"/>
      </w:pPr>
      <w:r w:rsidRPr="00A675FD">
        <w:t>TEBSA</w:t>
      </w:r>
      <w:r w:rsidRPr="00A675FD">
        <w:tab/>
      </w:r>
    </w:p>
    <w:p w14:paraId="11744F89" w14:textId="04A1ECE7" w:rsidR="00A675FD" w:rsidRPr="00CA5B79" w:rsidRDefault="00A675FD" w:rsidP="00A675FD">
      <w:pPr>
        <w:rPr>
          <w:rFonts w:cs="Arial"/>
          <w:i/>
          <w:iCs/>
          <w:sz w:val="22"/>
          <w:szCs w:val="22"/>
        </w:rPr>
      </w:pPr>
      <w:r w:rsidRPr="00A675FD">
        <w:rPr>
          <w:rFonts w:cs="Arial"/>
          <w:sz w:val="22"/>
          <w:szCs w:val="22"/>
        </w:rPr>
        <w:t>"</w:t>
      </w:r>
      <w:r w:rsidRPr="00CA5B79">
        <w:rPr>
          <w:rFonts w:cs="Arial"/>
          <w:i/>
          <w:iCs/>
          <w:sz w:val="22"/>
          <w:szCs w:val="22"/>
        </w:rPr>
        <w:t xml:space="preserve">Consideramos pertinente definir el esquema de asignación de cantidades en la nominación cuando se presenta requerimientos mayores a la disponibilidad del vendedor primario. Sugerimos que el mecanismo sea a prorrata debido a que las condiciones son pactadas en negociación directa y se le permite vender dos veces al productor la misma cantidad de gas que se comercializó y se está pagando en el mercado primario. Es preciso definir mecanismos para descontar las cantidades dejadas de usar en los contratos firmes, pero que se vendieron en el contrato CI. </w:t>
      </w:r>
    </w:p>
    <w:p w14:paraId="361BF105" w14:textId="77777777" w:rsidR="00A675FD" w:rsidRPr="00CA5B79" w:rsidRDefault="00A675FD" w:rsidP="00A675FD">
      <w:pPr>
        <w:rPr>
          <w:rFonts w:cs="Arial"/>
          <w:i/>
          <w:iCs/>
          <w:sz w:val="22"/>
          <w:szCs w:val="22"/>
        </w:rPr>
      </w:pPr>
    </w:p>
    <w:p w14:paraId="68FA2AC6" w14:textId="77777777" w:rsidR="00A675FD" w:rsidRPr="00CA5B79" w:rsidRDefault="00A675FD" w:rsidP="00A675FD">
      <w:pPr>
        <w:rPr>
          <w:rFonts w:cs="Arial"/>
          <w:i/>
          <w:iCs/>
          <w:sz w:val="22"/>
          <w:szCs w:val="22"/>
        </w:rPr>
      </w:pPr>
      <w:r w:rsidRPr="00CA5B79">
        <w:rPr>
          <w:rFonts w:cs="Arial"/>
          <w:i/>
          <w:iCs/>
          <w:sz w:val="22"/>
          <w:szCs w:val="22"/>
        </w:rPr>
        <w:t xml:space="preserve">El ejemplo planteado no es claro para el entendimiento de la propuesta. </w:t>
      </w:r>
    </w:p>
    <w:p w14:paraId="6047E597" w14:textId="77777777" w:rsidR="00A675FD" w:rsidRPr="00CA5B79" w:rsidRDefault="00A675FD" w:rsidP="00A675FD">
      <w:pPr>
        <w:rPr>
          <w:rFonts w:cs="Arial"/>
          <w:i/>
          <w:iCs/>
          <w:sz w:val="22"/>
          <w:szCs w:val="22"/>
        </w:rPr>
      </w:pPr>
    </w:p>
    <w:p w14:paraId="413FAEC4" w14:textId="77777777" w:rsidR="00A675FD" w:rsidRDefault="00A675FD" w:rsidP="00A675FD">
      <w:pPr>
        <w:rPr>
          <w:rFonts w:cs="Arial"/>
          <w:sz w:val="22"/>
          <w:szCs w:val="22"/>
        </w:rPr>
      </w:pPr>
      <w:r w:rsidRPr="00CA5B79">
        <w:rPr>
          <w:rFonts w:cs="Arial"/>
          <w:i/>
          <w:iCs/>
          <w:sz w:val="22"/>
          <w:szCs w:val="22"/>
        </w:rPr>
        <w:t xml:space="preserve">Solicitamos claridad sobre ¿qué sucede con los excedentes de los contratos firmes? ¿Existe algún beneficio para los compradores? Definir los mecanismos operativos para garantizar entregas y </w:t>
      </w:r>
      <w:proofErr w:type="spellStart"/>
      <w:r w:rsidRPr="00CA5B79">
        <w:rPr>
          <w:rFonts w:cs="Arial"/>
          <w:i/>
          <w:iCs/>
          <w:sz w:val="22"/>
          <w:szCs w:val="22"/>
        </w:rPr>
        <w:t>renominaciones</w:t>
      </w:r>
      <w:proofErr w:type="spellEnd"/>
      <w:r w:rsidRPr="00CA5B79">
        <w:rPr>
          <w:rFonts w:cs="Arial"/>
          <w:i/>
          <w:iCs/>
          <w:sz w:val="22"/>
          <w:szCs w:val="22"/>
        </w:rPr>
        <w:t xml:space="preserve"> en los contratos firmes en el día de operación y dar alcance a las 6 horas.</w:t>
      </w:r>
      <w:r w:rsidRPr="00A675FD">
        <w:rPr>
          <w:rFonts w:cs="Arial"/>
          <w:sz w:val="22"/>
          <w:szCs w:val="22"/>
        </w:rPr>
        <w:t xml:space="preserve"> "</w:t>
      </w:r>
    </w:p>
    <w:p w14:paraId="79AD3029" w14:textId="77777777" w:rsidR="00CA5B79" w:rsidRDefault="00CA5B79" w:rsidP="00A675FD">
      <w:pPr>
        <w:rPr>
          <w:rFonts w:cs="Arial"/>
          <w:sz w:val="22"/>
          <w:szCs w:val="22"/>
        </w:rPr>
      </w:pPr>
    </w:p>
    <w:p w14:paraId="7A4D3B86" w14:textId="345C6917" w:rsidR="00CA5B79" w:rsidRPr="00CA5B79" w:rsidRDefault="00CA5B79" w:rsidP="00A675FD">
      <w:pPr>
        <w:rPr>
          <w:rFonts w:cs="Arial"/>
          <w:b/>
          <w:bCs/>
          <w:sz w:val="22"/>
          <w:szCs w:val="22"/>
        </w:rPr>
      </w:pPr>
      <w:r w:rsidRPr="00CA5B79">
        <w:rPr>
          <w:rFonts w:cs="Arial"/>
          <w:b/>
          <w:bCs/>
          <w:sz w:val="22"/>
          <w:szCs w:val="22"/>
        </w:rPr>
        <w:t>Respuesta:</w:t>
      </w:r>
    </w:p>
    <w:p w14:paraId="09A8CDD6" w14:textId="77777777" w:rsidR="00CA5B79" w:rsidRDefault="00CA5B79" w:rsidP="00A675FD">
      <w:pPr>
        <w:rPr>
          <w:rFonts w:cs="Arial"/>
          <w:sz w:val="22"/>
          <w:szCs w:val="22"/>
        </w:rPr>
      </w:pPr>
    </w:p>
    <w:p w14:paraId="4A80D919" w14:textId="62D68A26" w:rsidR="00CA5B79" w:rsidRPr="00A675FD" w:rsidRDefault="0032328D" w:rsidP="00A675FD">
      <w:pPr>
        <w:rPr>
          <w:rFonts w:cs="Arial"/>
          <w:sz w:val="22"/>
          <w:szCs w:val="22"/>
        </w:rPr>
      </w:pPr>
      <w:r>
        <w:rPr>
          <w:rFonts w:cs="Arial"/>
          <w:sz w:val="22"/>
          <w:szCs w:val="22"/>
        </w:rPr>
        <w:t xml:space="preserve">Ver respuesta a </w:t>
      </w:r>
      <w:r>
        <w:rPr>
          <w:rFonts w:cs="Arial"/>
          <w:sz w:val="22"/>
          <w:szCs w:val="22"/>
        </w:rPr>
        <w:fldChar w:fldCharType="begin"/>
      </w:r>
      <w:r>
        <w:rPr>
          <w:rFonts w:cs="Arial"/>
          <w:sz w:val="22"/>
          <w:szCs w:val="22"/>
        </w:rPr>
        <w:instrText xml:space="preserve"> REF _Ref133403379 \r \h </w:instrText>
      </w:r>
      <w:r>
        <w:rPr>
          <w:rFonts w:cs="Arial"/>
          <w:sz w:val="22"/>
          <w:szCs w:val="22"/>
        </w:rPr>
      </w:r>
      <w:r>
        <w:rPr>
          <w:rFonts w:cs="Arial"/>
          <w:sz w:val="22"/>
          <w:szCs w:val="22"/>
        </w:rPr>
        <w:fldChar w:fldCharType="separate"/>
      </w:r>
      <w:r>
        <w:rPr>
          <w:rFonts w:cs="Arial"/>
          <w:sz w:val="22"/>
          <w:szCs w:val="22"/>
        </w:rPr>
        <w:t>19.28.1.2</w:t>
      </w:r>
      <w:r>
        <w:rPr>
          <w:rFonts w:cs="Arial"/>
          <w:sz w:val="22"/>
          <w:szCs w:val="22"/>
        </w:rPr>
        <w:fldChar w:fldCharType="end"/>
      </w:r>
      <w:r>
        <w:rPr>
          <w:rFonts w:cs="Arial"/>
          <w:sz w:val="22"/>
          <w:szCs w:val="22"/>
        </w:rPr>
        <w:t>.</w:t>
      </w:r>
    </w:p>
    <w:p w14:paraId="42CFC9C4" w14:textId="77777777" w:rsidR="00A675FD" w:rsidRDefault="00A675FD" w:rsidP="00A675FD">
      <w:pPr>
        <w:rPr>
          <w:rFonts w:cs="Arial"/>
          <w:sz w:val="22"/>
          <w:szCs w:val="22"/>
        </w:rPr>
      </w:pPr>
    </w:p>
    <w:p w14:paraId="0F73B40B" w14:textId="77777777" w:rsidR="00A675FD" w:rsidRDefault="00A675FD" w:rsidP="00A675FD">
      <w:pPr>
        <w:pStyle w:val="Ttulo4"/>
      </w:pPr>
      <w:r w:rsidRPr="00A675FD">
        <w:t>TEBSA</w:t>
      </w:r>
      <w:r w:rsidRPr="00A675FD">
        <w:tab/>
      </w:r>
    </w:p>
    <w:p w14:paraId="56DFF75F" w14:textId="1CDD6F9D" w:rsidR="00D07DF6" w:rsidRPr="00CA5B79" w:rsidRDefault="002A77D9" w:rsidP="00A675FD">
      <w:pPr>
        <w:rPr>
          <w:rFonts w:cs="Arial"/>
          <w:i/>
          <w:iCs/>
          <w:sz w:val="22"/>
          <w:szCs w:val="22"/>
        </w:rPr>
      </w:pPr>
      <w:r>
        <w:rPr>
          <w:rFonts w:cs="Arial"/>
          <w:i/>
          <w:iCs/>
          <w:sz w:val="22"/>
          <w:szCs w:val="22"/>
        </w:rPr>
        <w:t>“</w:t>
      </w:r>
      <w:r w:rsidR="00A675FD" w:rsidRPr="00CA5B79">
        <w:rPr>
          <w:rFonts w:cs="Arial"/>
          <w:i/>
          <w:iCs/>
          <w:sz w:val="22"/>
          <w:szCs w:val="22"/>
        </w:rPr>
        <w:t>En el documento se menciona que se considera necesario dar señales a los usuarios del sector termoeléctrico de modo que contraten el suministro de gas importado con Respaldo Físico, con la posibilidad para estos agentes de suscribir contratos de largo plazo y así mantener disponible las infraestructuras de regasificación para el aseguramiento del abastecimiento. Frente a lo anterior, consideramos necesario aclarar ¿por qué solo se hace referencia al gas importado? Adicionalmente, ¿Considera la Comisión que se establecerán mecanismos adicionales a los existente, para garantizar la continuidad en la prestación del servicio por parte de la Terminal de Regasificación de Cartagena por lo menos por diez (10) años más?</w:t>
      </w:r>
      <w:r>
        <w:rPr>
          <w:rFonts w:cs="Arial"/>
          <w:i/>
          <w:iCs/>
          <w:sz w:val="22"/>
          <w:szCs w:val="22"/>
        </w:rPr>
        <w:t>”</w:t>
      </w:r>
    </w:p>
    <w:p w14:paraId="6D0FC970" w14:textId="77777777" w:rsidR="00CA5B79" w:rsidRDefault="00CA5B79" w:rsidP="00A675FD">
      <w:pPr>
        <w:rPr>
          <w:rFonts w:cs="Arial"/>
          <w:sz w:val="22"/>
          <w:szCs w:val="22"/>
        </w:rPr>
      </w:pPr>
    </w:p>
    <w:p w14:paraId="1F9A3FAA" w14:textId="40DBCF0E" w:rsidR="00CA5B79" w:rsidRPr="00CA5B79" w:rsidRDefault="00CA5B79" w:rsidP="00A675FD">
      <w:pPr>
        <w:rPr>
          <w:rFonts w:cs="Arial"/>
          <w:b/>
          <w:bCs/>
          <w:sz w:val="22"/>
          <w:szCs w:val="22"/>
        </w:rPr>
      </w:pPr>
      <w:r w:rsidRPr="00CA5B79">
        <w:rPr>
          <w:rFonts w:cs="Arial"/>
          <w:b/>
          <w:bCs/>
          <w:sz w:val="22"/>
          <w:szCs w:val="22"/>
        </w:rPr>
        <w:t>Respuesta:</w:t>
      </w:r>
    </w:p>
    <w:p w14:paraId="4EBEB214" w14:textId="77777777" w:rsidR="00CA5B79" w:rsidRDefault="00CA5B79" w:rsidP="00A675FD">
      <w:pPr>
        <w:rPr>
          <w:rFonts w:cs="Arial"/>
          <w:sz w:val="22"/>
          <w:szCs w:val="22"/>
        </w:rPr>
      </w:pPr>
    </w:p>
    <w:p w14:paraId="340741AC" w14:textId="203BF1A5" w:rsidR="00CA5B79" w:rsidRPr="00A675FD" w:rsidRDefault="00CA5B79" w:rsidP="00A675FD">
      <w:pPr>
        <w:rPr>
          <w:rFonts w:cs="Arial"/>
          <w:sz w:val="22"/>
          <w:szCs w:val="22"/>
        </w:rPr>
      </w:pPr>
      <w:r>
        <w:rPr>
          <w:rFonts w:cs="Arial"/>
          <w:sz w:val="22"/>
          <w:szCs w:val="22"/>
        </w:rPr>
        <w:t>Los ajustes que se propone</w:t>
      </w:r>
      <w:r w:rsidR="0032328D">
        <w:rPr>
          <w:rFonts w:cs="Arial"/>
          <w:sz w:val="22"/>
          <w:szCs w:val="22"/>
        </w:rPr>
        <w:t>n</w:t>
      </w:r>
      <w:r w:rsidR="00411DA3">
        <w:rPr>
          <w:rFonts w:cs="Arial"/>
          <w:sz w:val="22"/>
          <w:szCs w:val="22"/>
        </w:rPr>
        <w:t>,</w:t>
      </w:r>
      <w:r w:rsidR="0032328D">
        <w:rPr>
          <w:rFonts w:cs="Arial"/>
          <w:sz w:val="22"/>
          <w:szCs w:val="22"/>
        </w:rPr>
        <w:t xml:space="preserve"> en general, </w:t>
      </w:r>
      <w:r>
        <w:rPr>
          <w:rFonts w:cs="Arial"/>
          <w:sz w:val="22"/>
          <w:szCs w:val="22"/>
        </w:rPr>
        <w:t>buscan maximizar la contratación del gas disponible de fuentes nacionales y de gas obtenido en el exterior como complemento del gas de fuentes nacionales</w:t>
      </w:r>
      <w:r w:rsidR="00411DA3">
        <w:rPr>
          <w:rFonts w:cs="Arial"/>
          <w:sz w:val="22"/>
          <w:szCs w:val="22"/>
        </w:rPr>
        <w:t>,</w:t>
      </w:r>
      <w:r>
        <w:rPr>
          <w:rFonts w:cs="Arial"/>
          <w:sz w:val="22"/>
          <w:szCs w:val="22"/>
        </w:rPr>
        <w:t xml:space="preserve"> cuando </w:t>
      </w:r>
      <w:r w:rsidR="0032328D">
        <w:rPr>
          <w:rFonts w:cs="Arial"/>
          <w:sz w:val="22"/>
          <w:szCs w:val="22"/>
        </w:rPr>
        <w:t>la</w:t>
      </w:r>
      <w:r>
        <w:rPr>
          <w:rFonts w:cs="Arial"/>
          <w:sz w:val="22"/>
          <w:szCs w:val="22"/>
        </w:rPr>
        <w:t xml:space="preserve"> disponibilidad </w:t>
      </w:r>
      <w:r w:rsidR="0032328D">
        <w:rPr>
          <w:rFonts w:cs="Arial"/>
          <w:sz w:val="22"/>
          <w:szCs w:val="22"/>
        </w:rPr>
        <w:t xml:space="preserve">de este último </w:t>
      </w:r>
      <w:r>
        <w:rPr>
          <w:rFonts w:cs="Arial"/>
          <w:sz w:val="22"/>
          <w:szCs w:val="22"/>
        </w:rPr>
        <w:t xml:space="preserve">es </w:t>
      </w:r>
      <w:r w:rsidR="0032328D">
        <w:rPr>
          <w:rFonts w:cs="Arial"/>
          <w:sz w:val="22"/>
          <w:szCs w:val="22"/>
        </w:rPr>
        <w:t>inferior a</w:t>
      </w:r>
      <w:r>
        <w:rPr>
          <w:rFonts w:cs="Arial"/>
          <w:sz w:val="22"/>
          <w:szCs w:val="22"/>
        </w:rPr>
        <w:t xml:space="preserve"> las cantidades </w:t>
      </w:r>
      <w:r w:rsidR="00411DA3">
        <w:rPr>
          <w:rFonts w:cs="Arial"/>
          <w:sz w:val="22"/>
          <w:szCs w:val="22"/>
        </w:rPr>
        <w:t>a consumir</w:t>
      </w:r>
      <w:r w:rsidR="0032328D">
        <w:rPr>
          <w:rFonts w:cs="Arial"/>
          <w:sz w:val="22"/>
          <w:szCs w:val="22"/>
        </w:rPr>
        <w:t xml:space="preserve"> en territorio nacional</w:t>
      </w:r>
      <w:r>
        <w:rPr>
          <w:rFonts w:cs="Arial"/>
          <w:sz w:val="22"/>
          <w:szCs w:val="22"/>
        </w:rPr>
        <w:t>.</w:t>
      </w:r>
    </w:p>
    <w:p w14:paraId="45F3F761" w14:textId="77777777" w:rsidR="00426028" w:rsidRPr="006F1229" w:rsidRDefault="00426028" w:rsidP="00371CB5">
      <w:pPr>
        <w:rPr>
          <w:rFonts w:cs="Arial"/>
          <w:b/>
          <w:bCs/>
          <w:sz w:val="22"/>
          <w:szCs w:val="22"/>
        </w:rPr>
      </w:pPr>
    </w:p>
    <w:p w14:paraId="55B40CEC" w14:textId="77777777" w:rsidR="00426028" w:rsidRPr="006F1229" w:rsidRDefault="00426028" w:rsidP="00371CB5">
      <w:pPr>
        <w:rPr>
          <w:rFonts w:cs="Arial"/>
          <w:b/>
          <w:bCs/>
          <w:sz w:val="22"/>
          <w:szCs w:val="22"/>
        </w:rPr>
      </w:pPr>
    </w:p>
    <w:p w14:paraId="507A2F85" w14:textId="77777777" w:rsidR="00426028" w:rsidRPr="006F1229" w:rsidRDefault="00426028" w:rsidP="00371CB5">
      <w:pPr>
        <w:rPr>
          <w:rFonts w:cs="Arial"/>
          <w:b/>
          <w:bCs/>
          <w:sz w:val="22"/>
          <w:szCs w:val="22"/>
        </w:rPr>
      </w:pPr>
    </w:p>
    <w:p w14:paraId="4AB1CF2B" w14:textId="77777777" w:rsidR="00426028" w:rsidRDefault="00426028" w:rsidP="00371CB5">
      <w:pPr>
        <w:rPr>
          <w:rFonts w:cs="Arial"/>
          <w:b/>
          <w:bCs/>
        </w:rPr>
      </w:pPr>
    </w:p>
    <w:p w14:paraId="28CE5C44" w14:textId="77777777" w:rsidR="00426028" w:rsidRDefault="00426028" w:rsidP="00371CB5">
      <w:pPr>
        <w:rPr>
          <w:rFonts w:cs="Arial"/>
          <w:b/>
          <w:bCs/>
        </w:rPr>
      </w:pPr>
    </w:p>
    <w:p w14:paraId="662241D7" w14:textId="77777777" w:rsidR="00426028" w:rsidRDefault="00426028" w:rsidP="00371CB5">
      <w:pPr>
        <w:rPr>
          <w:rFonts w:cs="Arial"/>
          <w:b/>
          <w:bCs/>
        </w:rPr>
      </w:pPr>
    </w:p>
    <w:p w14:paraId="25521334" w14:textId="77777777" w:rsidR="00426028" w:rsidRDefault="00426028" w:rsidP="00371CB5">
      <w:pPr>
        <w:rPr>
          <w:rFonts w:cs="Arial"/>
          <w:b/>
          <w:bCs/>
        </w:rPr>
      </w:pPr>
    </w:p>
    <w:p w14:paraId="10E35FDD" w14:textId="77777777" w:rsidR="00426028" w:rsidRDefault="00426028" w:rsidP="00371CB5">
      <w:pPr>
        <w:rPr>
          <w:rFonts w:cs="Arial"/>
          <w:b/>
          <w:bCs/>
        </w:rPr>
      </w:pPr>
    </w:p>
    <w:p w14:paraId="49F61D92" w14:textId="77777777" w:rsidR="00426028" w:rsidRDefault="00426028" w:rsidP="00371CB5">
      <w:pPr>
        <w:rPr>
          <w:rFonts w:cs="Arial"/>
          <w:b/>
          <w:bCs/>
        </w:rPr>
      </w:pPr>
    </w:p>
    <w:p w14:paraId="069525D8" w14:textId="77777777" w:rsidR="00426028" w:rsidRDefault="00426028" w:rsidP="00371CB5">
      <w:pPr>
        <w:rPr>
          <w:rFonts w:cs="Arial"/>
          <w:b/>
          <w:bCs/>
        </w:rPr>
      </w:pPr>
    </w:p>
    <w:p w14:paraId="55BD9AEC" w14:textId="01D940BC" w:rsidR="00426028" w:rsidRPr="000E63CD" w:rsidRDefault="00426028" w:rsidP="00371CB5">
      <w:pPr>
        <w:rPr>
          <w:sz w:val="22"/>
          <w:szCs w:val="22"/>
        </w:rPr>
        <w:sectPr w:rsidR="00426028" w:rsidRPr="000E63CD" w:rsidSect="00D005AE">
          <w:pgSz w:w="12242" w:h="15842" w:code="1"/>
          <w:pgMar w:top="1418" w:right="1469" w:bottom="1418" w:left="1418" w:header="851" w:footer="567" w:gutter="0"/>
          <w:pgNumType w:start="4"/>
          <w:cols w:space="720"/>
          <w:titlePg/>
          <w:docGrid w:linePitch="326"/>
        </w:sectPr>
      </w:pPr>
    </w:p>
    <w:p w14:paraId="37251233" w14:textId="03F3A6C3" w:rsidR="006F3A67" w:rsidRPr="000E63CD" w:rsidRDefault="006F3A67" w:rsidP="001A341D">
      <w:pPr>
        <w:pStyle w:val="Ttulo1"/>
        <w:numPr>
          <w:ilvl w:val="0"/>
          <w:numId w:val="0"/>
        </w:numPr>
        <w:ind w:left="432"/>
        <w:rPr>
          <w:sz w:val="22"/>
          <w:szCs w:val="22"/>
        </w:rPr>
      </w:pPr>
      <w:bookmarkStart w:id="1051" w:name="_Toc140506593"/>
      <w:r w:rsidRPr="000E63CD">
        <w:rPr>
          <w:sz w:val="22"/>
          <w:szCs w:val="22"/>
        </w:rPr>
        <w:t xml:space="preserve">ANEXO </w:t>
      </w:r>
      <w:r w:rsidR="000D2BBB">
        <w:rPr>
          <w:sz w:val="22"/>
          <w:szCs w:val="22"/>
        </w:rPr>
        <w:t>2</w:t>
      </w:r>
      <w:r w:rsidRPr="000E63CD">
        <w:rPr>
          <w:sz w:val="22"/>
          <w:szCs w:val="22"/>
        </w:rPr>
        <w:t>. Resumen de las flexibilidades en los mecanismos y procesos de comercialización y en las modalidades contractuales propuestos</w:t>
      </w:r>
      <w:bookmarkEnd w:id="1051"/>
    </w:p>
    <w:p w14:paraId="24380D8A" w14:textId="77777777" w:rsidR="006F3A67" w:rsidRPr="000E63CD" w:rsidRDefault="006F3A67" w:rsidP="006F3A67">
      <w:pPr>
        <w:rPr>
          <w:sz w:val="22"/>
          <w:szCs w:val="22"/>
        </w:rPr>
      </w:pPr>
    </w:p>
    <w:p w14:paraId="156C26E6" w14:textId="6339B3E8" w:rsidR="006F3A67" w:rsidRPr="000E63CD" w:rsidRDefault="00DA13D6" w:rsidP="006F3A67">
      <w:pPr>
        <w:rPr>
          <w:sz w:val="22"/>
          <w:szCs w:val="22"/>
        </w:rPr>
      </w:pPr>
      <w:r w:rsidRPr="00DA13D6">
        <w:rPr>
          <w:noProof/>
        </w:rPr>
        <w:t xml:space="preserve"> </w:t>
      </w:r>
      <w:r w:rsidRPr="00DA13D6">
        <w:rPr>
          <w:noProof/>
        </w:rPr>
        <w:drawing>
          <wp:inline distT="0" distB="0" distL="0" distR="0" wp14:anchorId="1DD34702" wp14:editId="1AA60185">
            <wp:extent cx="8258810" cy="4639945"/>
            <wp:effectExtent l="0" t="0" r="8890" b="8255"/>
            <wp:docPr id="1621363938" name="Imagen 162136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63938" name=""/>
                    <pic:cNvPicPr/>
                  </pic:nvPicPr>
                  <pic:blipFill>
                    <a:blip r:embed="rId61"/>
                    <a:stretch>
                      <a:fillRect/>
                    </a:stretch>
                  </pic:blipFill>
                  <pic:spPr>
                    <a:xfrm>
                      <a:off x="0" y="0"/>
                      <a:ext cx="8258810" cy="4639945"/>
                    </a:xfrm>
                    <a:prstGeom prst="rect">
                      <a:avLst/>
                    </a:prstGeom>
                  </pic:spPr>
                </pic:pic>
              </a:graphicData>
            </a:graphic>
          </wp:inline>
        </w:drawing>
      </w:r>
    </w:p>
    <w:p w14:paraId="711D0F22" w14:textId="77777777" w:rsidR="006F3A67" w:rsidRPr="000E63CD" w:rsidRDefault="006F3A67" w:rsidP="006F3A67">
      <w:pPr>
        <w:rPr>
          <w:sz w:val="22"/>
          <w:szCs w:val="22"/>
        </w:rPr>
      </w:pPr>
    </w:p>
    <w:p w14:paraId="63F9EAAD" w14:textId="77777777" w:rsidR="003634B3" w:rsidRPr="000E63CD" w:rsidRDefault="003634B3" w:rsidP="00AA6A51">
      <w:pPr>
        <w:rPr>
          <w:sz w:val="22"/>
          <w:szCs w:val="22"/>
        </w:rPr>
      </w:pPr>
    </w:p>
    <w:sectPr w:rsidR="003634B3" w:rsidRPr="000E63CD" w:rsidSect="00C8774D">
      <w:pgSz w:w="15842" w:h="12242" w:orient="landscape" w:code="1"/>
      <w:pgMar w:top="1418" w:right="1418" w:bottom="1469" w:left="1418" w:header="851" w:footer="567" w:gutter="0"/>
      <w:pgNumType w:start="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300A8" w14:textId="77777777" w:rsidR="00EE305B" w:rsidRDefault="00EE305B">
      <w:r>
        <w:separator/>
      </w:r>
    </w:p>
  </w:endnote>
  <w:endnote w:type="continuationSeparator" w:id="0">
    <w:p w14:paraId="58D3B59B" w14:textId="77777777" w:rsidR="00EE305B" w:rsidRDefault="00EE305B">
      <w:r>
        <w:continuationSeparator/>
      </w:r>
    </w:p>
  </w:endnote>
  <w:endnote w:type="continuationNotice" w:id="1">
    <w:p w14:paraId="6B38DF5C" w14:textId="77777777" w:rsidR="00EE305B" w:rsidRDefault="00EE30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90E4" w14:textId="1735C48B" w:rsidR="00C449A4" w:rsidRPr="00D87904" w:rsidRDefault="00C449A4" w:rsidP="00D87904">
    <w:pPr>
      <w:pStyle w:val="Textoindependiente"/>
      <w:jc w:val="both"/>
      <w:rPr>
        <w:b w:val="0"/>
        <w:sz w:val="16"/>
        <w:szCs w:val="16"/>
      </w:rPr>
    </w:pPr>
  </w:p>
  <w:p w14:paraId="0B8FBCD5" w14:textId="77777777" w:rsidR="00B97D41" w:rsidRDefault="00B97D41" w:rsidP="00B97D41">
    <w:pPr>
      <w:jc w:val="center"/>
      <w:rPr>
        <w:rFonts w:cs="Arial"/>
        <w:b/>
        <w:caps/>
        <w:sz w:val="36"/>
        <w:szCs w:val="36"/>
        <w:lang w:val="es-ES"/>
      </w:rPr>
    </w:pPr>
    <w:r>
      <w:rPr>
        <w:b/>
        <w:sz w:val="16"/>
        <w:lang w:val="es-CO"/>
      </w:rPr>
      <w:t xml:space="preserve">D – 702 003 DE 2023 </w:t>
    </w:r>
    <w:r w:rsidRPr="00B97D41">
      <w:rPr>
        <w:rFonts w:cs="Arial"/>
        <w:b/>
        <w:caps/>
        <w:sz w:val="16"/>
        <w:szCs w:val="16"/>
        <w:lang w:val="es-ES"/>
      </w:rPr>
      <w:t>reglamentaCIÓN DE aspectos comerciales del suministro del Mercado Mayorista de gas natural</w:t>
    </w:r>
    <w:r w:rsidRPr="00864B47">
      <w:rPr>
        <w:rFonts w:cs="Arial"/>
        <w:b/>
        <w:caps/>
        <w:sz w:val="36"/>
        <w:szCs w:val="36"/>
        <w:lang w:val="es-ES"/>
      </w:rPr>
      <w:t xml:space="preserve"> </w:t>
    </w:r>
  </w:p>
  <w:p w14:paraId="14DA4E87" w14:textId="244BF3A0" w:rsidR="00C449A4" w:rsidRDefault="00C449A4"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7"/>
      <w:gridCol w:w="2776"/>
      <w:gridCol w:w="2619"/>
    </w:tblGrid>
    <w:tr w:rsidR="00C449A4" w:rsidRPr="00456730" w14:paraId="51FF3F0B" w14:textId="77777777" w:rsidTr="008E4B18">
      <w:trPr>
        <w:cantSplit/>
        <w:trHeight w:val="254"/>
        <w:jc w:val="center"/>
      </w:trPr>
      <w:tc>
        <w:tcPr>
          <w:tcW w:w="2314" w:type="pct"/>
          <w:vAlign w:val="center"/>
        </w:tcPr>
        <w:p w14:paraId="16034067" w14:textId="77777777" w:rsidR="00C449A4" w:rsidRPr="00456730" w:rsidRDefault="00C449A4"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15CA5B1B" w14:textId="77777777" w:rsidR="00C449A4" w:rsidRPr="00456730" w:rsidRDefault="00C449A4"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0F15CA51" w14:textId="77777777" w:rsidR="00C449A4" w:rsidRPr="00456730" w:rsidRDefault="00C449A4" w:rsidP="00456730">
          <w:pPr>
            <w:contextualSpacing/>
            <w:rPr>
              <w:rFonts w:cs="Arial"/>
              <w:iCs/>
              <w:sz w:val="14"/>
            </w:rPr>
          </w:pPr>
          <w:r w:rsidRPr="00456730">
            <w:rPr>
              <w:rFonts w:cs="Arial"/>
              <w:b/>
              <w:iCs/>
              <w:sz w:val="14"/>
            </w:rPr>
            <w:t xml:space="preserve">Versión: </w:t>
          </w:r>
          <w:r>
            <w:rPr>
              <w:rFonts w:cs="Arial"/>
              <w:iCs/>
              <w:sz w:val="14"/>
            </w:rPr>
            <w:t>1</w:t>
          </w:r>
        </w:p>
      </w:tc>
    </w:tr>
    <w:tr w:rsidR="00C449A4" w:rsidRPr="00456730" w14:paraId="197BB0B3" w14:textId="77777777" w:rsidTr="008E4B18">
      <w:trPr>
        <w:cantSplit/>
        <w:trHeight w:val="261"/>
        <w:jc w:val="center"/>
      </w:trPr>
      <w:tc>
        <w:tcPr>
          <w:tcW w:w="2314" w:type="pct"/>
          <w:vAlign w:val="center"/>
        </w:tcPr>
        <w:p w14:paraId="48227CFC" w14:textId="77777777" w:rsidR="00C449A4" w:rsidRPr="00456730" w:rsidRDefault="00C449A4" w:rsidP="00456730">
          <w:pPr>
            <w:ind w:left="923" w:hanging="923"/>
            <w:contextualSpacing/>
            <w:rPr>
              <w:rFonts w:cs="Arial"/>
              <w:bCs/>
              <w:iCs/>
              <w:sz w:val="14"/>
            </w:rPr>
          </w:pPr>
          <w:r w:rsidRPr="00456730">
            <w:rPr>
              <w:rFonts w:cs="Arial"/>
              <w:iCs/>
              <w:sz w:val="14"/>
            </w:rPr>
            <w:t xml:space="preserve">Documento   </w:t>
          </w:r>
          <w:proofErr w:type="spellStart"/>
          <w:r w:rsidRPr="00456730">
            <w:rPr>
              <w:rFonts w:cs="Arial"/>
              <w:b/>
              <w:iCs/>
              <w:sz w:val="14"/>
            </w:rPr>
            <w:t>DOCUMENTO</w:t>
          </w:r>
          <w:proofErr w:type="spellEnd"/>
          <w:r w:rsidRPr="00456730">
            <w:rPr>
              <w:rFonts w:cs="Arial"/>
              <w:b/>
              <w:iCs/>
              <w:sz w:val="14"/>
            </w:rPr>
            <w:t xml:space="preserve"> CREG</w:t>
          </w:r>
        </w:p>
      </w:tc>
      <w:tc>
        <w:tcPr>
          <w:tcW w:w="1382" w:type="pct"/>
          <w:vAlign w:val="center"/>
        </w:tcPr>
        <w:p w14:paraId="6E21B047" w14:textId="77777777" w:rsidR="00C449A4" w:rsidRPr="00456730" w:rsidRDefault="00C449A4" w:rsidP="008B734F">
          <w:pPr>
            <w:contextualSpacing/>
            <w:rPr>
              <w:rFonts w:cs="Arial"/>
              <w:iCs/>
              <w:sz w:val="14"/>
            </w:rPr>
          </w:pPr>
          <w:r w:rsidRPr="00456730">
            <w:rPr>
              <w:rFonts w:cs="Arial"/>
              <w:b/>
              <w:iCs/>
              <w:sz w:val="14"/>
            </w:rPr>
            <w:t xml:space="preserve">Fecha última revisión: </w:t>
          </w:r>
          <w:r>
            <w:rPr>
              <w:rFonts w:cs="Arial"/>
              <w:b/>
              <w:iCs/>
              <w:sz w:val="14"/>
            </w:rPr>
            <w:t>14/11/2017</w:t>
          </w:r>
        </w:p>
      </w:tc>
      <w:tc>
        <w:tcPr>
          <w:tcW w:w="1304" w:type="pct"/>
          <w:vAlign w:val="center"/>
        </w:tcPr>
        <w:p w14:paraId="1D7480BE" w14:textId="4DBB6484" w:rsidR="00C449A4" w:rsidRPr="00456730" w:rsidRDefault="00C449A4" w:rsidP="00B60742">
          <w:pPr>
            <w:contextualSpacing/>
            <w:rPr>
              <w:rFonts w:cs="Arial"/>
              <w:iCs/>
              <w:sz w:val="14"/>
            </w:rPr>
          </w:pPr>
          <w:r w:rsidRPr="00456730">
            <w:rPr>
              <w:rFonts w:cs="Arial"/>
              <w:b/>
              <w:iCs/>
              <w:sz w:val="14"/>
            </w:rPr>
            <w:t>Página:</w:t>
          </w:r>
          <w:r w:rsidRPr="00456730">
            <w:rPr>
              <w:rFonts w:cs="Arial"/>
              <w:iCs/>
              <w:sz w:val="14"/>
            </w:rPr>
            <w:t xml:space="preserve"> </w:t>
          </w:r>
          <w:r w:rsidR="0064404C">
            <w:rPr>
              <w:rFonts w:cs="Arial"/>
              <w:iCs/>
              <w:sz w:val="14"/>
            </w:rPr>
            <w:t>1</w:t>
          </w:r>
        </w:p>
      </w:tc>
    </w:tr>
  </w:tbl>
  <w:p w14:paraId="393674EE" w14:textId="77777777" w:rsidR="00C449A4" w:rsidRPr="00BE2C84" w:rsidRDefault="00C449A4" w:rsidP="00DD7346">
    <w:pPr>
      <w:ind w:right="-449"/>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7"/>
      <w:gridCol w:w="2776"/>
      <w:gridCol w:w="2619"/>
    </w:tblGrid>
    <w:tr w:rsidR="00C449A4" w:rsidRPr="00456730" w14:paraId="19C50FCB" w14:textId="77777777" w:rsidTr="00B97D41">
      <w:trPr>
        <w:cantSplit/>
        <w:trHeight w:val="254"/>
      </w:trPr>
      <w:tc>
        <w:tcPr>
          <w:tcW w:w="2314" w:type="pct"/>
          <w:vAlign w:val="center"/>
        </w:tcPr>
        <w:p w14:paraId="4F10348B" w14:textId="77777777" w:rsidR="00C449A4" w:rsidRPr="00456730" w:rsidRDefault="00C449A4" w:rsidP="000E2B75">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3BBC999B" w14:textId="77777777" w:rsidR="00C449A4" w:rsidRPr="00456730" w:rsidRDefault="00C449A4" w:rsidP="000E2B75">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4D5D925E" w14:textId="77777777" w:rsidR="00C449A4" w:rsidRPr="00456730" w:rsidRDefault="00C449A4" w:rsidP="000E2B75">
          <w:pPr>
            <w:contextualSpacing/>
            <w:rPr>
              <w:rFonts w:cs="Arial"/>
              <w:iCs/>
              <w:sz w:val="14"/>
            </w:rPr>
          </w:pPr>
          <w:r w:rsidRPr="00456730">
            <w:rPr>
              <w:rFonts w:cs="Arial"/>
              <w:b/>
              <w:iCs/>
              <w:sz w:val="14"/>
            </w:rPr>
            <w:t xml:space="preserve">Versión: </w:t>
          </w:r>
          <w:r>
            <w:rPr>
              <w:rFonts w:cs="Arial"/>
              <w:iCs/>
              <w:sz w:val="14"/>
            </w:rPr>
            <w:t>1</w:t>
          </w:r>
        </w:p>
      </w:tc>
    </w:tr>
    <w:tr w:rsidR="00C449A4" w:rsidRPr="00456730" w14:paraId="69AE01A0" w14:textId="77777777" w:rsidTr="00B97D41">
      <w:trPr>
        <w:cantSplit/>
        <w:trHeight w:val="261"/>
      </w:trPr>
      <w:tc>
        <w:tcPr>
          <w:tcW w:w="2314" w:type="pct"/>
          <w:vAlign w:val="center"/>
        </w:tcPr>
        <w:p w14:paraId="37FBAAF3" w14:textId="77777777" w:rsidR="00C449A4" w:rsidRPr="00456730" w:rsidRDefault="00C449A4" w:rsidP="000E2B75">
          <w:pPr>
            <w:ind w:left="923" w:hanging="923"/>
            <w:contextualSpacing/>
            <w:rPr>
              <w:rFonts w:cs="Arial"/>
              <w:bCs/>
              <w:iCs/>
              <w:sz w:val="14"/>
            </w:rPr>
          </w:pPr>
          <w:r w:rsidRPr="00456730">
            <w:rPr>
              <w:rFonts w:cs="Arial"/>
              <w:iCs/>
              <w:sz w:val="14"/>
            </w:rPr>
            <w:t xml:space="preserve">Documento   </w:t>
          </w:r>
          <w:proofErr w:type="spellStart"/>
          <w:r w:rsidRPr="00456730">
            <w:rPr>
              <w:rFonts w:cs="Arial"/>
              <w:b/>
              <w:iCs/>
              <w:sz w:val="14"/>
            </w:rPr>
            <w:t>DOCUMENTO</w:t>
          </w:r>
          <w:proofErr w:type="spellEnd"/>
          <w:r w:rsidRPr="00456730">
            <w:rPr>
              <w:rFonts w:cs="Arial"/>
              <w:b/>
              <w:iCs/>
              <w:sz w:val="14"/>
            </w:rPr>
            <w:t xml:space="preserve"> CREG</w:t>
          </w:r>
        </w:p>
      </w:tc>
      <w:tc>
        <w:tcPr>
          <w:tcW w:w="1382" w:type="pct"/>
          <w:vAlign w:val="center"/>
        </w:tcPr>
        <w:p w14:paraId="4CD9FBB3" w14:textId="77777777" w:rsidR="00C449A4" w:rsidRPr="00456730" w:rsidRDefault="00C449A4" w:rsidP="000E2B75">
          <w:pPr>
            <w:contextualSpacing/>
            <w:rPr>
              <w:rFonts w:cs="Arial"/>
              <w:iCs/>
              <w:sz w:val="14"/>
            </w:rPr>
          </w:pPr>
          <w:r w:rsidRPr="00456730">
            <w:rPr>
              <w:rFonts w:cs="Arial"/>
              <w:b/>
              <w:iCs/>
              <w:sz w:val="14"/>
            </w:rPr>
            <w:t xml:space="preserve">Fecha última revisión: </w:t>
          </w:r>
          <w:r>
            <w:rPr>
              <w:rFonts w:cs="Arial"/>
              <w:b/>
              <w:iCs/>
              <w:sz w:val="14"/>
            </w:rPr>
            <w:t>14/11/2017</w:t>
          </w:r>
        </w:p>
      </w:tc>
      <w:tc>
        <w:tcPr>
          <w:tcW w:w="1304" w:type="pct"/>
          <w:vAlign w:val="center"/>
        </w:tcPr>
        <w:p w14:paraId="6199F08B" w14:textId="49A22CC6" w:rsidR="00C449A4" w:rsidRPr="00456730" w:rsidRDefault="00C449A4" w:rsidP="000E2B75">
          <w:pPr>
            <w:contextualSpacing/>
            <w:rPr>
              <w:rFonts w:cs="Arial"/>
              <w:iCs/>
              <w:sz w:val="14"/>
            </w:rPr>
          </w:pPr>
          <w:r w:rsidRPr="00456730">
            <w:rPr>
              <w:rFonts w:cs="Arial"/>
              <w:b/>
              <w:iCs/>
              <w:sz w:val="14"/>
            </w:rPr>
            <w:t>Página:</w:t>
          </w:r>
          <w:r w:rsidRPr="00456730">
            <w:rPr>
              <w:rFonts w:cs="Arial"/>
              <w:iCs/>
              <w:sz w:val="14"/>
            </w:rPr>
            <w:t xml:space="preserve"> </w:t>
          </w:r>
          <w:r w:rsidR="0064404C">
            <w:rPr>
              <w:rFonts w:cs="Arial"/>
              <w:iCs/>
              <w:sz w:val="14"/>
            </w:rPr>
            <w:t>3</w:t>
          </w:r>
        </w:p>
      </w:tc>
    </w:tr>
  </w:tbl>
  <w:p w14:paraId="15B99F73" w14:textId="77777777" w:rsidR="00C449A4" w:rsidRDefault="00C449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79C6C" w14:textId="77777777" w:rsidR="00EE305B" w:rsidRDefault="00EE305B">
      <w:r>
        <w:separator/>
      </w:r>
    </w:p>
  </w:footnote>
  <w:footnote w:type="continuationSeparator" w:id="0">
    <w:p w14:paraId="10A7656D" w14:textId="77777777" w:rsidR="00EE305B" w:rsidRDefault="00EE305B">
      <w:r>
        <w:continuationSeparator/>
      </w:r>
    </w:p>
  </w:footnote>
  <w:footnote w:type="continuationNotice" w:id="1">
    <w:p w14:paraId="49ABE8A8" w14:textId="77777777" w:rsidR="00EE305B" w:rsidRDefault="00EE305B"/>
  </w:footnote>
  <w:footnote w:id="2">
    <w:p w14:paraId="6D33E872" w14:textId="06392779" w:rsidR="007A489B" w:rsidRPr="007A489B" w:rsidRDefault="007A489B" w:rsidP="007A489B">
      <w:pPr>
        <w:pStyle w:val="Textonotapie"/>
        <w:rPr>
          <w:lang w:val="es-CO"/>
        </w:rPr>
      </w:pPr>
      <w:r>
        <w:rPr>
          <w:rStyle w:val="Refdenotaalpie"/>
        </w:rPr>
        <w:footnoteRef/>
      </w:r>
      <w:r>
        <w:t xml:space="preserve"> Artículo 2.2.1.4</w:t>
      </w:r>
      <w:r w:rsidR="006D452A">
        <w:t xml:space="preserve"> “</w:t>
      </w:r>
      <w:r w:rsidR="006D452A" w:rsidRPr="006D452A">
        <w:rPr>
          <w:i/>
          <w:iCs/>
        </w:rPr>
        <w:t>Definiciones</w:t>
      </w:r>
      <w:r w:rsidR="006D452A">
        <w:t>” del</w:t>
      </w:r>
      <w:r>
        <w:t xml:space="preserve"> Decreto 1073 de 2015: “</w:t>
      </w:r>
      <w:r w:rsidRPr="007A489B">
        <w:rPr>
          <w:i/>
          <w:iCs/>
        </w:rPr>
        <w:t>Cantidades Importadas Disponibles para la Venta - CIDV: Cantidades diarias promedio mes de gas natural, medidas en GBTUD, que un Agente Importador estima tendrá disponibles para la venta para consumo interno, en un período determinado, a través de contratos de suministro</w:t>
      </w:r>
      <w:r>
        <w:t>.”</w:t>
      </w:r>
    </w:p>
  </w:footnote>
  <w:footnote w:id="3">
    <w:p w14:paraId="654BC5FD" w14:textId="06BB2C49" w:rsidR="00CA1CF8" w:rsidRPr="00CA1CF8" w:rsidRDefault="00CA1CF8" w:rsidP="00CA1CF8">
      <w:pPr>
        <w:pStyle w:val="Textonotapie"/>
        <w:rPr>
          <w:lang w:val="es-CO"/>
        </w:rPr>
      </w:pPr>
      <w:r>
        <w:rPr>
          <w:rStyle w:val="Refdenotaalpie"/>
        </w:rPr>
        <w:footnoteRef/>
      </w:r>
      <w:r>
        <w:t xml:space="preserve"> </w:t>
      </w:r>
      <w:r>
        <w:rPr>
          <w:lang w:val="es-CO"/>
        </w:rPr>
        <w:t>Artículo 2.2.2.1.4 “</w:t>
      </w:r>
      <w:r w:rsidRPr="008477BE">
        <w:rPr>
          <w:i/>
          <w:iCs/>
          <w:lang w:val="es-CO"/>
        </w:rPr>
        <w:t>Definiciones</w:t>
      </w:r>
      <w:r>
        <w:rPr>
          <w:lang w:val="es-CO"/>
        </w:rPr>
        <w:t>” del Decreto 1073 de 2015: “</w:t>
      </w:r>
      <w:r>
        <w:rPr>
          <w:i/>
          <w:iCs/>
          <w:lang w:val="es-CO"/>
        </w:rPr>
        <w:t>Respaldo Físico</w:t>
      </w:r>
      <w:r w:rsidRPr="008477BE">
        <w:rPr>
          <w:i/>
          <w:iCs/>
          <w:lang w:val="es-CO"/>
        </w:rPr>
        <w:t>:</w:t>
      </w:r>
      <w:r w:rsidRPr="00CA1CF8">
        <w:t xml:space="preserve"> </w:t>
      </w:r>
      <w:r w:rsidRPr="00CA1CF8">
        <w:rPr>
          <w:i/>
          <w:iCs/>
          <w:lang w:val="es-CO"/>
        </w:rPr>
        <w:t>Garantía de que un productor cuenta con Reservas de Gas Natural, o que un comercializador cuenta físicamente con el gas</w:t>
      </w:r>
      <w:r>
        <w:rPr>
          <w:i/>
          <w:iCs/>
          <w:lang w:val="es-CO"/>
        </w:rPr>
        <w:t xml:space="preserve"> </w:t>
      </w:r>
      <w:r w:rsidRPr="00CA1CF8">
        <w:rPr>
          <w:i/>
          <w:iCs/>
          <w:lang w:val="es-CO"/>
        </w:rPr>
        <w:t>natural, o que un transportador cuenta físicamente con la capacidad de transporte para asumir y cumplir compromisos contractuales Firmes</w:t>
      </w:r>
      <w:r>
        <w:rPr>
          <w:i/>
          <w:iCs/>
          <w:lang w:val="es-CO"/>
        </w:rPr>
        <w:t xml:space="preserve"> </w:t>
      </w:r>
      <w:r w:rsidRPr="00CA1CF8">
        <w:rPr>
          <w:i/>
          <w:iCs/>
          <w:lang w:val="es-CO"/>
        </w:rPr>
        <w:t>o que Garantizan Firmeza desde el momento en que se inicien las entregas hasta el cese de las mismas</w:t>
      </w:r>
      <w:r w:rsidRPr="008477BE">
        <w:rPr>
          <w:lang w:val="es-CO"/>
        </w:rPr>
        <w:t>.</w:t>
      </w:r>
      <w:r>
        <w:rPr>
          <w:lang w:val="es-CO"/>
        </w:rPr>
        <w:t>”</w:t>
      </w:r>
    </w:p>
  </w:footnote>
  <w:footnote w:id="4">
    <w:p w14:paraId="73A211CB" w14:textId="7B2C03B1" w:rsidR="00CA1CF8" w:rsidRPr="00CA1CF8" w:rsidRDefault="00CA1CF8" w:rsidP="00CA1CF8">
      <w:pPr>
        <w:pStyle w:val="Textonotapie"/>
        <w:rPr>
          <w:lang w:val="es-CO"/>
        </w:rPr>
      </w:pPr>
      <w:r>
        <w:rPr>
          <w:rStyle w:val="Refdenotaalpie"/>
        </w:rPr>
        <w:footnoteRef/>
      </w:r>
      <w:r>
        <w:t xml:space="preserve"> </w:t>
      </w:r>
      <w:r>
        <w:rPr>
          <w:lang w:val="es-CO"/>
        </w:rPr>
        <w:t>Artículo 2.2.2.1.4 “</w:t>
      </w:r>
      <w:r w:rsidRPr="008477BE">
        <w:rPr>
          <w:i/>
          <w:iCs/>
          <w:lang w:val="es-CO"/>
        </w:rPr>
        <w:t>Definiciones</w:t>
      </w:r>
      <w:r>
        <w:rPr>
          <w:lang w:val="es-CO"/>
        </w:rPr>
        <w:t>” del Decreto 1073 de 2015: “</w:t>
      </w:r>
      <w:r w:rsidRPr="00CA1CF8">
        <w:rPr>
          <w:i/>
          <w:iCs/>
        </w:rPr>
        <w:t>Reservas de Gas Natural: Son las reservas probadas y probables certificadas por los productores de gas a la ANH</w:t>
      </w:r>
      <w:r>
        <w:t>.”</w:t>
      </w:r>
    </w:p>
  </w:footnote>
  <w:footnote w:id="5">
    <w:p w14:paraId="298A1208" w14:textId="14E79B09" w:rsidR="00CA1CF8" w:rsidRDefault="00CA1CF8" w:rsidP="00CA1CF8">
      <w:pPr>
        <w:pStyle w:val="Textonotapie"/>
      </w:pPr>
      <w:r>
        <w:rPr>
          <w:rStyle w:val="Refdenotaalpie"/>
        </w:rPr>
        <w:footnoteRef/>
      </w:r>
      <w:r>
        <w:t xml:space="preserve"> </w:t>
      </w:r>
      <w:r>
        <w:rPr>
          <w:lang w:val="es-CO"/>
        </w:rPr>
        <w:t>Artículo 2.2.2.1.4 “</w:t>
      </w:r>
      <w:r w:rsidRPr="008477BE">
        <w:rPr>
          <w:i/>
          <w:iCs/>
          <w:lang w:val="es-CO"/>
        </w:rPr>
        <w:t>Definiciones</w:t>
      </w:r>
      <w:r>
        <w:rPr>
          <w:lang w:val="es-CO"/>
        </w:rPr>
        <w:t>” del Decreto 1073 de 2015: “</w:t>
      </w:r>
      <w:r w:rsidRPr="00CA1CF8">
        <w:rPr>
          <w:i/>
          <w:iCs/>
        </w:rPr>
        <w:t>Contrato Firme o que Garantiza Firmeza: Contrato escrito en el que un Agente garantiza el servicio de suministro de una cantidad máxima</w:t>
      </w:r>
      <w:r>
        <w:rPr>
          <w:i/>
          <w:iCs/>
        </w:rPr>
        <w:t xml:space="preserve"> </w:t>
      </w:r>
      <w:r w:rsidRPr="00CA1CF8">
        <w:rPr>
          <w:i/>
          <w:iCs/>
        </w:rPr>
        <w:t>de gas natural y/o de capacidad máxima de transporte, sin interrupciones, durante un período determinado, excepto en los días</w:t>
      </w:r>
      <w:r>
        <w:rPr>
          <w:i/>
          <w:iCs/>
        </w:rPr>
        <w:t xml:space="preserve"> </w:t>
      </w:r>
      <w:r w:rsidRPr="00CA1CF8">
        <w:rPr>
          <w:i/>
          <w:iCs/>
        </w:rPr>
        <w:t>establecidos para mantenimiento y labores programadas. Esta modalidad de contrato requiere de Respaldo Físico</w:t>
      </w:r>
      <w:r>
        <w:t>.”</w:t>
      </w:r>
    </w:p>
    <w:p w14:paraId="4E2DC9E3" w14:textId="30E27840" w:rsidR="00CA1CF8" w:rsidRPr="00CA1CF8" w:rsidRDefault="00CA1CF8">
      <w:pPr>
        <w:pStyle w:val="Textonotapie"/>
        <w:rPr>
          <w:lang w:val="es-CO"/>
        </w:rPr>
      </w:pPr>
    </w:p>
  </w:footnote>
  <w:footnote w:id="6">
    <w:p w14:paraId="370D55E9" w14:textId="43FAAA0A" w:rsidR="004726EA" w:rsidRPr="00E343E4" w:rsidRDefault="004726EA" w:rsidP="004726EA">
      <w:pPr>
        <w:pStyle w:val="Textonotapie"/>
        <w:rPr>
          <w:lang w:val="es-CO"/>
        </w:rPr>
      </w:pPr>
      <w:r>
        <w:rPr>
          <w:rStyle w:val="Refdenotaalpie"/>
        </w:rPr>
        <w:footnoteRef/>
      </w:r>
      <w:r>
        <w:t xml:space="preserve"> </w:t>
      </w:r>
      <w:r w:rsidR="00DE2CA4">
        <w:rPr>
          <w:lang w:val="es-CO"/>
        </w:rPr>
        <w:t>Artículo 2.2.2.1.4 “</w:t>
      </w:r>
      <w:r w:rsidR="00DE2CA4" w:rsidRPr="008477BE">
        <w:rPr>
          <w:i/>
          <w:iCs/>
          <w:lang w:val="es-CO"/>
        </w:rPr>
        <w:t>Definiciones</w:t>
      </w:r>
      <w:r w:rsidR="00DE2CA4">
        <w:rPr>
          <w:lang w:val="es-CO"/>
        </w:rPr>
        <w:t xml:space="preserve">” del Decreto 1073 de 2015: </w:t>
      </w:r>
      <w:r w:rsidRPr="00DE2CA4">
        <w:rPr>
          <w:i/>
          <w:iCs/>
        </w:rPr>
        <w:t>Producción Total Disponible para la Venta – PTDV</w:t>
      </w:r>
      <w:r w:rsidR="00DE2CA4">
        <w:t xml:space="preserve">: </w:t>
      </w:r>
      <w:r w:rsidRPr="00DE2CA4">
        <w:rPr>
          <w:i/>
          <w:iCs/>
        </w:rPr>
        <w:t>Totalidad de las cantidades diarias promedio mes de gas natural, medidas en GBTUD, que un productor o productor comercializador estima que tendrá disponibles para la venta bajo cualquier modalidad, en un periodo determinado, a través de contratos de suministro en cada campo o en un punto de entrada al SNT. Este pronóstico considera el desarrollo de las Reservas de Gas Natural, la información técnica de los yacimientos del campo de producción a la tasa máxima de recobro y está basado en la capacidad nominal de las instalaciones de producción existentes y proyectadas.</w:t>
      </w:r>
      <w:r w:rsidR="00DE2CA4">
        <w:rPr>
          <w:i/>
          <w:iCs/>
        </w:rPr>
        <w:t>”</w:t>
      </w:r>
    </w:p>
  </w:footnote>
  <w:footnote w:id="7">
    <w:p w14:paraId="15A58EA2" w14:textId="53B7BD95" w:rsidR="004726EA" w:rsidRPr="00D10D6F" w:rsidRDefault="004726EA" w:rsidP="004726EA">
      <w:pPr>
        <w:pStyle w:val="Textonotapie"/>
        <w:rPr>
          <w:lang w:val="es-CO"/>
        </w:rPr>
      </w:pPr>
      <w:r>
        <w:rPr>
          <w:rStyle w:val="Refdenotaalpie"/>
        </w:rPr>
        <w:footnoteRef/>
      </w:r>
      <w:r>
        <w:t xml:space="preserve"> </w:t>
      </w:r>
      <w:r w:rsidR="00DE2CA4">
        <w:rPr>
          <w:lang w:val="es-CO"/>
        </w:rPr>
        <w:t>Artículo 2.2.2.1.4 “</w:t>
      </w:r>
      <w:r w:rsidR="00DE2CA4" w:rsidRPr="008477BE">
        <w:rPr>
          <w:i/>
          <w:iCs/>
          <w:lang w:val="es-CO"/>
        </w:rPr>
        <w:t>Definiciones</w:t>
      </w:r>
      <w:r w:rsidR="00DE2CA4">
        <w:rPr>
          <w:lang w:val="es-CO"/>
        </w:rPr>
        <w:t xml:space="preserve">” del Decreto 1073 de 2015: </w:t>
      </w:r>
      <w:r w:rsidRPr="00DE2CA4">
        <w:rPr>
          <w:i/>
          <w:iCs/>
        </w:rPr>
        <w:t>Cantidades Importadas Disponibles para la Venta – CIDV</w:t>
      </w:r>
      <w:r w:rsidR="00DE2CA4" w:rsidRPr="00DE2CA4">
        <w:rPr>
          <w:i/>
          <w:iCs/>
        </w:rPr>
        <w:t>:</w:t>
      </w:r>
      <w:r w:rsidRPr="00DE2CA4">
        <w:rPr>
          <w:i/>
          <w:iCs/>
        </w:rPr>
        <w:t xml:space="preserve"> Cantidades diarias promedio mes de gas natural, medidas en GBTUD, que un Agente Importador estima tendrá disponibles para la venta para consumo interno, en un período determinado, a través de contratos de suministro.</w:t>
      </w:r>
      <w:r w:rsidR="00DE2CA4" w:rsidRPr="00DE2CA4">
        <w:rPr>
          <w:i/>
          <w:iCs/>
        </w:rPr>
        <w:t>”</w:t>
      </w:r>
    </w:p>
  </w:footnote>
  <w:footnote w:id="8">
    <w:p w14:paraId="4F2BB9A8" w14:textId="34BDF86B" w:rsidR="00AA6A13" w:rsidRPr="00AA6A13" w:rsidRDefault="00AA6A13">
      <w:pPr>
        <w:pStyle w:val="Textonotapie"/>
      </w:pPr>
      <w:r>
        <w:rPr>
          <w:rStyle w:val="Refdenotaalpie"/>
        </w:rPr>
        <w:footnoteRef/>
      </w:r>
      <w:r>
        <w:t xml:space="preserve"> </w:t>
      </w:r>
      <w:r w:rsidRPr="00AA6A13">
        <w:t>La interpretación sistemática es la lectura de la norma que se quiere interpretar, en conjunto con las demás que conforman el ordenamiento en el cual aquella está inserta</w:t>
      </w:r>
      <w:r>
        <w:t>. Corte Constitucional, Sentencia C-649 de 2001.</w:t>
      </w:r>
    </w:p>
  </w:footnote>
  <w:footnote w:id="9">
    <w:p w14:paraId="5EE3AF43" w14:textId="12363EC7" w:rsidR="001B05EB" w:rsidRPr="001B05EB" w:rsidRDefault="001B05EB" w:rsidP="001B05EB">
      <w:pPr>
        <w:pStyle w:val="Textonotapie"/>
        <w:rPr>
          <w:lang w:val="es-CO"/>
        </w:rPr>
      </w:pPr>
      <w:r>
        <w:rPr>
          <w:rStyle w:val="Refdenotaalpie"/>
        </w:rPr>
        <w:footnoteRef/>
      </w:r>
      <w:r>
        <w:t xml:space="preserve"> “</w:t>
      </w:r>
      <w:r w:rsidRPr="001B05EB">
        <w:rPr>
          <w:i/>
          <w:iCs/>
        </w:rPr>
        <w:t>Agente Importador de Gas: Persona jurídica que importa gas. Cuando el Agente Importador vende gas importado para la atención del servicio público domiciliario de gas combustible, es un comercializador.”</w:t>
      </w:r>
    </w:p>
  </w:footnote>
  <w:footnote w:id="10">
    <w:p w14:paraId="678903BA" w14:textId="3E8AC2FD" w:rsidR="00AC3D6C" w:rsidRPr="00AC3D6C" w:rsidRDefault="00AC3D6C" w:rsidP="00AC3D6C">
      <w:pPr>
        <w:pStyle w:val="Textonotapie"/>
        <w:rPr>
          <w:lang w:val="es-CO"/>
        </w:rPr>
      </w:pPr>
      <w:r>
        <w:rPr>
          <w:rStyle w:val="Refdenotaalpie"/>
        </w:rPr>
        <w:footnoteRef/>
      </w:r>
      <w:r>
        <w:t xml:space="preserve"> “</w:t>
      </w:r>
      <w:r w:rsidRPr="00AC3D6C">
        <w:rPr>
          <w:i/>
          <w:iCs/>
        </w:rPr>
        <w:t xml:space="preserve">ARTÍCULO 2.2.2.2.22. Actualización de la declaración de producción. Todos los productores, los productores-comercializadores de gas natural y los comercializadores de gas importado obligados a declarar conforme a lo previsto en el presente Decreto, </w:t>
      </w:r>
      <w:r w:rsidRPr="00AC3D6C">
        <w:rPr>
          <w:b/>
          <w:bCs/>
          <w:i/>
          <w:iCs/>
          <w:u w:val="single"/>
        </w:rPr>
        <w:t>deberán actualizar su declaración</w:t>
      </w:r>
      <w:r w:rsidRPr="00AC3D6C">
        <w:rPr>
          <w:i/>
          <w:iCs/>
        </w:rPr>
        <w:t xml:space="preserve"> exponiendo y documentando las razones que la justifican, por variación en la información disponible al momento de la declaración y/</w:t>
      </w:r>
      <w:r w:rsidRPr="00AC3D6C">
        <w:rPr>
          <w:b/>
          <w:bCs/>
          <w:i/>
          <w:iCs/>
          <w:u w:val="single"/>
        </w:rPr>
        <w:t>o inmediatamente se surta un procedimiento de comercialización</w:t>
      </w:r>
      <w:r w:rsidRPr="00AC3D6C">
        <w:rPr>
          <w:i/>
          <w:iCs/>
        </w:rPr>
        <w:t>, conforme a lo previsto en este Decreto</w:t>
      </w:r>
      <w:r>
        <w:t>.” (subrayado con resaltado fuera de texto)</w:t>
      </w:r>
    </w:p>
  </w:footnote>
  <w:footnote w:id="11">
    <w:p w14:paraId="4232D0E2" w14:textId="7E88D476" w:rsidR="00022786" w:rsidRPr="00022786" w:rsidRDefault="00022786" w:rsidP="00064BDD">
      <w:pPr>
        <w:pStyle w:val="Textonotapie"/>
        <w:rPr>
          <w:lang w:val="es-CO"/>
        </w:rPr>
      </w:pPr>
      <w:r>
        <w:rPr>
          <w:rStyle w:val="Refdenotaalpie"/>
        </w:rPr>
        <w:footnoteRef/>
      </w:r>
      <w:r>
        <w:t xml:space="preserve"> </w:t>
      </w:r>
      <w:r w:rsidR="00064BDD">
        <w:t>ARTÍCULO 2.2.2.2.41. del Decreto 1073 de 2015</w:t>
      </w:r>
      <w:r w:rsidR="0090129F">
        <w:t xml:space="preserve"> “</w:t>
      </w:r>
      <w:r w:rsidR="004D02F0" w:rsidRPr="004D02F0">
        <w:rPr>
          <w:i/>
          <w:iCs/>
        </w:rPr>
        <w:t>Incentivos para la importación de gas natural</w:t>
      </w:r>
      <w:r w:rsidR="00064BDD" w:rsidRPr="004D02F0">
        <w:rPr>
          <w:i/>
          <w:iCs/>
        </w:rPr>
        <w:t>:</w:t>
      </w:r>
      <w:r w:rsidR="00064BDD">
        <w:t xml:space="preserve"> </w:t>
      </w:r>
      <w:r w:rsidR="00064BDD" w:rsidRPr="004D02F0">
        <w:rPr>
          <w:i/>
          <w:iCs/>
        </w:rPr>
        <w:t xml:space="preserve">La CREG podrá implementar mecanismos para incentivar la </w:t>
      </w:r>
      <w:r w:rsidR="0090129F">
        <w:rPr>
          <w:i/>
          <w:iCs/>
        </w:rPr>
        <w:t xml:space="preserve">importación de gas natural </w:t>
      </w:r>
      <w:r w:rsidR="00064BDD" w:rsidRPr="004D02F0">
        <w:rPr>
          <w:i/>
          <w:iCs/>
        </w:rPr>
        <w:t>con el fin de promover el abastecimiento de este energético</w:t>
      </w:r>
      <w:r w:rsidR="0090129F">
        <w:rPr>
          <w:i/>
          <w:iCs/>
        </w:rPr>
        <w:t>”</w:t>
      </w:r>
      <w:r w:rsidR="00064BDD">
        <w:t>.</w:t>
      </w:r>
    </w:p>
  </w:footnote>
  <w:footnote w:id="12">
    <w:p w14:paraId="7A241501" w14:textId="0C9EDFD4" w:rsidR="00D377BD" w:rsidRPr="00D377BD" w:rsidRDefault="00D377BD">
      <w:pPr>
        <w:pStyle w:val="Textonotapie"/>
        <w:rPr>
          <w:lang w:val="es-CO"/>
        </w:rPr>
      </w:pPr>
      <w:r>
        <w:rPr>
          <w:rStyle w:val="Refdenotaalpie"/>
        </w:rPr>
        <w:footnoteRef/>
      </w:r>
      <w:r>
        <w:t xml:space="preserve"> El uso de este término </w:t>
      </w:r>
      <w:r w:rsidR="00867A0F">
        <w:t xml:space="preserve">en el presente documento </w:t>
      </w:r>
      <w:r w:rsidR="005F70D2">
        <w:t>corresponde a</w:t>
      </w:r>
      <w:r w:rsidR="008C75DB">
        <w:t xml:space="preserve"> la definición de la Real Academia de la Lengua </w:t>
      </w:r>
      <w:r w:rsidR="008C75DB" w:rsidRPr="008C75DB">
        <w:t xml:space="preserve">2. </w:t>
      </w:r>
      <w:r w:rsidR="008C75DB">
        <w:t>“</w:t>
      </w:r>
      <w:r w:rsidR="008C75DB" w:rsidRPr="008C75DB">
        <w:t>m. Método de ejecutar algunas cosas</w:t>
      </w:r>
      <w:r w:rsidR="008C75DB">
        <w:t xml:space="preserve">”. </w:t>
      </w:r>
      <w:hyperlink r:id="rId1" w:history="1">
        <w:r w:rsidR="001204BF" w:rsidRPr="00B24056">
          <w:rPr>
            <w:rStyle w:val="Hipervnculo"/>
          </w:rPr>
          <w:t>https://dle.rae.es/procedimiento</w:t>
        </w:r>
      </w:hyperlink>
      <w:r w:rsidR="001204BF">
        <w:t xml:space="preserve"> </w:t>
      </w:r>
    </w:p>
  </w:footnote>
  <w:footnote w:id="13">
    <w:p w14:paraId="4BB7CD9C" w14:textId="37CF42FD" w:rsidR="00AA05BE" w:rsidRPr="00AA05BE" w:rsidRDefault="00AA05BE">
      <w:pPr>
        <w:pStyle w:val="Textonotapie"/>
        <w:rPr>
          <w:lang w:val="es-CO"/>
        </w:rPr>
      </w:pPr>
      <w:r>
        <w:rPr>
          <w:rStyle w:val="Refdenotaalpie"/>
        </w:rPr>
        <w:footnoteRef/>
      </w:r>
      <w:r>
        <w:t xml:space="preserve"> </w:t>
      </w:r>
      <w:r w:rsidRPr="00AA05BE">
        <w:t>“</w:t>
      </w:r>
      <w:r w:rsidRPr="00AA05BE">
        <w:rPr>
          <w:i/>
          <w:iCs/>
        </w:rPr>
        <w:t>ARTÍCULO 2.2.2.2.22. Actualización de la declaración de producción. Todos los productores, los productores-comercializadores de gas natural y los comercializadores de gas importado obligados a declarar conforme a lo previsto en el presente Decreto, deberán actualizar su declaración exponiendo y documentando las razones que la justifican, por variación en la información disponible al momento de la declaración y/o inmediatamente se surta un procedimiento de comercialización, conforme a lo previsto en este Decreto</w:t>
      </w:r>
      <w:r w:rsidRPr="00AA05BE">
        <w:t>.” (subrayado con resaltado fuera de texto).</w:t>
      </w:r>
    </w:p>
  </w:footnote>
  <w:footnote w:id="14">
    <w:p w14:paraId="02FB7419" w14:textId="5FFFD6A0" w:rsidR="007502D2" w:rsidRPr="007502D2" w:rsidRDefault="007502D2" w:rsidP="007502D2">
      <w:pPr>
        <w:pStyle w:val="Textonotapie"/>
        <w:rPr>
          <w:lang w:val="es-CO"/>
        </w:rPr>
      </w:pPr>
      <w:r>
        <w:rPr>
          <w:rStyle w:val="Refdenotaalpie"/>
        </w:rPr>
        <w:footnoteRef/>
      </w:r>
      <w:r>
        <w:t xml:space="preserve"> “</w:t>
      </w:r>
      <w:r w:rsidRPr="007502D2">
        <w:rPr>
          <w:i/>
          <w:iCs/>
        </w:rPr>
        <w:t xml:space="preserve">Producción Comprometida de un Productor- PC: Cantidades diarias promedio mes de gas natural, medidas en GBTUD, que un productor tiene comprometidas para la venta </w:t>
      </w:r>
      <w:r w:rsidRPr="007502D2">
        <w:rPr>
          <w:b/>
          <w:bCs/>
          <w:i/>
          <w:iCs/>
          <w:u w:val="single"/>
        </w:rPr>
        <w:t>mediante contratos de suministro firmes o que garanticen firmeza</w:t>
      </w:r>
      <w:r w:rsidRPr="007502D2">
        <w:rPr>
          <w:i/>
          <w:iCs/>
        </w:rPr>
        <w:t>, para cada campo o en un punto de entrada al SNT. Incluye, además, el consumo de gas por productores establecido en el artículo 2.2.2.2.21 de este Decreto</w:t>
      </w:r>
      <w:r>
        <w:t>.” (subrayado con resaltado fuera de texto).</w:t>
      </w:r>
    </w:p>
  </w:footnote>
  <w:footnote w:id="15">
    <w:p w14:paraId="724652D8" w14:textId="1D8B20D7" w:rsidR="00A16051" w:rsidRPr="00A16051" w:rsidRDefault="00A16051" w:rsidP="00274696">
      <w:pPr>
        <w:pStyle w:val="Textonotapie"/>
        <w:rPr>
          <w:lang w:val="es-CO"/>
        </w:rPr>
      </w:pPr>
      <w:r>
        <w:rPr>
          <w:rStyle w:val="Refdenotaalpie"/>
        </w:rPr>
        <w:footnoteRef/>
      </w:r>
      <w:r>
        <w:t xml:space="preserve"> </w:t>
      </w:r>
      <w:r w:rsidR="00274696">
        <w:t>“</w:t>
      </w:r>
      <w:r w:rsidR="00274696" w:rsidRPr="00274696">
        <w:rPr>
          <w:i/>
          <w:iCs/>
        </w:rPr>
        <w:t>b) Señalar la información que será declarada por los participantes del mercado y establecer los mecanismos y procedimientos para obtener, organizar, revisar y divulgar dicha información en forma oportuna para el funcionamiento del mercado mayorista de gas natural</w:t>
      </w:r>
      <w:r w:rsidR="00274696">
        <w:t>”.</w:t>
      </w:r>
    </w:p>
  </w:footnote>
  <w:footnote w:id="16">
    <w:p w14:paraId="10B9FBD7" w14:textId="34253FF8" w:rsidR="00D37DF3" w:rsidRPr="00D37DF3" w:rsidRDefault="00D37DF3" w:rsidP="00482696">
      <w:pPr>
        <w:pStyle w:val="Textonotapie"/>
        <w:rPr>
          <w:lang w:val="es-CO"/>
        </w:rPr>
      </w:pPr>
      <w:r>
        <w:rPr>
          <w:rStyle w:val="Refdenotaalpie"/>
        </w:rPr>
        <w:footnoteRef/>
      </w:r>
      <w:r>
        <w:t xml:space="preserve"> “</w:t>
      </w:r>
      <w:r w:rsidRPr="00D37DF3">
        <w:rPr>
          <w:i/>
          <w:iCs/>
        </w:rPr>
        <w:t xml:space="preserve">ARTÍCULO 2.2.2.2.20. </w:t>
      </w:r>
      <w:r w:rsidR="002F0ADB" w:rsidRPr="00D37DF3">
        <w:rPr>
          <w:i/>
          <w:iCs/>
        </w:rPr>
        <w:t>Consumo de gas natural por productores.</w:t>
      </w:r>
      <w:r w:rsidR="002F0ADB">
        <w:rPr>
          <w:i/>
          <w:iCs/>
        </w:rPr>
        <w:t xml:space="preserve"> </w:t>
      </w:r>
      <w:r w:rsidRPr="00D37DF3">
        <w:rPr>
          <w:i/>
          <w:iCs/>
        </w:rPr>
        <w:t>El productor o productor-comercializador declarará en los términos previstos en el artículo siguiente las cantidades diarias promedio mes de gas natural, medidas en GBTUD, de las que sea propietario y que sean destinadas para su propio consumo.</w:t>
      </w:r>
      <w:r w:rsidR="00482696" w:rsidRPr="00482696">
        <w:t xml:space="preserve"> </w:t>
      </w:r>
      <w:r w:rsidR="00482696" w:rsidRPr="00482696">
        <w:rPr>
          <w:i/>
          <w:iCs/>
        </w:rPr>
        <w:t>PARÁGRAFO. Si las cantidades de gas natural declaradas en este artículo llegaran a ser ofrecidas para la venta por el productor o por el</w:t>
      </w:r>
      <w:r w:rsidR="00482696">
        <w:rPr>
          <w:i/>
          <w:iCs/>
        </w:rPr>
        <w:t xml:space="preserve"> </w:t>
      </w:r>
      <w:r w:rsidR="00482696" w:rsidRPr="00482696">
        <w:rPr>
          <w:i/>
          <w:iCs/>
        </w:rPr>
        <w:t>productor-comercializador, total o parcialmente, estas se someterán a los mecanismos y procedimientos de comercialización de que trata el</w:t>
      </w:r>
      <w:r w:rsidR="00482696">
        <w:rPr>
          <w:i/>
          <w:iCs/>
        </w:rPr>
        <w:t xml:space="preserve"> </w:t>
      </w:r>
      <w:r w:rsidR="00482696" w:rsidRPr="00482696">
        <w:rPr>
          <w:i/>
          <w:iCs/>
        </w:rPr>
        <w:t>artículo 2.2.2.2.24 de este Decreto.</w:t>
      </w:r>
      <w:r w:rsidRPr="00D37DF3">
        <w:rPr>
          <w:i/>
          <w:iCs/>
        </w:rPr>
        <w:t>”</w:t>
      </w:r>
    </w:p>
  </w:footnote>
  <w:footnote w:id="17">
    <w:p w14:paraId="3AA5234D" w14:textId="06394495" w:rsidR="003A7CE1" w:rsidRPr="003A7CE1" w:rsidRDefault="003A7CE1" w:rsidP="003A7CE1">
      <w:pPr>
        <w:pStyle w:val="Textonotapie"/>
        <w:rPr>
          <w:lang w:val="es-CO"/>
        </w:rPr>
      </w:pPr>
      <w:r>
        <w:rPr>
          <w:rStyle w:val="Refdenotaalpie"/>
        </w:rPr>
        <w:footnoteRef/>
      </w:r>
      <w:r>
        <w:t xml:space="preserve"> </w:t>
      </w:r>
      <w:r>
        <w:rPr>
          <w:lang w:val="es-CO"/>
        </w:rPr>
        <w:t xml:space="preserve">Parágrafo 1 del Artículo 2.2.2.2.16: “(…) y </w:t>
      </w:r>
      <w:r w:rsidRPr="003A7CE1">
        <w:rPr>
          <w:i/>
          <w:iCs/>
          <w:lang w:val="es-CO"/>
        </w:rPr>
        <w:t>los Agentes que atiendan la Demanda Esencial no cuenten con los contratos Firmes o que Garanticen Firmeza asumirán directamente tos costos en que incurran los Agentes que por ello resulten afectados. Lo anterior, sin perjuicio de las acciones administrativas y sanciones que puedan derivarse de este incumplimiento</w:t>
      </w:r>
      <w:r w:rsidRPr="003A7CE1">
        <w:rPr>
          <w:lang w:val="es-CO"/>
        </w:rPr>
        <w:t>.</w:t>
      </w:r>
      <w:r>
        <w:rPr>
          <w:lang w:val="es-CO"/>
        </w:rPr>
        <w:t>”</w:t>
      </w:r>
    </w:p>
  </w:footnote>
  <w:footnote w:id="18">
    <w:p w14:paraId="2498571B" w14:textId="08E251F0" w:rsidR="00083CF5" w:rsidRPr="00083CF5" w:rsidRDefault="00083CF5" w:rsidP="00083CF5">
      <w:pPr>
        <w:pStyle w:val="Textonotapie"/>
        <w:rPr>
          <w:i/>
          <w:iCs/>
        </w:rPr>
      </w:pPr>
      <w:r>
        <w:rPr>
          <w:rStyle w:val="Refdenotaalpie"/>
        </w:rPr>
        <w:footnoteRef/>
      </w:r>
      <w:r>
        <w:t xml:space="preserve"> “</w:t>
      </w:r>
      <w:r w:rsidRPr="00083CF5">
        <w:rPr>
          <w:i/>
          <w:iCs/>
        </w:rPr>
        <w:t>En cuanto al aspecto temporal de esos contratos, se propone un esquema similar al de la asignación de capacidad</w:t>
      </w:r>
      <w:r>
        <w:rPr>
          <w:i/>
          <w:iCs/>
        </w:rPr>
        <w:t xml:space="preserve"> </w:t>
      </w:r>
      <w:r w:rsidRPr="00083CF5">
        <w:rPr>
          <w:i/>
          <w:iCs/>
        </w:rPr>
        <w:t>de transporte incremental en el Reino Unido. Para cada año, estarían disponibles contratos de suministro y</w:t>
      </w:r>
      <w:r>
        <w:rPr>
          <w:i/>
          <w:iCs/>
        </w:rPr>
        <w:t xml:space="preserve"> </w:t>
      </w:r>
      <w:r w:rsidRPr="00083CF5">
        <w:rPr>
          <w:i/>
          <w:iCs/>
        </w:rPr>
        <w:t>contratos de capacidad de regasificación de duración anual, para los próximos diez (10) años. Las obligaciones,</w:t>
      </w:r>
      <w:r>
        <w:rPr>
          <w:i/>
          <w:iCs/>
        </w:rPr>
        <w:t xml:space="preserve"> </w:t>
      </w:r>
      <w:r w:rsidRPr="00083CF5">
        <w:rPr>
          <w:i/>
          <w:iCs/>
        </w:rPr>
        <w:t>que deben ser supervisadas, serían las siguientes</w:t>
      </w:r>
    </w:p>
    <w:p w14:paraId="03527B08" w14:textId="77777777" w:rsidR="00083CF5" w:rsidRPr="00083CF5" w:rsidRDefault="00083CF5" w:rsidP="00083CF5">
      <w:pPr>
        <w:pStyle w:val="Textonotapie"/>
        <w:rPr>
          <w:i/>
          <w:iCs/>
        </w:rPr>
      </w:pPr>
      <w:r w:rsidRPr="00083CF5">
        <w:rPr>
          <w:i/>
          <w:iCs/>
        </w:rPr>
        <w:t> Cada comercializador que sirve a usuarios finales del servicio, o que intermedie con comercializadores</w:t>
      </w:r>
    </w:p>
    <w:p w14:paraId="0E469BAE" w14:textId="77777777" w:rsidR="00083CF5" w:rsidRPr="00083CF5" w:rsidRDefault="00083CF5" w:rsidP="00083CF5">
      <w:pPr>
        <w:pStyle w:val="Textonotapie"/>
        <w:rPr>
          <w:i/>
          <w:iCs/>
        </w:rPr>
      </w:pPr>
      <w:r w:rsidRPr="00083CF5">
        <w:rPr>
          <w:i/>
          <w:iCs/>
        </w:rPr>
        <w:t>que atiendan usuarios finales del servicio, así como los usuarios no regulados que actúen directamente</w:t>
      </w:r>
    </w:p>
    <w:p w14:paraId="45CF176A" w14:textId="77777777" w:rsidR="00083CF5" w:rsidRPr="00083CF5" w:rsidRDefault="00083CF5" w:rsidP="00083CF5">
      <w:pPr>
        <w:pStyle w:val="Textonotapie"/>
        <w:rPr>
          <w:i/>
          <w:iCs/>
        </w:rPr>
      </w:pPr>
      <w:r w:rsidRPr="00083CF5">
        <w:rPr>
          <w:i/>
          <w:iCs/>
        </w:rPr>
        <w:t>en el mercado, cuenten el 1 de diciembre de cada año con contratos de suministro de gas doméstico y/o</w:t>
      </w:r>
    </w:p>
    <w:p w14:paraId="34C206A4" w14:textId="77777777" w:rsidR="00083CF5" w:rsidRPr="00083CF5" w:rsidRDefault="00083CF5" w:rsidP="00083CF5">
      <w:pPr>
        <w:pStyle w:val="Textonotapie"/>
        <w:rPr>
          <w:i/>
          <w:iCs/>
        </w:rPr>
      </w:pPr>
      <w:r w:rsidRPr="00083CF5">
        <w:rPr>
          <w:i/>
          <w:iCs/>
        </w:rPr>
        <w:t>contratos de servicios de regasificación que les permitan atender su demanda durante los siguientes dos</w:t>
      </w:r>
    </w:p>
    <w:p w14:paraId="12857FD9" w14:textId="77777777" w:rsidR="00083CF5" w:rsidRPr="00083CF5" w:rsidRDefault="00083CF5" w:rsidP="00083CF5">
      <w:pPr>
        <w:pStyle w:val="Textonotapie"/>
        <w:rPr>
          <w:i/>
          <w:iCs/>
        </w:rPr>
      </w:pPr>
      <w:r w:rsidRPr="00083CF5">
        <w:rPr>
          <w:i/>
          <w:iCs/>
        </w:rPr>
        <w:t>(2) años. La demanda de referencia sería la correspondiente a la registrada en los doce (12) meses previos</w:t>
      </w:r>
    </w:p>
    <w:p w14:paraId="26865923" w14:textId="77777777" w:rsidR="00083CF5" w:rsidRPr="00083CF5" w:rsidRDefault="00083CF5" w:rsidP="00083CF5">
      <w:pPr>
        <w:pStyle w:val="Textonotapie"/>
        <w:rPr>
          <w:i/>
          <w:iCs/>
        </w:rPr>
      </w:pPr>
      <w:r w:rsidRPr="00083CF5">
        <w:rPr>
          <w:i/>
          <w:iCs/>
        </w:rPr>
        <w:t>al 1 de diciembre de cada año.</w:t>
      </w:r>
    </w:p>
    <w:p w14:paraId="0B165B20" w14:textId="77777777" w:rsidR="00083CF5" w:rsidRPr="00083CF5" w:rsidRDefault="00083CF5" w:rsidP="00083CF5">
      <w:pPr>
        <w:pStyle w:val="Textonotapie"/>
        <w:rPr>
          <w:i/>
          <w:iCs/>
        </w:rPr>
      </w:pPr>
      <w:r w:rsidRPr="00083CF5">
        <w:rPr>
          <w:i/>
          <w:iCs/>
        </w:rPr>
        <w:t> Cada comercializador debe demostrar que cuenta con contratos de suministro y/o contratos de servicios</w:t>
      </w:r>
    </w:p>
    <w:p w14:paraId="73B29212" w14:textId="77777777" w:rsidR="00083CF5" w:rsidRPr="00083CF5" w:rsidRDefault="00083CF5" w:rsidP="00083CF5">
      <w:pPr>
        <w:pStyle w:val="Textonotapie"/>
        <w:rPr>
          <w:i/>
          <w:iCs/>
        </w:rPr>
      </w:pPr>
      <w:r w:rsidRPr="00083CF5">
        <w:rPr>
          <w:i/>
          <w:iCs/>
        </w:rPr>
        <w:t>de regasificación para la misma demanda de referencia, para los años 3, 4 y 5 que les permita atender el</w:t>
      </w:r>
    </w:p>
    <w:p w14:paraId="249AA644" w14:textId="21E763EB" w:rsidR="00083CF5" w:rsidRPr="00083CF5" w:rsidRDefault="00083CF5" w:rsidP="00083CF5">
      <w:pPr>
        <w:pStyle w:val="Textonotapie"/>
        <w:rPr>
          <w:i/>
          <w:iCs/>
        </w:rPr>
      </w:pPr>
      <w:r w:rsidRPr="00083CF5">
        <w:rPr>
          <w:i/>
          <w:iCs/>
        </w:rPr>
        <w:t>50% de dicha demanda.</w:t>
      </w:r>
    </w:p>
    <w:p w14:paraId="0E82F350" w14:textId="115FC3CE" w:rsidR="00083CF5" w:rsidRPr="00083CF5" w:rsidRDefault="00083CF5" w:rsidP="00083CF5">
      <w:pPr>
        <w:pStyle w:val="Textonotapie"/>
        <w:rPr>
          <w:lang w:val="es-CO"/>
        </w:rPr>
      </w:pPr>
      <w:r w:rsidRPr="00083CF5">
        <w:rPr>
          <w:i/>
          <w:iCs/>
        </w:rPr>
        <w:t> Finalmente, cada comercializador debe contar, para los años del 5 al 10, con contratos de suministro y/o</w:t>
      </w:r>
      <w:r>
        <w:rPr>
          <w:i/>
          <w:iCs/>
        </w:rPr>
        <w:t xml:space="preserve"> </w:t>
      </w:r>
      <w:r w:rsidRPr="00083CF5">
        <w:rPr>
          <w:i/>
          <w:iCs/>
        </w:rPr>
        <w:t>contratos de servicios de regasificación que le permitan atender el 5% de su demanda de referencia</w:t>
      </w:r>
      <w:r>
        <w:t>.</w:t>
      </w:r>
    </w:p>
  </w:footnote>
  <w:footnote w:id="19">
    <w:p w14:paraId="350256C6" w14:textId="57A191A9" w:rsidR="00FA4C65" w:rsidRPr="00A47A79" w:rsidRDefault="00FA4C65" w:rsidP="00FA4C65">
      <w:pPr>
        <w:pStyle w:val="Textonotapie"/>
        <w:rPr>
          <w:i/>
          <w:iCs/>
        </w:rPr>
      </w:pPr>
      <w:r>
        <w:rPr>
          <w:rStyle w:val="Refdenotaalpie"/>
        </w:rPr>
        <w:footnoteRef/>
      </w:r>
      <w:r>
        <w:t xml:space="preserve"> “</w:t>
      </w:r>
      <w:r w:rsidRPr="00A47A79">
        <w:rPr>
          <w:i/>
          <w:iCs/>
        </w:rPr>
        <w:t>ARTÍCULO 2.2.2.2.36. Acceso a las Interconexiones Internacionales de Gas Natural. Los propietarios y/o transportadores en las</w:t>
      </w:r>
      <w:r w:rsidR="00A47A79" w:rsidRPr="00A47A79">
        <w:rPr>
          <w:i/>
          <w:iCs/>
        </w:rPr>
        <w:t xml:space="preserve"> </w:t>
      </w:r>
      <w:r w:rsidRPr="00A47A79">
        <w:rPr>
          <w:i/>
          <w:iCs/>
        </w:rPr>
        <w:t>Interconexiones Internacionales de Gas Natural están en la obligación de dar acceso a otros Agentes que requieran de dicha infraestructura</w:t>
      </w:r>
      <w:r w:rsidR="00A47A79" w:rsidRPr="00A47A79">
        <w:rPr>
          <w:i/>
          <w:iCs/>
        </w:rPr>
        <w:t xml:space="preserve"> </w:t>
      </w:r>
      <w:r w:rsidRPr="00A47A79">
        <w:rPr>
          <w:i/>
          <w:iCs/>
        </w:rPr>
        <w:t>para efectuar Intercambios Comerciales Internacionales de Gas, siempre y cuando, ello sea técnica y económicamente viable.</w:t>
      </w:r>
    </w:p>
    <w:p w14:paraId="485594C7" w14:textId="69EB660D" w:rsidR="00FA4C65" w:rsidRPr="00A47A79" w:rsidRDefault="00FA4C65" w:rsidP="00FA4C65">
      <w:pPr>
        <w:pStyle w:val="Textonotapie"/>
        <w:rPr>
          <w:i/>
          <w:iCs/>
        </w:rPr>
      </w:pPr>
      <w:r w:rsidRPr="00A47A79">
        <w:rPr>
          <w:i/>
          <w:iCs/>
        </w:rPr>
        <w:t>PARÁGRAFO 1. Las condiciones técnicas y económicas para el acceso a la Interconexión Internacional de Gas Natural serán acordadas</w:t>
      </w:r>
      <w:r w:rsidR="00A47A79" w:rsidRPr="00A47A79">
        <w:rPr>
          <w:i/>
          <w:iCs/>
        </w:rPr>
        <w:t xml:space="preserve"> </w:t>
      </w:r>
      <w:r w:rsidRPr="00A47A79">
        <w:rPr>
          <w:i/>
          <w:iCs/>
        </w:rPr>
        <w:t>libremente entre las partes.</w:t>
      </w:r>
    </w:p>
    <w:p w14:paraId="2AD008C0" w14:textId="2DEAE797" w:rsidR="00FA4C65" w:rsidRPr="00FA4C65" w:rsidRDefault="00FA4C65" w:rsidP="00FA4C65">
      <w:pPr>
        <w:pStyle w:val="Textonotapie"/>
        <w:rPr>
          <w:lang w:val="es-CO"/>
        </w:rPr>
      </w:pPr>
      <w:r w:rsidRPr="00A47A79">
        <w:rPr>
          <w:i/>
          <w:iCs/>
        </w:rPr>
        <w:t>PARÁGRAFO 2. Cuando las partes no lleguen a un acuerdo sobre el acceso a dicha infraestructura el asunto se someterá a la decisión del</w:t>
      </w:r>
      <w:r w:rsidR="00A47A79" w:rsidRPr="00A47A79">
        <w:rPr>
          <w:i/>
          <w:iCs/>
        </w:rPr>
        <w:t xml:space="preserve"> </w:t>
      </w:r>
      <w:r w:rsidRPr="00A47A79">
        <w:rPr>
          <w:i/>
          <w:iCs/>
        </w:rPr>
        <w:t>MME o de la CREG, según sus competencias</w:t>
      </w:r>
      <w:r>
        <w:t>.</w:t>
      </w:r>
      <w:r w:rsidR="00A47A79">
        <w:t>”</w:t>
      </w:r>
    </w:p>
  </w:footnote>
  <w:footnote w:id="20">
    <w:p w14:paraId="546CE86A" w14:textId="3E7BC4ED" w:rsidR="00FA4C65" w:rsidRPr="00FA4C65" w:rsidRDefault="00FA4C65" w:rsidP="00FA4C65">
      <w:pPr>
        <w:pStyle w:val="Textonotapie"/>
        <w:rPr>
          <w:i/>
          <w:iCs/>
        </w:rPr>
      </w:pPr>
      <w:r>
        <w:rPr>
          <w:rStyle w:val="Refdenotaalpie"/>
        </w:rPr>
        <w:footnoteRef/>
      </w:r>
      <w:r>
        <w:t xml:space="preserve"> “</w:t>
      </w:r>
      <w:r w:rsidRPr="00FA4C65">
        <w:rPr>
          <w:i/>
          <w:iCs/>
        </w:rPr>
        <w:t>A</w:t>
      </w:r>
      <w:r>
        <w:rPr>
          <w:i/>
          <w:iCs/>
        </w:rPr>
        <w:t>RTÍCULO</w:t>
      </w:r>
      <w:r w:rsidRPr="00FA4C65">
        <w:rPr>
          <w:i/>
          <w:iCs/>
        </w:rPr>
        <w:t xml:space="preserve"> 2.2.2.2.40. Acceso a la capacidad de la Infraestructura de Regasificación. Los Agentes propietarios y/u operadores de la Infraestructura de Regasificación deberán permitir el acceso a la capacidad no utilizada y/o no comprometida a los Agentes que la requieran, siempre y cuando, se cumplan las siguientes condiciones: (i) se cuente con capacidad disponible para ser contratada, y (ii) no se interfiera ni se ponga en riesgo el cumplimiento de los contratos vigentes por asumir nuevos compromisos contractuales.</w:t>
      </w:r>
    </w:p>
    <w:p w14:paraId="02592F34" w14:textId="3CF2DD7E" w:rsidR="00FA4C65" w:rsidRPr="00FA4C65" w:rsidRDefault="00FA4C65" w:rsidP="00FA4C65">
      <w:pPr>
        <w:pStyle w:val="Textonotapie"/>
        <w:rPr>
          <w:i/>
          <w:iCs/>
        </w:rPr>
      </w:pPr>
      <w:r w:rsidRPr="00FA4C65">
        <w:rPr>
          <w:i/>
          <w:iCs/>
        </w:rPr>
        <w:t>PARÁGRAFO 1. Los Agentes solo podrán ejercer el derecho de acceso a la capacidad de la infraestructura de regasificación mediante la celebración del contrato respectivo con el propietario y/u operador.</w:t>
      </w:r>
    </w:p>
    <w:p w14:paraId="6135D1A5" w14:textId="37A1317D" w:rsidR="00FA4C65" w:rsidRPr="00FA4C65" w:rsidRDefault="00FA4C65" w:rsidP="00FA4C65">
      <w:pPr>
        <w:pStyle w:val="Textonotapie"/>
        <w:rPr>
          <w:lang w:val="es-CO"/>
        </w:rPr>
      </w:pPr>
      <w:r w:rsidRPr="00FA4C65">
        <w:rPr>
          <w:i/>
          <w:iCs/>
        </w:rPr>
        <w:t>PARÁGRAFO 2. Cuando las partes no lleguen a un acuerdo sobre el acceso, el asunto se someterá a la decisión del MME. Para este efecto, el Ministerio podrá solicitar concepto a la CREG.”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F04A" w14:textId="64E036AC" w:rsidR="00B97D41" w:rsidRPr="00B97D41" w:rsidRDefault="00B97D41">
    <w:pPr>
      <w:pStyle w:val="Encabezado"/>
      <w:rPr>
        <w:i/>
        <w:iCs/>
        <w:sz w:val="22"/>
        <w:szCs w:val="22"/>
        <w:lang w:val="es-CO"/>
      </w:rPr>
    </w:pPr>
    <w:r w:rsidRPr="00B97D41">
      <w:rPr>
        <w:i/>
        <w:iCs/>
        <w:sz w:val="22"/>
        <w:szCs w:val="22"/>
        <w:lang w:val="es-CO"/>
      </w:rPr>
      <w:t>Sesión</w:t>
    </w:r>
    <w:r w:rsidR="0098730A">
      <w:rPr>
        <w:i/>
        <w:iCs/>
        <w:sz w:val="22"/>
        <w:szCs w:val="22"/>
        <w:lang w:val="es-CO"/>
      </w:rPr>
      <w:t xml:space="preserve"> No.</w:t>
    </w:r>
    <w:r w:rsidRPr="00B97D41">
      <w:rPr>
        <w:i/>
        <w:iCs/>
        <w:sz w:val="22"/>
        <w:szCs w:val="22"/>
        <w:lang w:val="es-CO"/>
      </w:rPr>
      <w:t xml:space="preserve"> 1258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EF93" w14:textId="176708E1" w:rsidR="00C449A4" w:rsidRDefault="00C449A4">
    <w:pPr>
      <w:pStyle w:val="Encabezado"/>
    </w:pPr>
    <w:r>
      <w:rPr>
        <w:rFonts w:cs="Arial"/>
        <w:b/>
        <w:i/>
        <w:color w:val="808080"/>
        <w:sz w:val="16"/>
      </w:rPr>
      <w:t xml:space="preserve">Sesión No. </w:t>
    </w:r>
    <w:r w:rsidR="006128CE">
      <w:rPr>
        <w:rFonts w:cs="Arial"/>
        <w:b/>
        <w:i/>
        <w:color w:val="808080"/>
        <w:sz w:val="16"/>
      </w:rPr>
      <w:t>1258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10A"/>
    <w:multiLevelType w:val="hybridMultilevel"/>
    <w:tmpl w:val="AAEEEBA8"/>
    <w:lvl w:ilvl="0" w:tplc="4D3206A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F44159"/>
    <w:multiLevelType w:val="multilevel"/>
    <w:tmpl w:val="6E5A05D4"/>
    <w:lvl w:ilvl="0">
      <w:start w:val="4"/>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B01194A"/>
    <w:multiLevelType w:val="hybridMultilevel"/>
    <w:tmpl w:val="DF263C42"/>
    <w:lvl w:ilvl="0" w:tplc="240A000B">
      <w:start w:val="1"/>
      <w:numFmt w:val="bullet"/>
      <w:lvlText w:val=""/>
      <w:lvlJc w:val="left"/>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89009A"/>
    <w:multiLevelType w:val="hybridMultilevel"/>
    <w:tmpl w:val="FE22F234"/>
    <w:lvl w:ilvl="0" w:tplc="240A000F">
      <w:start w:val="1"/>
      <w:numFmt w:val="decimal"/>
      <w:lvlText w:val="%1."/>
      <w:lvlJc w:val="left"/>
      <w:pPr>
        <w:ind w:left="360" w:hanging="360"/>
      </w:pPr>
    </w:lvl>
    <w:lvl w:ilvl="1" w:tplc="4B0A2A08">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D406246"/>
    <w:multiLevelType w:val="hybridMultilevel"/>
    <w:tmpl w:val="B8A64C60"/>
    <w:lvl w:ilvl="0" w:tplc="240A0017">
      <w:start w:val="1"/>
      <w:numFmt w:val="lowerLetter"/>
      <w:lvlText w:val="%1)"/>
      <w:lvlJc w:val="left"/>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03C587C"/>
    <w:multiLevelType w:val="hybridMultilevel"/>
    <w:tmpl w:val="8B68AAA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19C18FC"/>
    <w:multiLevelType w:val="hybridMultilevel"/>
    <w:tmpl w:val="D108BC02"/>
    <w:lvl w:ilvl="0" w:tplc="240A0017">
      <w:start w:val="2"/>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1C831DD"/>
    <w:multiLevelType w:val="hybridMultilevel"/>
    <w:tmpl w:val="BCC2F976"/>
    <w:lvl w:ilvl="0" w:tplc="2B1EA2FA">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48E1D2B"/>
    <w:multiLevelType w:val="hybridMultilevel"/>
    <w:tmpl w:val="87A6814C"/>
    <w:lvl w:ilvl="0" w:tplc="39583FD0">
      <w:start w:val="2"/>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778579D"/>
    <w:multiLevelType w:val="multilevel"/>
    <w:tmpl w:val="B09CEF0E"/>
    <w:numStyleLink w:val="Comentario1"/>
  </w:abstractNum>
  <w:abstractNum w:abstractNumId="10" w15:restartNumberingAfterBreak="0">
    <w:nsid w:val="278A0418"/>
    <w:multiLevelType w:val="hybridMultilevel"/>
    <w:tmpl w:val="8C10E7F4"/>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ACE556C"/>
    <w:multiLevelType w:val="hybridMultilevel"/>
    <w:tmpl w:val="5346FE66"/>
    <w:lvl w:ilvl="0" w:tplc="A204EB3E">
      <w:start w:val="1"/>
      <w:numFmt w:val="lowerRoman"/>
      <w:lvlText w:val="%1.)"/>
      <w:lvlJc w:val="left"/>
      <w:pPr>
        <w:ind w:left="1102" w:hanging="720"/>
      </w:pPr>
      <w:rPr>
        <w:rFonts w:hint="default"/>
      </w:rPr>
    </w:lvl>
    <w:lvl w:ilvl="1" w:tplc="240A0019">
      <w:start w:val="1"/>
      <w:numFmt w:val="lowerLetter"/>
      <w:lvlText w:val="%2."/>
      <w:lvlJc w:val="left"/>
      <w:pPr>
        <w:ind w:left="1462" w:hanging="360"/>
      </w:pPr>
    </w:lvl>
    <w:lvl w:ilvl="2" w:tplc="240A001B" w:tentative="1">
      <w:start w:val="1"/>
      <w:numFmt w:val="lowerRoman"/>
      <w:lvlText w:val="%3."/>
      <w:lvlJc w:val="right"/>
      <w:pPr>
        <w:ind w:left="2182" w:hanging="180"/>
      </w:pPr>
    </w:lvl>
    <w:lvl w:ilvl="3" w:tplc="240A000F" w:tentative="1">
      <w:start w:val="1"/>
      <w:numFmt w:val="decimal"/>
      <w:lvlText w:val="%4."/>
      <w:lvlJc w:val="left"/>
      <w:pPr>
        <w:ind w:left="2902" w:hanging="360"/>
      </w:pPr>
    </w:lvl>
    <w:lvl w:ilvl="4" w:tplc="240A0019" w:tentative="1">
      <w:start w:val="1"/>
      <w:numFmt w:val="lowerLetter"/>
      <w:lvlText w:val="%5."/>
      <w:lvlJc w:val="left"/>
      <w:pPr>
        <w:ind w:left="3622" w:hanging="360"/>
      </w:pPr>
    </w:lvl>
    <w:lvl w:ilvl="5" w:tplc="240A001B" w:tentative="1">
      <w:start w:val="1"/>
      <w:numFmt w:val="lowerRoman"/>
      <w:lvlText w:val="%6."/>
      <w:lvlJc w:val="right"/>
      <w:pPr>
        <w:ind w:left="4342" w:hanging="180"/>
      </w:pPr>
    </w:lvl>
    <w:lvl w:ilvl="6" w:tplc="240A000F" w:tentative="1">
      <w:start w:val="1"/>
      <w:numFmt w:val="decimal"/>
      <w:lvlText w:val="%7."/>
      <w:lvlJc w:val="left"/>
      <w:pPr>
        <w:ind w:left="5062" w:hanging="360"/>
      </w:pPr>
    </w:lvl>
    <w:lvl w:ilvl="7" w:tplc="240A0019" w:tentative="1">
      <w:start w:val="1"/>
      <w:numFmt w:val="lowerLetter"/>
      <w:lvlText w:val="%8."/>
      <w:lvlJc w:val="left"/>
      <w:pPr>
        <w:ind w:left="5782" w:hanging="360"/>
      </w:pPr>
    </w:lvl>
    <w:lvl w:ilvl="8" w:tplc="240A001B" w:tentative="1">
      <w:start w:val="1"/>
      <w:numFmt w:val="lowerRoman"/>
      <w:lvlText w:val="%9."/>
      <w:lvlJc w:val="right"/>
      <w:pPr>
        <w:ind w:left="6502" w:hanging="180"/>
      </w:pPr>
    </w:lvl>
  </w:abstractNum>
  <w:abstractNum w:abstractNumId="12" w15:restartNumberingAfterBreak="0">
    <w:nsid w:val="33C25A6A"/>
    <w:multiLevelType w:val="hybridMultilevel"/>
    <w:tmpl w:val="BD9A6A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6217CF"/>
    <w:multiLevelType w:val="hybridMultilevel"/>
    <w:tmpl w:val="BDB204E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80E2836"/>
    <w:multiLevelType w:val="multilevel"/>
    <w:tmpl w:val="FAF072A8"/>
    <w:styleLink w:val="Listaactual3"/>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97D3173"/>
    <w:multiLevelType w:val="multilevel"/>
    <w:tmpl w:val="FAF072A8"/>
    <w:styleLink w:val="Listaactual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5312D97"/>
    <w:multiLevelType w:val="hybridMultilevel"/>
    <w:tmpl w:val="84D8D9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597DE0"/>
    <w:multiLevelType w:val="hybridMultilevel"/>
    <w:tmpl w:val="A4E22594"/>
    <w:lvl w:ilvl="0" w:tplc="2826959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51C5B21"/>
    <w:multiLevelType w:val="hybridMultilevel"/>
    <w:tmpl w:val="280A903C"/>
    <w:lvl w:ilvl="0" w:tplc="86F28A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9" w15:restartNumberingAfterBreak="0">
    <w:nsid w:val="5B3B1EBA"/>
    <w:multiLevelType w:val="hybridMultilevel"/>
    <w:tmpl w:val="B5003FEA"/>
    <w:lvl w:ilvl="0" w:tplc="C6F06100">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B9A6DC0"/>
    <w:multiLevelType w:val="hybridMultilevel"/>
    <w:tmpl w:val="4BA21924"/>
    <w:lvl w:ilvl="0" w:tplc="240A0017">
      <w:start w:val="1"/>
      <w:numFmt w:val="lowerLetter"/>
      <w:lvlText w:val="%1)"/>
      <w:lvlJc w:val="left"/>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E355881"/>
    <w:multiLevelType w:val="hybridMultilevel"/>
    <w:tmpl w:val="05A045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294E3A"/>
    <w:multiLevelType w:val="hybridMultilevel"/>
    <w:tmpl w:val="7E3AFDA6"/>
    <w:lvl w:ilvl="0" w:tplc="4E52FEB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665C1ADA"/>
    <w:multiLevelType w:val="hybridMultilevel"/>
    <w:tmpl w:val="9134E8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7CE1F38"/>
    <w:multiLevelType w:val="hybridMultilevel"/>
    <w:tmpl w:val="A7502E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CAF3152"/>
    <w:multiLevelType w:val="hybridMultilevel"/>
    <w:tmpl w:val="A9EAE1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52301E"/>
    <w:multiLevelType w:val="hybridMultilevel"/>
    <w:tmpl w:val="50B23C64"/>
    <w:lvl w:ilvl="0" w:tplc="376C9D24">
      <w:numFmt w:val="bullet"/>
      <w:lvlText w:val="-"/>
      <w:lvlJc w:val="left"/>
      <w:pPr>
        <w:ind w:left="360" w:hanging="360"/>
      </w:pPr>
      <w:rPr>
        <w:rFonts w:ascii="Bookman Old Style" w:eastAsia="Times New Roman" w:hAnsi="Bookman Old Style"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73432BD8"/>
    <w:multiLevelType w:val="hybridMultilevel"/>
    <w:tmpl w:val="CD8859D2"/>
    <w:lvl w:ilvl="0" w:tplc="3E349DFC">
      <w:start w:val="1"/>
      <w:numFmt w:val="decimal"/>
      <w:pStyle w:val="ARTICULOS"/>
      <w:lvlText w:val="Artículo %1."/>
      <w:lvlJc w:val="left"/>
      <w:pPr>
        <w:ind w:left="1637"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CO" w:eastAsia="x-none"/>
        <w:specVanish w:val="0"/>
      </w:rPr>
    </w:lvl>
    <w:lvl w:ilvl="1" w:tplc="240A0019">
      <w:start w:val="1"/>
      <w:numFmt w:val="lowerLetter"/>
      <w:lvlText w:val="%2."/>
      <w:lvlJc w:val="left"/>
      <w:pPr>
        <w:ind w:left="939" w:hanging="360"/>
      </w:pPr>
    </w:lvl>
    <w:lvl w:ilvl="2" w:tplc="240A000F">
      <w:start w:val="1"/>
      <w:numFmt w:val="decimal"/>
      <w:lvlText w:val="%3."/>
      <w:lvlJc w:val="left"/>
      <w:pPr>
        <w:ind w:left="1659" w:hanging="180"/>
      </w:pPr>
    </w:lvl>
    <w:lvl w:ilvl="3" w:tplc="94AE6346">
      <w:start w:val="1"/>
      <w:numFmt w:val="upperLetter"/>
      <w:lvlText w:val="%4."/>
      <w:lvlJc w:val="left"/>
      <w:pPr>
        <w:ind w:left="2379" w:hanging="360"/>
      </w:pPr>
      <w:rPr>
        <w:rFonts w:hint="default"/>
      </w:rPr>
    </w:lvl>
    <w:lvl w:ilvl="4" w:tplc="240A0019" w:tentative="1">
      <w:start w:val="1"/>
      <w:numFmt w:val="lowerLetter"/>
      <w:lvlText w:val="%5."/>
      <w:lvlJc w:val="left"/>
      <w:pPr>
        <w:ind w:left="3099" w:hanging="360"/>
      </w:pPr>
    </w:lvl>
    <w:lvl w:ilvl="5" w:tplc="240A001B" w:tentative="1">
      <w:start w:val="1"/>
      <w:numFmt w:val="lowerRoman"/>
      <w:lvlText w:val="%6."/>
      <w:lvlJc w:val="right"/>
      <w:pPr>
        <w:ind w:left="3819" w:hanging="180"/>
      </w:pPr>
    </w:lvl>
    <w:lvl w:ilvl="6" w:tplc="240A000F" w:tentative="1">
      <w:start w:val="1"/>
      <w:numFmt w:val="decimal"/>
      <w:lvlText w:val="%7."/>
      <w:lvlJc w:val="left"/>
      <w:pPr>
        <w:ind w:left="4539" w:hanging="360"/>
      </w:pPr>
    </w:lvl>
    <w:lvl w:ilvl="7" w:tplc="240A0019" w:tentative="1">
      <w:start w:val="1"/>
      <w:numFmt w:val="lowerLetter"/>
      <w:lvlText w:val="%8."/>
      <w:lvlJc w:val="left"/>
      <w:pPr>
        <w:ind w:left="5259" w:hanging="360"/>
      </w:pPr>
    </w:lvl>
    <w:lvl w:ilvl="8" w:tplc="240A001B" w:tentative="1">
      <w:start w:val="1"/>
      <w:numFmt w:val="lowerRoman"/>
      <w:lvlText w:val="%9."/>
      <w:lvlJc w:val="right"/>
      <w:pPr>
        <w:ind w:left="5979" w:hanging="180"/>
      </w:pPr>
    </w:lvl>
  </w:abstractNum>
  <w:abstractNum w:abstractNumId="28" w15:restartNumberingAfterBreak="0">
    <w:nsid w:val="74762AAD"/>
    <w:multiLevelType w:val="hybridMultilevel"/>
    <w:tmpl w:val="B874EF60"/>
    <w:lvl w:ilvl="0" w:tplc="240A0017">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027D81"/>
    <w:multiLevelType w:val="multilevel"/>
    <w:tmpl w:val="240A0025"/>
    <w:styleLink w:val="Listaactual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ABF4912"/>
    <w:multiLevelType w:val="multilevel"/>
    <w:tmpl w:val="FAF072A8"/>
    <w:styleLink w:val="Listaactual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7C3C56D7"/>
    <w:multiLevelType w:val="hybridMultilevel"/>
    <w:tmpl w:val="5804123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DEE61B2"/>
    <w:multiLevelType w:val="multilevel"/>
    <w:tmpl w:val="B09CEF0E"/>
    <w:styleLink w:val="Comentario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E415C88"/>
    <w:multiLevelType w:val="hybridMultilevel"/>
    <w:tmpl w:val="EC04E7FC"/>
    <w:lvl w:ilvl="0" w:tplc="2A845024">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588658221">
    <w:abstractNumId w:val="1"/>
  </w:num>
  <w:num w:numId="2" w16cid:durableId="357587259">
    <w:abstractNumId w:val="27"/>
  </w:num>
  <w:num w:numId="3" w16cid:durableId="2000767276">
    <w:abstractNumId w:val="3"/>
  </w:num>
  <w:num w:numId="4" w16cid:durableId="1788893320">
    <w:abstractNumId w:val="0"/>
  </w:num>
  <w:num w:numId="5" w16cid:durableId="2091391893">
    <w:abstractNumId w:val="18"/>
  </w:num>
  <w:num w:numId="6" w16cid:durableId="614875137">
    <w:abstractNumId w:val="2"/>
  </w:num>
  <w:num w:numId="7" w16cid:durableId="1301038593">
    <w:abstractNumId w:val="4"/>
  </w:num>
  <w:num w:numId="8" w16cid:durableId="1822305955">
    <w:abstractNumId w:val="20"/>
  </w:num>
  <w:num w:numId="9" w16cid:durableId="933824193">
    <w:abstractNumId w:val="28"/>
  </w:num>
  <w:num w:numId="10" w16cid:durableId="1368947218">
    <w:abstractNumId w:val="33"/>
  </w:num>
  <w:num w:numId="11" w16cid:durableId="110243865">
    <w:abstractNumId w:val="17"/>
  </w:num>
  <w:num w:numId="12" w16cid:durableId="486047355">
    <w:abstractNumId w:val="7"/>
  </w:num>
  <w:num w:numId="13" w16cid:durableId="1044794517">
    <w:abstractNumId w:val="22"/>
  </w:num>
  <w:num w:numId="14" w16cid:durableId="1389304393">
    <w:abstractNumId w:val="11"/>
  </w:num>
  <w:num w:numId="15" w16cid:durableId="1156339645">
    <w:abstractNumId w:val="8"/>
  </w:num>
  <w:num w:numId="16" w16cid:durableId="240454096">
    <w:abstractNumId w:val="16"/>
  </w:num>
  <w:num w:numId="17" w16cid:durableId="410394563">
    <w:abstractNumId w:val="31"/>
  </w:num>
  <w:num w:numId="18" w16cid:durableId="1339579370">
    <w:abstractNumId w:val="24"/>
  </w:num>
  <w:num w:numId="19" w16cid:durableId="1571959828">
    <w:abstractNumId w:val="21"/>
  </w:num>
  <w:num w:numId="20" w16cid:durableId="350910845">
    <w:abstractNumId w:val="25"/>
  </w:num>
  <w:num w:numId="21" w16cid:durableId="893931789">
    <w:abstractNumId w:val="12"/>
  </w:num>
  <w:num w:numId="22" w16cid:durableId="352731443">
    <w:abstractNumId w:val="23"/>
  </w:num>
  <w:num w:numId="23" w16cid:durableId="195239805">
    <w:abstractNumId w:val="10"/>
  </w:num>
  <w:num w:numId="24" w16cid:durableId="539363360">
    <w:abstractNumId w:val="26"/>
  </w:num>
  <w:num w:numId="25" w16cid:durableId="63837613">
    <w:abstractNumId w:val="30"/>
  </w:num>
  <w:num w:numId="26" w16cid:durableId="858816088">
    <w:abstractNumId w:val="15"/>
  </w:num>
  <w:num w:numId="27" w16cid:durableId="1770731286">
    <w:abstractNumId w:val="14"/>
  </w:num>
  <w:num w:numId="28" w16cid:durableId="745342041">
    <w:abstractNumId w:val="1"/>
  </w:num>
  <w:num w:numId="29" w16cid:durableId="398792665">
    <w:abstractNumId w:val="29"/>
  </w:num>
  <w:num w:numId="30" w16cid:durableId="1326472554">
    <w:abstractNumId w:val="32"/>
  </w:num>
  <w:num w:numId="31" w16cid:durableId="1417166342">
    <w:abstractNumId w:val="9"/>
  </w:num>
  <w:num w:numId="32" w16cid:durableId="3474840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09000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81570316">
    <w:abstractNumId w:val="13"/>
  </w:num>
  <w:num w:numId="35" w16cid:durableId="1485588893">
    <w:abstractNumId w:val="19"/>
  </w:num>
  <w:num w:numId="36" w16cid:durableId="1794707402">
    <w:abstractNumId w:val="6"/>
  </w:num>
  <w:num w:numId="37" w16cid:durableId="701825624">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00DE6"/>
    <w:rsid w:val="00001279"/>
    <w:rsid w:val="0000283D"/>
    <w:rsid w:val="00002A82"/>
    <w:rsid w:val="000031CC"/>
    <w:rsid w:val="000037CB"/>
    <w:rsid w:val="000039B6"/>
    <w:rsid w:val="00003B35"/>
    <w:rsid w:val="00003B62"/>
    <w:rsid w:val="00004454"/>
    <w:rsid w:val="00004870"/>
    <w:rsid w:val="000056BB"/>
    <w:rsid w:val="000064F9"/>
    <w:rsid w:val="00006F02"/>
    <w:rsid w:val="00006F76"/>
    <w:rsid w:val="000072C2"/>
    <w:rsid w:val="00007904"/>
    <w:rsid w:val="000079E2"/>
    <w:rsid w:val="00007E82"/>
    <w:rsid w:val="0001167E"/>
    <w:rsid w:val="000119A8"/>
    <w:rsid w:val="00011DE4"/>
    <w:rsid w:val="00012248"/>
    <w:rsid w:val="00012446"/>
    <w:rsid w:val="000124E7"/>
    <w:rsid w:val="00012744"/>
    <w:rsid w:val="00012997"/>
    <w:rsid w:val="00012DE6"/>
    <w:rsid w:val="00013149"/>
    <w:rsid w:val="00013216"/>
    <w:rsid w:val="00013A5D"/>
    <w:rsid w:val="00015744"/>
    <w:rsid w:val="0001585F"/>
    <w:rsid w:val="00015A1F"/>
    <w:rsid w:val="00015EE6"/>
    <w:rsid w:val="00016455"/>
    <w:rsid w:val="00016758"/>
    <w:rsid w:val="00016AA2"/>
    <w:rsid w:val="00016E8F"/>
    <w:rsid w:val="000172A5"/>
    <w:rsid w:val="00017AF4"/>
    <w:rsid w:val="00017D04"/>
    <w:rsid w:val="00020412"/>
    <w:rsid w:val="00020441"/>
    <w:rsid w:val="000208C9"/>
    <w:rsid w:val="00020CD8"/>
    <w:rsid w:val="00020E87"/>
    <w:rsid w:val="000210BE"/>
    <w:rsid w:val="00021284"/>
    <w:rsid w:val="0002139B"/>
    <w:rsid w:val="00021431"/>
    <w:rsid w:val="00021482"/>
    <w:rsid w:val="00021A25"/>
    <w:rsid w:val="00021FE9"/>
    <w:rsid w:val="00022072"/>
    <w:rsid w:val="000226E8"/>
    <w:rsid w:val="00022786"/>
    <w:rsid w:val="00022A5F"/>
    <w:rsid w:val="00022BDB"/>
    <w:rsid w:val="00022D42"/>
    <w:rsid w:val="00022E38"/>
    <w:rsid w:val="00023444"/>
    <w:rsid w:val="00023A99"/>
    <w:rsid w:val="00024615"/>
    <w:rsid w:val="00024988"/>
    <w:rsid w:val="00024C0F"/>
    <w:rsid w:val="00024F14"/>
    <w:rsid w:val="00025323"/>
    <w:rsid w:val="0002546B"/>
    <w:rsid w:val="0002602D"/>
    <w:rsid w:val="00026092"/>
    <w:rsid w:val="0002628B"/>
    <w:rsid w:val="00026C7A"/>
    <w:rsid w:val="00026E98"/>
    <w:rsid w:val="00027B0A"/>
    <w:rsid w:val="00030AF1"/>
    <w:rsid w:val="00030C99"/>
    <w:rsid w:val="00030F5D"/>
    <w:rsid w:val="00030FF1"/>
    <w:rsid w:val="00031553"/>
    <w:rsid w:val="00031A34"/>
    <w:rsid w:val="00031E8B"/>
    <w:rsid w:val="00031E91"/>
    <w:rsid w:val="0003325F"/>
    <w:rsid w:val="000332DC"/>
    <w:rsid w:val="000335BD"/>
    <w:rsid w:val="00034522"/>
    <w:rsid w:val="000349FC"/>
    <w:rsid w:val="00034A46"/>
    <w:rsid w:val="00034D03"/>
    <w:rsid w:val="00034D31"/>
    <w:rsid w:val="000351CB"/>
    <w:rsid w:val="00035311"/>
    <w:rsid w:val="00035687"/>
    <w:rsid w:val="00035CD7"/>
    <w:rsid w:val="00036301"/>
    <w:rsid w:val="00036932"/>
    <w:rsid w:val="00036FC8"/>
    <w:rsid w:val="00037773"/>
    <w:rsid w:val="00037F54"/>
    <w:rsid w:val="00040A2D"/>
    <w:rsid w:val="000411BD"/>
    <w:rsid w:val="00041712"/>
    <w:rsid w:val="0004217D"/>
    <w:rsid w:val="00042830"/>
    <w:rsid w:val="00042A61"/>
    <w:rsid w:val="00042F41"/>
    <w:rsid w:val="0004363E"/>
    <w:rsid w:val="00043DB3"/>
    <w:rsid w:val="000441D5"/>
    <w:rsid w:val="00044340"/>
    <w:rsid w:val="00044CD2"/>
    <w:rsid w:val="00045439"/>
    <w:rsid w:val="00045714"/>
    <w:rsid w:val="0004572A"/>
    <w:rsid w:val="000459B5"/>
    <w:rsid w:val="00045C68"/>
    <w:rsid w:val="0004604D"/>
    <w:rsid w:val="000460A9"/>
    <w:rsid w:val="000464CD"/>
    <w:rsid w:val="0004661A"/>
    <w:rsid w:val="00046A61"/>
    <w:rsid w:val="00046CBA"/>
    <w:rsid w:val="00046F93"/>
    <w:rsid w:val="00047AE9"/>
    <w:rsid w:val="00047D2B"/>
    <w:rsid w:val="00047F79"/>
    <w:rsid w:val="00050892"/>
    <w:rsid w:val="000509B9"/>
    <w:rsid w:val="00050BD6"/>
    <w:rsid w:val="00052166"/>
    <w:rsid w:val="000529D6"/>
    <w:rsid w:val="00052AD2"/>
    <w:rsid w:val="00052C88"/>
    <w:rsid w:val="00053CDC"/>
    <w:rsid w:val="00054527"/>
    <w:rsid w:val="00054B46"/>
    <w:rsid w:val="000558B2"/>
    <w:rsid w:val="00055F7C"/>
    <w:rsid w:val="00056924"/>
    <w:rsid w:val="00056DFC"/>
    <w:rsid w:val="00057072"/>
    <w:rsid w:val="00057787"/>
    <w:rsid w:val="00057853"/>
    <w:rsid w:val="00057D9D"/>
    <w:rsid w:val="00057E29"/>
    <w:rsid w:val="00060013"/>
    <w:rsid w:val="00060089"/>
    <w:rsid w:val="00060709"/>
    <w:rsid w:val="00060979"/>
    <w:rsid w:val="0006101A"/>
    <w:rsid w:val="00062086"/>
    <w:rsid w:val="00062572"/>
    <w:rsid w:val="000632EA"/>
    <w:rsid w:val="00063471"/>
    <w:rsid w:val="00063930"/>
    <w:rsid w:val="00063BB7"/>
    <w:rsid w:val="00063F1E"/>
    <w:rsid w:val="00064068"/>
    <w:rsid w:val="0006418A"/>
    <w:rsid w:val="000646E0"/>
    <w:rsid w:val="00064BDD"/>
    <w:rsid w:val="00065164"/>
    <w:rsid w:val="00065672"/>
    <w:rsid w:val="00065FD2"/>
    <w:rsid w:val="00066317"/>
    <w:rsid w:val="000676C8"/>
    <w:rsid w:val="000679B1"/>
    <w:rsid w:val="00067DA3"/>
    <w:rsid w:val="00070438"/>
    <w:rsid w:val="000704B9"/>
    <w:rsid w:val="00071EFA"/>
    <w:rsid w:val="0007334C"/>
    <w:rsid w:val="00073B6C"/>
    <w:rsid w:val="00074E33"/>
    <w:rsid w:val="0007514B"/>
    <w:rsid w:val="000757A5"/>
    <w:rsid w:val="00075B4D"/>
    <w:rsid w:val="00075EFB"/>
    <w:rsid w:val="00075FDE"/>
    <w:rsid w:val="00076754"/>
    <w:rsid w:val="00076D94"/>
    <w:rsid w:val="00080628"/>
    <w:rsid w:val="000814A2"/>
    <w:rsid w:val="0008228B"/>
    <w:rsid w:val="00082961"/>
    <w:rsid w:val="000829F1"/>
    <w:rsid w:val="00083198"/>
    <w:rsid w:val="000834CA"/>
    <w:rsid w:val="000838EF"/>
    <w:rsid w:val="00083B3C"/>
    <w:rsid w:val="00083CC0"/>
    <w:rsid w:val="00083CF5"/>
    <w:rsid w:val="000848DB"/>
    <w:rsid w:val="00085DE3"/>
    <w:rsid w:val="00085F8F"/>
    <w:rsid w:val="0008601D"/>
    <w:rsid w:val="00086484"/>
    <w:rsid w:val="000864E6"/>
    <w:rsid w:val="000868AA"/>
    <w:rsid w:val="00086AE7"/>
    <w:rsid w:val="0008702D"/>
    <w:rsid w:val="000871D9"/>
    <w:rsid w:val="000872F5"/>
    <w:rsid w:val="00090A8F"/>
    <w:rsid w:val="00090DC5"/>
    <w:rsid w:val="00090DF9"/>
    <w:rsid w:val="00090F55"/>
    <w:rsid w:val="00091052"/>
    <w:rsid w:val="00091633"/>
    <w:rsid w:val="00091996"/>
    <w:rsid w:val="00091CE1"/>
    <w:rsid w:val="00091E5D"/>
    <w:rsid w:val="00092110"/>
    <w:rsid w:val="000929AB"/>
    <w:rsid w:val="00092E48"/>
    <w:rsid w:val="00093139"/>
    <w:rsid w:val="00093B43"/>
    <w:rsid w:val="00093EC0"/>
    <w:rsid w:val="00094A7A"/>
    <w:rsid w:val="00094D4E"/>
    <w:rsid w:val="00094E24"/>
    <w:rsid w:val="00095772"/>
    <w:rsid w:val="00095DD9"/>
    <w:rsid w:val="000964B3"/>
    <w:rsid w:val="00096812"/>
    <w:rsid w:val="00096903"/>
    <w:rsid w:val="00096B3C"/>
    <w:rsid w:val="00096FE2"/>
    <w:rsid w:val="000970A8"/>
    <w:rsid w:val="00097E48"/>
    <w:rsid w:val="00097EEB"/>
    <w:rsid w:val="000A0E1A"/>
    <w:rsid w:val="000A1B2A"/>
    <w:rsid w:val="000A201B"/>
    <w:rsid w:val="000A2434"/>
    <w:rsid w:val="000A2C3C"/>
    <w:rsid w:val="000A2C5E"/>
    <w:rsid w:val="000A30A7"/>
    <w:rsid w:val="000A3554"/>
    <w:rsid w:val="000A3567"/>
    <w:rsid w:val="000A3913"/>
    <w:rsid w:val="000A4D25"/>
    <w:rsid w:val="000A5352"/>
    <w:rsid w:val="000A582B"/>
    <w:rsid w:val="000A6F9A"/>
    <w:rsid w:val="000A701E"/>
    <w:rsid w:val="000A75A4"/>
    <w:rsid w:val="000A78C6"/>
    <w:rsid w:val="000B006C"/>
    <w:rsid w:val="000B21DA"/>
    <w:rsid w:val="000B245C"/>
    <w:rsid w:val="000B2E9B"/>
    <w:rsid w:val="000B53E3"/>
    <w:rsid w:val="000B5574"/>
    <w:rsid w:val="000B607F"/>
    <w:rsid w:val="000B636A"/>
    <w:rsid w:val="000B68C0"/>
    <w:rsid w:val="000B68CA"/>
    <w:rsid w:val="000B6FF7"/>
    <w:rsid w:val="000B7870"/>
    <w:rsid w:val="000B7E4B"/>
    <w:rsid w:val="000C12EE"/>
    <w:rsid w:val="000C22BF"/>
    <w:rsid w:val="000C25C4"/>
    <w:rsid w:val="000C285C"/>
    <w:rsid w:val="000C2EB4"/>
    <w:rsid w:val="000C2FEA"/>
    <w:rsid w:val="000C3550"/>
    <w:rsid w:val="000C39B1"/>
    <w:rsid w:val="000C40AE"/>
    <w:rsid w:val="000C45A5"/>
    <w:rsid w:val="000C494B"/>
    <w:rsid w:val="000C50F7"/>
    <w:rsid w:val="000C57E9"/>
    <w:rsid w:val="000C5840"/>
    <w:rsid w:val="000C5E1E"/>
    <w:rsid w:val="000C60C9"/>
    <w:rsid w:val="000C6DD7"/>
    <w:rsid w:val="000C707B"/>
    <w:rsid w:val="000C7605"/>
    <w:rsid w:val="000C76D5"/>
    <w:rsid w:val="000C7A70"/>
    <w:rsid w:val="000D03B4"/>
    <w:rsid w:val="000D0569"/>
    <w:rsid w:val="000D05A3"/>
    <w:rsid w:val="000D0F05"/>
    <w:rsid w:val="000D10E5"/>
    <w:rsid w:val="000D19F1"/>
    <w:rsid w:val="000D2A08"/>
    <w:rsid w:val="000D2AD2"/>
    <w:rsid w:val="000D2B43"/>
    <w:rsid w:val="000D2BBB"/>
    <w:rsid w:val="000D2D04"/>
    <w:rsid w:val="000D37BB"/>
    <w:rsid w:val="000D3915"/>
    <w:rsid w:val="000D3AF6"/>
    <w:rsid w:val="000D4311"/>
    <w:rsid w:val="000D4EB2"/>
    <w:rsid w:val="000D5269"/>
    <w:rsid w:val="000D54E3"/>
    <w:rsid w:val="000D5B42"/>
    <w:rsid w:val="000D5EF2"/>
    <w:rsid w:val="000D61AB"/>
    <w:rsid w:val="000D6537"/>
    <w:rsid w:val="000D6823"/>
    <w:rsid w:val="000D6DCD"/>
    <w:rsid w:val="000E02AD"/>
    <w:rsid w:val="000E0349"/>
    <w:rsid w:val="000E0568"/>
    <w:rsid w:val="000E0EFA"/>
    <w:rsid w:val="000E0F38"/>
    <w:rsid w:val="000E12BF"/>
    <w:rsid w:val="000E1306"/>
    <w:rsid w:val="000E18E5"/>
    <w:rsid w:val="000E2969"/>
    <w:rsid w:val="000E2B75"/>
    <w:rsid w:val="000E2FC4"/>
    <w:rsid w:val="000E2FD1"/>
    <w:rsid w:val="000E45CA"/>
    <w:rsid w:val="000E499C"/>
    <w:rsid w:val="000E63CD"/>
    <w:rsid w:val="000E6781"/>
    <w:rsid w:val="000E6A50"/>
    <w:rsid w:val="000E6A9D"/>
    <w:rsid w:val="000E6CC6"/>
    <w:rsid w:val="000E73AA"/>
    <w:rsid w:val="000E752B"/>
    <w:rsid w:val="000E7B25"/>
    <w:rsid w:val="000E7E56"/>
    <w:rsid w:val="000E7FAA"/>
    <w:rsid w:val="000F003D"/>
    <w:rsid w:val="000F02C3"/>
    <w:rsid w:val="000F03B4"/>
    <w:rsid w:val="000F0ED8"/>
    <w:rsid w:val="000F1848"/>
    <w:rsid w:val="000F2321"/>
    <w:rsid w:val="000F24E2"/>
    <w:rsid w:val="000F2E20"/>
    <w:rsid w:val="000F39CB"/>
    <w:rsid w:val="000F3D63"/>
    <w:rsid w:val="000F3ED3"/>
    <w:rsid w:val="000F40C7"/>
    <w:rsid w:val="000F41BB"/>
    <w:rsid w:val="000F4679"/>
    <w:rsid w:val="000F46BD"/>
    <w:rsid w:val="000F5007"/>
    <w:rsid w:val="000F559A"/>
    <w:rsid w:val="000F5FB5"/>
    <w:rsid w:val="000F605F"/>
    <w:rsid w:val="000F64F2"/>
    <w:rsid w:val="000F691D"/>
    <w:rsid w:val="000F7002"/>
    <w:rsid w:val="000F74EE"/>
    <w:rsid w:val="000F7DF5"/>
    <w:rsid w:val="000F7E97"/>
    <w:rsid w:val="00100720"/>
    <w:rsid w:val="001012CF"/>
    <w:rsid w:val="0010138F"/>
    <w:rsid w:val="001016AA"/>
    <w:rsid w:val="001018E7"/>
    <w:rsid w:val="001019FE"/>
    <w:rsid w:val="00102276"/>
    <w:rsid w:val="00105085"/>
    <w:rsid w:val="00105869"/>
    <w:rsid w:val="00105E86"/>
    <w:rsid w:val="00105F7A"/>
    <w:rsid w:val="00106166"/>
    <w:rsid w:val="00106264"/>
    <w:rsid w:val="001063FC"/>
    <w:rsid w:val="00106481"/>
    <w:rsid w:val="00106960"/>
    <w:rsid w:val="00106FA5"/>
    <w:rsid w:val="001073E7"/>
    <w:rsid w:val="0010772E"/>
    <w:rsid w:val="00107B0C"/>
    <w:rsid w:val="00107B92"/>
    <w:rsid w:val="00110591"/>
    <w:rsid w:val="0011082E"/>
    <w:rsid w:val="00110E90"/>
    <w:rsid w:val="00110F5C"/>
    <w:rsid w:val="001114A8"/>
    <w:rsid w:val="001114D3"/>
    <w:rsid w:val="00111AC5"/>
    <w:rsid w:val="00111B87"/>
    <w:rsid w:val="00111C83"/>
    <w:rsid w:val="00112622"/>
    <w:rsid w:val="00112BA4"/>
    <w:rsid w:val="00112BEB"/>
    <w:rsid w:val="00112E38"/>
    <w:rsid w:val="00113A9D"/>
    <w:rsid w:val="00113F9C"/>
    <w:rsid w:val="00114863"/>
    <w:rsid w:val="001157C1"/>
    <w:rsid w:val="00115850"/>
    <w:rsid w:val="0011628F"/>
    <w:rsid w:val="00116BF2"/>
    <w:rsid w:val="001171A7"/>
    <w:rsid w:val="00117662"/>
    <w:rsid w:val="0011786A"/>
    <w:rsid w:val="0012029A"/>
    <w:rsid w:val="001204BF"/>
    <w:rsid w:val="0012078A"/>
    <w:rsid w:val="001211B5"/>
    <w:rsid w:val="0012231C"/>
    <w:rsid w:val="0012272E"/>
    <w:rsid w:val="00122DBD"/>
    <w:rsid w:val="00122F96"/>
    <w:rsid w:val="001234D7"/>
    <w:rsid w:val="00123620"/>
    <w:rsid w:val="00123EA3"/>
    <w:rsid w:val="001243CD"/>
    <w:rsid w:val="0012521B"/>
    <w:rsid w:val="001255A8"/>
    <w:rsid w:val="00125A57"/>
    <w:rsid w:val="00125B99"/>
    <w:rsid w:val="00125F2F"/>
    <w:rsid w:val="0012608B"/>
    <w:rsid w:val="001260D8"/>
    <w:rsid w:val="001265C7"/>
    <w:rsid w:val="001266E1"/>
    <w:rsid w:val="00127310"/>
    <w:rsid w:val="00127472"/>
    <w:rsid w:val="0013063A"/>
    <w:rsid w:val="001306CD"/>
    <w:rsid w:val="00130BE9"/>
    <w:rsid w:val="001312BE"/>
    <w:rsid w:val="001320B6"/>
    <w:rsid w:val="001328DC"/>
    <w:rsid w:val="00132BA4"/>
    <w:rsid w:val="001339ED"/>
    <w:rsid w:val="00133AED"/>
    <w:rsid w:val="001345A2"/>
    <w:rsid w:val="0013501D"/>
    <w:rsid w:val="00135097"/>
    <w:rsid w:val="00135755"/>
    <w:rsid w:val="00135AB9"/>
    <w:rsid w:val="00135BCD"/>
    <w:rsid w:val="001367C0"/>
    <w:rsid w:val="001377DA"/>
    <w:rsid w:val="0014070E"/>
    <w:rsid w:val="00140EC9"/>
    <w:rsid w:val="00141515"/>
    <w:rsid w:val="00141EC0"/>
    <w:rsid w:val="001421B9"/>
    <w:rsid w:val="001421CC"/>
    <w:rsid w:val="00144A94"/>
    <w:rsid w:val="00144F6D"/>
    <w:rsid w:val="0014580A"/>
    <w:rsid w:val="0014625B"/>
    <w:rsid w:val="0014628B"/>
    <w:rsid w:val="001462C0"/>
    <w:rsid w:val="0014637E"/>
    <w:rsid w:val="001466A1"/>
    <w:rsid w:val="00146943"/>
    <w:rsid w:val="001476F5"/>
    <w:rsid w:val="0014779D"/>
    <w:rsid w:val="00147D4A"/>
    <w:rsid w:val="0015045B"/>
    <w:rsid w:val="0015048F"/>
    <w:rsid w:val="001504B5"/>
    <w:rsid w:val="0015068A"/>
    <w:rsid w:val="001506C9"/>
    <w:rsid w:val="00150BE1"/>
    <w:rsid w:val="00150CA2"/>
    <w:rsid w:val="001512C2"/>
    <w:rsid w:val="0015231C"/>
    <w:rsid w:val="0015266B"/>
    <w:rsid w:val="00152F92"/>
    <w:rsid w:val="001530C1"/>
    <w:rsid w:val="001536FE"/>
    <w:rsid w:val="00153F5B"/>
    <w:rsid w:val="0015457D"/>
    <w:rsid w:val="00154ADF"/>
    <w:rsid w:val="00154D5E"/>
    <w:rsid w:val="0015505C"/>
    <w:rsid w:val="001550A2"/>
    <w:rsid w:val="00155127"/>
    <w:rsid w:val="001551E4"/>
    <w:rsid w:val="0015689A"/>
    <w:rsid w:val="0015692F"/>
    <w:rsid w:val="00156E06"/>
    <w:rsid w:val="0015741A"/>
    <w:rsid w:val="001574BD"/>
    <w:rsid w:val="001600EA"/>
    <w:rsid w:val="00160185"/>
    <w:rsid w:val="0016045F"/>
    <w:rsid w:val="001605B6"/>
    <w:rsid w:val="00160AF8"/>
    <w:rsid w:val="00160B30"/>
    <w:rsid w:val="0016117E"/>
    <w:rsid w:val="0016152F"/>
    <w:rsid w:val="00161731"/>
    <w:rsid w:val="001627BE"/>
    <w:rsid w:val="00163081"/>
    <w:rsid w:val="00163A0E"/>
    <w:rsid w:val="00163EE5"/>
    <w:rsid w:val="00164517"/>
    <w:rsid w:val="0016492C"/>
    <w:rsid w:val="00164EDC"/>
    <w:rsid w:val="00165AA9"/>
    <w:rsid w:val="00165CB5"/>
    <w:rsid w:val="00165DA8"/>
    <w:rsid w:val="00165E4C"/>
    <w:rsid w:val="00165F39"/>
    <w:rsid w:val="00166120"/>
    <w:rsid w:val="00166FD8"/>
    <w:rsid w:val="00167351"/>
    <w:rsid w:val="00167E59"/>
    <w:rsid w:val="001700C2"/>
    <w:rsid w:val="0017013C"/>
    <w:rsid w:val="001705AC"/>
    <w:rsid w:val="001706B2"/>
    <w:rsid w:val="001707EC"/>
    <w:rsid w:val="0017098C"/>
    <w:rsid w:val="00170B6A"/>
    <w:rsid w:val="00170D1A"/>
    <w:rsid w:val="0017123A"/>
    <w:rsid w:val="0017163E"/>
    <w:rsid w:val="00171D3A"/>
    <w:rsid w:val="001728B4"/>
    <w:rsid w:val="0017298A"/>
    <w:rsid w:val="00172D77"/>
    <w:rsid w:val="00172DD4"/>
    <w:rsid w:val="0017304A"/>
    <w:rsid w:val="0017400F"/>
    <w:rsid w:val="00174988"/>
    <w:rsid w:val="00175BC2"/>
    <w:rsid w:val="001763AD"/>
    <w:rsid w:val="00176489"/>
    <w:rsid w:val="0017650A"/>
    <w:rsid w:val="00176528"/>
    <w:rsid w:val="001773E2"/>
    <w:rsid w:val="0017784E"/>
    <w:rsid w:val="00177A22"/>
    <w:rsid w:val="001800C7"/>
    <w:rsid w:val="001806AC"/>
    <w:rsid w:val="001811FC"/>
    <w:rsid w:val="001815EA"/>
    <w:rsid w:val="00181A38"/>
    <w:rsid w:val="00181B52"/>
    <w:rsid w:val="001823E8"/>
    <w:rsid w:val="001825FE"/>
    <w:rsid w:val="001827CA"/>
    <w:rsid w:val="00182A11"/>
    <w:rsid w:val="00182C18"/>
    <w:rsid w:val="00183454"/>
    <w:rsid w:val="00183815"/>
    <w:rsid w:val="00183EC4"/>
    <w:rsid w:val="001841A7"/>
    <w:rsid w:val="00184212"/>
    <w:rsid w:val="001849C9"/>
    <w:rsid w:val="00184EE2"/>
    <w:rsid w:val="0018537C"/>
    <w:rsid w:val="00185484"/>
    <w:rsid w:val="00185EC2"/>
    <w:rsid w:val="00186477"/>
    <w:rsid w:val="00186C00"/>
    <w:rsid w:val="00187774"/>
    <w:rsid w:val="00187A27"/>
    <w:rsid w:val="00190020"/>
    <w:rsid w:val="0019038D"/>
    <w:rsid w:val="001904C9"/>
    <w:rsid w:val="00190797"/>
    <w:rsid w:val="00190DED"/>
    <w:rsid w:val="00190DF8"/>
    <w:rsid w:val="0019131A"/>
    <w:rsid w:val="0019136F"/>
    <w:rsid w:val="001913D8"/>
    <w:rsid w:val="0019147A"/>
    <w:rsid w:val="001915BE"/>
    <w:rsid w:val="00191915"/>
    <w:rsid w:val="00191C66"/>
    <w:rsid w:val="001921F8"/>
    <w:rsid w:val="0019245E"/>
    <w:rsid w:val="00192858"/>
    <w:rsid w:val="00192A10"/>
    <w:rsid w:val="00192ADE"/>
    <w:rsid w:val="00192BE9"/>
    <w:rsid w:val="001931C5"/>
    <w:rsid w:val="00193342"/>
    <w:rsid w:val="001937C1"/>
    <w:rsid w:val="00193F7E"/>
    <w:rsid w:val="001956F6"/>
    <w:rsid w:val="00195BC6"/>
    <w:rsid w:val="00196898"/>
    <w:rsid w:val="00196D95"/>
    <w:rsid w:val="00197E0E"/>
    <w:rsid w:val="001A050D"/>
    <w:rsid w:val="001A051A"/>
    <w:rsid w:val="001A0C46"/>
    <w:rsid w:val="001A1345"/>
    <w:rsid w:val="001A1611"/>
    <w:rsid w:val="001A1CFA"/>
    <w:rsid w:val="001A1FEA"/>
    <w:rsid w:val="001A2080"/>
    <w:rsid w:val="001A2602"/>
    <w:rsid w:val="001A267E"/>
    <w:rsid w:val="001A27FE"/>
    <w:rsid w:val="001A3351"/>
    <w:rsid w:val="001A341D"/>
    <w:rsid w:val="001A3506"/>
    <w:rsid w:val="001A41D5"/>
    <w:rsid w:val="001A4697"/>
    <w:rsid w:val="001A4F1B"/>
    <w:rsid w:val="001A5DDE"/>
    <w:rsid w:val="001A6165"/>
    <w:rsid w:val="001A6232"/>
    <w:rsid w:val="001A6D3B"/>
    <w:rsid w:val="001A7279"/>
    <w:rsid w:val="001A733F"/>
    <w:rsid w:val="001A7B7B"/>
    <w:rsid w:val="001A7CAD"/>
    <w:rsid w:val="001B046C"/>
    <w:rsid w:val="001B0526"/>
    <w:rsid w:val="001B05EB"/>
    <w:rsid w:val="001B1193"/>
    <w:rsid w:val="001B1330"/>
    <w:rsid w:val="001B1623"/>
    <w:rsid w:val="001B166E"/>
    <w:rsid w:val="001B237D"/>
    <w:rsid w:val="001B2477"/>
    <w:rsid w:val="001B257E"/>
    <w:rsid w:val="001B2DEC"/>
    <w:rsid w:val="001B2E2F"/>
    <w:rsid w:val="001B36B9"/>
    <w:rsid w:val="001B3B82"/>
    <w:rsid w:val="001B3FBF"/>
    <w:rsid w:val="001B42EE"/>
    <w:rsid w:val="001B442C"/>
    <w:rsid w:val="001B46A9"/>
    <w:rsid w:val="001B48F7"/>
    <w:rsid w:val="001B49A9"/>
    <w:rsid w:val="001B4A7D"/>
    <w:rsid w:val="001B4C96"/>
    <w:rsid w:val="001B4DB9"/>
    <w:rsid w:val="001B4E90"/>
    <w:rsid w:val="001B56B5"/>
    <w:rsid w:val="001B59AB"/>
    <w:rsid w:val="001B70BB"/>
    <w:rsid w:val="001B7231"/>
    <w:rsid w:val="001B77FB"/>
    <w:rsid w:val="001B797A"/>
    <w:rsid w:val="001C00B5"/>
    <w:rsid w:val="001C01A3"/>
    <w:rsid w:val="001C01B0"/>
    <w:rsid w:val="001C0588"/>
    <w:rsid w:val="001C061E"/>
    <w:rsid w:val="001C16A7"/>
    <w:rsid w:val="001C1EFA"/>
    <w:rsid w:val="001C221E"/>
    <w:rsid w:val="001C2400"/>
    <w:rsid w:val="001C34D6"/>
    <w:rsid w:val="001C34D9"/>
    <w:rsid w:val="001C367C"/>
    <w:rsid w:val="001C4073"/>
    <w:rsid w:val="001C4474"/>
    <w:rsid w:val="001C44A7"/>
    <w:rsid w:val="001C48D9"/>
    <w:rsid w:val="001C4D4C"/>
    <w:rsid w:val="001C5133"/>
    <w:rsid w:val="001C5656"/>
    <w:rsid w:val="001C60B0"/>
    <w:rsid w:val="001C6493"/>
    <w:rsid w:val="001C6672"/>
    <w:rsid w:val="001C6F58"/>
    <w:rsid w:val="001C7224"/>
    <w:rsid w:val="001C79B8"/>
    <w:rsid w:val="001C7A6D"/>
    <w:rsid w:val="001C7B22"/>
    <w:rsid w:val="001C7D96"/>
    <w:rsid w:val="001C7DF5"/>
    <w:rsid w:val="001D007A"/>
    <w:rsid w:val="001D0374"/>
    <w:rsid w:val="001D03D5"/>
    <w:rsid w:val="001D04CF"/>
    <w:rsid w:val="001D0764"/>
    <w:rsid w:val="001D0929"/>
    <w:rsid w:val="001D131A"/>
    <w:rsid w:val="001D1804"/>
    <w:rsid w:val="001D1A3C"/>
    <w:rsid w:val="001D1C92"/>
    <w:rsid w:val="001D33A6"/>
    <w:rsid w:val="001D3A69"/>
    <w:rsid w:val="001D3E9B"/>
    <w:rsid w:val="001D4264"/>
    <w:rsid w:val="001D4AC4"/>
    <w:rsid w:val="001D51AB"/>
    <w:rsid w:val="001D521B"/>
    <w:rsid w:val="001D5A67"/>
    <w:rsid w:val="001D60B2"/>
    <w:rsid w:val="001D659B"/>
    <w:rsid w:val="001D66B4"/>
    <w:rsid w:val="001D6DCF"/>
    <w:rsid w:val="001D6EA2"/>
    <w:rsid w:val="001D71CF"/>
    <w:rsid w:val="001D7E6E"/>
    <w:rsid w:val="001D7ED1"/>
    <w:rsid w:val="001D7FC0"/>
    <w:rsid w:val="001E0386"/>
    <w:rsid w:val="001E1487"/>
    <w:rsid w:val="001E159E"/>
    <w:rsid w:val="001E20B6"/>
    <w:rsid w:val="001E2595"/>
    <w:rsid w:val="001E262D"/>
    <w:rsid w:val="001E26A5"/>
    <w:rsid w:val="001E2A2D"/>
    <w:rsid w:val="001E2D10"/>
    <w:rsid w:val="001E35D1"/>
    <w:rsid w:val="001E3801"/>
    <w:rsid w:val="001E3FC7"/>
    <w:rsid w:val="001E4495"/>
    <w:rsid w:val="001E4550"/>
    <w:rsid w:val="001E45EE"/>
    <w:rsid w:val="001E46D0"/>
    <w:rsid w:val="001E4941"/>
    <w:rsid w:val="001E4D81"/>
    <w:rsid w:val="001E5219"/>
    <w:rsid w:val="001E5701"/>
    <w:rsid w:val="001E595C"/>
    <w:rsid w:val="001E5C94"/>
    <w:rsid w:val="001E5CED"/>
    <w:rsid w:val="001E5D54"/>
    <w:rsid w:val="001E605B"/>
    <w:rsid w:val="001E68DD"/>
    <w:rsid w:val="001E7B37"/>
    <w:rsid w:val="001E7E0E"/>
    <w:rsid w:val="001E7E3B"/>
    <w:rsid w:val="001F0206"/>
    <w:rsid w:val="001F06F9"/>
    <w:rsid w:val="001F08B5"/>
    <w:rsid w:val="001F1AA4"/>
    <w:rsid w:val="001F1F77"/>
    <w:rsid w:val="001F1FA8"/>
    <w:rsid w:val="001F2221"/>
    <w:rsid w:val="001F2995"/>
    <w:rsid w:val="001F2AFD"/>
    <w:rsid w:val="001F2CBB"/>
    <w:rsid w:val="001F2D65"/>
    <w:rsid w:val="001F385F"/>
    <w:rsid w:val="001F4067"/>
    <w:rsid w:val="001F4BED"/>
    <w:rsid w:val="001F5236"/>
    <w:rsid w:val="001F5A9A"/>
    <w:rsid w:val="001F5D1F"/>
    <w:rsid w:val="001F6286"/>
    <w:rsid w:val="001F637F"/>
    <w:rsid w:val="001F643B"/>
    <w:rsid w:val="001F76A3"/>
    <w:rsid w:val="001F7BAF"/>
    <w:rsid w:val="002002ED"/>
    <w:rsid w:val="002003B3"/>
    <w:rsid w:val="00200EAC"/>
    <w:rsid w:val="0020274A"/>
    <w:rsid w:val="0020301F"/>
    <w:rsid w:val="00203CC2"/>
    <w:rsid w:val="00204469"/>
    <w:rsid w:val="002045FE"/>
    <w:rsid w:val="00204890"/>
    <w:rsid w:val="00204CCE"/>
    <w:rsid w:val="002055A0"/>
    <w:rsid w:val="002061B8"/>
    <w:rsid w:val="002064DC"/>
    <w:rsid w:val="00206AB4"/>
    <w:rsid w:val="00206AC3"/>
    <w:rsid w:val="002070D3"/>
    <w:rsid w:val="0020721F"/>
    <w:rsid w:val="00207564"/>
    <w:rsid w:val="002076A2"/>
    <w:rsid w:val="002077EE"/>
    <w:rsid w:val="00210047"/>
    <w:rsid w:val="00210081"/>
    <w:rsid w:val="0021046F"/>
    <w:rsid w:val="002109A8"/>
    <w:rsid w:val="002111A8"/>
    <w:rsid w:val="002111C9"/>
    <w:rsid w:val="002115C2"/>
    <w:rsid w:val="00211640"/>
    <w:rsid w:val="002117F4"/>
    <w:rsid w:val="0021231F"/>
    <w:rsid w:val="00212DAE"/>
    <w:rsid w:val="00213405"/>
    <w:rsid w:val="002137F2"/>
    <w:rsid w:val="00213B06"/>
    <w:rsid w:val="00213CEE"/>
    <w:rsid w:val="00213F0B"/>
    <w:rsid w:val="00214248"/>
    <w:rsid w:val="002143F9"/>
    <w:rsid w:val="00214C57"/>
    <w:rsid w:val="002157F8"/>
    <w:rsid w:val="002158C7"/>
    <w:rsid w:val="00216A6E"/>
    <w:rsid w:val="00217193"/>
    <w:rsid w:val="00217954"/>
    <w:rsid w:val="00217D0D"/>
    <w:rsid w:val="00220033"/>
    <w:rsid w:val="002206B3"/>
    <w:rsid w:val="00220D0D"/>
    <w:rsid w:val="002221E6"/>
    <w:rsid w:val="00222560"/>
    <w:rsid w:val="002227FE"/>
    <w:rsid w:val="00222FFE"/>
    <w:rsid w:val="00223754"/>
    <w:rsid w:val="00224A18"/>
    <w:rsid w:val="00226B63"/>
    <w:rsid w:val="00226D4D"/>
    <w:rsid w:val="00226E55"/>
    <w:rsid w:val="00227706"/>
    <w:rsid w:val="0022786C"/>
    <w:rsid w:val="00227CE0"/>
    <w:rsid w:val="00227D90"/>
    <w:rsid w:val="00230BE1"/>
    <w:rsid w:val="0023107F"/>
    <w:rsid w:val="00231330"/>
    <w:rsid w:val="002313DA"/>
    <w:rsid w:val="00232509"/>
    <w:rsid w:val="00232707"/>
    <w:rsid w:val="00232A11"/>
    <w:rsid w:val="00233CE7"/>
    <w:rsid w:val="002343C9"/>
    <w:rsid w:val="00234E36"/>
    <w:rsid w:val="00235379"/>
    <w:rsid w:val="0023649D"/>
    <w:rsid w:val="0023681D"/>
    <w:rsid w:val="00236B13"/>
    <w:rsid w:val="00236C31"/>
    <w:rsid w:val="0023757D"/>
    <w:rsid w:val="0023770F"/>
    <w:rsid w:val="00237DAD"/>
    <w:rsid w:val="002401A4"/>
    <w:rsid w:val="002404FB"/>
    <w:rsid w:val="00241207"/>
    <w:rsid w:val="002414D9"/>
    <w:rsid w:val="0024313C"/>
    <w:rsid w:val="002435B8"/>
    <w:rsid w:val="00243B6F"/>
    <w:rsid w:val="00244057"/>
    <w:rsid w:val="0024462A"/>
    <w:rsid w:val="002448B0"/>
    <w:rsid w:val="00244D60"/>
    <w:rsid w:val="00244FFC"/>
    <w:rsid w:val="00246721"/>
    <w:rsid w:val="00246A31"/>
    <w:rsid w:val="002470C5"/>
    <w:rsid w:val="00250C6B"/>
    <w:rsid w:val="00251057"/>
    <w:rsid w:val="002512EA"/>
    <w:rsid w:val="00251A0F"/>
    <w:rsid w:val="002526C7"/>
    <w:rsid w:val="002528EF"/>
    <w:rsid w:val="00252D7F"/>
    <w:rsid w:val="00252E65"/>
    <w:rsid w:val="0025359B"/>
    <w:rsid w:val="00254CB2"/>
    <w:rsid w:val="00254DFF"/>
    <w:rsid w:val="0025548F"/>
    <w:rsid w:val="002566E0"/>
    <w:rsid w:val="00256835"/>
    <w:rsid w:val="00256C00"/>
    <w:rsid w:val="00256DED"/>
    <w:rsid w:val="00260282"/>
    <w:rsid w:val="002609DB"/>
    <w:rsid w:val="00260D22"/>
    <w:rsid w:val="002610A0"/>
    <w:rsid w:val="00261453"/>
    <w:rsid w:val="002616B1"/>
    <w:rsid w:val="002627CD"/>
    <w:rsid w:val="00262B72"/>
    <w:rsid w:val="00262F67"/>
    <w:rsid w:val="00263157"/>
    <w:rsid w:val="002635CD"/>
    <w:rsid w:val="00263790"/>
    <w:rsid w:val="00263F95"/>
    <w:rsid w:val="00264091"/>
    <w:rsid w:val="002640E0"/>
    <w:rsid w:val="002641B9"/>
    <w:rsid w:val="00264601"/>
    <w:rsid w:val="00264887"/>
    <w:rsid w:val="00264FA1"/>
    <w:rsid w:val="002655A6"/>
    <w:rsid w:val="0026625E"/>
    <w:rsid w:val="00267738"/>
    <w:rsid w:val="0026782C"/>
    <w:rsid w:val="00270291"/>
    <w:rsid w:val="002702D0"/>
    <w:rsid w:val="00270324"/>
    <w:rsid w:val="0027063F"/>
    <w:rsid w:val="00270FD4"/>
    <w:rsid w:val="002716AF"/>
    <w:rsid w:val="00271BD1"/>
    <w:rsid w:val="002729A3"/>
    <w:rsid w:val="00272C01"/>
    <w:rsid w:val="002734AC"/>
    <w:rsid w:val="002736B1"/>
    <w:rsid w:val="00273C9C"/>
    <w:rsid w:val="00274696"/>
    <w:rsid w:val="00274FF2"/>
    <w:rsid w:val="00275F9C"/>
    <w:rsid w:val="002763F9"/>
    <w:rsid w:val="0027650E"/>
    <w:rsid w:val="00277539"/>
    <w:rsid w:val="0027755B"/>
    <w:rsid w:val="00277751"/>
    <w:rsid w:val="00277DD8"/>
    <w:rsid w:val="002801A0"/>
    <w:rsid w:val="002804B8"/>
    <w:rsid w:val="00280B1E"/>
    <w:rsid w:val="00281078"/>
    <w:rsid w:val="002815E6"/>
    <w:rsid w:val="00281A74"/>
    <w:rsid w:val="00281F31"/>
    <w:rsid w:val="002824B7"/>
    <w:rsid w:val="002825A3"/>
    <w:rsid w:val="00282729"/>
    <w:rsid w:val="00282760"/>
    <w:rsid w:val="00282940"/>
    <w:rsid w:val="00282997"/>
    <w:rsid w:val="00283820"/>
    <w:rsid w:val="0028388E"/>
    <w:rsid w:val="00283B48"/>
    <w:rsid w:val="00284779"/>
    <w:rsid w:val="00284B20"/>
    <w:rsid w:val="00284B49"/>
    <w:rsid w:val="00285125"/>
    <w:rsid w:val="00285510"/>
    <w:rsid w:val="002859E0"/>
    <w:rsid w:val="00286997"/>
    <w:rsid w:val="0028726C"/>
    <w:rsid w:val="00287A5C"/>
    <w:rsid w:val="00287B97"/>
    <w:rsid w:val="00287F53"/>
    <w:rsid w:val="00290008"/>
    <w:rsid w:val="00291451"/>
    <w:rsid w:val="002915BC"/>
    <w:rsid w:val="00291ABC"/>
    <w:rsid w:val="0029206B"/>
    <w:rsid w:val="00292B5D"/>
    <w:rsid w:val="00293355"/>
    <w:rsid w:val="00293A17"/>
    <w:rsid w:val="00293B1E"/>
    <w:rsid w:val="00294306"/>
    <w:rsid w:val="00294C36"/>
    <w:rsid w:val="00294E7B"/>
    <w:rsid w:val="00295A6F"/>
    <w:rsid w:val="00295D9B"/>
    <w:rsid w:val="00295EB6"/>
    <w:rsid w:val="002960A4"/>
    <w:rsid w:val="00296454"/>
    <w:rsid w:val="00296841"/>
    <w:rsid w:val="00297283"/>
    <w:rsid w:val="00297D77"/>
    <w:rsid w:val="00297E53"/>
    <w:rsid w:val="002A01A4"/>
    <w:rsid w:val="002A02C7"/>
    <w:rsid w:val="002A0C6E"/>
    <w:rsid w:val="002A0DE2"/>
    <w:rsid w:val="002A1A70"/>
    <w:rsid w:val="002A1D98"/>
    <w:rsid w:val="002A1F40"/>
    <w:rsid w:val="002A2644"/>
    <w:rsid w:val="002A28A5"/>
    <w:rsid w:val="002A309D"/>
    <w:rsid w:val="002A32D1"/>
    <w:rsid w:val="002A363C"/>
    <w:rsid w:val="002A3660"/>
    <w:rsid w:val="002A3ABD"/>
    <w:rsid w:val="002A3CD7"/>
    <w:rsid w:val="002A4061"/>
    <w:rsid w:val="002A497F"/>
    <w:rsid w:val="002A5EDA"/>
    <w:rsid w:val="002A6BE1"/>
    <w:rsid w:val="002A77D9"/>
    <w:rsid w:val="002B00E5"/>
    <w:rsid w:val="002B025F"/>
    <w:rsid w:val="002B0748"/>
    <w:rsid w:val="002B1197"/>
    <w:rsid w:val="002B15CE"/>
    <w:rsid w:val="002B1A02"/>
    <w:rsid w:val="002B1FA9"/>
    <w:rsid w:val="002B21C6"/>
    <w:rsid w:val="002B25A8"/>
    <w:rsid w:val="002B2E37"/>
    <w:rsid w:val="002B2FDD"/>
    <w:rsid w:val="002B321A"/>
    <w:rsid w:val="002B334E"/>
    <w:rsid w:val="002B33FD"/>
    <w:rsid w:val="002B3495"/>
    <w:rsid w:val="002B3554"/>
    <w:rsid w:val="002B3628"/>
    <w:rsid w:val="002B3CB3"/>
    <w:rsid w:val="002B40DD"/>
    <w:rsid w:val="002B4683"/>
    <w:rsid w:val="002B55BE"/>
    <w:rsid w:val="002B5D99"/>
    <w:rsid w:val="002B61B5"/>
    <w:rsid w:val="002B6462"/>
    <w:rsid w:val="002B68E8"/>
    <w:rsid w:val="002B73C5"/>
    <w:rsid w:val="002B7458"/>
    <w:rsid w:val="002B77E9"/>
    <w:rsid w:val="002B7E75"/>
    <w:rsid w:val="002C027D"/>
    <w:rsid w:val="002C08F3"/>
    <w:rsid w:val="002C0B52"/>
    <w:rsid w:val="002C1272"/>
    <w:rsid w:val="002C1675"/>
    <w:rsid w:val="002C19A8"/>
    <w:rsid w:val="002C1A4E"/>
    <w:rsid w:val="002C1BE7"/>
    <w:rsid w:val="002C22F8"/>
    <w:rsid w:val="002C28CD"/>
    <w:rsid w:val="002C2CBA"/>
    <w:rsid w:val="002C3BA5"/>
    <w:rsid w:val="002C3C1A"/>
    <w:rsid w:val="002C485D"/>
    <w:rsid w:val="002C49A7"/>
    <w:rsid w:val="002C4B1E"/>
    <w:rsid w:val="002C4D4C"/>
    <w:rsid w:val="002C5172"/>
    <w:rsid w:val="002C5502"/>
    <w:rsid w:val="002C5F4E"/>
    <w:rsid w:val="002C602D"/>
    <w:rsid w:val="002C657E"/>
    <w:rsid w:val="002C683B"/>
    <w:rsid w:val="002C68E5"/>
    <w:rsid w:val="002C699B"/>
    <w:rsid w:val="002C6B82"/>
    <w:rsid w:val="002C6BB1"/>
    <w:rsid w:val="002C6DFC"/>
    <w:rsid w:val="002C7791"/>
    <w:rsid w:val="002C78EB"/>
    <w:rsid w:val="002C7B49"/>
    <w:rsid w:val="002C7E87"/>
    <w:rsid w:val="002D0424"/>
    <w:rsid w:val="002D0712"/>
    <w:rsid w:val="002D0FED"/>
    <w:rsid w:val="002D17CF"/>
    <w:rsid w:val="002D1868"/>
    <w:rsid w:val="002D1A96"/>
    <w:rsid w:val="002D20EB"/>
    <w:rsid w:val="002D247F"/>
    <w:rsid w:val="002D262B"/>
    <w:rsid w:val="002D264F"/>
    <w:rsid w:val="002D35C0"/>
    <w:rsid w:val="002D416F"/>
    <w:rsid w:val="002D4928"/>
    <w:rsid w:val="002D4B44"/>
    <w:rsid w:val="002D559B"/>
    <w:rsid w:val="002D5631"/>
    <w:rsid w:val="002D668A"/>
    <w:rsid w:val="002D6708"/>
    <w:rsid w:val="002D6A8E"/>
    <w:rsid w:val="002D7BCD"/>
    <w:rsid w:val="002D7C21"/>
    <w:rsid w:val="002D7EF1"/>
    <w:rsid w:val="002E0254"/>
    <w:rsid w:val="002E07C9"/>
    <w:rsid w:val="002E085B"/>
    <w:rsid w:val="002E0A4E"/>
    <w:rsid w:val="002E0BE6"/>
    <w:rsid w:val="002E0DB7"/>
    <w:rsid w:val="002E0ED5"/>
    <w:rsid w:val="002E0F22"/>
    <w:rsid w:val="002E106F"/>
    <w:rsid w:val="002E1824"/>
    <w:rsid w:val="002E19C4"/>
    <w:rsid w:val="002E1D34"/>
    <w:rsid w:val="002E1ED2"/>
    <w:rsid w:val="002E229F"/>
    <w:rsid w:val="002E2487"/>
    <w:rsid w:val="002E32C2"/>
    <w:rsid w:val="002E361C"/>
    <w:rsid w:val="002E4797"/>
    <w:rsid w:val="002E518F"/>
    <w:rsid w:val="002E5274"/>
    <w:rsid w:val="002E548B"/>
    <w:rsid w:val="002E55AB"/>
    <w:rsid w:val="002E55C7"/>
    <w:rsid w:val="002E5A0C"/>
    <w:rsid w:val="002E5D49"/>
    <w:rsid w:val="002E6294"/>
    <w:rsid w:val="002E6301"/>
    <w:rsid w:val="002E631A"/>
    <w:rsid w:val="002E6A90"/>
    <w:rsid w:val="002E6AAF"/>
    <w:rsid w:val="002E6AB4"/>
    <w:rsid w:val="002E71AF"/>
    <w:rsid w:val="002E74BE"/>
    <w:rsid w:val="002E788F"/>
    <w:rsid w:val="002E7990"/>
    <w:rsid w:val="002E7DBE"/>
    <w:rsid w:val="002E7DFA"/>
    <w:rsid w:val="002E7EAC"/>
    <w:rsid w:val="002E7EFC"/>
    <w:rsid w:val="002F0ADB"/>
    <w:rsid w:val="002F0CF1"/>
    <w:rsid w:val="002F0DC1"/>
    <w:rsid w:val="002F1073"/>
    <w:rsid w:val="002F148B"/>
    <w:rsid w:val="002F192D"/>
    <w:rsid w:val="002F1C9B"/>
    <w:rsid w:val="002F22A5"/>
    <w:rsid w:val="002F2340"/>
    <w:rsid w:val="002F2C6A"/>
    <w:rsid w:val="002F3121"/>
    <w:rsid w:val="002F3910"/>
    <w:rsid w:val="002F3B0F"/>
    <w:rsid w:val="002F3FFE"/>
    <w:rsid w:val="002F40C2"/>
    <w:rsid w:val="002F48EA"/>
    <w:rsid w:val="002F4BE0"/>
    <w:rsid w:val="002F4D7D"/>
    <w:rsid w:val="002F4E0C"/>
    <w:rsid w:val="002F5280"/>
    <w:rsid w:val="002F5C06"/>
    <w:rsid w:val="002F5D98"/>
    <w:rsid w:val="002F6F67"/>
    <w:rsid w:val="002F7166"/>
    <w:rsid w:val="002F7777"/>
    <w:rsid w:val="002F786A"/>
    <w:rsid w:val="002F7FCC"/>
    <w:rsid w:val="003007AC"/>
    <w:rsid w:val="003010DE"/>
    <w:rsid w:val="00301BB4"/>
    <w:rsid w:val="00302065"/>
    <w:rsid w:val="0030229C"/>
    <w:rsid w:val="003028AD"/>
    <w:rsid w:val="00302EE9"/>
    <w:rsid w:val="0030320F"/>
    <w:rsid w:val="00303543"/>
    <w:rsid w:val="003035EC"/>
    <w:rsid w:val="00303CE6"/>
    <w:rsid w:val="00303E2C"/>
    <w:rsid w:val="00303EC0"/>
    <w:rsid w:val="0030430F"/>
    <w:rsid w:val="00304FD1"/>
    <w:rsid w:val="0030504D"/>
    <w:rsid w:val="003054AE"/>
    <w:rsid w:val="00305691"/>
    <w:rsid w:val="003060BD"/>
    <w:rsid w:val="00306865"/>
    <w:rsid w:val="00306E00"/>
    <w:rsid w:val="003077E5"/>
    <w:rsid w:val="00307977"/>
    <w:rsid w:val="003103C0"/>
    <w:rsid w:val="0031047B"/>
    <w:rsid w:val="00310B68"/>
    <w:rsid w:val="00311293"/>
    <w:rsid w:val="00311482"/>
    <w:rsid w:val="00311A88"/>
    <w:rsid w:val="0031282C"/>
    <w:rsid w:val="00312DB1"/>
    <w:rsid w:val="003132FF"/>
    <w:rsid w:val="00313477"/>
    <w:rsid w:val="0031358E"/>
    <w:rsid w:val="00313DAB"/>
    <w:rsid w:val="00313E9C"/>
    <w:rsid w:val="003141EF"/>
    <w:rsid w:val="003155E6"/>
    <w:rsid w:val="00315AAD"/>
    <w:rsid w:val="00315BE2"/>
    <w:rsid w:val="003160C1"/>
    <w:rsid w:val="00316D33"/>
    <w:rsid w:val="00316ED4"/>
    <w:rsid w:val="0031703D"/>
    <w:rsid w:val="0031778A"/>
    <w:rsid w:val="00317AB4"/>
    <w:rsid w:val="003200C8"/>
    <w:rsid w:val="00320514"/>
    <w:rsid w:val="003205E5"/>
    <w:rsid w:val="003206A7"/>
    <w:rsid w:val="00320C8A"/>
    <w:rsid w:val="00321978"/>
    <w:rsid w:val="00322B0F"/>
    <w:rsid w:val="0032328D"/>
    <w:rsid w:val="003236A6"/>
    <w:rsid w:val="003244A3"/>
    <w:rsid w:val="00324B3D"/>
    <w:rsid w:val="00326EB2"/>
    <w:rsid w:val="0032794C"/>
    <w:rsid w:val="00327DC9"/>
    <w:rsid w:val="00327E33"/>
    <w:rsid w:val="00327E70"/>
    <w:rsid w:val="00330056"/>
    <w:rsid w:val="00330463"/>
    <w:rsid w:val="003315C9"/>
    <w:rsid w:val="00331805"/>
    <w:rsid w:val="003318AD"/>
    <w:rsid w:val="00331DF9"/>
    <w:rsid w:val="00332618"/>
    <w:rsid w:val="00332A42"/>
    <w:rsid w:val="00332F5E"/>
    <w:rsid w:val="0033495E"/>
    <w:rsid w:val="00336323"/>
    <w:rsid w:val="00336EBA"/>
    <w:rsid w:val="003372E9"/>
    <w:rsid w:val="00340444"/>
    <w:rsid w:val="00340523"/>
    <w:rsid w:val="00340B24"/>
    <w:rsid w:val="00341123"/>
    <w:rsid w:val="003412B6"/>
    <w:rsid w:val="00341806"/>
    <w:rsid w:val="003419E2"/>
    <w:rsid w:val="00341B66"/>
    <w:rsid w:val="00341EDB"/>
    <w:rsid w:val="003426FD"/>
    <w:rsid w:val="003427AF"/>
    <w:rsid w:val="00342C3C"/>
    <w:rsid w:val="00342D19"/>
    <w:rsid w:val="00342D8D"/>
    <w:rsid w:val="00343361"/>
    <w:rsid w:val="00343AE6"/>
    <w:rsid w:val="00343C12"/>
    <w:rsid w:val="00344207"/>
    <w:rsid w:val="0034470C"/>
    <w:rsid w:val="00344C7E"/>
    <w:rsid w:val="00344FCE"/>
    <w:rsid w:val="0034567B"/>
    <w:rsid w:val="00345FAB"/>
    <w:rsid w:val="003463EE"/>
    <w:rsid w:val="0034651E"/>
    <w:rsid w:val="00346A17"/>
    <w:rsid w:val="00346BC3"/>
    <w:rsid w:val="00350267"/>
    <w:rsid w:val="00350313"/>
    <w:rsid w:val="003506C5"/>
    <w:rsid w:val="00350A11"/>
    <w:rsid w:val="00350ACB"/>
    <w:rsid w:val="00350BF2"/>
    <w:rsid w:val="00351525"/>
    <w:rsid w:val="00351C1C"/>
    <w:rsid w:val="00352218"/>
    <w:rsid w:val="003522E3"/>
    <w:rsid w:val="00352357"/>
    <w:rsid w:val="00352A1A"/>
    <w:rsid w:val="0035331D"/>
    <w:rsid w:val="0035332F"/>
    <w:rsid w:val="0035376C"/>
    <w:rsid w:val="00354925"/>
    <w:rsid w:val="00354A5A"/>
    <w:rsid w:val="00354D4C"/>
    <w:rsid w:val="00354EC6"/>
    <w:rsid w:val="0035544A"/>
    <w:rsid w:val="0035583E"/>
    <w:rsid w:val="003558CE"/>
    <w:rsid w:val="003559DA"/>
    <w:rsid w:val="003561B3"/>
    <w:rsid w:val="003565AF"/>
    <w:rsid w:val="00356644"/>
    <w:rsid w:val="003569E9"/>
    <w:rsid w:val="00356B03"/>
    <w:rsid w:val="00356C7D"/>
    <w:rsid w:val="00356F84"/>
    <w:rsid w:val="00357013"/>
    <w:rsid w:val="00357573"/>
    <w:rsid w:val="00357EF5"/>
    <w:rsid w:val="00361664"/>
    <w:rsid w:val="00361984"/>
    <w:rsid w:val="00362159"/>
    <w:rsid w:val="003634B3"/>
    <w:rsid w:val="00363622"/>
    <w:rsid w:val="003636DE"/>
    <w:rsid w:val="003638DA"/>
    <w:rsid w:val="00363E3C"/>
    <w:rsid w:val="0036416B"/>
    <w:rsid w:val="003642B0"/>
    <w:rsid w:val="0036449C"/>
    <w:rsid w:val="003648D3"/>
    <w:rsid w:val="00364AE6"/>
    <w:rsid w:val="0036547A"/>
    <w:rsid w:val="00365FF5"/>
    <w:rsid w:val="00366374"/>
    <w:rsid w:val="0036656F"/>
    <w:rsid w:val="00366913"/>
    <w:rsid w:val="00366D98"/>
    <w:rsid w:val="00366E4A"/>
    <w:rsid w:val="00367DFE"/>
    <w:rsid w:val="00370336"/>
    <w:rsid w:val="0037073F"/>
    <w:rsid w:val="00370B5E"/>
    <w:rsid w:val="00370C83"/>
    <w:rsid w:val="0037123C"/>
    <w:rsid w:val="003714C3"/>
    <w:rsid w:val="00371561"/>
    <w:rsid w:val="00371754"/>
    <w:rsid w:val="00371889"/>
    <w:rsid w:val="00371C6C"/>
    <w:rsid w:val="00371CB5"/>
    <w:rsid w:val="00371F27"/>
    <w:rsid w:val="00372728"/>
    <w:rsid w:val="0037316A"/>
    <w:rsid w:val="00373309"/>
    <w:rsid w:val="003734E0"/>
    <w:rsid w:val="00373539"/>
    <w:rsid w:val="00373B53"/>
    <w:rsid w:val="003743BD"/>
    <w:rsid w:val="0037614B"/>
    <w:rsid w:val="003761A8"/>
    <w:rsid w:val="0037690D"/>
    <w:rsid w:val="0037696D"/>
    <w:rsid w:val="003771BD"/>
    <w:rsid w:val="003775BE"/>
    <w:rsid w:val="0037765B"/>
    <w:rsid w:val="00377866"/>
    <w:rsid w:val="003778FE"/>
    <w:rsid w:val="003779D5"/>
    <w:rsid w:val="00377D2C"/>
    <w:rsid w:val="0038050C"/>
    <w:rsid w:val="00380A87"/>
    <w:rsid w:val="003813BD"/>
    <w:rsid w:val="00381B0B"/>
    <w:rsid w:val="0038268B"/>
    <w:rsid w:val="00382F0C"/>
    <w:rsid w:val="003849C0"/>
    <w:rsid w:val="00384BDB"/>
    <w:rsid w:val="00384D24"/>
    <w:rsid w:val="00385191"/>
    <w:rsid w:val="003851A5"/>
    <w:rsid w:val="00385350"/>
    <w:rsid w:val="00385842"/>
    <w:rsid w:val="00385BA1"/>
    <w:rsid w:val="0038608C"/>
    <w:rsid w:val="00386409"/>
    <w:rsid w:val="00386692"/>
    <w:rsid w:val="00386CE2"/>
    <w:rsid w:val="0038704C"/>
    <w:rsid w:val="0038791B"/>
    <w:rsid w:val="0038792E"/>
    <w:rsid w:val="00387B3D"/>
    <w:rsid w:val="00387FB8"/>
    <w:rsid w:val="0039016E"/>
    <w:rsid w:val="003908AA"/>
    <w:rsid w:val="00390AA3"/>
    <w:rsid w:val="003915F3"/>
    <w:rsid w:val="00391859"/>
    <w:rsid w:val="00391BBC"/>
    <w:rsid w:val="00391E06"/>
    <w:rsid w:val="00392112"/>
    <w:rsid w:val="00392539"/>
    <w:rsid w:val="00392548"/>
    <w:rsid w:val="00393308"/>
    <w:rsid w:val="0039368A"/>
    <w:rsid w:val="00393B4D"/>
    <w:rsid w:val="00393B57"/>
    <w:rsid w:val="00393D56"/>
    <w:rsid w:val="00394763"/>
    <w:rsid w:val="00394FFB"/>
    <w:rsid w:val="00395673"/>
    <w:rsid w:val="00396421"/>
    <w:rsid w:val="00396649"/>
    <w:rsid w:val="003969C4"/>
    <w:rsid w:val="00396C9B"/>
    <w:rsid w:val="00397353"/>
    <w:rsid w:val="003973FB"/>
    <w:rsid w:val="0039764B"/>
    <w:rsid w:val="00397979"/>
    <w:rsid w:val="00397A3C"/>
    <w:rsid w:val="00397A64"/>
    <w:rsid w:val="003A06E3"/>
    <w:rsid w:val="003A07AC"/>
    <w:rsid w:val="003A0A3F"/>
    <w:rsid w:val="003A0D58"/>
    <w:rsid w:val="003A14CD"/>
    <w:rsid w:val="003A1579"/>
    <w:rsid w:val="003A16E2"/>
    <w:rsid w:val="003A1BAF"/>
    <w:rsid w:val="003A254D"/>
    <w:rsid w:val="003A264D"/>
    <w:rsid w:val="003A26A5"/>
    <w:rsid w:val="003A2EC5"/>
    <w:rsid w:val="003A38DF"/>
    <w:rsid w:val="003A39BB"/>
    <w:rsid w:val="003A3D60"/>
    <w:rsid w:val="003A3EF2"/>
    <w:rsid w:val="003A3F50"/>
    <w:rsid w:val="003A45E6"/>
    <w:rsid w:val="003A4D4E"/>
    <w:rsid w:val="003A4DCC"/>
    <w:rsid w:val="003A5192"/>
    <w:rsid w:val="003A5615"/>
    <w:rsid w:val="003A58EF"/>
    <w:rsid w:val="003A5A4D"/>
    <w:rsid w:val="003A5DAF"/>
    <w:rsid w:val="003A5FAD"/>
    <w:rsid w:val="003A6FE7"/>
    <w:rsid w:val="003A723A"/>
    <w:rsid w:val="003A7CE1"/>
    <w:rsid w:val="003A7CEC"/>
    <w:rsid w:val="003B0208"/>
    <w:rsid w:val="003B05EC"/>
    <w:rsid w:val="003B0912"/>
    <w:rsid w:val="003B0C6C"/>
    <w:rsid w:val="003B0E7C"/>
    <w:rsid w:val="003B213A"/>
    <w:rsid w:val="003B283A"/>
    <w:rsid w:val="003B3791"/>
    <w:rsid w:val="003B43C0"/>
    <w:rsid w:val="003B4AB2"/>
    <w:rsid w:val="003B4C75"/>
    <w:rsid w:val="003B4DE0"/>
    <w:rsid w:val="003B502B"/>
    <w:rsid w:val="003B54A6"/>
    <w:rsid w:val="003B5570"/>
    <w:rsid w:val="003B563F"/>
    <w:rsid w:val="003B5E76"/>
    <w:rsid w:val="003B669C"/>
    <w:rsid w:val="003B7325"/>
    <w:rsid w:val="003B792A"/>
    <w:rsid w:val="003C0CE9"/>
    <w:rsid w:val="003C1079"/>
    <w:rsid w:val="003C10E7"/>
    <w:rsid w:val="003C1448"/>
    <w:rsid w:val="003C1786"/>
    <w:rsid w:val="003C2399"/>
    <w:rsid w:val="003C289F"/>
    <w:rsid w:val="003C32E3"/>
    <w:rsid w:val="003C34A4"/>
    <w:rsid w:val="003C361E"/>
    <w:rsid w:val="003C3860"/>
    <w:rsid w:val="003C3BFC"/>
    <w:rsid w:val="003C3D14"/>
    <w:rsid w:val="003C4578"/>
    <w:rsid w:val="003C4875"/>
    <w:rsid w:val="003C4CAC"/>
    <w:rsid w:val="003C50B5"/>
    <w:rsid w:val="003C55ED"/>
    <w:rsid w:val="003C57A2"/>
    <w:rsid w:val="003C57D1"/>
    <w:rsid w:val="003C64D3"/>
    <w:rsid w:val="003C64FD"/>
    <w:rsid w:val="003C6D1D"/>
    <w:rsid w:val="003C6E42"/>
    <w:rsid w:val="003C717A"/>
    <w:rsid w:val="003C76E7"/>
    <w:rsid w:val="003C7F06"/>
    <w:rsid w:val="003D0229"/>
    <w:rsid w:val="003D071D"/>
    <w:rsid w:val="003D08A6"/>
    <w:rsid w:val="003D0F4D"/>
    <w:rsid w:val="003D1A19"/>
    <w:rsid w:val="003D1F38"/>
    <w:rsid w:val="003D239D"/>
    <w:rsid w:val="003D240E"/>
    <w:rsid w:val="003D249A"/>
    <w:rsid w:val="003D2EEE"/>
    <w:rsid w:val="003D377B"/>
    <w:rsid w:val="003D3F73"/>
    <w:rsid w:val="003D4BD6"/>
    <w:rsid w:val="003D5480"/>
    <w:rsid w:val="003D56D2"/>
    <w:rsid w:val="003D5EF2"/>
    <w:rsid w:val="003D6022"/>
    <w:rsid w:val="003D6771"/>
    <w:rsid w:val="003D6935"/>
    <w:rsid w:val="003D6A65"/>
    <w:rsid w:val="003D6A98"/>
    <w:rsid w:val="003D6FBC"/>
    <w:rsid w:val="003D7141"/>
    <w:rsid w:val="003D76B5"/>
    <w:rsid w:val="003D7A54"/>
    <w:rsid w:val="003D7DBD"/>
    <w:rsid w:val="003D7F0A"/>
    <w:rsid w:val="003E0535"/>
    <w:rsid w:val="003E09D1"/>
    <w:rsid w:val="003E1798"/>
    <w:rsid w:val="003E1B2E"/>
    <w:rsid w:val="003E1D33"/>
    <w:rsid w:val="003E1F82"/>
    <w:rsid w:val="003E2A06"/>
    <w:rsid w:val="003E2AB1"/>
    <w:rsid w:val="003E2E4B"/>
    <w:rsid w:val="003E3015"/>
    <w:rsid w:val="003E39E8"/>
    <w:rsid w:val="003E3AAD"/>
    <w:rsid w:val="003E457E"/>
    <w:rsid w:val="003E471E"/>
    <w:rsid w:val="003E48C7"/>
    <w:rsid w:val="003E504F"/>
    <w:rsid w:val="003E55B5"/>
    <w:rsid w:val="003E5603"/>
    <w:rsid w:val="003E59FB"/>
    <w:rsid w:val="003E5AC1"/>
    <w:rsid w:val="003E5CA4"/>
    <w:rsid w:val="003E5D61"/>
    <w:rsid w:val="003E5DDB"/>
    <w:rsid w:val="003E61B4"/>
    <w:rsid w:val="003E658F"/>
    <w:rsid w:val="003E6A5E"/>
    <w:rsid w:val="003E73DC"/>
    <w:rsid w:val="003E7428"/>
    <w:rsid w:val="003F0015"/>
    <w:rsid w:val="003F01AE"/>
    <w:rsid w:val="003F09F8"/>
    <w:rsid w:val="003F1D7D"/>
    <w:rsid w:val="003F1EA7"/>
    <w:rsid w:val="003F21E8"/>
    <w:rsid w:val="003F32B6"/>
    <w:rsid w:val="003F3B7C"/>
    <w:rsid w:val="003F411E"/>
    <w:rsid w:val="003F4568"/>
    <w:rsid w:val="003F4AB4"/>
    <w:rsid w:val="003F552F"/>
    <w:rsid w:val="003F55F5"/>
    <w:rsid w:val="003F5B48"/>
    <w:rsid w:val="003F5B6E"/>
    <w:rsid w:val="003F5C33"/>
    <w:rsid w:val="003F6199"/>
    <w:rsid w:val="003F6B46"/>
    <w:rsid w:val="003F6D3D"/>
    <w:rsid w:val="003F7B4F"/>
    <w:rsid w:val="003F7EB8"/>
    <w:rsid w:val="00400ED6"/>
    <w:rsid w:val="00401A19"/>
    <w:rsid w:val="004023A5"/>
    <w:rsid w:val="004024E9"/>
    <w:rsid w:val="0040253B"/>
    <w:rsid w:val="00403118"/>
    <w:rsid w:val="0040327D"/>
    <w:rsid w:val="00403822"/>
    <w:rsid w:val="004039EB"/>
    <w:rsid w:val="00403EAA"/>
    <w:rsid w:val="00404164"/>
    <w:rsid w:val="004046ED"/>
    <w:rsid w:val="004048A4"/>
    <w:rsid w:val="0040496F"/>
    <w:rsid w:val="004049F5"/>
    <w:rsid w:val="00404C20"/>
    <w:rsid w:val="00404CB6"/>
    <w:rsid w:val="00404E35"/>
    <w:rsid w:val="0040539F"/>
    <w:rsid w:val="00405C1C"/>
    <w:rsid w:val="00406204"/>
    <w:rsid w:val="00406214"/>
    <w:rsid w:val="0040642B"/>
    <w:rsid w:val="004064F7"/>
    <w:rsid w:val="00406F0F"/>
    <w:rsid w:val="00406F8B"/>
    <w:rsid w:val="00407110"/>
    <w:rsid w:val="00407798"/>
    <w:rsid w:val="00407EFC"/>
    <w:rsid w:val="0041042A"/>
    <w:rsid w:val="00410542"/>
    <w:rsid w:val="00410B87"/>
    <w:rsid w:val="00411CDA"/>
    <w:rsid w:val="00411DA3"/>
    <w:rsid w:val="00412046"/>
    <w:rsid w:val="00412A45"/>
    <w:rsid w:val="00412DD5"/>
    <w:rsid w:val="004131A9"/>
    <w:rsid w:val="004135F9"/>
    <w:rsid w:val="0041378F"/>
    <w:rsid w:val="00413E92"/>
    <w:rsid w:val="004143AE"/>
    <w:rsid w:val="004143DA"/>
    <w:rsid w:val="004143EA"/>
    <w:rsid w:val="004147C2"/>
    <w:rsid w:val="00414812"/>
    <w:rsid w:val="004149D5"/>
    <w:rsid w:val="00414DF7"/>
    <w:rsid w:val="00415656"/>
    <w:rsid w:val="00415DA8"/>
    <w:rsid w:val="00416120"/>
    <w:rsid w:val="00416381"/>
    <w:rsid w:val="00416BD9"/>
    <w:rsid w:val="00417D61"/>
    <w:rsid w:val="00420B1C"/>
    <w:rsid w:val="00420B6D"/>
    <w:rsid w:val="00420F87"/>
    <w:rsid w:val="00421993"/>
    <w:rsid w:val="00421FD0"/>
    <w:rsid w:val="0042264B"/>
    <w:rsid w:val="0042317A"/>
    <w:rsid w:val="00423507"/>
    <w:rsid w:val="004236D7"/>
    <w:rsid w:val="00423C8C"/>
    <w:rsid w:val="00424795"/>
    <w:rsid w:val="00425C25"/>
    <w:rsid w:val="00425DCA"/>
    <w:rsid w:val="00426028"/>
    <w:rsid w:val="00426203"/>
    <w:rsid w:val="00426407"/>
    <w:rsid w:val="004269BE"/>
    <w:rsid w:val="00426B34"/>
    <w:rsid w:val="00426DAF"/>
    <w:rsid w:val="00427776"/>
    <w:rsid w:val="004279CA"/>
    <w:rsid w:val="0043032A"/>
    <w:rsid w:val="0043067A"/>
    <w:rsid w:val="004308B1"/>
    <w:rsid w:val="00430B59"/>
    <w:rsid w:val="00430D88"/>
    <w:rsid w:val="00431EE3"/>
    <w:rsid w:val="004320B3"/>
    <w:rsid w:val="00432156"/>
    <w:rsid w:val="004324E9"/>
    <w:rsid w:val="004326DB"/>
    <w:rsid w:val="00432A81"/>
    <w:rsid w:val="0043319C"/>
    <w:rsid w:val="004332D1"/>
    <w:rsid w:val="00433515"/>
    <w:rsid w:val="0043370A"/>
    <w:rsid w:val="00433721"/>
    <w:rsid w:val="00434500"/>
    <w:rsid w:val="00434756"/>
    <w:rsid w:val="004349AA"/>
    <w:rsid w:val="00434C25"/>
    <w:rsid w:val="00434D0B"/>
    <w:rsid w:val="0043555F"/>
    <w:rsid w:val="00436A34"/>
    <w:rsid w:val="0043713A"/>
    <w:rsid w:val="0043782A"/>
    <w:rsid w:val="00437B7A"/>
    <w:rsid w:val="00437C89"/>
    <w:rsid w:val="00437E17"/>
    <w:rsid w:val="00437F59"/>
    <w:rsid w:val="0044033E"/>
    <w:rsid w:val="004403BD"/>
    <w:rsid w:val="004406FC"/>
    <w:rsid w:val="00441429"/>
    <w:rsid w:val="00441721"/>
    <w:rsid w:val="00441A85"/>
    <w:rsid w:val="00442131"/>
    <w:rsid w:val="00442321"/>
    <w:rsid w:val="0044286C"/>
    <w:rsid w:val="00443617"/>
    <w:rsid w:val="00443B47"/>
    <w:rsid w:val="0044417D"/>
    <w:rsid w:val="00444634"/>
    <w:rsid w:val="004447E3"/>
    <w:rsid w:val="00444B41"/>
    <w:rsid w:val="00444ECF"/>
    <w:rsid w:val="00445135"/>
    <w:rsid w:val="00445BE7"/>
    <w:rsid w:val="00446055"/>
    <w:rsid w:val="00446983"/>
    <w:rsid w:val="00447240"/>
    <w:rsid w:val="0044744D"/>
    <w:rsid w:val="004508F4"/>
    <w:rsid w:val="00450B7F"/>
    <w:rsid w:val="00450DF4"/>
    <w:rsid w:val="00451417"/>
    <w:rsid w:val="00451E9B"/>
    <w:rsid w:val="004525B1"/>
    <w:rsid w:val="0045293D"/>
    <w:rsid w:val="00452985"/>
    <w:rsid w:val="00452A51"/>
    <w:rsid w:val="00452F54"/>
    <w:rsid w:val="004539AA"/>
    <w:rsid w:val="00453A95"/>
    <w:rsid w:val="00453B8E"/>
    <w:rsid w:val="004544E9"/>
    <w:rsid w:val="00454BA5"/>
    <w:rsid w:val="0045539F"/>
    <w:rsid w:val="00455D78"/>
    <w:rsid w:val="00455FD7"/>
    <w:rsid w:val="00456522"/>
    <w:rsid w:val="00456730"/>
    <w:rsid w:val="00456774"/>
    <w:rsid w:val="00457300"/>
    <w:rsid w:val="004573E0"/>
    <w:rsid w:val="004574E0"/>
    <w:rsid w:val="0046097B"/>
    <w:rsid w:val="00460B10"/>
    <w:rsid w:val="00461392"/>
    <w:rsid w:val="0046189A"/>
    <w:rsid w:val="004618C8"/>
    <w:rsid w:val="00461BA0"/>
    <w:rsid w:val="00461DF0"/>
    <w:rsid w:val="004628B3"/>
    <w:rsid w:val="00462BAA"/>
    <w:rsid w:val="00462F4F"/>
    <w:rsid w:val="00462FFA"/>
    <w:rsid w:val="004635E0"/>
    <w:rsid w:val="004637FA"/>
    <w:rsid w:val="0046387F"/>
    <w:rsid w:val="00463D1D"/>
    <w:rsid w:val="00464073"/>
    <w:rsid w:val="004643D6"/>
    <w:rsid w:val="00464636"/>
    <w:rsid w:val="00464A59"/>
    <w:rsid w:val="00464DA7"/>
    <w:rsid w:val="00464DF3"/>
    <w:rsid w:val="00464EC4"/>
    <w:rsid w:val="004652A6"/>
    <w:rsid w:val="00465565"/>
    <w:rsid w:val="00466974"/>
    <w:rsid w:val="00467AD4"/>
    <w:rsid w:val="00470329"/>
    <w:rsid w:val="004708E9"/>
    <w:rsid w:val="004725D9"/>
    <w:rsid w:val="004726EA"/>
    <w:rsid w:val="004729A2"/>
    <w:rsid w:val="00472CC4"/>
    <w:rsid w:val="00473766"/>
    <w:rsid w:val="00473900"/>
    <w:rsid w:val="00473902"/>
    <w:rsid w:val="00473DC7"/>
    <w:rsid w:val="0047496C"/>
    <w:rsid w:val="00474A9E"/>
    <w:rsid w:val="00475B5F"/>
    <w:rsid w:val="00475DF7"/>
    <w:rsid w:val="00475EF0"/>
    <w:rsid w:val="00476430"/>
    <w:rsid w:val="00476740"/>
    <w:rsid w:val="004767CB"/>
    <w:rsid w:val="00476DD3"/>
    <w:rsid w:val="00477151"/>
    <w:rsid w:val="00477584"/>
    <w:rsid w:val="0047797A"/>
    <w:rsid w:val="00477D1F"/>
    <w:rsid w:val="00477EFB"/>
    <w:rsid w:val="00477F3B"/>
    <w:rsid w:val="00481B0C"/>
    <w:rsid w:val="00481EBC"/>
    <w:rsid w:val="004823ED"/>
    <w:rsid w:val="00482696"/>
    <w:rsid w:val="0048285F"/>
    <w:rsid w:val="004832CF"/>
    <w:rsid w:val="00483D62"/>
    <w:rsid w:val="00483E94"/>
    <w:rsid w:val="00484414"/>
    <w:rsid w:val="00484572"/>
    <w:rsid w:val="00484FEE"/>
    <w:rsid w:val="00485674"/>
    <w:rsid w:val="00485B14"/>
    <w:rsid w:val="00485BA2"/>
    <w:rsid w:val="00485C74"/>
    <w:rsid w:val="0048604F"/>
    <w:rsid w:val="004869D9"/>
    <w:rsid w:val="00486DC8"/>
    <w:rsid w:val="0048781D"/>
    <w:rsid w:val="00487E23"/>
    <w:rsid w:val="004900D2"/>
    <w:rsid w:val="004902C0"/>
    <w:rsid w:val="004902E2"/>
    <w:rsid w:val="00490BE8"/>
    <w:rsid w:val="0049136B"/>
    <w:rsid w:val="004914CA"/>
    <w:rsid w:val="0049161B"/>
    <w:rsid w:val="0049181B"/>
    <w:rsid w:val="00491E3B"/>
    <w:rsid w:val="0049208A"/>
    <w:rsid w:val="004921CA"/>
    <w:rsid w:val="00492566"/>
    <w:rsid w:val="00492582"/>
    <w:rsid w:val="004930A0"/>
    <w:rsid w:val="004936C4"/>
    <w:rsid w:val="00493A67"/>
    <w:rsid w:val="0049527B"/>
    <w:rsid w:val="00495877"/>
    <w:rsid w:val="00495BEE"/>
    <w:rsid w:val="00495F2E"/>
    <w:rsid w:val="00496211"/>
    <w:rsid w:val="0049629E"/>
    <w:rsid w:val="0049644B"/>
    <w:rsid w:val="00496682"/>
    <w:rsid w:val="004966C2"/>
    <w:rsid w:val="00496ED6"/>
    <w:rsid w:val="0049708B"/>
    <w:rsid w:val="00497616"/>
    <w:rsid w:val="004A117D"/>
    <w:rsid w:val="004A125D"/>
    <w:rsid w:val="004A1339"/>
    <w:rsid w:val="004A149E"/>
    <w:rsid w:val="004A1A47"/>
    <w:rsid w:val="004A1DB0"/>
    <w:rsid w:val="004A1EB3"/>
    <w:rsid w:val="004A2ED0"/>
    <w:rsid w:val="004A3183"/>
    <w:rsid w:val="004A3587"/>
    <w:rsid w:val="004A3A31"/>
    <w:rsid w:val="004A3DE9"/>
    <w:rsid w:val="004A3E04"/>
    <w:rsid w:val="004A4434"/>
    <w:rsid w:val="004A45A3"/>
    <w:rsid w:val="004A484A"/>
    <w:rsid w:val="004A4E66"/>
    <w:rsid w:val="004A517B"/>
    <w:rsid w:val="004A536B"/>
    <w:rsid w:val="004A53B8"/>
    <w:rsid w:val="004A6A68"/>
    <w:rsid w:val="004A6B81"/>
    <w:rsid w:val="004A75EA"/>
    <w:rsid w:val="004A7865"/>
    <w:rsid w:val="004A7A73"/>
    <w:rsid w:val="004B0594"/>
    <w:rsid w:val="004B08E9"/>
    <w:rsid w:val="004B0B2B"/>
    <w:rsid w:val="004B0F29"/>
    <w:rsid w:val="004B0F92"/>
    <w:rsid w:val="004B1558"/>
    <w:rsid w:val="004B1842"/>
    <w:rsid w:val="004B1D0B"/>
    <w:rsid w:val="004B245A"/>
    <w:rsid w:val="004B26A3"/>
    <w:rsid w:val="004B2A46"/>
    <w:rsid w:val="004B3230"/>
    <w:rsid w:val="004B370E"/>
    <w:rsid w:val="004B3968"/>
    <w:rsid w:val="004B3BDA"/>
    <w:rsid w:val="004B40FC"/>
    <w:rsid w:val="004B4326"/>
    <w:rsid w:val="004B4C7C"/>
    <w:rsid w:val="004B4E5D"/>
    <w:rsid w:val="004B5176"/>
    <w:rsid w:val="004B5F47"/>
    <w:rsid w:val="004B60BA"/>
    <w:rsid w:val="004B6119"/>
    <w:rsid w:val="004B7690"/>
    <w:rsid w:val="004C00E3"/>
    <w:rsid w:val="004C0145"/>
    <w:rsid w:val="004C06F7"/>
    <w:rsid w:val="004C0AE9"/>
    <w:rsid w:val="004C0B8D"/>
    <w:rsid w:val="004C0F6E"/>
    <w:rsid w:val="004C107D"/>
    <w:rsid w:val="004C1538"/>
    <w:rsid w:val="004C183A"/>
    <w:rsid w:val="004C263F"/>
    <w:rsid w:val="004C283E"/>
    <w:rsid w:val="004C2EF4"/>
    <w:rsid w:val="004C3548"/>
    <w:rsid w:val="004C4211"/>
    <w:rsid w:val="004C48DB"/>
    <w:rsid w:val="004C4A2E"/>
    <w:rsid w:val="004C4F1E"/>
    <w:rsid w:val="004C5150"/>
    <w:rsid w:val="004C5227"/>
    <w:rsid w:val="004C54FA"/>
    <w:rsid w:val="004C553A"/>
    <w:rsid w:val="004C58D5"/>
    <w:rsid w:val="004C5A58"/>
    <w:rsid w:val="004C63AC"/>
    <w:rsid w:val="004C63C6"/>
    <w:rsid w:val="004C65B9"/>
    <w:rsid w:val="004C664E"/>
    <w:rsid w:val="004C6D05"/>
    <w:rsid w:val="004C74A8"/>
    <w:rsid w:val="004D01CB"/>
    <w:rsid w:val="004D02F0"/>
    <w:rsid w:val="004D0345"/>
    <w:rsid w:val="004D0553"/>
    <w:rsid w:val="004D0815"/>
    <w:rsid w:val="004D10E5"/>
    <w:rsid w:val="004D16DA"/>
    <w:rsid w:val="004D20E3"/>
    <w:rsid w:val="004D28E7"/>
    <w:rsid w:val="004D2BBC"/>
    <w:rsid w:val="004D2D12"/>
    <w:rsid w:val="004D2E17"/>
    <w:rsid w:val="004D3716"/>
    <w:rsid w:val="004D3A75"/>
    <w:rsid w:val="004D3AD4"/>
    <w:rsid w:val="004D3CEB"/>
    <w:rsid w:val="004D3FB0"/>
    <w:rsid w:val="004D4531"/>
    <w:rsid w:val="004D46F4"/>
    <w:rsid w:val="004D487E"/>
    <w:rsid w:val="004D489B"/>
    <w:rsid w:val="004D48C4"/>
    <w:rsid w:val="004D495A"/>
    <w:rsid w:val="004D4DF5"/>
    <w:rsid w:val="004D59B0"/>
    <w:rsid w:val="004D59F2"/>
    <w:rsid w:val="004D62EF"/>
    <w:rsid w:val="004D64FA"/>
    <w:rsid w:val="004D6FA4"/>
    <w:rsid w:val="004D7001"/>
    <w:rsid w:val="004D7060"/>
    <w:rsid w:val="004D7153"/>
    <w:rsid w:val="004D717E"/>
    <w:rsid w:val="004D7395"/>
    <w:rsid w:val="004D74BA"/>
    <w:rsid w:val="004D7593"/>
    <w:rsid w:val="004E0185"/>
    <w:rsid w:val="004E01BC"/>
    <w:rsid w:val="004E0382"/>
    <w:rsid w:val="004E06FF"/>
    <w:rsid w:val="004E0785"/>
    <w:rsid w:val="004E1B77"/>
    <w:rsid w:val="004E1F8B"/>
    <w:rsid w:val="004E2385"/>
    <w:rsid w:val="004E37E3"/>
    <w:rsid w:val="004E3965"/>
    <w:rsid w:val="004E4022"/>
    <w:rsid w:val="004E415E"/>
    <w:rsid w:val="004E4C79"/>
    <w:rsid w:val="004E528F"/>
    <w:rsid w:val="004E6498"/>
    <w:rsid w:val="004E6691"/>
    <w:rsid w:val="004E7094"/>
    <w:rsid w:val="004E754B"/>
    <w:rsid w:val="004E7558"/>
    <w:rsid w:val="004E7A60"/>
    <w:rsid w:val="004F0E6A"/>
    <w:rsid w:val="004F0F1F"/>
    <w:rsid w:val="004F1253"/>
    <w:rsid w:val="004F1597"/>
    <w:rsid w:val="004F15BF"/>
    <w:rsid w:val="004F1756"/>
    <w:rsid w:val="004F21EE"/>
    <w:rsid w:val="004F236A"/>
    <w:rsid w:val="004F2466"/>
    <w:rsid w:val="004F2821"/>
    <w:rsid w:val="004F2BD0"/>
    <w:rsid w:val="004F2F94"/>
    <w:rsid w:val="004F37A3"/>
    <w:rsid w:val="004F3805"/>
    <w:rsid w:val="004F3AB5"/>
    <w:rsid w:val="004F45DD"/>
    <w:rsid w:val="004F490A"/>
    <w:rsid w:val="004F537F"/>
    <w:rsid w:val="004F53ED"/>
    <w:rsid w:val="004F5438"/>
    <w:rsid w:val="004F5A70"/>
    <w:rsid w:val="004F6E65"/>
    <w:rsid w:val="004F6F26"/>
    <w:rsid w:val="004F6F87"/>
    <w:rsid w:val="004F7B9E"/>
    <w:rsid w:val="005008FC"/>
    <w:rsid w:val="00500B8A"/>
    <w:rsid w:val="0050172B"/>
    <w:rsid w:val="00501A30"/>
    <w:rsid w:val="00501DA9"/>
    <w:rsid w:val="00501DB9"/>
    <w:rsid w:val="00502C7C"/>
    <w:rsid w:val="00502D11"/>
    <w:rsid w:val="00502E0D"/>
    <w:rsid w:val="0050341F"/>
    <w:rsid w:val="0050362C"/>
    <w:rsid w:val="00503699"/>
    <w:rsid w:val="00503862"/>
    <w:rsid w:val="00503ECA"/>
    <w:rsid w:val="00503F31"/>
    <w:rsid w:val="0050423D"/>
    <w:rsid w:val="00504290"/>
    <w:rsid w:val="005042D3"/>
    <w:rsid w:val="0050559C"/>
    <w:rsid w:val="00505E6D"/>
    <w:rsid w:val="00506A41"/>
    <w:rsid w:val="00506B14"/>
    <w:rsid w:val="005074C3"/>
    <w:rsid w:val="00510807"/>
    <w:rsid w:val="00510C23"/>
    <w:rsid w:val="005114C6"/>
    <w:rsid w:val="00511978"/>
    <w:rsid w:val="00511D4B"/>
    <w:rsid w:val="00512B09"/>
    <w:rsid w:val="00513BFD"/>
    <w:rsid w:val="00513C8F"/>
    <w:rsid w:val="00513D08"/>
    <w:rsid w:val="0051406F"/>
    <w:rsid w:val="00514509"/>
    <w:rsid w:val="00514533"/>
    <w:rsid w:val="005145B1"/>
    <w:rsid w:val="00514A94"/>
    <w:rsid w:val="00514AEA"/>
    <w:rsid w:val="00514B97"/>
    <w:rsid w:val="00515510"/>
    <w:rsid w:val="00515567"/>
    <w:rsid w:val="005155E1"/>
    <w:rsid w:val="00516169"/>
    <w:rsid w:val="00516683"/>
    <w:rsid w:val="00516CFB"/>
    <w:rsid w:val="00516FFE"/>
    <w:rsid w:val="00517002"/>
    <w:rsid w:val="005170A7"/>
    <w:rsid w:val="0051715D"/>
    <w:rsid w:val="0051795E"/>
    <w:rsid w:val="00517BE2"/>
    <w:rsid w:val="00520777"/>
    <w:rsid w:val="005215C7"/>
    <w:rsid w:val="0052176D"/>
    <w:rsid w:val="00521774"/>
    <w:rsid w:val="00521B27"/>
    <w:rsid w:val="00521D62"/>
    <w:rsid w:val="005226D1"/>
    <w:rsid w:val="00522A68"/>
    <w:rsid w:val="00524328"/>
    <w:rsid w:val="005253EB"/>
    <w:rsid w:val="005255AB"/>
    <w:rsid w:val="00525B9F"/>
    <w:rsid w:val="00525D86"/>
    <w:rsid w:val="00525F2F"/>
    <w:rsid w:val="0052624A"/>
    <w:rsid w:val="005278CA"/>
    <w:rsid w:val="0052795B"/>
    <w:rsid w:val="00527C7C"/>
    <w:rsid w:val="00527FA0"/>
    <w:rsid w:val="00530036"/>
    <w:rsid w:val="005305D6"/>
    <w:rsid w:val="00532595"/>
    <w:rsid w:val="00532FDC"/>
    <w:rsid w:val="00533805"/>
    <w:rsid w:val="00533AB8"/>
    <w:rsid w:val="00533B6A"/>
    <w:rsid w:val="00533DD7"/>
    <w:rsid w:val="005340F1"/>
    <w:rsid w:val="005344E2"/>
    <w:rsid w:val="005346E7"/>
    <w:rsid w:val="00534B73"/>
    <w:rsid w:val="005354F4"/>
    <w:rsid w:val="0053565D"/>
    <w:rsid w:val="00535970"/>
    <w:rsid w:val="00535DA9"/>
    <w:rsid w:val="00535FD6"/>
    <w:rsid w:val="00536CB4"/>
    <w:rsid w:val="00536D4C"/>
    <w:rsid w:val="00536EE8"/>
    <w:rsid w:val="00537593"/>
    <w:rsid w:val="00537FE0"/>
    <w:rsid w:val="0054039F"/>
    <w:rsid w:val="00540504"/>
    <w:rsid w:val="0054077A"/>
    <w:rsid w:val="00540832"/>
    <w:rsid w:val="00540CEE"/>
    <w:rsid w:val="00541331"/>
    <w:rsid w:val="00541758"/>
    <w:rsid w:val="00541903"/>
    <w:rsid w:val="0054197A"/>
    <w:rsid w:val="005422B4"/>
    <w:rsid w:val="00542342"/>
    <w:rsid w:val="005425D6"/>
    <w:rsid w:val="00542A8D"/>
    <w:rsid w:val="00542E7B"/>
    <w:rsid w:val="005432EE"/>
    <w:rsid w:val="005433A5"/>
    <w:rsid w:val="005436C9"/>
    <w:rsid w:val="00543C70"/>
    <w:rsid w:val="00544BD2"/>
    <w:rsid w:val="00544F0E"/>
    <w:rsid w:val="00547284"/>
    <w:rsid w:val="00547469"/>
    <w:rsid w:val="005475DC"/>
    <w:rsid w:val="00547D17"/>
    <w:rsid w:val="00547E2E"/>
    <w:rsid w:val="005517DB"/>
    <w:rsid w:val="00552E38"/>
    <w:rsid w:val="005533EF"/>
    <w:rsid w:val="00553CE0"/>
    <w:rsid w:val="00553D3F"/>
    <w:rsid w:val="00553EFE"/>
    <w:rsid w:val="00555C73"/>
    <w:rsid w:val="00555DF3"/>
    <w:rsid w:val="0055642E"/>
    <w:rsid w:val="00557593"/>
    <w:rsid w:val="00557D00"/>
    <w:rsid w:val="00557E2E"/>
    <w:rsid w:val="0056081A"/>
    <w:rsid w:val="005610D6"/>
    <w:rsid w:val="00561377"/>
    <w:rsid w:val="00561453"/>
    <w:rsid w:val="005626C3"/>
    <w:rsid w:val="00562AA0"/>
    <w:rsid w:val="00562EDF"/>
    <w:rsid w:val="005637DD"/>
    <w:rsid w:val="00563B9C"/>
    <w:rsid w:val="00564330"/>
    <w:rsid w:val="0056463D"/>
    <w:rsid w:val="0056530B"/>
    <w:rsid w:val="00565A1C"/>
    <w:rsid w:val="00566174"/>
    <w:rsid w:val="00566E26"/>
    <w:rsid w:val="0056718F"/>
    <w:rsid w:val="00567558"/>
    <w:rsid w:val="005701AC"/>
    <w:rsid w:val="00570390"/>
    <w:rsid w:val="0057066E"/>
    <w:rsid w:val="005706CF"/>
    <w:rsid w:val="005706F4"/>
    <w:rsid w:val="00570787"/>
    <w:rsid w:val="00571271"/>
    <w:rsid w:val="00571879"/>
    <w:rsid w:val="00572498"/>
    <w:rsid w:val="005725F1"/>
    <w:rsid w:val="0057289E"/>
    <w:rsid w:val="00572ADA"/>
    <w:rsid w:val="00572C98"/>
    <w:rsid w:val="00572D8C"/>
    <w:rsid w:val="00572EE6"/>
    <w:rsid w:val="0057310D"/>
    <w:rsid w:val="005738AF"/>
    <w:rsid w:val="00573A72"/>
    <w:rsid w:val="00573DD7"/>
    <w:rsid w:val="005743B2"/>
    <w:rsid w:val="00574A05"/>
    <w:rsid w:val="005759B8"/>
    <w:rsid w:val="00575C4C"/>
    <w:rsid w:val="00576772"/>
    <w:rsid w:val="00577284"/>
    <w:rsid w:val="00577563"/>
    <w:rsid w:val="00577E48"/>
    <w:rsid w:val="00577EA3"/>
    <w:rsid w:val="0058044B"/>
    <w:rsid w:val="005809F1"/>
    <w:rsid w:val="005810DD"/>
    <w:rsid w:val="005811CF"/>
    <w:rsid w:val="00581B8D"/>
    <w:rsid w:val="0058276B"/>
    <w:rsid w:val="00583A2B"/>
    <w:rsid w:val="00584015"/>
    <w:rsid w:val="00585667"/>
    <w:rsid w:val="00585EEB"/>
    <w:rsid w:val="0058652F"/>
    <w:rsid w:val="00586928"/>
    <w:rsid w:val="00587047"/>
    <w:rsid w:val="005871F3"/>
    <w:rsid w:val="00587881"/>
    <w:rsid w:val="00590696"/>
    <w:rsid w:val="005909E6"/>
    <w:rsid w:val="00590B01"/>
    <w:rsid w:val="005912EC"/>
    <w:rsid w:val="005915DF"/>
    <w:rsid w:val="00592120"/>
    <w:rsid w:val="005931CA"/>
    <w:rsid w:val="00593B47"/>
    <w:rsid w:val="0059408F"/>
    <w:rsid w:val="00594133"/>
    <w:rsid w:val="005941BD"/>
    <w:rsid w:val="00594256"/>
    <w:rsid w:val="00594B22"/>
    <w:rsid w:val="00594E61"/>
    <w:rsid w:val="0059540A"/>
    <w:rsid w:val="00595701"/>
    <w:rsid w:val="005957E4"/>
    <w:rsid w:val="005969EC"/>
    <w:rsid w:val="00596D45"/>
    <w:rsid w:val="005972E7"/>
    <w:rsid w:val="0059733C"/>
    <w:rsid w:val="005973C0"/>
    <w:rsid w:val="00597F4E"/>
    <w:rsid w:val="005A0350"/>
    <w:rsid w:val="005A0385"/>
    <w:rsid w:val="005A04DE"/>
    <w:rsid w:val="005A076D"/>
    <w:rsid w:val="005A08BB"/>
    <w:rsid w:val="005A1930"/>
    <w:rsid w:val="005A35E2"/>
    <w:rsid w:val="005A3AA9"/>
    <w:rsid w:val="005A4382"/>
    <w:rsid w:val="005A473B"/>
    <w:rsid w:val="005A4B6A"/>
    <w:rsid w:val="005A4BF0"/>
    <w:rsid w:val="005A4C47"/>
    <w:rsid w:val="005A4F4B"/>
    <w:rsid w:val="005A544B"/>
    <w:rsid w:val="005A5A5B"/>
    <w:rsid w:val="005A5A64"/>
    <w:rsid w:val="005A5D4A"/>
    <w:rsid w:val="005A5F78"/>
    <w:rsid w:val="005A6F5B"/>
    <w:rsid w:val="005A6F64"/>
    <w:rsid w:val="005A78F5"/>
    <w:rsid w:val="005B046D"/>
    <w:rsid w:val="005B06A1"/>
    <w:rsid w:val="005B0760"/>
    <w:rsid w:val="005B0A2D"/>
    <w:rsid w:val="005B0DAE"/>
    <w:rsid w:val="005B0DD1"/>
    <w:rsid w:val="005B18EB"/>
    <w:rsid w:val="005B1B97"/>
    <w:rsid w:val="005B2657"/>
    <w:rsid w:val="005B2D7F"/>
    <w:rsid w:val="005B2FC2"/>
    <w:rsid w:val="005B4B44"/>
    <w:rsid w:val="005B4C9C"/>
    <w:rsid w:val="005B544C"/>
    <w:rsid w:val="005B588B"/>
    <w:rsid w:val="005B5994"/>
    <w:rsid w:val="005B5D36"/>
    <w:rsid w:val="005B61DE"/>
    <w:rsid w:val="005B6330"/>
    <w:rsid w:val="005B7424"/>
    <w:rsid w:val="005B7C7F"/>
    <w:rsid w:val="005C0086"/>
    <w:rsid w:val="005C014B"/>
    <w:rsid w:val="005C0405"/>
    <w:rsid w:val="005C0459"/>
    <w:rsid w:val="005C0CDE"/>
    <w:rsid w:val="005C0E6E"/>
    <w:rsid w:val="005C12C8"/>
    <w:rsid w:val="005C18B5"/>
    <w:rsid w:val="005C1F8E"/>
    <w:rsid w:val="005C2890"/>
    <w:rsid w:val="005C2E9F"/>
    <w:rsid w:val="005C2FC4"/>
    <w:rsid w:val="005C3631"/>
    <w:rsid w:val="005C36AE"/>
    <w:rsid w:val="005C3A08"/>
    <w:rsid w:val="005C46B3"/>
    <w:rsid w:val="005C5B80"/>
    <w:rsid w:val="005C5BD1"/>
    <w:rsid w:val="005C5CCA"/>
    <w:rsid w:val="005C60C1"/>
    <w:rsid w:val="005C6FC8"/>
    <w:rsid w:val="005C77F9"/>
    <w:rsid w:val="005C789B"/>
    <w:rsid w:val="005C7BB5"/>
    <w:rsid w:val="005C7C02"/>
    <w:rsid w:val="005D0378"/>
    <w:rsid w:val="005D066E"/>
    <w:rsid w:val="005D0678"/>
    <w:rsid w:val="005D071F"/>
    <w:rsid w:val="005D0D4D"/>
    <w:rsid w:val="005D10DE"/>
    <w:rsid w:val="005D1E12"/>
    <w:rsid w:val="005D1E94"/>
    <w:rsid w:val="005D241D"/>
    <w:rsid w:val="005D2599"/>
    <w:rsid w:val="005D26BC"/>
    <w:rsid w:val="005D346D"/>
    <w:rsid w:val="005D35C4"/>
    <w:rsid w:val="005D3615"/>
    <w:rsid w:val="005D3994"/>
    <w:rsid w:val="005D4353"/>
    <w:rsid w:val="005D47C4"/>
    <w:rsid w:val="005D4F5C"/>
    <w:rsid w:val="005D50AD"/>
    <w:rsid w:val="005D50D4"/>
    <w:rsid w:val="005D52EA"/>
    <w:rsid w:val="005D5937"/>
    <w:rsid w:val="005D59EA"/>
    <w:rsid w:val="005D5A4A"/>
    <w:rsid w:val="005D5AF7"/>
    <w:rsid w:val="005D5C60"/>
    <w:rsid w:val="005D64A7"/>
    <w:rsid w:val="005D68F8"/>
    <w:rsid w:val="005D79AA"/>
    <w:rsid w:val="005D7DA8"/>
    <w:rsid w:val="005D7F2F"/>
    <w:rsid w:val="005E0400"/>
    <w:rsid w:val="005E0463"/>
    <w:rsid w:val="005E0679"/>
    <w:rsid w:val="005E08C0"/>
    <w:rsid w:val="005E0D42"/>
    <w:rsid w:val="005E0E2A"/>
    <w:rsid w:val="005E15A0"/>
    <w:rsid w:val="005E1F81"/>
    <w:rsid w:val="005E2032"/>
    <w:rsid w:val="005E21A9"/>
    <w:rsid w:val="005E21FD"/>
    <w:rsid w:val="005E2C79"/>
    <w:rsid w:val="005E3006"/>
    <w:rsid w:val="005E3645"/>
    <w:rsid w:val="005E396F"/>
    <w:rsid w:val="005E3F26"/>
    <w:rsid w:val="005E446C"/>
    <w:rsid w:val="005E4E43"/>
    <w:rsid w:val="005E609B"/>
    <w:rsid w:val="005E6784"/>
    <w:rsid w:val="005E67A2"/>
    <w:rsid w:val="005E69F8"/>
    <w:rsid w:val="005E6F3F"/>
    <w:rsid w:val="005F0026"/>
    <w:rsid w:val="005F06B9"/>
    <w:rsid w:val="005F0B18"/>
    <w:rsid w:val="005F10E7"/>
    <w:rsid w:val="005F1EBE"/>
    <w:rsid w:val="005F203B"/>
    <w:rsid w:val="005F206B"/>
    <w:rsid w:val="005F2254"/>
    <w:rsid w:val="005F252D"/>
    <w:rsid w:val="005F44ED"/>
    <w:rsid w:val="005F4984"/>
    <w:rsid w:val="005F4B4B"/>
    <w:rsid w:val="005F4DE9"/>
    <w:rsid w:val="005F4F93"/>
    <w:rsid w:val="005F51C0"/>
    <w:rsid w:val="005F523E"/>
    <w:rsid w:val="005F5411"/>
    <w:rsid w:val="005F5A8A"/>
    <w:rsid w:val="005F6190"/>
    <w:rsid w:val="005F6216"/>
    <w:rsid w:val="005F63A6"/>
    <w:rsid w:val="005F6810"/>
    <w:rsid w:val="005F6B2D"/>
    <w:rsid w:val="005F70D2"/>
    <w:rsid w:val="005F7B9D"/>
    <w:rsid w:val="0060003A"/>
    <w:rsid w:val="006010A1"/>
    <w:rsid w:val="00601644"/>
    <w:rsid w:val="00601799"/>
    <w:rsid w:val="006018EF"/>
    <w:rsid w:val="006019D9"/>
    <w:rsid w:val="00601A66"/>
    <w:rsid w:val="00601BE9"/>
    <w:rsid w:val="0060207B"/>
    <w:rsid w:val="006020D3"/>
    <w:rsid w:val="00602310"/>
    <w:rsid w:val="0060253A"/>
    <w:rsid w:val="00602ED2"/>
    <w:rsid w:val="006031A4"/>
    <w:rsid w:val="00603297"/>
    <w:rsid w:val="0060434F"/>
    <w:rsid w:val="00604B95"/>
    <w:rsid w:val="00604D5F"/>
    <w:rsid w:val="006052B2"/>
    <w:rsid w:val="0060559E"/>
    <w:rsid w:val="006070FF"/>
    <w:rsid w:val="0060773D"/>
    <w:rsid w:val="00607AFB"/>
    <w:rsid w:val="00610089"/>
    <w:rsid w:val="006109E0"/>
    <w:rsid w:val="00610FDE"/>
    <w:rsid w:val="0061136B"/>
    <w:rsid w:val="0061144D"/>
    <w:rsid w:val="00611A7E"/>
    <w:rsid w:val="00611B28"/>
    <w:rsid w:val="00611EC2"/>
    <w:rsid w:val="00611FB1"/>
    <w:rsid w:val="006128CE"/>
    <w:rsid w:val="00612A9D"/>
    <w:rsid w:val="00613013"/>
    <w:rsid w:val="0061327B"/>
    <w:rsid w:val="00613623"/>
    <w:rsid w:val="00613A9C"/>
    <w:rsid w:val="00614269"/>
    <w:rsid w:val="006145CC"/>
    <w:rsid w:val="00614759"/>
    <w:rsid w:val="00615ABF"/>
    <w:rsid w:val="00615CA7"/>
    <w:rsid w:val="00615CFE"/>
    <w:rsid w:val="00617599"/>
    <w:rsid w:val="00617A9E"/>
    <w:rsid w:val="00617C00"/>
    <w:rsid w:val="00617C8B"/>
    <w:rsid w:val="006213B8"/>
    <w:rsid w:val="0062143F"/>
    <w:rsid w:val="00621966"/>
    <w:rsid w:val="00621B25"/>
    <w:rsid w:val="00621C32"/>
    <w:rsid w:val="00621D36"/>
    <w:rsid w:val="00621F65"/>
    <w:rsid w:val="00622343"/>
    <w:rsid w:val="00622A6B"/>
    <w:rsid w:val="00622B2A"/>
    <w:rsid w:val="00623898"/>
    <w:rsid w:val="00623D36"/>
    <w:rsid w:val="00624246"/>
    <w:rsid w:val="00624824"/>
    <w:rsid w:val="00624894"/>
    <w:rsid w:val="006248AC"/>
    <w:rsid w:val="006250E5"/>
    <w:rsid w:val="0062512A"/>
    <w:rsid w:val="00625260"/>
    <w:rsid w:val="006259E1"/>
    <w:rsid w:val="0062616F"/>
    <w:rsid w:val="0062621B"/>
    <w:rsid w:val="00626642"/>
    <w:rsid w:val="00626D52"/>
    <w:rsid w:val="006273E1"/>
    <w:rsid w:val="006275C7"/>
    <w:rsid w:val="00627C5E"/>
    <w:rsid w:val="0063001A"/>
    <w:rsid w:val="00630078"/>
    <w:rsid w:val="006300DC"/>
    <w:rsid w:val="00630A20"/>
    <w:rsid w:val="00630A5B"/>
    <w:rsid w:val="00630DC4"/>
    <w:rsid w:val="006312EF"/>
    <w:rsid w:val="00631390"/>
    <w:rsid w:val="00631608"/>
    <w:rsid w:val="00631962"/>
    <w:rsid w:val="006319BC"/>
    <w:rsid w:val="006327AC"/>
    <w:rsid w:val="00632C9A"/>
    <w:rsid w:val="00632DB0"/>
    <w:rsid w:val="00633183"/>
    <w:rsid w:val="0063354F"/>
    <w:rsid w:val="006337CF"/>
    <w:rsid w:val="006339E6"/>
    <w:rsid w:val="00633B89"/>
    <w:rsid w:val="006347AE"/>
    <w:rsid w:val="00634D54"/>
    <w:rsid w:val="00635369"/>
    <w:rsid w:val="00635659"/>
    <w:rsid w:val="006360BF"/>
    <w:rsid w:val="00636153"/>
    <w:rsid w:val="00636974"/>
    <w:rsid w:val="00636F3A"/>
    <w:rsid w:val="006378D7"/>
    <w:rsid w:val="006400F4"/>
    <w:rsid w:val="00640622"/>
    <w:rsid w:val="00640789"/>
    <w:rsid w:val="00640798"/>
    <w:rsid w:val="00640BFD"/>
    <w:rsid w:val="00640CF9"/>
    <w:rsid w:val="00640D1E"/>
    <w:rsid w:val="00640E0D"/>
    <w:rsid w:val="00641644"/>
    <w:rsid w:val="00641AA3"/>
    <w:rsid w:val="00641AFD"/>
    <w:rsid w:val="00641C22"/>
    <w:rsid w:val="00641D49"/>
    <w:rsid w:val="00641EBF"/>
    <w:rsid w:val="00643ACA"/>
    <w:rsid w:val="00643BE7"/>
    <w:rsid w:val="00643C73"/>
    <w:rsid w:val="00643C9B"/>
    <w:rsid w:val="00643D51"/>
    <w:rsid w:val="0064404C"/>
    <w:rsid w:val="006446B6"/>
    <w:rsid w:val="00644C20"/>
    <w:rsid w:val="00644F10"/>
    <w:rsid w:val="0064569A"/>
    <w:rsid w:val="00645759"/>
    <w:rsid w:val="00645774"/>
    <w:rsid w:val="006460FF"/>
    <w:rsid w:val="006465FC"/>
    <w:rsid w:val="0064671D"/>
    <w:rsid w:val="0064713C"/>
    <w:rsid w:val="00647B45"/>
    <w:rsid w:val="00647C5A"/>
    <w:rsid w:val="00647E1B"/>
    <w:rsid w:val="00650478"/>
    <w:rsid w:val="006517BA"/>
    <w:rsid w:val="006517D4"/>
    <w:rsid w:val="006524AC"/>
    <w:rsid w:val="00653AD7"/>
    <w:rsid w:val="00653D89"/>
    <w:rsid w:val="00654FCC"/>
    <w:rsid w:val="00655592"/>
    <w:rsid w:val="00655676"/>
    <w:rsid w:val="00655868"/>
    <w:rsid w:val="00655A15"/>
    <w:rsid w:val="00656388"/>
    <w:rsid w:val="00656514"/>
    <w:rsid w:val="0065682F"/>
    <w:rsid w:val="00656AA1"/>
    <w:rsid w:val="00657020"/>
    <w:rsid w:val="00657134"/>
    <w:rsid w:val="00657200"/>
    <w:rsid w:val="00657BD7"/>
    <w:rsid w:val="00660367"/>
    <w:rsid w:val="00660603"/>
    <w:rsid w:val="00660AA4"/>
    <w:rsid w:val="00660F87"/>
    <w:rsid w:val="00661504"/>
    <w:rsid w:val="00661F1E"/>
    <w:rsid w:val="0066212E"/>
    <w:rsid w:val="006621F1"/>
    <w:rsid w:val="006628BA"/>
    <w:rsid w:val="006629A6"/>
    <w:rsid w:val="006629B5"/>
    <w:rsid w:val="00662BD9"/>
    <w:rsid w:val="00662E92"/>
    <w:rsid w:val="00662F23"/>
    <w:rsid w:val="00663101"/>
    <w:rsid w:val="0066379E"/>
    <w:rsid w:val="0066453F"/>
    <w:rsid w:val="00664DD0"/>
    <w:rsid w:val="0066540E"/>
    <w:rsid w:val="00665730"/>
    <w:rsid w:val="00665BFB"/>
    <w:rsid w:val="00666170"/>
    <w:rsid w:val="006664F2"/>
    <w:rsid w:val="00666932"/>
    <w:rsid w:val="0066705F"/>
    <w:rsid w:val="00667D6B"/>
    <w:rsid w:val="00671FC8"/>
    <w:rsid w:val="00672ECA"/>
    <w:rsid w:val="00672F39"/>
    <w:rsid w:val="0067309E"/>
    <w:rsid w:val="006732C5"/>
    <w:rsid w:val="006741D4"/>
    <w:rsid w:val="00674278"/>
    <w:rsid w:val="00674B49"/>
    <w:rsid w:val="0067553A"/>
    <w:rsid w:val="006760E9"/>
    <w:rsid w:val="006767CD"/>
    <w:rsid w:val="00676908"/>
    <w:rsid w:val="0067718E"/>
    <w:rsid w:val="006776DE"/>
    <w:rsid w:val="00677DA3"/>
    <w:rsid w:val="00680029"/>
    <w:rsid w:val="00680334"/>
    <w:rsid w:val="00681169"/>
    <w:rsid w:val="00682393"/>
    <w:rsid w:val="00683828"/>
    <w:rsid w:val="00683992"/>
    <w:rsid w:val="00683DD7"/>
    <w:rsid w:val="00684507"/>
    <w:rsid w:val="006847AC"/>
    <w:rsid w:val="00685B70"/>
    <w:rsid w:val="00685E14"/>
    <w:rsid w:val="00685F5D"/>
    <w:rsid w:val="006872F1"/>
    <w:rsid w:val="0068744C"/>
    <w:rsid w:val="00687C34"/>
    <w:rsid w:val="0069016D"/>
    <w:rsid w:val="0069048A"/>
    <w:rsid w:val="00690599"/>
    <w:rsid w:val="00690F07"/>
    <w:rsid w:val="00690FDC"/>
    <w:rsid w:val="00691159"/>
    <w:rsid w:val="00691EFC"/>
    <w:rsid w:val="00691FC7"/>
    <w:rsid w:val="00692098"/>
    <w:rsid w:val="00692960"/>
    <w:rsid w:val="00692F0E"/>
    <w:rsid w:val="00693071"/>
    <w:rsid w:val="006931C1"/>
    <w:rsid w:val="00693411"/>
    <w:rsid w:val="006935C0"/>
    <w:rsid w:val="00693EE8"/>
    <w:rsid w:val="00693F13"/>
    <w:rsid w:val="00694908"/>
    <w:rsid w:val="006949D0"/>
    <w:rsid w:val="00694CE4"/>
    <w:rsid w:val="00695EF1"/>
    <w:rsid w:val="00695F80"/>
    <w:rsid w:val="00696482"/>
    <w:rsid w:val="006966A7"/>
    <w:rsid w:val="00696C75"/>
    <w:rsid w:val="00696D39"/>
    <w:rsid w:val="00697204"/>
    <w:rsid w:val="006A00A0"/>
    <w:rsid w:val="006A05B3"/>
    <w:rsid w:val="006A0693"/>
    <w:rsid w:val="006A0DE3"/>
    <w:rsid w:val="006A1084"/>
    <w:rsid w:val="006A12EA"/>
    <w:rsid w:val="006A1A52"/>
    <w:rsid w:val="006A2678"/>
    <w:rsid w:val="006A2A19"/>
    <w:rsid w:val="006A2FA8"/>
    <w:rsid w:val="006A3725"/>
    <w:rsid w:val="006A3B9D"/>
    <w:rsid w:val="006A3BF3"/>
    <w:rsid w:val="006A3C08"/>
    <w:rsid w:val="006A3C8C"/>
    <w:rsid w:val="006A3E72"/>
    <w:rsid w:val="006A523A"/>
    <w:rsid w:val="006A5368"/>
    <w:rsid w:val="006A55DF"/>
    <w:rsid w:val="006A6114"/>
    <w:rsid w:val="006A6879"/>
    <w:rsid w:val="006A6FA9"/>
    <w:rsid w:val="006A6FB4"/>
    <w:rsid w:val="006A7032"/>
    <w:rsid w:val="006A752A"/>
    <w:rsid w:val="006A75C4"/>
    <w:rsid w:val="006A7980"/>
    <w:rsid w:val="006A7C5A"/>
    <w:rsid w:val="006B08F7"/>
    <w:rsid w:val="006B0901"/>
    <w:rsid w:val="006B139D"/>
    <w:rsid w:val="006B16A8"/>
    <w:rsid w:val="006B1A71"/>
    <w:rsid w:val="006B1FB3"/>
    <w:rsid w:val="006B34FD"/>
    <w:rsid w:val="006B459E"/>
    <w:rsid w:val="006B4841"/>
    <w:rsid w:val="006B5563"/>
    <w:rsid w:val="006B5CAC"/>
    <w:rsid w:val="006B5F17"/>
    <w:rsid w:val="006B5FF7"/>
    <w:rsid w:val="006B61DA"/>
    <w:rsid w:val="006B6B6C"/>
    <w:rsid w:val="006B70B2"/>
    <w:rsid w:val="006B7344"/>
    <w:rsid w:val="006B740B"/>
    <w:rsid w:val="006B7877"/>
    <w:rsid w:val="006B79C3"/>
    <w:rsid w:val="006B7BC5"/>
    <w:rsid w:val="006B7EAD"/>
    <w:rsid w:val="006C07A1"/>
    <w:rsid w:val="006C07ED"/>
    <w:rsid w:val="006C0A41"/>
    <w:rsid w:val="006C0AB0"/>
    <w:rsid w:val="006C1B3A"/>
    <w:rsid w:val="006C2085"/>
    <w:rsid w:val="006C2940"/>
    <w:rsid w:val="006C3633"/>
    <w:rsid w:val="006C40A7"/>
    <w:rsid w:val="006C465E"/>
    <w:rsid w:val="006C4CE4"/>
    <w:rsid w:val="006C4E5D"/>
    <w:rsid w:val="006C51CC"/>
    <w:rsid w:val="006C55F2"/>
    <w:rsid w:val="006C6377"/>
    <w:rsid w:val="006C63C0"/>
    <w:rsid w:val="006C6599"/>
    <w:rsid w:val="006C6645"/>
    <w:rsid w:val="006C6F41"/>
    <w:rsid w:val="006C73E9"/>
    <w:rsid w:val="006C7A86"/>
    <w:rsid w:val="006C7DD0"/>
    <w:rsid w:val="006D0350"/>
    <w:rsid w:val="006D03EA"/>
    <w:rsid w:val="006D0761"/>
    <w:rsid w:val="006D0772"/>
    <w:rsid w:val="006D0894"/>
    <w:rsid w:val="006D09BF"/>
    <w:rsid w:val="006D0C76"/>
    <w:rsid w:val="006D180E"/>
    <w:rsid w:val="006D2115"/>
    <w:rsid w:val="006D283C"/>
    <w:rsid w:val="006D31DA"/>
    <w:rsid w:val="006D38AB"/>
    <w:rsid w:val="006D38E2"/>
    <w:rsid w:val="006D392B"/>
    <w:rsid w:val="006D404D"/>
    <w:rsid w:val="006D43D0"/>
    <w:rsid w:val="006D43F5"/>
    <w:rsid w:val="006D44FF"/>
    <w:rsid w:val="006D452A"/>
    <w:rsid w:val="006D4711"/>
    <w:rsid w:val="006D49A8"/>
    <w:rsid w:val="006D50C6"/>
    <w:rsid w:val="006D55F6"/>
    <w:rsid w:val="006D59A1"/>
    <w:rsid w:val="006D5EF3"/>
    <w:rsid w:val="006D5FA8"/>
    <w:rsid w:val="006D5FC4"/>
    <w:rsid w:val="006D78E9"/>
    <w:rsid w:val="006D7F3F"/>
    <w:rsid w:val="006E003A"/>
    <w:rsid w:val="006E0899"/>
    <w:rsid w:val="006E0DDF"/>
    <w:rsid w:val="006E1029"/>
    <w:rsid w:val="006E10E4"/>
    <w:rsid w:val="006E1524"/>
    <w:rsid w:val="006E1669"/>
    <w:rsid w:val="006E167B"/>
    <w:rsid w:val="006E16F9"/>
    <w:rsid w:val="006E17A7"/>
    <w:rsid w:val="006E1AB3"/>
    <w:rsid w:val="006E1B06"/>
    <w:rsid w:val="006E2427"/>
    <w:rsid w:val="006E26BD"/>
    <w:rsid w:val="006E2730"/>
    <w:rsid w:val="006E2751"/>
    <w:rsid w:val="006E278D"/>
    <w:rsid w:val="006E2C87"/>
    <w:rsid w:val="006E301B"/>
    <w:rsid w:val="006E3710"/>
    <w:rsid w:val="006E399F"/>
    <w:rsid w:val="006E3A38"/>
    <w:rsid w:val="006E4049"/>
    <w:rsid w:val="006E4170"/>
    <w:rsid w:val="006E4840"/>
    <w:rsid w:val="006E49C6"/>
    <w:rsid w:val="006E4BBB"/>
    <w:rsid w:val="006E51E1"/>
    <w:rsid w:val="006E6570"/>
    <w:rsid w:val="006E6E89"/>
    <w:rsid w:val="006E7031"/>
    <w:rsid w:val="006E77E4"/>
    <w:rsid w:val="006F0355"/>
    <w:rsid w:val="006F03C1"/>
    <w:rsid w:val="006F0589"/>
    <w:rsid w:val="006F0677"/>
    <w:rsid w:val="006F092E"/>
    <w:rsid w:val="006F0FA0"/>
    <w:rsid w:val="006F1229"/>
    <w:rsid w:val="006F1257"/>
    <w:rsid w:val="006F16C3"/>
    <w:rsid w:val="006F2174"/>
    <w:rsid w:val="006F22D7"/>
    <w:rsid w:val="006F3062"/>
    <w:rsid w:val="006F311D"/>
    <w:rsid w:val="006F3233"/>
    <w:rsid w:val="006F36E4"/>
    <w:rsid w:val="006F3810"/>
    <w:rsid w:val="006F392A"/>
    <w:rsid w:val="006F3A67"/>
    <w:rsid w:val="006F3F5C"/>
    <w:rsid w:val="006F4120"/>
    <w:rsid w:val="006F43CA"/>
    <w:rsid w:val="006F4919"/>
    <w:rsid w:val="006F4B2D"/>
    <w:rsid w:val="006F4F44"/>
    <w:rsid w:val="006F549A"/>
    <w:rsid w:val="006F55D7"/>
    <w:rsid w:val="006F5795"/>
    <w:rsid w:val="006F580F"/>
    <w:rsid w:val="006F5920"/>
    <w:rsid w:val="006F5966"/>
    <w:rsid w:val="006F6017"/>
    <w:rsid w:val="006F6078"/>
    <w:rsid w:val="006F6A54"/>
    <w:rsid w:val="006F6A73"/>
    <w:rsid w:val="006F6DE1"/>
    <w:rsid w:val="006F70E8"/>
    <w:rsid w:val="006F7F73"/>
    <w:rsid w:val="0070009E"/>
    <w:rsid w:val="00700516"/>
    <w:rsid w:val="00700519"/>
    <w:rsid w:val="007006B0"/>
    <w:rsid w:val="0070084D"/>
    <w:rsid w:val="00700A3A"/>
    <w:rsid w:val="00700FF4"/>
    <w:rsid w:val="00702A07"/>
    <w:rsid w:val="00702ABE"/>
    <w:rsid w:val="00702E82"/>
    <w:rsid w:val="00702FEE"/>
    <w:rsid w:val="00703388"/>
    <w:rsid w:val="00703894"/>
    <w:rsid w:val="00703A76"/>
    <w:rsid w:val="00704054"/>
    <w:rsid w:val="0070462F"/>
    <w:rsid w:val="007048A1"/>
    <w:rsid w:val="00704EE6"/>
    <w:rsid w:val="00704F97"/>
    <w:rsid w:val="00705169"/>
    <w:rsid w:val="007054EE"/>
    <w:rsid w:val="007057D9"/>
    <w:rsid w:val="00705969"/>
    <w:rsid w:val="007059DC"/>
    <w:rsid w:val="00705EE0"/>
    <w:rsid w:val="00706175"/>
    <w:rsid w:val="007066B3"/>
    <w:rsid w:val="0070677B"/>
    <w:rsid w:val="00706D88"/>
    <w:rsid w:val="007071F4"/>
    <w:rsid w:val="0070732E"/>
    <w:rsid w:val="0071012C"/>
    <w:rsid w:val="00710AF0"/>
    <w:rsid w:val="00711675"/>
    <w:rsid w:val="0071169C"/>
    <w:rsid w:val="00711743"/>
    <w:rsid w:val="00711D40"/>
    <w:rsid w:val="0071219D"/>
    <w:rsid w:val="007122DC"/>
    <w:rsid w:val="00712A1A"/>
    <w:rsid w:val="00712F65"/>
    <w:rsid w:val="007132D4"/>
    <w:rsid w:val="00713554"/>
    <w:rsid w:val="00713585"/>
    <w:rsid w:val="0071397F"/>
    <w:rsid w:val="007145F8"/>
    <w:rsid w:val="00714790"/>
    <w:rsid w:val="00715E63"/>
    <w:rsid w:val="00716655"/>
    <w:rsid w:val="00716D33"/>
    <w:rsid w:val="00716D5D"/>
    <w:rsid w:val="00716D92"/>
    <w:rsid w:val="00717554"/>
    <w:rsid w:val="00717566"/>
    <w:rsid w:val="0072023B"/>
    <w:rsid w:val="00720420"/>
    <w:rsid w:val="00720822"/>
    <w:rsid w:val="00720F63"/>
    <w:rsid w:val="00721371"/>
    <w:rsid w:val="00721382"/>
    <w:rsid w:val="007217ED"/>
    <w:rsid w:val="00722A7E"/>
    <w:rsid w:val="00722E72"/>
    <w:rsid w:val="00723274"/>
    <w:rsid w:val="0072416A"/>
    <w:rsid w:val="00724881"/>
    <w:rsid w:val="007248E6"/>
    <w:rsid w:val="00725DC9"/>
    <w:rsid w:val="00726061"/>
    <w:rsid w:val="007265B9"/>
    <w:rsid w:val="007266D1"/>
    <w:rsid w:val="00726739"/>
    <w:rsid w:val="00726780"/>
    <w:rsid w:val="00727551"/>
    <w:rsid w:val="00727ABC"/>
    <w:rsid w:val="00727BCA"/>
    <w:rsid w:val="00727CEE"/>
    <w:rsid w:val="00727F81"/>
    <w:rsid w:val="00730636"/>
    <w:rsid w:val="00730E5E"/>
    <w:rsid w:val="00730F9D"/>
    <w:rsid w:val="00730FAF"/>
    <w:rsid w:val="007319DB"/>
    <w:rsid w:val="00731B85"/>
    <w:rsid w:val="0073211A"/>
    <w:rsid w:val="00732566"/>
    <w:rsid w:val="007326B7"/>
    <w:rsid w:val="00732D43"/>
    <w:rsid w:val="00732E81"/>
    <w:rsid w:val="00732F71"/>
    <w:rsid w:val="00733D2C"/>
    <w:rsid w:val="007341E4"/>
    <w:rsid w:val="00734BFD"/>
    <w:rsid w:val="007352C0"/>
    <w:rsid w:val="0073565F"/>
    <w:rsid w:val="007358D6"/>
    <w:rsid w:val="00735EE4"/>
    <w:rsid w:val="007370E5"/>
    <w:rsid w:val="007378DC"/>
    <w:rsid w:val="00737C4D"/>
    <w:rsid w:val="00737E66"/>
    <w:rsid w:val="00737E86"/>
    <w:rsid w:val="00740008"/>
    <w:rsid w:val="007403C3"/>
    <w:rsid w:val="00740893"/>
    <w:rsid w:val="007408A7"/>
    <w:rsid w:val="00741877"/>
    <w:rsid w:val="00741D09"/>
    <w:rsid w:val="00741ED7"/>
    <w:rsid w:val="00741F0F"/>
    <w:rsid w:val="007420C7"/>
    <w:rsid w:val="00742286"/>
    <w:rsid w:val="00742914"/>
    <w:rsid w:val="00742B15"/>
    <w:rsid w:val="00743690"/>
    <w:rsid w:val="00743B71"/>
    <w:rsid w:val="00743BAA"/>
    <w:rsid w:val="0074404F"/>
    <w:rsid w:val="0074542B"/>
    <w:rsid w:val="0074551F"/>
    <w:rsid w:val="00745523"/>
    <w:rsid w:val="00745C96"/>
    <w:rsid w:val="0074614D"/>
    <w:rsid w:val="00747390"/>
    <w:rsid w:val="0074785C"/>
    <w:rsid w:val="00747889"/>
    <w:rsid w:val="00747BE7"/>
    <w:rsid w:val="007502D2"/>
    <w:rsid w:val="0075111D"/>
    <w:rsid w:val="0075121F"/>
    <w:rsid w:val="00751716"/>
    <w:rsid w:val="00751B70"/>
    <w:rsid w:val="00751D87"/>
    <w:rsid w:val="00752FE2"/>
    <w:rsid w:val="0075315B"/>
    <w:rsid w:val="00753196"/>
    <w:rsid w:val="00753A84"/>
    <w:rsid w:val="007542A3"/>
    <w:rsid w:val="007543AD"/>
    <w:rsid w:val="007547D3"/>
    <w:rsid w:val="00755599"/>
    <w:rsid w:val="007555EA"/>
    <w:rsid w:val="00755666"/>
    <w:rsid w:val="0075576D"/>
    <w:rsid w:val="007558A4"/>
    <w:rsid w:val="00755AA6"/>
    <w:rsid w:val="00755E78"/>
    <w:rsid w:val="00757074"/>
    <w:rsid w:val="007604EE"/>
    <w:rsid w:val="00760665"/>
    <w:rsid w:val="00760ACA"/>
    <w:rsid w:val="00760B11"/>
    <w:rsid w:val="00760EFA"/>
    <w:rsid w:val="0076116E"/>
    <w:rsid w:val="007611C2"/>
    <w:rsid w:val="007611EF"/>
    <w:rsid w:val="00761402"/>
    <w:rsid w:val="007617A5"/>
    <w:rsid w:val="00761819"/>
    <w:rsid w:val="00761D49"/>
    <w:rsid w:val="00761EB7"/>
    <w:rsid w:val="00761FF5"/>
    <w:rsid w:val="0076224A"/>
    <w:rsid w:val="00762CA8"/>
    <w:rsid w:val="007632E5"/>
    <w:rsid w:val="007635A9"/>
    <w:rsid w:val="0076374E"/>
    <w:rsid w:val="0076386E"/>
    <w:rsid w:val="00763E6D"/>
    <w:rsid w:val="0076416B"/>
    <w:rsid w:val="007641DE"/>
    <w:rsid w:val="00764C43"/>
    <w:rsid w:val="00764D24"/>
    <w:rsid w:val="007651EA"/>
    <w:rsid w:val="007654C3"/>
    <w:rsid w:val="00765685"/>
    <w:rsid w:val="00765778"/>
    <w:rsid w:val="00765B90"/>
    <w:rsid w:val="00765D98"/>
    <w:rsid w:val="00766486"/>
    <w:rsid w:val="0076664F"/>
    <w:rsid w:val="00766731"/>
    <w:rsid w:val="00766859"/>
    <w:rsid w:val="00766B5D"/>
    <w:rsid w:val="007674E2"/>
    <w:rsid w:val="00767BF7"/>
    <w:rsid w:val="00767D72"/>
    <w:rsid w:val="00770142"/>
    <w:rsid w:val="007701B7"/>
    <w:rsid w:val="0077075F"/>
    <w:rsid w:val="00770BF7"/>
    <w:rsid w:val="0077100C"/>
    <w:rsid w:val="00771225"/>
    <w:rsid w:val="00771324"/>
    <w:rsid w:val="00771344"/>
    <w:rsid w:val="00771A16"/>
    <w:rsid w:val="00771F0E"/>
    <w:rsid w:val="00772183"/>
    <w:rsid w:val="00772522"/>
    <w:rsid w:val="00772B6F"/>
    <w:rsid w:val="0077497C"/>
    <w:rsid w:val="00775629"/>
    <w:rsid w:val="00775717"/>
    <w:rsid w:val="00775D6F"/>
    <w:rsid w:val="00775EBA"/>
    <w:rsid w:val="007762C2"/>
    <w:rsid w:val="0077633A"/>
    <w:rsid w:val="007769B3"/>
    <w:rsid w:val="00776B47"/>
    <w:rsid w:val="00776D58"/>
    <w:rsid w:val="0077719C"/>
    <w:rsid w:val="00781134"/>
    <w:rsid w:val="007812BD"/>
    <w:rsid w:val="007813AF"/>
    <w:rsid w:val="007817E6"/>
    <w:rsid w:val="00781FE6"/>
    <w:rsid w:val="0078246A"/>
    <w:rsid w:val="00782A6C"/>
    <w:rsid w:val="00782ABA"/>
    <w:rsid w:val="007831F4"/>
    <w:rsid w:val="0078330B"/>
    <w:rsid w:val="0078335C"/>
    <w:rsid w:val="007848C6"/>
    <w:rsid w:val="00784C82"/>
    <w:rsid w:val="00784DCC"/>
    <w:rsid w:val="00784E40"/>
    <w:rsid w:val="0078605E"/>
    <w:rsid w:val="007862D6"/>
    <w:rsid w:val="0078656D"/>
    <w:rsid w:val="00786CFC"/>
    <w:rsid w:val="00786EB1"/>
    <w:rsid w:val="007875F9"/>
    <w:rsid w:val="0079023E"/>
    <w:rsid w:val="00790366"/>
    <w:rsid w:val="00790A8F"/>
    <w:rsid w:val="00790CE0"/>
    <w:rsid w:val="007916CB"/>
    <w:rsid w:val="0079178B"/>
    <w:rsid w:val="00791F4E"/>
    <w:rsid w:val="00792367"/>
    <w:rsid w:val="00792450"/>
    <w:rsid w:val="00792C3A"/>
    <w:rsid w:val="007931A8"/>
    <w:rsid w:val="0079340C"/>
    <w:rsid w:val="007934EB"/>
    <w:rsid w:val="00794040"/>
    <w:rsid w:val="007942C7"/>
    <w:rsid w:val="00794319"/>
    <w:rsid w:val="00794AFA"/>
    <w:rsid w:val="00795268"/>
    <w:rsid w:val="00795652"/>
    <w:rsid w:val="00795D17"/>
    <w:rsid w:val="00795EDC"/>
    <w:rsid w:val="00796ED7"/>
    <w:rsid w:val="00797759"/>
    <w:rsid w:val="00797B26"/>
    <w:rsid w:val="00797ECB"/>
    <w:rsid w:val="007A01C2"/>
    <w:rsid w:val="007A0FD3"/>
    <w:rsid w:val="007A1AA4"/>
    <w:rsid w:val="007A20B2"/>
    <w:rsid w:val="007A22BC"/>
    <w:rsid w:val="007A2539"/>
    <w:rsid w:val="007A2A15"/>
    <w:rsid w:val="007A2F6B"/>
    <w:rsid w:val="007A3BCB"/>
    <w:rsid w:val="007A410E"/>
    <w:rsid w:val="007A41BA"/>
    <w:rsid w:val="007A455E"/>
    <w:rsid w:val="007A47A5"/>
    <w:rsid w:val="007A485D"/>
    <w:rsid w:val="007A489B"/>
    <w:rsid w:val="007A48B1"/>
    <w:rsid w:val="007A48D9"/>
    <w:rsid w:val="007A4901"/>
    <w:rsid w:val="007A65AD"/>
    <w:rsid w:val="007A66B3"/>
    <w:rsid w:val="007A6D04"/>
    <w:rsid w:val="007A7185"/>
    <w:rsid w:val="007A7310"/>
    <w:rsid w:val="007B066D"/>
    <w:rsid w:val="007B1047"/>
    <w:rsid w:val="007B115E"/>
    <w:rsid w:val="007B1DBF"/>
    <w:rsid w:val="007B1EF3"/>
    <w:rsid w:val="007B207C"/>
    <w:rsid w:val="007B251E"/>
    <w:rsid w:val="007B3605"/>
    <w:rsid w:val="007B3D86"/>
    <w:rsid w:val="007B3E37"/>
    <w:rsid w:val="007B4080"/>
    <w:rsid w:val="007B44B9"/>
    <w:rsid w:val="007B4BB5"/>
    <w:rsid w:val="007B4CBB"/>
    <w:rsid w:val="007B50F4"/>
    <w:rsid w:val="007B5188"/>
    <w:rsid w:val="007B6D6B"/>
    <w:rsid w:val="007B7106"/>
    <w:rsid w:val="007B72C8"/>
    <w:rsid w:val="007B78FD"/>
    <w:rsid w:val="007B79AA"/>
    <w:rsid w:val="007C0206"/>
    <w:rsid w:val="007C0209"/>
    <w:rsid w:val="007C0611"/>
    <w:rsid w:val="007C084E"/>
    <w:rsid w:val="007C0927"/>
    <w:rsid w:val="007C0F51"/>
    <w:rsid w:val="007C1196"/>
    <w:rsid w:val="007C12F4"/>
    <w:rsid w:val="007C1317"/>
    <w:rsid w:val="007C1761"/>
    <w:rsid w:val="007C250B"/>
    <w:rsid w:val="007C29CC"/>
    <w:rsid w:val="007C2DDA"/>
    <w:rsid w:val="007C3A38"/>
    <w:rsid w:val="007C3B66"/>
    <w:rsid w:val="007C4252"/>
    <w:rsid w:val="007C4703"/>
    <w:rsid w:val="007C4CEC"/>
    <w:rsid w:val="007C4D9E"/>
    <w:rsid w:val="007C635B"/>
    <w:rsid w:val="007C671B"/>
    <w:rsid w:val="007C6D36"/>
    <w:rsid w:val="007C7A2A"/>
    <w:rsid w:val="007C7D6D"/>
    <w:rsid w:val="007D0026"/>
    <w:rsid w:val="007D0B4F"/>
    <w:rsid w:val="007D11EA"/>
    <w:rsid w:val="007D22B3"/>
    <w:rsid w:val="007D2477"/>
    <w:rsid w:val="007D2916"/>
    <w:rsid w:val="007D29C0"/>
    <w:rsid w:val="007D30D5"/>
    <w:rsid w:val="007D31C5"/>
    <w:rsid w:val="007D410B"/>
    <w:rsid w:val="007D42B9"/>
    <w:rsid w:val="007D4454"/>
    <w:rsid w:val="007D49C9"/>
    <w:rsid w:val="007D4F7D"/>
    <w:rsid w:val="007D5510"/>
    <w:rsid w:val="007D5590"/>
    <w:rsid w:val="007D5D74"/>
    <w:rsid w:val="007D681F"/>
    <w:rsid w:val="007D6DE8"/>
    <w:rsid w:val="007D75B7"/>
    <w:rsid w:val="007E06E6"/>
    <w:rsid w:val="007E0711"/>
    <w:rsid w:val="007E0791"/>
    <w:rsid w:val="007E0A27"/>
    <w:rsid w:val="007E0BC1"/>
    <w:rsid w:val="007E15B2"/>
    <w:rsid w:val="007E16A3"/>
    <w:rsid w:val="007E175E"/>
    <w:rsid w:val="007E19E7"/>
    <w:rsid w:val="007E1E48"/>
    <w:rsid w:val="007E23D5"/>
    <w:rsid w:val="007E2727"/>
    <w:rsid w:val="007E27F3"/>
    <w:rsid w:val="007E2B32"/>
    <w:rsid w:val="007E2D89"/>
    <w:rsid w:val="007E32C0"/>
    <w:rsid w:val="007E33F2"/>
    <w:rsid w:val="007E3DB7"/>
    <w:rsid w:val="007E4220"/>
    <w:rsid w:val="007E47E9"/>
    <w:rsid w:val="007E4DED"/>
    <w:rsid w:val="007E50CF"/>
    <w:rsid w:val="007E5266"/>
    <w:rsid w:val="007E5591"/>
    <w:rsid w:val="007E5808"/>
    <w:rsid w:val="007E657F"/>
    <w:rsid w:val="007E6AB3"/>
    <w:rsid w:val="007F05AB"/>
    <w:rsid w:val="007F05E4"/>
    <w:rsid w:val="007F06A9"/>
    <w:rsid w:val="007F132F"/>
    <w:rsid w:val="007F1554"/>
    <w:rsid w:val="007F194C"/>
    <w:rsid w:val="007F1A15"/>
    <w:rsid w:val="007F1A46"/>
    <w:rsid w:val="007F1F37"/>
    <w:rsid w:val="007F22AE"/>
    <w:rsid w:val="007F23D2"/>
    <w:rsid w:val="007F2E6A"/>
    <w:rsid w:val="007F3021"/>
    <w:rsid w:val="007F4285"/>
    <w:rsid w:val="007F4A93"/>
    <w:rsid w:val="007F4E64"/>
    <w:rsid w:val="007F602D"/>
    <w:rsid w:val="007F615D"/>
    <w:rsid w:val="007F6225"/>
    <w:rsid w:val="007F65EA"/>
    <w:rsid w:val="007F67F0"/>
    <w:rsid w:val="007F6CF8"/>
    <w:rsid w:val="007F6D50"/>
    <w:rsid w:val="007F6F82"/>
    <w:rsid w:val="007F7404"/>
    <w:rsid w:val="007F7D26"/>
    <w:rsid w:val="007F7D6E"/>
    <w:rsid w:val="00800456"/>
    <w:rsid w:val="008009B6"/>
    <w:rsid w:val="008013CD"/>
    <w:rsid w:val="00801562"/>
    <w:rsid w:val="008017F9"/>
    <w:rsid w:val="00801E3D"/>
    <w:rsid w:val="008020BC"/>
    <w:rsid w:val="008021D7"/>
    <w:rsid w:val="008023EB"/>
    <w:rsid w:val="00802C09"/>
    <w:rsid w:val="00803553"/>
    <w:rsid w:val="00803D95"/>
    <w:rsid w:val="00804753"/>
    <w:rsid w:val="0080496B"/>
    <w:rsid w:val="00805E8B"/>
    <w:rsid w:val="00806496"/>
    <w:rsid w:val="008068D1"/>
    <w:rsid w:val="00806AA9"/>
    <w:rsid w:val="00806AB7"/>
    <w:rsid w:val="0080701B"/>
    <w:rsid w:val="00807242"/>
    <w:rsid w:val="00807256"/>
    <w:rsid w:val="008072EE"/>
    <w:rsid w:val="00807507"/>
    <w:rsid w:val="0080776E"/>
    <w:rsid w:val="0080795C"/>
    <w:rsid w:val="00807DA8"/>
    <w:rsid w:val="008109B8"/>
    <w:rsid w:val="00810FB5"/>
    <w:rsid w:val="0081108F"/>
    <w:rsid w:val="0081110C"/>
    <w:rsid w:val="008125BF"/>
    <w:rsid w:val="00812BCD"/>
    <w:rsid w:val="00813145"/>
    <w:rsid w:val="00813240"/>
    <w:rsid w:val="00813421"/>
    <w:rsid w:val="0081417B"/>
    <w:rsid w:val="0081451C"/>
    <w:rsid w:val="0081464C"/>
    <w:rsid w:val="00815360"/>
    <w:rsid w:val="008154B7"/>
    <w:rsid w:val="00815B92"/>
    <w:rsid w:val="00815EF9"/>
    <w:rsid w:val="00816004"/>
    <w:rsid w:val="0081603E"/>
    <w:rsid w:val="00816FFF"/>
    <w:rsid w:val="008174C2"/>
    <w:rsid w:val="00817694"/>
    <w:rsid w:val="00817F1E"/>
    <w:rsid w:val="00820078"/>
    <w:rsid w:val="00820887"/>
    <w:rsid w:val="00820C30"/>
    <w:rsid w:val="008211E8"/>
    <w:rsid w:val="0082180E"/>
    <w:rsid w:val="008219C9"/>
    <w:rsid w:val="00821CB1"/>
    <w:rsid w:val="00821E78"/>
    <w:rsid w:val="00822541"/>
    <w:rsid w:val="0082291D"/>
    <w:rsid w:val="00823D16"/>
    <w:rsid w:val="00823D91"/>
    <w:rsid w:val="00824627"/>
    <w:rsid w:val="00824685"/>
    <w:rsid w:val="00824BB8"/>
    <w:rsid w:val="008251B4"/>
    <w:rsid w:val="00825BB1"/>
    <w:rsid w:val="00825C9A"/>
    <w:rsid w:val="00826BBC"/>
    <w:rsid w:val="00827491"/>
    <w:rsid w:val="00827768"/>
    <w:rsid w:val="0082782F"/>
    <w:rsid w:val="00827BAA"/>
    <w:rsid w:val="00827C5B"/>
    <w:rsid w:val="00830165"/>
    <w:rsid w:val="00830878"/>
    <w:rsid w:val="008308AF"/>
    <w:rsid w:val="008310AD"/>
    <w:rsid w:val="008317F8"/>
    <w:rsid w:val="00832825"/>
    <w:rsid w:val="00832B6D"/>
    <w:rsid w:val="00832C5E"/>
    <w:rsid w:val="00833BAA"/>
    <w:rsid w:val="00833E5A"/>
    <w:rsid w:val="00834396"/>
    <w:rsid w:val="008352A7"/>
    <w:rsid w:val="00835530"/>
    <w:rsid w:val="0083558C"/>
    <w:rsid w:val="008355ED"/>
    <w:rsid w:val="00835675"/>
    <w:rsid w:val="008359EC"/>
    <w:rsid w:val="00835BE4"/>
    <w:rsid w:val="0083608C"/>
    <w:rsid w:val="008362CC"/>
    <w:rsid w:val="008363A2"/>
    <w:rsid w:val="0083640C"/>
    <w:rsid w:val="008364CA"/>
    <w:rsid w:val="00836882"/>
    <w:rsid w:val="00836DB7"/>
    <w:rsid w:val="00837107"/>
    <w:rsid w:val="008376A7"/>
    <w:rsid w:val="008408A5"/>
    <w:rsid w:val="00840B47"/>
    <w:rsid w:val="00840D6C"/>
    <w:rsid w:val="008411A3"/>
    <w:rsid w:val="008411A7"/>
    <w:rsid w:val="008412D0"/>
    <w:rsid w:val="00841A87"/>
    <w:rsid w:val="00841CC1"/>
    <w:rsid w:val="00841F2F"/>
    <w:rsid w:val="008422E9"/>
    <w:rsid w:val="00842447"/>
    <w:rsid w:val="00842830"/>
    <w:rsid w:val="00842BBE"/>
    <w:rsid w:val="00842E44"/>
    <w:rsid w:val="0084389D"/>
    <w:rsid w:val="0084393B"/>
    <w:rsid w:val="00843A16"/>
    <w:rsid w:val="00843AE1"/>
    <w:rsid w:val="00844067"/>
    <w:rsid w:val="0084445B"/>
    <w:rsid w:val="00844583"/>
    <w:rsid w:val="0084461F"/>
    <w:rsid w:val="00844B35"/>
    <w:rsid w:val="00844D03"/>
    <w:rsid w:val="00845553"/>
    <w:rsid w:val="00845A9B"/>
    <w:rsid w:val="00845C08"/>
    <w:rsid w:val="0084605E"/>
    <w:rsid w:val="00846E3C"/>
    <w:rsid w:val="008474C7"/>
    <w:rsid w:val="00847527"/>
    <w:rsid w:val="008477AB"/>
    <w:rsid w:val="008477BE"/>
    <w:rsid w:val="00847AFA"/>
    <w:rsid w:val="00850DBE"/>
    <w:rsid w:val="00850EC9"/>
    <w:rsid w:val="00851197"/>
    <w:rsid w:val="00851625"/>
    <w:rsid w:val="00851843"/>
    <w:rsid w:val="00851CE9"/>
    <w:rsid w:val="0085257C"/>
    <w:rsid w:val="00852704"/>
    <w:rsid w:val="008527F6"/>
    <w:rsid w:val="00852816"/>
    <w:rsid w:val="0085316A"/>
    <w:rsid w:val="00853528"/>
    <w:rsid w:val="00853D8C"/>
    <w:rsid w:val="00854A16"/>
    <w:rsid w:val="00854E38"/>
    <w:rsid w:val="008557BA"/>
    <w:rsid w:val="00855BBB"/>
    <w:rsid w:val="00857705"/>
    <w:rsid w:val="00857D0A"/>
    <w:rsid w:val="00857D9C"/>
    <w:rsid w:val="008603C5"/>
    <w:rsid w:val="00860714"/>
    <w:rsid w:val="008607C8"/>
    <w:rsid w:val="00860C71"/>
    <w:rsid w:val="00861177"/>
    <w:rsid w:val="0086133E"/>
    <w:rsid w:val="00861938"/>
    <w:rsid w:val="00862457"/>
    <w:rsid w:val="00862946"/>
    <w:rsid w:val="0086318A"/>
    <w:rsid w:val="0086334C"/>
    <w:rsid w:val="0086360C"/>
    <w:rsid w:val="008636FF"/>
    <w:rsid w:val="00863746"/>
    <w:rsid w:val="00863AC6"/>
    <w:rsid w:val="00863F50"/>
    <w:rsid w:val="008643E2"/>
    <w:rsid w:val="008644C8"/>
    <w:rsid w:val="00864B30"/>
    <w:rsid w:val="00864B47"/>
    <w:rsid w:val="00865002"/>
    <w:rsid w:val="00865202"/>
    <w:rsid w:val="008652C4"/>
    <w:rsid w:val="008655D3"/>
    <w:rsid w:val="0086681B"/>
    <w:rsid w:val="00867976"/>
    <w:rsid w:val="00867A0F"/>
    <w:rsid w:val="00867F4D"/>
    <w:rsid w:val="00870E2D"/>
    <w:rsid w:val="008712CE"/>
    <w:rsid w:val="0087207B"/>
    <w:rsid w:val="00872FEB"/>
    <w:rsid w:val="008733C2"/>
    <w:rsid w:val="00873623"/>
    <w:rsid w:val="008739B4"/>
    <w:rsid w:val="00873A23"/>
    <w:rsid w:val="00873B48"/>
    <w:rsid w:val="00873D81"/>
    <w:rsid w:val="008740C4"/>
    <w:rsid w:val="00874176"/>
    <w:rsid w:val="008742FA"/>
    <w:rsid w:val="00874A0D"/>
    <w:rsid w:val="00874CDA"/>
    <w:rsid w:val="00875371"/>
    <w:rsid w:val="00875DE9"/>
    <w:rsid w:val="008767EC"/>
    <w:rsid w:val="00876877"/>
    <w:rsid w:val="008772C9"/>
    <w:rsid w:val="00877ADB"/>
    <w:rsid w:val="00877F73"/>
    <w:rsid w:val="00880014"/>
    <w:rsid w:val="0088012D"/>
    <w:rsid w:val="008808C2"/>
    <w:rsid w:val="00880C3A"/>
    <w:rsid w:val="00881F93"/>
    <w:rsid w:val="00881FD2"/>
    <w:rsid w:val="008823FF"/>
    <w:rsid w:val="008825DA"/>
    <w:rsid w:val="00882DA3"/>
    <w:rsid w:val="00883CAC"/>
    <w:rsid w:val="00883DFC"/>
    <w:rsid w:val="00883E5C"/>
    <w:rsid w:val="00883FAD"/>
    <w:rsid w:val="00884228"/>
    <w:rsid w:val="00884502"/>
    <w:rsid w:val="008845D2"/>
    <w:rsid w:val="0088484E"/>
    <w:rsid w:val="008855D9"/>
    <w:rsid w:val="008862ED"/>
    <w:rsid w:val="008873CF"/>
    <w:rsid w:val="0088762F"/>
    <w:rsid w:val="00887EDF"/>
    <w:rsid w:val="00887F9C"/>
    <w:rsid w:val="00891359"/>
    <w:rsid w:val="00891373"/>
    <w:rsid w:val="00891C1C"/>
    <w:rsid w:val="008922B8"/>
    <w:rsid w:val="00892B43"/>
    <w:rsid w:val="00892EA9"/>
    <w:rsid w:val="00893095"/>
    <w:rsid w:val="00893983"/>
    <w:rsid w:val="008939FE"/>
    <w:rsid w:val="00894BF8"/>
    <w:rsid w:val="00894DD1"/>
    <w:rsid w:val="00895BA4"/>
    <w:rsid w:val="00896B2A"/>
    <w:rsid w:val="008974C0"/>
    <w:rsid w:val="00897674"/>
    <w:rsid w:val="008A0267"/>
    <w:rsid w:val="008A0463"/>
    <w:rsid w:val="008A04CB"/>
    <w:rsid w:val="008A10BC"/>
    <w:rsid w:val="008A1708"/>
    <w:rsid w:val="008A186F"/>
    <w:rsid w:val="008A1888"/>
    <w:rsid w:val="008A19EA"/>
    <w:rsid w:val="008A1A4D"/>
    <w:rsid w:val="008A2119"/>
    <w:rsid w:val="008A3870"/>
    <w:rsid w:val="008A3BD0"/>
    <w:rsid w:val="008A3ED8"/>
    <w:rsid w:val="008A3F71"/>
    <w:rsid w:val="008A42D6"/>
    <w:rsid w:val="008A49F9"/>
    <w:rsid w:val="008A4EBB"/>
    <w:rsid w:val="008A5272"/>
    <w:rsid w:val="008A55B6"/>
    <w:rsid w:val="008A560B"/>
    <w:rsid w:val="008A5672"/>
    <w:rsid w:val="008A5F86"/>
    <w:rsid w:val="008A62D4"/>
    <w:rsid w:val="008A65B0"/>
    <w:rsid w:val="008A6744"/>
    <w:rsid w:val="008A6B76"/>
    <w:rsid w:val="008A773C"/>
    <w:rsid w:val="008A7BA4"/>
    <w:rsid w:val="008B0991"/>
    <w:rsid w:val="008B0B08"/>
    <w:rsid w:val="008B0BEA"/>
    <w:rsid w:val="008B1128"/>
    <w:rsid w:val="008B15F8"/>
    <w:rsid w:val="008B1CAE"/>
    <w:rsid w:val="008B24C1"/>
    <w:rsid w:val="008B2ABD"/>
    <w:rsid w:val="008B2B6F"/>
    <w:rsid w:val="008B2C1A"/>
    <w:rsid w:val="008B2E2D"/>
    <w:rsid w:val="008B3083"/>
    <w:rsid w:val="008B330E"/>
    <w:rsid w:val="008B35F8"/>
    <w:rsid w:val="008B36FC"/>
    <w:rsid w:val="008B386B"/>
    <w:rsid w:val="008B3A33"/>
    <w:rsid w:val="008B3B16"/>
    <w:rsid w:val="008B3C32"/>
    <w:rsid w:val="008B3C48"/>
    <w:rsid w:val="008B408B"/>
    <w:rsid w:val="008B4539"/>
    <w:rsid w:val="008B4AB9"/>
    <w:rsid w:val="008B4F65"/>
    <w:rsid w:val="008B5219"/>
    <w:rsid w:val="008B563D"/>
    <w:rsid w:val="008B5692"/>
    <w:rsid w:val="008B61C7"/>
    <w:rsid w:val="008B62E5"/>
    <w:rsid w:val="008B6FA0"/>
    <w:rsid w:val="008B734F"/>
    <w:rsid w:val="008B7D3E"/>
    <w:rsid w:val="008B7F2F"/>
    <w:rsid w:val="008C050E"/>
    <w:rsid w:val="008C1088"/>
    <w:rsid w:val="008C13DD"/>
    <w:rsid w:val="008C14EF"/>
    <w:rsid w:val="008C1C9C"/>
    <w:rsid w:val="008C1FCE"/>
    <w:rsid w:val="008C2671"/>
    <w:rsid w:val="008C308E"/>
    <w:rsid w:val="008C330D"/>
    <w:rsid w:val="008C37DA"/>
    <w:rsid w:val="008C3939"/>
    <w:rsid w:val="008C3943"/>
    <w:rsid w:val="008C3EA6"/>
    <w:rsid w:val="008C3FCF"/>
    <w:rsid w:val="008C463A"/>
    <w:rsid w:val="008C492D"/>
    <w:rsid w:val="008C4E33"/>
    <w:rsid w:val="008C4F50"/>
    <w:rsid w:val="008C5054"/>
    <w:rsid w:val="008C54D8"/>
    <w:rsid w:val="008C5722"/>
    <w:rsid w:val="008C57CD"/>
    <w:rsid w:val="008C61FF"/>
    <w:rsid w:val="008C6BC0"/>
    <w:rsid w:val="008C6BD0"/>
    <w:rsid w:val="008C70AD"/>
    <w:rsid w:val="008C75DB"/>
    <w:rsid w:val="008C78A4"/>
    <w:rsid w:val="008C79EB"/>
    <w:rsid w:val="008D01DE"/>
    <w:rsid w:val="008D0D93"/>
    <w:rsid w:val="008D1507"/>
    <w:rsid w:val="008D15C6"/>
    <w:rsid w:val="008D1A25"/>
    <w:rsid w:val="008D1D5D"/>
    <w:rsid w:val="008D1DB0"/>
    <w:rsid w:val="008D1E27"/>
    <w:rsid w:val="008D24BA"/>
    <w:rsid w:val="008D33B2"/>
    <w:rsid w:val="008D3416"/>
    <w:rsid w:val="008D34E1"/>
    <w:rsid w:val="008D368C"/>
    <w:rsid w:val="008D36A8"/>
    <w:rsid w:val="008D3BBC"/>
    <w:rsid w:val="008D3E5D"/>
    <w:rsid w:val="008D3F4E"/>
    <w:rsid w:val="008D4015"/>
    <w:rsid w:val="008D4E55"/>
    <w:rsid w:val="008D5BFA"/>
    <w:rsid w:val="008D5D28"/>
    <w:rsid w:val="008D6570"/>
    <w:rsid w:val="008D7080"/>
    <w:rsid w:val="008D7565"/>
    <w:rsid w:val="008D77CD"/>
    <w:rsid w:val="008D7884"/>
    <w:rsid w:val="008D7B3D"/>
    <w:rsid w:val="008D7CB3"/>
    <w:rsid w:val="008E00C2"/>
    <w:rsid w:val="008E00E1"/>
    <w:rsid w:val="008E0261"/>
    <w:rsid w:val="008E0452"/>
    <w:rsid w:val="008E0E40"/>
    <w:rsid w:val="008E1A28"/>
    <w:rsid w:val="008E1C34"/>
    <w:rsid w:val="008E2BEE"/>
    <w:rsid w:val="008E2F58"/>
    <w:rsid w:val="008E3310"/>
    <w:rsid w:val="008E40A6"/>
    <w:rsid w:val="008E415F"/>
    <w:rsid w:val="008E42B5"/>
    <w:rsid w:val="008E44F3"/>
    <w:rsid w:val="008E4B18"/>
    <w:rsid w:val="008E4B36"/>
    <w:rsid w:val="008E51A3"/>
    <w:rsid w:val="008E52E4"/>
    <w:rsid w:val="008E5316"/>
    <w:rsid w:val="008E5929"/>
    <w:rsid w:val="008E6639"/>
    <w:rsid w:val="008E6981"/>
    <w:rsid w:val="008E6C03"/>
    <w:rsid w:val="008E6D5A"/>
    <w:rsid w:val="008E7213"/>
    <w:rsid w:val="008E730A"/>
    <w:rsid w:val="008E751D"/>
    <w:rsid w:val="008E7535"/>
    <w:rsid w:val="008E789C"/>
    <w:rsid w:val="008E79C6"/>
    <w:rsid w:val="008E7A48"/>
    <w:rsid w:val="008E7CEA"/>
    <w:rsid w:val="008F00D0"/>
    <w:rsid w:val="008F07B9"/>
    <w:rsid w:val="008F0A35"/>
    <w:rsid w:val="008F0D7A"/>
    <w:rsid w:val="008F1AA6"/>
    <w:rsid w:val="008F24CC"/>
    <w:rsid w:val="008F2738"/>
    <w:rsid w:val="008F2D92"/>
    <w:rsid w:val="008F3A7B"/>
    <w:rsid w:val="008F3DFB"/>
    <w:rsid w:val="008F45F1"/>
    <w:rsid w:val="008F501E"/>
    <w:rsid w:val="008F5CF7"/>
    <w:rsid w:val="008F5E51"/>
    <w:rsid w:val="008F616F"/>
    <w:rsid w:val="008F63A7"/>
    <w:rsid w:val="008F6B84"/>
    <w:rsid w:val="008F79AB"/>
    <w:rsid w:val="008F7BEF"/>
    <w:rsid w:val="008F7D49"/>
    <w:rsid w:val="00900235"/>
    <w:rsid w:val="009002D1"/>
    <w:rsid w:val="009003CC"/>
    <w:rsid w:val="009007B0"/>
    <w:rsid w:val="0090129F"/>
    <w:rsid w:val="00901630"/>
    <w:rsid w:val="0090195C"/>
    <w:rsid w:val="009019A3"/>
    <w:rsid w:val="009021A0"/>
    <w:rsid w:val="00902F70"/>
    <w:rsid w:val="00903006"/>
    <w:rsid w:val="00903442"/>
    <w:rsid w:val="00903D9F"/>
    <w:rsid w:val="00904927"/>
    <w:rsid w:val="00904A31"/>
    <w:rsid w:val="00904ED9"/>
    <w:rsid w:val="00905179"/>
    <w:rsid w:val="00905D4E"/>
    <w:rsid w:val="00905EB8"/>
    <w:rsid w:val="00905FDD"/>
    <w:rsid w:val="00906377"/>
    <w:rsid w:val="00907E48"/>
    <w:rsid w:val="00910B2D"/>
    <w:rsid w:val="00911108"/>
    <w:rsid w:val="00911724"/>
    <w:rsid w:val="00911CD9"/>
    <w:rsid w:val="009121E6"/>
    <w:rsid w:val="009126B4"/>
    <w:rsid w:val="009127B9"/>
    <w:rsid w:val="009128CF"/>
    <w:rsid w:val="00912CCD"/>
    <w:rsid w:val="00913051"/>
    <w:rsid w:val="009130FD"/>
    <w:rsid w:val="009133F2"/>
    <w:rsid w:val="009149C4"/>
    <w:rsid w:val="00914C25"/>
    <w:rsid w:val="0091513E"/>
    <w:rsid w:val="00915463"/>
    <w:rsid w:val="00915AA9"/>
    <w:rsid w:val="00915FD1"/>
    <w:rsid w:val="00917265"/>
    <w:rsid w:val="009177B7"/>
    <w:rsid w:val="00917A52"/>
    <w:rsid w:val="00917B6B"/>
    <w:rsid w:val="00917E86"/>
    <w:rsid w:val="009203C9"/>
    <w:rsid w:val="009205F9"/>
    <w:rsid w:val="00920A82"/>
    <w:rsid w:val="0092113D"/>
    <w:rsid w:val="009216F0"/>
    <w:rsid w:val="009217F7"/>
    <w:rsid w:val="00922025"/>
    <w:rsid w:val="00922489"/>
    <w:rsid w:val="0092287A"/>
    <w:rsid w:val="00922A63"/>
    <w:rsid w:val="009233B9"/>
    <w:rsid w:val="00923607"/>
    <w:rsid w:val="00924011"/>
    <w:rsid w:val="00924378"/>
    <w:rsid w:val="00924395"/>
    <w:rsid w:val="0092464D"/>
    <w:rsid w:val="009246BE"/>
    <w:rsid w:val="0092499E"/>
    <w:rsid w:val="009257CD"/>
    <w:rsid w:val="0092600A"/>
    <w:rsid w:val="009266ED"/>
    <w:rsid w:val="0092686B"/>
    <w:rsid w:val="00926B47"/>
    <w:rsid w:val="00927C3E"/>
    <w:rsid w:val="00927F9E"/>
    <w:rsid w:val="00930854"/>
    <w:rsid w:val="009309CE"/>
    <w:rsid w:val="0093134C"/>
    <w:rsid w:val="00931A9E"/>
    <w:rsid w:val="0093236A"/>
    <w:rsid w:val="0093257A"/>
    <w:rsid w:val="00932F3F"/>
    <w:rsid w:val="00933057"/>
    <w:rsid w:val="00933069"/>
    <w:rsid w:val="00933275"/>
    <w:rsid w:val="009336F8"/>
    <w:rsid w:val="009337E1"/>
    <w:rsid w:val="00933870"/>
    <w:rsid w:val="009354EC"/>
    <w:rsid w:val="009356F4"/>
    <w:rsid w:val="00935E04"/>
    <w:rsid w:val="009361F6"/>
    <w:rsid w:val="009372ED"/>
    <w:rsid w:val="009378DF"/>
    <w:rsid w:val="00937B41"/>
    <w:rsid w:val="00937C21"/>
    <w:rsid w:val="00937C92"/>
    <w:rsid w:val="00937DD9"/>
    <w:rsid w:val="00937F75"/>
    <w:rsid w:val="00940D6B"/>
    <w:rsid w:val="0094118C"/>
    <w:rsid w:val="00941357"/>
    <w:rsid w:val="0094189E"/>
    <w:rsid w:val="00941A5E"/>
    <w:rsid w:val="009424A2"/>
    <w:rsid w:val="009428F1"/>
    <w:rsid w:val="00942F70"/>
    <w:rsid w:val="00943362"/>
    <w:rsid w:val="00944C93"/>
    <w:rsid w:val="00944E15"/>
    <w:rsid w:val="00945271"/>
    <w:rsid w:val="0094592D"/>
    <w:rsid w:val="00946214"/>
    <w:rsid w:val="00946349"/>
    <w:rsid w:val="0094654E"/>
    <w:rsid w:val="009469D3"/>
    <w:rsid w:val="00946C40"/>
    <w:rsid w:val="0094710B"/>
    <w:rsid w:val="0094716A"/>
    <w:rsid w:val="0094756C"/>
    <w:rsid w:val="009519E5"/>
    <w:rsid w:val="0095213E"/>
    <w:rsid w:val="00952B8B"/>
    <w:rsid w:val="00952D8A"/>
    <w:rsid w:val="009531F2"/>
    <w:rsid w:val="009534DE"/>
    <w:rsid w:val="00953863"/>
    <w:rsid w:val="00953C9F"/>
    <w:rsid w:val="00953FFF"/>
    <w:rsid w:val="00954136"/>
    <w:rsid w:val="0095462C"/>
    <w:rsid w:val="00954AF4"/>
    <w:rsid w:val="00954B4E"/>
    <w:rsid w:val="009552B7"/>
    <w:rsid w:val="00955BA7"/>
    <w:rsid w:val="00956F71"/>
    <w:rsid w:val="00957BF6"/>
    <w:rsid w:val="009600E0"/>
    <w:rsid w:val="00960105"/>
    <w:rsid w:val="0096042A"/>
    <w:rsid w:val="009609A6"/>
    <w:rsid w:val="00960F08"/>
    <w:rsid w:val="00961A1F"/>
    <w:rsid w:val="00961CB1"/>
    <w:rsid w:val="00961D40"/>
    <w:rsid w:val="00961D59"/>
    <w:rsid w:val="00961FC8"/>
    <w:rsid w:val="00962101"/>
    <w:rsid w:val="0096210C"/>
    <w:rsid w:val="009621C5"/>
    <w:rsid w:val="009628CB"/>
    <w:rsid w:val="00962D64"/>
    <w:rsid w:val="00963C93"/>
    <w:rsid w:val="00964ACD"/>
    <w:rsid w:val="00964E33"/>
    <w:rsid w:val="00965459"/>
    <w:rsid w:val="009656B1"/>
    <w:rsid w:val="0096573B"/>
    <w:rsid w:val="00965AE7"/>
    <w:rsid w:val="00966889"/>
    <w:rsid w:val="00966DBD"/>
    <w:rsid w:val="009670F5"/>
    <w:rsid w:val="00970A07"/>
    <w:rsid w:val="00971835"/>
    <w:rsid w:val="0097199C"/>
    <w:rsid w:val="00971D6D"/>
    <w:rsid w:val="009729D8"/>
    <w:rsid w:val="00972D9F"/>
    <w:rsid w:val="00972EEA"/>
    <w:rsid w:val="009735BF"/>
    <w:rsid w:val="00973BDE"/>
    <w:rsid w:val="0097405D"/>
    <w:rsid w:val="00974A60"/>
    <w:rsid w:val="00974A8E"/>
    <w:rsid w:val="00975281"/>
    <w:rsid w:val="00975750"/>
    <w:rsid w:val="009759D0"/>
    <w:rsid w:val="00976EE9"/>
    <w:rsid w:val="00977022"/>
    <w:rsid w:val="00980F14"/>
    <w:rsid w:val="0098122F"/>
    <w:rsid w:val="0098175C"/>
    <w:rsid w:val="00981832"/>
    <w:rsid w:val="00981970"/>
    <w:rsid w:val="00981B89"/>
    <w:rsid w:val="00982152"/>
    <w:rsid w:val="00982194"/>
    <w:rsid w:val="00982402"/>
    <w:rsid w:val="009828B0"/>
    <w:rsid w:val="00982F2A"/>
    <w:rsid w:val="009835AE"/>
    <w:rsid w:val="00983885"/>
    <w:rsid w:val="009839FB"/>
    <w:rsid w:val="009848F1"/>
    <w:rsid w:val="009848F6"/>
    <w:rsid w:val="00985006"/>
    <w:rsid w:val="00985A5B"/>
    <w:rsid w:val="00985EDF"/>
    <w:rsid w:val="00986979"/>
    <w:rsid w:val="0098730A"/>
    <w:rsid w:val="00987507"/>
    <w:rsid w:val="00987CAC"/>
    <w:rsid w:val="00987CF0"/>
    <w:rsid w:val="00990C2C"/>
    <w:rsid w:val="00991713"/>
    <w:rsid w:val="00991D80"/>
    <w:rsid w:val="00992032"/>
    <w:rsid w:val="0099283A"/>
    <w:rsid w:val="00992A21"/>
    <w:rsid w:val="00993006"/>
    <w:rsid w:val="0099338B"/>
    <w:rsid w:val="009940EF"/>
    <w:rsid w:val="009943B8"/>
    <w:rsid w:val="00994548"/>
    <w:rsid w:val="00994ECF"/>
    <w:rsid w:val="00994FD6"/>
    <w:rsid w:val="009950EB"/>
    <w:rsid w:val="00995821"/>
    <w:rsid w:val="0099586D"/>
    <w:rsid w:val="00995F22"/>
    <w:rsid w:val="00996853"/>
    <w:rsid w:val="00997610"/>
    <w:rsid w:val="00997CC3"/>
    <w:rsid w:val="009A002D"/>
    <w:rsid w:val="009A0293"/>
    <w:rsid w:val="009A069F"/>
    <w:rsid w:val="009A0A9D"/>
    <w:rsid w:val="009A11DF"/>
    <w:rsid w:val="009A132D"/>
    <w:rsid w:val="009A14D7"/>
    <w:rsid w:val="009A14D8"/>
    <w:rsid w:val="009A1BCB"/>
    <w:rsid w:val="009A1C17"/>
    <w:rsid w:val="009A1ED1"/>
    <w:rsid w:val="009A2232"/>
    <w:rsid w:val="009A2A1F"/>
    <w:rsid w:val="009A2F07"/>
    <w:rsid w:val="009A3038"/>
    <w:rsid w:val="009A39AD"/>
    <w:rsid w:val="009A39B4"/>
    <w:rsid w:val="009A3C45"/>
    <w:rsid w:val="009A4269"/>
    <w:rsid w:val="009A46AC"/>
    <w:rsid w:val="009A4992"/>
    <w:rsid w:val="009A5DBC"/>
    <w:rsid w:val="009A63C1"/>
    <w:rsid w:val="009A6F0B"/>
    <w:rsid w:val="009A6F85"/>
    <w:rsid w:val="009B00C7"/>
    <w:rsid w:val="009B1D87"/>
    <w:rsid w:val="009B1DA5"/>
    <w:rsid w:val="009B1FAC"/>
    <w:rsid w:val="009B2141"/>
    <w:rsid w:val="009B219A"/>
    <w:rsid w:val="009B2A8A"/>
    <w:rsid w:val="009B2E54"/>
    <w:rsid w:val="009B3B21"/>
    <w:rsid w:val="009B3F93"/>
    <w:rsid w:val="009B42DC"/>
    <w:rsid w:val="009B48FC"/>
    <w:rsid w:val="009B4E5F"/>
    <w:rsid w:val="009B4E8C"/>
    <w:rsid w:val="009B5B70"/>
    <w:rsid w:val="009B5CEB"/>
    <w:rsid w:val="009B6887"/>
    <w:rsid w:val="009B6C25"/>
    <w:rsid w:val="009B6F8A"/>
    <w:rsid w:val="009B7605"/>
    <w:rsid w:val="009B7757"/>
    <w:rsid w:val="009B7B62"/>
    <w:rsid w:val="009C06E8"/>
    <w:rsid w:val="009C0D43"/>
    <w:rsid w:val="009C18CB"/>
    <w:rsid w:val="009C1C00"/>
    <w:rsid w:val="009C225A"/>
    <w:rsid w:val="009C22D1"/>
    <w:rsid w:val="009C2D2E"/>
    <w:rsid w:val="009C466A"/>
    <w:rsid w:val="009C4A40"/>
    <w:rsid w:val="009C5253"/>
    <w:rsid w:val="009C55F4"/>
    <w:rsid w:val="009C55F5"/>
    <w:rsid w:val="009C5EBA"/>
    <w:rsid w:val="009C5ED6"/>
    <w:rsid w:val="009C614B"/>
    <w:rsid w:val="009C632F"/>
    <w:rsid w:val="009C6D61"/>
    <w:rsid w:val="009C72DA"/>
    <w:rsid w:val="009C74BC"/>
    <w:rsid w:val="009D02DB"/>
    <w:rsid w:val="009D03D6"/>
    <w:rsid w:val="009D066E"/>
    <w:rsid w:val="009D06FF"/>
    <w:rsid w:val="009D11B7"/>
    <w:rsid w:val="009D1663"/>
    <w:rsid w:val="009D17F3"/>
    <w:rsid w:val="009D22E9"/>
    <w:rsid w:val="009D2578"/>
    <w:rsid w:val="009D28BD"/>
    <w:rsid w:val="009D2A02"/>
    <w:rsid w:val="009D2AA5"/>
    <w:rsid w:val="009D2C33"/>
    <w:rsid w:val="009D2FDC"/>
    <w:rsid w:val="009D3523"/>
    <w:rsid w:val="009D358F"/>
    <w:rsid w:val="009D37CC"/>
    <w:rsid w:val="009D3C90"/>
    <w:rsid w:val="009D4180"/>
    <w:rsid w:val="009D4E31"/>
    <w:rsid w:val="009D542F"/>
    <w:rsid w:val="009D5F55"/>
    <w:rsid w:val="009D65AA"/>
    <w:rsid w:val="009D6C51"/>
    <w:rsid w:val="009D6CE9"/>
    <w:rsid w:val="009D701F"/>
    <w:rsid w:val="009D773C"/>
    <w:rsid w:val="009D792C"/>
    <w:rsid w:val="009D7AC2"/>
    <w:rsid w:val="009E0094"/>
    <w:rsid w:val="009E0663"/>
    <w:rsid w:val="009E0BB6"/>
    <w:rsid w:val="009E1153"/>
    <w:rsid w:val="009E166A"/>
    <w:rsid w:val="009E1E06"/>
    <w:rsid w:val="009E280E"/>
    <w:rsid w:val="009E28B4"/>
    <w:rsid w:val="009E28B8"/>
    <w:rsid w:val="009E2B76"/>
    <w:rsid w:val="009E359E"/>
    <w:rsid w:val="009E4431"/>
    <w:rsid w:val="009E45AF"/>
    <w:rsid w:val="009E4846"/>
    <w:rsid w:val="009E5072"/>
    <w:rsid w:val="009E51E2"/>
    <w:rsid w:val="009E552B"/>
    <w:rsid w:val="009E5653"/>
    <w:rsid w:val="009E5945"/>
    <w:rsid w:val="009E60C7"/>
    <w:rsid w:val="009E616A"/>
    <w:rsid w:val="009E638D"/>
    <w:rsid w:val="009E670F"/>
    <w:rsid w:val="009E78A9"/>
    <w:rsid w:val="009F0231"/>
    <w:rsid w:val="009F029D"/>
    <w:rsid w:val="009F0605"/>
    <w:rsid w:val="009F0E58"/>
    <w:rsid w:val="009F123A"/>
    <w:rsid w:val="009F2002"/>
    <w:rsid w:val="009F238D"/>
    <w:rsid w:val="009F265D"/>
    <w:rsid w:val="009F3055"/>
    <w:rsid w:val="009F31C7"/>
    <w:rsid w:val="009F3296"/>
    <w:rsid w:val="009F3AD8"/>
    <w:rsid w:val="009F3BC6"/>
    <w:rsid w:val="009F3D60"/>
    <w:rsid w:val="009F3E46"/>
    <w:rsid w:val="009F3F80"/>
    <w:rsid w:val="009F44D1"/>
    <w:rsid w:val="009F5CBE"/>
    <w:rsid w:val="009F5F2E"/>
    <w:rsid w:val="009F6E4B"/>
    <w:rsid w:val="009F724B"/>
    <w:rsid w:val="009F7310"/>
    <w:rsid w:val="009F7940"/>
    <w:rsid w:val="009F7E38"/>
    <w:rsid w:val="009F7E58"/>
    <w:rsid w:val="00A000C0"/>
    <w:rsid w:val="00A00796"/>
    <w:rsid w:val="00A009D3"/>
    <w:rsid w:val="00A00C8C"/>
    <w:rsid w:val="00A01074"/>
    <w:rsid w:val="00A01D8D"/>
    <w:rsid w:val="00A02322"/>
    <w:rsid w:val="00A02BFA"/>
    <w:rsid w:val="00A0367D"/>
    <w:rsid w:val="00A039FB"/>
    <w:rsid w:val="00A03F2A"/>
    <w:rsid w:val="00A04297"/>
    <w:rsid w:val="00A04349"/>
    <w:rsid w:val="00A04B59"/>
    <w:rsid w:val="00A04D87"/>
    <w:rsid w:val="00A0541C"/>
    <w:rsid w:val="00A054CE"/>
    <w:rsid w:val="00A059D7"/>
    <w:rsid w:val="00A06357"/>
    <w:rsid w:val="00A06ED6"/>
    <w:rsid w:val="00A0718D"/>
    <w:rsid w:val="00A07506"/>
    <w:rsid w:val="00A102B3"/>
    <w:rsid w:val="00A1086E"/>
    <w:rsid w:val="00A10AD2"/>
    <w:rsid w:val="00A11781"/>
    <w:rsid w:val="00A11938"/>
    <w:rsid w:val="00A1197E"/>
    <w:rsid w:val="00A1229B"/>
    <w:rsid w:val="00A12496"/>
    <w:rsid w:val="00A13105"/>
    <w:rsid w:val="00A1331D"/>
    <w:rsid w:val="00A134C5"/>
    <w:rsid w:val="00A14234"/>
    <w:rsid w:val="00A15038"/>
    <w:rsid w:val="00A155D5"/>
    <w:rsid w:val="00A15808"/>
    <w:rsid w:val="00A15852"/>
    <w:rsid w:val="00A15AE8"/>
    <w:rsid w:val="00A15B9F"/>
    <w:rsid w:val="00A15F77"/>
    <w:rsid w:val="00A16051"/>
    <w:rsid w:val="00A16891"/>
    <w:rsid w:val="00A16FF9"/>
    <w:rsid w:val="00A17395"/>
    <w:rsid w:val="00A20440"/>
    <w:rsid w:val="00A209F3"/>
    <w:rsid w:val="00A2188A"/>
    <w:rsid w:val="00A21A52"/>
    <w:rsid w:val="00A21C8A"/>
    <w:rsid w:val="00A2259A"/>
    <w:rsid w:val="00A2276C"/>
    <w:rsid w:val="00A22972"/>
    <w:rsid w:val="00A22BEB"/>
    <w:rsid w:val="00A22C84"/>
    <w:rsid w:val="00A244EA"/>
    <w:rsid w:val="00A248BF"/>
    <w:rsid w:val="00A251F1"/>
    <w:rsid w:val="00A25353"/>
    <w:rsid w:val="00A25B20"/>
    <w:rsid w:val="00A26B01"/>
    <w:rsid w:val="00A26CD8"/>
    <w:rsid w:val="00A2719E"/>
    <w:rsid w:val="00A274D5"/>
    <w:rsid w:val="00A275A2"/>
    <w:rsid w:val="00A27B38"/>
    <w:rsid w:val="00A27CD9"/>
    <w:rsid w:val="00A27FBB"/>
    <w:rsid w:val="00A308C3"/>
    <w:rsid w:val="00A30D43"/>
    <w:rsid w:val="00A30E76"/>
    <w:rsid w:val="00A30EDC"/>
    <w:rsid w:val="00A30F33"/>
    <w:rsid w:val="00A31862"/>
    <w:rsid w:val="00A319EE"/>
    <w:rsid w:val="00A31A3C"/>
    <w:rsid w:val="00A31A3F"/>
    <w:rsid w:val="00A3229F"/>
    <w:rsid w:val="00A32365"/>
    <w:rsid w:val="00A32510"/>
    <w:rsid w:val="00A32ADC"/>
    <w:rsid w:val="00A337CF"/>
    <w:rsid w:val="00A3396D"/>
    <w:rsid w:val="00A33FF3"/>
    <w:rsid w:val="00A35363"/>
    <w:rsid w:val="00A35E97"/>
    <w:rsid w:val="00A36187"/>
    <w:rsid w:val="00A365DE"/>
    <w:rsid w:val="00A36E61"/>
    <w:rsid w:val="00A37962"/>
    <w:rsid w:val="00A37DD2"/>
    <w:rsid w:val="00A404B3"/>
    <w:rsid w:val="00A405C4"/>
    <w:rsid w:val="00A407C2"/>
    <w:rsid w:val="00A4090C"/>
    <w:rsid w:val="00A4091D"/>
    <w:rsid w:val="00A40F2C"/>
    <w:rsid w:val="00A41FCF"/>
    <w:rsid w:val="00A42240"/>
    <w:rsid w:val="00A42988"/>
    <w:rsid w:val="00A429BB"/>
    <w:rsid w:val="00A43F93"/>
    <w:rsid w:val="00A440A3"/>
    <w:rsid w:val="00A448AF"/>
    <w:rsid w:val="00A4490D"/>
    <w:rsid w:val="00A44E94"/>
    <w:rsid w:val="00A4535B"/>
    <w:rsid w:val="00A45494"/>
    <w:rsid w:val="00A461D1"/>
    <w:rsid w:val="00A46CC5"/>
    <w:rsid w:val="00A46E34"/>
    <w:rsid w:val="00A47515"/>
    <w:rsid w:val="00A47599"/>
    <w:rsid w:val="00A47610"/>
    <w:rsid w:val="00A47822"/>
    <w:rsid w:val="00A47A79"/>
    <w:rsid w:val="00A47E53"/>
    <w:rsid w:val="00A50049"/>
    <w:rsid w:val="00A50636"/>
    <w:rsid w:val="00A50AA2"/>
    <w:rsid w:val="00A51269"/>
    <w:rsid w:val="00A515D3"/>
    <w:rsid w:val="00A51D5F"/>
    <w:rsid w:val="00A52342"/>
    <w:rsid w:val="00A5256B"/>
    <w:rsid w:val="00A52E7E"/>
    <w:rsid w:val="00A53148"/>
    <w:rsid w:val="00A5336B"/>
    <w:rsid w:val="00A5378F"/>
    <w:rsid w:val="00A53DF6"/>
    <w:rsid w:val="00A541C1"/>
    <w:rsid w:val="00A54E34"/>
    <w:rsid w:val="00A54F52"/>
    <w:rsid w:val="00A551E8"/>
    <w:rsid w:val="00A55A69"/>
    <w:rsid w:val="00A55BC2"/>
    <w:rsid w:val="00A561CA"/>
    <w:rsid w:val="00A56A11"/>
    <w:rsid w:val="00A56C08"/>
    <w:rsid w:val="00A575F8"/>
    <w:rsid w:val="00A57D11"/>
    <w:rsid w:val="00A57F45"/>
    <w:rsid w:val="00A601FD"/>
    <w:rsid w:val="00A60919"/>
    <w:rsid w:val="00A60FA6"/>
    <w:rsid w:val="00A6137A"/>
    <w:rsid w:val="00A61A47"/>
    <w:rsid w:val="00A61AB7"/>
    <w:rsid w:val="00A627CB"/>
    <w:rsid w:val="00A634AE"/>
    <w:rsid w:val="00A6356A"/>
    <w:rsid w:val="00A6371D"/>
    <w:rsid w:val="00A640D2"/>
    <w:rsid w:val="00A641FA"/>
    <w:rsid w:val="00A64303"/>
    <w:rsid w:val="00A64340"/>
    <w:rsid w:val="00A643EA"/>
    <w:rsid w:val="00A64841"/>
    <w:rsid w:val="00A6497E"/>
    <w:rsid w:val="00A6547E"/>
    <w:rsid w:val="00A65753"/>
    <w:rsid w:val="00A65DB2"/>
    <w:rsid w:val="00A666B9"/>
    <w:rsid w:val="00A66FB7"/>
    <w:rsid w:val="00A67061"/>
    <w:rsid w:val="00A675FD"/>
    <w:rsid w:val="00A67A96"/>
    <w:rsid w:val="00A67E51"/>
    <w:rsid w:val="00A7004E"/>
    <w:rsid w:val="00A70781"/>
    <w:rsid w:val="00A71524"/>
    <w:rsid w:val="00A72407"/>
    <w:rsid w:val="00A7298F"/>
    <w:rsid w:val="00A743DB"/>
    <w:rsid w:val="00A74447"/>
    <w:rsid w:val="00A74725"/>
    <w:rsid w:val="00A74B50"/>
    <w:rsid w:val="00A74BEE"/>
    <w:rsid w:val="00A74E97"/>
    <w:rsid w:val="00A7501B"/>
    <w:rsid w:val="00A75117"/>
    <w:rsid w:val="00A75438"/>
    <w:rsid w:val="00A75D42"/>
    <w:rsid w:val="00A75DC9"/>
    <w:rsid w:val="00A75DCD"/>
    <w:rsid w:val="00A76105"/>
    <w:rsid w:val="00A76528"/>
    <w:rsid w:val="00A76A98"/>
    <w:rsid w:val="00A76CC6"/>
    <w:rsid w:val="00A77418"/>
    <w:rsid w:val="00A77D26"/>
    <w:rsid w:val="00A802A9"/>
    <w:rsid w:val="00A80C55"/>
    <w:rsid w:val="00A81AF5"/>
    <w:rsid w:val="00A81F7E"/>
    <w:rsid w:val="00A82387"/>
    <w:rsid w:val="00A82817"/>
    <w:rsid w:val="00A830DC"/>
    <w:rsid w:val="00A830FC"/>
    <w:rsid w:val="00A84922"/>
    <w:rsid w:val="00A854CB"/>
    <w:rsid w:val="00A85A1D"/>
    <w:rsid w:val="00A8638B"/>
    <w:rsid w:val="00A86FEA"/>
    <w:rsid w:val="00A875E9"/>
    <w:rsid w:val="00A904AB"/>
    <w:rsid w:val="00A915EE"/>
    <w:rsid w:val="00A91DFB"/>
    <w:rsid w:val="00A91FAC"/>
    <w:rsid w:val="00A92CE3"/>
    <w:rsid w:val="00A9378D"/>
    <w:rsid w:val="00A943DE"/>
    <w:rsid w:val="00A94B34"/>
    <w:rsid w:val="00A95603"/>
    <w:rsid w:val="00A956AE"/>
    <w:rsid w:val="00A96320"/>
    <w:rsid w:val="00A96A11"/>
    <w:rsid w:val="00A96E9D"/>
    <w:rsid w:val="00A96F4A"/>
    <w:rsid w:val="00A9722C"/>
    <w:rsid w:val="00A97520"/>
    <w:rsid w:val="00AA01C8"/>
    <w:rsid w:val="00AA0226"/>
    <w:rsid w:val="00AA05BE"/>
    <w:rsid w:val="00AA0ACB"/>
    <w:rsid w:val="00AA0B80"/>
    <w:rsid w:val="00AA0C82"/>
    <w:rsid w:val="00AA0F79"/>
    <w:rsid w:val="00AA1590"/>
    <w:rsid w:val="00AA15D3"/>
    <w:rsid w:val="00AA18DA"/>
    <w:rsid w:val="00AA1B3A"/>
    <w:rsid w:val="00AA1CB3"/>
    <w:rsid w:val="00AA2528"/>
    <w:rsid w:val="00AA2A82"/>
    <w:rsid w:val="00AA32E1"/>
    <w:rsid w:val="00AA3410"/>
    <w:rsid w:val="00AA4113"/>
    <w:rsid w:val="00AA43B8"/>
    <w:rsid w:val="00AA449E"/>
    <w:rsid w:val="00AA4DEF"/>
    <w:rsid w:val="00AA5177"/>
    <w:rsid w:val="00AA5B2B"/>
    <w:rsid w:val="00AA63D2"/>
    <w:rsid w:val="00AA6648"/>
    <w:rsid w:val="00AA6A13"/>
    <w:rsid w:val="00AA6A51"/>
    <w:rsid w:val="00AA7948"/>
    <w:rsid w:val="00AA7A29"/>
    <w:rsid w:val="00AB0041"/>
    <w:rsid w:val="00AB062F"/>
    <w:rsid w:val="00AB0655"/>
    <w:rsid w:val="00AB0E5E"/>
    <w:rsid w:val="00AB0E6D"/>
    <w:rsid w:val="00AB0EB9"/>
    <w:rsid w:val="00AB1088"/>
    <w:rsid w:val="00AB1882"/>
    <w:rsid w:val="00AB1C30"/>
    <w:rsid w:val="00AB1D3D"/>
    <w:rsid w:val="00AB2040"/>
    <w:rsid w:val="00AB2DAF"/>
    <w:rsid w:val="00AB3D7E"/>
    <w:rsid w:val="00AB3E79"/>
    <w:rsid w:val="00AB4043"/>
    <w:rsid w:val="00AB459A"/>
    <w:rsid w:val="00AB4946"/>
    <w:rsid w:val="00AB4BF5"/>
    <w:rsid w:val="00AB4CC7"/>
    <w:rsid w:val="00AB4ED6"/>
    <w:rsid w:val="00AB515E"/>
    <w:rsid w:val="00AB5659"/>
    <w:rsid w:val="00AB5C19"/>
    <w:rsid w:val="00AB5EA6"/>
    <w:rsid w:val="00AB609F"/>
    <w:rsid w:val="00AB64C0"/>
    <w:rsid w:val="00AB64D6"/>
    <w:rsid w:val="00AB6527"/>
    <w:rsid w:val="00AB6772"/>
    <w:rsid w:val="00AB6972"/>
    <w:rsid w:val="00AB72BF"/>
    <w:rsid w:val="00AB7352"/>
    <w:rsid w:val="00AB74C9"/>
    <w:rsid w:val="00AB755D"/>
    <w:rsid w:val="00AB76A9"/>
    <w:rsid w:val="00AB7CB1"/>
    <w:rsid w:val="00AC062A"/>
    <w:rsid w:val="00AC1645"/>
    <w:rsid w:val="00AC1649"/>
    <w:rsid w:val="00AC1ECC"/>
    <w:rsid w:val="00AC28E4"/>
    <w:rsid w:val="00AC32B5"/>
    <w:rsid w:val="00AC3D6C"/>
    <w:rsid w:val="00AC3E04"/>
    <w:rsid w:val="00AC4343"/>
    <w:rsid w:val="00AC4E7A"/>
    <w:rsid w:val="00AC50A4"/>
    <w:rsid w:val="00AC51C7"/>
    <w:rsid w:val="00AC5734"/>
    <w:rsid w:val="00AC585B"/>
    <w:rsid w:val="00AC5BA4"/>
    <w:rsid w:val="00AC61AD"/>
    <w:rsid w:val="00AC63B7"/>
    <w:rsid w:val="00AC64EA"/>
    <w:rsid w:val="00AC6A8E"/>
    <w:rsid w:val="00AC6BAE"/>
    <w:rsid w:val="00AC7111"/>
    <w:rsid w:val="00AC7180"/>
    <w:rsid w:val="00AC7414"/>
    <w:rsid w:val="00AC74AB"/>
    <w:rsid w:val="00AC7895"/>
    <w:rsid w:val="00AC793E"/>
    <w:rsid w:val="00AC7D3A"/>
    <w:rsid w:val="00AC7E6E"/>
    <w:rsid w:val="00AC7E8A"/>
    <w:rsid w:val="00AD061B"/>
    <w:rsid w:val="00AD0625"/>
    <w:rsid w:val="00AD0AA3"/>
    <w:rsid w:val="00AD171D"/>
    <w:rsid w:val="00AD1C30"/>
    <w:rsid w:val="00AD1EDA"/>
    <w:rsid w:val="00AD21C2"/>
    <w:rsid w:val="00AD24CA"/>
    <w:rsid w:val="00AD25E8"/>
    <w:rsid w:val="00AD2AA3"/>
    <w:rsid w:val="00AD2EC0"/>
    <w:rsid w:val="00AD3048"/>
    <w:rsid w:val="00AD306F"/>
    <w:rsid w:val="00AD3115"/>
    <w:rsid w:val="00AD41A0"/>
    <w:rsid w:val="00AD42D2"/>
    <w:rsid w:val="00AD4F9A"/>
    <w:rsid w:val="00AD513B"/>
    <w:rsid w:val="00AD53D8"/>
    <w:rsid w:val="00AD553C"/>
    <w:rsid w:val="00AD575E"/>
    <w:rsid w:val="00AD5A74"/>
    <w:rsid w:val="00AD6149"/>
    <w:rsid w:val="00AD6B74"/>
    <w:rsid w:val="00AD7162"/>
    <w:rsid w:val="00AD72DC"/>
    <w:rsid w:val="00AD7366"/>
    <w:rsid w:val="00AD7DBB"/>
    <w:rsid w:val="00AD7EC3"/>
    <w:rsid w:val="00AE034F"/>
    <w:rsid w:val="00AE0862"/>
    <w:rsid w:val="00AE1028"/>
    <w:rsid w:val="00AE1BAE"/>
    <w:rsid w:val="00AE21F7"/>
    <w:rsid w:val="00AE2ABE"/>
    <w:rsid w:val="00AE3897"/>
    <w:rsid w:val="00AE4628"/>
    <w:rsid w:val="00AE4794"/>
    <w:rsid w:val="00AE4D84"/>
    <w:rsid w:val="00AE548D"/>
    <w:rsid w:val="00AE5720"/>
    <w:rsid w:val="00AE6251"/>
    <w:rsid w:val="00AE62FE"/>
    <w:rsid w:val="00AE6316"/>
    <w:rsid w:val="00AE658E"/>
    <w:rsid w:val="00AE70F0"/>
    <w:rsid w:val="00AE724F"/>
    <w:rsid w:val="00AE72B3"/>
    <w:rsid w:val="00AE755F"/>
    <w:rsid w:val="00AF03EA"/>
    <w:rsid w:val="00AF0BF4"/>
    <w:rsid w:val="00AF1602"/>
    <w:rsid w:val="00AF18F1"/>
    <w:rsid w:val="00AF1D10"/>
    <w:rsid w:val="00AF1FEC"/>
    <w:rsid w:val="00AF3BEE"/>
    <w:rsid w:val="00AF406B"/>
    <w:rsid w:val="00AF40D8"/>
    <w:rsid w:val="00AF5638"/>
    <w:rsid w:val="00AF58E5"/>
    <w:rsid w:val="00AF5DFE"/>
    <w:rsid w:val="00AF5F64"/>
    <w:rsid w:val="00AF62B5"/>
    <w:rsid w:val="00AF6483"/>
    <w:rsid w:val="00AF6523"/>
    <w:rsid w:val="00AF65E1"/>
    <w:rsid w:val="00AF7425"/>
    <w:rsid w:val="00AF7B24"/>
    <w:rsid w:val="00B00543"/>
    <w:rsid w:val="00B00713"/>
    <w:rsid w:val="00B00AEB"/>
    <w:rsid w:val="00B00EF9"/>
    <w:rsid w:val="00B01261"/>
    <w:rsid w:val="00B01618"/>
    <w:rsid w:val="00B01775"/>
    <w:rsid w:val="00B01D46"/>
    <w:rsid w:val="00B01EC0"/>
    <w:rsid w:val="00B0210E"/>
    <w:rsid w:val="00B02374"/>
    <w:rsid w:val="00B02404"/>
    <w:rsid w:val="00B02A5C"/>
    <w:rsid w:val="00B02D05"/>
    <w:rsid w:val="00B02F42"/>
    <w:rsid w:val="00B031F4"/>
    <w:rsid w:val="00B03D1A"/>
    <w:rsid w:val="00B04DA3"/>
    <w:rsid w:val="00B05157"/>
    <w:rsid w:val="00B05251"/>
    <w:rsid w:val="00B0588D"/>
    <w:rsid w:val="00B05ACA"/>
    <w:rsid w:val="00B05F4A"/>
    <w:rsid w:val="00B06167"/>
    <w:rsid w:val="00B062C4"/>
    <w:rsid w:val="00B0639B"/>
    <w:rsid w:val="00B0648F"/>
    <w:rsid w:val="00B069E5"/>
    <w:rsid w:val="00B06E11"/>
    <w:rsid w:val="00B06E1D"/>
    <w:rsid w:val="00B073C4"/>
    <w:rsid w:val="00B07857"/>
    <w:rsid w:val="00B078B0"/>
    <w:rsid w:val="00B07F19"/>
    <w:rsid w:val="00B102B7"/>
    <w:rsid w:val="00B10C6E"/>
    <w:rsid w:val="00B1100D"/>
    <w:rsid w:val="00B110CD"/>
    <w:rsid w:val="00B117BD"/>
    <w:rsid w:val="00B124BE"/>
    <w:rsid w:val="00B1273D"/>
    <w:rsid w:val="00B12B73"/>
    <w:rsid w:val="00B1334E"/>
    <w:rsid w:val="00B13E80"/>
    <w:rsid w:val="00B1447D"/>
    <w:rsid w:val="00B149B2"/>
    <w:rsid w:val="00B14A9D"/>
    <w:rsid w:val="00B151D0"/>
    <w:rsid w:val="00B152BB"/>
    <w:rsid w:val="00B1572C"/>
    <w:rsid w:val="00B15FCA"/>
    <w:rsid w:val="00B16291"/>
    <w:rsid w:val="00B16DE5"/>
    <w:rsid w:val="00B17338"/>
    <w:rsid w:val="00B20132"/>
    <w:rsid w:val="00B2019E"/>
    <w:rsid w:val="00B21053"/>
    <w:rsid w:val="00B215C1"/>
    <w:rsid w:val="00B21FD2"/>
    <w:rsid w:val="00B22064"/>
    <w:rsid w:val="00B2225F"/>
    <w:rsid w:val="00B228D1"/>
    <w:rsid w:val="00B2314A"/>
    <w:rsid w:val="00B231D5"/>
    <w:rsid w:val="00B234BA"/>
    <w:rsid w:val="00B23B0B"/>
    <w:rsid w:val="00B23D9D"/>
    <w:rsid w:val="00B23E02"/>
    <w:rsid w:val="00B2451E"/>
    <w:rsid w:val="00B249A6"/>
    <w:rsid w:val="00B24F41"/>
    <w:rsid w:val="00B2593B"/>
    <w:rsid w:val="00B2594D"/>
    <w:rsid w:val="00B25CFE"/>
    <w:rsid w:val="00B26074"/>
    <w:rsid w:val="00B26E8C"/>
    <w:rsid w:val="00B270F5"/>
    <w:rsid w:val="00B274C7"/>
    <w:rsid w:val="00B27A34"/>
    <w:rsid w:val="00B27C35"/>
    <w:rsid w:val="00B30429"/>
    <w:rsid w:val="00B307E1"/>
    <w:rsid w:val="00B30A43"/>
    <w:rsid w:val="00B30BC9"/>
    <w:rsid w:val="00B30D2C"/>
    <w:rsid w:val="00B30E0A"/>
    <w:rsid w:val="00B30E9A"/>
    <w:rsid w:val="00B31A6C"/>
    <w:rsid w:val="00B3244B"/>
    <w:rsid w:val="00B324F9"/>
    <w:rsid w:val="00B33677"/>
    <w:rsid w:val="00B33A99"/>
    <w:rsid w:val="00B33B9C"/>
    <w:rsid w:val="00B33D16"/>
    <w:rsid w:val="00B34E4F"/>
    <w:rsid w:val="00B3538C"/>
    <w:rsid w:val="00B356AE"/>
    <w:rsid w:val="00B359BD"/>
    <w:rsid w:val="00B35E7C"/>
    <w:rsid w:val="00B36132"/>
    <w:rsid w:val="00B36BC7"/>
    <w:rsid w:val="00B36F0A"/>
    <w:rsid w:val="00B373BB"/>
    <w:rsid w:val="00B37E52"/>
    <w:rsid w:val="00B402B3"/>
    <w:rsid w:val="00B406AB"/>
    <w:rsid w:val="00B4088C"/>
    <w:rsid w:val="00B409CF"/>
    <w:rsid w:val="00B40B48"/>
    <w:rsid w:val="00B410C0"/>
    <w:rsid w:val="00B41337"/>
    <w:rsid w:val="00B419F9"/>
    <w:rsid w:val="00B41A50"/>
    <w:rsid w:val="00B41AF1"/>
    <w:rsid w:val="00B42376"/>
    <w:rsid w:val="00B42D37"/>
    <w:rsid w:val="00B42E1F"/>
    <w:rsid w:val="00B43113"/>
    <w:rsid w:val="00B4381D"/>
    <w:rsid w:val="00B44891"/>
    <w:rsid w:val="00B44897"/>
    <w:rsid w:val="00B448BE"/>
    <w:rsid w:val="00B44A3F"/>
    <w:rsid w:val="00B4552C"/>
    <w:rsid w:val="00B45B95"/>
    <w:rsid w:val="00B465B5"/>
    <w:rsid w:val="00B466C4"/>
    <w:rsid w:val="00B479DD"/>
    <w:rsid w:val="00B47B10"/>
    <w:rsid w:val="00B47F19"/>
    <w:rsid w:val="00B5066D"/>
    <w:rsid w:val="00B50815"/>
    <w:rsid w:val="00B5095B"/>
    <w:rsid w:val="00B50DF0"/>
    <w:rsid w:val="00B50F76"/>
    <w:rsid w:val="00B5104D"/>
    <w:rsid w:val="00B51536"/>
    <w:rsid w:val="00B51648"/>
    <w:rsid w:val="00B51957"/>
    <w:rsid w:val="00B51FF7"/>
    <w:rsid w:val="00B52111"/>
    <w:rsid w:val="00B52382"/>
    <w:rsid w:val="00B52A2E"/>
    <w:rsid w:val="00B530AA"/>
    <w:rsid w:val="00B5311D"/>
    <w:rsid w:val="00B5312D"/>
    <w:rsid w:val="00B531A1"/>
    <w:rsid w:val="00B536B0"/>
    <w:rsid w:val="00B537C8"/>
    <w:rsid w:val="00B53D24"/>
    <w:rsid w:val="00B53D48"/>
    <w:rsid w:val="00B544EE"/>
    <w:rsid w:val="00B54C43"/>
    <w:rsid w:val="00B55149"/>
    <w:rsid w:val="00B555F5"/>
    <w:rsid w:val="00B55976"/>
    <w:rsid w:val="00B55D05"/>
    <w:rsid w:val="00B56304"/>
    <w:rsid w:val="00B56424"/>
    <w:rsid w:val="00B56655"/>
    <w:rsid w:val="00B571FE"/>
    <w:rsid w:val="00B57242"/>
    <w:rsid w:val="00B575ED"/>
    <w:rsid w:val="00B57BED"/>
    <w:rsid w:val="00B57FB0"/>
    <w:rsid w:val="00B60091"/>
    <w:rsid w:val="00B60139"/>
    <w:rsid w:val="00B60742"/>
    <w:rsid w:val="00B60C56"/>
    <w:rsid w:val="00B61E35"/>
    <w:rsid w:val="00B62161"/>
    <w:rsid w:val="00B622E0"/>
    <w:rsid w:val="00B62518"/>
    <w:rsid w:val="00B626B2"/>
    <w:rsid w:val="00B62EF4"/>
    <w:rsid w:val="00B62FB4"/>
    <w:rsid w:val="00B6308A"/>
    <w:rsid w:val="00B63399"/>
    <w:rsid w:val="00B6369E"/>
    <w:rsid w:val="00B63936"/>
    <w:rsid w:val="00B63DAE"/>
    <w:rsid w:val="00B63E03"/>
    <w:rsid w:val="00B64129"/>
    <w:rsid w:val="00B64492"/>
    <w:rsid w:val="00B64524"/>
    <w:rsid w:val="00B6485F"/>
    <w:rsid w:val="00B64A2F"/>
    <w:rsid w:val="00B64B20"/>
    <w:rsid w:val="00B64FE1"/>
    <w:rsid w:val="00B651DD"/>
    <w:rsid w:val="00B65763"/>
    <w:rsid w:val="00B66683"/>
    <w:rsid w:val="00B67581"/>
    <w:rsid w:val="00B67C32"/>
    <w:rsid w:val="00B67ECB"/>
    <w:rsid w:val="00B67F5C"/>
    <w:rsid w:val="00B67F8E"/>
    <w:rsid w:val="00B7002B"/>
    <w:rsid w:val="00B708C3"/>
    <w:rsid w:val="00B70D2D"/>
    <w:rsid w:val="00B70EF4"/>
    <w:rsid w:val="00B71461"/>
    <w:rsid w:val="00B714CF"/>
    <w:rsid w:val="00B72277"/>
    <w:rsid w:val="00B7232D"/>
    <w:rsid w:val="00B723EC"/>
    <w:rsid w:val="00B7247B"/>
    <w:rsid w:val="00B72739"/>
    <w:rsid w:val="00B72ACB"/>
    <w:rsid w:val="00B72C58"/>
    <w:rsid w:val="00B744A4"/>
    <w:rsid w:val="00B746EF"/>
    <w:rsid w:val="00B7478F"/>
    <w:rsid w:val="00B74C13"/>
    <w:rsid w:val="00B74D12"/>
    <w:rsid w:val="00B75087"/>
    <w:rsid w:val="00B75336"/>
    <w:rsid w:val="00B75669"/>
    <w:rsid w:val="00B75850"/>
    <w:rsid w:val="00B75A49"/>
    <w:rsid w:val="00B75C09"/>
    <w:rsid w:val="00B75D1A"/>
    <w:rsid w:val="00B75F13"/>
    <w:rsid w:val="00B75F42"/>
    <w:rsid w:val="00B76367"/>
    <w:rsid w:val="00B764B1"/>
    <w:rsid w:val="00B76AD4"/>
    <w:rsid w:val="00B76F87"/>
    <w:rsid w:val="00B77B7D"/>
    <w:rsid w:val="00B77BF4"/>
    <w:rsid w:val="00B80684"/>
    <w:rsid w:val="00B808A5"/>
    <w:rsid w:val="00B80D43"/>
    <w:rsid w:val="00B813AA"/>
    <w:rsid w:val="00B815BC"/>
    <w:rsid w:val="00B81BF9"/>
    <w:rsid w:val="00B8230B"/>
    <w:rsid w:val="00B82C8B"/>
    <w:rsid w:val="00B82E01"/>
    <w:rsid w:val="00B8346C"/>
    <w:rsid w:val="00B834A5"/>
    <w:rsid w:val="00B83821"/>
    <w:rsid w:val="00B83EF4"/>
    <w:rsid w:val="00B8459E"/>
    <w:rsid w:val="00B84669"/>
    <w:rsid w:val="00B8493C"/>
    <w:rsid w:val="00B854C0"/>
    <w:rsid w:val="00B85614"/>
    <w:rsid w:val="00B8588F"/>
    <w:rsid w:val="00B85C35"/>
    <w:rsid w:val="00B85F1E"/>
    <w:rsid w:val="00B86317"/>
    <w:rsid w:val="00B866B7"/>
    <w:rsid w:val="00B866F3"/>
    <w:rsid w:val="00B86C4B"/>
    <w:rsid w:val="00B86FDE"/>
    <w:rsid w:val="00B870B1"/>
    <w:rsid w:val="00B871A8"/>
    <w:rsid w:val="00B8725F"/>
    <w:rsid w:val="00B9046F"/>
    <w:rsid w:val="00B905E2"/>
    <w:rsid w:val="00B9094E"/>
    <w:rsid w:val="00B90A70"/>
    <w:rsid w:val="00B91AA9"/>
    <w:rsid w:val="00B9255C"/>
    <w:rsid w:val="00B92629"/>
    <w:rsid w:val="00B93416"/>
    <w:rsid w:val="00B93FEB"/>
    <w:rsid w:val="00B9492F"/>
    <w:rsid w:val="00B94BF4"/>
    <w:rsid w:val="00B94CF0"/>
    <w:rsid w:val="00B95337"/>
    <w:rsid w:val="00B95476"/>
    <w:rsid w:val="00B96C17"/>
    <w:rsid w:val="00B97267"/>
    <w:rsid w:val="00B9778B"/>
    <w:rsid w:val="00B97861"/>
    <w:rsid w:val="00B97BA7"/>
    <w:rsid w:val="00B97D41"/>
    <w:rsid w:val="00BA0548"/>
    <w:rsid w:val="00BA078D"/>
    <w:rsid w:val="00BA0909"/>
    <w:rsid w:val="00BA0B7E"/>
    <w:rsid w:val="00BA0BA3"/>
    <w:rsid w:val="00BA0F52"/>
    <w:rsid w:val="00BA1204"/>
    <w:rsid w:val="00BA1462"/>
    <w:rsid w:val="00BA1ACB"/>
    <w:rsid w:val="00BA1D2D"/>
    <w:rsid w:val="00BA235E"/>
    <w:rsid w:val="00BA238B"/>
    <w:rsid w:val="00BA2A04"/>
    <w:rsid w:val="00BA2D3E"/>
    <w:rsid w:val="00BA4358"/>
    <w:rsid w:val="00BA499F"/>
    <w:rsid w:val="00BA4C4E"/>
    <w:rsid w:val="00BA52BF"/>
    <w:rsid w:val="00BA52CD"/>
    <w:rsid w:val="00BA5810"/>
    <w:rsid w:val="00BA5BF5"/>
    <w:rsid w:val="00BA5C51"/>
    <w:rsid w:val="00BA6314"/>
    <w:rsid w:val="00BA6323"/>
    <w:rsid w:val="00BA6613"/>
    <w:rsid w:val="00BA708E"/>
    <w:rsid w:val="00BA7612"/>
    <w:rsid w:val="00BB02AF"/>
    <w:rsid w:val="00BB149A"/>
    <w:rsid w:val="00BB306C"/>
    <w:rsid w:val="00BB3180"/>
    <w:rsid w:val="00BB3329"/>
    <w:rsid w:val="00BB34DD"/>
    <w:rsid w:val="00BB376A"/>
    <w:rsid w:val="00BB37FD"/>
    <w:rsid w:val="00BB3D46"/>
    <w:rsid w:val="00BB441B"/>
    <w:rsid w:val="00BB4437"/>
    <w:rsid w:val="00BB4C03"/>
    <w:rsid w:val="00BB4CF2"/>
    <w:rsid w:val="00BB596C"/>
    <w:rsid w:val="00BB64A2"/>
    <w:rsid w:val="00BB672D"/>
    <w:rsid w:val="00BB6EB2"/>
    <w:rsid w:val="00BB75E2"/>
    <w:rsid w:val="00BB7736"/>
    <w:rsid w:val="00BB775D"/>
    <w:rsid w:val="00BB7D6B"/>
    <w:rsid w:val="00BB7E36"/>
    <w:rsid w:val="00BB7EB7"/>
    <w:rsid w:val="00BB7FDC"/>
    <w:rsid w:val="00BC037F"/>
    <w:rsid w:val="00BC109C"/>
    <w:rsid w:val="00BC1468"/>
    <w:rsid w:val="00BC161C"/>
    <w:rsid w:val="00BC2BC0"/>
    <w:rsid w:val="00BC2FE0"/>
    <w:rsid w:val="00BC30A4"/>
    <w:rsid w:val="00BC3256"/>
    <w:rsid w:val="00BC329A"/>
    <w:rsid w:val="00BC3827"/>
    <w:rsid w:val="00BC4D11"/>
    <w:rsid w:val="00BC4EE0"/>
    <w:rsid w:val="00BC5381"/>
    <w:rsid w:val="00BC5C1B"/>
    <w:rsid w:val="00BC5D9A"/>
    <w:rsid w:val="00BC6616"/>
    <w:rsid w:val="00BC6827"/>
    <w:rsid w:val="00BC6B63"/>
    <w:rsid w:val="00BC7455"/>
    <w:rsid w:val="00BC78DD"/>
    <w:rsid w:val="00BC797D"/>
    <w:rsid w:val="00BD0147"/>
    <w:rsid w:val="00BD029D"/>
    <w:rsid w:val="00BD03A5"/>
    <w:rsid w:val="00BD0AB2"/>
    <w:rsid w:val="00BD0C92"/>
    <w:rsid w:val="00BD15F8"/>
    <w:rsid w:val="00BD1B8D"/>
    <w:rsid w:val="00BD2CFE"/>
    <w:rsid w:val="00BD31DB"/>
    <w:rsid w:val="00BD33EB"/>
    <w:rsid w:val="00BD385B"/>
    <w:rsid w:val="00BD3D41"/>
    <w:rsid w:val="00BD4219"/>
    <w:rsid w:val="00BD432D"/>
    <w:rsid w:val="00BD45E9"/>
    <w:rsid w:val="00BD47B4"/>
    <w:rsid w:val="00BD4FDF"/>
    <w:rsid w:val="00BD54C0"/>
    <w:rsid w:val="00BD59AE"/>
    <w:rsid w:val="00BD5D99"/>
    <w:rsid w:val="00BD5E03"/>
    <w:rsid w:val="00BD61F8"/>
    <w:rsid w:val="00BD66B0"/>
    <w:rsid w:val="00BD6AF2"/>
    <w:rsid w:val="00BD778D"/>
    <w:rsid w:val="00BD7FBD"/>
    <w:rsid w:val="00BE045A"/>
    <w:rsid w:val="00BE05F0"/>
    <w:rsid w:val="00BE0808"/>
    <w:rsid w:val="00BE0D2C"/>
    <w:rsid w:val="00BE114F"/>
    <w:rsid w:val="00BE1593"/>
    <w:rsid w:val="00BE1B57"/>
    <w:rsid w:val="00BE23BD"/>
    <w:rsid w:val="00BE285F"/>
    <w:rsid w:val="00BE2B0C"/>
    <w:rsid w:val="00BE2C84"/>
    <w:rsid w:val="00BE2D21"/>
    <w:rsid w:val="00BE36FD"/>
    <w:rsid w:val="00BE3832"/>
    <w:rsid w:val="00BE3A23"/>
    <w:rsid w:val="00BE4188"/>
    <w:rsid w:val="00BE4ADF"/>
    <w:rsid w:val="00BE4DE0"/>
    <w:rsid w:val="00BE4FDB"/>
    <w:rsid w:val="00BE54EA"/>
    <w:rsid w:val="00BE593A"/>
    <w:rsid w:val="00BE59D9"/>
    <w:rsid w:val="00BE5CAA"/>
    <w:rsid w:val="00BE6507"/>
    <w:rsid w:val="00BE698A"/>
    <w:rsid w:val="00BE6B6B"/>
    <w:rsid w:val="00BE7127"/>
    <w:rsid w:val="00BE71E6"/>
    <w:rsid w:val="00BE73F3"/>
    <w:rsid w:val="00BE7CF6"/>
    <w:rsid w:val="00BF0834"/>
    <w:rsid w:val="00BF0EF2"/>
    <w:rsid w:val="00BF1460"/>
    <w:rsid w:val="00BF1720"/>
    <w:rsid w:val="00BF17C0"/>
    <w:rsid w:val="00BF1B5A"/>
    <w:rsid w:val="00BF1D7D"/>
    <w:rsid w:val="00BF2718"/>
    <w:rsid w:val="00BF2F10"/>
    <w:rsid w:val="00BF32E7"/>
    <w:rsid w:val="00BF3F31"/>
    <w:rsid w:val="00BF3FEE"/>
    <w:rsid w:val="00BF4749"/>
    <w:rsid w:val="00BF47A9"/>
    <w:rsid w:val="00BF4E12"/>
    <w:rsid w:val="00BF4E8E"/>
    <w:rsid w:val="00BF4FF5"/>
    <w:rsid w:val="00BF5D74"/>
    <w:rsid w:val="00BF60E8"/>
    <w:rsid w:val="00BF650A"/>
    <w:rsid w:val="00BF683A"/>
    <w:rsid w:val="00BF686D"/>
    <w:rsid w:val="00BF6A17"/>
    <w:rsid w:val="00BF7154"/>
    <w:rsid w:val="00BF7772"/>
    <w:rsid w:val="00BF7A19"/>
    <w:rsid w:val="00BF7D2E"/>
    <w:rsid w:val="00BF7DFB"/>
    <w:rsid w:val="00C00401"/>
    <w:rsid w:val="00C013BC"/>
    <w:rsid w:val="00C022D3"/>
    <w:rsid w:val="00C022DF"/>
    <w:rsid w:val="00C02C4B"/>
    <w:rsid w:val="00C02E4A"/>
    <w:rsid w:val="00C03049"/>
    <w:rsid w:val="00C037A5"/>
    <w:rsid w:val="00C04630"/>
    <w:rsid w:val="00C050D7"/>
    <w:rsid w:val="00C05364"/>
    <w:rsid w:val="00C0541A"/>
    <w:rsid w:val="00C05B22"/>
    <w:rsid w:val="00C06370"/>
    <w:rsid w:val="00C065F1"/>
    <w:rsid w:val="00C06B52"/>
    <w:rsid w:val="00C073B3"/>
    <w:rsid w:val="00C07824"/>
    <w:rsid w:val="00C078AF"/>
    <w:rsid w:val="00C07C20"/>
    <w:rsid w:val="00C07DE6"/>
    <w:rsid w:val="00C07F85"/>
    <w:rsid w:val="00C1004C"/>
    <w:rsid w:val="00C10897"/>
    <w:rsid w:val="00C10A15"/>
    <w:rsid w:val="00C110D1"/>
    <w:rsid w:val="00C11BBA"/>
    <w:rsid w:val="00C12389"/>
    <w:rsid w:val="00C12F62"/>
    <w:rsid w:val="00C137A1"/>
    <w:rsid w:val="00C1382D"/>
    <w:rsid w:val="00C140EA"/>
    <w:rsid w:val="00C14262"/>
    <w:rsid w:val="00C14793"/>
    <w:rsid w:val="00C14867"/>
    <w:rsid w:val="00C14953"/>
    <w:rsid w:val="00C14FA5"/>
    <w:rsid w:val="00C15999"/>
    <w:rsid w:val="00C15FCB"/>
    <w:rsid w:val="00C2036C"/>
    <w:rsid w:val="00C20AA2"/>
    <w:rsid w:val="00C21224"/>
    <w:rsid w:val="00C21AD0"/>
    <w:rsid w:val="00C220C5"/>
    <w:rsid w:val="00C22404"/>
    <w:rsid w:val="00C230D2"/>
    <w:rsid w:val="00C2368A"/>
    <w:rsid w:val="00C23839"/>
    <w:rsid w:val="00C24135"/>
    <w:rsid w:val="00C247C2"/>
    <w:rsid w:val="00C24833"/>
    <w:rsid w:val="00C248C3"/>
    <w:rsid w:val="00C249C8"/>
    <w:rsid w:val="00C24DB9"/>
    <w:rsid w:val="00C255DC"/>
    <w:rsid w:val="00C25756"/>
    <w:rsid w:val="00C25D21"/>
    <w:rsid w:val="00C2623A"/>
    <w:rsid w:val="00C264DA"/>
    <w:rsid w:val="00C2683F"/>
    <w:rsid w:val="00C26953"/>
    <w:rsid w:val="00C27196"/>
    <w:rsid w:val="00C27AAF"/>
    <w:rsid w:val="00C27BF1"/>
    <w:rsid w:val="00C30F46"/>
    <w:rsid w:val="00C31BEF"/>
    <w:rsid w:val="00C31C38"/>
    <w:rsid w:val="00C31DF1"/>
    <w:rsid w:val="00C3254B"/>
    <w:rsid w:val="00C32741"/>
    <w:rsid w:val="00C32E5F"/>
    <w:rsid w:val="00C338EC"/>
    <w:rsid w:val="00C33C70"/>
    <w:rsid w:val="00C33DDF"/>
    <w:rsid w:val="00C34143"/>
    <w:rsid w:val="00C342A2"/>
    <w:rsid w:val="00C34758"/>
    <w:rsid w:val="00C34E97"/>
    <w:rsid w:val="00C35155"/>
    <w:rsid w:val="00C35AB4"/>
    <w:rsid w:val="00C35F65"/>
    <w:rsid w:val="00C36588"/>
    <w:rsid w:val="00C36602"/>
    <w:rsid w:val="00C36C87"/>
    <w:rsid w:val="00C37863"/>
    <w:rsid w:val="00C37E50"/>
    <w:rsid w:val="00C40736"/>
    <w:rsid w:val="00C40B0C"/>
    <w:rsid w:val="00C40E21"/>
    <w:rsid w:val="00C421F1"/>
    <w:rsid w:val="00C426AA"/>
    <w:rsid w:val="00C42E6D"/>
    <w:rsid w:val="00C42EA1"/>
    <w:rsid w:val="00C42F9F"/>
    <w:rsid w:val="00C43398"/>
    <w:rsid w:val="00C43519"/>
    <w:rsid w:val="00C43780"/>
    <w:rsid w:val="00C4392E"/>
    <w:rsid w:val="00C43C47"/>
    <w:rsid w:val="00C44001"/>
    <w:rsid w:val="00C448F3"/>
    <w:rsid w:val="00C449A4"/>
    <w:rsid w:val="00C45030"/>
    <w:rsid w:val="00C453DF"/>
    <w:rsid w:val="00C4544C"/>
    <w:rsid w:val="00C46BE9"/>
    <w:rsid w:val="00C471C3"/>
    <w:rsid w:val="00C47E0C"/>
    <w:rsid w:val="00C51487"/>
    <w:rsid w:val="00C516FF"/>
    <w:rsid w:val="00C5182F"/>
    <w:rsid w:val="00C51CDD"/>
    <w:rsid w:val="00C523F8"/>
    <w:rsid w:val="00C527E1"/>
    <w:rsid w:val="00C535B1"/>
    <w:rsid w:val="00C538B5"/>
    <w:rsid w:val="00C539FA"/>
    <w:rsid w:val="00C53D76"/>
    <w:rsid w:val="00C54D21"/>
    <w:rsid w:val="00C54F5D"/>
    <w:rsid w:val="00C551EE"/>
    <w:rsid w:val="00C55CB4"/>
    <w:rsid w:val="00C5617F"/>
    <w:rsid w:val="00C562BE"/>
    <w:rsid w:val="00C56E22"/>
    <w:rsid w:val="00C573B1"/>
    <w:rsid w:val="00C57DF3"/>
    <w:rsid w:val="00C6005B"/>
    <w:rsid w:val="00C605C0"/>
    <w:rsid w:val="00C60753"/>
    <w:rsid w:val="00C61447"/>
    <w:rsid w:val="00C61C96"/>
    <w:rsid w:val="00C620F6"/>
    <w:rsid w:val="00C624B6"/>
    <w:rsid w:val="00C64311"/>
    <w:rsid w:val="00C64321"/>
    <w:rsid w:val="00C6432F"/>
    <w:rsid w:val="00C64768"/>
    <w:rsid w:val="00C64838"/>
    <w:rsid w:val="00C64A10"/>
    <w:rsid w:val="00C65362"/>
    <w:rsid w:val="00C653A3"/>
    <w:rsid w:val="00C65FC4"/>
    <w:rsid w:val="00C660E1"/>
    <w:rsid w:val="00C66187"/>
    <w:rsid w:val="00C666BE"/>
    <w:rsid w:val="00C66EBA"/>
    <w:rsid w:val="00C676D0"/>
    <w:rsid w:val="00C67E1E"/>
    <w:rsid w:val="00C702CE"/>
    <w:rsid w:val="00C70CA5"/>
    <w:rsid w:val="00C71BC6"/>
    <w:rsid w:val="00C71DD9"/>
    <w:rsid w:val="00C7200A"/>
    <w:rsid w:val="00C7274B"/>
    <w:rsid w:val="00C72898"/>
    <w:rsid w:val="00C72C2C"/>
    <w:rsid w:val="00C72F3E"/>
    <w:rsid w:val="00C738FE"/>
    <w:rsid w:val="00C741B5"/>
    <w:rsid w:val="00C7428E"/>
    <w:rsid w:val="00C747AB"/>
    <w:rsid w:val="00C752BF"/>
    <w:rsid w:val="00C753A8"/>
    <w:rsid w:val="00C757EC"/>
    <w:rsid w:val="00C75A69"/>
    <w:rsid w:val="00C75BC4"/>
    <w:rsid w:val="00C75E50"/>
    <w:rsid w:val="00C75F57"/>
    <w:rsid w:val="00C77399"/>
    <w:rsid w:val="00C77501"/>
    <w:rsid w:val="00C8034B"/>
    <w:rsid w:val="00C804D5"/>
    <w:rsid w:val="00C8096C"/>
    <w:rsid w:val="00C80D65"/>
    <w:rsid w:val="00C8116B"/>
    <w:rsid w:val="00C813B0"/>
    <w:rsid w:val="00C815BA"/>
    <w:rsid w:val="00C816F4"/>
    <w:rsid w:val="00C817CB"/>
    <w:rsid w:val="00C81C01"/>
    <w:rsid w:val="00C81C86"/>
    <w:rsid w:val="00C82168"/>
    <w:rsid w:val="00C82520"/>
    <w:rsid w:val="00C82A23"/>
    <w:rsid w:val="00C82A55"/>
    <w:rsid w:val="00C83728"/>
    <w:rsid w:val="00C83785"/>
    <w:rsid w:val="00C8395D"/>
    <w:rsid w:val="00C83A19"/>
    <w:rsid w:val="00C83B3E"/>
    <w:rsid w:val="00C84600"/>
    <w:rsid w:val="00C846C1"/>
    <w:rsid w:val="00C84AAC"/>
    <w:rsid w:val="00C85560"/>
    <w:rsid w:val="00C85625"/>
    <w:rsid w:val="00C857A7"/>
    <w:rsid w:val="00C85DD2"/>
    <w:rsid w:val="00C863A6"/>
    <w:rsid w:val="00C86689"/>
    <w:rsid w:val="00C8677F"/>
    <w:rsid w:val="00C86A58"/>
    <w:rsid w:val="00C8743B"/>
    <w:rsid w:val="00C8774D"/>
    <w:rsid w:val="00C8782A"/>
    <w:rsid w:val="00C87AC0"/>
    <w:rsid w:val="00C90F4D"/>
    <w:rsid w:val="00C91353"/>
    <w:rsid w:val="00C914AE"/>
    <w:rsid w:val="00C91A29"/>
    <w:rsid w:val="00C91F51"/>
    <w:rsid w:val="00C91F88"/>
    <w:rsid w:val="00C92395"/>
    <w:rsid w:val="00C92974"/>
    <w:rsid w:val="00C92A5F"/>
    <w:rsid w:val="00C92BA9"/>
    <w:rsid w:val="00C92E4A"/>
    <w:rsid w:val="00C92E87"/>
    <w:rsid w:val="00C93277"/>
    <w:rsid w:val="00C941E3"/>
    <w:rsid w:val="00C94CE2"/>
    <w:rsid w:val="00C95A11"/>
    <w:rsid w:val="00C95C03"/>
    <w:rsid w:val="00C95DF6"/>
    <w:rsid w:val="00C9654D"/>
    <w:rsid w:val="00C9729C"/>
    <w:rsid w:val="00C9733C"/>
    <w:rsid w:val="00C97701"/>
    <w:rsid w:val="00C97824"/>
    <w:rsid w:val="00C97DA4"/>
    <w:rsid w:val="00C97EDB"/>
    <w:rsid w:val="00CA046F"/>
    <w:rsid w:val="00CA0555"/>
    <w:rsid w:val="00CA0711"/>
    <w:rsid w:val="00CA0ED3"/>
    <w:rsid w:val="00CA119A"/>
    <w:rsid w:val="00CA1535"/>
    <w:rsid w:val="00CA164E"/>
    <w:rsid w:val="00CA1CF8"/>
    <w:rsid w:val="00CA2603"/>
    <w:rsid w:val="00CA2ABB"/>
    <w:rsid w:val="00CA2FC9"/>
    <w:rsid w:val="00CA3003"/>
    <w:rsid w:val="00CA3C32"/>
    <w:rsid w:val="00CA3D9D"/>
    <w:rsid w:val="00CA3E83"/>
    <w:rsid w:val="00CA3F52"/>
    <w:rsid w:val="00CA417C"/>
    <w:rsid w:val="00CA42F8"/>
    <w:rsid w:val="00CA43FE"/>
    <w:rsid w:val="00CA4F3B"/>
    <w:rsid w:val="00CA5B79"/>
    <w:rsid w:val="00CA5CE2"/>
    <w:rsid w:val="00CA6196"/>
    <w:rsid w:val="00CA6358"/>
    <w:rsid w:val="00CA6490"/>
    <w:rsid w:val="00CA7006"/>
    <w:rsid w:val="00CA7894"/>
    <w:rsid w:val="00CA7F7E"/>
    <w:rsid w:val="00CB00E8"/>
    <w:rsid w:val="00CB01A3"/>
    <w:rsid w:val="00CB057C"/>
    <w:rsid w:val="00CB1733"/>
    <w:rsid w:val="00CB1833"/>
    <w:rsid w:val="00CB1BB8"/>
    <w:rsid w:val="00CB1FDD"/>
    <w:rsid w:val="00CB2905"/>
    <w:rsid w:val="00CB31DC"/>
    <w:rsid w:val="00CB37FE"/>
    <w:rsid w:val="00CB3F06"/>
    <w:rsid w:val="00CB422E"/>
    <w:rsid w:val="00CB46FF"/>
    <w:rsid w:val="00CB4E74"/>
    <w:rsid w:val="00CB55A7"/>
    <w:rsid w:val="00CB5EA2"/>
    <w:rsid w:val="00CB630C"/>
    <w:rsid w:val="00CB67B8"/>
    <w:rsid w:val="00CB6A00"/>
    <w:rsid w:val="00CB6F10"/>
    <w:rsid w:val="00CB7052"/>
    <w:rsid w:val="00CB72E7"/>
    <w:rsid w:val="00CB7AD8"/>
    <w:rsid w:val="00CB7C1C"/>
    <w:rsid w:val="00CC0420"/>
    <w:rsid w:val="00CC0559"/>
    <w:rsid w:val="00CC0612"/>
    <w:rsid w:val="00CC0BF9"/>
    <w:rsid w:val="00CC12D2"/>
    <w:rsid w:val="00CC1CA2"/>
    <w:rsid w:val="00CC1CF9"/>
    <w:rsid w:val="00CC1EC8"/>
    <w:rsid w:val="00CC27DB"/>
    <w:rsid w:val="00CC30D7"/>
    <w:rsid w:val="00CC3556"/>
    <w:rsid w:val="00CC3DEA"/>
    <w:rsid w:val="00CC424D"/>
    <w:rsid w:val="00CC440F"/>
    <w:rsid w:val="00CC47F2"/>
    <w:rsid w:val="00CC4848"/>
    <w:rsid w:val="00CC48B4"/>
    <w:rsid w:val="00CC4D82"/>
    <w:rsid w:val="00CC58A6"/>
    <w:rsid w:val="00CC5B15"/>
    <w:rsid w:val="00CC7C29"/>
    <w:rsid w:val="00CC7DBF"/>
    <w:rsid w:val="00CD0267"/>
    <w:rsid w:val="00CD0646"/>
    <w:rsid w:val="00CD0A6A"/>
    <w:rsid w:val="00CD0A86"/>
    <w:rsid w:val="00CD124A"/>
    <w:rsid w:val="00CD164A"/>
    <w:rsid w:val="00CD1724"/>
    <w:rsid w:val="00CD1F70"/>
    <w:rsid w:val="00CD26A5"/>
    <w:rsid w:val="00CD2A86"/>
    <w:rsid w:val="00CD350A"/>
    <w:rsid w:val="00CD353C"/>
    <w:rsid w:val="00CD3AA7"/>
    <w:rsid w:val="00CD3FB0"/>
    <w:rsid w:val="00CD42B1"/>
    <w:rsid w:val="00CD42E7"/>
    <w:rsid w:val="00CD46B1"/>
    <w:rsid w:val="00CD476C"/>
    <w:rsid w:val="00CD54D3"/>
    <w:rsid w:val="00CD612B"/>
    <w:rsid w:val="00CD699D"/>
    <w:rsid w:val="00CD70FC"/>
    <w:rsid w:val="00CD7B07"/>
    <w:rsid w:val="00CD7EA6"/>
    <w:rsid w:val="00CD7EF3"/>
    <w:rsid w:val="00CE0096"/>
    <w:rsid w:val="00CE09D1"/>
    <w:rsid w:val="00CE0AFC"/>
    <w:rsid w:val="00CE12A8"/>
    <w:rsid w:val="00CE12D7"/>
    <w:rsid w:val="00CE14BC"/>
    <w:rsid w:val="00CE186F"/>
    <w:rsid w:val="00CE1DA3"/>
    <w:rsid w:val="00CE2E3A"/>
    <w:rsid w:val="00CE2F31"/>
    <w:rsid w:val="00CE2FFF"/>
    <w:rsid w:val="00CE3728"/>
    <w:rsid w:val="00CE414C"/>
    <w:rsid w:val="00CE4263"/>
    <w:rsid w:val="00CE4266"/>
    <w:rsid w:val="00CE4467"/>
    <w:rsid w:val="00CE4485"/>
    <w:rsid w:val="00CE45F7"/>
    <w:rsid w:val="00CE4680"/>
    <w:rsid w:val="00CE496A"/>
    <w:rsid w:val="00CE4A24"/>
    <w:rsid w:val="00CE5559"/>
    <w:rsid w:val="00CE5C5A"/>
    <w:rsid w:val="00CE5CF8"/>
    <w:rsid w:val="00CE5E45"/>
    <w:rsid w:val="00CE5F2E"/>
    <w:rsid w:val="00CE6686"/>
    <w:rsid w:val="00CE66D0"/>
    <w:rsid w:val="00CE6973"/>
    <w:rsid w:val="00CE720B"/>
    <w:rsid w:val="00CE73FA"/>
    <w:rsid w:val="00CE74FF"/>
    <w:rsid w:val="00CE7530"/>
    <w:rsid w:val="00CE7805"/>
    <w:rsid w:val="00CE7D7D"/>
    <w:rsid w:val="00CE7DBF"/>
    <w:rsid w:val="00CE7DDD"/>
    <w:rsid w:val="00CE7E0A"/>
    <w:rsid w:val="00CF0576"/>
    <w:rsid w:val="00CF061F"/>
    <w:rsid w:val="00CF0646"/>
    <w:rsid w:val="00CF0A51"/>
    <w:rsid w:val="00CF0BC1"/>
    <w:rsid w:val="00CF1589"/>
    <w:rsid w:val="00CF16CD"/>
    <w:rsid w:val="00CF1E9D"/>
    <w:rsid w:val="00CF20CF"/>
    <w:rsid w:val="00CF22FD"/>
    <w:rsid w:val="00CF26DE"/>
    <w:rsid w:val="00CF277F"/>
    <w:rsid w:val="00CF2F2D"/>
    <w:rsid w:val="00CF44C9"/>
    <w:rsid w:val="00CF5D6A"/>
    <w:rsid w:val="00CF5E7D"/>
    <w:rsid w:val="00CF636C"/>
    <w:rsid w:val="00CF6531"/>
    <w:rsid w:val="00CF6543"/>
    <w:rsid w:val="00CF6D1D"/>
    <w:rsid w:val="00CF7464"/>
    <w:rsid w:val="00CF7770"/>
    <w:rsid w:val="00CF7842"/>
    <w:rsid w:val="00CF79AB"/>
    <w:rsid w:val="00D00322"/>
    <w:rsid w:val="00D005AE"/>
    <w:rsid w:val="00D011A0"/>
    <w:rsid w:val="00D0138F"/>
    <w:rsid w:val="00D01DE0"/>
    <w:rsid w:val="00D01F7E"/>
    <w:rsid w:val="00D022DE"/>
    <w:rsid w:val="00D02426"/>
    <w:rsid w:val="00D02475"/>
    <w:rsid w:val="00D02669"/>
    <w:rsid w:val="00D03069"/>
    <w:rsid w:val="00D03340"/>
    <w:rsid w:val="00D034EC"/>
    <w:rsid w:val="00D0488B"/>
    <w:rsid w:val="00D04A4F"/>
    <w:rsid w:val="00D04AA5"/>
    <w:rsid w:val="00D04C7A"/>
    <w:rsid w:val="00D0576A"/>
    <w:rsid w:val="00D05AEF"/>
    <w:rsid w:val="00D05B70"/>
    <w:rsid w:val="00D063F0"/>
    <w:rsid w:val="00D071C2"/>
    <w:rsid w:val="00D0736C"/>
    <w:rsid w:val="00D07B01"/>
    <w:rsid w:val="00D07DF6"/>
    <w:rsid w:val="00D07EB2"/>
    <w:rsid w:val="00D10568"/>
    <w:rsid w:val="00D1095D"/>
    <w:rsid w:val="00D10D6F"/>
    <w:rsid w:val="00D10DE7"/>
    <w:rsid w:val="00D11176"/>
    <w:rsid w:val="00D11A5F"/>
    <w:rsid w:val="00D122BE"/>
    <w:rsid w:val="00D13803"/>
    <w:rsid w:val="00D13FBA"/>
    <w:rsid w:val="00D1451A"/>
    <w:rsid w:val="00D14FA7"/>
    <w:rsid w:val="00D15CD1"/>
    <w:rsid w:val="00D15D56"/>
    <w:rsid w:val="00D15DFF"/>
    <w:rsid w:val="00D162CD"/>
    <w:rsid w:val="00D16548"/>
    <w:rsid w:val="00D16553"/>
    <w:rsid w:val="00D1656E"/>
    <w:rsid w:val="00D166B7"/>
    <w:rsid w:val="00D16B8C"/>
    <w:rsid w:val="00D16CD3"/>
    <w:rsid w:val="00D17433"/>
    <w:rsid w:val="00D17DCE"/>
    <w:rsid w:val="00D202D8"/>
    <w:rsid w:val="00D2089B"/>
    <w:rsid w:val="00D209CA"/>
    <w:rsid w:val="00D21320"/>
    <w:rsid w:val="00D215DA"/>
    <w:rsid w:val="00D220FA"/>
    <w:rsid w:val="00D2297E"/>
    <w:rsid w:val="00D234AE"/>
    <w:rsid w:val="00D23B62"/>
    <w:rsid w:val="00D23DD1"/>
    <w:rsid w:val="00D24810"/>
    <w:rsid w:val="00D2532F"/>
    <w:rsid w:val="00D255E2"/>
    <w:rsid w:val="00D25C8B"/>
    <w:rsid w:val="00D25DE8"/>
    <w:rsid w:val="00D26650"/>
    <w:rsid w:val="00D26961"/>
    <w:rsid w:val="00D27432"/>
    <w:rsid w:val="00D27BAE"/>
    <w:rsid w:val="00D27F74"/>
    <w:rsid w:val="00D3123C"/>
    <w:rsid w:val="00D3134D"/>
    <w:rsid w:val="00D31A48"/>
    <w:rsid w:val="00D31A60"/>
    <w:rsid w:val="00D31A84"/>
    <w:rsid w:val="00D31BC6"/>
    <w:rsid w:val="00D31ED1"/>
    <w:rsid w:val="00D31FDE"/>
    <w:rsid w:val="00D32041"/>
    <w:rsid w:val="00D327B8"/>
    <w:rsid w:val="00D32939"/>
    <w:rsid w:val="00D33180"/>
    <w:rsid w:val="00D3399D"/>
    <w:rsid w:val="00D3399F"/>
    <w:rsid w:val="00D33BBE"/>
    <w:rsid w:val="00D34454"/>
    <w:rsid w:val="00D34E2E"/>
    <w:rsid w:val="00D350B4"/>
    <w:rsid w:val="00D35742"/>
    <w:rsid w:val="00D35B7F"/>
    <w:rsid w:val="00D35FE5"/>
    <w:rsid w:val="00D36778"/>
    <w:rsid w:val="00D36A76"/>
    <w:rsid w:val="00D377BD"/>
    <w:rsid w:val="00D37DF3"/>
    <w:rsid w:val="00D37F35"/>
    <w:rsid w:val="00D406FB"/>
    <w:rsid w:val="00D40986"/>
    <w:rsid w:val="00D41338"/>
    <w:rsid w:val="00D41783"/>
    <w:rsid w:val="00D41839"/>
    <w:rsid w:val="00D42078"/>
    <w:rsid w:val="00D429DC"/>
    <w:rsid w:val="00D42D06"/>
    <w:rsid w:val="00D44736"/>
    <w:rsid w:val="00D44920"/>
    <w:rsid w:val="00D44AF9"/>
    <w:rsid w:val="00D44EBD"/>
    <w:rsid w:val="00D45569"/>
    <w:rsid w:val="00D45889"/>
    <w:rsid w:val="00D45984"/>
    <w:rsid w:val="00D46872"/>
    <w:rsid w:val="00D470B7"/>
    <w:rsid w:val="00D47390"/>
    <w:rsid w:val="00D47394"/>
    <w:rsid w:val="00D47632"/>
    <w:rsid w:val="00D4768C"/>
    <w:rsid w:val="00D47E34"/>
    <w:rsid w:val="00D50429"/>
    <w:rsid w:val="00D50637"/>
    <w:rsid w:val="00D50BC8"/>
    <w:rsid w:val="00D50D9B"/>
    <w:rsid w:val="00D52691"/>
    <w:rsid w:val="00D5270D"/>
    <w:rsid w:val="00D52D3C"/>
    <w:rsid w:val="00D53048"/>
    <w:rsid w:val="00D5353E"/>
    <w:rsid w:val="00D53567"/>
    <w:rsid w:val="00D536B6"/>
    <w:rsid w:val="00D53BD0"/>
    <w:rsid w:val="00D53C14"/>
    <w:rsid w:val="00D53E3A"/>
    <w:rsid w:val="00D53F26"/>
    <w:rsid w:val="00D540A1"/>
    <w:rsid w:val="00D544EB"/>
    <w:rsid w:val="00D54A20"/>
    <w:rsid w:val="00D54AE0"/>
    <w:rsid w:val="00D54B89"/>
    <w:rsid w:val="00D552DB"/>
    <w:rsid w:val="00D55326"/>
    <w:rsid w:val="00D5575C"/>
    <w:rsid w:val="00D55A1A"/>
    <w:rsid w:val="00D55D0B"/>
    <w:rsid w:val="00D56065"/>
    <w:rsid w:val="00D56A5C"/>
    <w:rsid w:val="00D57510"/>
    <w:rsid w:val="00D57692"/>
    <w:rsid w:val="00D57BD7"/>
    <w:rsid w:val="00D601D7"/>
    <w:rsid w:val="00D60378"/>
    <w:rsid w:val="00D606C4"/>
    <w:rsid w:val="00D60D09"/>
    <w:rsid w:val="00D60F4A"/>
    <w:rsid w:val="00D611C1"/>
    <w:rsid w:val="00D61831"/>
    <w:rsid w:val="00D61918"/>
    <w:rsid w:val="00D61B40"/>
    <w:rsid w:val="00D61F39"/>
    <w:rsid w:val="00D62380"/>
    <w:rsid w:val="00D62510"/>
    <w:rsid w:val="00D62C3D"/>
    <w:rsid w:val="00D62EE8"/>
    <w:rsid w:val="00D62F8B"/>
    <w:rsid w:val="00D63369"/>
    <w:rsid w:val="00D63936"/>
    <w:rsid w:val="00D63BFA"/>
    <w:rsid w:val="00D64637"/>
    <w:rsid w:val="00D64641"/>
    <w:rsid w:val="00D6478D"/>
    <w:rsid w:val="00D648BA"/>
    <w:rsid w:val="00D64EE3"/>
    <w:rsid w:val="00D65855"/>
    <w:rsid w:val="00D65E7B"/>
    <w:rsid w:val="00D661BF"/>
    <w:rsid w:val="00D66ACB"/>
    <w:rsid w:val="00D674A2"/>
    <w:rsid w:val="00D678FE"/>
    <w:rsid w:val="00D701A9"/>
    <w:rsid w:val="00D70E20"/>
    <w:rsid w:val="00D71043"/>
    <w:rsid w:val="00D71116"/>
    <w:rsid w:val="00D714F8"/>
    <w:rsid w:val="00D7162E"/>
    <w:rsid w:val="00D71F50"/>
    <w:rsid w:val="00D72469"/>
    <w:rsid w:val="00D72C80"/>
    <w:rsid w:val="00D731A8"/>
    <w:rsid w:val="00D73706"/>
    <w:rsid w:val="00D738D5"/>
    <w:rsid w:val="00D74210"/>
    <w:rsid w:val="00D747BE"/>
    <w:rsid w:val="00D74898"/>
    <w:rsid w:val="00D74A97"/>
    <w:rsid w:val="00D74D5D"/>
    <w:rsid w:val="00D75DBA"/>
    <w:rsid w:val="00D76186"/>
    <w:rsid w:val="00D76D4A"/>
    <w:rsid w:val="00D776F2"/>
    <w:rsid w:val="00D77878"/>
    <w:rsid w:val="00D77977"/>
    <w:rsid w:val="00D77D19"/>
    <w:rsid w:val="00D806B2"/>
    <w:rsid w:val="00D808AB"/>
    <w:rsid w:val="00D8125A"/>
    <w:rsid w:val="00D813F8"/>
    <w:rsid w:val="00D817EB"/>
    <w:rsid w:val="00D81E51"/>
    <w:rsid w:val="00D81EF4"/>
    <w:rsid w:val="00D81F83"/>
    <w:rsid w:val="00D82652"/>
    <w:rsid w:val="00D8368D"/>
    <w:rsid w:val="00D840BE"/>
    <w:rsid w:val="00D85393"/>
    <w:rsid w:val="00D858BC"/>
    <w:rsid w:val="00D85B64"/>
    <w:rsid w:val="00D8621C"/>
    <w:rsid w:val="00D87904"/>
    <w:rsid w:val="00D87C3C"/>
    <w:rsid w:val="00D90028"/>
    <w:rsid w:val="00D903A4"/>
    <w:rsid w:val="00D90462"/>
    <w:rsid w:val="00D91B0F"/>
    <w:rsid w:val="00D91C92"/>
    <w:rsid w:val="00D91F8C"/>
    <w:rsid w:val="00D91FA9"/>
    <w:rsid w:val="00D922AC"/>
    <w:rsid w:val="00D92428"/>
    <w:rsid w:val="00D926ED"/>
    <w:rsid w:val="00D92717"/>
    <w:rsid w:val="00D92BD7"/>
    <w:rsid w:val="00D92C27"/>
    <w:rsid w:val="00D92ECD"/>
    <w:rsid w:val="00D92FFC"/>
    <w:rsid w:val="00D93047"/>
    <w:rsid w:val="00D93196"/>
    <w:rsid w:val="00D931FA"/>
    <w:rsid w:val="00D939C9"/>
    <w:rsid w:val="00D93C7A"/>
    <w:rsid w:val="00D93DC2"/>
    <w:rsid w:val="00D94F89"/>
    <w:rsid w:val="00D95004"/>
    <w:rsid w:val="00D95A3B"/>
    <w:rsid w:val="00D95FFF"/>
    <w:rsid w:val="00D9679C"/>
    <w:rsid w:val="00D96AFB"/>
    <w:rsid w:val="00D97CCE"/>
    <w:rsid w:val="00D97F04"/>
    <w:rsid w:val="00DA01CA"/>
    <w:rsid w:val="00DA0803"/>
    <w:rsid w:val="00DA0D23"/>
    <w:rsid w:val="00DA0DCE"/>
    <w:rsid w:val="00DA12DF"/>
    <w:rsid w:val="00DA134E"/>
    <w:rsid w:val="00DA13D6"/>
    <w:rsid w:val="00DA14B2"/>
    <w:rsid w:val="00DA1657"/>
    <w:rsid w:val="00DA2B77"/>
    <w:rsid w:val="00DA2DB6"/>
    <w:rsid w:val="00DA30C1"/>
    <w:rsid w:val="00DA32F1"/>
    <w:rsid w:val="00DA38E1"/>
    <w:rsid w:val="00DA4244"/>
    <w:rsid w:val="00DA4C69"/>
    <w:rsid w:val="00DA4FE8"/>
    <w:rsid w:val="00DA5944"/>
    <w:rsid w:val="00DA5BBC"/>
    <w:rsid w:val="00DA6D28"/>
    <w:rsid w:val="00DA76B0"/>
    <w:rsid w:val="00DA7E04"/>
    <w:rsid w:val="00DB040C"/>
    <w:rsid w:val="00DB0606"/>
    <w:rsid w:val="00DB0643"/>
    <w:rsid w:val="00DB08C8"/>
    <w:rsid w:val="00DB1678"/>
    <w:rsid w:val="00DB1CC6"/>
    <w:rsid w:val="00DB2CC6"/>
    <w:rsid w:val="00DB2D47"/>
    <w:rsid w:val="00DB33D2"/>
    <w:rsid w:val="00DB3EA7"/>
    <w:rsid w:val="00DB4881"/>
    <w:rsid w:val="00DB4A35"/>
    <w:rsid w:val="00DB4B1B"/>
    <w:rsid w:val="00DB4C39"/>
    <w:rsid w:val="00DB5CB7"/>
    <w:rsid w:val="00DB5FB9"/>
    <w:rsid w:val="00DB62B6"/>
    <w:rsid w:val="00DB6372"/>
    <w:rsid w:val="00DB649D"/>
    <w:rsid w:val="00DB6999"/>
    <w:rsid w:val="00DB70CA"/>
    <w:rsid w:val="00DB717A"/>
    <w:rsid w:val="00DB7769"/>
    <w:rsid w:val="00DC0094"/>
    <w:rsid w:val="00DC0CCE"/>
    <w:rsid w:val="00DC0CFD"/>
    <w:rsid w:val="00DC0F38"/>
    <w:rsid w:val="00DC1601"/>
    <w:rsid w:val="00DC1A30"/>
    <w:rsid w:val="00DC1B0D"/>
    <w:rsid w:val="00DC1DA4"/>
    <w:rsid w:val="00DC1E60"/>
    <w:rsid w:val="00DC1FB8"/>
    <w:rsid w:val="00DC21F5"/>
    <w:rsid w:val="00DC2E9B"/>
    <w:rsid w:val="00DC36D4"/>
    <w:rsid w:val="00DC3B13"/>
    <w:rsid w:val="00DC3F98"/>
    <w:rsid w:val="00DC478D"/>
    <w:rsid w:val="00DC4DEC"/>
    <w:rsid w:val="00DC591C"/>
    <w:rsid w:val="00DC5925"/>
    <w:rsid w:val="00DC5B6F"/>
    <w:rsid w:val="00DC5C05"/>
    <w:rsid w:val="00DC5DD2"/>
    <w:rsid w:val="00DC5FA6"/>
    <w:rsid w:val="00DC62AE"/>
    <w:rsid w:val="00DC681D"/>
    <w:rsid w:val="00DC73FD"/>
    <w:rsid w:val="00DC7888"/>
    <w:rsid w:val="00DC7AD8"/>
    <w:rsid w:val="00DC7FC2"/>
    <w:rsid w:val="00DD058D"/>
    <w:rsid w:val="00DD104C"/>
    <w:rsid w:val="00DD12AF"/>
    <w:rsid w:val="00DD13B8"/>
    <w:rsid w:val="00DD1607"/>
    <w:rsid w:val="00DD186B"/>
    <w:rsid w:val="00DD1A0C"/>
    <w:rsid w:val="00DD1EBF"/>
    <w:rsid w:val="00DD2819"/>
    <w:rsid w:val="00DD296F"/>
    <w:rsid w:val="00DD2A94"/>
    <w:rsid w:val="00DD2CA6"/>
    <w:rsid w:val="00DD3043"/>
    <w:rsid w:val="00DD38A6"/>
    <w:rsid w:val="00DD48F0"/>
    <w:rsid w:val="00DD4D31"/>
    <w:rsid w:val="00DD4D64"/>
    <w:rsid w:val="00DD4F32"/>
    <w:rsid w:val="00DD51B9"/>
    <w:rsid w:val="00DD52D2"/>
    <w:rsid w:val="00DD54AF"/>
    <w:rsid w:val="00DD55B6"/>
    <w:rsid w:val="00DD58A7"/>
    <w:rsid w:val="00DD5FBB"/>
    <w:rsid w:val="00DD6364"/>
    <w:rsid w:val="00DD6B59"/>
    <w:rsid w:val="00DD6BBE"/>
    <w:rsid w:val="00DD7346"/>
    <w:rsid w:val="00DD766B"/>
    <w:rsid w:val="00DD775B"/>
    <w:rsid w:val="00DD7F37"/>
    <w:rsid w:val="00DE01BF"/>
    <w:rsid w:val="00DE0E6E"/>
    <w:rsid w:val="00DE14E3"/>
    <w:rsid w:val="00DE17D1"/>
    <w:rsid w:val="00DE1E75"/>
    <w:rsid w:val="00DE20D5"/>
    <w:rsid w:val="00DE26B8"/>
    <w:rsid w:val="00DE294D"/>
    <w:rsid w:val="00DE2CA4"/>
    <w:rsid w:val="00DE3263"/>
    <w:rsid w:val="00DE388E"/>
    <w:rsid w:val="00DE4765"/>
    <w:rsid w:val="00DE4904"/>
    <w:rsid w:val="00DE4CDF"/>
    <w:rsid w:val="00DE5101"/>
    <w:rsid w:val="00DE5572"/>
    <w:rsid w:val="00DE55E2"/>
    <w:rsid w:val="00DE5C70"/>
    <w:rsid w:val="00DE6816"/>
    <w:rsid w:val="00DE6AEE"/>
    <w:rsid w:val="00DE7101"/>
    <w:rsid w:val="00DF05E1"/>
    <w:rsid w:val="00DF0CB6"/>
    <w:rsid w:val="00DF129F"/>
    <w:rsid w:val="00DF12F4"/>
    <w:rsid w:val="00DF1414"/>
    <w:rsid w:val="00DF15BE"/>
    <w:rsid w:val="00DF17EF"/>
    <w:rsid w:val="00DF1AA1"/>
    <w:rsid w:val="00DF1C0B"/>
    <w:rsid w:val="00DF1CBF"/>
    <w:rsid w:val="00DF2531"/>
    <w:rsid w:val="00DF25B4"/>
    <w:rsid w:val="00DF313F"/>
    <w:rsid w:val="00DF32B2"/>
    <w:rsid w:val="00DF35D9"/>
    <w:rsid w:val="00DF364D"/>
    <w:rsid w:val="00DF3C9D"/>
    <w:rsid w:val="00DF4298"/>
    <w:rsid w:val="00DF4550"/>
    <w:rsid w:val="00DF4718"/>
    <w:rsid w:val="00DF55F6"/>
    <w:rsid w:val="00DF5D8E"/>
    <w:rsid w:val="00DF5ED3"/>
    <w:rsid w:val="00DF60EA"/>
    <w:rsid w:val="00DF6157"/>
    <w:rsid w:val="00DF61C4"/>
    <w:rsid w:val="00DF624B"/>
    <w:rsid w:val="00DF65B0"/>
    <w:rsid w:val="00DF684A"/>
    <w:rsid w:val="00DF687F"/>
    <w:rsid w:val="00DF6C33"/>
    <w:rsid w:val="00DF6F21"/>
    <w:rsid w:val="00DF772F"/>
    <w:rsid w:val="00DF7D0B"/>
    <w:rsid w:val="00DF7DCA"/>
    <w:rsid w:val="00E0008F"/>
    <w:rsid w:val="00E001D9"/>
    <w:rsid w:val="00E00860"/>
    <w:rsid w:val="00E018A7"/>
    <w:rsid w:val="00E01D37"/>
    <w:rsid w:val="00E01D52"/>
    <w:rsid w:val="00E01FED"/>
    <w:rsid w:val="00E020C5"/>
    <w:rsid w:val="00E024B5"/>
    <w:rsid w:val="00E02751"/>
    <w:rsid w:val="00E029FD"/>
    <w:rsid w:val="00E02CF4"/>
    <w:rsid w:val="00E02FFC"/>
    <w:rsid w:val="00E032A5"/>
    <w:rsid w:val="00E0331E"/>
    <w:rsid w:val="00E034CA"/>
    <w:rsid w:val="00E036CD"/>
    <w:rsid w:val="00E03A29"/>
    <w:rsid w:val="00E049E0"/>
    <w:rsid w:val="00E05466"/>
    <w:rsid w:val="00E05EFA"/>
    <w:rsid w:val="00E05F41"/>
    <w:rsid w:val="00E0612A"/>
    <w:rsid w:val="00E062A1"/>
    <w:rsid w:val="00E06B28"/>
    <w:rsid w:val="00E070A6"/>
    <w:rsid w:val="00E074A5"/>
    <w:rsid w:val="00E0754C"/>
    <w:rsid w:val="00E07588"/>
    <w:rsid w:val="00E079C8"/>
    <w:rsid w:val="00E07E52"/>
    <w:rsid w:val="00E10B94"/>
    <w:rsid w:val="00E10CA2"/>
    <w:rsid w:val="00E10CD0"/>
    <w:rsid w:val="00E10ECC"/>
    <w:rsid w:val="00E1103E"/>
    <w:rsid w:val="00E111EC"/>
    <w:rsid w:val="00E11850"/>
    <w:rsid w:val="00E11860"/>
    <w:rsid w:val="00E11BAC"/>
    <w:rsid w:val="00E11D36"/>
    <w:rsid w:val="00E13F9D"/>
    <w:rsid w:val="00E140BF"/>
    <w:rsid w:val="00E143E0"/>
    <w:rsid w:val="00E143ED"/>
    <w:rsid w:val="00E148AD"/>
    <w:rsid w:val="00E15115"/>
    <w:rsid w:val="00E157C9"/>
    <w:rsid w:val="00E15E6D"/>
    <w:rsid w:val="00E16095"/>
    <w:rsid w:val="00E16308"/>
    <w:rsid w:val="00E16370"/>
    <w:rsid w:val="00E16E3F"/>
    <w:rsid w:val="00E16FE2"/>
    <w:rsid w:val="00E1762F"/>
    <w:rsid w:val="00E20077"/>
    <w:rsid w:val="00E205CA"/>
    <w:rsid w:val="00E20706"/>
    <w:rsid w:val="00E214FF"/>
    <w:rsid w:val="00E217B4"/>
    <w:rsid w:val="00E21FF1"/>
    <w:rsid w:val="00E220FD"/>
    <w:rsid w:val="00E223F0"/>
    <w:rsid w:val="00E238A2"/>
    <w:rsid w:val="00E2520F"/>
    <w:rsid w:val="00E257D2"/>
    <w:rsid w:val="00E25980"/>
    <w:rsid w:val="00E25E93"/>
    <w:rsid w:val="00E261B5"/>
    <w:rsid w:val="00E26F6D"/>
    <w:rsid w:val="00E2715B"/>
    <w:rsid w:val="00E2751B"/>
    <w:rsid w:val="00E27728"/>
    <w:rsid w:val="00E3026B"/>
    <w:rsid w:val="00E30325"/>
    <w:rsid w:val="00E305EC"/>
    <w:rsid w:val="00E3080B"/>
    <w:rsid w:val="00E30AA4"/>
    <w:rsid w:val="00E310DF"/>
    <w:rsid w:val="00E31ED9"/>
    <w:rsid w:val="00E32153"/>
    <w:rsid w:val="00E3258F"/>
    <w:rsid w:val="00E32B4A"/>
    <w:rsid w:val="00E33283"/>
    <w:rsid w:val="00E33AB4"/>
    <w:rsid w:val="00E3420A"/>
    <w:rsid w:val="00E343E4"/>
    <w:rsid w:val="00E34664"/>
    <w:rsid w:val="00E34D99"/>
    <w:rsid w:val="00E354AE"/>
    <w:rsid w:val="00E35B1F"/>
    <w:rsid w:val="00E35CC6"/>
    <w:rsid w:val="00E35EDC"/>
    <w:rsid w:val="00E3606F"/>
    <w:rsid w:val="00E36095"/>
    <w:rsid w:val="00E3621B"/>
    <w:rsid w:val="00E36F51"/>
    <w:rsid w:val="00E372A9"/>
    <w:rsid w:val="00E37F53"/>
    <w:rsid w:val="00E40195"/>
    <w:rsid w:val="00E4031D"/>
    <w:rsid w:val="00E4072C"/>
    <w:rsid w:val="00E408DC"/>
    <w:rsid w:val="00E40975"/>
    <w:rsid w:val="00E40DF8"/>
    <w:rsid w:val="00E40E93"/>
    <w:rsid w:val="00E4118E"/>
    <w:rsid w:val="00E422BD"/>
    <w:rsid w:val="00E4282C"/>
    <w:rsid w:val="00E43B88"/>
    <w:rsid w:val="00E43EB0"/>
    <w:rsid w:val="00E4417E"/>
    <w:rsid w:val="00E44AE9"/>
    <w:rsid w:val="00E44E49"/>
    <w:rsid w:val="00E461F7"/>
    <w:rsid w:val="00E4635F"/>
    <w:rsid w:val="00E465B2"/>
    <w:rsid w:val="00E47398"/>
    <w:rsid w:val="00E47A91"/>
    <w:rsid w:val="00E47C27"/>
    <w:rsid w:val="00E47FE1"/>
    <w:rsid w:val="00E503E4"/>
    <w:rsid w:val="00E50A25"/>
    <w:rsid w:val="00E50F79"/>
    <w:rsid w:val="00E51CFF"/>
    <w:rsid w:val="00E520BA"/>
    <w:rsid w:val="00E523C0"/>
    <w:rsid w:val="00E52543"/>
    <w:rsid w:val="00E528E4"/>
    <w:rsid w:val="00E52A3F"/>
    <w:rsid w:val="00E52B2D"/>
    <w:rsid w:val="00E52FCD"/>
    <w:rsid w:val="00E541FD"/>
    <w:rsid w:val="00E5447A"/>
    <w:rsid w:val="00E5451A"/>
    <w:rsid w:val="00E5451B"/>
    <w:rsid w:val="00E5464C"/>
    <w:rsid w:val="00E548EA"/>
    <w:rsid w:val="00E54CA5"/>
    <w:rsid w:val="00E54CB4"/>
    <w:rsid w:val="00E55612"/>
    <w:rsid w:val="00E55F68"/>
    <w:rsid w:val="00E56094"/>
    <w:rsid w:val="00E567DD"/>
    <w:rsid w:val="00E573C9"/>
    <w:rsid w:val="00E5759D"/>
    <w:rsid w:val="00E5791C"/>
    <w:rsid w:val="00E57D2B"/>
    <w:rsid w:val="00E60142"/>
    <w:rsid w:val="00E6021B"/>
    <w:rsid w:val="00E61718"/>
    <w:rsid w:val="00E61E3D"/>
    <w:rsid w:val="00E62C5A"/>
    <w:rsid w:val="00E62FF8"/>
    <w:rsid w:val="00E63474"/>
    <w:rsid w:val="00E64CFD"/>
    <w:rsid w:val="00E64FB1"/>
    <w:rsid w:val="00E64FD4"/>
    <w:rsid w:val="00E6524E"/>
    <w:rsid w:val="00E6525A"/>
    <w:rsid w:val="00E658E6"/>
    <w:rsid w:val="00E664E3"/>
    <w:rsid w:val="00E6660F"/>
    <w:rsid w:val="00E67A4C"/>
    <w:rsid w:val="00E67AA2"/>
    <w:rsid w:val="00E70091"/>
    <w:rsid w:val="00E70FBB"/>
    <w:rsid w:val="00E711FC"/>
    <w:rsid w:val="00E717DE"/>
    <w:rsid w:val="00E7209B"/>
    <w:rsid w:val="00E720A0"/>
    <w:rsid w:val="00E72ADF"/>
    <w:rsid w:val="00E733F6"/>
    <w:rsid w:val="00E738D5"/>
    <w:rsid w:val="00E7397B"/>
    <w:rsid w:val="00E73BE1"/>
    <w:rsid w:val="00E73E8B"/>
    <w:rsid w:val="00E74027"/>
    <w:rsid w:val="00E74156"/>
    <w:rsid w:val="00E74177"/>
    <w:rsid w:val="00E74443"/>
    <w:rsid w:val="00E74548"/>
    <w:rsid w:val="00E746D5"/>
    <w:rsid w:val="00E74D6F"/>
    <w:rsid w:val="00E74E2C"/>
    <w:rsid w:val="00E74E94"/>
    <w:rsid w:val="00E75449"/>
    <w:rsid w:val="00E75702"/>
    <w:rsid w:val="00E759DB"/>
    <w:rsid w:val="00E759E3"/>
    <w:rsid w:val="00E75A64"/>
    <w:rsid w:val="00E75B4D"/>
    <w:rsid w:val="00E75D8B"/>
    <w:rsid w:val="00E76E6F"/>
    <w:rsid w:val="00E8013C"/>
    <w:rsid w:val="00E8014D"/>
    <w:rsid w:val="00E80758"/>
    <w:rsid w:val="00E80E83"/>
    <w:rsid w:val="00E81129"/>
    <w:rsid w:val="00E81169"/>
    <w:rsid w:val="00E8203A"/>
    <w:rsid w:val="00E821CB"/>
    <w:rsid w:val="00E826BE"/>
    <w:rsid w:val="00E83024"/>
    <w:rsid w:val="00E8309B"/>
    <w:rsid w:val="00E8493E"/>
    <w:rsid w:val="00E84A69"/>
    <w:rsid w:val="00E85024"/>
    <w:rsid w:val="00E85159"/>
    <w:rsid w:val="00E855A5"/>
    <w:rsid w:val="00E860F4"/>
    <w:rsid w:val="00E86111"/>
    <w:rsid w:val="00E8626E"/>
    <w:rsid w:val="00E8656B"/>
    <w:rsid w:val="00E865F7"/>
    <w:rsid w:val="00E868A7"/>
    <w:rsid w:val="00E8690C"/>
    <w:rsid w:val="00E87B21"/>
    <w:rsid w:val="00E87DC4"/>
    <w:rsid w:val="00E90037"/>
    <w:rsid w:val="00E9084B"/>
    <w:rsid w:val="00E90909"/>
    <w:rsid w:val="00E90C08"/>
    <w:rsid w:val="00E91928"/>
    <w:rsid w:val="00E91E33"/>
    <w:rsid w:val="00E91E85"/>
    <w:rsid w:val="00E92856"/>
    <w:rsid w:val="00E92B0B"/>
    <w:rsid w:val="00E932F9"/>
    <w:rsid w:val="00E936D2"/>
    <w:rsid w:val="00E938FA"/>
    <w:rsid w:val="00E93A53"/>
    <w:rsid w:val="00E93AC8"/>
    <w:rsid w:val="00E9487C"/>
    <w:rsid w:val="00E94E62"/>
    <w:rsid w:val="00E95059"/>
    <w:rsid w:val="00E97635"/>
    <w:rsid w:val="00EA0C3C"/>
    <w:rsid w:val="00EA1B57"/>
    <w:rsid w:val="00EA1DFD"/>
    <w:rsid w:val="00EA1E5C"/>
    <w:rsid w:val="00EA204F"/>
    <w:rsid w:val="00EA212B"/>
    <w:rsid w:val="00EA25B1"/>
    <w:rsid w:val="00EA2647"/>
    <w:rsid w:val="00EA2B28"/>
    <w:rsid w:val="00EA300D"/>
    <w:rsid w:val="00EA424C"/>
    <w:rsid w:val="00EA43B1"/>
    <w:rsid w:val="00EA51E5"/>
    <w:rsid w:val="00EA5C87"/>
    <w:rsid w:val="00EA63C6"/>
    <w:rsid w:val="00EA64D8"/>
    <w:rsid w:val="00EA6A61"/>
    <w:rsid w:val="00EA718D"/>
    <w:rsid w:val="00EA745A"/>
    <w:rsid w:val="00EA79A5"/>
    <w:rsid w:val="00EB0138"/>
    <w:rsid w:val="00EB0548"/>
    <w:rsid w:val="00EB08CC"/>
    <w:rsid w:val="00EB157B"/>
    <w:rsid w:val="00EB1833"/>
    <w:rsid w:val="00EB1DF2"/>
    <w:rsid w:val="00EB22E2"/>
    <w:rsid w:val="00EB25C7"/>
    <w:rsid w:val="00EB2A1B"/>
    <w:rsid w:val="00EB32BE"/>
    <w:rsid w:val="00EB3829"/>
    <w:rsid w:val="00EB4367"/>
    <w:rsid w:val="00EB46F8"/>
    <w:rsid w:val="00EB5184"/>
    <w:rsid w:val="00EB518A"/>
    <w:rsid w:val="00EB53E7"/>
    <w:rsid w:val="00EB5413"/>
    <w:rsid w:val="00EB5E32"/>
    <w:rsid w:val="00EB5F3E"/>
    <w:rsid w:val="00EB628E"/>
    <w:rsid w:val="00EB6C1B"/>
    <w:rsid w:val="00EB6D67"/>
    <w:rsid w:val="00EC042D"/>
    <w:rsid w:val="00EC069C"/>
    <w:rsid w:val="00EC085B"/>
    <w:rsid w:val="00EC0BF0"/>
    <w:rsid w:val="00EC0F11"/>
    <w:rsid w:val="00EC187F"/>
    <w:rsid w:val="00EC1914"/>
    <w:rsid w:val="00EC196D"/>
    <w:rsid w:val="00EC20DB"/>
    <w:rsid w:val="00EC360D"/>
    <w:rsid w:val="00EC3B53"/>
    <w:rsid w:val="00EC4AEF"/>
    <w:rsid w:val="00EC5123"/>
    <w:rsid w:val="00EC5AFA"/>
    <w:rsid w:val="00EC5F46"/>
    <w:rsid w:val="00EC614D"/>
    <w:rsid w:val="00EC6540"/>
    <w:rsid w:val="00EC6550"/>
    <w:rsid w:val="00EC685E"/>
    <w:rsid w:val="00EC7F8B"/>
    <w:rsid w:val="00ED021C"/>
    <w:rsid w:val="00ED070F"/>
    <w:rsid w:val="00ED0EA7"/>
    <w:rsid w:val="00ED29E5"/>
    <w:rsid w:val="00ED2EC1"/>
    <w:rsid w:val="00ED352B"/>
    <w:rsid w:val="00ED4442"/>
    <w:rsid w:val="00ED4B2C"/>
    <w:rsid w:val="00ED4D23"/>
    <w:rsid w:val="00ED68E5"/>
    <w:rsid w:val="00ED6A83"/>
    <w:rsid w:val="00ED6D8D"/>
    <w:rsid w:val="00ED70CE"/>
    <w:rsid w:val="00ED73C1"/>
    <w:rsid w:val="00EE03E3"/>
    <w:rsid w:val="00EE089F"/>
    <w:rsid w:val="00EE0A72"/>
    <w:rsid w:val="00EE10A0"/>
    <w:rsid w:val="00EE2AB2"/>
    <w:rsid w:val="00EE304D"/>
    <w:rsid w:val="00EE305B"/>
    <w:rsid w:val="00EE374F"/>
    <w:rsid w:val="00EE3A66"/>
    <w:rsid w:val="00EE43F9"/>
    <w:rsid w:val="00EE4B36"/>
    <w:rsid w:val="00EE4BAA"/>
    <w:rsid w:val="00EE504F"/>
    <w:rsid w:val="00EE52FF"/>
    <w:rsid w:val="00EE5C9E"/>
    <w:rsid w:val="00EE61DC"/>
    <w:rsid w:val="00EE7B8C"/>
    <w:rsid w:val="00EE7E98"/>
    <w:rsid w:val="00EF01E4"/>
    <w:rsid w:val="00EF0AD0"/>
    <w:rsid w:val="00EF0B79"/>
    <w:rsid w:val="00EF10DC"/>
    <w:rsid w:val="00EF1583"/>
    <w:rsid w:val="00EF1A4F"/>
    <w:rsid w:val="00EF1C07"/>
    <w:rsid w:val="00EF1CFA"/>
    <w:rsid w:val="00EF1F3D"/>
    <w:rsid w:val="00EF31DC"/>
    <w:rsid w:val="00EF32A3"/>
    <w:rsid w:val="00EF3582"/>
    <w:rsid w:val="00EF3B10"/>
    <w:rsid w:val="00EF42F1"/>
    <w:rsid w:val="00EF448B"/>
    <w:rsid w:val="00EF44A5"/>
    <w:rsid w:val="00EF4911"/>
    <w:rsid w:val="00EF55C3"/>
    <w:rsid w:val="00EF5605"/>
    <w:rsid w:val="00EF636F"/>
    <w:rsid w:val="00EF674E"/>
    <w:rsid w:val="00EF6BB1"/>
    <w:rsid w:val="00EF6CA6"/>
    <w:rsid w:val="00EF6F1B"/>
    <w:rsid w:val="00EF705A"/>
    <w:rsid w:val="00EF7184"/>
    <w:rsid w:val="00EF7E35"/>
    <w:rsid w:val="00EF7F7B"/>
    <w:rsid w:val="00F00273"/>
    <w:rsid w:val="00F003E8"/>
    <w:rsid w:val="00F00F53"/>
    <w:rsid w:val="00F0108C"/>
    <w:rsid w:val="00F012BC"/>
    <w:rsid w:val="00F01694"/>
    <w:rsid w:val="00F01C85"/>
    <w:rsid w:val="00F02113"/>
    <w:rsid w:val="00F0232F"/>
    <w:rsid w:val="00F02C54"/>
    <w:rsid w:val="00F0372F"/>
    <w:rsid w:val="00F03A5A"/>
    <w:rsid w:val="00F03C0D"/>
    <w:rsid w:val="00F03C1D"/>
    <w:rsid w:val="00F03CB3"/>
    <w:rsid w:val="00F0415F"/>
    <w:rsid w:val="00F043B0"/>
    <w:rsid w:val="00F0512C"/>
    <w:rsid w:val="00F053C7"/>
    <w:rsid w:val="00F05AC4"/>
    <w:rsid w:val="00F05DE3"/>
    <w:rsid w:val="00F05F9B"/>
    <w:rsid w:val="00F064A1"/>
    <w:rsid w:val="00F06946"/>
    <w:rsid w:val="00F06B00"/>
    <w:rsid w:val="00F100CE"/>
    <w:rsid w:val="00F104DC"/>
    <w:rsid w:val="00F10761"/>
    <w:rsid w:val="00F107B8"/>
    <w:rsid w:val="00F10EA6"/>
    <w:rsid w:val="00F112EE"/>
    <w:rsid w:val="00F117C5"/>
    <w:rsid w:val="00F11A5F"/>
    <w:rsid w:val="00F11CC5"/>
    <w:rsid w:val="00F11FB6"/>
    <w:rsid w:val="00F12654"/>
    <w:rsid w:val="00F1283B"/>
    <w:rsid w:val="00F12D6B"/>
    <w:rsid w:val="00F12E90"/>
    <w:rsid w:val="00F12E9F"/>
    <w:rsid w:val="00F132D7"/>
    <w:rsid w:val="00F13335"/>
    <w:rsid w:val="00F13F94"/>
    <w:rsid w:val="00F1497A"/>
    <w:rsid w:val="00F150B6"/>
    <w:rsid w:val="00F15344"/>
    <w:rsid w:val="00F1578E"/>
    <w:rsid w:val="00F15850"/>
    <w:rsid w:val="00F15D73"/>
    <w:rsid w:val="00F15F15"/>
    <w:rsid w:val="00F15FAD"/>
    <w:rsid w:val="00F1656A"/>
    <w:rsid w:val="00F1778C"/>
    <w:rsid w:val="00F17BCB"/>
    <w:rsid w:val="00F204A8"/>
    <w:rsid w:val="00F20888"/>
    <w:rsid w:val="00F20B09"/>
    <w:rsid w:val="00F20CA0"/>
    <w:rsid w:val="00F21294"/>
    <w:rsid w:val="00F22C09"/>
    <w:rsid w:val="00F23443"/>
    <w:rsid w:val="00F235AA"/>
    <w:rsid w:val="00F238A6"/>
    <w:rsid w:val="00F23A24"/>
    <w:rsid w:val="00F23E27"/>
    <w:rsid w:val="00F24062"/>
    <w:rsid w:val="00F24455"/>
    <w:rsid w:val="00F2452B"/>
    <w:rsid w:val="00F24A3A"/>
    <w:rsid w:val="00F24D7D"/>
    <w:rsid w:val="00F24E2A"/>
    <w:rsid w:val="00F24E42"/>
    <w:rsid w:val="00F250B9"/>
    <w:rsid w:val="00F25578"/>
    <w:rsid w:val="00F25B31"/>
    <w:rsid w:val="00F25F54"/>
    <w:rsid w:val="00F262F9"/>
    <w:rsid w:val="00F265EB"/>
    <w:rsid w:val="00F26C07"/>
    <w:rsid w:val="00F27267"/>
    <w:rsid w:val="00F2786A"/>
    <w:rsid w:val="00F27EAC"/>
    <w:rsid w:val="00F301B4"/>
    <w:rsid w:val="00F30402"/>
    <w:rsid w:val="00F30851"/>
    <w:rsid w:val="00F31852"/>
    <w:rsid w:val="00F31C80"/>
    <w:rsid w:val="00F322E9"/>
    <w:rsid w:val="00F325A8"/>
    <w:rsid w:val="00F32A58"/>
    <w:rsid w:val="00F32D11"/>
    <w:rsid w:val="00F33227"/>
    <w:rsid w:val="00F3369A"/>
    <w:rsid w:val="00F33B71"/>
    <w:rsid w:val="00F33CE4"/>
    <w:rsid w:val="00F33FC0"/>
    <w:rsid w:val="00F357A6"/>
    <w:rsid w:val="00F358C5"/>
    <w:rsid w:val="00F36B9D"/>
    <w:rsid w:val="00F37163"/>
    <w:rsid w:val="00F371FC"/>
    <w:rsid w:val="00F3749B"/>
    <w:rsid w:val="00F377D2"/>
    <w:rsid w:val="00F37E4D"/>
    <w:rsid w:val="00F40310"/>
    <w:rsid w:val="00F41C4B"/>
    <w:rsid w:val="00F42167"/>
    <w:rsid w:val="00F42C26"/>
    <w:rsid w:val="00F42E9E"/>
    <w:rsid w:val="00F43602"/>
    <w:rsid w:val="00F43621"/>
    <w:rsid w:val="00F439AA"/>
    <w:rsid w:val="00F43C1D"/>
    <w:rsid w:val="00F43D55"/>
    <w:rsid w:val="00F43D66"/>
    <w:rsid w:val="00F441ED"/>
    <w:rsid w:val="00F4420E"/>
    <w:rsid w:val="00F445DB"/>
    <w:rsid w:val="00F44A98"/>
    <w:rsid w:val="00F44B70"/>
    <w:rsid w:val="00F44FE3"/>
    <w:rsid w:val="00F451C6"/>
    <w:rsid w:val="00F454AD"/>
    <w:rsid w:val="00F45620"/>
    <w:rsid w:val="00F4587C"/>
    <w:rsid w:val="00F45C7A"/>
    <w:rsid w:val="00F45CD3"/>
    <w:rsid w:val="00F46185"/>
    <w:rsid w:val="00F4640A"/>
    <w:rsid w:val="00F467C8"/>
    <w:rsid w:val="00F46B1C"/>
    <w:rsid w:val="00F46CC2"/>
    <w:rsid w:val="00F4710D"/>
    <w:rsid w:val="00F47499"/>
    <w:rsid w:val="00F4751B"/>
    <w:rsid w:val="00F47BD5"/>
    <w:rsid w:val="00F50436"/>
    <w:rsid w:val="00F50438"/>
    <w:rsid w:val="00F5091D"/>
    <w:rsid w:val="00F51333"/>
    <w:rsid w:val="00F51628"/>
    <w:rsid w:val="00F51749"/>
    <w:rsid w:val="00F51FB3"/>
    <w:rsid w:val="00F5253D"/>
    <w:rsid w:val="00F52578"/>
    <w:rsid w:val="00F52B11"/>
    <w:rsid w:val="00F537AC"/>
    <w:rsid w:val="00F546BC"/>
    <w:rsid w:val="00F54D6A"/>
    <w:rsid w:val="00F54EA6"/>
    <w:rsid w:val="00F55C65"/>
    <w:rsid w:val="00F55E16"/>
    <w:rsid w:val="00F560DC"/>
    <w:rsid w:val="00F560E2"/>
    <w:rsid w:val="00F56436"/>
    <w:rsid w:val="00F57474"/>
    <w:rsid w:val="00F57719"/>
    <w:rsid w:val="00F57B4E"/>
    <w:rsid w:val="00F600B1"/>
    <w:rsid w:val="00F60136"/>
    <w:rsid w:val="00F60AF8"/>
    <w:rsid w:val="00F6110E"/>
    <w:rsid w:val="00F6160C"/>
    <w:rsid w:val="00F62785"/>
    <w:rsid w:val="00F62A37"/>
    <w:rsid w:val="00F62E30"/>
    <w:rsid w:val="00F631CA"/>
    <w:rsid w:val="00F63215"/>
    <w:rsid w:val="00F64121"/>
    <w:rsid w:val="00F6447A"/>
    <w:rsid w:val="00F6460E"/>
    <w:rsid w:val="00F64844"/>
    <w:rsid w:val="00F654FF"/>
    <w:rsid w:val="00F6588E"/>
    <w:rsid w:val="00F65CC8"/>
    <w:rsid w:val="00F65FBC"/>
    <w:rsid w:val="00F6625B"/>
    <w:rsid w:val="00F66403"/>
    <w:rsid w:val="00F66674"/>
    <w:rsid w:val="00F670F8"/>
    <w:rsid w:val="00F67152"/>
    <w:rsid w:val="00F67D8F"/>
    <w:rsid w:val="00F70356"/>
    <w:rsid w:val="00F7073B"/>
    <w:rsid w:val="00F707C0"/>
    <w:rsid w:val="00F70843"/>
    <w:rsid w:val="00F717FA"/>
    <w:rsid w:val="00F72285"/>
    <w:rsid w:val="00F7228B"/>
    <w:rsid w:val="00F72331"/>
    <w:rsid w:val="00F7253D"/>
    <w:rsid w:val="00F726D6"/>
    <w:rsid w:val="00F72F49"/>
    <w:rsid w:val="00F73057"/>
    <w:rsid w:val="00F739F1"/>
    <w:rsid w:val="00F740A9"/>
    <w:rsid w:val="00F74493"/>
    <w:rsid w:val="00F74DB3"/>
    <w:rsid w:val="00F75079"/>
    <w:rsid w:val="00F754F3"/>
    <w:rsid w:val="00F75D5E"/>
    <w:rsid w:val="00F76741"/>
    <w:rsid w:val="00F76D66"/>
    <w:rsid w:val="00F76D79"/>
    <w:rsid w:val="00F76DAE"/>
    <w:rsid w:val="00F771F8"/>
    <w:rsid w:val="00F776C0"/>
    <w:rsid w:val="00F77D25"/>
    <w:rsid w:val="00F804AC"/>
    <w:rsid w:val="00F804DF"/>
    <w:rsid w:val="00F80CF8"/>
    <w:rsid w:val="00F81D4A"/>
    <w:rsid w:val="00F82146"/>
    <w:rsid w:val="00F827B9"/>
    <w:rsid w:val="00F82990"/>
    <w:rsid w:val="00F83329"/>
    <w:rsid w:val="00F83629"/>
    <w:rsid w:val="00F83C0B"/>
    <w:rsid w:val="00F83DE5"/>
    <w:rsid w:val="00F843AE"/>
    <w:rsid w:val="00F8496C"/>
    <w:rsid w:val="00F850F3"/>
    <w:rsid w:val="00F8533C"/>
    <w:rsid w:val="00F85989"/>
    <w:rsid w:val="00F8601B"/>
    <w:rsid w:val="00F86803"/>
    <w:rsid w:val="00F868D9"/>
    <w:rsid w:val="00F86A7A"/>
    <w:rsid w:val="00F86C8F"/>
    <w:rsid w:val="00F86D41"/>
    <w:rsid w:val="00F8719B"/>
    <w:rsid w:val="00F87917"/>
    <w:rsid w:val="00F87AC8"/>
    <w:rsid w:val="00F87E18"/>
    <w:rsid w:val="00F904B4"/>
    <w:rsid w:val="00F904E1"/>
    <w:rsid w:val="00F90DF7"/>
    <w:rsid w:val="00F90E99"/>
    <w:rsid w:val="00F910A6"/>
    <w:rsid w:val="00F9167C"/>
    <w:rsid w:val="00F916E0"/>
    <w:rsid w:val="00F92324"/>
    <w:rsid w:val="00F92388"/>
    <w:rsid w:val="00F92798"/>
    <w:rsid w:val="00F92AD5"/>
    <w:rsid w:val="00F930D4"/>
    <w:rsid w:val="00F93BC5"/>
    <w:rsid w:val="00F9409F"/>
    <w:rsid w:val="00F94202"/>
    <w:rsid w:val="00F947F4"/>
    <w:rsid w:val="00F94D4E"/>
    <w:rsid w:val="00F95076"/>
    <w:rsid w:val="00F96565"/>
    <w:rsid w:val="00F97B11"/>
    <w:rsid w:val="00F97BCD"/>
    <w:rsid w:val="00FA08DC"/>
    <w:rsid w:val="00FA0F74"/>
    <w:rsid w:val="00FA12E9"/>
    <w:rsid w:val="00FA24A3"/>
    <w:rsid w:val="00FA2BB7"/>
    <w:rsid w:val="00FA2F0A"/>
    <w:rsid w:val="00FA3519"/>
    <w:rsid w:val="00FA3759"/>
    <w:rsid w:val="00FA3769"/>
    <w:rsid w:val="00FA4889"/>
    <w:rsid w:val="00FA4C65"/>
    <w:rsid w:val="00FA5F7F"/>
    <w:rsid w:val="00FA61B5"/>
    <w:rsid w:val="00FA61C1"/>
    <w:rsid w:val="00FA69AB"/>
    <w:rsid w:val="00FA6D8C"/>
    <w:rsid w:val="00FA6F0E"/>
    <w:rsid w:val="00FA7494"/>
    <w:rsid w:val="00FA75A0"/>
    <w:rsid w:val="00FA791E"/>
    <w:rsid w:val="00FB04F6"/>
    <w:rsid w:val="00FB0693"/>
    <w:rsid w:val="00FB1126"/>
    <w:rsid w:val="00FB119B"/>
    <w:rsid w:val="00FB1AEF"/>
    <w:rsid w:val="00FB246E"/>
    <w:rsid w:val="00FB2CDE"/>
    <w:rsid w:val="00FB319A"/>
    <w:rsid w:val="00FB34AC"/>
    <w:rsid w:val="00FB41A1"/>
    <w:rsid w:val="00FB4401"/>
    <w:rsid w:val="00FB4AB4"/>
    <w:rsid w:val="00FB4C4A"/>
    <w:rsid w:val="00FB52F4"/>
    <w:rsid w:val="00FB5394"/>
    <w:rsid w:val="00FB5737"/>
    <w:rsid w:val="00FB597B"/>
    <w:rsid w:val="00FB6499"/>
    <w:rsid w:val="00FB692F"/>
    <w:rsid w:val="00FB7607"/>
    <w:rsid w:val="00FB7CEE"/>
    <w:rsid w:val="00FB7D8D"/>
    <w:rsid w:val="00FB7DBA"/>
    <w:rsid w:val="00FC010C"/>
    <w:rsid w:val="00FC097D"/>
    <w:rsid w:val="00FC14FD"/>
    <w:rsid w:val="00FC1B1D"/>
    <w:rsid w:val="00FC239A"/>
    <w:rsid w:val="00FC240D"/>
    <w:rsid w:val="00FC2669"/>
    <w:rsid w:val="00FC2B85"/>
    <w:rsid w:val="00FC2B8C"/>
    <w:rsid w:val="00FC2C67"/>
    <w:rsid w:val="00FC2EE2"/>
    <w:rsid w:val="00FC3895"/>
    <w:rsid w:val="00FC4003"/>
    <w:rsid w:val="00FC4295"/>
    <w:rsid w:val="00FC43DA"/>
    <w:rsid w:val="00FC493A"/>
    <w:rsid w:val="00FC4C2E"/>
    <w:rsid w:val="00FC4E89"/>
    <w:rsid w:val="00FC575D"/>
    <w:rsid w:val="00FC5B0D"/>
    <w:rsid w:val="00FC6056"/>
    <w:rsid w:val="00FC6481"/>
    <w:rsid w:val="00FC66F7"/>
    <w:rsid w:val="00FC697D"/>
    <w:rsid w:val="00FC6A8E"/>
    <w:rsid w:val="00FC6C58"/>
    <w:rsid w:val="00FC6CB0"/>
    <w:rsid w:val="00FC6CF4"/>
    <w:rsid w:val="00FC7A0A"/>
    <w:rsid w:val="00FD06E2"/>
    <w:rsid w:val="00FD0EFB"/>
    <w:rsid w:val="00FD1042"/>
    <w:rsid w:val="00FD1215"/>
    <w:rsid w:val="00FD1787"/>
    <w:rsid w:val="00FD17B7"/>
    <w:rsid w:val="00FD2BB8"/>
    <w:rsid w:val="00FD2F67"/>
    <w:rsid w:val="00FD3686"/>
    <w:rsid w:val="00FD3C72"/>
    <w:rsid w:val="00FD40B5"/>
    <w:rsid w:val="00FD435A"/>
    <w:rsid w:val="00FD586B"/>
    <w:rsid w:val="00FD5B97"/>
    <w:rsid w:val="00FD6588"/>
    <w:rsid w:val="00FD68A5"/>
    <w:rsid w:val="00FD6A4F"/>
    <w:rsid w:val="00FD6B15"/>
    <w:rsid w:val="00FD6FAB"/>
    <w:rsid w:val="00FD7A6C"/>
    <w:rsid w:val="00FD7D12"/>
    <w:rsid w:val="00FE08B4"/>
    <w:rsid w:val="00FE100F"/>
    <w:rsid w:val="00FE148C"/>
    <w:rsid w:val="00FE1752"/>
    <w:rsid w:val="00FE240F"/>
    <w:rsid w:val="00FE27C4"/>
    <w:rsid w:val="00FE2D8D"/>
    <w:rsid w:val="00FE3AFF"/>
    <w:rsid w:val="00FE3F84"/>
    <w:rsid w:val="00FE4BDE"/>
    <w:rsid w:val="00FE4FD8"/>
    <w:rsid w:val="00FE5648"/>
    <w:rsid w:val="00FE5941"/>
    <w:rsid w:val="00FE5C05"/>
    <w:rsid w:val="00FE6303"/>
    <w:rsid w:val="00FE6630"/>
    <w:rsid w:val="00FE66C9"/>
    <w:rsid w:val="00FE6CA1"/>
    <w:rsid w:val="00FE6FF7"/>
    <w:rsid w:val="00FE707E"/>
    <w:rsid w:val="00FE7BB1"/>
    <w:rsid w:val="00FE7CC4"/>
    <w:rsid w:val="00FF0180"/>
    <w:rsid w:val="00FF039C"/>
    <w:rsid w:val="00FF08DA"/>
    <w:rsid w:val="00FF0DC9"/>
    <w:rsid w:val="00FF0E7D"/>
    <w:rsid w:val="00FF0EBD"/>
    <w:rsid w:val="00FF1B90"/>
    <w:rsid w:val="00FF1D63"/>
    <w:rsid w:val="00FF1DF5"/>
    <w:rsid w:val="00FF285E"/>
    <w:rsid w:val="00FF28C3"/>
    <w:rsid w:val="00FF2A8D"/>
    <w:rsid w:val="00FF2B69"/>
    <w:rsid w:val="00FF3496"/>
    <w:rsid w:val="00FF3C5E"/>
    <w:rsid w:val="00FF3EA9"/>
    <w:rsid w:val="00FF4254"/>
    <w:rsid w:val="00FF4367"/>
    <w:rsid w:val="00FF4B7A"/>
    <w:rsid w:val="00FF4EDC"/>
    <w:rsid w:val="00FF5B4B"/>
    <w:rsid w:val="00FF752B"/>
    <w:rsid w:val="00FF7948"/>
    <w:rsid w:val="00FF7BA7"/>
    <w:rsid w:val="0799F08F"/>
    <w:rsid w:val="14D472AF"/>
    <w:rsid w:val="247D5C8A"/>
    <w:rsid w:val="27FFA715"/>
    <w:rsid w:val="463439A8"/>
    <w:rsid w:val="551F5292"/>
    <w:rsid w:val="62201C67"/>
    <w:rsid w:val="6A4DBCAF"/>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74A44"/>
  <w15:chartTrackingRefBased/>
  <w15:docId w15:val="{0505FA21-AF04-4014-9466-28460162F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188"/>
    <w:pPr>
      <w:jc w:val="both"/>
    </w:pPr>
    <w:rPr>
      <w:rFonts w:ascii="Arial" w:hAnsi="Arial"/>
      <w:sz w:val="24"/>
      <w:lang w:val="es-ES_tradnl" w:eastAsia="es-ES"/>
    </w:rPr>
  </w:style>
  <w:style w:type="paragraph" w:styleId="Ttulo1">
    <w:name w:val="heading 1"/>
    <w:basedOn w:val="Normal"/>
    <w:next w:val="Normal"/>
    <w:link w:val="Ttulo1Car"/>
    <w:qFormat/>
    <w:pPr>
      <w:keepNext/>
      <w:numPr>
        <w:numId w:val="28"/>
      </w:numPr>
      <w:suppressAutoHyphens/>
      <w:spacing w:after="240"/>
      <w:outlineLvl w:val="0"/>
    </w:pPr>
    <w:rPr>
      <w:b/>
    </w:rPr>
  </w:style>
  <w:style w:type="paragraph" w:styleId="Ttulo2">
    <w:name w:val="heading 2"/>
    <w:basedOn w:val="Normal"/>
    <w:next w:val="Normal"/>
    <w:link w:val="Ttulo2Car"/>
    <w:qFormat/>
    <w:pPr>
      <w:keepNext/>
      <w:numPr>
        <w:ilvl w:val="1"/>
        <w:numId w:val="28"/>
      </w:numPr>
      <w:spacing w:after="240"/>
      <w:outlineLvl w:val="1"/>
    </w:pPr>
    <w:rPr>
      <w:b/>
      <w:szCs w:val="24"/>
    </w:rPr>
  </w:style>
  <w:style w:type="paragraph" w:styleId="Ttulo3">
    <w:name w:val="heading 3"/>
    <w:basedOn w:val="Normal"/>
    <w:next w:val="Normal"/>
    <w:qFormat/>
    <w:pPr>
      <w:keepNext/>
      <w:numPr>
        <w:ilvl w:val="2"/>
        <w:numId w:val="28"/>
      </w:numPr>
      <w:tabs>
        <w:tab w:val="left" w:pos="0"/>
      </w:tabs>
      <w:suppressAutoHyphens/>
      <w:spacing w:after="240"/>
      <w:outlineLvl w:val="2"/>
    </w:pPr>
    <w:rPr>
      <w:b/>
      <w:lang w:val="es-ES"/>
    </w:rPr>
  </w:style>
  <w:style w:type="paragraph" w:styleId="Ttulo4">
    <w:name w:val="heading 4"/>
    <w:basedOn w:val="Normal"/>
    <w:next w:val="Normal"/>
    <w:link w:val="Ttulo4Car"/>
    <w:qFormat/>
    <w:pPr>
      <w:keepNext/>
      <w:numPr>
        <w:ilvl w:val="3"/>
        <w:numId w:val="28"/>
      </w:numPr>
      <w:spacing w:after="240"/>
      <w:outlineLvl w:val="3"/>
    </w:pPr>
    <w:rPr>
      <w:b/>
    </w:rPr>
  </w:style>
  <w:style w:type="paragraph" w:styleId="Ttulo5">
    <w:name w:val="heading 5"/>
    <w:basedOn w:val="Normal"/>
    <w:next w:val="Normal"/>
    <w:qFormat/>
    <w:pPr>
      <w:keepNext/>
      <w:numPr>
        <w:ilvl w:val="4"/>
        <w:numId w:val="28"/>
      </w:numPr>
      <w:spacing w:after="240"/>
      <w:outlineLvl w:val="4"/>
    </w:pPr>
    <w:rPr>
      <w:sz w:val="22"/>
    </w:rPr>
  </w:style>
  <w:style w:type="paragraph" w:styleId="Ttulo6">
    <w:name w:val="heading 6"/>
    <w:basedOn w:val="Normal"/>
    <w:next w:val="Normal"/>
    <w:qFormat/>
    <w:pPr>
      <w:numPr>
        <w:ilvl w:val="5"/>
        <w:numId w:val="28"/>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28"/>
      </w:numPr>
      <w:spacing w:before="240" w:after="60"/>
      <w:outlineLvl w:val="6"/>
    </w:pPr>
    <w:rPr>
      <w:sz w:val="20"/>
    </w:rPr>
  </w:style>
  <w:style w:type="paragraph" w:styleId="Ttulo8">
    <w:name w:val="heading 8"/>
    <w:basedOn w:val="Normal"/>
    <w:next w:val="Normal"/>
    <w:qFormat/>
    <w:pPr>
      <w:numPr>
        <w:ilvl w:val="7"/>
        <w:numId w:val="28"/>
      </w:numPr>
      <w:spacing w:before="240" w:after="60"/>
      <w:outlineLvl w:val="7"/>
    </w:pPr>
    <w:rPr>
      <w:i/>
      <w:sz w:val="20"/>
    </w:rPr>
  </w:style>
  <w:style w:type="paragraph" w:styleId="Ttulo9">
    <w:name w:val="heading 9"/>
    <w:basedOn w:val="Normal"/>
    <w:next w:val="Normal"/>
    <w:qFormat/>
    <w:pPr>
      <w:numPr>
        <w:ilvl w:val="8"/>
        <w:numId w:val="28"/>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paragraph" w:styleId="Ttulo">
    <w:name w:val="Title"/>
    <w:basedOn w:val="Normal"/>
    <w:link w:val="TtuloCar"/>
    <w:qFormat/>
    <w:pPr>
      <w:jc w:val="center"/>
    </w:pPr>
    <w:rPr>
      <w:b/>
    </w:rPr>
  </w:style>
  <w:style w:type="character" w:customStyle="1" w:styleId="TtuloCar">
    <w:name w:val="Título Car"/>
    <w:basedOn w:val="Fuentedeprrafopredeter"/>
    <w:link w:val="Ttulo"/>
    <w:rsid w:val="00E7209B"/>
    <w:rPr>
      <w:rFonts w:ascii="Arial" w:hAnsi="Arial"/>
      <w:b/>
      <w:sz w:val="24"/>
      <w:lang w:val="es-ES_tradnl" w:eastAsia="es-ES"/>
    </w:rPr>
  </w:style>
  <w:style w:type="paragraph" w:styleId="TDC1">
    <w:name w:val="toc 1"/>
    <w:basedOn w:val="Normal"/>
    <w:next w:val="Normal"/>
    <w:autoRedefine/>
    <w:uiPriority w:val="39"/>
    <w:rsid w:val="00721382"/>
    <w:pPr>
      <w:tabs>
        <w:tab w:val="left" w:pos="480"/>
        <w:tab w:val="right" w:leader="dot" w:pos="8828"/>
      </w:tabs>
      <w:spacing w:before="120" w:line="360" w:lineRule="auto"/>
    </w:pPr>
    <w:rPr>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uiPriority w:val="39"/>
    <w:rsid w:val="00D005AE"/>
    <w:pPr>
      <w:tabs>
        <w:tab w:val="left" w:pos="1276"/>
        <w:tab w:val="right" w:leader="dot" w:pos="9396"/>
      </w:tabs>
      <w:ind w:left="1276" w:hanging="796"/>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7100C"/>
    <w:rPr>
      <w:rFonts w:ascii="Arial" w:hAnsi="Arial"/>
      <w:sz w:val="24"/>
      <w:lang w:val="es-ES_tradnl" w:eastAsia="es-ES"/>
    </w:rPr>
  </w:style>
  <w:style w:type="paragraph" w:styleId="Textonotapie">
    <w:name w:val="footnote text"/>
    <w:basedOn w:val="Normal"/>
    <w:link w:val="TextonotapieCar"/>
    <w:semiHidden/>
    <w:rPr>
      <w:sz w:val="20"/>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6">
    <w:name w:val="toc 6"/>
    <w:basedOn w:val="Normal"/>
    <w:next w:val="Normal"/>
    <w:autoRedefine/>
    <w:uiPriority w:val="39"/>
    <w:pPr>
      <w:ind w:left="120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8D1D5D"/>
    <w:rPr>
      <w:rFonts w:ascii="Arial" w:hAnsi="Arial"/>
      <w:sz w:val="24"/>
      <w:lang w:val="es-ES_tradnl" w:eastAsia="es-ES"/>
    </w:r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aliases w:val="Figura"/>
    <w:basedOn w:val="Normal"/>
    <w:next w:val="Normal"/>
    <w:uiPriority w:val="99"/>
    <w:rsid w:val="00721382"/>
    <w:pPr>
      <w:tabs>
        <w:tab w:val="right" w:leader="dot" w:pos="8828"/>
      </w:tabs>
      <w:ind w:left="480" w:hanging="480"/>
    </w:pPr>
    <w:rPr>
      <w:noProof/>
      <w:sz w:val="22"/>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paragraph" w:styleId="Prrafodelista">
    <w:name w:val="List Paragraph"/>
    <w:aliases w:val="Párrafo de lista1,Bolita,Párrafo de lista3,BOLA,Párrafo de lista21"/>
    <w:basedOn w:val="Normal"/>
    <w:link w:val="PrrafodelistaCar"/>
    <w:uiPriority w:val="34"/>
    <w:qFormat/>
    <w:rsid w:val="003C55ED"/>
    <w:pPr>
      <w:ind w:left="708"/>
    </w:pPr>
  </w:style>
  <w:style w:type="paragraph" w:styleId="NormalWeb">
    <w:name w:val="Normal (Web)"/>
    <w:basedOn w:val="Normal"/>
    <w:uiPriority w:val="99"/>
    <w:unhideWhenUsed/>
    <w:rsid w:val="00DB6372"/>
    <w:pPr>
      <w:spacing w:before="100" w:beforeAutospacing="1" w:after="100" w:afterAutospacing="1"/>
      <w:jc w:val="left"/>
    </w:pPr>
    <w:rPr>
      <w:rFonts w:ascii="Times New Roman" w:hAnsi="Times New Roman"/>
      <w:szCs w:val="24"/>
      <w:lang w:val="es-CO" w:eastAsia="es-CO"/>
    </w:rPr>
  </w:style>
  <w:style w:type="paragraph" w:customStyle="1" w:styleId="ARTICULOS">
    <w:name w:val="ARTICULOS"/>
    <w:basedOn w:val="Normal"/>
    <w:link w:val="ARTICULOSCar"/>
    <w:qFormat/>
    <w:rsid w:val="0071012C"/>
    <w:pPr>
      <w:widowControl w:val="0"/>
      <w:numPr>
        <w:numId w:val="2"/>
      </w:numPr>
      <w:tabs>
        <w:tab w:val="left" w:pos="1559"/>
      </w:tabs>
      <w:adjustRightInd w:val="0"/>
      <w:ind w:left="0" w:firstLine="0"/>
      <w:textAlignment w:val="baseline"/>
    </w:pPr>
    <w:rPr>
      <w:rFonts w:ascii="Bookman Old Style" w:hAnsi="Bookman Old Style"/>
      <w:bCs/>
      <w:szCs w:val="24"/>
      <w:lang w:val="x-none" w:eastAsia="x-none"/>
    </w:rPr>
  </w:style>
  <w:style w:type="character" w:customStyle="1" w:styleId="ARTICULOSCar">
    <w:name w:val="ARTICULOS Car"/>
    <w:link w:val="ARTICULOS"/>
    <w:rsid w:val="0071012C"/>
    <w:rPr>
      <w:rFonts w:ascii="Bookman Old Style" w:hAnsi="Bookman Old Style"/>
      <w:bCs/>
      <w:sz w:val="24"/>
      <w:szCs w:val="24"/>
      <w:lang w:val="x-none" w:eastAsia="x-none"/>
    </w:rPr>
  </w:style>
  <w:style w:type="paragraph" w:styleId="Descripcin">
    <w:name w:val="caption"/>
    <w:basedOn w:val="Normal"/>
    <w:next w:val="Normal"/>
    <w:uiPriority w:val="35"/>
    <w:qFormat/>
    <w:rsid w:val="00CD0A86"/>
    <w:pPr>
      <w:spacing w:after="200"/>
    </w:pPr>
    <w:rPr>
      <w:i/>
      <w:iCs/>
      <w:color w:val="44546A" w:themeColor="text2"/>
      <w:sz w:val="18"/>
      <w:szCs w:val="18"/>
    </w:rPr>
  </w:style>
  <w:style w:type="table" w:styleId="Tablaconcuadrcula">
    <w:name w:val="Table Grid"/>
    <w:basedOn w:val="Tablanormal"/>
    <w:uiPriority w:val="39"/>
    <w:rsid w:val="00614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005AE"/>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MX" w:eastAsia="es-MX"/>
    </w:rPr>
  </w:style>
  <w:style w:type="paragraph" w:styleId="Textodeglobo">
    <w:name w:val="Balloon Text"/>
    <w:basedOn w:val="Normal"/>
    <w:link w:val="TextodegloboCar"/>
    <w:uiPriority w:val="99"/>
    <w:semiHidden/>
    <w:unhideWhenUsed/>
    <w:rsid w:val="008D1D5D"/>
    <w:pPr>
      <w:jc w:val="left"/>
    </w:pPr>
    <w:rPr>
      <w:rFonts w:ascii="Segoe UI" w:eastAsiaTheme="minorHAns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8D1D5D"/>
    <w:rPr>
      <w:rFonts w:ascii="Segoe UI" w:eastAsiaTheme="minorHAnsi" w:hAnsi="Segoe UI" w:cs="Segoe UI"/>
      <w:sz w:val="18"/>
      <w:szCs w:val="18"/>
      <w:lang w:eastAsia="en-US"/>
    </w:rPr>
  </w:style>
  <w:style w:type="paragraph" w:styleId="Asuntodelcomentario">
    <w:name w:val="annotation subject"/>
    <w:basedOn w:val="Textocomentario"/>
    <w:next w:val="Textocomentario"/>
    <w:link w:val="AsuntodelcomentarioCar"/>
    <w:uiPriority w:val="99"/>
    <w:semiHidden/>
    <w:unhideWhenUsed/>
    <w:rsid w:val="008E3310"/>
    <w:rPr>
      <w:b/>
      <w:bCs/>
    </w:rPr>
  </w:style>
  <w:style w:type="character" w:customStyle="1" w:styleId="AsuntodelcomentarioCar">
    <w:name w:val="Asunto del comentario Car"/>
    <w:basedOn w:val="TextocomentarioCar"/>
    <w:link w:val="Asuntodelcomentario"/>
    <w:uiPriority w:val="99"/>
    <w:semiHidden/>
    <w:rsid w:val="008E3310"/>
    <w:rPr>
      <w:rFonts w:ascii="Arial" w:hAnsi="Arial"/>
      <w:b/>
      <w:bCs/>
      <w:lang w:val="es-ES_tradnl" w:eastAsia="es-ES"/>
    </w:rPr>
  </w:style>
  <w:style w:type="character" w:styleId="Textodelmarcadordeposicin">
    <w:name w:val="Placeholder Text"/>
    <w:basedOn w:val="Fuentedeprrafopredeter"/>
    <w:uiPriority w:val="99"/>
    <w:semiHidden/>
    <w:rsid w:val="00322B0F"/>
    <w:rPr>
      <w:color w:val="808080"/>
    </w:rPr>
  </w:style>
  <w:style w:type="character" w:customStyle="1" w:styleId="letra8pt">
    <w:name w:val="letra8pt"/>
    <w:basedOn w:val="Fuentedeprrafopredeter"/>
    <w:rsid w:val="00BB596C"/>
  </w:style>
  <w:style w:type="character" w:customStyle="1" w:styleId="iaj">
    <w:name w:val="i_aj"/>
    <w:basedOn w:val="Fuentedeprrafopredeter"/>
    <w:rsid w:val="00C14953"/>
  </w:style>
  <w:style w:type="paragraph" w:customStyle="1" w:styleId="Default">
    <w:name w:val="Default"/>
    <w:rsid w:val="000864E6"/>
    <w:pPr>
      <w:autoSpaceDE w:val="0"/>
      <w:autoSpaceDN w:val="0"/>
      <w:adjustRightInd w:val="0"/>
    </w:pPr>
    <w:rPr>
      <w:rFonts w:ascii="Arial" w:hAnsi="Arial" w:cs="Arial"/>
      <w:color w:val="000000"/>
      <w:sz w:val="24"/>
      <w:szCs w:val="24"/>
    </w:rPr>
  </w:style>
  <w:style w:type="character" w:styleId="Mencinsinresolver">
    <w:name w:val="Unresolved Mention"/>
    <w:basedOn w:val="Fuentedeprrafopredeter"/>
    <w:uiPriority w:val="99"/>
    <w:semiHidden/>
    <w:unhideWhenUsed/>
    <w:rsid w:val="008E42B5"/>
    <w:rPr>
      <w:color w:val="605E5C"/>
      <w:shd w:val="clear" w:color="auto" w:fill="E1DFDD"/>
    </w:rPr>
  </w:style>
  <w:style w:type="paragraph" w:styleId="Revisin">
    <w:name w:val="Revision"/>
    <w:hidden/>
    <w:uiPriority w:val="99"/>
    <w:semiHidden/>
    <w:rsid w:val="009F3055"/>
    <w:rPr>
      <w:rFonts w:ascii="Arial" w:hAnsi="Arial"/>
      <w:sz w:val="24"/>
      <w:lang w:val="es-ES_tradnl" w:eastAsia="es-ES"/>
    </w:rPr>
  </w:style>
  <w:style w:type="character" w:customStyle="1" w:styleId="PrrafodelistaCar">
    <w:name w:val="Párrafo de lista Car"/>
    <w:aliases w:val="Párrafo de lista1 Car,Bolita Car,Párrafo de lista3 Car,BOLA Car,Párrafo de lista21 Car"/>
    <w:link w:val="Prrafodelista"/>
    <w:uiPriority w:val="34"/>
    <w:rsid w:val="000D2BBB"/>
    <w:rPr>
      <w:rFonts w:ascii="Arial" w:hAnsi="Arial"/>
      <w:sz w:val="24"/>
      <w:lang w:val="es-ES_tradnl" w:eastAsia="es-ES"/>
    </w:rPr>
  </w:style>
  <w:style w:type="numbering" w:customStyle="1" w:styleId="Listaactual1">
    <w:name w:val="Lista actual1"/>
    <w:uiPriority w:val="99"/>
    <w:rsid w:val="0057289E"/>
    <w:pPr>
      <w:numPr>
        <w:numId w:val="25"/>
      </w:numPr>
    </w:pPr>
  </w:style>
  <w:style w:type="numbering" w:customStyle="1" w:styleId="Listaactual2">
    <w:name w:val="Lista actual2"/>
    <w:uiPriority w:val="99"/>
    <w:rsid w:val="00DD775B"/>
    <w:pPr>
      <w:numPr>
        <w:numId w:val="26"/>
      </w:numPr>
    </w:pPr>
  </w:style>
  <w:style w:type="numbering" w:customStyle="1" w:styleId="Listaactual3">
    <w:name w:val="Lista actual3"/>
    <w:uiPriority w:val="99"/>
    <w:rsid w:val="00DD775B"/>
    <w:pPr>
      <w:numPr>
        <w:numId w:val="27"/>
      </w:numPr>
    </w:pPr>
  </w:style>
  <w:style w:type="numbering" w:customStyle="1" w:styleId="Listaactual4">
    <w:name w:val="Lista actual4"/>
    <w:uiPriority w:val="99"/>
    <w:rsid w:val="00DD775B"/>
    <w:pPr>
      <w:numPr>
        <w:numId w:val="29"/>
      </w:numPr>
    </w:pPr>
  </w:style>
  <w:style w:type="numbering" w:customStyle="1" w:styleId="Comentario1">
    <w:name w:val="Comentario 1"/>
    <w:basedOn w:val="Sinlista"/>
    <w:uiPriority w:val="99"/>
    <w:rsid w:val="007D22B3"/>
    <w:pPr>
      <w:numPr>
        <w:numId w:val="30"/>
      </w:numPr>
    </w:pPr>
  </w:style>
  <w:style w:type="character" w:customStyle="1" w:styleId="Ttulo4Car">
    <w:name w:val="Título 4 Car"/>
    <w:basedOn w:val="Fuentedeprrafopredeter"/>
    <w:link w:val="Ttulo4"/>
    <w:rsid w:val="00C741B5"/>
    <w:rPr>
      <w:rFonts w:ascii="Arial" w:hAnsi="Arial"/>
      <w:b/>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7197">
      <w:bodyDiv w:val="1"/>
      <w:marLeft w:val="0"/>
      <w:marRight w:val="0"/>
      <w:marTop w:val="0"/>
      <w:marBottom w:val="0"/>
      <w:divBdr>
        <w:top w:val="none" w:sz="0" w:space="0" w:color="auto"/>
        <w:left w:val="none" w:sz="0" w:space="0" w:color="auto"/>
        <w:bottom w:val="none" w:sz="0" w:space="0" w:color="auto"/>
        <w:right w:val="none" w:sz="0" w:space="0" w:color="auto"/>
      </w:divBdr>
    </w:div>
    <w:div w:id="121268479">
      <w:bodyDiv w:val="1"/>
      <w:marLeft w:val="0"/>
      <w:marRight w:val="0"/>
      <w:marTop w:val="0"/>
      <w:marBottom w:val="0"/>
      <w:divBdr>
        <w:top w:val="none" w:sz="0" w:space="0" w:color="auto"/>
        <w:left w:val="none" w:sz="0" w:space="0" w:color="auto"/>
        <w:bottom w:val="none" w:sz="0" w:space="0" w:color="auto"/>
        <w:right w:val="none" w:sz="0" w:space="0" w:color="auto"/>
      </w:divBdr>
    </w:div>
    <w:div w:id="124349278">
      <w:bodyDiv w:val="1"/>
      <w:marLeft w:val="0"/>
      <w:marRight w:val="0"/>
      <w:marTop w:val="0"/>
      <w:marBottom w:val="0"/>
      <w:divBdr>
        <w:top w:val="none" w:sz="0" w:space="0" w:color="auto"/>
        <w:left w:val="none" w:sz="0" w:space="0" w:color="auto"/>
        <w:bottom w:val="none" w:sz="0" w:space="0" w:color="auto"/>
        <w:right w:val="none" w:sz="0" w:space="0" w:color="auto"/>
      </w:divBdr>
    </w:div>
    <w:div w:id="191496454">
      <w:bodyDiv w:val="1"/>
      <w:marLeft w:val="0"/>
      <w:marRight w:val="0"/>
      <w:marTop w:val="0"/>
      <w:marBottom w:val="0"/>
      <w:divBdr>
        <w:top w:val="none" w:sz="0" w:space="0" w:color="auto"/>
        <w:left w:val="none" w:sz="0" w:space="0" w:color="auto"/>
        <w:bottom w:val="none" w:sz="0" w:space="0" w:color="auto"/>
        <w:right w:val="none" w:sz="0" w:space="0" w:color="auto"/>
      </w:divBdr>
    </w:div>
    <w:div w:id="233050187">
      <w:bodyDiv w:val="1"/>
      <w:marLeft w:val="0"/>
      <w:marRight w:val="0"/>
      <w:marTop w:val="0"/>
      <w:marBottom w:val="0"/>
      <w:divBdr>
        <w:top w:val="none" w:sz="0" w:space="0" w:color="auto"/>
        <w:left w:val="none" w:sz="0" w:space="0" w:color="auto"/>
        <w:bottom w:val="none" w:sz="0" w:space="0" w:color="auto"/>
        <w:right w:val="none" w:sz="0" w:space="0" w:color="auto"/>
      </w:divBdr>
    </w:div>
    <w:div w:id="240599356">
      <w:bodyDiv w:val="1"/>
      <w:marLeft w:val="0"/>
      <w:marRight w:val="0"/>
      <w:marTop w:val="0"/>
      <w:marBottom w:val="0"/>
      <w:divBdr>
        <w:top w:val="none" w:sz="0" w:space="0" w:color="auto"/>
        <w:left w:val="none" w:sz="0" w:space="0" w:color="auto"/>
        <w:bottom w:val="none" w:sz="0" w:space="0" w:color="auto"/>
        <w:right w:val="none" w:sz="0" w:space="0" w:color="auto"/>
      </w:divBdr>
    </w:div>
    <w:div w:id="340938941">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477069209">
      <w:bodyDiv w:val="1"/>
      <w:marLeft w:val="0"/>
      <w:marRight w:val="0"/>
      <w:marTop w:val="0"/>
      <w:marBottom w:val="0"/>
      <w:divBdr>
        <w:top w:val="none" w:sz="0" w:space="0" w:color="auto"/>
        <w:left w:val="none" w:sz="0" w:space="0" w:color="auto"/>
        <w:bottom w:val="none" w:sz="0" w:space="0" w:color="auto"/>
        <w:right w:val="none" w:sz="0" w:space="0" w:color="auto"/>
      </w:divBdr>
    </w:div>
    <w:div w:id="486475796">
      <w:bodyDiv w:val="1"/>
      <w:marLeft w:val="0"/>
      <w:marRight w:val="0"/>
      <w:marTop w:val="0"/>
      <w:marBottom w:val="0"/>
      <w:divBdr>
        <w:top w:val="none" w:sz="0" w:space="0" w:color="auto"/>
        <w:left w:val="none" w:sz="0" w:space="0" w:color="auto"/>
        <w:bottom w:val="none" w:sz="0" w:space="0" w:color="auto"/>
        <w:right w:val="none" w:sz="0" w:space="0" w:color="auto"/>
      </w:divBdr>
      <w:divsChild>
        <w:div w:id="27995732">
          <w:marLeft w:val="446"/>
          <w:marRight w:val="0"/>
          <w:marTop w:val="0"/>
          <w:marBottom w:val="0"/>
          <w:divBdr>
            <w:top w:val="none" w:sz="0" w:space="0" w:color="auto"/>
            <w:left w:val="none" w:sz="0" w:space="0" w:color="auto"/>
            <w:bottom w:val="none" w:sz="0" w:space="0" w:color="auto"/>
            <w:right w:val="none" w:sz="0" w:space="0" w:color="auto"/>
          </w:divBdr>
        </w:div>
        <w:div w:id="183056041">
          <w:marLeft w:val="446"/>
          <w:marRight w:val="0"/>
          <w:marTop w:val="0"/>
          <w:marBottom w:val="0"/>
          <w:divBdr>
            <w:top w:val="none" w:sz="0" w:space="0" w:color="auto"/>
            <w:left w:val="none" w:sz="0" w:space="0" w:color="auto"/>
            <w:bottom w:val="none" w:sz="0" w:space="0" w:color="auto"/>
            <w:right w:val="none" w:sz="0" w:space="0" w:color="auto"/>
          </w:divBdr>
        </w:div>
        <w:div w:id="326635100">
          <w:marLeft w:val="446"/>
          <w:marRight w:val="0"/>
          <w:marTop w:val="0"/>
          <w:marBottom w:val="0"/>
          <w:divBdr>
            <w:top w:val="none" w:sz="0" w:space="0" w:color="auto"/>
            <w:left w:val="none" w:sz="0" w:space="0" w:color="auto"/>
            <w:bottom w:val="none" w:sz="0" w:space="0" w:color="auto"/>
            <w:right w:val="none" w:sz="0" w:space="0" w:color="auto"/>
          </w:divBdr>
        </w:div>
        <w:div w:id="1776362535">
          <w:marLeft w:val="446"/>
          <w:marRight w:val="0"/>
          <w:marTop w:val="0"/>
          <w:marBottom w:val="0"/>
          <w:divBdr>
            <w:top w:val="none" w:sz="0" w:space="0" w:color="auto"/>
            <w:left w:val="none" w:sz="0" w:space="0" w:color="auto"/>
            <w:bottom w:val="none" w:sz="0" w:space="0" w:color="auto"/>
            <w:right w:val="none" w:sz="0" w:space="0" w:color="auto"/>
          </w:divBdr>
        </w:div>
      </w:divsChild>
    </w:div>
    <w:div w:id="522867400">
      <w:bodyDiv w:val="1"/>
      <w:marLeft w:val="0"/>
      <w:marRight w:val="0"/>
      <w:marTop w:val="0"/>
      <w:marBottom w:val="0"/>
      <w:divBdr>
        <w:top w:val="none" w:sz="0" w:space="0" w:color="auto"/>
        <w:left w:val="none" w:sz="0" w:space="0" w:color="auto"/>
        <w:bottom w:val="none" w:sz="0" w:space="0" w:color="auto"/>
        <w:right w:val="none" w:sz="0" w:space="0" w:color="auto"/>
      </w:divBdr>
    </w:div>
    <w:div w:id="531387303">
      <w:bodyDiv w:val="1"/>
      <w:marLeft w:val="0"/>
      <w:marRight w:val="0"/>
      <w:marTop w:val="0"/>
      <w:marBottom w:val="0"/>
      <w:divBdr>
        <w:top w:val="none" w:sz="0" w:space="0" w:color="auto"/>
        <w:left w:val="none" w:sz="0" w:space="0" w:color="auto"/>
        <w:bottom w:val="none" w:sz="0" w:space="0" w:color="auto"/>
        <w:right w:val="none" w:sz="0" w:space="0" w:color="auto"/>
      </w:divBdr>
    </w:div>
    <w:div w:id="537401056">
      <w:bodyDiv w:val="1"/>
      <w:marLeft w:val="0"/>
      <w:marRight w:val="0"/>
      <w:marTop w:val="0"/>
      <w:marBottom w:val="0"/>
      <w:divBdr>
        <w:top w:val="none" w:sz="0" w:space="0" w:color="auto"/>
        <w:left w:val="none" w:sz="0" w:space="0" w:color="auto"/>
        <w:bottom w:val="none" w:sz="0" w:space="0" w:color="auto"/>
        <w:right w:val="none" w:sz="0" w:space="0" w:color="auto"/>
      </w:divBdr>
    </w:div>
    <w:div w:id="546376896">
      <w:bodyDiv w:val="1"/>
      <w:marLeft w:val="0"/>
      <w:marRight w:val="0"/>
      <w:marTop w:val="0"/>
      <w:marBottom w:val="0"/>
      <w:divBdr>
        <w:top w:val="none" w:sz="0" w:space="0" w:color="auto"/>
        <w:left w:val="none" w:sz="0" w:space="0" w:color="auto"/>
        <w:bottom w:val="none" w:sz="0" w:space="0" w:color="auto"/>
        <w:right w:val="none" w:sz="0" w:space="0" w:color="auto"/>
      </w:divBdr>
    </w:div>
    <w:div w:id="637686504">
      <w:bodyDiv w:val="1"/>
      <w:marLeft w:val="0"/>
      <w:marRight w:val="0"/>
      <w:marTop w:val="0"/>
      <w:marBottom w:val="0"/>
      <w:divBdr>
        <w:top w:val="none" w:sz="0" w:space="0" w:color="auto"/>
        <w:left w:val="none" w:sz="0" w:space="0" w:color="auto"/>
        <w:bottom w:val="none" w:sz="0" w:space="0" w:color="auto"/>
        <w:right w:val="none" w:sz="0" w:space="0" w:color="auto"/>
      </w:divBdr>
    </w:div>
    <w:div w:id="679433524">
      <w:bodyDiv w:val="1"/>
      <w:marLeft w:val="0"/>
      <w:marRight w:val="0"/>
      <w:marTop w:val="0"/>
      <w:marBottom w:val="0"/>
      <w:divBdr>
        <w:top w:val="none" w:sz="0" w:space="0" w:color="auto"/>
        <w:left w:val="none" w:sz="0" w:space="0" w:color="auto"/>
        <w:bottom w:val="none" w:sz="0" w:space="0" w:color="auto"/>
        <w:right w:val="none" w:sz="0" w:space="0" w:color="auto"/>
      </w:divBdr>
    </w:div>
    <w:div w:id="710611329">
      <w:bodyDiv w:val="1"/>
      <w:marLeft w:val="0"/>
      <w:marRight w:val="0"/>
      <w:marTop w:val="0"/>
      <w:marBottom w:val="0"/>
      <w:divBdr>
        <w:top w:val="none" w:sz="0" w:space="0" w:color="auto"/>
        <w:left w:val="none" w:sz="0" w:space="0" w:color="auto"/>
        <w:bottom w:val="none" w:sz="0" w:space="0" w:color="auto"/>
        <w:right w:val="none" w:sz="0" w:space="0" w:color="auto"/>
      </w:divBdr>
    </w:div>
    <w:div w:id="714502316">
      <w:bodyDiv w:val="1"/>
      <w:marLeft w:val="0"/>
      <w:marRight w:val="0"/>
      <w:marTop w:val="0"/>
      <w:marBottom w:val="0"/>
      <w:divBdr>
        <w:top w:val="none" w:sz="0" w:space="0" w:color="auto"/>
        <w:left w:val="none" w:sz="0" w:space="0" w:color="auto"/>
        <w:bottom w:val="none" w:sz="0" w:space="0" w:color="auto"/>
        <w:right w:val="none" w:sz="0" w:space="0" w:color="auto"/>
      </w:divBdr>
    </w:div>
    <w:div w:id="733047618">
      <w:bodyDiv w:val="1"/>
      <w:marLeft w:val="0"/>
      <w:marRight w:val="0"/>
      <w:marTop w:val="0"/>
      <w:marBottom w:val="0"/>
      <w:divBdr>
        <w:top w:val="none" w:sz="0" w:space="0" w:color="auto"/>
        <w:left w:val="none" w:sz="0" w:space="0" w:color="auto"/>
        <w:bottom w:val="none" w:sz="0" w:space="0" w:color="auto"/>
        <w:right w:val="none" w:sz="0" w:space="0" w:color="auto"/>
      </w:divBdr>
      <w:divsChild>
        <w:div w:id="1088424548">
          <w:marLeft w:val="1267"/>
          <w:marRight w:val="0"/>
          <w:marTop w:val="0"/>
          <w:marBottom w:val="0"/>
          <w:divBdr>
            <w:top w:val="none" w:sz="0" w:space="0" w:color="auto"/>
            <w:left w:val="none" w:sz="0" w:space="0" w:color="auto"/>
            <w:bottom w:val="none" w:sz="0" w:space="0" w:color="auto"/>
            <w:right w:val="none" w:sz="0" w:space="0" w:color="auto"/>
          </w:divBdr>
        </w:div>
        <w:div w:id="1840534128">
          <w:marLeft w:val="1267"/>
          <w:marRight w:val="0"/>
          <w:marTop w:val="0"/>
          <w:marBottom w:val="0"/>
          <w:divBdr>
            <w:top w:val="none" w:sz="0" w:space="0" w:color="auto"/>
            <w:left w:val="none" w:sz="0" w:space="0" w:color="auto"/>
            <w:bottom w:val="none" w:sz="0" w:space="0" w:color="auto"/>
            <w:right w:val="none" w:sz="0" w:space="0" w:color="auto"/>
          </w:divBdr>
        </w:div>
        <w:div w:id="2027514036">
          <w:marLeft w:val="1267"/>
          <w:marRight w:val="0"/>
          <w:marTop w:val="0"/>
          <w:marBottom w:val="0"/>
          <w:divBdr>
            <w:top w:val="none" w:sz="0" w:space="0" w:color="auto"/>
            <w:left w:val="none" w:sz="0" w:space="0" w:color="auto"/>
            <w:bottom w:val="none" w:sz="0" w:space="0" w:color="auto"/>
            <w:right w:val="none" w:sz="0" w:space="0" w:color="auto"/>
          </w:divBdr>
        </w:div>
      </w:divsChild>
    </w:div>
    <w:div w:id="783615491">
      <w:bodyDiv w:val="1"/>
      <w:marLeft w:val="0"/>
      <w:marRight w:val="0"/>
      <w:marTop w:val="0"/>
      <w:marBottom w:val="0"/>
      <w:divBdr>
        <w:top w:val="none" w:sz="0" w:space="0" w:color="auto"/>
        <w:left w:val="none" w:sz="0" w:space="0" w:color="auto"/>
        <w:bottom w:val="none" w:sz="0" w:space="0" w:color="auto"/>
        <w:right w:val="none" w:sz="0" w:space="0" w:color="auto"/>
      </w:divBdr>
    </w:div>
    <w:div w:id="829831102">
      <w:bodyDiv w:val="1"/>
      <w:marLeft w:val="0"/>
      <w:marRight w:val="0"/>
      <w:marTop w:val="0"/>
      <w:marBottom w:val="0"/>
      <w:divBdr>
        <w:top w:val="none" w:sz="0" w:space="0" w:color="auto"/>
        <w:left w:val="none" w:sz="0" w:space="0" w:color="auto"/>
        <w:bottom w:val="none" w:sz="0" w:space="0" w:color="auto"/>
        <w:right w:val="none" w:sz="0" w:space="0" w:color="auto"/>
      </w:divBdr>
    </w:div>
    <w:div w:id="836919033">
      <w:bodyDiv w:val="1"/>
      <w:marLeft w:val="0"/>
      <w:marRight w:val="0"/>
      <w:marTop w:val="0"/>
      <w:marBottom w:val="0"/>
      <w:divBdr>
        <w:top w:val="none" w:sz="0" w:space="0" w:color="auto"/>
        <w:left w:val="none" w:sz="0" w:space="0" w:color="auto"/>
        <w:bottom w:val="none" w:sz="0" w:space="0" w:color="auto"/>
        <w:right w:val="none" w:sz="0" w:space="0" w:color="auto"/>
      </w:divBdr>
    </w:div>
    <w:div w:id="868025754">
      <w:bodyDiv w:val="1"/>
      <w:marLeft w:val="0"/>
      <w:marRight w:val="0"/>
      <w:marTop w:val="0"/>
      <w:marBottom w:val="0"/>
      <w:divBdr>
        <w:top w:val="none" w:sz="0" w:space="0" w:color="auto"/>
        <w:left w:val="none" w:sz="0" w:space="0" w:color="auto"/>
        <w:bottom w:val="none" w:sz="0" w:space="0" w:color="auto"/>
        <w:right w:val="none" w:sz="0" w:space="0" w:color="auto"/>
      </w:divBdr>
    </w:div>
    <w:div w:id="900671172">
      <w:bodyDiv w:val="1"/>
      <w:marLeft w:val="0"/>
      <w:marRight w:val="0"/>
      <w:marTop w:val="0"/>
      <w:marBottom w:val="0"/>
      <w:divBdr>
        <w:top w:val="none" w:sz="0" w:space="0" w:color="auto"/>
        <w:left w:val="none" w:sz="0" w:space="0" w:color="auto"/>
        <w:bottom w:val="none" w:sz="0" w:space="0" w:color="auto"/>
        <w:right w:val="none" w:sz="0" w:space="0" w:color="auto"/>
      </w:divBdr>
    </w:div>
    <w:div w:id="955869782">
      <w:bodyDiv w:val="1"/>
      <w:marLeft w:val="0"/>
      <w:marRight w:val="0"/>
      <w:marTop w:val="0"/>
      <w:marBottom w:val="0"/>
      <w:divBdr>
        <w:top w:val="none" w:sz="0" w:space="0" w:color="auto"/>
        <w:left w:val="none" w:sz="0" w:space="0" w:color="auto"/>
        <w:bottom w:val="none" w:sz="0" w:space="0" w:color="auto"/>
        <w:right w:val="none" w:sz="0" w:space="0" w:color="auto"/>
      </w:divBdr>
      <w:divsChild>
        <w:div w:id="597369707">
          <w:marLeft w:val="547"/>
          <w:marRight w:val="0"/>
          <w:marTop w:val="0"/>
          <w:marBottom w:val="0"/>
          <w:divBdr>
            <w:top w:val="none" w:sz="0" w:space="0" w:color="auto"/>
            <w:left w:val="none" w:sz="0" w:space="0" w:color="auto"/>
            <w:bottom w:val="none" w:sz="0" w:space="0" w:color="auto"/>
            <w:right w:val="none" w:sz="0" w:space="0" w:color="auto"/>
          </w:divBdr>
        </w:div>
        <w:div w:id="2111506561">
          <w:marLeft w:val="547"/>
          <w:marRight w:val="0"/>
          <w:marTop w:val="0"/>
          <w:marBottom w:val="0"/>
          <w:divBdr>
            <w:top w:val="none" w:sz="0" w:space="0" w:color="auto"/>
            <w:left w:val="none" w:sz="0" w:space="0" w:color="auto"/>
            <w:bottom w:val="none" w:sz="0" w:space="0" w:color="auto"/>
            <w:right w:val="none" w:sz="0" w:space="0" w:color="auto"/>
          </w:divBdr>
        </w:div>
      </w:divsChild>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970787556">
      <w:bodyDiv w:val="1"/>
      <w:marLeft w:val="0"/>
      <w:marRight w:val="0"/>
      <w:marTop w:val="0"/>
      <w:marBottom w:val="0"/>
      <w:divBdr>
        <w:top w:val="none" w:sz="0" w:space="0" w:color="auto"/>
        <w:left w:val="none" w:sz="0" w:space="0" w:color="auto"/>
        <w:bottom w:val="none" w:sz="0" w:space="0" w:color="auto"/>
        <w:right w:val="none" w:sz="0" w:space="0" w:color="auto"/>
      </w:divBdr>
    </w:div>
    <w:div w:id="975456038">
      <w:bodyDiv w:val="1"/>
      <w:marLeft w:val="0"/>
      <w:marRight w:val="0"/>
      <w:marTop w:val="0"/>
      <w:marBottom w:val="0"/>
      <w:divBdr>
        <w:top w:val="none" w:sz="0" w:space="0" w:color="auto"/>
        <w:left w:val="none" w:sz="0" w:space="0" w:color="auto"/>
        <w:bottom w:val="none" w:sz="0" w:space="0" w:color="auto"/>
        <w:right w:val="none" w:sz="0" w:space="0" w:color="auto"/>
      </w:divBdr>
    </w:div>
    <w:div w:id="1033926058">
      <w:bodyDiv w:val="1"/>
      <w:marLeft w:val="0"/>
      <w:marRight w:val="0"/>
      <w:marTop w:val="0"/>
      <w:marBottom w:val="0"/>
      <w:divBdr>
        <w:top w:val="none" w:sz="0" w:space="0" w:color="auto"/>
        <w:left w:val="none" w:sz="0" w:space="0" w:color="auto"/>
        <w:bottom w:val="none" w:sz="0" w:space="0" w:color="auto"/>
        <w:right w:val="none" w:sz="0" w:space="0" w:color="auto"/>
      </w:divBdr>
      <w:divsChild>
        <w:div w:id="1422675417">
          <w:marLeft w:val="547"/>
          <w:marRight w:val="0"/>
          <w:marTop w:val="0"/>
          <w:marBottom w:val="0"/>
          <w:divBdr>
            <w:top w:val="none" w:sz="0" w:space="0" w:color="auto"/>
            <w:left w:val="none" w:sz="0" w:space="0" w:color="auto"/>
            <w:bottom w:val="none" w:sz="0" w:space="0" w:color="auto"/>
            <w:right w:val="none" w:sz="0" w:space="0" w:color="auto"/>
          </w:divBdr>
        </w:div>
        <w:div w:id="1665206171">
          <w:marLeft w:val="547"/>
          <w:marRight w:val="0"/>
          <w:marTop w:val="0"/>
          <w:marBottom w:val="0"/>
          <w:divBdr>
            <w:top w:val="none" w:sz="0" w:space="0" w:color="auto"/>
            <w:left w:val="none" w:sz="0" w:space="0" w:color="auto"/>
            <w:bottom w:val="none" w:sz="0" w:space="0" w:color="auto"/>
            <w:right w:val="none" w:sz="0" w:space="0" w:color="auto"/>
          </w:divBdr>
        </w:div>
        <w:div w:id="2031947282">
          <w:marLeft w:val="547"/>
          <w:marRight w:val="0"/>
          <w:marTop w:val="0"/>
          <w:marBottom w:val="0"/>
          <w:divBdr>
            <w:top w:val="none" w:sz="0" w:space="0" w:color="auto"/>
            <w:left w:val="none" w:sz="0" w:space="0" w:color="auto"/>
            <w:bottom w:val="none" w:sz="0" w:space="0" w:color="auto"/>
            <w:right w:val="none" w:sz="0" w:space="0" w:color="auto"/>
          </w:divBdr>
        </w:div>
      </w:divsChild>
    </w:div>
    <w:div w:id="1082288673">
      <w:bodyDiv w:val="1"/>
      <w:marLeft w:val="0"/>
      <w:marRight w:val="0"/>
      <w:marTop w:val="0"/>
      <w:marBottom w:val="0"/>
      <w:divBdr>
        <w:top w:val="none" w:sz="0" w:space="0" w:color="auto"/>
        <w:left w:val="none" w:sz="0" w:space="0" w:color="auto"/>
        <w:bottom w:val="none" w:sz="0" w:space="0" w:color="auto"/>
        <w:right w:val="none" w:sz="0" w:space="0" w:color="auto"/>
      </w:divBdr>
    </w:div>
    <w:div w:id="1095587765">
      <w:bodyDiv w:val="1"/>
      <w:marLeft w:val="0"/>
      <w:marRight w:val="0"/>
      <w:marTop w:val="0"/>
      <w:marBottom w:val="0"/>
      <w:divBdr>
        <w:top w:val="none" w:sz="0" w:space="0" w:color="auto"/>
        <w:left w:val="none" w:sz="0" w:space="0" w:color="auto"/>
        <w:bottom w:val="none" w:sz="0" w:space="0" w:color="auto"/>
        <w:right w:val="none" w:sz="0" w:space="0" w:color="auto"/>
      </w:divBdr>
    </w:div>
    <w:div w:id="1128205344">
      <w:bodyDiv w:val="1"/>
      <w:marLeft w:val="0"/>
      <w:marRight w:val="0"/>
      <w:marTop w:val="0"/>
      <w:marBottom w:val="0"/>
      <w:divBdr>
        <w:top w:val="none" w:sz="0" w:space="0" w:color="auto"/>
        <w:left w:val="none" w:sz="0" w:space="0" w:color="auto"/>
        <w:bottom w:val="none" w:sz="0" w:space="0" w:color="auto"/>
        <w:right w:val="none" w:sz="0" w:space="0" w:color="auto"/>
      </w:divBdr>
      <w:divsChild>
        <w:div w:id="1156602802">
          <w:marLeft w:val="547"/>
          <w:marRight w:val="0"/>
          <w:marTop w:val="0"/>
          <w:marBottom w:val="0"/>
          <w:divBdr>
            <w:top w:val="none" w:sz="0" w:space="0" w:color="auto"/>
            <w:left w:val="none" w:sz="0" w:space="0" w:color="auto"/>
            <w:bottom w:val="none" w:sz="0" w:space="0" w:color="auto"/>
            <w:right w:val="none" w:sz="0" w:space="0" w:color="auto"/>
          </w:divBdr>
        </w:div>
        <w:div w:id="1538154314">
          <w:marLeft w:val="547"/>
          <w:marRight w:val="0"/>
          <w:marTop w:val="0"/>
          <w:marBottom w:val="0"/>
          <w:divBdr>
            <w:top w:val="none" w:sz="0" w:space="0" w:color="auto"/>
            <w:left w:val="none" w:sz="0" w:space="0" w:color="auto"/>
            <w:bottom w:val="none" w:sz="0" w:space="0" w:color="auto"/>
            <w:right w:val="none" w:sz="0" w:space="0" w:color="auto"/>
          </w:divBdr>
        </w:div>
      </w:divsChild>
    </w:div>
    <w:div w:id="1230464092">
      <w:bodyDiv w:val="1"/>
      <w:marLeft w:val="0"/>
      <w:marRight w:val="0"/>
      <w:marTop w:val="0"/>
      <w:marBottom w:val="0"/>
      <w:divBdr>
        <w:top w:val="none" w:sz="0" w:space="0" w:color="auto"/>
        <w:left w:val="none" w:sz="0" w:space="0" w:color="auto"/>
        <w:bottom w:val="none" w:sz="0" w:space="0" w:color="auto"/>
        <w:right w:val="none" w:sz="0" w:space="0" w:color="auto"/>
      </w:divBdr>
    </w:div>
    <w:div w:id="1254507333">
      <w:bodyDiv w:val="1"/>
      <w:marLeft w:val="0"/>
      <w:marRight w:val="0"/>
      <w:marTop w:val="0"/>
      <w:marBottom w:val="0"/>
      <w:divBdr>
        <w:top w:val="none" w:sz="0" w:space="0" w:color="auto"/>
        <w:left w:val="none" w:sz="0" w:space="0" w:color="auto"/>
        <w:bottom w:val="none" w:sz="0" w:space="0" w:color="auto"/>
        <w:right w:val="none" w:sz="0" w:space="0" w:color="auto"/>
      </w:divBdr>
    </w:div>
    <w:div w:id="1255551170">
      <w:bodyDiv w:val="1"/>
      <w:marLeft w:val="0"/>
      <w:marRight w:val="0"/>
      <w:marTop w:val="0"/>
      <w:marBottom w:val="0"/>
      <w:divBdr>
        <w:top w:val="none" w:sz="0" w:space="0" w:color="auto"/>
        <w:left w:val="none" w:sz="0" w:space="0" w:color="auto"/>
        <w:bottom w:val="none" w:sz="0" w:space="0" w:color="auto"/>
        <w:right w:val="none" w:sz="0" w:space="0" w:color="auto"/>
      </w:divBdr>
    </w:div>
    <w:div w:id="1289166102">
      <w:bodyDiv w:val="1"/>
      <w:marLeft w:val="0"/>
      <w:marRight w:val="0"/>
      <w:marTop w:val="0"/>
      <w:marBottom w:val="0"/>
      <w:divBdr>
        <w:top w:val="none" w:sz="0" w:space="0" w:color="auto"/>
        <w:left w:val="none" w:sz="0" w:space="0" w:color="auto"/>
        <w:bottom w:val="none" w:sz="0" w:space="0" w:color="auto"/>
        <w:right w:val="none" w:sz="0" w:space="0" w:color="auto"/>
      </w:divBdr>
    </w:div>
    <w:div w:id="1306161171">
      <w:bodyDiv w:val="1"/>
      <w:marLeft w:val="0"/>
      <w:marRight w:val="0"/>
      <w:marTop w:val="0"/>
      <w:marBottom w:val="0"/>
      <w:divBdr>
        <w:top w:val="none" w:sz="0" w:space="0" w:color="auto"/>
        <w:left w:val="none" w:sz="0" w:space="0" w:color="auto"/>
        <w:bottom w:val="none" w:sz="0" w:space="0" w:color="auto"/>
        <w:right w:val="none" w:sz="0" w:space="0" w:color="auto"/>
      </w:divBdr>
    </w:div>
    <w:div w:id="1415592389">
      <w:bodyDiv w:val="1"/>
      <w:marLeft w:val="0"/>
      <w:marRight w:val="0"/>
      <w:marTop w:val="0"/>
      <w:marBottom w:val="0"/>
      <w:divBdr>
        <w:top w:val="none" w:sz="0" w:space="0" w:color="auto"/>
        <w:left w:val="none" w:sz="0" w:space="0" w:color="auto"/>
        <w:bottom w:val="none" w:sz="0" w:space="0" w:color="auto"/>
        <w:right w:val="none" w:sz="0" w:space="0" w:color="auto"/>
      </w:divBdr>
    </w:div>
    <w:div w:id="1448423636">
      <w:bodyDiv w:val="1"/>
      <w:marLeft w:val="0"/>
      <w:marRight w:val="0"/>
      <w:marTop w:val="0"/>
      <w:marBottom w:val="0"/>
      <w:divBdr>
        <w:top w:val="none" w:sz="0" w:space="0" w:color="auto"/>
        <w:left w:val="none" w:sz="0" w:space="0" w:color="auto"/>
        <w:bottom w:val="none" w:sz="0" w:space="0" w:color="auto"/>
        <w:right w:val="none" w:sz="0" w:space="0" w:color="auto"/>
      </w:divBdr>
    </w:div>
    <w:div w:id="1477987143">
      <w:bodyDiv w:val="1"/>
      <w:marLeft w:val="0"/>
      <w:marRight w:val="0"/>
      <w:marTop w:val="0"/>
      <w:marBottom w:val="0"/>
      <w:divBdr>
        <w:top w:val="none" w:sz="0" w:space="0" w:color="auto"/>
        <w:left w:val="none" w:sz="0" w:space="0" w:color="auto"/>
        <w:bottom w:val="none" w:sz="0" w:space="0" w:color="auto"/>
        <w:right w:val="none" w:sz="0" w:space="0" w:color="auto"/>
      </w:divBdr>
    </w:div>
    <w:div w:id="1530878542">
      <w:bodyDiv w:val="1"/>
      <w:marLeft w:val="0"/>
      <w:marRight w:val="0"/>
      <w:marTop w:val="0"/>
      <w:marBottom w:val="0"/>
      <w:divBdr>
        <w:top w:val="none" w:sz="0" w:space="0" w:color="auto"/>
        <w:left w:val="none" w:sz="0" w:space="0" w:color="auto"/>
        <w:bottom w:val="none" w:sz="0" w:space="0" w:color="auto"/>
        <w:right w:val="none" w:sz="0" w:space="0" w:color="auto"/>
      </w:divBdr>
    </w:div>
    <w:div w:id="1572930330">
      <w:bodyDiv w:val="1"/>
      <w:marLeft w:val="0"/>
      <w:marRight w:val="0"/>
      <w:marTop w:val="0"/>
      <w:marBottom w:val="0"/>
      <w:divBdr>
        <w:top w:val="none" w:sz="0" w:space="0" w:color="auto"/>
        <w:left w:val="none" w:sz="0" w:space="0" w:color="auto"/>
        <w:bottom w:val="none" w:sz="0" w:space="0" w:color="auto"/>
        <w:right w:val="none" w:sz="0" w:space="0" w:color="auto"/>
      </w:divBdr>
    </w:div>
    <w:div w:id="1606615299">
      <w:bodyDiv w:val="1"/>
      <w:marLeft w:val="0"/>
      <w:marRight w:val="0"/>
      <w:marTop w:val="0"/>
      <w:marBottom w:val="0"/>
      <w:divBdr>
        <w:top w:val="none" w:sz="0" w:space="0" w:color="auto"/>
        <w:left w:val="none" w:sz="0" w:space="0" w:color="auto"/>
        <w:bottom w:val="none" w:sz="0" w:space="0" w:color="auto"/>
        <w:right w:val="none" w:sz="0" w:space="0" w:color="auto"/>
      </w:divBdr>
    </w:div>
    <w:div w:id="1700545981">
      <w:bodyDiv w:val="1"/>
      <w:marLeft w:val="0"/>
      <w:marRight w:val="0"/>
      <w:marTop w:val="0"/>
      <w:marBottom w:val="0"/>
      <w:divBdr>
        <w:top w:val="none" w:sz="0" w:space="0" w:color="auto"/>
        <w:left w:val="none" w:sz="0" w:space="0" w:color="auto"/>
        <w:bottom w:val="none" w:sz="0" w:space="0" w:color="auto"/>
        <w:right w:val="none" w:sz="0" w:space="0" w:color="auto"/>
      </w:divBdr>
    </w:div>
    <w:div w:id="1726292682">
      <w:bodyDiv w:val="1"/>
      <w:marLeft w:val="0"/>
      <w:marRight w:val="0"/>
      <w:marTop w:val="0"/>
      <w:marBottom w:val="0"/>
      <w:divBdr>
        <w:top w:val="none" w:sz="0" w:space="0" w:color="auto"/>
        <w:left w:val="none" w:sz="0" w:space="0" w:color="auto"/>
        <w:bottom w:val="none" w:sz="0" w:space="0" w:color="auto"/>
        <w:right w:val="none" w:sz="0" w:space="0" w:color="auto"/>
      </w:divBdr>
    </w:div>
    <w:div w:id="1727293480">
      <w:bodyDiv w:val="1"/>
      <w:marLeft w:val="0"/>
      <w:marRight w:val="0"/>
      <w:marTop w:val="0"/>
      <w:marBottom w:val="0"/>
      <w:divBdr>
        <w:top w:val="none" w:sz="0" w:space="0" w:color="auto"/>
        <w:left w:val="none" w:sz="0" w:space="0" w:color="auto"/>
        <w:bottom w:val="none" w:sz="0" w:space="0" w:color="auto"/>
        <w:right w:val="none" w:sz="0" w:space="0" w:color="auto"/>
      </w:divBdr>
    </w:div>
    <w:div w:id="1741974197">
      <w:bodyDiv w:val="1"/>
      <w:marLeft w:val="0"/>
      <w:marRight w:val="0"/>
      <w:marTop w:val="0"/>
      <w:marBottom w:val="0"/>
      <w:divBdr>
        <w:top w:val="none" w:sz="0" w:space="0" w:color="auto"/>
        <w:left w:val="none" w:sz="0" w:space="0" w:color="auto"/>
        <w:bottom w:val="none" w:sz="0" w:space="0" w:color="auto"/>
        <w:right w:val="none" w:sz="0" w:space="0" w:color="auto"/>
      </w:divBdr>
    </w:div>
    <w:div w:id="1750691435">
      <w:bodyDiv w:val="1"/>
      <w:marLeft w:val="0"/>
      <w:marRight w:val="0"/>
      <w:marTop w:val="0"/>
      <w:marBottom w:val="0"/>
      <w:divBdr>
        <w:top w:val="none" w:sz="0" w:space="0" w:color="auto"/>
        <w:left w:val="none" w:sz="0" w:space="0" w:color="auto"/>
        <w:bottom w:val="none" w:sz="0" w:space="0" w:color="auto"/>
        <w:right w:val="none" w:sz="0" w:space="0" w:color="auto"/>
      </w:divBdr>
    </w:div>
    <w:div w:id="1750929753">
      <w:bodyDiv w:val="1"/>
      <w:marLeft w:val="0"/>
      <w:marRight w:val="0"/>
      <w:marTop w:val="0"/>
      <w:marBottom w:val="0"/>
      <w:divBdr>
        <w:top w:val="none" w:sz="0" w:space="0" w:color="auto"/>
        <w:left w:val="none" w:sz="0" w:space="0" w:color="auto"/>
        <w:bottom w:val="none" w:sz="0" w:space="0" w:color="auto"/>
        <w:right w:val="none" w:sz="0" w:space="0" w:color="auto"/>
      </w:divBdr>
    </w:div>
    <w:div w:id="1784567343">
      <w:bodyDiv w:val="1"/>
      <w:marLeft w:val="0"/>
      <w:marRight w:val="0"/>
      <w:marTop w:val="0"/>
      <w:marBottom w:val="0"/>
      <w:divBdr>
        <w:top w:val="none" w:sz="0" w:space="0" w:color="auto"/>
        <w:left w:val="none" w:sz="0" w:space="0" w:color="auto"/>
        <w:bottom w:val="none" w:sz="0" w:space="0" w:color="auto"/>
        <w:right w:val="none" w:sz="0" w:space="0" w:color="auto"/>
      </w:divBdr>
    </w:div>
    <w:div w:id="1797484819">
      <w:bodyDiv w:val="1"/>
      <w:marLeft w:val="0"/>
      <w:marRight w:val="0"/>
      <w:marTop w:val="0"/>
      <w:marBottom w:val="0"/>
      <w:divBdr>
        <w:top w:val="none" w:sz="0" w:space="0" w:color="auto"/>
        <w:left w:val="none" w:sz="0" w:space="0" w:color="auto"/>
        <w:bottom w:val="none" w:sz="0" w:space="0" w:color="auto"/>
        <w:right w:val="none" w:sz="0" w:space="0" w:color="auto"/>
      </w:divBdr>
    </w:div>
    <w:div w:id="1908569841">
      <w:bodyDiv w:val="1"/>
      <w:marLeft w:val="0"/>
      <w:marRight w:val="0"/>
      <w:marTop w:val="0"/>
      <w:marBottom w:val="0"/>
      <w:divBdr>
        <w:top w:val="none" w:sz="0" w:space="0" w:color="auto"/>
        <w:left w:val="none" w:sz="0" w:space="0" w:color="auto"/>
        <w:bottom w:val="none" w:sz="0" w:space="0" w:color="auto"/>
        <w:right w:val="none" w:sz="0" w:space="0" w:color="auto"/>
      </w:divBdr>
    </w:div>
    <w:div w:id="1915435981">
      <w:bodyDiv w:val="1"/>
      <w:marLeft w:val="0"/>
      <w:marRight w:val="0"/>
      <w:marTop w:val="0"/>
      <w:marBottom w:val="0"/>
      <w:divBdr>
        <w:top w:val="none" w:sz="0" w:space="0" w:color="auto"/>
        <w:left w:val="none" w:sz="0" w:space="0" w:color="auto"/>
        <w:bottom w:val="none" w:sz="0" w:space="0" w:color="auto"/>
        <w:right w:val="none" w:sz="0" w:space="0" w:color="auto"/>
      </w:divBdr>
    </w:div>
    <w:div w:id="1929851740">
      <w:bodyDiv w:val="1"/>
      <w:marLeft w:val="0"/>
      <w:marRight w:val="0"/>
      <w:marTop w:val="0"/>
      <w:marBottom w:val="0"/>
      <w:divBdr>
        <w:top w:val="none" w:sz="0" w:space="0" w:color="auto"/>
        <w:left w:val="none" w:sz="0" w:space="0" w:color="auto"/>
        <w:bottom w:val="none" w:sz="0" w:space="0" w:color="auto"/>
        <w:right w:val="none" w:sz="0" w:space="0" w:color="auto"/>
      </w:divBdr>
    </w:div>
    <w:div w:id="1939407462">
      <w:bodyDiv w:val="1"/>
      <w:marLeft w:val="0"/>
      <w:marRight w:val="0"/>
      <w:marTop w:val="0"/>
      <w:marBottom w:val="0"/>
      <w:divBdr>
        <w:top w:val="none" w:sz="0" w:space="0" w:color="auto"/>
        <w:left w:val="none" w:sz="0" w:space="0" w:color="auto"/>
        <w:bottom w:val="none" w:sz="0" w:space="0" w:color="auto"/>
        <w:right w:val="none" w:sz="0" w:space="0" w:color="auto"/>
      </w:divBdr>
    </w:div>
    <w:div w:id="1946688168">
      <w:bodyDiv w:val="1"/>
      <w:marLeft w:val="0"/>
      <w:marRight w:val="0"/>
      <w:marTop w:val="0"/>
      <w:marBottom w:val="0"/>
      <w:divBdr>
        <w:top w:val="none" w:sz="0" w:space="0" w:color="auto"/>
        <w:left w:val="none" w:sz="0" w:space="0" w:color="auto"/>
        <w:bottom w:val="none" w:sz="0" w:space="0" w:color="auto"/>
        <w:right w:val="none" w:sz="0" w:space="0" w:color="auto"/>
      </w:divBdr>
    </w:div>
    <w:div w:id="1947078145">
      <w:bodyDiv w:val="1"/>
      <w:marLeft w:val="0"/>
      <w:marRight w:val="0"/>
      <w:marTop w:val="0"/>
      <w:marBottom w:val="0"/>
      <w:divBdr>
        <w:top w:val="none" w:sz="0" w:space="0" w:color="auto"/>
        <w:left w:val="none" w:sz="0" w:space="0" w:color="auto"/>
        <w:bottom w:val="none" w:sz="0" w:space="0" w:color="auto"/>
        <w:right w:val="none" w:sz="0" w:space="0" w:color="auto"/>
      </w:divBdr>
      <w:divsChild>
        <w:div w:id="334694564">
          <w:marLeft w:val="1267"/>
          <w:marRight w:val="0"/>
          <w:marTop w:val="0"/>
          <w:marBottom w:val="0"/>
          <w:divBdr>
            <w:top w:val="none" w:sz="0" w:space="0" w:color="auto"/>
            <w:left w:val="none" w:sz="0" w:space="0" w:color="auto"/>
            <w:bottom w:val="none" w:sz="0" w:space="0" w:color="auto"/>
            <w:right w:val="none" w:sz="0" w:space="0" w:color="auto"/>
          </w:divBdr>
        </w:div>
        <w:div w:id="476382117">
          <w:marLeft w:val="1267"/>
          <w:marRight w:val="0"/>
          <w:marTop w:val="0"/>
          <w:marBottom w:val="0"/>
          <w:divBdr>
            <w:top w:val="none" w:sz="0" w:space="0" w:color="auto"/>
            <w:left w:val="none" w:sz="0" w:space="0" w:color="auto"/>
            <w:bottom w:val="none" w:sz="0" w:space="0" w:color="auto"/>
            <w:right w:val="none" w:sz="0" w:space="0" w:color="auto"/>
          </w:divBdr>
        </w:div>
        <w:div w:id="1431468594">
          <w:marLeft w:val="1267"/>
          <w:marRight w:val="0"/>
          <w:marTop w:val="0"/>
          <w:marBottom w:val="0"/>
          <w:divBdr>
            <w:top w:val="none" w:sz="0" w:space="0" w:color="auto"/>
            <w:left w:val="none" w:sz="0" w:space="0" w:color="auto"/>
            <w:bottom w:val="none" w:sz="0" w:space="0" w:color="auto"/>
            <w:right w:val="none" w:sz="0" w:space="0" w:color="auto"/>
          </w:divBdr>
        </w:div>
        <w:div w:id="1566183674">
          <w:marLeft w:val="1267"/>
          <w:marRight w:val="0"/>
          <w:marTop w:val="0"/>
          <w:marBottom w:val="0"/>
          <w:divBdr>
            <w:top w:val="none" w:sz="0" w:space="0" w:color="auto"/>
            <w:left w:val="none" w:sz="0" w:space="0" w:color="auto"/>
            <w:bottom w:val="none" w:sz="0" w:space="0" w:color="auto"/>
            <w:right w:val="none" w:sz="0" w:space="0" w:color="auto"/>
          </w:divBdr>
        </w:div>
        <w:div w:id="1909682292">
          <w:marLeft w:val="1267"/>
          <w:marRight w:val="0"/>
          <w:marTop w:val="0"/>
          <w:marBottom w:val="0"/>
          <w:divBdr>
            <w:top w:val="none" w:sz="0" w:space="0" w:color="auto"/>
            <w:left w:val="none" w:sz="0" w:space="0" w:color="auto"/>
            <w:bottom w:val="none" w:sz="0" w:space="0" w:color="auto"/>
            <w:right w:val="none" w:sz="0" w:space="0" w:color="auto"/>
          </w:divBdr>
        </w:div>
      </w:divsChild>
    </w:div>
    <w:div w:id="1952083837">
      <w:bodyDiv w:val="1"/>
      <w:marLeft w:val="0"/>
      <w:marRight w:val="0"/>
      <w:marTop w:val="0"/>
      <w:marBottom w:val="0"/>
      <w:divBdr>
        <w:top w:val="none" w:sz="0" w:space="0" w:color="auto"/>
        <w:left w:val="none" w:sz="0" w:space="0" w:color="auto"/>
        <w:bottom w:val="none" w:sz="0" w:space="0" w:color="auto"/>
        <w:right w:val="none" w:sz="0" w:space="0" w:color="auto"/>
      </w:divBdr>
    </w:div>
    <w:div w:id="1965230515">
      <w:bodyDiv w:val="1"/>
      <w:marLeft w:val="0"/>
      <w:marRight w:val="0"/>
      <w:marTop w:val="0"/>
      <w:marBottom w:val="0"/>
      <w:divBdr>
        <w:top w:val="none" w:sz="0" w:space="0" w:color="auto"/>
        <w:left w:val="none" w:sz="0" w:space="0" w:color="auto"/>
        <w:bottom w:val="none" w:sz="0" w:space="0" w:color="auto"/>
        <w:right w:val="none" w:sz="0" w:space="0" w:color="auto"/>
      </w:divBdr>
    </w:div>
    <w:div w:id="1997294196">
      <w:bodyDiv w:val="1"/>
      <w:marLeft w:val="0"/>
      <w:marRight w:val="0"/>
      <w:marTop w:val="0"/>
      <w:marBottom w:val="0"/>
      <w:divBdr>
        <w:top w:val="none" w:sz="0" w:space="0" w:color="auto"/>
        <w:left w:val="none" w:sz="0" w:space="0" w:color="auto"/>
        <w:bottom w:val="none" w:sz="0" w:space="0" w:color="auto"/>
        <w:right w:val="none" w:sz="0" w:space="0" w:color="auto"/>
      </w:divBdr>
    </w:div>
    <w:div w:id="2005544032">
      <w:bodyDiv w:val="1"/>
      <w:marLeft w:val="0"/>
      <w:marRight w:val="0"/>
      <w:marTop w:val="0"/>
      <w:marBottom w:val="0"/>
      <w:divBdr>
        <w:top w:val="none" w:sz="0" w:space="0" w:color="auto"/>
        <w:left w:val="none" w:sz="0" w:space="0" w:color="auto"/>
        <w:bottom w:val="none" w:sz="0" w:space="0" w:color="auto"/>
        <w:right w:val="none" w:sz="0" w:space="0" w:color="auto"/>
      </w:divBdr>
    </w:div>
    <w:div w:id="2026783512">
      <w:bodyDiv w:val="1"/>
      <w:marLeft w:val="0"/>
      <w:marRight w:val="0"/>
      <w:marTop w:val="0"/>
      <w:marBottom w:val="0"/>
      <w:divBdr>
        <w:top w:val="none" w:sz="0" w:space="0" w:color="auto"/>
        <w:left w:val="none" w:sz="0" w:space="0" w:color="auto"/>
        <w:bottom w:val="none" w:sz="0" w:space="0" w:color="auto"/>
        <w:right w:val="none" w:sz="0" w:space="0" w:color="auto"/>
      </w:divBdr>
    </w:div>
    <w:div w:id="2041322092">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054227761">
      <w:bodyDiv w:val="1"/>
      <w:marLeft w:val="0"/>
      <w:marRight w:val="0"/>
      <w:marTop w:val="0"/>
      <w:marBottom w:val="0"/>
      <w:divBdr>
        <w:top w:val="none" w:sz="0" w:space="0" w:color="auto"/>
        <w:left w:val="none" w:sz="0" w:space="0" w:color="auto"/>
        <w:bottom w:val="none" w:sz="0" w:space="0" w:color="auto"/>
        <w:right w:val="none" w:sz="0" w:space="0" w:color="auto"/>
      </w:divBdr>
    </w:div>
    <w:div w:id="2071536713">
      <w:bodyDiv w:val="1"/>
      <w:marLeft w:val="0"/>
      <w:marRight w:val="0"/>
      <w:marTop w:val="0"/>
      <w:marBottom w:val="0"/>
      <w:divBdr>
        <w:top w:val="none" w:sz="0" w:space="0" w:color="auto"/>
        <w:left w:val="none" w:sz="0" w:space="0" w:color="auto"/>
        <w:bottom w:val="none" w:sz="0" w:space="0" w:color="auto"/>
        <w:right w:val="none" w:sz="0" w:space="0" w:color="auto"/>
      </w:divBdr>
    </w:div>
    <w:div w:id="2084254112">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dle.rae.es/procedimi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8698CE1C61F55489DABF72A152DC66D" ma:contentTypeVersion="5" ma:contentTypeDescription="Crear nuevo documento." ma:contentTypeScope="" ma:versionID="10cce5070363f5f8898fde9e84d88506">
  <xsd:schema xmlns:xsd="http://www.w3.org/2001/XMLSchema" xmlns:xs="http://www.w3.org/2001/XMLSchema" xmlns:p="http://schemas.microsoft.com/office/2006/metadata/properties" xmlns:ns2="bfaf6a08-8266-41cd-baa5-d91eeccc15b6" xmlns:ns3="f9f0256f-341e-4b75-bd33-3a48534173fc" targetNamespace="http://schemas.microsoft.com/office/2006/metadata/properties" ma:root="true" ma:fieldsID="25a52d9ea3cd7047eaa1db1af034ebde" ns2:_="" ns3:_="">
    <xsd:import namespace="bfaf6a08-8266-41cd-baa5-d91eeccc15b6"/>
    <xsd:import namespace="f9f0256f-341e-4b75-bd33-3a48534173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f6a08-8266-41cd-baa5-d91eeccc1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f0256f-341e-4b75-bd33-3a48534173fc"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0F8F8C-309C-4B86-8880-CA207CF93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f6a08-8266-41cd-baa5-d91eeccc15b6"/>
    <ds:schemaRef ds:uri="f9f0256f-341e-4b75-bd33-3a4853417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45790-94CF-4628-8A5D-5394BEDB90DB}">
  <ds:schemaRefs>
    <ds:schemaRef ds:uri="http://schemas.openxmlformats.org/officeDocument/2006/bibliography"/>
  </ds:schemaRefs>
</ds:datastoreItem>
</file>

<file path=customXml/itemProps3.xml><?xml version="1.0" encoding="utf-8"?>
<ds:datastoreItem xmlns:ds="http://schemas.openxmlformats.org/officeDocument/2006/customXml" ds:itemID="{6B0C0C6F-FF3B-4C82-BA6E-8D1392ED5300}">
  <ds:schemaRefs>
    <ds:schemaRef ds:uri="http://schemas.microsoft.com/sharepoint/v3/contenttype/forms"/>
  </ds:schemaRefs>
</ds:datastoreItem>
</file>

<file path=customXml/itemProps4.xml><?xml version="1.0" encoding="utf-8"?>
<ds:datastoreItem xmlns:ds="http://schemas.openxmlformats.org/officeDocument/2006/customXml" ds:itemID="{2413A2E4-D1F2-4F4E-8888-E0B47C3AEF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461</Pages>
  <Words>164596</Words>
  <Characters>918645</Characters>
  <Application>Microsoft Office Word</Application>
  <DocSecurity>0</DocSecurity>
  <Lines>7655</Lines>
  <Paragraphs>2162</Paragraphs>
  <ScaleCrop>false</ScaleCrop>
  <HeadingPairs>
    <vt:vector size="4" baseType="variant">
      <vt:variant>
        <vt:lpstr>Título</vt:lpstr>
      </vt:variant>
      <vt:variant>
        <vt:i4>1</vt:i4>
      </vt:variant>
      <vt:variant>
        <vt:lpstr>Títulos</vt:lpstr>
      </vt:variant>
      <vt:variant>
        <vt:i4>21</vt:i4>
      </vt:variant>
    </vt:vector>
  </HeadingPairs>
  <TitlesOfParts>
    <vt:vector size="22" baseType="lpstr">
      <vt:lpstr>3 espacios (Interlineado sencillo)</vt:lpstr>
      <vt:lpstr>ANTECEDENTES E INFORMACIÓN GENERAL</vt:lpstr>
      <vt:lpstr/>
      <vt:lpstr>DEFINICIÓN DEL PROBLEMA</vt:lpstr>
      <vt:lpstr>    Problemática identificada en el documento CREG-049 de 2021</vt:lpstr>
      <vt:lpstr>    Otros problemas identificados</vt:lpstr>
      <vt:lpstr>        Abastecimiento futuro para la demanda nacional total de gas natural </vt:lpstr>
      <vt:lpstr>        Información de la demanda a ser contratada de corto, mediano y largo plazo </vt:lpstr>
      <vt:lpstr>        El aseguramiento de la contratación del suministro con Respaldo Físico  para ate</vt:lpstr>
      <vt:lpstr>        Abastecimiento futuro de fuentes de suministro con excepciones </vt:lpstr>
      <vt:lpstr>        Acople entre comercialización del suministro y la comercialización de la capacid</vt:lpstr>
      <vt:lpstr>        Comercialización de campos en pruebas extensas o sobre las cuales no se haya dec</vt:lpstr>
      <vt:lpstr>        Definición de condiciones para considerar el Respaldo Físico de gas natural que </vt:lpstr>
      <vt:lpstr>        Registro del tipo de contrato del Mercado Primario</vt:lpstr>
      <vt:lpstr/>
      <vt:lpstr>OBJETIVO GENERALES y OBJETIVOS ESPECÍFICOS</vt:lpstr>
      <vt:lpstr/>
      <vt:lpstr>    Objetivo general</vt:lpstr>
      <vt:lpstr>    Objetivos específicos</vt:lpstr>
      <vt:lpstr>        Flexibilidad en el proceso de contratación y los tipos de contratos</vt:lpstr>
      <vt:lpstr>        Comercialización del suministro proveniente de nuevas fuentes de suministro naci</vt:lpstr>
      <vt:lpstr>        Comercialización del suministro proveniente de fuentes de suministro nacionales </vt:lpstr>
    </vt:vector>
  </TitlesOfParts>
  <Company>CREG</Company>
  <LinksUpToDate>false</LinksUpToDate>
  <CharactersWithSpaces>1081079</CharactersWithSpaces>
  <SharedDoc>false</SharedDoc>
  <HLinks>
    <vt:vector size="2646" baseType="variant">
      <vt:variant>
        <vt:i4>2031679</vt:i4>
      </vt:variant>
      <vt:variant>
        <vt:i4>2645</vt:i4>
      </vt:variant>
      <vt:variant>
        <vt:i4>0</vt:i4>
      </vt:variant>
      <vt:variant>
        <vt:i4>5</vt:i4>
      </vt:variant>
      <vt:variant>
        <vt:lpwstr/>
      </vt:variant>
      <vt:variant>
        <vt:lpwstr>_Toc133488578</vt:lpwstr>
      </vt:variant>
      <vt:variant>
        <vt:i4>2031679</vt:i4>
      </vt:variant>
      <vt:variant>
        <vt:i4>2639</vt:i4>
      </vt:variant>
      <vt:variant>
        <vt:i4>0</vt:i4>
      </vt:variant>
      <vt:variant>
        <vt:i4>5</vt:i4>
      </vt:variant>
      <vt:variant>
        <vt:lpwstr/>
      </vt:variant>
      <vt:variant>
        <vt:lpwstr>_Toc133488577</vt:lpwstr>
      </vt:variant>
      <vt:variant>
        <vt:i4>2031679</vt:i4>
      </vt:variant>
      <vt:variant>
        <vt:i4>2633</vt:i4>
      </vt:variant>
      <vt:variant>
        <vt:i4>0</vt:i4>
      </vt:variant>
      <vt:variant>
        <vt:i4>5</vt:i4>
      </vt:variant>
      <vt:variant>
        <vt:lpwstr/>
      </vt:variant>
      <vt:variant>
        <vt:lpwstr>_Toc133488576</vt:lpwstr>
      </vt:variant>
      <vt:variant>
        <vt:i4>2031679</vt:i4>
      </vt:variant>
      <vt:variant>
        <vt:i4>2627</vt:i4>
      </vt:variant>
      <vt:variant>
        <vt:i4>0</vt:i4>
      </vt:variant>
      <vt:variant>
        <vt:i4>5</vt:i4>
      </vt:variant>
      <vt:variant>
        <vt:lpwstr/>
      </vt:variant>
      <vt:variant>
        <vt:lpwstr>_Toc133488575</vt:lpwstr>
      </vt:variant>
      <vt:variant>
        <vt:i4>2031679</vt:i4>
      </vt:variant>
      <vt:variant>
        <vt:i4>2621</vt:i4>
      </vt:variant>
      <vt:variant>
        <vt:i4>0</vt:i4>
      </vt:variant>
      <vt:variant>
        <vt:i4>5</vt:i4>
      </vt:variant>
      <vt:variant>
        <vt:lpwstr/>
      </vt:variant>
      <vt:variant>
        <vt:lpwstr>_Toc133488574</vt:lpwstr>
      </vt:variant>
      <vt:variant>
        <vt:i4>2031679</vt:i4>
      </vt:variant>
      <vt:variant>
        <vt:i4>2615</vt:i4>
      </vt:variant>
      <vt:variant>
        <vt:i4>0</vt:i4>
      </vt:variant>
      <vt:variant>
        <vt:i4>5</vt:i4>
      </vt:variant>
      <vt:variant>
        <vt:lpwstr/>
      </vt:variant>
      <vt:variant>
        <vt:lpwstr>_Toc133488573</vt:lpwstr>
      </vt:variant>
      <vt:variant>
        <vt:i4>2031679</vt:i4>
      </vt:variant>
      <vt:variant>
        <vt:i4>2609</vt:i4>
      </vt:variant>
      <vt:variant>
        <vt:i4>0</vt:i4>
      </vt:variant>
      <vt:variant>
        <vt:i4>5</vt:i4>
      </vt:variant>
      <vt:variant>
        <vt:lpwstr/>
      </vt:variant>
      <vt:variant>
        <vt:lpwstr>_Toc133488572</vt:lpwstr>
      </vt:variant>
      <vt:variant>
        <vt:i4>2031679</vt:i4>
      </vt:variant>
      <vt:variant>
        <vt:i4>2603</vt:i4>
      </vt:variant>
      <vt:variant>
        <vt:i4>0</vt:i4>
      </vt:variant>
      <vt:variant>
        <vt:i4>5</vt:i4>
      </vt:variant>
      <vt:variant>
        <vt:lpwstr/>
      </vt:variant>
      <vt:variant>
        <vt:lpwstr>_Toc133488571</vt:lpwstr>
      </vt:variant>
      <vt:variant>
        <vt:i4>2031679</vt:i4>
      </vt:variant>
      <vt:variant>
        <vt:i4>2597</vt:i4>
      </vt:variant>
      <vt:variant>
        <vt:i4>0</vt:i4>
      </vt:variant>
      <vt:variant>
        <vt:i4>5</vt:i4>
      </vt:variant>
      <vt:variant>
        <vt:lpwstr/>
      </vt:variant>
      <vt:variant>
        <vt:lpwstr>_Toc133488570</vt:lpwstr>
      </vt:variant>
      <vt:variant>
        <vt:i4>1966143</vt:i4>
      </vt:variant>
      <vt:variant>
        <vt:i4>2591</vt:i4>
      </vt:variant>
      <vt:variant>
        <vt:i4>0</vt:i4>
      </vt:variant>
      <vt:variant>
        <vt:i4>5</vt:i4>
      </vt:variant>
      <vt:variant>
        <vt:lpwstr/>
      </vt:variant>
      <vt:variant>
        <vt:lpwstr>_Toc133488569</vt:lpwstr>
      </vt:variant>
      <vt:variant>
        <vt:i4>1966143</vt:i4>
      </vt:variant>
      <vt:variant>
        <vt:i4>2585</vt:i4>
      </vt:variant>
      <vt:variant>
        <vt:i4>0</vt:i4>
      </vt:variant>
      <vt:variant>
        <vt:i4>5</vt:i4>
      </vt:variant>
      <vt:variant>
        <vt:lpwstr/>
      </vt:variant>
      <vt:variant>
        <vt:lpwstr>_Toc133488568</vt:lpwstr>
      </vt:variant>
      <vt:variant>
        <vt:i4>1966143</vt:i4>
      </vt:variant>
      <vt:variant>
        <vt:i4>2579</vt:i4>
      </vt:variant>
      <vt:variant>
        <vt:i4>0</vt:i4>
      </vt:variant>
      <vt:variant>
        <vt:i4>5</vt:i4>
      </vt:variant>
      <vt:variant>
        <vt:lpwstr/>
      </vt:variant>
      <vt:variant>
        <vt:lpwstr>_Toc133488567</vt:lpwstr>
      </vt:variant>
      <vt:variant>
        <vt:i4>1966143</vt:i4>
      </vt:variant>
      <vt:variant>
        <vt:i4>2573</vt:i4>
      </vt:variant>
      <vt:variant>
        <vt:i4>0</vt:i4>
      </vt:variant>
      <vt:variant>
        <vt:i4>5</vt:i4>
      </vt:variant>
      <vt:variant>
        <vt:lpwstr/>
      </vt:variant>
      <vt:variant>
        <vt:lpwstr>_Toc133488566</vt:lpwstr>
      </vt:variant>
      <vt:variant>
        <vt:i4>1966143</vt:i4>
      </vt:variant>
      <vt:variant>
        <vt:i4>2567</vt:i4>
      </vt:variant>
      <vt:variant>
        <vt:i4>0</vt:i4>
      </vt:variant>
      <vt:variant>
        <vt:i4>5</vt:i4>
      </vt:variant>
      <vt:variant>
        <vt:lpwstr/>
      </vt:variant>
      <vt:variant>
        <vt:lpwstr>_Toc133488565</vt:lpwstr>
      </vt:variant>
      <vt:variant>
        <vt:i4>1966143</vt:i4>
      </vt:variant>
      <vt:variant>
        <vt:i4>2561</vt:i4>
      </vt:variant>
      <vt:variant>
        <vt:i4>0</vt:i4>
      </vt:variant>
      <vt:variant>
        <vt:i4>5</vt:i4>
      </vt:variant>
      <vt:variant>
        <vt:lpwstr/>
      </vt:variant>
      <vt:variant>
        <vt:lpwstr>_Toc133488564</vt:lpwstr>
      </vt:variant>
      <vt:variant>
        <vt:i4>1966143</vt:i4>
      </vt:variant>
      <vt:variant>
        <vt:i4>2555</vt:i4>
      </vt:variant>
      <vt:variant>
        <vt:i4>0</vt:i4>
      </vt:variant>
      <vt:variant>
        <vt:i4>5</vt:i4>
      </vt:variant>
      <vt:variant>
        <vt:lpwstr/>
      </vt:variant>
      <vt:variant>
        <vt:lpwstr>_Toc133488563</vt:lpwstr>
      </vt:variant>
      <vt:variant>
        <vt:i4>1966143</vt:i4>
      </vt:variant>
      <vt:variant>
        <vt:i4>2549</vt:i4>
      </vt:variant>
      <vt:variant>
        <vt:i4>0</vt:i4>
      </vt:variant>
      <vt:variant>
        <vt:i4>5</vt:i4>
      </vt:variant>
      <vt:variant>
        <vt:lpwstr/>
      </vt:variant>
      <vt:variant>
        <vt:lpwstr>_Toc133488562</vt:lpwstr>
      </vt:variant>
      <vt:variant>
        <vt:i4>1966143</vt:i4>
      </vt:variant>
      <vt:variant>
        <vt:i4>2543</vt:i4>
      </vt:variant>
      <vt:variant>
        <vt:i4>0</vt:i4>
      </vt:variant>
      <vt:variant>
        <vt:i4>5</vt:i4>
      </vt:variant>
      <vt:variant>
        <vt:lpwstr/>
      </vt:variant>
      <vt:variant>
        <vt:lpwstr>_Toc133488561</vt:lpwstr>
      </vt:variant>
      <vt:variant>
        <vt:i4>1966143</vt:i4>
      </vt:variant>
      <vt:variant>
        <vt:i4>2537</vt:i4>
      </vt:variant>
      <vt:variant>
        <vt:i4>0</vt:i4>
      </vt:variant>
      <vt:variant>
        <vt:i4>5</vt:i4>
      </vt:variant>
      <vt:variant>
        <vt:lpwstr/>
      </vt:variant>
      <vt:variant>
        <vt:lpwstr>_Toc133488560</vt:lpwstr>
      </vt:variant>
      <vt:variant>
        <vt:i4>1900607</vt:i4>
      </vt:variant>
      <vt:variant>
        <vt:i4>2531</vt:i4>
      </vt:variant>
      <vt:variant>
        <vt:i4>0</vt:i4>
      </vt:variant>
      <vt:variant>
        <vt:i4>5</vt:i4>
      </vt:variant>
      <vt:variant>
        <vt:lpwstr/>
      </vt:variant>
      <vt:variant>
        <vt:lpwstr>_Toc133488559</vt:lpwstr>
      </vt:variant>
      <vt:variant>
        <vt:i4>1900607</vt:i4>
      </vt:variant>
      <vt:variant>
        <vt:i4>2525</vt:i4>
      </vt:variant>
      <vt:variant>
        <vt:i4>0</vt:i4>
      </vt:variant>
      <vt:variant>
        <vt:i4>5</vt:i4>
      </vt:variant>
      <vt:variant>
        <vt:lpwstr/>
      </vt:variant>
      <vt:variant>
        <vt:lpwstr>_Toc133488558</vt:lpwstr>
      </vt:variant>
      <vt:variant>
        <vt:i4>1900607</vt:i4>
      </vt:variant>
      <vt:variant>
        <vt:i4>2519</vt:i4>
      </vt:variant>
      <vt:variant>
        <vt:i4>0</vt:i4>
      </vt:variant>
      <vt:variant>
        <vt:i4>5</vt:i4>
      </vt:variant>
      <vt:variant>
        <vt:lpwstr/>
      </vt:variant>
      <vt:variant>
        <vt:lpwstr>_Toc133488557</vt:lpwstr>
      </vt:variant>
      <vt:variant>
        <vt:i4>1900607</vt:i4>
      </vt:variant>
      <vt:variant>
        <vt:i4>2513</vt:i4>
      </vt:variant>
      <vt:variant>
        <vt:i4>0</vt:i4>
      </vt:variant>
      <vt:variant>
        <vt:i4>5</vt:i4>
      </vt:variant>
      <vt:variant>
        <vt:lpwstr/>
      </vt:variant>
      <vt:variant>
        <vt:lpwstr>_Toc133488556</vt:lpwstr>
      </vt:variant>
      <vt:variant>
        <vt:i4>1900607</vt:i4>
      </vt:variant>
      <vt:variant>
        <vt:i4>2507</vt:i4>
      </vt:variant>
      <vt:variant>
        <vt:i4>0</vt:i4>
      </vt:variant>
      <vt:variant>
        <vt:i4>5</vt:i4>
      </vt:variant>
      <vt:variant>
        <vt:lpwstr/>
      </vt:variant>
      <vt:variant>
        <vt:lpwstr>_Toc133488555</vt:lpwstr>
      </vt:variant>
      <vt:variant>
        <vt:i4>1900607</vt:i4>
      </vt:variant>
      <vt:variant>
        <vt:i4>2501</vt:i4>
      </vt:variant>
      <vt:variant>
        <vt:i4>0</vt:i4>
      </vt:variant>
      <vt:variant>
        <vt:i4>5</vt:i4>
      </vt:variant>
      <vt:variant>
        <vt:lpwstr/>
      </vt:variant>
      <vt:variant>
        <vt:lpwstr>_Toc133488554</vt:lpwstr>
      </vt:variant>
      <vt:variant>
        <vt:i4>1900607</vt:i4>
      </vt:variant>
      <vt:variant>
        <vt:i4>2495</vt:i4>
      </vt:variant>
      <vt:variant>
        <vt:i4>0</vt:i4>
      </vt:variant>
      <vt:variant>
        <vt:i4>5</vt:i4>
      </vt:variant>
      <vt:variant>
        <vt:lpwstr/>
      </vt:variant>
      <vt:variant>
        <vt:lpwstr>_Toc133488553</vt:lpwstr>
      </vt:variant>
      <vt:variant>
        <vt:i4>1900607</vt:i4>
      </vt:variant>
      <vt:variant>
        <vt:i4>2489</vt:i4>
      </vt:variant>
      <vt:variant>
        <vt:i4>0</vt:i4>
      </vt:variant>
      <vt:variant>
        <vt:i4>5</vt:i4>
      </vt:variant>
      <vt:variant>
        <vt:lpwstr/>
      </vt:variant>
      <vt:variant>
        <vt:lpwstr>_Toc133488552</vt:lpwstr>
      </vt:variant>
      <vt:variant>
        <vt:i4>1900607</vt:i4>
      </vt:variant>
      <vt:variant>
        <vt:i4>2483</vt:i4>
      </vt:variant>
      <vt:variant>
        <vt:i4>0</vt:i4>
      </vt:variant>
      <vt:variant>
        <vt:i4>5</vt:i4>
      </vt:variant>
      <vt:variant>
        <vt:lpwstr/>
      </vt:variant>
      <vt:variant>
        <vt:lpwstr>_Toc133488551</vt:lpwstr>
      </vt:variant>
      <vt:variant>
        <vt:i4>1900607</vt:i4>
      </vt:variant>
      <vt:variant>
        <vt:i4>2477</vt:i4>
      </vt:variant>
      <vt:variant>
        <vt:i4>0</vt:i4>
      </vt:variant>
      <vt:variant>
        <vt:i4>5</vt:i4>
      </vt:variant>
      <vt:variant>
        <vt:lpwstr/>
      </vt:variant>
      <vt:variant>
        <vt:lpwstr>_Toc133488550</vt:lpwstr>
      </vt:variant>
      <vt:variant>
        <vt:i4>1835071</vt:i4>
      </vt:variant>
      <vt:variant>
        <vt:i4>2471</vt:i4>
      </vt:variant>
      <vt:variant>
        <vt:i4>0</vt:i4>
      </vt:variant>
      <vt:variant>
        <vt:i4>5</vt:i4>
      </vt:variant>
      <vt:variant>
        <vt:lpwstr/>
      </vt:variant>
      <vt:variant>
        <vt:lpwstr>_Toc133488549</vt:lpwstr>
      </vt:variant>
      <vt:variant>
        <vt:i4>1835071</vt:i4>
      </vt:variant>
      <vt:variant>
        <vt:i4>2465</vt:i4>
      </vt:variant>
      <vt:variant>
        <vt:i4>0</vt:i4>
      </vt:variant>
      <vt:variant>
        <vt:i4>5</vt:i4>
      </vt:variant>
      <vt:variant>
        <vt:lpwstr/>
      </vt:variant>
      <vt:variant>
        <vt:lpwstr>_Toc133488548</vt:lpwstr>
      </vt:variant>
      <vt:variant>
        <vt:i4>1835071</vt:i4>
      </vt:variant>
      <vt:variant>
        <vt:i4>2459</vt:i4>
      </vt:variant>
      <vt:variant>
        <vt:i4>0</vt:i4>
      </vt:variant>
      <vt:variant>
        <vt:i4>5</vt:i4>
      </vt:variant>
      <vt:variant>
        <vt:lpwstr/>
      </vt:variant>
      <vt:variant>
        <vt:lpwstr>_Toc133488547</vt:lpwstr>
      </vt:variant>
      <vt:variant>
        <vt:i4>1835071</vt:i4>
      </vt:variant>
      <vt:variant>
        <vt:i4>2453</vt:i4>
      </vt:variant>
      <vt:variant>
        <vt:i4>0</vt:i4>
      </vt:variant>
      <vt:variant>
        <vt:i4>5</vt:i4>
      </vt:variant>
      <vt:variant>
        <vt:lpwstr/>
      </vt:variant>
      <vt:variant>
        <vt:lpwstr>_Toc133488546</vt:lpwstr>
      </vt:variant>
      <vt:variant>
        <vt:i4>1835071</vt:i4>
      </vt:variant>
      <vt:variant>
        <vt:i4>2447</vt:i4>
      </vt:variant>
      <vt:variant>
        <vt:i4>0</vt:i4>
      </vt:variant>
      <vt:variant>
        <vt:i4>5</vt:i4>
      </vt:variant>
      <vt:variant>
        <vt:lpwstr/>
      </vt:variant>
      <vt:variant>
        <vt:lpwstr>_Toc133488545</vt:lpwstr>
      </vt:variant>
      <vt:variant>
        <vt:i4>1638463</vt:i4>
      </vt:variant>
      <vt:variant>
        <vt:i4>2438</vt:i4>
      </vt:variant>
      <vt:variant>
        <vt:i4>0</vt:i4>
      </vt:variant>
      <vt:variant>
        <vt:i4>5</vt:i4>
      </vt:variant>
      <vt:variant>
        <vt:lpwstr/>
      </vt:variant>
      <vt:variant>
        <vt:lpwstr>_Toc133488510</vt:lpwstr>
      </vt:variant>
      <vt:variant>
        <vt:i4>1572927</vt:i4>
      </vt:variant>
      <vt:variant>
        <vt:i4>2432</vt:i4>
      </vt:variant>
      <vt:variant>
        <vt:i4>0</vt:i4>
      </vt:variant>
      <vt:variant>
        <vt:i4>5</vt:i4>
      </vt:variant>
      <vt:variant>
        <vt:lpwstr/>
      </vt:variant>
      <vt:variant>
        <vt:lpwstr>_Toc133488509</vt:lpwstr>
      </vt:variant>
      <vt:variant>
        <vt:i4>1572927</vt:i4>
      </vt:variant>
      <vt:variant>
        <vt:i4>2426</vt:i4>
      </vt:variant>
      <vt:variant>
        <vt:i4>0</vt:i4>
      </vt:variant>
      <vt:variant>
        <vt:i4>5</vt:i4>
      </vt:variant>
      <vt:variant>
        <vt:lpwstr/>
      </vt:variant>
      <vt:variant>
        <vt:lpwstr>_Toc133488508</vt:lpwstr>
      </vt:variant>
      <vt:variant>
        <vt:i4>1572927</vt:i4>
      </vt:variant>
      <vt:variant>
        <vt:i4>2420</vt:i4>
      </vt:variant>
      <vt:variant>
        <vt:i4>0</vt:i4>
      </vt:variant>
      <vt:variant>
        <vt:i4>5</vt:i4>
      </vt:variant>
      <vt:variant>
        <vt:lpwstr/>
      </vt:variant>
      <vt:variant>
        <vt:lpwstr>_Toc133488507</vt:lpwstr>
      </vt:variant>
      <vt:variant>
        <vt:i4>1572927</vt:i4>
      </vt:variant>
      <vt:variant>
        <vt:i4>2414</vt:i4>
      </vt:variant>
      <vt:variant>
        <vt:i4>0</vt:i4>
      </vt:variant>
      <vt:variant>
        <vt:i4>5</vt:i4>
      </vt:variant>
      <vt:variant>
        <vt:lpwstr/>
      </vt:variant>
      <vt:variant>
        <vt:lpwstr>_Toc133488506</vt:lpwstr>
      </vt:variant>
      <vt:variant>
        <vt:i4>1572927</vt:i4>
      </vt:variant>
      <vt:variant>
        <vt:i4>2408</vt:i4>
      </vt:variant>
      <vt:variant>
        <vt:i4>0</vt:i4>
      </vt:variant>
      <vt:variant>
        <vt:i4>5</vt:i4>
      </vt:variant>
      <vt:variant>
        <vt:lpwstr/>
      </vt:variant>
      <vt:variant>
        <vt:lpwstr>_Toc133488505</vt:lpwstr>
      </vt:variant>
      <vt:variant>
        <vt:i4>1572927</vt:i4>
      </vt:variant>
      <vt:variant>
        <vt:i4>2402</vt:i4>
      </vt:variant>
      <vt:variant>
        <vt:i4>0</vt:i4>
      </vt:variant>
      <vt:variant>
        <vt:i4>5</vt:i4>
      </vt:variant>
      <vt:variant>
        <vt:lpwstr/>
      </vt:variant>
      <vt:variant>
        <vt:lpwstr>_Toc133488504</vt:lpwstr>
      </vt:variant>
      <vt:variant>
        <vt:i4>1572927</vt:i4>
      </vt:variant>
      <vt:variant>
        <vt:i4>2396</vt:i4>
      </vt:variant>
      <vt:variant>
        <vt:i4>0</vt:i4>
      </vt:variant>
      <vt:variant>
        <vt:i4>5</vt:i4>
      </vt:variant>
      <vt:variant>
        <vt:lpwstr/>
      </vt:variant>
      <vt:variant>
        <vt:lpwstr>_Toc133488503</vt:lpwstr>
      </vt:variant>
      <vt:variant>
        <vt:i4>1572927</vt:i4>
      </vt:variant>
      <vt:variant>
        <vt:i4>2390</vt:i4>
      </vt:variant>
      <vt:variant>
        <vt:i4>0</vt:i4>
      </vt:variant>
      <vt:variant>
        <vt:i4>5</vt:i4>
      </vt:variant>
      <vt:variant>
        <vt:lpwstr/>
      </vt:variant>
      <vt:variant>
        <vt:lpwstr>_Toc133488502</vt:lpwstr>
      </vt:variant>
      <vt:variant>
        <vt:i4>1572927</vt:i4>
      </vt:variant>
      <vt:variant>
        <vt:i4>2384</vt:i4>
      </vt:variant>
      <vt:variant>
        <vt:i4>0</vt:i4>
      </vt:variant>
      <vt:variant>
        <vt:i4>5</vt:i4>
      </vt:variant>
      <vt:variant>
        <vt:lpwstr/>
      </vt:variant>
      <vt:variant>
        <vt:lpwstr>_Toc133488501</vt:lpwstr>
      </vt:variant>
      <vt:variant>
        <vt:i4>1572927</vt:i4>
      </vt:variant>
      <vt:variant>
        <vt:i4>2378</vt:i4>
      </vt:variant>
      <vt:variant>
        <vt:i4>0</vt:i4>
      </vt:variant>
      <vt:variant>
        <vt:i4>5</vt:i4>
      </vt:variant>
      <vt:variant>
        <vt:lpwstr/>
      </vt:variant>
      <vt:variant>
        <vt:lpwstr>_Toc133488500</vt:lpwstr>
      </vt:variant>
      <vt:variant>
        <vt:i4>1114174</vt:i4>
      </vt:variant>
      <vt:variant>
        <vt:i4>2372</vt:i4>
      </vt:variant>
      <vt:variant>
        <vt:i4>0</vt:i4>
      </vt:variant>
      <vt:variant>
        <vt:i4>5</vt:i4>
      </vt:variant>
      <vt:variant>
        <vt:lpwstr/>
      </vt:variant>
      <vt:variant>
        <vt:lpwstr>_Toc133488499</vt:lpwstr>
      </vt:variant>
      <vt:variant>
        <vt:i4>1114174</vt:i4>
      </vt:variant>
      <vt:variant>
        <vt:i4>2366</vt:i4>
      </vt:variant>
      <vt:variant>
        <vt:i4>0</vt:i4>
      </vt:variant>
      <vt:variant>
        <vt:i4>5</vt:i4>
      </vt:variant>
      <vt:variant>
        <vt:lpwstr/>
      </vt:variant>
      <vt:variant>
        <vt:lpwstr>_Toc133488498</vt:lpwstr>
      </vt:variant>
      <vt:variant>
        <vt:i4>1114174</vt:i4>
      </vt:variant>
      <vt:variant>
        <vt:i4>2360</vt:i4>
      </vt:variant>
      <vt:variant>
        <vt:i4>0</vt:i4>
      </vt:variant>
      <vt:variant>
        <vt:i4>5</vt:i4>
      </vt:variant>
      <vt:variant>
        <vt:lpwstr/>
      </vt:variant>
      <vt:variant>
        <vt:lpwstr>_Toc133488497</vt:lpwstr>
      </vt:variant>
      <vt:variant>
        <vt:i4>1114174</vt:i4>
      </vt:variant>
      <vt:variant>
        <vt:i4>2354</vt:i4>
      </vt:variant>
      <vt:variant>
        <vt:i4>0</vt:i4>
      </vt:variant>
      <vt:variant>
        <vt:i4>5</vt:i4>
      </vt:variant>
      <vt:variant>
        <vt:lpwstr/>
      </vt:variant>
      <vt:variant>
        <vt:lpwstr>_Toc133488496</vt:lpwstr>
      </vt:variant>
      <vt:variant>
        <vt:i4>1114174</vt:i4>
      </vt:variant>
      <vt:variant>
        <vt:i4>2348</vt:i4>
      </vt:variant>
      <vt:variant>
        <vt:i4>0</vt:i4>
      </vt:variant>
      <vt:variant>
        <vt:i4>5</vt:i4>
      </vt:variant>
      <vt:variant>
        <vt:lpwstr/>
      </vt:variant>
      <vt:variant>
        <vt:lpwstr>_Toc133488495</vt:lpwstr>
      </vt:variant>
      <vt:variant>
        <vt:i4>1114174</vt:i4>
      </vt:variant>
      <vt:variant>
        <vt:i4>2342</vt:i4>
      </vt:variant>
      <vt:variant>
        <vt:i4>0</vt:i4>
      </vt:variant>
      <vt:variant>
        <vt:i4>5</vt:i4>
      </vt:variant>
      <vt:variant>
        <vt:lpwstr/>
      </vt:variant>
      <vt:variant>
        <vt:lpwstr>_Toc133488494</vt:lpwstr>
      </vt:variant>
      <vt:variant>
        <vt:i4>1114174</vt:i4>
      </vt:variant>
      <vt:variant>
        <vt:i4>2336</vt:i4>
      </vt:variant>
      <vt:variant>
        <vt:i4>0</vt:i4>
      </vt:variant>
      <vt:variant>
        <vt:i4>5</vt:i4>
      </vt:variant>
      <vt:variant>
        <vt:lpwstr/>
      </vt:variant>
      <vt:variant>
        <vt:lpwstr>_Toc133488493</vt:lpwstr>
      </vt:variant>
      <vt:variant>
        <vt:i4>1114174</vt:i4>
      </vt:variant>
      <vt:variant>
        <vt:i4>2330</vt:i4>
      </vt:variant>
      <vt:variant>
        <vt:i4>0</vt:i4>
      </vt:variant>
      <vt:variant>
        <vt:i4>5</vt:i4>
      </vt:variant>
      <vt:variant>
        <vt:lpwstr/>
      </vt:variant>
      <vt:variant>
        <vt:lpwstr>_Toc133488492</vt:lpwstr>
      </vt:variant>
      <vt:variant>
        <vt:i4>1114174</vt:i4>
      </vt:variant>
      <vt:variant>
        <vt:i4>2324</vt:i4>
      </vt:variant>
      <vt:variant>
        <vt:i4>0</vt:i4>
      </vt:variant>
      <vt:variant>
        <vt:i4>5</vt:i4>
      </vt:variant>
      <vt:variant>
        <vt:lpwstr/>
      </vt:variant>
      <vt:variant>
        <vt:lpwstr>_Toc133488491</vt:lpwstr>
      </vt:variant>
      <vt:variant>
        <vt:i4>1114174</vt:i4>
      </vt:variant>
      <vt:variant>
        <vt:i4>2318</vt:i4>
      </vt:variant>
      <vt:variant>
        <vt:i4>0</vt:i4>
      </vt:variant>
      <vt:variant>
        <vt:i4>5</vt:i4>
      </vt:variant>
      <vt:variant>
        <vt:lpwstr/>
      </vt:variant>
      <vt:variant>
        <vt:lpwstr>_Toc133488490</vt:lpwstr>
      </vt:variant>
      <vt:variant>
        <vt:i4>1048638</vt:i4>
      </vt:variant>
      <vt:variant>
        <vt:i4>2312</vt:i4>
      </vt:variant>
      <vt:variant>
        <vt:i4>0</vt:i4>
      </vt:variant>
      <vt:variant>
        <vt:i4>5</vt:i4>
      </vt:variant>
      <vt:variant>
        <vt:lpwstr/>
      </vt:variant>
      <vt:variant>
        <vt:lpwstr>_Toc133488489</vt:lpwstr>
      </vt:variant>
      <vt:variant>
        <vt:i4>1048638</vt:i4>
      </vt:variant>
      <vt:variant>
        <vt:i4>2306</vt:i4>
      </vt:variant>
      <vt:variant>
        <vt:i4>0</vt:i4>
      </vt:variant>
      <vt:variant>
        <vt:i4>5</vt:i4>
      </vt:variant>
      <vt:variant>
        <vt:lpwstr/>
      </vt:variant>
      <vt:variant>
        <vt:lpwstr>_Toc133488488</vt:lpwstr>
      </vt:variant>
      <vt:variant>
        <vt:i4>1048638</vt:i4>
      </vt:variant>
      <vt:variant>
        <vt:i4>2300</vt:i4>
      </vt:variant>
      <vt:variant>
        <vt:i4>0</vt:i4>
      </vt:variant>
      <vt:variant>
        <vt:i4>5</vt:i4>
      </vt:variant>
      <vt:variant>
        <vt:lpwstr/>
      </vt:variant>
      <vt:variant>
        <vt:lpwstr>_Toc133488487</vt:lpwstr>
      </vt:variant>
      <vt:variant>
        <vt:i4>1048638</vt:i4>
      </vt:variant>
      <vt:variant>
        <vt:i4>2294</vt:i4>
      </vt:variant>
      <vt:variant>
        <vt:i4>0</vt:i4>
      </vt:variant>
      <vt:variant>
        <vt:i4>5</vt:i4>
      </vt:variant>
      <vt:variant>
        <vt:lpwstr/>
      </vt:variant>
      <vt:variant>
        <vt:lpwstr>_Toc133488486</vt:lpwstr>
      </vt:variant>
      <vt:variant>
        <vt:i4>1048638</vt:i4>
      </vt:variant>
      <vt:variant>
        <vt:i4>2288</vt:i4>
      </vt:variant>
      <vt:variant>
        <vt:i4>0</vt:i4>
      </vt:variant>
      <vt:variant>
        <vt:i4>5</vt:i4>
      </vt:variant>
      <vt:variant>
        <vt:lpwstr/>
      </vt:variant>
      <vt:variant>
        <vt:lpwstr>_Toc133488485</vt:lpwstr>
      </vt:variant>
      <vt:variant>
        <vt:i4>1048638</vt:i4>
      </vt:variant>
      <vt:variant>
        <vt:i4>2282</vt:i4>
      </vt:variant>
      <vt:variant>
        <vt:i4>0</vt:i4>
      </vt:variant>
      <vt:variant>
        <vt:i4>5</vt:i4>
      </vt:variant>
      <vt:variant>
        <vt:lpwstr/>
      </vt:variant>
      <vt:variant>
        <vt:lpwstr>_Toc133488484</vt:lpwstr>
      </vt:variant>
      <vt:variant>
        <vt:i4>1048638</vt:i4>
      </vt:variant>
      <vt:variant>
        <vt:i4>2276</vt:i4>
      </vt:variant>
      <vt:variant>
        <vt:i4>0</vt:i4>
      </vt:variant>
      <vt:variant>
        <vt:i4>5</vt:i4>
      </vt:variant>
      <vt:variant>
        <vt:lpwstr/>
      </vt:variant>
      <vt:variant>
        <vt:lpwstr>_Toc133488483</vt:lpwstr>
      </vt:variant>
      <vt:variant>
        <vt:i4>1048638</vt:i4>
      </vt:variant>
      <vt:variant>
        <vt:i4>2270</vt:i4>
      </vt:variant>
      <vt:variant>
        <vt:i4>0</vt:i4>
      </vt:variant>
      <vt:variant>
        <vt:i4>5</vt:i4>
      </vt:variant>
      <vt:variant>
        <vt:lpwstr/>
      </vt:variant>
      <vt:variant>
        <vt:lpwstr>_Toc133488482</vt:lpwstr>
      </vt:variant>
      <vt:variant>
        <vt:i4>1048638</vt:i4>
      </vt:variant>
      <vt:variant>
        <vt:i4>2264</vt:i4>
      </vt:variant>
      <vt:variant>
        <vt:i4>0</vt:i4>
      </vt:variant>
      <vt:variant>
        <vt:i4>5</vt:i4>
      </vt:variant>
      <vt:variant>
        <vt:lpwstr/>
      </vt:variant>
      <vt:variant>
        <vt:lpwstr>_Toc133488481</vt:lpwstr>
      </vt:variant>
      <vt:variant>
        <vt:i4>1048638</vt:i4>
      </vt:variant>
      <vt:variant>
        <vt:i4>2258</vt:i4>
      </vt:variant>
      <vt:variant>
        <vt:i4>0</vt:i4>
      </vt:variant>
      <vt:variant>
        <vt:i4>5</vt:i4>
      </vt:variant>
      <vt:variant>
        <vt:lpwstr/>
      </vt:variant>
      <vt:variant>
        <vt:lpwstr>_Toc133488480</vt:lpwstr>
      </vt:variant>
      <vt:variant>
        <vt:i4>2031678</vt:i4>
      </vt:variant>
      <vt:variant>
        <vt:i4>2252</vt:i4>
      </vt:variant>
      <vt:variant>
        <vt:i4>0</vt:i4>
      </vt:variant>
      <vt:variant>
        <vt:i4>5</vt:i4>
      </vt:variant>
      <vt:variant>
        <vt:lpwstr/>
      </vt:variant>
      <vt:variant>
        <vt:lpwstr>_Toc133488479</vt:lpwstr>
      </vt:variant>
      <vt:variant>
        <vt:i4>2031678</vt:i4>
      </vt:variant>
      <vt:variant>
        <vt:i4>2246</vt:i4>
      </vt:variant>
      <vt:variant>
        <vt:i4>0</vt:i4>
      </vt:variant>
      <vt:variant>
        <vt:i4>5</vt:i4>
      </vt:variant>
      <vt:variant>
        <vt:lpwstr/>
      </vt:variant>
      <vt:variant>
        <vt:lpwstr>_Toc133488478</vt:lpwstr>
      </vt:variant>
      <vt:variant>
        <vt:i4>2031678</vt:i4>
      </vt:variant>
      <vt:variant>
        <vt:i4>2240</vt:i4>
      </vt:variant>
      <vt:variant>
        <vt:i4>0</vt:i4>
      </vt:variant>
      <vt:variant>
        <vt:i4>5</vt:i4>
      </vt:variant>
      <vt:variant>
        <vt:lpwstr/>
      </vt:variant>
      <vt:variant>
        <vt:lpwstr>_Toc133488477</vt:lpwstr>
      </vt:variant>
      <vt:variant>
        <vt:i4>2031678</vt:i4>
      </vt:variant>
      <vt:variant>
        <vt:i4>2234</vt:i4>
      </vt:variant>
      <vt:variant>
        <vt:i4>0</vt:i4>
      </vt:variant>
      <vt:variant>
        <vt:i4>5</vt:i4>
      </vt:variant>
      <vt:variant>
        <vt:lpwstr/>
      </vt:variant>
      <vt:variant>
        <vt:lpwstr>_Toc133488476</vt:lpwstr>
      </vt:variant>
      <vt:variant>
        <vt:i4>2031678</vt:i4>
      </vt:variant>
      <vt:variant>
        <vt:i4>2228</vt:i4>
      </vt:variant>
      <vt:variant>
        <vt:i4>0</vt:i4>
      </vt:variant>
      <vt:variant>
        <vt:i4>5</vt:i4>
      </vt:variant>
      <vt:variant>
        <vt:lpwstr/>
      </vt:variant>
      <vt:variant>
        <vt:lpwstr>_Toc133488475</vt:lpwstr>
      </vt:variant>
      <vt:variant>
        <vt:i4>2031678</vt:i4>
      </vt:variant>
      <vt:variant>
        <vt:i4>2222</vt:i4>
      </vt:variant>
      <vt:variant>
        <vt:i4>0</vt:i4>
      </vt:variant>
      <vt:variant>
        <vt:i4>5</vt:i4>
      </vt:variant>
      <vt:variant>
        <vt:lpwstr/>
      </vt:variant>
      <vt:variant>
        <vt:lpwstr>_Toc133488474</vt:lpwstr>
      </vt:variant>
      <vt:variant>
        <vt:i4>2031678</vt:i4>
      </vt:variant>
      <vt:variant>
        <vt:i4>2216</vt:i4>
      </vt:variant>
      <vt:variant>
        <vt:i4>0</vt:i4>
      </vt:variant>
      <vt:variant>
        <vt:i4>5</vt:i4>
      </vt:variant>
      <vt:variant>
        <vt:lpwstr/>
      </vt:variant>
      <vt:variant>
        <vt:lpwstr>_Toc133488473</vt:lpwstr>
      </vt:variant>
      <vt:variant>
        <vt:i4>2031678</vt:i4>
      </vt:variant>
      <vt:variant>
        <vt:i4>2210</vt:i4>
      </vt:variant>
      <vt:variant>
        <vt:i4>0</vt:i4>
      </vt:variant>
      <vt:variant>
        <vt:i4>5</vt:i4>
      </vt:variant>
      <vt:variant>
        <vt:lpwstr/>
      </vt:variant>
      <vt:variant>
        <vt:lpwstr>_Toc133488472</vt:lpwstr>
      </vt:variant>
      <vt:variant>
        <vt:i4>2031678</vt:i4>
      </vt:variant>
      <vt:variant>
        <vt:i4>2204</vt:i4>
      </vt:variant>
      <vt:variant>
        <vt:i4>0</vt:i4>
      </vt:variant>
      <vt:variant>
        <vt:i4>5</vt:i4>
      </vt:variant>
      <vt:variant>
        <vt:lpwstr/>
      </vt:variant>
      <vt:variant>
        <vt:lpwstr>_Toc133488471</vt:lpwstr>
      </vt:variant>
      <vt:variant>
        <vt:i4>2031678</vt:i4>
      </vt:variant>
      <vt:variant>
        <vt:i4>2198</vt:i4>
      </vt:variant>
      <vt:variant>
        <vt:i4>0</vt:i4>
      </vt:variant>
      <vt:variant>
        <vt:i4>5</vt:i4>
      </vt:variant>
      <vt:variant>
        <vt:lpwstr/>
      </vt:variant>
      <vt:variant>
        <vt:lpwstr>_Toc133488470</vt:lpwstr>
      </vt:variant>
      <vt:variant>
        <vt:i4>1966142</vt:i4>
      </vt:variant>
      <vt:variant>
        <vt:i4>2192</vt:i4>
      </vt:variant>
      <vt:variant>
        <vt:i4>0</vt:i4>
      </vt:variant>
      <vt:variant>
        <vt:i4>5</vt:i4>
      </vt:variant>
      <vt:variant>
        <vt:lpwstr/>
      </vt:variant>
      <vt:variant>
        <vt:lpwstr>_Toc133488469</vt:lpwstr>
      </vt:variant>
      <vt:variant>
        <vt:i4>1966142</vt:i4>
      </vt:variant>
      <vt:variant>
        <vt:i4>2186</vt:i4>
      </vt:variant>
      <vt:variant>
        <vt:i4>0</vt:i4>
      </vt:variant>
      <vt:variant>
        <vt:i4>5</vt:i4>
      </vt:variant>
      <vt:variant>
        <vt:lpwstr/>
      </vt:variant>
      <vt:variant>
        <vt:lpwstr>_Toc133488468</vt:lpwstr>
      </vt:variant>
      <vt:variant>
        <vt:i4>1966142</vt:i4>
      </vt:variant>
      <vt:variant>
        <vt:i4>2180</vt:i4>
      </vt:variant>
      <vt:variant>
        <vt:i4>0</vt:i4>
      </vt:variant>
      <vt:variant>
        <vt:i4>5</vt:i4>
      </vt:variant>
      <vt:variant>
        <vt:lpwstr/>
      </vt:variant>
      <vt:variant>
        <vt:lpwstr>_Toc133488467</vt:lpwstr>
      </vt:variant>
      <vt:variant>
        <vt:i4>1966142</vt:i4>
      </vt:variant>
      <vt:variant>
        <vt:i4>2174</vt:i4>
      </vt:variant>
      <vt:variant>
        <vt:i4>0</vt:i4>
      </vt:variant>
      <vt:variant>
        <vt:i4>5</vt:i4>
      </vt:variant>
      <vt:variant>
        <vt:lpwstr/>
      </vt:variant>
      <vt:variant>
        <vt:lpwstr>_Toc133488466</vt:lpwstr>
      </vt:variant>
      <vt:variant>
        <vt:i4>1966142</vt:i4>
      </vt:variant>
      <vt:variant>
        <vt:i4>2168</vt:i4>
      </vt:variant>
      <vt:variant>
        <vt:i4>0</vt:i4>
      </vt:variant>
      <vt:variant>
        <vt:i4>5</vt:i4>
      </vt:variant>
      <vt:variant>
        <vt:lpwstr/>
      </vt:variant>
      <vt:variant>
        <vt:lpwstr>_Toc133488465</vt:lpwstr>
      </vt:variant>
      <vt:variant>
        <vt:i4>1966142</vt:i4>
      </vt:variant>
      <vt:variant>
        <vt:i4>2162</vt:i4>
      </vt:variant>
      <vt:variant>
        <vt:i4>0</vt:i4>
      </vt:variant>
      <vt:variant>
        <vt:i4>5</vt:i4>
      </vt:variant>
      <vt:variant>
        <vt:lpwstr/>
      </vt:variant>
      <vt:variant>
        <vt:lpwstr>_Toc133488464</vt:lpwstr>
      </vt:variant>
      <vt:variant>
        <vt:i4>1966142</vt:i4>
      </vt:variant>
      <vt:variant>
        <vt:i4>2156</vt:i4>
      </vt:variant>
      <vt:variant>
        <vt:i4>0</vt:i4>
      </vt:variant>
      <vt:variant>
        <vt:i4>5</vt:i4>
      </vt:variant>
      <vt:variant>
        <vt:lpwstr/>
      </vt:variant>
      <vt:variant>
        <vt:lpwstr>_Toc133488463</vt:lpwstr>
      </vt:variant>
      <vt:variant>
        <vt:i4>1966142</vt:i4>
      </vt:variant>
      <vt:variant>
        <vt:i4>2150</vt:i4>
      </vt:variant>
      <vt:variant>
        <vt:i4>0</vt:i4>
      </vt:variant>
      <vt:variant>
        <vt:i4>5</vt:i4>
      </vt:variant>
      <vt:variant>
        <vt:lpwstr/>
      </vt:variant>
      <vt:variant>
        <vt:lpwstr>_Toc133488462</vt:lpwstr>
      </vt:variant>
      <vt:variant>
        <vt:i4>1966142</vt:i4>
      </vt:variant>
      <vt:variant>
        <vt:i4>2144</vt:i4>
      </vt:variant>
      <vt:variant>
        <vt:i4>0</vt:i4>
      </vt:variant>
      <vt:variant>
        <vt:i4>5</vt:i4>
      </vt:variant>
      <vt:variant>
        <vt:lpwstr/>
      </vt:variant>
      <vt:variant>
        <vt:lpwstr>_Toc133488461</vt:lpwstr>
      </vt:variant>
      <vt:variant>
        <vt:i4>1966142</vt:i4>
      </vt:variant>
      <vt:variant>
        <vt:i4>2138</vt:i4>
      </vt:variant>
      <vt:variant>
        <vt:i4>0</vt:i4>
      </vt:variant>
      <vt:variant>
        <vt:i4>5</vt:i4>
      </vt:variant>
      <vt:variant>
        <vt:lpwstr/>
      </vt:variant>
      <vt:variant>
        <vt:lpwstr>_Toc133488460</vt:lpwstr>
      </vt:variant>
      <vt:variant>
        <vt:i4>1900606</vt:i4>
      </vt:variant>
      <vt:variant>
        <vt:i4>2132</vt:i4>
      </vt:variant>
      <vt:variant>
        <vt:i4>0</vt:i4>
      </vt:variant>
      <vt:variant>
        <vt:i4>5</vt:i4>
      </vt:variant>
      <vt:variant>
        <vt:lpwstr/>
      </vt:variant>
      <vt:variant>
        <vt:lpwstr>_Toc133488459</vt:lpwstr>
      </vt:variant>
      <vt:variant>
        <vt:i4>1900606</vt:i4>
      </vt:variant>
      <vt:variant>
        <vt:i4>2126</vt:i4>
      </vt:variant>
      <vt:variant>
        <vt:i4>0</vt:i4>
      </vt:variant>
      <vt:variant>
        <vt:i4>5</vt:i4>
      </vt:variant>
      <vt:variant>
        <vt:lpwstr/>
      </vt:variant>
      <vt:variant>
        <vt:lpwstr>_Toc133488458</vt:lpwstr>
      </vt:variant>
      <vt:variant>
        <vt:i4>1900606</vt:i4>
      </vt:variant>
      <vt:variant>
        <vt:i4>2120</vt:i4>
      </vt:variant>
      <vt:variant>
        <vt:i4>0</vt:i4>
      </vt:variant>
      <vt:variant>
        <vt:i4>5</vt:i4>
      </vt:variant>
      <vt:variant>
        <vt:lpwstr/>
      </vt:variant>
      <vt:variant>
        <vt:lpwstr>_Toc133488457</vt:lpwstr>
      </vt:variant>
      <vt:variant>
        <vt:i4>1900606</vt:i4>
      </vt:variant>
      <vt:variant>
        <vt:i4>2114</vt:i4>
      </vt:variant>
      <vt:variant>
        <vt:i4>0</vt:i4>
      </vt:variant>
      <vt:variant>
        <vt:i4>5</vt:i4>
      </vt:variant>
      <vt:variant>
        <vt:lpwstr/>
      </vt:variant>
      <vt:variant>
        <vt:lpwstr>_Toc133488456</vt:lpwstr>
      </vt:variant>
      <vt:variant>
        <vt:i4>1900606</vt:i4>
      </vt:variant>
      <vt:variant>
        <vt:i4>2108</vt:i4>
      </vt:variant>
      <vt:variant>
        <vt:i4>0</vt:i4>
      </vt:variant>
      <vt:variant>
        <vt:i4>5</vt:i4>
      </vt:variant>
      <vt:variant>
        <vt:lpwstr/>
      </vt:variant>
      <vt:variant>
        <vt:lpwstr>_Toc133488455</vt:lpwstr>
      </vt:variant>
      <vt:variant>
        <vt:i4>1900606</vt:i4>
      </vt:variant>
      <vt:variant>
        <vt:i4>2102</vt:i4>
      </vt:variant>
      <vt:variant>
        <vt:i4>0</vt:i4>
      </vt:variant>
      <vt:variant>
        <vt:i4>5</vt:i4>
      </vt:variant>
      <vt:variant>
        <vt:lpwstr/>
      </vt:variant>
      <vt:variant>
        <vt:lpwstr>_Toc133488454</vt:lpwstr>
      </vt:variant>
      <vt:variant>
        <vt:i4>1900606</vt:i4>
      </vt:variant>
      <vt:variant>
        <vt:i4>2096</vt:i4>
      </vt:variant>
      <vt:variant>
        <vt:i4>0</vt:i4>
      </vt:variant>
      <vt:variant>
        <vt:i4>5</vt:i4>
      </vt:variant>
      <vt:variant>
        <vt:lpwstr/>
      </vt:variant>
      <vt:variant>
        <vt:lpwstr>_Toc133488453</vt:lpwstr>
      </vt:variant>
      <vt:variant>
        <vt:i4>1900606</vt:i4>
      </vt:variant>
      <vt:variant>
        <vt:i4>2090</vt:i4>
      </vt:variant>
      <vt:variant>
        <vt:i4>0</vt:i4>
      </vt:variant>
      <vt:variant>
        <vt:i4>5</vt:i4>
      </vt:variant>
      <vt:variant>
        <vt:lpwstr/>
      </vt:variant>
      <vt:variant>
        <vt:lpwstr>_Toc133488452</vt:lpwstr>
      </vt:variant>
      <vt:variant>
        <vt:i4>1900606</vt:i4>
      </vt:variant>
      <vt:variant>
        <vt:i4>2084</vt:i4>
      </vt:variant>
      <vt:variant>
        <vt:i4>0</vt:i4>
      </vt:variant>
      <vt:variant>
        <vt:i4>5</vt:i4>
      </vt:variant>
      <vt:variant>
        <vt:lpwstr/>
      </vt:variant>
      <vt:variant>
        <vt:lpwstr>_Toc133488451</vt:lpwstr>
      </vt:variant>
      <vt:variant>
        <vt:i4>1900606</vt:i4>
      </vt:variant>
      <vt:variant>
        <vt:i4>2078</vt:i4>
      </vt:variant>
      <vt:variant>
        <vt:i4>0</vt:i4>
      </vt:variant>
      <vt:variant>
        <vt:i4>5</vt:i4>
      </vt:variant>
      <vt:variant>
        <vt:lpwstr/>
      </vt:variant>
      <vt:variant>
        <vt:lpwstr>_Toc133488450</vt:lpwstr>
      </vt:variant>
      <vt:variant>
        <vt:i4>1835070</vt:i4>
      </vt:variant>
      <vt:variant>
        <vt:i4>2072</vt:i4>
      </vt:variant>
      <vt:variant>
        <vt:i4>0</vt:i4>
      </vt:variant>
      <vt:variant>
        <vt:i4>5</vt:i4>
      </vt:variant>
      <vt:variant>
        <vt:lpwstr/>
      </vt:variant>
      <vt:variant>
        <vt:lpwstr>_Toc133488449</vt:lpwstr>
      </vt:variant>
      <vt:variant>
        <vt:i4>1835070</vt:i4>
      </vt:variant>
      <vt:variant>
        <vt:i4>2066</vt:i4>
      </vt:variant>
      <vt:variant>
        <vt:i4>0</vt:i4>
      </vt:variant>
      <vt:variant>
        <vt:i4>5</vt:i4>
      </vt:variant>
      <vt:variant>
        <vt:lpwstr/>
      </vt:variant>
      <vt:variant>
        <vt:lpwstr>_Toc133488448</vt:lpwstr>
      </vt:variant>
      <vt:variant>
        <vt:i4>1835070</vt:i4>
      </vt:variant>
      <vt:variant>
        <vt:i4>2060</vt:i4>
      </vt:variant>
      <vt:variant>
        <vt:i4>0</vt:i4>
      </vt:variant>
      <vt:variant>
        <vt:i4>5</vt:i4>
      </vt:variant>
      <vt:variant>
        <vt:lpwstr/>
      </vt:variant>
      <vt:variant>
        <vt:lpwstr>_Toc133488447</vt:lpwstr>
      </vt:variant>
      <vt:variant>
        <vt:i4>1835070</vt:i4>
      </vt:variant>
      <vt:variant>
        <vt:i4>2054</vt:i4>
      </vt:variant>
      <vt:variant>
        <vt:i4>0</vt:i4>
      </vt:variant>
      <vt:variant>
        <vt:i4>5</vt:i4>
      </vt:variant>
      <vt:variant>
        <vt:lpwstr/>
      </vt:variant>
      <vt:variant>
        <vt:lpwstr>_Toc133488446</vt:lpwstr>
      </vt:variant>
      <vt:variant>
        <vt:i4>1835070</vt:i4>
      </vt:variant>
      <vt:variant>
        <vt:i4>2048</vt:i4>
      </vt:variant>
      <vt:variant>
        <vt:i4>0</vt:i4>
      </vt:variant>
      <vt:variant>
        <vt:i4>5</vt:i4>
      </vt:variant>
      <vt:variant>
        <vt:lpwstr/>
      </vt:variant>
      <vt:variant>
        <vt:lpwstr>_Toc133488445</vt:lpwstr>
      </vt:variant>
      <vt:variant>
        <vt:i4>1835070</vt:i4>
      </vt:variant>
      <vt:variant>
        <vt:i4>2042</vt:i4>
      </vt:variant>
      <vt:variant>
        <vt:i4>0</vt:i4>
      </vt:variant>
      <vt:variant>
        <vt:i4>5</vt:i4>
      </vt:variant>
      <vt:variant>
        <vt:lpwstr/>
      </vt:variant>
      <vt:variant>
        <vt:lpwstr>_Toc133488444</vt:lpwstr>
      </vt:variant>
      <vt:variant>
        <vt:i4>1835070</vt:i4>
      </vt:variant>
      <vt:variant>
        <vt:i4>2036</vt:i4>
      </vt:variant>
      <vt:variant>
        <vt:i4>0</vt:i4>
      </vt:variant>
      <vt:variant>
        <vt:i4>5</vt:i4>
      </vt:variant>
      <vt:variant>
        <vt:lpwstr/>
      </vt:variant>
      <vt:variant>
        <vt:lpwstr>_Toc133488443</vt:lpwstr>
      </vt:variant>
      <vt:variant>
        <vt:i4>1835070</vt:i4>
      </vt:variant>
      <vt:variant>
        <vt:i4>2030</vt:i4>
      </vt:variant>
      <vt:variant>
        <vt:i4>0</vt:i4>
      </vt:variant>
      <vt:variant>
        <vt:i4>5</vt:i4>
      </vt:variant>
      <vt:variant>
        <vt:lpwstr/>
      </vt:variant>
      <vt:variant>
        <vt:lpwstr>_Toc133488442</vt:lpwstr>
      </vt:variant>
      <vt:variant>
        <vt:i4>1835070</vt:i4>
      </vt:variant>
      <vt:variant>
        <vt:i4>2024</vt:i4>
      </vt:variant>
      <vt:variant>
        <vt:i4>0</vt:i4>
      </vt:variant>
      <vt:variant>
        <vt:i4>5</vt:i4>
      </vt:variant>
      <vt:variant>
        <vt:lpwstr/>
      </vt:variant>
      <vt:variant>
        <vt:lpwstr>_Toc133488441</vt:lpwstr>
      </vt:variant>
      <vt:variant>
        <vt:i4>1835070</vt:i4>
      </vt:variant>
      <vt:variant>
        <vt:i4>2018</vt:i4>
      </vt:variant>
      <vt:variant>
        <vt:i4>0</vt:i4>
      </vt:variant>
      <vt:variant>
        <vt:i4>5</vt:i4>
      </vt:variant>
      <vt:variant>
        <vt:lpwstr/>
      </vt:variant>
      <vt:variant>
        <vt:lpwstr>_Toc133488440</vt:lpwstr>
      </vt:variant>
      <vt:variant>
        <vt:i4>1769534</vt:i4>
      </vt:variant>
      <vt:variant>
        <vt:i4>2012</vt:i4>
      </vt:variant>
      <vt:variant>
        <vt:i4>0</vt:i4>
      </vt:variant>
      <vt:variant>
        <vt:i4>5</vt:i4>
      </vt:variant>
      <vt:variant>
        <vt:lpwstr/>
      </vt:variant>
      <vt:variant>
        <vt:lpwstr>_Toc133488439</vt:lpwstr>
      </vt:variant>
      <vt:variant>
        <vt:i4>1769534</vt:i4>
      </vt:variant>
      <vt:variant>
        <vt:i4>2006</vt:i4>
      </vt:variant>
      <vt:variant>
        <vt:i4>0</vt:i4>
      </vt:variant>
      <vt:variant>
        <vt:i4>5</vt:i4>
      </vt:variant>
      <vt:variant>
        <vt:lpwstr/>
      </vt:variant>
      <vt:variant>
        <vt:lpwstr>_Toc133488438</vt:lpwstr>
      </vt:variant>
      <vt:variant>
        <vt:i4>1769534</vt:i4>
      </vt:variant>
      <vt:variant>
        <vt:i4>2000</vt:i4>
      </vt:variant>
      <vt:variant>
        <vt:i4>0</vt:i4>
      </vt:variant>
      <vt:variant>
        <vt:i4>5</vt:i4>
      </vt:variant>
      <vt:variant>
        <vt:lpwstr/>
      </vt:variant>
      <vt:variant>
        <vt:lpwstr>_Toc133488437</vt:lpwstr>
      </vt:variant>
      <vt:variant>
        <vt:i4>1769534</vt:i4>
      </vt:variant>
      <vt:variant>
        <vt:i4>1994</vt:i4>
      </vt:variant>
      <vt:variant>
        <vt:i4>0</vt:i4>
      </vt:variant>
      <vt:variant>
        <vt:i4>5</vt:i4>
      </vt:variant>
      <vt:variant>
        <vt:lpwstr/>
      </vt:variant>
      <vt:variant>
        <vt:lpwstr>_Toc133488436</vt:lpwstr>
      </vt:variant>
      <vt:variant>
        <vt:i4>1769534</vt:i4>
      </vt:variant>
      <vt:variant>
        <vt:i4>1988</vt:i4>
      </vt:variant>
      <vt:variant>
        <vt:i4>0</vt:i4>
      </vt:variant>
      <vt:variant>
        <vt:i4>5</vt:i4>
      </vt:variant>
      <vt:variant>
        <vt:lpwstr/>
      </vt:variant>
      <vt:variant>
        <vt:lpwstr>_Toc133488435</vt:lpwstr>
      </vt:variant>
      <vt:variant>
        <vt:i4>1769534</vt:i4>
      </vt:variant>
      <vt:variant>
        <vt:i4>1982</vt:i4>
      </vt:variant>
      <vt:variant>
        <vt:i4>0</vt:i4>
      </vt:variant>
      <vt:variant>
        <vt:i4>5</vt:i4>
      </vt:variant>
      <vt:variant>
        <vt:lpwstr/>
      </vt:variant>
      <vt:variant>
        <vt:lpwstr>_Toc133488434</vt:lpwstr>
      </vt:variant>
      <vt:variant>
        <vt:i4>1769534</vt:i4>
      </vt:variant>
      <vt:variant>
        <vt:i4>1976</vt:i4>
      </vt:variant>
      <vt:variant>
        <vt:i4>0</vt:i4>
      </vt:variant>
      <vt:variant>
        <vt:i4>5</vt:i4>
      </vt:variant>
      <vt:variant>
        <vt:lpwstr/>
      </vt:variant>
      <vt:variant>
        <vt:lpwstr>_Toc133488433</vt:lpwstr>
      </vt:variant>
      <vt:variant>
        <vt:i4>1769534</vt:i4>
      </vt:variant>
      <vt:variant>
        <vt:i4>1970</vt:i4>
      </vt:variant>
      <vt:variant>
        <vt:i4>0</vt:i4>
      </vt:variant>
      <vt:variant>
        <vt:i4>5</vt:i4>
      </vt:variant>
      <vt:variant>
        <vt:lpwstr/>
      </vt:variant>
      <vt:variant>
        <vt:lpwstr>_Toc133488432</vt:lpwstr>
      </vt:variant>
      <vt:variant>
        <vt:i4>1769534</vt:i4>
      </vt:variant>
      <vt:variant>
        <vt:i4>1964</vt:i4>
      </vt:variant>
      <vt:variant>
        <vt:i4>0</vt:i4>
      </vt:variant>
      <vt:variant>
        <vt:i4>5</vt:i4>
      </vt:variant>
      <vt:variant>
        <vt:lpwstr/>
      </vt:variant>
      <vt:variant>
        <vt:lpwstr>_Toc133488431</vt:lpwstr>
      </vt:variant>
      <vt:variant>
        <vt:i4>1769534</vt:i4>
      </vt:variant>
      <vt:variant>
        <vt:i4>1958</vt:i4>
      </vt:variant>
      <vt:variant>
        <vt:i4>0</vt:i4>
      </vt:variant>
      <vt:variant>
        <vt:i4>5</vt:i4>
      </vt:variant>
      <vt:variant>
        <vt:lpwstr/>
      </vt:variant>
      <vt:variant>
        <vt:lpwstr>_Toc133488430</vt:lpwstr>
      </vt:variant>
      <vt:variant>
        <vt:i4>1703998</vt:i4>
      </vt:variant>
      <vt:variant>
        <vt:i4>1952</vt:i4>
      </vt:variant>
      <vt:variant>
        <vt:i4>0</vt:i4>
      </vt:variant>
      <vt:variant>
        <vt:i4>5</vt:i4>
      </vt:variant>
      <vt:variant>
        <vt:lpwstr/>
      </vt:variant>
      <vt:variant>
        <vt:lpwstr>_Toc133488429</vt:lpwstr>
      </vt:variant>
      <vt:variant>
        <vt:i4>1703998</vt:i4>
      </vt:variant>
      <vt:variant>
        <vt:i4>1946</vt:i4>
      </vt:variant>
      <vt:variant>
        <vt:i4>0</vt:i4>
      </vt:variant>
      <vt:variant>
        <vt:i4>5</vt:i4>
      </vt:variant>
      <vt:variant>
        <vt:lpwstr/>
      </vt:variant>
      <vt:variant>
        <vt:lpwstr>_Toc133488428</vt:lpwstr>
      </vt:variant>
      <vt:variant>
        <vt:i4>1703998</vt:i4>
      </vt:variant>
      <vt:variant>
        <vt:i4>1940</vt:i4>
      </vt:variant>
      <vt:variant>
        <vt:i4>0</vt:i4>
      </vt:variant>
      <vt:variant>
        <vt:i4>5</vt:i4>
      </vt:variant>
      <vt:variant>
        <vt:lpwstr/>
      </vt:variant>
      <vt:variant>
        <vt:lpwstr>_Toc133488427</vt:lpwstr>
      </vt:variant>
      <vt:variant>
        <vt:i4>1703998</vt:i4>
      </vt:variant>
      <vt:variant>
        <vt:i4>1934</vt:i4>
      </vt:variant>
      <vt:variant>
        <vt:i4>0</vt:i4>
      </vt:variant>
      <vt:variant>
        <vt:i4>5</vt:i4>
      </vt:variant>
      <vt:variant>
        <vt:lpwstr/>
      </vt:variant>
      <vt:variant>
        <vt:lpwstr>_Toc133488426</vt:lpwstr>
      </vt:variant>
      <vt:variant>
        <vt:i4>1703998</vt:i4>
      </vt:variant>
      <vt:variant>
        <vt:i4>1928</vt:i4>
      </vt:variant>
      <vt:variant>
        <vt:i4>0</vt:i4>
      </vt:variant>
      <vt:variant>
        <vt:i4>5</vt:i4>
      </vt:variant>
      <vt:variant>
        <vt:lpwstr/>
      </vt:variant>
      <vt:variant>
        <vt:lpwstr>_Toc133488425</vt:lpwstr>
      </vt:variant>
      <vt:variant>
        <vt:i4>1703998</vt:i4>
      </vt:variant>
      <vt:variant>
        <vt:i4>1922</vt:i4>
      </vt:variant>
      <vt:variant>
        <vt:i4>0</vt:i4>
      </vt:variant>
      <vt:variant>
        <vt:i4>5</vt:i4>
      </vt:variant>
      <vt:variant>
        <vt:lpwstr/>
      </vt:variant>
      <vt:variant>
        <vt:lpwstr>_Toc133488424</vt:lpwstr>
      </vt:variant>
      <vt:variant>
        <vt:i4>1703998</vt:i4>
      </vt:variant>
      <vt:variant>
        <vt:i4>1916</vt:i4>
      </vt:variant>
      <vt:variant>
        <vt:i4>0</vt:i4>
      </vt:variant>
      <vt:variant>
        <vt:i4>5</vt:i4>
      </vt:variant>
      <vt:variant>
        <vt:lpwstr/>
      </vt:variant>
      <vt:variant>
        <vt:lpwstr>_Toc133488423</vt:lpwstr>
      </vt:variant>
      <vt:variant>
        <vt:i4>1703998</vt:i4>
      </vt:variant>
      <vt:variant>
        <vt:i4>1910</vt:i4>
      </vt:variant>
      <vt:variant>
        <vt:i4>0</vt:i4>
      </vt:variant>
      <vt:variant>
        <vt:i4>5</vt:i4>
      </vt:variant>
      <vt:variant>
        <vt:lpwstr/>
      </vt:variant>
      <vt:variant>
        <vt:lpwstr>_Toc133488422</vt:lpwstr>
      </vt:variant>
      <vt:variant>
        <vt:i4>1703998</vt:i4>
      </vt:variant>
      <vt:variant>
        <vt:i4>1904</vt:i4>
      </vt:variant>
      <vt:variant>
        <vt:i4>0</vt:i4>
      </vt:variant>
      <vt:variant>
        <vt:i4>5</vt:i4>
      </vt:variant>
      <vt:variant>
        <vt:lpwstr/>
      </vt:variant>
      <vt:variant>
        <vt:lpwstr>_Toc133488421</vt:lpwstr>
      </vt:variant>
      <vt:variant>
        <vt:i4>1703998</vt:i4>
      </vt:variant>
      <vt:variant>
        <vt:i4>1898</vt:i4>
      </vt:variant>
      <vt:variant>
        <vt:i4>0</vt:i4>
      </vt:variant>
      <vt:variant>
        <vt:i4>5</vt:i4>
      </vt:variant>
      <vt:variant>
        <vt:lpwstr/>
      </vt:variant>
      <vt:variant>
        <vt:lpwstr>_Toc133488420</vt:lpwstr>
      </vt:variant>
      <vt:variant>
        <vt:i4>1638462</vt:i4>
      </vt:variant>
      <vt:variant>
        <vt:i4>1892</vt:i4>
      </vt:variant>
      <vt:variant>
        <vt:i4>0</vt:i4>
      </vt:variant>
      <vt:variant>
        <vt:i4>5</vt:i4>
      </vt:variant>
      <vt:variant>
        <vt:lpwstr/>
      </vt:variant>
      <vt:variant>
        <vt:lpwstr>_Toc133488419</vt:lpwstr>
      </vt:variant>
      <vt:variant>
        <vt:i4>1638462</vt:i4>
      </vt:variant>
      <vt:variant>
        <vt:i4>1886</vt:i4>
      </vt:variant>
      <vt:variant>
        <vt:i4>0</vt:i4>
      </vt:variant>
      <vt:variant>
        <vt:i4>5</vt:i4>
      </vt:variant>
      <vt:variant>
        <vt:lpwstr/>
      </vt:variant>
      <vt:variant>
        <vt:lpwstr>_Toc133488418</vt:lpwstr>
      </vt:variant>
      <vt:variant>
        <vt:i4>1638462</vt:i4>
      </vt:variant>
      <vt:variant>
        <vt:i4>1880</vt:i4>
      </vt:variant>
      <vt:variant>
        <vt:i4>0</vt:i4>
      </vt:variant>
      <vt:variant>
        <vt:i4>5</vt:i4>
      </vt:variant>
      <vt:variant>
        <vt:lpwstr/>
      </vt:variant>
      <vt:variant>
        <vt:lpwstr>_Toc133488417</vt:lpwstr>
      </vt:variant>
      <vt:variant>
        <vt:i4>1638462</vt:i4>
      </vt:variant>
      <vt:variant>
        <vt:i4>1874</vt:i4>
      </vt:variant>
      <vt:variant>
        <vt:i4>0</vt:i4>
      </vt:variant>
      <vt:variant>
        <vt:i4>5</vt:i4>
      </vt:variant>
      <vt:variant>
        <vt:lpwstr/>
      </vt:variant>
      <vt:variant>
        <vt:lpwstr>_Toc133488416</vt:lpwstr>
      </vt:variant>
      <vt:variant>
        <vt:i4>1638462</vt:i4>
      </vt:variant>
      <vt:variant>
        <vt:i4>1868</vt:i4>
      </vt:variant>
      <vt:variant>
        <vt:i4>0</vt:i4>
      </vt:variant>
      <vt:variant>
        <vt:i4>5</vt:i4>
      </vt:variant>
      <vt:variant>
        <vt:lpwstr/>
      </vt:variant>
      <vt:variant>
        <vt:lpwstr>_Toc133488415</vt:lpwstr>
      </vt:variant>
      <vt:variant>
        <vt:i4>1638462</vt:i4>
      </vt:variant>
      <vt:variant>
        <vt:i4>1862</vt:i4>
      </vt:variant>
      <vt:variant>
        <vt:i4>0</vt:i4>
      </vt:variant>
      <vt:variant>
        <vt:i4>5</vt:i4>
      </vt:variant>
      <vt:variant>
        <vt:lpwstr/>
      </vt:variant>
      <vt:variant>
        <vt:lpwstr>_Toc133488414</vt:lpwstr>
      </vt:variant>
      <vt:variant>
        <vt:i4>1638462</vt:i4>
      </vt:variant>
      <vt:variant>
        <vt:i4>1856</vt:i4>
      </vt:variant>
      <vt:variant>
        <vt:i4>0</vt:i4>
      </vt:variant>
      <vt:variant>
        <vt:i4>5</vt:i4>
      </vt:variant>
      <vt:variant>
        <vt:lpwstr/>
      </vt:variant>
      <vt:variant>
        <vt:lpwstr>_Toc133488413</vt:lpwstr>
      </vt:variant>
      <vt:variant>
        <vt:i4>1638462</vt:i4>
      </vt:variant>
      <vt:variant>
        <vt:i4>1850</vt:i4>
      </vt:variant>
      <vt:variant>
        <vt:i4>0</vt:i4>
      </vt:variant>
      <vt:variant>
        <vt:i4>5</vt:i4>
      </vt:variant>
      <vt:variant>
        <vt:lpwstr/>
      </vt:variant>
      <vt:variant>
        <vt:lpwstr>_Toc133488412</vt:lpwstr>
      </vt:variant>
      <vt:variant>
        <vt:i4>1638462</vt:i4>
      </vt:variant>
      <vt:variant>
        <vt:i4>1844</vt:i4>
      </vt:variant>
      <vt:variant>
        <vt:i4>0</vt:i4>
      </vt:variant>
      <vt:variant>
        <vt:i4>5</vt:i4>
      </vt:variant>
      <vt:variant>
        <vt:lpwstr/>
      </vt:variant>
      <vt:variant>
        <vt:lpwstr>_Toc133488411</vt:lpwstr>
      </vt:variant>
      <vt:variant>
        <vt:i4>1638462</vt:i4>
      </vt:variant>
      <vt:variant>
        <vt:i4>1838</vt:i4>
      </vt:variant>
      <vt:variant>
        <vt:i4>0</vt:i4>
      </vt:variant>
      <vt:variant>
        <vt:i4>5</vt:i4>
      </vt:variant>
      <vt:variant>
        <vt:lpwstr/>
      </vt:variant>
      <vt:variant>
        <vt:lpwstr>_Toc133488410</vt:lpwstr>
      </vt:variant>
      <vt:variant>
        <vt:i4>1572926</vt:i4>
      </vt:variant>
      <vt:variant>
        <vt:i4>1832</vt:i4>
      </vt:variant>
      <vt:variant>
        <vt:i4>0</vt:i4>
      </vt:variant>
      <vt:variant>
        <vt:i4>5</vt:i4>
      </vt:variant>
      <vt:variant>
        <vt:lpwstr/>
      </vt:variant>
      <vt:variant>
        <vt:lpwstr>_Toc133488409</vt:lpwstr>
      </vt:variant>
      <vt:variant>
        <vt:i4>1572926</vt:i4>
      </vt:variant>
      <vt:variant>
        <vt:i4>1826</vt:i4>
      </vt:variant>
      <vt:variant>
        <vt:i4>0</vt:i4>
      </vt:variant>
      <vt:variant>
        <vt:i4>5</vt:i4>
      </vt:variant>
      <vt:variant>
        <vt:lpwstr/>
      </vt:variant>
      <vt:variant>
        <vt:lpwstr>_Toc133488408</vt:lpwstr>
      </vt:variant>
      <vt:variant>
        <vt:i4>1572926</vt:i4>
      </vt:variant>
      <vt:variant>
        <vt:i4>1820</vt:i4>
      </vt:variant>
      <vt:variant>
        <vt:i4>0</vt:i4>
      </vt:variant>
      <vt:variant>
        <vt:i4>5</vt:i4>
      </vt:variant>
      <vt:variant>
        <vt:lpwstr/>
      </vt:variant>
      <vt:variant>
        <vt:lpwstr>_Toc133488407</vt:lpwstr>
      </vt:variant>
      <vt:variant>
        <vt:i4>1572926</vt:i4>
      </vt:variant>
      <vt:variant>
        <vt:i4>1814</vt:i4>
      </vt:variant>
      <vt:variant>
        <vt:i4>0</vt:i4>
      </vt:variant>
      <vt:variant>
        <vt:i4>5</vt:i4>
      </vt:variant>
      <vt:variant>
        <vt:lpwstr/>
      </vt:variant>
      <vt:variant>
        <vt:lpwstr>_Toc133488406</vt:lpwstr>
      </vt:variant>
      <vt:variant>
        <vt:i4>1572926</vt:i4>
      </vt:variant>
      <vt:variant>
        <vt:i4>1808</vt:i4>
      </vt:variant>
      <vt:variant>
        <vt:i4>0</vt:i4>
      </vt:variant>
      <vt:variant>
        <vt:i4>5</vt:i4>
      </vt:variant>
      <vt:variant>
        <vt:lpwstr/>
      </vt:variant>
      <vt:variant>
        <vt:lpwstr>_Toc133488405</vt:lpwstr>
      </vt:variant>
      <vt:variant>
        <vt:i4>1572926</vt:i4>
      </vt:variant>
      <vt:variant>
        <vt:i4>1802</vt:i4>
      </vt:variant>
      <vt:variant>
        <vt:i4>0</vt:i4>
      </vt:variant>
      <vt:variant>
        <vt:i4>5</vt:i4>
      </vt:variant>
      <vt:variant>
        <vt:lpwstr/>
      </vt:variant>
      <vt:variant>
        <vt:lpwstr>_Toc133488404</vt:lpwstr>
      </vt:variant>
      <vt:variant>
        <vt:i4>1572926</vt:i4>
      </vt:variant>
      <vt:variant>
        <vt:i4>1796</vt:i4>
      </vt:variant>
      <vt:variant>
        <vt:i4>0</vt:i4>
      </vt:variant>
      <vt:variant>
        <vt:i4>5</vt:i4>
      </vt:variant>
      <vt:variant>
        <vt:lpwstr/>
      </vt:variant>
      <vt:variant>
        <vt:lpwstr>_Toc133488403</vt:lpwstr>
      </vt:variant>
      <vt:variant>
        <vt:i4>1572926</vt:i4>
      </vt:variant>
      <vt:variant>
        <vt:i4>1790</vt:i4>
      </vt:variant>
      <vt:variant>
        <vt:i4>0</vt:i4>
      </vt:variant>
      <vt:variant>
        <vt:i4>5</vt:i4>
      </vt:variant>
      <vt:variant>
        <vt:lpwstr/>
      </vt:variant>
      <vt:variant>
        <vt:lpwstr>_Toc133488402</vt:lpwstr>
      </vt:variant>
      <vt:variant>
        <vt:i4>1572926</vt:i4>
      </vt:variant>
      <vt:variant>
        <vt:i4>1784</vt:i4>
      </vt:variant>
      <vt:variant>
        <vt:i4>0</vt:i4>
      </vt:variant>
      <vt:variant>
        <vt:i4>5</vt:i4>
      </vt:variant>
      <vt:variant>
        <vt:lpwstr/>
      </vt:variant>
      <vt:variant>
        <vt:lpwstr>_Toc133488401</vt:lpwstr>
      </vt:variant>
      <vt:variant>
        <vt:i4>1572926</vt:i4>
      </vt:variant>
      <vt:variant>
        <vt:i4>1778</vt:i4>
      </vt:variant>
      <vt:variant>
        <vt:i4>0</vt:i4>
      </vt:variant>
      <vt:variant>
        <vt:i4>5</vt:i4>
      </vt:variant>
      <vt:variant>
        <vt:lpwstr/>
      </vt:variant>
      <vt:variant>
        <vt:lpwstr>_Toc133488400</vt:lpwstr>
      </vt:variant>
      <vt:variant>
        <vt:i4>1114169</vt:i4>
      </vt:variant>
      <vt:variant>
        <vt:i4>1772</vt:i4>
      </vt:variant>
      <vt:variant>
        <vt:i4>0</vt:i4>
      </vt:variant>
      <vt:variant>
        <vt:i4>5</vt:i4>
      </vt:variant>
      <vt:variant>
        <vt:lpwstr/>
      </vt:variant>
      <vt:variant>
        <vt:lpwstr>_Toc133488399</vt:lpwstr>
      </vt:variant>
      <vt:variant>
        <vt:i4>1114169</vt:i4>
      </vt:variant>
      <vt:variant>
        <vt:i4>1766</vt:i4>
      </vt:variant>
      <vt:variant>
        <vt:i4>0</vt:i4>
      </vt:variant>
      <vt:variant>
        <vt:i4>5</vt:i4>
      </vt:variant>
      <vt:variant>
        <vt:lpwstr/>
      </vt:variant>
      <vt:variant>
        <vt:lpwstr>_Toc133488398</vt:lpwstr>
      </vt:variant>
      <vt:variant>
        <vt:i4>1114169</vt:i4>
      </vt:variant>
      <vt:variant>
        <vt:i4>1760</vt:i4>
      </vt:variant>
      <vt:variant>
        <vt:i4>0</vt:i4>
      </vt:variant>
      <vt:variant>
        <vt:i4>5</vt:i4>
      </vt:variant>
      <vt:variant>
        <vt:lpwstr/>
      </vt:variant>
      <vt:variant>
        <vt:lpwstr>_Toc133488397</vt:lpwstr>
      </vt:variant>
      <vt:variant>
        <vt:i4>1114169</vt:i4>
      </vt:variant>
      <vt:variant>
        <vt:i4>1754</vt:i4>
      </vt:variant>
      <vt:variant>
        <vt:i4>0</vt:i4>
      </vt:variant>
      <vt:variant>
        <vt:i4>5</vt:i4>
      </vt:variant>
      <vt:variant>
        <vt:lpwstr/>
      </vt:variant>
      <vt:variant>
        <vt:lpwstr>_Toc133488396</vt:lpwstr>
      </vt:variant>
      <vt:variant>
        <vt:i4>1114169</vt:i4>
      </vt:variant>
      <vt:variant>
        <vt:i4>1748</vt:i4>
      </vt:variant>
      <vt:variant>
        <vt:i4>0</vt:i4>
      </vt:variant>
      <vt:variant>
        <vt:i4>5</vt:i4>
      </vt:variant>
      <vt:variant>
        <vt:lpwstr/>
      </vt:variant>
      <vt:variant>
        <vt:lpwstr>_Toc133488395</vt:lpwstr>
      </vt:variant>
      <vt:variant>
        <vt:i4>1114169</vt:i4>
      </vt:variant>
      <vt:variant>
        <vt:i4>1742</vt:i4>
      </vt:variant>
      <vt:variant>
        <vt:i4>0</vt:i4>
      </vt:variant>
      <vt:variant>
        <vt:i4>5</vt:i4>
      </vt:variant>
      <vt:variant>
        <vt:lpwstr/>
      </vt:variant>
      <vt:variant>
        <vt:lpwstr>_Toc133488394</vt:lpwstr>
      </vt:variant>
      <vt:variant>
        <vt:i4>1114169</vt:i4>
      </vt:variant>
      <vt:variant>
        <vt:i4>1736</vt:i4>
      </vt:variant>
      <vt:variant>
        <vt:i4>0</vt:i4>
      </vt:variant>
      <vt:variant>
        <vt:i4>5</vt:i4>
      </vt:variant>
      <vt:variant>
        <vt:lpwstr/>
      </vt:variant>
      <vt:variant>
        <vt:lpwstr>_Toc133488393</vt:lpwstr>
      </vt:variant>
      <vt:variant>
        <vt:i4>1114169</vt:i4>
      </vt:variant>
      <vt:variant>
        <vt:i4>1730</vt:i4>
      </vt:variant>
      <vt:variant>
        <vt:i4>0</vt:i4>
      </vt:variant>
      <vt:variant>
        <vt:i4>5</vt:i4>
      </vt:variant>
      <vt:variant>
        <vt:lpwstr/>
      </vt:variant>
      <vt:variant>
        <vt:lpwstr>_Toc133488392</vt:lpwstr>
      </vt:variant>
      <vt:variant>
        <vt:i4>1114169</vt:i4>
      </vt:variant>
      <vt:variant>
        <vt:i4>1724</vt:i4>
      </vt:variant>
      <vt:variant>
        <vt:i4>0</vt:i4>
      </vt:variant>
      <vt:variant>
        <vt:i4>5</vt:i4>
      </vt:variant>
      <vt:variant>
        <vt:lpwstr/>
      </vt:variant>
      <vt:variant>
        <vt:lpwstr>_Toc133488391</vt:lpwstr>
      </vt:variant>
      <vt:variant>
        <vt:i4>1114169</vt:i4>
      </vt:variant>
      <vt:variant>
        <vt:i4>1718</vt:i4>
      </vt:variant>
      <vt:variant>
        <vt:i4>0</vt:i4>
      </vt:variant>
      <vt:variant>
        <vt:i4>5</vt:i4>
      </vt:variant>
      <vt:variant>
        <vt:lpwstr/>
      </vt:variant>
      <vt:variant>
        <vt:lpwstr>_Toc133488390</vt:lpwstr>
      </vt:variant>
      <vt:variant>
        <vt:i4>1048633</vt:i4>
      </vt:variant>
      <vt:variant>
        <vt:i4>1712</vt:i4>
      </vt:variant>
      <vt:variant>
        <vt:i4>0</vt:i4>
      </vt:variant>
      <vt:variant>
        <vt:i4>5</vt:i4>
      </vt:variant>
      <vt:variant>
        <vt:lpwstr/>
      </vt:variant>
      <vt:variant>
        <vt:lpwstr>_Toc133488389</vt:lpwstr>
      </vt:variant>
      <vt:variant>
        <vt:i4>1048633</vt:i4>
      </vt:variant>
      <vt:variant>
        <vt:i4>1706</vt:i4>
      </vt:variant>
      <vt:variant>
        <vt:i4>0</vt:i4>
      </vt:variant>
      <vt:variant>
        <vt:i4>5</vt:i4>
      </vt:variant>
      <vt:variant>
        <vt:lpwstr/>
      </vt:variant>
      <vt:variant>
        <vt:lpwstr>_Toc133488388</vt:lpwstr>
      </vt:variant>
      <vt:variant>
        <vt:i4>1048633</vt:i4>
      </vt:variant>
      <vt:variant>
        <vt:i4>1700</vt:i4>
      </vt:variant>
      <vt:variant>
        <vt:i4>0</vt:i4>
      </vt:variant>
      <vt:variant>
        <vt:i4>5</vt:i4>
      </vt:variant>
      <vt:variant>
        <vt:lpwstr/>
      </vt:variant>
      <vt:variant>
        <vt:lpwstr>_Toc133488387</vt:lpwstr>
      </vt:variant>
      <vt:variant>
        <vt:i4>1048633</vt:i4>
      </vt:variant>
      <vt:variant>
        <vt:i4>1694</vt:i4>
      </vt:variant>
      <vt:variant>
        <vt:i4>0</vt:i4>
      </vt:variant>
      <vt:variant>
        <vt:i4>5</vt:i4>
      </vt:variant>
      <vt:variant>
        <vt:lpwstr/>
      </vt:variant>
      <vt:variant>
        <vt:lpwstr>_Toc133488386</vt:lpwstr>
      </vt:variant>
      <vt:variant>
        <vt:i4>1048633</vt:i4>
      </vt:variant>
      <vt:variant>
        <vt:i4>1688</vt:i4>
      </vt:variant>
      <vt:variant>
        <vt:i4>0</vt:i4>
      </vt:variant>
      <vt:variant>
        <vt:i4>5</vt:i4>
      </vt:variant>
      <vt:variant>
        <vt:lpwstr/>
      </vt:variant>
      <vt:variant>
        <vt:lpwstr>_Toc133488385</vt:lpwstr>
      </vt:variant>
      <vt:variant>
        <vt:i4>1048633</vt:i4>
      </vt:variant>
      <vt:variant>
        <vt:i4>1682</vt:i4>
      </vt:variant>
      <vt:variant>
        <vt:i4>0</vt:i4>
      </vt:variant>
      <vt:variant>
        <vt:i4>5</vt:i4>
      </vt:variant>
      <vt:variant>
        <vt:lpwstr/>
      </vt:variant>
      <vt:variant>
        <vt:lpwstr>_Toc133488384</vt:lpwstr>
      </vt:variant>
      <vt:variant>
        <vt:i4>1048633</vt:i4>
      </vt:variant>
      <vt:variant>
        <vt:i4>1676</vt:i4>
      </vt:variant>
      <vt:variant>
        <vt:i4>0</vt:i4>
      </vt:variant>
      <vt:variant>
        <vt:i4>5</vt:i4>
      </vt:variant>
      <vt:variant>
        <vt:lpwstr/>
      </vt:variant>
      <vt:variant>
        <vt:lpwstr>_Toc133488383</vt:lpwstr>
      </vt:variant>
      <vt:variant>
        <vt:i4>1048633</vt:i4>
      </vt:variant>
      <vt:variant>
        <vt:i4>1670</vt:i4>
      </vt:variant>
      <vt:variant>
        <vt:i4>0</vt:i4>
      </vt:variant>
      <vt:variant>
        <vt:i4>5</vt:i4>
      </vt:variant>
      <vt:variant>
        <vt:lpwstr/>
      </vt:variant>
      <vt:variant>
        <vt:lpwstr>_Toc133488382</vt:lpwstr>
      </vt:variant>
      <vt:variant>
        <vt:i4>1048633</vt:i4>
      </vt:variant>
      <vt:variant>
        <vt:i4>1664</vt:i4>
      </vt:variant>
      <vt:variant>
        <vt:i4>0</vt:i4>
      </vt:variant>
      <vt:variant>
        <vt:i4>5</vt:i4>
      </vt:variant>
      <vt:variant>
        <vt:lpwstr/>
      </vt:variant>
      <vt:variant>
        <vt:lpwstr>_Toc133488381</vt:lpwstr>
      </vt:variant>
      <vt:variant>
        <vt:i4>1048633</vt:i4>
      </vt:variant>
      <vt:variant>
        <vt:i4>1658</vt:i4>
      </vt:variant>
      <vt:variant>
        <vt:i4>0</vt:i4>
      </vt:variant>
      <vt:variant>
        <vt:i4>5</vt:i4>
      </vt:variant>
      <vt:variant>
        <vt:lpwstr/>
      </vt:variant>
      <vt:variant>
        <vt:lpwstr>_Toc133488380</vt:lpwstr>
      </vt:variant>
      <vt:variant>
        <vt:i4>2031673</vt:i4>
      </vt:variant>
      <vt:variant>
        <vt:i4>1652</vt:i4>
      </vt:variant>
      <vt:variant>
        <vt:i4>0</vt:i4>
      </vt:variant>
      <vt:variant>
        <vt:i4>5</vt:i4>
      </vt:variant>
      <vt:variant>
        <vt:lpwstr/>
      </vt:variant>
      <vt:variant>
        <vt:lpwstr>_Toc133488379</vt:lpwstr>
      </vt:variant>
      <vt:variant>
        <vt:i4>2031673</vt:i4>
      </vt:variant>
      <vt:variant>
        <vt:i4>1646</vt:i4>
      </vt:variant>
      <vt:variant>
        <vt:i4>0</vt:i4>
      </vt:variant>
      <vt:variant>
        <vt:i4>5</vt:i4>
      </vt:variant>
      <vt:variant>
        <vt:lpwstr/>
      </vt:variant>
      <vt:variant>
        <vt:lpwstr>_Toc133488378</vt:lpwstr>
      </vt:variant>
      <vt:variant>
        <vt:i4>2031673</vt:i4>
      </vt:variant>
      <vt:variant>
        <vt:i4>1640</vt:i4>
      </vt:variant>
      <vt:variant>
        <vt:i4>0</vt:i4>
      </vt:variant>
      <vt:variant>
        <vt:i4>5</vt:i4>
      </vt:variant>
      <vt:variant>
        <vt:lpwstr/>
      </vt:variant>
      <vt:variant>
        <vt:lpwstr>_Toc133488377</vt:lpwstr>
      </vt:variant>
      <vt:variant>
        <vt:i4>2031673</vt:i4>
      </vt:variant>
      <vt:variant>
        <vt:i4>1634</vt:i4>
      </vt:variant>
      <vt:variant>
        <vt:i4>0</vt:i4>
      </vt:variant>
      <vt:variant>
        <vt:i4>5</vt:i4>
      </vt:variant>
      <vt:variant>
        <vt:lpwstr/>
      </vt:variant>
      <vt:variant>
        <vt:lpwstr>_Toc133488376</vt:lpwstr>
      </vt:variant>
      <vt:variant>
        <vt:i4>2031673</vt:i4>
      </vt:variant>
      <vt:variant>
        <vt:i4>1628</vt:i4>
      </vt:variant>
      <vt:variant>
        <vt:i4>0</vt:i4>
      </vt:variant>
      <vt:variant>
        <vt:i4>5</vt:i4>
      </vt:variant>
      <vt:variant>
        <vt:lpwstr/>
      </vt:variant>
      <vt:variant>
        <vt:lpwstr>_Toc133488375</vt:lpwstr>
      </vt:variant>
      <vt:variant>
        <vt:i4>2031673</vt:i4>
      </vt:variant>
      <vt:variant>
        <vt:i4>1622</vt:i4>
      </vt:variant>
      <vt:variant>
        <vt:i4>0</vt:i4>
      </vt:variant>
      <vt:variant>
        <vt:i4>5</vt:i4>
      </vt:variant>
      <vt:variant>
        <vt:lpwstr/>
      </vt:variant>
      <vt:variant>
        <vt:lpwstr>_Toc133488374</vt:lpwstr>
      </vt:variant>
      <vt:variant>
        <vt:i4>2031673</vt:i4>
      </vt:variant>
      <vt:variant>
        <vt:i4>1616</vt:i4>
      </vt:variant>
      <vt:variant>
        <vt:i4>0</vt:i4>
      </vt:variant>
      <vt:variant>
        <vt:i4>5</vt:i4>
      </vt:variant>
      <vt:variant>
        <vt:lpwstr/>
      </vt:variant>
      <vt:variant>
        <vt:lpwstr>_Toc133488373</vt:lpwstr>
      </vt:variant>
      <vt:variant>
        <vt:i4>2031673</vt:i4>
      </vt:variant>
      <vt:variant>
        <vt:i4>1610</vt:i4>
      </vt:variant>
      <vt:variant>
        <vt:i4>0</vt:i4>
      </vt:variant>
      <vt:variant>
        <vt:i4>5</vt:i4>
      </vt:variant>
      <vt:variant>
        <vt:lpwstr/>
      </vt:variant>
      <vt:variant>
        <vt:lpwstr>_Toc133488372</vt:lpwstr>
      </vt:variant>
      <vt:variant>
        <vt:i4>2031673</vt:i4>
      </vt:variant>
      <vt:variant>
        <vt:i4>1604</vt:i4>
      </vt:variant>
      <vt:variant>
        <vt:i4>0</vt:i4>
      </vt:variant>
      <vt:variant>
        <vt:i4>5</vt:i4>
      </vt:variant>
      <vt:variant>
        <vt:lpwstr/>
      </vt:variant>
      <vt:variant>
        <vt:lpwstr>_Toc133488371</vt:lpwstr>
      </vt:variant>
      <vt:variant>
        <vt:i4>2031673</vt:i4>
      </vt:variant>
      <vt:variant>
        <vt:i4>1598</vt:i4>
      </vt:variant>
      <vt:variant>
        <vt:i4>0</vt:i4>
      </vt:variant>
      <vt:variant>
        <vt:i4>5</vt:i4>
      </vt:variant>
      <vt:variant>
        <vt:lpwstr/>
      </vt:variant>
      <vt:variant>
        <vt:lpwstr>_Toc133488370</vt:lpwstr>
      </vt:variant>
      <vt:variant>
        <vt:i4>1966137</vt:i4>
      </vt:variant>
      <vt:variant>
        <vt:i4>1592</vt:i4>
      </vt:variant>
      <vt:variant>
        <vt:i4>0</vt:i4>
      </vt:variant>
      <vt:variant>
        <vt:i4>5</vt:i4>
      </vt:variant>
      <vt:variant>
        <vt:lpwstr/>
      </vt:variant>
      <vt:variant>
        <vt:lpwstr>_Toc133488369</vt:lpwstr>
      </vt:variant>
      <vt:variant>
        <vt:i4>1966137</vt:i4>
      </vt:variant>
      <vt:variant>
        <vt:i4>1586</vt:i4>
      </vt:variant>
      <vt:variant>
        <vt:i4>0</vt:i4>
      </vt:variant>
      <vt:variant>
        <vt:i4>5</vt:i4>
      </vt:variant>
      <vt:variant>
        <vt:lpwstr/>
      </vt:variant>
      <vt:variant>
        <vt:lpwstr>_Toc133488368</vt:lpwstr>
      </vt:variant>
      <vt:variant>
        <vt:i4>1966137</vt:i4>
      </vt:variant>
      <vt:variant>
        <vt:i4>1580</vt:i4>
      </vt:variant>
      <vt:variant>
        <vt:i4>0</vt:i4>
      </vt:variant>
      <vt:variant>
        <vt:i4>5</vt:i4>
      </vt:variant>
      <vt:variant>
        <vt:lpwstr/>
      </vt:variant>
      <vt:variant>
        <vt:lpwstr>_Toc133488367</vt:lpwstr>
      </vt:variant>
      <vt:variant>
        <vt:i4>1966137</vt:i4>
      </vt:variant>
      <vt:variant>
        <vt:i4>1574</vt:i4>
      </vt:variant>
      <vt:variant>
        <vt:i4>0</vt:i4>
      </vt:variant>
      <vt:variant>
        <vt:i4>5</vt:i4>
      </vt:variant>
      <vt:variant>
        <vt:lpwstr/>
      </vt:variant>
      <vt:variant>
        <vt:lpwstr>_Toc133488366</vt:lpwstr>
      </vt:variant>
      <vt:variant>
        <vt:i4>1966137</vt:i4>
      </vt:variant>
      <vt:variant>
        <vt:i4>1568</vt:i4>
      </vt:variant>
      <vt:variant>
        <vt:i4>0</vt:i4>
      </vt:variant>
      <vt:variant>
        <vt:i4>5</vt:i4>
      </vt:variant>
      <vt:variant>
        <vt:lpwstr/>
      </vt:variant>
      <vt:variant>
        <vt:lpwstr>_Toc133488365</vt:lpwstr>
      </vt:variant>
      <vt:variant>
        <vt:i4>1966137</vt:i4>
      </vt:variant>
      <vt:variant>
        <vt:i4>1562</vt:i4>
      </vt:variant>
      <vt:variant>
        <vt:i4>0</vt:i4>
      </vt:variant>
      <vt:variant>
        <vt:i4>5</vt:i4>
      </vt:variant>
      <vt:variant>
        <vt:lpwstr/>
      </vt:variant>
      <vt:variant>
        <vt:lpwstr>_Toc133488364</vt:lpwstr>
      </vt:variant>
      <vt:variant>
        <vt:i4>1966137</vt:i4>
      </vt:variant>
      <vt:variant>
        <vt:i4>1556</vt:i4>
      </vt:variant>
      <vt:variant>
        <vt:i4>0</vt:i4>
      </vt:variant>
      <vt:variant>
        <vt:i4>5</vt:i4>
      </vt:variant>
      <vt:variant>
        <vt:lpwstr/>
      </vt:variant>
      <vt:variant>
        <vt:lpwstr>_Toc133488363</vt:lpwstr>
      </vt:variant>
      <vt:variant>
        <vt:i4>1966137</vt:i4>
      </vt:variant>
      <vt:variant>
        <vt:i4>1550</vt:i4>
      </vt:variant>
      <vt:variant>
        <vt:i4>0</vt:i4>
      </vt:variant>
      <vt:variant>
        <vt:i4>5</vt:i4>
      </vt:variant>
      <vt:variant>
        <vt:lpwstr/>
      </vt:variant>
      <vt:variant>
        <vt:lpwstr>_Toc133488362</vt:lpwstr>
      </vt:variant>
      <vt:variant>
        <vt:i4>1966137</vt:i4>
      </vt:variant>
      <vt:variant>
        <vt:i4>1544</vt:i4>
      </vt:variant>
      <vt:variant>
        <vt:i4>0</vt:i4>
      </vt:variant>
      <vt:variant>
        <vt:i4>5</vt:i4>
      </vt:variant>
      <vt:variant>
        <vt:lpwstr/>
      </vt:variant>
      <vt:variant>
        <vt:lpwstr>_Toc133488361</vt:lpwstr>
      </vt:variant>
      <vt:variant>
        <vt:i4>1966137</vt:i4>
      </vt:variant>
      <vt:variant>
        <vt:i4>1538</vt:i4>
      </vt:variant>
      <vt:variant>
        <vt:i4>0</vt:i4>
      </vt:variant>
      <vt:variant>
        <vt:i4>5</vt:i4>
      </vt:variant>
      <vt:variant>
        <vt:lpwstr/>
      </vt:variant>
      <vt:variant>
        <vt:lpwstr>_Toc133488360</vt:lpwstr>
      </vt:variant>
      <vt:variant>
        <vt:i4>1900601</vt:i4>
      </vt:variant>
      <vt:variant>
        <vt:i4>1532</vt:i4>
      </vt:variant>
      <vt:variant>
        <vt:i4>0</vt:i4>
      </vt:variant>
      <vt:variant>
        <vt:i4>5</vt:i4>
      </vt:variant>
      <vt:variant>
        <vt:lpwstr/>
      </vt:variant>
      <vt:variant>
        <vt:lpwstr>_Toc133488359</vt:lpwstr>
      </vt:variant>
      <vt:variant>
        <vt:i4>1900601</vt:i4>
      </vt:variant>
      <vt:variant>
        <vt:i4>1526</vt:i4>
      </vt:variant>
      <vt:variant>
        <vt:i4>0</vt:i4>
      </vt:variant>
      <vt:variant>
        <vt:i4>5</vt:i4>
      </vt:variant>
      <vt:variant>
        <vt:lpwstr/>
      </vt:variant>
      <vt:variant>
        <vt:lpwstr>_Toc133488358</vt:lpwstr>
      </vt:variant>
      <vt:variant>
        <vt:i4>1900601</vt:i4>
      </vt:variant>
      <vt:variant>
        <vt:i4>1520</vt:i4>
      </vt:variant>
      <vt:variant>
        <vt:i4>0</vt:i4>
      </vt:variant>
      <vt:variant>
        <vt:i4>5</vt:i4>
      </vt:variant>
      <vt:variant>
        <vt:lpwstr/>
      </vt:variant>
      <vt:variant>
        <vt:lpwstr>_Toc133488357</vt:lpwstr>
      </vt:variant>
      <vt:variant>
        <vt:i4>1900601</vt:i4>
      </vt:variant>
      <vt:variant>
        <vt:i4>1514</vt:i4>
      </vt:variant>
      <vt:variant>
        <vt:i4>0</vt:i4>
      </vt:variant>
      <vt:variant>
        <vt:i4>5</vt:i4>
      </vt:variant>
      <vt:variant>
        <vt:lpwstr/>
      </vt:variant>
      <vt:variant>
        <vt:lpwstr>_Toc133488356</vt:lpwstr>
      </vt:variant>
      <vt:variant>
        <vt:i4>1900601</vt:i4>
      </vt:variant>
      <vt:variant>
        <vt:i4>1508</vt:i4>
      </vt:variant>
      <vt:variant>
        <vt:i4>0</vt:i4>
      </vt:variant>
      <vt:variant>
        <vt:i4>5</vt:i4>
      </vt:variant>
      <vt:variant>
        <vt:lpwstr/>
      </vt:variant>
      <vt:variant>
        <vt:lpwstr>_Toc133488355</vt:lpwstr>
      </vt:variant>
      <vt:variant>
        <vt:i4>1900601</vt:i4>
      </vt:variant>
      <vt:variant>
        <vt:i4>1502</vt:i4>
      </vt:variant>
      <vt:variant>
        <vt:i4>0</vt:i4>
      </vt:variant>
      <vt:variant>
        <vt:i4>5</vt:i4>
      </vt:variant>
      <vt:variant>
        <vt:lpwstr/>
      </vt:variant>
      <vt:variant>
        <vt:lpwstr>_Toc133488354</vt:lpwstr>
      </vt:variant>
      <vt:variant>
        <vt:i4>1900601</vt:i4>
      </vt:variant>
      <vt:variant>
        <vt:i4>1496</vt:i4>
      </vt:variant>
      <vt:variant>
        <vt:i4>0</vt:i4>
      </vt:variant>
      <vt:variant>
        <vt:i4>5</vt:i4>
      </vt:variant>
      <vt:variant>
        <vt:lpwstr/>
      </vt:variant>
      <vt:variant>
        <vt:lpwstr>_Toc133488353</vt:lpwstr>
      </vt:variant>
      <vt:variant>
        <vt:i4>1900601</vt:i4>
      </vt:variant>
      <vt:variant>
        <vt:i4>1490</vt:i4>
      </vt:variant>
      <vt:variant>
        <vt:i4>0</vt:i4>
      </vt:variant>
      <vt:variant>
        <vt:i4>5</vt:i4>
      </vt:variant>
      <vt:variant>
        <vt:lpwstr/>
      </vt:variant>
      <vt:variant>
        <vt:lpwstr>_Toc133488352</vt:lpwstr>
      </vt:variant>
      <vt:variant>
        <vt:i4>1900601</vt:i4>
      </vt:variant>
      <vt:variant>
        <vt:i4>1484</vt:i4>
      </vt:variant>
      <vt:variant>
        <vt:i4>0</vt:i4>
      </vt:variant>
      <vt:variant>
        <vt:i4>5</vt:i4>
      </vt:variant>
      <vt:variant>
        <vt:lpwstr/>
      </vt:variant>
      <vt:variant>
        <vt:lpwstr>_Toc133488351</vt:lpwstr>
      </vt:variant>
      <vt:variant>
        <vt:i4>1900601</vt:i4>
      </vt:variant>
      <vt:variant>
        <vt:i4>1478</vt:i4>
      </vt:variant>
      <vt:variant>
        <vt:i4>0</vt:i4>
      </vt:variant>
      <vt:variant>
        <vt:i4>5</vt:i4>
      </vt:variant>
      <vt:variant>
        <vt:lpwstr/>
      </vt:variant>
      <vt:variant>
        <vt:lpwstr>_Toc133488350</vt:lpwstr>
      </vt:variant>
      <vt:variant>
        <vt:i4>1835065</vt:i4>
      </vt:variant>
      <vt:variant>
        <vt:i4>1472</vt:i4>
      </vt:variant>
      <vt:variant>
        <vt:i4>0</vt:i4>
      </vt:variant>
      <vt:variant>
        <vt:i4>5</vt:i4>
      </vt:variant>
      <vt:variant>
        <vt:lpwstr/>
      </vt:variant>
      <vt:variant>
        <vt:lpwstr>_Toc133488349</vt:lpwstr>
      </vt:variant>
      <vt:variant>
        <vt:i4>1835065</vt:i4>
      </vt:variant>
      <vt:variant>
        <vt:i4>1466</vt:i4>
      </vt:variant>
      <vt:variant>
        <vt:i4>0</vt:i4>
      </vt:variant>
      <vt:variant>
        <vt:i4>5</vt:i4>
      </vt:variant>
      <vt:variant>
        <vt:lpwstr/>
      </vt:variant>
      <vt:variant>
        <vt:lpwstr>_Toc133488348</vt:lpwstr>
      </vt:variant>
      <vt:variant>
        <vt:i4>1835065</vt:i4>
      </vt:variant>
      <vt:variant>
        <vt:i4>1460</vt:i4>
      </vt:variant>
      <vt:variant>
        <vt:i4>0</vt:i4>
      </vt:variant>
      <vt:variant>
        <vt:i4>5</vt:i4>
      </vt:variant>
      <vt:variant>
        <vt:lpwstr/>
      </vt:variant>
      <vt:variant>
        <vt:lpwstr>_Toc133488347</vt:lpwstr>
      </vt:variant>
      <vt:variant>
        <vt:i4>1835065</vt:i4>
      </vt:variant>
      <vt:variant>
        <vt:i4>1454</vt:i4>
      </vt:variant>
      <vt:variant>
        <vt:i4>0</vt:i4>
      </vt:variant>
      <vt:variant>
        <vt:i4>5</vt:i4>
      </vt:variant>
      <vt:variant>
        <vt:lpwstr/>
      </vt:variant>
      <vt:variant>
        <vt:lpwstr>_Toc133488346</vt:lpwstr>
      </vt:variant>
      <vt:variant>
        <vt:i4>1835065</vt:i4>
      </vt:variant>
      <vt:variant>
        <vt:i4>1448</vt:i4>
      </vt:variant>
      <vt:variant>
        <vt:i4>0</vt:i4>
      </vt:variant>
      <vt:variant>
        <vt:i4>5</vt:i4>
      </vt:variant>
      <vt:variant>
        <vt:lpwstr/>
      </vt:variant>
      <vt:variant>
        <vt:lpwstr>_Toc133488345</vt:lpwstr>
      </vt:variant>
      <vt:variant>
        <vt:i4>1835065</vt:i4>
      </vt:variant>
      <vt:variant>
        <vt:i4>1442</vt:i4>
      </vt:variant>
      <vt:variant>
        <vt:i4>0</vt:i4>
      </vt:variant>
      <vt:variant>
        <vt:i4>5</vt:i4>
      </vt:variant>
      <vt:variant>
        <vt:lpwstr/>
      </vt:variant>
      <vt:variant>
        <vt:lpwstr>_Toc133488344</vt:lpwstr>
      </vt:variant>
      <vt:variant>
        <vt:i4>1835065</vt:i4>
      </vt:variant>
      <vt:variant>
        <vt:i4>1436</vt:i4>
      </vt:variant>
      <vt:variant>
        <vt:i4>0</vt:i4>
      </vt:variant>
      <vt:variant>
        <vt:i4>5</vt:i4>
      </vt:variant>
      <vt:variant>
        <vt:lpwstr/>
      </vt:variant>
      <vt:variant>
        <vt:lpwstr>_Toc133488343</vt:lpwstr>
      </vt:variant>
      <vt:variant>
        <vt:i4>1835065</vt:i4>
      </vt:variant>
      <vt:variant>
        <vt:i4>1430</vt:i4>
      </vt:variant>
      <vt:variant>
        <vt:i4>0</vt:i4>
      </vt:variant>
      <vt:variant>
        <vt:i4>5</vt:i4>
      </vt:variant>
      <vt:variant>
        <vt:lpwstr/>
      </vt:variant>
      <vt:variant>
        <vt:lpwstr>_Toc133488342</vt:lpwstr>
      </vt:variant>
      <vt:variant>
        <vt:i4>1835065</vt:i4>
      </vt:variant>
      <vt:variant>
        <vt:i4>1424</vt:i4>
      </vt:variant>
      <vt:variant>
        <vt:i4>0</vt:i4>
      </vt:variant>
      <vt:variant>
        <vt:i4>5</vt:i4>
      </vt:variant>
      <vt:variant>
        <vt:lpwstr/>
      </vt:variant>
      <vt:variant>
        <vt:lpwstr>_Toc133488341</vt:lpwstr>
      </vt:variant>
      <vt:variant>
        <vt:i4>1835065</vt:i4>
      </vt:variant>
      <vt:variant>
        <vt:i4>1418</vt:i4>
      </vt:variant>
      <vt:variant>
        <vt:i4>0</vt:i4>
      </vt:variant>
      <vt:variant>
        <vt:i4>5</vt:i4>
      </vt:variant>
      <vt:variant>
        <vt:lpwstr/>
      </vt:variant>
      <vt:variant>
        <vt:lpwstr>_Toc133488340</vt:lpwstr>
      </vt:variant>
      <vt:variant>
        <vt:i4>1769529</vt:i4>
      </vt:variant>
      <vt:variant>
        <vt:i4>1412</vt:i4>
      </vt:variant>
      <vt:variant>
        <vt:i4>0</vt:i4>
      </vt:variant>
      <vt:variant>
        <vt:i4>5</vt:i4>
      </vt:variant>
      <vt:variant>
        <vt:lpwstr/>
      </vt:variant>
      <vt:variant>
        <vt:lpwstr>_Toc133488339</vt:lpwstr>
      </vt:variant>
      <vt:variant>
        <vt:i4>1769529</vt:i4>
      </vt:variant>
      <vt:variant>
        <vt:i4>1406</vt:i4>
      </vt:variant>
      <vt:variant>
        <vt:i4>0</vt:i4>
      </vt:variant>
      <vt:variant>
        <vt:i4>5</vt:i4>
      </vt:variant>
      <vt:variant>
        <vt:lpwstr/>
      </vt:variant>
      <vt:variant>
        <vt:lpwstr>_Toc133488338</vt:lpwstr>
      </vt:variant>
      <vt:variant>
        <vt:i4>1769529</vt:i4>
      </vt:variant>
      <vt:variant>
        <vt:i4>1400</vt:i4>
      </vt:variant>
      <vt:variant>
        <vt:i4>0</vt:i4>
      </vt:variant>
      <vt:variant>
        <vt:i4>5</vt:i4>
      </vt:variant>
      <vt:variant>
        <vt:lpwstr/>
      </vt:variant>
      <vt:variant>
        <vt:lpwstr>_Toc133488337</vt:lpwstr>
      </vt:variant>
      <vt:variant>
        <vt:i4>1769529</vt:i4>
      </vt:variant>
      <vt:variant>
        <vt:i4>1394</vt:i4>
      </vt:variant>
      <vt:variant>
        <vt:i4>0</vt:i4>
      </vt:variant>
      <vt:variant>
        <vt:i4>5</vt:i4>
      </vt:variant>
      <vt:variant>
        <vt:lpwstr/>
      </vt:variant>
      <vt:variant>
        <vt:lpwstr>_Toc133488336</vt:lpwstr>
      </vt:variant>
      <vt:variant>
        <vt:i4>1769529</vt:i4>
      </vt:variant>
      <vt:variant>
        <vt:i4>1388</vt:i4>
      </vt:variant>
      <vt:variant>
        <vt:i4>0</vt:i4>
      </vt:variant>
      <vt:variant>
        <vt:i4>5</vt:i4>
      </vt:variant>
      <vt:variant>
        <vt:lpwstr/>
      </vt:variant>
      <vt:variant>
        <vt:lpwstr>_Toc133488335</vt:lpwstr>
      </vt:variant>
      <vt:variant>
        <vt:i4>1769529</vt:i4>
      </vt:variant>
      <vt:variant>
        <vt:i4>1382</vt:i4>
      </vt:variant>
      <vt:variant>
        <vt:i4>0</vt:i4>
      </vt:variant>
      <vt:variant>
        <vt:i4>5</vt:i4>
      </vt:variant>
      <vt:variant>
        <vt:lpwstr/>
      </vt:variant>
      <vt:variant>
        <vt:lpwstr>_Toc133488334</vt:lpwstr>
      </vt:variant>
      <vt:variant>
        <vt:i4>1769529</vt:i4>
      </vt:variant>
      <vt:variant>
        <vt:i4>1376</vt:i4>
      </vt:variant>
      <vt:variant>
        <vt:i4>0</vt:i4>
      </vt:variant>
      <vt:variant>
        <vt:i4>5</vt:i4>
      </vt:variant>
      <vt:variant>
        <vt:lpwstr/>
      </vt:variant>
      <vt:variant>
        <vt:lpwstr>_Toc133488333</vt:lpwstr>
      </vt:variant>
      <vt:variant>
        <vt:i4>1769529</vt:i4>
      </vt:variant>
      <vt:variant>
        <vt:i4>1370</vt:i4>
      </vt:variant>
      <vt:variant>
        <vt:i4>0</vt:i4>
      </vt:variant>
      <vt:variant>
        <vt:i4>5</vt:i4>
      </vt:variant>
      <vt:variant>
        <vt:lpwstr/>
      </vt:variant>
      <vt:variant>
        <vt:lpwstr>_Toc133488332</vt:lpwstr>
      </vt:variant>
      <vt:variant>
        <vt:i4>1769529</vt:i4>
      </vt:variant>
      <vt:variant>
        <vt:i4>1364</vt:i4>
      </vt:variant>
      <vt:variant>
        <vt:i4>0</vt:i4>
      </vt:variant>
      <vt:variant>
        <vt:i4>5</vt:i4>
      </vt:variant>
      <vt:variant>
        <vt:lpwstr/>
      </vt:variant>
      <vt:variant>
        <vt:lpwstr>_Toc133488331</vt:lpwstr>
      </vt:variant>
      <vt:variant>
        <vt:i4>1769529</vt:i4>
      </vt:variant>
      <vt:variant>
        <vt:i4>1358</vt:i4>
      </vt:variant>
      <vt:variant>
        <vt:i4>0</vt:i4>
      </vt:variant>
      <vt:variant>
        <vt:i4>5</vt:i4>
      </vt:variant>
      <vt:variant>
        <vt:lpwstr/>
      </vt:variant>
      <vt:variant>
        <vt:lpwstr>_Toc133488330</vt:lpwstr>
      </vt:variant>
      <vt:variant>
        <vt:i4>1703993</vt:i4>
      </vt:variant>
      <vt:variant>
        <vt:i4>1352</vt:i4>
      </vt:variant>
      <vt:variant>
        <vt:i4>0</vt:i4>
      </vt:variant>
      <vt:variant>
        <vt:i4>5</vt:i4>
      </vt:variant>
      <vt:variant>
        <vt:lpwstr/>
      </vt:variant>
      <vt:variant>
        <vt:lpwstr>_Toc133488329</vt:lpwstr>
      </vt:variant>
      <vt:variant>
        <vt:i4>1703993</vt:i4>
      </vt:variant>
      <vt:variant>
        <vt:i4>1346</vt:i4>
      </vt:variant>
      <vt:variant>
        <vt:i4>0</vt:i4>
      </vt:variant>
      <vt:variant>
        <vt:i4>5</vt:i4>
      </vt:variant>
      <vt:variant>
        <vt:lpwstr/>
      </vt:variant>
      <vt:variant>
        <vt:lpwstr>_Toc133488328</vt:lpwstr>
      </vt:variant>
      <vt:variant>
        <vt:i4>1703993</vt:i4>
      </vt:variant>
      <vt:variant>
        <vt:i4>1340</vt:i4>
      </vt:variant>
      <vt:variant>
        <vt:i4>0</vt:i4>
      </vt:variant>
      <vt:variant>
        <vt:i4>5</vt:i4>
      </vt:variant>
      <vt:variant>
        <vt:lpwstr/>
      </vt:variant>
      <vt:variant>
        <vt:lpwstr>_Toc133488327</vt:lpwstr>
      </vt:variant>
      <vt:variant>
        <vt:i4>1703993</vt:i4>
      </vt:variant>
      <vt:variant>
        <vt:i4>1334</vt:i4>
      </vt:variant>
      <vt:variant>
        <vt:i4>0</vt:i4>
      </vt:variant>
      <vt:variant>
        <vt:i4>5</vt:i4>
      </vt:variant>
      <vt:variant>
        <vt:lpwstr/>
      </vt:variant>
      <vt:variant>
        <vt:lpwstr>_Toc133488326</vt:lpwstr>
      </vt:variant>
      <vt:variant>
        <vt:i4>1703993</vt:i4>
      </vt:variant>
      <vt:variant>
        <vt:i4>1328</vt:i4>
      </vt:variant>
      <vt:variant>
        <vt:i4>0</vt:i4>
      </vt:variant>
      <vt:variant>
        <vt:i4>5</vt:i4>
      </vt:variant>
      <vt:variant>
        <vt:lpwstr/>
      </vt:variant>
      <vt:variant>
        <vt:lpwstr>_Toc133488325</vt:lpwstr>
      </vt:variant>
      <vt:variant>
        <vt:i4>1703993</vt:i4>
      </vt:variant>
      <vt:variant>
        <vt:i4>1322</vt:i4>
      </vt:variant>
      <vt:variant>
        <vt:i4>0</vt:i4>
      </vt:variant>
      <vt:variant>
        <vt:i4>5</vt:i4>
      </vt:variant>
      <vt:variant>
        <vt:lpwstr/>
      </vt:variant>
      <vt:variant>
        <vt:lpwstr>_Toc133488324</vt:lpwstr>
      </vt:variant>
      <vt:variant>
        <vt:i4>1703993</vt:i4>
      </vt:variant>
      <vt:variant>
        <vt:i4>1316</vt:i4>
      </vt:variant>
      <vt:variant>
        <vt:i4>0</vt:i4>
      </vt:variant>
      <vt:variant>
        <vt:i4>5</vt:i4>
      </vt:variant>
      <vt:variant>
        <vt:lpwstr/>
      </vt:variant>
      <vt:variant>
        <vt:lpwstr>_Toc133488323</vt:lpwstr>
      </vt:variant>
      <vt:variant>
        <vt:i4>1703993</vt:i4>
      </vt:variant>
      <vt:variant>
        <vt:i4>1310</vt:i4>
      </vt:variant>
      <vt:variant>
        <vt:i4>0</vt:i4>
      </vt:variant>
      <vt:variant>
        <vt:i4>5</vt:i4>
      </vt:variant>
      <vt:variant>
        <vt:lpwstr/>
      </vt:variant>
      <vt:variant>
        <vt:lpwstr>_Toc133488322</vt:lpwstr>
      </vt:variant>
      <vt:variant>
        <vt:i4>1703993</vt:i4>
      </vt:variant>
      <vt:variant>
        <vt:i4>1304</vt:i4>
      </vt:variant>
      <vt:variant>
        <vt:i4>0</vt:i4>
      </vt:variant>
      <vt:variant>
        <vt:i4>5</vt:i4>
      </vt:variant>
      <vt:variant>
        <vt:lpwstr/>
      </vt:variant>
      <vt:variant>
        <vt:lpwstr>_Toc133488321</vt:lpwstr>
      </vt:variant>
      <vt:variant>
        <vt:i4>1703993</vt:i4>
      </vt:variant>
      <vt:variant>
        <vt:i4>1298</vt:i4>
      </vt:variant>
      <vt:variant>
        <vt:i4>0</vt:i4>
      </vt:variant>
      <vt:variant>
        <vt:i4>5</vt:i4>
      </vt:variant>
      <vt:variant>
        <vt:lpwstr/>
      </vt:variant>
      <vt:variant>
        <vt:lpwstr>_Toc133488320</vt:lpwstr>
      </vt:variant>
      <vt:variant>
        <vt:i4>1638457</vt:i4>
      </vt:variant>
      <vt:variant>
        <vt:i4>1292</vt:i4>
      </vt:variant>
      <vt:variant>
        <vt:i4>0</vt:i4>
      </vt:variant>
      <vt:variant>
        <vt:i4>5</vt:i4>
      </vt:variant>
      <vt:variant>
        <vt:lpwstr/>
      </vt:variant>
      <vt:variant>
        <vt:lpwstr>_Toc133488319</vt:lpwstr>
      </vt:variant>
      <vt:variant>
        <vt:i4>1638457</vt:i4>
      </vt:variant>
      <vt:variant>
        <vt:i4>1286</vt:i4>
      </vt:variant>
      <vt:variant>
        <vt:i4>0</vt:i4>
      </vt:variant>
      <vt:variant>
        <vt:i4>5</vt:i4>
      </vt:variant>
      <vt:variant>
        <vt:lpwstr/>
      </vt:variant>
      <vt:variant>
        <vt:lpwstr>_Toc133488318</vt:lpwstr>
      </vt:variant>
      <vt:variant>
        <vt:i4>1638457</vt:i4>
      </vt:variant>
      <vt:variant>
        <vt:i4>1280</vt:i4>
      </vt:variant>
      <vt:variant>
        <vt:i4>0</vt:i4>
      </vt:variant>
      <vt:variant>
        <vt:i4>5</vt:i4>
      </vt:variant>
      <vt:variant>
        <vt:lpwstr/>
      </vt:variant>
      <vt:variant>
        <vt:lpwstr>_Toc133488317</vt:lpwstr>
      </vt:variant>
      <vt:variant>
        <vt:i4>1638457</vt:i4>
      </vt:variant>
      <vt:variant>
        <vt:i4>1274</vt:i4>
      </vt:variant>
      <vt:variant>
        <vt:i4>0</vt:i4>
      </vt:variant>
      <vt:variant>
        <vt:i4>5</vt:i4>
      </vt:variant>
      <vt:variant>
        <vt:lpwstr/>
      </vt:variant>
      <vt:variant>
        <vt:lpwstr>_Toc133488316</vt:lpwstr>
      </vt:variant>
      <vt:variant>
        <vt:i4>1638457</vt:i4>
      </vt:variant>
      <vt:variant>
        <vt:i4>1268</vt:i4>
      </vt:variant>
      <vt:variant>
        <vt:i4>0</vt:i4>
      </vt:variant>
      <vt:variant>
        <vt:i4>5</vt:i4>
      </vt:variant>
      <vt:variant>
        <vt:lpwstr/>
      </vt:variant>
      <vt:variant>
        <vt:lpwstr>_Toc133488315</vt:lpwstr>
      </vt:variant>
      <vt:variant>
        <vt:i4>1638457</vt:i4>
      </vt:variant>
      <vt:variant>
        <vt:i4>1262</vt:i4>
      </vt:variant>
      <vt:variant>
        <vt:i4>0</vt:i4>
      </vt:variant>
      <vt:variant>
        <vt:i4>5</vt:i4>
      </vt:variant>
      <vt:variant>
        <vt:lpwstr/>
      </vt:variant>
      <vt:variant>
        <vt:lpwstr>_Toc133488314</vt:lpwstr>
      </vt:variant>
      <vt:variant>
        <vt:i4>1638457</vt:i4>
      </vt:variant>
      <vt:variant>
        <vt:i4>1256</vt:i4>
      </vt:variant>
      <vt:variant>
        <vt:i4>0</vt:i4>
      </vt:variant>
      <vt:variant>
        <vt:i4>5</vt:i4>
      </vt:variant>
      <vt:variant>
        <vt:lpwstr/>
      </vt:variant>
      <vt:variant>
        <vt:lpwstr>_Toc133488313</vt:lpwstr>
      </vt:variant>
      <vt:variant>
        <vt:i4>1638457</vt:i4>
      </vt:variant>
      <vt:variant>
        <vt:i4>1250</vt:i4>
      </vt:variant>
      <vt:variant>
        <vt:i4>0</vt:i4>
      </vt:variant>
      <vt:variant>
        <vt:i4>5</vt:i4>
      </vt:variant>
      <vt:variant>
        <vt:lpwstr/>
      </vt:variant>
      <vt:variant>
        <vt:lpwstr>_Toc133488312</vt:lpwstr>
      </vt:variant>
      <vt:variant>
        <vt:i4>1638457</vt:i4>
      </vt:variant>
      <vt:variant>
        <vt:i4>1244</vt:i4>
      </vt:variant>
      <vt:variant>
        <vt:i4>0</vt:i4>
      </vt:variant>
      <vt:variant>
        <vt:i4>5</vt:i4>
      </vt:variant>
      <vt:variant>
        <vt:lpwstr/>
      </vt:variant>
      <vt:variant>
        <vt:lpwstr>_Toc133488311</vt:lpwstr>
      </vt:variant>
      <vt:variant>
        <vt:i4>1638457</vt:i4>
      </vt:variant>
      <vt:variant>
        <vt:i4>1238</vt:i4>
      </vt:variant>
      <vt:variant>
        <vt:i4>0</vt:i4>
      </vt:variant>
      <vt:variant>
        <vt:i4>5</vt:i4>
      </vt:variant>
      <vt:variant>
        <vt:lpwstr/>
      </vt:variant>
      <vt:variant>
        <vt:lpwstr>_Toc133488310</vt:lpwstr>
      </vt:variant>
      <vt:variant>
        <vt:i4>1572921</vt:i4>
      </vt:variant>
      <vt:variant>
        <vt:i4>1232</vt:i4>
      </vt:variant>
      <vt:variant>
        <vt:i4>0</vt:i4>
      </vt:variant>
      <vt:variant>
        <vt:i4>5</vt:i4>
      </vt:variant>
      <vt:variant>
        <vt:lpwstr/>
      </vt:variant>
      <vt:variant>
        <vt:lpwstr>_Toc133488309</vt:lpwstr>
      </vt:variant>
      <vt:variant>
        <vt:i4>1572921</vt:i4>
      </vt:variant>
      <vt:variant>
        <vt:i4>1226</vt:i4>
      </vt:variant>
      <vt:variant>
        <vt:i4>0</vt:i4>
      </vt:variant>
      <vt:variant>
        <vt:i4>5</vt:i4>
      </vt:variant>
      <vt:variant>
        <vt:lpwstr/>
      </vt:variant>
      <vt:variant>
        <vt:lpwstr>_Toc133488308</vt:lpwstr>
      </vt:variant>
      <vt:variant>
        <vt:i4>1572921</vt:i4>
      </vt:variant>
      <vt:variant>
        <vt:i4>1220</vt:i4>
      </vt:variant>
      <vt:variant>
        <vt:i4>0</vt:i4>
      </vt:variant>
      <vt:variant>
        <vt:i4>5</vt:i4>
      </vt:variant>
      <vt:variant>
        <vt:lpwstr/>
      </vt:variant>
      <vt:variant>
        <vt:lpwstr>_Toc133488307</vt:lpwstr>
      </vt:variant>
      <vt:variant>
        <vt:i4>1572921</vt:i4>
      </vt:variant>
      <vt:variant>
        <vt:i4>1214</vt:i4>
      </vt:variant>
      <vt:variant>
        <vt:i4>0</vt:i4>
      </vt:variant>
      <vt:variant>
        <vt:i4>5</vt:i4>
      </vt:variant>
      <vt:variant>
        <vt:lpwstr/>
      </vt:variant>
      <vt:variant>
        <vt:lpwstr>_Toc133488306</vt:lpwstr>
      </vt:variant>
      <vt:variant>
        <vt:i4>1572921</vt:i4>
      </vt:variant>
      <vt:variant>
        <vt:i4>1208</vt:i4>
      </vt:variant>
      <vt:variant>
        <vt:i4>0</vt:i4>
      </vt:variant>
      <vt:variant>
        <vt:i4>5</vt:i4>
      </vt:variant>
      <vt:variant>
        <vt:lpwstr/>
      </vt:variant>
      <vt:variant>
        <vt:lpwstr>_Toc133488305</vt:lpwstr>
      </vt:variant>
      <vt:variant>
        <vt:i4>1572921</vt:i4>
      </vt:variant>
      <vt:variant>
        <vt:i4>1202</vt:i4>
      </vt:variant>
      <vt:variant>
        <vt:i4>0</vt:i4>
      </vt:variant>
      <vt:variant>
        <vt:i4>5</vt:i4>
      </vt:variant>
      <vt:variant>
        <vt:lpwstr/>
      </vt:variant>
      <vt:variant>
        <vt:lpwstr>_Toc133488304</vt:lpwstr>
      </vt:variant>
      <vt:variant>
        <vt:i4>1572921</vt:i4>
      </vt:variant>
      <vt:variant>
        <vt:i4>1196</vt:i4>
      </vt:variant>
      <vt:variant>
        <vt:i4>0</vt:i4>
      </vt:variant>
      <vt:variant>
        <vt:i4>5</vt:i4>
      </vt:variant>
      <vt:variant>
        <vt:lpwstr/>
      </vt:variant>
      <vt:variant>
        <vt:lpwstr>_Toc133488303</vt:lpwstr>
      </vt:variant>
      <vt:variant>
        <vt:i4>1572921</vt:i4>
      </vt:variant>
      <vt:variant>
        <vt:i4>1190</vt:i4>
      </vt:variant>
      <vt:variant>
        <vt:i4>0</vt:i4>
      </vt:variant>
      <vt:variant>
        <vt:i4>5</vt:i4>
      </vt:variant>
      <vt:variant>
        <vt:lpwstr/>
      </vt:variant>
      <vt:variant>
        <vt:lpwstr>_Toc133488302</vt:lpwstr>
      </vt:variant>
      <vt:variant>
        <vt:i4>1572921</vt:i4>
      </vt:variant>
      <vt:variant>
        <vt:i4>1184</vt:i4>
      </vt:variant>
      <vt:variant>
        <vt:i4>0</vt:i4>
      </vt:variant>
      <vt:variant>
        <vt:i4>5</vt:i4>
      </vt:variant>
      <vt:variant>
        <vt:lpwstr/>
      </vt:variant>
      <vt:variant>
        <vt:lpwstr>_Toc133488301</vt:lpwstr>
      </vt:variant>
      <vt:variant>
        <vt:i4>1572921</vt:i4>
      </vt:variant>
      <vt:variant>
        <vt:i4>1178</vt:i4>
      </vt:variant>
      <vt:variant>
        <vt:i4>0</vt:i4>
      </vt:variant>
      <vt:variant>
        <vt:i4>5</vt:i4>
      </vt:variant>
      <vt:variant>
        <vt:lpwstr/>
      </vt:variant>
      <vt:variant>
        <vt:lpwstr>_Toc133488300</vt:lpwstr>
      </vt:variant>
      <vt:variant>
        <vt:i4>1114168</vt:i4>
      </vt:variant>
      <vt:variant>
        <vt:i4>1172</vt:i4>
      </vt:variant>
      <vt:variant>
        <vt:i4>0</vt:i4>
      </vt:variant>
      <vt:variant>
        <vt:i4>5</vt:i4>
      </vt:variant>
      <vt:variant>
        <vt:lpwstr/>
      </vt:variant>
      <vt:variant>
        <vt:lpwstr>_Toc133488299</vt:lpwstr>
      </vt:variant>
      <vt:variant>
        <vt:i4>1114168</vt:i4>
      </vt:variant>
      <vt:variant>
        <vt:i4>1166</vt:i4>
      </vt:variant>
      <vt:variant>
        <vt:i4>0</vt:i4>
      </vt:variant>
      <vt:variant>
        <vt:i4>5</vt:i4>
      </vt:variant>
      <vt:variant>
        <vt:lpwstr/>
      </vt:variant>
      <vt:variant>
        <vt:lpwstr>_Toc133488298</vt:lpwstr>
      </vt:variant>
      <vt:variant>
        <vt:i4>1114168</vt:i4>
      </vt:variant>
      <vt:variant>
        <vt:i4>1160</vt:i4>
      </vt:variant>
      <vt:variant>
        <vt:i4>0</vt:i4>
      </vt:variant>
      <vt:variant>
        <vt:i4>5</vt:i4>
      </vt:variant>
      <vt:variant>
        <vt:lpwstr/>
      </vt:variant>
      <vt:variant>
        <vt:lpwstr>_Toc133488297</vt:lpwstr>
      </vt:variant>
      <vt:variant>
        <vt:i4>1114168</vt:i4>
      </vt:variant>
      <vt:variant>
        <vt:i4>1154</vt:i4>
      </vt:variant>
      <vt:variant>
        <vt:i4>0</vt:i4>
      </vt:variant>
      <vt:variant>
        <vt:i4>5</vt:i4>
      </vt:variant>
      <vt:variant>
        <vt:lpwstr/>
      </vt:variant>
      <vt:variant>
        <vt:lpwstr>_Toc133488296</vt:lpwstr>
      </vt:variant>
      <vt:variant>
        <vt:i4>1114168</vt:i4>
      </vt:variant>
      <vt:variant>
        <vt:i4>1148</vt:i4>
      </vt:variant>
      <vt:variant>
        <vt:i4>0</vt:i4>
      </vt:variant>
      <vt:variant>
        <vt:i4>5</vt:i4>
      </vt:variant>
      <vt:variant>
        <vt:lpwstr/>
      </vt:variant>
      <vt:variant>
        <vt:lpwstr>_Toc133488295</vt:lpwstr>
      </vt:variant>
      <vt:variant>
        <vt:i4>1114168</vt:i4>
      </vt:variant>
      <vt:variant>
        <vt:i4>1142</vt:i4>
      </vt:variant>
      <vt:variant>
        <vt:i4>0</vt:i4>
      </vt:variant>
      <vt:variant>
        <vt:i4>5</vt:i4>
      </vt:variant>
      <vt:variant>
        <vt:lpwstr/>
      </vt:variant>
      <vt:variant>
        <vt:lpwstr>_Toc133488294</vt:lpwstr>
      </vt:variant>
      <vt:variant>
        <vt:i4>1114168</vt:i4>
      </vt:variant>
      <vt:variant>
        <vt:i4>1136</vt:i4>
      </vt:variant>
      <vt:variant>
        <vt:i4>0</vt:i4>
      </vt:variant>
      <vt:variant>
        <vt:i4>5</vt:i4>
      </vt:variant>
      <vt:variant>
        <vt:lpwstr/>
      </vt:variant>
      <vt:variant>
        <vt:lpwstr>_Toc133488293</vt:lpwstr>
      </vt:variant>
      <vt:variant>
        <vt:i4>1114168</vt:i4>
      </vt:variant>
      <vt:variant>
        <vt:i4>1130</vt:i4>
      </vt:variant>
      <vt:variant>
        <vt:i4>0</vt:i4>
      </vt:variant>
      <vt:variant>
        <vt:i4>5</vt:i4>
      </vt:variant>
      <vt:variant>
        <vt:lpwstr/>
      </vt:variant>
      <vt:variant>
        <vt:lpwstr>_Toc133488292</vt:lpwstr>
      </vt:variant>
      <vt:variant>
        <vt:i4>1114168</vt:i4>
      </vt:variant>
      <vt:variant>
        <vt:i4>1124</vt:i4>
      </vt:variant>
      <vt:variant>
        <vt:i4>0</vt:i4>
      </vt:variant>
      <vt:variant>
        <vt:i4>5</vt:i4>
      </vt:variant>
      <vt:variant>
        <vt:lpwstr/>
      </vt:variant>
      <vt:variant>
        <vt:lpwstr>_Toc133488291</vt:lpwstr>
      </vt:variant>
      <vt:variant>
        <vt:i4>1114168</vt:i4>
      </vt:variant>
      <vt:variant>
        <vt:i4>1118</vt:i4>
      </vt:variant>
      <vt:variant>
        <vt:i4>0</vt:i4>
      </vt:variant>
      <vt:variant>
        <vt:i4>5</vt:i4>
      </vt:variant>
      <vt:variant>
        <vt:lpwstr/>
      </vt:variant>
      <vt:variant>
        <vt:lpwstr>_Toc133488290</vt:lpwstr>
      </vt:variant>
      <vt:variant>
        <vt:i4>1048632</vt:i4>
      </vt:variant>
      <vt:variant>
        <vt:i4>1112</vt:i4>
      </vt:variant>
      <vt:variant>
        <vt:i4>0</vt:i4>
      </vt:variant>
      <vt:variant>
        <vt:i4>5</vt:i4>
      </vt:variant>
      <vt:variant>
        <vt:lpwstr/>
      </vt:variant>
      <vt:variant>
        <vt:lpwstr>_Toc133488289</vt:lpwstr>
      </vt:variant>
      <vt:variant>
        <vt:i4>1048632</vt:i4>
      </vt:variant>
      <vt:variant>
        <vt:i4>1106</vt:i4>
      </vt:variant>
      <vt:variant>
        <vt:i4>0</vt:i4>
      </vt:variant>
      <vt:variant>
        <vt:i4>5</vt:i4>
      </vt:variant>
      <vt:variant>
        <vt:lpwstr/>
      </vt:variant>
      <vt:variant>
        <vt:lpwstr>_Toc133488288</vt:lpwstr>
      </vt:variant>
      <vt:variant>
        <vt:i4>1048632</vt:i4>
      </vt:variant>
      <vt:variant>
        <vt:i4>1100</vt:i4>
      </vt:variant>
      <vt:variant>
        <vt:i4>0</vt:i4>
      </vt:variant>
      <vt:variant>
        <vt:i4>5</vt:i4>
      </vt:variant>
      <vt:variant>
        <vt:lpwstr/>
      </vt:variant>
      <vt:variant>
        <vt:lpwstr>_Toc133488287</vt:lpwstr>
      </vt:variant>
      <vt:variant>
        <vt:i4>1048632</vt:i4>
      </vt:variant>
      <vt:variant>
        <vt:i4>1094</vt:i4>
      </vt:variant>
      <vt:variant>
        <vt:i4>0</vt:i4>
      </vt:variant>
      <vt:variant>
        <vt:i4>5</vt:i4>
      </vt:variant>
      <vt:variant>
        <vt:lpwstr/>
      </vt:variant>
      <vt:variant>
        <vt:lpwstr>_Toc133488286</vt:lpwstr>
      </vt:variant>
      <vt:variant>
        <vt:i4>1048632</vt:i4>
      </vt:variant>
      <vt:variant>
        <vt:i4>1088</vt:i4>
      </vt:variant>
      <vt:variant>
        <vt:i4>0</vt:i4>
      </vt:variant>
      <vt:variant>
        <vt:i4>5</vt:i4>
      </vt:variant>
      <vt:variant>
        <vt:lpwstr/>
      </vt:variant>
      <vt:variant>
        <vt:lpwstr>_Toc133488285</vt:lpwstr>
      </vt:variant>
      <vt:variant>
        <vt:i4>1048632</vt:i4>
      </vt:variant>
      <vt:variant>
        <vt:i4>1082</vt:i4>
      </vt:variant>
      <vt:variant>
        <vt:i4>0</vt:i4>
      </vt:variant>
      <vt:variant>
        <vt:i4>5</vt:i4>
      </vt:variant>
      <vt:variant>
        <vt:lpwstr/>
      </vt:variant>
      <vt:variant>
        <vt:lpwstr>_Toc133488284</vt:lpwstr>
      </vt:variant>
      <vt:variant>
        <vt:i4>1048632</vt:i4>
      </vt:variant>
      <vt:variant>
        <vt:i4>1076</vt:i4>
      </vt:variant>
      <vt:variant>
        <vt:i4>0</vt:i4>
      </vt:variant>
      <vt:variant>
        <vt:i4>5</vt:i4>
      </vt:variant>
      <vt:variant>
        <vt:lpwstr/>
      </vt:variant>
      <vt:variant>
        <vt:lpwstr>_Toc133488283</vt:lpwstr>
      </vt:variant>
      <vt:variant>
        <vt:i4>1048632</vt:i4>
      </vt:variant>
      <vt:variant>
        <vt:i4>1070</vt:i4>
      </vt:variant>
      <vt:variant>
        <vt:i4>0</vt:i4>
      </vt:variant>
      <vt:variant>
        <vt:i4>5</vt:i4>
      </vt:variant>
      <vt:variant>
        <vt:lpwstr/>
      </vt:variant>
      <vt:variant>
        <vt:lpwstr>_Toc133488282</vt:lpwstr>
      </vt:variant>
      <vt:variant>
        <vt:i4>1048632</vt:i4>
      </vt:variant>
      <vt:variant>
        <vt:i4>1064</vt:i4>
      </vt:variant>
      <vt:variant>
        <vt:i4>0</vt:i4>
      </vt:variant>
      <vt:variant>
        <vt:i4>5</vt:i4>
      </vt:variant>
      <vt:variant>
        <vt:lpwstr/>
      </vt:variant>
      <vt:variant>
        <vt:lpwstr>_Toc133488281</vt:lpwstr>
      </vt:variant>
      <vt:variant>
        <vt:i4>1048632</vt:i4>
      </vt:variant>
      <vt:variant>
        <vt:i4>1058</vt:i4>
      </vt:variant>
      <vt:variant>
        <vt:i4>0</vt:i4>
      </vt:variant>
      <vt:variant>
        <vt:i4>5</vt:i4>
      </vt:variant>
      <vt:variant>
        <vt:lpwstr/>
      </vt:variant>
      <vt:variant>
        <vt:lpwstr>_Toc133488280</vt:lpwstr>
      </vt:variant>
      <vt:variant>
        <vt:i4>2031672</vt:i4>
      </vt:variant>
      <vt:variant>
        <vt:i4>1052</vt:i4>
      </vt:variant>
      <vt:variant>
        <vt:i4>0</vt:i4>
      </vt:variant>
      <vt:variant>
        <vt:i4>5</vt:i4>
      </vt:variant>
      <vt:variant>
        <vt:lpwstr/>
      </vt:variant>
      <vt:variant>
        <vt:lpwstr>_Toc133488279</vt:lpwstr>
      </vt:variant>
      <vt:variant>
        <vt:i4>2031672</vt:i4>
      </vt:variant>
      <vt:variant>
        <vt:i4>1046</vt:i4>
      </vt:variant>
      <vt:variant>
        <vt:i4>0</vt:i4>
      </vt:variant>
      <vt:variant>
        <vt:i4>5</vt:i4>
      </vt:variant>
      <vt:variant>
        <vt:lpwstr/>
      </vt:variant>
      <vt:variant>
        <vt:lpwstr>_Toc133488278</vt:lpwstr>
      </vt:variant>
      <vt:variant>
        <vt:i4>2031672</vt:i4>
      </vt:variant>
      <vt:variant>
        <vt:i4>1040</vt:i4>
      </vt:variant>
      <vt:variant>
        <vt:i4>0</vt:i4>
      </vt:variant>
      <vt:variant>
        <vt:i4>5</vt:i4>
      </vt:variant>
      <vt:variant>
        <vt:lpwstr/>
      </vt:variant>
      <vt:variant>
        <vt:lpwstr>_Toc133488277</vt:lpwstr>
      </vt:variant>
      <vt:variant>
        <vt:i4>2031672</vt:i4>
      </vt:variant>
      <vt:variant>
        <vt:i4>1034</vt:i4>
      </vt:variant>
      <vt:variant>
        <vt:i4>0</vt:i4>
      </vt:variant>
      <vt:variant>
        <vt:i4>5</vt:i4>
      </vt:variant>
      <vt:variant>
        <vt:lpwstr/>
      </vt:variant>
      <vt:variant>
        <vt:lpwstr>_Toc133488276</vt:lpwstr>
      </vt:variant>
      <vt:variant>
        <vt:i4>2031672</vt:i4>
      </vt:variant>
      <vt:variant>
        <vt:i4>1028</vt:i4>
      </vt:variant>
      <vt:variant>
        <vt:i4>0</vt:i4>
      </vt:variant>
      <vt:variant>
        <vt:i4>5</vt:i4>
      </vt:variant>
      <vt:variant>
        <vt:lpwstr/>
      </vt:variant>
      <vt:variant>
        <vt:lpwstr>_Toc133488275</vt:lpwstr>
      </vt:variant>
      <vt:variant>
        <vt:i4>2031672</vt:i4>
      </vt:variant>
      <vt:variant>
        <vt:i4>1022</vt:i4>
      </vt:variant>
      <vt:variant>
        <vt:i4>0</vt:i4>
      </vt:variant>
      <vt:variant>
        <vt:i4>5</vt:i4>
      </vt:variant>
      <vt:variant>
        <vt:lpwstr/>
      </vt:variant>
      <vt:variant>
        <vt:lpwstr>_Toc133488274</vt:lpwstr>
      </vt:variant>
      <vt:variant>
        <vt:i4>2031672</vt:i4>
      </vt:variant>
      <vt:variant>
        <vt:i4>1016</vt:i4>
      </vt:variant>
      <vt:variant>
        <vt:i4>0</vt:i4>
      </vt:variant>
      <vt:variant>
        <vt:i4>5</vt:i4>
      </vt:variant>
      <vt:variant>
        <vt:lpwstr/>
      </vt:variant>
      <vt:variant>
        <vt:lpwstr>_Toc133488273</vt:lpwstr>
      </vt:variant>
      <vt:variant>
        <vt:i4>2031672</vt:i4>
      </vt:variant>
      <vt:variant>
        <vt:i4>1010</vt:i4>
      </vt:variant>
      <vt:variant>
        <vt:i4>0</vt:i4>
      </vt:variant>
      <vt:variant>
        <vt:i4>5</vt:i4>
      </vt:variant>
      <vt:variant>
        <vt:lpwstr/>
      </vt:variant>
      <vt:variant>
        <vt:lpwstr>_Toc133488272</vt:lpwstr>
      </vt:variant>
      <vt:variant>
        <vt:i4>2031672</vt:i4>
      </vt:variant>
      <vt:variant>
        <vt:i4>1004</vt:i4>
      </vt:variant>
      <vt:variant>
        <vt:i4>0</vt:i4>
      </vt:variant>
      <vt:variant>
        <vt:i4>5</vt:i4>
      </vt:variant>
      <vt:variant>
        <vt:lpwstr/>
      </vt:variant>
      <vt:variant>
        <vt:lpwstr>_Toc133488271</vt:lpwstr>
      </vt:variant>
      <vt:variant>
        <vt:i4>2031672</vt:i4>
      </vt:variant>
      <vt:variant>
        <vt:i4>998</vt:i4>
      </vt:variant>
      <vt:variant>
        <vt:i4>0</vt:i4>
      </vt:variant>
      <vt:variant>
        <vt:i4>5</vt:i4>
      </vt:variant>
      <vt:variant>
        <vt:lpwstr/>
      </vt:variant>
      <vt:variant>
        <vt:lpwstr>_Toc133488270</vt:lpwstr>
      </vt:variant>
      <vt:variant>
        <vt:i4>1966136</vt:i4>
      </vt:variant>
      <vt:variant>
        <vt:i4>992</vt:i4>
      </vt:variant>
      <vt:variant>
        <vt:i4>0</vt:i4>
      </vt:variant>
      <vt:variant>
        <vt:i4>5</vt:i4>
      </vt:variant>
      <vt:variant>
        <vt:lpwstr/>
      </vt:variant>
      <vt:variant>
        <vt:lpwstr>_Toc133488269</vt:lpwstr>
      </vt:variant>
      <vt:variant>
        <vt:i4>1966136</vt:i4>
      </vt:variant>
      <vt:variant>
        <vt:i4>986</vt:i4>
      </vt:variant>
      <vt:variant>
        <vt:i4>0</vt:i4>
      </vt:variant>
      <vt:variant>
        <vt:i4>5</vt:i4>
      </vt:variant>
      <vt:variant>
        <vt:lpwstr/>
      </vt:variant>
      <vt:variant>
        <vt:lpwstr>_Toc133488268</vt:lpwstr>
      </vt:variant>
      <vt:variant>
        <vt:i4>1966136</vt:i4>
      </vt:variant>
      <vt:variant>
        <vt:i4>980</vt:i4>
      </vt:variant>
      <vt:variant>
        <vt:i4>0</vt:i4>
      </vt:variant>
      <vt:variant>
        <vt:i4>5</vt:i4>
      </vt:variant>
      <vt:variant>
        <vt:lpwstr/>
      </vt:variant>
      <vt:variant>
        <vt:lpwstr>_Toc133488267</vt:lpwstr>
      </vt:variant>
      <vt:variant>
        <vt:i4>1966136</vt:i4>
      </vt:variant>
      <vt:variant>
        <vt:i4>974</vt:i4>
      </vt:variant>
      <vt:variant>
        <vt:i4>0</vt:i4>
      </vt:variant>
      <vt:variant>
        <vt:i4>5</vt:i4>
      </vt:variant>
      <vt:variant>
        <vt:lpwstr/>
      </vt:variant>
      <vt:variant>
        <vt:lpwstr>_Toc133488266</vt:lpwstr>
      </vt:variant>
      <vt:variant>
        <vt:i4>1966136</vt:i4>
      </vt:variant>
      <vt:variant>
        <vt:i4>968</vt:i4>
      </vt:variant>
      <vt:variant>
        <vt:i4>0</vt:i4>
      </vt:variant>
      <vt:variant>
        <vt:i4>5</vt:i4>
      </vt:variant>
      <vt:variant>
        <vt:lpwstr/>
      </vt:variant>
      <vt:variant>
        <vt:lpwstr>_Toc133488265</vt:lpwstr>
      </vt:variant>
      <vt:variant>
        <vt:i4>1966136</vt:i4>
      </vt:variant>
      <vt:variant>
        <vt:i4>962</vt:i4>
      </vt:variant>
      <vt:variant>
        <vt:i4>0</vt:i4>
      </vt:variant>
      <vt:variant>
        <vt:i4>5</vt:i4>
      </vt:variant>
      <vt:variant>
        <vt:lpwstr/>
      </vt:variant>
      <vt:variant>
        <vt:lpwstr>_Toc133488264</vt:lpwstr>
      </vt:variant>
      <vt:variant>
        <vt:i4>1966136</vt:i4>
      </vt:variant>
      <vt:variant>
        <vt:i4>956</vt:i4>
      </vt:variant>
      <vt:variant>
        <vt:i4>0</vt:i4>
      </vt:variant>
      <vt:variant>
        <vt:i4>5</vt:i4>
      </vt:variant>
      <vt:variant>
        <vt:lpwstr/>
      </vt:variant>
      <vt:variant>
        <vt:lpwstr>_Toc133488263</vt:lpwstr>
      </vt:variant>
      <vt:variant>
        <vt:i4>1966136</vt:i4>
      </vt:variant>
      <vt:variant>
        <vt:i4>950</vt:i4>
      </vt:variant>
      <vt:variant>
        <vt:i4>0</vt:i4>
      </vt:variant>
      <vt:variant>
        <vt:i4>5</vt:i4>
      </vt:variant>
      <vt:variant>
        <vt:lpwstr/>
      </vt:variant>
      <vt:variant>
        <vt:lpwstr>_Toc133488262</vt:lpwstr>
      </vt:variant>
      <vt:variant>
        <vt:i4>1966136</vt:i4>
      </vt:variant>
      <vt:variant>
        <vt:i4>944</vt:i4>
      </vt:variant>
      <vt:variant>
        <vt:i4>0</vt:i4>
      </vt:variant>
      <vt:variant>
        <vt:i4>5</vt:i4>
      </vt:variant>
      <vt:variant>
        <vt:lpwstr/>
      </vt:variant>
      <vt:variant>
        <vt:lpwstr>_Toc133488261</vt:lpwstr>
      </vt:variant>
      <vt:variant>
        <vt:i4>1966136</vt:i4>
      </vt:variant>
      <vt:variant>
        <vt:i4>938</vt:i4>
      </vt:variant>
      <vt:variant>
        <vt:i4>0</vt:i4>
      </vt:variant>
      <vt:variant>
        <vt:i4>5</vt:i4>
      </vt:variant>
      <vt:variant>
        <vt:lpwstr/>
      </vt:variant>
      <vt:variant>
        <vt:lpwstr>_Toc133488260</vt:lpwstr>
      </vt:variant>
      <vt:variant>
        <vt:i4>1900600</vt:i4>
      </vt:variant>
      <vt:variant>
        <vt:i4>932</vt:i4>
      </vt:variant>
      <vt:variant>
        <vt:i4>0</vt:i4>
      </vt:variant>
      <vt:variant>
        <vt:i4>5</vt:i4>
      </vt:variant>
      <vt:variant>
        <vt:lpwstr/>
      </vt:variant>
      <vt:variant>
        <vt:lpwstr>_Toc133488259</vt:lpwstr>
      </vt:variant>
      <vt:variant>
        <vt:i4>1900600</vt:i4>
      </vt:variant>
      <vt:variant>
        <vt:i4>926</vt:i4>
      </vt:variant>
      <vt:variant>
        <vt:i4>0</vt:i4>
      </vt:variant>
      <vt:variant>
        <vt:i4>5</vt:i4>
      </vt:variant>
      <vt:variant>
        <vt:lpwstr/>
      </vt:variant>
      <vt:variant>
        <vt:lpwstr>_Toc133488258</vt:lpwstr>
      </vt:variant>
      <vt:variant>
        <vt:i4>1900600</vt:i4>
      </vt:variant>
      <vt:variant>
        <vt:i4>920</vt:i4>
      </vt:variant>
      <vt:variant>
        <vt:i4>0</vt:i4>
      </vt:variant>
      <vt:variant>
        <vt:i4>5</vt:i4>
      </vt:variant>
      <vt:variant>
        <vt:lpwstr/>
      </vt:variant>
      <vt:variant>
        <vt:lpwstr>_Toc133488257</vt:lpwstr>
      </vt:variant>
      <vt:variant>
        <vt:i4>1900600</vt:i4>
      </vt:variant>
      <vt:variant>
        <vt:i4>914</vt:i4>
      </vt:variant>
      <vt:variant>
        <vt:i4>0</vt:i4>
      </vt:variant>
      <vt:variant>
        <vt:i4>5</vt:i4>
      </vt:variant>
      <vt:variant>
        <vt:lpwstr/>
      </vt:variant>
      <vt:variant>
        <vt:lpwstr>_Toc133488256</vt:lpwstr>
      </vt:variant>
      <vt:variant>
        <vt:i4>1900600</vt:i4>
      </vt:variant>
      <vt:variant>
        <vt:i4>908</vt:i4>
      </vt:variant>
      <vt:variant>
        <vt:i4>0</vt:i4>
      </vt:variant>
      <vt:variant>
        <vt:i4>5</vt:i4>
      </vt:variant>
      <vt:variant>
        <vt:lpwstr/>
      </vt:variant>
      <vt:variant>
        <vt:lpwstr>_Toc133488255</vt:lpwstr>
      </vt:variant>
      <vt:variant>
        <vt:i4>1900600</vt:i4>
      </vt:variant>
      <vt:variant>
        <vt:i4>902</vt:i4>
      </vt:variant>
      <vt:variant>
        <vt:i4>0</vt:i4>
      </vt:variant>
      <vt:variant>
        <vt:i4>5</vt:i4>
      </vt:variant>
      <vt:variant>
        <vt:lpwstr/>
      </vt:variant>
      <vt:variant>
        <vt:lpwstr>_Toc133488254</vt:lpwstr>
      </vt:variant>
      <vt:variant>
        <vt:i4>1900600</vt:i4>
      </vt:variant>
      <vt:variant>
        <vt:i4>896</vt:i4>
      </vt:variant>
      <vt:variant>
        <vt:i4>0</vt:i4>
      </vt:variant>
      <vt:variant>
        <vt:i4>5</vt:i4>
      </vt:variant>
      <vt:variant>
        <vt:lpwstr/>
      </vt:variant>
      <vt:variant>
        <vt:lpwstr>_Toc133488253</vt:lpwstr>
      </vt:variant>
      <vt:variant>
        <vt:i4>1900600</vt:i4>
      </vt:variant>
      <vt:variant>
        <vt:i4>890</vt:i4>
      </vt:variant>
      <vt:variant>
        <vt:i4>0</vt:i4>
      </vt:variant>
      <vt:variant>
        <vt:i4>5</vt:i4>
      </vt:variant>
      <vt:variant>
        <vt:lpwstr/>
      </vt:variant>
      <vt:variant>
        <vt:lpwstr>_Toc133488252</vt:lpwstr>
      </vt:variant>
      <vt:variant>
        <vt:i4>1900600</vt:i4>
      </vt:variant>
      <vt:variant>
        <vt:i4>884</vt:i4>
      </vt:variant>
      <vt:variant>
        <vt:i4>0</vt:i4>
      </vt:variant>
      <vt:variant>
        <vt:i4>5</vt:i4>
      </vt:variant>
      <vt:variant>
        <vt:lpwstr/>
      </vt:variant>
      <vt:variant>
        <vt:lpwstr>_Toc133488251</vt:lpwstr>
      </vt:variant>
      <vt:variant>
        <vt:i4>1900600</vt:i4>
      </vt:variant>
      <vt:variant>
        <vt:i4>878</vt:i4>
      </vt:variant>
      <vt:variant>
        <vt:i4>0</vt:i4>
      </vt:variant>
      <vt:variant>
        <vt:i4>5</vt:i4>
      </vt:variant>
      <vt:variant>
        <vt:lpwstr/>
      </vt:variant>
      <vt:variant>
        <vt:lpwstr>_Toc133488250</vt:lpwstr>
      </vt:variant>
      <vt:variant>
        <vt:i4>1835064</vt:i4>
      </vt:variant>
      <vt:variant>
        <vt:i4>872</vt:i4>
      </vt:variant>
      <vt:variant>
        <vt:i4>0</vt:i4>
      </vt:variant>
      <vt:variant>
        <vt:i4>5</vt:i4>
      </vt:variant>
      <vt:variant>
        <vt:lpwstr/>
      </vt:variant>
      <vt:variant>
        <vt:lpwstr>_Toc133488249</vt:lpwstr>
      </vt:variant>
      <vt:variant>
        <vt:i4>1835064</vt:i4>
      </vt:variant>
      <vt:variant>
        <vt:i4>866</vt:i4>
      </vt:variant>
      <vt:variant>
        <vt:i4>0</vt:i4>
      </vt:variant>
      <vt:variant>
        <vt:i4>5</vt:i4>
      </vt:variant>
      <vt:variant>
        <vt:lpwstr/>
      </vt:variant>
      <vt:variant>
        <vt:lpwstr>_Toc133488248</vt:lpwstr>
      </vt:variant>
      <vt:variant>
        <vt:i4>1835064</vt:i4>
      </vt:variant>
      <vt:variant>
        <vt:i4>860</vt:i4>
      </vt:variant>
      <vt:variant>
        <vt:i4>0</vt:i4>
      </vt:variant>
      <vt:variant>
        <vt:i4>5</vt:i4>
      </vt:variant>
      <vt:variant>
        <vt:lpwstr/>
      </vt:variant>
      <vt:variant>
        <vt:lpwstr>_Toc133488247</vt:lpwstr>
      </vt:variant>
      <vt:variant>
        <vt:i4>1835064</vt:i4>
      </vt:variant>
      <vt:variant>
        <vt:i4>854</vt:i4>
      </vt:variant>
      <vt:variant>
        <vt:i4>0</vt:i4>
      </vt:variant>
      <vt:variant>
        <vt:i4>5</vt:i4>
      </vt:variant>
      <vt:variant>
        <vt:lpwstr/>
      </vt:variant>
      <vt:variant>
        <vt:lpwstr>_Toc133488246</vt:lpwstr>
      </vt:variant>
      <vt:variant>
        <vt:i4>1835064</vt:i4>
      </vt:variant>
      <vt:variant>
        <vt:i4>848</vt:i4>
      </vt:variant>
      <vt:variant>
        <vt:i4>0</vt:i4>
      </vt:variant>
      <vt:variant>
        <vt:i4>5</vt:i4>
      </vt:variant>
      <vt:variant>
        <vt:lpwstr/>
      </vt:variant>
      <vt:variant>
        <vt:lpwstr>_Toc133488245</vt:lpwstr>
      </vt:variant>
      <vt:variant>
        <vt:i4>1835064</vt:i4>
      </vt:variant>
      <vt:variant>
        <vt:i4>842</vt:i4>
      </vt:variant>
      <vt:variant>
        <vt:i4>0</vt:i4>
      </vt:variant>
      <vt:variant>
        <vt:i4>5</vt:i4>
      </vt:variant>
      <vt:variant>
        <vt:lpwstr/>
      </vt:variant>
      <vt:variant>
        <vt:lpwstr>_Toc133488244</vt:lpwstr>
      </vt:variant>
      <vt:variant>
        <vt:i4>1835064</vt:i4>
      </vt:variant>
      <vt:variant>
        <vt:i4>836</vt:i4>
      </vt:variant>
      <vt:variant>
        <vt:i4>0</vt:i4>
      </vt:variant>
      <vt:variant>
        <vt:i4>5</vt:i4>
      </vt:variant>
      <vt:variant>
        <vt:lpwstr/>
      </vt:variant>
      <vt:variant>
        <vt:lpwstr>_Toc133488243</vt:lpwstr>
      </vt:variant>
      <vt:variant>
        <vt:i4>1835064</vt:i4>
      </vt:variant>
      <vt:variant>
        <vt:i4>830</vt:i4>
      </vt:variant>
      <vt:variant>
        <vt:i4>0</vt:i4>
      </vt:variant>
      <vt:variant>
        <vt:i4>5</vt:i4>
      </vt:variant>
      <vt:variant>
        <vt:lpwstr/>
      </vt:variant>
      <vt:variant>
        <vt:lpwstr>_Toc133488242</vt:lpwstr>
      </vt:variant>
      <vt:variant>
        <vt:i4>1835064</vt:i4>
      </vt:variant>
      <vt:variant>
        <vt:i4>824</vt:i4>
      </vt:variant>
      <vt:variant>
        <vt:i4>0</vt:i4>
      </vt:variant>
      <vt:variant>
        <vt:i4>5</vt:i4>
      </vt:variant>
      <vt:variant>
        <vt:lpwstr/>
      </vt:variant>
      <vt:variant>
        <vt:lpwstr>_Toc133488241</vt:lpwstr>
      </vt:variant>
      <vt:variant>
        <vt:i4>1835064</vt:i4>
      </vt:variant>
      <vt:variant>
        <vt:i4>818</vt:i4>
      </vt:variant>
      <vt:variant>
        <vt:i4>0</vt:i4>
      </vt:variant>
      <vt:variant>
        <vt:i4>5</vt:i4>
      </vt:variant>
      <vt:variant>
        <vt:lpwstr/>
      </vt:variant>
      <vt:variant>
        <vt:lpwstr>_Toc133488240</vt:lpwstr>
      </vt:variant>
      <vt:variant>
        <vt:i4>1769528</vt:i4>
      </vt:variant>
      <vt:variant>
        <vt:i4>812</vt:i4>
      </vt:variant>
      <vt:variant>
        <vt:i4>0</vt:i4>
      </vt:variant>
      <vt:variant>
        <vt:i4>5</vt:i4>
      </vt:variant>
      <vt:variant>
        <vt:lpwstr/>
      </vt:variant>
      <vt:variant>
        <vt:lpwstr>_Toc133488239</vt:lpwstr>
      </vt:variant>
      <vt:variant>
        <vt:i4>1769528</vt:i4>
      </vt:variant>
      <vt:variant>
        <vt:i4>806</vt:i4>
      </vt:variant>
      <vt:variant>
        <vt:i4>0</vt:i4>
      </vt:variant>
      <vt:variant>
        <vt:i4>5</vt:i4>
      </vt:variant>
      <vt:variant>
        <vt:lpwstr/>
      </vt:variant>
      <vt:variant>
        <vt:lpwstr>_Toc133488238</vt:lpwstr>
      </vt:variant>
      <vt:variant>
        <vt:i4>1769528</vt:i4>
      </vt:variant>
      <vt:variant>
        <vt:i4>800</vt:i4>
      </vt:variant>
      <vt:variant>
        <vt:i4>0</vt:i4>
      </vt:variant>
      <vt:variant>
        <vt:i4>5</vt:i4>
      </vt:variant>
      <vt:variant>
        <vt:lpwstr/>
      </vt:variant>
      <vt:variant>
        <vt:lpwstr>_Toc133488237</vt:lpwstr>
      </vt:variant>
      <vt:variant>
        <vt:i4>1769528</vt:i4>
      </vt:variant>
      <vt:variant>
        <vt:i4>794</vt:i4>
      </vt:variant>
      <vt:variant>
        <vt:i4>0</vt:i4>
      </vt:variant>
      <vt:variant>
        <vt:i4>5</vt:i4>
      </vt:variant>
      <vt:variant>
        <vt:lpwstr/>
      </vt:variant>
      <vt:variant>
        <vt:lpwstr>_Toc133488236</vt:lpwstr>
      </vt:variant>
      <vt:variant>
        <vt:i4>1769528</vt:i4>
      </vt:variant>
      <vt:variant>
        <vt:i4>788</vt:i4>
      </vt:variant>
      <vt:variant>
        <vt:i4>0</vt:i4>
      </vt:variant>
      <vt:variant>
        <vt:i4>5</vt:i4>
      </vt:variant>
      <vt:variant>
        <vt:lpwstr/>
      </vt:variant>
      <vt:variant>
        <vt:lpwstr>_Toc133488235</vt:lpwstr>
      </vt:variant>
      <vt:variant>
        <vt:i4>1769528</vt:i4>
      </vt:variant>
      <vt:variant>
        <vt:i4>782</vt:i4>
      </vt:variant>
      <vt:variant>
        <vt:i4>0</vt:i4>
      </vt:variant>
      <vt:variant>
        <vt:i4>5</vt:i4>
      </vt:variant>
      <vt:variant>
        <vt:lpwstr/>
      </vt:variant>
      <vt:variant>
        <vt:lpwstr>_Toc133488234</vt:lpwstr>
      </vt:variant>
      <vt:variant>
        <vt:i4>1769528</vt:i4>
      </vt:variant>
      <vt:variant>
        <vt:i4>776</vt:i4>
      </vt:variant>
      <vt:variant>
        <vt:i4>0</vt:i4>
      </vt:variant>
      <vt:variant>
        <vt:i4>5</vt:i4>
      </vt:variant>
      <vt:variant>
        <vt:lpwstr/>
      </vt:variant>
      <vt:variant>
        <vt:lpwstr>_Toc133488233</vt:lpwstr>
      </vt:variant>
      <vt:variant>
        <vt:i4>1769528</vt:i4>
      </vt:variant>
      <vt:variant>
        <vt:i4>770</vt:i4>
      </vt:variant>
      <vt:variant>
        <vt:i4>0</vt:i4>
      </vt:variant>
      <vt:variant>
        <vt:i4>5</vt:i4>
      </vt:variant>
      <vt:variant>
        <vt:lpwstr/>
      </vt:variant>
      <vt:variant>
        <vt:lpwstr>_Toc133488232</vt:lpwstr>
      </vt:variant>
      <vt:variant>
        <vt:i4>1769528</vt:i4>
      </vt:variant>
      <vt:variant>
        <vt:i4>764</vt:i4>
      </vt:variant>
      <vt:variant>
        <vt:i4>0</vt:i4>
      </vt:variant>
      <vt:variant>
        <vt:i4>5</vt:i4>
      </vt:variant>
      <vt:variant>
        <vt:lpwstr/>
      </vt:variant>
      <vt:variant>
        <vt:lpwstr>_Toc133488231</vt:lpwstr>
      </vt:variant>
      <vt:variant>
        <vt:i4>1769528</vt:i4>
      </vt:variant>
      <vt:variant>
        <vt:i4>758</vt:i4>
      </vt:variant>
      <vt:variant>
        <vt:i4>0</vt:i4>
      </vt:variant>
      <vt:variant>
        <vt:i4>5</vt:i4>
      </vt:variant>
      <vt:variant>
        <vt:lpwstr/>
      </vt:variant>
      <vt:variant>
        <vt:lpwstr>_Toc133488230</vt:lpwstr>
      </vt:variant>
      <vt:variant>
        <vt:i4>1703992</vt:i4>
      </vt:variant>
      <vt:variant>
        <vt:i4>752</vt:i4>
      </vt:variant>
      <vt:variant>
        <vt:i4>0</vt:i4>
      </vt:variant>
      <vt:variant>
        <vt:i4>5</vt:i4>
      </vt:variant>
      <vt:variant>
        <vt:lpwstr/>
      </vt:variant>
      <vt:variant>
        <vt:lpwstr>_Toc133488229</vt:lpwstr>
      </vt:variant>
      <vt:variant>
        <vt:i4>1703992</vt:i4>
      </vt:variant>
      <vt:variant>
        <vt:i4>746</vt:i4>
      </vt:variant>
      <vt:variant>
        <vt:i4>0</vt:i4>
      </vt:variant>
      <vt:variant>
        <vt:i4>5</vt:i4>
      </vt:variant>
      <vt:variant>
        <vt:lpwstr/>
      </vt:variant>
      <vt:variant>
        <vt:lpwstr>_Toc133488228</vt:lpwstr>
      </vt:variant>
      <vt:variant>
        <vt:i4>1703992</vt:i4>
      </vt:variant>
      <vt:variant>
        <vt:i4>740</vt:i4>
      </vt:variant>
      <vt:variant>
        <vt:i4>0</vt:i4>
      </vt:variant>
      <vt:variant>
        <vt:i4>5</vt:i4>
      </vt:variant>
      <vt:variant>
        <vt:lpwstr/>
      </vt:variant>
      <vt:variant>
        <vt:lpwstr>_Toc133488227</vt:lpwstr>
      </vt:variant>
      <vt:variant>
        <vt:i4>1703992</vt:i4>
      </vt:variant>
      <vt:variant>
        <vt:i4>734</vt:i4>
      </vt:variant>
      <vt:variant>
        <vt:i4>0</vt:i4>
      </vt:variant>
      <vt:variant>
        <vt:i4>5</vt:i4>
      </vt:variant>
      <vt:variant>
        <vt:lpwstr/>
      </vt:variant>
      <vt:variant>
        <vt:lpwstr>_Toc133488226</vt:lpwstr>
      </vt:variant>
      <vt:variant>
        <vt:i4>1703992</vt:i4>
      </vt:variant>
      <vt:variant>
        <vt:i4>728</vt:i4>
      </vt:variant>
      <vt:variant>
        <vt:i4>0</vt:i4>
      </vt:variant>
      <vt:variant>
        <vt:i4>5</vt:i4>
      </vt:variant>
      <vt:variant>
        <vt:lpwstr/>
      </vt:variant>
      <vt:variant>
        <vt:lpwstr>_Toc133488225</vt:lpwstr>
      </vt:variant>
      <vt:variant>
        <vt:i4>1703992</vt:i4>
      </vt:variant>
      <vt:variant>
        <vt:i4>722</vt:i4>
      </vt:variant>
      <vt:variant>
        <vt:i4>0</vt:i4>
      </vt:variant>
      <vt:variant>
        <vt:i4>5</vt:i4>
      </vt:variant>
      <vt:variant>
        <vt:lpwstr/>
      </vt:variant>
      <vt:variant>
        <vt:lpwstr>_Toc133488224</vt:lpwstr>
      </vt:variant>
      <vt:variant>
        <vt:i4>1703992</vt:i4>
      </vt:variant>
      <vt:variant>
        <vt:i4>716</vt:i4>
      </vt:variant>
      <vt:variant>
        <vt:i4>0</vt:i4>
      </vt:variant>
      <vt:variant>
        <vt:i4>5</vt:i4>
      </vt:variant>
      <vt:variant>
        <vt:lpwstr/>
      </vt:variant>
      <vt:variant>
        <vt:lpwstr>_Toc133488223</vt:lpwstr>
      </vt:variant>
      <vt:variant>
        <vt:i4>1703992</vt:i4>
      </vt:variant>
      <vt:variant>
        <vt:i4>710</vt:i4>
      </vt:variant>
      <vt:variant>
        <vt:i4>0</vt:i4>
      </vt:variant>
      <vt:variant>
        <vt:i4>5</vt:i4>
      </vt:variant>
      <vt:variant>
        <vt:lpwstr/>
      </vt:variant>
      <vt:variant>
        <vt:lpwstr>_Toc133488222</vt:lpwstr>
      </vt:variant>
      <vt:variant>
        <vt:i4>1703992</vt:i4>
      </vt:variant>
      <vt:variant>
        <vt:i4>704</vt:i4>
      </vt:variant>
      <vt:variant>
        <vt:i4>0</vt:i4>
      </vt:variant>
      <vt:variant>
        <vt:i4>5</vt:i4>
      </vt:variant>
      <vt:variant>
        <vt:lpwstr/>
      </vt:variant>
      <vt:variant>
        <vt:lpwstr>_Toc133488221</vt:lpwstr>
      </vt:variant>
      <vt:variant>
        <vt:i4>1703992</vt:i4>
      </vt:variant>
      <vt:variant>
        <vt:i4>698</vt:i4>
      </vt:variant>
      <vt:variant>
        <vt:i4>0</vt:i4>
      </vt:variant>
      <vt:variant>
        <vt:i4>5</vt:i4>
      </vt:variant>
      <vt:variant>
        <vt:lpwstr/>
      </vt:variant>
      <vt:variant>
        <vt:lpwstr>_Toc133488220</vt:lpwstr>
      </vt:variant>
      <vt:variant>
        <vt:i4>1638456</vt:i4>
      </vt:variant>
      <vt:variant>
        <vt:i4>692</vt:i4>
      </vt:variant>
      <vt:variant>
        <vt:i4>0</vt:i4>
      </vt:variant>
      <vt:variant>
        <vt:i4>5</vt:i4>
      </vt:variant>
      <vt:variant>
        <vt:lpwstr/>
      </vt:variant>
      <vt:variant>
        <vt:lpwstr>_Toc133488219</vt:lpwstr>
      </vt:variant>
      <vt:variant>
        <vt:i4>1638456</vt:i4>
      </vt:variant>
      <vt:variant>
        <vt:i4>686</vt:i4>
      </vt:variant>
      <vt:variant>
        <vt:i4>0</vt:i4>
      </vt:variant>
      <vt:variant>
        <vt:i4>5</vt:i4>
      </vt:variant>
      <vt:variant>
        <vt:lpwstr/>
      </vt:variant>
      <vt:variant>
        <vt:lpwstr>_Toc133488218</vt:lpwstr>
      </vt:variant>
      <vt:variant>
        <vt:i4>1638456</vt:i4>
      </vt:variant>
      <vt:variant>
        <vt:i4>680</vt:i4>
      </vt:variant>
      <vt:variant>
        <vt:i4>0</vt:i4>
      </vt:variant>
      <vt:variant>
        <vt:i4>5</vt:i4>
      </vt:variant>
      <vt:variant>
        <vt:lpwstr/>
      </vt:variant>
      <vt:variant>
        <vt:lpwstr>_Toc133488217</vt:lpwstr>
      </vt:variant>
      <vt:variant>
        <vt:i4>1638456</vt:i4>
      </vt:variant>
      <vt:variant>
        <vt:i4>674</vt:i4>
      </vt:variant>
      <vt:variant>
        <vt:i4>0</vt:i4>
      </vt:variant>
      <vt:variant>
        <vt:i4>5</vt:i4>
      </vt:variant>
      <vt:variant>
        <vt:lpwstr/>
      </vt:variant>
      <vt:variant>
        <vt:lpwstr>_Toc133488216</vt:lpwstr>
      </vt:variant>
      <vt:variant>
        <vt:i4>1638456</vt:i4>
      </vt:variant>
      <vt:variant>
        <vt:i4>668</vt:i4>
      </vt:variant>
      <vt:variant>
        <vt:i4>0</vt:i4>
      </vt:variant>
      <vt:variant>
        <vt:i4>5</vt:i4>
      </vt:variant>
      <vt:variant>
        <vt:lpwstr/>
      </vt:variant>
      <vt:variant>
        <vt:lpwstr>_Toc133488215</vt:lpwstr>
      </vt:variant>
      <vt:variant>
        <vt:i4>1638456</vt:i4>
      </vt:variant>
      <vt:variant>
        <vt:i4>662</vt:i4>
      </vt:variant>
      <vt:variant>
        <vt:i4>0</vt:i4>
      </vt:variant>
      <vt:variant>
        <vt:i4>5</vt:i4>
      </vt:variant>
      <vt:variant>
        <vt:lpwstr/>
      </vt:variant>
      <vt:variant>
        <vt:lpwstr>_Toc133488214</vt:lpwstr>
      </vt:variant>
      <vt:variant>
        <vt:i4>1638456</vt:i4>
      </vt:variant>
      <vt:variant>
        <vt:i4>656</vt:i4>
      </vt:variant>
      <vt:variant>
        <vt:i4>0</vt:i4>
      </vt:variant>
      <vt:variant>
        <vt:i4>5</vt:i4>
      </vt:variant>
      <vt:variant>
        <vt:lpwstr/>
      </vt:variant>
      <vt:variant>
        <vt:lpwstr>_Toc133488213</vt:lpwstr>
      </vt:variant>
      <vt:variant>
        <vt:i4>1638456</vt:i4>
      </vt:variant>
      <vt:variant>
        <vt:i4>650</vt:i4>
      </vt:variant>
      <vt:variant>
        <vt:i4>0</vt:i4>
      </vt:variant>
      <vt:variant>
        <vt:i4>5</vt:i4>
      </vt:variant>
      <vt:variant>
        <vt:lpwstr/>
      </vt:variant>
      <vt:variant>
        <vt:lpwstr>_Toc133488212</vt:lpwstr>
      </vt:variant>
      <vt:variant>
        <vt:i4>1638456</vt:i4>
      </vt:variant>
      <vt:variant>
        <vt:i4>644</vt:i4>
      </vt:variant>
      <vt:variant>
        <vt:i4>0</vt:i4>
      </vt:variant>
      <vt:variant>
        <vt:i4>5</vt:i4>
      </vt:variant>
      <vt:variant>
        <vt:lpwstr/>
      </vt:variant>
      <vt:variant>
        <vt:lpwstr>_Toc133488211</vt:lpwstr>
      </vt:variant>
      <vt:variant>
        <vt:i4>1638456</vt:i4>
      </vt:variant>
      <vt:variant>
        <vt:i4>638</vt:i4>
      </vt:variant>
      <vt:variant>
        <vt:i4>0</vt:i4>
      </vt:variant>
      <vt:variant>
        <vt:i4>5</vt:i4>
      </vt:variant>
      <vt:variant>
        <vt:lpwstr/>
      </vt:variant>
      <vt:variant>
        <vt:lpwstr>_Toc133488210</vt:lpwstr>
      </vt:variant>
      <vt:variant>
        <vt:i4>1572920</vt:i4>
      </vt:variant>
      <vt:variant>
        <vt:i4>632</vt:i4>
      </vt:variant>
      <vt:variant>
        <vt:i4>0</vt:i4>
      </vt:variant>
      <vt:variant>
        <vt:i4>5</vt:i4>
      </vt:variant>
      <vt:variant>
        <vt:lpwstr/>
      </vt:variant>
      <vt:variant>
        <vt:lpwstr>_Toc133488209</vt:lpwstr>
      </vt:variant>
      <vt:variant>
        <vt:i4>1572920</vt:i4>
      </vt:variant>
      <vt:variant>
        <vt:i4>626</vt:i4>
      </vt:variant>
      <vt:variant>
        <vt:i4>0</vt:i4>
      </vt:variant>
      <vt:variant>
        <vt:i4>5</vt:i4>
      </vt:variant>
      <vt:variant>
        <vt:lpwstr/>
      </vt:variant>
      <vt:variant>
        <vt:lpwstr>_Toc133488208</vt:lpwstr>
      </vt:variant>
      <vt:variant>
        <vt:i4>1572920</vt:i4>
      </vt:variant>
      <vt:variant>
        <vt:i4>620</vt:i4>
      </vt:variant>
      <vt:variant>
        <vt:i4>0</vt:i4>
      </vt:variant>
      <vt:variant>
        <vt:i4>5</vt:i4>
      </vt:variant>
      <vt:variant>
        <vt:lpwstr/>
      </vt:variant>
      <vt:variant>
        <vt:lpwstr>_Toc133488207</vt:lpwstr>
      </vt:variant>
      <vt:variant>
        <vt:i4>1572920</vt:i4>
      </vt:variant>
      <vt:variant>
        <vt:i4>614</vt:i4>
      </vt:variant>
      <vt:variant>
        <vt:i4>0</vt:i4>
      </vt:variant>
      <vt:variant>
        <vt:i4>5</vt:i4>
      </vt:variant>
      <vt:variant>
        <vt:lpwstr/>
      </vt:variant>
      <vt:variant>
        <vt:lpwstr>_Toc133488206</vt:lpwstr>
      </vt:variant>
      <vt:variant>
        <vt:i4>1572920</vt:i4>
      </vt:variant>
      <vt:variant>
        <vt:i4>608</vt:i4>
      </vt:variant>
      <vt:variant>
        <vt:i4>0</vt:i4>
      </vt:variant>
      <vt:variant>
        <vt:i4>5</vt:i4>
      </vt:variant>
      <vt:variant>
        <vt:lpwstr/>
      </vt:variant>
      <vt:variant>
        <vt:lpwstr>_Toc133488205</vt:lpwstr>
      </vt:variant>
      <vt:variant>
        <vt:i4>1572920</vt:i4>
      </vt:variant>
      <vt:variant>
        <vt:i4>602</vt:i4>
      </vt:variant>
      <vt:variant>
        <vt:i4>0</vt:i4>
      </vt:variant>
      <vt:variant>
        <vt:i4>5</vt:i4>
      </vt:variant>
      <vt:variant>
        <vt:lpwstr/>
      </vt:variant>
      <vt:variant>
        <vt:lpwstr>_Toc133488204</vt:lpwstr>
      </vt:variant>
      <vt:variant>
        <vt:i4>1572920</vt:i4>
      </vt:variant>
      <vt:variant>
        <vt:i4>596</vt:i4>
      </vt:variant>
      <vt:variant>
        <vt:i4>0</vt:i4>
      </vt:variant>
      <vt:variant>
        <vt:i4>5</vt:i4>
      </vt:variant>
      <vt:variant>
        <vt:lpwstr/>
      </vt:variant>
      <vt:variant>
        <vt:lpwstr>_Toc133488203</vt:lpwstr>
      </vt:variant>
      <vt:variant>
        <vt:i4>1572920</vt:i4>
      </vt:variant>
      <vt:variant>
        <vt:i4>590</vt:i4>
      </vt:variant>
      <vt:variant>
        <vt:i4>0</vt:i4>
      </vt:variant>
      <vt:variant>
        <vt:i4>5</vt:i4>
      </vt:variant>
      <vt:variant>
        <vt:lpwstr/>
      </vt:variant>
      <vt:variant>
        <vt:lpwstr>_Toc133488202</vt:lpwstr>
      </vt:variant>
      <vt:variant>
        <vt:i4>1572920</vt:i4>
      </vt:variant>
      <vt:variant>
        <vt:i4>584</vt:i4>
      </vt:variant>
      <vt:variant>
        <vt:i4>0</vt:i4>
      </vt:variant>
      <vt:variant>
        <vt:i4>5</vt:i4>
      </vt:variant>
      <vt:variant>
        <vt:lpwstr/>
      </vt:variant>
      <vt:variant>
        <vt:lpwstr>_Toc133488201</vt:lpwstr>
      </vt:variant>
      <vt:variant>
        <vt:i4>1572920</vt:i4>
      </vt:variant>
      <vt:variant>
        <vt:i4>578</vt:i4>
      </vt:variant>
      <vt:variant>
        <vt:i4>0</vt:i4>
      </vt:variant>
      <vt:variant>
        <vt:i4>5</vt:i4>
      </vt:variant>
      <vt:variant>
        <vt:lpwstr/>
      </vt:variant>
      <vt:variant>
        <vt:lpwstr>_Toc133488200</vt:lpwstr>
      </vt:variant>
      <vt:variant>
        <vt:i4>1114171</vt:i4>
      </vt:variant>
      <vt:variant>
        <vt:i4>572</vt:i4>
      </vt:variant>
      <vt:variant>
        <vt:i4>0</vt:i4>
      </vt:variant>
      <vt:variant>
        <vt:i4>5</vt:i4>
      </vt:variant>
      <vt:variant>
        <vt:lpwstr/>
      </vt:variant>
      <vt:variant>
        <vt:lpwstr>_Toc133488199</vt:lpwstr>
      </vt:variant>
      <vt:variant>
        <vt:i4>1114171</vt:i4>
      </vt:variant>
      <vt:variant>
        <vt:i4>566</vt:i4>
      </vt:variant>
      <vt:variant>
        <vt:i4>0</vt:i4>
      </vt:variant>
      <vt:variant>
        <vt:i4>5</vt:i4>
      </vt:variant>
      <vt:variant>
        <vt:lpwstr/>
      </vt:variant>
      <vt:variant>
        <vt:lpwstr>_Toc133488198</vt:lpwstr>
      </vt:variant>
      <vt:variant>
        <vt:i4>1114171</vt:i4>
      </vt:variant>
      <vt:variant>
        <vt:i4>560</vt:i4>
      </vt:variant>
      <vt:variant>
        <vt:i4>0</vt:i4>
      </vt:variant>
      <vt:variant>
        <vt:i4>5</vt:i4>
      </vt:variant>
      <vt:variant>
        <vt:lpwstr/>
      </vt:variant>
      <vt:variant>
        <vt:lpwstr>_Toc133488197</vt:lpwstr>
      </vt:variant>
      <vt:variant>
        <vt:i4>1114171</vt:i4>
      </vt:variant>
      <vt:variant>
        <vt:i4>554</vt:i4>
      </vt:variant>
      <vt:variant>
        <vt:i4>0</vt:i4>
      </vt:variant>
      <vt:variant>
        <vt:i4>5</vt:i4>
      </vt:variant>
      <vt:variant>
        <vt:lpwstr/>
      </vt:variant>
      <vt:variant>
        <vt:lpwstr>_Toc133488196</vt:lpwstr>
      </vt:variant>
      <vt:variant>
        <vt:i4>1114171</vt:i4>
      </vt:variant>
      <vt:variant>
        <vt:i4>548</vt:i4>
      </vt:variant>
      <vt:variant>
        <vt:i4>0</vt:i4>
      </vt:variant>
      <vt:variant>
        <vt:i4>5</vt:i4>
      </vt:variant>
      <vt:variant>
        <vt:lpwstr/>
      </vt:variant>
      <vt:variant>
        <vt:lpwstr>_Toc133488195</vt:lpwstr>
      </vt:variant>
      <vt:variant>
        <vt:i4>1114171</vt:i4>
      </vt:variant>
      <vt:variant>
        <vt:i4>542</vt:i4>
      </vt:variant>
      <vt:variant>
        <vt:i4>0</vt:i4>
      </vt:variant>
      <vt:variant>
        <vt:i4>5</vt:i4>
      </vt:variant>
      <vt:variant>
        <vt:lpwstr/>
      </vt:variant>
      <vt:variant>
        <vt:lpwstr>_Toc133488194</vt:lpwstr>
      </vt:variant>
      <vt:variant>
        <vt:i4>1114171</vt:i4>
      </vt:variant>
      <vt:variant>
        <vt:i4>536</vt:i4>
      </vt:variant>
      <vt:variant>
        <vt:i4>0</vt:i4>
      </vt:variant>
      <vt:variant>
        <vt:i4>5</vt:i4>
      </vt:variant>
      <vt:variant>
        <vt:lpwstr/>
      </vt:variant>
      <vt:variant>
        <vt:lpwstr>_Toc133488193</vt:lpwstr>
      </vt:variant>
      <vt:variant>
        <vt:i4>1114171</vt:i4>
      </vt:variant>
      <vt:variant>
        <vt:i4>530</vt:i4>
      </vt:variant>
      <vt:variant>
        <vt:i4>0</vt:i4>
      </vt:variant>
      <vt:variant>
        <vt:i4>5</vt:i4>
      </vt:variant>
      <vt:variant>
        <vt:lpwstr/>
      </vt:variant>
      <vt:variant>
        <vt:lpwstr>_Toc133488192</vt:lpwstr>
      </vt:variant>
      <vt:variant>
        <vt:i4>1114171</vt:i4>
      </vt:variant>
      <vt:variant>
        <vt:i4>524</vt:i4>
      </vt:variant>
      <vt:variant>
        <vt:i4>0</vt:i4>
      </vt:variant>
      <vt:variant>
        <vt:i4>5</vt:i4>
      </vt:variant>
      <vt:variant>
        <vt:lpwstr/>
      </vt:variant>
      <vt:variant>
        <vt:lpwstr>_Toc133488191</vt:lpwstr>
      </vt:variant>
      <vt:variant>
        <vt:i4>1114171</vt:i4>
      </vt:variant>
      <vt:variant>
        <vt:i4>518</vt:i4>
      </vt:variant>
      <vt:variant>
        <vt:i4>0</vt:i4>
      </vt:variant>
      <vt:variant>
        <vt:i4>5</vt:i4>
      </vt:variant>
      <vt:variant>
        <vt:lpwstr/>
      </vt:variant>
      <vt:variant>
        <vt:lpwstr>_Toc133488190</vt:lpwstr>
      </vt:variant>
      <vt:variant>
        <vt:i4>1048635</vt:i4>
      </vt:variant>
      <vt:variant>
        <vt:i4>512</vt:i4>
      </vt:variant>
      <vt:variant>
        <vt:i4>0</vt:i4>
      </vt:variant>
      <vt:variant>
        <vt:i4>5</vt:i4>
      </vt:variant>
      <vt:variant>
        <vt:lpwstr/>
      </vt:variant>
      <vt:variant>
        <vt:lpwstr>_Toc133488189</vt:lpwstr>
      </vt:variant>
      <vt:variant>
        <vt:i4>1048635</vt:i4>
      </vt:variant>
      <vt:variant>
        <vt:i4>506</vt:i4>
      </vt:variant>
      <vt:variant>
        <vt:i4>0</vt:i4>
      </vt:variant>
      <vt:variant>
        <vt:i4>5</vt:i4>
      </vt:variant>
      <vt:variant>
        <vt:lpwstr/>
      </vt:variant>
      <vt:variant>
        <vt:lpwstr>_Toc133488188</vt:lpwstr>
      </vt:variant>
      <vt:variant>
        <vt:i4>1048635</vt:i4>
      </vt:variant>
      <vt:variant>
        <vt:i4>500</vt:i4>
      </vt:variant>
      <vt:variant>
        <vt:i4>0</vt:i4>
      </vt:variant>
      <vt:variant>
        <vt:i4>5</vt:i4>
      </vt:variant>
      <vt:variant>
        <vt:lpwstr/>
      </vt:variant>
      <vt:variant>
        <vt:lpwstr>_Toc133488187</vt:lpwstr>
      </vt:variant>
      <vt:variant>
        <vt:i4>1048635</vt:i4>
      </vt:variant>
      <vt:variant>
        <vt:i4>494</vt:i4>
      </vt:variant>
      <vt:variant>
        <vt:i4>0</vt:i4>
      </vt:variant>
      <vt:variant>
        <vt:i4>5</vt:i4>
      </vt:variant>
      <vt:variant>
        <vt:lpwstr/>
      </vt:variant>
      <vt:variant>
        <vt:lpwstr>_Toc133488186</vt:lpwstr>
      </vt:variant>
      <vt:variant>
        <vt:i4>1048635</vt:i4>
      </vt:variant>
      <vt:variant>
        <vt:i4>488</vt:i4>
      </vt:variant>
      <vt:variant>
        <vt:i4>0</vt:i4>
      </vt:variant>
      <vt:variant>
        <vt:i4>5</vt:i4>
      </vt:variant>
      <vt:variant>
        <vt:lpwstr/>
      </vt:variant>
      <vt:variant>
        <vt:lpwstr>_Toc133488185</vt:lpwstr>
      </vt:variant>
      <vt:variant>
        <vt:i4>1048635</vt:i4>
      </vt:variant>
      <vt:variant>
        <vt:i4>482</vt:i4>
      </vt:variant>
      <vt:variant>
        <vt:i4>0</vt:i4>
      </vt:variant>
      <vt:variant>
        <vt:i4>5</vt:i4>
      </vt:variant>
      <vt:variant>
        <vt:lpwstr/>
      </vt:variant>
      <vt:variant>
        <vt:lpwstr>_Toc133488184</vt:lpwstr>
      </vt:variant>
      <vt:variant>
        <vt:i4>1048635</vt:i4>
      </vt:variant>
      <vt:variant>
        <vt:i4>476</vt:i4>
      </vt:variant>
      <vt:variant>
        <vt:i4>0</vt:i4>
      </vt:variant>
      <vt:variant>
        <vt:i4>5</vt:i4>
      </vt:variant>
      <vt:variant>
        <vt:lpwstr/>
      </vt:variant>
      <vt:variant>
        <vt:lpwstr>_Toc133488183</vt:lpwstr>
      </vt:variant>
      <vt:variant>
        <vt:i4>1048635</vt:i4>
      </vt:variant>
      <vt:variant>
        <vt:i4>470</vt:i4>
      </vt:variant>
      <vt:variant>
        <vt:i4>0</vt:i4>
      </vt:variant>
      <vt:variant>
        <vt:i4>5</vt:i4>
      </vt:variant>
      <vt:variant>
        <vt:lpwstr/>
      </vt:variant>
      <vt:variant>
        <vt:lpwstr>_Toc133488182</vt:lpwstr>
      </vt:variant>
      <vt:variant>
        <vt:i4>1048635</vt:i4>
      </vt:variant>
      <vt:variant>
        <vt:i4>464</vt:i4>
      </vt:variant>
      <vt:variant>
        <vt:i4>0</vt:i4>
      </vt:variant>
      <vt:variant>
        <vt:i4>5</vt:i4>
      </vt:variant>
      <vt:variant>
        <vt:lpwstr/>
      </vt:variant>
      <vt:variant>
        <vt:lpwstr>_Toc133488181</vt:lpwstr>
      </vt:variant>
      <vt:variant>
        <vt:i4>1048635</vt:i4>
      </vt:variant>
      <vt:variant>
        <vt:i4>458</vt:i4>
      </vt:variant>
      <vt:variant>
        <vt:i4>0</vt:i4>
      </vt:variant>
      <vt:variant>
        <vt:i4>5</vt:i4>
      </vt:variant>
      <vt:variant>
        <vt:lpwstr/>
      </vt:variant>
      <vt:variant>
        <vt:lpwstr>_Toc133488180</vt:lpwstr>
      </vt:variant>
      <vt:variant>
        <vt:i4>2031675</vt:i4>
      </vt:variant>
      <vt:variant>
        <vt:i4>452</vt:i4>
      </vt:variant>
      <vt:variant>
        <vt:i4>0</vt:i4>
      </vt:variant>
      <vt:variant>
        <vt:i4>5</vt:i4>
      </vt:variant>
      <vt:variant>
        <vt:lpwstr/>
      </vt:variant>
      <vt:variant>
        <vt:lpwstr>_Toc133488179</vt:lpwstr>
      </vt:variant>
      <vt:variant>
        <vt:i4>2031675</vt:i4>
      </vt:variant>
      <vt:variant>
        <vt:i4>446</vt:i4>
      </vt:variant>
      <vt:variant>
        <vt:i4>0</vt:i4>
      </vt:variant>
      <vt:variant>
        <vt:i4>5</vt:i4>
      </vt:variant>
      <vt:variant>
        <vt:lpwstr/>
      </vt:variant>
      <vt:variant>
        <vt:lpwstr>_Toc133488178</vt:lpwstr>
      </vt:variant>
      <vt:variant>
        <vt:i4>2031675</vt:i4>
      </vt:variant>
      <vt:variant>
        <vt:i4>440</vt:i4>
      </vt:variant>
      <vt:variant>
        <vt:i4>0</vt:i4>
      </vt:variant>
      <vt:variant>
        <vt:i4>5</vt:i4>
      </vt:variant>
      <vt:variant>
        <vt:lpwstr/>
      </vt:variant>
      <vt:variant>
        <vt:lpwstr>_Toc133488177</vt:lpwstr>
      </vt:variant>
      <vt:variant>
        <vt:i4>2031675</vt:i4>
      </vt:variant>
      <vt:variant>
        <vt:i4>434</vt:i4>
      </vt:variant>
      <vt:variant>
        <vt:i4>0</vt:i4>
      </vt:variant>
      <vt:variant>
        <vt:i4>5</vt:i4>
      </vt:variant>
      <vt:variant>
        <vt:lpwstr/>
      </vt:variant>
      <vt:variant>
        <vt:lpwstr>_Toc133488176</vt:lpwstr>
      </vt:variant>
      <vt:variant>
        <vt:i4>2031675</vt:i4>
      </vt:variant>
      <vt:variant>
        <vt:i4>428</vt:i4>
      </vt:variant>
      <vt:variant>
        <vt:i4>0</vt:i4>
      </vt:variant>
      <vt:variant>
        <vt:i4>5</vt:i4>
      </vt:variant>
      <vt:variant>
        <vt:lpwstr/>
      </vt:variant>
      <vt:variant>
        <vt:lpwstr>_Toc133488175</vt:lpwstr>
      </vt:variant>
      <vt:variant>
        <vt:i4>2031675</vt:i4>
      </vt:variant>
      <vt:variant>
        <vt:i4>422</vt:i4>
      </vt:variant>
      <vt:variant>
        <vt:i4>0</vt:i4>
      </vt:variant>
      <vt:variant>
        <vt:i4>5</vt:i4>
      </vt:variant>
      <vt:variant>
        <vt:lpwstr/>
      </vt:variant>
      <vt:variant>
        <vt:lpwstr>_Toc133488174</vt:lpwstr>
      </vt:variant>
      <vt:variant>
        <vt:i4>2031675</vt:i4>
      </vt:variant>
      <vt:variant>
        <vt:i4>416</vt:i4>
      </vt:variant>
      <vt:variant>
        <vt:i4>0</vt:i4>
      </vt:variant>
      <vt:variant>
        <vt:i4>5</vt:i4>
      </vt:variant>
      <vt:variant>
        <vt:lpwstr/>
      </vt:variant>
      <vt:variant>
        <vt:lpwstr>_Toc133488173</vt:lpwstr>
      </vt:variant>
      <vt:variant>
        <vt:i4>2031675</vt:i4>
      </vt:variant>
      <vt:variant>
        <vt:i4>410</vt:i4>
      </vt:variant>
      <vt:variant>
        <vt:i4>0</vt:i4>
      </vt:variant>
      <vt:variant>
        <vt:i4>5</vt:i4>
      </vt:variant>
      <vt:variant>
        <vt:lpwstr/>
      </vt:variant>
      <vt:variant>
        <vt:lpwstr>_Toc133488172</vt:lpwstr>
      </vt:variant>
      <vt:variant>
        <vt:i4>2031675</vt:i4>
      </vt:variant>
      <vt:variant>
        <vt:i4>404</vt:i4>
      </vt:variant>
      <vt:variant>
        <vt:i4>0</vt:i4>
      </vt:variant>
      <vt:variant>
        <vt:i4>5</vt:i4>
      </vt:variant>
      <vt:variant>
        <vt:lpwstr/>
      </vt:variant>
      <vt:variant>
        <vt:lpwstr>_Toc133488171</vt:lpwstr>
      </vt:variant>
      <vt:variant>
        <vt:i4>2031675</vt:i4>
      </vt:variant>
      <vt:variant>
        <vt:i4>398</vt:i4>
      </vt:variant>
      <vt:variant>
        <vt:i4>0</vt:i4>
      </vt:variant>
      <vt:variant>
        <vt:i4>5</vt:i4>
      </vt:variant>
      <vt:variant>
        <vt:lpwstr/>
      </vt:variant>
      <vt:variant>
        <vt:lpwstr>_Toc133488170</vt:lpwstr>
      </vt:variant>
      <vt:variant>
        <vt:i4>1966139</vt:i4>
      </vt:variant>
      <vt:variant>
        <vt:i4>392</vt:i4>
      </vt:variant>
      <vt:variant>
        <vt:i4>0</vt:i4>
      </vt:variant>
      <vt:variant>
        <vt:i4>5</vt:i4>
      </vt:variant>
      <vt:variant>
        <vt:lpwstr/>
      </vt:variant>
      <vt:variant>
        <vt:lpwstr>_Toc133488169</vt:lpwstr>
      </vt:variant>
      <vt:variant>
        <vt:i4>1966139</vt:i4>
      </vt:variant>
      <vt:variant>
        <vt:i4>386</vt:i4>
      </vt:variant>
      <vt:variant>
        <vt:i4>0</vt:i4>
      </vt:variant>
      <vt:variant>
        <vt:i4>5</vt:i4>
      </vt:variant>
      <vt:variant>
        <vt:lpwstr/>
      </vt:variant>
      <vt:variant>
        <vt:lpwstr>_Toc133488168</vt:lpwstr>
      </vt:variant>
      <vt:variant>
        <vt:i4>1966139</vt:i4>
      </vt:variant>
      <vt:variant>
        <vt:i4>380</vt:i4>
      </vt:variant>
      <vt:variant>
        <vt:i4>0</vt:i4>
      </vt:variant>
      <vt:variant>
        <vt:i4>5</vt:i4>
      </vt:variant>
      <vt:variant>
        <vt:lpwstr/>
      </vt:variant>
      <vt:variant>
        <vt:lpwstr>_Toc133488167</vt:lpwstr>
      </vt:variant>
      <vt:variant>
        <vt:i4>1966139</vt:i4>
      </vt:variant>
      <vt:variant>
        <vt:i4>374</vt:i4>
      </vt:variant>
      <vt:variant>
        <vt:i4>0</vt:i4>
      </vt:variant>
      <vt:variant>
        <vt:i4>5</vt:i4>
      </vt:variant>
      <vt:variant>
        <vt:lpwstr/>
      </vt:variant>
      <vt:variant>
        <vt:lpwstr>_Toc133488166</vt:lpwstr>
      </vt:variant>
      <vt:variant>
        <vt:i4>1966139</vt:i4>
      </vt:variant>
      <vt:variant>
        <vt:i4>368</vt:i4>
      </vt:variant>
      <vt:variant>
        <vt:i4>0</vt:i4>
      </vt:variant>
      <vt:variant>
        <vt:i4>5</vt:i4>
      </vt:variant>
      <vt:variant>
        <vt:lpwstr/>
      </vt:variant>
      <vt:variant>
        <vt:lpwstr>_Toc133488165</vt:lpwstr>
      </vt:variant>
      <vt:variant>
        <vt:i4>1966139</vt:i4>
      </vt:variant>
      <vt:variant>
        <vt:i4>362</vt:i4>
      </vt:variant>
      <vt:variant>
        <vt:i4>0</vt:i4>
      </vt:variant>
      <vt:variant>
        <vt:i4>5</vt:i4>
      </vt:variant>
      <vt:variant>
        <vt:lpwstr/>
      </vt:variant>
      <vt:variant>
        <vt:lpwstr>_Toc133488164</vt:lpwstr>
      </vt:variant>
      <vt:variant>
        <vt:i4>1966139</vt:i4>
      </vt:variant>
      <vt:variant>
        <vt:i4>356</vt:i4>
      </vt:variant>
      <vt:variant>
        <vt:i4>0</vt:i4>
      </vt:variant>
      <vt:variant>
        <vt:i4>5</vt:i4>
      </vt:variant>
      <vt:variant>
        <vt:lpwstr/>
      </vt:variant>
      <vt:variant>
        <vt:lpwstr>_Toc133488163</vt:lpwstr>
      </vt:variant>
      <vt:variant>
        <vt:i4>1966139</vt:i4>
      </vt:variant>
      <vt:variant>
        <vt:i4>350</vt:i4>
      </vt:variant>
      <vt:variant>
        <vt:i4>0</vt:i4>
      </vt:variant>
      <vt:variant>
        <vt:i4>5</vt:i4>
      </vt:variant>
      <vt:variant>
        <vt:lpwstr/>
      </vt:variant>
      <vt:variant>
        <vt:lpwstr>_Toc133488162</vt:lpwstr>
      </vt:variant>
      <vt:variant>
        <vt:i4>1966139</vt:i4>
      </vt:variant>
      <vt:variant>
        <vt:i4>344</vt:i4>
      </vt:variant>
      <vt:variant>
        <vt:i4>0</vt:i4>
      </vt:variant>
      <vt:variant>
        <vt:i4>5</vt:i4>
      </vt:variant>
      <vt:variant>
        <vt:lpwstr/>
      </vt:variant>
      <vt:variant>
        <vt:lpwstr>_Toc133488161</vt:lpwstr>
      </vt:variant>
      <vt:variant>
        <vt:i4>1966139</vt:i4>
      </vt:variant>
      <vt:variant>
        <vt:i4>338</vt:i4>
      </vt:variant>
      <vt:variant>
        <vt:i4>0</vt:i4>
      </vt:variant>
      <vt:variant>
        <vt:i4>5</vt:i4>
      </vt:variant>
      <vt:variant>
        <vt:lpwstr/>
      </vt:variant>
      <vt:variant>
        <vt:lpwstr>_Toc133488160</vt:lpwstr>
      </vt:variant>
      <vt:variant>
        <vt:i4>1900603</vt:i4>
      </vt:variant>
      <vt:variant>
        <vt:i4>332</vt:i4>
      </vt:variant>
      <vt:variant>
        <vt:i4>0</vt:i4>
      </vt:variant>
      <vt:variant>
        <vt:i4>5</vt:i4>
      </vt:variant>
      <vt:variant>
        <vt:lpwstr/>
      </vt:variant>
      <vt:variant>
        <vt:lpwstr>_Toc133488159</vt:lpwstr>
      </vt:variant>
      <vt:variant>
        <vt:i4>1900603</vt:i4>
      </vt:variant>
      <vt:variant>
        <vt:i4>326</vt:i4>
      </vt:variant>
      <vt:variant>
        <vt:i4>0</vt:i4>
      </vt:variant>
      <vt:variant>
        <vt:i4>5</vt:i4>
      </vt:variant>
      <vt:variant>
        <vt:lpwstr/>
      </vt:variant>
      <vt:variant>
        <vt:lpwstr>_Toc133488158</vt:lpwstr>
      </vt:variant>
      <vt:variant>
        <vt:i4>1900603</vt:i4>
      </vt:variant>
      <vt:variant>
        <vt:i4>320</vt:i4>
      </vt:variant>
      <vt:variant>
        <vt:i4>0</vt:i4>
      </vt:variant>
      <vt:variant>
        <vt:i4>5</vt:i4>
      </vt:variant>
      <vt:variant>
        <vt:lpwstr/>
      </vt:variant>
      <vt:variant>
        <vt:lpwstr>_Toc133488157</vt:lpwstr>
      </vt:variant>
      <vt:variant>
        <vt:i4>1900603</vt:i4>
      </vt:variant>
      <vt:variant>
        <vt:i4>314</vt:i4>
      </vt:variant>
      <vt:variant>
        <vt:i4>0</vt:i4>
      </vt:variant>
      <vt:variant>
        <vt:i4>5</vt:i4>
      </vt:variant>
      <vt:variant>
        <vt:lpwstr/>
      </vt:variant>
      <vt:variant>
        <vt:lpwstr>_Toc133488156</vt:lpwstr>
      </vt:variant>
      <vt:variant>
        <vt:i4>1900603</vt:i4>
      </vt:variant>
      <vt:variant>
        <vt:i4>308</vt:i4>
      </vt:variant>
      <vt:variant>
        <vt:i4>0</vt:i4>
      </vt:variant>
      <vt:variant>
        <vt:i4>5</vt:i4>
      </vt:variant>
      <vt:variant>
        <vt:lpwstr/>
      </vt:variant>
      <vt:variant>
        <vt:lpwstr>_Toc133488155</vt:lpwstr>
      </vt:variant>
      <vt:variant>
        <vt:i4>1900603</vt:i4>
      </vt:variant>
      <vt:variant>
        <vt:i4>302</vt:i4>
      </vt:variant>
      <vt:variant>
        <vt:i4>0</vt:i4>
      </vt:variant>
      <vt:variant>
        <vt:i4>5</vt:i4>
      </vt:variant>
      <vt:variant>
        <vt:lpwstr/>
      </vt:variant>
      <vt:variant>
        <vt:lpwstr>_Toc133488154</vt:lpwstr>
      </vt:variant>
      <vt:variant>
        <vt:i4>1900603</vt:i4>
      </vt:variant>
      <vt:variant>
        <vt:i4>296</vt:i4>
      </vt:variant>
      <vt:variant>
        <vt:i4>0</vt:i4>
      </vt:variant>
      <vt:variant>
        <vt:i4>5</vt:i4>
      </vt:variant>
      <vt:variant>
        <vt:lpwstr/>
      </vt:variant>
      <vt:variant>
        <vt:lpwstr>_Toc133488153</vt:lpwstr>
      </vt:variant>
      <vt:variant>
        <vt:i4>1900603</vt:i4>
      </vt:variant>
      <vt:variant>
        <vt:i4>290</vt:i4>
      </vt:variant>
      <vt:variant>
        <vt:i4>0</vt:i4>
      </vt:variant>
      <vt:variant>
        <vt:i4>5</vt:i4>
      </vt:variant>
      <vt:variant>
        <vt:lpwstr/>
      </vt:variant>
      <vt:variant>
        <vt:lpwstr>_Toc133488152</vt:lpwstr>
      </vt:variant>
      <vt:variant>
        <vt:i4>1900603</vt:i4>
      </vt:variant>
      <vt:variant>
        <vt:i4>284</vt:i4>
      </vt:variant>
      <vt:variant>
        <vt:i4>0</vt:i4>
      </vt:variant>
      <vt:variant>
        <vt:i4>5</vt:i4>
      </vt:variant>
      <vt:variant>
        <vt:lpwstr/>
      </vt:variant>
      <vt:variant>
        <vt:lpwstr>_Toc133488151</vt:lpwstr>
      </vt:variant>
      <vt:variant>
        <vt:i4>1900603</vt:i4>
      </vt:variant>
      <vt:variant>
        <vt:i4>278</vt:i4>
      </vt:variant>
      <vt:variant>
        <vt:i4>0</vt:i4>
      </vt:variant>
      <vt:variant>
        <vt:i4>5</vt:i4>
      </vt:variant>
      <vt:variant>
        <vt:lpwstr/>
      </vt:variant>
      <vt:variant>
        <vt:lpwstr>_Toc133488150</vt:lpwstr>
      </vt:variant>
      <vt:variant>
        <vt:i4>1835067</vt:i4>
      </vt:variant>
      <vt:variant>
        <vt:i4>272</vt:i4>
      </vt:variant>
      <vt:variant>
        <vt:i4>0</vt:i4>
      </vt:variant>
      <vt:variant>
        <vt:i4>5</vt:i4>
      </vt:variant>
      <vt:variant>
        <vt:lpwstr/>
      </vt:variant>
      <vt:variant>
        <vt:lpwstr>_Toc133488149</vt:lpwstr>
      </vt:variant>
      <vt:variant>
        <vt:i4>1835067</vt:i4>
      </vt:variant>
      <vt:variant>
        <vt:i4>266</vt:i4>
      </vt:variant>
      <vt:variant>
        <vt:i4>0</vt:i4>
      </vt:variant>
      <vt:variant>
        <vt:i4>5</vt:i4>
      </vt:variant>
      <vt:variant>
        <vt:lpwstr/>
      </vt:variant>
      <vt:variant>
        <vt:lpwstr>_Toc133488148</vt:lpwstr>
      </vt:variant>
      <vt:variant>
        <vt:i4>1835067</vt:i4>
      </vt:variant>
      <vt:variant>
        <vt:i4>260</vt:i4>
      </vt:variant>
      <vt:variant>
        <vt:i4>0</vt:i4>
      </vt:variant>
      <vt:variant>
        <vt:i4>5</vt:i4>
      </vt:variant>
      <vt:variant>
        <vt:lpwstr/>
      </vt:variant>
      <vt:variant>
        <vt:lpwstr>_Toc133488147</vt:lpwstr>
      </vt:variant>
      <vt:variant>
        <vt:i4>1835067</vt:i4>
      </vt:variant>
      <vt:variant>
        <vt:i4>254</vt:i4>
      </vt:variant>
      <vt:variant>
        <vt:i4>0</vt:i4>
      </vt:variant>
      <vt:variant>
        <vt:i4>5</vt:i4>
      </vt:variant>
      <vt:variant>
        <vt:lpwstr/>
      </vt:variant>
      <vt:variant>
        <vt:lpwstr>_Toc133488146</vt:lpwstr>
      </vt:variant>
      <vt:variant>
        <vt:i4>1835067</vt:i4>
      </vt:variant>
      <vt:variant>
        <vt:i4>248</vt:i4>
      </vt:variant>
      <vt:variant>
        <vt:i4>0</vt:i4>
      </vt:variant>
      <vt:variant>
        <vt:i4>5</vt:i4>
      </vt:variant>
      <vt:variant>
        <vt:lpwstr/>
      </vt:variant>
      <vt:variant>
        <vt:lpwstr>_Toc133488145</vt:lpwstr>
      </vt:variant>
      <vt:variant>
        <vt:i4>1835067</vt:i4>
      </vt:variant>
      <vt:variant>
        <vt:i4>242</vt:i4>
      </vt:variant>
      <vt:variant>
        <vt:i4>0</vt:i4>
      </vt:variant>
      <vt:variant>
        <vt:i4>5</vt:i4>
      </vt:variant>
      <vt:variant>
        <vt:lpwstr/>
      </vt:variant>
      <vt:variant>
        <vt:lpwstr>_Toc133488144</vt:lpwstr>
      </vt:variant>
      <vt:variant>
        <vt:i4>1835067</vt:i4>
      </vt:variant>
      <vt:variant>
        <vt:i4>236</vt:i4>
      </vt:variant>
      <vt:variant>
        <vt:i4>0</vt:i4>
      </vt:variant>
      <vt:variant>
        <vt:i4>5</vt:i4>
      </vt:variant>
      <vt:variant>
        <vt:lpwstr/>
      </vt:variant>
      <vt:variant>
        <vt:lpwstr>_Toc133488143</vt:lpwstr>
      </vt:variant>
      <vt:variant>
        <vt:i4>1835067</vt:i4>
      </vt:variant>
      <vt:variant>
        <vt:i4>230</vt:i4>
      </vt:variant>
      <vt:variant>
        <vt:i4>0</vt:i4>
      </vt:variant>
      <vt:variant>
        <vt:i4>5</vt:i4>
      </vt:variant>
      <vt:variant>
        <vt:lpwstr/>
      </vt:variant>
      <vt:variant>
        <vt:lpwstr>_Toc133488142</vt:lpwstr>
      </vt:variant>
      <vt:variant>
        <vt:i4>1835067</vt:i4>
      </vt:variant>
      <vt:variant>
        <vt:i4>224</vt:i4>
      </vt:variant>
      <vt:variant>
        <vt:i4>0</vt:i4>
      </vt:variant>
      <vt:variant>
        <vt:i4>5</vt:i4>
      </vt:variant>
      <vt:variant>
        <vt:lpwstr/>
      </vt:variant>
      <vt:variant>
        <vt:lpwstr>_Toc133488141</vt:lpwstr>
      </vt:variant>
      <vt:variant>
        <vt:i4>1835067</vt:i4>
      </vt:variant>
      <vt:variant>
        <vt:i4>218</vt:i4>
      </vt:variant>
      <vt:variant>
        <vt:i4>0</vt:i4>
      </vt:variant>
      <vt:variant>
        <vt:i4>5</vt:i4>
      </vt:variant>
      <vt:variant>
        <vt:lpwstr/>
      </vt:variant>
      <vt:variant>
        <vt:lpwstr>_Toc133488140</vt:lpwstr>
      </vt:variant>
      <vt:variant>
        <vt:i4>1769531</vt:i4>
      </vt:variant>
      <vt:variant>
        <vt:i4>212</vt:i4>
      </vt:variant>
      <vt:variant>
        <vt:i4>0</vt:i4>
      </vt:variant>
      <vt:variant>
        <vt:i4>5</vt:i4>
      </vt:variant>
      <vt:variant>
        <vt:lpwstr/>
      </vt:variant>
      <vt:variant>
        <vt:lpwstr>_Toc133488139</vt:lpwstr>
      </vt:variant>
      <vt:variant>
        <vt:i4>1769531</vt:i4>
      </vt:variant>
      <vt:variant>
        <vt:i4>206</vt:i4>
      </vt:variant>
      <vt:variant>
        <vt:i4>0</vt:i4>
      </vt:variant>
      <vt:variant>
        <vt:i4>5</vt:i4>
      </vt:variant>
      <vt:variant>
        <vt:lpwstr/>
      </vt:variant>
      <vt:variant>
        <vt:lpwstr>_Toc133488138</vt:lpwstr>
      </vt:variant>
      <vt:variant>
        <vt:i4>1769531</vt:i4>
      </vt:variant>
      <vt:variant>
        <vt:i4>200</vt:i4>
      </vt:variant>
      <vt:variant>
        <vt:i4>0</vt:i4>
      </vt:variant>
      <vt:variant>
        <vt:i4>5</vt:i4>
      </vt:variant>
      <vt:variant>
        <vt:lpwstr/>
      </vt:variant>
      <vt:variant>
        <vt:lpwstr>_Toc133488137</vt:lpwstr>
      </vt:variant>
      <vt:variant>
        <vt:i4>1769531</vt:i4>
      </vt:variant>
      <vt:variant>
        <vt:i4>194</vt:i4>
      </vt:variant>
      <vt:variant>
        <vt:i4>0</vt:i4>
      </vt:variant>
      <vt:variant>
        <vt:i4>5</vt:i4>
      </vt:variant>
      <vt:variant>
        <vt:lpwstr/>
      </vt:variant>
      <vt:variant>
        <vt:lpwstr>_Toc133488136</vt:lpwstr>
      </vt:variant>
      <vt:variant>
        <vt:i4>1769531</vt:i4>
      </vt:variant>
      <vt:variant>
        <vt:i4>188</vt:i4>
      </vt:variant>
      <vt:variant>
        <vt:i4>0</vt:i4>
      </vt:variant>
      <vt:variant>
        <vt:i4>5</vt:i4>
      </vt:variant>
      <vt:variant>
        <vt:lpwstr/>
      </vt:variant>
      <vt:variant>
        <vt:lpwstr>_Toc133488135</vt:lpwstr>
      </vt:variant>
      <vt:variant>
        <vt:i4>1769531</vt:i4>
      </vt:variant>
      <vt:variant>
        <vt:i4>182</vt:i4>
      </vt:variant>
      <vt:variant>
        <vt:i4>0</vt:i4>
      </vt:variant>
      <vt:variant>
        <vt:i4>5</vt:i4>
      </vt:variant>
      <vt:variant>
        <vt:lpwstr/>
      </vt:variant>
      <vt:variant>
        <vt:lpwstr>_Toc133488134</vt:lpwstr>
      </vt:variant>
      <vt:variant>
        <vt:i4>1769531</vt:i4>
      </vt:variant>
      <vt:variant>
        <vt:i4>176</vt:i4>
      </vt:variant>
      <vt:variant>
        <vt:i4>0</vt:i4>
      </vt:variant>
      <vt:variant>
        <vt:i4>5</vt:i4>
      </vt:variant>
      <vt:variant>
        <vt:lpwstr/>
      </vt:variant>
      <vt:variant>
        <vt:lpwstr>_Toc133488133</vt:lpwstr>
      </vt:variant>
      <vt:variant>
        <vt:i4>1769531</vt:i4>
      </vt:variant>
      <vt:variant>
        <vt:i4>170</vt:i4>
      </vt:variant>
      <vt:variant>
        <vt:i4>0</vt:i4>
      </vt:variant>
      <vt:variant>
        <vt:i4>5</vt:i4>
      </vt:variant>
      <vt:variant>
        <vt:lpwstr/>
      </vt:variant>
      <vt:variant>
        <vt:lpwstr>_Toc133488132</vt:lpwstr>
      </vt:variant>
      <vt:variant>
        <vt:i4>1769531</vt:i4>
      </vt:variant>
      <vt:variant>
        <vt:i4>164</vt:i4>
      </vt:variant>
      <vt:variant>
        <vt:i4>0</vt:i4>
      </vt:variant>
      <vt:variant>
        <vt:i4>5</vt:i4>
      </vt:variant>
      <vt:variant>
        <vt:lpwstr/>
      </vt:variant>
      <vt:variant>
        <vt:lpwstr>_Toc133488131</vt:lpwstr>
      </vt:variant>
      <vt:variant>
        <vt:i4>1769531</vt:i4>
      </vt:variant>
      <vt:variant>
        <vt:i4>158</vt:i4>
      </vt:variant>
      <vt:variant>
        <vt:i4>0</vt:i4>
      </vt:variant>
      <vt:variant>
        <vt:i4>5</vt:i4>
      </vt:variant>
      <vt:variant>
        <vt:lpwstr/>
      </vt:variant>
      <vt:variant>
        <vt:lpwstr>_Toc133488130</vt:lpwstr>
      </vt:variant>
      <vt:variant>
        <vt:i4>1703995</vt:i4>
      </vt:variant>
      <vt:variant>
        <vt:i4>152</vt:i4>
      </vt:variant>
      <vt:variant>
        <vt:i4>0</vt:i4>
      </vt:variant>
      <vt:variant>
        <vt:i4>5</vt:i4>
      </vt:variant>
      <vt:variant>
        <vt:lpwstr/>
      </vt:variant>
      <vt:variant>
        <vt:lpwstr>_Toc133488128</vt:lpwstr>
      </vt:variant>
      <vt:variant>
        <vt:i4>1703995</vt:i4>
      </vt:variant>
      <vt:variant>
        <vt:i4>146</vt:i4>
      </vt:variant>
      <vt:variant>
        <vt:i4>0</vt:i4>
      </vt:variant>
      <vt:variant>
        <vt:i4>5</vt:i4>
      </vt:variant>
      <vt:variant>
        <vt:lpwstr/>
      </vt:variant>
      <vt:variant>
        <vt:lpwstr>_Toc133488127</vt:lpwstr>
      </vt:variant>
      <vt:variant>
        <vt:i4>1703995</vt:i4>
      </vt:variant>
      <vt:variant>
        <vt:i4>140</vt:i4>
      </vt:variant>
      <vt:variant>
        <vt:i4>0</vt:i4>
      </vt:variant>
      <vt:variant>
        <vt:i4>5</vt:i4>
      </vt:variant>
      <vt:variant>
        <vt:lpwstr/>
      </vt:variant>
      <vt:variant>
        <vt:lpwstr>_Toc133488126</vt:lpwstr>
      </vt:variant>
      <vt:variant>
        <vt:i4>1703995</vt:i4>
      </vt:variant>
      <vt:variant>
        <vt:i4>134</vt:i4>
      </vt:variant>
      <vt:variant>
        <vt:i4>0</vt:i4>
      </vt:variant>
      <vt:variant>
        <vt:i4>5</vt:i4>
      </vt:variant>
      <vt:variant>
        <vt:lpwstr/>
      </vt:variant>
      <vt:variant>
        <vt:lpwstr>_Toc133488125</vt:lpwstr>
      </vt:variant>
      <vt:variant>
        <vt:i4>1703995</vt:i4>
      </vt:variant>
      <vt:variant>
        <vt:i4>128</vt:i4>
      </vt:variant>
      <vt:variant>
        <vt:i4>0</vt:i4>
      </vt:variant>
      <vt:variant>
        <vt:i4>5</vt:i4>
      </vt:variant>
      <vt:variant>
        <vt:lpwstr/>
      </vt:variant>
      <vt:variant>
        <vt:lpwstr>_Toc133488124</vt:lpwstr>
      </vt:variant>
      <vt:variant>
        <vt:i4>1703995</vt:i4>
      </vt:variant>
      <vt:variant>
        <vt:i4>122</vt:i4>
      </vt:variant>
      <vt:variant>
        <vt:i4>0</vt:i4>
      </vt:variant>
      <vt:variant>
        <vt:i4>5</vt:i4>
      </vt:variant>
      <vt:variant>
        <vt:lpwstr/>
      </vt:variant>
      <vt:variant>
        <vt:lpwstr>_Toc133488123</vt:lpwstr>
      </vt:variant>
      <vt:variant>
        <vt:i4>1703995</vt:i4>
      </vt:variant>
      <vt:variant>
        <vt:i4>116</vt:i4>
      </vt:variant>
      <vt:variant>
        <vt:i4>0</vt:i4>
      </vt:variant>
      <vt:variant>
        <vt:i4>5</vt:i4>
      </vt:variant>
      <vt:variant>
        <vt:lpwstr/>
      </vt:variant>
      <vt:variant>
        <vt:lpwstr>_Toc133488122</vt:lpwstr>
      </vt:variant>
      <vt:variant>
        <vt:i4>1703995</vt:i4>
      </vt:variant>
      <vt:variant>
        <vt:i4>110</vt:i4>
      </vt:variant>
      <vt:variant>
        <vt:i4>0</vt:i4>
      </vt:variant>
      <vt:variant>
        <vt:i4>5</vt:i4>
      </vt:variant>
      <vt:variant>
        <vt:lpwstr/>
      </vt:variant>
      <vt:variant>
        <vt:lpwstr>_Toc133488121</vt:lpwstr>
      </vt:variant>
      <vt:variant>
        <vt:i4>1703995</vt:i4>
      </vt:variant>
      <vt:variant>
        <vt:i4>104</vt:i4>
      </vt:variant>
      <vt:variant>
        <vt:i4>0</vt:i4>
      </vt:variant>
      <vt:variant>
        <vt:i4>5</vt:i4>
      </vt:variant>
      <vt:variant>
        <vt:lpwstr/>
      </vt:variant>
      <vt:variant>
        <vt:lpwstr>_Toc133488120</vt:lpwstr>
      </vt:variant>
      <vt:variant>
        <vt:i4>1638459</vt:i4>
      </vt:variant>
      <vt:variant>
        <vt:i4>98</vt:i4>
      </vt:variant>
      <vt:variant>
        <vt:i4>0</vt:i4>
      </vt:variant>
      <vt:variant>
        <vt:i4>5</vt:i4>
      </vt:variant>
      <vt:variant>
        <vt:lpwstr/>
      </vt:variant>
      <vt:variant>
        <vt:lpwstr>_Toc133488119</vt:lpwstr>
      </vt:variant>
      <vt:variant>
        <vt:i4>1638459</vt:i4>
      </vt:variant>
      <vt:variant>
        <vt:i4>92</vt:i4>
      </vt:variant>
      <vt:variant>
        <vt:i4>0</vt:i4>
      </vt:variant>
      <vt:variant>
        <vt:i4>5</vt:i4>
      </vt:variant>
      <vt:variant>
        <vt:lpwstr/>
      </vt:variant>
      <vt:variant>
        <vt:lpwstr>_Toc133488118</vt:lpwstr>
      </vt:variant>
      <vt:variant>
        <vt:i4>1638459</vt:i4>
      </vt:variant>
      <vt:variant>
        <vt:i4>86</vt:i4>
      </vt:variant>
      <vt:variant>
        <vt:i4>0</vt:i4>
      </vt:variant>
      <vt:variant>
        <vt:i4>5</vt:i4>
      </vt:variant>
      <vt:variant>
        <vt:lpwstr/>
      </vt:variant>
      <vt:variant>
        <vt:lpwstr>_Toc133488117</vt:lpwstr>
      </vt:variant>
      <vt:variant>
        <vt:i4>1638459</vt:i4>
      </vt:variant>
      <vt:variant>
        <vt:i4>80</vt:i4>
      </vt:variant>
      <vt:variant>
        <vt:i4>0</vt:i4>
      </vt:variant>
      <vt:variant>
        <vt:i4>5</vt:i4>
      </vt:variant>
      <vt:variant>
        <vt:lpwstr/>
      </vt:variant>
      <vt:variant>
        <vt:lpwstr>_Toc133488116</vt:lpwstr>
      </vt:variant>
      <vt:variant>
        <vt:i4>1638459</vt:i4>
      </vt:variant>
      <vt:variant>
        <vt:i4>74</vt:i4>
      </vt:variant>
      <vt:variant>
        <vt:i4>0</vt:i4>
      </vt:variant>
      <vt:variant>
        <vt:i4>5</vt:i4>
      </vt:variant>
      <vt:variant>
        <vt:lpwstr/>
      </vt:variant>
      <vt:variant>
        <vt:lpwstr>_Toc133488114</vt:lpwstr>
      </vt:variant>
      <vt:variant>
        <vt:i4>1638459</vt:i4>
      </vt:variant>
      <vt:variant>
        <vt:i4>68</vt:i4>
      </vt:variant>
      <vt:variant>
        <vt:i4>0</vt:i4>
      </vt:variant>
      <vt:variant>
        <vt:i4>5</vt:i4>
      </vt:variant>
      <vt:variant>
        <vt:lpwstr/>
      </vt:variant>
      <vt:variant>
        <vt:lpwstr>_Toc133488112</vt:lpwstr>
      </vt:variant>
      <vt:variant>
        <vt:i4>1638459</vt:i4>
      </vt:variant>
      <vt:variant>
        <vt:i4>62</vt:i4>
      </vt:variant>
      <vt:variant>
        <vt:i4>0</vt:i4>
      </vt:variant>
      <vt:variant>
        <vt:i4>5</vt:i4>
      </vt:variant>
      <vt:variant>
        <vt:lpwstr/>
      </vt:variant>
      <vt:variant>
        <vt:lpwstr>_Toc133488111</vt:lpwstr>
      </vt:variant>
      <vt:variant>
        <vt:i4>1638459</vt:i4>
      </vt:variant>
      <vt:variant>
        <vt:i4>56</vt:i4>
      </vt:variant>
      <vt:variant>
        <vt:i4>0</vt:i4>
      </vt:variant>
      <vt:variant>
        <vt:i4>5</vt:i4>
      </vt:variant>
      <vt:variant>
        <vt:lpwstr/>
      </vt:variant>
      <vt:variant>
        <vt:lpwstr>_Toc133488110</vt:lpwstr>
      </vt:variant>
      <vt:variant>
        <vt:i4>1572923</vt:i4>
      </vt:variant>
      <vt:variant>
        <vt:i4>50</vt:i4>
      </vt:variant>
      <vt:variant>
        <vt:i4>0</vt:i4>
      </vt:variant>
      <vt:variant>
        <vt:i4>5</vt:i4>
      </vt:variant>
      <vt:variant>
        <vt:lpwstr/>
      </vt:variant>
      <vt:variant>
        <vt:lpwstr>_Toc133488109</vt:lpwstr>
      </vt:variant>
      <vt:variant>
        <vt:i4>1572923</vt:i4>
      </vt:variant>
      <vt:variant>
        <vt:i4>44</vt:i4>
      </vt:variant>
      <vt:variant>
        <vt:i4>0</vt:i4>
      </vt:variant>
      <vt:variant>
        <vt:i4>5</vt:i4>
      </vt:variant>
      <vt:variant>
        <vt:lpwstr/>
      </vt:variant>
      <vt:variant>
        <vt:lpwstr>_Toc133488108</vt:lpwstr>
      </vt:variant>
      <vt:variant>
        <vt:i4>1572923</vt:i4>
      </vt:variant>
      <vt:variant>
        <vt:i4>38</vt:i4>
      </vt:variant>
      <vt:variant>
        <vt:i4>0</vt:i4>
      </vt:variant>
      <vt:variant>
        <vt:i4>5</vt:i4>
      </vt:variant>
      <vt:variant>
        <vt:lpwstr/>
      </vt:variant>
      <vt:variant>
        <vt:lpwstr>_Toc133488107</vt:lpwstr>
      </vt:variant>
      <vt:variant>
        <vt:i4>1572923</vt:i4>
      </vt:variant>
      <vt:variant>
        <vt:i4>32</vt:i4>
      </vt:variant>
      <vt:variant>
        <vt:i4>0</vt:i4>
      </vt:variant>
      <vt:variant>
        <vt:i4>5</vt:i4>
      </vt:variant>
      <vt:variant>
        <vt:lpwstr/>
      </vt:variant>
      <vt:variant>
        <vt:lpwstr>_Toc133488106</vt:lpwstr>
      </vt:variant>
      <vt:variant>
        <vt:i4>1572923</vt:i4>
      </vt:variant>
      <vt:variant>
        <vt:i4>26</vt:i4>
      </vt:variant>
      <vt:variant>
        <vt:i4>0</vt:i4>
      </vt:variant>
      <vt:variant>
        <vt:i4>5</vt:i4>
      </vt:variant>
      <vt:variant>
        <vt:lpwstr/>
      </vt:variant>
      <vt:variant>
        <vt:lpwstr>_Toc133488105</vt:lpwstr>
      </vt:variant>
      <vt:variant>
        <vt:i4>1572923</vt:i4>
      </vt:variant>
      <vt:variant>
        <vt:i4>20</vt:i4>
      </vt:variant>
      <vt:variant>
        <vt:i4>0</vt:i4>
      </vt:variant>
      <vt:variant>
        <vt:i4>5</vt:i4>
      </vt:variant>
      <vt:variant>
        <vt:lpwstr/>
      </vt:variant>
      <vt:variant>
        <vt:lpwstr>_Toc133488104</vt:lpwstr>
      </vt:variant>
      <vt:variant>
        <vt:i4>1572923</vt:i4>
      </vt:variant>
      <vt:variant>
        <vt:i4>14</vt:i4>
      </vt:variant>
      <vt:variant>
        <vt:i4>0</vt:i4>
      </vt:variant>
      <vt:variant>
        <vt:i4>5</vt:i4>
      </vt:variant>
      <vt:variant>
        <vt:lpwstr/>
      </vt:variant>
      <vt:variant>
        <vt:lpwstr>_Toc133488103</vt:lpwstr>
      </vt:variant>
      <vt:variant>
        <vt:i4>1572923</vt:i4>
      </vt:variant>
      <vt:variant>
        <vt:i4>8</vt:i4>
      </vt:variant>
      <vt:variant>
        <vt:i4>0</vt:i4>
      </vt:variant>
      <vt:variant>
        <vt:i4>5</vt:i4>
      </vt:variant>
      <vt:variant>
        <vt:lpwstr/>
      </vt:variant>
      <vt:variant>
        <vt:lpwstr>_Toc133488102</vt:lpwstr>
      </vt:variant>
      <vt:variant>
        <vt:i4>1572923</vt:i4>
      </vt:variant>
      <vt:variant>
        <vt:i4>2</vt:i4>
      </vt:variant>
      <vt:variant>
        <vt:i4>0</vt:i4>
      </vt:variant>
      <vt:variant>
        <vt:i4>5</vt:i4>
      </vt:variant>
      <vt:variant>
        <vt:lpwstr/>
      </vt:variant>
      <vt:variant>
        <vt:lpwstr>_Toc133488100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espacios (Interlineado sencillo)</dc:title>
  <dc:subject/>
  <dc:creator>Creg189</dc:creator>
  <cp:keywords/>
  <cp:lastModifiedBy>Eliana Rodriguez Fonseca</cp:lastModifiedBy>
  <cp:revision>2</cp:revision>
  <cp:lastPrinted>2023-03-21T18:52:00Z</cp:lastPrinted>
  <dcterms:created xsi:type="dcterms:W3CDTF">2023-07-17T22:26:00Z</dcterms:created>
  <dcterms:modified xsi:type="dcterms:W3CDTF">2023-07-17T22:26:00Z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0x010100E8698CE1C61F55489DABF72A152DC66D</vt:lpwstr>
  </property>
</Properties>
</file>